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38700B">
        <w:tblPrEx>
          <w:tblCellMar>
            <w:top w:w="0" w:type="dxa"/>
            <w:bottom w:w="0" w:type="dxa"/>
          </w:tblCellMar>
        </w:tblPrEx>
        <w:tc>
          <w:tcPr>
            <w:tcW w:w="4678" w:type="dxa"/>
            <w:gridSpan w:val="2"/>
            <w:tcBorders>
              <w:bottom w:val="single" w:sz="4" w:space="0" w:color="auto"/>
            </w:tcBorders>
          </w:tcPr>
          <w:p w:rsidR="0038700B" w:rsidRDefault="0038700B" w:rsidP="00AF74F0">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38700B" w:rsidRDefault="0038700B" w:rsidP="00AF74F0">
            <w:pPr>
              <w:jc w:val="right"/>
              <w:rPr>
                <w:rFonts w:ascii="Arial" w:hAnsi="Arial" w:cs="Arial"/>
                <w:b/>
                <w:bCs/>
                <w:sz w:val="72"/>
              </w:rPr>
            </w:pPr>
            <w:r>
              <w:rPr>
                <w:rFonts w:ascii="Arial" w:hAnsi="Arial" w:cs="Arial"/>
                <w:b/>
                <w:bCs/>
                <w:sz w:val="72"/>
              </w:rPr>
              <w:t>CAT</w:t>
            </w:r>
          </w:p>
        </w:tc>
      </w:tr>
      <w:bookmarkStart w:id="0" w:name="_MON_992768308"/>
      <w:bookmarkStart w:id="1" w:name="_MON_992768431"/>
      <w:bookmarkEnd w:id="0"/>
      <w:bookmarkEnd w:id="1"/>
      <w:tr w:rsidR="0038700B" w:rsidRPr="0038700B">
        <w:tblPrEx>
          <w:tblBorders>
            <w:bottom w:val="single" w:sz="36" w:space="0" w:color="auto"/>
          </w:tblBorders>
          <w:tblCellMar>
            <w:top w:w="0" w:type="dxa"/>
            <w:bottom w:w="0" w:type="dxa"/>
          </w:tblCellMar>
        </w:tblPrEx>
        <w:tc>
          <w:tcPr>
            <w:tcW w:w="1474" w:type="dxa"/>
          </w:tcPr>
          <w:p w:rsidR="0038700B" w:rsidRDefault="0038700B" w:rsidP="00AF74F0">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r:pict="rId8" o:title="" croptop="-46f" cropbottom="-46f" cropleft="-1312f" cropright="-1312f"/>
                </v:shape>
                <o:OLEObject Type="Embed" ProgID="Word.Picture.8" ShapeID="_x0000_i1025" DrawAspect="Content" ObjectID="_1393737817" r:id="rId9"/>
              </w:object>
            </w:r>
          </w:p>
        </w:tc>
        <w:tc>
          <w:tcPr>
            <w:tcW w:w="4763" w:type="dxa"/>
            <w:gridSpan w:val="2"/>
          </w:tcPr>
          <w:p w:rsidR="0038700B" w:rsidRPr="0038700B" w:rsidRDefault="0038700B" w:rsidP="00AF74F0">
            <w:pPr>
              <w:spacing w:before="284"/>
              <w:rPr>
                <w:rFonts w:ascii="Arial" w:hAnsi="Arial" w:cs="Arial"/>
                <w:b/>
                <w:bCs/>
                <w:sz w:val="28"/>
                <w:lang w:val="fr-FR"/>
              </w:rPr>
            </w:pPr>
            <w:r w:rsidRPr="0038700B">
              <w:rPr>
                <w:rFonts w:ascii="Arial" w:hAnsi="Arial"/>
                <w:b/>
                <w:sz w:val="32"/>
                <w:lang w:val="fr-FR"/>
              </w:rPr>
              <w:t>Convention contre</w:t>
            </w:r>
            <w:r w:rsidRPr="0038700B">
              <w:rPr>
                <w:rFonts w:ascii="Arial" w:hAnsi="Arial"/>
                <w:b/>
                <w:sz w:val="32"/>
                <w:lang w:val="fr-FR"/>
              </w:rPr>
              <w:br/>
              <w:t>la torture et autres peines</w:t>
            </w:r>
            <w:r w:rsidRPr="0038700B">
              <w:rPr>
                <w:rFonts w:ascii="Arial" w:hAnsi="Arial"/>
                <w:b/>
                <w:sz w:val="32"/>
                <w:lang w:val="fr-FR"/>
              </w:rPr>
              <w:br/>
              <w:t>ou traitements cruels,</w:t>
            </w:r>
            <w:r w:rsidRPr="0038700B">
              <w:rPr>
                <w:rFonts w:ascii="Arial" w:hAnsi="Arial"/>
                <w:b/>
                <w:sz w:val="32"/>
                <w:lang w:val="fr-FR"/>
              </w:rPr>
              <w:br/>
              <w:t>inhumains ou dégradants</w:t>
            </w:r>
          </w:p>
        </w:tc>
        <w:tc>
          <w:tcPr>
            <w:tcW w:w="3119" w:type="dxa"/>
          </w:tcPr>
          <w:p w:rsidR="0038700B" w:rsidRPr="0038700B" w:rsidRDefault="0038700B" w:rsidP="00AF74F0">
            <w:pPr>
              <w:tabs>
                <w:tab w:val="right" w:pos="3195"/>
              </w:tabs>
              <w:spacing w:before="284"/>
              <w:rPr>
                <w:lang w:val="fr-FR"/>
              </w:rPr>
            </w:pPr>
            <w:r w:rsidRPr="0038700B">
              <w:rPr>
                <w:lang w:val="fr-FR"/>
              </w:rPr>
              <w:t>Distr.</w:t>
            </w:r>
            <w:r w:rsidRPr="0038700B">
              <w:rPr>
                <w:lang w:val="fr-FR"/>
              </w:rPr>
              <w:br/>
              <w:t>GÉNÉRALE</w:t>
            </w:r>
          </w:p>
          <w:p w:rsidR="0038700B" w:rsidRPr="0038700B" w:rsidRDefault="0038700B" w:rsidP="00387FE3">
            <w:pPr>
              <w:spacing w:before="284"/>
              <w:rPr>
                <w:lang w:val="fr-FR"/>
              </w:rPr>
            </w:pPr>
            <w:r w:rsidRPr="00387FE3">
              <w:rPr>
                <w:lang w:val="fr-FR"/>
              </w:rPr>
              <w:t>CAT/</w:t>
            </w:r>
            <w:r w:rsidR="00387FE3" w:rsidRPr="00387FE3">
              <w:rPr>
                <w:lang w:val="fr-FR"/>
              </w:rPr>
              <w:t>C/AUS/Q/4/Add.1</w:t>
            </w:r>
            <w:r w:rsidRPr="00387FE3">
              <w:rPr>
                <w:lang w:val="fr-FR"/>
              </w:rPr>
              <w:br/>
            </w:r>
            <w:r w:rsidR="00387FE3" w:rsidRPr="00387FE3">
              <w:rPr>
                <w:lang w:val="fr-FR"/>
              </w:rPr>
              <w:t>1</w:t>
            </w:r>
            <w:r w:rsidR="00387FE3" w:rsidRPr="00387FE3">
              <w:rPr>
                <w:vertAlign w:val="superscript"/>
                <w:lang w:val="fr-FR"/>
              </w:rPr>
              <w:t>er</w:t>
            </w:r>
            <w:r w:rsidR="00387FE3">
              <w:rPr>
                <w:lang w:val="fr-FR"/>
              </w:rPr>
              <w:t xml:space="preserve"> </w:t>
            </w:r>
            <w:r w:rsidR="00387FE3" w:rsidRPr="00387FE3">
              <w:rPr>
                <w:lang w:val="fr-FR"/>
              </w:rPr>
              <w:t xml:space="preserve">octobre </w:t>
            </w:r>
            <w:r w:rsidR="00387FE3">
              <w:rPr>
                <w:lang w:val="fr-FR"/>
              </w:rPr>
              <w:t>2007</w:t>
            </w:r>
          </w:p>
          <w:p w:rsidR="0038700B" w:rsidRPr="0038700B" w:rsidRDefault="0038700B" w:rsidP="00AF74F0">
            <w:pPr>
              <w:spacing w:before="284"/>
              <w:rPr>
                <w:lang w:val="fr-FR"/>
              </w:rPr>
            </w:pPr>
            <w:r w:rsidRPr="0038700B">
              <w:rPr>
                <w:lang w:val="fr-FR"/>
              </w:rPr>
              <w:t>FRANÇAIS</w:t>
            </w:r>
            <w:r w:rsidRPr="0038700B">
              <w:rPr>
                <w:lang w:val="fr-FR"/>
              </w:rPr>
              <w:br/>
              <w:t xml:space="preserve">Original: </w:t>
            </w:r>
            <w:r w:rsidR="00387FE3">
              <w:rPr>
                <w:lang w:val="fr-FR"/>
              </w:rPr>
              <w:t>ANGLAIS</w:t>
            </w:r>
          </w:p>
        </w:tc>
      </w:tr>
    </w:tbl>
    <w:p w:rsidR="0038700B" w:rsidRDefault="0038700B" w:rsidP="007C1C79">
      <w:pPr>
        <w:spacing w:before="240" w:after="1200"/>
      </w:pPr>
      <w:r>
        <w:t>COMITÉ CONTRE LA TORTURE</w:t>
      </w:r>
    </w:p>
    <w:p w:rsidR="00BE382F" w:rsidRPr="003F7FFC" w:rsidRDefault="003F7FFC" w:rsidP="007C1C79">
      <w:pPr>
        <w:pStyle w:val="Heading2"/>
        <w:spacing w:after="1680"/>
        <w:rPr>
          <w:lang w:val="fr-FR"/>
        </w:rPr>
      </w:pPr>
      <w:bookmarkStart w:id="2" w:name="_Toc193614072"/>
      <w:r w:rsidRPr="003F7FFC">
        <w:rPr>
          <w:lang w:val="fr-FR"/>
        </w:rPr>
        <w:t>Réponses écrites</w:t>
      </w:r>
      <w:r w:rsidR="008D6B80">
        <w:rPr>
          <w:lang w:val="fr-FR"/>
        </w:rPr>
        <w:t xml:space="preserve"> du Gouvernement de l’Australie</w:t>
      </w:r>
      <w:r w:rsidR="008D6B80">
        <w:rPr>
          <w:rStyle w:val="FootnoteReference"/>
          <w:lang w:val="fr-FR"/>
        </w:rPr>
        <w:footnoteReference w:customMarkFollows="1" w:id="1"/>
        <w:t>*</w:t>
      </w:r>
      <w:r w:rsidR="00BE382F" w:rsidRPr="003F7FFC">
        <w:rPr>
          <w:b w:val="0"/>
          <w:lang w:val="fr-FR"/>
        </w:rPr>
        <w:t xml:space="preserve"> </w:t>
      </w:r>
      <w:r w:rsidRPr="003F7FFC">
        <w:rPr>
          <w:lang w:val="fr-FR"/>
        </w:rPr>
        <w:t>à la liste de questions</w:t>
      </w:r>
      <w:r w:rsidR="00BE382F" w:rsidRPr="003F7FFC">
        <w:rPr>
          <w:lang w:val="fr-FR"/>
        </w:rPr>
        <w:br/>
        <w:t xml:space="preserve">(CAT/C/AUS/Q/4) </w:t>
      </w:r>
      <w:r w:rsidRPr="003F7FFC">
        <w:rPr>
          <w:lang w:val="fr-FR"/>
        </w:rPr>
        <w:t>relatives à l’examen</w:t>
      </w:r>
      <w:r>
        <w:rPr>
          <w:lang w:val="fr-FR"/>
        </w:rPr>
        <w:t xml:space="preserve"> du quatrième rapport périodique</w:t>
      </w:r>
      <w:r w:rsidR="00BE382F" w:rsidRPr="003F7FFC">
        <w:rPr>
          <w:lang w:val="fr-FR"/>
        </w:rPr>
        <w:br/>
      </w:r>
      <w:r>
        <w:rPr>
          <w:lang w:val="fr-FR"/>
        </w:rPr>
        <w:t>de l’A</w:t>
      </w:r>
      <w:r w:rsidR="00572260">
        <w:rPr>
          <w:lang w:val="fr-FR"/>
        </w:rPr>
        <w:t>ustralie</w:t>
      </w:r>
      <w:r w:rsidR="00BE382F" w:rsidRPr="003F7FFC">
        <w:rPr>
          <w:lang w:val="fr-FR"/>
        </w:rPr>
        <w:t xml:space="preserve"> (CAT/C/67/Add.7)</w:t>
      </w:r>
      <w:bookmarkEnd w:id="2"/>
    </w:p>
    <w:p w:rsidR="00BE382F" w:rsidRPr="008D6B80" w:rsidRDefault="003F7FFC" w:rsidP="00BE382F">
      <w:pPr>
        <w:jc w:val="right"/>
        <w:rPr>
          <w:lang w:val="fr-FR"/>
        </w:rPr>
      </w:pPr>
      <w:r w:rsidRPr="008D6B80">
        <w:rPr>
          <w:lang w:val="fr-FR"/>
        </w:rPr>
        <w:t>[13 septembre</w:t>
      </w:r>
      <w:r w:rsidR="00BE382F" w:rsidRPr="008D6B80">
        <w:rPr>
          <w:lang w:val="fr-FR"/>
        </w:rPr>
        <w:t xml:space="preserve"> 2007]</w:t>
      </w:r>
    </w:p>
    <w:p w:rsidR="00BE382F" w:rsidRPr="008D6B80" w:rsidRDefault="00BE382F" w:rsidP="00BE382F">
      <w:pPr>
        <w:adjustRightInd w:val="0"/>
        <w:snapToGrid w:val="0"/>
        <w:jc w:val="center"/>
        <w:rPr>
          <w:snapToGrid w:val="0"/>
          <w:lang w:val="fr-FR"/>
        </w:rPr>
      </w:pPr>
      <w:r w:rsidRPr="008D6B80">
        <w:rPr>
          <w:lang w:val="fr-FR"/>
        </w:rPr>
        <w:br w:type="page"/>
      </w:r>
      <w:r w:rsidR="000F15D9" w:rsidRPr="008D6B80">
        <w:rPr>
          <w:b/>
          <w:snapToGrid w:val="0"/>
          <w:lang w:val="fr-FR"/>
        </w:rPr>
        <w:t>TABLE DES MATIÈRES</w:t>
      </w:r>
    </w:p>
    <w:p w:rsidR="00BE382F" w:rsidRPr="008D6B80" w:rsidRDefault="00BE382F" w:rsidP="00BE382F">
      <w:pPr>
        <w:adjustRightInd w:val="0"/>
        <w:snapToGrid w:val="0"/>
        <w:jc w:val="right"/>
        <w:rPr>
          <w:snapToGrid w:val="0"/>
          <w:lang w:val="fr-FR"/>
        </w:rPr>
      </w:pPr>
      <w:r w:rsidRPr="008D6B80">
        <w:rPr>
          <w:i/>
          <w:snapToGrid w:val="0"/>
          <w:lang w:val="fr-FR"/>
        </w:rPr>
        <w:t>Page</w:t>
      </w:r>
    </w:p>
    <w:p w:rsidR="00BE382F" w:rsidRPr="008D6B80" w:rsidRDefault="00BE382F" w:rsidP="00DA6349">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2 </w:t>
      </w:r>
      <w:r w:rsidRPr="008D6B80">
        <w:rPr>
          <w:snapToGrid w:val="0"/>
          <w:lang w:val="fr-FR"/>
        </w:rPr>
        <w:tab/>
      </w:r>
      <w:r w:rsidRPr="008D6B80">
        <w:rPr>
          <w:snapToGrid w:val="0"/>
          <w:lang w:val="fr-FR"/>
        </w:rPr>
        <w:tab/>
        <w:t>4</w:t>
      </w:r>
    </w:p>
    <w:p w:rsidR="00BE382F" w:rsidRPr="000F15D9" w:rsidRDefault="00BE382F" w:rsidP="00DA6349">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0F15D9">
        <w:rPr>
          <w:snapToGrid w:val="0"/>
          <w:lang w:val="fr-FR"/>
        </w:rPr>
        <w:t>Question</w:t>
      </w:r>
      <w:r w:rsidRPr="000F15D9">
        <w:rPr>
          <w:snapToGrid w:val="0"/>
          <w:lang w:val="fr-FR"/>
        </w:rPr>
        <w:t xml:space="preserve"> 1 </w:t>
      </w:r>
      <w:r w:rsidRPr="000F15D9">
        <w:rPr>
          <w:snapToGrid w:val="0"/>
          <w:lang w:val="fr-FR"/>
        </w:rPr>
        <w:tab/>
      </w:r>
      <w:r w:rsidRPr="000F15D9">
        <w:rPr>
          <w:snapToGrid w:val="0"/>
          <w:lang w:val="fr-FR"/>
        </w:rPr>
        <w:tab/>
        <w:t>4</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 2</w:t>
      </w:r>
      <w:r w:rsidRPr="000F15D9">
        <w:rPr>
          <w:snapToGrid w:val="0"/>
          <w:lang w:val="fr-FR"/>
        </w:rPr>
        <w:t xml:space="preserve"> </w:t>
      </w:r>
      <w:r w:rsidRPr="000F15D9">
        <w:rPr>
          <w:snapToGrid w:val="0"/>
          <w:lang w:val="fr-FR"/>
        </w:rPr>
        <w:tab/>
      </w:r>
      <w:r w:rsidRPr="000F15D9">
        <w:rPr>
          <w:snapToGrid w:val="0"/>
          <w:lang w:val="fr-FR"/>
        </w:rPr>
        <w:tab/>
        <w:t>4</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7C1C79">
        <w:rPr>
          <w:snapToGrid w:val="0"/>
          <w:lang w:val="fr-FR"/>
        </w:rPr>
        <w:t xml:space="preserve"> 3 </w:t>
      </w:r>
      <w:r w:rsidR="007C1C79">
        <w:rPr>
          <w:snapToGrid w:val="0"/>
          <w:lang w:val="fr-FR"/>
        </w:rPr>
        <w:tab/>
      </w:r>
      <w:r w:rsidR="007C1C79">
        <w:rPr>
          <w:snapToGrid w:val="0"/>
          <w:lang w:val="fr-FR"/>
        </w:rPr>
        <w:tab/>
        <w:t>22</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7C1C79">
        <w:rPr>
          <w:snapToGrid w:val="0"/>
          <w:lang w:val="fr-FR"/>
        </w:rPr>
        <w:t xml:space="preserve"> 4 </w:t>
      </w:r>
      <w:r w:rsidR="007C1C79">
        <w:rPr>
          <w:snapToGrid w:val="0"/>
          <w:lang w:val="fr-FR"/>
        </w:rPr>
        <w:tab/>
      </w:r>
      <w:r w:rsidR="007C1C79">
        <w:rPr>
          <w:snapToGrid w:val="0"/>
          <w:lang w:val="fr-FR"/>
        </w:rPr>
        <w:tab/>
        <w:t>32</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7C1C79">
        <w:rPr>
          <w:snapToGrid w:val="0"/>
          <w:lang w:val="fr-FR"/>
        </w:rPr>
        <w:t xml:space="preserve"> 5 </w:t>
      </w:r>
      <w:r w:rsidR="007C1C79">
        <w:rPr>
          <w:snapToGrid w:val="0"/>
          <w:lang w:val="fr-FR"/>
        </w:rPr>
        <w:tab/>
      </w:r>
      <w:r w:rsidR="007C1C79">
        <w:rPr>
          <w:snapToGrid w:val="0"/>
          <w:lang w:val="fr-FR"/>
        </w:rPr>
        <w:tab/>
        <w:t>42</w:t>
      </w:r>
    </w:p>
    <w:p w:rsidR="00BE382F" w:rsidRPr="008D6B80" w:rsidRDefault="00BE382F" w:rsidP="00BE382F">
      <w:pPr>
        <w:tabs>
          <w:tab w:val="left" w:pos="426"/>
          <w:tab w:val="left" w:pos="1134"/>
          <w:tab w:val="left" w:leader="dot" w:pos="8504"/>
          <w:tab w:val="right" w:pos="9298"/>
        </w:tabs>
        <w:adjustRightInd w:val="0"/>
        <w:snapToGrid w:val="0"/>
        <w:rPr>
          <w:snapToGrid w:val="0"/>
          <w:lang w:val="fr-FR"/>
        </w:rPr>
      </w:pPr>
      <w:r w:rsidRPr="000F15D9">
        <w:rPr>
          <w:snapToGrid w:val="0"/>
          <w:lang w:val="fr-FR"/>
        </w:rPr>
        <w:tab/>
      </w:r>
      <w:r w:rsidR="000F15D9" w:rsidRPr="008D6B80">
        <w:rPr>
          <w:snapToGrid w:val="0"/>
          <w:lang w:val="fr-FR"/>
        </w:rPr>
        <w:t>Question</w:t>
      </w:r>
      <w:r w:rsidR="007C1C79">
        <w:rPr>
          <w:snapToGrid w:val="0"/>
          <w:lang w:val="fr-FR"/>
        </w:rPr>
        <w:t xml:space="preserve"> 6 </w:t>
      </w:r>
      <w:r w:rsidR="007C1C79">
        <w:rPr>
          <w:snapToGrid w:val="0"/>
          <w:lang w:val="fr-FR"/>
        </w:rPr>
        <w:tab/>
      </w:r>
      <w:r w:rsidR="007C1C79">
        <w:rPr>
          <w:snapToGrid w:val="0"/>
          <w:lang w:val="fr-FR"/>
        </w:rPr>
        <w:tab/>
        <w:t>59</w:t>
      </w:r>
    </w:p>
    <w:p w:rsidR="00BE382F" w:rsidRPr="008D6B80" w:rsidRDefault="007C1C79" w:rsidP="00DA6349">
      <w:pPr>
        <w:tabs>
          <w:tab w:val="left" w:pos="567"/>
          <w:tab w:val="left" w:leader="dot" w:pos="8504"/>
          <w:tab w:val="right" w:pos="9298"/>
        </w:tabs>
        <w:adjustRightInd w:val="0"/>
        <w:snapToGrid w:val="0"/>
        <w:spacing w:after="120"/>
        <w:rPr>
          <w:snapToGrid w:val="0"/>
          <w:lang w:val="fr-FR"/>
        </w:rPr>
      </w:pPr>
      <w:r>
        <w:rPr>
          <w:snapToGrid w:val="0"/>
          <w:lang w:val="fr-FR"/>
        </w:rPr>
        <w:t xml:space="preserve">Article 3 </w:t>
      </w:r>
      <w:r>
        <w:rPr>
          <w:snapToGrid w:val="0"/>
          <w:lang w:val="fr-FR"/>
        </w:rPr>
        <w:tab/>
      </w:r>
      <w:r>
        <w:rPr>
          <w:snapToGrid w:val="0"/>
          <w:lang w:val="fr-FR"/>
        </w:rPr>
        <w:tab/>
        <w:t>62</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0F15D9">
        <w:rPr>
          <w:snapToGrid w:val="0"/>
          <w:lang w:val="fr-FR"/>
        </w:rPr>
        <w:t>Question</w:t>
      </w:r>
      <w:r w:rsidR="007C1C79">
        <w:rPr>
          <w:snapToGrid w:val="0"/>
          <w:lang w:val="fr-FR"/>
        </w:rPr>
        <w:t xml:space="preserve"> 7 </w:t>
      </w:r>
      <w:r w:rsidR="007C1C79">
        <w:rPr>
          <w:snapToGrid w:val="0"/>
          <w:lang w:val="fr-FR"/>
        </w:rPr>
        <w:tab/>
      </w:r>
      <w:r w:rsidR="007C1C79">
        <w:rPr>
          <w:snapToGrid w:val="0"/>
          <w:lang w:val="fr-FR"/>
        </w:rPr>
        <w:tab/>
        <w:t>62</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7C1C79">
        <w:rPr>
          <w:snapToGrid w:val="0"/>
          <w:lang w:val="fr-FR"/>
        </w:rPr>
        <w:t xml:space="preserve"> 8 </w:t>
      </w:r>
      <w:r w:rsidR="007C1C79">
        <w:rPr>
          <w:snapToGrid w:val="0"/>
          <w:lang w:val="fr-FR"/>
        </w:rPr>
        <w:tab/>
      </w:r>
      <w:r w:rsidR="007C1C79">
        <w:rPr>
          <w:snapToGrid w:val="0"/>
          <w:lang w:val="fr-FR"/>
        </w:rPr>
        <w:tab/>
        <w:t>64</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AC0C2C">
        <w:rPr>
          <w:snapToGrid w:val="0"/>
          <w:lang w:val="fr-FR"/>
        </w:rPr>
        <w:t xml:space="preserve"> 9 </w:t>
      </w:r>
      <w:r w:rsidR="00AC0C2C">
        <w:rPr>
          <w:snapToGrid w:val="0"/>
          <w:lang w:val="fr-FR"/>
        </w:rPr>
        <w:tab/>
      </w:r>
      <w:r w:rsidR="00AC0C2C">
        <w:rPr>
          <w:snapToGrid w:val="0"/>
          <w:lang w:val="fr-FR"/>
        </w:rPr>
        <w:tab/>
        <w:t>66</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7C1C79">
        <w:rPr>
          <w:snapToGrid w:val="0"/>
          <w:lang w:val="fr-FR"/>
        </w:rPr>
        <w:t xml:space="preserve"> 10 </w:t>
      </w:r>
      <w:r w:rsidR="007C1C79">
        <w:rPr>
          <w:snapToGrid w:val="0"/>
          <w:lang w:val="fr-FR"/>
        </w:rPr>
        <w:tab/>
      </w:r>
      <w:r w:rsidR="007C1C79">
        <w:rPr>
          <w:snapToGrid w:val="0"/>
          <w:lang w:val="fr-FR"/>
        </w:rPr>
        <w:tab/>
        <w:t>67</w:t>
      </w:r>
    </w:p>
    <w:p w:rsidR="00BE382F" w:rsidRPr="000F15D9" w:rsidRDefault="00BE382F" w:rsidP="000F15D9">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 xml:space="preserve">Question </w:t>
      </w:r>
      <w:r w:rsidR="00AC0C2C">
        <w:rPr>
          <w:snapToGrid w:val="0"/>
          <w:lang w:val="fr-FR"/>
        </w:rPr>
        <w:t xml:space="preserve">11 </w:t>
      </w:r>
      <w:r w:rsidR="00AC0C2C">
        <w:rPr>
          <w:snapToGrid w:val="0"/>
          <w:lang w:val="fr-FR"/>
        </w:rPr>
        <w:tab/>
      </w:r>
      <w:r w:rsidR="00AC0C2C">
        <w:rPr>
          <w:snapToGrid w:val="0"/>
          <w:lang w:val="fr-FR"/>
        </w:rPr>
        <w:tab/>
        <w:t>68</w:t>
      </w:r>
    </w:p>
    <w:p w:rsidR="00BE382F" w:rsidRPr="008D6B80" w:rsidRDefault="00BE382F" w:rsidP="00BE382F">
      <w:pPr>
        <w:tabs>
          <w:tab w:val="left" w:pos="426"/>
          <w:tab w:val="left" w:pos="1134"/>
          <w:tab w:val="left" w:leader="dot" w:pos="8504"/>
          <w:tab w:val="right" w:pos="9298"/>
        </w:tabs>
        <w:adjustRightInd w:val="0"/>
        <w:snapToGrid w:val="0"/>
        <w:rPr>
          <w:snapToGrid w:val="0"/>
          <w:lang w:val="fr-FR"/>
        </w:rPr>
      </w:pPr>
      <w:r w:rsidRPr="000F15D9">
        <w:rPr>
          <w:snapToGrid w:val="0"/>
          <w:lang w:val="fr-FR"/>
        </w:rPr>
        <w:tab/>
      </w:r>
      <w:r w:rsidR="000F15D9" w:rsidRPr="008D6B80">
        <w:rPr>
          <w:snapToGrid w:val="0"/>
          <w:lang w:val="fr-FR"/>
        </w:rPr>
        <w:t>Question</w:t>
      </w:r>
      <w:r w:rsidR="000B3B0E">
        <w:rPr>
          <w:snapToGrid w:val="0"/>
          <w:lang w:val="fr-FR"/>
        </w:rPr>
        <w:t xml:space="preserve"> 12</w:t>
      </w:r>
      <w:r w:rsidR="000B3B0E">
        <w:rPr>
          <w:snapToGrid w:val="0"/>
          <w:lang w:val="fr-FR"/>
        </w:rPr>
        <w:tab/>
      </w:r>
      <w:r w:rsidR="000B3B0E">
        <w:rPr>
          <w:snapToGrid w:val="0"/>
          <w:lang w:val="fr-FR"/>
        </w:rPr>
        <w:tab/>
        <w:t>69</w:t>
      </w:r>
    </w:p>
    <w:p w:rsidR="00BE382F" w:rsidRPr="008D6B80" w:rsidRDefault="000B3B0E" w:rsidP="00886254">
      <w:pPr>
        <w:tabs>
          <w:tab w:val="left" w:pos="567"/>
          <w:tab w:val="left" w:leader="dot" w:pos="8504"/>
          <w:tab w:val="right" w:pos="9298"/>
        </w:tabs>
        <w:adjustRightInd w:val="0"/>
        <w:snapToGrid w:val="0"/>
        <w:spacing w:after="120"/>
        <w:rPr>
          <w:snapToGrid w:val="0"/>
          <w:lang w:val="fr-FR"/>
        </w:rPr>
      </w:pPr>
      <w:r>
        <w:rPr>
          <w:snapToGrid w:val="0"/>
          <w:lang w:val="fr-FR"/>
        </w:rPr>
        <w:t xml:space="preserve">Article 4 </w:t>
      </w:r>
      <w:r>
        <w:rPr>
          <w:snapToGrid w:val="0"/>
          <w:lang w:val="fr-FR"/>
        </w:rPr>
        <w:tab/>
      </w:r>
      <w:r>
        <w:rPr>
          <w:snapToGrid w:val="0"/>
          <w:lang w:val="fr-FR"/>
        </w:rPr>
        <w:tab/>
        <w:t>8</w:t>
      </w:r>
      <w:r w:rsidR="00886254">
        <w:rPr>
          <w:snapToGrid w:val="0"/>
          <w:lang w:val="fr-FR"/>
        </w:rPr>
        <w:t>4</w:t>
      </w:r>
    </w:p>
    <w:p w:rsidR="00BE382F" w:rsidRPr="008D6B80" w:rsidRDefault="00BE382F" w:rsidP="00886254">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8D6B80">
        <w:rPr>
          <w:snapToGrid w:val="0"/>
          <w:lang w:val="fr-FR"/>
        </w:rPr>
        <w:t>Question</w:t>
      </w:r>
      <w:r w:rsidR="000B3B0E">
        <w:rPr>
          <w:snapToGrid w:val="0"/>
          <w:lang w:val="fr-FR"/>
        </w:rPr>
        <w:t xml:space="preserve"> 13 </w:t>
      </w:r>
      <w:r w:rsidR="000B3B0E">
        <w:rPr>
          <w:snapToGrid w:val="0"/>
          <w:lang w:val="fr-FR"/>
        </w:rPr>
        <w:tab/>
      </w:r>
      <w:r w:rsidR="000B3B0E">
        <w:rPr>
          <w:snapToGrid w:val="0"/>
          <w:lang w:val="fr-FR"/>
        </w:rPr>
        <w:tab/>
        <w:t>8</w:t>
      </w:r>
      <w:r w:rsidR="00886254">
        <w:rPr>
          <w:snapToGrid w:val="0"/>
          <w:lang w:val="fr-FR"/>
        </w:rPr>
        <w:t>4</w:t>
      </w:r>
    </w:p>
    <w:p w:rsidR="00BE382F" w:rsidRPr="008D6B80" w:rsidRDefault="00BE382F" w:rsidP="00BE382F">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000B3B0E">
        <w:rPr>
          <w:snapToGrid w:val="0"/>
          <w:lang w:val="fr-FR"/>
        </w:rPr>
        <w:t xml:space="preserve"> 14 </w:t>
      </w:r>
      <w:r w:rsidR="000B3B0E">
        <w:rPr>
          <w:snapToGrid w:val="0"/>
          <w:lang w:val="fr-FR"/>
        </w:rPr>
        <w:tab/>
      </w:r>
      <w:r w:rsidR="000B3B0E">
        <w:rPr>
          <w:snapToGrid w:val="0"/>
          <w:lang w:val="fr-FR"/>
        </w:rPr>
        <w:tab/>
        <w:t>89</w:t>
      </w:r>
    </w:p>
    <w:p w:rsidR="00BE382F" w:rsidRPr="008D6B80" w:rsidRDefault="00B21E58" w:rsidP="00DA6349">
      <w:pPr>
        <w:tabs>
          <w:tab w:val="left" w:pos="567"/>
          <w:tab w:val="left" w:leader="dot" w:pos="8504"/>
          <w:tab w:val="right" w:pos="9298"/>
        </w:tabs>
        <w:adjustRightInd w:val="0"/>
        <w:snapToGrid w:val="0"/>
        <w:spacing w:after="120"/>
        <w:rPr>
          <w:snapToGrid w:val="0"/>
          <w:lang w:val="fr-FR"/>
        </w:rPr>
      </w:pPr>
      <w:r>
        <w:rPr>
          <w:snapToGrid w:val="0"/>
          <w:lang w:val="fr-FR"/>
        </w:rPr>
        <w:t xml:space="preserve">Article 5 </w:t>
      </w:r>
      <w:r>
        <w:rPr>
          <w:snapToGrid w:val="0"/>
          <w:lang w:val="fr-FR"/>
        </w:rPr>
        <w:tab/>
      </w:r>
      <w:r>
        <w:rPr>
          <w:snapToGrid w:val="0"/>
          <w:lang w:val="fr-FR"/>
        </w:rPr>
        <w:tab/>
        <w:t>91</w:t>
      </w:r>
    </w:p>
    <w:p w:rsidR="00BE382F" w:rsidRPr="008D6B80" w:rsidRDefault="00BE382F" w:rsidP="00BE382F">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8D6B80">
        <w:rPr>
          <w:snapToGrid w:val="0"/>
          <w:lang w:val="fr-FR"/>
        </w:rPr>
        <w:t>Question</w:t>
      </w:r>
      <w:r w:rsidR="00B21E58">
        <w:rPr>
          <w:snapToGrid w:val="0"/>
          <w:lang w:val="fr-FR"/>
        </w:rPr>
        <w:t xml:space="preserve"> 15</w:t>
      </w:r>
      <w:r w:rsidR="00B21E58">
        <w:rPr>
          <w:snapToGrid w:val="0"/>
          <w:lang w:val="fr-FR"/>
        </w:rPr>
        <w:tab/>
      </w:r>
      <w:r w:rsidR="00B21E58">
        <w:rPr>
          <w:snapToGrid w:val="0"/>
          <w:lang w:val="fr-FR"/>
        </w:rPr>
        <w:tab/>
        <w:t>91</w:t>
      </w:r>
    </w:p>
    <w:p w:rsidR="00BE382F" w:rsidRPr="008D6B80" w:rsidRDefault="00BE382F" w:rsidP="00BE382F">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00B21E58">
        <w:rPr>
          <w:snapToGrid w:val="0"/>
          <w:lang w:val="fr-FR"/>
        </w:rPr>
        <w:t xml:space="preserve"> 16 </w:t>
      </w:r>
      <w:r w:rsidR="00B21E58">
        <w:rPr>
          <w:snapToGrid w:val="0"/>
          <w:lang w:val="fr-FR"/>
        </w:rPr>
        <w:tab/>
      </w:r>
      <w:r w:rsidR="00B21E58">
        <w:rPr>
          <w:snapToGrid w:val="0"/>
          <w:lang w:val="fr-FR"/>
        </w:rPr>
        <w:tab/>
        <w:t>91</w:t>
      </w:r>
    </w:p>
    <w:p w:rsidR="00BE382F" w:rsidRPr="008D6B80" w:rsidRDefault="00B21E58" w:rsidP="00DA6349">
      <w:pPr>
        <w:tabs>
          <w:tab w:val="left" w:pos="567"/>
          <w:tab w:val="left" w:leader="dot" w:pos="8504"/>
          <w:tab w:val="right" w:pos="9298"/>
        </w:tabs>
        <w:adjustRightInd w:val="0"/>
        <w:snapToGrid w:val="0"/>
        <w:spacing w:after="120"/>
        <w:rPr>
          <w:snapToGrid w:val="0"/>
          <w:lang w:val="fr-FR"/>
        </w:rPr>
      </w:pPr>
      <w:r>
        <w:rPr>
          <w:snapToGrid w:val="0"/>
          <w:lang w:val="fr-FR"/>
        </w:rPr>
        <w:t xml:space="preserve">Articles 6, 7, 8, 9 </w:t>
      </w:r>
      <w:r>
        <w:rPr>
          <w:snapToGrid w:val="0"/>
          <w:lang w:val="fr-FR"/>
        </w:rPr>
        <w:tab/>
      </w:r>
      <w:r>
        <w:rPr>
          <w:snapToGrid w:val="0"/>
          <w:lang w:val="fr-FR"/>
        </w:rPr>
        <w:tab/>
        <w:t>92</w:t>
      </w:r>
    </w:p>
    <w:p w:rsidR="00BE382F" w:rsidRPr="008D6B80" w:rsidRDefault="00BE382F" w:rsidP="00BE382F">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8D6B80">
        <w:rPr>
          <w:snapToGrid w:val="0"/>
          <w:lang w:val="fr-FR"/>
        </w:rPr>
        <w:t>Question</w:t>
      </w:r>
      <w:r w:rsidR="00B21E58">
        <w:rPr>
          <w:snapToGrid w:val="0"/>
          <w:lang w:val="fr-FR"/>
        </w:rPr>
        <w:t xml:space="preserve"> 17 </w:t>
      </w:r>
      <w:r w:rsidR="00B21E58">
        <w:rPr>
          <w:snapToGrid w:val="0"/>
          <w:lang w:val="fr-FR"/>
        </w:rPr>
        <w:tab/>
      </w:r>
      <w:r w:rsidR="00B21E58">
        <w:rPr>
          <w:snapToGrid w:val="0"/>
          <w:lang w:val="fr-FR"/>
        </w:rPr>
        <w:tab/>
        <w:t>92</w:t>
      </w:r>
    </w:p>
    <w:p w:rsidR="00BE382F" w:rsidRPr="008D6B80" w:rsidRDefault="00BE382F" w:rsidP="00BE382F">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00B21E58">
        <w:rPr>
          <w:snapToGrid w:val="0"/>
          <w:lang w:val="fr-FR"/>
        </w:rPr>
        <w:t xml:space="preserve"> 18 </w:t>
      </w:r>
      <w:r w:rsidR="00B21E58">
        <w:rPr>
          <w:snapToGrid w:val="0"/>
          <w:lang w:val="fr-FR"/>
        </w:rPr>
        <w:tab/>
      </w:r>
      <w:r w:rsidR="00B21E58">
        <w:rPr>
          <w:snapToGrid w:val="0"/>
          <w:lang w:val="fr-FR"/>
        </w:rPr>
        <w:tab/>
        <w:t>92</w:t>
      </w:r>
    </w:p>
    <w:p w:rsidR="00BE382F" w:rsidRPr="008D6B80" w:rsidRDefault="0095092D" w:rsidP="00DA6349">
      <w:pPr>
        <w:tabs>
          <w:tab w:val="left" w:pos="567"/>
          <w:tab w:val="left" w:leader="dot" w:pos="8504"/>
          <w:tab w:val="right" w:pos="9298"/>
        </w:tabs>
        <w:adjustRightInd w:val="0"/>
        <w:snapToGrid w:val="0"/>
        <w:spacing w:after="120"/>
        <w:rPr>
          <w:snapToGrid w:val="0"/>
          <w:lang w:val="fr-FR"/>
        </w:rPr>
      </w:pPr>
      <w:r>
        <w:rPr>
          <w:snapToGrid w:val="0"/>
          <w:lang w:val="fr-FR"/>
        </w:rPr>
        <w:t xml:space="preserve">Article 10 </w:t>
      </w:r>
      <w:r>
        <w:rPr>
          <w:snapToGrid w:val="0"/>
          <w:lang w:val="fr-FR"/>
        </w:rPr>
        <w:tab/>
      </w:r>
      <w:r>
        <w:rPr>
          <w:snapToGrid w:val="0"/>
          <w:lang w:val="fr-FR"/>
        </w:rPr>
        <w:tab/>
        <w:t>92</w:t>
      </w:r>
    </w:p>
    <w:p w:rsidR="00BE382F" w:rsidRPr="000F15D9" w:rsidRDefault="00BE382F" w:rsidP="00DA6349">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0F15D9">
        <w:rPr>
          <w:snapToGrid w:val="0"/>
          <w:lang w:val="fr-FR"/>
        </w:rPr>
        <w:t>Question</w:t>
      </w:r>
      <w:r w:rsidR="0095092D">
        <w:rPr>
          <w:snapToGrid w:val="0"/>
          <w:lang w:val="fr-FR"/>
        </w:rPr>
        <w:t xml:space="preserve"> 19 </w:t>
      </w:r>
      <w:r w:rsidR="0095092D">
        <w:rPr>
          <w:snapToGrid w:val="0"/>
          <w:lang w:val="fr-FR"/>
        </w:rPr>
        <w:tab/>
      </w:r>
      <w:r w:rsidR="0095092D">
        <w:rPr>
          <w:snapToGrid w:val="0"/>
          <w:lang w:val="fr-FR"/>
        </w:rPr>
        <w:tab/>
        <w:t>92</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95092D">
        <w:rPr>
          <w:snapToGrid w:val="0"/>
          <w:lang w:val="fr-FR"/>
        </w:rPr>
        <w:t xml:space="preserve"> 20</w:t>
      </w:r>
      <w:r w:rsidR="0095092D">
        <w:rPr>
          <w:snapToGrid w:val="0"/>
          <w:lang w:val="fr-FR"/>
        </w:rPr>
        <w:tab/>
      </w:r>
      <w:r w:rsidR="0095092D">
        <w:rPr>
          <w:snapToGrid w:val="0"/>
          <w:lang w:val="fr-FR"/>
        </w:rPr>
        <w:tab/>
        <w:t>94</w:t>
      </w:r>
    </w:p>
    <w:p w:rsidR="00BE382F" w:rsidRPr="000F15D9" w:rsidRDefault="00BE382F" w:rsidP="00BE382F">
      <w:pPr>
        <w:tabs>
          <w:tab w:val="left" w:pos="426"/>
          <w:tab w:val="left" w:pos="1134"/>
          <w:tab w:val="left" w:leader="dot" w:pos="8504"/>
          <w:tab w:val="right" w:pos="9298"/>
        </w:tabs>
        <w:adjustRightInd w:val="0"/>
        <w:snapToGrid w:val="0"/>
        <w:rPr>
          <w:snapToGrid w:val="0"/>
          <w:lang w:val="fr-FR"/>
        </w:rPr>
      </w:pPr>
      <w:r w:rsidRPr="000F15D9">
        <w:rPr>
          <w:snapToGrid w:val="0"/>
          <w:lang w:val="fr-FR"/>
        </w:rPr>
        <w:tab/>
      </w:r>
      <w:r w:rsidR="000F15D9" w:rsidRPr="000F15D9">
        <w:rPr>
          <w:snapToGrid w:val="0"/>
          <w:lang w:val="fr-FR"/>
        </w:rPr>
        <w:t>Question</w:t>
      </w:r>
      <w:r w:rsidR="0095092D">
        <w:rPr>
          <w:snapToGrid w:val="0"/>
          <w:lang w:val="fr-FR"/>
        </w:rPr>
        <w:t xml:space="preserve"> 21 </w:t>
      </w:r>
      <w:r w:rsidR="0095092D">
        <w:rPr>
          <w:snapToGrid w:val="0"/>
          <w:lang w:val="fr-FR"/>
        </w:rPr>
        <w:tab/>
      </w:r>
      <w:r w:rsidR="0095092D">
        <w:rPr>
          <w:snapToGrid w:val="0"/>
          <w:lang w:val="fr-FR"/>
        </w:rPr>
        <w:tab/>
        <w:t>95</w:t>
      </w:r>
    </w:p>
    <w:p w:rsidR="00BE382F" w:rsidRPr="008D6B80" w:rsidRDefault="0095092D" w:rsidP="00DA6349">
      <w:pPr>
        <w:tabs>
          <w:tab w:val="left" w:pos="567"/>
          <w:tab w:val="left" w:leader="dot" w:pos="8504"/>
          <w:tab w:val="right" w:pos="9298"/>
        </w:tabs>
        <w:adjustRightInd w:val="0"/>
        <w:snapToGrid w:val="0"/>
        <w:spacing w:after="120"/>
        <w:rPr>
          <w:snapToGrid w:val="0"/>
          <w:lang w:val="fr-FR"/>
        </w:rPr>
      </w:pPr>
      <w:r>
        <w:rPr>
          <w:snapToGrid w:val="0"/>
          <w:lang w:val="fr-FR"/>
        </w:rPr>
        <w:t xml:space="preserve">Article 11 </w:t>
      </w:r>
      <w:r>
        <w:rPr>
          <w:snapToGrid w:val="0"/>
          <w:lang w:val="fr-FR"/>
        </w:rPr>
        <w:tab/>
      </w:r>
      <w:r>
        <w:rPr>
          <w:snapToGrid w:val="0"/>
          <w:lang w:val="fr-FR"/>
        </w:rPr>
        <w:tab/>
        <w:t>95</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0F15D9">
        <w:rPr>
          <w:snapToGrid w:val="0"/>
          <w:lang w:val="fr-FR"/>
        </w:rPr>
        <w:t>Question</w:t>
      </w:r>
      <w:r w:rsidRPr="000F15D9">
        <w:rPr>
          <w:snapToGrid w:val="0"/>
          <w:lang w:val="fr-FR"/>
        </w:rPr>
        <w:t xml:space="preserve"> 22</w:t>
      </w:r>
      <w:r w:rsidRPr="000F15D9">
        <w:rPr>
          <w:snapToGrid w:val="0"/>
          <w:lang w:val="fr-FR"/>
        </w:rPr>
        <w:tab/>
      </w:r>
      <w:r w:rsidRPr="000F15D9">
        <w:rPr>
          <w:snapToGrid w:val="0"/>
          <w:lang w:val="fr-FR"/>
        </w:rPr>
        <w:tab/>
      </w:r>
      <w:r w:rsidR="0095092D">
        <w:rPr>
          <w:snapToGrid w:val="0"/>
          <w:lang w:val="fr-FR"/>
        </w:rPr>
        <w:t>95</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Pr="000F15D9">
        <w:rPr>
          <w:snapToGrid w:val="0"/>
          <w:lang w:val="fr-FR"/>
        </w:rPr>
        <w:t xml:space="preserve"> 23 </w:t>
      </w:r>
      <w:r w:rsidRPr="000F15D9">
        <w:rPr>
          <w:snapToGrid w:val="0"/>
          <w:lang w:val="fr-FR"/>
        </w:rPr>
        <w:tab/>
      </w:r>
      <w:r w:rsidRPr="000F15D9">
        <w:rPr>
          <w:snapToGrid w:val="0"/>
          <w:lang w:val="fr-FR"/>
        </w:rPr>
        <w:tab/>
      </w:r>
      <w:r w:rsidR="0095092D">
        <w:rPr>
          <w:snapToGrid w:val="0"/>
          <w:lang w:val="fr-FR"/>
        </w:rPr>
        <w:t>104</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Pr="000F15D9">
        <w:rPr>
          <w:snapToGrid w:val="0"/>
          <w:lang w:val="fr-FR"/>
        </w:rPr>
        <w:t xml:space="preserve"> 24 </w:t>
      </w:r>
      <w:r w:rsidRPr="000F15D9">
        <w:rPr>
          <w:snapToGrid w:val="0"/>
          <w:lang w:val="fr-FR"/>
        </w:rPr>
        <w:tab/>
      </w:r>
      <w:r w:rsidRPr="000F15D9">
        <w:rPr>
          <w:snapToGrid w:val="0"/>
          <w:lang w:val="fr-FR"/>
        </w:rPr>
        <w:tab/>
      </w:r>
      <w:r w:rsidR="0095092D">
        <w:rPr>
          <w:snapToGrid w:val="0"/>
          <w:lang w:val="fr-FR"/>
        </w:rPr>
        <w:t>139</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Pr="000F15D9">
        <w:rPr>
          <w:snapToGrid w:val="0"/>
          <w:lang w:val="fr-FR"/>
        </w:rPr>
        <w:t xml:space="preserve"> 25</w:t>
      </w:r>
      <w:r w:rsidRPr="000F15D9">
        <w:rPr>
          <w:snapToGrid w:val="0"/>
          <w:lang w:val="fr-FR"/>
        </w:rPr>
        <w:tab/>
      </w:r>
      <w:r w:rsidRPr="000F15D9">
        <w:rPr>
          <w:snapToGrid w:val="0"/>
          <w:lang w:val="fr-FR"/>
        </w:rPr>
        <w:tab/>
      </w:r>
      <w:r w:rsidR="0095092D">
        <w:rPr>
          <w:snapToGrid w:val="0"/>
          <w:lang w:val="fr-FR"/>
        </w:rPr>
        <w:t>172</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Pr="000F15D9">
        <w:rPr>
          <w:snapToGrid w:val="0"/>
          <w:lang w:val="fr-FR"/>
        </w:rPr>
        <w:t xml:space="preserve"> 26 </w:t>
      </w:r>
      <w:r w:rsidRPr="000F15D9">
        <w:rPr>
          <w:snapToGrid w:val="0"/>
          <w:lang w:val="fr-FR"/>
        </w:rPr>
        <w:tab/>
      </w:r>
      <w:r w:rsidRPr="000F15D9">
        <w:rPr>
          <w:snapToGrid w:val="0"/>
          <w:lang w:val="fr-FR"/>
        </w:rPr>
        <w:tab/>
      </w:r>
      <w:r w:rsidR="0095092D">
        <w:rPr>
          <w:snapToGrid w:val="0"/>
          <w:lang w:val="fr-FR"/>
        </w:rPr>
        <w:t>175</w:t>
      </w:r>
    </w:p>
    <w:p w:rsidR="00BE382F" w:rsidRPr="008D6B80"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8D6B80">
        <w:rPr>
          <w:snapToGrid w:val="0"/>
          <w:lang w:val="fr-FR"/>
        </w:rPr>
        <w:t>Question</w:t>
      </w:r>
      <w:r w:rsidRPr="008D6B80">
        <w:rPr>
          <w:snapToGrid w:val="0"/>
          <w:lang w:val="fr-FR"/>
        </w:rPr>
        <w:t xml:space="preserve"> 27 </w:t>
      </w:r>
      <w:r w:rsidRPr="008D6B80">
        <w:rPr>
          <w:snapToGrid w:val="0"/>
          <w:lang w:val="fr-FR"/>
        </w:rPr>
        <w:tab/>
      </w:r>
      <w:r w:rsidRPr="008D6B80">
        <w:rPr>
          <w:snapToGrid w:val="0"/>
          <w:lang w:val="fr-FR"/>
        </w:rPr>
        <w:tab/>
      </w:r>
      <w:r w:rsidR="0095092D">
        <w:rPr>
          <w:snapToGrid w:val="0"/>
          <w:lang w:val="fr-FR"/>
        </w:rPr>
        <w:t>177</w:t>
      </w:r>
    </w:p>
    <w:p w:rsidR="00DA6349" w:rsidRPr="000F15D9" w:rsidRDefault="00DA6349" w:rsidP="00DA6349">
      <w:pPr>
        <w:keepNext/>
        <w:tabs>
          <w:tab w:val="left" w:pos="426"/>
          <w:tab w:val="left" w:pos="1134"/>
          <w:tab w:val="left" w:leader="dot" w:pos="8504"/>
          <w:tab w:val="right" w:pos="9298"/>
        </w:tabs>
        <w:adjustRightInd w:val="0"/>
        <w:snapToGrid w:val="0"/>
        <w:spacing w:after="0"/>
        <w:jc w:val="center"/>
        <w:rPr>
          <w:snapToGrid w:val="0"/>
          <w:lang w:val="fr-FR"/>
        </w:rPr>
      </w:pPr>
      <w:r w:rsidRPr="000F15D9">
        <w:rPr>
          <w:b/>
          <w:snapToGrid w:val="0"/>
          <w:lang w:val="fr-FR"/>
        </w:rPr>
        <w:t>TABLE DES MATIÈRES (</w:t>
      </w:r>
      <w:r w:rsidRPr="000F15D9">
        <w:rPr>
          <w:b/>
          <w:i/>
          <w:snapToGrid w:val="0"/>
          <w:lang w:val="fr-FR"/>
        </w:rPr>
        <w:t>suite</w:t>
      </w:r>
      <w:r w:rsidRPr="000F15D9">
        <w:rPr>
          <w:b/>
          <w:snapToGrid w:val="0"/>
          <w:lang w:val="fr-FR"/>
        </w:rPr>
        <w:t>)</w:t>
      </w:r>
    </w:p>
    <w:p w:rsidR="00DA6349" w:rsidRDefault="00DA6349" w:rsidP="00DA6349">
      <w:pPr>
        <w:keepNext/>
        <w:adjustRightInd w:val="0"/>
        <w:snapToGrid w:val="0"/>
        <w:jc w:val="right"/>
        <w:rPr>
          <w:i/>
          <w:snapToGrid w:val="0"/>
          <w:lang w:val="fr-FR"/>
        </w:rPr>
      </w:pPr>
      <w:r w:rsidRPr="008D6B80">
        <w:rPr>
          <w:i/>
          <w:snapToGrid w:val="0"/>
          <w:lang w:val="fr-FR"/>
        </w:rPr>
        <w:t>Page</w:t>
      </w:r>
    </w:p>
    <w:p w:rsidR="00DA6349" w:rsidRPr="00DA6349" w:rsidRDefault="007C1C79" w:rsidP="00DA6349">
      <w:pPr>
        <w:tabs>
          <w:tab w:val="left" w:pos="567"/>
          <w:tab w:val="left" w:leader="dot" w:pos="8504"/>
          <w:tab w:val="right" w:pos="9298"/>
        </w:tabs>
        <w:adjustRightInd w:val="0"/>
        <w:snapToGrid w:val="0"/>
        <w:spacing w:after="120"/>
        <w:rPr>
          <w:iCs/>
          <w:snapToGrid w:val="0"/>
          <w:lang w:val="fr-FR"/>
        </w:rPr>
      </w:pPr>
      <w:r>
        <w:rPr>
          <w:iCs/>
          <w:snapToGrid w:val="0"/>
          <w:lang w:val="fr-FR"/>
        </w:rPr>
        <w:t>Article 11</w:t>
      </w:r>
      <w:r w:rsidR="00DA6349">
        <w:rPr>
          <w:iCs/>
          <w:snapToGrid w:val="0"/>
          <w:lang w:val="fr-FR"/>
        </w:rPr>
        <w:t xml:space="preserve"> (</w:t>
      </w:r>
      <w:r w:rsidR="00DA6349">
        <w:rPr>
          <w:i/>
          <w:snapToGrid w:val="0"/>
          <w:lang w:val="fr-FR"/>
        </w:rPr>
        <w:t>suite</w:t>
      </w:r>
      <w:r w:rsidR="00DA6349">
        <w:rPr>
          <w:iCs/>
          <w:snapToGrid w:val="0"/>
          <w:lang w:val="fr-FR"/>
        </w:rPr>
        <w:t>)</w:t>
      </w:r>
    </w:p>
    <w:p w:rsidR="00DA6349" w:rsidRPr="008D6B80" w:rsidRDefault="00DA6349" w:rsidP="00F744C7">
      <w:pPr>
        <w:keepNext/>
        <w:tabs>
          <w:tab w:val="left" w:pos="426"/>
          <w:tab w:val="left" w:pos="1134"/>
          <w:tab w:val="left" w:leader="dot" w:pos="8504"/>
          <w:tab w:val="right" w:pos="9298"/>
        </w:tabs>
        <w:adjustRightInd w:val="0"/>
        <w:snapToGrid w:val="0"/>
        <w:spacing w:after="0"/>
        <w:rPr>
          <w:snapToGrid w:val="0"/>
          <w:lang w:val="fr-FR"/>
        </w:rPr>
      </w:pPr>
      <w:r>
        <w:rPr>
          <w:snapToGrid w:val="0"/>
          <w:lang w:val="fr-FR"/>
        </w:rPr>
        <w:tab/>
      </w:r>
      <w:r w:rsidRPr="008D6B80">
        <w:rPr>
          <w:snapToGrid w:val="0"/>
          <w:lang w:val="fr-FR"/>
        </w:rPr>
        <w:t>Question 28</w:t>
      </w:r>
      <w:r w:rsidRPr="008D6B80">
        <w:rPr>
          <w:snapToGrid w:val="0"/>
          <w:lang w:val="fr-FR"/>
        </w:rPr>
        <w:tab/>
      </w:r>
      <w:r w:rsidRPr="008D6B80">
        <w:rPr>
          <w:snapToGrid w:val="0"/>
          <w:lang w:val="fr-FR"/>
        </w:rPr>
        <w:tab/>
      </w:r>
      <w:r w:rsidR="0095092D">
        <w:rPr>
          <w:snapToGrid w:val="0"/>
          <w:lang w:val="fr-FR"/>
        </w:rPr>
        <w:t>177</w:t>
      </w:r>
    </w:p>
    <w:p w:rsidR="00BE382F" w:rsidRPr="008D6B80" w:rsidRDefault="00DA6349" w:rsidP="00F744C7">
      <w:pPr>
        <w:keepNext/>
        <w:tabs>
          <w:tab w:val="left" w:pos="426"/>
          <w:tab w:val="left" w:pos="1134"/>
          <w:tab w:val="left" w:leader="dot" w:pos="8504"/>
          <w:tab w:val="right" w:pos="9298"/>
        </w:tabs>
        <w:adjustRightInd w:val="0"/>
        <w:snapToGrid w:val="0"/>
        <w:rPr>
          <w:snapToGrid w:val="0"/>
          <w:lang w:val="fr-FR"/>
        </w:rPr>
      </w:pPr>
      <w:r>
        <w:rPr>
          <w:snapToGrid w:val="0"/>
          <w:lang w:val="fr-FR"/>
        </w:rPr>
        <w:tab/>
      </w:r>
      <w:r w:rsidR="000F15D9" w:rsidRPr="008D6B80">
        <w:rPr>
          <w:snapToGrid w:val="0"/>
          <w:lang w:val="fr-FR"/>
        </w:rPr>
        <w:t>Question</w:t>
      </w:r>
      <w:r w:rsidR="00BE382F" w:rsidRPr="008D6B80">
        <w:rPr>
          <w:snapToGrid w:val="0"/>
          <w:lang w:val="fr-FR"/>
        </w:rPr>
        <w:t xml:space="preserve"> 29 </w:t>
      </w:r>
      <w:r w:rsidR="00BE382F" w:rsidRPr="008D6B80">
        <w:rPr>
          <w:snapToGrid w:val="0"/>
          <w:lang w:val="fr-FR"/>
        </w:rPr>
        <w:tab/>
      </w:r>
      <w:r w:rsidR="00BE382F" w:rsidRPr="008D6B80">
        <w:rPr>
          <w:snapToGrid w:val="0"/>
          <w:lang w:val="fr-FR"/>
        </w:rPr>
        <w:tab/>
      </w:r>
      <w:r w:rsidR="0095092D">
        <w:rPr>
          <w:snapToGrid w:val="0"/>
          <w:lang w:val="fr-FR"/>
        </w:rPr>
        <w:t>180</w:t>
      </w:r>
    </w:p>
    <w:p w:rsidR="00BE382F" w:rsidRPr="008D6B80" w:rsidRDefault="00BE382F" w:rsidP="00F744C7">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12 </w:t>
      </w:r>
      <w:r w:rsidRPr="008D6B80">
        <w:rPr>
          <w:snapToGrid w:val="0"/>
          <w:lang w:val="fr-FR"/>
        </w:rPr>
        <w:tab/>
      </w:r>
      <w:r w:rsidRPr="008D6B80">
        <w:rPr>
          <w:snapToGrid w:val="0"/>
          <w:lang w:val="fr-FR"/>
        </w:rPr>
        <w:tab/>
      </w:r>
      <w:r w:rsidR="0095092D">
        <w:rPr>
          <w:snapToGrid w:val="0"/>
          <w:lang w:val="fr-FR"/>
        </w:rPr>
        <w:t>180</w:t>
      </w:r>
    </w:p>
    <w:p w:rsidR="00BE382F" w:rsidRPr="008D6B80" w:rsidRDefault="00BE382F" w:rsidP="00F744C7">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Pr="008D6B80">
        <w:rPr>
          <w:snapToGrid w:val="0"/>
          <w:lang w:val="fr-FR"/>
        </w:rPr>
        <w:t xml:space="preserve"> 30 </w:t>
      </w:r>
      <w:r w:rsidRPr="008D6B80">
        <w:rPr>
          <w:snapToGrid w:val="0"/>
          <w:lang w:val="fr-FR"/>
        </w:rPr>
        <w:tab/>
      </w:r>
      <w:r w:rsidRPr="008D6B80">
        <w:rPr>
          <w:snapToGrid w:val="0"/>
          <w:lang w:val="fr-FR"/>
        </w:rPr>
        <w:tab/>
      </w:r>
      <w:r w:rsidR="0095092D">
        <w:rPr>
          <w:snapToGrid w:val="0"/>
          <w:lang w:val="fr-FR"/>
        </w:rPr>
        <w:t>180</w:t>
      </w:r>
    </w:p>
    <w:p w:rsidR="00BE382F" w:rsidRPr="008D6B80" w:rsidRDefault="00BE382F" w:rsidP="00F744C7">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13 </w:t>
      </w:r>
      <w:r w:rsidRPr="008D6B80">
        <w:rPr>
          <w:snapToGrid w:val="0"/>
          <w:lang w:val="fr-FR"/>
        </w:rPr>
        <w:tab/>
      </w:r>
      <w:r w:rsidRPr="008D6B80">
        <w:rPr>
          <w:snapToGrid w:val="0"/>
          <w:lang w:val="fr-FR"/>
        </w:rPr>
        <w:tab/>
      </w:r>
      <w:r w:rsidR="00AC0C2C">
        <w:rPr>
          <w:snapToGrid w:val="0"/>
          <w:lang w:val="fr-FR"/>
        </w:rPr>
        <w:t>182</w:t>
      </w:r>
    </w:p>
    <w:p w:rsidR="00BE382F" w:rsidRPr="008D6B80" w:rsidRDefault="00BE382F" w:rsidP="00F744C7">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Pr="008D6B80">
        <w:rPr>
          <w:snapToGrid w:val="0"/>
          <w:lang w:val="fr-FR"/>
        </w:rPr>
        <w:t xml:space="preserve"> 31 </w:t>
      </w:r>
      <w:r w:rsidRPr="008D6B80">
        <w:rPr>
          <w:snapToGrid w:val="0"/>
          <w:lang w:val="fr-FR"/>
        </w:rPr>
        <w:tab/>
      </w:r>
      <w:r w:rsidRPr="008D6B80">
        <w:rPr>
          <w:snapToGrid w:val="0"/>
          <w:lang w:val="fr-FR"/>
        </w:rPr>
        <w:tab/>
      </w:r>
      <w:r w:rsidR="00AC0C2C">
        <w:rPr>
          <w:snapToGrid w:val="0"/>
          <w:lang w:val="fr-FR"/>
        </w:rPr>
        <w:t>182</w:t>
      </w:r>
    </w:p>
    <w:p w:rsidR="00BE382F" w:rsidRPr="008D6B80" w:rsidRDefault="00BE382F" w:rsidP="00F744C7">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14 </w:t>
      </w:r>
      <w:r w:rsidRPr="008D6B80">
        <w:rPr>
          <w:snapToGrid w:val="0"/>
          <w:lang w:val="fr-FR"/>
        </w:rPr>
        <w:tab/>
      </w:r>
      <w:r w:rsidRPr="008D6B80">
        <w:rPr>
          <w:snapToGrid w:val="0"/>
          <w:lang w:val="fr-FR"/>
        </w:rPr>
        <w:tab/>
      </w:r>
      <w:r w:rsidR="0095092D">
        <w:rPr>
          <w:snapToGrid w:val="0"/>
          <w:lang w:val="fr-FR"/>
        </w:rPr>
        <w:t>185</w:t>
      </w:r>
    </w:p>
    <w:p w:rsidR="00BE382F" w:rsidRPr="008D6B80" w:rsidRDefault="00BE382F" w:rsidP="00F744C7">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8D6B80">
        <w:rPr>
          <w:snapToGrid w:val="0"/>
          <w:lang w:val="fr-FR"/>
        </w:rPr>
        <w:t>Question</w:t>
      </w:r>
      <w:r w:rsidRPr="008D6B80">
        <w:rPr>
          <w:snapToGrid w:val="0"/>
          <w:lang w:val="fr-FR"/>
        </w:rPr>
        <w:t xml:space="preserve"> 32 </w:t>
      </w:r>
      <w:r w:rsidRPr="008D6B80">
        <w:rPr>
          <w:snapToGrid w:val="0"/>
          <w:lang w:val="fr-FR"/>
        </w:rPr>
        <w:tab/>
      </w:r>
      <w:r w:rsidRPr="008D6B80">
        <w:rPr>
          <w:snapToGrid w:val="0"/>
          <w:lang w:val="fr-FR"/>
        </w:rPr>
        <w:tab/>
        <w:t>1</w:t>
      </w:r>
      <w:r w:rsidR="0095092D">
        <w:rPr>
          <w:snapToGrid w:val="0"/>
          <w:lang w:val="fr-FR"/>
        </w:rPr>
        <w:t>85</w:t>
      </w:r>
    </w:p>
    <w:p w:rsidR="00BE382F" w:rsidRPr="008D6B80" w:rsidRDefault="00BE382F" w:rsidP="00BE382F">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8D6B80">
        <w:rPr>
          <w:snapToGrid w:val="0"/>
          <w:lang w:val="fr-FR"/>
        </w:rPr>
        <w:t>Question</w:t>
      </w:r>
      <w:r w:rsidR="0095092D">
        <w:rPr>
          <w:snapToGrid w:val="0"/>
          <w:lang w:val="fr-FR"/>
        </w:rPr>
        <w:t xml:space="preserve"> 33 </w:t>
      </w:r>
      <w:r w:rsidR="0095092D">
        <w:rPr>
          <w:snapToGrid w:val="0"/>
          <w:lang w:val="fr-FR"/>
        </w:rPr>
        <w:tab/>
      </w:r>
      <w:r w:rsidR="0095092D">
        <w:rPr>
          <w:snapToGrid w:val="0"/>
          <w:lang w:val="fr-FR"/>
        </w:rPr>
        <w:tab/>
        <w:t>185</w:t>
      </w:r>
    </w:p>
    <w:p w:rsidR="00BE382F" w:rsidRPr="008D6B80" w:rsidRDefault="00BE382F" w:rsidP="00F744C7">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Pr="008D6B80">
        <w:rPr>
          <w:snapToGrid w:val="0"/>
          <w:lang w:val="fr-FR"/>
        </w:rPr>
        <w:t xml:space="preserve"> 34 </w:t>
      </w:r>
      <w:r w:rsidRPr="008D6B80">
        <w:rPr>
          <w:snapToGrid w:val="0"/>
          <w:lang w:val="fr-FR"/>
        </w:rPr>
        <w:tab/>
      </w:r>
      <w:r w:rsidRPr="008D6B80">
        <w:rPr>
          <w:snapToGrid w:val="0"/>
          <w:lang w:val="fr-FR"/>
        </w:rPr>
        <w:tab/>
      </w:r>
      <w:r w:rsidR="0095092D">
        <w:rPr>
          <w:snapToGrid w:val="0"/>
          <w:lang w:val="fr-FR"/>
        </w:rPr>
        <w:t>200</w:t>
      </w:r>
    </w:p>
    <w:p w:rsidR="00BE382F" w:rsidRPr="008D6B80" w:rsidRDefault="00BE382F" w:rsidP="00F744C7">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15 </w:t>
      </w:r>
      <w:r w:rsidRPr="008D6B80">
        <w:rPr>
          <w:snapToGrid w:val="0"/>
          <w:lang w:val="fr-FR"/>
        </w:rPr>
        <w:tab/>
      </w:r>
      <w:r w:rsidRPr="008D6B80">
        <w:rPr>
          <w:snapToGrid w:val="0"/>
          <w:lang w:val="fr-FR"/>
        </w:rPr>
        <w:tab/>
      </w:r>
      <w:r w:rsidR="0095092D">
        <w:rPr>
          <w:snapToGrid w:val="0"/>
          <w:lang w:val="fr-FR"/>
        </w:rPr>
        <w:t>201</w:t>
      </w:r>
    </w:p>
    <w:p w:rsidR="00BE382F" w:rsidRPr="008D6B80" w:rsidRDefault="00BE382F" w:rsidP="00F744C7">
      <w:pPr>
        <w:tabs>
          <w:tab w:val="left" w:pos="426"/>
          <w:tab w:val="left" w:pos="1134"/>
          <w:tab w:val="left" w:leader="dot" w:pos="8504"/>
          <w:tab w:val="right" w:pos="9298"/>
        </w:tabs>
        <w:adjustRightInd w:val="0"/>
        <w:snapToGrid w:val="0"/>
        <w:rPr>
          <w:snapToGrid w:val="0"/>
          <w:lang w:val="fr-FR"/>
        </w:rPr>
      </w:pPr>
      <w:r w:rsidRPr="008D6B80">
        <w:rPr>
          <w:snapToGrid w:val="0"/>
          <w:lang w:val="fr-FR"/>
        </w:rPr>
        <w:tab/>
      </w:r>
      <w:r w:rsidR="000F15D9" w:rsidRPr="008D6B80">
        <w:rPr>
          <w:snapToGrid w:val="0"/>
          <w:lang w:val="fr-FR"/>
        </w:rPr>
        <w:t>Question</w:t>
      </w:r>
      <w:r w:rsidRPr="008D6B80">
        <w:rPr>
          <w:snapToGrid w:val="0"/>
          <w:lang w:val="fr-FR"/>
        </w:rPr>
        <w:t xml:space="preserve"> 35 </w:t>
      </w:r>
      <w:r w:rsidRPr="008D6B80">
        <w:rPr>
          <w:snapToGrid w:val="0"/>
          <w:lang w:val="fr-FR"/>
        </w:rPr>
        <w:tab/>
      </w:r>
      <w:r w:rsidRPr="008D6B80">
        <w:rPr>
          <w:snapToGrid w:val="0"/>
          <w:lang w:val="fr-FR"/>
        </w:rPr>
        <w:tab/>
      </w:r>
      <w:r w:rsidR="0095092D">
        <w:rPr>
          <w:snapToGrid w:val="0"/>
          <w:lang w:val="fr-FR"/>
        </w:rPr>
        <w:t>201</w:t>
      </w:r>
    </w:p>
    <w:p w:rsidR="00BE382F" w:rsidRPr="008D6B80" w:rsidRDefault="00BE382F" w:rsidP="00F744C7">
      <w:pPr>
        <w:tabs>
          <w:tab w:val="left" w:pos="567"/>
          <w:tab w:val="left" w:leader="dot" w:pos="8504"/>
          <w:tab w:val="right" w:pos="9298"/>
        </w:tabs>
        <w:adjustRightInd w:val="0"/>
        <w:snapToGrid w:val="0"/>
        <w:spacing w:after="120"/>
        <w:rPr>
          <w:snapToGrid w:val="0"/>
          <w:lang w:val="fr-FR"/>
        </w:rPr>
      </w:pPr>
      <w:r w:rsidRPr="008D6B80">
        <w:rPr>
          <w:snapToGrid w:val="0"/>
          <w:lang w:val="fr-FR"/>
        </w:rPr>
        <w:t xml:space="preserve">Article 16 </w:t>
      </w:r>
      <w:r w:rsidRPr="008D6B80">
        <w:rPr>
          <w:snapToGrid w:val="0"/>
          <w:lang w:val="fr-FR"/>
        </w:rPr>
        <w:tab/>
      </w:r>
      <w:r w:rsidRPr="008D6B80">
        <w:rPr>
          <w:snapToGrid w:val="0"/>
          <w:lang w:val="fr-FR"/>
        </w:rPr>
        <w:tab/>
      </w:r>
      <w:r w:rsidR="0095092D">
        <w:rPr>
          <w:snapToGrid w:val="0"/>
          <w:lang w:val="fr-FR"/>
        </w:rPr>
        <w:t>210</w:t>
      </w:r>
    </w:p>
    <w:p w:rsidR="00BE382F" w:rsidRPr="000F15D9" w:rsidRDefault="00BE382F" w:rsidP="00F744C7">
      <w:pPr>
        <w:tabs>
          <w:tab w:val="left" w:pos="426"/>
          <w:tab w:val="left" w:pos="1134"/>
          <w:tab w:val="left" w:leader="dot" w:pos="8504"/>
          <w:tab w:val="right" w:pos="9298"/>
        </w:tabs>
        <w:adjustRightInd w:val="0"/>
        <w:snapToGrid w:val="0"/>
        <w:spacing w:after="0"/>
        <w:rPr>
          <w:snapToGrid w:val="0"/>
          <w:lang w:val="fr-FR"/>
        </w:rPr>
      </w:pPr>
      <w:r w:rsidRPr="008D6B80">
        <w:rPr>
          <w:snapToGrid w:val="0"/>
          <w:lang w:val="fr-FR"/>
        </w:rPr>
        <w:tab/>
      </w:r>
      <w:r w:rsidR="000F15D9" w:rsidRPr="000F15D9">
        <w:rPr>
          <w:snapToGrid w:val="0"/>
          <w:lang w:val="fr-FR"/>
        </w:rPr>
        <w:t>Question</w:t>
      </w:r>
      <w:r w:rsidRPr="000F15D9">
        <w:rPr>
          <w:snapToGrid w:val="0"/>
          <w:lang w:val="fr-FR"/>
        </w:rPr>
        <w:t xml:space="preserve"> 36 </w:t>
      </w:r>
      <w:r w:rsidRPr="000F15D9">
        <w:rPr>
          <w:snapToGrid w:val="0"/>
          <w:lang w:val="fr-FR"/>
        </w:rPr>
        <w:tab/>
      </w:r>
      <w:r w:rsidRPr="000F15D9">
        <w:rPr>
          <w:snapToGrid w:val="0"/>
          <w:lang w:val="fr-FR"/>
        </w:rPr>
        <w:tab/>
      </w:r>
      <w:r w:rsidR="0095092D">
        <w:rPr>
          <w:snapToGrid w:val="0"/>
          <w:lang w:val="fr-FR"/>
        </w:rPr>
        <w:t>210</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95092D">
        <w:rPr>
          <w:snapToGrid w:val="0"/>
          <w:lang w:val="fr-FR"/>
        </w:rPr>
        <w:t xml:space="preserve"> 37 </w:t>
      </w:r>
      <w:r w:rsidR="0095092D">
        <w:rPr>
          <w:snapToGrid w:val="0"/>
          <w:lang w:val="fr-FR"/>
        </w:rPr>
        <w:tab/>
      </w:r>
      <w:r w:rsidR="0095092D">
        <w:rPr>
          <w:snapToGrid w:val="0"/>
          <w:lang w:val="fr-FR"/>
        </w:rPr>
        <w:tab/>
        <w:t>217</w:t>
      </w:r>
    </w:p>
    <w:p w:rsidR="00BE382F" w:rsidRPr="000F15D9" w:rsidRDefault="00BE382F" w:rsidP="00F744C7">
      <w:pPr>
        <w:tabs>
          <w:tab w:val="left" w:pos="426"/>
          <w:tab w:val="left" w:pos="1134"/>
          <w:tab w:val="left" w:leader="dot" w:pos="8504"/>
          <w:tab w:val="right" w:pos="9298"/>
        </w:tabs>
        <w:adjustRightInd w:val="0"/>
        <w:snapToGrid w:val="0"/>
        <w:rPr>
          <w:snapToGrid w:val="0"/>
          <w:lang w:val="fr-FR"/>
        </w:rPr>
      </w:pPr>
      <w:r w:rsidRPr="000F15D9">
        <w:rPr>
          <w:snapToGrid w:val="0"/>
          <w:lang w:val="fr-FR"/>
        </w:rPr>
        <w:tab/>
      </w:r>
      <w:r w:rsidR="000F15D9" w:rsidRPr="000F15D9">
        <w:rPr>
          <w:snapToGrid w:val="0"/>
          <w:lang w:val="fr-FR"/>
        </w:rPr>
        <w:t>Question</w:t>
      </w:r>
      <w:r w:rsidR="00F744C7">
        <w:rPr>
          <w:snapToGrid w:val="0"/>
          <w:lang w:val="fr-FR"/>
        </w:rPr>
        <w:t xml:space="preserve"> 38 </w:t>
      </w:r>
      <w:r w:rsidR="00F744C7">
        <w:rPr>
          <w:snapToGrid w:val="0"/>
          <w:lang w:val="fr-FR"/>
        </w:rPr>
        <w:tab/>
      </w:r>
      <w:r w:rsidR="00F744C7">
        <w:rPr>
          <w:snapToGrid w:val="0"/>
          <w:lang w:val="fr-FR"/>
        </w:rPr>
        <w:tab/>
        <w:t>226</w:t>
      </w:r>
    </w:p>
    <w:p w:rsidR="00BE382F" w:rsidRPr="000F15D9" w:rsidRDefault="000F15D9" w:rsidP="00F744C7">
      <w:pPr>
        <w:tabs>
          <w:tab w:val="left" w:pos="567"/>
          <w:tab w:val="left" w:leader="dot" w:pos="8504"/>
          <w:tab w:val="right" w:pos="9298"/>
        </w:tabs>
        <w:adjustRightInd w:val="0"/>
        <w:snapToGrid w:val="0"/>
        <w:spacing w:after="120"/>
        <w:rPr>
          <w:snapToGrid w:val="0"/>
          <w:lang w:val="fr-FR"/>
        </w:rPr>
      </w:pPr>
      <w:r w:rsidRPr="000F15D9">
        <w:rPr>
          <w:snapToGrid w:val="0"/>
          <w:lang w:val="fr-FR"/>
        </w:rPr>
        <w:t>Autres</w:t>
      </w:r>
      <w:r w:rsidR="00BE382F" w:rsidRPr="000F15D9">
        <w:rPr>
          <w:snapToGrid w:val="0"/>
          <w:lang w:val="fr-FR"/>
        </w:rPr>
        <w:t xml:space="preserve"> </w:t>
      </w:r>
      <w:r w:rsidR="007C1C79">
        <w:rPr>
          <w:snapToGrid w:val="0"/>
          <w:lang w:val="fr-FR"/>
        </w:rPr>
        <w:t>questions</w:t>
      </w:r>
      <w:r w:rsidR="007C1C79" w:rsidRPr="000F15D9">
        <w:rPr>
          <w:snapToGrid w:val="0"/>
          <w:lang w:val="fr-FR"/>
        </w:rPr>
        <w:tab/>
      </w:r>
      <w:r w:rsidR="00BE382F" w:rsidRPr="000F15D9">
        <w:rPr>
          <w:snapToGrid w:val="0"/>
          <w:lang w:val="fr-FR"/>
        </w:rPr>
        <w:tab/>
        <w:t>2</w:t>
      </w:r>
      <w:r w:rsidR="00F744C7">
        <w:rPr>
          <w:snapToGrid w:val="0"/>
          <w:lang w:val="fr-FR"/>
        </w:rPr>
        <w:t>2</w:t>
      </w:r>
      <w:r w:rsidR="00BE382F" w:rsidRPr="000F15D9">
        <w:rPr>
          <w:snapToGrid w:val="0"/>
          <w:lang w:val="fr-FR"/>
        </w:rPr>
        <w:t>9</w:t>
      </w:r>
    </w:p>
    <w:p w:rsidR="00BE382F" w:rsidRPr="000F15D9" w:rsidRDefault="00BE382F" w:rsidP="00BE382F">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sidRPr="000F15D9">
        <w:rPr>
          <w:snapToGrid w:val="0"/>
          <w:lang w:val="fr-FR"/>
        </w:rPr>
        <w:t>Question</w:t>
      </w:r>
      <w:r w:rsidR="00F744C7">
        <w:rPr>
          <w:snapToGrid w:val="0"/>
          <w:lang w:val="fr-FR"/>
        </w:rPr>
        <w:t xml:space="preserve"> 39 </w:t>
      </w:r>
      <w:r w:rsidR="00F744C7">
        <w:rPr>
          <w:snapToGrid w:val="0"/>
          <w:lang w:val="fr-FR"/>
        </w:rPr>
        <w:tab/>
      </w:r>
      <w:r w:rsidR="00F744C7">
        <w:rPr>
          <w:snapToGrid w:val="0"/>
          <w:lang w:val="fr-FR"/>
        </w:rPr>
        <w:tab/>
        <w:t>22</w:t>
      </w:r>
      <w:r w:rsidRPr="000F15D9">
        <w:rPr>
          <w:snapToGrid w:val="0"/>
          <w:lang w:val="fr-FR"/>
        </w:rPr>
        <w:t>9</w:t>
      </w:r>
    </w:p>
    <w:p w:rsidR="00BE382F" w:rsidRPr="003444E1" w:rsidRDefault="00BE382F" w:rsidP="00F744C7">
      <w:pPr>
        <w:tabs>
          <w:tab w:val="left" w:pos="426"/>
          <w:tab w:val="left" w:pos="1134"/>
          <w:tab w:val="left" w:leader="dot" w:pos="8504"/>
          <w:tab w:val="right" w:pos="9298"/>
        </w:tabs>
        <w:adjustRightInd w:val="0"/>
        <w:snapToGrid w:val="0"/>
        <w:spacing w:after="0"/>
        <w:rPr>
          <w:snapToGrid w:val="0"/>
          <w:lang w:val="fr-FR"/>
        </w:rPr>
      </w:pPr>
      <w:r w:rsidRPr="000F15D9">
        <w:rPr>
          <w:snapToGrid w:val="0"/>
          <w:lang w:val="fr-FR"/>
        </w:rPr>
        <w:tab/>
      </w:r>
      <w:r w:rsidR="000F15D9">
        <w:rPr>
          <w:snapToGrid w:val="0"/>
          <w:lang w:val="fr-FR"/>
        </w:rPr>
        <w:t>Question</w:t>
      </w:r>
      <w:r>
        <w:rPr>
          <w:snapToGrid w:val="0"/>
          <w:lang w:val="fr-FR"/>
        </w:rPr>
        <w:t xml:space="preserve"> 40 </w:t>
      </w:r>
      <w:r w:rsidRPr="003444E1">
        <w:rPr>
          <w:snapToGrid w:val="0"/>
          <w:lang w:val="fr-FR"/>
        </w:rPr>
        <w:tab/>
      </w:r>
      <w:r w:rsidRPr="003444E1">
        <w:rPr>
          <w:snapToGrid w:val="0"/>
          <w:lang w:val="fr-FR"/>
        </w:rPr>
        <w:tab/>
      </w:r>
      <w:r>
        <w:rPr>
          <w:snapToGrid w:val="0"/>
          <w:lang w:val="fr-FR"/>
        </w:rPr>
        <w:t>2</w:t>
      </w:r>
      <w:r w:rsidR="00F744C7">
        <w:rPr>
          <w:snapToGrid w:val="0"/>
          <w:lang w:val="fr-FR"/>
        </w:rPr>
        <w:t>31</w:t>
      </w:r>
    </w:p>
    <w:p w:rsidR="00BE382F" w:rsidRPr="003444E1" w:rsidRDefault="00BE382F" w:rsidP="00BE382F">
      <w:pPr>
        <w:tabs>
          <w:tab w:val="left" w:pos="426"/>
          <w:tab w:val="left" w:pos="1134"/>
          <w:tab w:val="left" w:leader="dot" w:pos="8504"/>
          <w:tab w:val="right" w:pos="9298"/>
        </w:tabs>
        <w:adjustRightInd w:val="0"/>
        <w:snapToGrid w:val="0"/>
        <w:rPr>
          <w:snapToGrid w:val="0"/>
          <w:lang w:val="fr-FR"/>
        </w:rPr>
      </w:pPr>
      <w:r>
        <w:rPr>
          <w:snapToGrid w:val="0"/>
          <w:lang w:val="fr-FR"/>
        </w:rPr>
        <w:tab/>
      </w:r>
      <w:r w:rsidR="000F15D9">
        <w:rPr>
          <w:snapToGrid w:val="0"/>
          <w:lang w:val="fr-FR"/>
        </w:rPr>
        <w:t>Question</w:t>
      </w:r>
      <w:r w:rsidR="00F744C7">
        <w:rPr>
          <w:snapToGrid w:val="0"/>
          <w:lang w:val="fr-FR"/>
        </w:rPr>
        <w:t xml:space="preserve"> 41 </w:t>
      </w:r>
      <w:r w:rsidR="00F744C7">
        <w:rPr>
          <w:snapToGrid w:val="0"/>
          <w:lang w:val="fr-FR"/>
        </w:rPr>
        <w:tab/>
      </w:r>
      <w:r w:rsidR="00F744C7">
        <w:rPr>
          <w:snapToGrid w:val="0"/>
          <w:lang w:val="fr-FR"/>
        </w:rPr>
        <w:tab/>
        <w:t>23</w:t>
      </w:r>
      <w:r>
        <w:rPr>
          <w:snapToGrid w:val="0"/>
          <w:lang w:val="fr-FR"/>
        </w:rPr>
        <w:t>2</w:t>
      </w:r>
    </w:p>
    <w:p w:rsidR="00242824" w:rsidRPr="008D6B80" w:rsidRDefault="00BE382F" w:rsidP="00242824">
      <w:pPr>
        <w:pStyle w:val="Heading2"/>
        <w:rPr>
          <w:lang w:val="fr-FR"/>
        </w:rPr>
      </w:pPr>
      <w:r w:rsidRPr="008D6B80">
        <w:rPr>
          <w:lang w:val="fr-FR"/>
        </w:rPr>
        <w:br w:type="page"/>
      </w:r>
      <w:bookmarkStart w:id="3" w:name="_Toc193614073"/>
      <w:r w:rsidR="002A7325" w:rsidRPr="008D6B80">
        <w:rPr>
          <w:lang w:val="fr-FR"/>
        </w:rPr>
        <w:t>ARTICLE</w:t>
      </w:r>
      <w:r w:rsidR="00242824" w:rsidRPr="008D6B80">
        <w:rPr>
          <w:lang w:val="fr-FR"/>
        </w:rPr>
        <w:t xml:space="preserve"> 2</w:t>
      </w:r>
      <w:bookmarkEnd w:id="3"/>
    </w:p>
    <w:p w:rsidR="00242824" w:rsidRPr="008D6B80" w:rsidRDefault="00242824" w:rsidP="00DE008F">
      <w:pPr>
        <w:pStyle w:val="Heading3"/>
        <w:spacing w:after="240"/>
        <w:rPr>
          <w:rFonts w:ascii="Times New Roman" w:hAnsi="Times New Roman" w:cs="Times New Roman"/>
          <w:lang w:val="fr-FR"/>
        </w:rPr>
      </w:pPr>
      <w:bookmarkStart w:id="4" w:name="_Toc177387867"/>
      <w:bookmarkStart w:id="5" w:name="_Toc193614074"/>
      <w:r w:rsidRPr="008D6B80">
        <w:rPr>
          <w:rFonts w:ascii="Times New Roman" w:hAnsi="Times New Roman" w:cs="Times New Roman"/>
          <w:lang w:val="fr-FR"/>
        </w:rPr>
        <w:t>Question 1</w:t>
      </w:r>
      <w:bookmarkEnd w:id="4"/>
      <w:bookmarkEnd w:id="5"/>
    </w:p>
    <w:p w:rsidR="00FE612B" w:rsidRPr="00A730F1" w:rsidRDefault="008F6B3F" w:rsidP="008F6B3F">
      <w:pPr>
        <w:tabs>
          <w:tab w:val="left" w:pos="567"/>
          <w:tab w:val="left" w:pos="1134"/>
          <w:tab w:val="left" w:pos="1701"/>
          <w:tab w:val="left" w:pos="2268"/>
        </w:tabs>
        <w:rPr>
          <w:b/>
          <w:bCs/>
          <w:lang w:val="fr-FR"/>
        </w:rPr>
      </w:pPr>
      <w:r>
        <w:rPr>
          <w:b/>
          <w:bCs/>
          <w:lang w:val="fr-FR"/>
        </w:rPr>
        <w:tab/>
      </w:r>
      <w:r w:rsidR="00FE612B" w:rsidRPr="00A730F1">
        <w:rPr>
          <w:b/>
          <w:bCs/>
          <w:lang w:val="fr-FR"/>
        </w:rPr>
        <w:t>L’article 11 de la loi sur les infractions pénales (torture) prévoit que, dans une procédure engagée pour violation de ladite loi, le fait que l’infraction a été commise dans des circonstances exceptionnelles ou que l’accusé n’a fait qu’exécuter les ordres d’un supérieur hiérarchique ou d’une autorité publique ne peut être invoqué comme moyen de défense. Toutefois, il peut être tenu compte de ces circonstances pour déterminer la peine adéquate. Prière de citer les affaires dont les tribunaux ont été saisis pendant la période couverte par le rapport et dans lesquelles des circonstances exceptionnelles ou des ordres d’un supérieur hiérarchique ont été considérés comme des circonstances atténuantes dans la détermination de la peine encourue en vertu de ladite loi.</w:t>
      </w:r>
    </w:p>
    <w:p w:rsidR="002536DD" w:rsidRPr="00A90CD2" w:rsidRDefault="002536DD" w:rsidP="005D7B68">
      <w:pPr>
        <w:numPr>
          <w:ilvl w:val="0"/>
          <w:numId w:val="1"/>
        </w:numPr>
        <w:tabs>
          <w:tab w:val="clear" w:pos="1065"/>
          <w:tab w:val="left" w:pos="567"/>
          <w:tab w:val="left" w:pos="1134"/>
          <w:tab w:val="left" w:pos="1701"/>
          <w:tab w:val="left" w:pos="2268"/>
        </w:tabs>
        <w:ind w:left="0" w:firstLine="0"/>
        <w:rPr>
          <w:lang w:val="fr-FR"/>
        </w:rPr>
      </w:pPr>
      <w:r w:rsidRPr="002536DD">
        <w:rPr>
          <w:lang w:val="fr-FR"/>
        </w:rPr>
        <w:t>Le</w:t>
      </w:r>
      <w:r w:rsidR="00B91FA0">
        <w:rPr>
          <w:lang w:val="fr-FR"/>
        </w:rPr>
        <w:t xml:space="preserve"> Directeur du Parquet du Commonwealth</w:t>
      </w:r>
      <w:r w:rsidRPr="002536DD">
        <w:rPr>
          <w:lang w:val="fr-FR"/>
        </w:rPr>
        <w:t xml:space="preserve"> </w:t>
      </w:r>
      <w:r w:rsidR="00B91FA0">
        <w:rPr>
          <w:lang w:val="fr-FR"/>
        </w:rPr>
        <w:t>(</w:t>
      </w:r>
      <w:r w:rsidRPr="0004568E">
        <w:rPr>
          <w:i/>
          <w:iCs/>
          <w:lang w:val="fr-FR"/>
        </w:rPr>
        <w:t>Commonwealth Direct</w:t>
      </w:r>
      <w:r w:rsidR="0004568E" w:rsidRPr="0004568E">
        <w:rPr>
          <w:i/>
          <w:iCs/>
          <w:lang w:val="fr-FR"/>
        </w:rPr>
        <w:t>or of Public Prosecutions</w:t>
      </w:r>
      <w:r w:rsidR="00B91FA0">
        <w:rPr>
          <w:lang w:val="fr-FR"/>
        </w:rPr>
        <w:t xml:space="preserve">) </w:t>
      </w:r>
      <w:r w:rsidRPr="002536DD">
        <w:rPr>
          <w:lang w:val="fr-FR"/>
        </w:rPr>
        <w:t xml:space="preserve">n’a jamais </w:t>
      </w:r>
      <w:r>
        <w:rPr>
          <w:lang w:val="fr-FR"/>
        </w:rPr>
        <w:t>engagé</w:t>
      </w:r>
      <w:r w:rsidRPr="002536DD">
        <w:rPr>
          <w:lang w:val="fr-FR"/>
        </w:rPr>
        <w:t xml:space="preserve"> de poursuites au titre de la</w:t>
      </w:r>
      <w:r>
        <w:rPr>
          <w:lang w:val="fr-FR"/>
        </w:rPr>
        <w:t xml:space="preserve"> </w:t>
      </w:r>
      <w:r w:rsidR="006D0587" w:rsidRPr="00B91FA0">
        <w:rPr>
          <w:lang w:val="fr-FR"/>
        </w:rPr>
        <w:t xml:space="preserve">loi de 1988 sur </w:t>
      </w:r>
      <w:r w:rsidR="006D0587" w:rsidRPr="00A90CD2">
        <w:rPr>
          <w:lang w:val="fr-FR"/>
        </w:rPr>
        <w:t>les infractions</w:t>
      </w:r>
      <w:r w:rsidRPr="00A90CD2">
        <w:rPr>
          <w:lang w:val="fr-FR"/>
        </w:rPr>
        <w:t xml:space="preserve"> </w:t>
      </w:r>
      <w:r w:rsidR="00B91FA0" w:rsidRPr="00A90CD2">
        <w:rPr>
          <w:lang w:val="fr-FR"/>
        </w:rPr>
        <w:t xml:space="preserve">pénales </w:t>
      </w:r>
      <w:r w:rsidRPr="00A90CD2">
        <w:rPr>
          <w:lang w:val="fr-FR"/>
        </w:rPr>
        <w:t>(torture).</w:t>
      </w:r>
    </w:p>
    <w:p w:rsidR="002536DD" w:rsidRPr="00A730F1" w:rsidRDefault="002536DD" w:rsidP="005D7B68">
      <w:pPr>
        <w:tabs>
          <w:tab w:val="left" w:pos="567"/>
          <w:tab w:val="left" w:pos="1134"/>
          <w:tab w:val="left" w:pos="1701"/>
          <w:tab w:val="left" w:pos="2268"/>
        </w:tabs>
        <w:rPr>
          <w:b/>
          <w:bCs/>
          <w:lang w:val="fr-FR"/>
        </w:rPr>
      </w:pPr>
      <w:r>
        <w:rPr>
          <w:b/>
          <w:bCs/>
          <w:lang w:val="fr-FR"/>
        </w:rPr>
        <w:t>Question 2</w:t>
      </w:r>
    </w:p>
    <w:p w:rsidR="002536DD" w:rsidRPr="00FE612B" w:rsidRDefault="002536DD" w:rsidP="005D7B68">
      <w:pPr>
        <w:tabs>
          <w:tab w:val="left" w:pos="567"/>
          <w:tab w:val="left" w:pos="1134"/>
          <w:tab w:val="left" w:pos="1701"/>
          <w:tab w:val="left" w:pos="2268"/>
        </w:tabs>
        <w:rPr>
          <w:b/>
          <w:bCs/>
          <w:i/>
          <w:iCs/>
          <w:lang w:val="fr-FR"/>
        </w:rPr>
      </w:pPr>
      <w:r w:rsidRPr="00A730F1">
        <w:rPr>
          <w:b/>
          <w:bCs/>
          <w:lang w:val="fr-FR"/>
        </w:rPr>
        <w:tab/>
      </w:r>
      <w:r w:rsidR="00FE612B" w:rsidRPr="00A730F1">
        <w:rPr>
          <w:b/>
          <w:bCs/>
          <w:lang w:val="fr-FR"/>
        </w:rPr>
        <w:t>Donner de plus amples renseignements sur les droits des personnes retenues en garde à vue, en particulier leur droit d’avoir accès à un conseil et à un médecin de leur choix, d’être informées de leurs droits et d’avertir rapidement leur famille. La nouvelle législation antiterroriste a</w:t>
      </w:r>
      <w:r w:rsidR="00FE612B" w:rsidRPr="00A730F1">
        <w:rPr>
          <w:b/>
          <w:bCs/>
          <w:lang w:val="fr-FR"/>
        </w:rPr>
        <w:noBreakHyphen/>
        <w:t>t</w:t>
      </w:r>
      <w:r w:rsidR="00FE612B" w:rsidRPr="00A730F1">
        <w:rPr>
          <w:b/>
          <w:bCs/>
          <w:lang w:val="fr-FR"/>
        </w:rPr>
        <w:noBreakHyphen/>
        <w:t>elle affecté ces droits?</w:t>
      </w:r>
    </w:p>
    <w:p w:rsidR="00CA183E" w:rsidRPr="00CA183E" w:rsidRDefault="00CA183E" w:rsidP="005D7B68">
      <w:pPr>
        <w:tabs>
          <w:tab w:val="left" w:pos="567"/>
          <w:tab w:val="left" w:pos="1134"/>
          <w:tab w:val="left" w:pos="1701"/>
          <w:tab w:val="left" w:pos="2268"/>
        </w:tabs>
        <w:rPr>
          <w:lang w:val="fr-FR"/>
        </w:rPr>
      </w:pPr>
      <w:r>
        <w:rPr>
          <w:lang w:val="fr-FR"/>
        </w:rPr>
        <w:t>2.</w:t>
      </w:r>
      <w:r>
        <w:rPr>
          <w:lang w:val="fr-FR"/>
        </w:rPr>
        <w:tab/>
      </w:r>
      <w:r w:rsidR="003B2B28">
        <w:rPr>
          <w:lang w:val="fr-FR"/>
        </w:rPr>
        <w:t>Toutes les juridictions australiennes accordent un vaste ensemble de droits</w:t>
      </w:r>
      <w:r w:rsidR="003B7C2D">
        <w:rPr>
          <w:lang w:val="fr-FR"/>
        </w:rPr>
        <w:t xml:space="preserve"> aux personnes placées en garde à </w:t>
      </w:r>
      <w:r w:rsidR="003B2B28">
        <w:rPr>
          <w:lang w:val="fr-FR"/>
        </w:rPr>
        <w:t>vue, y compris celui de consulter un avocat et un médecin de leur choix, d’être informée</w:t>
      </w:r>
      <w:r w:rsidR="001E374E">
        <w:rPr>
          <w:lang w:val="fr-FR"/>
        </w:rPr>
        <w:t>s de</w:t>
      </w:r>
      <w:r w:rsidR="004251D1">
        <w:rPr>
          <w:lang w:val="fr-FR"/>
        </w:rPr>
        <w:t xml:space="preserve"> leurs droits et d’avertir</w:t>
      </w:r>
      <w:r w:rsidR="00F21324">
        <w:rPr>
          <w:lang w:val="fr-FR"/>
        </w:rPr>
        <w:t xml:space="preserve"> </w:t>
      </w:r>
      <w:r w:rsidR="00BD42BE">
        <w:rPr>
          <w:lang w:val="fr-FR"/>
        </w:rPr>
        <w:t xml:space="preserve">rapidement </w:t>
      </w:r>
      <w:r w:rsidR="00F21324">
        <w:rPr>
          <w:lang w:val="fr-FR"/>
        </w:rPr>
        <w:t>leur famille</w:t>
      </w:r>
      <w:r w:rsidR="008D6B80">
        <w:rPr>
          <w:lang w:val="fr-FR"/>
        </w:rPr>
        <w:t xml:space="preserve">. </w:t>
      </w:r>
      <w:r w:rsidR="007330E2">
        <w:rPr>
          <w:lang w:val="fr-FR"/>
        </w:rPr>
        <w:t>Ces droits n’ont pas été </w:t>
      </w:r>
      <w:r w:rsidR="003B2B28">
        <w:rPr>
          <w:lang w:val="fr-FR"/>
        </w:rPr>
        <w:t>affectés par la nouvelle législation contre le terrorisme</w:t>
      </w:r>
      <w:r w:rsidR="008D6B80">
        <w:rPr>
          <w:lang w:val="fr-FR"/>
        </w:rPr>
        <w:t xml:space="preserve">. </w:t>
      </w:r>
      <w:r w:rsidR="003B2B28">
        <w:rPr>
          <w:lang w:val="fr-FR"/>
        </w:rPr>
        <w:t>Les détails figurent ci-après</w:t>
      </w:r>
      <w:r w:rsidR="008D6B80">
        <w:rPr>
          <w:lang w:val="fr-FR"/>
        </w:rPr>
        <w:t xml:space="preserve">. </w:t>
      </w:r>
      <w:r w:rsidR="007330E2">
        <w:rPr>
          <w:lang w:val="fr-FR"/>
        </w:rPr>
        <w:t>Les </w:t>
      </w:r>
      <w:r w:rsidR="003B2B28">
        <w:rPr>
          <w:lang w:val="fr-FR"/>
        </w:rPr>
        <w:t>informations relatives aux droits conférés par la législation du Commonwealth sont présentées tout d’abord, et sont sui</w:t>
      </w:r>
      <w:r w:rsidR="004251D1">
        <w:rPr>
          <w:lang w:val="fr-FR"/>
        </w:rPr>
        <w:t>vies de celles concernant les</w:t>
      </w:r>
      <w:r w:rsidR="003B2B28">
        <w:rPr>
          <w:lang w:val="fr-FR"/>
        </w:rPr>
        <w:t xml:space="preserve"> droits</w:t>
      </w:r>
      <w:r w:rsidR="004251D1">
        <w:rPr>
          <w:lang w:val="fr-FR"/>
        </w:rPr>
        <w:t xml:space="preserve"> prévus par la législation des </w:t>
      </w:r>
      <w:r w:rsidR="003B2B28">
        <w:rPr>
          <w:lang w:val="fr-FR"/>
        </w:rPr>
        <w:t>État</w:t>
      </w:r>
      <w:r w:rsidR="004251D1">
        <w:rPr>
          <w:lang w:val="fr-FR"/>
        </w:rPr>
        <w:t>s et</w:t>
      </w:r>
      <w:r w:rsidR="003B2B28">
        <w:rPr>
          <w:lang w:val="fr-FR"/>
        </w:rPr>
        <w:t xml:space="preserve"> Territoire</w:t>
      </w:r>
      <w:r w:rsidR="004251D1">
        <w:rPr>
          <w:lang w:val="fr-FR"/>
        </w:rPr>
        <w:t>s</w:t>
      </w:r>
      <w:r w:rsidR="003B2B28">
        <w:rPr>
          <w:lang w:val="fr-FR"/>
        </w:rPr>
        <w:t>.</w:t>
      </w:r>
    </w:p>
    <w:p w:rsidR="002536DD" w:rsidRDefault="004251D1" w:rsidP="005D7B68">
      <w:pPr>
        <w:tabs>
          <w:tab w:val="left" w:pos="567"/>
          <w:tab w:val="left" w:pos="1134"/>
          <w:tab w:val="left" w:pos="1701"/>
          <w:tab w:val="left" w:pos="2268"/>
        </w:tabs>
        <w:rPr>
          <w:b/>
          <w:bCs/>
          <w:lang w:val="fr-FR"/>
        </w:rPr>
      </w:pPr>
      <w:r>
        <w:rPr>
          <w:b/>
          <w:bCs/>
          <w:lang w:val="fr-FR"/>
        </w:rPr>
        <w:t>Informations du</w:t>
      </w:r>
      <w:r w:rsidR="00AE6315">
        <w:rPr>
          <w:b/>
          <w:bCs/>
          <w:lang w:val="fr-FR"/>
        </w:rPr>
        <w:t xml:space="preserve"> Gouvernement du Commonwealth</w:t>
      </w:r>
    </w:p>
    <w:p w:rsidR="00AE6315" w:rsidRPr="00AE6315" w:rsidRDefault="00AE6315" w:rsidP="005D7B68">
      <w:pPr>
        <w:tabs>
          <w:tab w:val="left" w:pos="567"/>
          <w:tab w:val="left" w:pos="1134"/>
          <w:tab w:val="left" w:pos="1701"/>
          <w:tab w:val="left" w:pos="2268"/>
        </w:tabs>
        <w:rPr>
          <w:lang w:val="fr-FR"/>
        </w:rPr>
      </w:pPr>
      <w:r>
        <w:rPr>
          <w:lang w:val="fr-FR"/>
        </w:rPr>
        <w:t>3.</w:t>
      </w:r>
      <w:r>
        <w:rPr>
          <w:lang w:val="fr-FR"/>
        </w:rPr>
        <w:tab/>
      </w:r>
      <w:r w:rsidR="004251D1">
        <w:rPr>
          <w:lang w:val="fr-FR"/>
        </w:rPr>
        <w:t>La division 3 du titre</w:t>
      </w:r>
      <w:r w:rsidR="00C55A39">
        <w:rPr>
          <w:lang w:val="fr-FR"/>
        </w:rPr>
        <w:t xml:space="preserve"> IC </w:t>
      </w:r>
      <w:r w:rsidR="006D0587">
        <w:rPr>
          <w:lang w:val="fr-FR"/>
        </w:rPr>
        <w:t>de la loi de 1914 sur les infractions</w:t>
      </w:r>
      <w:r w:rsidR="004251D1">
        <w:rPr>
          <w:lang w:val="fr-FR"/>
        </w:rPr>
        <w:t xml:space="preserve"> pénales</w:t>
      </w:r>
      <w:r w:rsidR="004A1BA6">
        <w:rPr>
          <w:lang w:val="fr-FR"/>
        </w:rPr>
        <w:t xml:space="preserve"> traite </w:t>
      </w:r>
      <w:r w:rsidR="006D0587">
        <w:rPr>
          <w:lang w:val="fr-FR"/>
        </w:rPr>
        <w:t>d</w:t>
      </w:r>
      <w:r w:rsidR="004A1BA6">
        <w:rPr>
          <w:lang w:val="fr-FR"/>
        </w:rPr>
        <w:t>es enquêtes sur l</w:t>
      </w:r>
      <w:r w:rsidR="004251D1">
        <w:rPr>
          <w:lang w:val="fr-FR"/>
        </w:rPr>
        <w:t>es violations de</w:t>
      </w:r>
      <w:r w:rsidR="00C55A39">
        <w:rPr>
          <w:lang w:val="fr-FR"/>
        </w:rPr>
        <w:t xml:space="preserve"> la législation du Commonwealth et impose un certain nombre d’obligations aux enquêteurs</w:t>
      </w:r>
      <w:r w:rsidR="008D6B80">
        <w:rPr>
          <w:lang w:val="fr-FR"/>
        </w:rPr>
        <w:t xml:space="preserve">. </w:t>
      </w:r>
      <w:r w:rsidR="0025408E">
        <w:rPr>
          <w:lang w:val="fr-FR"/>
        </w:rPr>
        <w:t>La raison d’être des garanties</w:t>
      </w:r>
      <w:r w:rsidR="004251D1">
        <w:rPr>
          <w:lang w:val="fr-FR"/>
        </w:rPr>
        <w:t xml:space="preserve"> prévues dans le titre</w:t>
      </w:r>
      <w:r w:rsidR="0073269B">
        <w:rPr>
          <w:lang w:val="fr-FR"/>
        </w:rPr>
        <w:t xml:space="preserve"> IC est d’assurer</w:t>
      </w:r>
      <w:r w:rsidR="004A1BA6">
        <w:rPr>
          <w:lang w:val="fr-FR"/>
        </w:rPr>
        <w:t xml:space="preserve"> la fiabilité des éléments de preuve obtenus et de faire en</w:t>
      </w:r>
      <w:r w:rsidR="004251D1">
        <w:rPr>
          <w:lang w:val="fr-FR"/>
        </w:rPr>
        <w:t xml:space="preserve"> sorte que le droit à un</w:t>
      </w:r>
      <w:r w:rsidR="004A1BA6">
        <w:rPr>
          <w:lang w:val="fr-FR"/>
        </w:rPr>
        <w:t xml:space="preserve"> procès</w:t>
      </w:r>
      <w:r w:rsidR="004251D1">
        <w:rPr>
          <w:lang w:val="fr-FR"/>
        </w:rPr>
        <w:t xml:space="preserve"> équitable</w:t>
      </w:r>
      <w:r w:rsidR="004A1BA6">
        <w:rPr>
          <w:lang w:val="fr-FR"/>
        </w:rPr>
        <w:t xml:space="preserve"> soit respecté. </w:t>
      </w:r>
    </w:p>
    <w:p w:rsidR="002536DD" w:rsidRPr="004A1BA6" w:rsidRDefault="004A1BA6" w:rsidP="005D7B68">
      <w:pPr>
        <w:tabs>
          <w:tab w:val="left" w:pos="567"/>
          <w:tab w:val="left" w:pos="1134"/>
          <w:tab w:val="left" w:pos="1701"/>
          <w:tab w:val="left" w:pos="2268"/>
        </w:tabs>
        <w:rPr>
          <w:lang w:val="fr-FR"/>
        </w:rPr>
      </w:pPr>
      <w:r w:rsidRPr="004A1BA6">
        <w:rPr>
          <w:lang w:val="fr-FR"/>
        </w:rPr>
        <w:t>4.</w:t>
      </w:r>
      <w:r w:rsidR="002F0629">
        <w:rPr>
          <w:lang w:val="fr-FR"/>
        </w:rPr>
        <w:tab/>
        <w:t>Dans le cas où</w:t>
      </w:r>
      <w:r>
        <w:rPr>
          <w:lang w:val="fr-FR"/>
        </w:rPr>
        <w:t xml:space="preserve"> les enquêteurs ne respectent pas le</w:t>
      </w:r>
      <w:r w:rsidR="00CF30DF">
        <w:rPr>
          <w:lang w:val="fr-FR"/>
        </w:rPr>
        <w:t xml:space="preserve">s obligations que leur impose </w:t>
      </w:r>
      <w:r w:rsidR="004251D1">
        <w:rPr>
          <w:lang w:val="fr-FR"/>
        </w:rPr>
        <w:t>le titre</w:t>
      </w:r>
      <w:r>
        <w:rPr>
          <w:lang w:val="fr-FR"/>
        </w:rPr>
        <w:t xml:space="preserve"> IC</w:t>
      </w:r>
      <w:r w:rsidR="00CF30DF">
        <w:rPr>
          <w:lang w:val="fr-FR"/>
        </w:rPr>
        <w:t>, l’article 138 de la loi de 1995 sur les éléments de preuve dispose qu’un tribunal peut décider, s’il le juge</w:t>
      </w:r>
      <w:r w:rsidR="004251D1">
        <w:rPr>
          <w:lang w:val="fr-FR"/>
        </w:rPr>
        <w:t xml:space="preserve"> bon, d’exclure ceux qui ont été obtenus au terme de </w:t>
      </w:r>
      <w:r w:rsidR="004251D1" w:rsidRPr="0073269B">
        <w:rPr>
          <w:lang w:val="fr-FR"/>
        </w:rPr>
        <w:t>l’</w:t>
      </w:r>
      <w:r w:rsidR="00D308CD">
        <w:rPr>
          <w:lang w:val="fr-FR"/>
        </w:rPr>
        <w:t>interrogatoire avant la mise en examen</w:t>
      </w:r>
      <w:r w:rsidR="008D6B80">
        <w:rPr>
          <w:color w:val="0000FF"/>
          <w:lang w:val="fr-FR"/>
        </w:rPr>
        <w:t xml:space="preserve">. </w:t>
      </w:r>
      <w:r w:rsidR="00CF30DF">
        <w:rPr>
          <w:lang w:val="fr-FR"/>
        </w:rPr>
        <w:t>En vertu de l’article 138, les éléments de preuve obtenus de manière inapp</w:t>
      </w:r>
      <w:r w:rsidR="00A04FD9">
        <w:rPr>
          <w:lang w:val="fr-FR"/>
        </w:rPr>
        <w:t>ropriée ou en violation d’une loi austral</w:t>
      </w:r>
      <w:r w:rsidR="00F21324">
        <w:rPr>
          <w:lang w:val="fr-FR"/>
        </w:rPr>
        <w:t xml:space="preserve">ienne «ne sont pas recevables, sauf s’il paraît plus sage de les </w:t>
      </w:r>
      <w:r w:rsidR="00A04FD9">
        <w:rPr>
          <w:lang w:val="fr-FR"/>
        </w:rPr>
        <w:t>admettre que de ne pas</w:t>
      </w:r>
      <w:r w:rsidR="00F21324">
        <w:rPr>
          <w:lang w:val="fr-FR"/>
        </w:rPr>
        <w:t xml:space="preserve"> les admettre tels qu’ils ont été obtenus</w:t>
      </w:r>
      <w:r w:rsidR="00A04FD9">
        <w:rPr>
          <w:lang w:val="fr-FR"/>
        </w:rPr>
        <w:t>»</w:t>
      </w:r>
      <w:r w:rsidR="008D6B80">
        <w:rPr>
          <w:lang w:val="fr-FR"/>
        </w:rPr>
        <w:t>.</w:t>
      </w:r>
    </w:p>
    <w:p w:rsidR="00BE382F" w:rsidRDefault="00F21324" w:rsidP="005D7B68">
      <w:pPr>
        <w:tabs>
          <w:tab w:val="left" w:pos="567"/>
          <w:tab w:val="left" w:pos="1134"/>
          <w:tab w:val="left" w:pos="1701"/>
          <w:tab w:val="left" w:pos="2268"/>
        </w:tabs>
        <w:rPr>
          <w:lang w:val="fr-FR"/>
        </w:rPr>
      </w:pPr>
      <w:r>
        <w:rPr>
          <w:lang w:val="fr-FR"/>
        </w:rPr>
        <w:t>5.</w:t>
      </w:r>
      <w:r>
        <w:rPr>
          <w:lang w:val="fr-FR"/>
        </w:rPr>
        <w:tab/>
        <w:t>Le titre</w:t>
      </w:r>
      <w:r w:rsidR="00A04FD9">
        <w:rPr>
          <w:lang w:val="fr-FR"/>
        </w:rPr>
        <w:t xml:space="preserve"> IC prévoit que les personnes arrêtées pour une infraction à la législ</w:t>
      </w:r>
      <w:r w:rsidR="00572260">
        <w:rPr>
          <w:lang w:val="fr-FR"/>
        </w:rPr>
        <w:t>ation du Commonwealth, ou les «suspects protégés</w:t>
      </w:r>
      <w:r w:rsidR="00A04FD9">
        <w:rPr>
          <w:lang w:val="fr-FR"/>
        </w:rPr>
        <w:t>» définis comme étant les personnes</w:t>
      </w:r>
      <w:r>
        <w:rPr>
          <w:lang w:val="fr-FR"/>
        </w:rPr>
        <w:t xml:space="preserve"> qui se trouvent en compagnie d’un enquêteur et</w:t>
      </w:r>
      <w:r w:rsidR="002A3059">
        <w:rPr>
          <w:lang w:val="fr-FR"/>
        </w:rPr>
        <w:t xml:space="preserve"> sont interrogées sur une infraction à la législation du Commonwealth, jouissent des droits ci-après.</w:t>
      </w:r>
    </w:p>
    <w:p w:rsidR="002A3059" w:rsidRDefault="002A3059" w:rsidP="005D7B68">
      <w:pPr>
        <w:tabs>
          <w:tab w:val="left" w:pos="567"/>
          <w:tab w:val="left" w:pos="1134"/>
          <w:tab w:val="left" w:pos="1701"/>
          <w:tab w:val="left" w:pos="2268"/>
        </w:tabs>
        <w:rPr>
          <w:b/>
          <w:bCs/>
          <w:lang w:val="fr-FR"/>
        </w:rPr>
      </w:pPr>
      <w:r>
        <w:rPr>
          <w:b/>
          <w:bCs/>
          <w:lang w:val="fr-FR"/>
        </w:rPr>
        <w:t>Mise en garde des personnes placées état d’arrestation ou</w:t>
      </w:r>
      <w:r w:rsidR="007330E2">
        <w:rPr>
          <w:b/>
          <w:bCs/>
          <w:lang w:val="fr-FR"/>
        </w:rPr>
        <w:t xml:space="preserve"> des suspects protégés (art. </w:t>
      </w:r>
      <w:r>
        <w:rPr>
          <w:b/>
          <w:bCs/>
          <w:lang w:val="fr-FR"/>
        </w:rPr>
        <w:t>23F)</w:t>
      </w:r>
    </w:p>
    <w:p w:rsidR="008300C9" w:rsidRPr="002A3059" w:rsidRDefault="002A3059" w:rsidP="005D7B68">
      <w:pPr>
        <w:tabs>
          <w:tab w:val="left" w:pos="567"/>
          <w:tab w:val="left" w:pos="1134"/>
          <w:tab w:val="left" w:pos="1701"/>
          <w:tab w:val="left" w:pos="2268"/>
        </w:tabs>
        <w:rPr>
          <w:lang w:val="fr-FR"/>
        </w:rPr>
      </w:pPr>
      <w:r>
        <w:rPr>
          <w:lang w:val="fr-FR"/>
        </w:rPr>
        <w:t>6.</w:t>
      </w:r>
      <w:r>
        <w:rPr>
          <w:lang w:val="fr-FR"/>
        </w:rPr>
        <w:tab/>
        <w:t>L’article 23F dispose que les personnes placées en état d’arrestation ou le</w:t>
      </w:r>
      <w:r w:rsidR="00A34FDE">
        <w:rPr>
          <w:lang w:val="fr-FR"/>
        </w:rPr>
        <w:t>s suspects protégés doivent faire l’objet d’une</w:t>
      </w:r>
      <w:r>
        <w:rPr>
          <w:lang w:val="fr-FR"/>
        </w:rPr>
        <w:t xml:space="preserve"> mis</w:t>
      </w:r>
      <w:r w:rsidR="00A34FDE">
        <w:rPr>
          <w:lang w:val="fr-FR"/>
        </w:rPr>
        <w:t>e en garde</w:t>
      </w:r>
      <w:r w:rsidR="008D6B80">
        <w:rPr>
          <w:lang w:val="fr-FR"/>
        </w:rPr>
        <w:t xml:space="preserve">. </w:t>
      </w:r>
      <w:r w:rsidR="00A34FDE">
        <w:rPr>
          <w:lang w:val="fr-FR"/>
        </w:rPr>
        <w:t>Tout suspect protégé placé en garde à vue pour une infraction pénale</w:t>
      </w:r>
      <w:r w:rsidR="003A79E0">
        <w:rPr>
          <w:lang w:val="fr-FR"/>
        </w:rPr>
        <w:t xml:space="preserve"> peut</w:t>
      </w:r>
      <w:r w:rsidR="00A34FDE">
        <w:rPr>
          <w:lang w:val="fr-FR"/>
        </w:rPr>
        <w:t xml:space="preserve"> </w:t>
      </w:r>
      <w:r w:rsidR="008A5B4C">
        <w:rPr>
          <w:lang w:val="fr-FR"/>
        </w:rPr>
        <w:t>prendre part à</w:t>
      </w:r>
      <w:r w:rsidR="00687FB2">
        <w:rPr>
          <w:lang w:val="fr-FR"/>
        </w:rPr>
        <w:t xml:space="preserve"> un entretien volontaire</w:t>
      </w:r>
      <w:r w:rsidR="008D6B80">
        <w:rPr>
          <w:lang w:val="fr-FR"/>
        </w:rPr>
        <w:t xml:space="preserve">. </w:t>
      </w:r>
      <w:r w:rsidR="00687FB2">
        <w:rPr>
          <w:lang w:val="fr-FR"/>
        </w:rPr>
        <w:t>L’article 23F exige que les enquêteu</w:t>
      </w:r>
      <w:r w:rsidR="008A5B4C">
        <w:rPr>
          <w:lang w:val="fr-FR"/>
        </w:rPr>
        <w:t>rs mettent en garde l’intéressé</w:t>
      </w:r>
      <w:r w:rsidR="00687FB2">
        <w:rPr>
          <w:lang w:val="fr-FR"/>
        </w:rPr>
        <w:t xml:space="preserve"> a</w:t>
      </w:r>
      <w:r w:rsidR="008A5B4C">
        <w:rPr>
          <w:lang w:val="fr-FR"/>
        </w:rPr>
        <w:t>vant tout interrogatoire pour le prévenir qu’il n’est pas obligé</w:t>
      </w:r>
      <w:r w:rsidR="00687FB2">
        <w:rPr>
          <w:lang w:val="fr-FR"/>
        </w:rPr>
        <w:t xml:space="preserve"> de dire ou de faire quoi que c</w:t>
      </w:r>
      <w:r w:rsidR="008A5B4C">
        <w:rPr>
          <w:lang w:val="fr-FR"/>
        </w:rPr>
        <w:t>e soit, mais que tout ce qu’il</w:t>
      </w:r>
      <w:r w:rsidR="00687FB2">
        <w:rPr>
          <w:lang w:val="fr-FR"/>
        </w:rPr>
        <w:t xml:space="preserve"> dira ou fer</w:t>
      </w:r>
      <w:r w:rsidR="008A5B4C">
        <w:rPr>
          <w:lang w:val="fr-FR"/>
        </w:rPr>
        <w:t>a pourra être retenu contre lui</w:t>
      </w:r>
      <w:r w:rsidR="00687FB2">
        <w:rPr>
          <w:lang w:val="fr-FR"/>
        </w:rPr>
        <w:t>.</w:t>
      </w:r>
    </w:p>
    <w:p w:rsidR="002A3059" w:rsidRDefault="008300C9" w:rsidP="005D7B68">
      <w:pPr>
        <w:tabs>
          <w:tab w:val="left" w:pos="567"/>
          <w:tab w:val="left" w:pos="1134"/>
          <w:tab w:val="left" w:pos="1701"/>
          <w:tab w:val="left" w:pos="2268"/>
        </w:tabs>
        <w:rPr>
          <w:b/>
          <w:bCs/>
          <w:lang w:val="fr-FR"/>
        </w:rPr>
      </w:pPr>
      <w:r>
        <w:rPr>
          <w:b/>
          <w:bCs/>
          <w:lang w:val="fr-FR"/>
        </w:rPr>
        <w:t>Droit de communiquer av</w:t>
      </w:r>
      <w:r w:rsidR="00F20662">
        <w:rPr>
          <w:b/>
          <w:bCs/>
          <w:lang w:val="fr-FR"/>
        </w:rPr>
        <w:t>ec un ami, un parent, un avocat</w:t>
      </w:r>
      <w:r>
        <w:rPr>
          <w:b/>
          <w:bCs/>
          <w:lang w:val="fr-FR"/>
        </w:rPr>
        <w:t xml:space="preserve"> et, pour les </w:t>
      </w:r>
      <w:r w:rsidR="00EB11D5">
        <w:rPr>
          <w:b/>
          <w:bCs/>
          <w:lang w:val="fr-FR"/>
        </w:rPr>
        <w:t>étrangers, avec une représentation consulaire, dispositions applicables aux</w:t>
      </w:r>
      <w:r w:rsidR="008A5B4C">
        <w:rPr>
          <w:b/>
          <w:bCs/>
          <w:lang w:val="fr-FR"/>
        </w:rPr>
        <w:t xml:space="preserve"> aborigènes, aux insulaires du d</w:t>
      </w:r>
      <w:r w:rsidR="00EB11D5">
        <w:rPr>
          <w:b/>
          <w:bCs/>
          <w:lang w:val="fr-FR"/>
        </w:rPr>
        <w:t>étroit de Torres et aux personnes âg</w:t>
      </w:r>
      <w:r w:rsidR="006C0BC1">
        <w:rPr>
          <w:b/>
          <w:bCs/>
          <w:lang w:val="fr-FR"/>
        </w:rPr>
        <w:t>ées de moins de 18 ans (art</w:t>
      </w:r>
      <w:r w:rsidR="007330E2">
        <w:rPr>
          <w:b/>
          <w:bCs/>
          <w:lang w:val="fr-FR"/>
        </w:rPr>
        <w:t>.</w:t>
      </w:r>
      <w:r w:rsidR="00EB11D5">
        <w:rPr>
          <w:b/>
          <w:bCs/>
          <w:lang w:val="fr-FR"/>
        </w:rPr>
        <w:t xml:space="preserve"> 23G, 23H, 23K et 23P)</w:t>
      </w:r>
    </w:p>
    <w:p w:rsidR="00EB11D5" w:rsidRPr="00EB11D5" w:rsidRDefault="00EB11D5" w:rsidP="005D7B68">
      <w:pPr>
        <w:tabs>
          <w:tab w:val="left" w:pos="567"/>
          <w:tab w:val="left" w:pos="1134"/>
          <w:tab w:val="left" w:pos="1701"/>
          <w:tab w:val="left" w:pos="2268"/>
        </w:tabs>
        <w:rPr>
          <w:lang w:val="fr-FR"/>
        </w:rPr>
      </w:pPr>
      <w:r>
        <w:rPr>
          <w:lang w:val="fr-FR"/>
        </w:rPr>
        <w:t>7.</w:t>
      </w:r>
      <w:r>
        <w:rPr>
          <w:lang w:val="fr-FR"/>
        </w:rPr>
        <w:tab/>
        <w:t>Tout suspect p</w:t>
      </w:r>
      <w:r w:rsidR="008C3B9F">
        <w:rPr>
          <w:lang w:val="fr-FR"/>
        </w:rPr>
        <w:t>rotégé a le droit de prendre contact</w:t>
      </w:r>
      <w:r w:rsidR="003A79E0">
        <w:rPr>
          <w:lang w:val="fr-FR"/>
        </w:rPr>
        <w:t xml:space="preserve"> (</w:t>
      </w:r>
      <w:r>
        <w:rPr>
          <w:lang w:val="fr-FR"/>
        </w:rPr>
        <w:t>ou de tenter d</w:t>
      </w:r>
      <w:r w:rsidR="003A79E0">
        <w:rPr>
          <w:lang w:val="fr-FR"/>
        </w:rPr>
        <w:t>e le faire)</w:t>
      </w:r>
      <w:r>
        <w:rPr>
          <w:lang w:val="fr-FR"/>
        </w:rPr>
        <w:t xml:space="preserve"> avec</w:t>
      </w:r>
      <w:r w:rsidR="00E35D03">
        <w:rPr>
          <w:lang w:val="fr-FR"/>
        </w:rPr>
        <w:t xml:space="preserve"> un ami, un parent et un avocat</w:t>
      </w:r>
      <w:r w:rsidR="008D6B80">
        <w:rPr>
          <w:lang w:val="fr-FR"/>
        </w:rPr>
        <w:t xml:space="preserve">. </w:t>
      </w:r>
      <w:r>
        <w:rPr>
          <w:lang w:val="fr-FR"/>
        </w:rPr>
        <w:t>Les enquêteurs doivent en informer les prévenus avant l’interrogatoire et lais</w:t>
      </w:r>
      <w:r w:rsidR="00086FF0">
        <w:rPr>
          <w:lang w:val="fr-FR"/>
        </w:rPr>
        <w:t>ser s’écouler</w:t>
      </w:r>
      <w:r>
        <w:rPr>
          <w:lang w:val="fr-FR"/>
        </w:rPr>
        <w:t xml:space="preserve"> un laps de temps raisonnable pour qu’ils puissent l’exercer.</w:t>
      </w:r>
    </w:p>
    <w:p w:rsidR="00EE45D2" w:rsidRPr="00EB11D5" w:rsidRDefault="00EB11D5" w:rsidP="005D7B68">
      <w:pPr>
        <w:tabs>
          <w:tab w:val="left" w:pos="567"/>
          <w:tab w:val="left" w:pos="1134"/>
          <w:tab w:val="left" w:pos="1701"/>
          <w:tab w:val="left" w:pos="2268"/>
        </w:tabs>
        <w:rPr>
          <w:lang w:val="fr-FR"/>
        </w:rPr>
      </w:pPr>
      <w:r>
        <w:rPr>
          <w:lang w:val="fr-FR"/>
        </w:rPr>
        <w:t>8.</w:t>
      </w:r>
      <w:r>
        <w:rPr>
          <w:lang w:val="fr-FR"/>
        </w:rPr>
        <w:tab/>
        <w:t xml:space="preserve">Les enquêteurs doivent également prendre des mesures raisonnables pour faire en sorte que la personne puisse communiquer </w:t>
      </w:r>
      <w:r w:rsidR="00201511">
        <w:rPr>
          <w:lang w:val="fr-FR"/>
        </w:rPr>
        <w:t xml:space="preserve">confidentiellement </w:t>
      </w:r>
      <w:r>
        <w:rPr>
          <w:lang w:val="fr-FR"/>
        </w:rPr>
        <w:t>avec son avocat</w:t>
      </w:r>
      <w:r w:rsidR="008D6B80">
        <w:rPr>
          <w:lang w:val="fr-FR"/>
        </w:rPr>
        <w:t xml:space="preserve">. </w:t>
      </w:r>
      <w:r w:rsidR="00086FF0">
        <w:rPr>
          <w:lang w:val="fr-FR"/>
        </w:rPr>
        <w:t>Si ce dernier</w:t>
      </w:r>
      <w:r w:rsidR="00201511">
        <w:rPr>
          <w:lang w:val="fr-FR"/>
        </w:rPr>
        <w:t xml:space="preserve"> est présent à l’interrogatoire, le prévenu doit pouvoir le consulter</w:t>
      </w:r>
      <w:r w:rsidR="00FD6490">
        <w:rPr>
          <w:lang w:val="fr-FR"/>
        </w:rPr>
        <w:t xml:space="preserve"> en privé.</w:t>
      </w:r>
    </w:p>
    <w:p w:rsidR="00EB11D5" w:rsidRDefault="00EE45D2" w:rsidP="005D7B68">
      <w:pPr>
        <w:tabs>
          <w:tab w:val="left" w:pos="567"/>
          <w:tab w:val="left" w:pos="1134"/>
          <w:tab w:val="left" w:pos="1701"/>
          <w:tab w:val="left" w:pos="2268"/>
        </w:tabs>
        <w:rPr>
          <w:b/>
          <w:bCs/>
          <w:lang w:val="fr-FR"/>
        </w:rPr>
      </w:pPr>
      <w:r>
        <w:rPr>
          <w:b/>
          <w:bCs/>
          <w:lang w:val="fr-FR"/>
        </w:rPr>
        <w:t>Communication de renseignements concernant les personnes placées en état d’arrestation ou les suspects protégés (art</w:t>
      </w:r>
      <w:r w:rsidR="007330E2">
        <w:rPr>
          <w:b/>
          <w:bCs/>
          <w:lang w:val="fr-FR"/>
        </w:rPr>
        <w:t>.</w:t>
      </w:r>
      <w:r>
        <w:rPr>
          <w:b/>
          <w:bCs/>
          <w:lang w:val="fr-FR"/>
        </w:rPr>
        <w:t xml:space="preserve"> 23M)</w:t>
      </w:r>
    </w:p>
    <w:p w:rsidR="002B70BB" w:rsidRPr="00EE45D2" w:rsidRDefault="00EE45D2" w:rsidP="005D7B68">
      <w:pPr>
        <w:tabs>
          <w:tab w:val="left" w:pos="567"/>
          <w:tab w:val="left" w:pos="1134"/>
          <w:tab w:val="left" w:pos="1701"/>
          <w:tab w:val="left" w:pos="2268"/>
        </w:tabs>
        <w:rPr>
          <w:lang w:val="fr-FR"/>
        </w:rPr>
      </w:pPr>
      <w:r>
        <w:rPr>
          <w:lang w:val="fr-FR"/>
        </w:rPr>
        <w:t>9.</w:t>
      </w:r>
      <w:r>
        <w:rPr>
          <w:lang w:val="fr-FR"/>
        </w:rPr>
        <w:tab/>
        <w:t>Toute personne doit être informée de toute demande de renseignements de la part de ses amis, ses par</w:t>
      </w:r>
      <w:r w:rsidR="00276BCC">
        <w:rPr>
          <w:lang w:val="fr-FR"/>
        </w:rPr>
        <w:t>ents et son avocat</w:t>
      </w:r>
      <w:r>
        <w:rPr>
          <w:lang w:val="fr-FR"/>
        </w:rPr>
        <w:t xml:space="preserve"> concernant son lieu de séjour et, à moins qu’elle n’en soit pas d’accord, ces renseignements doivent être communiqués</w:t>
      </w:r>
      <w:r w:rsidR="00405BD0">
        <w:rPr>
          <w:lang w:val="fr-FR"/>
        </w:rPr>
        <w:t xml:space="preserve"> en vertu de l’article 23L, sauf exception. (V</w:t>
      </w:r>
      <w:r w:rsidR="007330E2">
        <w:rPr>
          <w:lang w:val="fr-FR"/>
        </w:rPr>
        <w:t>oir ci-dessous.)</w:t>
      </w:r>
    </w:p>
    <w:p w:rsidR="00EE45D2" w:rsidRDefault="002B70BB" w:rsidP="005D7B68">
      <w:pPr>
        <w:tabs>
          <w:tab w:val="left" w:pos="567"/>
          <w:tab w:val="left" w:pos="1134"/>
          <w:tab w:val="left" w:pos="1701"/>
          <w:tab w:val="left" w:pos="2268"/>
        </w:tabs>
        <w:rPr>
          <w:b/>
          <w:bCs/>
          <w:lang w:val="fr-FR"/>
        </w:rPr>
      </w:pPr>
      <w:r>
        <w:rPr>
          <w:b/>
          <w:bCs/>
          <w:lang w:val="fr-FR"/>
        </w:rPr>
        <w:t>Droit à un interprète (art</w:t>
      </w:r>
      <w:r w:rsidR="007330E2">
        <w:rPr>
          <w:b/>
          <w:bCs/>
          <w:lang w:val="fr-FR"/>
        </w:rPr>
        <w:t>.</w:t>
      </w:r>
      <w:r>
        <w:rPr>
          <w:b/>
          <w:bCs/>
          <w:lang w:val="fr-FR"/>
        </w:rPr>
        <w:t xml:space="preserve"> 23N)</w:t>
      </w:r>
    </w:p>
    <w:p w:rsidR="002B70BB" w:rsidRPr="002B70BB" w:rsidRDefault="002B70BB" w:rsidP="005D7B68">
      <w:pPr>
        <w:tabs>
          <w:tab w:val="left" w:pos="567"/>
          <w:tab w:val="left" w:pos="1134"/>
          <w:tab w:val="left" w:pos="1701"/>
          <w:tab w:val="left" w:pos="2268"/>
        </w:tabs>
        <w:rPr>
          <w:lang w:val="fr-FR"/>
        </w:rPr>
      </w:pPr>
      <w:r>
        <w:rPr>
          <w:lang w:val="fr-FR"/>
        </w:rPr>
        <w:t>10.</w:t>
      </w:r>
      <w:r>
        <w:rPr>
          <w:lang w:val="fr-FR"/>
        </w:rPr>
        <w:tab/>
        <w:t>Les enquêteurs sont tenus de faire appel à un interprète s’ils ont de bonnes raisons de penser que le suspect protégé ne peut pas communiquer de façon adéquate pour des raisons de langue ou de handicap</w:t>
      </w:r>
      <w:r w:rsidR="008D6B80">
        <w:rPr>
          <w:lang w:val="fr-FR"/>
        </w:rPr>
        <w:t xml:space="preserve">. </w:t>
      </w:r>
      <w:r>
        <w:rPr>
          <w:lang w:val="fr-FR"/>
        </w:rPr>
        <w:t>L’interrogatoire doit être retardé jusqu’à ce qu’un interprète approprié soit présent.</w:t>
      </w:r>
    </w:p>
    <w:p w:rsidR="002B70BB" w:rsidRDefault="002B70BB" w:rsidP="005D7B68">
      <w:pPr>
        <w:tabs>
          <w:tab w:val="left" w:pos="567"/>
          <w:tab w:val="left" w:pos="1134"/>
          <w:tab w:val="left" w:pos="1701"/>
          <w:tab w:val="left" w:pos="2268"/>
        </w:tabs>
        <w:rPr>
          <w:b/>
          <w:bCs/>
          <w:lang w:val="fr-FR"/>
        </w:rPr>
      </w:pPr>
      <w:r>
        <w:rPr>
          <w:b/>
          <w:bCs/>
          <w:lang w:val="fr-FR"/>
        </w:rPr>
        <w:t>Traitement des personnes placées en état d’arrestation (art</w:t>
      </w:r>
      <w:r w:rsidR="007330E2">
        <w:rPr>
          <w:b/>
          <w:bCs/>
          <w:lang w:val="fr-FR"/>
        </w:rPr>
        <w:t>.</w:t>
      </w:r>
      <w:r>
        <w:rPr>
          <w:b/>
          <w:bCs/>
          <w:lang w:val="fr-FR"/>
        </w:rPr>
        <w:t xml:space="preserve"> 23Q)</w:t>
      </w:r>
    </w:p>
    <w:p w:rsidR="00ED38C6" w:rsidRPr="002B70BB" w:rsidRDefault="002B70BB" w:rsidP="005D7B68">
      <w:pPr>
        <w:tabs>
          <w:tab w:val="left" w:pos="567"/>
          <w:tab w:val="left" w:pos="1134"/>
          <w:tab w:val="left" w:pos="1701"/>
          <w:tab w:val="left" w:pos="2268"/>
        </w:tabs>
        <w:rPr>
          <w:lang w:val="fr-FR"/>
        </w:rPr>
      </w:pPr>
      <w:r>
        <w:rPr>
          <w:lang w:val="fr-FR"/>
        </w:rPr>
        <w:t>11.</w:t>
      </w:r>
      <w:r>
        <w:rPr>
          <w:lang w:val="fr-FR"/>
        </w:rPr>
        <w:tab/>
        <w:t>Il est indiqué, dans l’article 23Q, qu’un suspect protégé doit être traité</w:t>
      </w:r>
      <w:r w:rsidR="00ED38C6">
        <w:rPr>
          <w:lang w:val="fr-FR"/>
        </w:rPr>
        <w:t xml:space="preserve"> avec humanité, dans le respect de la dignité humaine, et ne pas être soumis à un traitement cruel, inhumain ou dégradant.</w:t>
      </w:r>
    </w:p>
    <w:p w:rsidR="002B70BB" w:rsidRDefault="00B65554" w:rsidP="005D7B68">
      <w:pPr>
        <w:keepNext/>
        <w:tabs>
          <w:tab w:val="left" w:pos="567"/>
          <w:tab w:val="left" w:pos="1134"/>
          <w:tab w:val="left" w:pos="1701"/>
          <w:tab w:val="left" w:pos="2268"/>
        </w:tabs>
        <w:rPr>
          <w:b/>
          <w:bCs/>
          <w:lang w:val="fr-FR"/>
        </w:rPr>
      </w:pPr>
      <w:r>
        <w:rPr>
          <w:b/>
          <w:bCs/>
          <w:lang w:val="fr-FR"/>
        </w:rPr>
        <w:t xml:space="preserve">Protection </w:t>
      </w:r>
      <w:r w:rsidR="008A5B4C">
        <w:rPr>
          <w:b/>
          <w:bCs/>
          <w:lang w:val="fr-FR"/>
        </w:rPr>
        <w:t>du d</w:t>
      </w:r>
      <w:r w:rsidR="009927BC">
        <w:rPr>
          <w:b/>
          <w:bCs/>
          <w:lang w:val="fr-FR"/>
        </w:rPr>
        <w:t>roit de garder le silence</w:t>
      </w:r>
      <w:r w:rsidR="008A5B4C">
        <w:rPr>
          <w:b/>
          <w:bCs/>
          <w:lang w:val="fr-FR"/>
        </w:rPr>
        <w:t xml:space="preserve"> etc.</w:t>
      </w:r>
      <w:r w:rsidR="00ED38C6">
        <w:rPr>
          <w:b/>
          <w:bCs/>
          <w:lang w:val="fr-FR"/>
        </w:rPr>
        <w:t xml:space="preserve"> </w:t>
      </w:r>
      <w:r w:rsidR="007330E2">
        <w:rPr>
          <w:b/>
          <w:bCs/>
          <w:lang w:val="fr-FR"/>
        </w:rPr>
        <w:t>(art.</w:t>
      </w:r>
      <w:r w:rsidR="00ED38C6">
        <w:rPr>
          <w:b/>
          <w:bCs/>
          <w:lang w:val="fr-FR"/>
        </w:rPr>
        <w:t xml:space="preserve"> 23S)</w:t>
      </w:r>
    </w:p>
    <w:p w:rsidR="00825CA1" w:rsidRPr="00ED38C6" w:rsidRDefault="00ED38C6" w:rsidP="005D7B68">
      <w:pPr>
        <w:keepNext/>
        <w:tabs>
          <w:tab w:val="left" w:pos="567"/>
          <w:tab w:val="left" w:pos="1134"/>
          <w:tab w:val="left" w:pos="1701"/>
          <w:tab w:val="left" w:pos="2268"/>
        </w:tabs>
        <w:rPr>
          <w:lang w:val="fr-FR"/>
        </w:rPr>
      </w:pPr>
      <w:r>
        <w:rPr>
          <w:lang w:val="fr-FR"/>
        </w:rPr>
        <w:t>12.</w:t>
      </w:r>
      <w:r>
        <w:rPr>
          <w:lang w:val="fr-FR"/>
        </w:rPr>
        <w:tab/>
        <w:t xml:space="preserve">L’article 23S confirme le fait que </w:t>
      </w:r>
      <w:r w:rsidR="008A5B4C">
        <w:rPr>
          <w:lang w:val="fr-FR"/>
        </w:rPr>
        <w:t xml:space="preserve">le titre </w:t>
      </w:r>
      <w:r>
        <w:rPr>
          <w:lang w:val="fr-FR"/>
        </w:rPr>
        <w:t>IC n’</w:t>
      </w:r>
      <w:r w:rsidR="009927BC">
        <w:rPr>
          <w:lang w:val="fr-FR"/>
        </w:rPr>
        <w:t>affecte en aucune manière</w:t>
      </w:r>
      <w:r>
        <w:rPr>
          <w:lang w:val="fr-FR"/>
        </w:rPr>
        <w:t xml:space="preserve"> le droit de garder le silence</w:t>
      </w:r>
      <w:r w:rsidR="009927BC">
        <w:rPr>
          <w:lang w:val="fr-FR"/>
        </w:rPr>
        <w:t>, ni la faculté, pour le tribunal, s’il le juge bon, d’exclure les éléments de preuve obtenus de manière illégale, inappropriée ou inéq</w:t>
      </w:r>
      <w:r w:rsidR="00365401">
        <w:rPr>
          <w:lang w:val="fr-FR"/>
        </w:rPr>
        <w:t>uitable</w:t>
      </w:r>
      <w:r w:rsidR="008D6B80">
        <w:rPr>
          <w:lang w:val="fr-FR"/>
        </w:rPr>
        <w:t xml:space="preserve">. </w:t>
      </w:r>
      <w:r w:rsidR="00365401">
        <w:rPr>
          <w:lang w:val="fr-FR"/>
        </w:rPr>
        <w:t>En outre, ce titre</w:t>
      </w:r>
      <w:r w:rsidR="009927BC">
        <w:rPr>
          <w:lang w:val="fr-FR"/>
        </w:rPr>
        <w:t xml:space="preserve"> n’a aucune incidence sur la charge qu’a l’accusation d’apporter la preuve que les aveux</w:t>
      </w:r>
      <w:r w:rsidR="00FF0551">
        <w:rPr>
          <w:lang w:val="fr-FR"/>
        </w:rPr>
        <w:t xml:space="preserve"> ou déclarations</w:t>
      </w:r>
      <w:r w:rsidR="009927BC">
        <w:rPr>
          <w:lang w:val="fr-FR"/>
        </w:rPr>
        <w:t xml:space="preserve"> n’ont pas été obtenus sous la contrainte ni dans des circonstances telles que</w:t>
      </w:r>
      <w:r w:rsidR="008A5B4C">
        <w:rPr>
          <w:lang w:val="fr-FR"/>
        </w:rPr>
        <w:t xml:space="preserve"> leur sincérité</w:t>
      </w:r>
      <w:r w:rsidR="00365401">
        <w:rPr>
          <w:lang w:val="fr-FR"/>
        </w:rPr>
        <w:t xml:space="preserve"> soit sujette à caution</w:t>
      </w:r>
      <w:r w:rsidR="00D26C28">
        <w:rPr>
          <w:lang w:val="fr-FR"/>
        </w:rPr>
        <w:t>.</w:t>
      </w:r>
      <w:r>
        <w:rPr>
          <w:lang w:val="fr-FR"/>
        </w:rPr>
        <w:t xml:space="preserve"> </w:t>
      </w:r>
    </w:p>
    <w:p w:rsidR="00ED38C6" w:rsidRDefault="00825CA1" w:rsidP="005D7B68">
      <w:pPr>
        <w:tabs>
          <w:tab w:val="left" w:pos="567"/>
          <w:tab w:val="left" w:pos="1134"/>
          <w:tab w:val="left" w:pos="1701"/>
          <w:tab w:val="left" w:pos="2268"/>
        </w:tabs>
        <w:rPr>
          <w:b/>
          <w:bCs/>
          <w:lang w:val="fr-FR"/>
        </w:rPr>
      </w:pPr>
      <w:r>
        <w:rPr>
          <w:b/>
          <w:bCs/>
          <w:lang w:val="fr-FR"/>
        </w:rPr>
        <w:t xml:space="preserve">Enregistrement sur bande magnétique des informations à donner aux personnes placées en état d’arrestation </w:t>
      </w:r>
      <w:r w:rsidR="007330E2">
        <w:rPr>
          <w:b/>
          <w:bCs/>
          <w:lang w:val="fr-FR"/>
        </w:rPr>
        <w:t>(art.</w:t>
      </w:r>
      <w:r>
        <w:rPr>
          <w:b/>
          <w:bCs/>
          <w:lang w:val="fr-FR"/>
        </w:rPr>
        <w:t xml:space="preserve"> 23U)</w:t>
      </w:r>
    </w:p>
    <w:p w:rsidR="00FE612B" w:rsidRPr="00825CA1" w:rsidRDefault="00825CA1" w:rsidP="005D7B68">
      <w:pPr>
        <w:tabs>
          <w:tab w:val="left" w:pos="567"/>
          <w:tab w:val="left" w:pos="1134"/>
          <w:tab w:val="left" w:pos="1701"/>
          <w:tab w:val="left" w:pos="2268"/>
        </w:tabs>
        <w:rPr>
          <w:lang w:val="fr-FR"/>
        </w:rPr>
      </w:pPr>
      <w:r>
        <w:rPr>
          <w:lang w:val="fr-FR"/>
        </w:rPr>
        <w:t>13.</w:t>
      </w:r>
      <w:r>
        <w:rPr>
          <w:lang w:val="fr-FR"/>
        </w:rPr>
        <w:tab/>
        <w:t>Dans les cas où les enquêteurs sont tenus de communiquer des informations à un suspect pro</w:t>
      </w:r>
      <w:r w:rsidR="008A5B4C">
        <w:rPr>
          <w:lang w:val="fr-FR"/>
        </w:rPr>
        <w:t>tégé, l’article 23U prescrit qu’ils doivent</w:t>
      </w:r>
      <w:r w:rsidR="00A5093F">
        <w:rPr>
          <w:lang w:val="fr-FR"/>
        </w:rPr>
        <w:t>, si possible, enregistrer cela</w:t>
      </w:r>
      <w:r w:rsidR="00FE612B">
        <w:rPr>
          <w:lang w:val="fr-FR"/>
        </w:rPr>
        <w:t xml:space="preserve"> sur bande magnétique (par exemple la mise en garde), ainsi que la réponse de l’intéressé</w:t>
      </w:r>
      <w:r w:rsidR="008D6B80">
        <w:rPr>
          <w:lang w:val="fr-FR"/>
        </w:rPr>
        <w:t xml:space="preserve">. </w:t>
      </w:r>
      <w:r w:rsidR="00FE612B">
        <w:rPr>
          <w:lang w:val="fr-FR"/>
        </w:rPr>
        <w:t xml:space="preserve">Si les informations ne sont pas enregistrées, il revient à l’accusation de montrer que cela n’était pas possible. </w:t>
      </w:r>
    </w:p>
    <w:p w:rsidR="00825CA1" w:rsidRDefault="00C930F7" w:rsidP="005D7B68">
      <w:pPr>
        <w:tabs>
          <w:tab w:val="left" w:pos="567"/>
          <w:tab w:val="left" w:pos="1134"/>
          <w:tab w:val="left" w:pos="1701"/>
          <w:tab w:val="left" w:pos="2268"/>
        </w:tabs>
        <w:rPr>
          <w:b/>
          <w:bCs/>
          <w:lang w:val="fr-FR"/>
        </w:rPr>
      </w:pPr>
      <w:r>
        <w:rPr>
          <w:b/>
          <w:bCs/>
          <w:lang w:val="fr-FR"/>
        </w:rPr>
        <w:t>Enregistrement sur bande magnétique des aveux et déclarations</w:t>
      </w:r>
      <w:r w:rsidR="00FF0551">
        <w:rPr>
          <w:b/>
          <w:bCs/>
          <w:lang w:val="fr-FR"/>
        </w:rPr>
        <w:t xml:space="preserve"> </w:t>
      </w:r>
      <w:r w:rsidR="007330E2">
        <w:rPr>
          <w:b/>
          <w:bCs/>
          <w:lang w:val="fr-FR"/>
        </w:rPr>
        <w:t>(art.</w:t>
      </w:r>
      <w:r w:rsidR="00FF0551">
        <w:rPr>
          <w:b/>
          <w:bCs/>
          <w:lang w:val="fr-FR"/>
        </w:rPr>
        <w:t xml:space="preserve"> 23V)</w:t>
      </w:r>
    </w:p>
    <w:p w:rsidR="00FF0551" w:rsidRPr="00FF0551" w:rsidRDefault="003C60F9" w:rsidP="005D7B68">
      <w:pPr>
        <w:tabs>
          <w:tab w:val="left" w:pos="567"/>
          <w:tab w:val="left" w:pos="1134"/>
          <w:tab w:val="left" w:pos="1701"/>
          <w:tab w:val="left" w:pos="2268"/>
        </w:tabs>
        <w:rPr>
          <w:lang w:val="fr-FR"/>
        </w:rPr>
      </w:pPr>
      <w:r>
        <w:rPr>
          <w:lang w:val="fr-FR"/>
        </w:rPr>
        <w:t>14.</w:t>
      </w:r>
      <w:r>
        <w:rPr>
          <w:lang w:val="fr-FR"/>
        </w:rPr>
        <w:tab/>
        <w:t>L</w:t>
      </w:r>
      <w:r w:rsidR="00FF0551">
        <w:rPr>
          <w:lang w:val="fr-FR"/>
        </w:rPr>
        <w:t xml:space="preserve">es aveux ou déclarations contre un prévenu </w:t>
      </w:r>
      <w:r>
        <w:rPr>
          <w:lang w:val="fr-FR"/>
        </w:rPr>
        <w:t xml:space="preserve">ne sont pas recevables </w:t>
      </w:r>
      <w:r w:rsidR="00FF0551">
        <w:rPr>
          <w:lang w:val="fr-FR"/>
        </w:rPr>
        <w:t>si les questions et les réponses n’ont pas été enregistrées</w:t>
      </w:r>
      <w:r w:rsidR="008D6B80">
        <w:rPr>
          <w:lang w:val="fr-FR"/>
        </w:rPr>
        <w:t xml:space="preserve">. </w:t>
      </w:r>
      <w:r w:rsidR="00FF0551">
        <w:rPr>
          <w:lang w:val="fr-FR"/>
        </w:rPr>
        <w:t>Si la chose n’est pas raisonnablement possible, il convient d’effectuer un enregistrement écrit des questions et réponses et de le lire, dans la langue adéquate, à l’intéressé, lequel doit pouvoir interrompre la lecture pour indiquer les passages où cet enregistrement est inexact ou incorrect</w:t>
      </w:r>
      <w:r w:rsidR="008D6B80">
        <w:rPr>
          <w:lang w:val="fr-FR"/>
        </w:rPr>
        <w:t xml:space="preserve">. </w:t>
      </w:r>
      <w:r w:rsidR="00FF0551">
        <w:rPr>
          <w:lang w:val="fr-FR"/>
        </w:rPr>
        <w:t xml:space="preserve">La lecture des aveux ou des déclarations doit être enregistrée sur bande magnétique, le processus devant être expliqué à l’intéressé. </w:t>
      </w:r>
    </w:p>
    <w:p w:rsidR="00E91B2C" w:rsidRPr="00FF0551" w:rsidRDefault="00FF0551" w:rsidP="005D7B68">
      <w:pPr>
        <w:tabs>
          <w:tab w:val="left" w:pos="567"/>
          <w:tab w:val="left" w:pos="1134"/>
          <w:tab w:val="left" w:pos="1701"/>
          <w:tab w:val="left" w:pos="2268"/>
        </w:tabs>
        <w:rPr>
          <w:lang w:val="fr-FR"/>
        </w:rPr>
      </w:pPr>
      <w:r>
        <w:rPr>
          <w:lang w:val="fr-FR"/>
        </w:rPr>
        <w:t>15.</w:t>
      </w:r>
      <w:r>
        <w:rPr>
          <w:lang w:val="fr-FR"/>
        </w:rPr>
        <w:tab/>
      </w:r>
      <w:r w:rsidR="00E91B2C">
        <w:rPr>
          <w:lang w:val="fr-FR"/>
        </w:rPr>
        <w:t>L’int</w:t>
      </w:r>
      <w:r w:rsidR="003C60F9">
        <w:rPr>
          <w:lang w:val="fr-FR"/>
        </w:rPr>
        <w:t>éressé ou son conseil</w:t>
      </w:r>
      <w:r w:rsidR="00E91B2C">
        <w:rPr>
          <w:lang w:val="fr-FR"/>
        </w:rPr>
        <w:t xml:space="preserve"> doit se voir remettre une copie de l’</w:t>
      </w:r>
      <w:r w:rsidR="0066104D">
        <w:rPr>
          <w:lang w:val="fr-FR"/>
        </w:rPr>
        <w:t>enregistrement et de tout compte rendu in extenso</w:t>
      </w:r>
      <w:r w:rsidR="00E91B2C">
        <w:rPr>
          <w:lang w:val="fr-FR"/>
        </w:rPr>
        <w:t xml:space="preserve"> au plus tard sept jours après.</w:t>
      </w:r>
    </w:p>
    <w:p w:rsidR="00D052B8" w:rsidRPr="00E91B2C" w:rsidRDefault="00E91B2C" w:rsidP="005D7B68">
      <w:pPr>
        <w:tabs>
          <w:tab w:val="left" w:pos="567"/>
          <w:tab w:val="left" w:pos="1134"/>
          <w:tab w:val="left" w:pos="1701"/>
          <w:tab w:val="left" w:pos="2268"/>
        </w:tabs>
        <w:rPr>
          <w:lang w:val="fr-FR"/>
        </w:rPr>
      </w:pPr>
      <w:r>
        <w:rPr>
          <w:lang w:val="fr-FR"/>
        </w:rPr>
        <w:t>16</w:t>
      </w:r>
      <w:r w:rsidR="003C60F9">
        <w:rPr>
          <w:lang w:val="fr-FR"/>
        </w:rPr>
        <w:t>.</w:t>
      </w:r>
      <w:r w:rsidR="003C60F9">
        <w:rPr>
          <w:lang w:val="fr-FR"/>
        </w:rPr>
        <w:tab/>
        <w:t>Cependant,</w:t>
      </w:r>
      <w:r>
        <w:rPr>
          <w:lang w:val="fr-FR"/>
        </w:rPr>
        <w:t xml:space="preserve"> les éléments de preuve </w:t>
      </w:r>
      <w:r w:rsidR="003C60F9">
        <w:rPr>
          <w:lang w:val="fr-FR"/>
        </w:rPr>
        <w:t xml:space="preserve">peuvent être </w:t>
      </w:r>
      <w:r>
        <w:rPr>
          <w:lang w:val="fr-FR"/>
        </w:rPr>
        <w:t>recevables en cas de non-respect</w:t>
      </w:r>
      <w:r w:rsidR="0066104D">
        <w:rPr>
          <w:lang w:val="fr-FR"/>
        </w:rPr>
        <w:t xml:space="preserve"> de cet article si, eu égard à la nature</w:t>
      </w:r>
      <w:r>
        <w:rPr>
          <w:lang w:val="fr-FR"/>
        </w:rPr>
        <w:t xml:space="preserve"> </w:t>
      </w:r>
      <w:r w:rsidR="0066104D">
        <w:rPr>
          <w:lang w:val="fr-FR"/>
        </w:rPr>
        <w:t xml:space="preserve">de ce non-respect, aux raisons qui l’ont motivé et à toute autre considération pertinente, </w:t>
      </w:r>
      <w:r w:rsidR="003C60F9">
        <w:rPr>
          <w:lang w:val="fr-FR"/>
        </w:rPr>
        <w:t>le tribunal</w:t>
      </w:r>
      <w:r w:rsidR="00DF1804">
        <w:rPr>
          <w:lang w:val="fr-FR"/>
        </w:rPr>
        <w:t xml:space="preserve"> est convaincu que, dans les circonstances </w:t>
      </w:r>
      <w:r w:rsidR="00A5093F">
        <w:rPr>
          <w:lang w:val="fr-FR"/>
        </w:rPr>
        <w:t xml:space="preserve">particulières de cette affaire, </w:t>
      </w:r>
      <w:r w:rsidR="00DF1804">
        <w:rPr>
          <w:lang w:val="fr-FR"/>
        </w:rPr>
        <w:t>la recevabilité des preuves ne serait pas contraire aux intérêts de</w:t>
      </w:r>
      <w:r w:rsidR="00D052B8">
        <w:rPr>
          <w:lang w:val="fr-FR"/>
        </w:rPr>
        <w:t xml:space="preserve"> la justice </w:t>
      </w:r>
      <w:r w:rsidR="007330E2">
        <w:rPr>
          <w:lang w:val="fr-FR"/>
        </w:rPr>
        <w:t>(art.</w:t>
      </w:r>
      <w:r w:rsidR="00D052B8">
        <w:rPr>
          <w:lang w:val="fr-FR"/>
        </w:rPr>
        <w:t xml:space="preserve"> 23V, par</w:t>
      </w:r>
      <w:r w:rsidR="007330E2">
        <w:rPr>
          <w:lang w:val="fr-FR"/>
        </w:rPr>
        <w:t>.</w:t>
      </w:r>
      <w:r w:rsidR="00DF1804">
        <w:rPr>
          <w:lang w:val="fr-FR"/>
        </w:rPr>
        <w:t xml:space="preserve"> 5)</w:t>
      </w:r>
      <w:r w:rsidR="008D6B80">
        <w:rPr>
          <w:lang w:val="fr-FR"/>
        </w:rPr>
        <w:t xml:space="preserve">. </w:t>
      </w:r>
      <w:r w:rsidR="00D052B8">
        <w:rPr>
          <w:lang w:val="fr-FR"/>
        </w:rPr>
        <w:t xml:space="preserve">Dans cette situation, </w:t>
      </w:r>
      <w:r w:rsidR="00A5093F">
        <w:rPr>
          <w:lang w:val="fr-FR"/>
        </w:rPr>
        <w:t>le juge doit informer le jury du fait que cet article n’a pas été respecté et assortir cette information</w:t>
      </w:r>
      <w:r w:rsidR="00D052B8">
        <w:rPr>
          <w:lang w:val="fr-FR"/>
        </w:rPr>
        <w:t xml:space="preserve"> de la mise en garde qu’il estime appropriée </w:t>
      </w:r>
      <w:r w:rsidR="007330E2">
        <w:rPr>
          <w:lang w:val="fr-FR"/>
        </w:rPr>
        <w:t>(art.</w:t>
      </w:r>
      <w:r w:rsidR="00D052B8">
        <w:rPr>
          <w:lang w:val="fr-FR"/>
        </w:rPr>
        <w:t xml:space="preserve"> 23V, par</w:t>
      </w:r>
      <w:r w:rsidR="007330E2">
        <w:rPr>
          <w:lang w:val="fr-FR"/>
        </w:rPr>
        <w:t>. </w:t>
      </w:r>
      <w:r w:rsidR="00D052B8">
        <w:rPr>
          <w:lang w:val="fr-FR"/>
        </w:rPr>
        <w:t>7).</w:t>
      </w:r>
    </w:p>
    <w:p w:rsidR="00FF0551" w:rsidRDefault="00036925" w:rsidP="005D7B68">
      <w:pPr>
        <w:tabs>
          <w:tab w:val="left" w:pos="567"/>
          <w:tab w:val="left" w:pos="1134"/>
          <w:tab w:val="left" w:pos="1701"/>
          <w:tab w:val="left" w:pos="2268"/>
        </w:tabs>
        <w:rPr>
          <w:b/>
          <w:bCs/>
          <w:lang w:val="fr-FR"/>
        </w:rPr>
      </w:pPr>
      <w:r>
        <w:rPr>
          <w:b/>
          <w:bCs/>
          <w:lang w:val="fr-FR"/>
        </w:rPr>
        <w:t xml:space="preserve">Dérogations </w:t>
      </w:r>
      <w:r w:rsidR="007330E2">
        <w:rPr>
          <w:b/>
          <w:bCs/>
          <w:lang w:val="fr-FR"/>
        </w:rPr>
        <w:t>(art.</w:t>
      </w:r>
      <w:r>
        <w:rPr>
          <w:b/>
          <w:bCs/>
          <w:lang w:val="fr-FR"/>
        </w:rPr>
        <w:t xml:space="preserve"> 23L</w:t>
      </w:r>
      <w:r w:rsidR="00D052B8">
        <w:rPr>
          <w:b/>
          <w:bCs/>
          <w:lang w:val="fr-FR"/>
        </w:rPr>
        <w:t>)</w:t>
      </w:r>
    </w:p>
    <w:p w:rsidR="000519CB" w:rsidRPr="00D052B8" w:rsidRDefault="00D052B8" w:rsidP="005D7B68">
      <w:pPr>
        <w:tabs>
          <w:tab w:val="left" w:pos="567"/>
          <w:tab w:val="left" w:pos="1134"/>
          <w:tab w:val="left" w:pos="1701"/>
          <w:tab w:val="left" w:pos="2268"/>
        </w:tabs>
        <w:rPr>
          <w:lang w:val="fr-FR"/>
        </w:rPr>
      </w:pPr>
      <w:r>
        <w:rPr>
          <w:lang w:val="fr-FR"/>
        </w:rPr>
        <w:t>17.</w:t>
      </w:r>
      <w:r>
        <w:rPr>
          <w:lang w:val="fr-FR"/>
        </w:rPr>
        <w:tab/>
      </w:r>
      <w:r w:rsidR="00316E7A">
        <w:rPr>
          <w:lang w:val="fr-FR"/>
        </w:rPr>
        <w:t>Quand les enquêteurs sont tenus aux obligations ci-dessus, si telle est la législation en</w:t>
      </w:r>
      <w:r w:rsidR="00CC4EF8">
        <w:rPr>
          <w:lang w:val="fr-FR"/>
        </w:rPr>
        <w:t xml:space="preserve"> la matière, elles</w:t>
      </w:r>
      <w:r w:rsidR="00316E7A">
        <w:rPr>
          <w:lang w:val="fr-FR"/>
        </w:rPr>
        <w:t xml:space="preserve"> perden</w:t>
      </w:r>
      <w:r w:rsidR="00076220">
        <w:rPr>
          <w:lang w:val="fr-FR"/>
        </w:rPr>
        <w:t>t leur caractère contraignant au cas où</w:t>
      </w:r>
      <w:r w:rsidR="00316E7A">
        <w:rPr>
          <w:lang w:val="fr-FR"/>
        </w:rPr>
        <w:t xml:space="preserve"> l’enquêteur a</w:t>
      </w:r>
      <w:r w:rsidR="00076220">
        <w:rPr>
          <w:lang w:val="fr-FR"/>
        </w:rPr>
        <w:t>it</w:t>
      </w:r>
      <w:r w:rsidR="00316E7A">
        <w:rPr>
          <w:lang w:val="fr-FR"/>
        </w:rPr>
        <w:t xml:space="preserve"> de bonnes raisons de penser que le fait de les observer est susceptible de permettre à un complice de l’intéressé de prendre des mesures pour éviter d’être appréhendé, dissimuler, forger ou détruire des preuves, </w:t>
      </w:r>
      <w:r w:rsidR="008F6B3F">
        <w:rPr>
          <w:lang w:val="fr-FR"/>
        </w:rPr>
        <w:t>ou </w:t>
      </w:r>
      <w:r w:rsidR="00CC4EF8">
        <w:rPr>
          <w:lang w:val="fr-FR"/>
        </w:rPr>
        <w:t>intimider un témoin, ou bien s’il est urgent de procéder à l’interrogatoire du prévenu au point que, dans l’intérêt de la sécurité d’autres personnes, il convient d’appliquer sans délai cette disposition.</w:t>
      </w:r>
    </w:p>
    <w:p w:rsidR="008F00B5" w:rsidRPr="000519CB" w:rsidRDefault="000519CB" w:rsidP="005D7B68">
      <w:pPr>
        <w:tabs>
          <w:tab w:val="left" w:pos="567"/>
          <w:tab w:val="left" w:pos="1134"/>
          <w:tab w:val="left" w:pos="1701"/>
          <w:tab w:val="left" w:pos="2268"/>
        </w:tabs>
        <w:rPr>
          <w:lang w:val="fr-FR"/>
        </w:rPr>
      </w:pPr>
      <w:r>
        <w:rPr>
          <w:lang w:val="fr-FR"/>
        </w:rPr>
        <w:t>18.</w:t>
      </w:r>
      <w:r>
        <w:rPr>
          <w:lang w:val="fr-FR"/>
        </w:rPr>
        <w:tab/>
        <w:t>En ce qui</w:t>
      </w:r>
      <w:r w:rsidR="00486D69">
        <w:rPr>
          <w:lang w:val="fr-FR"/>
        </w:rPr>
        <w:t xml:space="preserve"> concerne les actes d’un avocat</w:t>
      </w:r>
      <w:r w:rsidR="007B03F5">
        <w:rPr>
          <w:lang w:val="fr-FR"/>
        </w:rPr>
        <w:t>, ou l’avocat</w:t>
      </w:r>
      <w:r>
        <w:rPr>
          <w:lang w:val="fr-FR"/>
        </w:rPr>
        <w:t xml:space="preserve"> lui-même, cette dérogation ne s’applique que dans des circonstances exceptionnelles, et si les raisons</w:t>
      </w:r>
      <w:r w:rsidR="00CA687D">
        <w:rPr>
          <w:lang w:val="fr-FR"/>
        </w:rPr>
        <w:t xml:space="preserve"> portant à ne pas l’accepter sont attestées par un fonctionnaire de police d’un rang au moins égal à celui de commissaire, ou par une personne exerçant une fonction prescrite</w:t>
      </w:r>
      <w:r w:rsidR="008D6B80">
        <w:rPr>
          <w:lang w:val="fr-FR"/>
        </w:rPr>
        <w:t xml:space="preserve">. </w:t>
      </w:r>
      <w:r w:rsidR="00CA687D">
        <w:rPr>
          <w:lang w:val="fr-FR"/>
        </w:rPr>
        <w:t>Dans ces circonstances, l’enquêteur doit proposer</w:t>
      </w:r>
      <w:r w:rsidR="00486D69">
        <w:rPr>
          <w:lang w:val="fr-FR"/>
        </w:rPr>
        <w:t xml:space="preserve"> les services d’un autre avocat</w:t>
      </w:r>
      <w:r w:rsidR="00CA687D">
        <w:rPr>
          <w:lang w:val="fr-FR"/>
        </w:rPr>
        <w:t>.</w:t>
      </w:r>
    </w:p>
    <w:p w:rsidR="00D052B8" w:rsidRDefault="008F00B5" w:rsidP="005D7B68">
      <w:pPr>
        <w:tabs>
          <w:tab w:val="left" w:pos="567"/>
          <w:tab w:val="left" w:pos="1134"/>
          <w:tab w:val="left" w:pos="1701"/>
          <w:tab w:val="left" w:pos="2268"/>
        </w:tabs>
        <w:rPr>
          <w:lang w:val="fr-FR"/>
        </w:rPr>
      </w:pPr>
      <w:r>
        <w:rPr>
          <w:lang w:val="fr-FR"/>
        </w:rPr>
        <w:t>19.</w:t>
      </w:r>
      <w:r>
        <w:rPr>
          <w:lang w:val="fr-FR"/>
        </w:rPr>
        <w:tab/>
        <w:t>Prière de voir</w:t>
      </w:r>
      <w:r w:rsidR="0013510C">
        <w:rPr>
          <w:lang w:val="fr-FR"/>
        </w:rPr>
        <w:t xml:space="preserve"> la réponse à la question 5 en ce qui concerne l</w:t>
      </w:r>
      <w:r>
        <w:rPr>
          <w:lang w:val="fr-FR"/>
        </w:rPr>
        <w:t>es droits des personnes en état d’arrestation pour</w:t>
      </w:r>
      <w:r w:rsidR="005007CD">
        <w:rPr>
          <w:lang w:val="fr-FR"/>
        </w:rPr>
        <w:t xml:space="preserve"> d</w:t>
      </w:r>
      <w:r w:rsidR="0061466D">
        <w:rPr>
          <w:lang w:val="fr-FR"/>
        </w:rPr>
        <w:t>es infractions liées au terrorisme.</w:t>
      </w:r>
    </w:p>
    <w:p w:rsidR="000744E7" w:rsidRDefault="000744E7" w:rsidP="005D7B68">
      <w:pPr>
        <w:tabs>
          <w:tab w:val="left" w:pos="567"/>
          <w:tab w:val="left" w:pos="1134"/>
          <w:tab w:val="left" w:pos="1701"/>
          <w:tab w:val="left" w:pos="2268"/>
        </w:tabs>
        <w:rPr>
          <w:b/>
          <w:bCs/>
          <w:lang w:val="fr-FR"/>
        </w:rPr>
      </w:pPr>
      <w:r>
        <w:rPr>
          <w:b/>
          <w:bCs/>
          <w:lang w:val="fr-FR"/>
        </w:rPr>
        <w:t>Commission australienne des droits de l’homme et de l’égalité des chances</w:t>
      </w:r>
    </w:p>
    <w:p w:rsidR="00DB0230" w:rsidRPr="000744E7" w:rsidRDefault="000744E7" w:rsidP="005D7B68">
      <w:pPr>
        <w:tabs>
          <w:tab w:val="left" w:pos="567"/>
          <w:tab w:val="left" w:pos="1134"/>
          <w:tab w:val="left" w:pos="1701"/>
          <w:tab w:val="left" w:pos="2268"/>
        </w:tabs>
        <w:rPr>
          <w:lang w:val="fr-FR"/>
        </w:rPr>
      </w:pPr>
      <w:r>
        <w:rPr>
          <w:lang w:val="fr-FR"/>
        </w:rPr>
        <w:t>20.</w:t>
      </w:r>
      <w:r>
        <w:rPr>
          <w:lang w:val="fr-FR"/>
        </w:rPr>
        <w:tab/>
        <w:t>Cette commission peut enquêter sur un acte ou une pratique du Gouvernement austr</w:t>
      </w:r>
      <w:r w:rsidR="001204E0">
        <w:rPr>
          <w:lang w:val="fr-FR"/>
        </w:rPr>
        <w:t>alien incompatible avec les</w:t>
      </w:r>
      <w:r>
        <w:rPr>
          <w:lang w:val="fr-FR"/>
        </w:rPr>
        <w:t xml:space="preserve"> droits de l’ho</w:t>
      </w:r>
      <w:r w:rsidR="00007CF9">
        <w:rPr>
          <w:lang w:val="fr-FR"/>
        </w:rPr>
        <w:t>mme, y compris en rapport avec</w:t>
      </w:r>
      <w:r>
        <w:rPr>
          <w:lang w:val="fr-FR"/>
        </w:rPr>
        <w:t xml:space="preserve"> l’interdiction de la torture figurant dans le Pacte international relatif aux droits civils et politiques (PIDCP)</w:t>
      </w:r>
      <w:r w:rsidR="008D6B80">
        <w:rPr>
          <w:lang w:val="fr-FR"/>
        </w:rPr>
        <w:t xml:space="preserve">. </w:t>
      </w:r>
      <w:r>
        <w:rPr>
          <w:lang w:val="fr-FR"/>
        </w:rPr>
        <w:t xml:space="preserve">Elle est habilitée à examiner les plaintes déposées par </w:t>
      </w:r>
      <w:r w:rsidR="0078787D">
        <w:rPr>
          <w:lang w:val="fr-FR"/>
        </w:rPr>
        <w:t>des détenus</w:t>
      </w:r>
      <w:r w:rsidR="00A3585B">
        <w:rPr>
          <w:lang w:val="fr-FR"/>
        </w:rPr>
        <w:t xml:space="preserve"> fédéraux concernant</w:t>
      </w:r>
      <w:r>
        <w:rPr>
          <w:lang w:val="fr-FR"/>
        </w:rPr>
        <w:t xml:space="preserve"> des actes ou pratiques du Commonwealth qu’ils estiment être contraires à </w:t>
      </w:r>
      <w:r w:rsidR="00DB123B">
        <w:rPr>
          <w:lang w:val="fr-FR"/>
        </w:rPr>
        <w:t>l’</w:t>
      </w:r>
      <w:r>
        <w:rPr>
          <w:lang w:val="fr-FR"/>
        </w:rPr>
        <w:t xml:space="preserve">un </w:t>
      </w:r>
      <w:r w:rsidR="00DB123B">
        <w:rPr>
          <w:lang w:val="fr-FR"/>
        </w:rPr>
        <w:t xml:space="preserve">des </w:t>
      </w:r>
      <w:r>
        <w:rPr>
          <w:lang w:val="fr-FR"/>
        </w:rPr>
        <w:t>droit</w:t>
      </w:r>
      <w:r w:rsidR="00DB123B">
        <w:rPr>
          <w:lang w:val="fr-FR"/>
        </w:rPr>
        <w:t>s</w:t>
      </w:r>
      <w:r>
        <w:rPr>
          <w:lang w:val="fr-FR"/>
        </w:rPr>
        <w:t xml:space="preserve"> de l’homme.</w:t>
      </w:r>
    </w:p>
    <w:p w:rsidR="000744E7" w:rsidRDefault="00DB0230" w:rsidP="005D7B68">
      <w:pPr>
        <w:tabs>
          <w:tab w:val="left" w:pos="567"/>
          <w:tab w:val="left" w:pos="1134"/>
          <w:tab w:val="left" w:pos="1701"/>
          <w:tab w:val="left" w:pos="2268"/>
        </w:tabs>
        <w:rPr>
          <w:b/>
          <w:bCs/>
          <w:lang w:val="fr-FR"/>
        </w:rPr>
      </w:pPr>
      <w:r>
        <w:rPr>
          <w:b/>
          <w:bCs/>
          <w:lang w:val="fr-FR"/>
        </w:rPr>
        <w:t>Le Médiateur du Commonwealth</w:t>
      </w:r>
    </w:p>
    <w:p w:rsidR="00DB0230" w:rsidRPr="00DB0230" w:rsidRDefault="00DB0230" w:rsidP="005D7B68">
      <w:pPr>
        <w:tabs>
          <w:tab w:val="left" w:pos="567"/>
          <w:tab w:val="left" w:pos="1134"/>
          <w:tab w:val="left" w:pos="1701"/>
          <w:tab w:val="left" w:pos="2268"/>
        </w:tabs>
        <w:rPr>
          <w:lang w:val="fr-FR"/>
        </w:rPr>
      </w:pPr>
      <w:r>
        <w:rPr>
          <w:lang w:val="fr-FR"/>
        </w:rPr>
        <w:t>21.</w:t>
      </w:r>
      <w:r>
        <w:rPr>
          <w:lang w:val="fr-FR"/>
        </w:rPr>
        <w:tab/>
        <w:t xml:space="preserve">Le Médiateur du Commonwealth exerce ses fonctions en vertu de la </w:t>
      </w:r>
      <w:r w:rsidRPr="00E5004F">
        <w:rPr>
          <w:lang w:val="fr-FR"/>
        </w:rPr>
        <w:t xml:space="preserve">loi de 1976 sur le Médiateur et de la loi de 1979 sur la </w:t>
      </w:r>
      <w:r w:rsidR="00397763">
        <w:rPr>
          <w:lang w:val="fr-FR"/>
        </w:rPr>
        <w:t>police fédérale australienne</w:t>
      </w:r>
      <w:r w:rsidRPr="00E5004F">
        <w:rPr>
          <w:lang w:val="fr-FR"/>
        </w:rPr>
        <w:t xml:space="preserve"> </w:t>
      </w:r>
      <w:r>
        <w:rPr>
          <w:lang w:val="fr-FR"/>
        </w:rPr>
        <w:t>qui permetten</w:t>
      </w:r>
      <w:r w:rsidR="00D74B17">
        <w:rPr>
          <w:lang w:val="fr-FR"/>
        </w:rPr>
        <w:t>t audit Médiateur d’instruire</w:t>
      </w:r>
      <w:r>
        <w:rPr>
          <w:lang w:val="fr-FR"/>
        </w:rPr>
        <w:t xml:space="preserve"> des plaintes déposées contre la </w:t>
      </w:r>
      <w:r w:rsidR="009F5EFE">
        <w:rPr>
          <w:lang w:val="fr-FR"/>
        </w:rPr>
        <w:t>p</w:t>
      </w:r>
      <w:r w:rsidR="00397763">
        <w:rPr>
          <w:lang w:val="fr-FR"/>
        </w:rPr>
        <w:t>olice fédérale australienne</w:t>
      </w:r>
      <w:r>
        <w:rPr>
          <w:lang w:val="fr-FR"/>
        </w:rPr>
        <w:t>.</w:t>
      </w:r>
    </w:p>
    <w:p w:rsidR="0061635E" w:rsidRPr="00DB0230" w:rsidRDefault="00D74B17" w:rsidP="005D7B68">
      <w:pPr>
        <w:tabs>
          <w:tab w:val="left" w:pos="567"/>
          <w:tab w:val="left" w:pos="1134"/>
          <w:tab w:val="left" w:pos="1701"/>
          <w:tab w:val="left" w:pos="2268"/>
        </w:tabs>
        <w:rPr>
          <w:lang w:val="fr-FR"/>
        </w:rPr>
      </w:pPr>
      <w:r>
        <w:rPr>
          <w:lang w:val="fr-FR"/>
        </w:rPr>
        <w:t>22.</w:t>
      </w:r>
      <w:r>
        <w:rPr>
          <w:lang w:val="fr-FR"/>
        </w:rPr>
        <w:tab/>
        <w:t>Toute personne</w:t>
      </w:r>
      <w:r w:rsidR="00DB0230">
        <w:rPr>
          <w:lang w:val="fr-FR"/>
        </w:rPr>
        <w:t xml:space="preserve"> placée en garde à vue par la </w:t>
      </w:r>
      <w:r w:rsidR="009F5EFE">
        <w:rPr>
          <w:lang w:val="fr-FR"/>
        </w:rPr>
        <w:t>p</w:t>
      </w:r>
      <w:r w:rsidR="00397763">
        <w:rPr>
          <w:lang w:val="fr-FR"/>
        </w:rPr>
        <w:t>olice fédérale australienne</w:t>
      </w:r>
      <w:r w:rsidR="003A79E0">
        <w:rPr>
          <w:lang w:val="fr-FR"/>
        </w:rPr>
        <w:t xml:space="preserve"> est autorisée à</w:t>
      </w:r>
      <w:r w:rsidR="00A53C57">
        <w:rPr>
          <w:lang w:val="fr-FR"/>
        </w:rPr>
        <w:t xml:space="preserve"> déposer une plainte au sujet du</w:t>
      </w:r>
      <w:r w:rsidR="002F673B">
        <w:rPr>
          <w:lang w:val="fr-FR"/>
        </w:rPr>
        <w:t xml:space="preserve"> traitement dont elle </w:t>
      </w:r>
      <w:r w:rsidR="00053C88">
        <w:rPr>
          <w:lang w:val="fr-FR"/>
        </w:rPr>
        <w:t xml:space="preserve">a </w:t>
      </w:r>
      <w:r w:rsidR="002F673B">
        <w:rPr>
          <w:lang w:val="fr-FR"/>
        </w:rPr>
        <w:t>fait l’objet de</w:t>
      </w:r>
      <w:r w:rsidR="0056149B">
        <w:rPr>
          <w:lang w:val="fr-FR"/>
        </w:rPr>
        <w:t xml:space="preserve"> la part de cette dernière, qui peut concerner</w:t>
      </w:r>
      <w:r w:rsidR="00572260">
        <w:rPr>
          <w:lang w:val="fr-FR"/>
        </w:rPr>
        <w:t>:</w:t>
      </w:r>
      <w:r w:rsidR="0056149B">
        <w:rPr>
          <w:lang w:val="fr-FR"/>
        </w:rPr>
        <w:t xml:space="preserve"> </w:t>
      </w:r>
    </w:p>
    <w:p w:rsidR="00DB0230" w:rsidRDefault="00D74B17" w:rsidP="005D7B68">
      <w:pPr>
        <w:tabs>
          <w:tab w:val="left" w:pos="567"/>
          <w:tab w:val="left" w:pos="1134"/>
          <w:tab w:val="left" w:pos="1701"/>
          <w:tab w:val="left" w:pos="2268"/>
        </w:tabs>
        <w:rPr>
          <w:lang w:val="fr-FR"/>
        </w:rPr>
      </w:pPr>
      <w:r>
        <w:rPr>
          <w:lang w:val="fr-FR"/>
        </w:rPr>
        <w:tab/>
        <w:t>a)</w:t>
      </w:r>
      <w:r>
        <w:rPr>
          <w:lang w:val="fr-FR"/>
        </w:rPr>
        <w:tab/>
        <w:t>L</w:t>
      </w:r>
      <w:r w:rsidR="0061635E">
        <w:rPr>
          <w:lang w:val="fr-FR"/>
        </w:rPr>
        <w:t xml:space="preserve">’usage de la force par des membres de la </w:t>
      </w:r>
      <w:r w:rsidR="009F5EFE">
        <w:rPr>
          <w:lang w:val="fr-FR"/>
        </w:rPr>
        <w:t>p</w:t>
      </w:r>
      <w:r w:rsidR="00397763">
        <w:rPr>
          <w:lang w:val="fr-FR"/>
        </w:rPr>
        <w:t>olice fédérale australienne</w:t>
      </w:r>
      <w:r w:rsidR="0061635E">
        <w:rPr>
          <w:lang w:val="fr-FR"/>
        </w:rPr>
        <w:t xml:space="preserve"> envers elle</w:t>
      </w:r>
      <w:r w:rsidR="00572260">
        <w:rPr>
          <w:lang w:val="fr-FR"/>
        </w:rPr>
        <w:t>;</w:t>
      </w:r>
    </w:p>
    <w:p w:rsidR="0061635E" w:rsidRDefault="00D74B17" w:rsidP="005D7B68">
      <w:pPr>
        <w:tabs>
          <w:tab w:val="left" w:pos="567"/>
          <w:tab w:val="left" w:pos="1134"/>
          <w:tab w:val="left" w:pos="1701"/>
          <w:tab w:val="left" w:pos="2268"/>
        </w:tabs>
        <w:rPr>
          <w:lang w:val="fr-FR"/>
        </w:rPr>
      </w:pPr>
      <w:r>
        <w:rPr>
          <w:lang w:val="fr-FR"/>
        </w:rPr>
        <w:tab/>
        <w:t>b)</w:t>
      </w:r>
      <w:r>
        <w:rPr>
          <w:lang w:val="fr-FR"/>
        </w:rPr>
        <w:tab/>
        <w:t>L</w:t>
      </w:r>
      <w:r w:rsidR="0061635E">
        <w:rPr>
          <w:lang w:val="fr-FR"/>
        </w:rPr>
        <w:t xml:space="preserve">e comportement de membres de la </w:t>
      </w:r>
      <w:r w:rsidR="009F5EFE">
        <w:rPr>
          <w:lang w:val="fr-FR"/>
        </w:rPr>
        <w:t>p</w:t>
      </w:r>
      <w:r w:rsidR="00397763">
        <w:rPr>
          <w:lang w:val="fr-FR"/>
        </w:rPr>
        <w:t>olice fédérale australienne</w:t>
      </w:r>
      <w:r w:rsidR="009F5EFE">
        <w:rPr>
          <w:lang w:val="fr-FR"/>
        </w:rPr>
        <w:t xml:space="preserve"> à son égard</w:t>
      </w:r>
      <w:r w:rsidR="0061635E">
        <w:rPr>
          <w:lang w:val="fr-FR"/>
        </w:rPr>
        <w:t xml:space="preserve"> au cours</w:t>
      </w:r>
      <w:r>
        <w:rPr>
          <w:lang w:val="fr-FR"/>
        </w:rPr>
        <w:t xml:space="preserve"> de l’</w:t>
      </w:r>
      <w:r w:rsidR="0061635E">
        <w:rPr>
          <w:lang w:val="fr-FR"/>
        </w:rPr>
        <w:t>arrestation, de l’interrogat</w:t>
      </w:r>
      <w:r>
        <w:rPr>
          <w:lang w:val="fr-FR"/>
        </w:rPr>
        <w:t>oire et de l’inculpation</w:t>
      </w:r>
      <w:r w:rsidR="00572260">
        <w:rPr>
          <w:lang w:val="fr-FR"/>
        </w:rPr>
        <w:t>;</w:t>
      </w:r>
    </w:p>
    <w:p w:rsidR="0061635E" w:rsidRDefault="00D74B17" w:rsidP="005D7B68">
      <w:pPr>
        <w:tabs>
          <w:tab w:val="left" w:pos="567"/>
          <w:tab w:val="left" w:pos="1134"/>
          <w:tab w:val="left" w:pos="1701"/>
          <w:tab w:val="left" w:pos="2268"/>
        </w:tabs>
        <w:rPr>
          <w:lang w:val="fr-FR"/>
        </w:rPr>
      </w:pPr>
      <w:r>
        <w:rPr>
          <w:lang w:val="fr-FR"/>
        </w:rPr>
        <w:tab/>
        <w:t>c)</w:t>
      </w:r>
      <w:r>
        <w:rPr>
          <w:lang w:val="fr-FR"/>
        </w:rPr>
        <w:tab/>
        <w:t>L</w:t>
      </w:r>
      <w:r w:rsidR="0061635E">
        <w:rPr>
          <w:lang w:val="fr-FR"/>
        </w:rPr>
        <w:t xml:space="preserve">e comportement de membres de la </w:t>
      </w:r>
      <w:r w:rsidR="009F5EFE">
        <w:rPr>
          <w:lang w:val="fr-FR"/>
        </w:rPr>
        <w:t>p</w:t>
      </w:r>
      <w:r w:rsidR="00397763">
        <w:rPr>
          <w:lang w:val="fr-FR"/>
        </w:rPr>
        <w:t>olice fédérale australienne</w:t>
      </w:r>
      <w:r w:rsidR="0061635E">
        <w:rPr>
          <w:lang w:val="fr-FR"/>
        </w:rPr>
        <w:t xml:space="preserve"> à son égard pendant sa garde à vue</w:t>
      </w:r>
      <w:r w:rsidR="00572260">
        <w:rPr>
          <w:lang w:val="fr-FR"/>
        </w:rPr>
        <w:t>;</w:t>
      </w:r>
    </w:p>
    <w:p w:rsidR="0061635E" w:rsidRDefault="00D74B17" w:rsidP="005D7B68">
      <w:pPr>
        <w:tabs>
          <w:tab w:val="left" w:pos="567"/>
          <w:tab w:val="left" w:pos="1134"/>
          <w:tab w:val="left" w:pos="1701"/>
          <w:tab w:val="left" w:pos="2268"/>
        </w:tabs>
        <w:rPr>
          <w:lang w:val="fr-FR"/>
        </w:rPr>
      </w:pPr>
      <w:r>
        <w:rPr>
          <w:lang w:val="fr-FR"/>
        </w:rPr>
        <w:tab/>
        <w:t>d)</w:t>
      </w:r>
      <w:r>
        <w:rPr>
          <w:lang w:val="fr-FR"/>
        </w:rPr>
        <w:tab/>
        <w:t>L</w:t>
      </w:r>
      <w:r w:rsidR="00397763">
        <w:rPr>
          <w:lang w:val="fr-FR"/>
        </w:rPr>
        <w:t>e fait que la police fédérale australienne</w:t>
      </w:r>
      <w:r w:rsidR="0061635E">
        <w:rPr>
          <w:lang w:val="fr-FR"/>
        </w:rPr>
        <w:t xml:space="preserve"> ne lui a pas </w:t>
      </w:r>
      <w:r w:rsidR="00796A74">
        <w:rPr>
          <w:lang w:val="fr-FR"/>
        </w:rPr>
        <w:t>permis d’avoir accès à un avocat</w:t>
      </w:r>
      <w:r w:rsidR="0061635E">
        <w:rPr>
          <w:lang w:val="fr-FR"/>
        </w:rPr>
        <w:t xml:space="preserve"> de son choix ou d’informer un membre de sa famille de son lieu de séjour</w:t>
      </w:r>
      <w:r w:rsidR="00572260">
        <w:rPr>
          <w:lang w:val="fr-FR"/>
        </w:rPr>
        <w:t>;</w:t>
      </w:r>
    </w:p>
    <w:p w:rsidR="0061635E" w:rsidRDefault="00397763" w:rsidP="005D7B68">
      <w:pPr>
        <w:tabs>
          <w:tab w:val="left" w:pos="567"/>
          <w:tab w:val="left" w:pos="1134"/>
          <w:tab w:val="left" w:pos="1701"/>
          <w:tab w:val="left" w:pos="2268"/>
        </w:tabs>
        <w:rPr>
          <w:lang w:val="fr-FR"/>
        </w:rPr>
      </w:pPr>
      <w:r>
        <w:rPr>
          <w:lang w:val="fr-FR"/>
        </w:rPr>
        <w:tab/>
        <w:t>e)</w:t>
      </w:r>
      <w:r>
        <w:rPr>
          <w:lang w:val="fr-FR"/>
        </w:rPr>
        <w:tab/>
        <w:t>Le fait que la police fédérale australienne</w:t>
      </w:r>
      <w:r w:rsidR="0061635E">
        <w:rPr>
          <w:lang w:val="fr-FR"/>
        </w:rPr>
        <w:t xml:space="preserve"> ne lui a pas fourni une assistance médicale ou un traitement médical alors que</w:t>
      </w:r>
      <w:r w:rsidR="00F946EC">
        <w:rPr>
          <w:lang w:val="fr-FR"/>
        </w:rPr>
        <w:t xml:space="preserve"> son état de santé</w:t>
      </w:r>
      <w:r w:rsidR="0061635E">
        <w:rPr>
          <w:lang w:val="fr-FR"/>
        </w:rPr>
        <w:t xml:space="preserve"> l’exigeait.</w:t>
      </w:r>
    </w:p>
    <w:p w:rsidR="00DF1085" w:rsidRPr="0061635E" w:rsidRDefault="008F6B3F" w:rsidP="008F6B3F">
      <w:pPr>
        <w:tabs>
          <w:tab w:val="left" w:pos="567"/>
          <w:tab w:val="left" w:pos="1134"/>
          <w:tab w:val="left" w:pos="1701"/>
          <w:tab w:val="left" w:pos="2268"/>
        </w:tabs>
        <w:rPr>
          <w:lang w:val="fr-FR"/>
        </w:rPr>
      </w:pPr>
      <w:r>
        <w:rPr>
          <w:lang w:val="fr-FR"/>
        </w:rPr>
        <w:tab/>
      </w:r>
      <w:r w:rsidR="0061635E">
        <w:rPr>
          <w:lang w:val="fr-FR"/>
        </w:rPr>
        <w:t>Note</w:t>
      </w:r>
      <w:r w:rsidR="00572260">
        <w:rPr>
          <w:lang w:val="fr-FR"/>
        </w:rPr>
        <w:t>:</w:t>
      </w:r>
      <w:r w:rsidR="0061635E">
        <w:rPr>
          <w:lang w:val="fr-FR"/>
        </w:rPr>
        <w:t xml:space="preserve"> l’accès </w:t>
      </w:r>
      <w:r w:rsidR="00DF1085">
        <w:rPr>
          <w:lang w:val="fr-FR"/>
        </w:rPr>
        <w:t xml:space="preserve">de la personne </w:t>
      </w:r>
      <w:r w:rsidR="00397763">
        <w:rPr>
          <w:lang w:val="fr-FR"/>
        </w:rPr>
        <w:t xml:space="preserve">placée </w:t>
      </w:r>
      <w:r w:rsidR="00DF1085">
        <w:rPr>
          <w:lang w:val="fr-FR"/>
        </w:rPr>
        <w:t xml:space="preserve">en état d’arrestation </w:t>
      </w:r>
      <w:r w:rsidR="0061635E">
        <w:rPr>
          <w:lang w:val="fr-FR"/>
        </w:rPr>
        <w:t>à un médecin</w:t>
      </w:r>
      <w:r w:rsidR="00DF1085">
        <w:rPr>
          <w:lang w:val="fr-FR"/>
        </w:rPr>
        <w:t xml:space="preserve"> de son choix n’est pas un droit juridique</w:t>
      </w:r>
      <w:r w:rsidR="008D6B80">
        <w:rPr>
          <w:lang w:val="fr-FR"/>
        </w:rPr>
        <w:t xml:space="preserve">. </w:t>
      </w:r>
      <w:r w:rsidR="00397763">
        <w:rPr>
          <w:lang w:val="fr-FR"/>
        </w:rPr>
        <w:t>Toutefois, les membres de la police fédérale australienne</w:t>
      </w:r>
      <w:r w:rsidR="000868B5">
        <w:rPr>
          <w:lang w:val="fr-FR"/>
        </w:rPr>
        <w:t xml:space="preserve"> </w:t>
      </w:r>
      <w:r w:rsidR="000868B5" w:rsidRPr="000868B5">
        <w:rPr>
          <w:lang w:val="fr-FR"/>
        </w:rPr>
        <w:t>en charge de la</w:t>
      </w:r>
      <w:r w:rsidR="00DF1085" w:rsidRPr="000868B5">
        <w:rPr>
          <w:lang w:val="fr-FR"/>
        </w:rPr>
        <w:t xml:space="preserve"> garde à vue sont tenus de pourvoir au traitement médical des intéressés, cette obligation</w:t>
      </w:r>
      <w:r w:rsidR="00DF1085">
        <w:rPr>
          <w:lang w:val="fr-FR"/>
        </w:rPr>
        <w:t xml:space="preserve"> relevant des dispositions de droit pénal concernant </w:t>
      </w:r>
      <w:r w:rsidR="00397763">
        <w:rPr>
          <w:lang w:val="fr-FR"/>
        </w:rPr>
        <w:t>la garde à vue</w:t>
      </w:r>
      <w:r w:rsidR="00DF1085">
        <w:rPr>
          <w:lang w:val="fr-FR"/>
        </w:rPr>
        <w:t>.</w:t>
      </w:r>
    </w:p>
    <w:p w:rsidR="004E22ED" w:rsidRPr="00DF1085" w:rsidRDefault="00DF1085" w:rsidP="005D7B68">
      <w:pPr>
        <w:tabs>
          <w:tab w:val="left" w:pos="567"/>
          <w:tab w:val="left" w:pos="1134"/>
          <w:tab w:val="left" w:pos="1701"/>
          <w:tab w:val="left" w:pos="2268"/>
        </w:tabs>
        <w:rPr>
          <w:lang w:val="fr-FR"/>
        </w:rPr>
      </w:pPr>
      <w:r>
        <w:rPr>
          <w:lang w:val="fr-FR"/>
        </w:rPr>
        <w:t>23.</w:t>
      </w:r>
      <w:r>
        <w:rPr>
          <w:lang w:val="fr-FR"/>
        </w:rPr>
        <w:tab/>
        <w:t>En vertu de la</w:t>
      </w:r>
      <w:r>
        <w:rPr>
          <w:i/>
          <w:iCs/>
          <w:lang w:val="fr-FR"/>
        </w:rPr>
        <w:t xml:space="preserve"> </w:t>
      </w:r>
      <w:r w:rsidRPr="00397763">
        <w:rPr>
          <w:lang w:val="fr-FR"/>
        </w:rPr>
        <w:t>loi de 1979 sur la</w:t>
      </w:r>
      <w:r>
        <w:rPr>
          <w:i/>
          <w:iCs/>
          <w:lang w:val="fr-FR"/>
        </w:rPr>
        <w:t xml:space="preserve"> </w:t>
      </w:r>
      <w:r w:rsidR="00397763">
        <w:rPr>
          <w:lang w:val="fr-FR"/>
        </w:rPr>
        <w:t>police fédérale australienne, toute</w:t>
      </w:r>
      <w:r>
        <w:rPr>
          <w:lang w:val="fr-FR"/>
        </w:rPr>
        <w:t xml:space="preserve"> per</w:t>
      </w:r>
      <w:r w:rsidR="003A79E0">
        <w:rPr>
          <w:lang w:val="fr-FR"/>
        </w:rPr>
        <w:t>sonne est autorisée à</w:t>
      </w:r>
      <w:r w:rsidR="004E22ED">
        <w:rPr>
          <w:lang w:val="fr-FR"/>
        </w:rPr>
        <w:t xml:space="preserve"> porter plainte auprès de</w:t>
      </w:r>
      <w:r w:rsidR="00897FF5">
        <w:rPr>
          <w:lang w:val="fr-FR"/>
        </w:rPr>
        <w:t xml:space="preserve"> cette dernière</w:t>
      </w:r>
      <w:r>
        <w:rPr>
          <w:lang w:val="fr-FR"/>
        </w:rPr>
        <w:t xml:space="preserve">, </w:t>
      </w:r>
      <w:r w:rsidR="004E22ED">
        <w:rPr>
          <w:lang w:val="fr-FR"/>
        </w:rPr>
        <w:t>laq</w:t>
      </w:r>
      <w:r w:rsidR="00397763">
        <w:rPr>
          <w:lang w:val="fr-FR"/>
        </w:rPr>
        <w:t>uelle est tenue par la loi d’</w:t>
      </w:r>
      <w:r w:rsidR="004E22ED">
        <w:rPr>
          <w:lang w:val="fr-FR"/>
        </w:rPr>
        <w:t>instruire</w:t>
      </w:r>
      <w:r w:rsidR="00397763">
        <w:rPr>
          <w:lang w:val="fr-FR"/>
        </w:rPr>
        <w:t xml:space="preserve"> cette plainte</w:t>
      </w:r>
      <w:r w:rsidR="004E22ED">
        <w:rPr>
          <w:lang w:val="fr-FR"/>
        </w:rPr>
        <w:t>.</w:t>
      </w:r>
    </w:p>
    <w:p w:rsidR="004E22ED" w:rsidRPr="004E22ED" w:rsidRDefault="004E22ED" w:rsidP="005D7B68">
      <w:pPr>
        <w:tabs>
          <w:tab w:val="left" w:pos="567"/>
          <w:tab w:val="left" w:pos="1134"/>
          <w:tab w:val="left" w:pos="1701"/>
          <w:tab w:val="left" w:pos="2268"/>
        </w:tabs>
        <w:rPr>
          <w:lang w:val="fr-FR"/>
        </w:rPr>
      </w:pPr>
      <w:r>
        <w:rPr>
          <w:lang w:val="fr-FR"/>
        </w:rPr>
        <w:t>24.</w:t>
      </w:r>
      <w:r>
        <w:rPr>
          <w:lang w:val="fr-FR"/>
        </w:rPr>
        <w:tab/>
        <w:t xml:space="preserve">La fonction du Médiateur du Commonwealth consistant à examiner la manière dont la </w:t>
      </w:r>
      <w:r w:rsidR="00AA305D">
        <w:rPr>
          <w:lang w:val="fr-FR"/>
        </w:rPr>
        <w:t>police fédérale</w:t>
      </w:r>
      <w:r>
        <w:rPr>
          <w:lang w:val="fr-FR"/>
        </w:rPr>
        <w:t xml:space="preserve"> traite les plaintes déposées au titre de </w:t>
      </w:r>
      <w:r w:rsidR="00AA305D">
        <w:rPr>
          <w:lang w:val="fr-FR"/>
        </w:rPr>
        <w:t>la loi de 1979</w:t>
      </w:r>
      <w:r>
        <w:rPr>
          <w:lang w:val="fr-FR"/>
        </w:rPr>
        <w:t xml:space="preserve"> permet audit Médiateur d’obtenir des informations sur le traitement des plaintes par la</w:t>
      </w:r>
      <w:r w:rsidR="007B1B10">
        <w:rPr>
          <w:lang w:val="fr-FR"/>
        </w:rPr>
        <w:t>dite</w:t>
      </w:r>
      <w:r>
        <w:rPr>
          <w:lang w:val="fr-FR"/>
        </w:rPr>
        <w:t xml:space="preserve"> </w:t>
      </w:r>
      <w:r w:rsidR="007B1B10">
        <w:rPr>
          <w:lang w:val="fr-FR"/>
        </w:rPr>
        <w:t>police</w:t>
      </w:r>
      <w:r>
        <w:rPr>
          <w:lang w:val="fr-FR"/>
        </w:rPr>
        <w:t>, d’avoir accès aux procès verbaux d’enquêtes, de les examiner et d’établir des rapports à leur sujet.</w:t>
      </w:r>
    </w:p>
    <w:p w:rsidR="0061635E" w:rsidRDefault="004E22ED" w:rsidP="005D7B68">
      <w:pPr>
        <w:tabs>
          <w:tab w:val="left" w:pos="567"/>
          <w:tab w:val="left" w:pos="1134"/>
          <w:tab w:val="left" w:pos="1701"/>
          <w:tab w:val="left" w:pos="2268"/>
        </w:tabs>
        <w:rPr>
          <w:lang w:val="fr-FR"/>
        </w:rPr>
      </w:pPr>
      <w:r>
        <w:rPr>
          <w:lang w:val="fr-FR"/>
        </w:rPr>
        <w:t>25.</w:t>
      </w:r>
      <w:r>
        <w:rPr>
          <w:lang w:val="fr-FR"/>
        </w:rPr>
        <w:tab/>
        <w:t xml:space="preserve">Toute personne placée en garde à vue par la </w:t>
      </w:r>
      <w:r w:rsidR="00397763">
        <w:rPr>
          <w:lang w:val="fr-FR"/>
        </w:rPr>
        <w:t>police fédérale australienne</w:t>
      </w:r>
      <w:r>
        <w:rPr>
          <w:lang w:val="fr-FR"/>
        </w:rPr>
        <w:t xml:space="preserve"> peut également</w:t>
      </w:r>
      <w:r w:rsidR="00DD6C9D">
        <w:rPr>
          <w:lang w:val="fr-FR"/>
        </w:rPr>
        <w:t xml:space="preserve"> porter plainte directement auprès du Mé</w:t>
      </w:r>
      <w:r w:rsidR="00B25F33">
        <w:rPr>
          <w:lang w:val="fr-FR"/>
        </w:rPr>
        <w:t>diate</w:t>
      </w:r>
      <w:r w:rsidR="003D6F39">
        <w:rPr>
          <w:lang w:val="fr-FR"/>
        </w:rPr>
        <w:t>ur du Commonwealth au sujet du</w:t>
      </w:r>
      <w:r w:rsidR="00397763">
        <w:rPr>
          <w:lang w:val="fr-FR"/>
        </w:rPr>
        <w:t xml:space="preserve"> comportement de </w:t>
      </w:r>
      <w:r w:rsidR="00F05341">
        <w:rPr>
          <w:lang w:val="fr-FR"/>
        </w:rPr>
        <w:t>ses membres</w:t>
      </w:r>
      <w:r w:rsidR="00DD6C9D">
        <w:rPr>
          <w:lang w:val="fr-FR"/>
        </w:rPr>
        <w:t>.</w:t>
      </w:r>
    </w:p>
    <w:p w:rsidR="00D325C8" w:rsidRDefault="00B25F33" w:rsidP="005D7B68">
      <w:pPr>
        <w:tabs>
          <w:tab w:val="left" w:pos="567"/>
          <w:tab w:val="left" w:pos="1134"/>
          <w:tab w:val="left" w:pos="1701"/>
          <w:tab w:val="left" w:pos="2268"/>
        </w:tabs>
        <w:rPr>
          <w:b/>
          <w:bCs/>
          <w:lang w:val="fr-FR"/>
        </w:rPr>
      </w:pPr>
      <w:r>
        <w:rPr>
          <w:b/>
          <w:bCs/>
          <w:lang w:val="fr-FR"/>
        </w:rPr>
        <w:t>Informations d</w:t>
      </w:r>
      <w:r w:rsidR="00397763">
        <w:rPr>
          <w:b/>
          <w:bCs/>
          <w:lang w:val="fr-FR"/>
        </w:rPr>
        <w:t xml:space="preserve">es </w:t>
      </w:r>
      <w:r w:rsidR="00003AC8">
        <w:rPr>
          <w:b/>
          <w:bCs/>
          <w:lang w:val="fr-FR"/>
        </w:rPr>
        <w:t>État</w:t>
      </w:r>
      <w:r w:rsidR="00397763">
        <w:rPr>
          <w:b/>
          <w:bCs/>
          <w:lang w:val="fr-FR"/>
        </w:rPr>
        <w:t>s et</w:t>
      </w:r>
      <w:r w:rsidR="007330E2">
        <w:rPr>
          <w:b/>
          <w:bCs/>
          <w:lang w:val="fr-FR"/>
        </w:rPr>
        <w:t xml:space="preserve"> t</w:t>
      </w:r>
      <w:r w:rsidR="00003AC8">
        <w:rPr>
          <w:b/>
          <w:bCs/>
          <w:lang w:val="fr-FR"/>
        </w:rPr>
        <w:t>erritoires</w:t>
      </w:r>
    </w:p>
    <w:p w:rsidR="00003AC8" w:rsidRDefault="00003AC8" w:rsidP="005D7B68">
      <w:pPr>
        <w:tabs>
          <w:tab w:val="left" w:pos="567"/>
          <w:tab w:val="left" w:pos="1134"/>
          <w:tab w:val="left" w:pos="1701"/>
          <w:tab w:val="left" w:pos="2268"/>
        </w:tabs>
        <w:rPr>
          <w:b/>
          <w:bCs/>
          <w:lang w:val="fr-FR"/>
        </w:rPr>
      </w:pPr>
      <w:r>
        <w:rPr>
          <w:b/>
          <w:bCs/>
          <w:lang w:val="fr-FR"/>
        </w:rPr>
        <w:t>Nouvelle-Galles du Sud</w:t>
      </w:r>
    </w:p>
    <w:p w:rsidR="00C73BC3" w:rsidRPr="00003AC8" w:rsidRDefault="00003AC8" w:rsidP="005D7B68">
      <w:pPr>
        <w:tabs>
          <w:tab w:val="left" w:pos="567"/>
          <w:tab w:val="left" w:pos="1134"/>
          <w:tab w:val="left" w:pos="1701"/>
          <w:tab w:val="left" w:pos="2268"/>
        </w:tabs>
        <w:rPr>
          <w:lang w:val="fr-FR"/>
        </w:rPr>
      </w:pPr>
      <w:r>
        <w:rPr>
          <w:lang w:val="fr-FR"/>
        </w:rPr>
        <w:t>26.</w:t>
      </w:r>
      <w:r>
        <w:rPr>
          <w:lang w:val="fr-FR"/>
        </w:rPr>
        <w:tab/>
        <w:t xml:space="preserve">L’article 122 1), paragraphe a) de la </w:t>
      </w:r>
      <w:r w:rsidRPr="00397763">
        <w:rPr>
          <w:lang w:val="fr-FR"/>
        </w:rPr>
        <w:t>loi de 2002 sur la police et la justice (pouvoirs et responsabilités)</w:t>
      </w:r>
      <w:r>
        <w:rPr>
          <w:i/>
          <w:iCs/>
          <w:lang w:val="fr-FR"/>
        </w:rPr>
        <w:t xml:space="preserve"> </w:t>
      </w:r>
      <w:r w:rsidR="00397763">
        <w:rPr>
          <w:lang w:val="fr-FR"/>
        </w:rPr>
        <w:t>(Nouvelle-Galles du Sud)</w:t>
      </w:r>
      <w:r>
        <w:rPr>
          <w:lang w:val="fr-FR"/>
        </w:rPr>
        <w:t>) (</w:t>
      </w:r>
      <w:r w:rsidRPr="00397763">
        <w:rPr>
          <w:i/>
          <w:iCs/>
          <w:lang w:val="fr-FR"/>
        </w:rPr>
        <w:t>LEPAR Act</w:t>
      </w:r>
      <w:r>
        <w:rPr>
          <w:lang w:val="fr-FR"/>
        </w:rPr>
        <w:t>) dispose que to</w:t>
      </w:r>
      <w:r w:rsidR="00397763">
        <w:rPr>
          <w:lang w:val="fr-FR"/>
        </w:rPr>
        <w:t>ute personne placée en garde à vue</w:t>
      </w:r>
      <w:r>
        <w:rPr>
          <w:lang w:val="fr-FR"/>
        </w:rPr>
        <w:t xml:space="preserve"> doit être informée dès que possible </w:t>
      </w:r>
      <w:r w:rsidRPr="000868B5">
        <w:rPr>
          <w:lang w:val="fr-FR"/>
        </w:rPr>
        <w:t xml:space="preserve">par le </w:t>
      </w:r>
      <w:r w:rsidR="000868B5" w:rsidRPr="000868B5">
        <w:rPr>
          <w:lang w:val="fr-FR"/>
        </w:rPr>
        <w:t>policier chargé</w:t>
      </w:r>
      <w:r w:rsidRPr="000868B5">
        <w:rPr>
          <w:lang w:val="fr-FR"/>
        </w:rPr>
        <w:t xml:space="preserve"> de la garde à vue qu’elle n’est pas obligée de dire ou de faire quoi que ce soit, mais que tout ce qu’elle dit ou fait </w:t>
      </w:r>
      <w:r w:rsidR="00922162">
        <w:rPr>
          <w:lang w:val="fr-FR"/>
        </w:rPr>
        <w:t>peut être retenu contre elle</w:t>
      </w:r>
      <w:r w:rsidR="008D6B80">
        <w:rPr>
          <w:lang w:val="fr-FR"/>
        </w:rPr>
        <w:t xml:space="preserve">. </w:t>
      </w:r>
      <w:r w:rsidR="00922162">
        <w:rPr>
          <w:lang w:val="fr-FR"/>
        </w:rPr>
        <w:t>C</w:t>
      </w:r>
      <w:r w:rsidRPr="000868B5">
        <w:rPr>
          <w:lang w:val="fr-FR"/>
        </w:rPr>
        <w:t xml:space="preserve">e </w:t>
      </w:r>
      <w:r w:rsidR="00922162">
        <w:rPr>
          <w:lang w:val="fr-FR"/>
        </w:rPr>
        <w:t>policier</w:t>
      </w:r>
      <w:r w:rsidRPr="000868B5">
        <w:rPr>
          <w:lang w:val="fr-FR"/>
        </w:rPr>
        <w:t xml:space="preserve"> est également tenu de</w:t>
      </w:r>
      <w:r w:rsidR="001F2F9C" w:rsidRPr="000868B5">
        <w:rPr>
          <w:lang w:val="fr-FR"/>
        </w:rPr>
        <w:t xml:space="preserve"> communiquer à l</w:t>
      </w:r>
      <w:r w:rsidR="00CC6F04" w:rsidRPr="000868B5">
        <w:rPr>
          <w:lang w:val="fr-FR"/>
        </w:rPr>
        <w:t>’intéressé</w:t>
      </w:r>
      <w:r w:rsidR="001F2F9C" w:rsidRPr="000868B5">
        <w:rPr>
          <w:lang w:val="fr-FR"/>
        </w:rPr>
        <w:t xml:space="preserve"> un résu</w:t>
      </w:r>
      <w:r w:rsidR="00CC6F04" w:rsidRPr="000868B5">
        <w:rPr>
          <w:lang w:val="fr-FR"/>
        </w:rPr>
        <w:t>mé des dispositions du</w:t>
      </w:r>
      <w:r w:rsidR="00CC6F04">
        <w:rPr>
          <w:lang w:val="fr-FR"/>
        </w:rPr>
        <w:t xml:space="preserve"> titre</w:t>
      </w:r>
      <w:r w:rsidR="001F2F9C">
        <w:rPr>
          <w:lang w:val="fr-FR"/>
        </w:rPr>
        <w:t xml:space="preserve"> 9 de la </w:t>
      </w:r>
      <w:r w:rsidR="001F2F9C" w:rsidRPr="00CC6F04">
        <w:rPr>
          <w:i/>
          <w:iCs/>
          <w:lang w:val="fr-FR"/>
        </w:rPr>
        <w:t>LEPAR Act</w:t>
      </w:r>
      <w:r w:rsidR="001F2F9C">
        <w:rPr>
          <w:lang w:val="fr-FR"/>
        </w:rPr>
        <w:t xml:space="preserve"> donnant un aperçu de la procédure policière d’enquête et d’interrogatoire </w:t>
      </w:r>
      <w:r w:rsidR="007330E2">
        <w:rPr>
          <w:lang w:val="fr-FR"/>
        </w:rPr>
        <w:t>(art.</w:t>
      </w:r>
      <w:r w:rsidR="001F2F9C">
        <w:rPr>
          <w:lang w:val="fr-FR"/>
        </w:rPr>
        <w:t xml:space="preserve"> 122 1) b)).</w:t>
      </w:r>
      <w:r>
        <w:rPr>
          <w:lang w:val="fr-FR"/>
        </w:rPr>
        <w:t xml:space="preserve"> </w:t>
      </w:r>
    </w:p>
    <w:p w:rsidR="004B73D9" w:rsidRPr="000868B5" w:rsidRDefault="00C73BC3" w:rsidP="005D7B68">
      <w:pPr>
        <w:tabs>
          <w:tab w:val="left" w:pos="567"/>
          <w:tab w:val="left" w:pos="1134"/>
          <w:tab w:val="left" w:pos="1701"/>
          <w:tab w:val="left" w:pos="2268"/>
        </w:tabs>
        <w:rPr>
          <w:lang w:val="fr-FR"/>
        </w:rPr>
      </w:pPr>
      <w:r>
        <w:rPr>
          <w:lang w:val="fr-FR"/>
        </w:rPr>
        <w:t>27.</w:t>
      </w:r>
      <w:r>
        <w:rPr>
          <w:lang w:val="fr-FR"/>
        </w:rPr>
        <w:tab/>
        <w:t xml:space="preserve">L’article 123 de la </w:t>
      </w:r>
      <w:r w:rsidRPr="008C3B9F">
        <w:rPr>
          <w:i/>
          <w:iCs/>
          <w:lang w:val="fr-FR"/>
        </w:rPr>
        <w:t>LEPAR Act</w:t>
      </w:r>
      <w:r>
        <w:rPr>
          <w:lang w:val="fr-FR"/>
        </w:rPr>
        <w:t xml:space="preserve"> confère aussi aux personnes placées en </w:t>
      </w:r>
      <w:r w:rsidR="00E97C35">
        <w:rPr>
          <w:lang w:val="fr-FR"/>
        </w:rPr>
        <w:t>garde à vue</w:t>
      </w:r>
      <w:r>
        <w:rPr>
          <w:lang w:val="fr-FR"/>
        </w:rPr>
        <w:t xml:space="preserve"> le droit de communiquer avec un ami, un parent, un tuteur ou une personne ind</w:t>
      </w:r>
      <w:r w:rsidR="00603724">
        <w:rPr>
          <w:lang w:val="fr-FR"/>
        </w:rPr>
        <w:t>épendante, ainsi qu’avec un avocat</w:t>
      </w:r>
      <w:r w:rsidR="008D6B80">
        <w:rPr>
          <w:lang w:val="fr-FR"/>
        </w:rPr>
        <w:t xml:space="preserve">. </w:t>
      </w:r>
      <w:r>
        <w:rPr>
          <w:lang w:val="fr-FR"/>
        </w:rPr>
        <w:t>Avant l’ouverture de toute p</w:t>
      </w:r>
      <w:r w:rsidR="00E97C35">
        <w:rPr>
          <w:lang w:val="fr-FR"/>
        </w:rPr>
        <w:t>rocédure d’enquête</w:t>
      </w:r>
      <w:r>
        <w:rPr>
          <w:lang w:val="fr-FR"/>
        </w:rPr>
        <w:t xml:space="preserve">, </w:t>
      </w:r>
      <w:r w:rsidRPr="000868B5">
        <w:rPr>
          <w:lang w:val="fr-FR"/>
        </w:rPr>
        <w:t xml:space="preserve">le </w:t>
      </w:r>
      <w:r w:rsidR="000868B5" w:rsidRPr="000868B5">
        <w:rPr>
          <w:lang w:val="fr-FR"/>
        </w:rPr>
        <w:t>policier en charge</w:t>
      </w:r>
      <w:r w:rsidRPr="000868B5">
        <w:rPr>
          <w:lang w:val="fr-FR"/>
        </w:rPr>
        <w:t xml:space="preserve"> de la garde à vu</w:t>
      </w:r>
      <w:r w:rsidR="00E97C35">
        <w:rPr>
          <w:lang w:val="fr-FR"/>
        </w:rPr>
        <w:t>e est tenu d</w:t>
      </w:r>
      <w:r w:rsidRPr="000868B5">
        <w:rPr>
          <w:lang w:val="fr-FR"/>
        </w:rPr>
        <w:t xml:space="preserve">’informer </w:t>
      </w:r>
      <w:r w:rsidR="00E97C35">
        <w:rPr>
          <w:lang w:val="fr-FR"/>
        </w:rPr>
        <w:t xml:space="preserve">l’intéressé </w:t>
      </w:r>
      <w:r w:rsidRPr="000868B5">
        <w:rPr>
          <w:lang w:val="fr-FR"/>
        </w:rPr>
        <w:t>oralement et pa</w:t>
      </w:r>
      <w:r w:rsidR="00E97C35">
        <w:rPr>
          <w:lang w:val="fr-FR"/>
        </w:rPr>
        <w:t>r écrit qu’il</w:t>
      </w:r>
      <w:r w:rsidR="008C3B9F" w:rsidRPr="000868B5">
        <w:rPr>
          <w:lang w:val="fr-FR"/>
        </w:rPr>
        <w:t xml:space="preserve"> peut prendre </w:t>
      </w:r>
      <w:r w:rsidR="00F05341" w:rsidRPr="000868B5">
        <w:rPr>
          <w:lang w:val="fr-FR"/>
        </w:rPr>
        <w:t xml:space="preserve">(ou tenter de prendre) </w:t>
      </w:r>
      <w:r w:rsidR="008C3B9F" w:rsidRPr="000868B5">
        <w:rPr>
          <w:lang w:val="fr-FR"/>
        </w:rPr>
        <w:t>contact</w:t>
      </w:r>
      <w:r w:rsidRPr="000868B5">
        <w:rPr>
          <w:lang w:val="fr-FR"/>
        </w:rPr>
        <w:t xml:space="preserve"> avec un ami, un parent, un tuteur ou une personne indépendante pour lui indiquer son lieu de séjour et lui demander de venir l</w:t>
      </w:r>
      <w:r w:rsidR="00603724">
        <w:rPr>
          <w:lang w:val="fr-FR"/>
        </w:rPr>
        <w:t>’y voir</w:t>
      </w:r>
      <w:r w:rsidRPr="000868B5">
        <w:rPr>
          <w:lang w:val="fr-FR"/>
        </w:rPr>
        <w:t xml:space="preserve"> (art. 123 1) a)</w:t>
      </w:r>
      <w:r w:rsidR="008D6B80">
        <w:rPr>
          <w:lang w:val="fr-FR"/>
        </w:rPr>
        <w:t xml:space="preserve">. </w:t>
      </w:r>
      <w:r w:rsidRPr="000868B5">
        <w:rPr>
          <w:lang w:val="fr-FR"/>
        </w:rPr>
        <w:t>Ce même article préci</w:t>
      </w:r>
      <w:r w:rsidR="008C3B9F" w:rsidRPr="000868B5">
        <w:rPr>
          <w:lang w:val="fr-FR"/>
        </w:rPr>
        <w:t>se que toute</w:t>
      </w:r>
      <w:r w:rsidRPr="000868B5">
        <w:rPr>
          <w:lang w:val="fr-FR"/>
        </w:rPr>
        <w:t xml:space="preserve"> personne placée en garde à vue doit être i</w:t>
      </w:r>
      <w:r w:rsidR="003A79E0" w:rsidRPr="000868B5">
        <w:rPr>
          <w:lang w:val="fr-FR"/>
        </w:rPr>
        <w:t>nformée qu’elle peut prendre contact</w:t>
      </w:r>
      <w:r w:rsidRPr="000868B5">
        <w:rPr>
          <w:lang w:val="fr-FR"/>
        </w:rPr>
        <w:t xml:space="preserve"> </w:t>
      </w:r>
      <w:r w:rsidR="003A79E0" w:rsidRPr="000868B5">
        <w:rPr>
          <w:lang w:val="fr-FR"/>
        </w:rPr>
        <w:t>(ou tenter de le faire)</w:t>
      </w:r>
      <w:r w:rsidRPr="000868B5">
        <w:rPr>
          <w:lang w:val="fr-FR"/>
        </w:rPr>
        <w:t xml:space="preserve"> avec un avocat de son choix. Elle peut également demander</w:t>
      </w:r>
      <w:r w:rsidR="004B73D9" w:rsidRPr="000868B5">
        <w:rPr>
          <w:lang w:val="fr-FR"/>
        </w:rPr>
        <w:t xml:space="preserve"> à cet avocat de venir au lieu où elle est détenue pour lui permettre de le consulter, ou </w:t>
      </w:r>
      <w:r w:rsidR="006253D9">
        <w:rPr>
          <w:lang w:val="fr-FR"/>
        </w:rPr>
        <w:t>le prier</w:t>
      </w:r>
      <w:r w:rsidR="008C3B9F" w:rsidRPr="000868B5">
        <w:rPr>
          <w:lang w:val="fr-FR"/>
        </w:rPr>
        <w:t xml:space="preserve"> d’</w:t>
      </w:r>
      <w:r w:rsidR="004B73D9" w:rsidRPr="000868B5">
        <w:rPr>
          <w:lang w:val="fr-FR"/>
        </w:rPr>
        <w:t>assister à toute procédure d’enquête (ou les deux) (art. 123 1) b)).</w:t>
      </w:r>
      <w:r w:rsidRPr="000868B5">
        <w:rPr>
          <w:lang w:val="fr-FR"/>
        </w:rPr>
        <w:t xml:space="preserve"> </w:t>
      </w:r>
    </w:p>
    <w:p w:rsidR="004B73D9" w:rsidRPr="000868B5" w:rsidRDefault="004B73D9" w:rsidP="005D7B68">
      <w:pPr>
        <w:tabs>
          <w:tab w:val="left" w:pos="567"/>
          <w:tab w:val="left" w:pos="1134"/>
          <w:tab w:val="left" w:pos="1701"/>
          <w:tab w:val="left" w:pos="2268"/>
        </w:tabs>
        <w:rPr>
          <w:lang w:val="fr-FR"/>
        </w:rPr>
      </w:pPr>
      <w:r w:rsidRPr="000868B5">
        <w:rPr>
          <w:lang w:val="fr-FR"/>
        </w:rPr>
        <w:t>28.</w:t>
      </w:r>
      <w:r w:rsidRPr="000868B5">
        <w:rPr>
          <w:lang w:val="fr-FR"/>
        </w:rPr>
        <w:tab/>
        <w:t xml:space="preserve">L’article 129 de la </w:t>
      </w:r>
      <w:r w:rsidRPr="000868B5">
        <w:rPr>
          <w:i/>
          <w:iCs/>
          <w:lang w:val="fr-FR"/>
        </w:rPr>
        <w:t>LEPAR Act</w:t>
      </w:r>
      <w:r w:rsidR="000868B5" w:rsidRPr="000868B5">
        <w:rPr>
          <w:lang w:val="fr-FR"/>
        </w:rPr>
        <w:t xml:space="preserve"> dispose que le policier chargé</w:t>
      </w:r>
      <w:r w:rsidRPr="000868B5">
        <w:rPr>
          <w:lang w:val="fr-FR"/>
        </w:rPr>
        <w:t xml:space="preserve"> de la garde à vue doit immédiatement prendre les dispositions nécessaires pour que la personne ainsi placée sous sa responsabilité puisse consulter un médecin s’il lui apparaî</w:t>
      </w:r>
      <w:r w:rsidR="00E4072C">
        <w:rPr>
          <w:lang w:val="fr-FR"/>
        </w:rPr>
        <w:t>t qu’elle</w:t>
      </w:r>
      <w:r w:rsidRPr="000868B5">
        <w:rPr>
          <w:lang w:val="fr-FR"/>
        </w:rPr>
        <w:t xml:space="preserve"> en a besoin ou si elle le demande pour des raisons qui paraissent raisonnables audit </w:t>
      </w:r>
      <w:r w:rsidR="000868B5" w:rsidRPr="000868B5">
        <w:rPr>
          <w:lang w:val="fr-FR"/>
        </w:rPr>
        <w:t>policier</w:t>
      </w:r>
      <w:r w:rsidRPr="000868B5">
        <w:rPr>
          <w:lang w:val="fr-FR"/>
        </w:rPr>
        <w:t>.</w:t>
      </w:r>
    </w:p>
    <w:p w:rsidR="00736420" w:rsidRPr="004B73D9" w:rsidRDefault="004B73D9" w:rsidP="005D7B68">
      <w:pPr>
        <w:tabs>
          <w:tab w:val="left" w:pos="567"/>
          <w:tab w:val="left" w:pos="1134"/>
          <w:tab w:val="left" w:pos="1701"/>
          <w:tab w:val="left" w:pos="2268"/>
        </w:tabs>
        <w:rPr>
          <w:lang w:val="fr-FR"/>
        </w:rPr>
      </w:pPr>
      <w:r>
        <w:rPr>
          <w:lang w:val="fr-FR"/>
        </w:rPr>
        <w:t>29.</w:t>
      </w:r>
      <w:r>
        <w:rPr>
          <w:lang w:val="fr-FR"/>
        </w:rPr>
        <w:tab/>
        <w:t xml:space="preserve">En vertu de l’article 130, les personnes placées en garde à vue ont droit à </w:t>
      </w:r>
      <w:r w:rsidR="0000376B">
        <w:rPr>
          <w:lang w:val="fr-FR"/>
        </w:rPr>
        <w:t>des rafraîchissements</w:t>
      </w:r>
      <w:r w:rsidR="00E63B2E">
        <w:rPr>
          <w:lang w:val="fr-FR"/>
        </w:rPr>
        <w:t xml:space="preserve"> et à certaines facilités</w:t>
      </w:r>
      <w:r w:rsidR="0000376B">
        <w:rPr>
          <w:lang w:val="fr-FR"/>
        </w:rPr>
        <w:t>, y compris celles de se laver, de prendre un</w:t>
      </w:r>
      <w:r w:rsidR="00E63B2E">
        <w:rPr>
          <w:lang w:val="fr-FR"/>
        </w:rPr>
        <w:t>e</w:t>
      </w:r>
      <w:r w:rsidR="0000376B">
        <w:rPr>
          <w:lang w:val="fr-FR"/>
        </w:rPr>
        <w:t xml:space="preserve"> douche ou un bain et (le cas échéant) de se raser</w:t>
      </w:r>
      <w:r w:rsidR="0062233F">
        <w:rPr>
          <w:lang w:val="fr-FR"/>
        </w:rPr>
        <w:t>, s’il leur</w:t>
      </w:r>
      <w:r w:rsidR="00736420">
        <w:rPr>
          <w:lang w:val="fr-FR"/>
        </w:rPr>
        <w:t xml:space="preserve"> est raisonnablement possible d’accéder aux installation</w:t>
      </w:r>
      <w:r w:rsidR="00D54155">
        <w:rPr>
          <w:lang w:val="fr-FR"/>
        </w:rPr>
        <w:t>s adéquates et si le policier chargé</w:t>
      </w:r>
      <w:r w:rsidR="00736420">
        <w:rPr>
          <w:lang w:val="fr-FR"/>
        </w:rPr>
        <w:t xml:space="preserve"> de la garde à vue est convaincu que cela ne nuira pas à l’enquête.</w:t>
      </w:r>
    </w:p>
    <w:p w:rsidR="008B760E" w:rsidRPr="008B760E" w:rsidRDefault="00736420" w:rsidP="005D7B68">
      <w:pPr>
        <w:tabs>
          <w:tab w:val="left" w:pos="567"/>
          <w:tab w:val="left" w:pos="1134"/>
          <w:tab w:val="left" w:pos="1701"/>
          <w:tab w:val="left" w:pos="2268"/>
        </w:tabs>
        <w:rPr>
          <w:lang w:val="fr-FR"/>
        </w:rPr>
      </w:pPr>
      <w:r>
        <w:rPr>
          <w:lang w:val="fr-FR"/>
        </w:rPr>
        <w:t>30.</w:t>
      </w:r>
      <w:r>
        <w:rPr>
          <w:lang w:val="fr-FR"/>
        </w:rPr>
        <w:tab/>
        <w:t>Pour ce qui est des informations relatives aux garanties</w:t>
      </w:r>
      <w:r w:rsidR="008B760E">
        <w:rPr>
          <w:lang w:val="fr-FR"/>
        </w:rPr>
        <w:t xml:space="preserve"> figurant dans la</w:t>
      </w:r>
      <w:r w:rsidR="008B760E">
        <w:rPr>
          <w:i/>
          <w:iCs/>
          <w:lang w:val="fr-FR"/>
        </w:rPr>
        <w:t xml:space="preserve"> </w:t>
      </w:r>
      <w:r w:rsidR="008B760E" w:rsidRPr="00EF66DA">
        <w:rPr>
          <w:lang w:val="fr-FR"/>
        </w:rPr>
        <w:t>loi de 2002 sur le terrorisme (pouvoirs de la police)</w:t>
      </w:r>
      <w:r w:rsidR="008B760E">
        <w:rPr>
          <w:lang w:val="fr-FR"/>
        </w:rPr>
        <w:t>, prière de voir</w:t>
      </w:r>
      <w:r w:rsidR="00EF66DA">
        <w:rPr>
          <w:lang w:val="fr-FR"/>
        </w:rPr>
        <w:t xml:space="preserve"> la contribution de la Nouvelle</w:t>
      </w:r>
      <w:r w:rsidR="007330E2">
        <w:rPr>
          <w:lang w:val="fr-FR"/>
        </w:rPr>
        <w:noBreakHyphen/>
      </w:r>
      <w:r w:rsidR="008B760E">
        <w:rPr>
          <w:lang w:val="fr-FR"/>
        </w:rPr>
        <w:t>Galles du Sud à la réponse à la question 5.</w:t>
      </w:r>
    </w:p>
    <w:p w:rsidR="008B760E" w:rsidRPr="008B760E" w:rsidRDefault="008B760E" w:rsidP="005D7B68">
      <w:pPr>
        <w:keepNext/>
        <w:tabs>
          <w:tab w:val="left" w:pos="567"/>
          <w:tab w:val="left" w:pos="1134"/>
          <w:tab w:val="left" w:pos="1701"/>
          <w:tab w:val="left" w:pos="2268"/>
        </w:tabs>
        <w:rPr>
          <w:b/>
          <w:bCs/>
          <w:lang w:val="fr-FR"/>
        </w:rPr>
      </w:pPr>
      <w:r>
        <w:rPr>
          <w:b/>
          <w:bCs/>
          <w:lang w:val="fr-FR"/>
        </w:rPr>
        <w:t>Victoria</w:t>
      </w:r>
    </w:p>
    <w:p w:rsidR="00D620E9" w:rsidRPr="00D620E9" w:rsidRDefault="008B760E" w:rsidP="005D7B68">
      <w:pPr>
        <w:keepNext/>
        <w:tabs>
          <w:tab w:val="left" w:pos="567"/>
          <w:tab w:val="left" w:pos="1134"/>
          <w:tab w:val="left" w:pos="1701"/>
          <w:tab w:val="left" w:pos="2268"/>
        </w:tabs>
        <w:rPr>
          <w:lang w:val="fr-FR"/>
        </w:rPr>
      </w:pPr>
      <w:r>
        <w:rPr>
          <w:lang w:val="fr-FR"/>
        </w:rPr>
        <w:t>31.</w:t>
      </w:r>
      <w:r>
        <w:rPr>
          <w:lang w:val="fr-FR"/>
        </w:rPr>
        <w:tab/>
        <w:t xml:space="preserve">Dans l’État de Victoria, toute personne placée en </w:t>
      </w:r>
      <w:r w:rsidR="003A79E0">
        <w:rPr>
          <w:lang w:val="fr-FR"/>
        </w:rPr>
        <w:t xml:space="preserve">garde à vue </w:t>
      </w:r>
      <w:r>
        <w:rPr>
          <w:lang w:val="fr-FR"/>
        </w:rPr>
        <w:t xml:space="preserve">pour une infraction doit </w:t>
      </w:r>
      <w:r w:rsidR="00D620E9">
        <w:rPr>
          <w:lang w:val="fr-FR"/>
        </w:rPr>
        <w:t xml:space="preserve">être </w:t>
      </w:r>
      <w:r w:rsidR="00D54155">
        <w:rPr>
          <w:lang w:val="fr-FR"/>
        </w:rPr>
        <w:t>libérée sans contrôle judiciaire</w:t>
      </w:r>
      <w:r w:rsidR="00D620E9">
        <w:rPr>
          <w:lang w:val="fr-FR"/>
        </w:rPr>
        <w:t>,</w:t>
      </w:r>
      <w:r w:rsidR="00572260">
        <w:rPr>
          <w:lang w:val="fr-FR"/>
        </w:rPr>
        <w:t xml:space="preserve"> </w:t>
      </w:r>
      <w:r w:rsidR="00D620E9">
        <w:rPr>
          <w:lang w:val="fr-FR"/>
        </w:rPr>
        <w:t>remise en liberté sous caution ou déférée devant un juge ou un tribunal habilité à se prononcer sur une éventuelle libération sous caution dans un délai raisonnab</w:t>
      </w:r>
      <w:r w:rsidR="003A79E0">
        <w:rPr>
          <w:lang w:val="fr-FR"/>
        </w:rPr>
        <w:t>le</w:t>
      </w:r>
      <w:r w:rsidR="00D620E9">
        <w:rPr>
          <w:lang w:val="fr-FR"/>
        </w:rPr>
        <w:t xml:space="preserve"> (art. 464A 1) de la </w:t>
      </w:r>
      <w:r w:rsidR="00D620E9" w:rsidRPr="003A79E0">
        <w:rPr>
          <w:lang w:val="fr-FR"/>
        </w:rPr>
        <w:t xml:space="preserve">loi de </w:t>
      </w:r>
      <w:r w:rsidR="00D620E9" w:rsidRPr="00892EE6">
        <w:rPr>
          <w:lang w:val="fr-FR"/>
        </w:rPr>
        <w:t xml:space="preserve">1958 sur les </w:t>
      </w:r>
      <w:r w:rsidR="006D0587" w:rsidRPr="00892EE6">
        <w:rPr>
          <w:lang w:val="fr-FR"/>
        </w:rPr>
        <w:t>infractions</w:t>
      </w:r>
      <w:r w:rsidR="003A79E0" w:rsidRPr="00892EE6">
        <w:rPr>
          <w:lang w:val="fr-FR"/>
        </w:rPr>
        <w:t xml:space="preserve"> pénales</w:t>
      </w:r>
      <w:r w:rsidR="00E97C35">
        <w:rPr>
          <w:lang w:val="fr-FR"/>
        </w:rPr>
        <w:t xml:space="preserve"> </w:t>
      </w:r>
      <w:r w:rsidR="00200637">
        <w:rPr>
          <w:lang w:val="fr-FR"/>
        </w:rPr>
        <w:t>(Victoria)</w:t>
      </w:r>
      <w:r w:rsidR="00E97C35">
        <w:rPr>
          <w:lang w:val="fr-FR"/>
        </w:rPr>
        <w:t>)</w:t>
      </w:r>
      <w:r w:rsidR="008D6B80">
        <w:rPr>
          <w:lang w:val="fr-FR"/>
        </w:rPr>
        <w:t xml:space="preserve">. </w:t>
      </w:r>
      <w:r w:rsidR="00D620E9">
        <w:rPr>
          <w:lang w:val="fr-FR"/>
        </w:rPr>
        <w:t>Nul ne doit être détenu plus longtemps qu’il n’est raisonnablement nécessaire.</w:t>
      </w:r>
    </w:p>
    <w:p w:rsidR="00D64182" w:rsidRPr="00D620E9" w:rsidRDefault="00D620E9" w:rsidP="005D7B68">
      <w:pPr>
        <w:tabs>
          <w:tab w:val="left" w:pos="567"/>
          <w:tab w:val="left" w:pos="1134"/>
          <w:tab w:val="left" w:pos="1701"/>
          <w:tab w:val="left" w:pos="2268"/>
        </w:tabs>
        <w:rPr>
          <w:lang w:val="fr-FR"/>
        </w:rPr>
      </w:pPr>
      <w:r>
        <w:rPr>
          <w:lang w:val="fr-FR"/>
        </w:rPr>
        <w:t>32.</w:t>
      </w:r>
      <w:r>
        <w:rPr>
          <w:lang w:val="fr-FR"/>
        </w:rPr>
        <w:tab/>
        <w:t xml:space="preserve">La police peut accorder une libération sous caution conformément à la </w:t>
      </w:r>
      <w:r w:rsidRPr="003A79E0">
        <w:rPr>
          <w:lang w:val="fr-FR"/>
        </w:rPr>
        <w:t xml:space="preserve">loi de 1977 sur la libération sous caution </w:t>
      </w:r>
      <w:r>
        <w:rPr>
          <w:lang w:val="fr-FR"/>
        </w:rPr>
        <w:t>(Vic</w:t>
      </w:r>
      <w:r w:rsidR="004F32E4">
        <w:rPr>
          <w:lang w:val="fr-FR"/>
        </w:rPr>
        <w:t>toria</w:t>
      </w:r>
      <w:r>
        <w:rPr>
          <w:lang w:val="fr-FR"/>
        </w:rPr>
        <w:t>)</w:t>
      </w:r>
      <w:r w:rsidR="008D6B80">
        <w:rPr>
          <w:lang w:val="fr-FR"/>
        </w:rPr>
        <w:t xml:space="preserve">. </w:t>
      </w:r>
      <w:r>
        <w:rPr>
          <w:lang w:val="fr-FR"/>
        </w:rPr>
        <w:t xml:space="preserve">S’il n’est pas possible de déférer </w:t>
      </w:r>
      <w:r w:rsidR="007D0242">
        <w:rPr>
          <w:lang w:val="fr-FR"/>
        </w:rPr>
        <w:t>l’intéressé</w:t>
      </w:r>
      <w:r w:rsidR="00D64182">
        <w:rPr>
          <w:lang w:val="fr-FR"/>
        </w:rPr>
        <w:t xml:space="preserve"> devant un tribunal dans les 24 heures suivant son arrestat</w:t>
      </w:r>
      <w:r w:rsidR="00AB0CD3">
        <w:rPr>
          <w:lang w:val="fr-FR"/>
        </w:rPr>
        <w:t>ion, la police est obligée de le</w:t>
      </w:r>
      <w:r w:rsidR="00D64182">
        <w:rPr>
          <w:lang w:val="fr-FR"/>
        </w:rPr>
        <w:t xml:space="preserve"> remettre en liberté sous caution, sous réserve d’une disposition contraire de l’article 10 1) de la loi sur la libération sous caution.</w:t>
      </w:r>
    </w:p>
    <w:p w:rsidR="00D64182" w:rsidRPr="00D64182" w:rsidRDefault="00D64182" w:rsidP="005D7B68">
      <w:pPr>
        <w:tabs>
          <w:tab w:val="left" w:pos="567"/>
          <w:tab w:val="left" w:pos="1134"/>
          <w:tab w:val="left" w:pos="1701"/>
          <w:tab w:val="left" w:pos="2268"/>
        </w:tabs>
        <w:rPr>
          <w:lang w:val="fr-FR"/>
        </w:rPr>
      </w:pPr>
      <w:r>
        <w:rPr>
          <w:lang w:val="fr-FR"/>
        </w:rPr>
        <w:t>33.</w:t>
      </w:r>
      <w:r>
        <w:rPr>
          <w:lang w:val="fr-FR"/>
        </w:rPr>
        <w:tab/>
        <w:t>Les personnes placées en</w:t>
      </w:r>
      <w:r w:rsidR="003A79E0">
        <w:rPr>
          <w:lang w:val="fr-FR"/>
        </w:rPr>
        <w:t xml:space="preserve"> garde à vue sont autorisées à prendre contact (ou tenter de le faire</w:t>
      </w:r>
      <w:r>
        <w:rPr>
          <w:lang w:val="fr-FR"/>
        </w:rPr>
        <w:t>) avec un ami ou un parent, ainsi qu’avec un avocat</w:t>
      </w:r>
      <w:r w:rsidR="008D6B80">
        <w:rPr>
          <w:lang w:val="fr-FR"/>
        </w:rPr>
        <w:t xml:space="preserve">. </w:t>
      </w:r>
      <w:r>
        <w:rPr>
          <w:lang w:val="fr-FR"/>
        </w:rPr>
        <w:t>La loi sur la lib</w:t>
      </w:r>
      <w:r w:rsidR="00AB0CD3">
        <w:rPr>
          <w:lang w:val="fr-FR"/>
        </w:rPr>
        <w:t>ération sous caution autorise le</w:t>
      </w:r>
      <w:r>
        <w:rPr>
          <w:lang w:val="fr-FR"/>
        </w:rPr>
        <w:t xml:space="preserve"> tribunal à ordonner qu’elles soient examinées par un médecin.</w:t>
      </w:r>
    </w:p>
    <w:p w:rsidR="00D64182" w:rsidRPr="00D64182" w:rsidRDefault="00D64182" w:rsidP="005D7B68">
      <w:pPr>
        <w:tabs>
          <w:tab w:val="left" w:pos="567"/>
          <w:tab w:val="left" w:pos="1134"/>
          <w:tab w:val="left" w:pos="1701"/>
          <w:tab w:val="left" w:pos="2268"/>
        </w:tabs>
        <w:rPr>
          <w:lang w:val="fr-FR"/>
        </w:rPr>
      </w:pPr>
      <w:r>
        <w:rPr>
          <w:lang w:val="fr-FR"/>
        </w:rPr>
        <w:t>34.</w:t>
      </w:r>
      <w:r>
        <w:rPr>
          <w:lang w:val="fr-FR"/>
        </w:rPr>
        <w:tab/>
        <w:t xml:space="preserve">L’article 11 de la </w:t>
      </w:r>
      <w:r w:rsidRPr="003A79E0">
        <w:rPr>
          <w:i/>
          <w:iCs/>
          <w:lang w:val="fr-FR"/>
        </w:rPr>
        <w:t>Victorian Charter of Rights and Responsibilities</w:t>
      </w:r>
      <w:r w:rsidR="00633B1B">
        <w:rPr>
          <w:lang w:val="fr-FR"/>
        </w:rPr>
        <w:t xml:space="preserve"> (Charte </w:t>
      </w:r>
      <w:r>
        <w:rPr>
          <w:lang w:val="fr-FR"/>
        </w:rPr>
        <w:t xml:space="preserve">des droits </w:t>
      </w:r>
      <w:r w:rsidR="006261DA">
        <w:rPr>
          <w:lang w:val="fr-FR"/>
        </w:rPr>
        <w:t>de l’homme et des devoirs à cet égard</w:t>
      </w:r>
      <w:r w:rsidR="00633B1B">
        <w:rPr>
          <w:lang w:val="fr-FR"/>
        </w:rPr>
        <w:t xml:space="preserve"> du Victoria</w:t>
      </w:r>
      <w:r>
        <w:rPr>
          <w:lang w:val="fr-FR"/>
        </w:rPr>
        <w:t>) interdit la torture</w:t>
      </w:r>
      <w:r w:rsidR="00572260">
        <w:rPr>
          <w:lang w:val="fr-FR"/>
        </w:rPr>
        <w:t>:</w:t>
      </w:r>
      <w:r>
        <w:rPr>
          <w:lang w:val="fr-FR"/>
        </w:rPr>
        <w:t xml:space="preserve"> </w:t>
      </w:r>
      <w:hyperlink r:id="rId10" w:history="1">
        <w:r w:rsidRPr="00B507FA">
          <w:rPr>
            <w:rStyle w:val="Hyperlink"/>
            <w:lang w:val="fr-FR"/>
          </w:rPr>
          <w:t>http://www.nswccl.org.au/issues/bill_of_rights/other.php</w:t>
        </w:r>
      </w:hyperlink>
      <w:r>
        <w:rPr>
          <w:lang w:val="fr-FR"/>
        </w:rPr>
        <w:t xml:space="preserve">. </w:t>
      </w:r>
    </w:p>
    <w:p w:rsidR="00D64182" w:rsidRPr="00D64182" w:rsidRDefault="00D64182" w:rsidP="005D7B68">
      <w:pPr>
        <w:tabs>
          <w:tab w:val="left" w:pos="567"/>
          <w:tab w:val="left" w:pos="1134"/>
          <w:tab w:val="left" w:pos="1701"/>
          <w:tab w:val="left" w:pos="2268"/>
        </w:tabs>
        <w:rPr>
          <w:lang w:val="fr-FR"/>
        </w:rPr>
      </w:pPr>
      <w:r>
        <w:rPr>
          <w:lang w:val="fr-FR"/>
        </w:rPr>
        <w:t>35.</w:t>
      </w:r>
      <w:r>
        <w:rPr>
          <w:lang w:val="fr-FR"/>
        </w:rPr>
        <w:tab/>
        <w:t>Ces droits n’ont pas été affectés par la nouvelle législation liée au terrorisme.</w:t>
      </w:r>
    </w:p>
    <w:p w:rsidR="00003AC8" w:rsidRDefault="00D64182" w:rsidP="005D7B68">
      <w:pPr>
        <w:tabs>
          <w:tab w:val="left" w:pos="567"/>
          <w:tab w:val="left" w:pos="1134"/>
          <w:tab w:val="left" w:pos="1701"/>
          <w:tab w:val="left" w:pos="2268"/>
        </w:tabs>
        <w:rPr>
          <w:b/>
          <w:bCs/>
          <w:lang w:val="fr-FR"/>
        </w:rPr>
      </w:pPr>
      <w:r>
        <w:rPr>
          <w:b/>
          <w:bCs/>
          <w:lang w:val="fr-FR"/>
        </w:rPr>
        <w:t>Queensland</w:t>
      </w:r>
    </w:p>
    <w:p w:rsidR="00D04712" w:rsidRDefault="00D64182" w:rsidP="005D7B68">
      <w:pPr>
        <w:tabs>
          <w:tab w:val="left" w:pos="567"/>
          <w:tab w:val="left" w:pos="1134"/>
          <w:tab w:val="left" w:pos="1701"/>
          <w:tab w:val="left" w:pos="2268"/>
        </w:tabs>
        <w:rPr>
          <w:lang w:val="fr-FR"/>
        </w:rPr>
      </w:pPr>
      <w:r>
        <w:rPr>
          <w:lang w:val="fr-FR"/>
        </w:rPr>
        <w:t>36.</w:t>
      </w:r>
      <w:r>
        <w:rPr>
          <w:lang w:val="fr-FR"/>
        </w:rPr>
        <w:tab/>
        <w:t xml:space="preserve">Les droits des personnes placées en garde à vue sont garantis par le chapitre 15 de la </w:t>
      </w:r>
      <w:r w:rsidRPr="003A79E0">
        <w:rPr>
          <w:lang w:val="fr-FR"/>
        </w:rPr>
        <w:t>loi de 2000</w:t>
      </w:r>
      <w:r w:rsidR="00D04712" w:rsidRPr="003A79E0">
        <w:rPr>
          <w:lang w:val="fr-FR"/>
        </w:rPr>
        <w:t xml:space="preserve"> sur les pouvoirs et les responsabilités de la police</w:t>
      </w:r>
      <w:r w:rsidR="00241AE9">
        <w:rPr>
          <w:lang w:val="fr-FR"/>
        </w:rPr>
        <w:t xml:space="preserve"> (Queensland</w:t>
      </w:r>
      <w:r w:rsidR="00D04712">
        <w:rPr>
          <w:lang w:val="fr-FR"/>
        </w:rPr>
        <w:t>), à savoir</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a)</w:t>
      </w:r>
      <w:r>
        <w:rPr>
          <w:lang w:val="fr-FR"/>
        </w:rPr>
        <w:tab/>
        <w:t>D</w:t>
      </w:r>
      <w:r w:rsidR="00D04712">
        <w:rPr>
          <w:lang w:val="fr-FR"/>
        </w:rPr>
        <w:t>roit à la représentation en justice</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b)</w:t>
      </w:r>
      <w:r>
        <w:rPr>
          <w:lang w:val="fr-FR"/>
        </w:rPr>
        <w:tab/>
        <w:t>Droit de prendre contact</w:t>
      </w:r>
      <w:r w:rsidR="00D04712">
        <w:rPr>
          <w:lang w:val="fr-FR"/>
        </w:rPr>
        <w:t xml:space="preserve"> avec un ami, un avocat ou un parent</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c)</w:t>
      </w:r>
      <w:r>
        <w:rPr>
          <w:lang w:val="fr-FR"/>
        </w:rPr>
        <w:tab/>
        <w:t>D</w:t>
      </w:r>
      <w:r w:rsidR="00D04712">
        <w:rPr>
          <w:lang w:val="fr-FR"/>
        </w:rPr>
        <w:t>roit à un interprète</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d)</w:t>
      </w:r>
      <w:r>
        <w:rPr>
          <w:lang w:val="fr-FR"/>
        </w:rPr>
        <w:tab/>
        <w:t>Droit de prendre contact avec l’ambassade étrangère concernée</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e)</w:t>
      </w:r>
      <w:r>
        <w:rPr>
          <w:lang w:val="fr-FR"/>
        </w:rPr>
        <w:tab/>
        <w:t>D</w:t>
      </w:r>
      <w:r w:rsidR="00D04712">
        <w:rPr>
          <w:lang w:val="fr-FR"/>
        </w:rPr>
        <w:t>roit de garder le silence</w:t>
      </w:r>
      <w:r w:rsidR="00572260">
        <w:rPr>
          <w:lang w:val="fr-FR"/>
        </w:rPr>
        <w:t>;</w:t>
      </w:r>
    </w:p>
    <w:p w:rsidR="00D04712" w:rsidRDefault="00775F72" w:rsidP="005D7B68">
      <w:pPr>
        <w:tabs>
          <w:tab w:val="left" w:pos="567"/>
          <w:tab w:val="left" w:pos="1134"/>
          <w:tab w:val="left" w:pos="1701"/>
          <w:tab w:val="left" w:pos="2268"/>
        </w:tabs>
        <w:rPr>
          <w:lang w:val="fr-FR"/>
        </w:rPr>
      </w:pPr>
      <w:r>
        <w:rPr>
          <w:lang w:val="fr-FR"/>
        </w:rPr>
        <w:tab/>
        <w:t>f)</w:t>
      </w:r>
      <w:r>
        <w:rPr>
          <w:lang w:val="fr-FR"/>
        </w:rPr>
        <w:tab/>
        <w:t>T</w:t>
      </w:r>
      <w:r w:rsidR="00D04712">
        <w:rPr>
          <w:lang w:val="fr-FR"/>
        </w:rPr>
        <w:t>emps de détention limité</w:t>
      </w:r>
      <w:r w:rsidR="00572260">
        <w:rPr>
          <w:lang w:val="fr-FR"/>
        </w:rPr>
        <w:t>;</w:t>
      </w:r>
    </w:p>
    <w:p w:rsidR="00D04712" w:rsidRPr="00D04712" w:rsidRDefault="00775F72" w:rsidP="005D7B68">
      <w:pPr>
        <w:tabs>
          <w:tab w:val="left" w:pos="567"/>
          <w:tab w:val="left" w:pos="1134"/>
          <w:tab w:val="left" w:pos="1701"/>
          <w:tab w:val="left" w:pos="2268"/>
        </w:tabs>
        <w:rPr>
          <w:lang w:val="fr-FR"/>
        </w:rPr>
      </w:pPr>
      <w:r>
        <w:rPr>
          <w:lang w:val="fr-FR"/>
        </w:rPr>
        <w:tab/>
        <w:t>g)</w:t>
      </w:r>
      <w:r>
        <w:rPr>
          <w:lang w:val="fr-FR"/>
        </w:rPr>
        <w:tab/>
        <w:t>D</w:t>
      </w:r>
      <w:r w:rsidR="00D04712">
        <w:rPr>
          <w:lang w:val="fr-FR"/>
        </w:rPr>
        <w:t>ro</w:t>
      </w:r>
      <w:r>
        <w:rPr>
          <w:lang w:val="fr-FR"/>
        </w:rPr>
        <w:t>it à un réexamen de la décision</w:t>
      </w:r>
      <w:r w:rsidR="00D04712">
        <w:rPr>
          <w:lang w:val="fr-FR"/>
        </w:rPr>
        <w:t xml:space="preserve"> par un </w:t>
      </w:r>
      <w:r w:rsidR="00D04712" w:rsidRPr="00775F72">
        <w:rPr>
          <w:i/>
          <w:iCs/>
          <w:lang w:val="fr-FR"/>
        </w:rPr>
        <w:t>magistrat</w:t>
      </w:r>
      <w:r w:rsidRPr="00775F72">
        <w:rPr>
          <w:i/>
          <w:iCs/>
          <w:lang w:val="fr-FR"/>
        </w:rPr>
        <w:t>e</w:t>
      </w:r>
      <w:r>
        <w:rPr>
          <w:lang w:val="fr-FR"/>
        </w:rPr>
        <w:t>.</w:t>
      </w:r>
      <w:r w:rsidR="00D04712">
        <w:rPr>
          <w:lang w:val="fr-FR"/>
        </w:rPr>
        <w:t xml:space="preserve"> </w:t>
      </w:r>
    </w:p>
    <w:p w:rsidR="00E354BB" w:rsidRPr="00D04712" w:rsidRDefault="00D04712" w:rsidP="005D7B68">
      <w:pPr>
        <w:tabs>
          <w:tab w:val="left" w:pos="567"/>
          <w:tab w:val="left" w:pos="1134"/>
          <w:tab w:val="left" w:pos="1701"/>
          <w:tab w:val="left" w:pos="2268"/>
        </w:tabs>
        <w:rPr>
          <w:lang w:val="fr-FR"/>
        </w:rPr>
      </w:pPr>
      <w:r>
        <w:rPr>
          <w:lang w:val="fr-FR"/>
        </w:rPr>
        <w:t>37.</w:t>
      </w:r>
      <w:r>
        <w:rPr>
          <w:lang w:val="fr-FR"/>
        </w:rPr>
        <w:tab/>
        <w:t>Les personnes placées en garde à vue</w:t>
      </w:r>
      <w:r w:rsidR="00E354BB">
        <w:rPr>
          <w:lang w:val="fr-FR"/>
        </w:rPr>
        <w:t xml:space="preserve"> ont également le droit de consulter un médecin.</w:t>
      </w:r>
    </w:p>
    <w:p w:rsidR="00E354BB" w:rsidRPr="00E354BB" w:rsidRDefault="00E354BB" w:rsidP="005D7B68">
      <w:pPr>
        <w:tabs>
          <w:tab w:val="left" w:pos="567"/>
          <w:tab w:val="left" w:pos="1134"/>
          <w:tab w:val="left" w:pos="1701"/>
          <w:tab w:val="left" w:pos="2268"/>
        </w:tabs>
        <w:rPr>
          <w:lang w:val="fr-FR"/>
        </w:rPr>
      </w:pPr>
      <w:r>
        <w:rPr>
          <w:lang w:val="fr-FR"/>
        </w:rPr>
        <w:t>38.</w:t>
      </w:r>
      <w:r>
        <w:rPr>
          <w:lang w:val="fr-FR"/>
        </w:rPr>
        <w:tab/>
        <w:t xml:space="preserve">Pour ce qui est des informations sur les garanties figurant dans la </w:t>
      </w:r>
      <w:r w:rsidRPr="00F91C84">
        <w:rPr>
          <w:lang w:val="fr-FR"/>
        </w:rPr>
        <w:t>loi de 2005 sur le terrorisme (détention préventive)</w:t>
      </w:r>
      <w:r>
        <w:rPr>
          <w:i/>
          <w:iCs/>
          <w:lang w:val="fr-FR"/>
        </w:rPr>
        <w:t xml:space="preserve"> </w:t>
      </w:r>
      <w:r w:rsidR="00241AE9">
        <w:rPr>
          <w:lang w:val="fr-FR"/>
        </w:rPr>
        <w:t>(Queensland</w:t>
      </w:r>
      <w:r>
        <w:rPr>
          <w:lang w:val="fr-FR"/>
        </w:rPr>
        <w:t>), prière de voir la contribution du Queensland à la réponse à la question 5.</w:t>
      </w:r>
    </w:p>
    <w:p w:rsidR="00D64182" w:rsidRPr="00E607E0" w:rsidRDefault="00A619D6" w:rsidP="005D7B68">
      <w:pPr>
        <w:tabs>
          <w:tab w:val="left" w:pos="567"/>
          <w:tab w:val="left" w:pos="1134"/>
          <w:tab w:val="left" w:pos="1701"/>
          <w:tab w:val="left" w:pos="2268"/>
        </w:tabs>
        <w:rPr>
          <w:b/>
          <w:bCs/>
          <w:lang w:val="fr-FR"/>
        </w:rPr>
      </w:pPr>
      <w:r>
        <w:rPr>
          <w:b/>
          <w:bCs/>
          <w:lang w:val="fr-FR"/>
        </w:rPr>
        <w:t>Australie o</w:t>
      </w:r>
      <w:r w:rsidR="00E354BB" w:rsidRPr="00E607E0">
        <w:rPr>
          <w:b/>
          <w:bCs/>
          <w:lang w:val="fr-FR"/>
        </w:rPr>
        <w:t>ccidentale</w:t>
      </w:r>
    </w:p>
    <w:p w:rsidR="00D42567" w:rsidRPr="00E354BB" w:rsidRDefault="00E354BB" w:rsidP="005D7B68">
      <w:pPr>
        <w:tabs>
          <w:tab w:val="left" w:pos="567"/>
          <w:tab w:val="left" w:pos="1134"/>
          <w:tab w:val="left" w:pos="1701"/>
          <w:tab w:val="left" w:pos="2268"/>
        </w:tabs>
        <w:rPr>
          <w:lang w:val="fr-FR"/>
        </w:rPr>
      </w:pPr>
      <w:r>
        <w:rPr>
          <w:lang w:val="fr-FR"/>
        </w:rPr>
        <w:t>39.</w:t>
      </w:r>
      <w:r>
        <w:rPr>
          <w:lang w:val="fr-FR"/>
        </w:rPr>
        <w:tab/>
        <w:t xml:space="preserve">Conformément à l’article 137 de la loi de 2006 </w:t>
      </w:r>
      <w:r w:rsidR="00241AE9">
        <w:rPr>
          <w:lang w:val="fr-FR"/>
        </w:rPr>
        <w:t xml:space="preserve">sur les </w:t>
      </w:r>
      <w:r w:rsidR="00A619D6">
        <w:rPr>
          <w:lang w:val="fr-FR"/>
        </w:rPr>
        <w:t>enquêtes criminelles (Australie o</w:t>
      </w:r>
      <w:r w:rsidR="00241AE9">
        <w:rPr>
          <w:lang w:val="fr-FR"/>
        </w:rPr>
        <w:t>ccidentale</w:t>
      </w:r>
      <w:r>
        <w:rPr>
          <w:lang w:val="fr-FR"/>
        </w:rPr>
        <w:t>), toute personne en état d’arrestation doit bénéficier des droits juridiques ci-après quelle que soit la raison de son arrestation, y compris les personnes arrêtées aux fins de procédures d’identification et de médecine légale en vertu de la législation pertinente.</w:t>
      </w:r>
    </w:p>
    <w:p w:rsidR="00E354BB" w:rsidRDefault="00D42567" w:rsidP="005D7B68">
      <w:pPr>
        <w:tabs>
          <w:tab w:val="left" w:pos="567"/>
          <w:tab w:val="left" w:pos="1134"/>
          <w:tab w:val="left" w:pos="1701"/>
          <w:tab w:val="left" w:pos="2268"/>
        </w:tabs>
        <w:rPr>
          <w:lang w:val="fr-FR"/>
        </w:rPr>
      </w:pPr>
      <w:r>
        <w:rPr>
          <w:lang w:val="fr-FR"/>
        </w:rPr>
        <w:t>40.</w:t>
      </w:r>
      <w:r>
        <w:rPr>
          <w:lang w:val="fr-FR"/>
        </w:rPr>
        <w:tab/>
        <w:t>Les personnes en état d’arrestati</w:t>
      </w:r>
      <w:r w:rsidR="008B3B88">
        <w:rPr>
          <w:lang w:val="fr-FR"/>
        </w:rPr>
        <w:t>on jouissent</w:t>
      </w:r>
      <w:r w:rsidR="00BE4690">
        <w:rPr>
          <w:lang w:val="fr-FR"/>
        </w:rPr>
        <w:t xml:space="preserve"> du droit juridique</w:t>
      </w:r>
      <w:r w:rsidR="00572260">
        <w:rPr>
          <w:lang w:val="fr-FR"/>
        </w:rPr>
        <w:t>:</w:t>
      </w:r>
    </w:p>
    <w:p w:rsidR="00BE4690" w:rsidRDefault="00F91C84" w:rsidP="005D7B68">
      <w:pPr>
        <w:tabs>
          <w:tab w:val="left" w:pos="567"/>
          <w:tab w:val="left" w:pos="1134"/>
          <w:tab w:val="left" w:pos="1701"/>
          <w:tab w:val="left" w:pos="2268"/>
        </w:tabs>
        <w:rPr>
          <w:lang w:val="fr-FR"/>
        </w:rPr>
      </w:pPr>
      <w:r>
        <w:rPr>
          <w:lang w:val="fr-FR"/>
        </w:rPr>
        <w:tab/>
        <w:t>a)</w:t>
      </w:r>
      <w:r>
        <w:rPr>
          <w:lang w:val="fr-FR"/>
        </w:rPr>
        <w:tab/>
        <w:t xml:space="preserve">Á </w:t>
      </w:r>
      <w:r w:rsidR="00BE4690">
        <w:rPr>
          <w:lang w:val="fr-FR"/>
        </w:rPr>
        <w:t>tout traitement médical nécessaire</w:t>
      </w:r>
      <w:r w:rsidR="00572260">
        <w:rPr>
          <w:lang w:val="fr-FR"/>
        </w:rPr>
        <w:t>;</w:t>
      </w:r>
    </w:p>
    <w:p w:rsidR="00BE4690" w:rsidRDefault="00BE4690" w:rsidP="005D7B68">
      <w:pPr>
        <w:tabs>
          <w:tab w:val="left" w:pos="567"/>
          <w:tab w:val="left" w:pos="1134"/>
          <w:tab w:val="left" w:pos="1701"/>
          <w:tab w:val="left" w:pos="2268"/>
        </w:tabs>
        <w:rPr>
          <w:lang w:val="fr-FR"/>
        </w:rPr>
      </w:pPr>
      <w:r>
        <w:rPr>
          <w:lang w:val="fr-FR"/>
        </w:rPr>
        <w:tab/>
        <w:t>b)</w:t>
      </w:r>
      <w:r>
        <w:rPr>
          <w:lang w:val="fr-FR"/>
        </w:rPr>
        <w:tab/>
      </w:r>
      <w:r w:rsidR="00200637">
        <w:rPr>
          <w:lang w:val="fr-FR"/>
        </w:rPr>
        <w:t>De</w:t>
      </w:r>
      <w:r w:rsidR="008B3B88">
        <w:rPr>
          <w:lang w:val="fr-FR"/>
        </w:rPr>
        <w:t xml:space="preserve"> n’être pas importuné</w:t>
      </w:r>
      <w:r w:rsidR="00F91C84">
        <w:rPr>
          <w:lang w:val="fr-FR"/>
        </w:rPr>
        <w:t>e</w:t>
      </w:r>
      <w:r w:rsidR="008B3B88">
        <w:rPr>
          <w:lang w:val="fr-FR"/>
        </w:rPr>
        <w:t>s par les médias</w:t>
      </w:r>
      <w:r w:rsidR="00572260">
        <w:rPr>
          <w:lang w:val="fr-FR"/>
        </w:rPr>
        <w:t>;</w:t>
      </w:r>
    </w:p>
    <w:p w:rsidR="008B3B88" w:rsidRDefault="00F91C84" w:rsidP="005D7B68">
      <w:pPr>
        <w:tabs>
          <w:tab w:val="left" w:pos="567"/>
          <w:tab w:val="left" w:pos="1134"/>
          <w:tab w:val="left" w:pos="1701"/>
          <w:tab w:val="left" w:pos="2268"/>
        </w:tabs>
        <w:rPr>
          <w:lang w:val="fr-FR"/>
        </w:rPr>
      </w:pPr>
      <w:r>
        <w:rPr>
          <w:lang w:val="fr-FR"/>
        </w:rPr>
        <w:tab/>
        <w:t>c)</w:t>
      </w:r>
      <w:r>
        <w:rPr>
          <w:lang w:val="fr-FR"/>
        </w:rPr>
        <w:tab/>
        <w:t>Á</w:t>
      </w:r>
      <w:r w:rsidR="008B3B88">
        <w:rPr>
          <w:lang w:val="fr-FR"/>
        </w:rPr>
        <w:t xml:space="preserve"> la possibilité, dans les limi</w:t>
      </w:r>
      <w:r>
        <w:rPr>
          <w:lang w:val="fr-FR"/>
        </w:rPr>
        <w:t>tes de la raison, de prendre contact</w:t>
      </w:r>
      <w:r w:rsidR="008B3B88">
        <w:rPr>
          <w:lang w:val="fr-FR"/>
        </w:rPr>
        <w:t xml:space="preserve"> </w:t>
      </w:r>
      <w:r>
        <w:rPr>
          <w:lang w:val="fr-FR"/>
        </w:rPr>
        <w:t>(ou de tenter de le faire)</w:t>
      </w:r>
      <w:r w:rsidR="008B3B88">
        <w:rPr>
          <w:lang w:val="fr-FR"/>
        </w:rPr>
        <w:t xml:space="preserve"> avec un parent ou un</w:t>
      </w:r>
      <w:r w:rsidR="00C253E4">
        <w:rPr>
          <w:lang w:val="fr-FR"/>
        </w:rPr>
        <w:t xml:space="preserve"> ami afin de l’informer de l’endroit où elles se trouvent</w:t>
      </w:r>
      <w:r w:rsidR="008B3B88">
        <w:rPr>
          <w:lang w:val="fr-FR"/>
        </w:rPr>
        <w:t>, et</w:t>
      </w:r>
    </w:p>
    <w:p w:rsidR="008B3B88" w:rsidRPr="00D42567" w:rsidRDefault="00F91C84" w:rsidP="005D7B68">
      <w:pPr>
        <w:tabs>
          <w:tab w:val="left" w:pos="567"/>
          <w:tab w:val="left" w:pos="1134"/>
          <w:tab w:val="left" w:pos="1701"/>
          <w:tab w:val="left" w:pos="2268"/>
        </w:tabs>
        <w:rPr>
          <w:lang w:val="fr-FR"/>
        </w:rPr>
      </w:pPr>
      <w:r>
        <w:rPr>
          <w:lang w:val="fr-FR"/>
        </w:rPr>
        <w:tab/>
        <w:t>d)</w:t>
      </w:r>
      <w:r>
        <w:rPr>
          <w:lang w:val="fr-FR"/>
        </w:rPr>
        <w:tab/>
        <w:t>S</w:t>
      </w:r>
      <w:r w:rsidR="008B3B88">
        <w:rPr>
          <w:lang w:val="fr-FR"/>
        </w:rPr>
        <w:t>i,</w:t>
      </w:r>
      <w:r w:rsidR="00C253E4">
        <w:rPr>
          <w:lang w:val="fr-FR"/>
        </w:rPr>
        <w:t xml:space="preserve"> pour une raison quelconque</w:t>
      </w:r>
      <w:r w:rsidR="008B3B88">
        <w:rPr>
          <w:lang w:val="fr-FR"/>
        </w:rPr>
        <w:t>, elles ne sont pas en mesure de comprendre</w:t>
      </w:r>
      <w:r>
        <w:rPr>
          <w:lang w:val="fr-FR"/>
        </w:rPr>
        <w:t xml:space="preserve"> l’anglais parlé</w:t>
      </w:r>
      <w:r w:rsidR="008B3B88">
        <w:rPr>
          <w:lang w:val="fr-FR"/>
        </w:rPr>
        <w:t xml:space="preserve"> ou de communiquer de f</w:t>
      </w:r>
      <w:r>
        <w:rPr>
          <w:lang w:val="fr-FR"/>
        </w:rPr>
        <w:t>açon satisfaisante dans cette langue</w:t>
      </w:r>
      <w:r w:rsidR="008B3B88">
        <w:rPr>
          <w:lang w:val="fr-FR"/>
        </w:rPr>
        <w:t>, d’être assistées par un interprète ou toute autre personne compétente.</w:t>
      </w:r>
    </w:p>
    <w:p w:rsidR="008B3B88" w:rsidRDefault="008B3B88" w:rsidP="005D7B68">
      <w:pPr>
        <w:tabs>
          <w:tab w:val="left" w:pos="567"/>
          <w:tab w:val="left" w:pos="1134"/>
          <w:tab w:val="left" w:pos="1701"/>
          <w:tab w:val="left" w:pos="2268"/>
        </w:tabs>
        <w:rPr>
          <w:lang w:val="fr-FR"/>
        </w:rPr>
      </w:pPr>
      <w:r>
        <w:rPr>
          <w:lang w:val="fr-FR"/>
        </w:rPr>
        <w:t>41.</w:t>
      </w:r>
      <w:r>
        <w:rPr>
          <w:lang w:val="fr-FR"/>
        </w:rPr>
        <w:tab/>
        <w:t>En o</w:t>
      </w:r>
      <w:r w:rsidR="00A619D6">
        <w:rPr>
          <w:lang w:val="fr-FR"/>
        </w:rPr>
        <w:t>utre, la police d’Australie o</w:t>
      </w:r>
      <w:r>
        <w:rPr>
          <w:lang w:val="fr-FR"/>
        </w:rPr>
        <w:t>ccidentale a pour politique d’accorder à toutes les personnes en état d’arrestation les droits supplémentaires ci-après</w:t>
      </w:r>
      <w:r w:rsidR="00572260">
        <w:rPr>
          <w:lang w:val="fr-FR"/>
        </w:rPr>
        <w:t>:</w:t>
      </w:r>
    </w:p>
    <w:p w:rsidR="008B3B88" w:rsidRDefault="008B3B88" w:rsidP="005D7B68">
      <w:pPr>
        <w:tabs>
          <w:tab w:val="left" w:pos="567"/>
          <w:tab w:val="left" w:pos="1134"/>
          <w:tab w:val="left" w:pos="1701"/>
          <w:tab w:val="left" w:pos="2268"/>
        </w:tabs>
        <w:rPr>
          <w:lang w:val="fr-FR"/>
        </w:rPr>
      </w:pPr>
      <w:r>
        <w:rPr>
          <w:lang w:val="fr-FR"/>
        </w:rPr>
        <w:tab/>
        <w:t>a)</w:t>
      </w:r>
      <w:r>
        <w:rPr>
          <w:lang w:val="fr-FR"/>
        </w:rPr>
        <w:tab/>
        <w:t>En cas de garde à vue, que leurs besoins en matière de sé</w:t>
      </w:r>
      <w:r w:rsidR="007E33B3">
        <w:rPr>
          <w:lang w:val="fr-FR"/>
        </w:rPr>
        <w:t>curité et de bien</w:t>
      </w:r>
      <w:r w:rsidR="00A619D6">
        <w:rPr>
          <w:lang w:val="fr-FR"/>
        </w:rPr>
        <w:noBreakHyphen/>
      </w:r>
      <w:r w:rsidR="007E33B3">
        <w:rPr>
          <w:lang w:val="fr-FR"/>
        </w:rPr>
        <w:t>être soient appréciés</w:t>
      </w:r>
      <w:r>
        <w:rPr>
          <w:lang w:val="fr-FR"/>
        </w:rPr>
        <w:t xml:space="preserve"> par la police à intervalles réguliers.</w:t>
      </w:r>
    </w:p>
    <w:p w:rsidR="00474FF6" w:rsidRDefault="008B3B88" w:rsidP="005D7B68">
      <w:pPr>
        <w:tabs>
          <w:tab w:val="left" w:pos="567"/>
          <w:tab w:val="left" w:pos="1134"/>
          <w:tab w:val="left" w:pos="1701"/>
          <w:tab w:val="left" w:pos="2268"/>
        </w:tabs>
        <w:rPr>
          <w:lang w:val="fr-FR"/>
        </w:rPr>
      </w:pPr>
      <w:r>
        <w:rPr>
          <w:lang w:val="fr-FR"/>
        </w:rPr>
        <w:tab/>
        <w:t>b)</w:t>
      </w:r>
      <w:r>
        <w:rPr>
          <w:lang w:val="fr-FR"/>
        </w:rPr>
        <w:tab/>
        <w:t xml:space="preserve">Si un fonctionnaire de police </w:t>
      </w:r>
      <w:r w:rsidR="00474FF6">
        <w:rPr>
          <w:lang w:val="fr-FR"/>
        </w:rPr>
        <w:t>a des raisons d’arrêter une personne qui a été blessée, il convient de prendre toutes les mesures raisonnables pour obtenir des détails sur la nature et la gravité des blessures afin de réduire au minimum les possibilités d’aggravation et de douleurs inutiles.</w:t>
      </w:r>
    </w:p>
    <w:p w:rsidR="00424EC0" w:rsidRDefault="00474FF6" w:rsidP="005D7B68">
      <w:pPr>
        <w:tabs>
          <w:tab w:val="left" w:pos="567"/>
          <w:tab w:val="left" w:pos="1134"/>
          <w:tab w:val="left" w:pos="1701"/>
          <w:tab w:val="left" w:pos="2268"/>
        </w:tabs>
        <w:rPr>
          <w:lang w:val="fr-FR"/>
        </w:rPr>
      </w:pPr>
      <w:r>
        <w:rPr>
          <w:lang w:val="fr-FR"/>
        </w:rPr>
        <w:tab/>
        <w:t>c)</w:t>
      </w:r>
      <w:r>
        <w:rPr>
          <w:lang w:val="fr-FR"/>
        </w:rPr>
        <w:tab/>
        <w:t xml:space="preserve">Le fonctionnaire qui a procédé à l’arrestation a le devoir de faire examiner cette personne par </w:t>
      </w:r>
      <w:r w:rsidR="008F4789">
        <w:rPr>
          <w:lang w:val="fr-FR"/>
        </w:rPr>
        <w:t>un médecin au plus tôt</w:t>
      </w:r>
      <w:r>
        <w:rPr>
          <w:lang w:val="fr-FR"/>
        </w:rPr>
        <w:t xml:space="preserve"> et de rester auprès d’elle jusqu’à ce que des dispositions a</w:t>
      </w:r>
      <w:r w:rsidR="000C7817">
        <w:rPr>
          <w:lang w:val="fr-FR"/>
        </w:rPr>
        <w:t>p</w:t>
      </w:r>
      <w:r>
        <w:rPr>
          <w:lang w:val="fr-FR"/>
        </w:rPr>
        <w:t>pro</w:t>
      </w:r>
      <w:r w:rsidR="000C7817">
        <w:rPr>
          <w:lang w:val="fr-FR"/>
        </w:rPr>
        <w:t>p</w:t>
      </w:r>
      <w:r>
        <w:rPr>
          <w:lang w:val="fr-FR"/>
        </w:rPr>
        <w:t>riées soient prises pour</w:t>
      </w:r>
      <w:r w:rsidR="000525B4">
        <w:rPr>
          <w:lang w:val="fr-FR"/>
        </w:rPr>
        <w:t xml:space="preserve"> </w:t>
      </w:r>
      <w:r w:rsidR="000C7817">
        <w:rPr>
          <w:lang w:val="fr-FR"/>
        </w:rPr>
        <w:t>qu’elle obtienne</w:t>
      </w:r>
      <w:r w:rsidR="000525B4">
        <w:rPr>
          <w:lang w:val="fr-FR"/>
        </w:rPr>
        <w:t xml:space="preserve"> une libération sous caution</w:t>
      </w:r>
      <w:r w:rsidR="000C7817">
        <w:rPr>
          <w:lang w:val="fr-FR"/>
        </w:rPr>
        <w:t>, ou</w:t>
      </w:r>
      <w:r w:rsidR="00EE54C4">
        <w:rPr>
          <w:lang w:val="fr-FR"/>
        </w:rPr>
        <w:t xml:space="preserve"> jusqu’à ce qu’</w:t>
      </w:r>
      <w:r w:rsidR="00424EC0">
        <w:rPr>
          <w:lang w:val="fr-FR"/>
        </w:rPr>
        <w:t>une solution de</w:t>
      </w:r>
      <w:r w:rsidR="000C7817">
        <w:rPr>
          <w:lang w:val="fr-FR"/>
        </w:rPr>
        <w:t xml:space="preserve"> privation de liberté</w:t>
      </w:r>
      <w:r w:rsidR="000525B4">
        <w:rPr>
          <w:lang w:val="fr-FR"/>
        </w:rPr>
        <w:t xml:space="preserve"> </w:t>
      </w:r>
      <w:r w:rsidR="00424EC0">
        <w:rPr>
          <w:lang w:val="fr-FR"/>
        </w:rPr>
        <w:t>de substitution</w:t>
      </w:r>
      <w:r w:rsidR="00EE54C4">
        <w:rPr>
          <w:lang w:val="fr-FR"/>
        </w:rPr>
        <w:t xml:space="preserve"> soit organisée ou mise en place</w:t>
      </w:r>
      <w:r w:rsidR="00424EC0">
        <w:rPr>
          <w:lang w:val="fr-FR"/>
        </w:rPr>
        <w:t>.</w:t>
      </w:r>
    </w:p>
    <w:p w:rsidR="00424EC0" w:rsidRDefault="00424EC0" w:rsidP="005D7B68">
      <w:pPr>
        <w:tabs>
          <w:tab w:val="left" w:pos="567"/>
          <w:tab w:val="left" w:pos="1134"/>
          <w:tab w:val="left" w:pos="1701"/>
          <w:tab w:val="left" w:pos="2268"/>
        </w:tabs>
        <w:rPr>
          <w:lang w:val="fr-FR"/>
        </w:rPr>
      </w:pPr>
      <w:r>
        <w:rPr>
          <w:lang w:val="fr-FR"/>
        </w:rPr>
        <w:tab/>
        <w:t>d)</w:t>
      </w:r>
      <w:r>
        <w:rPr>
          <w:lang w:val="fr-FR"/>
        </w:rPr>
        <w:tab/>
        <w:t>Le droit d’être traité de façon digne et humaine.</w:t>
      </w:r>
    </w:p>
    <w:p w:rsidR="00424EC0" w:rsidRPr="008B3B88" w:rsidRDefault="00424EC0" w:rsidP="005D7B68">
      <w:pPr>
        <w:tabs>
          <w:tab w:val="left" w:pos="567"/>
          <w:tab w:val="left" w:pos="1134"/>
          <w:tab w:val="left" w:pos="1701"/>
          <w:tab w:val="left" w:pos="2268"/>
        </w:tabs>
        <w:rPr>
          <w:lang w:val="fr-FR"/>
        </w:rPr>
      </w:pPr>
      <w:r>
        <w:rPr>
          <w:lang w:val="fr-FR"/>
        </w:rPr>
        <w:tab/>
        <w:t>e)</w:t>
      </w:r>
      <w:r>
        <w:rPr>
          <w:lang w:val="fr-FR"/>
        </w:rPr>
        <w:tab/>
        <w:t>Le droit de porter plainte pour mauvais traitements auprès du Médiateur et de se voir fournir le matériel nécessaire pour effectuer cette démarche</w:t>
      </w:r>
      <w:r w:rsidR="008D6B80">
        <w:rPr>
          <w:lang w:val="fr-FR"/>
        </w:rPr>
        <w:t xml:space="preserve">. </w:t>
      </w:r>
    </w:p>
    <w:p w:rsidR="00925F43" w:rsidRPr="00424EC0" w:rsidRDefault="00424EC0" w:rsidP="005D7B68">
      <w:pPr>
        <w:tabs>
          <w:tab w:val="left" w:pos="567"/>
          <w:tab w:val="left" w:pos="1134"/>
          <w:tab w:val="left" w:pos="1701"/>
          <w:tab w:val="left" w:pos="2268"/>
        </w:tabs>
        <w:rPr>
          <w:lang w:val="fr-FR"/>
        </w:rPr>
      </w:pPr>
      <w:r>
        <w:rPr>
          <w:lang w:val="fr-FR"/>
        </w:rPr>
        <w:t>42.</w:t>
      </w:r>
      <w:r>
        <w:rPr>
          <w:lang w:val="fr-FR"/>
        </w:rPr>
        <w:tab/>
        <w:t xml:space="preserve">En plus des droits accordés au titre de l’article 137 de la </w:t>
      </w:r>
      <w:r w:rsidRPr="003D12F0">
        <w:rPr>
          <w:lang w:val="fr-FR"/>
        </w:rPr>
        <w:t>loi de 2006 sur les enquêtes criminelles</w:t>
      </w:r>
      <w:r w:rsidR="009C7670">
        <w:rPr>
          <w:lang w:val="fr-FR"/>
        </w:rPr>
        <w:t xml:space="preserve"> (Australie</w:t>
      </w:r>
      <w:r w:rsidR="00A619D6">
        <w:rPr>
          <w:lang w:val="fr-FR"/>
        </w:rPr>
        <w:t xml:space="preserve"> o</w:t>
      </w:r>
      <w:r w:rsidR="00E607E0">
        <w:rPr>
          <w:lang w:val="fr-FR"/>
        </w:rPr>
        <w:t>ccidentale</w:t>
      </w:r>
      <w:r>
        <w:rPr>
          <w:lang w:val="fr-FR"/>
        </w:rPr>
        <w:t xml:space="preserve">), </w:t>
      </w:r>
      <w:r w:rsidR="00245ECD">
        <w:rPr>
          <w:lang w:val="fr-FR"/>
        </w:rPr>
        <w:t xml:space="preserve">jouissent de droits supplémentaires </w:t>
      </w:r>
      <w:r>
        <w:rPr>
          <w:lang w:val="fr-FR"/>
        </w:rPr>
        <w:t xml:space="preserve">les personnes </w:t>
      </w:r>
      <w:r w:rsidR="00925F43">
        <w:rPr>
          <w:lang w:val="fr-FR"/>
        </w:rPr>
        <w:t xml:space="preserve">qui ont été </w:t>
      </w:r>
      <w:r>
        <w:rPr>
          <w:lang w:val="fr-FR"/>
        </w:rPr>
        <w:t>arrêtées par la police </w:t>
      </w:r>
      <w:r w:rsidR="0045191D">
        <w:rPr>
          <w:lang w:val="fr-FR"/>
        </w:rPr>
        <w:t>dans les conditions suivantes</w:t>
      </w:r>
      <w:r>
        <w:rPr>
          <w:lang w:val="fr-FR"/>
        </w:rPr>
        <w:t>:</w:t>
      </w:r>
    </w:p>
    <w:p w:rsidR="00925F43" w:rsidRDefault="0045191D" w:rsidP="005D7B68">
      <w:pPr>
        <w:tabs>
          <w:tab w:val="left" w:pos="567"/>
          <w:tab w:val="left" w:pos="1134"/>
          <w:tab w:val="left" w:pos="1701"/>
          <w:tab w:val="left" w:pos="2268"/>
        </w:tabs>
        <w:rPr>
          <w:lang w:val="fr-FR"/>
        </w:rPr>
      </w:pPr>
      <w:r>
        <w:rPr>
          <w:lang w:val="fr-FR"/>
        </w:rPr>
        <w:tab/>
        <w:t>a)</w:t>
      </w:r>
      <w:r>
        <w:rPr>
          <w:lang w:val="fr-FR"/>
        </w:rPr>
        <w:tab/>
        <w:t>E</w:t>
      </w:r>
      <w:r w:rsidR="00925F43">
        <w:rPr>
          <w:lang w:val="fr-FR"/>
        </w:rPr>
        <w:t>n vertu de l’article 128 de la loi sur les enquêtes criminelles, parce qu’elles sont soupçonnées d’avoir commis une infraction</w:t>
      </w:r>
      <w:r w:rsidR="00572260">
        <w:rPr>
          <w:lang w:val="fr-FR"/>
        </w:rPr>
        <w:t>;</w:t>
      </w:r>
    </w:p>
    <w:p w:rsidR="00925F43" w:rsidRDefault="0045191D" w:rsidP="005D7B68">
      <w:pPr>
        <w:tabs>
          <w:tab w:val="left" w:pos="567"/>
          <w:tab w:val="left" w:pos="1134"/>
          <w:tab w:val="left" w:pos="1701"/>
          <w:tab w:val="left" w:pos="2268"/>
        </w:tabs>
        <w:rPr>
          <w:lang w:val="fr-FR"/>
        </w:rPr>
      </w:pPr>
      <w:r>
        <w:rPr>
          <w:lang w:val="fr-FR"/>
        </w:rPr>
        <w:tab/>
        <w:t>b)</w:t>
      </w:r>
      <w:r>
        <w:rPr>
          <w:lang w:val="fr-FR"/>
        </w:rPr>
        <w:tab/>
        <w:t>S</w:t>
      </w:r>
      <w:r w:rsidR="00925F43">
        <w:rPr>
          <w:lang w:val="fr-FR"/>
        </w:rPr>
        <w:t>uite à la délivrance d’un mandat d’arrêt parce qu’elles sont soupçonnées d’avoir commis une infraction</w:t>
      </w:r>
      <w:r w:rsidR="00572260">
        <w:rPr>
          <w:lang w:val="fr-FR"/>
        </w:rPr>
        <w:t>;</w:t>
      </w:r>
    </w:p>
    <w:p w:rsidR="00241AE9" w:rsidRDefault="00925F43" w:rsidP="005D7B68">
      <w:pPr>
        <w:tabs>
          <w:tab w:val="left" w:pos="567"/>
          <w:tab w:val="left" w:pos="1134"/>
          <w:tab w:val="left" w:pos="1701"/>
          <w:tab w:val="left" w:pos="2268"/>
        </w:tabs>
        <w:rPr>
          <w:lang w:val="fr-FR"/>
        </w:rPr>
      </w:pPr>
      <w:r>
        <w:rPr>
          <w:lang w:val="fr-FR"/>
        </w:rPr>
        <w:tab/>
        <w:t>c)</w:t>
      </w:r>
      <w:r>
        <w:rPr>
          <w:lang w:val="fr-FR"/>
        </w:rPr>
        <w:tab/>
      </w:r>
      <w:r w:rsidR="0045191D">
        <w:rPr>
          <w:lang w:val="fr-FR"/>
        </w:rPr>
        <w:t>E</w:t>
      </w:r>
      <w:r w:rsidR="00241AE9">
        <w:rPr>
          <w:lang w:val="fr-FR"/>
        </w:rPr>
        <w:t>n vertu d’un autre texte de loi parce qu’elles sont soupçonnées d’avoir commis une infraction, ou</w:t>
      </w:r>
    </w:p>
    <w:p w:rsidR="004F32E4" w:rsidRPr="00925F43" w:rsidRDefault="0045191D" w:rsidP="005D7B68">
      <w:pPr>
        <w:tabs>
          <w:tab w:val="left" w:pos="567"/>
          <w:tab w:val="left" w:pos="1134"/>
          <w:tab w:val="left" w:pos="1701"/>
          <w:tab w:val="left" w:pos="2268"/>
        </w:tabs>
        <w:rPr>
          <w:lang w:val="fr-FR"/>
        </w:rPr>
      </w:pPr>
      <w:r>
        <w:rPr>
          <w:lang w:val="fr-FR"/>
        </w:rPr>
        <w:tab/>
        <w:t>d)</w:t>
      </w:r>
      <w:r>
        <w:rPr>
          <w:lang w:val="fr-FR"/>
        </w:rPr>
        <w:tab/>
        <w:t>E</w:t>
      </w:r>
      <w:r w:rsidR="00241AE9">
        <w:rPr>
          <w:lang w:val="fr-FR"/>
        </w:rPr>
        <w:t xml:space="preserve">n vertu de la </w:t>
      </w:r>
      <w:r w:rsidR="00241AE9" w:rsidRPr="00EC3505">
        <w:rPr>
          <w:lang w:val="fr-FR"/>
        </w:rPr>
        <w:t>loi de 1987 sur les enquêtes criminelles (infractions extraterritoriales)</w:t>
      </w:r>
      <w:r w:rsidR="00241AE9">
        <w:rPr>
          <w:i/>
          <w:iCs/>
          <w:lang w:val="fr-FR"/>
        </w:rPr>
        <w:t xml:space="preserve"> </w:t>
      </w:r>
      <w:r w:rsidR="009C7670">
        <w:rPr>
          <w:lang w:val="fr-FR"/>
        </w:rPr>
        <w:t>(Australie</w:t>
      </w:r>
      <w:r w:rsidR="00A619D6">
        <w:rPr>
          <w:lang w:val="fr-FR"/>
        </w:rPr>
        <w:t xml:space="preserve"> o</w:t>
      </w:r>
      <w:r w:rsidR="00241AE9" w:rsidRPr="00241AE9">
        <w:rPr>
          <w:lang w:val="fr-FR"/>
        </w:rPr>
        <w:t>ccidentale)</w:t>
      </w:r>
      <w:r w:rsidR="004F32E4">
        <w:rPr>
          <w:lang w:val="fr-FR"/>
        </w:rPr>
        <w:t>.</w:t>
      </w:r>
      <w:r w:rsidR="00241AE9">
        <w:rPr>
          <w:i/>
          <w:iCs/>
          <w:lang w:val="fr-FR"/>
        </w:rPr>
        <w:t xml:space="preserve"> </w:t>
      </w:r>
      <w:r w:rsidR="00925F43">
        <w:rPr>
          <w:lang w:val="fr-FR"/>
        </w:rPr>
        <w:tab/>
      </w:r>
    </w:p>
    <w:p w:rsidR="004F32E4" w:rsidRPr="004F32E4" w:rsidRDefault="004F32E4" w:rsidP="005D7B68">
      <w:pPr>
        <w:tabs>
          <w:tab w:val="left" w:pos="567"/>
          <w:tab w:val="left" w:pos="1134"/>
          <w:tab w:val="left" w:pos="1701"/>
          <w:tab w:val="left" w:pos="2268"/>
        </w:tabs>
        <w:rPr>
          <w:lang w:val="fr-FR"/>
        </w:rPr>
      </w:pPr>
      <w:r>
        <w:rPr>
          <w:lang w:val="fr-FR"/>
        </w:rPr>
        <w:t>43.</w:t>
      </w:r>
      <w:r>
        <w:rPr>
          <w:lang w:val="fr-FR"/>
        </w:rPr>
        <w:tab/>
        <w:t>Les suspects en état d’arrestation jouissent des droits ci-après</w:t>
      </w:r>
      <w:r w:rsidR="00572260">
        <w:rPr>
          <w:lang w:val="fr-FR"/>
        </w:rPr>
        <w:t>:</w:t>
      </w:r>
    </w:p>
    <w:p w:rsidR="008B3B88" w:rsidRDefault="0045191D" w:rsidP="005D7B68">
      <w:pPr>
        <w:tabs>
          <w:tab w:val="left" w:pos="567"/>
          <w:tab w:val="left" w:pos="1134"/>
          <w:tab w:val="left" w:pos="1701"/>
          <w:tab w:val="left" w:pos="2268"/>
        </w:tabs>
        <w:rPr>
          <w:lang w:val="fr-FR"/>
        </w:rPr>
      </w:pPr>
      <w:r>
        <w:rPr>
          <w:lang w:val="fr-FR"/>
        </w:rPr>
        <w:tab/>
        <w:t>a)</w:t>
      </w:r>
      <w:r>
        <w:rPr>
          <w:lang w:val="fr-FR"/>
        </w:rPr>
        <w:tab/>
        <w:t>Droit à ê</w:t>
      </w:r>
      <w:r w:rsidR="004F32E4">
        <w:rPr>
          <w:lang w:val="fr-FR"/>
        </w:rPr>
        <w:t>tre informés sur l’infraction pour laquelle ils ont été arrêtés, ainsi que toute autre infraction qu’ils sont soupçonnés d’avoir commis</w:t>
      </w:r>
      <w:r w:rsidR="00200637">
        <w:rPr>
          <w:lang w:val="fr-FR"/>
        </w:rPr>
        <w:t>e</w:t>
      </w:r>
      <w:r w:rsidR="00572260">
        <w:rPr>
          <w:lang w:val="fr-FR"/>
        </w:rPr>
        <w:t>;</w:t>
      </w:r>
    </w:p>
    <w:p w:rsidR="004F32E4" w:rsidRDefault="00782935" w:rsidP="005D7B68">
      <w:pPr>
        <w:tabs>
          <w:tab w:val="left" w:pos="567"/>
          <w:tab w:val="left" w:pos="1134"/>
          <w:tab w:val="left" w:pos="1701"/>
          <w:tab w:val="left" w:pos="2268"/>
        </w:tabs>
        <w:rPr>
          <w:lang w:val="fr-FR"/>
        </w:rPr>
      </w:pPr>
      <w:r>
        <w:rPr>
          <w:lang w:val="fr-FR"/>
        </w:rPr>
        <w:tab/>
        <w:t>b)</w:t>
      </w:r>
      <w:r>
        <w:rPr>
          <w:lang w:val="fr-FR"/>
        </w:rPr>
        <w:tab/>
        <w:t>Droit d’</w:t>
      </w:r>
      <w:r w:rsidR="0045191D">
        <w:rPr>
          <w:lang w:val="fr-FR"/>
        </w:rPr>
        <w:t>ê</w:t>
      </w:r>
      <w:r w:rsidR="004F32E4">
        <w:rPr>
          <w:lang w:val="fr-FR"/>
        </w:rPr>
        <w:t>tre mis en garde avant d’être interrogés en tant que suspects</w:t>
      </w:r>
      <w:r w:rsidR="00572260">
        <w:rPr>
          <w:lang w:val="fr-FR"/>
        </w:rPr>
        <w:t>;</w:t>
      </w:r>
    </w:p>
    <w:p w:rsidR="004F32E4" w:rsidRDefault="004F32E4" w:rsidP="005D7B68">
      <w:pPr>
        <w:tabs>
          <w:tab w:val="left" w:pos="567"/>
          <w:tab w:val="left" w:pos="1134"/>
          <w:tab w:val="left" w:pos="1701"/>
          <w:tab w:val="left" w:pos="2268"/>
        </w:tabs>
        <w:rPr>
          <w:lang w:val="fr-FR"/>
        </w:rPr>
      </w:pPr>
      <w:r>
        <w:rPr>
          <w:lang w:val="fr-FR"/>
        </w:rPr>
        <w:tab/>
        <w:t>c)</w:t>
      </w:r>
      <w:r>
        <w:rPr>
          <w:lang w:val="fr-FR"/>
        </w:rPr>
        <w:tab/>
      </w:r>
      <w:r w:rsidR="00782935">
        <w:rPr>
          <w:lang w:val="fr-FR"/>
        </w:rPr>
        <w:t>Droit d’</w:t>
      </w:r>
      <w:r>
        <w:rPr>
          <w:lang w:val="fr-FR"/>
        </w:rPr>
        <w:t>avoir une possib</w:t>
      </w:r>
      <w:r w:rsidR="0045191D">
        <w:rPr>
          <w:lang w:val="fr-FR"/>
        </w:rPr>
        <w:t>ilité raisonnable de prendre contact (ou d’essayer de le faire), avec un avocat</w:t>
      </w:r>
      <w:r w:rsidR="00572260">
        <w:rPr>
          <w:lang w:val="fr-FR"/>
        </w:rPr>
        <w:t>;</w:t>
      </w:r>
      <w:r>
        <w:rPr>
          <w:lang w:val="fr-FR"/>
        </w:rPr>
        <w:t xml:space="preserve"> et</w:t>
      </w:r>
    </w:p>
    <w:p w:rsidR="00DE3048" w:rsidRPr="004F32E4" w:rsidRDefault="0045191D" w:rsidP="005D7B68">
      <w:pPr>
        <w:tabs>
          <w:tab w:val="left" w:pos="567"/>
          <w:tab w:val="left" w:pos="1134"/>
          <w:tab w:val="left" w:pos="1701"/>
          <w:tab w:val="left" w:pos="2268"/>
        </w:tabs>
        <w:rPr>
          <w:lang w:val="fr-FR"/>
        </w:rPr>
      </w:pPr>
      <w:r>
        <w:rPr>
          <w:lang w:val="fr-FR"/>
        </w:rPr>
        <w:tab/>
        <w:t>d)</w:t>
      </w:r>
      <w:r>
        <w:rPr>
          <w:lang w:val="fr-FR"/>
        </w:rPr>
        <w:tab/>
        <w:t>S</w:t>
      </w:r>
      <w:r w:rsidR="00DE3048">
        <w:rPr>
          <w:lang w:val="fr-FR"/>
        </w:rPr>
        <w:t>i, pour une raison quelconque, ils ne sont pas en mesure de comprendre</w:t>
      </w:r>
      <w:r>
        <w:rPr>
          <w:lang w:val="fr-FR"/>
        </w:rPr>
        <w:t xml:space="preserve"> l’anglais parlé</w:t>
      </w:r>
      <w:r w:rsidR="00DE3048">
        <w:rPr>
          <w:lang w:val="fr-FR"/>
        </w:rPr>
        <w:t xml:space="preserve"> ou</w:t>
      </w:r>
      <w:r>
        <w:rPr>
          <w:lang w:val="fr-FR"/>
        </w:rPr>
        <w:t xml:space="preserve"> de communiquer dans cette langue</w:t>
      </w:r>
      <w:r w:rsidR="00DE3048">
        <w:rPr>
          <w:lang w:val="fr-FR"/>
        </w:rPr>
        <w:t xml:space="preserve"> de façon satis</w:t>
      </w:r>
      <w:r w:rsidR="00B4282F">
        <w:rPr>
          <w:lang w:val="fr-FR"/>
        </w:rPr>
        <w:t>faisante, droit de</w:t>
      </w:r>
      <w:r w:rsidR="00DE3048">
        <w:rPr>
          <w:lang w:val="fr-FR"/>
        </w:rPr>
        <w:t xml:space="preserve"> pas être interrogés avant de pouvoir bénéficier des services d’un interprète ou de toute autre personne compétente.</w:t>
      </w:r>
    </w:p>
    <w:p w:rsidR="00DE3048" w:rsidRPr="00DE3048" w:rsidRDefault="002E7D99" w:rsidP="005D7B68">
      <w:pPr>
        <w:tabs>
          <w:tab w:val="left" w:pos="567"/>
          <w:tab w:val="left" w:pos="1134"/>
          <w:tab w:val="left" w:pos="1701"/>
          <w:tab w:val="left" w:pos="2268"/>
        </w:tabs>
        <w:rPr>
          <w:lang w:val="fr-FR"/>
        </w:rPr>
      </w:pPr>
      <w:r>
        <w:rPr>
          <w:lang w:val="fr-FR"/>
        </w:rPr>
        <w:t>44.</w:t>
      </w:r>
      <w:r>
        <w:rPr>
          <w:lang w:val="fr-FR"/>
        </w:rPr>
        <w:tab/>
        <w:t>En outre, le policier chargé</w:t>
      </w:r>
      <w:r w:rsidR="00DE3048">
        <w:rPr>
          <w:lang w:val="fr-FR"/>
        </w:rPr>
        <w:t xml:space="preserve"> de l’enquête doit, dès que possible après l’arrestation d’un suspect</w:t>
      </w:r>
      <w:r w:rsidR="00572260">
        <w:rPr>
          <w:lang w:val="fr-FR"/>
        </w:rPr>
        <w:t>:</w:t>
      </w:r>
    </w:p>
    <w:p w:rsidR="00DE3048" w:rsidRDefault="00172732" w:rsidP="005D7B68">
      <w:pPr>
        <w:tabs>
          <w:tab w:val="left" w:pos="567"/>
          <w:tab w:val="left" w:pos="1134"/>
          <w:tab w:val="left" w:pos="1701"/>
          <w:tab w:val="left" w:pos="2268"/>
        </w:tabs>
        <w:rPr>
          <w:lang w:val="fr-FR"/>
        </w:rPr>
      </w:pPr>
      <w:r>
        <w:rPr>
          <w:lang w:val="fr-FR"/>
        </w:rPr>
        <w:tab/>
        <w:t>a)</w:t>
      </w:r>
      <w:r>
        <w:rPr>
          <w:lang w:val="fr-FR"/>
        </w:rPr>
        <w:tab/>
        <w:t>L</w:t>
      </w:r>
      <w:r w:rsidR="00DE3048">
        <w:rPr>
          <w:lang w:val="fr-FR"/>
        </w:rPr>
        <w:t>’informer de ses droits au titre de l’ar</w:t>
      </w:r>
      <w:r w:rsidR="002543B2">
        <w:rPr>
          <w:lang w:val="fr-FR"/>
        </w:rPr>
        <w:t>ticle 137 3) c) et</w:t>
      </w:r>
      <w:r w:rsidR="00572260">
        <w:rPr>
          <w:lang w:val="fr-FR"/>
        </w:rPr>
        <w:t xml:space="preserve"> </w:t>
      </w:r>
      <w:r w:rsidR="00DE3048">
        <w:rPr>
          <w:lang w:val="fr-FR"/>
        </w:rPr>
        <w:t>2) c), et</w:t>
      </w:r>
    </w:p>
    <w:p w:rsidR="00DE3048" w:rsidRPr="00DE3048" w:rsidRDefault="00172732" w:rsidP="005D7B68">
      <w:pPr>
        <w:tabs>
          <w:tab w:val="left" w:pos="567"/>
          <w:tab w:val="left" w:pos="1134"/>
          <w:tab w:val="left" w:pos="1701"/>
          <w:tab w:val="left" w:pos="2268"/>
        </w:tabs>
        <w:rPr>
          <w:lang w:val="fr-FR"/>
        </w:rPr>
      </w:pPr>
      <w:r>
        <w:rPr>
          <w:lang w:val="fr-FR"/>
        </w:rPr>
        <w:tab/>
        <w:t>b)</w:t>
      </w:r>
      <w:r>
        <w:rPr>
          <w:lang w:val="fr-FR"/>
        </w:rPr>
        <w:tab/>
        <w:t>L</w:t>
      </w:r>
      <w:r w:rsidR="00DE3048">
        <w:rPr>
          <w:lang w:val="fr-FR"/>
        </w:rPr>
        <w:t>ui permettre d’exercer ses droits au titre de l</w:t>
      </w:r>
      <w:r w:rsidR="002543B2">
        <w:rPr>
          <w:lang w:val="fr-FR"/>
        </w:rPr>
        <w:t>’article 137,</w:t>
      </w:r>
      <w:r w:rsidR="00DE3048">
        <w:rPr>
          <w:lang w:val="fr-FR"/>
        </w:rPr>
        <w:t xml:space="preserve"> paragraphe 2).</w:t>
      </w:r>
    </w:p>
    <w:p w:rsidR="004406A6" w:rsidRPr="00DE3048" w:rsidRDefault="00DE3048" w:rsidP="005D7B68">
      <w:pPr>
        <w:tabs>
          <w:tab w:val="left" w:pos="567"/>
          <w:tab w:val="left" w:pos="1134"/>
          <w:tab w:val="left" w:pos="1701"/>
          <w:tab w:val="left" w:pos="2268"/>
        </w:tabs>
        <w:rPr>
          <w:lang w:val="fr-FR"/>
        </w:rPr>
      </w:pPr>
      <w:r>
        <w:rPr>
          <w:lang w:val="fr-FR"/>
        </w:rPr>
        <w:t>45.</w:t>
      </w:r>
      <w:r>
        <w:rPr>
          <w:lang w:val="fr-FR"/>
        </w:rPr>
        <w:tab/>
        <w:t xml:space="preserve">Le droit d’un suspect en état d’arrestation </w:t>
      </w:r>
      <w:r w:rsidR="005B041D">
        <w:rPr>
          <w:lang w:val="fr-FR"/>
        </w:rPr>
        <w:t>de</w:t>
      </w:r>
      <w:r w:rsidR="00172732">
        <w:rPr>
          <w:lang w:val="fr-FR"/>
        </w:rPr>
        <w:t xml:space="preserve"> prendre contact avec famille, ami ou avocat</w:t>
      </w:r>
      <w:r w:rsidR="004406A6">
        <w:rPr>
          <w:lang w:val="fr-FR"/>
        </w:rPr>
        <w:t xml:space="preserve"> peut lui être refusé</w:t>
      </w:r>
      <w:r w:rsidR="008D6B80">
        <w:rPr>
          <w:lang w:val="fr-FR"/>
        </w:rPr>
        <w:t xml:space="preserve">. </w:t>
      </w:r>
      <w:r w:rsidR="004406A6">
        <w:rPr>
          <w:lang w:val="fr-FR"/>
        </w:rPr>
        <w:t>Conformément à l’article 38 4) de la loi de 2006 sur les enquêtes criminelles, la police peut interdire à un suspect de communiquer ou d’essayer de communiquer avec une personne si elle a de bonnes raisons de soupçonner que cela pourrait permettre</w:t>
      </w:r>
      <w:r w:rsidR="00572260">
        <w:rPr>
          <w:lang w:val="fr-FR"/>
        </w:rPr>
        <w:t>:</w:t>
      </w:r>
    </w:p>
    <w:p w:rsidR="00DE3048" w:rsidRDefault="00172732" w:rsidP="005D7B68">
      <w:pPr>
        <w:tabs>
          <w:tab w:val="left" w:pos="567"/>
          <w:tab w:val="left" w:pos="1134"/>
          <w:tab w:val="left" w:pos="1701"/>
          <w:tab w:val="left" w:pos="2268"/>
        </w:tabs>
        <w:rPr>
          <w:lang w:val="fr-FR"/>
        </w:rPr>
      </w:pPr>
      <w:r>
        <w:rPr>
          <w:lang w:val="fr-FR"/>
        </w:rPr>
        <w:tab/>
        <w:t>a)</w:t>
      </w:r>
      <w:r>
        <w:rPr>
          <w:lang w:val="fr-FR"/>
        </w:rPr>
        <w:tab/>
        <w:t>Á</w:t>
      </w:r>
      <w:r w:rsidR="004406A6">
        <w:rPr>
          <w:lang w:val="fr-FR"/>
        </w:rPr>
        <w:t xml:space="preserve"> un complice de prendre des mesures pour éviter d’être inculpé</w:t>
      </w:r>
      <w:r w:rsidR="00572260">
        <w:rPr>
          <w:lang w:val="fr-FR"/>
        </w:rPr>
        <w:t>;</w:t>
      </w:r>
    </w:p>
    <w:p w:rsidR="004406A6" w:rsidRDefault="00172732" w:rsidP="005D7B68">
      <w:pPr>
        <w:tabs>
          <w:tab w:val="left" w:pos="567"/>
          <w:tab w:val="left" w:pos="1134"/>
          <w:tab w:val="left" w:pos="1701"/>
          <w:tab w:val="left" w:pos="2268"/>
        </w:tabs>
        <w:rPr>
          <w:lang w:val="fr-FR"/>
        </w:rPr>
      </w:pPr>
      <w:r>
        <w:rPr>
          <w:lang w:val="fr-FR"/>
        </w:rPr>
        <w:tab/>
        <w:t>b)</w:t>
      </w:r>
      <w:r>
        <w:rPr>
          <w:lang w:val="fr-FR"/>
        </w:rPr>
        <w:tab/>
        <w:t>D</w:t>
      </w:r>
      <w:r w:rsidR="004406A6">
        <w:rPr>
          <w:lang w:val="fr-FR"/>
        </w:rPr>
        <w:t>e dissimuler, de modifier ou d</w:t>
      </w:r>
      <w:r>
        <w:rPr>
          <w:lang w:val="fr-FR"/>
        </w:rPr>
        <w:t>e forger des éléments de preuve</w:t>
      </w:r>
      <w:r w:rsidR="00572260">
        <w:rPr>
          <w:lang w:val="fr-FR"/>
        </w:rPr>
        <w:t>;</w:t>
      </w:r>
      <w:r w:rsidR="004406A6">
        <w:rPr>
          <w:lang w:val="fr-FR"/>
        </w:rPr>
        <w:t xml:space="preserve"> ou</w:t>
      </w:r>
    </w:p>
    <w:p w:rsidR="004406A6" w:rsidRPr="004406A6" w:rsidRDefault="00172732" w:rsidP="005D7B68">
      <w:pPr>
        <w:tabs>
          <w:tab w:val="left" w:pos="567"/>
          <w:tab w:val="left" w:pos="1134"/>
          <w:tab w:val="left" w:pos="1701"/>
          <w:tab w:val="left" w:pos="2268"/>
        </w:tabs>
        <w:rPr>
          <w:lang w:val="fr-FR"/>
        </w:rPr>
      </w:pPr>
      <w:r>
        <w:rPr>
          <w:lang w:val="fr-FR"/>
        </w:rPr>
        <w:tab/>
        <w:t>c)</w:t>
      </w:r>
      <w:r>
        <w:rPr>
          <w:lang w:val="fr-FR"/>
        </w:rPr>
        <w:tab/>
        <w:t>D</w:t>
      </w:r>
      <w:r w:rsidR="004406A6">
        <w:rPr>
          <w:lang w:val="fr-FR"/>
        </w:rPr>
        <w:t>e compromettre la sécurité d’un tiers.</w:t>
      </w:r>
    </w:p>
    <w:p w:rsidR="00123412" w:rsidRPr="004406A6" w:rsidRDefault="00123412" w:rsidP="005D7B68">
      <w:pPr>
        <w:tabs>
          <w:tab w:val="left" w:pos="567"/>
          <w:tab w:val="left" w:pos="1134"/>
          <w:tab w:val="left" w:pos="1701"/>
          <w:tab w:val="left" w:pos="2268"/>
        </w:tabs>
        <w:rPr>
          <w:lang w:val="fr-FR"/>
        </w:rPr>
      </w:pPr>
      <w:r>
        <w:rPr>
          <w:lang w:val="fr-FR"/>
        </w:rPr>
        <w:t>46</w:t>
      </w:r>
      <w:r w:rsidR="004406A6">
        <w:rPr>
          <w:lang w:val="fr-FR"/>
        </w:rPr>
        <w:t>.</w:t>
      </w:r>
      <w:r w:rsidR="004406A6">
        <w:rPr>
          <w:lang w:val="fr-FR"/>
        </w:rPr>
        <w:tab/>
      </w:r>
      <w:r>
        <w:rPr>
          <w:lang w:val="fr-FR"/>
        </w:rPr>
        <w:t>Si un fonctionnaire de police</w:t>
      </w:r>
      <w:r w:rsidR="004406A6">
        <w:rPr>
          <w:lang w:val="fr-FR"/>
        </w:rPr>
        <w:t xml:space="preserve"> r</w:t>
      </w:r>
      <w:r w:rsidR="005B041D">
        <w:rPr>
          <w:lang w:val="fr-FR"/>
        </w:rPr>
        <w:t>efuse à un suspect le droit de communiquer</w:t>
      </w:r>
      <w:r w:rsidR="004406A6">
        <w:rPr>
          <w:lang w:val="fr-FR"/>
        </w:rPr>
        <w:t>, un rapport doit être établi à ce sujet</w:t>
      </w:r>
      <w:r>
        <w:rPr>
          <w:lang w:val="fr-FR"/>
        </w:rPr>
        <w:t>, en indiquant les raisons, et ce droit doit être rétabli</w:t>
      </w:r>
      <w:r w:rsidR="00572260">
        <w:rPr>
          <w:lang w:val="fr-FR"/>
        </w:rPr>
        <w:t>:</w:t>
      </w:r>
    </w:p>
    <w:p w:rsidR="004406A6" w:rsidRDefault="00896603" w:rsidP="005D7B68">
      <w:pPr>
        <w:tabs>
          <w:tab w:val="left" w:pos="567"/>
          <w:tab w:val="left" w:pos="1134"/>
          <w:tab w:val="left" w:pos="1701"/>
          <w:tab w:val="left" w:pos="2268"/>
        </w:tabs>
        <w:rPr>
          <w:lang w:val="fr-FR"/>
        </w:rPr>
      </w:pPr>
      <w:r>
        <w:rPr>
          <w:lang w:val="fr-FR"/>
        </w:rPr>
        <w:tab/>
        <w:t>a)</w:t>
      </w:r>
      <w:r>
        <w:rPr>
          <w:lang w:val="fr-FR"/>
        </w:rPr>
        <w:tab/>
        <w:t>S</w:t>
      </w:r>
      <w:r w:rsidR="00123412">
        <w:rPr>
          <w:lang w:val="fr-FR"/>
        </w:rPr>
        <w:t>’il s’avère que ces raisons sont fausses, ou</w:t>
      </w:r>
    </w:p>
    <w:p w:rsidR="00123412" w:rsidRDefault="00896603" w:rsidP="005D7B68">
      <w:pPr>
        <w:tabs>
          <w:tab w:val="left" w:pos="567"/>
          <w:tab w:val="left" w:pos="1134"/>
          <w:tab w:val="left" w:pos="1701"/>
          <w:tab w:val="left" w:pos="2268"/>
        </w:tabs>
        <w:rPr>
          <w:lang w:val="fr-FR"/>
        </w:rPr>
      </w:pPr>
      <w:r>
        <w:rPr>
          <w:lang w:val="fr-FR"/>
        </w:rPr>
        <w:tab/>
        <w:t>b)</w:t>
      </w:r>
      <w:r>
        <w:rPr>
          <w:lang w:val="fr-FR"/>
        </w:rPr>
        <w:tab/>
        <w:t>S</w:t>
      </w:r>
      <w:r w:rsidR="00123412">
        <w:rPr>
          <w:lang w:val="fr-FR"/>
        </w:rPr>
        <w:t>’il n’est plu</w:t>
      </w:r>
      <w:r w:rsidR="00E502D1">
        <w:rPr>
          <w:lang w:val="fr-FR"/>
        </w:rPr>
        <w:t>s nécessaire de le refuser</w:t>
      </w:r>
      <w:r w:rsidR="00123412">
        <w:rPr>
          <w:lang w:val="fr-FR"/>
        </w:rPr>
        <w:t xml:space="preserve"> au suspect.</w:t>
      </w:r>
    </w:p>
    <w:p w:rsidR="00123412" w:rsidRDefault="00123412" w:rsidP="005D7B68">
      <w:pPr>
        <w:tabs>
          <w:tab w:val="left" w:pos="567"/>
          <w:tab w:val="left" w:pos="1134"/>
          <w:tab w:val="left" w:pos="1701"/>
          <w:tab w:val="left" w:pos="2268"/>
        </w:tabs>
        <w:rPr>
          <w:lang w:val="fr-FR"/>
        </w:rPr>
      </w:pPr>
      <w:r>
        <w:rPr>
          <w:lang w:val="fr-FR"/>
        </w:rPr>
        <w:t>47.</w:t>
      </w:r>
      <w:r>
        <w:rPr>
          <w:lang w:val="fr-FR"/>
        </w:rPr>
        <w:tab/>
        <w:t>Prière de voir la réponse à la question 5 pour ce qui est des droits des personnes détenues au titre de la législation relative au terrorisme.</w:t>
      </w:r>
    </w:p>
    <w:p w:rsidR="00123412" w:rsidRDefault="009C7670" w:rsidP="005D7B68">
      <w:pPr>
        <w:tabs>
          <w:tab w:val="left" w:pos="567"/>
          <w:tab w:val="left" w:pos="1134"/>
          <w:tab w:val="left" w:pos="1701"/>
          <w:tab w:val="left" w:pos="2268"/>
        </w:tabs>
        <w:rPr>
          <w:b/>
          <w:bCs/>
          <w:lang w:val="fr-FR"/>
        </w:rPr>
      </w:pPr>
      <w:r>
        <w:rPr>
          <w:b/>
          <w:bCs/>
          <w:lang w:val="fr-FR"/>
        </w:rPr>
        <w:t>Australie</w:t>
      </w:r>
      <w:r w:rsidR="00A619D6">
        <w:rPr>
          <w:b/>
          <w:bCs/>
          <w:lang w:val="fr-FR"/>
        </w:rPr>
        <w:t xml:space="preserve"> m</w:t>
      </w:r>
      <w:r w:rsidR="00123412">
        <w:rPr>
          <w:b/>
          <w:bCs/>
          <w:lang w:val="fr-FR"/>
        </w:rPr>
        <w:t>éridionale</w:t>
      </w:r>
    </w:p>
    <w:p w:rsidR="00E607E0" w:rsidRPr="0028052C" w:rsidRDefault="00123412" w:rsidP="005D7B68">
      <w:pPr>
        <w:tabs>
          <w:tab w:val="left" w:pos="567"/>
          <w:tab w:val="left" w:pos="1134"/>
          <w:tab w:val="left" w:pos="1701"/>
          <w:tab w:val="left" w:pos="2268"/>
        </w:tabs>
        <w:rPr>
          <w:lang w:val="fr-FR"/>
        </w:rPr>
      </w:pPr>
      <w:r>
        <w:rPr>
          <w:lang w:val="fr-FR"/>
        </w:rPr>
        <w:t>48.</w:t>
      </w:r>
      <w:r>
        <w:rPr>
          <w:lang w:val="fr-FR"/>
        </w:rPr>
        <w:tab/>
        <w:t xml:space="preserve">Les droits des personnes placées en garde à vue relèvent généralement de la </w:t>
      </w:r>
      <w:r w:rsidRPr="00896603">
        <w:rPr>
          <w:lang w:val="fr-FR"/>
        </w:rPr>
        <w:t>loi de 1953 sur les infractions mineures</w:t>
      </w:r>
      <w:r>
        <w:rPr>
          <w:i/>
          <w:iCs/>
          <w:lang w:val="fr-FR"/>
        </w:rPr>
        <w:t xml:space="preserve"> </w:t>
      </w:r>
      <w:r>
        <w:rPr>
          <w:lang w:val="fr-FR"/>
        </w:rPr>
        <w:t>(Australie</w:t>
      </w:r>
      <w:r w:rsidR="00A619D6">
        <w:rPr>
          <w:lang w:val="fr-FR"/>
        </w:rPr>
        <w:t xml:space="preserve"> m</w:t>
      </w:r>
      <w:r>
        <w:rPr>
          <w:lang w:val="fr-FR"/>
        </w:rPr>
        <w:t xml:space="preserve">éridionale) (ou de la </w:t>
      </w:r>
      <w:r w:rsidRPr="00896603">
        <w:rPr>
          <w:lang w:val="fr-FR"/>
        </w:rPr>
        <w:t xml:space="preserve">loi de 1993 sur les </w:t>
      </w:r>
      <w:r w:rsidR="0028052C" w:rsidRPr="00896603">
        <w:rPr>
          <w:lang w:val="fr-FR"/>
        </w:rPr>
        <w:t xml:space="preserve">jeunes délinquants </w:t>
      </w:r>
      <w:r w:rsidR="0028052C">
        <w:rPr>
          <w:lang w:val="fr-FR"/>
        </w:rPr>
        <w:t>(</w:t>
      </w:r>
      <w:r w:rsidR="008E1139">
        <w:rPr>
          <w:lang w:val="fr-FR"/>
        </w:rPr>
        <w:t>Australie méridionale</w:t>
      </w:r>
      <w:r w:rsidR="0028052C">
        <w:rPr>
          <w:lang w:val="fr-FR"/>
        </w:rPr>
        <w:t>) pour ce qui est des jeunes âgés de 10 à 18 ans).</w:t>
      </w:r>
    </w:p>
    <w:p w:rsidR="006C26E0" w:rsidRPr="00E607E0" w:rsidRDefault="00DF0966" w:rsidP="005D7B68">
      <w:pPr>
        <w:tabs>
          <w:tab w:val="left" w:pos="567"/>
          <w:tab w:val="left" w:pos="1134"/>
          <w:tab w:val="left" w:pos="1701"/>
          <w:tab w:val="left" w:pos="2268"/>
        </w:tabs>
        <w:rPr>
          <w:lang w:val="fr-FR"/>
        </w:rPr>
      </w:pPr>
      <w:r>
        <w:rPr>
          <w:lang w:val="fr-FR"/>
        </w:rPr>
        <w:t>49.</w:t>
      </w:r>
      <w:r>
        <w:rPr>
          <w:lang w:val="fr-FR"/>
        </w:rPr>
        <w:tab/>
        <w:t>Les droits de toute</w:t>
      </w:r>
      <w:r w:rsidR="00E607E0">
        <w:rPr>
          <w:lang w:val="fr-FR"/>
        </w:rPr>
        <w:t xml:space="preserve"> personne placée en garde à vue </w:t>
      </w:r>
      <w:r w:rsidR="00E607E0" w:rsidRPr="00892EE6">
        <w:rPr>
          <w:lang w:val="fr-FR"/>
        </w:rPr>
        <w:t>(avec ou sans mandat) figurent</w:t>
      </w:r>
      <w:r w:rsidR="00E607E0">
        <w:rPr>
          <w:lang w:val="fr-FR"/>
        </w:rPr>
        <w:t xml:space="preserve"> dans l’article 79A de la loi sur les infractions mineures et l’article 13 de </w:t>
      </w:r>
      <w:r w:rsidR="00E607E0" w:rsidRPr="00380269">
        <w:rPr>
          <w:lang w:val="fr-FR"/>
        </w:rPr>
        <w:t>la loi de 1985 sur la libération sous caution</w:t>
      </w:r>
      <w:r w:rsidR="00E607E0">
        <w:rPr>
          <w:i/>
          <w:iCs/>
          <w:lang w:val="fr-FR"/>
        </w:rPr>
        <w:t xml:space="preserve"> </w:t>
      </w:r>
      <w:r w:rsidR="009C7670">
        <w:rPr>
          <w:lang w:val="fr-FR"/>
        </w:rPr>
        <w:t>(Australie</w:t>
      </w:r>
      <w:r w:rsidR="00A619D6">
        <w:rPr>
          <w:lang w:val="fr-FR"/>
        </w:rPr>
        <w:t xml:space="preserve"> m</w:t>
      </w:r>
      <w:r w:rsidR="00E607E0">
        <w:rPr>
          <w:lang w:val="fr-FR"/>
        </w:rPr>
        <w:t>éridionale)</w:t>
      </w:r>
      <w:r w:rsidR="008D6B80">
        <w:rPr>
          <w:lang w:val="fr-FR"/>
        </w:rPr>
        <w:t xml:space="preserve">. </w:t>
      </w:r>
      <w:r w:rsidR="006C26E0">
        <w:rPr>
          <w:lang w:val="fr-FR"/>
        </w:rPr>
        <w:t>En vertu de ces article</w:t>
      </w:r>
      <w:r w:rsidR="009C7670">
        <w:rPr>
          <w:lang w:val="fr-FR"/>
        </w:rPr>
        <w:t>s</w:t>
      </w:r>
      <w:r w:rsidR="006C26E0">
        <w:rPr>
          <w:lang w:val="fr-FR"/>
        </w:rPr>
        <w:t>, cette personne a les droits suivants</w:t>
      </w:r>
      <w:r w:rsidR="00572260">
        <w:rPr>
          <w:lang w:val="fr-FR"/>
        </w:rPr>
        <w:t>:</w:t>
      </w:r>
    </w:p>
    <w:p w:rsidR="00120154" w:rsidRPr="006C26E0" w:rsidRDefault="006C26E0" w:rsidP="005D7B68">
      <w:pPr>
        <w:tabs>
          <w:tab w:val="left" w:pos="567"/>
          <w:tab w:val="left" w:pos="1134"/>
          <w:tab w:val="left" w:pos="1701"/>
          <w:tab w:val="left" w:pos="2268"/>
        </w:tabs>
        <w:rPr>
          <w:lang w:val="fr-FR"/>
        </w:rPr>
      </w:pPr>
      <w:r>
        <w:rPr>
          <w:lang w:val="fr-FR"/>
        </w:rPr>
        <w:tab/>
        <w:t>a)</w:t>
      </w:r>
      <w:r w:rsidR="00380269">
        <w:rPr>
          <w:lang w:val="fr-FR"/>
        </w:rPr>
        <w:tab/>
        <w:t>T</w:t>
      </w:r>
      <w:r w:rsidR="009C7670">
        <w:rPr>
          <w:lang w:val="fr-FR"/>
        </w:rPr>
        <w:t>éléphone</w:t>
      </w:r>
      <w:r w:rsidR="00380269">
        <w:rPr>
          <w:lang w:val="fr-FR"/>
        </w:rPr>
        <w:t>r à</w:t>
      </w:r>
      <w:r w:rsidR="00120154">
        <w:rPr>
          <w:lang w:val="fr-FR"/>
        </w:rPr>
        <w:t xml:space="preserve"> un ami ou un parent qu’elle a désigné pour l’informer de l’endroit où elle se trouve (art. 79A 1) a))</w:t>
      </w:r>
      <w:r w:rsidR="00572260">
        <w:rPr>
          <w:lang w:val="fr-FR"/>
        </w:rPr>
        <w:t>;</w:t>
      </w:r>
    </w:p>
    <w:p w:rsidR="00123412" w:rsidRDefault="00380269" w:rsidP="005D7B68">
      <w:pPr>
        <w:tabs>
          <w:tab w:val="left" w:pos="567"/>
          <w:tab w:val="left" w:pos="1134"/>
          <w:tab w:val="left" w:pos="1701"/>
          <w:tab w:val="left" w:pos="2268"/>
        </w:tabs>
        <w:rPr>
          <w:lang w:val="fr-FR"/>
        </w:rPr>
      </w:pPr>
      <w:r>
        <w:rPr>
          <w:lang w:val="fr-FR"/>
        </w:rPr>
        <w:tab/>
        <w:t>b)</w:t>
      </w:r>
      <w:r>
        <w:rPr>
          <w:lang w:val="fr-FR"/>
        </w:rPr>
        <w:tab/>
        <w:t>Ê</w:t>
      </w:r>
      <w:r w:rsidR="00120154">
        <w:rPr>
          <w:lang w:val="fr-FR"/>
        </w:rPr>
        <w:t>tre accompagnée par un avocat, un ami ou un parent pendant tout interrogatoire ou toute enquête (art. 79A 1) b) i))</w:t>
      </w:r>
      <w:r w:rsidR="00572260">
        <w:rPr>
          <w:lang w:val="fr-FR"/>
        </w:rPr>
        <w:t>;</w:t>
      </w:r>
    </w:p>
    <w:p w:rsidR="00120154" w:rsidRDefault="00380269" w:rsidP="005D7B68">
      <w:pPr>
        <w:tabs>
          <w:tab w:val="left" w:pos="567"/>
          <w:tab w:val="left" w:pos="1134"/>
          <w:tab w:val="left" w:pos="1701"/>
          <w:tab w:val="left" w:pos="2268"/>
        </w:tabs>
        <w:rPr>
          <w:lang w:val="fr-FR"/>
        </w:rPr>
      </w:pPr>
      <w:r>
        <w:rPr>
          <w:lang w:val="fr-FR"/>
        </w:rPr>
        <w:tab/>
        <w:t>c)</w:t>
      </w:r>
      <w:r>
        <w:rPr>
          <w:lang w:val="fr-FR"/>
        </w:rPr>
        <w:tab/>
        <w:t>F</w:t>
      </w:r>
      <w:r w:rsidR="00120154">
        <w:rPr>
          <w:lang w:val="fr-FR"/>
        </w:rPr>
        <w:t>aire appel à un interprète (art. 79A 1) b) ii))</w:t>
      </w:r>
      <w:r w:rsidR="00572260">
        <w:rPr>
          <w:lang w:val="fr-FR"/>
        </w:rPr>
        <w:t>;</w:t>
      </w:r>
    </w:p>
    <w:p w:rsidR="00120154" w:rsidRDefault="00380269" w:rsidP="005D7B68">
      <w:pPr>
        <w:tabs>
          <w:tab w:val="left" w:pos="567"/>
          <w:tab w:val="left" w:pos="1134"/>
          <w:tab w:val="left" w:pos="1701"/>
          <w:tab w:val="left" w:pos="2268"/>
        </w:tabs>
        <w:rPr>
          <w:lang w:val="fr-FR"/>
        </w:rPr>
      </w:pPr>
      <w:r>
        <w:rPr>
          <w:lang w:val="fr-FR"/>
        </w:rPr>
        <w:tab/>
        <w:t>d)</w:t>
      </w:r>
      <w:r>
        <w:rPr>
          <w:lang w:val="fr-FR"/>
        </w:rPr>
        <w:tab/>
        <w:t>N</w:t>
      </w:r>
      <w:r w:rsidR="00120154">
        <w:rPr>
          <w:lang w:val="fr-FR"/>
        </w:rPr>
        <w:t>e pas répondre à une question (art. 79A 1) b) iii))</w:t>
      </w:r>
      <w:r w:rsidR="00572260">
        <w:rPr>
          <w:lang w:val="fr-FR"/>
        </w:rPr>
        <w:t>;</w:t>
      </w:r>
    </w:p>
    <w:p w:rsidR="00120154" w:rsidRPr="00120154" w:rsidRDefault="00E502D1" w:rsidP="005D7B68">
      <w:pPr>
        <w:tabs>
          <w:tab w:val="left" w:pos="567"/>
          <w:tab w:val="left" w:pos="1134"/>
          <w:tab w:val="left" w:pos="1701"/>
          <w:tab w:val="left" w:pos="2268"/>
        </w:tabs>
        <w:rPr>
          <w:lang w:val="fr-FR"/>
        </w:rPr>
      </w:pPr>
      <w:r>
        <w:rPr>
          <w:lang w:val="fr-FR"/>
        </w:rPr>
        <w:tab/>
        <w:t>e)</w:t>
      </w:r>
      <w:r>
        <w:rPr>
          <w:lang w:val="fr-FR"/>
        </w:rPr>
        <w:tab/>
        <w:t>D</w:t>
      </w:r>
      <w:r w:rsidR="00120154">
        <w:rPr>
          <w:lang w:val="fr-FR"/>
        </w:rPr>
        <w:t>emander à être libérée sous caution (</w:t>
      </w:r>
      <w:r w:rsidR="00380269">
        <w:rPr>
          <w:lang w:val="fr-FR"/>
        </w:rPr>
        <w:t xml:space="preserve">art. 13 de la </w:t>
      </w:r>
      <w:r w:rsidR="00120154" w:rsidRPr="00380269">
        <w:rPr>
          <w:lang w:val="fr-FR"/>
        </w:rPr>
        <w:t>loi de 1985 sur la libération sous caution</w:t>
      </w:r>
      <w:r w:rsidR="00120154">
        <w:rPr>
          <w:lang w:val="fr-FR"/>
        </w:rPr>
        <w:t>).</w:t>
      </w:r>
    </w:p>
    <w:p w:rsidR="00120154" w:rsidRPr="00120154" w:rsidRDefault="00120154" w:rsidP="005D7B68">
      <w:pPr>
        <w:tabs>
          <w:tab w:val="left" w:pos="567"/>
          <w:tab w:val="left" w:pos="1134"/>
          <w:tab w:val="left" w:pos="1701"/>
          <w:tab w:val="left" w:pos="2268"/>
        </w:tabs>
        <w:rPr>
          <w:lang w:val="fr-FR"/>
        </w:rPr>
      </w:pPr>
      <w:r>
        <w:rPr>
          <w:lang w:val="fr-FR"/>
        </w:rPr>
        <w:t>50.</w:t>
      </w:r>
      <w:r>
        <w:rPr>
          <w:lang w:val="fr-FR"/>
        </w:rPr>
        <w:tab/>
      </w:r>
      <w:r w:rsidR="00A619D6">
        <w:rPr>
          <w:lang w:val="fr-FR"/>
        </w:rPr>
        <w:t>En vertu de l’article 79A 3), «</w:t>
      </w:r>
      <w:r>
        <w:rPr>
          <w:lang w:val="fr-FR"/>
        </w:rPr>
        <w:t>un fonctionnaire de police doit, dès que la chose est raisonnablement possible, … informer cette personne sur ses droits au titre du paragraphe 1) et la prévenir que tout ce qu’elle peut dire ou faire est suscep</w:t>
      </w:r>
      <w:r w:rsidR="009C77EB">
        <w:rPr>
          <w:lang w:val="fr-FR"/>
        </w:rPr>
        <w:t>tible d’être retenu contre elle</w:t>
      </w:r>
      <w:r w:rsidR="00A619D6">
        <w:rPr>
          <w:lang w:val="fr-FR"/>
        </w:rPr>
        <w:t>»</w:t>
      </w:r>
      <w:r w:rsidR="009C77EB">
        <w:rPr>
          <w:lang w:val="fr-FR"/>
        </w:rPr>
        <w:t>.</w:t>
      </w:r>
    </w:p>
    <w:p w:rsidR="00641902" w:rsidRPr="00641902" w:rsidRDefault="00120154" w:rsidP="005D7B68">
      <w:pPr>
        <w:tabs>
          <w:tab w:val="left" w:pos="567"/>
          <w:tab w:val="left" w:pos="1134"/>
          <w:tab w:val="left" w:pos="1701"/>
          <w:tab w:val="left" w:pos="2268"/>
        </w:tabs>
        <w:rPr>
          <w:lang w:val="fr-FR"/>
        </w:rPr>
      </w:pPr>
      <w:r>
        <w:rPr>
          <w:lang w:val="fr-FR"/>
        </w:rPr>
        <w:t>51.</w:t>
      </w:r>
      <w:r>
        <w:rPr>
          <w:lang w:val="fr-FR"/>
        </w:rPr>
        <w:tab/>
      </w:r>
      <w:r w:rsidR="002543B2">
        <w:rPr>
          <w:lang w:val="fr-FR"/>
        </w:rPr>
        <w:t>Dans le cas où une</w:t>
      </w:r>
      <w:r w:rsidR="00C21205">
        <w:rPr>
          <w:lang w:val="fr-FR"/>
        </w:rPr>
        <w:t xml:space="preserve"> personne placée en garde à vue est blessée ou malade</w:t>
      </w:r>
      <w:r w:rsidR="00C21205" w:rsidRPr="00924CBC">
        <w:rPr>
          <w:lang w:val="fr-FR"/>
        </w:rPr>
        <w:t xml:space="preserve">, </w:t>
      </w:r>
      <w:r w:rsidR="00924CBC" w:rsidRPr="00924CBC">
        <w:rPr>
          <w:lang w:val="fr-FR"/>
        </w:rPr>
        <w:t xml:space="preserve">le policier qui dirige le poste </w:t>
      </w:r>
      <w:r w:rsidR="00C87ED3" w:rsidRPr="00924CBC">
        <w:rPr>
          <w:lang w:val="fr-FR"/>
        </w:rPr>
        <w:t>de police</w:t>
      </w:r>
      <w:r w:rsidR="00C21205" w:rsidRPr="00924CBC">
        <w:rPr>
          <w:lang w:val="fr-FR"/>
        </w:rPr>
        <w:t xml:space="preserve"> doit, si possible, la faire transporter dans un hôpital agréé ou, en cas </w:t>
      </w:r>
      <w:r w:rsidR="00C21205">
        <w:rPr>
          <w:lang w:val="fr-FR"/>
        </w:rPr>
        <w:t>d’impossibilité, la confier a</w:t>
      </w:r>
      <w:r w:rsidR="00ED6A8C">
        <w:rPr>
          <w:lang w:val="fr-FR"/>
        </w:rPr>
        <w:t xml:space="preserve">ux soins </w:t>
      </w:r>
      <w:r w:rsidR="00ED6A8C" w:rsidRPr="00892EE6">
        <w:rPr>
          <w:lang w:val="fr-FR"/>
        </w:rPr>
        <w:t xml:space="preserve">d’un </w:t>
      </w:r>
      <w:r w:rsidR="00892EE6" w:rsidRPr="00892EE6">
        <w:rPr>
          <w:lang w:val="fr-FR"/>
        </w:rPr>
        <w:t>médecin</w:t>
      </w:r>
      <w:r w:rsidR="00C21205" w:rsidRPr="00892EE6">
        <w:rPr>
          <w:lang w:val="fr-FR"/>
        </w:rPr>
        <w:t xml:space="preserve"> </w:t>
      </w:r>
      <w:r w:rsidR="005B041D">
        <w:rPr>
          <w:lang w:val="fr-FR"/>
        </w:rPr>
        <w:t xml:space="preserve">(de la police) </w:t>
      </w:r>
      <w:r w:rsidR="00C21205" w:rsidRPr="00892EE6">
        <w:rPr>
          <w:lang w:val="fr-FR"/>
        </w:rPr>
        <w:t>ou</w:t>
      </w:r>
      <w:r w:rsidR="00C21205">
        <w:rPr>
          <w:lang w:val="fr-FR"/>
        </w:rPr>
        <w:t xml:space="preserve"> de tout autre membre diplômé du corps médical (</w:t>
      </w:r>
      <w:r w:rsidR="00641902" w:rsidRPr="00ED6A8C">
        <w:rPr>
          <w:lang w:val="fr-FR"/>
        </w:rPr>
        <w:t>Règlement d’application de la loi sur la police de 1999</w:t>
      </w:r>
      <w:r w:rsidR="00641902">
        <w:rPr>
          <w:lang w:val="fr-FR"/>
        </w:rPr>
        <w:t>, règl</w:t>
      </w:r>
      <w:r w:rsidR="005B041D">
        <w:rPr>
          <w:lang w:val="fr-FR"/>
        </w:rPr>
        <w:t>e 69)</w:t>
      </w:r>
      <w:r w:rsidR="008D6B80">
        <w:rPr>
          <w:lang w:val="fr-FR"/>
        </w:rPr>
        <w:t xml:space="preserve">. </w:t>
      </w:r>
      <w:r w:rsidR="005B041D">
        <w:rPr>
          <w:lang w:val="fr-FR"/>
        </w:rPr>
        <w:t>Toute personne a le droit de</w:t>
      </w:r>
      <w:r w:rsidR="00223DD8">
        <w:rPr>
          <w:lang w:val="fr-FR"/>
        </w:rPr>
        <w:t xml:space="preserve"> demander à </w:t>
      </w:r>
      <w:r w:rsidR="00641902">
        <w:rPr>
          <w:lang w:val="fr-FR"/>
        </w:rPr>
        <w:t>être examinée par un médecin expressément désigné (règle 70 2)</w:t>
      </w:r>
      <w:r w:rsidR="005B041D">
        <w:rPr>
          <w:lang w:val="fr-FR"/>
        </w:rPr>
        <w:t>)</w:t>
      </w:r>
      <w:r w:rsidR="00572260">
        <w:rPr>
          <w:lang w:val="fr-FR"/>
        </w:rPr>
        <w:t>;</w:t>
      </w:r>
      <w:r w:rsidR="00641902">
        <w:rPr>
          <w:lang w:val="fr-FR"/>
        </w:rPr>
        <w:t xml:space="preserve"> toutefois, si ledit médecin intervient, cette personne est tenue de subvenir à toutes les frais médicaux qui ne sont pas couverts par un régime de remboursement des prestations médicales (règle 10A 1) a)).</w:t>
      </w:r>
    </w:p>
    <w:p w:rsidR="008B0ECC" w:rsidRPr="008B0ECC" w:rsidRDefault="00641902" w:rsidP="005D7B68">
      <w:pPr>
        <w:tabs>
          <w:tab w:val="left" w:pos="567"/>
          <w:tab w:val="left" w:pos="1134"/>
          <w:tab w:val="left" w:pos="1701"/>
          <w:tab w:val="left" w:pos="2268"/>
        </w:tabs>
        <w:rPr>
          <w:lang w:val="fr-FR"/>
        </w:rPr>
      </w:pPr>
      <w:r>
        <w:rPr>
          <w:lang w:val="fr-FR"/>
        </w:rPr>
        <w:t>52.</w:t>
      </w:r>
      <w:r>
        <w:rPr>
          <w:lang w:val="fr-FR"/>
        </w:rPr>
        <w:tab/>
        <w:t xml:space="preserve">L’article 81 de la loi sur les infractions mineures et l’article 25 de </w:t>
      </w:r>
      <w:r w:rsidRPr="00E502D1">
        <w:rPr>
          <w:lang w:val="fr-FR"/>
        </w:rPr>
        <w:t>la loi</w:t>
      </w:r>
      <w:r w:rsidR="008B0ECC" w:rsidRPr="00E502D1">
        <w:rPr>
          <w:lang w:val="fr-FR"/>
        </w:rPr>
        <w:t xml:space="preserve"> de 2</w:t>
      </w:r>
      <w:r w:rsidR="007B07E2">
        <w:rPr>
          <w:lang w:val="fr-FR"/>
        </w:rPr>
        <w:t>007 sur le droit pénal</w:t>
      </w:r>
      <w:r w:rsidR="008B0ECC" w:rsidRPr="00E502D1">
        <w:rPr>
          <w:lang w:val="fr-FR"/>
        </w:rPr>
        <w:t xml:space="preserve"> (procédures médico-légales)</w:t>
      </w:r>
      <w:r w:rsidR="009C77EB">
        <w:rPr>
          <w:lang w:val="fr-FR"/>
        </w:rPr>
        <w:t xml:space="preserve"> (Australie m</w:t>
      </w:r>
      <w:r w:rsidR="008B0ECC">
        <w:rPr>
          <w:lang w:val="fr-FR"/>
        </w:rPr>
        <w:t>éridionale) confère à l’intéressé le droit de faire appel à un médecin de son choix pour qu’il soit présent lors d’un</w:t>
      </w:r>
      <w:r w:rsidR="00ED6A8C">
        <w:rPr>
          <w:lang w:val="fr-FR"/>
        </w:rPr>
        <w:t>e</w:t>
      </w:r>
      <w:r w:rsidR="008B0ECC">
        <w:rPr>
          <w:lang w:val="fr-FR"/>
        </w:rPr>
        <w:t xml:space="preserve"> fouille approfondie ou d’une procédure médico-légale approfondie</w:t>
      </w:r>
      <w:r w:rsidR="008D6B80">
        <w:rPr>
          <w:lang w:val="fr-FR"/>
        </w:rPr>
        <w:t xml:space="preserve">. </w:t>
      </w:r>
      <w:r w:rsidR="008B0ECC">
        <w:rPr>
          <w:lang w:val="fr-FR"/>
        </w:rPr>
        <w:t>La procédure elle-même ne peut être opérée par un médecin de son choix.</w:t>
      </w:r>
    </w:p>
    <w:p w:rsidR="008B0ECC" w:rsidRPr="008B0ECC" w:rsidRDefault="008B0ECC" w:rsidP="005D7B68">
      <w:pPr>
        <w:tabs>
          <w:tab w:val="left" w:pos="567"/>
          <w:tab w:val="left" w:pos="1134"/>
          <w:tab w:val="left" w:pos="1701"/>
          <w:tab w:val="left" w:pos="2268"/>
        </w:tabs>
        <w:rPr>
          <w:lang w:val="fr-FR"/>
        </w:rPr>
      </w:pPr>
      <w:r>
        <w:rPr>
          <w:lang w:val="fr-FR"/>
        </w:rPr>
        <w:t>53.</w:t>
      </w:r>
      <w:r>
        <w:rPr>
          <w:lang w:val="fr-FR"/>
        </w:rPr>
        <w:tab/>
        <w:t>Prière de voir la réponse à la question 5 pour ce qui est des droits des personnes détenues au titre de la législation relative au terrorisme.</w:t>
      </w:r>
    </w:p>
    <w:p w:rsidR="00120154" w:rsidRDefault="008B0ECC" w:rsidP="005D7B68">
      <w:pPr>
        <w:keepNext/>
        <w:tabs>
          <w:tab w:val="left" w:pos="567"/>
          <w:tab w:val="left" w:pos="1134"/>
          <w:tab w:val="left" w:pos="1701"/>
          <w:tab w:val="left" w:pos="2268"/>
        </w:tabs>
        <w:rPr>
          <w:b/>
          <w:bCs/>
          <w:lang w:val="fr-FR"/>
        </w:rPr>
      </w:pPr>
      <w:r>
        <w:rPr>
          <w:b/>
          <w:bCs/>
          <w:lang w:val="fr-FR"/>
        </w:rPr>
        <w:t>Tasmanie</w:t>
      </w:r>
    </w:p>
    <w:p w:rsidR="007306BC" w:rsidRPr="008B0ECC" w:rsidRDefault="008B0ECC" w:rsidP="005D7B68">
      <w:pPr>
        <w:keepNext/>
        <w:tabs>
          <w:tab w:val="left" w:pos="567"/>
          <w:tab w:val="left" w:pos="1134"/>
          <w:tab w:val="left" w:pos="1701"/>
          <w:tab w:val="left" w:pos="2268"/>
        </w:tabs>
        <w:rPr>
          <w:lang w:val="fr-FR"/>
        </w:rPr>
      </w:pPr>
      <w:r>
        <w:rPr>
          <w:lang w:val="fr-FR"/>
        </w:rPr>
        <w:t>54.</w:t>
      </w:r>
      <w:r>
        <w:rPr>
          <w:lang w:val="fr-FR"/>
        </w:rPr>
        <w:tab/>
        <w:t>En Tasmanie, les droits des citoyens placés en état d’arrestation sont garantis par un certain</w:t>
      </w:r>
      <w:r w:rsidR="005E2AA5">
        <w:rPr>
          <w:lang w:val="fr-FR"/>
        </w:rPr>
        <w:t xml:space="preserve"> </w:t>
      </w:r>
      <w:r>
        <w:rPr>
          <w:lang w:val="fr-FR"/>
        </w:rPr>
        <w:t>nombre</w:t>
      </w:r>
      <w:r w:rsidR="005E2AA5">
        <w:rPr>
          <w:lang w:val="fr-FR"/>
        </w:rPr>
        <w:t xml:space="preserve"> de protections de droit écrit et de </w:t>
      </w:r>
      <w:r w:rsidR="005E2AA5" w:rsidRPr="00ED6A8C">
        <w:rPr>
          <w:i/>
          <w:iCs/>
          <w:lang w:val="fr-FR"/>
        </w:rPr>
        <w:t>common law</w:t>
      </w:r>
      <w:r w:rsidR="008D6B80">
        <w:rPr>
          <w:lang w:val="fr-FR"/>
        </w:rPr>
        <w:t xml:space="preserve">. </w:t>
      </w:r>
      <w:r w:rsidR="005E2AA5">
        <w:rPr>
          <w:lang w:val="fr-FR"/>
        </w:rPr>
        <w:t>D’importante</w:t>
      </w:r>
      <w:r w:rsidR="00E502D1">
        <w:rPr>
          <w:lang w:val="fr-FR"/>
        </w:rPr>
        <w:t>s</w:t>
      </w:r>
      <w:r w:rsidR="005E2AA5">
        <w:rPr>
          <w:lang w:val="fr-FR"/>
        </w:rPr>
        <w:t xml:space="preserve"> garanties sont apportées par la </w:t>
      </w:r>
      <w:r w:rsidR="005E2AA5" w:rsidRPr="00ED6A8C">
        <w:rPr>
          <w:lang w:val="fr-FR"/>
        </w:rPr>
        <w:t>loi de 1995 sur le droit pénal (détention et interrogatoire)</w:t>
      </w:r>
      <w:r w:rsidR="005E2AA5">
        <w:rPr>
          <w:lang w:val="fr-FR"/>
        </w:rPr>
        <w:t xml:space="preserve"> (Tasmanie) qui assujettit les procédures d’interrogatoire de la police à</w:t>
      </w:r>
      <w:r w:rsidR="007306BC">
        <w:rPr>
          <w:lang w:val="fr-FR"/>
        </w:rPr>
        <w:t xml:space="preserve"> une supervision et à un contrôle législatifs, et oblige les policiers à enregistrer sur bande magnétique les aveux et déclarations faits au cours des </w:t>
      </w:r>
      <w:r w:rsidR="00A619D6">
        <w:rPr>
          <w:lang w:val="fr-FR"/>
        </w:rPr>
        <w:t>«</w:t>
      </w:r>
      <w:r w:rsidR="007306BC">
        <w:rPr>
          <w:lang w:val="fr-FR"/>
        </w:rPr>
        <w:t>interrogatoires officiels</w:t>
      </w:r>
      <w:r w:rsidR="00A619D6">
        <w:rPr>
          <w:lang w:val="fr-FR"/>
        </w:rPr>
        <w:t>»</w:t>
      </w:r>
      <w:r w:rsidR="007306BC">
        <w:rPr>
          <w:lang w:val="fr-FR"/>
        </w:rPr>
        <w:t xml:space="preserve"> relatifs à des infractions graves</w:t>
      </w:r>
      <w:r w:rsidR="008D6B80">
        <w:rPr>
          <w:lang w:val="fr-FR"/>
        </w:rPr>
        <w:t xml:space="preserve">. </w:t>
      </w:r>
      <w:r w:rsidR="007306BC">
        <w:rPr>
          <w:lang w:val="fr-FR"/>
        </w:rPr>
        <w:t>Les principales obligations prévues par cette loi sont les suivantes</w:t>
      </w:r>
      <w:r w:rsidR="00572260">
        <w:rPr>
          <w:lang w:val="fr-FR"/>
        </w:rPr>
        <w:t>:</w:t>
      </w:r>
      <w:r w:rsidR="005E2AA5">
        <w:rPr>
          <w:lang w:val="fr-FR"/>
        </w:rPr>
        <w:t xml:space="preserve"> </w:t>
      </w:r>
    </w:p>
    <w:p w:rsidR="008B0ECC" w:rsidRDefault="007306BC" w:rsidP="005D7B68">
      <w:pPr>
        <w:tabs>
          <w:tab w:val="left" w:pos="567"/>
          <w:tab w:val="left" w:pos="1134"/>
          <w:tab w:val="left" w:pos="1701"/>
          <w:tab w:val="left" w:pos="2268"/>
        </w:tabs>
        <w:rPr>
          <w:lang w:val="fr-FR"/>
        </w:rPr>
      </w:pPr>
      <w:r>
        <w:rPr>
          <w:lang w:val="fr-FR"/>
        </w:rPr>
        <w:tab/>
        <w:t>a)</w:t>
      </w:r>
      <w:r>
        <w:rPr>
          <w:lang w:val="fr-FR"/>
        </w:rPr>
        <w:tab/>
        <w:t xml:space="preserve">La personne arrêtée doit être déférée devant un </w:t>
      </w:r>
      <w:r w:rsidRPr="00892EE6">
        <w:rPr>
          <w:i/>
          <w:iCs/>
          <w:lang w:val="fr-FR"/>
        </w:rPr>
        <w:t>magistrat</w:t>
      </w:r>
      <w:r w:rsidR="00892EE6" w:rsidRPr="00892EE6">
        <w:rPr>
          <w:i/>
          <w:iCs/>
          <w:lang w:val="fr-FR"/>
        </w:rPr>
        <w:t>e</w:t>
      </w:r>
      <w:r>
        <w:rPr>
          <w:lang w:val="fr-FR"/>
        </w:rPr>
        <w:t xml:space="preserve"> ou un juge dès que possible après son arrestation, sauf si </w:t>
      </w:r>
      <w:r w:rsidRPr="00892EE6">
        <w:rPr>
          <w:lang w:val="fr-FR"/>
        </w:rPr>
        <w:t xml:space="preserve">elle </w:t>
      </w:r>
      <w:r w:rsidR="00892EE6" w:rsidRPr="00892EE6">
        <w:rPr>
          <w:lang w:val="fr-FR"/>
        </w:rPr>
        <w:t>est libérée sans contrôle judiciaire</w:t>
      </w:r>
      <w:r w:rsidRPr="00892EE6">
        <w:rPr>
          <w:lang w:val="fr-FR"/>
        </w:rPr>
        <w:t xml:space="preserve"> ou sous caution</w:t>
      </w:r>
      <w:r>
        <w:rPr>
          <w:lang w:val="fr-FR"/>
        </w:rPr>
        <w:t xml:space="preserve"> </w:t>
      </w:r>
      <w:r w:rsidR="003A51C4">
        <w:rPr>
          <w:lang w:val="fr-FR"/>
        </w:rPr>
        <w:t>(</w:t>
      </w:r>
      <w:r>
        <w:rPr>
          <w:lang w:val="fr-FR"/>
        </w:rPr>
        <w:t>art. 4 1)</w:t>
      </w:r>
      <w:r w:rsidR="005B7E96">
        <w:rPr>
          <w:lang w:val="fr-FR"/>
        </w:rPr>
        <w:t>)</w:t>
      </w:r>
      <w:r w:rsidR="003A51C4">
        <w:rPr>
          <w:lang w:val="fr-FR"/>
        </w:rPr>
        <w:t>.</w:t>
      </w:r>
    </w:p>
    <w:p w:rsidR="00F72E9E" w:rsidRDefault="007306BC" w:rsidP="005D7B68">
      <w:pPr>
        <w:tabs>
          <w:tab w:val="left" w:pos="567"/>
          <w:tab w:val="left" w:pos="1134"/>
          <w:tab w:val="left" w:pos="1701"/>
          <w:tab w:val="left" w:pos="2268"/>
        </w:tabs>
        <w:rPr>
          <w:lang w:val="fr-FR"/>
        </w:rPr>
      </w:pPr>
      <w:r>
        <w:rPr>
          <w:lang w:val="fr-FR"/>
        </w:rPr>
        <w:tab/>
        <w:t>b)</w:t>
      </w:r>
      <w:r>
        <w:rPr>
          <w:lang w:val="fr-FR"/>
        </w:rPr>
        <w:tab/>
        <w:t xml:space="preserve">La personne </w:t>
      </w:r>
      <w:r w:rsidR="00F72E9E">
        <w:rPr>
          <w:lang w:val="fr-FR"/>
        </w:rPr>
        <w:t xml:space="preserve">placée </w:t>
      </w:r>
      <w:r>
        <w:rPr>
          <w:lang w:val="fr-FR"/>
        </w:rPr>
        <w:t>en état d’arrestation doit être informée</w:t>
      </w:r>
      <w:r w:rsidR="00605745">
        <w:rPr>
          <w:lang w:val="fr-FR"/>
        </w:rPr>
        <w:t>,</w:t>
      </w:r>
      <w:r>
        <w:rPr>
          <w:lang w:val="fr-FR"/>
        </w:rPr>
        <w:t xml:space="preserve"> avant d’être interrogée</w:t>
      </w:r>
      <w:r w:rsidR="00605745">
        <w:rPr>
          <w:lang w:val="fr-FR"/>
        </w:rPr>
        <w:t>,</w:t>
      </w:r>
      <w:r>
        <w:rPr>
          <w:lang w:val="fr-FR"/>
        </w:rPr>
        <w:t xml:space="preserve"> qu’elle a le droit de garder le silence</w:t>
      </w:r>
      <w:r w:rsidR="003A51C4">
        <w:rPr>
          <w:lang w:val="fr-FR"/>
        </w:rPr>
        <w:t> (</w:t>
      </w:r>
      <w:r w:rsidR="00F72E9E">
        <w:rPr>
          <w:lang w:val="fr-FR"/>
        </w:rPr>
        <w:t>art. 4 5)</w:t>
      </w:r>
      <w:r w:rsidR="005B7E96">
        <w:rPr>
          <w:lang w:val="fr-FR"/>
        </w:rPr>
        <w:t>)</w:t>
      </w:r>
      <w:r w:rsidR="00F72E9E">
        <w:rPr>
          <w:lang w:val="fr-FR"/>
        </w:rPr>
        <w:t>.</w:t>
      </w:r>
    </w:p>
    <w:p w:rsidR="00F72E9E" w:rsidRDefault="00F72E9E" w:rsidP="005D7B68">
      <w:pPr>
        <w:tabs>
          <w:tab w:val="left" w:pos="567"/>
          <w:tab w:val="left" w:pos="1134"/>
          <w:tab w:val="left" w:pos="1701"/>
          <w:tab w:val="left" w:pos="2268"/>
        </w:tabs>
        <w:rPr>
          <w:lang w:val="fr-FR"/>
        </w:rPr>
      </w:pPr>
      <w:r>
        <w:rPr>
          <w:lang w:val="fr-FR"/>
        </w:rPr>
        <w:tab/>
        <w:t>c)</w:t>
      </w:r>
      <w:r>
        <w:rPr>
          <w:lang w:val="fr-FR"/>
        </w:rPr>
        <w:tab/>
        <w:t>La personne placée en état d’arrestation doit être inform</w:t>
      </w:r>
      <w:r w:rsidR="00ED6A8C">
        <w:rPr>
          <w:lang w:val="fr-FR"/>
        </w:rPr>
        <w:t>ée de son droit de prendre contact</w:t>
      </w:r>
      <w:r>
        <w:rPr>
          <w:lang w:val="fr-FR"/>
        </w:rPr>
        <w:t xml:space="preserve"> avec un ami ou un parent et un a</w:t>
      </w:r>
      <w:r w:rsidR="003A51C4">
        <w:rPr>
          <w:lang w:val="fr-FR"/>
        </w:rPr>
        <w:t>vocat avant d’être interrogée (</w:t>
      </w:r>
      <w:r>
        <w:rPr>
          <w:lang w:val="fr-FR"/>
        </w:rPr>
        <w:t>art. 6 1)</w:t>
      </w:r>
      <w:r w:rsidR="005B7E96">
        <w:rPr>
          <w:lang w:val="fr-FR"/>
        </w:rPr>
        <w:t>)</w:t>
      </w:r>
      <w:r>
        <w:rPr>
          <w:lang w:val="fr-FR"/>
        </w:rPr>
        <w:t>.</w:t>
      </w:r>
    </w:p>
    <w:p w:rsidR="00F72E9E" w:rsidRDefault="00F72E9E" w:rsidP="005D7B68">
      <w:pPr>
        <w:tabs>
          <w:tab w:val="left" w:pos="567"/>
          <w:tab w:val="left" w:pos="1134"/>
          <w:tab w:val="left" w:pos="1701"/>
          <w:tab w:val="left" w:pos="2268"/>
        </w:tabs>
        <w:rPr>
          <w:lang w:val="fr-FR"/>
        </w:rPr>
      </w:pPr>
      <w:r>
        <w:rPr>
          <w:lang w:val="fr-FR"/>
        </w:rPr>
        <w:tab/>
        <w:t>d)</w:t>
      </w:r>
      <w:r>
        <w:rPr>
          <w:lang w:val="fr-FR"/>
        </w:rPr>
        <w:tab/>
        <w:t>Sous réserve de l’article 6 3) et 6), la police est tenue de retarder tout interrogatoire et toute enquête afin de permettre à la personne placée en état d’arrestation de prendre ce cont</w:t>
      </w:r>
      <w:r w:rsidR="003A51C4">
        <w:rPr>
          <w:lang w:val="fr-FR"/>
        </w:rPr>
        <w:t>act, ou d’essayer de le faire (</w:t>
      </w:r>
      <w:r>
        <w:rPr>
          <w:lang w:val="fr-FR"/>
        </w:rPr>
        <w:t>art. 6 2)</w:t>
      </w:r>
      <w:r w:rsidR="005B7E96">
        <w:rPr>
          <w:lang w:val="fr-FR"/>
        </w:rPr>
        <w:t>)</w:t>
      </w:r>
      <w:r>
        <w:rPr>
          <w:lang w:val="fr-FR"/>
        </w:rPr>
        <w:t>.</w:t>
      </w:r>
    </w:p>
    <w:p w:rsidR="007306BC" w:rsidRDefault="00F72E9E" w:rsidP="005D7B68">
      <w:pPr>
        <w:tabs>
          <w:tab w:val="left" w:pos="567"/>
          <w:tab w:val="left" w:pos="1134"/>
          <w:tab w:val="left" w:pos="1701"/>
          <w:tab w:val="left" w:pos="2268"/>
        </w:tabs>
        <w:rPr>
          <w:lang w:val="fr-FR"/>
        </w:rPr>
      </w:pPr>
      <w:r>
        <w:rPr>
          <w:lang w:val="fr-FR"/>
        </w:rPr>
        <w:tab/>
        <w:t>e)</w:t>
      </w:r>
      <w:r>
        <w:rPr>
          <w:lang w:val="fr-FR"/>
        </w:rPr>
        <w:tab/>
        <w:t>Sous réserve de l’article 6 3) et 6), la police doit donner à la personne placée en état d’arrestation</w:t>
      </w:r>
      <w:r w:rsidR="007306BC">
        <w:rPr>
          <w:lang w:val="fr-FR"/>
        </w:rPr>
        <w:t xml:space="preserve"> </w:t>
      </w:r>
      <w:r>
        <w:rPr>
          <w:lang w:val="fr-FR"/>
        </w:rPr>
        <w:t>la possibilité</w:t>
      </w:r>
      <w:r w:rsidR="005B7E96">
        <w:rPr>
          <w:lang w:val="fr-FR"/>
        </w:rPr>
        <w:t>,</w:t>
      </w:r>
      <w:r>
        <w:rPr>
          <w:lang w:val="fr-FR"/>
        </w:rPr>
        <w:t xml:space="preserve"> </w:t>
      </w:r>
      <w:r w:rsidR="005B7E96">
        <w:rPr>
          <w:lang w:val="fr-FR"/>
        </w:rPr>
        <w:t>dans des conditions raisonnables,</w:t>
      </w:r>
      <w:r>
        <w:rPr>
          <w:lang w:val="fr-FR"/>
        </w:rPr>
        <w:t xml:space="preserve"> d</w:t>
      </w:r>
      <w:r w:rsidR="00ED6A8C">
        <w:rPr>
          <w:lang w:val="fr-FR"/>
        </w:rPr>
        <w:t>e procéder à cette prise de contact (</w:t>
      </w:r>
      <w:r>
        <w:rPr>
          <w:lang w:val="fr-FR"/>
        </w:rPr>
        <w:t>art. 6 7)</w:t>
      </w:r>
      <w:r w:rsidR="005B7E96">
        <w:rPr>
          <w:lang w:val="fr-FR"/>
        </w:rPr>
        <w:t>)</w:t>
      </w:r>
      <w:r>
        <w:rPr>
          <w:lang w:val="fr-FR"/>
        </w:rPr>
        <w:t>.</w:t>
      </w:r>
    </w:p>
    <w:p w:rsidR="00F72E9E" w:rsidRDefault="00F72E9E" w:rsidP="005D7B68">
      <w:pPr>
        <w:tabs>
          <w:tab w:val="left" w:pos="567"/>
          <w:tab w:val="left" w:pos="1134"/>
          <w:tab w:val="left" w:pos="1701"/>
          <w:tab w:val="left" w:pos="2268"/>
        </w:tabs>
        <w:rPr>
          <w:lang w:val="fr-FR"/>
        </w:rPr>
      </w:pPr>
      <w:r>
        <w:rPr>
          <w:lang w:val="fr-FR"/>
        </w:rPr>
        <w:tab/>
        <w:t>f)</w:t>
      </w:r>
      <w:r>
        <w:rPr>
          <w:lang w:val="fr-FR"/>
        </w:rPr>
        <w:tab/>
        <w:t xml:space="preserve">Il doit être fait appel </w:t>
      </w:r>
      <w:r w:rsidR="00ED6A8C">
        <w:rPr>
          <w:lang w:val="fr-FR"/>
        </w:rPr>
        <w:t>à un interprète si nécessaire (</w:t>
      </w:r>
      <w:r>
        <w:rPr>
          <w:lang w:val="fr-FR"/>
        </w:rPr>
        <w:t>art 5</w:t>
      </w:r>
      <w:r w:rsidR="003A51C4">
        <w:rPr>
          <w:lang w:val="fr-FR"/>
        </w:rPr>
        <w:t>)</w:t>
      </w:r>
      <w:r w:rsidR="00ED6A8C">
        <w:rPr>
          <w:lang w:val="fr-FR"/>
        </w:rPr>
        <w:t>.</w:t>
      </w:r>
    </w:p>
    <w:p w:rsidR="0009418A" w:rsidRDefault="00F72E9E" w:rsidP="005D7B68">
      <w:pPr>
        <w:tabs>
          <w:tab w:val="left" w:pos="567"/>
          <w:tab w:val="left" w:pos="1134"/>
          <w:tab w:val="left" w:pos="1701"/>
          <w:tab w:val="left" w:pos="2268"/>
        </w:tabs>
        <w:rPr>
          <w:lang w:val="fr-FR"/>
        </w:rPr>
      </w:pPr>
      <w:r>
        <w:rPr>
          <w:lang w:val="fr-FR"/>
        </w:rPr>
        <w:tab/>
        <w:t>g)</w:t>
      </w:r>
      <w:r>
        <w:rPr>
          <w:lang w:val="fr-FR"/>
        </w:rPr>
        <w:tab/>
        <w:t>La</w:t>
      </w:r>
      <w:r w:rsidR="0009418A">
        <w:rPr>
          <w:lang w:val="fr-FR"/>
        </w:rPr>
        <w:t xml:space="preserve"> durée de l’interrogatoire de la</w:t>
      </w:r>
      <w:r>
        <w:rPr>
          <w:lang w:val="fr-FR"/>
        </w:rPr>
        <w:t xml:space="preserve"> personne placée en état d’arrestation</w:t>
      </w:r>
      <w:r w:rsidR="0009418A">
        <w:rPr>
          <w:lang w:val="fr-FR"/>
        </w:rPr>
        <w:t xml:space="preserve"> d</w:t>
      </w:r>
      <w:r w:rsidR="003A51C4">
        <w:rPr>
          <w:lang w:val="fr-FR"/>
        </w:rPr>
        <w:t xml:space="preserve">oit être </w:t>
      </w:r>
      <w:r w:rsidR="00A619D6">
        <w:rPr>
          <w:lang w:val="fr-FR"/>
        </w:rPr>
        <w:t>«</w:t>
      </w:r>
      <w:r w:rsidR="003A51C4">
        <w:rPr>
          <w:lang w:val="fr-FR"/>
        </w:rPr>
        <w:t>raisonnable</w:t>
      </w:r>
      <w:r w:rsidR="00A619D6">
        <w:rPr>
          <w:lang w:val="fr-FR"/>
        </w:rPr>
        <w:t>»</w:t>
      </w:r>
      <w:r w:rsidR="003A51C4">
        <w:rPr>
          <w:lang w:val="fr-FR"/>
        </w:rPr>
        <w:t> (</w:t>
      </w:r>
      <w:r w:rsidR="0009418A">
        <w:rPr>
          <w:lang w:val="fr-FR"/>
        </w:rPr>
        <w:t>art. 4 2) a)</w:t>
      </w:r>
      <w:r w:rsidR="003A51C4">
        <w:rPr>
          <w:lang w:val="fr-FR"/>
        </w:rPr>
        <w:t>)</w:t>
      </w:r>
      <w:r w:rsidR="00572260">
        <w:rPr>
          <w:lang w:val="fr-FR"/>
        </w:rPr>
        <w:t>;</w:t>
      </w:r>
      <w:r w:rsidR="0009418A">
        <w:rPr>
          <w:lang w:val="fr-FR"/>
        </w:rPr>
        <w:t xml:space="preserve"> le sens de </w:t>
      </w:r>
      <w:r w:rsidR="00A619D6">
        <w:rPr>
          <w:lang w:val="fr-FR"/>
        </w:rPr>
        <w:t>«</w:t>
      </w:r>
      <w:r w:rsidR="0009418A">
        <w:rPr>
          <w:lang w:val="fr-FR"/>
        </w:rPr>
        <w:t>raisonnable</w:t>
      </w:r>
      <w:r w:rsidR="00A619D6">
        <w:rPr>
          <w:lang w:val="fr-FR"/>
        </w:rPr>
        <w:t>»</w:t>
      </w:r>
      <w:r w:rsidR="0009418A">
        <w:rPr>
          <w:lang w:val="fr-FR"/>
        </w:rPr>
        <w:t>, dans ces circonstances, est déterminé par les éléments d’appréciation figurant dans l’article 4 4).</w:t>
      </w:r>
    </w:p>
    <w:p w:rsidR="00F72E9E" w:rsidRPr="00892EE6" w:rsidRDefault="00257FE2" w:rsidP="005D7B68">
      <w:pPr>
        <w:tabs>
          <w:tab w:val="left" w:pos="567"/>
          <w:tab w:val="left" w:pos="1134"/>
          <w:tab w:val="left" w:pos="1701"/>
          <w:tab w:val="left" w:pos="2268"/>
        </w:tabs>
        <w:rPr>
          <w:lang w:val="fr-FR"/>
        </w:rPr>
      </w:pPr>
      <w:r>
        <w:rPr>
          <w:lang w:val="fr-FR"/>
        </w:rPr>
        <w:tab/>
        <w:t>h)</w:t>
      </w:r>
      <w:r>
        <w:rPr>
          <w:lang w:val="fr-FR"/>
        </w:rPr>
        <w:tab/>
        <w:t>Toute</w:t>
      </w:r>
      <w:r w:rsidR="00892EE6">
        <w:rPr>
          <w:lang w:val="fr-FR"/>
        </w:rPr>
        <w:t xml:space="preserve"> personne en état d’arrestation doit être placée sans délai</w:t>
      </w:r>
      <w:r w:rsidR="0009418A" w:rsidRPr="0009418A">
        <w:rPr>
          <w:color w:val="0000FF"/>
          <w:lang w:val="fr-FR"/>
        </w:rPr>
        <w:t xml:space="preserve"> </w:t>
      </w:r>
      <w:r w:rsidR="00892EE6" w:rsidRPr="00892EE6">
        <w:rPr>
          <w:lang w:val="fr-FR"/>
        </w:rPr>
        <w:t>sous la responsabilité du policier en charge de l</w:t>
      </w:r>
      <w:r>
        <w:rPr>
          <w:lang w:val="fr-FR"/>
        </w:rPr>
        <w:t>a garde à vue (</w:t>
      </w:r>
      <w:r w:rsidR="0009418A" w:rsidRPr="00892EE6">
        <w:rPr>
          <w:lang w:val="fr-FR"/>
        </w:rPr>
        <w:t>art. 15 1)</w:t>
      </w:r>
      <w:r>
        <w:rPr>
          <w:lang w:val="fr-FR"/>
        </w:rPr>
        <w:t>)</w:t>
      </w:r>
      <w:r w:rsidR="0009418A" w:rsidRPr="00892EE6">
        <w:rPr>
          <w:lang w:val="fr-FR"/>
        </w:rPr>
        <w:t>.</w:t>
      </w:r>
      <w:r w:rsidR="00F72E9E" w:rsidRPr="00892EE6">
        <w:rPr>
          <w:lang w:val="fr-FR"/>
        </w:rPr>
        <w:t xml:space="preserve"> </w:t>
      </w:r>
    </w:p>
    <w:p w:rsidR="00E31965" w:rsidRDefault="00924CBC" w:rsidP="005D7B68">
      <w:pPr>
        <w:tabs>
          <w:tab w:val="left" w:pos="567"/>
          <w:tab w:val="left" w:pos="1134"/>
          <w:tab w:val="left" w:pos="1701"/>
          <w:tab w:val="left" w:pos="2268"/>
        </w:tabs>
        <w:rPr>
          <w:lang w:val="fr-FR"/>
        </w:rPr>
      </w:pPr>
      <w:r>
        <w:rPr>
          <w:lang w:val="fr-FR"/>
        </w:rPr>
        <w:tab/>
        <w:t>i)</w:t>
      </w:r>
      <w:r>
        <w:rPr>
          <w:lang w:val="fr-FR"/>
        </w:rPr>
        <w:tab/>
        <w:t xml:space="preserve">Le policier chargé </w:t>
      </w:r>
      <w:r w:rsidR="0009418A">
        <w:rPr>
          <w:lang w:val="fr-FR"/>
        </w:rPr>
        <w:t>de la garde à vue doit s’acquitter de ses devoi</w:t>
      </w:r>
      <w:r w:rsidR="00E31965">
        <w:rPr>
          <w:lang w:val="fr-FR"/>
        </w:rPr>
        <w:t>rs envers la personne placée sous sa responsabilité conformément à l’article 15 2) et 4), et</w:t>
      </w:r>
    </w:p>
    <w:p w:rsidR="0009418A" w:rsidRDefault="00924CBC" w:rsidP="005D7B68">
      <w:pPr>
        <w:tabs>
          <w:tab w:val="left" w:pos="567"/>
          <w:tab w:val="left" w:pos="1134"/>
          <w:tab w:val="left" w:pos="1701"/>
          <w:tab w:val="left" w:pos="2268"/>
        </w:tabs>
        <w:rPr>
          <w:lang w:val="fr-FR"/>
        </w:rPr>
      </w:pPr>
      <w:r>
        <w:rPr>
          <w:lang w:val="fr-FR"/>
        </w:rPr>
        <w:tab/>
        <w:t>j)</w:t>
      </w:r>
      <w:r>
        <w:rPr>
          <w:lang w:val="fr-FR"/>
        </w:rPr>
        <w:tab/>
        <w:t>Le policier chargé</w:t>
      </w:r>
      <w:r w:rsidR="00E31965">
        <w:rPr>
          <w:lang w:val="fr-FR"/>
        </w:rPr>
        <w:t xml:space="preserve"> </w:t>
      </w:r>
      <w:r w:rsidR="003A51C4">
        <w:rPr>
          <w:lang w:val="fr-FR"/>
        </w:rPr>
        <w:t>de la garde à vue doit veiller à ce</w:t>
      </w:r>
      <w:r w:rsidR="00E31965">
        <w:rPr>
          <w:lang w:val="fr-FR"/>
        </w:rPr>
        <w:t xml:space="preserve"> que la personne </w:t>
      </w:r>
      <w:r w:rsidR="003A51C4">
        <w:rPr>
          <w:lang w:val="fr-FR"/>
        </w:rPr>
        <w:t>placée en état d’arrestation soit</w:t>
      </w:r>
      <w:r w:rsidR="00E31965">
        <w:rPr>
          <w:lang w:val="fr-FR"/>
        </w:rPr>
        <w:t xml:space="preserve"> traitée </w:t>
      </w:r>
      <w:r w:rsidR="003A51C4">
        <w:rPr>
          <w:lang w:val="fr-FR"/>
        </w:rPr>
        <w:t>conformément à cette loi (</w:t>
      </w:r>
      <w:r w:rsidR="00E31965">
        <w:rPr>
          <w:lang w:val="fr-FR"/>
        </w:rPr>
        <w:t>16 1)</w:t>
      </w:r>
      <w:r w:rsidR="00257FE2">
        <w:rPr>
          <w:lang w:val="fr-FR"/>
        </w:rPr>
        <w:t>)</w:t>
      </w:r>
      <w:r w:rsidR="00E31965">
        <w:rPr>
          <w:lang w:val="fr-FR"/>
        </w:rPr>
        <w:t>.</w:t>
      </w:r>
    </w:p>
    <w:p w:rsidR="00E31965" w:rsidRDefault="00E31965" w:rsidP="005D7B68">
      <w:pPr>
        <w:tabs>
          <w:tab w:val="left" w:pos="567"/>
          <w:tab w:val="left" w:pos="1134"/>
          <w:tab w:val="left" w:pos="1701"/>
          <w:tab w:val="left" w:pos="2268"/>
        </w:tabs>
        <w:rPr>
          <w:lang w:val="fr-FR"/>
        </w:rPr>
      </w:pPr>
      <w:r>
        <w:rPr>
          <w:lang w:val="fr-FR"/>
        </w:rPr>
        <w:t>55.</w:t>
      </w:r>
      <w:r>
        <w:rPr>
          <w:lang w:val="fr-FR"/>
        </w:rPr>
        <w:tab/>
        <w:t>L’article 3 2) dispose qu’une pe</w:t>
      </w:r>
      <w:r w:rsidR="003A51C4">
        <w:rPr>
          <w:lang w:val="fr-FR"/>
        </w:rPr>
        <w:t>rsonne est placée en garde à vue aux fins de cette loi</w:t>
      </w:r>
      <w:r w:rsidR="00572260">
        <w:rPr>
          <w:lang w:val="fr-FR"/>
        </w:rPr>
        <w:t>:</w:t>
      </w:r>
      <w:r w:rsidR="003A51C4">
        <w:rPr>
          <w:lang w:val="fr-FR"/>
        </w:rPr>
        <w:t xml:space="preserve"> </w:t>
      </w:r>
    </w:p>
    <w:p w:rsidR="00E31965" w:rsidRDefault="003A51C4" w:rsidP="005D7B68">
      <w:pPr>
        <w:tabs>
          <w:tab w:val="left" w:pos="567"/>
          <w:tab w:val="left" w:pos="1134"/>
          <w:tab w:val="left" w:pos="1701"/>
          <w:tab w:val="left" w:pos="2268"/>
        </w:tabs>
        <w:rPr>
          <w:lang w:val="fr-FR"/>
        </w:rPr>
      </w:pPr>
      <w:r>
        <w:rPr>
          <w:lang w:val="fr-FR"/>
        </w:rPr>
        <w:tab/>
        <w:t>a)</w:t>
      </w:r>
      <w:r>
        <w:rPr>
          <w:lang w:val="fr-FR"/>
        </w:rPr>
        <w:tab/>
        <w:t>Si e</w:t>
      </w:r>
      <w:r w:rsidR="00E31965">
        <w:rPr>
          <w:lang w:val="fr-FR"/>
        </w:rPr>
        <w:t>lle est légitimement en état d’arrestation</w:t>
      </w:r>
      <w:r w:rsidR="00E51250">
        <w:rPr>
          <w:lang w:val="fr-FR"/>
        </w:rPr>
        <w:t>,</w:t>
      </w:r>
      <w:r w:rsidR="002E780C">
        <w:rPr>
          <w:lang w:val="fr-FR"/>
        </w:rPr>
        <w:t xml:space="preserve"> suite à un mandat d’amener, ou</w:t>
      </w:r>
    </w:p>
    <w:p w:rsidR="002E780C" w:rsidRDefault="003A51C4" w:rsidP="005D7B68">
      <w:pPr>
        <w:tabs>
          <w:tab w:val="left" w:pos="567"/>
          <w:tab w:val="left" w:pos="1134"/>
          <w:tab w:val="left" w:pos="1701"/>
          <w:tab w:val="left" w:pos="2268"/>
        </w:tabs>
        <w:rPr>
          <w:lang w:val="fr-FR"/>
        </w:rPr>
      </w:pPr>
      <w:r>
        <w:rPr>
          <w:lang w:val="fr-FR"/>
        </w:rPr>
        <w:tab/>
        <w:t>b)</w:t>
      </w:r>
      <w:r>
        <w:rPr>
          <w:lang w:val="fr-FR"/>
        </w:rPr>
        <w:tab/>
        <w:t>Si e</w:t>
      </w:r>
      <w:r w:rsidR="002E780C">
        <w:rPr>
          <w:lang w:val="fr-FR"/>
        </w:rPr>
        <w:t xml:space="preserve">lle est légitimement en état d’arrestation au titre de l’article 27 de </w:t>
      </w:r>
      <w:r w:rsidR="002E780C" w:rsidRPr="003A51C4">
        <w:rPr>
          <w:lang w:val="fr-FR"/>
        </w:rPr>
        <w:t>la loi de 1924 sur le Code pénal</w:t>
      </w:r>
      <w:r w:rsidR="002E780C">
        <w:rPr>
          <w:i/>
          <w:iCs/>
          <w:lang w:val="fr-FR"/>
        </w:rPr>
        <w:t xml:space="preserve"> </w:t>
      </w:r>
      <w:r w:rsidR="002E780C">
        <w:rPr>
          <w:lang w:val="fr-FR"/>
        </w:rPr>
        <w:t>(Tasmanie) ou d’une disposition de toute autre loi.</w:t>
      </w:r>
    </w:p>
    <w:p w:rsidR="002E780C" w:rsidRPr="002E780C" w:rsidRDefault="002E780C" w:rsidP="005D7B68">
      <w:pPr>
        <w:tabs>
          <w:tab w:val="left" w:pos="567"/>
          <w:tab w:val="left" w:pos="1134"/>
          <w:tab w:val="left" w:pos="1701"/>
          <w:tab w:val="left" w:pos="2268"/>
        </w:tabs>
        <w:rPr>
          <w:lang w:val="fr-FR"/>
        </w:rPr>
      </w:pPr>
      <w:r>
        <w:rPr>
          <w:lang w:val="fr-FR"/>
        </w:rPr>
        <w:t>56.</w:t>
      </w:r>
      <w:r>
        <w:rPr>
          <w:lang w:val="fr-FR"/>
        </w:rPr>
        <w:tab/>
        <w:t xml:space="preserve">Les dispositions de la loi sur le droit pénal (détention et interrogatoire) figurent dans le </w:t>
      </w:r>
      <w:r w:rsidRPr="003A51C4">
        <w:rPr>
          <w:i/>
          <w:iCs/>
          <w:lang w:val="fr-FR"/>
        </w:rPr>
        <w:t>Tasmania Police Manual</w:t>
      </w:r>
      <w:r>
        <w:rPr>
          <w:lang w:val="fr-FR"/>
        </w:rPr>
        <w:t xml:space="preserve"> et il en est tenu compte dans les politiques, les procédures et la formation de la police de Tasmanie.</w:t>
      </w:r>
    </w:p>
    <w:p w:rsidR="00477B7C" w:rsidRPr="001A55CE" w:rsidRDefault="003A51C4" w:rsidP="005D7B68">
      <w:pPr>
        <w:tabs>
          <w:tab w:val="left" w:pos="567"/>
          <w:tab w:val="left" w:pos="1134"/>
          <w:tab w:val="left" w:pos="1701"/>
          <w:tab w:val="left" w:pos="2268"/>
        </w:tabs>
        <w:rPr>
          <w:lang w:val="fr-FR"/>
        </w:rPr>
      </w:pPr>
      <w:r>
        <w:rPr>
          <w:lang w:val="fr-FR"/>
        </w:rPr>
        <w:t>57.</w:t>
      </w:r>
      <w:r>
        <w:rPr>
          <w:lang w:val="fr-FR"/>
        </w:rPr>
        <w:tab/>
        <w:t>En particulier, la p</w:t>
      </w:r>
      <w:r w:rsidR="002E780C">
        <w:rPr>
          <w:lang w:val="fr-FR"/>
        </w:rPr>
        <w:t>olice de Tasmanie</w:t>
      </w:r>
      <w:r w:rsidR="00597052">
        <w:rPr>
          <w:lang w:val="fr-FR"/>
        </w:rPr>
        <w:t xml:space="preserve"> pourvoit à l’éducation et à la formation réguliè</w:t>
      </w:r>
      <w:r w:rsidR="00CE4C2E">
        <w:rPr>
          <w:lang w:val="fr-FR"/>
        </w:rPr>
        <w:t>res de ses fonctionnaires</w:t>
      </w:r>
      <w:r w:rsidR="00597052">
        <w:rPr>
          <w:lang w:val="fr-FR"/>
        </w:rPr>
        <w:t xml:space="preserve"> par le biais d’instructions en matière de législation et de politique (</w:t>
      </w:r>
      <w:r w:rsidR="00597052" w:rsidRPr="003A51C4">
        <w:rPr>
          <w:i/>
          <w:iCs/>
          <w:lang w:val="fr-FR"/>
        </w:rPr>
        <w:t>Tasmania Police Manual</w:t>
      </w:r>
      <w:r w:rsidR="00597052">
        <w:rPr>
          <w:lang w:val="fr-FR"/>
        </w:rPr>
        <w:t>), ainsi que de pratiques opérationnelles applicables aux tâches qui leur incombent, notamment en ce qui concerne l’usage de la force</w:t>
      </w:r>
      <w:r>
        <w:rPr>
          <w:lang w:val="fr-FR"/>
        </w:rPr>
        <w:t xml:space="preserve"> (de façon continue),</w:t>
      </w:r>
      <w:r w:rsidR="001A55CE">
        <w:rPr>
          <w:color w:val="FF0000"/>
          <w:lang w:val="fr-FR"/>
        </w:rPr>
        <w:t xml:space="preserve"> </w:t>
      </w:r>
      <w:r w:rsidR="001A55CE">
        <w:rPr>
          <w:lang w:val="fr-FR"/>
        </w:rPr>
        <w:t>la déte</w:t>
      </w:r>
      <w:r w:rsidR="00E74BFD">
        <w:rPr>
          <w:lang w:val="fr-FR"/>
        </w:rPr>
        <w:t>ntion, l’arrestation, le traitement</w:t>
      </w:r>
      <w:r w:rsidR="001A55CE">
        <w:rPr>
          <w:lang w:val="fr-FR"/>
        </w:rPr>
        <w:t xml:space="preserve"> des personnes placées en garde à vue, les moyens de contrainte et </w:t>
      </w:r>
      <w:r w:rsidR="003A1634">
        <w:rPr>
          <w:lang w:val="fr-FR"/>
        </w:rPr>
        <w:t>les prescriptions relatives à l’établissement des</w:t>
      </w:r>
      <w:r w:rsidR="00477B7C">
        <w:rPr>
          <w:lang w:val="fr-FR"/>
        </w:rPr>
        <w:t xml:space="preserve"> rapports.</w:t>
      </w:r>
      <w:r w:rsidR="001A55CE">
        <w:rPr>
          <w:lang w:val="fr-FR"/>
        </w:rPr>
        <w:t xml:space="preserve"> </w:t>
      </w:r>
    </w:p>
    <w:p w:rsidR="00477B7C" w:rsidRPr="00477B7C" w:rsidRDefault="00477B7C" w:rsidP="005D7B68">
      <w:pPr>
        <w:tabs>
          <w:tab w:val="left" w:pos="567"/>
          <w:tab w:val="left" w:pos="1134"/>
          <w:tab w:val="left" w:pos="1701"/>
          <w:tab w:val="left" w:pos="2268"/>
        </w:tabs>
        <w:rPr>
          <w:lang w:val="fr-FR"/>
        </w:rPr>
      </w:pPr>
      <w:r>
        <w:rPr>
          <w:lang w:val="fr-FR"/>
        </w:rPr>
        <w:t>58.</w:t>
      </w:r>
      <w:r>
        <w:rPr>
          <w:lang w:val="fr-FR"/>
        </w:rPr>
        <w:tab/>
        <w:t xml:space="preserve">Dans l’article 7.1.1.3 du </w:t>
      </w:r>
      <w:r w:rsidRPr="00FC0F7B">
        <w:rPr>
          <w:i/>
          <w:iCs/>
          <w:lang w:val="fr-FR"/>
        </w:rPr>
        <w:t>Tasmania Police Manual</w:t>
      </w:r>
      <w:r>
        <w:rPr>
          <w:lang w:val="fr-FR"/>
        </w:rPr>
        <w:t>, il est dit ceci</w:t>
      </w:r>
      <w:r w:rsidR="00572260">
        <w:rPr>
          <w:lang w:val="fr-FR"/>
        </w:rPr>
        <w:t>:</w:t>
      </w:r>
    </w:p>
    <w:p w:rsidR="000E1C55" w:rsidRDefault="00477B7C" w:rsidP="005D7B68">
      <w:pPr>
        <w:tabs>
          <w:tab w:val="left" w:pos="567"/>
          <w:tab w:val="left" w:pos="1134"/>
          <w:tab w:val="left" w:pos="1701"/>
          <w:tab w:val="left" w:pos="2268"/>
        </w:tabs>
        <w:rPr>
          <w:lang w:val="fr-FR"/>
        </w:rPr>
      </w:pPr>
      <w:r>
        <w:rPr>
          <w:lang w:val="fr-FR"/>
        </w:rPr>
        <w:tab/>
        <w:t>a)</w:t>
      </w:r>
      <w:r w:rsidR="00B03AA3">
        <w:rPr>
          <w:lang w:val="fr-FR"/>
        </w:rPr>
        <w:tab/>
      </w:r>
      <w:r w:rsidR="000E1C55">
        <w:rPr>
          <w:lang w:val="fr-FR"/>
        </w:rPr>
        <w:t>Tout membre de la police impliqué dans l’arrestation, l’incarcération ou la surveillance d’une personn</w:t>
      </w:r>
      <w:r w:rsidR="009B4343">
        <w:rPr>
          <w:lang w:val="fr-FR"/>
        </w:rPr>
        <w:t>e placée en garde à vue est obligé</w:t>
      </w:r>
      <w:r w:rsidR="000E1C55">
        <w:rPr>
          <w:lang w:val="fr-FR"/>
        </w:rPr>
        <w:t xml:space="preserve"> par</w:t>
      </w:r>
      <w:r w:rsidR="009B4343">
        <w:rPr>
          <w:lang w:val="fr-FR"/>
        </w:rPr>
        <w:t xml:space="preserve"> la loi de prendre soin</w:t>
      </w:r>
      <w:r w:rsidR="000E1C55">
        <w:rPr>
          <w:lang w:val="fr-FR"/>
        </w:rPr>
        <w:t xml:space="preserve"> de cette personne et peut être tenu pour responsable de la mort ou de blessures ayant été causées à la suite d’une violation de cette obligation, et</w:t>
      </w:r>
    </w:p>
    <w:p w:rsidR="000E1C55" w:rsidRPr="00477B7C" w:rsidRDefault="000E1C55" w:rsidP="005D7B68">
      <w:pPr>
        <w:tabs>
          <w:tab w:val="left" w:pos="567"/>
          <w:tab w:val="left" w:pos="1134"/>
          <w:tab w:val="left" w:pos="1701"/>
          <w:tab w:val="left" w:pos="2268"/>
        </w:tabs>
        <w:rPr>
          <w:lang w:val="fr-FR"/>
        </w:rPr>
      </w:pPr>
      <w:r>
        <w:rPr>
          <w:lang w:val="fr-FR"/>
        </w:rPr>
        <w:tab/>
        <w:t>b)</w:t>
      </w:r>
      <w:r>
        <w:rPr>
          <w:lang w:val="fr-FR"/>
        </w:rPr>
        <w:tab/>
        <w:t>Ce devoir de vi</w:t>
      </w:r>
      <w:r w:rsidR="00FC0F7B">
        <w:rPr>
          <w:lang w:val="fr-FR"/>
        </w:rPr>
        <w:t>gilance s’applique sans interruption</w:t>
      </w:r>
      <w:r>
        <w:rPr>
          <w:lang w:val="fr-FR"/>
        </w:rPr>
        <w:t xml:space="preserve"> à partir du moment où cette personne est placée en garde à vue</w:t>
      </w:r>
      <w:r w:rsidR="00063665">
        <w:rPr>
          <w:lang w:val="fr-FR"/>
        </w:rPr>
        <w:t xml:space="preserve"> et</w:t>
      </w:r>
      <w:r>
        <w:rPr>
          <w:lang w:val="fr-FR"/>
        </w:rPr>
        <w:t xml:space="preserve"> jusqu’à sa remise en liberté.</w:t>
      </w:r>
      <w:r w:rsidR="00477B7C">
        <w:rPr>
          <w:lang w:val="fr-FR"/>
        </w:rPr>
        <w:tab/>
      </w:r>
    </w:p>
    <w:p w:rsidR="000B3C70" w:rsidRPr="000B3C70" w:rsidRDefault="000E1C55" w:rsidP="005D7B68">
      <w:pPr>
        <w:tabs>
          <w:tab w:val="left" w:pos="567"/>
          <w:tab w:val="left" w:pos="1134"/>
          <w:tab w:val="left" w:pos="1701"/>
          <w:tab w:val="left" w:pos="2268"/>
        </w:tabs>
        <w:rPr>
          <w:lang w:val="fr-FR"/>
        </w:rPr>
      </w:pPr>
      <w:r>
        <w:rPr>
          <w:lang w:val="fr-FR"/>
        </w:rPr>
        <w:t>59.</w:t>
      </w:r>
      <w:r>
        <w:rPr>
          <w:lang w:val="fr-FR"/>
        </w:rPr>
        <w:tab/>
      </w:r>
      <w:r w:rsidR="000B3C70">
        <w:rPr>
          <w:lang w:val="fr-FR"/>
        </w:rPr>
        <w:t xml:space="preserve">La </w:t>
      </w:r>
      <w:r w:rsidR="000B3C70" w:rsidRPr="00447F81">
        <w:rPr>
          <w:lang w:val="fr-FR"/>
        </w:rPr>
        <w:t>loi de 2001 sur les éléments de preuve</w:t>
      </w:r>
      <w:r w:rsidR="000B3C70">
        <w:rPr>
          <w:i/>
          <w:iCs/>
          <w:lang w:val="fr-FR"/>
        </w:rPr>
        <w:t xml:space="preserve"> </w:t>
      </w:r>
      <w:r w:rsidR="00447F81">
        <w:rPr>
          <w:lang w:val="fr-FR"/>
        </w:rPr>
        <w:t>tient compte de</w:t>
      </w:r>
      <w:r w:rsidR="000B3C70">
        <w:rPr>
          <w:lang w:val="fr-FR"/>
        </w:rPr>
        <w:t xml:space="preserve"> la situation relativement vulnérable des personnes placées en garde à vue, due au déséquilib</w:t>
      </w:r>
      <w:r w:rsidR="00447F81">
        <w:rPr>
          <w:lang w:val="fr-FR"/>
        </w:rPr>
        <w:t>re des forces entre détenus et police</w:t>
      </w:r>
      <w:r w:rsidR="00572260">
        <w:rPr>
          <w:lang w:val="fr-FR"/>
        </w:rPr>
        <w:t>;</w:t>
      </w:r>
      <w:r w:rsidR="000B3C70">
        <w:rPr>
          <w:lang w:val="fr-FR"/>
        </w:rPr>
        <w:t xml:space="preserve"> en ce qui concerne la prévention des abus, y compris la </w:t>
      </w:r>
      <w:r w:rsidR="00A619D6">
        <w:rPr>
          <w:lang w:val="fr-FR"/>
        </w:rPr>
        <w:t>«</w:t>
      </w:r>
      <w:r w:rsidR="000B3C70">
        <w:rPr>
          <w:lang w:val="fr-FR"/>
        </w:rPr>
        <w:t>torture</w:t>
      </w:r>
      <w:r w:rsidR="00A619D6">
        <w:rPr>
          <w:lang w:val="fr-FR"/>
        </w:rPr>
        <w:t>»</w:t>
      </w:r>
      <w:r w:rsidR="000B3C70">
        <w:rPr>
          <w:lang w:val="fr-FR"/>
        </w:rPr>
        <w:t>, les dispositions des articles 84 et 85 sont particulièrement pertinentes.</w:t>
      </w:r>
    </w:p>
    <w:p w:rsidR="001B32F1" w:rsidRPr="000B3C70" w:rsidRDefault="000B3C70" w:rsidP="005D7B68">
      <w:pPr>
        <w:tabs>
          <w:tab w:val="left" w:pos="567"/>
          <w:tab w:val="left" w:pos="1134"/>
          <w:tab w:val="left" w:pos="1701"/>
          <w:tab w:val="left" w:pos="2268"/>
        </w:tabs>
        <w:rPr>
          <w:lang w:val="fr-FR"/>
        </w:rPr>
      </w:pPr>
      <w:r>
        <w:rPr>
          <w:lang w:val="fr-FR"/>
        </w:rPr>
        <w:t>60.</w:t>
      </w:r>
      <w:r>
        <w:rPr>
          <w:lang w:val="fr-FR"/>
        </w:rPr>
        <w:tab/>
        <w:t xml:space="preserve">L’article 84 dispose que des aveux (d’un accusé ou d’un témoin) ne seront pas recevables en tant que preuve au cours d’un procès s’ils ont été obtenus </w:t>
      </w:r>
      <w:r w:rsidR="00A619D6">
        <w:rPr>
          <w:lang w:val="fr-FR"/>
        </w:rPr>
        <w:t>«</w:t>
      </w:r>
      <w:r w:rsidR="00AF30C0">
        <w:rPr>
          <w:lang w:val="fr-FR"/>
        </w:rPr>
        <w:t>par la violence, la contrainte</w:t>
      </w:r>
      <w:r w:rsidR="001B32F1">
        <w:rPr>
          <w:lang w:val="fr-FR"/>
        </w:rPr>
        <w:t xml:space="preserve">, </w:t>
      </w:r>
      <w:r w:rsidR="00AF30C0">
        <w:rPr>
          <w:lang w:val="fr-FR"/>
        </w:rPr>
        <w:t xml:space="preserve">ou des actes </w:t>
      </w:r>
      <w:r w:rsidR="001B32F1">
        <w:rPr>
          <w:lang w:val="fr-FR"/>
        </w:rPr>
        <w:t>inhumains ou dégradants</w:t>
      </w:r>
      <w:r w:rsidR="00A619D6">
        <w:rPr>
          <w:lang w:val="fr-FR"/>
        </w:rPr>
        <w:t>»</w:t>
      </w:r>
      <w:r w:rsidR="008D6B80">
        <w:rPr>
          <w:lang w:val="fr-FR"/>
        </w:rPr>
        <w:t xml:space="preserve">. </w:t>
      </w:r>
      <w:r w:rsidR="001B32F1">
        <w:rPr>
          <w:lang w:val="fr-FR"/>
        </w:rPr>
        <w:t>Selon l’article 85, les aveux d’un accusé ne sont</w:t>
      </w:r>
      <w:r w:rsidR="00572260">
        <w:rPr>
          <w:lang w:val="fr-FR"/>
        </w:rPr>
        <w:t xml:space="preserve"> </w:t>
      </w:r>
      <w:r w:rsidR="001B32F1">
        <w:rPr>
          <w:lang w:val="fr-FR"/>
        </w:rPr>
        <w:t xml:space="preserve">recevables que </w:t>
      </w:r>
      <w:r w:rsidR="00A619D6">
        <w:rPr>
          <w:lang w:val="fr-FR"/>
        </w:rPr>
        <w:t>«</w:t>
      </w:r>
      <w:r w:rsidR="001B32F1">
        <w:rPr>
          <w:lang w:val="fr-FR"/>
        </w:rPr>
        <w:t>si les circonstances dans lesquelles ils ont été obtenu</w:t>
      </w:r>
      <w:r w:rsidR="00C24485">
        <w:rPr>
          <w:lang w:val="fr-FR"/>
        </w:rPr>
        <w:t>s sont telles que leur sincér</w:t>
      </w:r>
      <w:r w:rsidR="001B32F1">
        <w:rPr>
          <w:lang w:val="fr-FR"/>
        </w:rPr>
        <w:t>ité n’est pas susceptible d’êt</w:t>
      </w:r>
      <w:r w:rsidR="00C61415">
        <w:rPr>
          <w:lang w:val="fr-FR"/>
        </w:rPr>
        <w:t>re mise en doute</w:t>
      </w:r>
      <w:r w:rsidR="00A619D6">
        <w:rPr>
          <w:lang w:val="fr-FR"/>
        </w:rPr>
        <w:t>»</w:t>
      </w:r>
      <w:r w:rsidR="008D6B80">
        <w:rPr>
          <w:lang w:val="fr-FR"/>
        </w:rPr>
        <w:t xml:space="preserve">. </w:t>
      </w:r>
      <w:r w:rsidR="00C61415">
        <w:rPr>
          <w:lang w:val="fr-FR"/>
        </w:rPr>
        <w:t xml:space="preserve">Lorsqu’il </w:t>
      </w:r>
      <w:r w:rsidR="001B32F1">
        <w:rPr>
          <w:lang w:val="fr-FR"/>
        </w:rPr>
        <w:t>rend sa décision en vertu de l’article 85, le tribunal doit tenir compte des caractéristiques de l’accusé et de la nature de l’interrogatoire qui a conduit à ces aveux</w:t>
      </w:r>
      <w:r w:rsidR="008D6B80">
        <w:rPr>
          <w:lang w:val="fr-FR"/>
        </w:rPr>
        <w:t xml:space="preserve">. </w:t>
      </w:r>
    </w:p>
    <w:p w:rsidR="005E7AEB" w:rsidRPr="001B32F1" w:rsidRDefault="001B32F1" w:rsidP="005D7B68">
      <w:pPr>
        <w:tabs>
          <w:tab w:val="left" w:pos="567"/>
          <w:tab w:val="left" w:pos="1134"/>
          <w:tab w:val="left" w:pos="1701"/>
          <w:tab w:val="left" w:pos="2268"/>
        </w:tabs>
        <w:rPr>
          <w:lang w:val="fr-FR"/>
        </w:rPr>
      </w:pPr>
      <w:r>
        <w:rPr>
          <w:lang w:val="fr-FR"/>
        </w:rPr>
        <w:t>61.</w:t>
      </w:r>
      <w:r>
        <w:rPr>
          <w:lang w:val="fr-FR"/>
        </w:rPr>
        <w:tab/>
        <w:t>Toute un</w:t>
      </w:r>
      <w:r w:rsidR="0073325A">
        <w:rPr>
          <w:lang w:val="fr-FR"/>
        </w:rPr>
        <w:t>e</w:t>
      </w:r>
      <w:r>
        <w:rPr>
          <w:lang w:val="fr-FR"/>
        </w:rPr>
        <w:t xml:space="preserve"> gamme d’autres processus, procédures et conventions a été mise en place pour faire en sorte que les droits de la pe</w:t>
      </w:r>
      <w:r w:rsidR="00B545FC">
        <w:rPr>
          <w:lang w:val="fr-FR"/>
        </w:rPr>
        <w:t>rsonne placée en garde à vue soien</w:t>
      </w:r>
      <w:r w:rsidR="00690550">
        <w:rPr>
          <w:lang w:val="fr-FR"/>
        </w:rPr>
        <w:t>t protégés. Dans le cadre de ces dispositions</w:t>
      </w:r>
      <w:r>
        <w:rPr>
          <w:lang w:val="fr-FR"/>
        </w:rPr>
        <w:t>, les aveux relatifs à un crime</w:t>
      </w:r>
      <w:r w:rsidR="00690550">
        <w:rPr>
          <w:lang w:val="fr-FR"/>
        </w:rPr>
        <w:t>, pour être recevables, doivent faire</w:t>
      </w:r>
      <w:r w:rsidR="005E7AEB">
        <w:rPr>
          <w:lang w:val="fr-FR"/>
        </w:rPr>
        <w:t xml:space="preserve"> l’objet d’un enregistrement vidéo dans toute la mesure du poss</w:t>
      </w:r>
      <w:r w:rsidR="00690550">
        <w:rPr>
          <w:lang w:val="fr-FR"/>
        </w:rPr>
        <w:t>ible, sauf exception</w:t>
      </w:r>
      <w:r w:rsidR="005E7AEB">
        <w:rPr>
          <w:lang w:val="fr-FR"/>
        </w:rPr>
        <w:t xml:space="preserve"> (</w:t>
      </w:r>
      <w:r w:rsidR="005E7AEB" w:rsidRPr="0073325A">
        <w:rPr>
          <w:lang w:val="fr-FR"/>
        </w:rPr>
        <w:t>loi de 2001 sur les éléments de preuve, art. 85A)</w:t>
      </w:r>
      <w:r w:rsidR="005E7AEB">
        <w:rPr>
          <w:lang w:val="fr-FR"/>
        </w:rPr>
        <w:t>, appel ayant été fait aux services d’un interprète si nécessaire.</w:t>
      </w:r>
    </w:p>
    <w:p w:rsidR="00A91892" w:rsidRPr="005E7AEB" w:rsidRDefault="005E7AEB" w:rsidP="005D7B68">
      <w:pPr>
        <w:tabs>
          <w:tab w:val="left" w:pos="567"/>
          <w:tab w:val="left" w:pos="1134"/>
          <w:tab w:val="left" w:pos="1701"/>
          <w:tab w:val="left" w:pos="2268"/>
        </w:tabs>
        <w:rPr>
          <w:lang w:val="fr-FR"/>
        </w:rPr>
      </w:pPr>
      <w:r>
        <w:rPr>
          <w:lang w:val="fr-FR"/>
        </w:rPr>
        <w:t>62.</w:t>
      </w:r>
      <w:r>
        <w:rPr>
          <w:lang w:val="fr-FR"/>
        </w:rPr>
        <w:tab/>
      </w:r>
      <w:r w:rsidR="009B04EA">
        <w:rPr>
          <w:lang w:val="fr-FR"/>
        </w:rPr>
        <w:t>Pour que les aveux soient recevables, ils doivent avoir été spontanés</w:t>
      </w:r>
      <w:r w:rsidR="008D6B80">
        <w:rPr>
          <w:lang w:val="fr-FR"/>
        </w:rPr>
        <w:t xml:space="preserve">. </w:t>
      </w:r>
      <w:r w:rsidR="009B04EA">
        <w:rPr>
          <w:lang w:val="fr-FR"/>
        </w:rPr>
        <w:t>Ils ne doivent pas avoir</w:t>
      </w:r>
      <w:r w:rsidR="0061439A">
        <w:rPr>
          <w:lang w:val="fr-FR"/>
        </w:rPr>
        <w:t xml:space="preserve"> été provoqués ni</w:t>
      </w:r>
      <w:r w:rsidR="0073325A">
        <w:rPr>
          <w:lang w:val="fr-FR"/>
        </w:rPr>
        <w:t xml:space="preserve"> influencés par la violence, la contrainte</w:t>
      </w:r>
      <w:r w:rsidR="009B04EA">
        <w:rPr>
          <w:lang w:val="fr-FR"/>
        </w:rPr>
        <w:t xml:space="preserve">, </w:t>
      </w:r>
      <w:r w:rsidR="0073325A">
        <w:rPr>
          <w:lang w:val="fr-FR"/>
        </w:rPr>
        <w:t xml:space="preserve">ou des actes </w:t>
      </w:r>
      <w:r w:rsidR="009B04EA">
        <w:rPr>
          <w:lang w:val="fr-FR"/>
        </w:rPr>
        <w:t>inhumains ou dégradants envers l’intéressé ou une tierce personne, ni par des menaces de recourir à ce genre d’agissements.</w:t>
      </w:r>
      <w:r w:rsidR="007C0924">
        <w:rPr>
          <w:lang w:val="fr-FR"/>
        </w:rPr>
        <w:t xml:space="preserve"> Des aveux ne sont pas recevables si une personne</w:t>
      </w:r>
      <w:r w:rsidR="003231D7">
        <w:rPr>
          <w:lang w:val="fr-FR"/>
        </w:rPr>
        <w:t xml:space="preserve"> capable d’avoir une influence</w:t>
      </w:r>
      <w:r w:rsidR="007C0924">
        <w:rPr>
          <w:lang w:val="fr-FR"/>
        </w:rPr>
        <w:t xml:space="preserve"> sur la décision d’engager des poursuite</w:t>
      </w:r>
      <w:r w:rsidR="00C62270">
        <w:rPr>
          <w:lang w:val="fr-FR"/>
        </w:rPr>
        <w:t>s fait quoi que ce soit qui s’avère</w:t>
      </w:r>
      <w:r w:rsidR="007C0924">
        <w:rPr>
          <w:lang w:val="fr-FR"/>
        </w:rPr>
        <w:t xml:space="preserve"> susceptible de</w:t>
      </w:r>
      <w:r w:rsidR="003231D7">
        <w:rPr>
          <w:lang w:val="fr-FR"/>
        </w:rPr>
        <w:t xml:space="preserve"> nuire à la vérité (par exemple par le biais d’incitations)</w:t>
      </w:r>
      <w:r w:rsidR="008D6B80">
        <w:rPr>
          <w:lang w:val="fr-FR"/>
        </w:rPr>
        <w:t xml:space="preserve">. </w:t>
      </w:r>
      <w:r w:rsidR="003231D7">
        <w:rPr>
          <w:lang w:val="fr-FR"/>
        </w:rPr>
        <w:t xml:space="preserve">S’il est estimé que des aveux </w:t>
      </w:r>
      <w:r w:rsidR="00772D02">
        <w:rPr>
          <w:lang w:val="fr-FR"/>
        </w:rPr>
        <w:t>n’</w:t>
      </w:r>
      <w:r w:rsidR="003231D7">
        <w:rPr>
          <w:lang w:val="fr-FR"/>
        </w:rPr>
        <w:t>ont</w:t>
      </w:r>
      <w:r w:rsidR="00772D02">
        <w:rPr>
          <w:lang w:val="fr-FR"/>
        </w:rPr>
        <w:t xml:space="preserve"> pas été spontanés</w:t>
      </w:r>
      <w:r w:rsidR="003231D7">
        <w:rPr>
          <w:lang w:val="fr-FR"/>
        </w:rPr>
        <w:t xml:space="preserve">, un juge ou un </w:t>
      </w:r>
      <w:r w:rsidR="003231D7" w:rsidRPr="00892EE6">
        <w:rPr>
          <w:i/>
          <w:iCs/>
          <w:lang w:val="fr-FR"/>
        </w:rPr>
        <w:t>magistrat</w:t>
      </w:r>
      <w:r w:rsidR="00892EE6" w:rsidRPr="00892EE6">
        <w:rPr>
          <w:i/>
          <w:iCs/>
          <w:lang w:val="fr-FR"/>
        </w:rPr>
        <w:t xml:space="preserve">e </w:t>
      </w:r>
      <w:r w:rsidR="00892EE6" w:rsidRPr="00892EE6">
        <w:rPr>
          <w:lang w:val="fr-FR"/>
        </w:rPr>
        <w:t>ne peut pas les recevoir</w:t>
      </w:r>
      <w:r w:rsidR="008D6B80">
        <w:rPr>
          <w:color w:val="0000FF"/>
          <w:lang w:val="fr-FR"/>
        </w:rPr>
        <w:t xml:space="preserve">. </w:t>
      </w:r>
      <w:r w:rsidR="00DC0172">
        <w:rPr>
          <w:lang w:val="fr-FR"/>
        </w:rPr>
        <w:t>Ils doivent être écartés en tant qu’</w:t>
      </w:r>
      <w:r w:rsidR="00A91892">
        <w:rPr>
          <w:lang w:val="fr-FR"/>
        </w:rPr>
        <w:t>éléments de preuve.</w:t>
      </w:r>
      <w:r w:rsidR="007C0924">
        <w:rPr>
          <w:lang w:val="fr-FR"/>
        </w:rPr>
        <w:t xml:space="preserve"> </w:t>
      </w:r>
    </w:p>
    <w:p w:rsidR="0015410E" w:rsidRPr="0015410E" w:rsidRDefault="00A91892" w:rsidP="005D7B68">
      <w:pPr>
        <w:tabs>
          <w:tab w:val="left" w:pos="567"/>
          <w:tab w:val="left" w:pos="1134"/>
          <w:tab w:val="left" w:pos="1701"/>
          <w:tab w:val="left" w:pos="2268"/>
        </w:tabs>
        <w:rPr>
          <w:lang w:val="fr-FR"/>
        </w:rPr>
      </w:pPr>
      <w:r>
        <w:rPr>
          <w:lang w:val="fr-FR"/>
        </w:rPr>
        <w:t>63.</w:t>
      </w:r>
      <w:r>
        <w:rPr>
          <w:lang w:val="fr-FR"/>
        </w:rPr>
        <w:tab/>
        <w:t xml:space="preserve">Dans cette présentation des mesures destinées à protéger les droits des personnes placées en garde à vue, il convient également d’attirer </w:t>
      </w:r>
      <w:r w:rsidR="009C567B">
        <w:rPr>
          <w:lang w:val="fr-FR"/>
        </w:rPr>
        <w:t xml:space="preserve">l’attention </w:t>
      </w:r>
      <w:r>
        <w:rPr>
          <w:lang w:val="fr-FR"/>
        </w:rPr>
        <w:t xml:space="preserve">sur le rôle des aveux et de la </w:t>
      </w:r>
      <w:r w:rsidR="00A619D6">
        <w:rPr>
          <w:lang w:val="fr-FR"/>
        </w:rPr>
        <w:t>«</w:t>
      </w:r>
      <w:r>
        <w:rPr>
          <w:lang w:val="fr-FR"/>
        </w:rPr>
        <w:t>mise en garde</w:t>
      </w:r>
      <w:r w:rsidR="00A619D6">
        <w:rPr>
          <w:lang w:val="fr-FR"/>
        </w:rPr>
        <w:t>»</w:t>
      </w:r>
      <w:r w:rsidR="008D6B80">
        <w:rPr>
          <w:lang w:val="fr-FR"/>
        </w:rPr>
        <w:t xml:space="preserve">. </w:t>
      </w:r>
      <w:r>
        <w:rPr>
          <w:lang w:val="fr-FR"/>
        </w:rPr>
        <w:t>Les aveux font exception à la règle de l’interdiction de la</w:t>
      </w:r>
      <w:r w:rsidR="009C567B">
        <w:rPr>
          <w:lang w:val="fr-FR"/>
        </w:rPr>
        <w:t xml:space="preserve"> preuve par ouï-dire (quand ils sont faits par une personne qui est ou devient accusée) et ils peuvent être faits oralement, par écrit </w:t>
      </w:r>
      <w:r w:rsidR="009C567B" w:rsidRPr="00892EE6">
        <w:rPr>
          <w:lang w:val="fr-FR"/>
        </w:rPr>
        <w:t>ou</w:t>
      </w:r>
      <w:r w:rsidR="0015410E" w:rsidRPr="00892EE6">
        <w:rPr>
          <w:lang w:val="fr-FR"/>
        </w:rPr>
        <w:t xml:space="preserve"> </w:t>
      </w:r>
      <w:r w:rsidR="00892EE6" w:rsidRPr="00892EE6">
        <w:rPr>
          <w:lang w:val="fr-FR"/>
        </w:rPr>
        <w:t>ressortir des actes</w:t>
      </w:r>
      <w:r w:rsidR="0015410E" w:rsidRPr="00892EE6">
        <w:rPr>
          <w:lang w:val="fr-FR"/>
        </w:rPr>
        <w:t xml:space="preserve"> de l’intéressé</w:t>
      </w:r>
      <w:r w:rsidR="008D6B80">
        <w:rPr>
          <w:lang w:val="fr-FR"/>
        </w:rPr>
        <w:t xml:space="preserve">. </w:t>
      </w:r>
      <w:r w:rsidR="0015410E" w:rsidRPr="00892EE6">
        <w:rPr>
          <w:lang w:val="fr-FR"/>
        </w:rPr>
        <w:t>La preuve des aveux ne peut être</w:t>
      </w:r>
      <w:r w:rsidR="00A003B5" w:rsidRPr="00892EE6">
        <w:rPr>
          <w:lang w:val="fr-FR"/>
        </w:rPr>
        <w:t xml:space="preserve"> apportée que par une personne </w:t>
      </w:r>
      <w:r w:rsidR="0015410E" w:rsidRPr="00892EE6">
        <w:rPr>
          <w:lang w:val="fr-FR"/>
        </w:rPr>
        <w:t>qui en a été témoin personnellement</w:t>
      </w:r>
      <w:r w:rsidR="0015410E">
        <w:rPr>
          <w:lang w:val="fr-FR"/>
        </w:rPr>
        <w:t xml:space="preserve"> ou par la présentation d’un document sur lequel ils sont enregistrés.</w:t>
      </w:r>
    </w:p>
    <w:p w:rsidR="0015410E" w:rsidRPr="0015410E" w:rsidRDefault="0015410E" w:rsidP="005D7B68">
      <w:pPr>
        <w:tabs>
          <w:tab w:val="left" w:pos="567"/>
          <w:tab w:val="left" w:pos="1134"/>
          <w:tab w:val="left" w:pos="1701"/>
          <w:tab w:val="left" w:pos="2268"/>
        </w:tabs>
        <w:rPr>
          <w:lang w:val="fr-FR"/>
        </w:rPr>
      </w:pPr>
      <w:r>
        <w:rPr>
          <w:lang w:val="fr-FR"/>
        </w:rPr>
        <w:t>64.</w:t>
      </w:r>
      <w:r>
        <w:rPr>
          <w:lang w:val="fr-FR"/>
        </w:rPr>
        <w:tab/>
        <w:t xml:space="preserve">La </w:t>
      </w:r>
      <w:r w:rsidR="00A619D6">
        <w:rPr>
          <w:lang w:val="fr-FR"/>
        </w:rPr>
        <w:t>«</w:t>
      </w:r>
      <w:r>
        <w:rPr>
          <w:lang w:val="fr-FR"/>
        </w:rPr>
        <w:t>mise en garde</w:t>
      </w:r>
      <w:r w:rsidR="00A619D6">
        <w:rPr>
          <w:lang w:val="fr-FR"/>
        </w:rPr>
        <w:t>»</w:t>
      </w:r>
      <w:r>
        <w:rPr>
          <w:lang w:val="fr-FR"/>
        </w:rPr>
        <w:t xml:space="preserve"> sert à rappeler aux su</w:t>
      </w:r>
      <w:r w:rsidR="00A003B5">
        <w:rPr>
          <w:lang w:val="fr-FR"/>
        </w:rPr>
        <w:t>spects qu’ils ont le droit de ne</w:t>
      </w:r>
      <w:r>
        <w:rPr>
          <w:lang w:val="fr-FR"/>
        </w:rPr>
        <w:t xml:space="preserve"> pas s’accuser</w:t>
      </w:r>
      <w:r w:rsidR="008D6B80">
        <w:rPr>
          <w:lang w:val="fr-FR"/>
        </w:rPr>
        <w:t xml:space="preserve">. </w:t>
      </w:r>
      <w:r>
        <w:rPr>
          <w:lang w:val="fr-FR"/>
        </w:rPr>
        <w:t>Les prescriptions m</w:t>
      </w:r>
      <w:r w:rsidR="004907CE">
        <w:rPr>
          <w:lang w:val="fr-FR"/>
        </w:rPr>
        <w:t>inimales à respecter pour cela</w:t>
      </w:r>
      <w:r>
        <w:rPr>
          <w:lang w:val="fr-FR"/>
        </w:rPr>
        <w:t xml:space="preserve"> sont les suivant</w:t>
      </w:r>
      <w:r w:rsidR="00A003B5">
        <w:rPr>
          <w:lang w:val="fr-FR"/>
        </w:rPr>
        <w:t>e</w:t>
      </w:r>
      <w:r>
        <w:rPr>
          <w:lang w:val="fr-FR"/>
        </w:rPr>
        <w:t>s</w:t>
      </w:r>
      <w:r w:rsidR="00572260">
        <w:rPr>
          <w:lang w:val="fr-FR"/>
        </w:rPr>
        <w:t>:</w:t>
      </w:r>
    </w:p>
    <w:p w:rsidR="002E780C" w:rsidRDefault="0015410E" w:rsidP="005D7B68">
      <w:pPr>
        <w:tabs>
          <w:tab w:val="left" w:pos="567"/>
          <w:tab w:val="left" w:pos="1134"/>
          <w:tab w:val="left" w:pos="1701"/>
          <w:tab w:val="left" w:pos="2268"/>
        </w:tabs>
        <w:rPr>
          <w:lang w:val="fr-FR"/>
        </w:rPr>
      </w:pPr>
      <w:r>
        <w:rPr>
          <w:lang w:val="fr-FR"/>
        </w:rPr>
        <w:tab/>
        <w:t>a)</w:t>
      </w:r>
      <w:r>
        <w:rPr>
          <w:lang w:val="fr-FR"/>
        </w:rPr>
        <w:tab/>
        <w:t>Elle doit être faite avant tout interrogatoire mené par un agent d’instruction, et</w:t>
      </w:r>
    </w:p>
    <w:p w:rsidR="0015410E" w:rsidRDefault="00A003B5" w:rsidP="005D7B68">
      <w:pPr>
        <w:tabs>
          <w:tab w:val="left" w:pos="567"/>
          <w:tab w:val="left" w:pos="1134"/>
          <w:tab w:val="left" w:pos="1701"/>
          <w:tab w:val="left" w:pos="2268"/>
        </w:tabs>
        <w:rPr>
          <w:lang w:val="fr-FR"/>
        </w:rPr>
      </w:pPr>
      <w:r>
        <w:rPr>
          <w:lang w:val="fr-FR"/>
        </w:rPr>
        <w:tab/>
        <w:t>b)</w:t>
      </w:r>
      <w:r>
        <w:rPr>
          <w:lang w:val="fr-FR"/>
        </w:rPr>
        <w:tab/>
        <w:t>S</w:t>
      </w:r>
      <w:r w:rsidR="0015410E">
        <w:rPr>
          <w:lang w:val="fr-FR"/>
        </w:rPr>
        <w:t>i ce dernier a acquis la conviction qu</w:t>
      </w:r>
      <w:r>
        <w:rPr>
          <w:lang w:val="fr-FR"/>
        </w:rPr>
        <w:t>’il existe assez d’éléments pour prouver</w:t>
      </w:r>
      <w:r w:rsidR="00572260">
        <w:rPr>
          <w:lang w:val="fr-FR"/>
        </w:rPr>
        <w:t xml:space="preserve"> </w:t>
      </w:r>
      <w:r w:rsidR="00761859">
        <w:rPr>
          <w:lang w:val="fr-FR"/>
        </w:rPr>
        <w:t>que l’intéressé a commis une infraction.</w:t>
      </w:r>
    </w:p>
    <w:p w:rsidR="00761859" w:rsidRPr="0015410E" w:rsidRDefault="00761859" w:rsidP="005D7B68">
      <w:pPr>
        <w:tabs>
          <w:tab w:val="left" w:pos="567"/>
          <w:tab w:val="left" w:pos="1134"/>
          <w:tab w:val="left" w:pos="1701"/>
          <w:tab w:val="left" w:pos="2268"/>
        </w:tabs>
        <w:rPr>
          <w:lang w:val="fr-FR"/>
        </w:rPr>
      </w:pPr>
      <w:r>
        <w:rPr>
          <w:lang w:val="fr-FR"/>
        </w:rPr>
        <w:tab/>
        <w:t>c)</w:t>
      </w:r>
      <w:r>
        <w:rPr>
          <w:lang w:val="fr-FR"/>
        </w:rPr>
        <w:tab/>
        <w:t xml:space="preserve">La mise en garde ne doit pas être faite </w:t>
      </w:r>
      <w:r w:rsidR="0007742F">
        <w:rPr>
          <w:lang w:val="fr-FR"/>
        </w:rPr>
        <w:t>qu’</w:t>
      </w:r>
      <w:r>
        <w:rPr>
          <w:lang w:val="fr-FR"/>
        </w:rPr>
        <w:t>une seule fois.</w:t>
      </w:r>
    </w:p>
    <w:p w:rsidR="00756C71" w:rsidRPr="00761859" w:rsidRDefault="00761859" w:rsidP="005D7B68">
      <w:pPr>
        <w:tabs>
          <w:tab w:val="left" w:pos="567"/>
          <w:tab w:val="left" w:pos="1134"/>
          <w:tab w:val="left" w:pos="1701"/>
          <w:tab w:val="left" w:pos="2268"/>
        </w:tabs>
        <w:rPr>
          <w:lang w:val="fr-FR"/>
        </w:rPr>
      </w:pPr>
      <w:r>
        <w:rPr>
          <w:lang w:val="fr-FR"/>
        </w:rPr>
        <w:t>65.</w:t>
      </w:r>
      <w:r>
        <w:rPr>
          <w:lang w:val="fr-FR"/>
        </w:rPr>
        <w:tab/>
        <w:t>Selon la loi sur les éléments de preuve, cette mise en garde doit indiquer que toutes les paroles et les actes de la personne concernée peuvent être retenus contre elle</w:t>
      </w:r>
      <w:r w:rsidR="008D6B80">
        <w:rPr>
          <w:lang w:val="fr-FR"/>
        </w:rPr>
        <w:t xml:space="preserve">. </w:t>
      </w:r>
      <w:r>
        <w:rPr>
          <w:lang w:val="fr-FR"/>
        </w:rPr>
        <w:t>Voici un libellé approprié</w:t>
      </w:r>
      <w:r w:rsidR="00572260">
        <w:rPr>
          <w:lang w:val="fr-FR"/>
        </w:rPr>
        <w:t>:</w:t>
      </w:r>
      <w:r>
        <w:rPr>
          <w:lang w:val="fr-FR"/>
        </w:rPr>
        <w:t> </w:t>
      </w:r>
      <w:r w:rsidR="009C77EB">
        <w:rPr>
          <w:lang w:val="fr-FR"/>
        </w:rPr>
        <w:t>«</w:t>
      </w:r>
      <w:r>
        <w:rPr>
          <w:lang w:val="fr-FR"/>
        </w:rPr>
        <w:t>Vous n’êtes pas obligé de dire ou de faire quoi que ce soit, sauf si vous le souhaitez, mais tout ce que vous direz ou ferez pourra être retenu contre vous</w:t>
      </w:r>
      <w:r w:rsidR="008D6B80">
        <w:rPr>
          <w:lang w:val="fr-FR"/>
        </w:rPr>
        <w:t xml:space="preserve">. </w:t>
      </w:r>
      <w:r w:rsidR="00A619D6">
        <w:rPr>
          <w:lang w:val="fr-FR"/>
        </w:rPr>
        <w:t>Comprenez-vous</w:t>
      </w:r>
      <w:r>
        <w:rPr>
          <w:lang w:val="fr-FR"/>
        </w:rPr>
        <w:t>?</w:t>
      </w:r>
      <w:r w:rsidR="00A619D6">
        <w:rPr>
          <w:lang w:val="fr-FR"/>
        </w:rPr>
        <w:t>»</w:t>
      </w:r>
    </w:p>
    <w:p w:rsidR="00756C71" w:rsidRPr="00756C71" w:rsidRDefault="00756C71" w:rsidP="005D7B68">
      <w:pPr>
        <w:tabs>
          <w:tab w:val="left" w:pos="567"/>
          <w:tab w:val="left" w:pos="1134"/>
          <w:tab w:val="left" w:pos="1701"/>
          <w:tab w:val="left" w:pos="2268"/>
        </w:tabs>
        <w:rPr>
          <w:b/>
          <w:bCs/>
          <w:lang w:val="fr-FR"/>
        </w:rPr>
      </w:pPr>
      <w:r>
        <w:rPr>
          <w:b/>
          <w:bCs/>
          <w:lang w:val="fr-FR"/>
        </w:rPr>
        <w:t xml:space="preserve">Territoire de la capitale </w:t>
      </w:r>
      <w:r w:rsidR="009D07A3">
        <w:rPr>
          <w:b/>
          <w:bCs/>
          <w:lang w:val="fr-FR"/>
        </w:rPr>
        <w:t>australienne</w:t>
      </w:r>
    </w:p>
    <w:p w:rsidR="00C3328D" w:rsidRPr="00756C71" w:rsidRDefault="00756C71" w:rsidP="005D7B68">
      <w:pPr>
        <w:tabs>
          <w:tab w:val="left" w:pos="567"/>
          <w:tab w:val="left" w:pos="1134"/>
          <w:tab w:val="left" w:pos="1701"/>
          <w:tab w:val="left" w:pos="2268"/>
        </w:tabs>
        <w:rPr>
          <w:b/>
          <w:bCs/>
          <w:lang w:val="fr-FR"/>
        </w:rPr>
      </w:pPr>
      <w:r>
        <w:rPr>
          <w:b/>
          <w:bCs/>
          <w:lang w:val="fr-FR"/>
        </w:rPr>
        <w:t>Loi sur les droits de l’homme</w:t>
      </w:r>
    </w:p>
    <w:p w:rsidR="00DC21D8" w:rsidRPr="00C3328D" w:rsidRDefault="001502C6" w:rsidP="005D7B68">
      <w:pPr>
        <w:tabs>
          <w:tab w:val="left" w:pos="567"/>
          <w:tab w:val="left" w:pos="1134"/>
          <w:tab w:val="left" w:pos="1701"/>
          <w:tab w:val="left" w:pos="2268"/>
        </w:tabs>
        <w:rPr>
          <w:lang w:val="fr-FR"/>
        </w:rPr>
      </w:pPr>
      <w:r>
        <w:rPr>
          <w:lang w:val="fr-FR"/>
        </w:rPr>
        <w:t>66.</w:t>
      </w:r>
      <w:r>
        <w:rPr>
          <w:lang w:val="fr-FR"/>
        </w:rPr>
        <w:tab/>
        <w:t>En ce qui concerne les</w:t>
      </w:r>
      <w:r w:rsidR="00C3328D">
        <w:rPr>
          <w:lang w:val="fr-FR"/>
        </w:rPr>
        <w:t xml:space="preserve"> obligations souscrites par l’Australie au titre de l’article 2 de la Convention, une Charte des droits a été adoptée par le Parlement du Territoire de la capitale fédérale en 2004</w:t>
      </w:r>
      <w:r w:rsidR="008D6B80">
        <w:rPr>
          <w:lang w:val="fr-FR"/>
        </w:rPr>
        <w:t xml:space="preserve">. </w:t>
      </w:r>
      <w:r w:rsidR="00C3328D">
        <w:rPr>
          <w:lang w:val="fr-FR"/>
        </w:rPr>
        <w:t xml:space="preserve">La </w:t>
      </w:r>
      <w:r w:rsidR="00C3328D" w:rsidRPr="00493DE4">
        <w:rPr>
          <w:lang w:val="fr-FR"/>
        </w:rPr>
        <w:t>loi de 2004 sur les droits de l’homme</w:t>
      </w:r>
      <w:r w:rsidR="00C3328D">
        <w:rPr>
          <w:i/>
          <w:iCs/>
          <w:lang w:val="fr-FR"/>
        </w:rPr>
        <w:t xml:space="preserve"> </w:t>
      </w:r>
      <w:r w:rsidR="00C3328D" w:rsidRPr="00C3328D">
        <w:rPr>
          <w:lang w:val="fr-FR"/>
        </w:rPr>
        <w:t>du Territoire de la capitale australienne</w:t>
      </w:r>
      <w:r w:rsidR="00DC21D8">
        <w:rPr>
          <w:lang w:val="fr-FR"/>
        </w:rPr>
        <w:t xml:space="preserve"> a permis d’incorporer</w:t>
      </w:r>
      <w:r w:rsidR="00C3328D">
        <w:rPr>
          <w:lang w:val="fr-FR"/>
        </w:rPr>
        <w:t xml:space="preserve"> des dispositions du Pacte international relatif aux droits civils et politiques </w:t>
      </w:r>
      <w:r w:rsidR="00DC21D8">
        <w:rPr>
          <w:lang w:val="fr-FR"/>
        </w:rPr>
        <w:t>(PIDCP) à la législation du</w:t>
      </w:r>
      <w:r w:rsidR="00C3328D">
        <w:rPr>
          <w:lang w:val="fr-FR"/>
        </w:rPr>
        <w:t xml:space="preserve"> Territoire, y compris l’interdiction de la torture et des peines ou traitements cruels, inhum</w:t>
      </w:r>
      <w:r w:rsidR="00DC21D8">
        <w:rPr>
          <w:lang w:val="fr-FR"/>
        </w:rPr>
        <w:t xml:space="preserve">ains ou dégradants </w:t>
      </w:r>
      <w:r w:rsidR="007330E2">
        <w:rPr>
          <w:lang w:val="fr-FR"/>
        </w:rPr>
        <w:t>(art.</w:t>
      </w:r>
      <w:r w:rsidR="00DC21D8">
        <w:rPr>
          <w:lang w:val="fr-FR"/>
        </w:rPr>
        <w:t xml:space="preserve"> 7 du PIDCP) et le droit à un traitement </w:t>
      </w:r>
      <w:r w:rsidR="009D07A3">
        <w:rPr>
          <w:lang w:val="fr-FR"/>
        </w:rPr>
        <w:t xml:space="preserve">humain </w:t>
      </w:r>
      <w:r w:rsidR="00DC21D8">
        <w:rPr>
          <w:lang w:val="fr-FR"/>
        </w:rPr>
        <w:t xml:space="preserve">en cas de privation de liberté </w:t>
      </w:r>
      <w:r w:rsidR="007330E2">
        <w:rPr>
          <w:lang w:val="fr-FR"/>
        </w:rPr>
        <w:t>(art.</w:t>
      </w:r>
      <w:r w:rsidR="00DC21D8">
        <w:rPr>
          <w:lang w:val="fr-FR"/>
        </w:rPr>
        <w:t xml:space="preserve"> 10 du PIDCP).</w:t>
      </w:r>
      <w:r w:rsidR="00C3328D">
        <w:rPr>
          <w:lang w:val="fr-FR"/>
        </w:rPr>
        <w:t xml:space="preserve"> </w:t>
      </w:r>
    </w:p>
    <w:p w:rsidR="00065743" w:rsidRPr="008031D6" w:rsidRDefault="00DC21D8" w:rsidP="005D7B68">
      <w:pPr>
        <w:tabs>
          <w:tab w:val="left" w:pos="567"/>
          <w:tab w:val="left" w:pos="1134"/>
          <w:tab w:val="left" w:pos="1701"/>
          <w:tab w:val="left" w:pos="2268"/>
        </w:tabs>
        <w:rPr>
          <w:lang w:val="fr-FR"/>
        </w:rPr>
      </w:pPr>
      <w:r>
        <w:rPr>
          <w:lang w:val="fr-FR"/>
        </w:rPr>
        <w:t>67.</w:t>
      </w:r>
      <w:r>
        <w:rPr>
          <w:lang w:val="fr-FR"/>
        </w:rPr>
        <w:tab/>
      </w:r>
      <w:r w:rsidRPr="00DC21D8">
        <w:rPr>
          <w:bCs/>
          <w:lang w:val="fr-FR"/>
        </w:rPr>
        <w:t>La loi sur les droits de l’homme du Territoire de la capitale fédérale requiert que l’ensemble des dispositions législatives du Territoire soient interprétées et appliquées de façon conforme aux principes relatifs aux droits de l’homme, sauf disposition expresse contraire</w:t>
      </w:r>
      <w:r w:rsidR="008D6B80">
        <w:rPr>
          <w:bCs/>
          <w:lang w:val="fr-FR"/>
        </w:rPr>
        <w:t xml:space="preserve">. </w:t>
      </w:r>
      <w:r w:rsidRPr="00DC21D8">
        <w:rPr>
          <w:bCs/>
          <w:lang w:val="fr-FR"/>
        </w:rPr>
        <w:t>Les normes relatives aux droits de l’homme peuvent être invoquées dans le cadre des recours intentés contre les autorités du Territoire lorsque, par exemple, un organisme public manque à ses obligations juridiques ou à son devoir de protection vis</w:t>
      </w:r>
      <w:r w:rsidRPr="00DC21D8">
        <w:rPr>
          <w:bCs/>
          <w:lang w:val="fr-FR"/>
        </w:rPr>
        <w:noBreakHyphen/>
        <w:t>à</w:t>
      </w:r>
      <w:r w:rsidRPr="00DC21D8">
        <w:rPr>
          <w:bCs/>
          <w:lang w:val="fr-FR"/>
        </w:rPr>
        <w:noBreakHyphen/>
        <w:t>vis d’un détenu</w:t>
      </w:r>
      <w:r w:rsidR="008D6B80">
        <w:rPr>
          <w:bCs/>
          <w:lang w:val="fr-FR"/>
        </w:rPr>
        <w:t xml:space="preserve">. </w:t>
      </w:r>
      <w:r w:rsidRPr="00DC21D8">
        <w:rPr>
          <w:bCs/>
          <w:lang w:val="fr-FR"/>
        </w:rPr>
        <w:t>Il doit par ailleurs être tenu compte de l’interdiction de la torture et autres peines ou traitements cruels, inhumains ou dégradants dans le cadre de l’élaboration des lois et de la définition des directives opérationnelles</w:t>
      </w:r>
      <w:r w:rsidR="008D6B80">
        <w:rPr>
          <w:bCs/>
          <w:lang w:val="fr-FR"/>
        </w:rPr>
        <w:t xml:space="preserve">. </w:t>
      </w:r>
      <w:r>
        <w:rPr>
          <w:bCs/>
          <w:lang w:val="fr-FR"/>
        </w:rPr>
        <w:t>Les nouvelles dispositions législatives doivent être accompagnées</w:t>
      </w:r>
      <w:r w:rsidR="008031D6">
        <w:rPr>
          <w:bCs/>
          <w:lang w:val="fr-FR"/>
        </w:rPr>
        <w:t xml:space="preserve"> de l’attestation de compatibilité de l’</w:t>
      </w:r>
      <w:r w:rsidR="008E1139" w:rsidRPr="008E1139">
        <w:rPr>
          <w:bCs/>
          <w:lang w:val="fr-FR"/>
        </w:rPr>
        <w:t>Attorney général</w:t>
      </w:r>
      <w:r w:rsidR="00227085">
        <w:rPr>
          <w:bCs/>
          <w:lang w:val="fr-FR"/>
        </w:rPr>
        <w:t>,</w:t>
      </w:r>
      <w:r w:rsidR="008031D6">
        <w:rPr>
          <w:bCs/>
          <w:lang w:val="fr-FR"/>
        </w:rPr>
        <w:t xml:space="preserve"> la Commission des questions juridiques d</w:t>
      </w:r>
      <w:r w:rsidR="00227085">
        <w:rPr>
          <w:bCs/>
          <w:lang w:val="fr-FR"/>
        </w:rPr>
        <w:t>e l’Assemblée législative exerçant</w:t>
      </w:r>
      <w:r w:rsidR="008031D6">
        <w:rPr>
          <w:bCs/>
          <w:lang w:val="fr-FR"/>
        </w:rPr>
        <w:t xml:space="preserve"> une fonction de contrôle</w:t>
      </w:r>
      <w:r w:rsidR="00070689">
        <w:rPr>
          <w:bCs/>
          <w:lang w:val="fr-FR"/>
        </w:rPr>
        <w:t xml:space="preserve"> </w:t>
      </w:r>
      <w:r w:rsidR="00697562">
        <w:rPr>
          <w:bCs/>
          <w:lang w:val="fr-FR"/>
        </w:rPr>
        <w:t>des droits de l’homme. La Cour suprême peut publier des d</w:t>
      </w:r>
      <w:r w:rsidR="00070689">
        <w:rPr>
          <w:bCs/>
          <w:lang w:val="fr-FR"/>
        </w:rPr>
        <w:t>éclarations d’incompatibilité si elle constate qu’une loi du Territoire de la capitale</w:t>
      </w:r>
      <w:r w:rsidR="00697562">
        <w:rPr>
          <w:bCs/>
          <w:lang w:val="fr-FR"/>
        </w:rPr>
        <w:t xml:space="preserve"> fédérale</w:t>
      </w:r>
      <w:r w:rsidR="00070689">
        <w:rPr>
          <w:bCs/>
          <w:lang w:val="fr-FR"/>
        </w:rPr>
        <w:t xml:space="preserve"> est incompatible avec les droits de l’homme (ce qui est conforme au modèle du Royaume-Uni)</w:t>
      </w:r>
      <w:r w:rsidR="008D6B80">
        <w:rPr>
          <w:bCs/>
          <w:lang w:val="fr-FR"/>
        </w:rPr>
        <w:t xml:space="preserve">. </w:t>
      </w:r>
      <w:r w:rsidR="00070689">
        <w:rPr>
          <w:bCs/>
          <w:lang w:val="fr-FR"/>
        </w:rPr>
        <w:t>La Commission des droits de l’homme du Territ</w:t>
      </w:r>
      <w:r w:rsidR="006F5E04">
        <w:rPr>
          <w:bCs/>
          <w:lang w:val="fr-FR"/>
        </w:rPr>
        <w:t>oire de la capitale fédérale</w:t>
      </w:r>
      <w:r w:rsidR="00070689">
        <w:rPr>
          <w:bCs/>
          <w:lang w:val="fr-FR"/>
        </w:rPr>
        <w:t xml:space="preserve"> est habilitée à examiner les effets des lo</w:t>
      </w:r>
      <w:r w:rsidR="00D6394F">
        <w:rPr>
          <w:bCs/>
          <w:lang w:val="fr-FR"/>
        </w:rPr>
        <w:t>is, y compris en effectuant une évaluation d’ensemble de la situation des droits de l’homme.</w:t>
      </w:r>
    </w:p>
    <w:p w:rsidR="00065743" w:rsidRPr="00065743" w:rsidRDefault="00065743" w:rsidP="005D7B68">
      <w:pPr>
        <w:tabs>
          <w:tab w:val="left" w:pos="567"/>
          <w:tab w:val="left" w:pos="1134"/>
          <w:tab w:val="left" w:pos="1701"/>
          <w:tab w:val="left" w:pos="2268"/>
        </w:tabs>
        <w:rPr>
          <w:bCs/>
          <w:lang w:val="fr-FR"/>
        </w:rPr>
      </w:pPr>
      <w:r>
        <w:rPr>
          <w:lang w:val="fr-FR"/>
        </w:rPr>
        <w:t>68.</w:t>
      </w:r>
      <w:r>
        <w:rPr>
          <w:lang w:val="fr-FR"/>
        </w:rPr>
        <w:tab/>
      </w:r>
      <w:r w:rsidRPr="00065743">
        <w:rPr>
          <w:bCs/>
          <w:lang w:val="fr-FR"/>
        </w:rPr>
        <w:t>Il est prévu d’interpréter et d’appliquer la loi sur les droits de l’homme dans le respect du droit international et des normes internationalement acceptées. Lorsqu’ils interprètent la loi sur les droits de l’homme, les magistrats et les autres agents du Territoire de la capitale fédérale peuvent se référer à la Convention contre la torture, au Pacte international relatif aux droits civils et politiques ainsi qu’à d’autres règles et directives pertinentes.</w:t>
      </w:r>
    </w:p>
    <w:p w:rsidR="00065743" w:rsidRPr="00065743" w:rsidRDefault="008801C2" w:rsidP="005D7B68">
      <w:pPr>
        <w:tabs>
          <w:tab w:val="left" w:pos="567"/>
          <w:tab w:val="left" w:pos="1134"/>
          <w:tab w:val="left" w:pos="1701"/>
          <w:tab w:val="left" w:pos="2268"/>
        </w:tabs>
        <w:rPr>
          <w:b/>
          <w:bCs/>
          <w:lang w:val="fr-FR"/>
        </w:rPr>
      </w:pPr>
      <w:r>
        <w:rPr>
          <w:b/>
          <w:bCs/>
          <w:lang w:val="fr-FR"/>
        </w:rPr>
        <w:t>Loi sur l’administration du S</w:t>
      </w:r>
      <w:r w:rsidR="00065743">
        <w:rPr>
          <w:b/>
          <w:bCs/>
          <w:lang w:val="fr-FR"/>
        </w:rPr>
        <w:t>ervice pénitentiaire</w:t>
      </w:r>
    </w:p>
    <w:p w:rsidR="00366F67" w:rsidRPr="00065743" w:rsidRDefault="00065743" w:rsidP="005D7B68">
      <w:pPr>
        <w:tabs>
          <w:tab w:val="left" w:pos="567"/>
          <w:tab w:val="left" w:pos="1134"/>
          <w:tab w:val="left" w:pos="1701"/>
          <w:tab w:val="left" w:pos="2268"/>
        </w:tabs>
        <w:rPr>
          <w:lang w:val="fr-FR"/>
        </w:rPr>
      </w:pPr>
      <w:r>
        <w:rPr>
          <w:lang w:val="fr-FR"/>
        </w:rPr>
        <w:t>69</w:t>
      </w:r>
      <w:r w:rsidR="008801C2">
        <w:rPr>
          <w:lang w:val="fr-FR"/>
        </w:rPr>
        <w:t>.</w:t>
      </w:r>
      <w:r w:rsidR="008801C2">
        <w:rPr>
          <w:lang w:val="fr-FR"/>
        </w:rPr>
        <w:tab/>
        <w:t>La loi de 2007 sur l’administration du S</w:t>
      </w:r>
      <w:r w:rsidR="0041464D">
        <w:rPr>
          <w:lang w:val="fr-FR"/>
        </w:rPr>
        <w:t>ervice pénitentiaire du territoire de la capitale australienne comporte un certain nombre de dispositions relatives au traitement des détenus en général, aux soins de santé, à l’accès aux avocats et à la communication avec la famille</w:t>
      </w:r>
      <w:r w:rsidR="008D6B80">
        <w:rPr>
          <w:lang w:val="fr-FR"/>
        </w:rPr>
        <w:t xml:space="preserve">. </w:t>
      </w:r>
      <w:r w:rsidR="0041464D">
        <w:rPr>
          <w:lang w:val="fr-FR"/>
        </w:rPr>
        <w:t xml:space="preserve">Cette loi s’applique principalement </w:t>
      </w:r>
      <w:r w:rsidR="0064051D">
        <w:rPr>
          <w:lang w:val="fr-FR"/>
        </w:rPr>
        <w:t>aux condamnés et aux personnes placé</w:t>
      </w:r>
      <w:r w:rsidR="006C5676">
        <w:rPr>
          <w:lang w:val="fr-FR"/>
        </w:rPr>
        <w:t>e</w:t>
      </w:r>
      <w:r w:rsidR="0064051D">
        <w:rPr>
          <w:lang w:val="fr-FR"/>
        </w:rPr>
        <w:t xml:space="preserve">s </w:t>
      </w:r>
      <w:r w:rsidR="0041464D">
        <w:rPr>
          <w:lang w:val="fr-FR"/>
        </w:rPr>
        <w:t>en détention provisoire, mais elle contient également des dispositions relatives à la garde à vue</w:t>
      </w:r>
      <w:r w:rsidR="008D6B80">
        <w:rPr>
          <w:lang w:val="fr-FR"/>
        </w:rPr>
        <w:t xml:space="preserve">. </w:t>
      </w:r>
      <w:r w:rsidR="0041464D">
        <w:rPr>
          <w:lang w:val="fr-FR"/>
        </w:rPr>
        <w:t>L’article 30 dispose qu’une personne ne doit pas être détenue de manière continue dans une cellule de garde à vue pendan</w:t>
      </w:r>
      <w:r w:rsidR="00DC2EFD">
        <w:rPr>
          <w:lang w:val="fr-FR"/>
        </w:rPr>
        <w:t>t plus de 36 heures</w:t>
      </w:r>
      <w:r w:rsidR="007F0AB6">
        <w:rPr>
          <w:lang w:val="fr-FR"/>
        </w:rPr>
        <w:t xml:space="preserve">, après quoi, si une prolongation est nécessaire, </w:t>
      </w:r>
      <w:r w:rsidR="0041464D">
        <w:rPr>
          <w:lang w:val="fr-FR"/>
        </w:rPr>
        <w:t>elle doit être transférée dans un centre de détention</w:t>
      </w:r>
      <w:r w:rsidR="00366F67">
        <w:rPr>
          <w:lang w:val="fr-FR"/>
        </w:rPr>
        <w:t xml:space="preserve"> aux fins de la</w:t>
      </w:r>
      <w:r w:rsidR="00977BE8">
        <w:rPr>
          <w:lang w:val="fr-FR"/>
        </w:rPr>
        <w:t>dite</w:t>
      </w:r>
      <w:r w:rsidR="00366F67">
        <w:rPr>
          <w:lang w:val="fr-FR"/>
        </w:rPr>
        <w:t xml:space="preserve"> garde à vue.</w:t>
      </w:r>
    </w:p>
    <w:p w:rsidR="00366F67" w:rsidRPr="00366F67" w:rsidRDefault="00366F67" w:rsidP="005D7B68">
      <w:pPr>
        <w:tabs>
          <w:tab w:val="left" w:pos="567"/>
          <w:tab w:val="left" w:pos="1134"/>
          <w:tab w:val="left" w:pos="1701"/>
          <w:tab w:val="left" w:pos="2268"/>
        </w:tabs>
        <w:rPr>
          <w:lang w:val="fr-FR"/>
        </w:rPr>
      </w:pPr>
      <w:r>
        <w:rPr>
          <w:lang w:val="fr-FR"/>
        </w:rPr>
        <w:t>70.</w:t>
      </w:r>
      <w:r>
        <w:rPr>
          <w:lang w:val="fr-FR"/>
        </w:rPr>
        <w:tab/>
        <w:t>Aux termes de l’article 9 de l</w:t>
      </w:r>
      <w:r w:rsidR="0024383B">
        <w:rPr>
          <w:lang w:val="fr-FR"/>
        </w:rPr>
        <w:t>a loi sur l’administration du S</w:t>
      </w:r>
      <w:r>
        <w:rPr>
          <w:lang w:val="fr-FR"/>
        </w:rPr>
        <w:t>ervice pénitentiaire, les fonctions exercées à l’égard des détenus en vertu de la loi doivent l’être</w:t>
      </w:r>
      <w:r w:rsidR="00572260">
        <w:rPr>
          <w:lang w:val="fr-FR"/>
        </w:rPr>
        <w:t>:</w:t>
      </w:r>
    </w:p>
    <w:p w:rsidR="00761859" w:rsidRDefault="0024383B" w:rsidP="005D7B68">
      <w:pPr>
        <w:tabs>
          <w:tab w:val="left" w:pos="567"/>
          <w:tab w:val="left" w:pos="1134"/>
          <w:tab w:val="left" w:pos="1701"/>
          <w:tab w:val="left" w:pos="2268"/>
        </w:tabs>
        <w:rPr>
          <w:lang w:val="fr-FR"/>
        </w:rPr>
      </w:pPr>
      <w:r>
        <w:rPr>
          <w:lang w:val="fr-FR"/>
        </w:rPr>
        <w:tab/>
        <w:t>a)</w:t>
      </w:r>
      <w:r>
        <w:rPr>
          <w:lang w:val="fr-FR"/>
        </w:rPr>
        <w:tab/>
        <w:t>D</w:t>
      </w:r>
      <w:r w:rsidR="00366F67">
        <w:rPr>
          <w:lang w:val="fr-FR"/>
        </w:rPr>
        <w:t>e manière à respecter et protéger leurs droits de l’homme</w:t>
      </w:r>
      <w:r w:rsidR="00572260">
        <w:rPr>
          <w:lang w:val="fr-FR"/>
        </w:rPr>
        <w:t>;</w:t>
      </w:r>
    </w:p>
    <w:p w:rsidR="00366F67" w:rsidRDefault="0024383B" w:rsidP="005D7B68">
      <w:pPr>
        <w:tabs>
          <w:tab w:val="left" w:pos="567"/>
          <w:tab w:val="left" w:pos="1134"/>
          <w:tab w:val="left" w:pos="1701"/>
          <w:tab w:val="left" w:pos="2268"/>
        </w:tabs>
        <w:rPr>
          <w:lang w:val="fr-FR"/>
        </w:rPr>
      </w:pPr>
      <w:r>
        <w:rPr>
          <w:lang w:val="fr-FR"/>
        </w:rPr>
        <w:tab/>
        <w:t>b)</w:t>
      </w:r>
      <w:r>
        <w:rPr>
          <w:lang w:val="fr-FR"/>
        </w:rPr>
        <w:tab/>
        <w:t>D</w:t>
      </w:r>
      <w:r w:rsidR="00366F67">
        <w:rPr>
          <w:lang w:val="fr-FR"/>
        </w:rPr>
        <w:t>e manière à l</w:t>
      </w:r>
      <w:r>
        <w:rPr>
          <w:lang w:val="fr-FR"/>
        </w:rPr>
        <w:t>eur assurer un traitement correct</w:t>
      </w:r>
      <w:r w:rsidR="00366F67">
        <w:rPr>
          <w:lang w:val="fr-FR"/>
        </w:rPr>
        <w:t>, humain et équitable</w:t>
      </w:r>
      <w:r w:rsidR="00572260">
        <w:rPr>
          <w:lang w:val="fr-FR"/>
        </w:rPr>
        <w:t>;</w:t>
      </w:r>
    </w:p>
    <w:p w:rsidR="00366F67" w:rsidRDefault="00366F67" w:rsidP="005D7B68">
      <w:pPr>
        <w:tabs>
          <w:tab w:val="left" w:pos="567"/>
          <w:tab w:val="left" w:pos="1134"/>
          <w:tab w:val="left" w:pos="1701"/>
          <w:tab w:val="left" w:pos="2268"/>
        </w:tabs>
        <w:rPr>
          <w:lang w:val="fr-FR"/>
        </w:rPr>
      </w:pPr>
      <w:r>
        <w:rPr>
          <w:lang w:val="fr-FR"/>
        </w:rPr>
        <w:tab/>
        <w:t>c)</w:t>
      </w:r>
      <w:r>
        <w:rPr>
          <w:lang w:val="fr-FR"/>
        </w:rPr>
        <w:tab/>
      </w:r>
      <w:r w:rsidR="0024383B">
        <w:rPr>
          <w:lang w:val="fr-FR"/>
        </w:rPr>
        <w:t>D</w:t>
      </w:r>
      <w:r>
        <w:rPr>
          <w:lang w:val="fr-FR"/>
        </w:rPr>
        <w:t>e manière à interdire la torture ou les traitements cruels, inhumains ou dégradants</w:t>
      </w:r>
      <w:r w:rsidR="00572260">
        <w:rPr>
          <w:lang w:val="fr-FR"/>
        </w:rPr>
        <w:t>;</w:t>
      </w:r>
    </w:p>
    <w:p w:rsidR="00366F67" w:rsidRDefault="0024383B" w:rsidP="005D7B68">
      <w:pPr>
        <w:tabs>
          <w:tab w:val="left" w:pos="567"/>
          <w:tab w:val="left" w:pos="1134"/>
          <w:tab w:val="left" w:pos="1701"/>
          <w:tab w:val="left" w:pos="2268"/>
        </w:tabs>
        <w:rPr>
          <w:lang w:val="fr-FR"/>
        </w:rPr>
      </w:pPr>
      <w:r>
        <w:rPr>
          <w:lang w:val="fr-FR"/>
        </w:rPr>
        <w:tab/>
        <w:t>d)</w:t>
      </w:r>
      <w:r>
        <w:rPr>
          <w:lang w:val="fr-FR"/>
        </w:rPr>
        <w:tab/>
        <w:t>D</w:t>
      </w:r>
      <w:r w:rsidR="00366F67">
        <w:rPr>
          <w:lang w:val="fr-FR"/>
        </w:rPr>
        <w:t>e manière à faire en sorte qu’ils ne soient pas soumis à une deuxième peine (en plus de la privation de liberté) seulement à cause des conditions de détention</w:t>
      </w:r>
      <w:r w:rsidR="00572260">
        <w:rPr>
          <w:lang w:val="fr-FR"/>
        </w:rPr>
        <w:t>;</w:t>
      </w:r>
    </w:p>
    <w:p w:rsidR="005C5AEE" w:rsidRDefault="0024383B" w:rsidP="005D7B68">
      <w:pPr>
        <w:tabs>
          <w:tab w:val="left" w:pos="567"/>
          <w:tab w:val="left" w:pos="1134"/>
          <w:tab w:val="left" w:pos="1701"/>
          <w:tab w:val="left" w:pos="2268"/>
        </w:tabs>
        <w:rPr>
          <w:lang w:val="fr-FR"/>
        </w:rPr>
      </w:pPr>
      <w:r>
        <w:rPr>
          <w:lang w:val="fr-FR"/>
        </w:rPr>
        <w:tab/>
        <w:t>e)</w:t>
      </w:r>
      <w:r>
        <w:rPr>
          <w:lang w:val="fr-FR"/>
        </w:rPr>
        <w:tab/>
        <w:t>D</w:t>
      </w:r>
      <w:r w:rsidR="00366F67">
        <w:rPr>
          <w:lang w:val="fr-FR"/>
        </w:rPr>
        <w:t xml:space="preserve">e manière à ce que leurs conditions de détention soient conformes à l’article 12 (centres de détention </w:t>
      </w:r>
      <w:r w:rsidR="008E1139">
        <w:rPr>
          <w:lang w:val="fr-FR"/>
        </w:rPr>
        <w:t>–</w:t>
      </w:r>
      <w:r w:rsidR="00366F67">
        <w:rPr>
          <w:lang w:val="fr-FR"/>
        </w:rPr>
        <w:t xml:space="preserve"> </w:t>
      </w:r>
      <w:r>
        <w:rPr>
          <w:lang w:val="fr-FR"/>
        </w:rPr>
        <w:t>conditions de vie minimales)</w:t>
      </w:r>
      <w:r w:rsidR="00572260">
        <w:rPr>
          <w:lang w:val="fr-FR"/>
        </w:rPr>
        <w:t>;</w:t>
      </w:r>
      <w:r w:rsidR="005C5AEE">
        <w:rPr>
          <w:lang w:val="fr-FR"/>
        </w:rPr>
        <w:t xml:space="preserve"> et</w:t>
      </w:r>
    </w:p>
    <w:p w:rsidR="00ED4D81" w:rsidRPr="00366F67" w:rsidRDefault="0024383B" w:rsidP="005D7B68">
      <w:pPr>
        <w:tabs>
          <w:tab w:val="left" w:pos="567"/>
          <w:tab w:val="left" w:pos="1134"/>
          <w:tab w:val="left" w:pos="1701"/>
          <w:tab w:val="left" w:pos="2268"/>
        </w:tabs>
        <w:rPr>
          <w:lang w:val="fr-FR"/>
        </w:rPr>
      </w:pPr>
      <w:r>
        <w:rPr>
          <w:lang w:val="fr-FR"/>
        </w:rPr>
        <w:tab/>
        <w:t>f)</w:t>
      </w:r>
      <w:r>
        <w:rPr>
          <w:lang w:val="fr-FR"/>
        </w:rPr>
        <w:tab/>
        <w:t>S</w:t>
      </w:r>
      <w:r w:rsidR="006C5676">
        <w:rPr>
          <w:lang w:val="fr-FR"/>
        </w:rPr>
        <w:t xml:space="preserve">i le détenu est un délinquant, </w:t>
      </w:r>
      <w:r w:rsidR="005C5AEE">
        <w:rPr>
          <w:lang w:val="fr-FR"/>
        </w:rPr>
        <w:t>de manière à favoriser autant que faire se peut sa rééducation et sa réinsertion dans la société.</w:t>
      </w:r>
      <w:r w:rsidR="00366F67">
        <w:rPr>
          <w:lang w:val="fr-FR"/>
        </w:rPr>
        <w:tab/>
      </w:r>
    </w:p>
    <w:p w:rsidR="00ED4D81" w:rsidRPr="00ED4D81" w:rsidRDefault="00ED4D81" w:rsidP="005D7B68">
      <w:pPr>
        <w:tabs>
          <w:tab w:val="left" w:pos="567"/>
          <w:tab w:val="left" w:pos="1134"/>
          <w:tab w:val="left" w:pos="1701"/>
          <w:tab w:val="left" w:pos="2268"/>
        </w:tabs>
        <w:rPr>
          <w:lang w:val="fr-FR"/>
        </w:rPr>
      </w:pPr>
      <w:r>
        <w:rPr>
          <w:lang w:val="fr-FR"/>
        </w:rPr>
        <w:t>71.</w:t>
      </w:r>
      <w:r w:rsidR="0024383B">
        <w:rPr>
          <w:lang w:val="fr-FR"/>
        </w:rPr>
        <w:tab/>
        <w:t>L’article 12 de la loi sur l’administration du S</w:t>
      </w:r>
      <w:r>
        <w:rPr>
          <w:lang w:val="fr-FR"/>
        </w:rPr>
        <w:t>ervice pénitentiaire dispose que, dans toute la mesure du possible, les conditions</w:t>
      </w:r>
      <w:r w:rsidR="0024383B">
        <w:rPr>
          <w:lang w:val="fr-FR"/>
        </w:rPr>
        <w:t xml:space="preserve"> de détention, dans les centres pénitentiaires</w:t>
      </w:r>
      <w:r>
        <w:rPr>
          <w:lang w:val="fr-FR"/>
        </w:rPr>
        <w:t>, doivent répondre au moins aux normes ci-après</w:t>
      </w:r>
      <w:r w:rsidR="00572260">
        <w:rPr>
          <w:lang w:val="fr-FR"/>
        </w:rPr>
        <w:t>:</w:t>
      </w:r>
    </w:p>
    <w:p w:rsidR="00366F67" w:rsidRDefault="0024383B" w:rsidP="005D7B68">
      <w:pPr>
        <w:tabs>
          <w:tab w:val="left" w:pos="567"/>
          <w:tab w:val="left" w:pos="1134"/>
          <w:tab w:val="left" w:pos="1701"/>
          <w:tab w:val="left" w:pos="2268"/>
        </w:tabs>
        <w:rPr>
          <w:lang w:val="fr-FR"/>
        </w:rPr>
      </w:pPr>
      <w:r>
        <w:rPr>
          <w:lang w:val="fr-FR"/>
        </w:rPr>
        <w:tab/>
        <w:t>a)</w:t>
      </w:r>
      <w:r>
        <w:rPr>
          <w:lang w:val="fr-FR"/>
        </w:rPr>
        <w:tab/>
        <w:t>L</w:t>
      </w:r>
      <w:r w:rsidR="00ED4D81">
        <w:rPr>
          <w:lang w:val="fr-FR"/>
        </w:rPr>
        <w:t>es détenus doivent avoir de la nourriture et des boissons en quantité suffisante pour ne pas souffrir de la faim et d’une carence alimentaire</w:t>
      </w:r>
      <w:r w:rsidR="00572260">
        <w:rPr>
          <w:lang w:val="fr-FR"/>
        </w:rPr>
        <w:t>;</w:t>
      </w:r>
    </w:p>
    <w:p w:rsidR="00ED4D81" w:rsidRDefault="0024383B" w:rsidP="005D7B68">
      <w:pPr>
        <w:tabs>
          <w:tab w:val="left" w:pos="567"/>
          <w:tab w:val="left" w:pos="1134"/>
          <w:tab w:val="left" w:pos="1701"/>
          <w:tab w:val="left" w:pos="2268"/>
        </w:tabs>
        <w:rPr>
          <w:lang w:val="fr-FR"/>
        </w:rPr>
      </w:pPr>
      <w:r>
        <w:rPr>
          <w:lang w:val="fr-FR"/>
        </w:rPr>
        <w:tab/>
        <w:t>b)</w:t>
      </w:r>
      <w:r>
        <w:rPr>
          <w:lang w:val="fr-FR"/>
        </w:rPr>
        <w:tab/>
        <w:t>L</w:t>
      </w:r>
      <w:r w:rsidR="00ED4D81">
        <w:rPr>
          <w:lang w:val="fr-FR"/>
        </w:rPr>
        <w:t>es détenus doivent avoir assez de vêtements corrects pour ne pas se sentir dégradés ou humiliés</w:t>
      </w:r>
      <w:r w:rsidR="00572260">
        <w:rPr>
          <w:lang w:val="fr-FR"/>
        </w:rPr>
        <w:t>;</w:t>
      </w:r>
    </w:p>
    <w:p w:rsidR="00ED4D81" w:rsidRDefault="0024383B" w:rsidP="005D7B68">
      <w:pPr>
        <w:tabs>
          <w:tab w:val="left" w:pos="567"/>
          <w:tab w:val="left" w:pos="1134"/>
          <w:tab w:val="left" w:pos="1701"/>
          <w:tab w:val="left" w:pos="2268"/>
        </w:tabs>
        <w:rPr>
          <w:lang w:val="fr-FR"/>
        </w:rPr>
      </w:pPr>
      <w:r>
        <w:rPr>
          <w:lang w:val="fr-FR"/>
        </w:rPr>
        <w:tab/>
        <w:t>c)</w:t>
      </w:r>
      <w:r>
        <w:rPr>
          <w:lang w:val="fr-FR"/>
        </w:rPr>
        <w:tab/>
        <w:t>L</w:t>
      </w:r>
      <w:r w:rsidR="00ED4D81">
        <w:rPr>
          <w:lang w:val="fr-FR"/>
        </w:rPr>
        <w:t>es détenus doivent accès à des facilités appropriées à leur hygiène personnelle</w:t>
      </w:r>
      <w:r w:rsidR="00572260">
        <w:rPr>
          <w:lang w:val="fr-FR"/>
        </w:rPr>
        <w:t>;</w:t>
      </w:r>
    </w:p>
    <w:p w:rsidR="00ED4D81" w:rsidRDefault="0024383B" w:rsidP="005D7B68">
      <w:pPr>
        <w:tabs>
          <w:tab w:val="left" w:pos="567"/>
          <w:tab w:val="left" w:pos="1134"/>
          <w:tab w:val="left" w:pos="1701"/>
          <w:tab w:val="left" w:pos="2268"/>
        </w:tabs>
        <w:rPr>
          <w:lang w:val="fr-FR"/>
        </w:rPr>
      </w:pPr>
      <w:r>
        <w:rPr>
          <w:lang w:val="fr-FR"/>
        </w:rPr>
        <w:tab/>
        <w:t>d)</w:t>
      </w:r>
      <w:r>
        <w:rPr>
          <w:lang w:val="fr-FR"/>
        </w:rPr>
        <w:tab/>
        <w:t>L</w:t>
      </w:r>
      <w:r w:rsidR="00ED4D81">
        <w:rPr>
          <w:lang w:val="fr-FR"/>
        </w:rPr>
        <w:t>es détenus</w:t>
      </w:r>
      <w:r w:rsidR="001C5118">
        <w:rPr>
          <w:lang w:val="fr-FR"/>
        </w:rPr>
        <w:t xml:space="preserve"> doivent être logés correctement et pouvoir dormir dans des conditions d’intimité et de confort raisonnables</w:t>
      </w:r>
      <w:r w:rsidR="00572260">
        <w:rPr>
          <w:lang w:val="fr-FR"/>
        </w:rPr>
        <w:t>;</w:t>
      </w:r>
    </w:p>
    <w:p w:rsidR="001C5118" w:rsidRDefault="0024383B" w:rsidP="005D7B68">
      <w:pPr>
        <w:tabs>
          <w:tab w:val="left" w:pos="567"/>
          <w:tab w:val="left" w:pos="1134"/>
          <w:tab w:val="left" w:pos="1701"/>
          <w:tab w:val="left" w:pos="2268"/>
        </w:tabs>
        <w:rPr>
          <w:lang w:val="fr-FR"/>
        </w:rPr>
      </w:pPr>
      <w:r>
        <w:rPr>
          <w:lang w:val="fr-FR"/>
        </w:rPr>
        <w:tab/>
        <w:t>e)</w:t>
      </w:r>
      <w:r>
        <w:rPr>
          <w:lang w:val="fr-FR"/>
        </w:rPr>
        <w:tab/>
        <w:t>L</w:t>
      </w:r>
      <w:r w:rsidR="001C5118">
        <w:rPr>
          <w:lang w:val="fr-FR"/>
        </w:rPr>
        <w:t>es détenus do</w:t>
      </w:r>
      <w:r w:rsidR="006C5676">
        <w:rPr>
          <w:lang w:val="fr-FR"/>
        </w:rPr>
        <w:t>ivent avoir accès</w:t>
      </w:r>
      <w:r w:rsidR="001C5118">
        <w:rPr>
          <w:lang w:val="fr-FR"/>
        </w:rPr>
        <w:t xml:space="preserve"> à l’air libre et à des exercices</w:t>
      </w:r>
      <w:r w:rsidR="006C5676">
        <w:rPr>
          <w:lang w:val="fr-FR"/>
        </w:rPr>
        <w:t xml:space="preserve"> dans des conditions raisonnables</w:t>
      </w:r>
      <w:r w:rsidR="00572260">
        <w:rPr>
          <w:lang w:val="fr-FR"/>
        </w:rPr>
        <w:t>;</w:t>
      </w:r>
    </w:p>
    <w:p w:rsidR="001C5118" w:rsidRDefault="0024383B" w:rsidP="005D7B68">
      <w:pPr>
        <w:tabs>
          <w:tab w:val="left" w:pos="567"/>
          <w:tab w:val="left" w:pos="1134"/>
          <w:tab w:val="left" w:pos="1701"/>
          <w:tab w:val="left" w:pos="2268"/>
        </w:tabs>
        <w:rPr>
          <w:lang w:val="fr-FR"/>
        </w:rPr>
      </w:pPr>
      <w:r>
        <w:rPr>
          <w:lang w:val="fr-FR"/>
        </w:rPr>
        <w:tab/>
        <w:t>f)</w:t>
      </w:r>
      <w:r>
        <w:rPr>
          <w:lang w:val="fr-FR"/>
        </w:rPr>
        <w:tab/>
        <w:t>L</w:t>
      </w:r>
      <w:r w:rsidR="001C5118">
        <w:rPr>
          <w:lang w:val="fr-FR"/>
        </w:rPr>
        <w:t xml:space="preserve">es détenus doivent </w:t>
      </w:r>
      <w:r w:rsidR="00CD7627">
        <w:rPr>
          <w:lang w:val="fr-FR"/>
        </w:rPr>
        <w:t>avoir</w:t>
      </w:r>
      <w:r w:rsidR="001C5118">
        <w:rPr>
          <w:lang w:val="fr-FR"/>
        </w:rPr>
        <w:t xml:space="preserve"> accès</w:t>
      </w:r>
      <w:r w:rsidR="00CD7627">
        <w:rPr>
          <w:lang w:val="fr-FR"/>
        </w:rPr>
        <w:t>, dans des conditions raisonnables,</w:t>
      </w:r>
      <w:r w:rsidR="00572260">
        <w:rPr>
          <w:lang w:val="fr-FR"/>
        </w:rPr>
        <w:t xml:space="preserve"> </w:t>
      </w:r>
      <w:r w:rsidR="001C5118">
        <w:rPr>
          <w:lang w:val="fr-FR"/>
        </w:rPr>
        <w:t>au téléphone, au courrier et à d’autres facilités leur permettant de communiquer avec des membres de la collectivité</w:t>
      </w:r>
      <w:r w:rsidR="00572260">
        <w:rPr>
          <w:lang w:val="fr-FR"/>
        </w:rPr>
        <w:t>;</w:t>
      </w:r>
    </w:p>
    <w:p w:rsidR="001C5118" w:rsidRDefault="0024383B" w:rsidP="005D7B68">
      <w:pPr>
        <w:tabs>
          <w:tab w:val="left" w:pos="567"/>
          <w:tab w:val="left" w:pos="1134"/>
          <w:tab w:val="left" w:pos="1701"/>
          <w:tab w:val="left" w:pos="2268"/>
        </w:tabs>
        <w:rPr>
          <w:lang w:val="fr-FR"/>
        </w:rPr>
      </w:pPr>
      <w:r>
        <w:rPr>
          <w:lang w:val="fr-FR"/>
        </w:rPr>
        <w:tab/>
        <w:t>g)</w:t>
      </w:r>
      <w:r>
        <w:rPr>
          <w:lang w:val="fr-FR"/>
        </w:rPr>
        <w:tab/>
        <w:t>L</w:t>
      </w:r>
      <w:r w:rsidR="001C5118">
        <w:rPr>
          <w:lang w:val="fr-FR"/>
        </w:rPr>
        <w:t>es détenus doivent avoir la possibilité, dans les limites de la raison, de recevoir des visites des membres de leur famille, de personnes accréditées et d’autres</w:t>
      </w:r>
      <w:r w:rsidR="00572260">
        <w:rPr>
          <w:lang w:val="fr-FR"/>
        </w:rPr>
        <w:t>;</w:t>
      </w:r>
      <w:r w:rsidR="001C5118">
        <w:rPr>
          <w:lang w:val="fr-FR"/>
        </w:rPr>
        <w:t xml:space="preserve"> ils doiven</w:t>
      </w:r>
      <w:r w:rsidR="00A56057">
        <w:rPr>
          <w:lang w:val="fr-FR"/>
        </w:rPr>
        <w:t>t pouvoir communiquer avec leur</w:t>
      </w:r>
      <w:r w:rsidR="001C5118">
        <w:rPr>
          <w:lang w:val="fr-FR"/>
        </w:rPr>
        <w:t xml:space="preserve"> avo</w:t>
      </w:r>
      <w:r w:rsidR="00A56057">
        <w:rPr>
          <w:lang w:val="fr-FR"/>
        </w:rPr>
        <w:t>cat</w:t>
      </w:r>
      <w:r w:rsidR="00572260">
        <w:rPr>
          <w:lang w:val="fr-FR"/>
        </w:rPr>
        <w:t>;</w:t>
      </w:r>
    </w:p>
    <w:p w:rsidR="001C5118" w:rsidRDefault="0024383B" w:rsidP="005D7B68">
      <w:pPr>
        <w:tabs>
          <w:tab w:val="left" w:pos="567"/>
          <w:tab w:val="left" w:pos="1134"/>
          <w:tab w:val="left" w:pos="1701"/>
          <w:tab w:val="left" w:pos="2268"/>
        </w:tabs>
        <w:rPr>
          <w:lang w:val="fr-FR"/>
        </w:rPr>
      </w:pPr>
      <w:r>
        <w:rPr>
          <w:lang w:val="fr-FR"/>
        </w:rPr>
        <w:tab/>
        <w:t>h)</w:t>
      </w:r>
      <w:r>
        <w:rPr>
          <w:lang w:val="fr-FR"/>
        </w:rPr>
        <w:tab/>
        <w:t>L</w:t>
      </w:r>
      <w:r w:rsidR="001C5118">
        <w:rPr>
          <w:lang w:val="fr-FR"/>
        </w:rPr>
        <w:t>es détenus doi</w:t>
      </w:r>
      <w:r w:rsidR="006C5676">
        <w:rPr>
          <w:lang w:val="fr-FR"/>
        </w:rPr>
        <w:t>vent avoir accès, dans des conditions raisonnables,</w:t>
      </w:r>
      <w:r w:rsidR="001C5118">
        <w:rPr>
          <w:lang w:val="fr-FR"/>
        </w:rPr>
        <w:t xml:space="preserve"> aux informations et aux services et installations d’éducation afin de garder le contact avec la société</w:t>
      </w:r>
      <w:r w:rsidR="00572260">
        <w:rPr>
          <w:lang w:val="fr-FR"/>
        </w:rPr>
        <w:t>;</w:t>
      </w:r>
    </w:p>
    <w:p w:rsidR="001C5118" w:rsidRDefault="004B2A81" w:rsidP="005D7B68">
      <w:pPr>
        <w:tabs>
          <w:tab w:val="left" w:pos="567"/>
          <w:tab w:val="left" w:pos="1134"/>
          <w:tab w:val="left" w:pos="1701"/>
          <w:tab w:val="left" w:pos="2268"/>
        </w:tabs>
        <w:rPr>
          <w:lang w:val="fr-FR"/>
        </w:rPr>
      </w:pPr>
      <w:r>
        <w:rPr>
          <w:lang w:val="fr-FR"/>
        </w:rPr>
        <w:tab/>
        <w:t>i)</w:t>
      </w:r>
      <w:r>
        <w:rPr>
          <w:lang w:val="fr-FR"/>
        </w:rPr>
        <w:tab/>
        <w:t>L</w:t>
      </w:r>
      <w:r w:rsidR="001C5118">
        <w:rPr>
          <w:lang w:val="fr-FR"/>
        </w:rPr>
        <w:t>es détenus doivent avoir accès à des services et des insta</w:t>
      </w:r>
      <w:r>
        <w:rPr>
          <w:lang w:val="fr-FR"/>
        </w:rPr>
        <w:t>llations sanitaires adéquats</w:t>
      </w:r>
      <w:r w:rsidR="00572260">
        <w:rPr>
          <w:lang w:val="fr-FR"/>
        </w:rPr>
        <w:t>;</w:t>
      </w:r>
      <w:r>
        <w:rPr>
          <w:lang w:val="fr-FR"/>
        </w:rPr>
        <w:t xml:space="preserve"> et</w:t>
      </w:r>
    </w:p>
    <w:p w:rsidR="00765651" w:rsidRPr="00ED4D81" w:rsidRDefault="001C5118" w:rsidP="005D7B68">
      <w:pPr>
        <w:tabs>
          <w:tab w:val="left" w:pos="567"/>
          <w:tab w:val="left" w:pos="1134"/>
          <w:tab w:val="left" w:pos="1701"/>
          <w:tab w:val="left" w:pos="2268"/>
        </w:tabs>
        <w:rPr>
          <w:lang w:val="fr-FR"/>
        </w:rPr>
      </w:pPr>
      <w:r>
        <w:rPr>
          <w:lang w:val="fr-FR"/>
        </w:rPr>
        <w:tab/>
        <w:t>j)</w:t>
      </w:r>
      <w:r>
        <w:rPr>
          <w:lang w:val="fr-FR"/>
        </w:rPr>
        <w:tab/>
      </w:r>
      <w:r w:rsidR="004B2A81">
        <w:rPr>
          <w:lang w:val="fr-FR"/>
        </w:rPr>
        <w:t>L</w:t>
      </w:r>
      <w:r w:rsidR="009C2038">
        <w:rPr>
          <w:lang w:val="fr-FR"/>
        </w:rPr>
        <w:t>es détenus doivent pouvoir</w:t>
      </w:r>
      <w:r w:rsidR="004B2A81">
        <w:rPr>
          <w:lang w:val="fr-FR"/>
        </w:rPr>
        <w:t xml:space="preserve"> se livrer</w:t>
      </w:r>
      <w:r w:rsidR="009C2038">
        <w:rPr>
          <w:lang w:val="fr-FR"/>
        </w:rPr>
        <w:t>, dans les limites du raisonnable,</w:t>
      </w:r>
      <w:r w:rsidR="004B2A81">
        <w:rPr>
          <w:lang w:val="fr-FR"/>
        </w:rPr>
        <w:t xml:space="preserve"> à</w:t>
      </w:r>
      <w:r w:rsidR="00467EA6">
        <w:rPr>
          <w:lang w:val="fr-FR"/>
        </w:rPr>
        <w:t xml:space="preserve"> des pratiques religieuses, spirituelles et culturelles.</w:t>
      </w:r>
    </w:p>
    <w:p w:rsidR="001C5118" w:rsidRDefault="00765651" w:rsidP="005D7B68">
      <w:pPr>
        <w:tabs>
          <w:tab w:val="left" w:pos="567"/>
          <w:tab w:val="left" w:pos="1134"/>
          <w:tab w:val="left" w:pos="1701"/>
          <w:tab w:val="left" w:pos="2268"/>
        </w:tabs>
        <w:rPr>
          <w:lang w:val="fr-FR"/>
        </w:rPr>
      </w:pPr>
      <w:r>
        <w:rPr>
          <w:lang w:val="fr-FR"/>
        </w:rPr>
        <w:t>72.</w:t>
      </w:r>
      <w:r>
        <w:rPr>
          <w:lang w:val="fr-FR"/>
        </w:rPr>
        <w:tab/>
        <w:t>L’article 53 de la loi su</w:t>
      </w:r>
      <w:r w:rsidR="00F90C97">
        <w:rPr>
          <w:lang w:val="fr-FR"/>
        </w:rPr>
        <w:t>r l’administration du S</w:t>
      </w:r>
      <w:r w:rsidR="00E94BDA">
        <w:rPr>
          <w:lang w:val="fr-FR"/>
        </w:rPr>
        <w:t>ervice pénitentiaire prévoit que les personnes placées en détention</w:t>
      </w:r>
      <w:r w:rsidR="00683EC1">
        <w:rPr>
          <w:lang w:val="fr-FR"/>
        </w:rPr>
        <w:t xml:space="preserve"> doivent bénéficier d’un niveau de soins de santé équivalent à celui des autres habitants du territ</w:t>
      </w:r>
      <w:r w:rsidR="00F90C97">
        <w:rPr>
          <w:lang w:val="fr-FR"/>
        </w:rPr>
        <w:t>oire de la capitale fédérale</w:t>
      </w:r>
      <w:r w:rsidR="008D6B80">
        <w:rPr>
          <w:lang w:val="fr-FR"/>
        </w:rPr>
        <w:t xml:space="preserve">. </w:t>
      </w:r>
      <w:r w:rsidR="00683EC1">
        <w:rPr>
          <w:lang w:val="fr-FR"/>
        </w:rPr>
        <w:t>Il conv</w:t>
      </w:r>
      <w:r w:rsidR="00273D44">
        <w:rPr>
          <w:lang w:val="fr-FR"/>
        </w:rPr>
        <w:t>ient de prendre des mesures permettant d’</w:t>
      </w:r>
      <w:r w:rsidR="00683EC1">
        <w:rPr>
          <w:lang w:val="fr-FR"/>
        </w:rPr>
        <w:t>assurer des services sanitaires appropriés pour les détenus</w:t>
      </w:r>
      <w:r w:rsidR="00273D44">
        <w:rPr>
          <w:lang w:val="fr-FR"/>
        </w:rPr>
        <w:t>,</w:t>
      </w:r>
      <w:r w:rsidR="00683EC1">
        <w:rPr>
          <w:lang w:val="fr-FR"/>
        </w:rPr>
        <w:t xml:space="preserve"> et les conditions de détention doivent être favorables à leur santé et à leur bien-être</w:t>
      </w:r>
      <w:r w:rsidR="008D6B80">
        <w:rPr>
          <w:lang w:val="fr-FR"/>
        </w:rPr>
        <w:t xml:space="preserve">. </w:t>
      </w:r>
      <w:r w:rsidR="00683EC1">
        <w:rPr>
          <w:lang w:val="fr-FR"/>
        </w:rPr>
        <w:t>Il faut éviter, dans toute la mesure du possible, qu’ils soient exposés à des risques d’infection</w:t>
      </w:r>
      <w:r w:rsidR="008D6B80">
        <w:rPr>
          <w:lang w:val="fr-FR"/>
        </w:rPr>
        <w:t xml:space="preserve">. </w:t>
      </w:r>
      <w:r w:rsidR="00683EC1">
        <w:rPr>
          <w:lang w:val="fr-FR"/>
        </w:rPr>
        <w:t xml:space="preserve">Ils doivent avoir droit à </w:t>
      </w:r>
      <w:r w:rsidR="006B1110">
        <w:rPr>
          <w:lang w:val="fr-FR"/>
        </w:rPr>
        <w:t>des bilans de santé réguliers,</w:t>
      </w:r>
      <w:r w:rsidR="00683EC1">
        <w:rPr>
          <w:lang w:val="fr-FR"/>
        </w:rPr>
        <w:t xml:space="preserve"> à des </w:t>
      </w:r>
      <w:r w:rsidR="00B850CA">
        <w:rPr>
          <w:lang w:val="fr-FR"/>
        </w:rPr>
        <w:t>soins hospitaliers en cas de nécessité</w:t>
      </w:r>
      <w:r w:rsidR="00683EC1">
        <w:rPr>
          <w:lang w:val="fr-FR"/>
        </w:rPr>
        <w:t>, et à des services sanitaires spécialisés de la part de professionnels de la santé</w:t>
      </w:r>
      <w:r w:rsidR="00483EDB">
        <w:rPr>
          <w:lang w:val="fr-FR"/>
        </w:rPr>
        <w:t>, ainsi qu’à des programmes de soi</w:t>
      </w:r>
      <w:r w:rsidR="00EA2CE8">
        <w:rPr>
          <w:lang w:val="fr-FR"/>
        </w:rPr>
        <w:t>ns de santé nécessaires et de réadaptation</w:t>
      </w:r>
      <w:r w:rsidR="008D6B80">
        <w:rPr>
          <w:lang w:val="fr-FR"/>
        </w:rPr>
        <w:t xml:space="preserve">. </w:t>
      </w:r>
      <w:r w:rsidR="00483EDB">
        <w:rPr>
          <w:lang w:val="fr-FR"/>
        </w:rPr>
        <w:t xml:space="preserve">Conformément </w:t>
      </w:r>
      <w:r w:rsidR="009B78CA">
        <w:rPr>
          <w:lang w:val="fr-FR"/>
        </w:rPr>
        <w:t>à l’ensemble de règles minima pour le traitement des détenus adopté par l’Organisation des Nations Unies</w:t>
      </w:r>
      <w:r w:rsidR="00F90C97">
        <w:rPr>
          <w:lang w:val="fr-FR"/>
        </w:rPr>
        <w:t>,</w:t>
      </w:r>
      <w:r w:rsidR="009B78CA">
        <w:rPr>
          <w:lang w:val="fr-FR"/>
        </w:rPr>
        <w:t xml:space="preserve"> </w:t>
      </w:r>
      <w:r w:rsidR="00DF52DD">
        <w:rPr>
          <w:lang w:val="fr-FR"/>
        </w:rPr>
        <w:t xml:space="preserve">les personnes placées en détention provisoire ont </w:t>
      </w:r>
      <w:r w:rsidR="00E9291D">
        <w:rPr>
          <w:lang w:val="fr-FR"/>
        </w:rPr>
        <w:t>le droit d’</w:t>
      </w:r>
      <w:r w:rsidR="00DF52DD">
        <w:rPr>
          <w:lang w:val="fr-FR"/>
        </w:rPr>
        <w:t>être traité</w:t>
      </w:r>
      <w:r w:rsidR="00F90C97">
        <w:rPr>
          <w:lang w:val="fr-FR"/>
        </w:rPr>
        <w:t>e</w:t>
      </w:r>
      <w:r w:rsidR="00DF52DD">
        <w:rPr>
          <w:lang w:val="fr-FR"/>
        </w:rPr>
        <w:t>s par leur propre médecin.</w:t>
      </w:r>
    </w:p>
    <w:p w:rsidR="00B66628" w:rsidRPr="00765651" w:rsidRDefault="00DF52DD" w:rsidP="005D7B68">
      <w:pPr>
        <w:tabs>
          <w:tab w:val="left" w:pos="567"/>
          <w:tab w:val="left" w:pos="1134"/>
          <w:tab w:val="left" w:pos="1701"/>
          <w:tab w:val="left" w:pos="2268"/>
        </w:tabs>
        <w:rPr>
          <w:lang w:val="fr-FR"/>
        </w:rPr>
      </w:pPr>
      <w:r>
        <w:rPr>
          <w:lang w:val="fr-FR"/>
        </w:rPr>
        <w:t>73.</w:t>
      </w:r>
      <w:r>
        <w:rPr>
          <w:lang w:val="fr-FR"/>
        </w:rPr>
        <w:tab/>
        <w:t>L’article 49</w:t>
      </w:r>
      <w:r w:rsidR="00B66628">
        <w:rPr>
          <w:lang w:val="fr-FR"/>
        </w:rPr>
        <w:t xml:space="preserve"> de la loi</w:t>
      </w:r>
      <w:r w:rsidR="00F90C97">
        <w:rPr>
          <w:lang w:val="fr-FR"/>
        </w:rPr>
        <w:t xml:space="preserve"> sur l’administration du</w:t>
      </w:r>
      <w:r w:rsidR="00B66628">
        <w:rPr>
          <w:lang w:val="fr-FR"/>
        </w:rPr>
        <w:t xml:space="preserve"> service pénite</w:t>
      </w:r>
      <w:r>
        <w:rPr>
          <w:lang w:val="fr-FR"/>
        </w:rPr>
        <w:t xml:space="preserve">ntiaire garantit </w:t>
      </w:r>
      <w:r w:rsidR="00B66628">
        <w:rPr>
          <w:lang w:val="fr-FR"/>
        </w:rPr>
        <w:t xml:space="preserve">la possibilité de recevoir </w:t>
      </w:r>
      <w:r>
        <w:rPr>
          <w:lang w:val="fr-FR"/>
        </w:rPr>
        <w:t>un minimum d</w:t>
      </w:r>
      <w:r w:rsidR="00B66628">
        <w:rPr>
          <w:lang w:val="fr-FR"/>
        </w:rPr>
        <w:t>’une visite hebdomadaire d’au moins 30 minutes d’un membre de la famille</w:t>
      </w:r>
      <w:r w:rsidR="008D6B80">
        <w:rPr>
          <w:lang w:val="fr-FR"/>
        </w:rPr>
        <w:t xml:space="preserve">. </w:t>
      </w:r>
      <w:r w:rsidR="00B66628">
        <w:rPr>
          <w:lang w:val="fr-FR"/>
        </w:rPr>
        <w:t xml:space="preserve">Selon l’article 46 1) de la même loi, des mesures doivent être prises pour que le détenu puisse recevoir d’autres visites </w:t>
      </w:r>
      <w:r w:rsidR="00A619D6">
        <w:rPr>
          <w:lang w:val="fr-FR"/>
        </w:rPr>
        <w:t>«</w:t>
      </w:r>
      <w:r w:rsidR="00B66628">
        <w:rPr>
          <w:lang w:val="fr-FR"/>
        </w:rPr>
        <w:t>adéquates</w:t>
      </w:r>
      <w:r w:rsidR="00A619D6">
        <w:rPr>
          <w:lang w:val="fr-FR"/>
        </w:rPr>
        <w:t>»</w:t>
      </w:r>
      <w:r w:rsidR="00B66628">
        <w:rPr>
          <w:lang w:val="fr-FR"/>
        </w:rPr>
        <w:t xml:space="preserve"> de membres de la famille, d’amis, de membres de l’entourage et d’autres</w:t>
      </w:r>
      <w:r w:rsidR="008D6B80">
        <w:rPr>
          <w:lang w:val="fr-FR"/>
        </w:rPr>
        <w:t xml:space="preserve">. </w:t>
      </w:r>
      <w:r w:rsidR="00B66628">
        <w:rPr>
          <w:lang w:val="fr-FR"/>
        </w:rPr>
        <w:t>L’article 49 4) prévoit que des visites particulières peuvent être limitées si elles sont susceptibles de compromettre la sécurité de l’établissement ou d’être fâcheuses pour une victime ou pour la communauté.</w:t>
      </w:r>
    </w:p>
    <w:p w:rsidR="00966A11" w:rsidRPr="00892EE6" w:rsidRDefault="00B66628" w:rsidP="005D7B68">
      <w:pPr>
        <w:tabs>
          <w:tab w:val="left" w:pos="567"/>
          <w:tab w:val="left" w:pos="1134"/>
          <w:tab w:val="left" w:pos="1701"/>
          <w:tab w:val="left" w:pos="2268"/>
        </w:tabs>
        <w:rPr>
          <w:lang w:val="fr-FR"/>
        </w:rPr>
      </w:pPr>
      <w:r>
        <w:rPr>
          <w:lang w:val="fr-FR"/>
        </w:rPr>
        <w:t>7</w:t>
      </w:r>
      <w:r w:rsidR="00F90C97">
        <w:rPr>
          <w:lang w:val="fr-FR"/>
        </w:rPr>
        <w:t>4.</w:t>
      </w:r>
      <w:r w:rsidR="00F90C97">
        <w:rPr>
          <w:lang w:val="fr-FR"/>
        </w:rPr>
        <w:tab/>
        <w:t>L’article 50 de la loi sur l’administration du S</w:t>
      </w:r>
      <w:r>
        <w:rPr>
          <w:lang w:val="fr-FR"/>
        </w:rPr>
        <w:t>ervice pénitentiaire dispose que les détenus doivent a</w:t>
      </w:r>
      <w:r w:rsidR="00966A11">
        <w:rPr>
          <w:lang w:val="fr-FR"/>
        </w:rPr>
        <w:t>voir la possibilité d’entretenir des contacts téléphoniques ou épist</w:t>
      </w:r>
      <w:r w:rsidR="00F90C97">
        <w:rPr>
          <w:lang w:val="fr-FR"/>
        </w:rPr>
        <w:t>olaires avec leur avocat ou de recevoir</w:t>
      </w:r>
      <w:r w:rsidR="00966A11">
        <w:rPr>
          <w:lang w:val="fr-FR"/>
        </w:rPr>
        <w:t xml:space="preserve"> de</w:t>
      </w:r>
      <w:r w:rsidR="00F90C97">
        <w:rPr>
          <w:lang w:val="fr-FR"/>
        </w:rPr>
        <w:t>s</w:t>
      </w:r>
      <w:r w:rsidR="00966A11">
        <w:rPr>
          <w:lang w:val="fr-FR"/>
        </w:rPr>
        <w:t xml:space="preserve"> visites de ce dernier</w:t>
      </w:r>
      <w:r w:rsidR="008D6B80">
        <w:rPr>
          <w:lang w:val="fr-FR"/>
        </w:rPr>
        <w:t xml:space="preserve">. </w:t>
      </w:r>
      <w:r w:rsidR="00966A11">
        <w:rPr>
          <w:lang w:val="fr-FR"/>
        </w:rPr>
        <w:t>Ces visites peuvent être limitées si l’on a lie</w:t>
      </w:r>
      <w:r w:rsidR="00006134">
        <w:rPr>
          <w:lang w:val="fr-FR"/>
        </w:rPr>
        <w:t>u de soupçonner qu’elles sont susceptibles de</w:t>
      </w:r>
      <w:r w:rsidR="00966A11">
        <w:rPr>
          <w:lang w:val="fr-FR"/>
        </w:rPr>
        <w:t xml:space="preserve"> nuire à la sécurité et au bon ordre de l’établissement ou à la procédure d’instruction des plaintes</w:t>
      </w:r>
      <w:r w:rsidR="008D6B80">
        <w:rPr>
          <w:lang w:val="fr-FR"/>
        </w:rPr>
        <w:t xml:space="preserve">. </w:t>
      </w:r>
      <w:r w:rsidR="00966A11">
        <w:rPr>
          <w:lang w:val="fr-FR"/>
        </w:rPr>
        <w:t xml:space="preserve">Aux termes de l’article 51, il est interdit d’écouter ou d’enregistrer les </w:t>
      </w:r>
      <w:r w:rsidR="00966A11" w:rsidRPr="00892EE6">
        <w:rPr>
          <w:lang w:val="fr-FR"/>
        </w:rPr>
        <w:t>communications entre un avocat et son client.</w:t>
      </w:r>
    </w:p>
    <w:p w:rsidR="00DF52DD" w:rsidRPr="00892EE6" w:rsidRDefault="00966A11" w:rsidP="005D7B68">
      <w:pPr>
        <w:tabs>
          <w:tab w:val="left" w:pos="567"/>
          <w:tab w:val="left" w:pos="1134"/>
          <w:tab w:val="left" w:pos="1701"/>
          <w:tab w:val="left" w:pos="2268"/>
        </w:tabs>
        <w:rPr>
          <w:b/>
          <w:bCs/>
          <w:lang w:val="fr-FR"/>
        </w:rPr>
      </w:pPr>
      <w:r w:rsidRPr="00892EE6">
        <w:rPr>
          <w:b/>
          <w:bCs/>
          <w:lang w:val="fr-FR"/>
        </w:rPr>
        <w:t>Autres dispositions</w:t>
      </w:r>
      <w:r w:rsidR="005B4773" w:rsidRPr="00892EE6">
        <w:rPr>
          <w:b/>
          <w:bCs/>
          <w:lang w:val="fr-FR"/>
        </w:rPr>
        <w:t xml:space="preserve"> – arrestation et</w:t>
      </w:r>
      <w:r w:rsidR="00892EE6" w:rsidRPr="00892EE6">
        <w:rPr>
          <w:b/>
          <w:bCs/>
          <w:lang w:val="fr-FR"/>
        </w:rPr>
        <w:t xml:space="preserve"> garde à vue</w:t>
      </w:r>
    </w:p>
    <w:p w:rsidR="005B4773" w:rsidRPr="00892EE6" w:rsidRDefault="005B4773" w:rsidP="005D7B68">
      <w:pPr>
        <w:tabs>
          <w:tab w:val="left" w:pos="567"/>
          <w:tab w:val="left" w:pos="1134"/>
          <w:tab w:val="left" w:pos="1701"/>
          <w:tab w:val="left" w:pos="2268"/>
        </w:tabs>
        <w:rPr>
          <w:lang w:val="fr-FR"/>
        </w:rPr>
      </w:pPr>
      <w:r>
        <w:rPr>
          <w:lang w:val="fr-FR"/>
        </w:rPr>
        <w:t>75.</w:t>
      </w:r>
      <w:r>
        <w:rPr>
          <w:lang w:val="fr-FR"/>
        </w:rPr>
        <w:tab/>
      </w:r>
      <w:r w:rsidRPr="00892EE6">
        <w:rPr>
          <w:lang w:val="fr-FR"/>
        </w:rPr>
        <w:t xml:space="preserve">La </w:t>
      </w:r>
      <w:r w:rsidR="006D0587" w:rsidRPr="00892EE6">
        <w:rPr>
          <w:lang w:val="fr-FR"/>
        </w:rPr>
        <w:t>loi de 1900 sur les infractions</w:t>
      </w:r>
      <w:r w:rsidR="00F90C97" w:rsidRPr="00892EE6">
        <w:rPr>
          <w:lang w:val="fr-FR"/>
        </w:rPr>
        <w:t xml:space="preserve"> pénales</w:t>
      </w:r>
      <w:r w:rsidRPr="00892EE6">
        <w:rPr>
          <w:i/>
          <w:iCs/>
          <w:lang w:val="fr-FR"/>
        </w:rPr>
        <w:t xml:space="preserve"> </w:t>
      </w:r>
      <w:r w:rsidRPr="00892EE6">
        <w:rPr>
          <w:lang w:val="fr-FR"/>
        </w:rPr>
        <w:t>(Territ</w:t>
      </w:r>
      <w:r w:rsidR="00F90C97" w:rsidRPr="00892EE6">
        <w:rPr>
          <w:lang w:val="fr-FR"/>
        </w:rPr>
        <w:t>oire de la capitale fédérale</w:t>
      </w:r>
      <w:r w:rsidRPr="00892EE6">
        <w:rPr>
          <w:lang w:val="fr-FR"/>
        </w:rPr>
        <w:t>), la</w:t>
      </w:r>
      <w:r w:rsidRPr="00892EE6">
        <w:rPr>
          <w:i/>
          <w:iCs/>
          <w:lang w:val="fr-FR"/>
        </w:rPr>
        <w:t xml:space="preserve"> </w:t>
      </w:r>
      <w:r w:rsidRPr="00892EE6">
        <w:rPr>
          <w:lang w:val="fr-FR"/>
        </w:rPr>
        <w:t xml:space="preserve">loi de 1914 sur les </w:t>
      </w:r>
      <w:r w:rsidR="006D0587" w:rsidRPr="00892EE6">
        <w:rPr>
          <w:lang w:val="fr-FR"/>
        </w:rPr>
        <w:t>infractions</w:t>
      </w:r>
      <w:r w:rsidRPr="00892EE6">
        <w:rPr>
          <w:lang w:val="fr-FR"/>
        </w:rPr>
        <w:t xml:space="preserve"> </w:t>
      </w:r>
      <w:r w:rsidR="00F90C97" w:rsidRPr="00892EE6">
        <w:rPr>
          <w:lang w:val="fr-FR"/>
        </w:rPr>
        <w:t xml:space="preserve">pénales </w:t>
      </w:r>
      <w:r w:rsidRPr="00892EE6">
        <w:rPr>
          <w:lang w:val="fr-FR"/>
        </w:rPr>
        <w:t>(Commonwealth), la loi de 2004 sur les droits de l’homme et la loi de 1995 sur les éléments de preuve</w:t>
      </w:r>
      <w:r w:rsidRPr="00892EE6">
        <w:rPr>
          <w:i/>
          <w:iCs/>
          <w:lang w:val="fr-FR"/>
        </w:rPr>
        <w:t xml:space="preserve"> </w:t>
      </w:r>
      <w:r w:rsidRPr="00892EE6">
        <w:rPr>
          <w:lang w:val="fr-FR"/>
        </w:rPr>
        <w:t xml:space="preserve">(Commonwealth) comportent des dispositions générales concernant l’arrestation et </w:t>
      </w:r>
      <w:r w:rsidR="00BB1015">
        <w:rPr>
          <w:lang w:val="fr-FR"/>
        </w:rPr>
        <w:t>la garde à vue</w:t>
      </w:r>
      <w:r w:rsidRPr="00892EE6">
        <w:rPr>
          <w:lang w:val="fr-FR"/>
        </w:rPr>
        <w:t xml:space="preserve"> d’une personne soupçonnée d’avoir commis une infraction, ainsi que les procédures </w:t>
      </w:r>
      <w:r w:rsidR="005724C1" w:rsidRPr="00892EE6">
        <w:rPr>
          <w:lang w:val="fr-FR"/>
        </w:rPr>
        <w:t>d’instruction connexes</w:t>
      </w:r>
      <w:r w:rsidR="008D6B80">
        <w:rPr>
          <w:lang w:val="fr-FR"/>
        </w:rPr>
        <w:t xml:space="preserve">. </w:t>
      </w:r>
      <w:r w:rsidR="005724C1" w:rsidRPr="00892EE6">
        <w:rPr>
          <w:lang w:val="fr-FR"/>
        </w:rPr>
        <w:t>En font partie celles qui sont relatives à l’obligation de permettre à la personne placée en état d’arrestation de prendre con</w:t>
      </w:r>
      <w:r w:rsidR="00F90C97" w:rsidRPr="00892EE6">
        <w:rPr>
          <w:lang w:val="fr-FR"/>
        </w:rPr>
        <w:t xml:space="preserve">tact avec un </w:t>
      </w:r>
      <w:r w:rsidR="00892EE6" w:rsidRPr="00892EE6">
        <w:rPr>
          <w:lang w:val="fr-FR"/>
        </w:rPr>
        <w:t>conseil</w:t>
      </w:r>
      <w:r w:rsidR="005724C1" w:rsidRPr="00892EE6">
        <w:rPr>
          <w:lang w:val="fr-FR"/>
        </w:rPr>
        <w:t xml:space="preserve"> pour </w:t>
      </w:r>
      <w:r w:rsidR="00E84274">
        <w:rPr>
          <w:lang w:val="fr-FR"/>
        </w:rPr>
        <w:t xml:space="preserve">lui demander de </w:t>
      </w:r>
      <w:r w:rsidR="005724C1" w:rsidRPr="00892EE6">
        <w:rPr>
          <w:lang w:val="fr-FR"/>
        </w:rPr>
        <w:t>venir l’assister au lieu de détention, et un ami ou un parent pour l’info</w:t>
      </w:r>
      <w:r w:rsidR="00DD109C" w:rsidRPr="00892EE6">
        <w:rPr>
          <w:lang w:val="fr-FR"/>
        </w:rPr>
        <w:t>rmer du lieu où elle se trouve (</w:t>
      </w:r>
      <w:r w:rsidR="005724C1" w:rsidRPr="00892EE6">
        <w:rPr>
          <w:lang w:val="fr-FR"/>
        </w:rPr>
        <w:t xml:space="preserve">art. 23G de la loi de 1914 sur les </w:t>
      </w:r>
      <w:r w:rsidR="006D0587" w:rsidRPr="00892EE6">
        <w:rPr>
          <w:lang w:val="fr-FR"/>
        </w:rPr>
        <w:t>infractions</w:t>
      </w:r>
      <w:r w:rsidR="00F90C97" w:rsidRPr="00892EE6">
        <w:rPr>
          <w:lang w:val="fr-FR"/>
        </w:rPr>
        <w:t xml:space="preserve"> pénales</w:t>
      </w:r>
      <w:r w:rsidR="00572260">
        <w:rPr>
          <w:lang w:val="fr-FR"/>
        </w:rPr>
        <w:t xml:space="preserve"> </w:t>
      </w:r>
      <w:r w:rsidR="00DD109C" w:rsidRPr="00892EE6">
        <w:rPr>
          <w:lang w:val="fr-FR"/>
        </w:rPr>
        <w:t>(Commonwealth)).</w:t>
      </w:r>
    </w:p>
    <w:p w:rsidR="009A7121" w:rsidRPr="009A7121" w:rsidRDefault="005724C1" w:rsidP="005D7B68">
      <w:pPr>
        <w:tabs>
          <w:tab w:val="left" w:pos="567"/>
          <w:tab w:val="left" w:pos="1134"/>
          <w:tab w:val="left" w:pos="1701"/>
          <w:tab w:val="left" w:pos="2268"/>
        </w:tabs>
        <w:rPr>
          <w:lang w:val="fr-FR"/>
        </w:rPr>
      </w:pPr>
      <w:r>
        <w:rPr>
          <w:lang w:val="fr-FR"/>
        </w:rPr>
        <w:t>76.</w:t>
      </w:r>
      <w:r>
        <w:rPr>
          <w:lang w:val="fr-FR"/>
        </w:rPr>
        <w:tab/>
        <w:t xml:space="preserve">Le Comité peut souhaiter se reporter </w:t>
      </w:r>
      <w:r w:rsidR="00B1253E">
        <w:rPr>
          <w:lang w:val="fr-FR"/>
        </w:rPr>
        <w:t>au</w:t>
      </w:r>
      <w:r>
        <w:rPr>
          <w:lang w:val="fr-FR"/>
        </w:rPr>
        <w:t xml:space="preserve"> </w:t>
      </w:r>
      <w:r w:rsidRPr="009A7121">
        <w:rPr>
          <w:i/>
          <w:iCs/>
          <w:lang w:val="fr-FR"/>
        </w:rPr>
        <w:t>Review of ACT Policing’s Watchhouse</w:t>
      </w:r>
      <w:r w:rsidR="00B1253E">
        <w:rPr>
          <w:i/>
          <w:iCs/>
          <w:lang w:val="fr-FR"/>
        </w:rPr>
        <w:t xml:space="preserve"> O</w:t>
      </w:r>
      <w:r w:rsidR="009A7121" w:rsidRPr="009A7121">
        <w:rPr>
          <w:i/>
          <w:iCs/>
          <w:lang w:val="fr-FR"/>
        </w:rPr>
        <w:t>perations</w:t>
      </w:r>
      <w:r w:rsidR="00D241C4">
        <w:rPr>
          <w:i/>
          <w:iCs/>
          <w:lang w:val="fr-FR"/>
        </w:rPr>
        <w:t xml:space="preserve"> </w:t>
      </w:r>
      <w:r w:rsidR="00D241C4">
        <w:rPr>
          <w:lang w:val="fr-FR"/>
        </w:rPr>
        <w:t>(Compte rendu des opérations de garde à vue sur le Territoire de la capitale fédérale)</w:t>
      </w:r>
      <w:r w:rsidR="009A7121">
        <w:rPr>
          <w:lang w:val="fr-FR"/>
        </w:rPr>
        <w:t xml:space="preserve">, rapport commun de la </w:t>
      </w:r>
      <w:r w:rsidR="00BB1015">
        <w:rPr>
          <w:lang w:val="fr-FR"/>
        </w:rPr>
        <w:t>p</w:t>
      </w:r>
      <w:r w:rsidR="00397763">
        <w:rPr>
          <w:lang w:val="fr-FR"/>
        </w:rPr>
        <w:t>olice fédérale australienne</w:t>
      </w:r>
      <w:r w:rsidR="009A7121">
        <w:rPr>
          <w:lang w:val="fr-FR"/>
        </w:rPr>
        <w:t xml:space="preserve"> et du Médiateur du Commonwealth</w:t>
      </w:r>
      <w:r w:rsidR="00BB1015">
        <w:rPr>
          <w:lang w:val="fr-FR"/>
        </w:rPr>
        <w:t xml:space="preserve"> (2007)</w:t>
      </w:r>
      <w:r w:rsidR="009A7121">
        <w:rPr>
          <w:lang w:val="fr-FR"/>
        </w:rPr>
        <w:t>.</w:t>
      </w:r>
    </w:p>
    <w:p w:rsidR="005B4773" w:rsidRDefault="00B1253E" w:rsidP="005D7B68">
      <w:pPr>
        <w:tabs>
          <w:tab w:val="left" w:pos="567"/>
          <w:tab w:val="left" w:pos="1134"/>
          <w:tab w:val="left" w:pos="1701"/>
          <w:tab w:val="left" w:pos="2268"/>
        </w:tabs>
        <w:rPr>
          <w:b/>
          <w:bCs/>
          <w:lang w:val="fr-FR"/>
        </w:rPr>
      </w:pPr>
      <w:r>
        <w:rPr>
          <w:b/>
          <w:bCs/>
          <w:lang w:val="fr-FR"/>
        </w:rPr>
        <w:t>Personnes placées en détention</w:t>
      </w:r>
      <w:r w:rsidR="00F618A9">
        <w:rPr>
          <w:b/>
          <w:bCs/>
          <w:lang w:val="fr-FR"/>
        </w:rPr>
        <w:t xml:space="preserve"> pour infractions liées au terrorisme</w:t>
      </w:r>
    </w:p>
    <w:p w:rsidR="00F618A9" w:rsidRPr="00F618A9" w:rsidRDefault="00F618A9" w:rsidP="005D7B68">
      <w:pPr>
        <w:tabs>
          <w:tab w:val="left" w:pos="567"/>
          <w:tab w:val="left" w:pos="1134"/>
          <w:tab w:val="left" w:pos="1701"/>
          <w:tab w:val="left" w:pos="2268"/>
        </w:tabs>
        <w:rPr>
          <w:lang w:val="fr-FR"/>
        </w:rPr>
      </w:pPr>
      <w:r>
        <w:rPr>
          <w:lang w:val="fr-FR"/>
        </w:rPr>
        <w:t>77.</w:t>
      </w:r>
      <w:r>
        <w:rPr>
          <w:lang w:val="fr-FR"/>
        </w:rPr>
        <w:tab/>
        <w:t>Pour ce qui est des informations concernant les garanties figurant dans la législation relative au contre-terrorisme, prière de voir la réponse à la question 5.</w:t>
      </w:r>
    </w:p>
    <w:p w:rsidR="00F618A9" w:rsidRDefault="00F618A9" w:rsidP="005D7B68">
      <w:pPr>
        <w:tabs>
          <w:tab w:val="left" w:pos="567"/>
          <w:tab w:val="left" w:pos="1134"/>
          <w:tab w:val="left" w:pos="1701"/>
          <w:tab w:val="left" w:pos="2268"/>
        </w:tabs>
        <w:rPr>
          <w:b/>
          <w:bCs/>
          <w:lang w:val="fr-FR"/>
        </w:rPr>
      </w:pPr>
      <w:r>
        <w:rPr>
          <w:b/>
          <w:bCs/>
          <w:lang w:val="fr-FR"/>
        </w:rPr>
        <w:t>Territoire du Nord</w:t>
      </w:r>
    </w:p>
    <w:p w:rsidR="00625EA2" w:rsidRDefault="00F618A9" w:rsidP="005D7B68">
      <w:pPr>
        <w:tabs>
          <w:tab w:val="left" w:pos="567"/>
          <w:tab w:val="left" w:pos="1134"/>
          <w:tab w:val="left" w:pos="1701"/>
          <w:tab w:val="left" w:pos="2268"/>
        </w:tabs>
        <w:rPr>
          <w:lang w:val="fr-FR"/>
        </w:rPr>
      </w:pPr>
      <w:r>
        <w:rPr>
          <w:lang w:val="fr-FR"/>
        </w:rPr>
        <w:t>78.</w:t>
      </w:r>
      <w:r>
        <w:rPr>
          <w:lang w:val="fr-FR"/>
        </w:rPr>
        <w:tab/>
        <w:t xml:space="preserve">Le </w:t>
      </w:r>
      <w:r>
        <w:rPr>
          <w:i/>
          <w:iCs/>
          <w:lang w:val="fr-FR"/>
        </w:rPr>
        <w:t xml:space="preserve">common law </w:t>
      </w:r>
      <w:r>
        <w:rPr>
          <w:lang w:val="fr-FR"/>
        </w:rPr>
        <w:t>applicable est fortement dissuasif</w:t>
      </w:r>
      <w:r w:rsidR="00603A2A">
        <w:rPr>
          <w:lang w:val="fr-FR"/>
        </w:rPr>
        <w:t>,</w:t>
      </w:r>
      <w:r>
        <w:rPr>
          <w:lang w:val="fr-FR"/>
        </w:rPr>
        <w:t xml:space="preserve"> s’agissant de refuser l’accès à un </w:t>
      </w:r>
      <w:r w:rsidR="00CC7BF3">
        <w:rPr>
          <w:lang w:val="fr-FR"/>
        </w:rPr>
        <w:t>avocat</w:t>
      </w:r>
      <w:r w:rsidR="00603A2A">
        <w:rPr>
          <w:lang w:val="fr-FR"/>
        </w:rPr>
        <w:t>,</w:t>
      </w:r>
      <w:r w:rsidR="00CC7BF3">
        <w:rPr>
          <w:lang w:val="fr-FR"/>
        </w:rPr>
        <w:t xml:space="preserve"> parce que la recevabilité</w:t>
      </w:r>
      <w:r>
        <w:rPr>
          <w:lang w:val="fr-FR"/>
        </w:rPr>
        <w:t xml:space="preserve"> en tant qu’éléments de preuve d’aveux ou de déclarations faits par des personnes placées en garde à vue peut être compromise dans ces circonstances</w:t>
      </w:r>
      <w:r w:rsidR="008D6B80">
        <w:rPr>
          <w:lang w:val="fr-FR"/>
        </w:rPr>
        <w:t xml:space="preserve">. </w:t>
      </w:r>
      <w:r>
        <w:rPr>
          <w:lang w:val="fr-FR"/>
        </w:rPr>
        <w:t xml:space="preserve">Prière de voir l’affaire </w:t>
      </w:r>
      <w:r>
        <w:rPr>
          <w:i/>
          <w:iCs/>
          <w:lang w:val="fr-FR"/>
        </w:rPr>
        <w:t>Driscoll</w:t>
      </w:r>
      <w:r>
        <w:rPr>
          <w:lang w:val="fr-FR"/>
        </w:rPr>
        <w:t xml:space="preserve"> </w:t>
      </w:r>
      <w:r w:rsidR="00B1253E">
        <w:rPr>
          <w:lang w:val="fr-FR"/>
        </w:rPr>
        <w:t>c</w:t>
      </w:r>
      <w:r w:rsidR="00B1253E">
        <w:rPr>
          <w:i/>
          <w:iCs/>
          <w:lang w:val="fr-FR"/>
        </w:rPr>
        <w:t>.</w:t>
      </w:r>
      <w:r w:rsidRPr="00B1253E">
        <w:rPr>
          <w:i/>
          <w:iCs/>
          <w:lang w:val="fr-FR"/>
        </w:rPr>
        <w:t xml:space="preserve"> R</w:t>
      </w:r>
      <w:r>
        <w:rPr>
          <w:lang w:val="fr-FR"/>
        </w:rPr>
        <w:t xml:space="preserve"> (1977) 137 CLR 517, dans laquelle la </w:t>
      </w:r>
      <w:r w:rsidR="008725C1" w:rsidRPr="00B1253E">
        <w:rPr>
          <w:lang w:val="fr-FR"/>
        </w:rPr>
        <w:t>Haute Cour</w:t>
      </w:r>
      <w:r>
        <w:rPr>
          <w:lang w:val="fr-FR"/>
        </w:rPr>
        <w:t xml:space="preserve"> </w:t>
      </w:r>
      <w:r w:rsidR="00583646">
        <w:rPr>
          <w:lang w:val="fr-FR"/>
        </w:rPr>
        <w:t>a jugé que si d</w:t>
      </w:r>
      <w:r w:rsidR="00983D88">
        <w:rPr>
          <w:lang w:val="fr-FR"/>
        </w:rPr>
        <w:t>es fonctionnaires de police empêchaient un suspect de voir son avocat</w:t>
      </w:r>
      <w:r w:rsidR="00583646">
        <w:rPr>
          <w:lang w:val="fr-FR"/>
        </w:rPr>
        <w:t xml:space="preserve"> (ce qui est jugé être un acte </w:t>
      </w:r>
      <w:r w:rsidR="00A619D6">
        <w:rPr>
          <w:lang w:val="fr-FR"/>
        </w:rPr>
        <w:t>«</w:t>
      </w:r>
      <w:r w:rsidR="00583646">
        <w:rPr>
          <w:lang w:val="fr-FR"/>
        </w:rPr>
        <w:t>répréhensible</w:t>
      </w:r>
      <w:r w:rsidR="00A619D6">
        <w:rPr>
          <w:lang w:val="fr-FR"/>
        </w:rPr>
        <w:t>»</w:t>
      </w:r>
      <w:r w:rsidR="00583646">
        <w:rPr>
          <w:lang w:val="fr-FR"/>
        </w:rPr>
        <w:t xml:space="preserve"> par le tribunal selon Barwick CJ, p. 521)</w:t>
      </w:r>
      <w:r w:rsidR="00983D88">
        <w:rPr>
          <w:lang w:val="fr-FR"/>
        </w:rPr>
        <w:t xml:space="preserve">, il était difficile d’affirmer que </w:t>
      </w:r>
      <w:r w:rsidR="00983D88" w:rsidRPr="00892EE6">
        <w:rPr>
          <w:lang w:val="fr-FR"/>
        </w:rPr>
        <w:t>des aveux censémen</w:t>
      </w:r>
      <w:r w:rsidR="00892EE6" w:rsidRPr="00892EE6">
        <w:rPr>
          <w:lang w:val="fr-FR"/>
        </w:rPr>
        <w:t>t</w:t>
      </w:r>
      <w:r w:rsidR="008725FC">
        <w:rPr>
          <w:lang w:val="fr-FR"/>
        </w:rPr>
        <w:t xml:space="preserve"> faits</w:t>
      </w:r>
      <w:r w:rsidR="00892EE6" w:rsidRPr="00892EE6">
        <w:rPr>
          <w:lang w:val="fr-FR"/>
        </w:rPr>
        <w:t xml:space="preserve"> étaient réels</w:t>
      </w:r>
      <w:r w:rsidR="00BD69BA">
        <w:rPr>
          <w:lang w:val="fr-FR"/>
        </w:rPr>
        <w:t>,</w:t>
      </w:r>
      <w:r w:rsidR="00983D88">
        <w:rPr>
          <w:color w:val="0000FF"/>
          <w:lang w:val="fr-FR"/>
        </w:rPr>
        <w:t xml:space="preserve"> </w:t>
      </w:r>
      <w:r w:rsidR="00583646">
        <w:rPr>
          <w:lang w:val="fr-FR"/>
        </w:rPr>
        <w:t>et que</w:t>
      </w:r>
      <w:r w:rsidR="00922C8B">
        <w:rPr>
          <w:lang w:val="fr-FR"/>
        </w:rPr>
        <w:t xml:space="preserve"> le tribunal était en mesure </w:t>
      </w:r>
      <w:r w:rsidR="00922C8B" w:rsidRPr="00892EE6">
        <w:rPr>
          <w:lang w:val="fr-FR"/>
        </w:rPr>
        <w:t xml:space="preserve">de ne pas </w:t>
      </w:r>
      <w:r w:rsidR="00892EE6">
        <w:rPr>
          <w:lang w:val="fr-FR"/>
        </w:rPr>
        <w:t>les recevoir</w:t>
      </w:r>
      <w:r w:rsidR="008D6B80">
        <w:rPr>
          <w:lang w:val="fr-FR"/>
        </w:rPr>
        <w:t xml:space="preserve">. </w:t>
      </w:r>
      <w:r w:rsidR="00892EE6" w:rsidRPr="00892EE6">
        <w:rPr>
          <w:lang w:val="fr-FR"/>
        </w:rPr>
        <w:t>Pour des rejets sur ce fondement</w:t>
      </w:r>
      <w:r w:rsidR="00922C8B" w:rsidRPr="00892EE6">
        <w:rPr>
          <w:lang w:val="fr-FR"/>
        </w:rPr>
        <w:t>, voir, par</w:t>
      </w:r>
      <w:r w:rsidR="00922C8B">
        <w:rPr>
          <w:lang w:val="fr-FR"/>
        </w:rPr>
        <w:t xml:space="preserve"> exemple, </w:t>
      </w:r>
      <w:r w:rsidR="00922C8B">
        <w:rPr>
          <w:i/>
          <w:iCs/>
          <w:lang w:val="fr-FR"/>
        </w:rPr>
        <w:t xml:space="preserve">R </w:t>
      </w:r>
      <w:r w:rsidR="00B1253E">
        <w:rPr>
          <w:lang w:val="fr-FR"/>
        </w:rPr>
        <w:t>c.</w:t>
      </w:r>
      <w:r w:rsidR="00922C8B">
        <w:rPr>
          <w:i/>
          <w:iCs/>
          <w:lang w:val="fr-FR"/>
        </w:rPr>
        <w:t xml:space="preserve"> Allen </w:t>
      </w:r>
      <w:r w:rsidR="00583646">
        <w:rPr>
          <w:lang w:val="fr-FR"/>
        </w:rPr>
        <w:t>(1977)</w:t>
      </w:r>
      <w:r w:rsidR="00922C8B" w:rsidRPr="00922C8B">
        <w:rPr>
          <w:lang w:val="fr-FR"/>
        </w:rPr>
        <w:t xml:space="preserve"> Crim LR 163</w:t>
      </w:r>
      <w:r w:rsidR="00572260">
        <w:rPr>
          <w:lang w:val="fr-FR"/>
        </w:rPr>
        <w:t xml:space="preserve">; </w:t>
      </w:r>
      <w:r w:rsidR="00922C8B">
        <w:rPr>
          <w:i/>
          <w:iCs/>
          <w:lang w:val="fr-FR"/>
        </w:rPr>
        <w:t xml:space="preserve">R </w:t>
      </w:r>
      <w:r w:rsidR="00B1253E">
        <w:rPr>
          <w:lang w:val="fr-FR"/>
        </w:rPr>
        <w:t>c.</w:t>
      </w:r>
      <w:r w:rsidR="00922C8B">
        <w:rPr>
          <w:i/>
          <w:iCs/>
          <w:lang w:val="fr-FR"/>
        </w:rPr>
        <w:t xml:space="preserve"> White</w:t>
      </w:r>
      <w:r w:rsidR="00922C8B">
        <w:rPr>
          <w:lang w:val="fr-FR"/>
        </w:rPr>
        <w:t xml:space="preserve"> (1976) 13 SASR 276</w:t>
      </w:r>
      <w:r w:rsidR="00572260">
        <w:rPr>
          <w:lang w:val="fr-FR"/>
        </w:rPr>
        <w:t>;</w:t>
      </w:r>
      <w:r w:rsidR="00922C8B">
        <w:rPr>
          <w:lang w:val="fr-FR"/>
        </w:rPr>
        <w:t xml:space="preserve"> </w:t>
      </w:r>
      <w:r w:rsidR="00922C8B">
        <w:rPr>
          <w:i/>
          <w:iCs/>
          <w:lang w:val="fr-FR"/>
        </w:rPr>
        <w:t>R</w:t>
      </w:r>
      <w:r w:rsidR="00B1253E">
        <w:rPr>
          <w:lang w:val="fr-FR"/>
        </w:rPr>
        <w:t xml:space="preserve"> c.</w:t>
      </w:r>
      <w:r w:rsidR="00922C8B">
        <w:rPr>
          <w:lang w:val="fr-FR"/>
        </w:rPr>
        <w:t xml:space="preserve"> </w:t>
      </w:r>
      <w:r w:rsidR="00922C8B">
        <w:rPr>
          <w:i/>
          <w:iCs/>
          <w:lang w:val="fr-FR"/>
        </w:rPr>
        <w:t xml:space="preserve">Hart </w:t>
      </w:r>
      <w:r w:rsidR="00583646">
        <w:rPr>
          <w:lang w:val="fr-FR"/>
        </w:rPr>
        <w:t>(1979)</w:t>
      </w:r>
      <w:r w:rsidR="00922C8B">
        <w:rPr>
          <w:lang w:val="fr-FR"/>
        </w:rPr>
        <w:t xml:space="preserve"> Qd R 8</w:t>
      </w:r>
      <w:r w:rsidR="00572260">
        <w:rPr>
          <w:lang w:val="fr-FR"/>
        </w:rPr>
        <w:t>;</w:t>
      </w:r>
      <w:r w:rsidR="00625EA2">
        <w:rPr>
          <w:lang w:val="fr-FR"/>
        </w:rPr>
        <w:t xml:space="preserve"> cf </w:t>
      </w:r>
      <w:r w:rsidR="00625EA2">
        <w:rPr>
          <w:i/>
          <w:iCs/>
          <w:lang w:val="fr-FR"/>
        </w:rPr>
        <w:t xml:space="preserve">MD (un enfant) </w:t>
      </w:r>
      <w:r w:rsidR="00B1253E">
        <w:rPr>
          <w:lang w:val="fr-FR"/>
        </w:rPr>
        <w:t>c.</w:t>
      </w:r>
      <w:r w:rsidR="00625EA2">
        <w:rPr>
          <w:lang w:val="fr-FR"/>
        </w:rPr>
        <w:t xml:space="preserve"> </w:t>
      </w:r>
      <w:r w:rsidR="00625EA2">
        <w:rPr>
          <w:i/>
          <w:iCs/>
          <w:lang w:val="fr-FR"/>
        </w:rPr>
        <w:t xml:space="preserve">McKinley </w:t>
      </w:r>
      <w:r w:rsidR="00625EA2">
        <w:rPr>
          <w:lang w:val="fr-FR"/>
        </w:rPr>
        <w:t>(1984) 31 NTR 1</w:t>
      </w:r>
      <w:r w:rsidR="008D6B80">
        <w:rPr>
          <w:lang w:val="fr-FR"/>
        </w:rPr>
        <w:t xml:space="preserve">. </w:t>
      </w:r>
      <w:r w:rsidR="00625EA2">
        <w:rPr>
          <w:lang w:val="fr-FR"/>
        </w:rPr>
        <w:t>Cela est conforme à la pratique de la police, qui reconnaît que, si l’intéressé le demande, il faut lui permettre d’avoir accès son avocat dans la mesure du possible, ce qui est le cas dans le territoire du Nord.</w:t>
      </w:r>
    </w:p>
    <w:p w:rsidR="003450A5" w:rsidRPr="00922C8B" w:rsidRDefault="00625EA2" w:rsidP="005D7B68">
      <w:pPr>
        <w:tabs>
          <w:tab w:val="left" w:pos="567"/>
          <w:tab w:val="left" w:pos="1134"/>
          <w:tab w:val="left" w:pos="1701"/>
          <w:tab w:val="left" w:pos="2268"/>
        </w:tabs>
        <w:rPr>
          <w:i/>
          <w:iCs/>
          <w:lang w:val="fr-FR"/>
        </w:rPr>
      </w:pPr>
      <w:r>
        <w:rPr>
          <w:lang w:val="fr-FR"/>
        </w:rPr>
        <w:t>7</w:t>
      </w:r>
      <w:r w:rsidR="00B403CE">
        <w:rPr>
          <w:lang w:val="fr-FR"/>
        </w:rPr>
        <w:t>9.</w:t>
      </w:r>
      <w:r w:rsidR="00B403CE">
        <w:rPr>
          <w:lang w:val="fr-FR"/>
        </w:rPr>
        <w:tab/>
        <w:t>La jurisprudence de la Cour s</w:t>
      </w:r>
      <w:r>
        <w:rPr>
          <w:lang w:val="fr-FR"/>
        </w:rPr>
        <w:t>uprême du Territoire du Nord (</w:t>
      </w:r>
      <w:r>
        <w:rPr>
          <w:i/>
          <w:iCs/>
          <w:lang w:val="fr-FR"/>
        </w:rPr>
        <w:t xml:space="preserve">R </w:t>
      </w:r>
      <w:r w:rsidR="00B403CE">
        <w:rPr>
          <w:lang w:val="fr-FR"/>
        </w:rPr>
        <w:t>c.</w:t>
      </w:r>
      <w:r>
        <w:rPr>
          <w:lang w:val="fr-FR"/>
        </w:rPr>
        <w:t xml:space="preserve"> </w:t>
      </w:r>
      <w:r>
        <w:rPr>
          <w:i/>
          <w:iCs/>
          <w:lang w:val="fr-FR"/>
        </w:rPr>
        <w:t>Anunga</w:t>
      </w:r>
      <w:r>
        <w:rPr>
          <w:lang w:val="fr-FR"/>
        </w:rPr>
        <w:t xml:space="preserve"> (1976) 11 ALR 412) a permis d’établir</w:t>
      </w:r>
      <w:r w:rsidR="00090C29">
        <w:rPr>
          <w:lang w:val="fr-FR"/>
        </w:rPr>
        <w:t>, à l’intention de la police,</w:t>
      </w:r>
      <w:r>
        <w:rPr>
          <w:lang w:val="fr-FR"/>
        </w:rPr>
        <w:t xml:space="preserve"> des principes directeurs, dénommés </w:t>
      </w:r>
      <w:r w:rsidR="00A619D6">
        <w:rPr>
          <w:lang w:val="fr-FR"/>
        </w:rPr>
        <w:t>«</w:t>
      </w:r>
      <w:r>
        <w:rPr>
          <w:lang w:val="fr-FR"/>
        </w:rPr>
        <w:t>Anunga Rules</w:t>
      </w:r>
      <w:r w:rsidR="00A619D6">
        <w:rPr>
          <w:lang w:val="fr-FR"/>
        </w:rPr>
        <w:t>»</w:t>
      </w:r>
      <w:r>
        <w:rPr>
          <w:lang w:val="fr-FR"/>
        </w:rPr>
        <w:t xml:space="preserve"> (</w:t>
      </w:r>
      <w:r w:rsidR="00A619D6">
        <w:rPr>
          <w:lang w:val="fr-FR"/>
        </w:rPr>
        <w:t>«</w:t>
      </w:r>
      <w:r>
        <w:rPr>
          <w:lang w:val="fr-FR"/>
        </w:rPr>
        <w:t>Règles d’Anunga</w:t>
      </w:r>
      <w:r w:rsidR="00A619D6">
        <w:rPr>
          <w:lang w:val="fr-FR"/>
        </w:rPr>
        <w:t>»</w:t>
      </w:r>
      <w:r>
        <w:rPr>
          <w:lang w:val="fr-FR"/>
        </w:rPr>
        <w:t>)</w:t>
      </w:r>
      <w:r>
        <w:rPr>
          <w:rStyle w:val="FootnoteReference"/>
          <w:lang w:val="fr-FR"/>
        </w:rPr>
        <w:footnoteReference w:id="2"/>
      </w:r>
      <w:r w:rsidR="001C60FF">
        <w:rPr>
          <w:lang w:val="fr-FR"/>
        </w:rPr>
        <w:t>, pour</w:t>
      </w:r>
      <w:r w:rsidR="00090C29">
        <w:rPr>
          <w:lang w:val="fr-FR"/>
        </w:rPr>
        <w:t xml:space="preserve"> les interrogatoires des suspects aborigènes. (La Cour a également noté que beaucoup d’entre eux s’appliqueraient aussi aux migra</w:t>
      </w:r>
      <w:r w:rsidR="00D66B0C">
        <w:rPr>
          <w:lang w:val="fr-FR"/>
        </w:rPr>
        <w:t>nts ou à d’autres personnes don</w:t>
      </w:r>
      <w:r w:rsidR="00090C29">
        <w:rPr>
          <w:lang w:val="fr-FR"/>
        </w:rPr>
        <w:t>t l’anglais n’est pas la première langue)</w:t>
      </w:r>
      <w:r w:rsidR="008D6B80">
        <w:rPr>
          <w:lang w:val="fr-FR"/>
        </w:rPr>
        <w:t xml:space="preserve">. </w:t>
      </w:r>
      <w:r w:rsidR="00090C29">
        <w:rPr>
          <w:lang w:val="fr-FR"/>
        </w:rPr>
        <w:t xml:space="preserve">Bien qu’il ne s’agisse pas de règles absolues, </w:t>
      </w:r>
      <w:r w:rsidR="00892EE6" w:rsidRPr="00892EE6">
        <w:rPr>
          <w:lang w:val="fr-FR"/>
        </w:rPr>
        <w:t>leur non-respect peut conduire à ce que les déclarations des personnes questionnées soient écartées</w:t>
      </w:r>
      <w:r w:rsidR="008D6B80">
        <w:rPr>
          <w:color w:val="0000FF"/>
          <w:lang w:val="fr-FR"/>
        </w:rPr>
        <w:t xml:space="preserve">. </w:t>
      </w:r>
      <w:r w:rsidR="00090C29">
        <w:rPr>
          <w:lang w:val="fr-FR"/>
        </w:rPr>
        <w:t xml:space="preserve">Les </w:t>
      </w:r>
      <w:r w:rsidR="00090C29" w:rsidRPr="00090C29">
        <w:rPr>
          <w:i/>
          <w:iCs/>
          <w:lang w:val="fr-FR"/>
        </w:rPr>
        <w:t>Anunga Rules</w:t>
      </w:r>
      <w:r w:rsidR="00090C29">
        <w:rPr>
          <w:lang w:val="fr-FR"/>
        </w:rPr>
        <w:t xml:space="preserve"> figurent dans les </w:t>
      </w:r>
      <w:r w:rsidR="00090C29" w:rsidRPr="00090C29">
        <w:rPr>
          <w:i/>
          <w:iCs/>
          <w:lang w:val="fr-FR"/>
        </w:rPr>
        <w:t>Police Commissioner’s General Orders</w:t>
      </w:r>
      <w:r w:rsidR="00D66B0C">
        <w:rPr>
          <w:i/>
          <w:iCs/>
          <w:lang w:val="fr-FR"/>
        </w:rPr>
        <w:t xml:space="preserve"> </w:t>
      </w:r>
      <w:r w:rsidR="00D66B0C">
        <w:rPr>
          <w:lang w:val="fr-FR"/>
        </w:rPr>
        <w:t>(instructions générales de la police),</w:t>
      </w:r>
      <w:r w:rsidR="00090C29">
        <w:rPr>
          <w:i/>
          <w:iCs/>
          <w:lang w:val="fr-FR"/>
        </w:rPr>
        <w:t xml:space="preserve"> </w:t>
      </w:r>
      <w:r w:rsidR="00090C29">
        <w:rPr>
          <w:lang w:val="fr-FR"/>
        </w:rPr>
        <w:t xml:space="preserve">conformément à l’article 14A de la </w:t>
      </w:r>
      <w:r w:rsidR="00090C29" w:rsidRPr="00D66B0C">
        <w:rPr>
          <w:lang w:val="fr-FR"/>
        </w:rPr>
        <w:t>loi sur l’administration de la police</w:t>
      </w:r>
      <w:r w:rsidRPr="00D66B0C">
        <w:rPr>
          <w:color w:val="0000FF"/>
          <w:lang w:val="fr-FR"/>
        </w:rPr>
        <w:t xml:space="preserve"> </w:t>
      </w:r>
      <w:r w:rsidR="003450A5" w:rsidRPr="00D66B0C">
        <w:rPr>
          <w:lang w:val="fr-FR"/>
        </w:rPr>
        <w:t>(Territoire du Nord)</w:t>
      </w:r>
      <w:r w:rsidR="008D6B80">
        <w:rPr>
          <w:lang w:val="fr-FR"/>
        </w:rPr>
        <w:t xml:space="preserve">. </w:t>
      </w:r>
    </w:p>
    <w:p w:rsidR="003450A5" w:rsidRPr="003450A5" w:rsidRDefault="003450A5" w:rsidP="005D7B68">
      <w:pPr>
        <w:tabs>
          <w:tab w:val="left" w:pos="567"/>
          <w:tab w:val="left" w:pos="1134"/>
          <w:tab w:val="left" w:pos="1701"/>
          <w:tab w:val="left" w:pos="2268"/>
        </w:tabs>
        <w:rPr>
          <w:lang w:val="fr-FR"/>
        </w:rPr>
      </w:pPr>
      <w:r>
        <w:rPr>
          <w:lang w:val="fr-FR"/>
        </w:rPr>
        <w:t>80.</w:t>
      </w:r>
      <w:r>
        <w:rPr>
          <w:lang w:val="fr-FR"/>
        </w:rPr>
        <w:tab/>
        <w:t xml:space="preserve">En plus du </w:t>
      </w:r>
      <w:r w:rsidRPr="003450A5">
        <w:rPr>
          <w:i/>
          <w:iCs/>
          <w:lang w:val="fr-FR"/>
        </w:rPr>
        <w:t>common</w:t>
      </w:r>
      <w:r>
        <w:rPr>
          <w:i/>
          <w:iCs/>
          <w:lang w:val="fr-FR"/>
        </w:rPr>
        <w:t xml:space="preserve"> law</w:t>
      </w:r>
      <w:r>
        <w:rPr>
          <w:lang w:val="fr-FR"/>
        </w:rPr>
        <w:t>, la législation du Territoire du No</w:t>
      </w:r>
      <w:r w:rsidR="008E1139">
        <w:rPr>
          <w:lang w:val="fr-FR"/>
        </w:rPr>
        <w:t>rd comporte les dispositions ci</w:t>
      </w:r>
      <w:r w:rsidR="008E1139">
        <w:rPr>
          <w:lang w:val="fr-FR"/>
        </w:rPr>
        <w:noBreakHyphen/>
      </w:r>
      <w:r>
        <w:rPr>
          <w:lang w:val="fr-FR"/>
        </w:rPr>
        <w:t>après</w:t>
      </w:r>
      <w:r w:rsidR="00572260">
        <w:rPr>
          <w:lang w:val="fr-FR"/>
        </w:rPr>
        <w:t>:</w:t>
      </w:r>
    </w:p>
    <w:p w:rsidR="00F618A9" w:rsidRDefault="003450A5" w:rsidP="00E0029F">
      <w:pPr>
        <w:numPr>
          <w:ilvl w:val="0"/>
          <w:numId w:val="7"/>
        </w:numPr>
        <w:tabs>
          <w:tab w:val="clear" w:pos="360"/>
          <w:tab w:val="left" w:pos="567"/>
          <w:tab w:val="left" w:pos="1134"/>
          <w:tab w:val="left" w:pos="1701"/>
          <w:tab w:val="left" w:pos="2268"/>
        </w:tabs>
        <w:ind w:left="0" w:firstLine="567"/>
        <w:rPr>
          <w:lang w:val="fr-FR"/>
        </w:rPr>
      </w:pPr>
      <w:r>
        <w:rPr>
          <w:lang w:val="fr-FR"/>
        </w:rPr>
        <w:t>Sous réserve de certaines dispositions concernant l’interrogatoire ou l’instruction, la police est tenue de déférer toute</w:t>
      </w:r>
      <w:r w:rsidR="00DE772A">
        <w:rPr>
          <w:lang w:val="fr-FR"/>
        </w:rPr>
        <w:t xml:space="preserve"> personne placée en garde à vue</w:t>
      </w:r>
      <w:r>
        <w:rPr>
          <w:lang w:val="fr-FR"/>
        </w:rPr>
        <w:t xml:space="preserve"> devant un juge ou un tribun</w:t>
      </w:r>
      <w:r w:rsidR="00DE772A">
        <w:rPr>
          <w:lang w:val="fr-FR"/>
        </w:rPr>
        <w:t>al compétent dès que possible</w:t>
      </w:r>
      <w:r>
        <w:rPr>
          <w:lang w:val="fr-FR"/>
        </w:rPr>
        <w:t>, sauf si cette personne a été libérée sous caution au titre de loi sur la libération sous caution (Territoire du Nord) ou a été relâchée (art. 137 1) de la loi sur</w:t>
      </w:r>
      <w:r w:rsidR="008E1139">
        <w:rPr>
          <w:lang w:val="fr-FR"/>
        </w:rPr>
        <w:t xml:space="preserve"> l’administration de la police);</w:t>
      </w:r>
    </w:p>
    <w:p w:rsidR="003450A5" w:rsidRDefault="003450A5" w:rsidP="00E0029F">
      <w:pPr>
        <w:numPr>
          <w:ilvl w:val="0"/>
          <w:numId w:val="7"/>
        </w:numPr>
        <w:tabs>
          <w:tab w:val="clear" w:pos="360"/>
          <w:tab w:val="left" w:pos="567"/>
          <w:tab w:val="left" w:pos="1134"/>
          <w:tab w:val="left" w:pos="1701"/>
          <w:tab w:val="left" w:pos="2268"/>
        </w:tabs>
        <w:ind w:left="0" w:firstLine="567"/>
        <w:rPr>
          <w:lang w:val="fr-FR"/>
        </w:rPr>
      </w:pPr>
      <w:r>
        <w:rPr>
          <w:lang w:val="fr-FR"/>
        </w:rPr>
        <w:t>La police ne peut maintenir une personne en garde à vue aux fins de l’interrogatoire ou de l’ins</w:t>
      </w:r>
      <w:r w:rsidR="00DD4D8F">
        <w:rPr>
          <w:lang w:val="fr-FR"/>
        </w:rPr>
        <w:t>truction que pendant un laps</w:t>
      </w:r>
      <w:r>
        <w:rPr>
          <w:lang w:val="fr-FR"/>
        </w:rPr>
        <w:t xml:space="preserve"> de temps </w:t>
      </w:r>
      <w:r w:rsidR="00A619D6">
        <w:rPr>
          <w:lang w:val="fr-FR"/>
        </w:rPr>
        <w:t>«</w:t>
      </w:r>
      <w:r>
        <w:rPr>
          <w:lang w:val="fr-FR"/>
        </w:rPr>
        <w:t>raisonnable</w:t>
      </w:r>
      <w:r w:rsidR="00A619D6">
        <w:rPr>
          <w:lang w:val="fr-FR"/>
        </w:rPr>
        <w:t>»</w:t>
      </w:r>
      <w:r w:rsidR="00667135">
        <w:rPr>
          <w:lang w:val="fr-FR"/>
        </w:rPr>
        <w:t xml:space="preserve"> (art. 137 2) de la loi sur l’</w:t>
      </w:r>
      <w:r w:rsidR="008E1139">
        <w:rPr>
          <w:lang w:val="fr-FR"/>
        </w:rPr>
        <w:t>administration de la police);</w:t>
      </w:r>
    </w:p>
    <w:p w:rsidR="003450A5" w:rsidRDefault="003450A5" w:rsidP="00E0029F">
      <w:pPr>
        <w:numPr>
          <w:ilvl w:val="0"/>
          <w:numId w:val="7"/>
        </w:numPr>
        <w:tabs>
          <w:tab w:val="clear" w:pos="360"/>
          <w:tab w:val="left" w:pos="567"/>
          <w:tab w:val="left" w:pos="1134"/>
          <w:tab w:val="left" w:pos="1701"/>
          <w:tab w:val="left" w:pos="2268"/>
        </w:tabs>
        <w:ind w:left="0" w:firstLine="567"/>
        <w:rPr>
          <w:lang w:val="fr-FR"/>
        </w:rPr>
      </w:pPr>
      <w:r>
        <w:rPr>
          <w:lang w:val="fr-FR"/>
        </w:rPr>
        <w:t>Dans</w:t>
      </w:r>
      <w:r w:rsidR="00353E9C">
        <w:rPr>
          <w:lang w:val="fr-FR"/>
        </w:rPr>
        <w:t xml:space="preserve"> l’article 138 de la loi sur l’</w:t>
      </w:r>
      <w:r>
        <w:rPr>
          <w:lang w:val="fr-FR"/>
        </w:rPr>
        <w:t>administrat</w:t>
      </w:r>
      <w:r w:rsidR="004D332A">
        <w:rPr>
          <w:lang w:val="fr-FR"/>
        </w:rPr>
        <w:t>ion de la police sont énumérés d</w:t>
      </w:r>
      <w:r>
        <w:rPr>
          <w:lang w:val="fr-FR"/>
        </w:rPr>
        <w:t>es facteurs</w:t>
      </w:r>
      <w:r w:rsidR="004D332A">
        <w:rPr>
          <w:lang w:val="fr-FR"/>
        </w:rPr>
        <w:t xml:space="preserve"> dont un juge ou un tribunal peut tenir compte</w:t>
      </w:r>
      <w:r w:rsidR="00031DAE">
        <w:rPr>
          <w:lang w:val="fr-FR"/>
        </w:rPr>
        <w:t xml:space="preserve"> pour déterminer ce qu’est ce </w:t>
      </w:r>
      <w:r w:rsidR="00A619D6">
        <w:rPr>
          <w:lang w:val="fr-FR"/>
        </w:rPr>
        <w:t>«</w:t>
      </w:r>
      <w:r w:rsidR="00031DAE">
        <w:rPr>
          <w:lang w:val="fr-FR"/>
        </w:rPr>
        <w:t>laps</w:t>
      </w:r>
      <w:r w:rsidR="004D332A">
        <w:rPr>
          <w:lang w:val="fr-FR"/>
        </w:rPr>
        <w:t xml:space="preserve"> de temps raisonnable</w:t>
      </w:r>
      <w:r w:rsidR="00A619D6">
        <w:rPr>
          <w:lang w:val="fr-FR"/>
        </w:rPr>
        <w:t>»</w:t>
      </w:r>
      <w:r w:rsidR="004D332A">
        <w:rPr>
          <w:lang w:val="fr-FR"/>
        </w:rPr>
        <w:t>, à savoir</w:t>
      </w:r>
      <w:r w:rsidR="00572260">
        <w:rPr>
          <w:lang w:val="fr-FR"/>
        </w:rPr>
        <w:t>:</w:t>
      </w:r>
    </w:p>
    <w:p w:rsidR="004D332A" w:rsidRPr="0015408C" w:rsidRDefault="00353E9C" w:rsidP="000C6DC4">
      <w:pPr>
        <w:numPr>
          <w:ilvl w:val="1"/>
          <w:numId w:val="8"/>
        </w:numPr>
        <w:tabs>
          <w:tab w:val="left" w:pos="567"/>
        </w:tabs>
        <w:rPr>
          <w:lang w:val="fr-FR"/>
        </w:rPr>
      </w:pPr>
      <w:r>
        <w:rPr>
          <w:lang w:val="fr-FR"/>
        </w:rPr>
        <w:t>L</w:t>
      </w:r>
      <w:r w:rsidR="004D332A">
        <w:rPr>
          <w:lang w:val="fr-FR"/>
        </w:rPr>
        <w:t xml:space="preserve">e temps nécessaire pour communiquer avec un </w:t>
      </w:r>
      <w:r w:rsidR="0015408C" w:rsidRPr="0015408C">
        <w:rPr>
          <w:lang w:val="fr-FR"/>
        </w:rPr>
        <w:t>avocat</w:t>
      </w:r>
      <w:r w:rsidR="004D332A" w:rsidRPr="0015408C">
        <w:rPr>
          <w:lang w:val="fr-FR"/>
        </w:rPr>
        <w:t>, un ami ou un parent de la personne p</w:t>
      </w:r>
      <w:r w:rsidRPr="0015408C">
        <w:rPr>
          <w:lang w:val="fr-FR"/>
        </w:rPr>
        <w:t>lacée en détention (art. 138 h)</w:t>
      </w:r>
      <w:r w:rsidR="00572260">
        <w:rPr>
          <w:lang w:val="fr-FR"/>
        </w:rPr>
        <w:t>;</w:t>
      </w:r>
    </w:p>
    <w:p w:rsidR="004D332A" w:rsidRDefault="00353E9C" w:rsidP="000C6DC4">
      <w:pPr>
        <w:numPr>
          <w:ilvl w:val="1"/>
          <w:numId w:val="8"/>
        </w:numPr>
        <w:tabs>
          <w:tab w:val="left" w:pos="567"/>
        </w:tabs>
        <w:rPr>
          <w:lang w:val="fr-FR"/>
        </w:rPr>
      </w:pPr>
      <w:r w:rsidRPr="0015408C">
        <w:rPr>
          <w:lang w:val="fr-FR"/>
        </w:rPr>
        <w:t>L</w:t>
      </w:r>
      <w:r w:rsidR="004D332A" w:rsidRPr="0015408C">
        <w:rPr>
          <w:lang w:val="fr-FR"/>
        </w:rPr>
        <w:t xml:space="preserve">e temps nécessaire à un </w:t>
      </w:r>
      <w:r w:rsidR="0015408C" w:rsidRPr="0015408C">
        <w:rPr>
          <w:lang w:val="fr-FR"/>
        </w:rPr>
        <w:t>avocat</w:t>
      </w:r>
      <w:r w:rsidR="004D332A" w:rsidRPr="0015408C">
        <w:rPr>
          <w:lang w:val="fr-FR"/>
        </w:rPr>
        <w:t>, un parent ou un ami</w:t>
      </w:r>
      <w:r w:rsidR="004D332A">
        <w:rPr>
          <w:lang w:val="fr-FR"/>
        </w:rPr>
        <w:t xml:space="preserve"> de cette personne, ou bien à un interprète, pour arriver au lieu où </w:t>
      </w:r>
      <w:r>
        <w:rPr>
          <w:lang w:val="fr-FR"/>
        </w:rPr>
        <w:t xml:space="preserve">se tient </w:t>
      </w:r>
      <w:r w:rsidR="004D332A">
        <w:rPr>
          <w:lang w:val="fr-FR"/>
        </w:rPr>
        <w:t xml:space="preserve">l’interrogatoire </w:t>
      </w:r>
      <w:r>
        <w:rPr>
          <w:lang w:val="fr-FR"/>
        </w:rPr>
        <w:t>ou l’instruction</w:t>
      </w:r>
      <w:r w:rsidR="004D332A">
        <w:rPr>
          <w:lang w:val="fr-FR"/>
        </w:rPr>
        <w:t xml:space="preserve"> (art. 138 j))</w:t>
      </w:r>
      <w:r w:rsidR="00572260">
        <w:rPr>
          <w:lang w:val="fr-FR"/>
        </w:rPr>
        <w:t>;</w:t>
      </w:r>
    </w:p>
    <w:p w:rsidR="004D332A" w:rsidRDefault="00353E9C" w:rsidP="000C6DC4">
      <w:pPr>
        <w:numPr>
          <w:ilvl w:val="1"/>
          <w:numId w:val="8"/>
        </w:numPr>
        <w:tabs>
          <w:tab w:val="left" w:pos="567"/>
        </w:tabs>
        <w:rPr>
          <w:lang w:val="fr-FR"/>
        </w:rPr>
      </w:pPr>
      <w:r>
        <w:rPr>
          <w:lang w:val="fr-FR"/>
        </w:rPr>
        <w:t>L</w:t>
      </w:r>
      <w:r w:rsidR="004D332A">
        <w:rPr>
          <w:lang w:val="fr-FR"/>
        </w:rPr>
        <w:t>e temps de la suspension ou du report de l’instruction ou de l’interrogatoire de cette personne pour lui permettre de consulter un médecin (art. 138 m)), ou de se reposer, ou encore en raison de son état d’ivresse (art.138 q)).</w:t>
      </w:r>
    </w:p>
    <w:p w:rsidR="004D332A" w:rsidRDefault="004D332A" w:rsidP="00E0029F">
      <w:pPr>
        <w:numPr>
          <w:ilvl w:val="0"/>
          <w:numId w:val="7"/>
        </w:numPr>
        <w:tabs>
          <w:tab w:val="clear" w:pos="360"/>
          <w:tab w:val="left" w:pos="567"/>
          <w:tab w:val="left" w:pos="1134"/>
          <w:tab w:val="left" w:pos="1701"/>
          <w:tab w:val="left" w:pos="2268"/>
        </w:tabs>
        <w:ind w:left="0" w:firstLine="567"/>
        <w:rPr>
          <w:lang w:val="fr-FR"/>
        </w:rPr>
      </w:pPr>
      <w:r>
        <w:rPr>
          <w:lang w:val="fr-FR"/>
        </w:rPr>
        <w:t>Avant d’entreprendre l’interrogatoire</w:t>
      </w:r>
      <w:r w:rsidR="005446EF">
        <w:rPr>
          <w:lang w:val="fr-FR"/>
        </w:rPr>
        <w:t xml:space="preserve"> de la personne placée en garde à vue ou l’instruction, l’agent instructe</w:t>
      </w:r>
      <w:r w:rsidR="00521FCA">
        <w:rPr>
          <w:lang w:val="fr-FR"/>
        </w:rPr>
        <w:t>ur doit l’informer</w:t>
      </w:r>
      <w:r w:rsidR="005446EF">
        <w:rPr>
          <w:lang w:val="fr-FR"/>
        </w:rPr>
        <w:t xml:space="preserve"> qu’elle n’est pas obligée de parler, mais que tout ce qu’elle </w:t>
      </w:r>
      <w:r w:rsidR="002F104D">
        <w:rPr>
          <w:lang w:val="fr-FR"/>
        </w:rPr>
        <w:t>dira ou fera pourra être retenu</w:t>
      </w:r>
      <w:r w:rsidR="005446EF">
        <w:rPr>
          <w:lang w:val="fr-FR"/>
        </w:rPr>
        <w:t xml:space="preserve"> contre e</w:t>
      </w:r>
      <w:r w:rsidR="002F104D">
        <w:rPr>
          <w:lang w:val="fr-FR"/>
        </w:rPr>
        <w:t>lle, et qu’elle peut prendre contact (ou essayer de le faire)</w:t>
      </w:r>
      <w:r w:rsidR="005446EF">
        <w:rPr>
          <w:lang w:val="fr-FR"/>
        </w:rPr>
        <w:t xml:space="preserve"> avec un ami ou un parent pour lui indiquer le lieu où elle se trouve (art. 140 de la loi sur l’administration de la police)</w:t>
      </w:r>
      <w:r w:rsidR="00876206">
        <w:rPr>
          <w:lang w:val="fr-FR"/>
        </w:rPr>
        <w:t>;</w:t>
      </w:r>
    </w:p>
    <w:p w:rsidR="00A453AC" w:rsidRPr="003450A5" w:rsidRDefault="005446EF" w:rsidP="00E0029F">
      <w:pPr>
        <w:numPr>
          <w:ilvl w:val="0"/>
          <w:numId w:val="7"/>
        </w:numPr>
        <w:tabs>
          <w:tab w:val="clear" w:pos="360"/>
          <w:tab w:val="left" w:pos="567"/>
          <w:tab w:val="left" w:pos="1134"/>
          <w:tab w:val="left" w:pos="1701"/>
          <w:tab w:val="left" w:pos="2268"/>
        </w:tabs>
        <w:ind w:left="0" w:firstLine="567"/>
        <w:rPr>
          <w:lang w:val="fr-FR"/>
        </w:rPr>
      </w:pPr>
      <w:r>
        <w:rPr>
          <w:lang w:val="fr-FR"/>
        </w:rPr>
        <w:t>Pendant le temps qu’il faudrait à la police pour déférer une personne devant un juge ou un tribunal, elle peut, au lieu de cela,</w:t>
      </w:r>
      <w:r w:rsidR="009840DD">
        <w:rPr>
          <w:lang w:val="fr-FR"/>
        </w:rPr>
        <w:t xml:space="preserve"> l’informer du fait qu’elle a le droit de solliciter une libération sous caution et, dans la mesure du possible, f</w:t>
      </w:r>
      <w:r w:rsidR="00521FCA">
        <w:rPr>
          <w:lang w:val="fr-FR"/>
        </w:rPr>
        <w:t>aire en sorte que l’intéressé</w:t>
      </w:r>
      <w:r w:rsidR="009840DD">
        <w:rPr>
          <w:lang w:val="fr-FR"/>
        </w:rPr>
        <w:t xml:space="preserve"> puisse prendre contact avec un avocat ou toute autre personne de son choix pour procéder à cette demande (art. 16 2) de la </w:t>
      </w:r>
      <w:r w:rsidR="009840DD" w:rsidRPr="001F4097">
        <w:rPr>
          <w:lang w:val="fr-FR"/>
        </w:rPr>
        <w:t>loi sur la libération sous caution</w:t>
      </w:r>
      <w:r w:rsidR="00B31A81">
        <w:rPr>
          <w:lang w:val="fr-FR"/>
        </w:rPr>
        <w:t>)</w:t>
      </w:r>
      <w:r w:rsidR="009840DD" w:rsidRPr="003B44DA">
        <w:rPr>
          <w:lang w:val="fr-FR"/>
        </w:rPr>
        <w:t xml:space="preserve"> </w:t>
      </w:r>
      <w:r w:rsidR="00876206">
        <w:rPr>
          <w:lang w:val="fr-FR"/>
        </w:rPr>
        <w:t>(Territoire du Nord);</w:t>
      </w:r>
      <w:r>
        <w:rPr>
          <w:lang w:val="fr-FR"/>
        </w:rPr>
        <w:t xml:space="preserve"> </w:t>
      </w:r>
    </w:p>
    <w:p w:rsidR="00A453AC" w:rsidRPr="00A453AC" w:rsidRDefault="00A453AC" w:rsidP="00E0029F">
      <w:pPr>
        <w:numPr>
          <w:ilvl w:val="0"/>
          <w:numId w:val="7"/>
        </w:numPr>
        <w:tabs>
          <w:tab w:val="clear" w:pos="360"/>
          <w:tab w:val="left" w:pos="567"/>
          <w:tab w:val="left" w:pos="1134"/>
          <w:tab w:val="left" w:pos="1701"/>
          <w:tab w:val="left" w:pos="2268"/>
        </w:tabs>
        <w:ind w:left="0" w:firstLine="567"/>
        <w:rPr>
          <w:lang w:val="fr-FR"/>
        </w:rPr>
      </w:pPr>
      <w:r>
        <w:rPr>
          <w:lang w:val="fr-FR"/>
        </w:rPr>
        <w:t>Tout membre de la police doit, à la demande d’un avocat représentant une personne placée en garde à vue, ou d’un conjoint, d’une compagne ou d’un compagnon, d’un parent ou d’un enfant de cette personne, indiquer si elle a été ou non placée en garde à vue et, le cas échéant, où (art.135 de la loi sur l’administration de la police)</w:t>
      </w:r>
      <w:r w:rsidR="00876206">
        <w:rPr>
          <w:lang w:val="fr-FR"/>
        </w:rPr>
        <w:t>;</w:t>
      </w:r>
      <w:r>
        <w:rPr>
          <w:lang w:val="fr-FR"/>
        </w:rPr>
        <w:t xml:space="preserve"> </w:t>
      </w:r>
    </w:p>
    <w:p w:rsidR="005446EF" w:rsidRDefault="00A453AC" w:rsidP="00E0029F">
      <w:pPr>
        <w:numPr>
          <w:ilvl w:val="0"/>
          <w:numId w:val="7"/>
        </w:numPr>
        <w:tabs>
          <w:tab w:val="clear" w:pos="360"/>
          <w:tab w:val="left" w:pos="567"/>
          <w:tab w:val="left" w:pos="1134"/>
          <w:tab w:val="left" w:pos="1701"/>
          <w:tab w:val="left" w:pos="2268"/>
        </w:tabs>
        <w:ind w:left="0" w:firstLine="567"/>
        <w:rPr>
          <w:lang w:val="fr-FR"/>
        </w:rPr>
      </w:pPr>
      <w:r>
        <w:rPr>
          <w:lang w:val="fr-FR"/>
        </w:rPr>
        <w:t xml:space="preserve">L’article 145 de la loi sur l’administration de la police comporte également des dispositions relatives au déroulement d’une </w:t>
      </w:r>
      <w:r w:rsidR="00A619D6">
        <w:rPr>
          <w:lang w:val="fr-FR"/>
        </w:rPr>
        <w:t>«</w:t>
      </w:r>
      <w:r w:rsidRPr="0015408C">
        <w:rPr>
          <w:lang w:val="fr-FR"/>
        </w:rPr>
        <w:t>procédure à caractère intime</w:t>
      </w:r>
      <w:r w:rsidR="00A619D6">
        <w:rPr>
          <w:lang w:val="fr-FR"/>
        </w:rPr>
        <w:t>»</w:t>
      </w:r>
      <w:r w:rsidR="002F104D">
        <w:rPr>
          <w:lang w:val="fr-FR"/>
        </w:rPr>
        <w:t xml:space="preserve"> (telle que définie dans la</w:t>
      </w:r>
      <w:r>
        <w:rPr>
          <w:lang w:val="fr-FR"/>
        </w:rPr>
        <w:t xml:space="preserve"> loi) appliquée </w:t>
      </w:r>
      <w:r w:rsidR="002F104D">
        <w:rPr>
          <w:lang w:val="fr-FR"/>
        </w:rPr>
        <w:t xml:space="preserve">à </w:t>
      </w:r>
      <w:r>
        <w:rPr>
          <w:lang w:val="fr-FR"/>
        </w:rPr>
        <w:t>une</w:t>
      </w:r>
      <w:r w:rsidR="00B31A81">
        <w:rPr>
          <w:lang w:val="fr-FR"/>
        </w:rPr>
        <w:t xml:space="preserve"> personne placée en garde à vue</w:t>
      </w:r>
      <w:r>
        <w:rPr>
          <w:lang w:val="fr-FR"/>
        </w:rPr>
        <w:t xml:space="preserve"> et accusée d’une infraction</w:t>
      </w:r>
      <w:r w:rsidR="008D6B80">
        <w:rPr>
          <w:lang w:val="fr-FR"/>
        </w:rPr>
        <w:t xml:space="preserve">. </w:t>
      </w:r>
      <w:r>
        <w:rPr>
          <w:lang w:val="fr-FR"/>
        </w:rPr>
        <w:t>Cette procédure ne peut être appliquée qu’avec le consentement par écrit de l’intéressé, ou l’approbation écrite d’un juge et seulement par un médecin ou un d</w:t>
      </w:r>
      <w:r w:rsidR="00876206">
        <w:rPr>
          <w:lang w:val="fr-FR"/>
        </w:rPr>
        <w:t>entiste agréé;</w:t>
      </w:r>
    </w:p>
    <w:p w:rsidR="002871FF" w:rsidRDefault="003A1B4F" w:rsidP="00E0029F">
      <w:pPr>
        <w:numPr>
          <w:ilvl w:val="0"/>
          <w:numId w:val="7"/>
        </w:numPr>
        <w:tabs>
          <w:tab w:val="clear" w:pos="360"/>
          <w:tab w:val="left" w:pos="567"/>
          <w:tab w:val="left" w:pos="1134"/>
          <w:tab w:val="left" w:pos="1701"/>
          <w:tab w:val="left" w:pos="2268"/>
        </w:tabs>
        <w:ind w:left="0" w:firstLine="567"/>
        <w:rPr>
          <w:lang w:val="fr-FR"/>
        </w:rPr>
      </w:pPr>
      <w:r>
        <w:rPr>
          <w:lang w:val="fr-FR"/>
        </w:rPr>
        <w:t>Avant de se mettre en devoir d’</w:t>
      </w:r>
      <w:r w:rsidR="00A453AC">
        <w:rPr>
          <w:lang w:val="fr-FR"/>
        </w:rPr>
        <w:t>engager cette procédure,</w:t>
      </w:r>
      <w:r>
        <w:rPr>
          <w:lang w:val="fr-FR"/>
        </w:rPr>
        <w:t xml:space="preserve"> le policier doit demander si la personne concernée souhaite qu’un médecin ou un dentiste de son </w:t>
      </w:r>
      <w:r w:rsidR="002F104D">
        <w:rPr>
          <w:lang w:val="fr-FR"/>
        </w:rPr>
        <w:t>choix soit présent (art.145 9))</w:t>
      </w:r>
      <w:r>
        <w:rPr>
          <w:lang w:val="fr-FR"/>
        </w:rPr>
        <w:t xml:space="preserve"> et, le cas échéant, lui donner, dans les limites du raisonnable, les moyens d’avoir satisfaction, puis, sauf impossibilité, prendre des dispositions pour que la procédure soit appliquée à un moment où le médecin ou le dentiste en question pui</w:t>
      </w:r>
      <w:r w:rsidR="00876206">
        <w:rPr>
          <w:lang w:val="fr-FR"/>
        </w:rPr>
        <w:t>sse être présent (art. 145 10));</w:t>
      </w:r>
    </w:p>
    <w:p w:rsidR="00D50AA7" w:rsidRDefault="002871FF" w:rsidP="00E0029F">
      <w:pPr>
        <w:numPr>
          <w:ilvl w:val="0"/>
          <w:numId w:val="7"/>
        </w:numPr>
        <w:tabs>
          <w:tab w:val="clear" w:pos="360"/>
          <w:tab w:val="left" w:pos="567"/>
          <w:tab w:val="left" w:pos="1134"/>
          <w:tab w:val="left" w:pos="1701"/>
          <w:tab w:val="left" w:pos="2268"/>
        </w:tabs>
        <w:ind w:left="0" w:firstLine="567"/>
        <w:rPr>
          <w:lang w:val="fr-FR"/>
        </w:rPr>
      </w:pPr>
      <w:r>
        <w:rPr>
          <w:lang w:val="fr-FR"/>
        </w:rPr>
        <w:t>Á ce sujet, l’article 145 13) dispose que rien n’empêche un médecin ou un dentiste agréé d’examiner une personne placée en garde à vue à la demande de l’intéressé, ni de la traiter pour une maladie ou une b</w:t>
      </w:r>
      <w:r w:rsidR="00D50AA7">
        <w:rPr>
          <w:lang w:val="fr-FR"/>
        </w:rPr>
        <w:t>l</w:t>
      </w:r>
      <w:r w:rsidR="00876206">
        <w:rPr>
          <w:lang w:val="fr-FR"/>
        </w:rPr>
        <w:t>essure;</w:t>
      </w:r>
    </w:p>
    <w:p w:rsidR="00D50AA7" w:rsidRPr="00A453AC" w:rsidRDefault="00D50AA7" w:rsidP="00E0029F">
      <w:pPr>
        <w:numPr>
          <w:ilvl w:val="0"/>
          <w:numId w:val="7"/>
        </w:numPr>
        <w:tabs>
          <w:tab w:val="clear" w:pos="360"/>
          <w:tab w:val="left" w:pos="567"/>
          <w:tab w:val="left" w:pos="1134"/>
          <w:tab w:val="left" w:pos="1701"/>
          <w:tab w:val="left" w:pos="2268"/>
        </w:tabs>
        <w:ind w:left="0" w:firstLine="567"/>
        <w:rPr>
          <w:lang w:val="fr-FR"/>
        </w:rPr>
      </w:pPr>
      <w:r>
        <w:rPr>
          <w:lang w:val="fr-FR"/>
        </w:rPr>
        <w:t xml:space="preserve">La </w:t>
      </w:r>
      <w:r w:rsidRPr="002F104D">
        <w:rPr>
          <w:lang w:val="fr-FR"/>
        </w:rPr>
        <w:t>loi sur la justice pour mineurs</w:t>
      </w:r>
      <w:r>
        <w:rPr>
          <w:i/>
          <w:iCs/>
          <w:lang w:val="fr-FR"/>
        </w:rPr>
        <w:t xml:space="preserve"> </w:t>
      </w:r>
      <w:r>
        <w:rPr>
          <w:lang w:val="fr-FR"/>
        </w:rPr>
        <w:t>(Territoire du Nord) comporte d’autres dispositions relatives aux jeunes, à savoir</w:t>
      </w:r>
      <w:r w:rsidR="00572260">
        <w:rPr>
          <w:lang w:val="fr-FR"/>
        </w:rPr>
        <w:t>:</w:t>
      </w:r>
      <w:r w:rsidR="003A1B4F">
        <w:rPr>
          <w:lang w:val="fr-FR"/>
        </w:rPr>
        <w:t xml:space="preserve"> </w:t>
      </w:r>
    </w:p>
    <w:p w:rsidR="00A453AC" w:rsidRDefault="002F104D" w:rsidP="00E0029F">
      <w:pPr>
        <w:numPr>
          <w:ilvl w:val="1"/>
          <w:numId w:val="9"/>
        </w:numPr>
        <w:tabs>
          <w:tab w:val="left" w:pos="567"/>
          <w:tab w:val="left" w:pos="1701"/>
        </w:tabs>
        <w:rPr>
          <w:lang w:val="fr-FR"/>
        </w:rPr>
      </w:pPr>
      <w:r>
        <w:rPr>
          <w:lang w:val="fr-FR"/>
        </w:rPr>
        <w:t>A</w:t>
      </w:r>
      <w:r w:rsidR="00D50AA7">
        <w:rPr>
          <w:lang w:val="fr-FR"/>
        </w:rPr>
        <w:t xml:space="preserve">vant qu’il ne soit procédé à l’interrogatoire ou la fouille d’un mineur dans le cadre de l’instruction d’une infraction, un fonctionnaire de police est </w:t>
      </w:r>
      <w:r>
        <w:rPr>
          <w:lang w:val="fr-FR"/>
        </w:rPr>
        <w:t>tenu d’info</w:t>
      </w:r>
      <w:r w:rsidR="00D50AA7">
        <w:rPr>
          <w:lang w:val="fr-FR"/>
        </w:rPr>
        <w:t xml:space="preserve">rmer ce dernier du </w:t>
      </w:r>
      <w:r w:rsidR="00D50AA7" w:rsidRPr="0015408C">
        <w:rPr>
          <w:lang w:val="fr-FR"/>
        </w:rPr>
        <w:t xml:space="preserve">fait qu’il a droit à une assistance et à une représentation </w:t>
      </w:r>
      <w:r w:rsidR="007C3135">
        <w:rPr>
          <w:lang w:val="fr-FR"/>
        </w:rPr>
        <w:t>en justice</w:t>
      </w:r>
      <w:r w:rsidR="00D50AA7" w:rsidRPr="0015408C">
        <w:rPr>
          <w:lang w:val="fr-FR"/>
        </w:rPr>
        <w:t xml:space="preserve"> (art</w:t>
      </w:r>
      <w:r w:rsidR="00D50AA7">
        <w:rPr>
          <w:lang w:val="fr-FR"/>
        </w:rPr>
        <w:t>. 15 2))</w:t>
      </w:r>
      <w:r w:rsidR="00572260">
        <w:rPr>
          <w:lang w:val="fr-FR"/>
        </w:rPr>
        <w:t>;</w:t>
      </w:r>
    </w:p>
    <w:p w:rsidR="00D50AA7" w:rsidRDefault="002F104D" w:rsidP="00E0029F">
      <w:pPr>
        <w:numPr>
          <w:ilvl w:val="1"/>
          <w:numId w:val="9"/>
        </w:numPr>
        <w:tabs>
          <w:tab w:val="left" w:pos="567"/>
          <w:tab w:val="left" w:pos="1701"/>
        </w:tabs>
        <w:rPr>
          <w:lang w:val="fr-FR"/>
        </w:rPr>
      </w:pPr>
      <w:r>
        <w:rPr>
          <w:lang w:val="fr-FR"/>
        </w:rPr>
        <w:t>S</w:t>
      </w:r>
      <w:r w:rsidR="006D2BCD">
        <w:rPr>
          <w:lang w:val="fr-FR"/>
        </w:rPr>
        <w:t>i un fon</w:t>
      </w:r>
      <w:r w:rsidR="006C562F">
        <w:rPr>
          <w:lang w:val="fr-FR"/>
        </w:rPr>
        <w:t xml:space="preserve">ctionnaire de police doit </w:t>
      </w:r>
      <w:r w:rsidR="006D2BCD">
        <w:rPr>
          <w:lang w:val="fr-FR"/>
        </w:rPr>
        <w:t>informer un mineur sur tout sujet concernant l’enquête relative à une infraction, cette explication doit être donnée dans une langue et d’une manière que l’intéressé soit susceptible de comprendre, eu égard à son âge, son degré de maturité, son milieu culturel et ses compétences en langue anglaise (art. 15 1))</w:t>
      </w:r>
      <w:r w:rsidR="00572260">
        <w:rPr>
          <w:lang w:val="fr-FR"/>
        </w:rPr>
        <w:t>;</w:t>
      </w:r>
    </w:p>
    <w:p w:rsidR="004D34C4" w:rsidRDefault="002F104D" w:rsidP="00E0029F">
      <w:pPr>
        <w:numPr>
          <w:ilvl w:val="1"/>
          <w:numId w:val="9"/>
        </w:numPr>
        <w:tabs>
          <w:tab w:val="left" w:pos="567"/>
          <w:tab w:val="left" w:pos="1701"/>
        </w:tabs>
        <w:rPr>
          <w:lang w:val="fr-FR"/>
        </w:rPr>
      </w:pPr>
      <w:r>
        <w:rPr>
          <w:lang w:val="fr-FR"/>
        </w:rPr>
        <w:t>S</w:t>
      </w:r>
      <w:r w:rsidR="006D2BCD">
        <w:rPr>
          <w:lang w:val="fr-FR"/>
        </w:rPr>
        <w:t>’il s’agit d’une infraction censée avoir été commise par un mineur et qui, si elle l’avait été par un adulte</w:t>
      </w:r>
      <w:r>
        <w:rPr>
          <w:lang w:val="fr-FR"/>
        </w:rPr>
        <w:t>,</w:t>
      </w:r>
      <w:r w:rsidR="006D2BCD">
        <w:rPr>
          <w:lang w:val="fr-FR"/>
        </w:rPr>
        <w:t xml:space="preserve"> aurait été passible d’une peine d’emprisonnement d’au moins 12 mois, les policiers ne doivent pas interroger ce mineur ni</w:t>
      </w:r>
      <w:r w:rsidR="00B31A81">
        <w:rPr>
          <w:lang w:val="fr-FR"/>
        </w:rPr>
        <w:t xml:space="preserve"> lui faire faire quoi que ce soit qu</w:t>
      </w:r>
      <w:r w:rsidR="00C6134B">
        <w:rPr>
          <w:lang w:val="fr-FR"/>
        </w:rPr>
        <w:t>i ait un</w:t>
      </w:r>
      <w:r w:rsidR="00653E24">
        <w:rPr>
          <w:lang w:val="fr-FR"/>
        </w:rPr>
        <w:t xml:space="preserve"> rapport avec l’infraction</w:t>
      </w:r>
      <w:r w:rsidR="007A5C8F">
        <w:rPr>
          <w:lang w:val="fr-FR"/>
        </w:rPr>
        <w:t xml:space="preserve"> hors de la présence d’une personne de confiance qui l’assiste (art. 15 2))</w:t>
      </w:r>
      <w:r w:rsidR="008D6B80">
        <w:rPr>
          <w:lang w:val="fr-FR"/>
        </w:rPr>
        <w:t xml:space="preserve">. </w:t>
      </w:r>
      <w:r w:rsidR="004D34C4">
        <w:rPr>
          <w:lang w:val="fr-FR"/>
        </w:rPr>
        <w:t xml:space="preserve">Cette personne peut être un </w:t>
      </w:r>
      <w:r w:rsidR="00A619D6">
        <w:rPr>
          <w:lang w:val="fr-FR"/>
        </w:rPr>
        <w:t>«</w:t>
      </w:r>
      <w:r w:rsidR="004D34C4">
        <w:rPr>
          <w:lang w:val="fr-FR"/>
        </w:rPr>
        <w:t>adulte responsable</w:t>
      </w:r>
      <w:r w:rsidR="00A619D6">
        <w:rPr>
          <w:lang w:val="fr-FR"/>
        </w:rPr>
        <w:t>»</w:t>
      </w:r>
      <w:r w:rsidR="004D34C4">
        <w:rPr>
          <w:lang w:val="fr-FR"/>
        </w:rPr>
        <w:t xml:space="preserve"> envers le mineur, une personne désignée par le mineur, un médecin qui agit pour lui, ou quelqu’un qui a été choisi dans un registre de personnes appropriées pour assister les mineurs tenu par le </w:t>
      </w:r>
      <w:r w:rsidR="004D34C4" w:rsidRPr="00A07FDF">
        <w:rPr>
          <w:lang w:val="fr-FR"/>
        </w:rPr>
        <w:t>Youth Justice Advisory Committee</w:t>
      </w:r>
      <w:r w:rsidR="004D34C4">
        <w:rPr>
          <w:lang w:val="fr-FR"/>
        </w:rPr>
        <w:t xml:space="preserve"> (Comité consultatif de la justice pour min</w:t>
      </w:r>
      <w:r w:rsidR="00876206">
        <w:rPr>
          <w:lang w:val="fr-FR"/>
        </w:rPr>
        <w:t>eurs</w:t>
      </w:r>
      <w:r w:rsidR="004D34C4">
        <w:rPr>
          <w:lang w:val="fr-FR"/>
        </w:rPr>
        <w:t>)</w:t>
      </w:r>
      <w:r w:rsidR="00572260">
        <w:rPr>
          <w:lang w:val="fr-FR"/>
        </w:rPr>
        <w:t>;</w:t>
      </w:r>
    </w:p>
    <w:p w:rsidR="004E7D65" w:rsidRPr="00D50AA7" w:rsidRDefault="002F104D" w:rsidP="00E0029F">
      <w:pPr>
        <w:numPr>
          <w:ilvl w:val="1"/>
          <w:numId w:val="9"/>
        </w:numPr>
        <w:tabs>
          <w:tab w:val="left" w:pos="567"/>
          <w:tab w:val="left" w:pos="1701"/>
        </w:tabs>
        <w:rPr>
          <w:lang w:val="fr-FR"/>
        </w:rPr>
      </w:pPr>
      <w:r>
        <w:rPr>
          <w:lang w:val="fr-FR"/>
        </w:rPr>
        <w:t>S</w:t>
      </w:r>
      <w:r w:rsidR="004D34C4">
        <w:rPr>
          <w:lang w:val="fr-FR"/>
        </w:rPr>
        <w:t xml:space="preserve">i un mineur est arrêté ou inculpé d’une infraction, le fonctionnaire de police qui l’a arrêté ou inculpé doit prendre toutes les mesures raisonnables qui s’imposent pour faire en sorte qu’un </w:t>
      </w:r>
      <w:r w:rsidR="00A619D6">
        <w:rPr>
          <w:lang w:val="fr-FR"/>
        </w:rPr>
        <w:t>«</w:t>
      </w:r>
      <w:r w:rsidR="004D34C4">
        <w:rPr>
          <w:lang w:val="fr-FR"/>
        </w:rPr>
        <w:t>adulte responsable</w:t>
      </w:r>
      <w:r w:rsidR="00A619D6">
        <w:rPr>
          <w:lang w:val="fr-FR"/>
        </w:rPr>
        <w:t>»</w:t>
      </w:r>
      <w:r w:rsidR="004D34C4">
        <w:rPr>
          <w:lang w:val="fr-FR"/>
        </w:rPr>
        <w:t xml:space="preserve"> envers le mineur soit prévenu dès que possible (art. 23)</w:t>
      </w:r>
      <w:r w:rsidR="008D6B80">
        <w:rPr>
          <w:lang w:val="fr-FR"/>
        </w:rPr>
        <w:t xml:space="preserve">. </w:t>
      </w:r>
      <w:r w:rsidR="004D34C4">
        <w:rPr>
          <w:lang w:val="fr-FR"/>
        </w:rPr>
        <w:t xml:space="preserve">(Un </w:t>
      </w:r>
      <w:r w:rsidR="00A619D6">
        <w:rPr>
          <w:lang w:val="fr-FR"/>
        </w:rPr>
        <w:t>«</w:t>
      </w:r>
      <w:r w:rsidR="004D34C4">
        <w:rPr>
          <w:lang w:val="fr-FR"/>
        </w:rPr>
        <w:t>adulte responsable</w:t>
      </w:r>
      <w:r w:rsidR="00A619D6">
        <w:rPr>
          <w:lang w:val="fr-FR"/>
        </w:rPr>
        <w:t>»</w:t>
      </w:r>
      <w:r w:rsidR="004D34C4">
        <w:rPr>
          <w:lang w:val="fr-FR"/>
        </w:rPr>
        <w:t xml:space="preserve"> est une personne qui exerce la responsabilité parentale</w:t>
      </w:r>
      <w:r>
        <w:rPr>
          <w:lang w:val="fr-FR"/>
        </w:rPr>
        <w:t xml:space="preserve"> pour le mineur (</w:t>
      </w:r>
      <w:r w:rsidR="004E7D65">
        <w:rPr>
          <w:lang w:val="fr-FR"/>
        </w:rPr>
        <w:t>art. 5 1))</w:t>
      </w:r>
      <w:r w:rsidR="00876206">
        <w:rPr>
          <w:lang w:val="fr-FR"/>
        </w:rPr>
        <w:t>;</w:t>
      </w:r>
      <w:r w:rsidR="004D34C4">
        <w:rPr>
          <w:lang w:val="fr-FR"/>
        </w:rPr>
        <w:t xml:space="preserve"> </w:t>
      </w:r>
    </w:p>
    <w:p w:rsidR="004E7D65" w:rsidRPr="004E7D65" w:rsidRDefault="00D85972" w:rsidP="005D7B68">
      <w:pPr>
        <w:tabs>
          <w:tab w:val="left" w:pos="567"/>
          <w:tab w:val="left" w:pos="1134"/>
          <w:tab w:val="left" w:pos="1701"/>
          <w:tab w:val="left" w:pos="2268"/>
        </w:tabs>
        <w:ind w:firstLine="708"/>
        <w:rPr>
          <w:lang w:val="fr-FR"/>
        </w:rPr>
      </w:pPr>
      <w:r>
        <w:rPr>
          <w:lang w:val="fr-FR"/>
        </w:rPr>
        <w:t>k</w:t>
      </w:r>
      <w:r w:rsidR="004E7D65">
        <w:rPr>
          <w:lang w:val="fr-FR"/>
        </w:rPr>
        <w:t>)</w:t>
      </w:r>
      <w:r w:rsidR="004E7D65">
        <w:rPr>
          <w:lang w:val="fr-FR"/>
        </w:rPr>
        <w:tab/>
        <w:t>Pour trouver des informations sur les garanties figurant dans la législation relative au contre-terrorisme, prière de voir la contribution du Territoire du Nord à la réponse à la question 5.</w:t>
      </w:r>
    </w:p>
    <w:p w:rsidR="006D2BCD" w:rsidRDefault="004E7D65" w:rsidP="00297A0E">
      <w:pPr>
        <w:keepNext/>
        <w:keepLines/>
        <w:tabs>
          <w:tab w:val="left" w:pos="567"/>
          <w:tab w:val="left" w:pos="1134"/>
          <w:tab w:val="left" w:pos="1701"/>
          <w:tab w:val="left" w:pos="2268"/>
        </w:tabs>
        <w:rPr>
          <w:b/>
          <w:bCs/>
          <w:lang w:val="fr-FR"/>
        </w:rPr>
      </w:pPr>
      <w:r>
        <w:rPr>
          <w:b/>
          <w:bCs/>
          <w:lang w:val="fr-FR"/>
        </w:rPr>
        <w:t>Question 3</w:t>
      </w:r>
    </w:p>
    <w:p w:rsidR="0062581A" w:rsidRPr="004C79C4" w:rsidRDefault="004C79C4" w:rsidP="00297A0E">
      <w:pPr>
        <w:keepNext/>
        <w:keepLines/>
        <w:tabs>
          <w:tab w:val="left" w:pos="567"/>
          <w:tab w:val="left" w:pos="1134"/>
          <w:tab w:val="left" w:pos="1701"/>
          <w:tab w:val="left" w:pos="2268"/>
        </w:tabs>
        <w:ind w:firstLine="708"/>
        <w:rPr>
          <w:b/>
          <w:bCs/>
          <w:lang w:val="fr-FR"/>
        </w:rPr>
      </w:pPr>
      <w:r w:rsidRPr="004C79C4">
        <w:rPr>
          <w:b/>
          <w:bCs/>
          <w:lang w:val="fr-FR"/>
        </w:rPr>
        <w:t>Veuillez fournir des renseignements sur le droit et la pratique en ce qui concerne la durée de la garde à vue et de la détention avant jugement.</w:t>
      </w:r>
    </w:p>
    <w:p w:rsidR="00123E15" w:rsidRDefault="0062581A" w:rsidP="005D7B68">
      <w:pPr>
        <w:tabs>
          <w:tab w:val="left" w:pos="567"/>
          <w:tab w:val="left" w:pos="1134"/>
          <w:tab w:val="left" w:pos="1701"/>
          <w:tab w:val="left" w:pos="2268"/>
        </w:tabs>
        <w:rPr>
          <w:lang w:val="fr-FR"/>
        </w:rPr>
      </w:pPr>
      <w:r>
        <w:rPr>
          <w:lang w:val="fr-FR"/>
        </w:rPr>
        <w:t>81.</w:t>
      </w:r>
      <w:r>
        <w:rPr>
          <w:lang w:val="fr-FR"/>
        </w:rPr>
        <w:tab/>
        <w:t>Des lois et des garanties sont en place dans toutes les juridictions australienne</w:t>
      </w:r>
      <w:r w:rsidR="002F104D">
        <w:rPr>
          <w:lang w:val="fr-FR"/>
        </w:rPr>
        <w:t>s</w:t>
      </w:r>
      <w:r>
        <w:rPr>
          <w:lang w:val="fr-FR"/>
        </w:rPr>
        <w:t xml:space="preserve"> pour limiter la durée de la garde à vue et de la détention avant jugement</w:t>
      </w:r>
      <w:r w:rsidR="008D6B80">
        <w:rPr>
          <w:lang w:val="fr-FR"/>
        </w:rPr>
        <w:t xml:space="preserve">. </w:t>
      </w:r>
      <w:r>
        <w:rPr>
          <w:lang w:val="fr-FR"/>
        </w:rPr>
        <w:t>La première partie de la réponse donne des informations sur le droit et la pratique fédéraux concernant la durée de la garde à vue et de la détention avant jugement. On trouvera ensuite des renseignements sur le droit et la pratique dans les États et les Territoires.</w:t>
      </w:r>
    </w:p>
    <w:p w:rsidR="00123E15" w:rsidRPr="00123E15" w:rsidRDefault="000F17FA" w:rsidP="005D7B68">
      <w:pPr>
        <w:tabs>
          <w:tab w:val="left" w:pos="567"/>
          <w:tab w:val="left" w:pos="1134"/>
          <w:tab w:val="left" w:pos="1701"/>
          <w:tab w:val="left" w:pos="2268"/>
        </w:tabs>
        <w:rPr>
          <w:b/>
          <w:bCs/>
          <w:lang w:val="fr-FR"/>
        </w:rPr>
      </w:pPr>
      <w:r>
        <w:rPr>
          <w:b/>
          <w:bCs/>
          <w:lang w:val="fr-FR"/>
        </w:rPr>
        <w:t>Informations du</w:t>
      </w:r>
      <w:r w:rsidR="00123E15" w:rsidRPr="00123E15">
        <w:rPr>
          <w:b/>
          <w:bCs/>
          <w:lang w:val="fr-FR"/>
        </w:rPr>
        <w:t xml:space="preserve"> Gouvernement du Commonwealth</w:t>
      </w:r>
      <w:r w:rsidR="0062581A" w:rsidRPr="00123E15">
        <w:rPr>
          <w:b/>
          <w:bCs/>
          <w:lang w:val="fr-FR"/>
        </w:rPr>
        <w:t xml:space="preserve"> </w:t>
      </w:r>
    </w:p>
    <w:p w:rsidR="00123E15" w:rsidRPr="00123E15" w:rsidRDefault="002F104D" w:rsidP="005D7B68">
      <w:pPr>
        <w:tabs>
          <w:tab w:val="left" w:pos="567"/>
          <w:tab w:val="left" w:pos="1134"/>
          <w:tab w:val="left" w:pos="1701"/>
          <w:tab w:val="left" w:pos="2268"/>
        </w:tabs>
        <w:rPr>
          <w:lang w:val="fr-FR"/>
        </w:rPr>
      </w:pPr>
      <w:r>
        <w:rPr>
          <w:lang w:val="fr-FR"/>
        </w:rPr>
        <w:t>82.</w:t>
      </w:r>
      <w:r>
        <w:rPr>
          <w:lang w:val="fr-FR"/>
        </w:rPr>
        <w:tab/>
        <w:t>Le titre</w:t>
      </w:r>
      <w:r w:rsidR="00123E15">
        <w:rPr>
          <w:lang w:val="fr-FR"/>
        </w:rPr>
        <w:t xml:space="preserve"> IC de la </w:t>
      </w:r>
      <w:r w:rsidR="00123E15" w:rsidRPr="002F104D">
        <w:rPr>
          <w:lang w:val="fr-FR"/>
        </w:rPr>
        <w:t xml:space="preserve">loi de 1914 </w:t>
      </w:r>
      <w:r w:rsidR="00E62A0F">
        <w:rPr>
          <w:lang w:val="fr-FR"/>
        </w:rPr>
        <w:t xml:space="preserve">du Commonwealth </w:t>
      </w:r>
      <w:r w:rsidR="00123E15" w:rsidRPr="0015408C">
        <w:rPr>
          <w:lang w:val="fr-FR"/>
        </w:rPr>
        <w:t>sur les</w:t>
      </w:r>
      <w:r w:rsidR="006D0587" w:rsidRPr="0015408C">
        <w:rPr>
          <w:lang w:val="fr-FR"/>
        </w:rPr>
        <w:t xml:space="preserve"> infractions</w:t>
      </w:r>
      <w:r w:rsidR="00123E15" w:rsidRPr="0015408C">
        <w:rPr>
          <w:lang w:val="fr-FR"/>
        </w:rPr>
        <w:t xml:space="preserve"> </w:t>
      </w:r>
      <w:r w:rsidR="00276DC2" w:rsidRPr="0015408C">
        <w:rPr>
          <w:lang w:val="fr-FR"/>
        </w:rPr>
        <w:t>pénales</w:t>
      </w:r>
      <w:r w:rsidR="00123E15">
        <w:rPr>
          <w:lang w:val="fr-FR"/>
        </w:rPr>
        <w:t xml:space="preserve"> permet à la </w:t>
      </w:r>
      <w:r w:rsidR="00E62A0F">
        <w:rPr>
          <w:lang w:val="fr-FR"/>
        </w:rPr>
        <w:t>p</w:t>
      </w:r>
      <w:r w:rsidR="00397763">
        <w:rPr>
          <w:lang w:val="fr-FR"/>
        </w:rPr>
        <w:t>olice fédérale australienne</w:t>
      </w:r>
      <w:r w:rsidR="00123E15">
        <w:rPr>
          <w:lang w:val="fr-FR"/>
        </w:rPr>
        <w:t xml:space="preserve"> de placer une personne en état d’arrestation et de détention s’il y a de bonnes raisons de croire qu’elle a commis une infraction à la législation du Commonwealth. </w:t>
      </w:r>
    </w:p>
    <w:p w:rsidR="00432EC3" w:rsidRPr="00123E15" w:rsidRDefault="00EA1CB8" w:rsidP="005D7B68">
      <w:pPr>
        <w:tabs>
          <w:tab w:val="left" w:pos="567"/>
          <w:tab w:val="left" w:pos="1134"/>
          <w:tab w:val="left" w:pos="1701"/>
          <w:tab w:val="left" w:pos="2268"/>
        </w:tabs>
        <w:rPr>
          <w:lang w:val="fr-FR"/>
        </w:rPr>
      </w:pPr>
      <w:r>
        <w:rPr>
          <w:lang w:val="fr-FR"/>
        </w:rPr>
        <w:t>83.</w:t>
      </w:r>
      <w:r>
        <w:rPr>
          <w:lang w:val="fr-FR"/>
        </w:rPr>
        <w:tab/>
        <w:t xml:space="preserve">La </w:t>
      </w:r>
      <w:r w:rsidR="00397763">
        <w:rPr>
          <w:lang w:val="fr-FR"/>
        </w:rPr>
        <w:t>police fédérale australienne</w:t>
      </w:r>
      <w:r w:rsidR="00123E15">
        <w:rPr>
          <w:lang w:val="fr-FR"/>
        </w:rPr>
        <w:t xml:space="preserve"> peut</w:t>
      </w:r>
      <w:r w:rsidR="00E62A0F">
        <w:rPr>
          <w:lang w:val="fr-FR"/>
        </w:rPr>
        <w:t xml:space="preserve"> placer</w:t>
      </w:r>
      <w:r>
        <w:rPr>
          <w:lang w:val="fr-FR"/>
        </w:rPr>
        <w:t xml:space="preserve"> cette personne</w:t>
      </w:r>
      <w:r w:rsidR="00E62A0F">
        <w:rPr>
          <w:lang w:val="fr-FR"/>
        </w:rPr>
        <w:t xml:space="preserve"> en garde à vue</w:t>
      </w:r>
      <w:r>
        <w:rPr>
          <w:lang w:val="fr-FR"/>
        </w:rPr>
        <w:t xml:space="preserve"> pendant quatre heures (ou deux heures dans le </w:t>
      </w:r>
      <w:r w:rsidR="008C6E08">
        <w:rPr>
          <w:lang w:val="fr-FR"/>
        </w:rPr>
        <w:t>cas d’un aborigène ou d’un insulaire</w:t>
      </w:r>
      <w:r>
        <w:rPr>
          <w:lang w:val="fr-FR"/>
        </w:rPr>
        <w:t xml:space="preserve"> du détroit de Torres), durée qui peut être prolongée par un magistrat jusqu’à </w:t>
      </w:r>
      <w:r w:rsidR="00381D6A">
        <w:rPr>
          <w:lang w:val="fr-FR"/>
        </w:rPr>
        <w:t>douze</w:t>
      </w:r>
      <w:r>
        <w:rPr>
          <w:lang w:val="fr-FR"/>
        </w:rPr>
        <w:t xml:space="preserve"> heures au maximum, ou, dans le cas d’une infraction liée au terrorisme, jusqu’à un maximum de </w:t>
      </w:r>
      <w:r w:rsidR="00381D6A">
        <w:rPr>
          <w:lang w:val="fr-FR"/>
        </w:rPr>
        <w:t>vingt-quatre</w:t>
      </w:r>
      <w:r>
        <w:rPr>
          <w:lang w:val="fr-FR"/>
        </w:rPr>
        <w:t xml:space="preserve"> heures</w:t>
      </w:r>
      <w:r w:rsidR="008D6B80">
        <w:rPr>
          <w:lang w:val="fr-FR"/>
        </w:rPr>
        <w:t xml:space="preserve">. </w:t>
      </w:r>
      <w:r w:rsidR="00E62A0F">
        <w:rPr>
          <w:lang w:val="fr-FR"/>
        </w:rPr>
        <w:t>En outre, cette garde à vue</w:t>
      </w:r>
      <w:r>
        <w:rPr>
          <w:lang w:val="fr-FR"/>
        </w:rPr>
        <w:t xml:space="preserve"> peut être prolongé</w:t>
      </w:r>
      <w:r w:rsidR="00E62A0F">
        <w:rPr>
          <w:lang w:val="fr-FR"/>
        </w:rPr>
        <w:t>e</w:t>
      </w:r>
      <w:r>
        <w:rPr>
          <w:lang w:val="fr-FR"/>
        </w:rPr>
        <w:t xml:space="preserve"> par périodes, selon </w:t>
      </w:r>
      <w:r w:rsidR="00E62A0F">
        <w:rPr>
          <w:lang w:val="fr-FR"/>
        </w:rPr>
        <w:t>la nécessité, pour permettre à l’intéressé</w:t>
      </w:r>
      <w:r>
        <w:rPr>
          <w:lang w:val="fr-FR"/>
        </w:rPr>
        <w:t xml:space="preserve"> de se reposer, de recevoir des soins médicaux</w:t>
      </w:r>
      <w:r w:rsidR="00432EC3">
        <w:rPr>
          <w:lang w:val="fr-FR"/>
        </w:rPr>
        <w:t xml:space="preserve"> ou de s’entretenir avec un avocat, entre autres</w:t>
      </w:r>
      <w:r w:rsidR="008D6B80">
        <w:rPr>
          <w:lang w:val="fr-FR"/>
        </w:rPr>
        <w:t xml:space="preserve">. </w:t>
      </w:r>
      <w:r w:rsidR="00432EC3">
        <w:rPr>
          <w:lang w:val="fr-FR"/>
        </w:rPr>
        <w:t>S’agissant d’une infraction liée au terrorisme, un magistrat peut également accorder des périodes de temps supplémentaires si la police a besoin de recueillir et d’analyser des informations d’autorités étrangères, d’opérer entre différents fuseaux horaires ou de traduire des documents</w:t>
      </w:r>
      <w:r w:rsidR="008D6B80">
        <w:rPr>
          <w:lang w:val="fr-FR"/>
        </w:rPr>
        <w:t xml:space="preserve">. </w:t>
      </w:r>
      <w:r w:rsidR="00432EC3">
        <w:rPr>
          <w:lang w:val="fr-FR"/>
        </w:rPr>
        <w:t xml:space="preserve">Pendant ces périodes supplémentaires, l’interrogatoire doit être interrompu. </w:t>
      </w:r>
    </w:p>
    <w:p w:rsidR="004075EF" w:rsidRPr="00432EC3" w:rsidRDefault="00432EC3" w:rsidP="005D7B68">
      <w:pPr>
        <w:tabs>
          <w:tab w:val="left" w:pos="567"/>
          <w:tab w:val="left" w:pos="1134"/>
          <w:tab w:val="left" w:pos="1701"/>
          <w:tab w:val="left" w:pos="2268"/>
        </w:tabs>
        <w:rPr>
          <w:lang w:val="fr-FR"/>
        </w:rPr>
      </w:pPr>
      <w:r>
        <w:rPr>
          <w:lang w:val="fr-FR"/>
        </w:rPr>
        <w:t>84.</w:t>
      </w:r>
      <w:r>
        <w:rPr>
          <w:lang w:val="fr-FR"/>
        </w:rPr>
        <w:tab/>
        <w:t>La législation comporte des</w:t>
      </w:r>
      <w:r w:rsidR="00ED3F5E">
        <w:rPr>
          <w:lang w:val="fr-FR"/>
        </w:rPr>
        <w:t xml:space="preserve"> critères détaillés exigeant</w:t>
      </w:r>
      <w:r w:rsidR="00E04FFE">
        <w:rPr>
          <w:lang w:val="fr-FR"/>
        </w:rPr>
        <w:t>s</w:t>
      </w:r>
      <w:r w:rsidR="00ED3F5E">
        <w:rPr>
          <w:lang w:val="fr-FR"/>
        </w:rPr>
        <w:t xml:space="preserve"> selon lesquels</w:t>
      </w:r>
      <w:r>
        <w:rPr>
          <w:lang w:val="fr-FR"/>
        </w:rPr>
        <w:t xml:space="preserve"> la police</w:t>
      </w:r>
      <w:r w:rsidR="00ED3F5E">
        <w:rPr>
          <w:lang w:val="fr-FR"/>
        </w:rPr>
        <w:t xml:space="preserve"> doit</w:t>
      </w:r>
      <w:r>
        <w:rPr>
          <w:lang w:val="fr-FR"/>
        </w:rPr>
        <w:t xml:space="preserve"> démontre</w:t>
      </w:r>
      <w:r w:rsidR="00ED3F5E">
        <w:rPr>
          <w:lang w:val="fr-FR"/>
        </w:rPr>
        <w:t>r à</w:t>
      </w:r>
      <w:r w:rsidR="000E1FED">
        <w:rPr>
          <w:lang w:val="fr-FR"/>
        </w:rPr>
        <w:t xml:space="preserve"> un magistrat que la prolongation</w:t>
      </w:r>
      <w:r w:rsidR="00296ACE">
        <w:rPr>
          <w:lang w:val="fr-FR"/>
        </w:rPr>
        <w:t xml:space="preserve"> de détention</w:t>
      </w:r>
      <w:r w:rsidR="000E1FED">
        <w:rPr>
          <w:lang w:val="fr-FR"/>
        </w:rPr>
        <w:t xml:space="preserve"> demandée</w:t>
      </w:r>
      <w:r>
        <w:rPr>
          <w:lang w:val="fr-FR"/>
        </w:rPr>
        <w:t xml:space="preserve"> est raisonnable</w:t>
      </w:r>
      <w:r w:rsidR="008D6B80">
        <w:rPr>
          <w:lang w:val="fr-FR"/>
        </w:rPr>
        <w:t xml:space="preserve">. </w:t>
      </w:r>
      <w:r>
        <w:rPr>
          <w:lang w:val="fr-FR"/>
        </w:rPr>
        <w:t xml:space="preserve">Il existe une gamme </w:t>
      </w:r>
      <w:r w:rsidR="00F60195">
        <w:rPr>
          <w:lang w:val="fr-FR"/>
        </w:rPr>
        <w:t xml:space="preserve">de </w:t>
      </w:r>
      <w:r>
        <w:rPr>
          <w:lang w:val="fr-FR"/>
        </w:rPr>
        <w:t>garanties dans la législation, y compris le droi</w:t>
      </w:r>
      <w:r w:rsidR="00ED3F5E">
        <w:rPr>
          <w:lang w:val="fr-FR"/>
        </w:rPr>
        <w:t>t pour un suspect de prendre contact</w:t>
      </w:r>
      <w:r>
        <w:rPr>
          <w:lang w:val="fr-FR"/>
        </w:rPr>
        <w:t xml:space="preserve"> avec un avocat</w:t>
      </w:r>
      <w:r w:rsidR="00F60195">
        <w:rPr>
          <w:lang w:val="fr-FR"/>
        </w:rPr>
        <w:t xml:space="preserve"> et de demander que ce dernier soit présent pendant l’interrogatoire</w:t>
      </w:r>
      <w:r w:rsidR="00ED3F5E">
        <w:rPr>
          <w:lang w:val="fr-FR"/>
        </w:rPr>
        <w:t>,</w:t>
      </w:r>
      <w:r w:rsidR="00F60195">
        <w:rPr>
          <w:lang w:val="fr-FR"/>
        </w:rPr>
        <w:t xml:space="preserve"> et celui d’être traité avec humanité et respect pour sa dignité humaine</w:t>
      </w:r>
      <w:r w:rsidR="008D6B80">
        <w:rPr>
          <w:lang w:val="fr-FR"/>
        </w:rPr>
        <w:t xml:space="preserve">. </w:t>
      </w:r>
      <w:r w:rsidR="00F60195">
        <w:rPr>
          <w:lang w:val="fr-FR"/>
        </w:rPr>
        <w:t xml:space="preserve">Si cette personne n’est pas un citoyen australien, elle </w:t>
      </w:r>
      <w:r w:rsidR="000713BF">
        <w:rPr>
          <w:lang w:val="fr-FR"/>
        </w:rPr>
        <w:t xml:space="preserve">doit </w:t>
      </w:r>
      <w:r w:rsidR="00F60195">
        <w:rPr>
          <w:lang w:val="fr-FR"/>
        </w:rPr>
        <w:t>avoir la possibilit</w:t>
      </w:r>
      <w:r w:rsidR="004075EF">
        <w:rPr>
          <w:lang w:val="fr-FR"/>
        </w:rPr>
        <w:t>é de communiquer avec la représentation</w:t>
      </w:r>
      <w:r w:rsidR="00F60195">
        <w:rPr>
          <w:lang w:val="fr-FR"/>
        </w:rPr>
        <w:t xml:space="preserve"> consulaire de son pays.</w:t>
      </w:r>
    </w:p>
    <w:p w:rsidR="001F48EA" w:rsidRPr="004075EF" w:rsidRDefault="004075EF" w:rsidP="005D7B68">
      <w:pPr>
        <w:tabs>
          <w:tab w:val="left" w:pos="567"/>
          <w:tab w:val="left" w:pos="1134"/>
          <w:tab w:val="left" w:pos="1701"/>
          <w:tab w:val="left" w:pos="2268"/>
        </w:tabs>
        <w:rPr>
          <w:lang w:val="fr-FR"/>
        </w:rPr>
      </w:pPr>
      <w:r>
        <w:rPr>
          <w:lang w:val="fr-FR"/>
        </w:rPr>
        <w:t>85.</w:t>
      </w:r>
      <w:r>
        <w:rPr>
          <w:lang w:val="fr-FR"/>
        </w:rPr>
        <w:tab/>
        <w:t xml:space="preserve">Chose importante, cependant, toute autorisation de prolongation du temps de l’interrogatoire ou du temps de détention aux fins de l’instruction </w:t>
      </w:r>
      <w:r w:rsidR="00ED3F5E">
        <w:rPr>
          <w:lang w:val="fr-FR"/>
        </w:rPr>
        <w:t>est soumise à</w:t>
      </w:r>
      <w:r>
        <w:rPr>
          <w:lang w:val="fr-FR"/>
        </w:rPr>
        <w:t xml:space="preserve"> l’accord d’un magistrat indépendant</w:t>
      </w:r>
      <w:r w:rsidR="008D6B80">
        <w:rPr>
          <w:lang w:val="fr-FR"/>
        </w:rPr>
        <w:t xml:space="preserve">. </w:t>
      </w:r>
      <w:r w:rsidR="00F518F1">
        <w:rPr>
          <w:lang w:val="fr-FR"/>
        </w:rPr>
        <w:t>La législation garantit</w:t>
      </w:r>
      <w:r>
        <w:rPr>
          <w:lang w:val="fr-FR"/>
        </w:rPr>
        <w:t xml:space="preserve"> que </w:t>
      </w:r>
      <w:r w:rsidR="001F48EA">
        <w:rPr>
          <w:lang w:val="fr-FR"/>
        </w:rPr>
        <w:t>les magi</w:t>
      </w:r>
      <w:r w:rsidR="00F518F1">
        <w:rPr>
          <w:lang w:val="fr-FR"/>
        </w:rPr>
        <w:t>strats étudient comme il convient</w:t>
      </w:r>
      <w:r w:rsidR="001F48EA">
        <w:rPr>
          <w:lang w:val="fr-FR"/>
        </w:rPr>
        <w:t xml:space="preserve"> et de façon indépendante tous les facteurs pertinen</w:t>
      </w:r>
      <w:r w:rsidR="00F518F1">
        <w:rPr>
          <w:lang w:val="fr-FR"/>
        </w:rPr>
        <w:t>ts pour déterminer s’il est bon</w:t>
      </w:r>
      <w:r w:rsidR="001F48EA">
        <w:rPr>
          <w:lang w:val="fr-FR"/>
        </w:rPr>
        <w:t xml:space="preserve"> d’autoriser une prolongation de l’interrogatoire ou de la détention</w:t>
      </w:r>
      <w:r w:rsidR="008D6B80">
        <w:rPr>
          <w:lang w:val="fr-FR"/>
        </w:rPr>
        <w:t xml:space="preserve">. </w:t>
      </w:r>
    </w:p>
    <w:p w:rsidR="009A3F6C" w:rsidRPr="001F48EA" w:rsidRDefault="001F48EA" w:rsidP="005D7B68">
      <w:pPr>
        <w:tabs>
          <w:tab w:val="left" w:pos="567"/>
          <w:tab w:val="left" w:pos="1134"/>
          <w:tab w:val="left" w:pos="1701"/>
          <w:tab w:val="left" w:pos="2268"/>
        </w:tabs>
        <w:rPr>
          <w:lang w:val="fr-FR"/>
        </w:rPr>
      </w:pPr>
      <w:r>
        <w:rPr>
          <w:lang w:val="fr-FR"/>
        </w:rPr>
        <w:t>86.</w:t>
      </w:r>
      <w:r>
        <w:rPr>
          <w:lang w:val="fr-FR"/>
        </w:rPr>
        <w:tab/>
        <w:t>Á la suite de la condamnation, l’article 16</w:t>
      </w:r>
      <w:r w:rsidR="00F518F1">
        <w:rPr>
          <w:lang w:val="fr-FR"/>
        </w:rPr>
        <w:t>E</w:t>
      </w:r>
      <w:r>
        <w:rPr>
          <w:lang w:val="fr-FR"/>
        </w:rPr>
        <w:t xml:space="preserve"> 2) de la loi sur les </w:t>
      </w:r>
      <w:r w:rsidR="006D0587">
        <w:rPr>
          <w:lang w:val="fr-FR"/>
        </w:rPr>
        <w:t xml:space="preserve">infractions </w:t>
      </w:r>
      <w:r w:rsidR="00276DC2">
        <w:rPr>
          <w:lang w:val="fr-FR"/>
        </w:rPr>
        <w:t xml:space="preserve">pénales </w:t>
      </w:r>
      <w:r>
        <w:rPr>
          <w:lang w:val="fr-FR"/>
        </w:rPr>
        <w:t>prévoit qu’une loi d’un État ou d’un Territ</w:t>
      </w:r>
      <w:r w:rsidR="008C177F">
        <w:rPr>
          <w:lang w:val="fr-FR"/>
        </w:rPr>
        <w:t>oire</w:t>
      </w:r>
      <w:r w:rsidR="004B0BAB">
        <w:rPr>
          <w:lang w:val="fr-FR"/>
        </w:rPr>
        <w:t xml:space="preserve"> permettant </w:t>
      </w:r>
      <w:r w:rsidR="008C177F">
        <w:rPr>
          <w:lang w:val="fr-FR"/>
        </w:rPr>
        <w:t>de décompter</w:t>
      </w:r>
      <w:r>
        <w:rPr>
          <w:lang w:val="fr-FR"/>
        </w:rPr>
        <w:t xml:space="preserve"> </w:t>
      </w:r>
      <w:r w:rsidR="008C177F">
        <w:rPr>
          <w:lang w:val="fr-FR"/>
        </w:rPr>
        <w:t>le temps passé en</w:t>
      </w:r>
      <w:r w:rsidR="004B0BAB">
        <w:rPr>
          <w:lang w:val="fr-FR"/>
        </w:rPr>
        <w:t xml:space="preserve"> garde à vue</w:t>
      </w:r>
      <w:r w:rsidR="008C177F">
        <w:rPr>
          <w:lang w:val="fr-FR"/>
        </w:rPr>
        <w:t xml:space="preserve"> de </w:t>
      </w:r>
      <w:r>
        <w:rPr>
          <w:lang w:val="fr-FR"/>
        </w:rPr>
        <w:t xml:space="preserve">la durée d’une peine ou </w:t>
      </w:r>
      <w:r w:rsidR="008C177F">
        <w:rPr>
          <w:lang w:val="fr-FR"/>
        </w:rPr>
        <w:t xml:space="preserve">de </w:t>
      </w:r>
      <w:r>
        <w:rPr>
          <w:lang w:val="fr-FR"/>
        </w:rPr>
        <w:t xml:space="preserve">la </w:t>
      </w:r>
      <w:r w:rsidRPr="0015408C">
        <w:rPr>
          <w:lang w:val="fr-FR"/>
        </w:rPr>
        <w:t>pér</w:t>
      </w:r>
      <w:r w:rsidR="00F518F1" w:rsidRPr="0015408C">
        <w:rPr>
          <w:lang w:val="fr-FR"/>
        </w:rPr>
        <w:t>iode pendant laquelle l</w:t>
      </w:r>
      <w:r w:rsidR="0015408C" w:rsidRPr="0015408C">
        <w:rPr>
          <w:lang w:val="fr-FR"/>
        </w:rPr>
        <w:t>a peine n’est pas susceptible d’aménagement</w:t>
      </w:r>
      <w:r w:rsidR="001976B3" w:rsidRPr="0015408C">
        <w:rPr>
          <w:lang w:val="fr-FR"/>
        </w:rPr>
        <w:t xml:space="preserve">, ou bien </w:t>
      </w:r>
      <w:r w:rsidR="004B0BAB">
        <w:rPr>
          <w:lang w:val="fr-FR"/>
        </w:rPr>
        <w:t xml:space="preserve">disposant </w:t>
      </w:r>
      <w:r w:rsidR="001976B3" w:rsidRPr="0015408C">
        <w:rPr>
          <w:lang w:val="fr-FR"/>
        </w:rPr>
        <w:t xml:space="preserve">que la peine ou la période pendant laquelle </w:t>
      </w:r>
      <w:r w:rsidR="004B0BAB">
        <w:rPr>
          <w:lang w:val="fr-FR"/>
        </w:rPr>
        <w:t>elle</w:t>
      </w:r>
      <w:r w:rsidR="0015408C" w:rsidRPr="0015408C">
        <w:rPr>
          <w:lang w:val="fr-FR"/>
        </w:rPr>
        <w:t xml:space="preserve"> est insusceptible d’aménagement</w:t>
      </w:r>
      <w:r w:rsidR="008C177F" w:rsidRPr="0015408C">
        <w:rPr>
          <w:lang w:val="fr-FR"/>
        </w:rPr>
        <w:t xml:space="preserve"> </w:t>
      </w:r>
      <w:r w:rsidR="001976B3" w:rsidRPr="0015408C">
        <w:rPr>
          <w:lang w:val="fr-FR"/>
        </w:rPr>
        <w:t>part du jour où cette personne a été</w:t>
      </w:r>
      <w:r w:rsidR="001976B3">
        <w:rPr>
          <w:lang w:val="fr-FR"/>
        </w:rPr>
        <w:t xml:space="preserve"> placée en garde à vue pour une infraction, s’applique également aux sentences fédérales dans cet État ou ce Ter</w:t>
      </w:r>
      <w:r w:rsidR="009A3F6C">
        <w:rPr>
          <w:lang w:val="fr-FR"/>
        </w:rPr>
        <w:t>r</w:t>
      </w:r>
      <w:r w:rsidR="001976B3">
        <w:rPr>
          <w:lang w:val="fr-FR"/>
        </w:rPr>
        <w:t>itoire.</w:t>
      </w:r>
    </w:p>
    <w:p w:rsidR="00AC4966" w:rsidRPr="002302C3" w:rsidRDefault="009A3F6C" w:rsidP="005D7B68">
      <w:pPr>
        <w:tabs>
          <w:tab w:val="left" w:pos="567"/>
          <w:tab w:val="left" w:pos="1134"/>
          <w:tab w:val="left" w:pos="1701"/>
          <w:tab w:val="left" w:pos="2268"/>
        </w:tabs>
        <w:rPr>
          <w:lang w:val="fr-FR"/>
        </w:rPr>
      </w:pPr>
      <w:r>
        <w:rPr>
          <w:lang w:val="fr-FR"/>
        </w:rPr>
        <w:t>87.</w:t>
      </w:r>
      <w:r>
        <w:rPr>
          <w:lang w:val="fr-FR"/>
        </w:rPr>
        <w:tab/>
      </w:r>
      <w:r w:rsidR="002302C3">
        <w:rPr>
          <w:lang w:val="fr-FR"/>
        </w:rPr>
        <w:t xml:space="preserve">Par ailleurs, </w:t>
      </w:r>
      <w:r w:rsidR="002302C3" w:rsidRPr="002302C3">
        <w:rPr>
          <w:bCs/>
          <w:lang w:val="fr-FR"/>
        </w:rPr>
        <w:t xml:space="preserve">la </w:t>
      </w:r>
      <w:r w:rsidR="002302C3" w:rsidRPr="00F518F1">
        <w:rPr>
          <w:bCs/>
          <w:lang w:val="fr-FR"/>
        </w:rPr>
        <w:t>loi de 1979 sur l’Agence australienne du renseignement relatif à la sécurité</w:t>
      </w:r>
      <w:r w:rsidR="002302C3">
        <w:rPr>
          <w:bCs/>
          <w:lang w:val="fr-FR"/>
        </w:rPr>
        <w:t xml:space="preserve"> habilite ladite agence à solliciter un mandat pour interroger et, dans certaines circonstances placer en détention, une personne pouvant détenir des informations</w:t>
      </w:r>
      <w:r w:rsidR="00774683">
        <w:rPr>
          <w:bCs/>
          <w:lang w:val="fr-FR"/>
        </w:rPr>
        <w:t xml:space="preserve"> relatives à une infraction terroriste.</w:t>
      </w:r>
    </w:p>
    <w:p w:rsidR="00AC4966" w:rsidRPr="00AC4966" w:rsidRDefault="00AC4966" w:rsidP="005D7B68">
      <w:pPr>
        <w:tabs>
          <w:tab w:val="left" w:pos="567"/>
          <w:tab w:val="left" w:pos="1134"/>
          <w:tab w:val="left" w:pos="1701"/>
          <w:tab w:val="left" w:pos="2268"/>
        </w:tabs>
        <w:rPr>
          <w:lang w:val="fr-FR"/>
        </w:rPr>
      </w:pPr>
      <w:r>
        <w:rPr>
          <w:lang w:val="fr-FR"/>
        </w:rPr>
        <w:t>88.</w:t>
      </w:r>
      <w:r>
        <w:rPr>
          <w:lang w:val="fr-FR"/>
        </w:rPr>
        <w:tab/>
        <w:t xml:space="preserve">Un mandat permet d’interroger une personne pendant un maximum de </w:t>
      </w:r>
      <w:r w:rsidR="00381D6A">
        <w:rPr>
          <w:lang w:val="fr-FR"/>
        </w:rPr>
        <w:t>vingt</w:t>
      </w:r>
      <w:r w:rsidR="00381D6A">
        <w:rPr>
          <w:lang w:val="fr-FR"/>
        </w:rPr>
        <w:noBreakHyphen/>
        <w:t>quatre </w:t>
      </w:r>
      <w:r>
        <w:rPr>
          <w:lang w:val="fr-FR"/>
        </w:rPr>
        <w:t xml:space="preserve">heures (ou </w:t>
      </w:r>
      <w:r w:rsidR="00EB140F">
        <w:rPr>
          <w:lang w:val="fr-FR"/>
        </w:rPr>
        <w:t>quarante</w:t>
      </w:r>
      <w:r w:rsidR="00EB140F">
        <w:rPr>
          <w:lang w:val="fr-FR"/>
        </w:rPr>
        <w:noBreakHyphen/>
      </w:r>
      <w:r w:rsidR="00381D6A">
        <w:rPr>
          <w:lang w:val="fr-FR"/>
        </w:rPr>
        <w:t>huit</w:t>
      </w:r>
      <w:r>
        <w:rPr>
          <w:lang w:val="fr-FR"/>
        </w:rPr>
        <w:t xml:space="preserve"> heures dans le cas où l’on a recours à un interprète)</w:t>
      </w:r>
      <w:r w:rsidR="008D6B80">
        <w:rPr>
          <w:lang w:val="fr-FR"/>
        </w:rPr>
        <w:t xml:space="preserve">. </w:t>
      </w:r>
      <w:r>
        <w:rPr>
          <w:lang w:val="fr-FR"/>
        </w:rPr>
        <w:t>L’Agence peut tout d’abord interroger une personne pendant huit heures au maximum, puis doit obtenir l’autorisation d’une autorité désignée pour pouvoir prolonger l’interroga</w:t>
      </w:r>
      <w:r w:rsidR="00830797">
        <w:rPr>
          <w:lang w:val="fr-FR"/>
        </w:rPr>
        <w:t>toire de huit heures à chaque demande</w:t>
      </w:r>
      <w:r w:rsidR="008D6B80">
        <w:rPr>
          <w:lang w:val="fr-FR"/>
        </w:rPr>
        <w:t xml:space="preserve">. </w:t>
      </w:r>
      <w:r>
        <w:rPr>
          <w:lang w:val="fr-FR"/>
        </w:rPr>
        <w:t>L’autorité désignée peut être un ancien magistrat ayant exercé ses fonctions auprès d’une juridiction supérieure, u</w:t>
      </w:r>
      <w:r w:rsidR="00F518F1">
        <w:rPr>
          <w:lang w:val="fr-FR"/>
        </w:rPr>
        <w:t>n magistrat en poste à la Cour s</w:t>
      </w:r>
      <w:r w:rsidR="00166388">
        <w:rPr>
          <w:lang w:val="fr-FR"/>
        </w:rPr>
        <w:t>uprême ou dans un</w:t>
      </w:r>
      <w:r>
        <w:rPr>
          <w:lang w:val="fr-FR"/>
        </w:rPr>
        <w:t xml:space="preserve"> tribunal de district d’un État ou d’un Territoire, ou</w:t>
      </w:r>
      <w:r w:rsidR="007D6300">
        <w:rPr>
          <w:lang w:val="fr-FR"/>
        </w:rPr>
        <w:t xml:space="preserve"> encore le Président ou le Vice</w:t>
      </w:r>
      <w:r w:rsidR="007D6300">
        <w:rPr>
          <w:lang w:val="fr-FR"/>
        </w:rPr>
        <w:noBreakHyphen/>
      </w:r>
      <w:r>
        <w:rPr>
          <w:lang w:val="fr-FR"/>
        </w:rPr>
        <w:t>Président du Tribunal d’appel administratif</w:t>
      </w:r>
      <w:r w:rsidR="008D6B80">
        <w:rPr>
          <w:lang w:val="fr-FR"/>
        </w:rPr>
        <w:t xml:space="preserve">. </w:t>
      </w:r>
    </w:p>
    <w:p w:rsidR="00D11C47" w:rsidRPr="00AC4966" w:rsidRDefault="00AC4966" w:rsidP="005D7B68">
      <w:pPr>
        <w:tabs>
          <w:tab w:val="left" w:pos="567"/>
          <w:tab w:val="left" w:pos="1134"/>
          <w:tab w:val="left" w:pos="1701"/>
          <w:tab w:val="left" w:pos="2268"/>
        </w:tabs>
        <w:rPr>
          <w:lang w:val="fr-FR"/>
        </w:rPr>
      </w:pPr>
      <w:r>
        <w:rPr>
          <w:lang w:val="fr-FR"/>
        </w:rPr>
        <w:t>89.</w:t>
      </w:r>
      <w:r>
        <w:rPr>
          <w:lang w:val="fr-FR"/>
        </w:rPr>
        <w:tab/>
        <w:t>Dans</w:t>
      </w:r>
      <w:r w:rsidR="00526B2E">
        <w:rPr>
          <w:lang w:val="fr-FR"/>
        </w:rPr>
        <w:t xml:space="preserve"> </w:t>
      </w:r>
      <w:r>
        <w:rPr>
          <w:lang w:val="fr-FR"/>
        </w:rPr>
        <w:t>certa</w:t>
      </w:r>
      <w:r w:rsidR="00526B2E">
        <w:rPr>
          <w:lang w:val="fr-FR"/>
        </w:rPr>
        <w:t>ines circonstances, par exemple s’il existe de bonnes raiso</w:t>
      </w:r>
      <w:r w:rsidR="00147CDB">
        <w:rPr>
          <w:lang w:val="fr-FR"/>
        </w:rPr>
        <w:t>n de penser que la personne est susceptible de</w:t>
      </w:r>
      <w:r w:rsidR="00526B2E">
        <w:rPr>
          <w:lang w:val="fr-FR"/>
        </w:rPr>
        <w:t xml:space="preserve"> ne pas se présenter devant une autorité désignée, elle peut être placée en détention pendant un maximum de 168 heures, cela devant être autorisé spécifiquement par le mandat.</w:t>
      </w:r>
    </w:p>
    <w:p w:rsidR="00C84AC8" w:rsidRPr="0015408C" w:rsidRDefault="00D11C47" w:rsidP="005D7B68">
      <w:pPr>
        <w:tabs>
          <w:tab w:val="left" w:pos="567"/>
          <w:tab w:val="left" w:pos="1134"/>
          <w:tab w:val="left" w:pos="1701"/>
          <w:tab w:val="left" w:pos="2268"/>
        </w:tabs>
        <w:rPr>
          <w:lang w:val="fr-FR"/>
        </w:rPr>
      </w:pPr>
      <w:r>
        <w:rPr>
          <w:lang w:val="fr-FR"/>
        </w:rPr>
        <w:t>90.</w:t>
      </w:r>
      <w:r>
        <w:rPr>
          <w:lang w:val="fr-FR"/>
        </w:rPr>
        <w:tab/>
        <w:t>Depuis l’introduction de ces lois en 2003 et jusqu’au 30 juin 2006</w:t>
      </w:r>
      <w:r w:rsidR="0015408C">
        <w:rPr>
          <w:lang w:val="fr-FR"/>
        </w:rPr>
        <w:t>, 14 mandats de ce type ont été délivrés</w:t>
      </w:r>
      <w:r w:rsidR="00E27362">
        <w:rPr>
          <w:lang w:val="fr-FR"/>
        </w:rPr>
        <w:t>, mais a</w:t>
      </w:r>
      <w:r>
        <w:rPr>
          <w:lang w:val="fr-FR"/>
        </w:rPr>
        <w:t>ucun m</w:t>
      </w:r>
      <w:r w:rsidR="00E27362">
        <w:rPr>
          <w:lang w:val="fr-FR"/>
        </w:rPr>
        <w:t>andat de dépôt</w:t>
      </w:r>
      <w:r w:rsidR="008D6B80">
        <w:rPr>
          <w:lang w:val="fr-FR"/>
        </w:rPr>
        <w:t xml:space="preserve">. </w:t>
      </w:r>
      <w:r w:rsidR="00C84AC8" w:rsidRPr="0015408C">
        <w:rPr>
          <w:lang w:val="fr-FR"/>
        </w:rPr>
        <w:t xml:space="preserve">Les renseignements sur les mandats </w:t>
      </w:r>
      <w:r w:rsidR="0015408C" w:rsidRPr="0015408C">
        <w:rPr>
          <w:lang w:val="fr-FR"/>
        </w:rPr>
        <w:t>délivré</w:t>
      </w:r>
      <w:r w:rsidR="00C84AC8" w:rsidRPr="0015408C">
        <w:rPr>
          <w:lang w:val="fr-FR"/>
        </w:rPr>
        <w:t>s, s’il y en a, pendant l’année</w:t>
      </w:r>
      <w:r w:rsidR="00F518F1" w:rsidRPr="0015408C">
        <w:rPr>
          <w:lang w:val="fr-FR"/>
        </w:rPr>
        <w:t>,</w:t>
      </w:r>
      <w:r w:rsidR="00C84AC8" w:rsidRPr="0015408C">
        <w:rPr>
          <w:lang w:val="fr-FR"/>
        </w:rPr>
        <w:t xml:space="preserve"> à partir du 30 juin 2006 jusqu’au moment présent figu</w:t>
      </w:r>
      <w:r w:rsidR="00F518F1" w:rsidRPr="0015408C">
        <w:rPr>
          <w:lang w:val="fr-FR"/>
        </w:rPr>
        <w:t>reront dans le rapport annuel adressé au Parlement par</w:t>
      </w:r>
      <w:r w:rsidR="00C84AC8" w:rsidRPr="0015408C">
        <w:rPr>
          <w:lang w:val="fr-FR"/>
        </w:rPr>
        <w:t xml:space="preserve"> l’Agence australienne du renseignement re</w:t>
      </w:r>
      <w:r w:rsidR="00F518F1" w:rsidRPr="0015408C">
        <w:rPr>
          <w:lang w:val="fr-FR"/>
        </w:rPr>
        <w:t>latif à la sécurité</w:t>
      </w:r>
      <w:r w:rsidR="00C84AC8" w:rsidRPr="0015408C">
        <w:rPr>
          <w:lang w:val="fr-FR"/>
        </w:rPr>
        <w:t>.</w:t>
      </w:r>
    </w:p>
    <w:p w:rsidR="00BF0403" w:rsidRPr="0015408C" w:rsidRDefault="00C84AC8" w:rsidP="005D7B68">
      <w:pPr>
        <w:tabs>
          <w:tab w:val="left" w:pos="567"/>
          <w:tab w:val="left" w:pos="1134"/>
          <w:tab w:val="left" w:pos="1701"/>
          <w:tab w:val="left" w:pos="2268"/>
        </w:tabs>
        <w:rPr>
          <w:lang w:val="fr-FR"/>
        </w:rPr>
      </w:pPr>
      <w:r w:rsidRPr="0015408C">
        <w:rPr>
          <w:lang w:val="fr-FR"/>
        </w:rPr>
        <w:t>91.</w:t>
      </w:r>
      <w:r w:rsidRPr="0015408C">
        <w:rPr>
          <w:lang w:val="fr-FR"/>
        </w:rPr>
        <w:tab/>
      </w:r>
      <w:r w:rsidR="00591A00" w:rsidRPr="0015408C">
        <w:rPr>
          <w:lang w:val="fr-FR"/>
        </w:rPr>
        <w:t>Aux termes de la division 105 de la loi de 1995 sur l</w:t>
      </w:r>
      <w:r w:rsidR="00E27362">
        <w:rPr>
          <w:lang w:val="fr-FR"/>
        </w:rPr>
        <w:t>e Code pénal du Commonwealth, tout</w:t>
      </w:r>
      <w:r w:rsidR="00591A00" w:rsidRPr="0015408C">
        <w:rPr>
          <w:lang w:val="fr-FR"/>
        </w:rPr>
        <w:t xml:space="preserve"> officier supérieur de la </w:t>
      </w:r>
      <w:r w:rsidR="00F518F1" w:rsidRPr="0015408C">
        <w:rPr>
          <w:lang w:val="fr-FR"/>
        </w:rPr>
        <w:t>p</w:t>
      </w:r>
      <w:r w:rsidR="00397763" w:rsidRPr="0015408C">
        <w:rPr>
          <w:lang w:val="fr-FR"/>
        </w:rPr>
        <w:t>olice fédérale australienne</w:t>
      </w:r>
      <w:r w:rsidR="00261D2B">
        <w:rPr>
          <w:lang w:val="fr-FR"/>
        </w:rPr>
        <w:t xml:space="preserve"> est habilité à délivrer</w:t>
      </w:r>
      <w:r w:rsidR="00591A00" w:rsidRPr="0015408C">
        <w:rPr>
          <w:lang w:val="fr-FR"/>
        </w:rPr>
        <w:t xml:space="preserve"> une ordonnance</w:t>
      </w:r>
      <w:r w:rsidR="00572260">
        <w:rPr>
          <w:lang w:val="fr-FR"/>
        </w:rPr>
        <w:t xml:space="preserve"> </w:t>
      </w:r>
      <w:r w:rsidR="00591A00" w:rsidRPr="0015408C">
        <w:rPr>
          <w:lang w:val="fr-FR"/>
        </w:rPr>
        <w:t xml:space="preserve">autorisant le placement en détention </w:t>
      </w:r>
      <w:r w:rsidR="001715C7">
        <w:rPr>
          <w:lang w:val="fr-FR"/>
        </w:rPr>
        <w:t xml:space="preserve">préventive </w:t>
      </w:r>
      <w:r w:rsidR="00591A00" w:rsidRPr="0015408C">
        <w:rPr>
          <w:lang w:val="fr-FR"/>
        </w:rPr>
        <w:t xml:space="preserve">d’une personne pour </w:t>
      </w:r>
      <w:r w:rsidR="00381D6A">
        <w:rPr>
          <w:lang w:val="fr-FR"/>
        </w:rPr>
        <w:t>vingt-quatre</w:t>
      </w:r>
      <w:r w:rsidR="00591A00" w:rsidRPr="0015408C">
        <w:rPr>
          <w:lang w:val="fr-FR"/>
        </w:rPr>
        <w:t xml:space="preserve"> heures au maximum afin de prévenir un attentat terro</w:t>
      </w:r>
      <w:r w:rsidR="00E27362">
        <w:rPr>
          <w:lang w:val="fr-FR"/>
        </w:rPr>
        <w:t>riste imminent ou de préserver d</w:t>
      </w:r>
      <w:r w:rsidR="00591A00" w:rsidRPr="0015408C">
        <w:rPr>
          <w:lang w:val="fr-FR"/>
        </w:rPr>
        <w:t>es preuves d’un acte terroriste</w:t>
      </w:r>
      <w:r w:rsidR="008D6B80">
        <w:rPr>
          <w:lang w:val="fr-FR"/>
        </w:rPr>
        <w:t xml:space="preserve">. </w:t>
      </w:r>
      <w:r w:rsidR="00BF0403" w:rsidRPr="0015408C">
        <w:rPr>
          <w:lang w:val="fr-FR"/>
        </w:rPr>
        <w:t xml:space="preserve">Le Code pénal habilite une autorité apte à délivrer cette ordonnance (un </w:t>
      </w:r>
      <w:r w:rsidR="00F518F1" w:rsidRPr="0015408C">
        <w:rPr>
          <w:i/>
          <w:iCs/>
          <w:lang w:val="fr-FR"/>
        </w:rPr>
        <w:t>m</w:t>
      </w:r>
      <w:r w:rsidR="00BF0403" w:rsidRPr="0015408C">
        <w:rPr>
          <w:i/>
          <w:iCs/>
          <w:lang w:val="fr-FR"/>
        </w:rPr>
        <w:t>agistrate</w:t>
      </w:r>
      <w:r w:rsidR="00BF0403" w:rsidRPr="0015408C">
        <w:rPr>
          <w:lang w:val="fr-FR"/>
        </w:rPr>
        <w:t xml:space="preserve"> fédéral ou un juge qui a accepté ce rôle et qui agit à titre personnel) à prolonger cette dernière </w:t>
      </w:r>
      <w:r w:rsidR="00F518F1" w:rsidRPr="0015408C">
        <w:rPr>
          <w:lang w:val="fr-FR"/>
        </w:rPr>
        <w:t>d</w:t>
      </w:r>
      <w:r w:rsidR="00BF0403" w:rsidRPr="0015408C">
        <w:rPr>
          <w:lang w:val="fr-FR"/>
        </w:rPr>
        <w:t xml:space="preserve">e </w:t>
      </w:r>
      <w:r w:rsidR="00381D6A">
        <w:rPr>
          <w:lang w:val="fr-FR"/>
        </w:rPr>
        <w:t>vingt-quatre</w:t>
      </w:r>
      <w:r w:rsidR="00BF0403" w:rsidRPr="0015408C">
        <w:rPr>
          <w:lang w:val="fr-FR"/>
        </w:rPr>
        <w:t xml:space="preserve"> heures</w:t>
      </w:r>
      <w:r w:rsidR="008D6B80">
        <w:rPr>
          <w:lang w:val="fr-FR"/>
        </w:rPr>
        <w:t xml:space="preserve">. </w:t>
      </w:r>
    </w:p>
    <w:p w:rsidR="00BF0403" w:rsidRPr="0015408C" w:rsidRDefault="00BF0403" w:rsidP="005D7B68">
      <w:pPr>
        <w:tabs>
          <w:tab w:val="left" w:pos="567"/>
          <w:tab w:val="left" w:pos="1134"/>
          <w:tab w:val="left" w:pos="1701"/>
          <w:tab w:val="left" w:pos="2268"/>
        </w:tabs>
        <w:rPr>
          <w:lang w:val="fr-FR"/>
        </w:rPr>
      </w:pPr>
      <w:r w:rsidRPr="0015408C">
        <w:rPr>
          <w:lang w:val="fr-FR"/>
        </w:rPr>
        <w:t>92.</w:t>
      </w:r>
      <w:r w:rsidRPr="0015408C">
        <w:rPr>
          <w:lang w:val="fr-FR"/>
        </w:rPr>
        <w:tab/>
        <w:t xml:space="preserve">Il n’a été </w:t>
      </w:r>
      <w:r w:rsidR="0015408C" w:rsidRPr="0015408C">
        <w:rPr>
          <w:lang w:val="fr-FR"/>
        </w:rPr>
        <w:t>délivré</w:t>
      </w:r>
      <w:r w:rsidRPr="0015408C">
        <w:rPr>
          <w:lang w:val="fr-FR"/>
        </w:rPr>
        <w:t xml:space="preserve"> aucune ordonnance de mise en détention préventive depuis l’adoption de ces lois en 2005.</w:t>
      </w:r>
    </w:p>
    <w:p w:rsidR="000F17FA" w:rsidRPr="00BF0403" w:rsidRDefault="00E27362" w:rsidP="005D7B68">
      <w:pPr>
        <w:tabs>
          <w:tab w:val="left" w:pos="567"/>
          <w:tab w:val="left" w:pos="1134"/>
          <w:tab w:val="left" w:pos="1701"/>
          <w:tab w:val="left" w:pos="2268"/>
        </w:tabs>
        <w:rPr>
          <w:lang w:val="fr-FR"/>
        </w:rPr>
      </w:pPr>
      <w:r>
        <w:rPr>
          <w:lang w:val="fr-FR"/>
        </w:rPr>
        <w:t>93.</w:t>
      </w:r>
      <w:r>
        <w:rPr>
          <w:lang w:val="fr-FR"/>
        </w:rPr>
        <w:tab/>
        <w:t>Le lecteur trouvera des informations plus détaillées</w:t>
      </w:r>
      <w:r w:rsidR="00F518F1">
        <w:rPr>
          <w:lang w:val="fr-FR"/>
        </w:rPr>
        <w:t xml:space="preserve"> concernant, entre autres,</w:t>
      </w:r>
      <w:r w:rsidR="00BF0403">
        <w:rPr>
          <w:lang w:val="fr-FR"/>
        </w:rPr>
        <w:t xml:space="preserve"> d’autres garanties pour les personnes placées en détention au titre de dispositions du Code pénal et de la loi sur l’Agence</w:t>
      </w:r>
      <w:r w:rsidR="000F17FA">
        <w:rPr>
          <w:lang w:val="fr-FR"/>
        </w:rPr>
        <w:t xml:space="preserve"> australienne du renseignement relatif à la sécurit</w:t>
      </w:r>
      <w:r w:rsidR="00790E49">
        <w:rPr>
          <w:lang w:val="fr-FR"/>
        </w:rPr>
        <w:t>é dans la réponse à la question </w:t>
      </w:r>
      <w:r w:rsidR="000F17FA">
        <w:rPr>
          <w:lang w:val="fr-FR"/>
        </w:rPr>
        <w:t>5.</w:t>
      </w:r>
    </w:p>
    <w:p w:rsidR="004E7D65" w:rsidRDefault="000F17FA" w:rsidP="005D7B68">
      <w:pPr>
        <w:keepNext/>
        <w:tabs>
          <w:tab w:val="left" w:pos="567"/>
          <w:tab w:val="left" w:pos="1134"/>
          <w:tab w:val="left" w:pos="1701"/>
          <w:tab w:val="left" w:pos="2268"/>
        </w:tabs>
        <w:rPr>
          <w:b/>
          <w:bCs/>
          <w:lang w:val="fr-FR"/>
        </w:rPr>
      </w:pPr>
      <w:r>
        <w:rPr>
          <w:b/>
          <w:bCs/>
          <w:lang w:val="fr-FR"/>
        </w:rPr>
        <w:t>Informations des États et Territoires</w:t>
      </w:r>
    </w:p>
    <w:p w:rsidR="000F17FA" w:rsidRDefault="000F17FA" w:rsidP="005D7B68">
      <w:pPr>
        <w:keepNext/>
        <w:tabs>
          <w:tab w:val="left" w:pos="567"/>
          <w:tab w:val="left" w:pos="1134"/>
          <w:tab w:val="left" w:pos="1701"/>
          <w:tab w:val="left" w:pos="2268"/>
        </w:tabs>
        <w:rPr>
          <w:b/>
          <w:bCs/>
          <w:lang w:val="fr-FR"/>
        </w:rPr>
      </w:pPr>
      <w:r>
        <w:rPr>
          <w:b/>
          <w:bCs/>
          <w:lang w:val="fr-FR"/>
        </w:rPr>
        <w:t>Nouvelle-Galles du Sud</w:t>
      </w:r>
    </w:p>
    <w:p w:rsidR="000F17FA" w:rsidRPr="000F17FA" w:rsidRDefault="000F17FA" w:rsidP="005D7B68">
      <w:pPr>
        <w:keepNext/>
        <w:tabs>
          <w:tab w:val="left" w:pos="567"/>
          <w:tab w:val="left" w:pos="1134"/>
          <w:tab w:val="left" w:pos="1701"/>
          <w:tab w:val="left" w:pos="2268"/>
        </w:tabs>
        <w:rPr>
          <w:lang w:val="fr-FR"/>
        </w:rPr>
      </w:pPr>
      <w:r>
        <w:rPr>
          <w:lang w:val="fr-FR"/>
        </w:rPr>
        <w:t>94.</w:t>
      </w:r>
      <w:r>
        <w:rPr>
          <w:lang w:val="fr-FR"/>
        </w:rPr>
        <w:tab/>
      </w:r>
      <w:r w:rsidR="00977D46">
        <w:rPr>
          <w:lang w:val="fr-FR"/>
        </w:rPr>
        <w:t>Les décisions concernant la détention préventive</w:t>
      </w:r>
      <w:r w:rsidR="00790E49">
        <w:rPr>
          <w:lang w:val="fr-FR"/>
        </w:rPr>
        <w:t xml:space="preserve"> en Nouvelle</w:t>
      </w:r>
      <w:r w:rsidR="00790E49">
        <w:rPr>
          <w:lang w:val="fr-FR"/>
        </w:rPr>
        <w:noBreakHyphen/>
      </w:r>
      <w:r w:rsidR="00701C6E">
        <w:rPr>
          <w:lang w:val="fr-FR"/>
        </w:rPr>
        <w:t>Galles du Sud relèvent de la</w:t>
      </w:r>
      <w:r w:rsidR="00701C6E">
        <w:rPr>
          <w:i/>
          <w:iCs/>
          <w:lang w:val="fr-FR"/>
        </w:rPr>
        <w:t xml:space="preserve"> </w:t>
      </w:r>
      <w:r w:rsidR="00701C6E" w:rsidRPr="00F518F1">
        <w:rPr>
          <w:lang w:val="fr-FR"/>
        </w:rPr>
        <w:t>loi de 1978 sur la libération sous caution</w:t>
      </w:r>
      <w:r w:rsidR="00701C6E">
        <w:rPr>
          <w:lang w:val="fr-FR"/>
        </w:rPr>
        <w:t xml:space="preserve"> (Nouvelle</w:t>
      </w:r>
      <w:r w:rsidR="00790E49">
        <w:rPr>
          <w:lang w:val="fr-FR"/>
        </w:rPr>
        <w:noBreakHyphen/>
      </w:r>
      <w:r w:rsidR="00701C6E">
        <w:rPr>
          <w:lang w:val="fr-FR"/>
        </w:rPr>
        <w:t>Ga</w:t>
      </w:r>
      <w:r w:rsidR="00F518F1">
        <w:rPr>
          <w:lang w:val="fr-FR"/>
        </w:rPr>
        <w:t>lles du Sud), qui régit le</w:t>
      </w:r>
      <w:r w:rsidR="00701C6E">
        <w:rPr>
          <w:lang w:val="fr-FR"/>
        </w:rPr>
        <w:t xml:space="preserve"> pouvoir qu’a la police</w:t>
      </w:r>
      <w:r w:rsidR="00977D46">
        <w:rPr>
          <w:lang w:val="fr-FR"/>
        </w:rPr>
        <w:t xml:space="preserve"> </w:t>
      </w:r>
      <w:r w:rsidR="00701C6E">
        <w:rPr>
          <w:lang w:val="fr-FR"/>
        </w:rPr>
        <w:t>d’accorder la libération sous caution quand une personne a é</w:t>
      </w:r>
      <w:r w:rsidR="002D2981">
        <w:rPr>
          <w:lang w:val="fr-FR"/>
        </w:rPr>
        <w:t>té placée en état d’arrestation</w:t>
      </w:r>
      <w:r w:rsidR="00701C6E">
        <w:rPr>
          <w:lang w:val="fr-FR"/>
        </w:rPr>
        <w:t xml:space="preserve"> à la suite de la décision y afférente, ou bien de déférer ou de faire déférer cette personne devant un tribunal</w:t>
      </w:r>
      <w:r w:rsidR="004F0217">
        <w:rPr>
          <w:lang w:val="fr-FR"/>
        </w:rPr>
        <w:t xml:space="preserve"> (art. 18 1) b) i))</w:t>
      </w:r>
      <w:r w:rsidR="008D6B80">
        <w:rPr>
          <w:lang w:val="fr-FR"/>
        </w:rPr>
        <w:t xml:space="preserve">. </w:t>
      </w:r>
      <w:r w:rsidR="00701C6E">
        <w:rPr>
          <w:lang w:val="fr-FR"/>
        </w:rPr>
        <w:t>Dans le cas où la libération sous caution est refusée à un accusé par un fonctionnaire habilité, ou bien si la décision de libération sous caution prise par un fonctionnaire habilité n’est pas appliquée,</w:t>
      </w:r>
      <w:r w:rsidR="00AF1721">
        <w:rPr>
          <w:lang w:val="fr-FR"/>
        </w:rPr>
        <w:t xml:space="preserve"> le policier</w:t>
      </w:r>
      <w:r w:rsidR="00924CBC">
        <w:rPr>
          <w:lang w:val="fr-FR"/>
        </w:rPr>
        <w:t xml:space="preserve"> qui dirige le</w:t>
      </w:r>
      <w:r w:rsidR="00701C6E">
        <w:rPr>
          <w:lang w:val="fr-FR"/>
        </w:rPr>
        <w:t xml:space="preserve"> </w:t>
      </w:r>
      <w:r w:rsidR="00AF1721">
        <w:rPr>
          <w:lang w:val="fr-FR"/>
        </w:rPr>
        <w:t>poste</w:t>
      </w:r>
      <w:r w:rsidR="00C87ED3">
        <w:rPr>
          <w:lang w:val="fr-FR"/>
        </w:rPr>
        <w:t xml:space="preserve"> de police</w:t>
      </w:r>
      <w:r w:rsidR="00924CBC">
        <w:rPr>
          <w:lang w:val="fr-FR"/>
        </w:rPr>
        <w:t xml:space="preserve"> ou celui qui est chargé </w:t>
      </w:r>
      <w:r w:rsidR="00292ECD">
        <w:rPr>
          <w:lang w:val="fr-FR"/>
        </w:rPr>
        <w:t xml:space="preserve">de la garde à vue est tenu </w:t>
      </w:r>
      <w:r w:rsidR="00292ECD" w:rsidRPr="0015408C">
        <w:rPr>
          <w:lang w:val="fr-FR"/>
        </w:rPr>
        <w:t>de déférer ou de faire déférer</w:t>
      </w:r>
      <w:r w:rsidR="00292ECD">
        <w:rPr>
          <w:lang w:val="fr-FR"/>
        </w:rPr>
        <w:t xml:space="preserve"> l’intéressé devant un tribunal dans les plus brefs délais (art. 20 de la loi sur la libération sous caution).</w:t>
      </w:r>
    </w:p>
    <w:p w:rsidR="00F741F9" w:rsidRPr="00292ECD" w:rsidRDefault="00AF1721" w:rsidP="005D7B68">
      <w:pPr>
        <w:tabs>
          <w:tab w:val="left" w:pos="567"/>
          <w:tab w:val="left" w:pos="1134"/>
          <w:tab w:val="left" w:pos="1701"/>
          <w:tab w:val="left" w:pos="2268"/>
        </w:tabs>
        <w:rPr>
          <w:lang w:val="fr-FR"/>
        </w:rPr>
      </w:pPr>
      <w:r>
        <w:rPr>
          <w:lang w:val="fr-FR"/>
        </w:rPr>
        <w:t>95.</w:t>
      </w:r>
      <w:r>
        <w:rPr>
          <w:lang w:val="fr-FR"/>
        </w:rPr>
        <w:tab/>
        <w:t>De plus, le titre</w:t>
      </w:r>
      <w:r w:rsidR="00292ECD">
        <w:rPr>
          <w:lang w:val="fr-FR"/>
        </w:rPr>
        <w:t xml:space="preserve"> 6 </w:t>
      </w:r>
      <w:r>
        <w:rPr>
          <w:lang w:val="fr-FR"/>
        </w:rPr>
        <w:t>de cette loi prévoit la révision</w:t>
      </w:r>
      <w:r w:rsidR="00292ECD">
        <w:rPr>
          <w:lang w:val="fr-FR"/>
        </w:rPr>
        <w:t xml:space="preserve"> des décisions de mise en liberté sous caution</w:t>
      </w:r>
      <w:r w:rsidR="008D6B80">
        <w:rPr>
          <w:lang w:val="fr-FR"/>
        </w:rPr>
        <w:t xml:space="preserve">. </w:t>
      </w:r>
      <w:r w:rsidR="00292ECD" w:rsidRPr="0015408C">
        <w:rPr>
          <w:lang w:val="fr-FR"/>
        </w:rPr>
        <w:t>En vertu de l’article 48 3), il est possible de revoir cette décision en procédant à un réexamen de l’affaire, ou en présence de nouveaux éléments de preuve ou de nouvelles informations.</w:t>
      </w:r>
      <w:r w:rsidR="00292ECD">
        <w:rPr>
          <w:lang w:val="fr-FR"/>
        </w:rPr>
        <w:t xml:space="preserve"> Un tribunal peut réexaminer les décisions de libération sous caution d’</w:t>
      </w:r>
      <w:r w:rsidR="00F741F9">
        <w:rPr>
          <w:lang w:val="fr-FR"/>
        </w:rPr>
        <w:t>une juridiction de</w:t>
      </w:r>
      <w:r w:rsidR="002D2981">
        <w:rPr>
          <w:lang w:val="fr-FR"/>
        </w:rPr>
        <w:t xml:space="preserve"> même niveau ou de </w:t>
      </w:r>
      <w:r w:rsidR="00F741F9">
        <w:rPr>
          <w:lang w:val="fr-FR"/>
        </w:rPr>
        <w:t>niveau inférieur, et même d’un niveau supérieur dans certains cas.</w:t>
      </w:r>
    </w:p>
    <w:p w:rsidR="003C473F" w:rsidRPr="00F741F9" w:rsidRDefault="00F741F9" w:rsidP="005D7B68">
      <w:pPr>
        <w:tabs>
          <w:tab w:val="left" w:pos="567"/>
          <w:tab w:val="left" w:pos="1134"/>
          <w:tab w:val="left" w:pos="1701"/>
          <w:tab w:val="left" w:pos="2268"/>
        </w:tabs>
        <w:rPr>
          <w:lang w:val="fr-FR"/>
        </w:rPr>
      </w:pPr>
      <w:r>
        <w:rPr>
          <w:lang w:val="fr-FR"/>
        </w:rPr>
        <w:t>96.</w:t>
      </w:r>
      <w:r>
        <w:rPr>
          <w:lang w:val="fr-FR"/>
        </w:rPr>
        <w:tab/>
        <w:t>Le 1</w:t>
      </w:r>
      <w:r w:rsidRPr="00F741F9">
        <w:rPr>
          <w:vertAlign w:val="superscript"/>
          <w:lang w:val="fr-FR"/>
        </w:rPr>
        <w:t>er</w:t>
      </w:r>
      <w:r>
        <w:rPr>
          <w:lang w:val="fr-FR"/>
        </w:rPr>
        <w:t xml:space="preserve"> juillet 2007, 2 258 personnes (2 045 hommes et 213 femmes) étaient placés en d</w:t>
      </w:r>
      <w:r w:rsidR="00790E49">
        <w:rPr>
          <w:lang w:val="fr-FR"/>
        </w:rPr>
        <w:t>étention provisoire en Nouvelle</w:t>
      </w:r>
      <w:r w:rsidR="00790E49">
        <w:rPr>
          <w:lang w:val="fr-FR"/>
        </w:rPr>
        <w:noBreakHyphen/>
      </w:r>
      <w:r>
        <w:rPr>
          <w:lang w:val="fr-FR"/>
        </w:rPr>
        <w:t>Galles du Sud.</w:t>
      </w:r>
      <w:r>
        <w:rPr>
          <w:rStyle w:val="FootnoteReference"/>
          <w:lang w:val="fr-FR"/>
        </w:rPr>
        <w:footnoteReference w:id="3"/>
      </w:r>
      <w:r w:rsidR="00572260">
        <w:rPr>
          <w:lang w:val="fr-FR"/>
        </w:rPr>
        <w:t xml:space="preserve"> </w:t>
      </w:r>
      <w:r w:rsidR="00F074A7">
        <w:rPr>
          <w:lang w:val="fr-FR"/>
        </w:rPr>
        <w:t>Ce nombre s’accroît régulièrement depuis le début de 1997, tendance qui concerne aussi bien les hommes que les femmes</w:t>
      </w:r>
      <w:r w:rsidR="008D6B80">
        <w:rPr>
          <w:lang w:val="fr-FR"/>
        </w:rPr>
        <w:t xml:space="preserve">. </w:t>
      </w:r>
      <w:r w:rsidR="00F074A7">
        <w:rPr>
          <w:lang w:val="fr-FR"/>
        </w:rPr>
        <w:t>Entre 2000 et 2007, le nombre de personnes placées en détention provisoire a augmenté de 223 %.</w:t>
      </w:r>
      <w:r w:rsidR="00F074A7">
        <w:rPr>
          <w:rStyle w:val="FootnoteReference"/>
          <w:lang w:val="fr-FR"/>
        </w:rPr>
        <w:footnoteReference w:id="4"/>
      </w:r>
    </w:p>
    <w:p w:rsidR="000F17FA" w:rsidRPr="0015408C" w:rsidRDefault="002D2981" w:rsidP="005D7B68">
      <w:pPr>
        <w:tabs>
          <w:tab w:val="left" w:pos="567"/>
          <w:tab w:val="left" w:pos="1134"/>
          <w:tab w:val="left" w:pos="1701"/>
          <w:tab w:val="left" w:pos="2268"/>
        </w:tabs>
        <w:rPr>
          <w:b/>
          <w:bCs/>
          <w:lang w:val="fr-FR"/>
        </w:rPr>
      </w:pPr>
      <w:r>
        <w:rPr>
          <w:b/>
          <w:bCs/>
          <w:lang w:val="fr-FR"/>
        </w:rPr>
        <w:t>Durée de la détention provisoire</w:t>
      </w:r>
    </w:p>
    <w:p w:rsidR="00C215E5" w:rsidRPr="0015408C" w:rsidRDefault="003C473F" w:rsidP="005D7B68">
      <w:pPr>
        <w:tabs>
          <w:tab w:val="left" w:pos="567"/>
          <w:tab w:val="left" w:pos="1134"/>
          <w:tab w:val="left" w:pos="1701"/>
          <w:tab w:val="left" w:pos="2268"/>
        </w:tabs>
        <w:rPr>
          <w:lang w:val="fr-FR"/>
        </w:rPr>
      </w:pPr>
      <w:r w:rsidRPr="0015408C">
        <w:rPr>
          <w:lang w:val="fr-FR"/>
        </w:rPr>
        <w:t>97.</w:t>
      </w:r>
      <w:r w:rsidRPr="0015408C">
        <w:rPr>
          <w:lang w:val="fr-FR"/>
        </w:rPr>
        <w:tab/>
      </w:r>
      <w:r w:rsidR="004A6F60" w:rsidRPr="0015408C">
        <w:rPr>
          <w:lang w:val="fr-FR"/>
        </w:rPr>
        <w:t xml:space="preserve">Les statistiques de 2006 </w:t>
      </w:r>
      <w:r w:rsidR="005768DB" w:rsidRPr="0015408C">
        <w:rPr>
          <w:lang w:val="fr-FR"/>
        </w:rPr>
        <w:t>concernant</w:t>
      </w:r>
      <w:r w:rsidR="00AF1721" w:rsidRPr="0015408C">
        <w:rPr>
          <w:lang w:val="fr-FR"/>
        </w:rPr>
        <w:t xml:space="preserve"> les poursuites au pénal</w:t>
      </w:r>
      <w:r w:rsidR="00790E49">
        <w:rPr>
          <w:lang w:val="fr-FR"/>
        </w:rPr>
        <w:t xml:space="preserve"> indiquent que le délai moyen </w:t>
      </w:r>
      <w:r w:rsidR="004A6F60" w:rsidRPr="0015408C">
        <w:rPr>
          <w:lang w:val="fr-FR"/>
        </w:rPr>
        <w:t>entre la première comparution devant le tribunal et la décision</w:t>
      </w:r>
      <w:r w:rsidR="005768DB" w:rsidRPr="0015408C">
        <w:rPr>
          <w:lang w:val="fr-FR"/>
        </w:rPr>
        <w:t xml:space="preserve"> relative </w:t>
      </w:r>
      <w:r w:rsidR="00790E49">
        <w:rPr>
          <w:lang w:val="fr-FR"/>
        </w:rPr>
        <w:t>aux affaires </w:t>
      </w:r>
      <w:r w:rsidR="00902BCC" w:rsidRPr="0015408C">
        <w:rPr>
          <w:lang w:val="fr-FR"/>
        </w:rPr>
        <w:t>plaidées devant le tribunal local</w:t>
      </w:r>
      <w:r w:rsidR="005768DB" w:rsidRPr="0015408C">
        <w:rPr>
          <w:lang w:val="fr-FR"/>
        </w:rPr>
        <w:t xml:space="preserve">, l’accusé étant placé en détention provisoire, était de </w:t>
      </w:r>
      <w:r w:rsidR="00790E49">
        <w:rPr>
          <w:lang w:val="fr-FR"/>
        </w:rPr>
        <w:t>quatre</w:t>
      </w:r>
      <w:r w:rsidR="00790E49">
        <w:rPr>
          <w:lang w:val="fr-FR"/>
        </w:rPr>
        <w:noBreakHyphen/>
      </w:r>
      <w:r w:rsidR="00EB140F">
        <w:rPr>
          <w:lang w:val="fr-FR"/>
        </w:rPr>
        <w:t>vingt</w:t>
      </w:r>
      <w:r w:rsidR="00790E49">
        <w:rPr>
          <w:lang w:val="fr-FR"/>
        </w:rPr>
        <w:noBreakHyphen/>
        <w:t>douze </w:t>
      </w:r>
      <w:r w:rsidR="005768DB" w:rsidRPr="0015408C">
        <w:rPr>
          <w:lang w:val="fr-FR"/>
        </w:rPr>
        <w:t>jours</w:t>
      </w:r>
      <w:r w:rsidR="008D6B80">
        <w:rPr>
          <w:lang w:val="fr-FR"/>
        </w:rPr>
        <w:t xml:space="preserve">. </w:t>
      </w:r>
      <w:r w:rsidR="005768DB" w:rsidRPr="0015408C">
        <w:rPr>
          <w:lang w:val="fr-FR"/>
        </w:rPr>
        <w:t xml:space="preserve">Pour les personnes bénéficiant d’un non-lieu, ce délai était de </w:t>
      </w:r>
      <w:r w:rsidR="00790E49">
        <w:rPr>
          <w:lang w:val="fr-FR"/>
        </w:rPr>
        <w:t>quarante</w:t>
      </w:r>
      <w:r w:rsidR="00790E49">
        <w:rPr>
          <w:lang w:val="fr-FR"/>
        </w:rPr>
        <w:noBreakHyphen/>
        <w:t xml:space="preserve">quatre </w:t>
      </w:r>
      <w:r w:rsidR="005768DB" w:rsidRPr="0015408C">
        <w:rPr>
          <w:lang w:val="fr-FR"/>
        </w:rPr>
        <w:t xml:space="preserve">jours, et pour celles qui étaient reconnues coupables d’au moins un chef d’inculpation, de </w:t>
      </w:r>
      <w:r w:rsidR="00790E49">
        <w:rPr>
          <w:lang w:val="fr-FR"/>
        </w:rPr>
        <w:t>cent dix</w:t>
      </w:r>
      <w:r w:rsidR="00790E49">
        <w:rPr>
          <w:lang w:val="fr-FR"/>
        </w:rPr>
        <w:noBreakHyphen/>
        <w:t>sept </w:t>
      </w:r>
      <w:r w:rsidR="005768DB" w:rsidRPr="0015408C">
        <w:rPr>
          <w:lang w:val="fr-FR"/>
        </w:rPr>
        <w:t>jours</w:t>
      </w:r>
      <w:r w:rsidR="008D6B80">
        <w:rPr>
          <w:lang w:val="fr-FR"/>
        </w:rPr>
        <w:t xml:space="preserve">. </w:t>
      </w:r>
      <w:r w:rsidR="005768DB" w:rsidRPr="0015408C">
        <w:rPr>
          <w:lang w:val="fr-FR"/>
        </w:rPr>
        <w:t>Ces chiffres n’ont pas évolué de façon significative depuis 2004 où le délai moyen</w:t>
      </w:r>
      <w:r w:rsidR="00902BCC" w:rsidRPr="0015408C">
        <w:rPr>
          <w:lang w:val="fr-FR"/>
        </w:rPr>
        <w:t xml:space="preserve"> pour être entendu devant un tribunal local</w:t>
      </w:r>
      <w:r w:rsidR="00C215E5" w:rsidRPr="0015408C">
        <w:rPr>
          <w:lang w:val="fr-FR"/>
        </w:rPr>
        <w:t xml:space="preserve"> était de </w:t>
      </w:r>
      <w:r w:rsidR="00790E49">
        <w:rPr>
          <w:lang w:val="fr-FR"/>
        </w:rPr>
        <w:t>quatre</w:t>
      </w:r>
      <w:r w:rsidR="00790E49">
        <w:rPr>
          <w:lang w:val="fr-FR"/>
        </w:rPr>
        <w:noBreakHyphen/>
        <w:t>vingt</w:t>
      </w:r>
      <w:r w:rsidR="00790E49">
        <w:rPr>
          <w:lang w:val="fr-FR"/>
        </w:rPr>
        <w:noBreakHyphen/>
        <w:t>quatorze </w:t>
      </w:r>
      <w:r w:rsidR="00C215E5" w:rsidRPr="0015408C">
        <w:rPr>
          <w:lang w:val="fr-FR"/>
        </w:rPr>
        <w:t>jours, l’accusé étant placé en détention provisoire</w:t>
      </w:r>
      <w:r w:rsidR="008D6B80">
        <w:rPr>
          <w:lang w:val="fr-FR"/>
        </w:rPr>
        <w:t xml:space="preserve">. </w:t>
      </w:r>
    </w:p>
    <w:p w:rsidR="009B2473" w:rsidRPr="0015408C" w:rsidRDefault="002D2981" w:rsidP="005D7B68">
      <w:pPr>
        <w:tabs>
          <w:tab w:val="left" w:pos="567"/>
          <w:tab w:val="left" w:pos="1134"/>
          <w:tab w:val="left" w:pos="1701"/>
          <w:tab w:val="left" w:pos="2268"/>
        </w:tabs>
        <w:rPr>
          <w:lang w:val="fr-FR"/>
        </w:rPr>
      </w:pPr>
      <w:r>
        <w:rPr>
          <w:lang w:val="fr-FR"/>
        </w:rPr>
        <w:t>98.</w:t>
      </w:r>
      <w:r>
        <w:rPr>
          <w:lang w:val="fr-FR"/>
        </w:rPr>
        <w:tab/>
        <w:t>Le délai moyen</w:t>
      </w:r>
      <w:r w:rsidR="00C215E5" w:rsidRPr="0015408C">
        <w:rPr>
          <w:lang w:val="fr-FR"/>
        </w:rPr>
        <w:t xml:space="preserve"> entre </w:t>
      </w:r>
      <w:r w:rsidR="00902BCC" w:rsidRPr="0015408C">
        <w:rPr>
          <w:lang w:val="fr-FR"/>
        </w:rPr>
        <w:t>le placement en détention provisoire</w:t>
      </w:r>
      <w:r w:rsidR="00C215E5" w:rsidRPr="0015408C">
        <w:rPr>
          <w:lang w:val="fr-FR"/>
        </w:rPr>
        <w:t xml:space="preserve"> et le prononcé de la décision</w:t>
      </w:r>
      <w:r w:rsidR="00790E49">
        <w:rPr>
          <w:lang w:val="fr-FR"/>
        </w:rPr>
        <w:t> </w:t>
      </w:r>
      <w:r w:rsidR="00902BCC" w:rsidRPr="0015408C">
        <w:rPr>
          <w:lang w:val="fr-FR"/>
        </w:rPr>
        <w:t>par le tribunal de district</w:t>
      </w:r>
      <w:r w:rsidR="004C313C" w:rsidRPr="0015408C">
        <w:rPr>
          <w:lang w:val="fr-FR"/>
        </w:rPr>
        <w:t xml:space="preserve"> était de 207 jours, contre</w:t>
      </w:r>
      <w:r w:rsidR="00902BCC" w:rsidRPr="0015408C">
        <w:rPr>
          <w:lang w:val="fr-FR"/>
        </w:rPr>
        <w:t xml:space="preserve"> 290 jours pour la Cour s</w:t>
      </w:r>
      <w:r w:rsidR="009B2473" w:rsidRPr="0015408C">
        <w:rPr>
          <w:lang w:val="fr-FR"/>
        </w:rPr>
        <w:t>uprême.</w:t>
      </w:r>
      <w:r w:rsidR="009B2473" w:rsidRPr="0015408C">
        <w:rPr>
          <w:rStyle w:val="FootnoteReference"/>
          <w:lang w:val="fr-FR"/>
        </w:rPr>
        <w:footnoteReference w:id="5"/>
      </w:r>
    </w:p>
    <w:p w:rsidR="003C473F" w:rsidRDefault="009B2473" w:rsidP="005D7B68">
      <w:pPr>
        <w:tabs>
          <w:tab w:val="left" w:pos="567"/>
          <w:tab w:val="left" w:pos="1134"/>
          <w:tab w:val="left" w:pos="1701"/>
          <w:tab w:val="left" w:pos="2268"/>
        </w:tabs>
        <w:rPr>
          <w:b/>
          <w:bCs/>
          <w:lang w:val="fr-FR"/>
        </w:rPr>
      </w:pPr>
      <w:r>
        <w:rPr>
          <w:b/>
          <w:bCs/>
          <w:lang w:val="fr-FR"/>
        </w:rPr>
        <w:t>Victoria</w:t>
      </w:r>
    </w:p>
    <w:p w:rsidR="006D0587" w:rsidRPr="006D0587" w:rsidRDefault="009B2473" w:rsidP="005D7B68">
      <w:pPr>
        <w:tabs>
          <w:tab w:val="left" w:pos="567"/>
          <w:tab w:val="left" w:pos="1134"/>
          <w:tab w:val="left" w:pos="1701"/>
          <w:tab w:val="left" w:pos="2268"/>
        </w:tabs>
        <w:rPr>
          <w:lang w:val="fr-FR"/>
        </w:rPr>
      </w:pPr>
      <w:r>
        <w:rPr>
          <w:lang w:val="fr-FR"/>
        </w:rPr>
        <w:t>99.</w:t>
      </w:r>
      <w:r>
        <w:rPr>
          <w:lang w:val="fr-FR"/>
        </w:rPr>
        <w:tab/>
      </w:r>
      <w:r w:rsidRPr="0015408C">
        <w:rPr>
          <w:lang w:val="fr-FR"/>
        </w:rPr>
        <w:t>Toute personne placée en garde à vue pour une infraction doit être libérée sans conditions, libéré</w:t>
      </w:r>
      <w:r w:rsidR="00902BCC" w:rsidRPr="0015408C">
        <w:rPr>
          <w:lang w:val="fr-FR"/>
        </w:rPr>
        <w:t>e</w:t>
      </w:r>
      <w:r w:rsidRPr="0015408C">
        <w:rPr>
          <w:lang w:val="fr-FR"/>
        </w:rPr>
        <w:t xml:space="preserve"> sous caution ou déféré</w:t>
      </w:r>
      <w:r w:rsidR="00902BCC" w:rsidRPr="0015408C">
        <w:rPr>
          <w:lang w:val="fr-FR"/>
        </w:rPr>
        <w:t>e</w:t>
      </w:r>
      <w:r w:rsidRPr="0015408C">
        <w:rPr>
          <w:lang w:val="fr-FR"/>
        </w:rPr>
        <w:t xml:space="preserve"> devant un juge ou un tribunal habil</w:t>
      </w:r>
      <w:r w:rsidR="006D0587" w:rsidRPr="0015408C">
        <w:rPr>
          <w:lang w:val="fr-FR"/>
        </w:rPr>
        <w:t>ité à se prononcer sur une éven</w:t>
      </w:r>
      <w:r w:rsidRPr="0015408C">
        <w:rPr>
          <w:lang w:val="fr-FR"/>
        </w:rPr>
        <w:t>tuelle libération sous caution</w:t>
      </w:r>
      <w:r w:rsidR="006D0587" w:rsidRPr="0015408C">
        <w:rPr>
          <w:lang w:val="fr-FR"/>
        </w:rPr>
        <w:t xml:space="preserve"> dans un </w:t>
      </w:r>
      <w:r w:rsidR="002D2981">
        <w:rPr>
          <w:lang w:val="fr-FR"/>
        </w:rPr>
        <w:t>délai raisonnable</w:t>
      </w:r>
      <w:r w:rsidR="006D0587" w:rsidRPr="0015408C">
        <w:rPr>
          <w:lang w:val="fr-FR"/>
        </w:rPr>
        <w:t xml:space="preserve"> (art. 464A 1) de la</w:t>
      </w:r>
      <w:r w:rsidR="006D0587" w:rsidRPr="0015408C">
        <w:rPr>
          <w:i/>
          <w:iCs/>
          <w:lang w:val="fr-FR"/>
        </w:rPr>
        <w:t xml:space="preserve"> </w:t>
      </w:r>
      <w:r w:rsidR="006D0587" w:rsidRPr="0015408C">
        <w:rPr>
          <w:lang w:val="fr-FR"/>
        </w:rPr>
        <w:t>loi de 1958 sur les infractions</w:t>
      </w:r>
      <w:r w:rsidR="004F0217">
        <w:rPr>
          <w:lang w:val="fr-FR"/>
        </w:rPr>
        <w:t xml:space="preserve"> pénales</w:t>
      </w:r>
      <w:r w:rsidR="006D0587" w:rsidRPr="0015408C">
        <w:rPr>
          <w:lang w:val="fr-FR"/>
        </w:rPr>
        <w:t>)</w:t>
      </w:r>
      <w:r w:rsidR="008D6B80">
        <w:rPr>
          <w:lang w:val="fr-FR"/>
        </w:rPr>
        <w:t xml:space="preserve">. </w:t>
      </w:r>
      <w:r w:rsidR="00902BCC" w:rsidRPr="0015408C">
        <w:rPr>
          <w:lang w:val="fr-FR"/>
        </w:rPr>
        <w:t>Nul ne doit être détenu</w:t>
      </w:r>
      <w:r w:rsidR="006D0587" w:rsidRPr="0015408C">
        <w:rPr>
          <w:lang w:val="fr-FR"/>
        </w:rPr>
        <w:t xml:space="preserve"> plus longtemps qu’il n’est raisonnablement nécessaire</w:t>
      </w:r>
      <w:r w:rsidR="008D6B80">
        <w:rPr>
          <w:lang w:val="fr-FR"/>
        </w:rPr>
        <w:t xml:space="preserve">. </w:t>
      </w:r>
      <w:r w:rsidR="006D0587" w:rsidRPr="0015408C">
        <w:rPr>
          <w:lang w:val="fr-FR"/>
        </w:rPr>
        <w:t>La po</w:t>
      </w:r>
      <w:r w:rsidR="0021532F" w:rsidRPr="0015408C">
        <w:rPr>
          <w:lang w:val="fr-FR"/>
        </w:rPr>
        <w:t>lice p</w:t>
      </w:r>
      <w:r w:rsidR="00EC5047">
        <w:rPr>
          <w:lang w:val="fr-FR"/>
        </w:rPr>
        <w:t xml:space="preserve">eut </w:t>
      </w:r>
      <w:r w:rsidR="002D2981">
        <w:rPr>
          <w:lang w:val="fr-FR"/>
        </w:rPr>
        <w:t>re</w:t>
      </w:r>
      <w:r w:rsidR="00EC5047">
        <w:rPr>
          <w:lang w:val="fr-FR"/>
        </w:rPr>
        <w:t xml:space="preserve">mettre les personnes qu’elle a </w:t>
      </w:r>
      <w:r w:rsidR="0021532F" w:rsidRPr="0015408C">
        <w:rPr>
          <w:lang w:val="fr-FR"/>
        </w:rPr>
        <w:t>arrêtées</w:t>
      </w:r>
      <w:r w:rsidR="00902BCC" w:rsidRPr="0015408C">
        <w:rPr>
          <w:lang w:val="fr-FR"/>
        </w:rPr>
        <w:t xml:space="preserve"> en liberté</w:t>
      </w:r>
      <w:r w:rsidR="006D0587" w:rsidRPr="0015408C">
        <w:rPr>
          <w:lang w:val="fr-FR"/>
        </w:rPr>
        <w:t xml:space="preserve"> sous caution en vertu de la loi de 1977</w:t>
      </w:r>
      <w:r w:rsidR="00435736" w:rsidRPr="0015408C">
        <w:rPr>
          <w:lang w:val="fr-FR"/>
        </w:rPr>
        <w:t xml:space="preserve"> </w:t>
      </w:r>
      <w:r w:rsidR="006D0587" w:rsidRPr="0015408C">
        <w:rPr>
          <w:lang w:val="fr-FR"/>
        </w:rPr>
        <w:t>sur la libération sous caution</w:t>
      </w:r>
      <w:r w:rsidR="008D6B80">
        <w:rPr>
          <w:lang w:val="fr-FR"/>
        </w:rPr>
        <w:t xml:space="preserve">. </w:t>
      </w:r>
      <w:r w:rsidR="006D0587" w:rsidRPr="0015408C">
        <w:rPr>
          <w:lang w:val="fr-FR"/>
        </w:rPr>
        <w:t>S’il n’est pas possible de déférer la personne devant un tribunal au plus tard 24 heures après son arrestation, la police est tenue de la libérer sous caution, sauf disposition contraire de l’article</w:t>
      </w:r>
      <w:r w:rsidR="006D0587">
        <w:rPr>
          <w:lang w:val="fr-FR"/>
        </w:rPr>
        <w:t xml:space="preserve"> 10 1) de la</w:t>
      </w:r>
      <w:r w:rsidR="006D0587">
        <w:rPr>
          <w:i/>
          <w:iCs/>
          <w:lang w:val="fr-FR"/>
        </w:rPr>
        <w:t xml:space="preserve"> </w:t>
      </w:r>
      <w:r w:rsidR="006D0587" w:rsidRPr="0021532F">
        <w:rPr>
          <w:lang w:val="fr-FR"/>
        </w:rPr>
        <w:t>loi sur la libération sous caution</w:t>
      </w:r>
      <w:r w:rsidR="008D6B80">
        <w:rPr>
          <w:lang w:val="fr-FR"/>
        </w:rPr>
        <w:t xml:space="preserve">. </w:t>
      </w:r>
    </w:p>
    <w:p w:rsidR="009B2473" w:rsidRDefault="006D0587" w:rsidP="005D7B68">
      <w:pPr>
        <w:tabs>
          <w:tab w:val="left" w:pos="567"/>
          <w:tab w:val="left" w:pos="1134"/>
          <w:tab w:val="left" w:pos="1701"/>
          <w:tab w:val="left" w:pos="2268"/>
        </w:tabs>
        <w:rPr>
          <w:b/>
          <w:bCs/>
          <w:lang w:val="fr-FR"/>
        </w:rPr>
      </w:pPr>
      <w:r>
        <w:rPr>
          <w:b/>
          <w:bCs/>
          <w:lang w:val="fr-FR"/>
        </w:rPr>
        <w:t>Queensland</w:t>
      </w:r>
    </w:p>
    <w:p w:rsidR="00223204" w:rsidRPr="00223204" w:rsidRDefault="006D0587" w:rsidP="005D7B68">
      <w:pPr>
        <w:tabs>
          <w:tab w:val="left" w:pos="567"/>
          <w:tab w:val="left" w:pos="1134"/>
          <w:tab w:val="left" w:pos="1701"/>
          <w:tab w:val="left" w:pos="2268"/>
        </w:tabs>
        <w:rPr>
          <w:lang w:val="fr-FR"/>
        </w:rPr>
      </w:pPr>
      <w:r>
        <w:rPr>
          <w:lang w:val="fr-FR"/>
        </w:rPr>
        <w:t>100.</w:t>
      </w:r>
      <w:r>
        <w:rPr>
          <w:lang w:val="fr-FR"/>
        </w:rPr>
        <w:tab/>
        <w:t>Le système de justice pénale du Queensland est basé sur la présomption d’innocence de l’inculpé jusqu’à preuve du contraire sans doute possible</w:t>
      </w:r>
      <w:r w:rsidR="008D6B80">
        <w:rPr>
          <w:lang w:val="fr-FR"/>
        </w:rPr>
        <w:t xml:space="preserve">. </w:t>
      </w:r>
      <w:r w:rsidR="00EF0D98">
        <w:rPr>
          <w:lang w:val="fr-FR"/>
        </w:rPr>
        <w:t>Il est traité du pouvoir de pl</w:t>
      </w:r>
      <w:r w:rsidR="0021532F">
        <w:rPr>
          <w:lang w:val="fr-FR"/>
        </w:rPr>
        <w:t>acer en état d’arrestation et en</w:t>
      </w:r>
      <w:r w:rsidR="00EF0D98">
        <w:rPr>
          <w:lang w:val="fr-FR"/>
        </w:rPr>
        <w:t xml:space="preserve"> garde à vue et des solutions autres que l’arrestation, y compris l’avis de comparution, l’abandon des poursuites et les voies extrajudiciaires</w:t>
      </w:r>
      <w:r w:rsidR="00223204">
        <w:rPr>
          <w:lang w:val="fr-FR"/>
        </w:rPr>
        <w:t xml:space="preserve"> dans le chapitre 14 de la</w:t>
      </w:r>
      <w:r w:rsidR="00223204">
        <w:rPr>
          <w:i/>
          <w:iCs/>
          <w:lang w:val="fr-FR"/>
        </w:rPr>
        <w:t xml:space="preserve"> </w:t>
      </w:r>
      <w:r w:rsidR="00223204" w:rsidRPr="0021532F">
        <w:rPr>
          <w:lang w:val="fr-FR"/>
        </w:rPr>
        <w:t>loi sur les pouvoirs et responsabilités de la police</w:t>
      </w:r>
      <w:r w:rsidR="008D6B80">
        <w:rPr>
          <w:lang w:val="fr-FR"/>
        </w:rPr>
        <w:t xml:space="preserve">. </w:t>
      </w:r>
      <w:r w:rsidR="00223204">
        <w:rPr>
          <w:lang w:val="fr-FR"/>
        </w:rPr>
        <w:t xml:space="preserve">L’article 9 de la </w:t>
      </w:r>
      <w:r w:rsidR="00223204" w:rsidRPr="0021532F">
        <w:rPr>
          <w:lang w:val="fr-FR"/>
        </w:rPr>
        <w:t>loi de 1980 sur</w:t>
      </w:r>
      <w:r w:rsidR="00223204">
        <w:rPr>
          <w:i/>
          <w:iCs/>
          <w:lang w:val="fr-FR"/>
        </w:rPr>
        <w:t xml:space="preserve"> </w:t>
      </w:r>
      <w:r w:rsidR="00223204" w:rsidRPr="00223204">
        <w:rPr>
          <w:lang w:val="fr-FR"/>
        </w:rPr>
        <w:t>la</w:t>
      </w:r>
      <w:r w:rsidR="00223204">
        <w:rPr>
          <w:i/>
          <w:iCs/>
          <w:lang w:val="fr-FR"/>
        </w:rPr>
        <w:t xml:space="preserve"> </w:t>
      </w:r>
      <w:r w:rsidR="00223204" w:rsidRPr="0021532F">
        <w:rPr>
          <w:lang w:val="fr-FR"/>
        </w:rPr>
        <w:t>libération sous caution</w:t>
      </w:r>
      <w:r w:rsidR="00223204">
        <w:rPr>
          <w:i/>
          <w:iCs/>
          <w:lang w:val="fr-FR"/>
        </w:rPr>
        <w:t xml:space="preserve"> </w:t>
      </w:r>
      <w:r w:rsidR="00223204">
        <w:rPr>
          <w:lang w:val="fr-FR"/>
        </w:rPr>
        <w:t>présente une vue d’ensemble de la présomption du droit à la libération sous caution.</w:t>
      </w:r>
    </w:p>
    <w:p w:rsidR="00093856" w:rsidRPr="008C604F" w:rsidRDefault="00223204" w:rsidP="005D7B68">
      <w:pPr>
        <w:tabs>
          <w:tab w:val="left" w:pos="567"/>
          <w:tab w:val="left" w:pos="1134"/>
          <w:tab w:val="left" w:pos="1701"/>
          <w:tab w:val="left" w:pos="2268"/>
        </w:tabs>
        <w:rPr>
          <w:lang w:val="fr-FR"/>
        </w:rPr>
      </w:pPr>
      <w:r>
        <w:rPr>
          <w:lang w:val="fr-FR"/>
        </w:rPr>
        <w:t>101.</w:t>
      </w:r>
      <w:r>
        <w:rPr>
          <w:lang w:val="fr-FR"/>
        </w:rPr>
        <w:tab/>
        <w:t xml:space="preserve">Pour qu’une personne soit privée de sa liberté avant d’être reconnue coupable d’une infraction ou avant que le tribunal ne décide de la peine appropriée, un </w:t>
      </w:r>
      <w:r>
        <w:rPr>
          <w:i/>
          <w:iCs/>
          <w:lang w:val="fr-FR"/>
        </w:rPr>
        <w:t>magistrate</w:t>
      </w:r>
      <w:r>
        <w:rPr>
          <w:lang w:val="fr-FR"/>
        </w:rPr>
        <w:t xml:space="preserve"> ou un</w:t>
      </w:r>
      <w:r w:rsidR="00572260">
        <w:rPr>
          <w:lang w:val="fr-FR"/>
        </w:rPr>
        <w:t xml:space="preserve"> </w:t>
      </w:r>
      <w:r>
        <w:rPr>
          <w:lang w:val="fr-FR"/>
        </w:rPr>
        <w:t>juge doit être convaincu qu’il existe un risque inacceptable que ladite personne</w:t>
      </w:r>
      <w:r w:rsidR="00596FEC">
        <w:rPr>
          <w:lang w:val="fr-FR"/>
        </w:rPr>
        <w:t xml:space="preserve"> ne comparaisse pas, commette d’autres infractions, constitue un danger pour la société, ou tente d’influencer les témoins</w:t>
      </w:r>
      <w:r w:rsidR="008D6B80">
        <w:rPr>
          <w:lang w:val="fr-FR"/>
        </w:rPr>
        <w:t xml:space="preserve">. </w:t>
      </w:r>
      <w:r w:rsidR="008C604F">
        <w:rPr>
          <w:lang w:val="fr-FR"/>
        </w:rPr>
        <w:t xml:space="preserve">Il revient au </w:t>
      </w:r>
      <w:r w:rsidR="008C604F">
        <w:rPr>
          <w:i/>
          <w:iCs/>
          <w:lang w:val="fr-FR"/>
        </w:rPr>
        <w:t xml:space="preserve">magistrate </w:t>
      </w:r>
      <w:r w:rsidR="008C604F">
        <w:rPr>
          <w:lang w:val="fr-FR"/>
        </w:rPr>
        <w:t>ou au juge de décider si cette personne fa</w:t>
      </w:r>
      <w:r w:rsidR="0021532F">
        <w:rPr>
          <w:lang w:val="fr-FR"/>
        </w:rPr>
        <w:t>it courir un tel risque</w:t>
      </w:r>
      <w:r w:rsidR="008C604F">
        <w:rPr>
          <w:lang w:val="fr-FR"/>
        </w:rPr>
        <w:t xml:space="preserve"> en se fondant sur les faits de la cause</w:t>
      </w:r>
      <w:r w:rsidR="008D6B80">
        <w:rPr>
          <w:lang w:val="fr-FR"/>
        </w:rPr>
        <w:t xml:space="preserve">. </w:t>
      </w:r>
      <w:r w:rsidR="008C604F">
        <w:rPr>
          <w:lang w:val="fr-FR"/>
        </w:rPr>
        <w:t>Pour en décider, il doit tenir compte de la nature et de la gravité de l’infraction, de la situation personnelle du</w:t>
      </w:r>
      <w:r w:rsidR="00093856">
        <w:rPr>
          <w:lang w:val="fr-FR"/>
        </w:rPr>
        <w:t xml:space="preserve"> prévenu, de l’importance des charges qui pèsent sur lui, et du fait qu’il ait, ou non, re</w:t>
      </w:r>
      <w:r w:rsidR="00435736">
        <w:rPr>
          <w:lang w:val="fr-FR"/>
        </w:rPr>
        <w:t>specté les règles de mise</w:t>
      </w:r>
      <w:r w:rsidR="00AB558E">
        <w:rPr>
          <w:lang w:val="fr-FR"/>
        </w:rPr>
        <w:t>s</w:t>
      </w:r>
      <w:r w:rsidR="0021532F">
        <w:rPr>
          <w:lang w:val="fr-FR"/>
        </w:rPr>
        <w:t xml:space="preserve"> en liberté</w:t>
      </w:r>
      <w:r w:rsidR="00093856">
        <w:rPr>
          <w:lang w:val="fr-FR"/>
        </w:rPr>
        <w:t xml:space="preserve"> sous caution antérieures.</w:t>
      </w:r>
    </w:p>
    <w:p w:rsidR="006740A9" w:rsidRPr="00093856" w:rsidRDefault="00093856" w:rsidP="005D7B68">
      <w:pPr>
        <w:tabs>
          <w:tab w:val="left" w:pos="567"/>
          <w:tab w:val="left" w:pos="1134"/>
          <w:tab w:val="left" w:pos="1701"/>
          <w:tab w:val="left" w:pos="2268"/>
        </w:tabs>
        <w:rPr>
          <w:lang w:val="fr-FR"/>
        </w:rPr>
      </w:pPr>
      <w:r>
        <w:rPr>
          <w:lang w:val="fr-FR"/>
        </w:rPr>
        <w:t>102.</w:t>
      </w:r>
      <w:r>
        <w:rPr>
          <w:lang w:val="fr-FR"/>
        </w:rPr>
        <w:tab/>
        <w:t xml:space="preserve">Si un </w:t>
      </w:r>
      <w:r>
        <w:rPr>
          <w:i/>
          <w:iCs/>
          <w:lang w:val="fr-FR"/>
        </w:rPr>
        <w:t xml:space="preserve">magistrate </w:t>
      </w:r>
      <w:r>
        <w:rPr>
          <w:lang w:val="fr-FR"/>
        </w:rPr>
        <w:t xml:space="preserve">ou un juge accorde une libération </w:t>
      </w:r>
      <w:r w:rsidR="000242BE">
        <w:rPr>
          <w:lang w:val="fr-FR"/>
        </w:rPr>
        <w:t xml:space="preserve">sous </w:t>
      </w:r>
      <w:r>
        <w:rPr>
          <w:lang w:val="fr-FR"/>
        </w:rPr>
        <w:t xml:space="preserve">caution, </w:t>
      </w:r>
      <w:r w:rsidR="00C55623">
        <w:rPr>
          <w:lang w:val="fr-FR"/>
        </w:rPr>
        <w:t>la remise en liberté du prévenu peut être soumise à des conditions telles que l’exigence d’une garantie, des conditions spéciales concernant le lieu de résidence, l’obligation de se présenter à l</w:t>
      </w:r>
      <w:r w:rsidR="000242BE">
        <w:rPr>
          <w:lang w:val="fr-FR"/>
        </w:rPr>
        <w:t>a police à certains jours précis</w:t>
      </w:r>
      <w:r w:rsidR="00C55623">
        <w:rPr>
          <w:lang w:val="fr-FR"/>
        </w:rPr>
        <w:t>és, l’interdiction d’approcher ou de contacter des témoins ou la confiscation du passeport</w:t>
      </w:r>
      <w:r w:rsidR="008D6B80">
        <w:rPr>
          <w:lang w:val="fr-FR"/>
        </w:rPr>
        <w:t xml:space="preserve">. </w:t>
      </w:r>
      <w:r w:rsidR="00C55623">
        <w:rPr>
          <w:lang w:val="fr-FR"/>
        </w:rPr>
        <w:t>Si l’intéressé ne respecte pas les engagements pris au momen</w:t>
      </w:r>
      <w:r w:rsidR="00790E49">
        <w:rPr>
          <w:lang w:val="fr-FR"/>
        </w:rPr>
        <w:t>t d’être libéré sous caution (y </w:t>
      </w:r>
      <w:r w:rsidR="00C55623">
        <w:rPr>
          <w:lang w:val="fr-FR"/>
        </w:rPr>
        <w:t xml:space="preserve">compris toutes les conditions imposées), il se rend coupable d’une infraction à la loi sur la libération sous caution. </w:t>
      </w:r>
    </w:p>
    <w:p w:rsidR="00EB42B4" w:rsidRPr="009715B5" w:rsidRDefault="006740A9" w:rsidP="005D7B68">
      <w:pPr>
        <w:tabs>
          <w:tab w:val="left" w:pos="567"/>
          <w:tab w:val="left" w:pos="1134"/>
          <w:tab w:val="left" w:pos="1701"/>
          <w:tab w:val="left" w:pos="2268"/>
        </w:tabs>
        <w:rPr>
          <w:lang w:val="fr-FR"/>
        </w:rPr>
      </w:pPr>
      <w:r>
        <w:rPr>
          <w:lang w:val="fr-FR"/>
        </w:rPr>
        <w:t>103.</w:t>
      </w:r>
      <w:r>
        <w:rPr>
          <w:lang w:val="fr-FR"/>
        </w:rPr>
        <w:tab/>
      </w:r>
      <w:r w:rsidR="00845317">
        <w:rPr>
          <w:lang w:val="fr-FR"/>
        </w:rPr>
        <w:t>La loi sur la</w:t>
      </w:r>
      <w:r w:rsidR="009715B5">
        <w:rPr>
          <w:lang w:val="fr-FR"/>
        </w:rPr>
        <w:t xml:space="preserve"> libération sous caution prévoit un mécanisme permettant à un procureur, un plaignant ou un défendeur de solliciter le réexamen d</w:t>
      </w:r>
      <w:r w:rsidR="00845317">
        <w:rPr>
          <w:lang w:val="fr-FR"/>
        </w:rPr>
        <w:t>’</w:t>
      </w:r>
      <w:r w:rsidR="009715B5">
        <w:rPr>
          <w:lang w:val="fr-FR"/>
        </w:rPr>
        <w:t>une décision de libération sous caution, ou de faire appel de cette décision</w:t>
      </w:r>
      <w:r w:rsidR="008D6B80">
        <w:rPr>
          <w:lang w:val="fr-FR"/>
        </w:rPr>
        <w:t xml:space="preserve">. </w:t>
      </w:r>
      <w:r w:rsidR="009715B5">
        <w:rPr>
          <w:lang w:val="fr-FR"/>
        </w:rPr>
        <w:t xml:space="preserve">Le tribunal chargé du réexamen des décisions prises par un </w:t>
      </w:r>
      <w:r w:rsidR="009715B5">
        <w:rPr>
          <w:i/>
          <w:iCs/>
          <w:lang w:val="fr-FR"/>
        </w:rPr>
        <w:t xml:space="preserve">magistrate </w:t>
      </w:r>
      <w:r w:rsidR="00D24E73">
        <w:rPr>
          <w:lang w:val="fr-FR"/>
        </w:rPr>
        <w:t>est la Cour s</w:t>
      </w:r>
      <w:r w:rsidR="009715B5">
        <w:rPr>
          <w:lang w:val="fr-FR"/>
        </w:rPr>
        <w:t>uprême, et celui qui exerce la même fonction pour les décisions d’un fonctionnaire de police ou d’un juge est la</w:t>
      </w:r>
      <w:r w:rsidR="009715B5">
        <w:rPr>
          <w:i/>
          <w:iCs/>
          <w:lang w:val="fr-FR"/>
        </w:rPr>
        <w:t xml:space="preserve"> Magistrates Court</w:t>
      </w:r>
      <w:r w:rsidR="005D6AAD">
        <w:rPr>
          <w:i/>
          <w:iCs/>
          <w:lang w:val="fr-FR"/>
        </w:rPr>
        <w:t xml:space="preserve"> </w:t>
      </w:r>
      <w:r w:rsidR="005D6AAD" w:rsidRPr="005D6AAD">
        <w:rPr>
          <w:lang w:val="fr-FR"/>
        </w:rPr>
        <w:t>(tribunal de première instance)</w:t>
      </w:r>
      <w:r w:rsidR="008D6B80">
        <w:rPr>
          <w:lang w:val="fr-FR"/>
        </w:rPr>
        <w:t xml:space="preserve">. </w:t>
      </w:r>
      <w:r w:rsidR="00790E49">
        <w:rPr>
          <w:lang w:val="fr-FR"/>
        </w:rPr>
        <w:t>Le </w:t>
      </w:r>
      <w:r w:rsidR="009715B5">
        <w:rPr>
          <w:lang w:val="fr-FR"/>
        </w:rPr>
        <w:t>tribunal chargé de ce réexamen peut prendre en compte un surplus d’informations ou d’éléments de preuve et émettre toute ordonnance qu’il estime appropriée.</w:t>
      </w:r>
    </w:p>
    <w:p w:rsidR="00C55800" w:rsidRPr="00EB42B4" w:rsidRDefault="00EB42B4" w:rsidP="005D7B68">
      <w:pPr>
        <w:tabs>
          <w:tab w:val="left" w:pos="567"/>
          <w:tab w:val="left" w:pos="1134"/>
          <w:tab w:val="left" w:pos="1701"/>
          <w:tab w:val="left" w:pos="2268"/>
        </w:tabs>
        <w:rPr>
          <w:lang w:val="fr-FR"/>
        </w:rPr>
      </w:pPr>
      <w:r>
        <w:rPr>
          <w:lang w:val="fr-FR"/>
        </w:rPr>
        <w:t>104.</w:t>
      </w:r>
      <w:r>
        <w:rPr>
          <w:lang w:val="fr-FR"/>
        </w:rPr>
        <w:tab/>
        <w:t>La loi sur la libération sous caution établit un équilibre entre les droit</w:t>
      </w:r>
      <w:r w:rsidR="00C55800">
        <w:rPr>
          <w:lang w:val="fr-FR"/>
        </w:rPr>
        <w:t>s de tout citoyen accusé d’une infraction</w:t>
      </w:r>
      <w:r>
        <w:rPr>
          <w:lang w:val="fr-FR"/>
        </w:rPr>
        <w:t xml:space="preserve"> </w:t>
      </w:r>
      <w:r w:rsidR="00C55800">
        <w:rPr>
          <w:lang w:val="fr-FR"/>
        </w:rPr>
        <w:t>(mais non condamné), la présomption d’innocenc</w:t>
      </w:r>
      <w:r w:rsidR="00D24E73">
        <w:rPr>
          <w:lang w:val="fr-FR"/>
        </w:rPr>
        <w:t>e et la protection de la collectivité</w:t>
      </w:r>
      <w:r w:rsidR="00C55800">
        <w:rPr>
          <w:lang w:val="fr-FR"/>
        </w:rPr>
        <w:t>.</w:t>
      </w:r>
    </w:p>
    <w:p w:rsidR="0050140E" w:rsidRPr="00C55800" w:rsidRDefault="00E03F22" w:rsidP="005D7B68">
      <w:pPr>
        <w:tabs>
          <w:tab w:val="left" w:pos="567"/>
          <w:tab w:val="left" w:pos="1134"/>
          <w:tab w:val="left" w:pos="1701"/>
          <w:tab w:val="left" w:pos="2268"/>
        </w:tabs>
        <w:rPr>
          <w:lang w:val="fr-FR"/>
        </w:rPr>
      </w:pPr>
      <w:r>
        <w:rPr>
          <w:lang w:val="fr-FR"/>
        </w:rPr>
        <w:t>105.</w:t>
      </w:r>
      <w:r w:rsidR="00B32044">
        <w:rPr>
          <w:lang w:val="fr-FR"/>
        </w:rPr>
        <w:tab/>
        <w:t>Le titre</w:t>
      </w:r>
      <w:r>
        <w:rPr>
          <w:lang w:val="fr-FR"/>
        </w:rPr>
        <w:t xml:space="preserve"> 6 du chapitre 14 de la loi sur les pouvoirs et responsabilités de la police comporte des prescriptions strictes concernant les éléments d’appréciation en vue d’un</w:t>
      </w:r>
      <w:r w:rsidR="00B32044">
        <w:rPr>
          <w:lang w:val="fr-FR"/>
        </w:rPr>
        <w:t>e</w:t>
      </w:r>
      <w:r>
        <w:rPr>
          <w:lang w:val="fr-FR"/>
        </w:rPr>
        <w:t xml:space="preserve"> libération sous caution et la comparution devant un tribunal dans les plus brefs délais.</w:t>
      </w:r>
    </w:p>
    <w:p w:rsidR="00580B1E" w:rsidRPr="0050140E" w:rsidRDefault="0050140E" w:rsidP="005D7B68">
      <w:pPr>
        <w:tabs>
          <w:tab w:val="left" w:pos="567"/>
          <w:tab w:val="left" w:pos="1134"/>
          <w:tab w:val="left" w:pos="1701"/>
          <w:tab w:val="left" w:pos="2268"/>
        </w:tabs>
        <w:rPr>
          <w:lang w:val="fr-FR"/>
        </w:rPr>
      </w:pPr>
      <w:r>
        <w:rPr>
          <w:lang w:val="fr-FR"/>
        </w:rPr>
        <w:t>106.</w:t>
      </w:r>
      <w:r>
        <w:rPr>
          <w:lang w:val="fr-FR"/>
        </w:rPr>
        <w:tab/>
        <w:t>Les prévenus auxquels la libération sous caution a été refusée sont</w:t>
      </w:r>
      <w:r w:rsidR="00E1592B">
        <w:rPr>
          <w:lang w:val="fr-FR"/>
        </w:rPr>
        <w:t xml:space="preserve"> transférés de la</w:t>
      </w:r>
      <w:r>
        <w:rPr>
          <w:lang w:val="fr-FR"/>
        </w:rPr>
        <w:t xml:space="preserve"> cellule de garde à vue dans des établissements de détention provisoire administrés par les services pénitentiaires du Queensland</w:t>
      </w:r>
      <w:r w:rsidR="008D6B80">
        <w:rPr>
          <w:lang w:val="fr-FR"/>
        </w:rPr>
        <w:t xml:space="preserve">. </w:t>
      </w:r>
      <w:r>
        <w:rPr>
          <w:lang w:val="fr-FR"/>
        </w:rPr>
        <w:t>Les personnes placées en détention provisoire jouissent des mêmes droits et privilèges que les condamnés</w:t>
      </w:r>
      <w:r w:rsidR="008D6B80">
        <w:rPr>
          <w:lang w:val="fr-FR"/>
        </w:rPr>
        <w:t xml:space="preserve">. </w:t>
      </w:r>
      <w:r>
        <w:rPr>
          <w:lang w:val="fr-FR"/>
        </w:rPr>
        <w:t xml:space="preserve">Il s’agit, sans que ce soit limitatif, de l’accès aux soins médicaux, du droit à </w:t>
      </w:r>
      <w:r w:rsidR="00E1592B">
        <w:rPr>
          <w:lang w:val="fr-FR"/>
        </w:rPr>
        <w:t>l’éducation et à l’emploi, du</w:t>
      </w:r>
      <w:r w:rsidR="00580B1E">
        <w:rPr>
          <w:lang w:val="fr-FR"/>
        </w:rPr>
        <w:t xml:space="preserve"> droit de recevoir des visites et de télép</w:t>
      </w:r>
      <w:r w:rsidR="0015408C">
        <w:rPr>
          <w:lang w:val="fr-FR"/>
        </w:rPr>
        <w:t>honer et du droit d’accès à un conseil</w:t>
      </w:r>
      <w:r w:rsidR="00580B1E">
        <w:rPr>
          <w:lang w:val="fr-FR"/>
        </w:rPr>
        <w:t>.</w:t>
      </w:r>
      <w:r>
        <w:rPr>
          <w:lang w:val="fr-FR"/>
        </w:rPr>
        <w:t xml:space="preserve"> </w:t>
      </w:r>
    </w:p>
    <w:p w:rsidR="00845317" w:rsidRPr="00580B1E" w:rsidRDefault="00580B1E" w:rsidP="005D7B68">
      <w:pPr>
        <w:tabs>
          <w:tab w:val="left" w:pos="567"/>
          <w:tab w:val="left" w:pos="1134"/>
          <w:tab w:val="left" w:pos="1701"/>
          <w:tab w:val="left" w:pos="2268"/>
        </w:tabs>
        <w:rPr>
          <w:lang w:val="fr-FR"/>
        </w:rPr>
      </w:pPr>
      <w:r>
        <w:rPr>
          <w:lang w:val="fr-FR"/>
        </w:rPr>
        <w:t>107.</w:t>
      </w:r>
      <w:r>
        <w:rPr>
          <w:lang w:val="fr-FR"/>
        </w:rPr>
        <w:tab/>
        <w:t xml:space="preserve">La </w:t>
      </w:r>
      <w:r w:rsidRPr="00E1592B">
        <w:rPr>
          <w:lang w:val="fr-FR"/>
        </w:rPr>
        <w:t>loi de 1992 sur les peines et condamnations</w:t>
      </w:r>
      <w:r>
        <w:rPr>
          <w:i/>
          <w:iCs/>
          <w:lang w:val="fr-FR"/>
        </w:rPr>
        <w:t xml:space="preserve"> </w:t>
      </w:r>
      <w:r>
        <w:rPr>
          <w:lang w:val="fr-FR"/>
        </w:rPr>
        <w:t>du Queensland permet de décompter le temps passé par les défendeurs en détention provisoire</w:t>
      </w:r>
      <w:r w:rsidR="008D6B80">
        <w:rPr>
          <w:lang w:val="fr-FR"/>
        </w:rPr>
        <w:t xml:space="preserve">. </w:t>
      </w:r>
      <w:r>
        <w:rPr>
          <w:lang w:val="fr-FR"/>
        </w:rPr>
        <w:t>C’est le juge qui, au moment du prononcé de la sentence, indique</w:t>
      </w:r>
      <w:r w:rsidR="00845317">
        <w:rPr>
          <w:lang w:val="fr-FR"/>
        </w:rPr>
        <w:t xml:space="preserve"> la durée de cette période.</w:t>
      </w:r>
      <w:r>
        <w:rPr>
          <w:lang w:val="fr-FR"/>
        </w:rPr>
        <w:t xml:space="preserve"> </w:t>
      </w:r>
    </w:p>
    <w:p w:rsidR="006D0587" w:rsidRDefault="008E1139" w:rsidP="005D7B68">
      <w:pPr>
        <w:tabs>
          <w:tab w:val="left" w:pos="567"/>
          <w:tab w:val="left" w:pos="1134"/>
          <w:tab w:val="left" w:pos="1701"/>
          <w:tab w:val="left" w:pos="2268"/>
        </w:tabs>
        <w:rPr>
          <w:b/>
          <w:bCs/>
          <w:lang w:val="fr-FR"/>
        </w:rPr>
      </w:pPr>
      <w:r>
        <w:rPr>
          <w:b/>
          <w:bCs/>
          <w:lang w:val="fr-FR"/>
        </w:rPr>
        <w:t>Australie occidentale</w:t>
      </w:r>
    </w:p>
    <w:p w:rsidR="00845317" w:rsidRDefault="00845317" w:rsidP="005D7B68">
      <w:pPr>
        <w:tabs>
          <w:tab w:val="left" w:pos="567"/>
          <w:tab w:val="left" w:pos="1134"/>
          <w:tab w:val="left" w:pos="1701"/>
          <w:tab w:val="left" w:pos="2268"/>
        </w:tabs>
        <w:rPr>
          <w:lang w:val="fr-FR"/>
        </w:rPr>
      </w:pPr>
      <w:r>
        <w:rPr>
          <w:lang w:val="fr-FR"/>
        </w:rPr>
        <w:t>108.</w:t>
      </w:r>
      <w:r>
        <w:rPr>
          <w:lang w:val="fr-FR"/>
        </w:rPr>
        <w:tab/>
        <w:t>Conformément à l’article 5 de la</w:t>
      </w:r>
      <w:r>
        <w:rPr>
          <w:i/>
          <w:iCs/>
          <w:lang w:val="fr-FR"/>
        </w:rPr>
        <w:t xml:space="preserve"> </w:t>
      </w:r>
      <w:r w:rsidRPr="00170F3B">
        <w:rPr>
          <w:lang w:val="fr-FR"/>
        </w:rPr>
        <w:t>loi de 1982 sur la libération sous caution</w:t>
      </w:r>
      <w:r>
        <w:rPr>
          <w:lang w:val="fr-FR"/>
        </w:rPr>
        <w:t>, tout prévenu placé en détention provisoire pour une infraction et qui est en attente de sa comparution initiale devant un tribunal bénéficie des droits ci-après</w:t>
      </w:r>
      <w:r w:rsidR="00572260">
        <w:rPr>
          <w:lang w:val="fr-FR"/>
        </w:rPr>
        <w:t>:</w:t>
      </w:r>
    </w:p>
    <w:p w:rsidR="00297A0E" w:rsidRDefault="007F6765" w:rsidP="00E0029F">
      <w:pPr>
        <w:numPr>
          <w:ilvl w:val="0"/>
          <w:numId w:val="10"/>
        </w:numPr>
        <w:tabs>
          <w:tab w:val="left" w:pos="1701"/>
          <w:tab w:val="left" w:pos="2268"/>
        </w:tabs>
        <w:rPr>
          <w:lang w:val="fr-FR"/>
        </w:rPr>
      </w:pPr>
      <w:r>
        <w:rPr>
          <w:lang w:val="fr-FR"/>
        </w:rPr>
        <w:t>Le droit à ce que son cas soit examiné dans les meilleurs délais aux fins d’une mise en liberté sous caution avant cette comparution, et</w:t>
      </w:r>
    </w:p>
    <w:p w:rsidR="001629F5" w:rsidRPr="00845317" w:rsidRDefault="007F6765" w:rsidP="00297A0E">
      <w:pPr>
        <w:numPr>
          <w:ilvl w:val="0"/>
          <w:numId w:val="10"/>
        </w:numPr>
        <w:tabs>
          <w:tab w:val="left" w:pos="1701"/>
          <w:tab w:val="left" w:pos="2268"/>
        </w:tabs>
        <w:rPr>
          <w:lang w:val="fr-FR"/>
        </w:rPr>
      </w:pPr>
      <w:r>
        <w:rPr>
          <w:lang w:val="fr-FR"/>
        </w:rPr>
        <w:t xml:space="preserve">Si son cas n’est </w:t>
      </w:r>
      <w:r w:rsidR="00170F3B">
        <w:rPr>
          <w:lang w:val="fr-FR"/>
        </w:rPr>
        <w:t xml:space="preserve">pas </w:t>
      </w:r>
      <w:r>
        <w:rPr>
          <w:lang w:val="fr-FR"/>
        </w:rPr>
        <w:t xml:space="preserve">examiné ou si la mise en liberté sous caution est refusée, ou encore s’il n’est pas </w:t>
      </w:r>
      <w:r w:rsidR="006616BB">
        <w:rPr>
          <w:lang w:val="fr-FR"/>
        </w:rPr>
        <w:t>libéré sous caution, le droit d’</w:t>
      </w:r>
      <w:r>
        <w:rPr>
          <w:lang w:val="fr-FR"/>
        </w:rPr>
        <w:t>être déféré devant un tribunal dans les meilleurs délais.</w:t>
      </w:r>
    </w:p>
    <w:p w:rsidR="007F6765" w:rsidRDefault="001629F5" w:rsidP="005D7B68">
      <w:pPr>
        <w:tabs>
          <w:tab w:val="left" w:pos="567"/>
          <w:tab w:val="left" w:pos="1134"/>
          <w:tab w:val="left" w:pos="1701"/>
          <w:tab w:val="left" w:pos="2268"/>
        </w:tabs>
        <w:rPr>
          <w:lang w:val="fr-FR"/>
        </w:rPr>
      </w:pPr>
      <w:r>
        <w:rPr>
          <w:lang w:val="fr-FR"/>
        </w:rPr>
        <w:t>109.</w:t>
      </w:r>
      <w:r>
        <w:rPr>
          <w:lang w:val="fr-FR"/>
        </w:rPr>
        <w:tab/>
        <w:t>Outre cela, l’article 6 de la même loi dispose que, dès que possible après l’inculpation, ou l’arrestation au titre d’un mandat d’arrêt, selon le cas, le responsable de l’arrestation doit</w:t>
      </w:r>
      <w:r w:rsidR="00572260">
        <w:rPr>
          <w:lang w:val="fr-FR"/>
        </w:rPr>
        <w:t>:</w:t>
      </w:r>
    </w:p>
    <w:p w:rsidR="001629F5" w:rsidRDefault="00170F3B" w:rsidP="00E0029F">
      <w:pPr>
        <w:numPr>
          <w:ilvl w:val="0"/>
          <w:numId w:val="11"/>
        </w:numPr>
        <w:tabs>
          <w:tab w:val="left" w:pos="1134"/>
          <w:tab w:val="left" w:pos="1701"/>
        </w:tabs>
        <w:rPr>
          <w:lang w:val="fr-FR"/>
        </w:rPr>
      </w:pPr>
      <w:r>
        <w:rPr>
          <w:lang w:val="fr-FR"/>
        </w:rPr>
        <w:t>S</w:t>
      </w:r>
      <w:r w:rsidR="001629F5">
        <w:rPr>
          <w:lang w:val="fr-FR"/>
        </w:rPr>
        <w:t>oit déférer ou faire déférer le prévenu devant un tribunal</w:t>
      </w:r>
      <w:r w:rsidR="00572260">
        <w:rPr>
          <w:lang w:val="fr-FR"/>
        </w:rPr>
        <w:t>;</w:t>
      </w:r>
    </w:p>
    <w:p w:rsidR="001629F5" w:rsidRDefault="00170F3B" w:rsidP="00E0029F">
      <w:pPr>
        <w:numPr>
          <w:ilvl w:val="0"/>
          <w:numId w:val="11"/>
        </w:numPr>
        <w:tabs>
          <w:tab w:val="left" w:pos="1134"/>
          <w:tab w:val="left" w:pos="1701"/>
        </w:tabs>
        <w:rPr>
          <w:lang w:val="fr-FR"/>
        </w:rPr>
      </w:pPr>
      <w:r>
        <w:rPr>
          <w:lang w:val="fr-FR"/>
        </w:rPr>
        <w:t>S</w:t>
      </w:r>
      <w:r w:rsidR="001629F5">
        <w:rPr>
          <w:lang w:val="fr-FR"/>
        </w:rPr>
        <w:t>oit accomplir les autres tâches qui lui incombent en vertu de cet article.</w:t>
      </w:r>
    </w:p>
    <w:p w:rsidR="001629F5" w:rsidRDefault="001629F5" w:rsidP="005D7B68">
      <w:pPr>
        <w:tabs>
          <w:tab w:val="left" w:pos="567"/>
          <w:tab w:val="left" w:pos="1134"/>
          <w:tab w:val="left" w:pos="1701"/>
          <w:tab w:val="left" w:pos="2268"/>
        </w:tabs>
        <w:rPr>
          <w:lang w:val="fr-FR"/>
        </w:rPr>
      </w:pPr>
      <w:r>
        <w:rPr>
          <w:lang w:val="fr-FR"/>
        </w:rPr>
        <w:t>110.</w:t>
      </w:r>
      <w:r>
        <w:rPr>
          <w:lang w:val="fr-FR"/>
        </w:rPr>
        <w:tab/>
        <w:t xml:space="preserve">Conformément à l’article 17 de la </w:t>
      </w:r>
      <w:r w:rsidRPr="00170F3B">
        <w:rPr>
          <w:lang w:val="fr-FR"/>
        </w:rPr>
        <w:t>loi de 1981sur les prisons</w:t>
      </w:r>
      <w:r>
        <w:rPr>
          <w:lang w:val="fr-FR"/>
        </w:rPr>
        <w:t xml:space="preserve">, si un tribunal a ordonné l’incarcération d’une personne, cette dernière peut être détenue en cellule pendant tout le temps </w:t>
      </w:r>
      <w:r w:rsidR="00E164F7">
        <w:rPr>
          <w:lang w:val="fr-FR"/>
        </w:rPr>
        <w:t xml:space="preserve">raisonnablement </w:t>
      </w:r>
      <w:r>
        <w:rPr>
          <w:lang w:val="fr-FR"/>
        </w:rPr>
        <w:t>nécessaire</w:t>
      </w:r>
      <w:r w:rsidR="00E164F7">
        <w:rPr>
          <w:lang w:val="fr-FR"/>
        </w:rPr>
        <w:t xml:space="preserve"> pour permettre de prendre les mesures</w:t>
      </w:r>
      <w:r w:rsidR="001B6D43">
        <w:rPr>
          <w:lang w:val="fr-FR"/>
        </w:rPr>
        <w:t xml:space="preserve"> en vue de</w:t>
      </w:r>
      <w:r w:rsidR="00170F3B">
        <w:rPr>
          <w:lang w:val="fr-FR"/>
        </w:rPr>
        <w:t xml:space="preserve"> son transport</w:t>
      </w:r>
      <w:r w:rsidR="00E164F7">
        <w:rPr>
          <w:lang w:val="fr-FR"/>
        </w:rPr>
        <w:t xml:space="preserve"> jusqu’à une prison</w:t>
      </w:r>
      <w:r w:rsidR="008D6B80">
        <w:rPr>
          <w:lang w:val="fr-FR"/>
        </w:rPr>
        <w:t xml:space="preserve">. </w:t>
      </w:r>
      <w:r w:rsidR="00E164F7">
        <w:rPr>
          <w:lang w:val="fr-FR"/>
        </w:rPr>
        <w:t>Le cas de toute personne incarcérée au titre de cet article sera réexaminé tous les trois mois.</w:t>
      </w:r>
    </w:p>
    <w:p w:rsidR="00E164F7" w:rsidRDefault="00E164F7" w:rsidP="005D7B68">
      <w:pPr>
        <w:tabs>
          <w:tab w:val="left" w:pos="567"/>
          <w:tab w:val="left" w:pos="1134"/>
          <w:tab w:val="left" w:pos="1701"/>
          <w:tab w:val="left" w:pos="2268"/>
        </w:tabs>
        <w:rPr>
          <w:lang w:val="fr-FR"/>
        </w:rPr>
      </w:pPr>
      <w:r>
        <w:rPr>
          <w:lang w:val="fr-FR"/>
        </w:rPr>
        <w:t>111.</w:t>
      </w:r>
      <w:r>
        <w:rPr>
          <w:lang w:val="fr-FR"/>
        </w:rPr>
        <w:tab/>
        <w:t xml:space="preserve">L’article 23 de la </w:t>
      </w:r>
      <w:r w:rsidRPr="00170F3B">
        <w:rPr>
          <w:lang w:val="fr-FR"/>
        </w:rPr>
        <w:t>loi de 1995 sur les condamnations</w:t>
      </w:r>
      <w:r>
        <w:rPr>
          <w:lang w:val="fr-FR"/>
        </w:rPr>
        <w:t xml:space="preserve"> dispose que, lorsqu’un contrevenant est condamné pour une infraction, le procureur doit, le cas échéant, informer le tribunal du temps </w:t>
      </w:r>
      <w:r w:rsidR="00DB5AC9">
        <w:rPr>
          <w:lang w:val="fr-FR"/>
        </w:rPr>
        <w:t xml:space="preserve">qu’il a </w:t>
      </w:r>
      <w:r>
        <w:rPr>
          <w:lang w:val="fr-FR"/>
        </w:rPr>
        <w:t>déjà passé en détention provisoire</w:t>
      </w:r>
      <w:r w:rsidR="00DB5AC9">
        <w:rPr>
          <w:lang w:val="fr-FR"/>
        </w:rPr>
        <w:t xml:space="preserve"> pour cette infraction et seulement pour cela.</w:t>
      </w:r>
    </w:p>
    <w:p w:rsidR="007660D0" w:rsidRPr="00E164F7" w:rsidRDefault="00DB5AC9" w:rsidP="005D7B68">
      <w:pPr>
        <w:tabs>
          <w:tab w:val="left" w:pos="567"/>
          <w:tab w:val="left" w:pos="1134"/>
          <w:tab w:val="left" w:pos="1701"/>
          <w:tab w:val="left" w:pos="2268"/>
        </w:tabs>
        <w:rPr>
          <w:lang w:val="fr-FR"/>
        </w:rPr>
      </w:pPr>
      <w:r>
        <w:rPr>
          <w:lang w:val="fr-FR"/>
        </w:rPr>
        <w:t>112.</w:t>
      </w:r>
      <w:r>
        <w:rPr>
          <w:lang w:val="fr-FR"/>
        </w:rPr>
        <w:tab/>
        <w:t xml:space="preserve">En </w:t>
      </w:r>
      <w:r w:rsidR="008E1139">
        <w:rPr>
          <w:lang w:val="fr-FR"/>
        </w:rPr>
        <w:t>Australie occidentale</w:t>
      </w:r>
      <w:r>
        <w:rPr>
          <w:lang w:val="fr-FR"/>
        </w:rPr>
        <w:t>, le temps moyen passé par les prisonniers en détention provisoire varie beaucoup d’un mois à l’autre</w:t>
      </w:r>
      <w:r w:rsidR="008D6B80">
        <w:rPr>
          <w:lang w:val="fr-FR"/>
        </w:rPr>
        <w:t xml:space="preserve">. </w:t>
      </w:r>
      <w:r>
        <w:rPr>
          <w:lang w:val="fr-FR"/>
        </w:rPr>
        <w:t>Cependant</w:t>
      </w:r>
      <w:r w:rsidR="001B6D43">
        <w:rPr>
          <w:lang w:val="fr-FR"/>
        </w:rPr>
        <w:t>, on a constaté qu’il avait augmenté</w:t>
      </w:r>
      <w:r>
        <w:rPr>
          <w:lang w:val="fr-FR"/>
        </w:rPr>
        <w:t xml:space="preserve"> d’enviro</w:t>
      </w:r>
      <w:r w:rsidR="001B6D43">
        <w:rPr>
          <w:lang w:val="fr-FR"/>
        </w:rPr>
        <w:t>n 8 % en moyenne</w:t>
      </w:r>
      <w:r>
        <w:rPr>
          <w:lang w:val="fr-FR"/>
        </w:rPr>
        <w:t xml:space="preserve"> au cours des deux dernières années, ce qui signifie que les personnes</w:t>
      </w:r>
      <w:r w:rsidR="00521B09">
        <w:rPr>
          <w:lang w:val="fr-FR"/>
        </w:rPr>
        <w:t xml:space="preserve"> concernées</w:t>
      </w:r>
      <w:r>
        <w:rPr>
          <w:lang w:val="fr-FR"/>
        </w:rPr>
        <w:t xml:space="preserve"> p</w:t>
      </w:r>
      <w:r w:rsidR="00170F3B">
        <w:rPr>
          <w:lang w:val="fr-FR"/>
        </w:rPr>
        <w:t>euvent maintenant s’attendre à</w:t>
      </w:r>
      <w:r>
        <w:rPr>
          <w:lang w:val="fr-FR"/>
        </w:rPr>
        <w:t xml:space="preserve"> passer environ </w:t>
      </w:r>
      <w:r w:rsidR="007D6300">
        <w:rPr>
          <w:lang w:val="fr-FR"/>
        </w:rPr>
        <w:t>quatre</w:t>
      </w:r>
      <w:r w:rsidR="007D6300">
        <w:rPr>
          <w:lang w:val="fr-FR"/>
        </w:rPr>
        <w:noBreakHyphen/>
        <w:t>vingt</w:t>
      </w:r>
      <w:r w:rsidR="007D6300">
        <w:rPr>
          <w:lang w:val="fr-FR"/>
        </w:rPr>
        <w:noBreakHyphen/>
        <w:t>dix</w:t>
      </w:r>
      <w:r w:rsidR="007D6300">
        <w:rPr>
          <w:lang w:val="fr-FR"/>
        </w:rPr>
        <w:noBreakHyphen/>
        <w:t>sept</w:t>
      </w:r>
      <w:r>
        <w:rPr>
          <w:lang w:val="fr-FR"/>
        </w:rPr>
        <w:t xml:space="preserve"> jours</w:t>
      </w:r>
      <w:r w:rsidR="00170F3B">
        <w:rPr>
          <w:lang w:val="fr-FR"/>
        </w:rPr>
        <w:t xml:space="preserve"> en détention</w:t>
      </w:r>
      <w:r w:rsidR="00690CB1">
        <w:rPr>
          <w:lang w:val="fr-FR"/>
        </w:rPr>
        <w:t xml:space="preserve"> avant de comparaître,</w:t>
      </w:r>
      <w:r>
        <w:rPr>
          <w:lang w:val="fr-FR"/>
        </w:rPr>
        <w:t xml:space="preserve"> au lieu de </w:t>
      </w:r>
      <w:r w:rsidR="007D6300">
        <w:rPr>
          <w:lang w:val="fr-FR"/>
        </w:rPr>
        <w:t>quatre</w:t>
      </w:r>
      <w:r w:rsidR="007D6300">
        <w:rPr>
          <w:lang w:val="fr-FR"/>
        </w:rPr>
        <w:noBreakHyphen/>
        <w:t>vingt</w:t>
      </w:r>
      <w:r w:rsidR="007D6300">
        <w:rPr>
          <w:lang w:val="fr-FR"/>
        </w:rPr>
        <w:noBreakHyphen/>
        <w:t>onze</w:t>
      </w:r>
      <w:r>
        <w:rPr>
          <w:lang w:val="fr-FR"/>
        </w:rPr>
        <w:t xml:space="preserve"> jours il y a deux ans. </w:t>
      </w:r>
    </w:p>
    <w:p w:rsidR="003F3392" w:rsidRPr="007660D0" w:rsidRDefault="00B54325" w:rsidP="005D7B68">
      <w:pPr>
        <w:tabs>
          <w:tab w:val="left" w:pos="567"/>
          <w:tab w:val="left" w:pos="1134"/>
          <w:tab w:val="left" w:pos="1701"/>
          <w:tab w:val="left" w:pos="2268"/>
          <w:tab w:val="left" w:pos="3540"/>
        </w:tabs>
        <w:jc w:val="center"/>
        <w:rPr>
          <w:lang w:val="fr-FR"/>
        </w:rPr>
      </w:pPr>
      <w:r>
        <w:rPr>
          <w:noProof/>
          <w:lang w:val="fr-FR" w:eastAsia="fr-FR"/>
        </w:rPr>
        <w:pict>
          <v:line id="_x0000_s1066" style="position:absolute;left:0;text-align:left;flip:y;z-index:14" from="180.75pt,150.15pt" to="360.15pt,150.75pt"/>
        </w:pict>
      </w:r>
      <w:r>
        <w:rPr>
          <w:noProof/>
          <w:lang w:val="fr-FR" w:eastAsia="fr-FR"/>
        </w:rPr>
        <w:pict>
          <v:line id="_x0000_s1065" style="position:absolute;left:0;text-align:left;z-index:13" from="189pt,154.2pt" to="189pt,154.2pt"/>
        </w:pict>
      </w:r>
      <w:r w:rsidR="006A727E">
        <w:rPr>
          <w:noProof/>
          <w:lang w:val="fr-FR" w:eastAsia="fr-FR"/>
        </w:rPr>
        <w:pict>
          <v:rect id="_x0000_s1059" style="position:absolute;left:0;text-align:left;margin-left:153pt;margin-top:130.35pt;width:209.55pt;height:22.2pt;z-index:12" stroked="f">
            <v:textbox style="mso-next-textbox:#_x0000_s1059" inset="0,0,0,0">
              <w:txbxContent>
                <w:p w:rsidR="00CC46D2" w:rsidRPr="00B54325" w:rsidRDefault="00CC46D2" w:rsidP="00B54325">
                  <w:pPr>
                    <w:rPr>
                      <w:sz w:val="12"/>
                      <w:szCs w:val="12"/>
                      <w:u w:val="single"/>
                      <w:lang w:val="fr-CH"/>
                    </w:rPr>
                  </w:pPr>
                  <w:r w:rsidRPr="00B54325">
                    <w:rPr>
                      <w:sz w:val="12"/>
                      <w:szCs w:val="12"/>
                      <w:lang w:val="fr-CH"/>
                    </w:rPr>
                    <w:t>Nombre moyen de jours en détenti</w:t>
                  </w:r>
                  <w:r>
                    <w:rPr>
                      <w:sz w:val="12"/>
                      <w:szCs w:val="12"/>
                      <w:lang w:val="fr-CH"/>
                    </w:rPr>
                    <w:t>on provisoire jusqu’à la date du</w:t>
                  </w:r>
                  <w:r w:rsidRPr="00B54325">
                    <w:rPr>
                      <w:sz w:val="12"/>
                      <w:szCs w:val="12"/>
                      <w:lang w:val="fr-CH"/>
                    </w:rPr>
                    <w:t xml:space="preserve"> recensement</w:t>
                  </w:r>
                  <w:r w:rsidRPr="00B54325">
                    <w:rPr>
                      <w:sz w:val="12"/>
                      <w:szCs w:val="12"/>
                      <w:lang w:val="fr-CH"/>
                    </w:rPr>
                    <w:br/>
                    <w:t xml:space="preserve">Linéaire (nombre moyen de jours passés en détention provisoire jusqu’à la date du </w:t>
                  </w:r>
                  <w:r w:rsidRPr="00B54325">
                    <w:rPr>
                      <w:sz w:val="12"/>
                      <w:szCs w:val="12"/>
                      <w:u w:val="single"/>
                      <w:lang w:val="fr-CH"/>
                    </w:rPr>
                    <w:t xml:space="preserve">recensement </w:t>
                  </w:r>
                </w:p>
              </w:txbxContent>
            </v:textbox>
          </v:rect>
        </w:pict>
      </w:r>
      <w:r w:rsidR="006A727E">
        <w:rPr>
          <w:noProof/>
          <w:lang w:val="fr-FR" w:eastAsia="fr-FR"/>
        </w:rPr>
        <w:pict>
          <v:rect id="_x0000_s1057" style="position:absolute;left:0;text-align:left;margin-left:2in;margin-top:10.2pt;width:198pt;height:18pt;z-index:11" stroked="f">
            <v:textbox style="mso-next-textbox:#_x0000_s1057">
              <w:txbxContent>
                <w:p w:rsidR="00CC46D2" w:rsidRPr="006A727E" w:rsidRDefault="00CC46D2">
                  <w:pPr>
                    <w:rPr>
                      <w:b/>
                      <w:bCs/>
                      <w:sz w:val="16"/>
                      <w:szCs w:val="16"/>
                      <w:lang w:val="fr-CH"/>
                    </w:rPr>
                  </w:pPr>
                  <w:r w:rsidRPr="006A727E">
                    <w:rPr>
                      <w:b/>
                      <w:bCs/>
                      <w:sz w:val="16"/>
                      <w:szCs w:val="16"/>
                      <w:lang w:val="fr-CH"/>
                    </w:rPr>
                    <w:t>Temps moyen passé en détention provisoire (jours)</w:t>
                  </w:r>
                </w:p>
              </w:txbxContent>
            </v:textbox>
          </v:rect>
        </w:pict>
      </w:r>
      <w:r w:rsidR="006A727E" w:rsidRPr="00B54325">
        <w:object w:dxaOrig="5144" w:dyaOrig="4784">
          <v:shape id="_x0000_i1026" type="#_x0000_t75" style="width:283.5pt;height:152.25pt">
            <v:imagedata r:id="rId11" o:title=""/>
          </v:shape>
        </w:object>
      </w:r>
    </w:p>
    <w:p w:rsidR="003F3392" w:rsidRPr="003F3392" w:rsidRDefault="00940BD3" w:rsidP="005D7B68">
      <w:pPr>
        <w:tabs>
          <w:tab w:val="left" w:pos="567"/>
          <w:tab w:val="left" w:pos="1134"/>
          <w:tab w:val="left" w:pos="1701"/>
          <w:tab w:val="left" w:pos="2268"/>
        </w:tabs>
        <w:rPr>
          <w:lang w:val="fr-FR"/>
        </w:rPr>
      </w:pPr>
      <w:r>
        <w:rPr>
          <w:lang w:val="fr-FR"/>
        </w:rPr>
        <w:t>113.</w:t>
      </w:r>
      <w:r>
        <w:rPr>
          <w:lang w:val="fr-FR"/>
        </w:rPr>
        <w:tab/>
        <w:t>La durée moyenne de la</w:t>
      </w:r>
      <w:r w:rsidR="008C643E">
        <w:rPr>
          <w:lang w:val="fr-FR"/>
        </w:rPr>
        <w:t xml:space="preserve"> détention provisoire </w:t>
      </w:r>
      <w:r>
        <w:rPr>
          <w:lang w:val="fr-FR"/>
        </w:rPr>
        <w:t>d</w:t>
      </w:r>
      <w:r w:rsidR="00170F3B">
        <w:rPr>
          <w:lang w:val="fr-FR"/>
        </w:rPr>
        <w:t>es personnes</w:t>
      </w:r>
      <w:r w:rsidR="008C643E">
        <w:rPr>
          <w:lang w:val="fr-FR"/>
        </w:rPr>
        <w:t xml:space="preserve"> en attente de jugement, et qui ont finalement été condamné</w:t>
      </w:r>
      <w:r>
        <w:rPr>
          <w:lang w:val="fr-FR"/>
        </w:rPr>
        <w:t>e</w:t>
      </w:r>
      <w:r w:rsidR="008C643E">
        <w:rPr>
          <w:lang w:val="fr-FR"/>
        </w:rPr>
        <w:t>s à des peines de prison, est également passé</w:t>
      </w:r>
      <w:r>
        <w:rPr>
          <w:lang w:val="fr-FR"/>
        </w:rPr>
        <w:t>e</w:t>
      </w:r>
      <w:r w:rsidR="008C643E">
        <w:rPr>
          <w:lang w:val="fr-FR"/>
        </w:rPr>
        <w:t xml:space="preserve"> de </w:t>
      </w:r>
      <w:r w:rsidR="00AE080F">
        <w:rPr>
          <w:lang w:val="fr-FR"/>
        </w:rPr>
        <w:t>soixante</w:t>
      </w:r>
      <w:r w:rsidR="00AE080F">
        <w:rPr>
          <w:lang w:val="fr-FR"/>
        </w:rPr>
        <w:noBreakHyphen/>
        <w:t>dix</w:t>
      </w:r>
      <w:r w:rsidR="008C643E">
        <w:rPr>
          <w:lang w:val="fr-FR"/>
        </w:rPr>
        <w:t xml:space="preserve"> jours à </w:t>
      </w:r>
      <w:r w:rsidR="00AE080F">
        <w:rPr>
          <w:lang w:val="fr-FR"/>
        </w:rPr>
        <w:t>quatre</w:t>
      </w:r>
      <w:r w:rsidR="00AE080F">
        <w:rPr>
          <w:lang w:val="fr-FR"/>
        </w:rPr>
        <w:noBreakHyphen/>
        <w:t>vingt</w:t>
      </w:r>
      <w:r w:rsidR="00AE080F">
        <w:rPr>
          <w:lang w:val="fr-FR"/>
        </w:rPr>
        <w:noBreakHyphen/>
        <w:t>huit</w:t>
      </w:r>
      <w:r w:rsidR="008C643E">
        <w:rPr>
          <w:lang w:val="fr-FR"/>
        </w:rPr>
        <w:t xml:space="preserve"> jours entre août 2004 et août 2006, ce qui ve</w:t>
      </w:r>
      <w:r>
        <w:rPr>
          <w:lang w:val="fr-FR"/>
        </w:rPr>
        <w:t>ut dire que certains détenus</w:t>
      </w:r>
      <w:r w:rsidR="008C643E">
        <w:rPr>
          <w:lang w:val="fr-FR"/>
        </w:rPr>
        <w:t xml:space="preserve"> en attente de jugement </w:t>
      </w:r>
      <w:r w:rsidR="00773CDE">
        <w:rPr>
          <w:lang w:val="fr-FR"/>
        </w:rPr>
        <w:t>restent</w:t>
      </w:r>
      <w:r w:rsidR="008C643E">
        <w:rPr>
          <w:lang w:val="fr-FR"/>
        </w:rPr>
        <w:t xml:space="preserve"> plus longtemps en détention provisoire. </w:t>
      </w:r>
    </w:p>
    <w:p w:rsidR="003F3392" w:rsidRDefault="008E1139" w:rsidP="005D7B68">
      <w:pPr>
        <w:tabs>
          <w:tab w:val="left" w:pos="567"/>
          <w:tab w:val="left" w:pos="1134"/>
          <w:tab w:val="left" w:pos="1701"/>
          <w:tab w:val="left" w:pos="2268"/>
        </w:tabs>
        <w:rPr>
          <w:b/>
          <w:bCs/>
          <w:lang w:val="fr-FR"/>
        </w:rPr>
      </w:pPr>
      <w:r>
        <w:rPr>
          <w:b/>
          <w:bCs/>
          <w:lang w:val="fr-FR"/>
        </w:rPr>
        <w:t>Australie méridionale</w:t>
      </w:r>
    </w:p>
    <w:p w:rsidR="001111FE" w:rsidRDefault="00D36FC4" w:rsidP="005D7B68">
      <w:pPr>
        <w:tabs>
          <w:tab w:val="left" w:pos="567"/>
          <w:tab w:val="left" w:pos="1134"/>
          <w:tab w:val="left" w:pos="1701"/>
          <w:tab w:val="left" w:pos="2268"/>
        </w:tabs>
        <w:rPr>
          <w:lang w:val="fr-FR"/>
        </w:rPr>
      </w:pPr>
      <w:r>
        <w:rPr>
          <w:lang w:val="fr-FR"/>
        </w:rPr>
        <w:t>114.</w:t>
      </w:r>
      <w:r w:rsidR="001111FE">
        <w:rPr>
          <w:lang w:val="fr-FR"/>
        </w:rPr>
        <w:tab/>
        <w:t xml:space="preserve">L’article 10 de la </w:t>
      </w:r>
      <w:r w:rsidR="001111FE" w:rsidRPr="0083571E">
        <w:rPr>
          <w:lang w:val="fr-FR"/>
        </w:rPr>
        <w:t>loi de 1985 sur la libération sous caution</w:t>
      </w:r>
      <w:r w:rsidR="001111FE">
        <w:rPr>
          <w:lang w:val="fr-FR"/>
        </w:rPr>
        <w:t xml:space="preserve"> institue une présomption en faveur de la mise en liberté sous caution, qui provient du principe de </w:t>
      </w:r>
      <w:r w:rsidR="001111FE">
        <w:rPr>
          <w:i/>
          <w:iCs/>
          <w:lang w:val="fr-FR"/>
        </w:rPr>
        <w:t>common law</w:t>
      </w:r>
      <w:r w:rsidR="001111FE">
        <w:rPr>
          <w:lang w:val="fr-FR"/>
        </w:rPr>
        <w:t xml:space="preserve"> selon lequel toute personne est présumée innocente jusqu’à ce qu’elle soit reconnue coupable</w:t>
      </w:r>
      <w:r w:rsidR="008D6B80">
        <w:rPr>
          <w:lang w:val="fr-FR"/>
        </w:rPr>
        <w:t xml:space="preserve">. </w:t>
      </w:r>
      <w:r w:rsidR="001111FE">
        <w:rPr>
          <w:lang w:val="fr-FR"/>
        </w:rPr>
        <w:t>Cette présomption s’applique à toutes les demandes de libération sous caution, sauf celles qui se doublent d’un appel d’une condamnation ou d’une sentence ou celles qui sont énumérées dans l’article 10A de cette loi.</w:t>
      </w:r>
    </w:p>
    <w:p w:rsidR="00D36FC4" w:rsidRPr="001111FE" w:rsidRDefault="001111FE" w:rsidP="005D7B68">
      <w:pPr>
        <w:tabs>
          <w:tab w:val="left" w:pos="567"/>
          <w:tab w:val="left" w:pos="1134"/>
          <w:tab w:val="left" w:pos="1701"/>
          <w:tab w:val="left" w:pos="2268"/>
        </w:tabs>
        <w:rPr>
          <w:lang w:val="fr-FR"/>
        </w:rPr>
      </w:pPr>
      <w:r>
        <w:rPr>
          <w:lang w:val="fr-FR"/>
        </w:rPr>
        <w:t>115.</w:t>
      </w:r>
      <w:r>
        <w:rPr>
          <w:lang w:val="fr-FR"/>
        </w:rPr>
        <w:tab/>
        <w:t>La mise en liberté sous caution peut être accordée soit par un tribunal, soit par un fonctionnaire de police d’un grade supérieur à celui de sergent, o</w:t>
      </w:r>
      <w:r w:rsidR="0083571E">
        <w:rPr>
          <w:lang w:val="fr-FR"/>
        </w:rPr>
        <w:t xml:space="preserve">u bien qui dirige </w:t>
      </w:r>
      <w:r w:rsidR="006E1884">
        <w:rPr>
          <w:lang w:val="fr-FR"/>
        </w:rPr>
        <w:t>un</w:t>
      </w:r>
      <w:r w:rsidR="0083571E">
        <w:rPr>
          <w:lang w:val="fr-FR"/>
        </w:rPr>
        <w:t xml:space="preserve"> poste</w:t>
      </w:r>
      <w:r w:rsidR="00C87ED3">
        <w:rPr>
          <w:lang w:val="fr-FR"/>
        </w:rPr>
        <w:t xml:space="preserve"> de police</w:t>
      </w:r>
      <w:r w:rsidR="008D6B80">
        <w:rPr>
          <w:lang w:val="fr-FR"/>
        </w:rPr>
        <w:t xml:space="preserve">. </w:t>
      </w:r>
      <w:r>
        <w:rPr>
          <w:lang w:val="fr-FR"/>
        </w:rPr>
        <w:t xml:space="preserve">Toutefois, </w:t>
      </w:r>
      <w:r w:rsidR="00A93FC3">
        <w:rPr>
          <w:lang w:val="fr-FR"/>
        </w:rPr>
        <w:t>n’est pas autorisée à déposer une demande de mise en</w:t>
      </w:r>
      <w:r w:rsidR="005F09E2">
        <w:rPr>
          <w:lang w:val="fr-FR"/>
        </w:rPr>
        <w:t xml:space="preserve"> liberté sous caution toute personne</w:t>
      </w:r>
      <w:r w:rsidR="00F316CC">
        <w:rPr>
          <w:lang w:val="fr-FR"/>
        </w:rPr>
        <w:t xml:space="preserve"> placée en garde à vue</w:t>
      </w:r>
      <w:r w:rsidR="00A93FC3">
        <w:rPr>
          <w:lang w:val="fr-FR"/>
        </w:rPr>
        <w:t xml:space="preserve"> à des fins liées à l’instruction d’un délit grave au titre de l’article 78 de la </w:t>
      </w:r>
      <w:r w:rsidR="00A93FC3" w:rsidRPr="000717E3">
        <w:rPr>
          <w:lang w:val="fr-FR"/>
        </w:rPr>
        <w:t>loi de 1953 sur les infractions mineures</w:t>
      </w:r>
      <w:r w:rsidR="008D6B80">
        <w:rPr>
          <w:lang w:val="fr-FR"/>
        </w:rPr>
        <w:t xml:space="preserve">. </w:t>
      </w:r>
      <w:r w:rsidR="00A93FC3">
        <w:rPr>
          <w:lang w:val="fr-FR"/>
        </w:rPr>
        <w:t>Dans ce cas, elle peut être placée en détention aussi longtemps qu’il est nécessaire pour compléter l’enquête, ou pour la période prescrite, si cette dernière est moins longue</w:t>
      </w:r>
      <w:r w:rsidR="008D6B80">
        <w:rPr>
          <w:lang w:val="fr-FR"/>
        </w:rPr>
        <w:t xml:space="preserve">. </w:t>
      </w:r>
      <w:r w:rsidR="00F316CC">
        <w:rPr>
          <w:lang w:val="fr-FR"/>
        </w:rPr>
        <w:t xml:space="preserve">La période prescrite aux fins de cet article est de </w:t>
      </w:r>
      <w:r w:rsidR="00A619D6">
        <w:rPr>
          <w:lang w:val="fr-FR"/>
        </w:rPr>
        <w:t>«</w:t>
      </w:r>
      <w:r w:rsidR="00F316CC">
        <w:rPr>
          <w:lang w:val="fr-FR"/>
        </w:rPr>
        <w:t xml:space="preserve">quatre heures ou une période plus longue (mais n’excédant pas huit heures) qui peut être autorisée par un </w:t>
      </w:r>
      <w:r w:rsidR="00F316CC">
        <w:rPr>
          <w:i/>
          <w:iCs/>
          <w:lang w:val="fr-FR"/>
        </w:rPr>
        <w:t>magistrate</w:t>
      </w:r>
      <w:r w:rsidR="00A619D6">
        <w:rPr>
          <w:lang w:val="fr-FR"/>
        </w:rPr>
        <w:t>»</w:t>
      </w:r>
      <w:r w:rsidR="008D6B80">
        <w:rPr>
          <w:lang w:val="fr-FR"/>
        </w:rPr>
        <w:t>.</w:t>
      </w:r>
      <w:r w:rsidR="00572260">
        <w:rPr>
          <w:lang w:val="fr-FR"/>
        </w:rPr>
        <w:t xml:space="preserve"> </w:t>
      </w:r>
    </w:p>
    <w:p w:rsidR="003F3392" w:rsidRPr="003F3392" w:rsidRDefault="00F316CC" w:rsidP="005D7B68">
      <w:pPr>
        <w:tabs>
          <w:tab w:val="left" w:pos="567"/>
          <w:tab w:val="left" w:pos="1134"/>
          <w:tab w:val="left" w:pos="1701"/>
          <w:tab w:val="left" w:pos="2268"/>
        </w:tabs>
        <w:rPr>
          <w:lang w:val="fr-FR"/>
        </w:rPr>
      </w:pPr>
      <w:r>
        <w:rPr>
          <w:lang w:val="fr-FR"/>
        </w:rPr>
        <w:t>116.</w:t>
      </w:r>
      <w:r>
        <w:rPr>
          <w:lang w:val="fr-FR"/>
        </w:rPr>
        <w:tab/>
        <w:t xml:space="preserve">Toute personne qui n’a pas été libérée sous caution par la police doit être </w:t>
      </w:r>
      <w:r w:rsidRPr="009C4B94">
        <w:rPr>
          <w:lang w:val="fr-FR"/>
        </w:rPr>
        <w:t xml:space="preserve">déférée </w:t>
      </w:r>
      <w:r>
        <w:rPr>
          <w:lang w:val="fr-FR"/>
        </w:rPr>
        <w:t>devant un tribunal</w:t>
      </w:r>
      <w:r w:rsidR="006F68E7">
        <w:rPr>
          <w:lang w:val="fr-FR"/>
        </w:rPr>
        <w:t xml:space="preserve"> </w:t>
      </w:r>
      <w:r w:rsidR="00A619D6">
        <w:rPr>
          <w:lang w:val="fr-FR"/>
        </w:rPr>
        <w:t>«</w:t>
      </w:r>
      <w:r w:rsidR="006F68E7">
        <w:rPr>
          <w:lang w:val="fr-FR"/>
        </w:rPr>
        <w:t>dès que la chose est raisonnablement possible le premier jour ouvrable suivant la date de l’arrestation, mais, en tout ét</w:t>
      </w:r>
      <w:r w:rsidR="000717E3">
        <w:rPr>
          <w:lang w:val="fr-FR"/>
        </w:rPr>
        <w:t>at de cause, pas après 16 h</w:t>
      </w:r>
      <w:r w:rsidR="00500B52">
        <w:rPr>
          <w:lang w:val="fr-FR"/>
        </w:rPr>
        <w:t>eures</w:t>
      </w:r>
      <w:r w:rsidR="00A619D6">
        <w:rPr>
          <w:lang w:val="fr-FR"/>
        </w:rPr>
        <w:t>»</w:t>
      </w:r>
      <w:r w:rsidR="006F68E7">
        <w:rPr>
          <w:lang w:val="fr-FR"/>
        </w:rPr>
        <w:t>.</w:t>
      </w:r>
      <w:r w:rsidR="006F68E7">
        <w:rPr>
          <w:rStyle w:val="FootnoteReference"/>
          <w:lang w:val="fr-FR"/>
        </w:rPr>
        <w:footnoteReference w:id="6"/>
      </w:r>
    </w:p>
    <w:p w:rsidR="003F3392" w:rsidRDefault="006D1C90" w:rsidP="0051618C">
      <w:pPr>
        <w:keepNext/>
        <w:tabs>
          <w:tab w:val="left" w:pos="567"/>
          <w:tab w:val="left" w:pos="1134"/>
          <w:tab w:val="left" w:pos="1701"/>
          <w:tab w:val="left" w:pos="2268"/>
        </w:tabs>
        <w:rPr>
          <w:b/>
          <w:bCs/>
          <w:lang w:val="fr-FR"/>
        </w:rPr>
      </w:pPr>
      <w:r>
        <w:rPr>
          <w:b/>
          <w:bCs/>
          <w:lang w:val="fr-FR"/>
        </w:rPr>
        <w:t>Tasmanie</w:t>
      </w:r>
    </w:p>
    <w:p w:rsidR="006D1C90" w:rsidRPr="005B4ED0" w:rsidRDefault="000717E3" w:rsidP="0051618C">
      <w:pPr>
        <w:keepNext/>
        <w:tabs>
          <w:tab w:val="left" w:pos="567"/>
          <w:tab w:val="left" w:pos="1134"/>
          <w:tab w:val="left" w:pos="1701"/>
          <w:tab w:val="left" w:pos="2268"/>
        </w:tabs>
        <w:rPr>
          <w:lang w:val="fr-FR"/>
        </w:rPr>
      </w:pPr>
      <w:r>
        <w:rPr>
          <w:lang w:val="fr-FR"/>
        </w:rPr>
        <w:t>117.</w:t>
      </w:r>
      <w:r>
        <w:rPr>
          <w:lang w:val="fr-FR"/>
        </w:rPr>
        <w:tab/>
        <w:t>La Cour s</w:t>
      </w:r>
      <w:r w:rsidR="006D1C90">
        <w:rPr>
          <w:lang w:val="fr-FR"/>
        </w:rPr>
        <w:t xml:space="preserve">uprême, les tribunaux traitant habituellement </w:t>
      </w:r>
      <w:r>
        <w:rPr>
          <w:lang w:val="fr-FR"/>
        </w:rPr>
        <w:t>les infractions mineures et la p</w:t>
      </w:r>
      <w:r w:rsidR="006D1C90">
        <w:rPr>
          <w:lang w:val="fr-FR"/>
        </w:rPr>
        <w:t>olice de Tasmanie</w:t>
      </w:r>
      <w:r w:rsidR="005B4ED0">
        <w:rPr>
          <w:lang w:val="fr-FR"/>
        </w:rPr>
        <w:t xml:space="preserve"> ont le pouvoir de libérer les prévenus sous caution au titre des dispositions de la </w:t>
      </w:r>
      <w:r w:rsidR="005B4ED0" w:rsidRPr="000717E3">
        <w:rPr>
          <w:lang w:val="fr-FR"/>
        </w:rPr>
        <w:t>loi de 1994 sur la libération sous caution</w:t>
      </w:r>
      <w:r w:rsidR="000733FB">
        <w:rPr>
          <w:lang w:val="fr-FR"/>
        </w:rPr>
        <w:t>.</w:t>
      </w:r>
      <w:r w:rsidR="005B4ED0">
        <w:rPr>
          <w:i/>
          <w:iCs/>
          <w:lang w:val="fr-FR"/>
        </w:rPr>
        <w:t xml:space="preserve"> </w:t>
      </w:r>
      <w:r w:rsidR="005B4ED0">
        <w:rPr>
          <w:lang w:val="fr-FR"/>
        </w:rPr>
        <w:t>La mise en liberté sous caution peut être amendée, modifiée ou annulée à n’importe quel stade des poursuites ou sur demande.</w:t>
      </w:r>
    </w:p>
    <w:p w:rsidR="00DB5AC9" w:rsidRPr="005B4ED0" w:rsidRDefault="005B4ED0" w:rsidP="0051618C">
      <w:pPr>
        <w:keepNext/>
        <w:tabs>
          <w:tab w:val="left" w:pos="567"/>
          <w:tab w:val="left" w:pos="1134"/>
          <w:tab w:val="left" w:pos="1701"/>
          <w:tab w:val="left" w:pos="2268"/>
        </w:tabs>
        <w:rPr>
          <w:lang w:val="fr-FR"/>
        </w:rPr>
      </w:pPr>
      <w:r>
        <w:rPr>
          <w:lang w:val="fr-FR"/>
        </w:rPr>
        <w:t>118.</w:t>
      </w:r>
      <w:r>
        <w:rPr>
          <w:lang w:val="fr-FR"/>
        </w:rPr>
        <w:tab/>
        <w:t>La loi de Tasmanie sur la libération sous caution ne comporte aucun élément législatif à prendre en considération pour guider les magistrats quand ils doivent prendre une décision relative à une demande</w:t>
      </w:r>
      <w:r w:rsidR="00BB2725">
        <w:rPr>
          <w:lang w:val="fr-FR"/>
        </w:rPr>
        <w:t xml:space="preserve"> de ce type</w:t>
      </w:r>
      <w:r w:rsidR="008D6B80">
        <w:rPr>
          <w:lang w:val="fr-FR"/>
        </w:rPr>
        <w:t xml:space="preserve">. </w:t>
      </w:r>
      <w:r>
        <w:rPr>
          <w:lang w:val="fr-FR"/>
        </w:rPr>
        <w:t xml:space="preserve">Le </w:t>
      </w:r>
      <w:r>
        <w:rPr>
          <w:i/>
          <w:iCs/>
          <w:lang w:val="fr-FR"/>
        </w:rPr>
        <w:t>Tasmanian Law Reform Institute</w:t>
      </w:r>
      <w:r>
        <w:rPr>
          <w:lang w:val="fr-FR"/>
        </w:rPr>
        <w:t xml:space="preserve"> (</w:t>
      </w:r>
      <w:r w:rsidR="00641C9E">
        <w:rPr>
          <w:lang w:val="fr-FR"/>
        </w:rPr>
        <w:t xml:space="preserve">Étude </w:t>
      </w:r>
      <w:r w:rsidR="00500B52">
        <w:rPr>
          <w:lang w:val="fr-FR"/>
        </w:rPr>
        <w:t>n</w:t>
      </w:r>
      <w:r w:rsidR="00500B52" w:rsidRPr="00500B52">
        <w:rPr>
          <w:vertAlign w:val="superscript"/>
          <w:lang w:val="fr-FR"/>
        </w:rPr>
        <w:t>o</w:t>
      </w:r>
      <w:r w:rsidR="00E9773F">
        <w:rPr>
          <w:vertAlign w:val="superscript"/>
          <w:lang w:val="fr-FR"/>
        </w:rPr>
        <w:t> </w:t>
      </w:r>
      <w:r w:rsidR="00641C9E">
        <w:rPr>
          <w:lang w:val="fr-FR"/>
        </w:rPr>
        <w:t>1, mai 2004) note que la libération sous caution existe afin que les personnes inculpées d’une infraction mais non encore reconnues coupables puissent rester libres dans la société</w:t>
      </w:r>
      <w:r w:rsidR="008D6B80">
        <w:rPr>
          <w:lang w:val="fr-FR"/>
        </w:rPr>
        <w:t xml:space="preserve">. </w:t>
      </w:r>
      <w:r w:rsidR="000328CF">
        <w:rPr>
          <w:lang w:val="fr-FR"/>
        </w:rPr>
        <w:t>Généralement, lorsqu’il s’agit</w:t>
      </w:r>
      <w:r w:rsidR="00A87ED4">
        <w:rPr>
          <w:lang w:val="fr-FR"/>
        </w:rPr>
        <w:t xml:space="preserve"> de décider de l’accorder ou non</w:t>
      </w:r>
      <w:r w:rsidR="000328CF">
        <w:rPr>
          <w:lang w:val="fr-FR"/>
        </w:rPr>
        <w:t>, l’élément essentiel à considérer</w:t>
      </w:r>
      <w:r w:rsidR="000717E3">
        <w:rPr>
          <w:lang w:val="fr-FR"/>
        </w:rPr>
        <w:t xml:space="preserve"> est de savoir si l’intéressé</w:t>
      </w:r>
      <w:r w:rsidR="000733FB">
        <w:rPr>
          <w:lang w:val="fr-FR"/>
        </w:rPr>
        <w:t xml:space="preserve"> se présentera </w:t>
      </w:r>
      <w:r w:rsidR="000328CF">
        <w:rPr>
          <w:lang w:val="fr-FR"/>
        </w:rPr>
        <w:t>devant le tri</w:t>
      </w:r>
      <w:r w:rsidR="000717E3">
        <w:rPr>
          <w:lang w:val="fr-FR"/>
        </w:rPr>
        <w:t>bunal lorsqu’il sera convoqué</w:t>
      </w:r>
      <w:r w:rsidR="008D6B80">
        <w:rPr>
          <w:lang w:val="fr-FR"/>
        </w:rPr>
        <w:t xml:space="preserve">. </w:t>
      </w:r>
      <w:r w:rsidR="000328CF">
        <w:rPr>
          <w:lang w:val="fr-FR"/>
        </w:rPr>
        <w:t>Cependant, le nombre de personnes mises</w:t>
      </w:r>
      <w:r w:rsidR="00535899">
        <w:rPr>
          <w:lang w:val="fr-FR"/>
        </w:rPr>
        <w:t xml:space="preserve"> en liberté sous caution qui récidivent</w:t>
      </w:r>
      <w:r w:rsidR="000328CF">
        <w:rPr>
          <w:lang w:val="fr-FR"/>
        </w:rPr>
        <w:t xml:space="preserve"> pendant cette période permet de fonder sur des éléments conc</w:t>
      </w:r>
      <w:r w:rsidR="00A87ED4">
        <w:rPr>
          <w:lang w:val="fr-FR"/>
        </w:rPr>
        <w:t>rets le réexamen des lois y afférentes</w:t>
      </w:r>
      <w:r w:rsidR="000328CF">
        <w:rPr>
          <w:lang w:val="fr-FR"/>
        </w:rPr>
        <w:t xml:space="preserve"> pour protéger la société contre ces délinquants qui </w:t>
      </w:r>
      <w:r w:rsidR="005B0EDC">
        <w:rPr>
          <w:lang w:val="fr-FR"/>
        </w:rPr>
        <w:t>font systématiquement fi de l’autorité du tribunal</w:t>
      </w:r>
      <w:r w:rsidR="008D6B80">
        <w:rPr>
          <w:lang w:val="fr-FR"/>
        </w:rPr>
        <w:t xml:space="preserve">. </w:t>
      </w:r>
      <w:r w:rsidR="005B0EDC">
        <w:rPr>
          <w:lang w:val="fr-FR"/>
        </w:rPr>
        <w:t>Cela s’est déjà produit dans certaines juridictions, comme en Nouvelle</w:t>
      </w:r>
      <w:r w:rsidR="00E9773F">
        <w:rPr>
          <w:lang w:val="fr-FR"/>
        </w:rPr>
        <w:noBreakHyphen/>
      </w:r>
      <w:r w:rsidR="005B0EDC">
        <w:rPr>
          <w:lang w:val="fr-FR"/>
        </w:rPr>
        <w:t>Galles du Sud, où la présomption en faveur de la libération sous caution a été abolie si l’infraction a été commise pendant que son auteur était en liberté sous caution.</w:t>
      </w:r>
    </w:p>
    <w:p w:rsidR="003F3392" w:rsidRDefault="005B0EDC" w:rsidP="0051618C">
      <w:pPr>
        <w:keepNext/>
        <w:tabs>
          <w:tab w:val="left" w:pos="567"/>
          <w:tab w:val="left" w:pos="1134"/>
          <w:tab w:val="left" w:pos="1701"/>
          <w:tab w:val="left" w:pos="2268"/>
        </w:tabs>
        <w:rPr>
          <w:lang w:val="fr-FR"/>
        </w:rPr>
      </w:pPr>
      <w:r>
        <w:rPr>
          <w:lang w:val="fr-FR"/>
        </w:rPr>
        <w:t>119.</w:t>
      </w:r>
      <w:r>
        <w:rPr>
          <w:lang w:val="fr-FR"/>
        </w:rPr>
        <w:tab/>
      </w:r>
      <w:r w:rsidRPr="00D81D6D">
        <w:rPr>
          <w:szCs w:val="24"/>
          <w:lang w:val="fr-FR"/>
        </w:rPr>
        <w:t>La loi ne précise pas</w:t>
      </w:r>
      <w:r>
        <w:rPr>
          <w:lang w:val="fr-FR"/>
        </w:rPr>
        <w:t xml:space="preserve"> la durée de la détention entre l’inculpation et le procès</w:t>
      </w:r>
      <w:r w:rsidR="008D6B80">
        <w:rPr>
          <w:lang w:val="fr-FR"/>
        </w:rPr>
        <w:t xml:space="preserve">. </w:t>
      </w:r>
      <w:r>
        <w:rPr>
          <w:lang w:val="fr-FR"/>
        </w:rPr>
        <w:t>Cependant, il est habituellement possible d’obtenir une mise en liberté sous caution, selon</w:t>
      </w:r>
      <w:r w:rsidR="00F83CB2">
        <w:rPr>
          <w:lang w:val="fr-FR"/>
        </w:rPr>
        <w:t xml:space="preserve"> la nature de l’infraction commise, le risque que l’intéressé fait courir au public et celui qu’il ne se présente pas devant le tribunal, dans la plupart des cas, sauf dans celui de certains délits, ou si cette personne est dangereuse</w:t>
      </w:r>
      <w:r w:rsidR="00D81D6D">
        <w:rPr>
          <w:lang w:val="fr-FR"/>
        </w:rPr>
        <w:t xml:space="preserve"> ou risque de ne pas se présenter</w:t>
      </w:r>
      <w:r w:rsidR="008D6B80">
        <w:rPr>
          <w:lang w:val="fr-FR"/>
        </w:rPr>
        <w:t xml:space="preserve">. </w:t>
      </w:r>
      <w:r w:rsidR="00F83CB2">
        <w:rPr>
          <w:lang w:val="fr-FR"/>
        </w:rPr>
        <w:t>Les pratiques consistent toujours à privilégier un règlement ra</w:t>
      </w:r>
      <w:r w:rsidR="00D81D6D">
        <w:rPr>
          <w:lang w:val="fr-FR"/>
        </w:rPr>
        <w:t>pide de l’affaire</w:t>
      </w:r>
      <w:r w:rsidR="00F83CB2">
        <w:rPr>
          <w:lang w:val="fr-FR"/>
        </w:rPr>
        <w:t>.</w:t>
      </w:r>
    </w:p>
    <w:p w:rsidR="00F83CB2" w:rsidRDefault="00F83CB2" w:rsidP="0051618C">
      <w:pPr>
        <w:keepNext/>
        <w:tabs>
          <w:tab w:val="left" w:pos="567"/>
          <w:tab w:val="left" w:pos="1134"/>
          <w:tab w:val="left" w:pos="1701"/>
          <w:tab w:val="left" w:pos="2268"/>
        </w:tabs>
        <w:rPr>
          <w:lang w:val="fr-FR"/>
        </w:rPr>
      </w:pPr>
      <w:r>
        <w:rPr>
          <w:lang w:val="fr-FR"/>
        </w:rPr>
        <w:t>120.</w:t>
      </w:r>
      <w:r>
        <w:rPr>
          <w:lang w:val="fr-FR"/>
        </w:rPr>
        <w:tab/>
        <w:t>La mise en liberté sous caution peut être accordée par la police ou par les tribunaux (bien que, dans certaines situations, elle ne puisse l’être que par les tribunaux)</w:t>
      </w:r>
      <w:r w:rsidR="008D6B80">
        <w:rPr>
          <w:lang w:val="fr-FR"/>
        </w:rPr>
        <w:t xml:space="preserve">. </w:t>
      </w:r>
      <w:r>
        <w:rPr>
          <w:lang w:val="fr-FR"/>
        </w:rPr>
        <w:t>Si une personne a été placée en garde à vue (habituellement suite à une arrestation) pour un simple délit</w:t>
      </w:r>
      <w:r w:rsidR="00C87ED3">
        <w:rPr>
          <w:lang w:val="fr-FR"/>
        </w:rPr>
        <w:t>, la</w:t>
      </w:r>
      <w:r w:rsidR="00764A22">
        <w:rPr>
          <w:lang w:val="fr-FR"/>
        </w:rPr>
        <w:t xml:space="preserve"> police doit lui accorder une</w:t>
      </w:r>
      <w:r w:rsidR="00C87ED3">
        <w:rPr>
          <w:lang w:val="fr-FR"/>
        </w:rPr>
        <w:t xml:space="preserve"> mise en liberté sous caution, sauf à ce qu’il y ait de bonnes raisons de penser que ce ne serait pas dans l’intérêt de la justice</w:t>
      </w:r>
      <w:r w:rsidR="008D6B80">
        <w:rPr>
          <w:lang w:val="fr-FR"/>
        </w:rPr>
        <w:t xml:space="preserve">. </w:t>
      </w:r>
      <w:r w:rsidR="00C87ED3">
        <w:rPr>
          <w:lang w:val="fr-FR"/>
        </w:rPr>
        <w:t>Si la police n’accorde pas cette mi</w:t>
      </w:r>
      <w:r w:rsidR="00764A22">
        <w:rPr>
          <w:lang w:val="fr-FR"/>
        </w:rPr>
        <w:t>se en liberté, ou si l’intéressé est inculpé</w:t>
      </w:r>
      <w:r w:rsidR="00C87ED3">
        <w:rPr>
          <w:lang w:val="fr-FR"/>
        </w:rPr>
        <w:t xml:space="preserve"> d’u</w:t>
      </w:r>
      <w:r w:rsidR="00764A22">
        <w:rPr>
          <w:lang w:val="fr-FR"/>
        </w:rPr>
        <w:t>ne infraction pénale grave, il doit être déféré</w:t>
      </w:r>
      <w:r w:rsidR="00C87ED3">
        <w:rPr>
          <w:lang w:val="fr-FR"/>
        </w:rPr>
        <w:t xml:space="preserve"> de</w:t>
      </w:r>
      <w:r w:rsidR="00764A22">
        <w:rPr>
          <w:lang w:val="fr-FR"/>
        </w:rPr>
        <w:t>vant un juge qui statuera sur la</w:t>
      </w:r>
      <w:r w:rsidR="00C87ED3">
        <w:rPr>
          <w:lang w:val="fr-FR"/>
        </w:rPr>
        <w:t xml:space="preserve"> demande de libération sous caution</w:t>
      </w:r>
      <w:r w:rsidR="008D6B80">
        <w:rPr>
          <w:lang w:val="fr-FR"/>
        </w:rPr>
        <w:t xml:space="preserve">. </w:t>
      </w:r>
      <w:r w:rsidR="00AA6199">
        <w:rPr>
          <w:lang w:val="fr-FR"/>
        </w:rPr>
        <w:t>Toutefois, dans le cas où</w:t>
      </w:r>
      <w:r w:rsidR="00CE7EE4">
        <w:rPr>
          <w:lang w:val="fr-FR"/>
        </w:rPr>
        <w:t xml:space="preserve"> une personne est inculpée d’une infraction pénale grave, elle peut être libérée sous caution par la police à la suite de l’interrogatoire ou de l’enquête au titre de la loi de 1995 sur le droit pénal (détention et interrogatoire) (Tasmanie) (art. 4).</w:t>
      </w:r>
    </w:p>
    <w:p w:rsidR="00CE7EE4" w:rsidRDefault="00CE7EE4" w:rsidP="005D7B68">
      <w:pPr>
        <w:tabs>
          <w:tab w:val="left" w:pos="567"/>
          <w:tab w:val="left" w:pos="1134"/>
          <w:tab w:val="left" w:pos="1701"/>
          <w:tab w:val="left" w:pos="2268"/>
        </w:tabs>
        <w:rPr>
          <w:lang w:val="fr-FR"/>
        </w:rPr>
      </w:pPr>
      <w:r>
        <w:rPr>
          <w:lang w:val="fr-FR"/>
        </w:rPr>
        <w:t>121.</w:t>
      </w:r>
      <w:r>
        <w:rPr>
          <w:lang w:val="fr-FR"/>
        </w:rPr>
        <w:tab/>
        <w:t>En outre, la mise en liberté sous caution peut être accordée à nouveau ou refusée à nouveau en toute occasion où une personne est placée en détention (par exemple lorsqu’elle comparaît à la suite d’une mise en liberté sous caution accordée par la police ou le tribunal, ou bien à la suite d’une période de détention provisoire ou d’une libération sans caution) au cours du procès et</w:t>
      </w:r>
      <w:r w:rsidR="00431010">
        <w:rPr>
          <w:lang w:val="fr-FR"/>
        </w:rPr>
        <w:t xml:space="preserve"> pendant la détermination de la peine.</w:t>
      </w:r>
    </w:p>
    <w:p w:rsidR="00431010" w:rsidRPr="00CE7EE4" w:rsidRDefault="00431010" w:rsidP="005D7B68">
      <w:pPr>
        <w:tabs>
          <w:tab w:val="left" w:pos="567"/>
          <w:tab w:val="left" w:pos="1134"/>
          <w:tab w:val="left" w:pos="1701"/>
          <w:tab w:val="left" w:pos="2268"/>
        </w:tabs>
        <w:rPr>
          <w:lang w:val="fr-FR"/>
        </w:rPr>
      </w:pPr>
      <w:r>
        <w:rPr>
          <w:lang w:val="fr-FR"/>
        </w:rPr>
        <w:t>122.</w:t>
      </w:r>
      <w:r>
        <w:rPr>
          <w:lang w:val="fr-FR"/>
        </w:rPr>
        <w:tab/>
        <w:t>Le Gouvernement de Tasmanie met également à disposition un Service de liaison des tribunaux, qui procède à un diagnostic de la santé mentale des per</w:t>
      </w:r>
      <w:r w:rsidR="00572FDF">
        <w:rPr>
          <w:lang w:val="fr-FR"/>
        </w:rPr>
        <w:t>sonnes appelées à comparaître</w:t>
      </w:r>
      <w:r w:rsidR="008D6B80">
        <w:rPr>
          <w:lang w:val="fr-FR"/>
        </w:rPr>
        <w:t xml:space="preserve">. </w:t>
      </w:r>
      <w:r w:rsidR="00764A22">
        <w:rPr>
          <w:lang w:val="fr-FR"/>
        </w:rPr>
        <w:t>Si ce</w:t>
      </w:r>
      <w:r>
        <w:rPr>
          <w:lang w:val="fr-FR"/>
        </w:rPr>
        <w:t xml:space="preserve"> diagnostic révèle une maladie mentale grave, l’intéressé peut être admis dans un service psychiatrique (admission volontaire ou</w:t>
      </w:r>
      <w:r w:rsidR="00572FDF">
        <w:rPr>
          <w:lang w:val="fr-FR"/>
        </w:rPr>
        <w:t xml:space="preserve"> imposée), adressé à</w:t>
      </w:r>
      <w:r>
        <w:rPr>
          <w:lang w:val="fr-FR"/>
        </w:rPr>
        <w:t xml:space="preserve"> l’équipe médico-légale de santé mentale extrahospitalière ou </w:t>
      </w:r>
      <w:r w:rsidR="005A7591">
        <w:rPr>
          <w:lang w:val="fr-FR"/>
        </w:rPr>
        <w:t xml:space="preserve">placé en détention provisoire et orienté vers le </w:t>
      </w:r>
      <w:r w:rsidR="005A7591" w:rsidRPr="00764A22">
        <w:rPr>
          <w:i/>
          <w:iCs/>
          <w:lang w:val="fr-FR"/>
        </w:rPr>
        <w:t>Wilfred Lopes Centre</w:t>
      </w:r>
      <w:r w:rsidR="005A7591">
        <w:rPr>
          <w:lang w:val="fr-FR"/>
        </w:rPr>
        <w:t xml:space="preserve"> ou un service carcéral de santé mentale</w:t>
      </w:r>
      <w:r w:rsidR="008D6B80">
        <w:rPr>
          <w:lang w:val="fr-FR"/>
        </w:rPr>
        <w:t xml:space="preserve">. </w:t>
      </w:r>
    </w:p>
    <w:p w:rsidR="00F83CB2" w:rsidRDefault="005A7591" w:rsidP="005D7B68">
      <w:pPr>
        <w:tabs>
          <w:tab w:val="left" w:pos="567"/>
          <w:tab w:val="left" w:pos="1134"/>
          <w:tab w:val="left" w:pos="1701"/>
          <w:tab w:val="left" w:pos="2268"/>
        </w:tabs>
        <w:rPr>
          <w:b/>
          <w:bCs/>
          <w:lang w:val="fr-FR"/>
        </w:rPr>
      </w:pPr>
      <w:r>
        <w:rPr>
          <w:b/>
          <w:bCs/>
          <w:lang w:val="fr-FR"/>
        </w:rPr>
        <w:t>Territ</w:t>
      </w:r>
      <w:r w:rsidR="000733FB">
        <w:rPr>
          <w:b/>
          <w:bCs/>
          <w:lang w:val="fr-FR"/>
        </w:rPr>
        <w:t>oire de la capitale australienne</w:t>
      </w:r>
    </w:p>
    <w:p w:rsidR="005A7591" w:rsidRPr="005A7591" w:rsidRDefault="005A7591" w:rsidP="005D7B68">
      <w:pPr>
        <w:tabs>
          <w:tab w:val="left" w:pos="567"/>
          <w:tab w:val="left" w:pos="1134"/>
          <w:tab w:val="left" w:pos="1701"/>
          <w:tab w:val="left" w:pos="2268"/>
        </w:tabs>
        <w:rPr>
          <w:b/>
          <w:bCs/>
          <w:lang w:val="fr-FR"/>
        </w:rPr>
      </w:pPr>
      <w:r>
        <w:rPr>
          <w:b/>
          <w:bCs/>
          <w:lang w:val="fr-FR"/>
        </w:rPr>
        <w:t>Incarcération pénale ordinaire, détenti</w:t>
      </w:r>
      <w:r w:rsidR="001C781D">
        <w:rPr>
          <w:b/>
          <w:bCs/>
          <w:lang w:val="fr-FR"/>
        </w:rPr>
        <w:t>on et dispositions relatives aux enquêtes</w:t>
      </w:r>
    </w:p>
    <w:p w:rsidR="003F3392" w:rsidRPr="009C4B94" w:rsidRDefault="00276DC2" w:rsidP="005D7B68">
      <w:pPr>
        <w:tabs>
          <w:tab w:val="left" w:pos="567"/>
          <w:tab w:val="left" w:pos="1134"/>
          <w:tab w:val="left" w:pos="1701"/>
          <w:tab w:val="left" w:pos="2268"/>
        </w:tabs>
        <w:rPr>
          <w:lang w:val="fr-FR"/>
        </w:rPr>
      </w:pPr>
      <w:r>
        <w:rPr>
          <w:lang w:val="fr-FR"/>
        </w:rPr>
        <w:t>123.</w:t>
      </w:r>
      <w:r>
        <w:rPr>
          <w:lang w:val="fr-FR"/>
        </w:rPr>
        <w:tab/>
        <w:t xml:space="preserve">Une fois </w:t>
      </w:r>
      <w:r w:rsidRPr="009C4B94">
        <w:rPr>
          <w:lang w:val="fr-FR"/>
        </w:rPr>
        <w:t>qu’une personne a été arrêtée, l’article</w:t>
      </w:r>
      <w:r w:rsidR="00572260">
        <w:rPr>
          <w:lang w:val="fr-FR"/>
        </w:rPr>
        <w:t xml:space="preserve"> </w:t>
      </w:r>
      <w:r w:rsidRPr="009C4B94">
        <w:rPr>
          <w:lang w:val="fr-FR"/>
        </w:rPr>
        <w:t>187 de la loi de 1900 sur les infractions pénales (Territ</w:t>
      </w:r>
      <w:r w:rsidR="00764A22" w:rsidRPr="009C4B94">
        <w:rPr>
          <w:lang w:val="fr-FR"/>
        </w:rPr>
        <w:t>oire de la capitale fédérale) dispose que le titre</w:t>
      </w:r>
      <w:r w:rsidR="00A03186">
        <w:rPr>
          <w:lang w:val="fr-FR"/>
        </w:rPr>
        <w:t xml:space="preserve"> 1</w:t>
      </w:r>
      <w:r w:rsidRPr="009C4B94">
        <w:rPr>
          <w:lang w:val="fr-FR"/>
        </w:rPr>
        <w:t xml:space="preserve">C de la loi de 1914 du Commonwealth </w:t>
      </w:r>
      <w:r w:rsidR="00764A22" w:rsidRPr="009C4B94">
        <w:rPr>
          <w:lang w:val="fr-FR"/>
        </w:rPr>
        <w:t>sur les infractions pénales</w:t>
      </w:r>
      <w:r w:rsidRPr="009C4B94">
        <w:rPr>
          <w:lang w:val="fr-FR"/>
        </w:rPr>
        <w:t xml:space="preserve"> doit s’appliquer</w:t>
      </w:r>
      <w:r w:rsidR="008D6B80">
        <w:rPr>
          <w:lang w:val="fr-FR"/>
        </w:rPr>
        <w:t xml:space="preserve">. </w:t>
      </w:r>
      <w:r w:rsidR="008B1341">
        <w:rPr>
          <w:lang w:val="fr-FR"/>
        </w:rPr>
        <w:t>De même, l’article 23A 6) de cette même loi</w:t>
      </w:r>
      <w:r w:rsidRPr="009C4B94">
        <w:rPr>
          <w:lang w:val="fr-FR"/>
        </w:rPr>
        <w:t xml:space="preserve"> prévoit que si la </w:t>
      </w:r>
      <w:r w:rsidR="00764A22" w:rsidRPr="009C4B94">
        <w:rPr>
          <w:lang w:val="fr-FR"/>
        </w:rPr>
        <w:t>p</w:t>
      </w:r>
      <w:r w:rsidR="00397763" w:rsidRPr="009C4B94">
        <w:rPr>
          <w:lang w:val="fr-FR"/>
        </w:rPr>
        <w:t>olice fédérale australienne</w:t>
      </w:r>
      <w:r w:rsidRPr="009C4B94">
        <w:rPr>
          <w:lang w:val="fr-FR"/>
        </w:rPr>
        <w:t xml:space="preserve"> enquête sur une infraction à une loi du Territoire</w:t>
      </w:r>
      <w:r w:rsidR="00764A22" w:rsidRPr="009C4B94">
        <w:rPr>
          <w:lang w:val="fr-FR"/>
        </w:rPr>
        <w:t xml:space="preserve"> de la capitale fédérale</w:t>
      </w:r>
      <w:r w:rsidRPr="009C4B94">
        <w:rPr>
          <w:lang w:val="fr-FR"/>
        </w:rPr>
        <w:t xml:space="preserve"> passible d’une peine de plus de </w:t>
      </w:r>
      <w:r w:rsidR="00E9773F">
        <w:rPr>
          <w:lang w:val="fr-FR"/>
        </w:rPr>
        <w:t>douze</w:t>
      </w:r>
      <w:r w:rsidRPr="009C4B94">
        <w:rPr>
          <w:lang w:val="fr-FR"/>
        </w:rPr>
        <w:t xml:space="preserve"> mois d’emprisonnement</w:t>
      </w:r>
      <w:r w:rsidR="00764A22" w:rsidRPr="009C4B94">
        <w:rPr>
          <w:lang w:val="fr-FR"/>
        </w:rPr>
        <w:t>, le titre</w:t>
      </w:r>
      <w:r w:rsidR="00A03186">
        <w:rPr>
          <w:lang w:val="fr-FR"/>
        </w:rPr>
        <w:t xml:space="preserve"> 1</w:t>
      </w:r>
      <w:r w:rsidR="001B6DFE" w:rsidRPr="009C4B94">
        <w:rPr>
          <w:lang w:val="fr-FR"/>
        </w:rPr>
        <w:t>C s’app</w:t>
      </w:r>
      <w:r w:rsidR="0038370D">
        <w:rPr>
          <w:lang w:val="fr-FR"/>
        </w:rPr>
        <w:t>lique, exactement comme s’il s’agissait d’</w:t>
      </w:r>
      <w:r w:rsidR="001B6DFE" w:rsidRPr="009C4B94">
        <w:rPr>
          <w:lang w:val="fr-FR"/>
        </w:rPr>
        <w:t>une infraction à la législation du Commonwealth.</w:t>
      </w:r>
    </w:p>
    <w:p w:rsidR="001B6DFE" w:rsidRPr="001B6DFE" w:rsidRDefault="001B6DFE" w:rsidP="005D7B68">
      <w:pPr>
        <w:tabs>
          <w:tab w:val="left" w:pos="567"/>
          <w:tab w:val="left" w:pos="1134"/>
          <w:tab w:val="left" w:pos="1701"/>
          <w:tab w:val="left" w:pos="2268"/>
        </w:tabs>
        <w:rPr>
          <w:lang w:val="fr-FR"/>
        </w:rPr>
      </w:pPr>
      <w:r>
        <w:rPr>
          <w:lang w:val="fr-FR"/>
        </w:rPr>
        <w:t>124.</w:t>
      </w:r>
      <w:r>
        <w:rPr>
          <w:lang w:val="fr-FR"/>
        </w:rPr>
        <w:tab/>
        <w:t>Prière de voir la réponse à la question 5 pour obtenir des informations supplémentaires sur les garanties figurant dans le droit relatif au contre-terrorisme.</w:t>
      </w:r>
    </w:p>
    <w:p w:rsidR="003F3392" w:rsidRDefault="001B6DFE" w:rsidP="005D7B68">
      <w:pPr>
        <w:tabs>
          <w:tab w:val="left" w:pos="567"/>
          <w:tab w:val="left" w:pos="1134"/>
          <w:tab w:val="left" w:pos="1701"/>
          <w:tab w:val="left" w:pos="2268"/>
        </w:tabs>
        <w:rPr>
          <w:b/>
          <w:bCs/>
          <w:lang w:val="fr-FR"/>
        </w:rPr>
      </w:pPr>
      <w:r>
        <w:rPr>
          <w:b/>
          <w:bCs/>
          <w:lang w:val="fr-FR"/>
        </w:rPr>
        <w:t>Libération sous caution</w:t>
      </w:r>
    </w:p>
    <w:p w:rsidR="001B6DFE" w:rsidRDefault="001B6DFE" w:rsidP="005D7B68">
      <w:pPr>
        <w:tabs>
          <w:tab w:val="left" w:pos="567"/>
          <w:tab w:val="left" w:pos="1134"/>
          <w:tab w:val="left" w:pos="1701"/>
          <w:tab w:val="left" w:pos="2268"/>
        </w:tabs>
        <w:rPr>
          <w:lang w:val="fr-FR"/>
        </w:rPr>
      </w:pPr>
      <w:r>
        <w:rPr>
          <w:lang w:val="fr-FR"/>
        </w:rPr>
        <w:t>125.</w:t>
      </w:r>
      <w:r>
        <w:rPr>
          <w:lang w:val="fr-FR"/>
        </w:rPr>
        <w:tab/>
        <w:t>Si une personne</w:t>
      </w:r>
      <w:r w:rsidR="00BA5DB0">
        <w:rPr>
          <w:lang w:val="fr-FR"/>
        </w:rPr>
        <w:t xml:space="preserve"> est placée en garde à vue et inculpée d’une infraction, le fonctionnaire de police doit l’informer </w:t>
      </w:r>
      <w:r w:rsidR="000733FB">
        <w:rPr>
          <w:lang w:val="fr-FR"/>
        </w:rPr>
        <w:t>de ses droits concernant</w:t>
      </w:r>
      <w:r w:rsidR="00BA5DB0">
        <w:rPr>
          <w:lang w:val="fr-FR"/>
        </w:rPr>
        <w:t xml:space="preserve"> la mise en liberté sous caution et de son droit à la solliciter et </w:t>
      </w:r>
      <w:r w:rsidR="00764A22">
        <w:rPr>
          <w:lang w:val="fr-FR"/>
        </w:rPr>
        <w:t>à introduire un recours</w:t>
      </w:r>
      <w:r w:rsidR="00BA5DB0">
        <w:rPr>
          <w:lang w:val="fr-FR"/>
        </w:rPr>
        <w:t xml:space="preserve"> (art. 47 de la </w:t>
      </w:r>
      <w:r w:rsidR="00BA5DB0" w:rsidRPr="00764A22">
        <w:rPr>
          <w:lang w:val="fr-FR"/>
        </w:rPr>
        <w:t>loi de 1992 sur la libération sous caution</w:t>
      </w:r>
      <w:r w:rsidR="00BA5DB0">
        <w:rPr>
          <w:i/>
          <w:iCs/>
          <w:lang w:val="fr-FR"/>
        </w:rPr>
        <w:t xml:space="preserve"> </w:t>
      </w:r>
      <w:r w:rsidR="00BA5DB0" w:rsidRPr="00BA5DB0">
        <w:rPr>
          <w:lang w:val="fr-FR"/>
        </w:rPr>
        <w:t>(Territ</w:t>
      </w:r>
      <w:r w:rsidR="00764A22">
        <w:rPr>
          <w:lang w:val="fr-FR"/>
        </w:rPr>
        <w:t>oire de la capitale fédérale</w:t>
      </w:r>
      <w:r w:rsidR="00BA5DB0" w:rsidRPr="00BA5DB0">
        <w:rPr>
          <w:lang w:val="fr-FR"/>
        </w:rPr>
        <w:t>)).</w:t>
      </w:r>
    </w:p>
    <w:p w:rsidR="00BA5DB0" w:rsidRPr="00BA5DB0" w:rsidRDefault="00BA5DB0" w:rsidP="005D7B68">
      <w:pPr>
        <w:tabs>
          <w:tab w:val="left" w:pos="567"/>
          <w:tab w:val="left" w:pos="1134"/>
          <w:tab w:val="left" w:pos="1701"/>
          <w:tab w:val="left" w:pos="2268"/>
        </w:tabs>
        <w:rPr>
          <w:lang w:val="fr-FR"/>
        </w:rPr>
      </w:pPr>
      <w:r>
        <w:rPr>
          <w:lang w:val="fr-FR"/>
        </w:rPr>
        <w:t>126.</w:t>
      </w:r>
      <w:r>
        <w:rPr>
          <w:lang w:val="fr-FR"/>
        </w:rPr>
        <w:tab/>
        <w:t>Un fois qu</w:t>
      </w:r>
      <w:r w:rsidR="000F5030">
        <w:rPr>
          <w:lang w:val="fr-FR"/>
        </w:rPr>
        <w:t>’une personne a été inculpée, tout</w:t>
      </w:r>
      <w:r>
        <w:rPr>
          <w:lang w:val="fr-FR"/>
        </w:rPr>
        <w:t xml:space="preserve"> fonctionnaire de police d’un grade au moins égal à celui de sergent, ou tout autre fonctionnaire de police agréé par le préfet de police, peut accorder la mise en liberté sous caution après avoir</w:t>
      </w:r>
      <w:r w:rsidR="007B75EF">
        <w:rPr>
          <w:lang w:val="fr-FR"/>
        </w:rPr>
        <w:t xml:space="preserve"> évalué les</w:t>
      </w:r>
      <w:r>
        <w:rPr>
          <w:lang w:val="fr-FR"/>
        </w:rPr>
        <w:t xml:space="preserve"> garanties</w:t>
      </w:r>
      <w:r w:rsidR="007B75EF">
        <w:rPr>
          <w:lang w:val="fr-FR"/>
        </w:rPr>
        <w:t xml:space="preserve"> </w:t>
      </w:r>
      <w:r w:rsidR="009C4B94">
        <w:rPr>
          <w:lang w:val="fr-FR"/>
        </w:rPr>
        <w:t>de comparution de cette personne</w:t>
      </w:r>
      <w:r w:rsidR="000F5030">
        <w:rPr>
          <w:lang w:val="fr-FR"/>
        </w:rPr>
        <w:t>, ainsi que</w:t>
      </w:r>
      <w:r w:rsidR="009C4B94">
        <w:rPr>
          <w:lang w:val="fr-FR"/>
        </w:rPr>
        <w:t xml:space="preserve"> le risque de récidive</w:t>
      </w:r>
      <w:r>
        <w:rPr>
          <w:lang w:val="fr-FR"/>
        </w:rPr>
        <w:t xml:space="preserve"> pendant sa période de liberté sous caution (s’</w:t>
      </w:r>
      <w:r w:rsidR="007B75EF">
        <w:rPr>
          <w:lang w:val="fr-FR"/>
        </w:rPr>
        <w:t>il elle lui est</w:t>
      </w:r>
      <w:r>
        <w:rPr>
          <w:lang w:val="fr-FR"/>
        </w:rPr>
        <w:t xml:space="preserve"> accordée</w:t>
      </w:r>
      <w:r w:rsidR="00C024C5">
        <w:rPr>
          <w:lang w:val="fr-FR"/>
        </w:rPr>
        <w:t xml:space="preserve">) </w:t>
      </w:r>
      <w:r w:rsidR="007330E2">
        <w:rPr>
          <w:lang w:val="fr-FR"/>
        </w:rPr>
        <w:t>(art.</w:t>
      </w:r>
      <w:r w:rsidR="007B75EF">
        <w:rPr>
          <w:lang w:val="fr-FR"/>
        </w:rPr>
        <w:t xml:space="preserve"> 5 et 22 de la loi s</w:t>
      </w:r>
      <w:r w:rsidR="00C024C5">
        <w:rPr>
          <w:lang w:val="fr-FR"/>
        </w:rPr>
        <w:t>ur la libération conditionnelle)</w:t>
      </w:r>
      <w:r w:rsidR="008D6B80">
        <w:rPr>
          <w:lang w:val="fr-FR"/>
        </w:rPr>
        <w:t xml:space="preserve">. </w:t>
      </w:r>
      <w:r w:rsidR="007B75EF">
        <w:rPr>
          <w:lang w:val="fr-FR"/>
        </w:rPr>
        <w:t xml:space="preserve">Si la police n’accorde pas la mise en liberté sous caution, l’intéressé doit être déféré dans les meilleurs délais, et, en tout état de cause dans les 48 heures </w:t>
      </w:r>
      <w:r w:rsidR="00C024C5">
        <w:rPr>
          <w:lang w:val="fr-FR"/>
        </w:rPr>
        <w:t>(</w:t>
      </w:r>
      <w:r w:rsidR="007B75EF">
        <w:rPr>
          <w:lang w:val="fr-FR"/>
        </w:rPr>
        <w:t>art. 17 de la loi</w:t>
      </w:r>
      <w:r w:rsidR="00C024C5">
        <w:rPr>
          <w:lang w:val="fr-FR"/>
        </w:rPr>
        <w:t xml:space="preserve"> sur la libération sous caution)</w:t>
      </w:r>
      <w:r w:rsidR="007B75EF">
        <w:rPr>
          <w:lang w:val="fr-FR"/>
        </w:rPr>
        <w:t>, devant un tribunal qui décidera s’il convient d’envisager cette libération au vu des mêmes critères.</w:t>
      </w:r>
    </w:p>
    <w:p w:rsidR="003F3392" w:rsidRDefault="006E1884" w:rsidP="005D7B68">
      <w:pPr>
        <w:tabs>
          <w:tab w:val="left" w:pos="567"/>
          <w:tab w:val="left" w:pos="1134"/>
          <w:tab w:val="left" w:pos="1701"/>
          <w:tab w:val="left" w:pos="2268"/>
        </w:tabs>
        <w:rPr>
          <w:lang w:val="fr-FR"/>
        </w:rPr>
      </w:pPr>
      <w:r>
        <w:rPr>
          <w:lang w:val="fr-FR"/>
        </w:rPr>
        <w:t>127.</w:t>
      </w:r>
      <w:r>
        <w:rPr>
          <w:lang w:val="fr-FR"/>
        </w:rPr>
        <w:tab/>
        <w:t xml:space="preserve"> Il</w:t>
      </w:r>
      <w:r w:rsidR="007B75EF">
        <w:rPr>
          <w:lang w:val="fr-FR"/>
        </w:rPr>
        <w:t xml:space="preserve"> existe une présomption en faveur de la libération sous caution pour la plupart des délits, aucune présomption pour certains d’entre eux, et une présomption défavorable dans les cas de meurtre et d’infractions graves liées à </w:t>
      </w:r>
      <w:r w:rsidR="00723F25">
        <w:rPr>
          <w:lang w:val="fr-FR"/>
        </w:rPr>
        <w:t>la drogue, et quand l’intéressé est présumé</w:t>
      </w:r>
      <w:r w:rsidR="007B75EF">
        <w:rPr>
          <w:lang w:val="fr-FR"/>
        </w:rPr>
        <w:t xml:space="preserve"> avoir commi</w:t>
      </w:r>
      <w:r w:rsidR="00723F25">
        <w:rPr>
          <w:lang w:val="fr-FR"/>
        </w:rPr>
        <w:t>s un nouveau délit alors qu’il</w:t>
      </w:r>
      <w:r w:rsidR="007B75EF">
        <w:rPr>
          <w:lang w:val="fr-FR"/>
        </w:rPr>
        <w:t xml:space="preserve"> était en liberté sous ca</w:t>
      </w:r>
      <w:r w:rsidR="00723F25">
        <w:rPr>
          <w:lang w:val="fr-FR"/>
        </w:rPr>
        <w:t>ution, ou encore s’il</w:t>
      </w:r>
      <w:r w:rsidR="007B75EF">
        <w:rPr>
          <w:lang w:val="fr-FR"/>
        </w:rPr>
        <w:t xml:space="preserve"> a fait appel d’une décision relativ</w:t>
      </w:r>
      <w:r w:rsidR="00C024C5">
        <w:rPr>
          <w:lang w:val="fr-FR"/>
        </w:rPr>
        <w:t>e à une peine d’emprisonnement (titre</w:t>
      </w:r>
      <w:r w:rsidR="007B75EF">
        <w:rPr>
          <w:lang w:val="fr-FR"/>
        </w:rPr>
        <w:t xml:space="preserve"> 2 de la loi</w:t>
      </w:r>
      <w:r w:rsidR="00C024C5">
        <w:rPr>
          <w:lang w:val="fr-FR"/>
        </w:rPr>
        <w:t xml:space="preserve"> sur la libération sous caution)</w:t>
      </w:r>
      <w:r w:rsidR="007B75EF">
        <w:rPr>
          <w:lang w:val="fr-FR"/>
        </w:rPr>
        <w:t>.</w:t>
      </w:r>
    </w:p>
    <w:p w:rsidR="00A30390" w:rsidRDefault="00A30390" w:rsidP="005D7B68">
      <w:pPr>
        <w:tabs>
          <w:tab w:val="left" w:pos="567"/>
          <w:tab w:val="left" w:pos="1134"/>
          <w:tab w:val="left" w:pos="1701"/>
          <w:tab w:val="left" w:pos="2268"/>
        </w:tabs>
        <w:rPr>
          <w:lang w:val="fr-FR"/>
        </w:rPr>
      </w:pPr>
      <w:r>
        <w:rPr>
          <w:lang w:val="fr-FR"/>
        </w:rPr>
        <w:t>128.</w:t>
      </w:r>
      <w:r>
        <w:rPr>
          <w:lang w:val="fr-FR"/>
        </w:rPr>
        <w:tab/>
        <w:t xml:space="preserve"> Si la mise en liberté sous caution est refusée à la fois par la police et par les tribunaux, la personne sera placée en détention provisoire jusqu’au procès</w:t>
      </w:r>
      <w:r w:rsidR="008D6B80">
        <w:rPr>
          <w:lang w:val="fr-FR"/>
        </w:rPr>
        <w:t xml:space="preserve">. </w:t>
      </w:r>
      <w:r>
        <w:rPr>
          <w:lang w:val="fr-FR"/>
        </w:rPr>
        <w:t>Il n’y a aucune limite légale quant à la durée de la détention en attente du procès</w:t>
      </w:r>
      <w:r w:rsidR="00572260">
        <w:rPr>
          <w:lang w:val="fr-FR"/>
        </w:rPr>
        <w:t>;</w:t>
      </w:r>
      <w:r>
        <w:rPr>
          <w:lang w:val="fr-FR"/>
        </w:rPr>
        <w:t xml:space="preserve"> </w:t>
      </w:r>
      <w:r w:rsidR="00A303C4">
        <w:rPr>
          <w:lang w:val="fr-FR"/>
        </w:rPr>
        <w:t xml:space="preserve">toutefois, </w:t>
      </w:r>
      <w:r>
        <w:rPr>
          <w:lang w:val="fr-FR"/>
        </w:rPr>
        <w:t xml:space="preserve">l’article 22 2) </w:t>
      </w:r>
      <w:r w:rsidR="00CC0376">
        <w:rPr>
          <w:lang w:val="fr-FR"/>
        </w:rPr>
        <w:t xml:space="preserve">c) </w:t>
      </w:r>
      <w:r>
        <w:rPr>
          <w:lang w:val="fr-FR"/>
        </w:rPr>
        <w:t xml:space="preserve">de la </w:t>
      </w:r>
      <w:r w:rsidRPr="000F5030">
        <w:rPr>
          <w:lang w:val="fr-FR"/>
        </w:rPr>
        <w:t xml:space="preserve">loi de 2004 sur les droits de l’homme </w:t>
      </w:r>
      <w:r>
        <w:rPr>
          <w:lang w:val="fr-FR"/>
        </w:rPr>
        <w:t>(Territ</w:t>
      </w:r>
      <w:r w:rsidR="000F5030">
        <w:rPr>
          <w:lang w:val="fr-FR"/>
        </w:rPr>
        <w:t>oire de la capitale fédérale</w:t>
      </w:r>
      <w:r>
        <w:rPr>
          <w:lang w:val="fr-FR"/>
        </w:rPr>
        <w:t>) dispose que l’intéressé doit être jugé dans les meilleurs délais</w:t>
      </w:r>
    </w:p>
    <w:p w:rsidR="00A30390" w:rsidRPr="00A30390" w:rsidRDefault="00A30390" w:rsidP="005D7B68">
      <w:pPr>
        <w:tabs>
          <w:tab w:val="left" w:pos="567"/>
          <w:tab w:val="left" w:pos="1134"/>
          <w:tab w:val="left" w:pos="1701"/>
          <w:tab w:val="left" w:pos="2268"/>
        </w:tabs>
        <w:rPr>
          <w:lang w:val="fr-FR"/>
        </w:rPr>
      </w:pPr>
      <w:r>
        <w:rPr>
          <w:lang w:val="fr-FR"/>
        </w:rPr>
        <w:t>129.</w:t>
      </w:r>
      <w:r>
        <w:rPr>
          <w:lang w:val="fr-FR"/>
        </w:rPr>
        <w:tab/>
        <w:t xml:space="preserve"> Les personnes placées en détention provisoire dans le Territ</w:t>
      </w:r>
      <w:r w:rsidR="000F5030">
        <w:rPr>
          <w:lang w:val="fr-FR"/>
        </w:rPr>
        <w:t>oire de la capitale fédérale</w:t>
      </w:r>
      <w:r>
        <w:rPr>
          <w:lang w:val="fr-FR"/>
        </w:rPr>
        <w:t xml:space="preserve"> sont maintenues en détention jusqu’à leur libération sur décision d’un </w:t>
      </w:r>
      <w:r>
        <w:rPr>
          <w:i/>
          <w:iCs/>
          <w:lang w:val="fr-FR"/>
        </w:rPr>
        <w:t>magistrate</w:t>
      </w:r>
      <w:r w:rsidR="000F5030">
        <w:rPr>
          <w:lang w:val="fr-FR"/>
        </w:rPr>
        <w:t xml:space="preserve"> ou d’un juge de la Cour s</w:t>
      </w:r>
      <w:r>
        <w:rPr>
          <w:lang w:val="fr-FR"/>
        </w:rPr>
        <w:t>uprême, ou jusqu’à ce qu’elles soient transférées en Nouvel</w:t>
      </w:r>
      <w:r w:rsidR="00A757C0">
        <w:rPr>
          <w:lang w:val="fr-FR"/>
        </w:rPr>
        <w:t>le</w:t>
      </w:r>
      <w:r w:rsidR="00A757C0">
        <w:rPr>
          <w:lang w:val="fr-FR"/>
        </w:rPr>
        <w:noBreakHyphen/>
      </w:r>
      <w:r>
        <w:rPr>
          <w:lang w:val="fr-FR"/>
        </w:rPr>
        <w:t>Galles du Sud à la suite d’une sentence d’emprisonnement</w:t>
      </w:r>
      <w:r w:rsidR="008D6B80">
        <w:rPr>
          <w:lang w:val="fr-FR"/>
        </w:rPr>
        <w:t xml:space="preserve">. </w:t>
      </w:r>
      <w:r>
        <w:rPr>
          <w:lang w:val="fr-FR"/>
        </w:rPr>
        <w:t xml:space="preserve">Le tableau ci-après montre </w:t>
      </w:r>
      <w:r w:rsidR="00A527F3">
        <w:rPr>
          <w:lang w:val="fr-FR"/>
        </w:rPr>
        <w:t>les durées médiane et moyenne de séjour en nombre de jours par personne dans le T</w:t>
      </w:r>
      <w:r w:rsidR="00E93414">
        <w:rPr>
          <w:lang w:val="fr-FR"/>
        </w:rPr>
        <w:t>e</w:t>
      </w:r>
      <w:r w:rsidR="00A527F3">
        <w:rPr>
          <w:lang w:val="fr-FR"/>
        </w:rPr>
        <w:t>rrit</w:t>
      </w:r>
      <w:r w:rsidR="000F5030">
        <w:rPr>
          <w:lang w:val="fr-FR"/>
        </w:rPr>
        <w:t>oire de la capitale fédérale</w:t>
      </w:r>
      <w:r w:rsidR="00A527F3">
        <w:rPr>
          <w:lang w:val="fr-FR"/>
        </w:rPr>
        <w:t>.</w:t>
      </w:r>
    </w:p>
    <w:tbl>
      <w:tblPr>
        <w:tblW w:w="0" w:type="auto"/>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673"/>
        <w:gridCol w:w="2674"/>
      </w:tblGrid>
      <w:tr w:rsidR="00E93414" w:rsidRPr="00E93414">
        <w:tblPrEx>
          <w:tblCellMar>
            <w:top w:w="0" w:type="dxa"/>
            <w:bottom w:w="0" w:type="dxa"/>
          </w:tblCellMar>
        </w:tblPrEx>
        <w:trPr>
          <w:trHeight w:val="268"/>
          <w:jc w:val="center"/>
        </w:trPr>
        <w:tc>
          <w:tcPr>
            <w:tcW w:w="2408" w:type="dxa"/>
            <w:tcBorders>
              <w:bottom w:val="single" w:sz="4" w:space="0" w:color="auto"/>
            </w:tcBorders>
            <w:shd w:val="clear" w:color="auto" w:fill="auto"/>
            <w:vAlign w:val="center"/>
          </w:tcPr>
          <w:p w:rsidR="00E93414" w:rsidRPr="00796611" w:rsidRDefault="00E93414" w:rsidP="005D7B68">
            <w:pPr>
              <w:tabs>
                <w:tab w:val="left" w:pos="567"/>
                <w:tab w:val="left" w:pos="1134"/>
                <w:tab w:val="left" w:pos="1701"/>
                <w:tab w:val="left" w:pos="2268"/>
              </w:tabs>
              <w:spacing w:before="20" w:after="20"/>
              <w:jc w:val="center"/>
            </w:pPr>
            <w:r>
              <w:t>Année budgétaire</w:t>
            </w:r>
          </w:p>
        </w:tc>
        <w:tc>
          <w:tcPr>
            <w:tcW w:w="2673" w:type="dxa"/>
            <w:tcBorders>
              <w:bottom w:val="single" w:sz="4" w:space="0" w:color="auto"/>
            </w:tcBorders>
            <w:shd w:val="clear" w:color="auto" w:fill="auto"/>
          </w:tcPr>
          <w:p w:rsidR="00E93414" w:rsidRPr="00E93414" w:rsidRDefault="00E93414" w:rsidP="005D7B68">
            <w:pPr>
              <w:tabs>
                <w:tab w:val="left" w:pos="567"/>
                <w:tab w:val="left" w:pos="1134"/>
                <w:tab w:val="left" w:pos="1701"/>
                <w:tab w:val="left" w:pos="2268"/>
              </w:tabs>
              <w:spacing w:before="20" w:after="20"/>
              <w:jc w:val="center"/>
              <w:rPr>
                <w:lang w:val="fr-FR"/>
              </w:rPr>
            </w:pPr>
            <w:r w:rsidRPr="00E93414">
              <w:rPr>
                <w:lang w:val="fr-FR"/>
              </w:rPr>
              <w:t>Durée médiane de séjour</w:t>
            </w:r>
            <w:r>
              <w:rPr>
                <w:lang w:val="fr-FR"/>
              </w:rPr>
              <w:t xml:space="preserve"> (jours</w:t>
            </w:r>
            <w:r w:rsidRPr="00E93414">
              <w:rPr>
                <w:lang w:val="fr-FR"/>
              </w:rPr>
              <w:t>)</w:t>
            </w:r>
          </w:p>
        </w:tc>
        <w:tc>
          <w:tcPr>
            <w:tcW w:w="2674" w:type="dxa"/>
            <w:tcBorders>
              <w:bottom w:val="single" w:sz="4" w:space="0" w:color="auto"/>
            </w:tcBorders>
            <w:shd w:val="clear" w:color="auto" w:fill="auto"/>
          </w:tcPr>
          <w:p w:rsidR="00E93414" w:rsidRPr="00E93414" w:rsidRDefault="00E93414" w:rsidP="005D7B68">
            <w:pPr>
              <w:tabs>
                <w:tab w:val="left" w:pos="567"/>
                <w:tab w:val="left" w:pos="1134"/>
                <w:tab w:val="left" w:pos="1701"/>
                <w:tab w:val="left" w:pos="2268"/>
              </w:tabs>
              <w:spacing w:before="20" w:after="20"/>
              <w:jc w:val="center"/>
              <w:rPr>
                <w:lang w:val="fr-FR"/>
              </w:rPr>
            </w:pPr>
            <w:r w:rsidRPr="00E93414">
              <w:rPr>
                <w:lang w:val="fr-FR"/>
              </w:rPr>
              <w:t>Durée moyenne de séjour (jours)</w:t>
            </w:r>
          </w:p>
        </w:tc>
      </w:tr>
      <w:tr w:rsidR="00E93414" w:rsidRPr="00796611">
        <w:tblPrEx>
          <w:tblCellMar>
            <w:top w:w="0" w:type="dxa"/>
            <w:bottom w:w="0" w:type="dxa"/>
          </w:tblCellMar>
        </w:tblPrEx>
        <w:trPr>
          <w:trHeight w:val="268"/>
          <w:jc w:val="center"/>
        </w:trPr>
        <w:tc>
          <w:tcPr>
            <w:tcW w:w="2408" w:type="dxa"/>
            <w:tcBorders>
              <w:left w:val="single" w:sz="4" w:space="0" w:color="auto"/>
              <w:bottom w:val="nil"/>
            </w:tcBorders>
            <w:shd w:val="clear" w:color="auto" w:fill="auto"/>
          </w:tcPr>
          <w:p w:rsidR="00E93414" w:rsidRPr="00796611" w:rsidRDefault="00E93414" w:rsidP="005D7B68">
            <w:pPr>
              <w:tabs>
                <w:tab w:val="left" w:pos="567"/>
                <w:tab w:val="left" w:pos="1134"/>
                <w:tab w:val="left" w:pos="1701"/>
                <w:tab w:val="left" w:pos="2268"/>
              </w:tabs>
              <w:spacing w:before="20" w:after="20"/>
            </w:pPr>
            <w:r w:rsidRPr="00796611">
              <w:t>2004-2005</w:t>
            </w:r>
          </w:p>
        </w:tc>
        <w:tc>
          <w:tcPr>
            <w:tcW w:w="2673" w:type="dxa"/>
            <w:tcBorders>
              <w:bottom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rsidRPr="00796611">
              <w:t>16</w:t>
            </w:r>
          </w:p>
        </w:tc>
        <w:tc>
          <w:tcPr>
            <w:tcW w:w="2674" w:type="dxa"/>
            <w:tcBorders>
              <w:bottom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t>46,</w:t>
            </w:r>
            <w:r w:rsidRPr="00796611">
              <w:t>2</w:t>
            </w:r>
          </w:p>
        </w:tc>
      </w:tr>
      <w:tr w:rsidR="00E93414" w:rsidRPr="00796611">
        <w:tblPrEx>
          <w:tblCellMar>
            <w:top w:w="0" w:type="dxa"/>
            <w:bottom w:w="0" w:type="dxa"/>
          </w:tblCellMar>
        </w:tblPrEx>
        <w:trPr>
          <w:trHeight w:val="268"/>
          <w:jc w:val="center"/>
        </w:trPr>
        <w:tc>
          <w:tcPr>
            <w:tcW w:w="2408" w:type="dxa"/>
            <w:tcBorders>
              <w:top w:val="nil"/>
              <w:left w:val="single" w:sz="4" w:space="0" w:color="auto"/>
              <w:bottom w:val="nil"/>
            </w:tcBorders>
            <w:shd w:val="clear" w:color="auto" w:fill="auto"/>
          </w:tcPr>
          <w:p w:rsidR="00E93414" w:rsidRPr="00796611" w:rsidRDefault="00E93414" w:rsidP="005D7B68">
            <w:pPr>
              <w:tabs>
                <w:tab w:val="left" w:pos="567"/>
                <w:tab w:val="left" w:pos="1134"/>
                <w:tab w:val="left" w:pos="1701"/>
                <w:tab w:val="left" w:pos="2268"/>
              </w:tabs>
              <w:spacing w:before="20" w:after="20"/>
            </w:pPr>
            <w:r w:rsidRPr="00796611">
              <w:t>2005-2006</w:t>
            </w:r>
          </w:p>
        </w:tc>
        <w:tc>
          <w:tcPr>
            <w:tcW w:w="2673" w:type="dxa"/>
            <w:tcBorders>
              <w:top w:val="nil"/>
              <w:bottom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rsidRPr="00796611">
              <w:t>13</w:t>
            </w:r>
          </w:p>
        </w:tc>
        <w:tc>
          <w:tcPr>
            <w:tcW w:w="2674" w:type="dxa"/>
            <w:tcBorders>
              <w:top w:val="nil"/>
              <w:bottom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t>41,</w:t>
            </w:r>
            <w:r w:rsidRPr="00796611">
              <w:t>9</w:t>
            </w:r>
          </w:p>
        </w:tc>
      </w:tr>
      <w:tr w:rsidR="00E93414" w:rsidRPr="00796611">
        <w:tblPrEx>
          <w:tblCellMar>
            <w:top w:w="0" w:type="dxa"/>
            <w:bottom w:w="0" w:type="dxa"/>
          </w:tblCellMar>
        </w:tblPrEx>
        <w:trPr>
          <w:trHeight w:val="268"/>
          <w:jc w:val="center"/>
        </w:trPr>
        <w:tc>
          <w:tcPr>
            <w:tcW w:w="2408" w:type="dxa"/>
            <w:tcBorders>
              <w:top w:val="nil"/>
            </w:tcBorders>
            <w:shd w:val="clear" w:color="auto" w:fill="auto"/>
          </w:tcPr>
          <w:p w:rsidR="00E93414" w:rsidRPr="00796611" w:rsidRDefault="00E93414" w:rsidP="005D7B68">
            <w:pPr>
              <w:tabs>
                <w:tab w:val="left" w:pos="567"/>
                <w:tab w:val="left" w:pos="1134"/>
                <w:tab w:val="left" w:pos="1701"/>
                <w:tab w:val="left" w:pos="2268"/>
              </w:tabs>
              <w:spacing w:before="20" w:after="20"/>
            </w:pPr>
            <w:r w:rsidRPr="00796611">
              <w:t>2006-2007</w:t>
            </w:r>
          </w:p>
        </w:tc>
        <w:tc>
          <w:tcPr>
            <w:tcW w:w="2673" w:type="dxa"/>
            <w:tcBorders>
              <w:top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rsidRPr="00796611">
              <w:t>13</w:t>
            </w:r>
          </w:p>
        </w:tc>
        <w:tc>
          <w:tcPr>
            <w:tcW w:w="2674" w:type="dxa"/>
            <w:tcBorders>
              <w:top w:val="nil"/>
            </w:tcBorders>
            <w:shd w:val="clear" w:color="auto" w:fill="auto"/>
          </w:tcPr>
          <w:p w:rsidR="00E93414" w:rsidRPr="00796611" w:rsidRDefault="00E93414" w:rsidP="005D7B68">
            <w:pPr>
              <w:tabs>
                <w:tab w:val="left" w:pos="567"/>
                <w:tab w:val="left" w:pos="1134"/>
                <w:tab w:val="left" w:pos="1701"/>
                <w:tab w:val="left" w:pos="2268"/>
              </w:tabs>
              <w:spacing w:before="20" w:after="20"/>
              <w:ind w:right="631"/>
              <w:jc w:val="right"/>
            </w:pPr>
            <w:r>
              <w:t>39,</w:t>
            </w:r>
            <w:r w:rsidRPr="00796611">
              <w:t>12</w:t>
            </w:r>
          </w:p>
        </w:tc>
      </w:tr>
    </w:tbl>
    <w:p w:rsidR="003F3392" w:rsidRDefault="00E93414" w:rsidP="005D7B68">
      <w:pPr>
        <w:tabs>
          <w:tab w:val="left" w:pos="567"/>
          <w:tab w:val="left" w:pos="1134"/>
          <w:tab w:val="left" w:pos="1701"/>
          <w:tab w:val="left" w:pos="2268"/>
        </w:tabs>
        <w:spacing w:before="120"/>
        <w:rPr>
          <w:lang w:val="fr-FR"/>
        </w:rPr>
      </w:pPr>
      <w:r>
        <w:rPr>
          <w:lang w:val="fr-FR"/>
        </w:rPr>
        <w:t>130.</w:t>
      </w:r>
      <w:r>
        <w:rPr>
          <w:lang w:val="fr-FR"/>
        </w:rPr>
        <w:tab/>
      </w:r>
      <w:r w:rsidR="00BA633A">
        <w:rPr>
          <w:lang w:val="fr-FR"/>
        </w:rPr>
        <w:t>Dans un cas exceptionnel, un détenu est resté en détention provisoire pendant trois ans (1 148 jours)</w:t>
      </w:r>
      <w:r w:rsidR="008D6B80">
        <w:rPr>
          <w:lang w:val="fr-FR"/>
        </w:rPr>
        <w:t xml:space="preserve">. </w:t>
      </w:r>
      <w:r w:rsidR="00BA633A">
        <w:rPr>
          <w:lang w:val="fr-FR"/>
        </w:rPr>
        <w:t xml:space="preserve">De nombreux facteurs, en l’occurrence, ont contribué à cette situation, dont </w:t>
      </w:r>
      <w:r w:rsidR="000F5030">
        <w:rPr>
          <w:lang w:val="fr-FR"/>
        </w:rPr>
        <w:t xml:space="preserve">des </w:t>
      </w:r>
      <w:r w:rsidR="000F5030" w:rsidRPr="004241EB">
        <w:rPr>
          <w:lang w:val="fr-FR"/>
        </w:rPr>
        <w:t>changements dans la stratégie de défense</w:t>
      </w:r>
      <w:r w:rsidR="003B2409" w:rsidRPr="004241EB">
        <w:rPr>
          <w:lang w:val="fr-FR"/>
        </w:rPr>
        <w:t xml:space="preserve"> </w:t>
      </w:r>
      <w:r w:rsidR="003B2409">
        <w:rPr>
          <w:lang w:val="fr-FR"/>
        </w:rPr>
        <w:t>et des questions s’agissant de savoir s’ils étaient judicieux.</w:t>
      </w:r>
    </w:p>
    <w:p w:rsidR="003B2409" w:rsidRDefault="003B2409" w:rsidP="005D7B68">
      <w:pPr>
        <w:tabs>
          <w:tab w:val="left" w:pos="567"/>
          <w:tab w:val="left" w:pos="1134"/>
          <w:tab w:val="left" w:pos="1701"/>
          <w:tab w:val="left" w:pos="2268"/>
        </w:tabs>
        <w:rPr>
          <w:lang w:val="fr-FR"/>
        </w:rPr>
      </w:pPr>
      <w:r>
        <w:rPr>
          <w:lang w:val="fr-FR"/>
        </w:rPr>
        <w:t>131.</w:t>
      </w:r>
      <w:r>
        <w:rPr>
          <w:lang w:val="fr-FR"/>
        </w:rPr>
        <w:tab/>
        <w:t>Actuellement, les personnes condamnées à des peines d’emprisonnement par un tribunal du Territoire de la capitale</w:t>
      </w:r>
      <w:r w:rsidR="005A4718">
        <w:rPr>
          <w:lang w:val="fr-FR"/>
        </w:rPr>
        <w:t xml:space="preserve"> fédérale </w:t>
      </w:r>
      <w:r>
        <w:rPr>
          <w:lang w:val="fr-FR"/>
        </w:rPr>
        <w:t>les purgent en Nouvelle</w:t>
      </w:r>
      <w:r w:rsidR="00A757C0">
        <w:rPr>
          <w:lang w:val="fr-FR"/>
        </w:rPr>
        <w:noBreakHyphen/>
      </w:r>
      <w:r>
        <w:rPr>
          <w:lang w:val="fr-FR"/>
        </w:rPr>
        <w:t xml:space="preserve">Galles du Sud </w:t>
      </w:r>
      <w:r w:rsidR="0020187F">
        <w:rPr>
          <w:lang w:val="fr-FR"/>
        </w:rPr>
        <w:t>dans le cadre d’un arrangement reposant sur un droit pour les services rendus</w:t>
      </w:r>
      <w:r w:rsidR="008D6B80">
        <w:rPr>
          <w:lang w:val="fr-FR"/>
        </w:rPr>
        <w:t xml:space="preserve">. </w:t>
      </w:r>
      <w:r w:rsidR="0020187F">
        <w:rPr>
          <w:lang w:val="fr-FR"/>
        </w:rPr>
        <w:t>Afin de pouvoir résoudre ce problème et d’améliorer les possibilités de rééducation et d’insertion dans la société, les services pénitentiaires du Territ</w:t>
      </w:r>
      <w:r w:rsidR="005A4718">
        <w:rPr>
          <w:lang w:val="fr-FR"/>
        </w:rPr>
        <w:t>oire de la capitale</w:t>
      </w:r>
      <w:r w:rsidR="0020187F">
        <w:rPr>
          <w:lang w:val="fr-FR"/>
        </w:rPr>
        <w:t xml:space="preserve"> font actuellement construire le Centre Alexander Maconochie, dont l’ouverture est prévue pour la mi-mai 2008 et qui pourra accueillir toutes les personnes placées en détention provisoire et tous les condamnés du Territoire.</w:t>
      </w:r>
    </w:p>
    <w:p w:rsidR="0020187F" w:rsidRDefault="0020187F" w:rsidP="005D7B68">
      <w:pPr>
        <w:tabs>
          <w:tab w:val="left" w:pos="567"/>
          <w:tab w:val="left" w:pos="1134"/>
          <w:tab w:val="left" w:pos="1701"/>
          <w:tab w:val="left" w:pos="2268"/>
        </w:tabs>
        <w:rPr>
          <w:lang w:val="fr-FR"/>
        </w:rPr>
      </w:pPr>
      <w:r>
        <w:rPr>
          <w:lang w:val="fr-FR"/>
        </w:rPr>
        <w:t>132.</w:t>
      </w:r>
      <w:r>
        <w:rPr>
          <w:lang w:val="fr-FR"/>
        </w:rPr>
        <w:tab/>
        <w:t xml:space="preserve">Nous ne disposons pas de données concernant le </w:t>
      </w:r>
      <w:r w:rsidR="00CF3909">
        <w:rPr>
          <w:lang w:val="fr-FR"/>
        </w:rPr>
        <w:t>temps moyen passé en détention</w:t>
      </w:r>
      <w:r>
        <w:rPr>
          <w:lang w:val="fr-FR"/>
        </w:rPr>
        <w:t>, en tenant compte des peines d’emprisonnement.</w:t>
      </w:r>
    </w:p>
    <w:p w:rsidR="0020187F" w:rsidRDefault="0020187F" w:rsidP="005D7B68">
      <w:pPr>
        <w:tabs>
          <w:tab w:val="left" w:pos="567"/>
          <w:tab w:val="left" w:pos="1134"/>
          <w:tab w:val="left" w:pos="1701"/>
          <w:tab w:val="left" w:pos="2268"/>
        </w:tabs>
        <w:rPr>
          <w:b/>
          <w:bCs/>
          <w:lang w:val="fr-FR"/>
        </w:rPr>
      </w:pPr>
      <w:r>
        <w:rPr>
          <w:b/>
          <w:bCs/>
          <w:lang w:val="fr-FR"/>
        </w:rPr>
        <w:t>Territoire du Nord</w:t>
      </w:r>
    </w:p>
    <w:p w:rsidR="007A4F88" w:rsidRDefault="007A4F88" w:rsidP="005D7B68">
      <w:pPr>
        <w:tabs>
          <w:tab w:val="left" w:pos="567"/>
          <w:tab w:val="left" w:pos="1134"/>
          <w:tab w:val="left" w:pos="1701"/>
          <w:tab w:val="left" w:pos="2268"/>
        </w:tabs>
        <w:rPr>
          <w:lang w:val="fr-FR"/>
        </w:rPr>
      </w:pPr>
      <w:r>
        <w:rPr>
          <w:lang w:val="fr-FR"/>
        </w:rPr>
        <w:t>133.</w:t>
      </w:r>
      <w:r>
        <w:rPr>
          <w:lang w:val="fr-FR"/>
        </w:rPr>
        <w:tab/>
        <w:t xml:space="preserve">Ainsi qu’il a été noté plus haut dans la réponse à </w:t>
      </w:r>
      <w:r w:rsidR="009E4921">
        <w:rPr>
          <w:lang w:val="fr-FR"/>
        </w:rPr>
        <w:t>la question 2, sous</w:t>
      </w:r>
      <w:r>
        <w:rPr>
          <w:lang w:val="fr-FR"/>
        </w:rPr>
        <w:t xml:space="preserve"> réserve de certaines dispositions relatives à l’</w:t>
      </w:r>
      <w:r w:rsidR="009E4921">
        <w:rPr>
          <w:lang w:val="fr-FR"/>
        </w:rPr>
        <w:t>interrogat</w:t>
      </w:r>
      <w:r w:rsidR="00FC085B">
        <w:rPr>
          <w:lang w:val="fr-FR"/>
        </w:rPr>
        <w:t>oire ou à l’enquête de</w:t>
      </w:r>
      <w:r>
        <w:rPr>
          <w:lang w:val="fr-FR"/>
        </w:rPr>
        <w:t xml:space="preserve"> police, cette dernière est tenue de déférer toute personne placée en garde à vue devant un juge ou un tribunal compétent dans les meilleurs délais, sauf si cette personne bénéficie d’une mise en liberté sous caution au titre de la </w:t>
      </w:r>
      <w:r w:rsidRPr="005A4718">
        <w:rPr>
          <w:lang w:val="fr-FR"/>
        </w:rPr>
        <w:t>loi sur la libération sous caution</w:t>
      </w:r>
      <w:r>
        <w:rPr>
          <w:i/>
          <w:iCs/>
          <w:lang w:val="fr-FR"/>
        </w:rPr>
        <w:t xml:space="preserve"> </w:t>
      </w:r>
      <w:r>
        <w:rPr>
          <w:lang w:val="fr-FR"/>
        </w:rPr>
        <w:t>(Territoire du Nor</w:t>
      </w:r>
      <w:r w:rsidR="005A4718">
        <w:rPr>
          <w:lang w:val="fr-FR"/>
        </w:rPr>
        <w:t>d) ou est relâchée (art. 137 1)</w:t>
      </w:r>
      <w:r>
        <w:rPr>
          <w:lang w:val="fr-FR"/>
        </w:rPr>
        <w:t xml:space="preserve"> de la</w:t>
      </w:r>
      <w:r>
        <w:rPr>
          <w:i/>
          <w:iCs/>
          <w:lang w:val="fr-FR"/>
        </w:rPr>
        <w:t xml:space="preserve"> </w:t>
      </w:r>
      <w:r w:rsidRPr="005A4718">
        <w:rPr>
          <w:lang w:val="fr-FR"/>
        </w:rPr>
        <w:t>loi sur l’administration de la police</w:t>
      </w:r>
      <w:r>
        <w:rPr>
          <w:i/>
          <w:iCs/>
          <w:lang w:val="fr-FR"/>
        </w:rPr>
        <w:t xml:space="preserve"> </w:t>
      </w:r>
      <w:r>
        <w:rPr>
          <w:lang w:val="fr-FR"/>
        </w:rPr>
        <w:t>(Territoire du Nord)</w:t>
      </w:r>
      <w:r w:rsidR="005A4718">
        <w:rPr>
          <w:lang w:val="fr-FR"/>
        </w:rPr>
        <w:t>)</w:t>
      </w:r>
      <w:r>
        <w:rPr>
          <w:lang w:val="fr-FR"/>
        </w:rPr>
        <w:t>.</w:t>
      </w:r>
    </w:p>
    <w:p w:rsidR="007A4F88" w:rsidRDefault="007A4F88" w:rsidP="005D7B68">
      <w:pPr>
        <w:tabs>
          <w:tab w:val="left" w:pos="567"/>
          <w:tab w:val="left" w:pos="1134"/>
          <w:tab w:val="left" w:pos="1701"/>
          <w:tab w:val="left" w:pos="2268"/>
        </w:tabs>
        <w:rPr>
          <w:lang w:val="fr-FR"/>
        </w:rPr>
      </w:pPr>
      <w:r>
        <w:rPr>
          <w:lang w:val="fr-FR"/>
        </w:rPr>
        <w:t>134.</w:t>
      </w:r>
      <w:r>
        <w:rPr>
          <w:lang w:val="fr-FR"/>
        </w:rPr>
        <w:tab/>
        <w:t>La police peut maintenir une personne en garde à vue aux fins de l’interrogatoire ou de l’enquête pendant ‘une période de temps raisonnable (art. 137 2) de la loi sur l’administration de la police)</w:t>
      </w:r>
      <w:r w:rsidR="008D6B80">
        <w:rPr>
          <w:lang w:val="fr-FR"/>
        </w:rPr>
        <w:t xml:space="preserve">. </w:t>
      </w:r>
      <w:r>
        <w:rPr>
          <w:lang w:val="fr-FR"/>
        </w:rPr>
        <w:t>L’article 138 de cette loi énumère des facteurs pouvant être pris en compte par un juge ou par le tribunal, sans que ce soit limitatif, pour déterminer la ‘période de temps raisonnable’</w:t>
      </w:r>
      <w:r w:rsidR="00E23808">
        <w:rPr>
          <w:lang w:val="fr-FR"/>
        </w:rPr>
        <w:t>, en l’occurrence.</w:t>
      </w:r>
    </w:p>
    <w:p w:rsidR="00E23808" w:rsidRDefault="00E23808" w:rsidP="005D7B68">
      <w:pPr>
        <w:tabs>
          <w:tab w:val="left" w:pos="567"/>
          <w:tab w:val="left" w:pos="1134"/>
          <w:tab w:val="left" w:pos="1701"/>
          <w:tab w:val="left" w:pos="2268"/>
        </w:tabs>
        <w:rPr>
          <w:lang w:val="fr-FR"/>
        </w:rPr>
      </w:pPr>
      <w:r>
        <w:rPr>
          <w:lang w:val="fr-FR"/>
        </w:rPr>
        <w:t>135.</w:t>
      </w:r>
      <w:r>
        <w:rPr>
          <w:lang w:val="fr-FR"/>
        </w:rPr>
        <w:tab/>
        <w:t>L’article 37 de la loi sur la libération sous caution dispose qu’un accusé placé en garde à vue a le droit de solliciter une mise en liberté sous caution</w:t>
      </w:r>
      <w:r w:rsidR="008D6B80">
        <w:rPr>
          <w:lang w:val="fr-FR"/>
        </w:rPr>
        <w:t xml:space="preserve">. </w:t>
      </w:r>
      <w:r>
        <w:rPr>
          <w:lang w:val="fr-FR"/>
        </w:rPr>
        <w:t>La demande doit être adressée à l’un des destinataires ci-après, qui pourra l’accorder</w:t>
      </w:r>
      <w:r w:rsidR="00572260">
        <w:rPr>
          <w:lang w:val="fr-FR"/>
        </w:rPr>
        <w:t>:</w:t>
      </w:r>
    </w:p>
    <w:p w:rsidR="00E23808" w:rsidRDefault="005A4718" w:rsidP="00E0029F">
      <w:pPr>
        <w:numPr>
          <w:ilvl w:val="0"/>
          <w:numId w:val="12"/>
        </w:numPr>
        <w:tabs>
          <w:tab w:val="left" w:pos="1134"/>
          <w:tab w:val="left" w:pos="1701"/>
        </w:tabs>
        <w:rPr>
          <w:lang w:val="fr-FR"/>
        </w:rPr>
      </w:pPr>
      <w:r>
        <w:rPr>
          <w:lang w:val="fr-FR"/>
        </w:rPr>
        <w:t>U</w:t>
      </w:r>
      <w:r w:rsidR="00E23808">
        <w:rPr>
          <w:lang w:val="fr-FR"/>
        </w:rPr>
        <w:t xml:space="preserve">n fonctionnaire de police agréé </w:t>
      </w:r>
      <w:r w:rsidR="00D45DF4">
        <w:rPr>
          <w:lang w:val="fr-FR"/>
        </w:rPr>
        <w:t>(</w:t>
      </w:r>
      <w:r w:rsidR="00A619D6">
        <w:rPr>
          <w:lang w:val="fr-FR"/>
        </w:rPr>
        <w:t>«</w:t>
      </w:r>
      <w:r w:rsidR="00811464">
        <w:rPr>
          <w:i/>
          <w:iCs/>
          <w:lang w:val="fr-FR"/>
        </w:rPr>
        <w:t>Police B</w:t>
      </w:r>
      <w:r w:rsidR="00D45DF4">
        <w:rPr>
          <w:i/>
          <w:iCs/>
          <w:lang w:val="fr-FR"/>
        </w:rPr>
        <w:t>ail</w:t>
      </w:r>
      <w:r w:rsidR="00A619D6">
        <w:rPr>
          <w:i/>
          <w:iCs/>
          <w:lang w:val="fr-FR"/>
        </w:rPr>
        <w:t>»</w:t>
      </w:r>
      <w:r w:rsidR="00D45DF4">
        <w:rPr>
          <w:lang w:val="fr-FR"/>
        </w:rPr>
        <w:t>)</w:t>
      </w:r>
      <w:r w:rsidR="00CF3909">
        <w:rPr>
          <w:lang w:val="fr-FR"/>
        </w:rPr>
        <w:t xml:space="preserve"> </w:t>
      </w:r>
      <w:r w:rsidR="00E23808">
        <w:rPr>
          <w:lang w:val="fr-FR"/>
        </w:rPr>
        <w:t>(art. 16)</w:t>
      </w:r>
      <w:r w:rsidR="00951BAD">
        <w:rPr>
          <w:lang w:val="fr-FR"/>
        </w:rPr>
        <w:t>;</w:t>
      </w:r>
    </w:p>
    <w:p w:rsidR="00E23808" w:rsidRDefault="005A4718" w:rsidP="00E0029F">
      <w:pPr>
        <w:numPr>
          <w:ilvl w:val="0"/>
          <w:numId w:val="12"/>
        </w:numPr>
        <w:tabs>
          <w:tab w:val="left" w:pos="1134"/>
          <w:tab w:val="left" w:pos="1701"/>
        </w:tabs>
        <w:rPr>
          <w:lang w:val="fr-FR"/>
        </w:rPr>
      </w:pPr>
      <w:r>
        <w:rPr>
          <w:lang w:val="fr-FR"/>
        </w:rPr>
        <w:t>U</w:t>
      </w:r>
      <w:r w:rsidR="00E23808">
        <w:rPr>
          <w:lang w:val="fr-FR"/>
        </w:rPr>
        <w:t xml:space="preserve">n juge ou un </w:t>
      </w:r>
      <w:r w:rsidR="00E23808">
        <w:rPr>
          <w:i/>
          <w:iCs/>
          <w:lang w:val="fr-FR"/>
        </w:rPr>
        <w:t>magistrate</w:t>
      </w:r>
      <w:r w:rsidR="00E23808">
        <w:rPr>
          <w:lang w:val="fr-FR"/>
        </w:rPr>
        <w:t>, qui peut accorder à tout moment cette mise en liberté à un pré</w:t>
      </w:r>
      <w:r w:rsidR="00CF3909">
        <w:rPr>
          <w:lang w:val="fr-FR"/>
        </w:rPr>
        <w:t>venu comparaissant</w:t>
      </w:r>
      <w:r w:rsidR="00951BAD">
        <w:rPr>
          <w:lang w:val="fr-FR"/>
        </w:rPr>
        <w:t xml:space="preserve"> devant lui </w:t>
      </w:r>
      <w:r w:rsidR="00D45DF4">
        <w:rPr>
          <w:lang w:val="fr-FR"/>
        </w:rPr>
        <w:t>(</w:t>
      </w:r>
      <w:r w:rsidR="00A619D6">
        <w:rPr>
          <w:lang w:val="fr-FR"/>
        </w:rPr>
        <w:t>«</w:t>
      </w:r>
      <w:r w:rsidR="00811464">
        <w:rPr>
          <w:i/>
          <w:iCs/>
          <w:lang w:val="fr-FR"/>
        </w:rPr>
        <w:t>Court B</w:t>
      </w:r>
      <w:r w:rsidR="00D45DF4">
        <w:rPr>
          <w:i/>
          <w:iCs/>
          <w:lang w:val="fr-FR"/>
        </w:rPr>
        <w:t>ail</w:t>
      </w:r>
      <w:r w:rsidR="00A619D6">
        <w:rPr>
          <w:i/>
          <w:iCs/>
          <w:lang w:val="fr-FR"/>
        </w:rPr>
        <w:t>»</w:t>
      </w:r>
      <w:r w:rsidR="00D45DF4">
        <w:rPr>
          <w:lang w:val="fr-FR"/>
        </w:rPr>
        <w:t xml:space="preserve">) </w:t>
      </w:r>
      <w:r w:rsidR="00951BAD">
        <w:rPr>
          <w:lang w:val="fr-FR"/>
        </w:rPr>
        <w:t>(</w:t>
      </w:r>
      <w:r w:rsidR="00E23808">
        <w:rPr>
          <w:lang w:val="fr-FR"/>
        </w:rPr>
        <w:t>art. 20</w:t>
      </w:r>
      <w:r w:rsidR="00951BAD">
        <w:rPr>
          <w:lang w:val="fr-FR"/>
        </w:rPr>
        <w:t>)</w:t>
      </w:r>
      <w:r w:rsidR="00572260">
        <w:rPr>
          <w:lang w:val="fr-FR"/>
        </w:rPr>
        <w:t xml:space="preserve"> </w:t>
      </w:r>
      <w:r w:rsidR="00E23808">
        <w:rPr>
          <w:lang w:val="fr-FR"/>
        </w:rPr>
        <w:t>(mais ne peut le faire pour une personne dev</w:t>
      </w:r>
      <w:r>
        <w:rPr>
          <w:lang w:val="fr-FR"/>
        </w:rPr>
        <w:t>ant comparaître devant la Cour s</w:t>
      </w:r>
      <w:r w:rsidR="00951BAD">
        <w:rPr>
          <w:lang w:val="fr-FR"/>
        </w:rPr>
        <w:t>uprême (</w:t>
      </w:r>
      <w:r w:rsidR="00E23808">
        <w:rPr>
          <w:lang w:val="fr-FR"/>
        </w:rPr>
        <w:t>art. 21)</w:t>
      </w:r>
      <w:r w:rsidR="00951BAD">
        <w:rPr>
          <w:lang w:val="fr-FR"/>
        </w:rPr>
        <w:t>)</w:t>
      </w:r>
      <w:r w:rsidR="00E23808">
        <w:rPr>
          <w:lang w:val="fr-FR"/>
        </w:rPr>
        <w:t>, ou</w:t>
      </w:r>
    </w:p>
    <w:p w:rsidR="00E23808" w:rsidRDefault="00B96219" w:rsidP="00E0029F">
      <w:pPr>
        <w:numPr>
          <w:ilvl w:val="0"/>
          <w:numId w:val="12"/>
        </w:numPr>
        <w:tabs>
          <w:tab w:val="left" w:pos="1134"/>
          <w:tab w:val="left" w:pos="1701"/>
        </w:tabs>
        <w:rPr>
          <w:lang w:val="fr-FR"/>
        </w:rPr>
      </w:pPr>
      <w:r>
        <w:rPr>
          <w:lang w:val="fr-FR"/>
        </w:rPr>
        <w:t>L</w:t>
      </w:r>
      <w:r w:rsidR="005A4718">
        <w:rPr>
          <w:lang w:val="fr-FR"/>
        </w:rPr>
        <w:t>a Cour s</w:t>
      </w:r>
      <w:r w:rsidR="00E23808">
        <w:rPr>
          <w:lang w:val="fr-FR"/>
        </w:rPr>
        <w:t xml:space="preserve">uprême </w:t>
      </w:r>
      <w:r w:rsidR="00811464">
        <w:rPr>
          <w:lang w:val="fr-FR"/>
        </w:rPr>
        <w:t>(</w:t>
      </w:r>
      <w:r w:rsidR="00A619D6">
        <w:rPr>
          <w:lang w:val="fr-FR"/>
        </w:rPr>
        <w:t>«</w:t>
      </w:r>
      <w:r w:rsidR="00811464" w:rsidRPr="00811464">
        <w:rPr>
          <w:i/>
          <w:iCs/>
          <w:lang w:val="fr-FR"/>
        </w:rPr>
        <w:t>Court Bail</w:t>
      </w:r>
      <w:r w:rsidR="00A619D6">
        <w:rPr>
          <w:lang w:val="fr-FR"/>
        </w:rPr>
        <w:t>»</w:t>
      </w:r>
      <w:r w:rsidR="00811464">
        <w:rPr>
          <w:lang w:val="fr-FR"/>
        </w:rPr>
        <w:t xml:space="preserve">) </w:t>
      </w:r>
      <w:r w:rsidR="00E23808">
        <w:rPr>
          <w:lang w:val="fr-FR"/>
        </w:rPr>
        <w:t>(art. 23).</w:t>
      </w:r>
    </w:p>
    <w:p w:rsidR="00E1548F" w:rsidRDefault="00E1548F" w:rsidP="005D7B68">
      <w:pPr>
        <w:tabs>
          <w:tab w:val="left" w:pos="567"/>
          <w:tab w:val="left" w:pos="1134"/>
          <w:tab w:val="left" w:pos="1701"/>
          <w:tab w:val="left" w:pos="2268"/>
        </w:tabs>
        <w:rPr>
          <w:lang w:val="fr-FR"/>
        </w:rPr>
      </w:pPr>
      <w:r>
        <w:rPr>
          <w:lang w:val="fr-FR"/>
        </w:rPr>
        <w:t>136.</w:t>
      </w:r>
      <w:r>
        <w:rPr>
          <w:lang w:val="fr-FR"/>
        </w:rPr>
        <w:tab/>
        <w:t>Il n’y a pas de limite au nombre de demandes de mise en liberté sous caution pouvant êt</w:t>
      </w:r>
      <w:r w:rsidR="00A757C0">
        <w:rPr>
          <w:lang w:val="fr-FR"/>
        </w:rPr>
        <w:t>re </w:t>
      </w:r>
      <w:r>
        <w:rPr>
          <w:lang w:val="fr-FR"/>
        </w:rPr>
        <w:t>adressées à un tribunal par un prévenu (art. 19 1))</w:t>
      </w:r>
      <w:r w:rsidR="008D6B80">
        <w:rPr>
          <w:lang w:val="fr-FR"/>
        </w:rPr>
        <w:t xml:space="preserve">. </w:t>
      </w:r>
      <w:r>
        <w:rPr>
          <w:lang w:val="fr-FR"/>
        </w:rPr>
        <w:t>Si cette demande est refusée par un juge,</w:t>
      </w:r>
      <w:r w:rsidR="0009266F">
        <w:rPr>
          <w:lang w:val="fr-FR"/>
        </w:rPr>
        <w:t xml:space="preserve"> le renvoi de l’audience relative à cette infraction ne doit pas, sauf avec le consentement de l’intéressé, excéder 15 jours (art. 22).</w:t>
      </w:r>
    </w:p>
    <w:p w:rsidR="0009266F" w:rsidRDefault="0009266F" w:rsidP="005D7B68">
      <w:pPr>
        <w:tabs>
          <w:tab w:val="left" w:pos="567"/>
          <w:tab w:val="left" w:pos="1134"/>
          <w:tab w:val="left" w:pos="1701"/>
          <w:tab w:val="left" w:pos="2268"/>
        </w:tabs>
        <w:rPr>
          <w:lang w:val="fr-FR"/>
        </w:rPr>
      </w:pPr>
      <w:r>
        <w:rPr>
          <w:lang w:val="fr-FR"/>
        </w:rPr>
        <w:t>137.</w:t>
      </w:r>
      <w:r>
        <w:rPr>
          <w:lang w:val="fr-FR"/>
        </w:rPr>
        <w:tab/>
      </w:r>
      <w:r w:rsidR="009E4921">
        <w:rPr>
          <w:lang w:val="fr-FR"/>
        </w:rPr>
        <w:t>La loi énumère</w:t>
      </w:r>
      <w:r w:rsidR="007C104F">
        <w:rPr>
          <w:lang w:val="fr-FR"/>
        </w:rPr>
        <w:t xml:space="preserve"> certaines infractions pour lesquelles il existe une présomption (simple) défavorable à la libération sous caution (art. 7A)</w:t>
      </w:r>
      <w:r w:rsidR="008D6B80">
        <w:rPr>
          <w:lang w:val="fr-FR"/>
        </w:rPr>
        <w:t xml:space="preserve">. </w:t>
      </w:r>
      <w:r w:rsidR="007C104F">
        <w:rPr>
          <w:lang w:val="fr-FR"/>
        </w:rPr>
        <w:t>Il s’agit généralement de meurtres,</w:t>
      </w:r>
      <w:r w:rsidR="00CF3909">
        <w:rPr>
          <w:lang w:val="fr-FR"/>
        </w:rPr>
        <w:t xml:space="preserve"> de</w:t>
      </w:r>
      <w:r w:rsidR="007C104F">
        <w:rPr>
          <w:lang w:val="fr-FR"/>
        </w:rPr>
        <w:t xml:space="preserve"> trahisons, de délits liés à la drogue et autres </w:t>
      </w:r>
      <w:r w:rsidR="00CF3909">
        <w:rPr>
          <w:lang w:val="fr-FR"/>
        </w:rPr>
        <w:t xml:space="preserve">délits </w:t>
      </w:r>
      <w:r w:rsidR="007C104F">
        <w:rPr>
          <w:lang w:val="fr-FR"/>
        </w:rPr>
        <w:t xml:space="preserve">du même genre passibles d’une peine d’emprisonnement supérieure à sept ans, d’infractions, en matière de stupéfiants, à la </w:t>
      </w:r>
      <w:r w:rsidR="007C104F" w:rsidRPr="005A4718">
        <w:rPr>
          <w:lang w:val="fr-FR"/>
        </w:rPr>
        <w:t>loi de 1901</w:t>
      </w:r>
      <w:r w:rsidR="00961D2F">
        <w:rPr>
          <w:lang w:val="fr-FR"/>
        </w:rPr>
        <w:t xml:space="preserve"> </w:t>
      </w:r>
      <w:r w:rsidR="00E45A88" w:rsidRPr="005A4718">
        <w:rPr>
          <w:lang w:val="fr-FR"/>
        </w:rPr>
        <w:t>sur les douanes</w:t>
      </w:r>
      <w:r w:rsidR="00E45A88">
        <w:rPr>
          <w:i/>
          <w:iCs/>
          <w:lang w:val="fr-FR"/>
        </w:rPr>
        <w:t xml:space="preserve"> </w:t>
      </w:r>
      <w:r w:rsidR="00E45A88">
        <w:rPr>
          <w:lang w:val="fr-FR"/>
        </w:rPr>
        <w:t>(Commonwealth) passibles d’une peine d’au moins dix ans de prison</w:t>
      </w:r>
      <w:r w:rsidR="00E0261B">
        <w:rPr>
          <w:lang w:val="fr-FR"/>
        </w:rPr>
        <w:t>, d’infractions graves avec violence, l’</w:t>
      </w:r>
      <w:r w:rsidR="0041270E">
        <w:rPr>
          <w:lang w:val="fr-FR"/>
        </w:rPr>
        <w:t>accusé ayant des antécédents</w:t>
      </w:r>
      <w:r w:rsidR="00E0261B">
        <w:rPr>
          <w:lang w:val="fr-FR"/>
        </w:rPr>
        <w:t xml:space="preserve"> dans ce domaine.</w:t>
      </w:r>
    </w:p>
    <w:p w:rsidR="00E0261B" w:rsidRDefault="00E0261B" w:rsidP="005D7B68">
      <w:pPr>
        <w:tabs>
          <w:tab w:val="left" w:pos="567"/>
          <w:tab w:val="left" w:pos="1134"/>
          <w:tab w:val="left" w:pos="1701"/>
          <w:tab w:val="left" w:pos="2268"/>
        </w:tabs>
        <w:rPr>
          <w:lang w:val="fr-FR"/>
        </w:rPr>
      </w:pPr>
      <w:r>
        <w:rPr>
          <w:lang w:val="fr-FR"/>
        </w:rPr>
        <w:t>138.</w:t>
      </w:r>
      <w:r>
        <w:rPr>
          <w:lang w:val="fr-FR"/>
        </w:rPr>
        <w:tab/>
        <w:t>Cette loi prévoit également une présomption en faveur de l</w:t>
      </w:r>
      <w:r w:rsidR="00A757C0">
        <w:rPr>
          <w:lang w:val="fr-FR"/>
        </w:rPr>
        <w:t>a libération sous caution (art. </w:t>
      </w:r>
      <w:r>
        <w:rPr>
          <w:lang w:val="fr-FR"/>
        </w:rPr>
        <w:t>8) pour toutes les infractions, sauf celles qui figurent ci-dessus et d’autres, à savoir</w:t>
      </w:r>
      <w:r w:rsidR="00572260">
        <w:rPr>
          <w:lang w:val="fr-FR"/>
        </w:rPr>
        <w:t>:</w:t>
      </w:r>
    </w:p>
    <w:p w:rsidR="0041270E" w:rsidRDefault="005A4718" w:rsidP="00E0029F">
      <w:pPr>
        <w:numPr>
          <w:ilvl w:val="0"/>
          <w:numId w:val="13"/>
        </w:numPr>
        <w:tabs>
          <w:tab w:val="left" w:pos="1134"/>
          <w:tab w:val="left" w:pos="1701"/>
        </w:tabs>
        <w:rPr>
          <w:lang w:val="fr-FR"/>
        </w:rPr>
      </w:pPr>
      <w:r>
        <w:rPr>
          <w:lang w:val="fr-FR"/>
        </w:rPr>
        <w:t>L</w:t>
      </w:r>
      <w:r w:rsidR="0041270E">
        <w:rPr>
          <w:lang w:val="fr-FR"/>
        </w:rPr>
        <w:t>es délits d’atteinte à l’intégrité physique (par exemple préjudice grave, ou viol, ou violences sexuelles sur la personne d’un mineur) si l’accusé a des antécédents dans ce domaine</w:t>
      </w:r>
      <w:r w:rsidR="00572260">
        <w:rPr>
          <w:lang w:val="fr-FR"/>
        </w:rPr>
        <w:t>;</w:t>
      </w:r>
    </w:p>
    <w:p w:rsidR="0041270E" w:rsidRDefault="005A4718" w:rsidP="00E0029F">
      <w:pPr>
        <w:numPr>
          <w:ilvl w:val="0"/>
          <w:numId w:val="13"/>
        </w:numPr>
        <w:tabs>
          <w:tab w:val="left" w:pos="1134"/>
          <w:tab w:val="left" w:pos="1701"/>
        </w:tabs>
        <w:rPr>
          <w:lang w:val="fr-FR"/>
        </w:rPr>
      </w:pPr>
      <w:r>
        <w:rPr>
          <w:lang w:val="fr-FR"/>
        </w:rPr>
        <w:t>L</w:t>
      </w:r>
      <w:r w:rsidR="0041270E">
        <w:rPr>
          <w:lang w:val="fr-FR"/>
        </w:rPr>
        <w:t>es délits (soit des infractions passibles</w:t>
      </w:r>
      <w:r>
        <w:rPr>
          <w:lang w:val="fr-FR"/>
        </w:rPr>
        <w:t xml:space="preserve"> d’une peine d’au moins cinq ans</w:t>
      </w:r>
      <w:r w:rsidR="0041270E">
        <w:rPr>
          <w:lang w:val="fr-FR"/>
        </w:rPr>
        <w:t xml:space="preserve"> d’emprisonnement) commis alors que l’intéressé avait </w:t>
      </w:r>
      <w:r>
        <w:rPr>
          <w:lang w:val="fr-FR"/>
        </w:rPr>
        <w:t>été re</w:t>
      </w:r>
      <w:r w:rsidR="0041270E">
        <w:rPr>
          <w:lang w:val="fr-FR"/>
        </w:rPr>
        <w:t>mis en liberté sous caution pour un autre délit ou s’il a des antécédents récents dans ce domaine.</w:t>
      </w:r>
    </w:p>
    <w:p w:rsidR="00E0261B" w:rsidRDefault="0041270E" w:rsidP="005D7B68">
      <w:pPr>
        <w:tabs>
          <w:tab w:val="left" w:pos="567"/>
          <w:tab w:val="left" w:pos="1134"/>
          <w:tab w:val="left" w:pos="1701"/>
          <w:tab w:val="left" w:pos="2268"/>
        </w:tabs>
        <w:rPr>
          <w:lang w:val="fr-FR"/>
        </w:rPr>
      </w:pPr>
      <w:r>
        <w:rPr>
          <w:lang w:val="fr-FR"/>
        </w:rPr>
        <w:t>139.</w:t>
      </w:r>
      <w:r>
        <w:rPr>
          <w:lang w:val="fr-FR"/>
        </w:rPr>
        <w:tab/>
        <w:t>Toute personne répondant aux prescriptions de l’article 8 a</w:t>
      </w:r>
      <w:r w:rsidR="005A4718">
        <w:rPr>
          <w:lang w:val="fr-FR"/>
        </w:rPr>
        <w:t xml:space="preserve"> </w:t>
      </w:r>
      <w:r w:rsidR="00961D2F">
        <w:rPr>
          <w:lang w:val="fr-FR"/>
        </w:rPr>
        <w:t>le droit d’</w:t>
      </w:r>
      <w:r>
        <w:rPr>
          <w:lang w:val="fr-FR"/>
        </w:rPr>
        <w:t>être libéré</w:t>
      </w:r>
      <w:r w:rsidR="00961D2F">
        <w:rPr>
          <w:lang w:val="fr-FR"/>
        </w:rPr>
        <w:t>e</w:t>
      </w:r>
      <w:r>
        <w:rPr>
          <w:lang w:val="fr-FR"/>
        </w:rPr>
        <w:t xml:space="preserve"> sous caution</w:t>
      </w:r>
      <w:r w:rsidR="00B65EAA">
        <w:rPr>
          <w:lang w:val="fr-FR"/>
        </w:rPr>
        <w:t>, sauf</w:t>
      </w:r>
      <w:r>
        <w:rPr>
          <w:lang w:val="fr-FR"/>
        </w:rPr>
        <w:t xml:space="preserve"> </w:t>
      </w:r>
      <w:r w:rsidR="00B65EAA">
        <w:rPr>
          <w:lang w:val="fr-FR"/>
        </w:rPr>
        <w:t xml:space="preserve">si le membre </w:t>
      </w:r>
      <w:r w:rsidR="00801C35">
        <w:rPr>
          <w:lang w:val="fr-FR"/>
        </w:rPr>
        <w:t>habilité</w:t>
      </w:r>
      <w:r w:rsidR="00B65EAA">
        <w:rPr>
          <w:lang w:val="fr-FR"/>
        </w:rPr>
        <w:t xml:space="preserve"> de la force de police ou le tribunal, après avoir pris en compte certains éléments spécifiques én</w:t>
      </w:r>
      <w:r w:rsidR="00437CCA">
        <w:rPr>
          <w:lang w:val="fr-FR"/>
        </w:rPr>
        <w:t>oncés dans la loi, a acquis la conviction</w:t>
      </w:r>
      <w:r w:rsidR="00B65EAA">
        <w:rPr>
          <w:lang w:val="fr-FR"/>
        </w:rPr>
        <w:t xml:space="preserve"> qu’il convient </w:t>
      </w:r>
      <w:r w:rsidR="00F47B6D">
        <w:rPr>
          <w:lang w:val="fr-FR"/>
        </w:rPr>
        <w:t xml:space="preserve">de </w:t>
      </w:r>
      <w:r w:rsidR="00B65EAA">
        <w:rPr>
          <w:lang w:val="fr-FR"/>
        </w:rPr>
        <w:t>refuser cette demande (art. 8 2)</w:t>
      </w:r>
      <w:r w:rsidR="00541B59">
        <w:rPr>
          <w:lang w:val="fr-FR"/>
        </w:rPr>
        <w:t>)</w:t>
      </w:r>
      <w:r w:rsidR="008D6B80">
        <w:rPr>
          <w:lang w:val="fr-FR"/>
        </w:rPr>
        <w:t xml:space="preserve">. </w:t>
      </w:r>
      <w:r w:rsidR="00B65EAA">
        <w:rPr>
          <w:lang w:val="fr-FR"/>
        </w:rPr>
        <w:t>Ces éléments se limitent à ceci</w:t>
      </w:r>
      <w:r w:rsidR="00541B59">
        <w:rPr>
          <w:lang w:val="fr-FR"/>
        </w:rPr>
        <w:t xml:space="preserve"> (art. 24)</w:t>
      </w:r>
      <w:r w:rsidR="00572260">
        <w:rPr>
          <w:lang w:val="fr-FR"/>
        </w:rPr>
        <w:t>:</w:t>
      </w:r>
    </w:p>
    <w:p w:rsidR="00B65EAA" w:rsidRDefault="005A4718" w:rsidP="00E0029F">
      <w:pPr>
        <w:numPr>
          <w:ilvl w:val="0"/>
          <w:numId w:val="14"/>
        </w:numPr>
        <w:tabs>
          <w:tab w:val="left" w:pos="1134"/>
          <w:tab w:val="left" w:pos="1701"/>
        </w:tabs>
        <w:rPr>
          <w:lang w:val="fr-FR"/>
        </w:rPr>
      </w:pPr>
      <w:r>
        <w:rPr>
          <w:lang w:val="fr-FR"/>
        </w:rPr>
        <w:t>L</w:t>
      </w:r>
      <w:r w:rsidR="00B65EAA">
        <w:rPr>
          <w:lang w:val="fr-FR"/>
        </w:rPr>
        <w:t>a probabilité que l’accusé se présente ou non devant le tribunal pour ledit délit</w:t>
      </w:r>
      <w:r w:rsidR="00572260">
        <w:rPr>
          <w:lang w:val="fr-FR"/>
        </w:rPr>
        <w:t>;</w:t>
      </w:r>
    </w:p>
    <w:p w:rsidR="00B65EAA" w:rsidRDefault="005A4718" w:rsidP="00E0029F">
      <w:pPr>
        <w:numPr>
          <w:ilvl w:val="0"/>
          <w:numId w:val="14"/>
        </w:numPr>
        <w:tabs>
          <w:tab w:val="left" w:pos="1134"/>
          <w:tab w:val="left" w:pos="1701"/>
        </w:tabs>
        <w:rPr>
          <w:lang w:val="fr-FR"/>
        </w:rPr>
      </w:pPr>
      <w:r>
        <w:rPr>
          <w:lang w:val="fr-FR"/>
        </w:rPr>
        <w:t>L</w:t>
      </w:r>
      <w:r w:rsidR="00B65EAA">
        <w:rPr>
          <w:lang w:val="fr-FR"/>
        </w:rPr>
        <w:t>es intérêts de l’accusé (c’est-à-dire la période de détention provisoire susceptible de lui être imposée si la mise en liberté sous caution est refusée et les conditions de la détention</w:t>
      </w:r>
      <w:r w:rsidR="00572260">
        <w:rPr>
          <w:lang w:val="fr-FR"/>
        </w:rPr>
        <w:t>;</w:t>
      </w:r>
      <w:r w:rsidR="00B65EAA">
        <w:rPr>
          <w:lang w:val="fr-FR"/>
        </w:rPr>
        <w:t xml:space="preserve"> la nécessité qu’il soit libre pour préparer sa comparution et consulter un avocat, ou pour tout autre motif</w:t>
      </w:r>
      <w:r w:rsidR="00572260">
        <w:rPr>
          <w:lang w:val="fr-FR"/>
        </w:rPr>
        <w:t>;</w:t>
      </w:r>
      <w:r w:rsidR="00B65EAA">
        <w:rPr>
          <w:lang w:val="fr-FR"/>
        </w:rPr>
        <w:t xml:space="preserve"> s’il est handicapé ou a besoin de protection)</w:t>
      </w:r>
      <w:r w:rsidR="00572260">
        <w:rPr>
          <w:lang w:val="fr-FR"/>
        </w:rPr>
        <w:t>;</w:t>
      </w:r>
    </w:p>
    <w:p w:rsidR="00B65EAA" w:rsidRDefault="005A4718" w:rsidP="00E0029F">
      <w:pPr>
        <w:numPr>
          <w:ilvl w:val="0"/>
          <w:numId w:val="14"/>
        </w:numPr>
        <w:tabs>
          <w:tab w:val="left" w:pos="1134"/>
          <w:tab w:val="left" w:pos="1701"/>
        </w:tabs>
        <w:rPr>
          <w:lang w:val="fr-FR"/>
        </w:rPr>
      </w:pPr>
      <w:r>
        <w:rPr>
          <w:lang w:val="fr-FR"/>
        </w:rPr>
        <w:t>L</w:t>
      </w:r>
      <w:r w:rsidR="00B65EAA">
        <w:rPr>
          <w:lang w:val="fr-FR"/>
        </w:rPr>
        <w:t>a protection et le bien-être de la collectivité</w:t>
      </w:r>
      <w:r w:rsidR="00572260">
        <w:rPr>
          <w:lang w:val="fr-FR"/>
        </w:rPr>
        <w:t>;</w:t>
      </w:r>
      <w:r w:rsidR="00B65EAA">
        <w:rPr>
          <w:lang w:val="fr-FR"/>
        </w:rPr>
        <w:t xml:space="preserve"> et</w:t>
      </w:r>
    </w:p>
    <w:p w:rsidR="00B65EAA" w:rsidRPr="005A4718" w:rsidRDefault="005A4718" w:rsidP="00E0029F">
      <w:pPr>
        <w:numPr>
          <w:ilvl w:val="0"/>
          <w:numId w:val="14"/>
        </w:numPr>
        <w:tabs>
          <w:tab w:val="left" w:pos="1134"/>
          <w:tab w:val="left" w:pos="1701"/>
        </w:tabs>
        <w:rPr>
          <w:lang w:val="fr-FR"/>
        </w:rPr>
      </w:pPr>
      <w:r>
        <w:rPr>
          <w:lang w:val="fr-FR"/>
        </w:rPr>
        <w:t>D</w:t>
      </w:r>
      <w:r w:rsidR="004229F4">
        <w:rPr>
          <w:lang w:val="fr-FR"/>
        </w:rPr>
        <w:t xml:space="preserve">es considérations particulières concernant les violations d’ordonnances au titre de la </w:t>
      </w:r>
      <w:r w:rsidR="004229F4" w:rsidRPr="005A4718">
        <w:rPr>
          <w:lang w:val="fr-FR"/>
        </w:rPr>
        <w:t>loi sur les violences domestiques</w:t>
      </w:r>
      <w:r>
        <w:rPr>
          <w:lang w:val="fr-FR"/>
        </w:rPr>
        <w:t>.</w:t>
      </w:r>
    </w:p>
    <w:p w:rsidR="004229F4" w:rsidRDefault="004229F4" w:rsidP="005D7B68">
      <w:pPr>
        <w:tabs>
          <w:tab w:val="left" w:pos="567"/>
          <w:tab w:val="left" w:pos="1134"/>
          <w:tab w:val="left" w:pos="1701"/>
          <w:tab w:val="left" w:pos="2268"/>
        </w:tabs>
        <w:rPr>
          <w:lang w:val="fr-FR"/>
        </w:rPr>
      </w:pPr>
      <w:r>
        <w:rPr>
          <w:lang w:val="fr-FR"/>
        </w:rPr>
        <w:t>140.</w:t>
      </w:r>
      <w:r>
        <w:rPr>
          <w:lang w:val="fr-FR"/>
        </w:rPr>
        <w:tab/>
        <w:t>Un prévenu qui n’</w:t>
      </w:r>
      <w:r w:rsidR="00801C35">
        <w:rPr>
          <w:lang w:val="fr-FR"/>
        </w:rPr>
        <w:t>a pas droit à</w:t>
      </w:r>
      <w:r>
        <w:rPr>
          <w:lang w:val="fr-FR"/>
        </w:rPr>
        <w:t xml:space="preserve"> une mise en liberté sous caution au titre de l’article 8 de la loi peut néanmoins l’obtenir (art. 12).</w:t>
      </w:r>
    </w:p>
    <w:p w:rsidR="004229F4" w:rsidRDefault="004229F4" w:rsidP="005D7B68">
      <w:pPr>
        <w:tabs>
          <w:tab w:val="left" w:pos="567"/>
          <w:tab w:val="left" w:pos="1134"/>
          <w:tab w:val="left" w:pos="1701"/>
          <w:tab w:val="left" w:pos="2268"/>
        </w:tabs>
        <w:rPr>
          <w:lang w:val="fr-FR"/>
        </w:rPr>
      </w:pPr>
      <w:r>
        <w:rPr>
          <w:lang w:val="fr-FR"/>
        </w:rPr>
        <w:t>141.</w:t>
      </w:r>
      <w:r>
        <w:rPr>
          <w:lang w:val="fr-FR"/>
        </w:rPr>
        <w:tab/>
        <w:t>En ce qui concerne la libération sous caution accordée par la police</w:t>
      </w:r>
      <w:r w:rsidR="00572260">
        <w:rPr>
          <w:lang w:val="fr-FR"/>
        </w:rPr>
        <w:t>:</w:t>
      </w:r>
    </w:p>
    <w:p w:rsidR="00B96219" w:rsidRDefault="00AA63ED" w:rsidP="00E0029F">
      <w:pPr>
        <w:numPr>
          <w:ilvl w:val="0"/>
          <w:numId w:val="15"/>
        </w:numPr>
        <w:tabs>
          <w:tab w:val="left" w:pos="1134"/>
          <w:tab w:val="left" w:pos="1701"/>
        </w:tabs>
        <w:rPr>
          <w:lang w:val="fr-FR"/>
        </w:rPr>
      </w:pPr>
      <w:r>
        <w:rPr>
          <w:lang w:val="fr-FR"/>
        </w:rPr>
        <w:t>En</w:t>
      </w:r>
      <w:r w:rsidR="004229F4">
        <w:rPr>
          <w:lang w:val="fr-FR"/>
        </w:rPr>
        <w:t xml:space="preserve"> vertu</w:t>
      </w:r>
      <w:r w:rsidR="00F47B6D">
        <w:rPr>
          <w:lang w:val="fr-FR"/>
        </w:rPr>
        <w:t xml:space="preserve"> de</w:t>
      </w:r>
      <w:r w:rsidR="004229F4">
        <w:rPr>
          <w:lang w:val="fr-FR"/>
        </w:rPr>
        <w:t xml:space="preserve"> la loi sur la libération sous caution, le fonctionnaire de police agréé est tenu de déterminer </w:t>
      </w:r>
      <w:r w:rsidR="00801C35">
        <w:rPr>
          <w:lang w:val="fr-FR"/>
        </w:rPr>
        <w:t>s’il convient ou non d’accorder une mise en liberté sous caution dans les quatre heures qui suivent l’inculpation</w:t>
      </w:r>
      <w:r w:rsidR="004229F4">
        <w:rPr>
          <w:lang w:val="fr-FR"/>
        </w:rPr>
        <w:t xml:space="preserve"> </w:t>
      </w:r>
      <w:r w:rsidR="00801C35">
        <w:rPr>
          <w:lang w:val="fr-FR"/>
        </w:rPr>
        <w:t xml:space="preserve">(art. 33 3)), sans quoi l’intéressé peut la solliciter de la part d’un juge ou d’un </w:t>
      </w:r>
      <w:r w:rsidR="00A757C0">
        <w:rPr>
          <w:i/>
          <w:iCs/>
          <w:lang w:val="fr-FR"/>
        </w:rPr>
        <w:t>magistrate</w:t>
      </w:r>
      <w:r w:rsidR="00A757C0">
        <w:rPr>
          <w:lang w:val="fr-FR"/>
        </w:rPr>
        <w:t>;</w:t>
      </w:r>
    </w:p>
    <w:p w:rsidR="00801C35" w:rsidRDefault="00801C35" w:rsidP="00E0029F">
      <w:pPr>
        <w:numPr>
          <w:ilvl w:val="0"/>
          <w:numId w:val="15"/>
        </w:numPr>
        <w:tabs>
          <w:tab w:val="left" w:pos="1134"/>
          <w:tab w:val="left" w:pos="1701"/>
        </w:tabs>
        <w:rPr>
          <w:lang w:val="fr-FR"/>
        </w:rPr>
      </w:pPr>
      <w:r>
        <w:rPr>
          <w:lang w:val="fr-FR"/>
        </w:rPr>
        <w:t>L’article 33 oblige également le fonctionnaire de police habilité à faire en sorte que</w:t>
      </w:r>
      <w:r w:rsidR="00572260">
        <w:rPr>
          <w:lang w:val="fr-FR"/>
        </w:rPr>
        <w:t>:</w:t>
      </w:r>
    </w:p>
    <w:p w:rsidR="00801C35" w:rsidRDefault="00AA63ED" w:rsidP="00B96219">
      <w:pPr>
        <w:numPr>
          <w:ilvl w:val="1"/>
          <w:numId w:val="15"/>
        </w:numPr>
        <w:tabs>
          <w:tab w:val="left" w:pos="567"/>
          <w:tab w:val="left" w:pos="1134"/>
          <w:tab w:val="left" w:pos="1701"/>
          <w:tab w:val="left" w:pos="2268"/>
        </w:tabs>
        <w:rPr>
          <w:lang w:val="fr-FR"/>
        </w:rPr>
      </w:pPr>
      <w:r>
        <w:rPr>
          <w:lang w:val="fr-FR"/>
        </w:rPr>
        <w:t>L</w:t>
      </w:r>
      <w:r w:rsidR="00801C35">
        <w:rPr>
          <w:lang w:val="fr-FR"/>
        </w:rPr>
        <w:t>a personne inculpée soit informée de sa détermination d’accorder ou de refuser la mise en liberté sous caution dans les meilleurs délais après la prise de décision</w:t>
      </w:r>
      <w:r w:rsidR="00572260">
        <w:rPr>
          <w:lang w:val="fr-FR"/>
        </w:rPr>
        <w:t>;</w:t>
      </w:r>
    </w:p>
    <w:p w:rsidR="00CE7230" w:rsidRDefault="00AA63ED" w:rsidP="00B96219">
      <w:pPr>
        <w:numPr>
          <w:ilvl w:val="1"/>
          <w:numId w:val="15"/>
        </w:numPr>
        <w:tabs>
          <w:tab w:val="left" w:pos="567"/>
          <w:tab w:val="left" w:pos="1134"/>
          <w:tab w:val="left" w:pos="1701"/>
          <w:tab w:val="left" w:pos="2268"/>
        </w:tabs>
        <w:rPr>
          <w:lang w:val="fr-FR"/>
        </w:rPr>
      </w:pPr>
      <w:r>
        <w:rPr>
          <w:lang w:val="fr-FR"/>
        </w:rPr>
        <w:t>L</w:t>
      </w:r>
      <w:r w:rsidR="00801C35">
        <w:rPr>
          <w:lang w:val="fr-FR"/>
        </w:rPr>
        <w:t>a personne incul</w:t>
      </w:r>
      <w:r w:rsidR="002174B8">
        <w:rPr>
          <w:lang w:val="fr-FR"/>
        </w:rPr>
        <w:t>pée soit informée de son droit de</w:t>
      </w:r>
      <w:r w:rsidR="00801C35">
        <w:rPr>
          <w:lang w:val="fr-FR"/>
        </w:rPr>
        <w:t xml:space="preserve"> solliciter </w:t>
      </w:r>
      <w:r w:rsidR="00801C35" w:rsidRPr="00801C35">
        <w:rPr>
          <w:lang w:val="fr-FR"/>
        </w:rPr>
        <w:t>auprès</w:t>
      </w:r>
      <w:r w:rsidR="00801C35">
        <w:rPr>
          <w:lang w:val="fr-FR"/>
        </w:rPr>
        <w:t xml:space="preserve"> d’un </w:t>
      </w:r>
      <w:r w:rsidR="00801C35">
        <w:rPr>
          <w:i/>
          <w:iCs/>
          <w:lang w:val="fr-FR"/>
        </w:rPr>
        <w:t>magistrate</w:t>
      </w:r>
      <w:r w:rsidR="00801C35">
        <w:rPr>
          <w:lang w:val="fr-FR"/>
        </w:rPr>
        <w:t xml:space="preserve"> ou d’un juge</w:t>
      </w:r>
      <w:r w:rsidR="00CE7230">
        <w:rPr>
          <w:lang w:val="fr-FR"/>
        </w:rPr>
        <w:t xml:space="preserve"> l’examen de cette décision si la libération sous caution est refusée ou accordée en étant assortie de conditions qu’elle</w:t>
      </w:r>
      <w:r>
        <w:rPr>
          <w:lang w:val="fr-FR"/>
        </w:rPr>
        <w:t xml:space="preserve"> ne peut ou ne veut pas</w:t>
      </w:r>
      <w:r w:rsidR="00A87284">
        <w:rPr>
          <w:lang w:val="fr-FR"/>
        </w:rPr>
        <w:t xml:space="preserve"> respecter</w:t>
      </w:r>
      <w:r w:rsidR="00572260">
        <w:rPr>
          <w:lang w:val="fr-FR"/>
        </w:rPr>
        <w:t>;</w:t>
      </w:r>
      <w:r w:rsidR="00A87284">
        <w:rPr>
          <w:lang w:val="fr-FR"/>
        </w:rPr>
        <w:t xml:space="preserve"> </w:t>
      </w:r>
      <w:r w:rsidR="00CE7230">
        <w:rPr>
          <w:lang w:val="fr-FR"/>
        </w:rPr>
        <w:t>et</w:t>
      </w:r>
      <w:r w:rsidR="00801C35">
        <w:rPr>
          <w:lang w:val="fr-FR"/>
        </w:rPr>
        <w:t xml:space="preserve"> </w:t>
      </w:r>
    </w:p>
    <w:p w:rsidR="00801C35" w:rsidRPr="00801C35" w:rsidRDefault="00AA63ED" w:rsidP="00B96219">
      <w:pPr>
        <w:numPr>
          <w:ilvl w:val="1"/>
          <w:numId w:val="15"/>
        </w:numPr>
        <w:tabs>
          <w:tab w:val="left" w:pos="567"/>
          <w:tab w:val="left" w:pos="1134"/>
          <w:tab w:val="left" w:pos="1701"/>
          <w:tab w:val="left" w:pos="2268"/>
        </w:tabs>
        <w:rPr>
          <w:lang w:val="fr-FR"/>
        </w:rPr>
      </w:pPr>
      <w:r>
        <w:rPr>
          <w:lang w:val="fr-FR"/>
        </w:rPr>
        <w:t>L</w:t>
      </w:r>
      <w:r w:rsidR="00CE7230">
        <w:rPr>
          <w:lang w:val="fr-FR"/>
        </w:rPr>
        <w:t xml:space="preserve">a personne inculpée puisse, dans la mesure du possible, communiquer avec un avocat ou toute autre personne en vue de demander un examen de son cas à un </w:t>
      </w:r>
      <w:r w:rsidR="00CE7230">
        <w:rPr>
          <w:i/>
          <w:iCs/>
          <w:lang w:val="fr-FR"/>
        </w:rPr>
        <w:t>magistrate</w:t>
      </w:r>
      <w:r w:rsidR="00CE7230">
        <w:rPr>
          <w:lang w:val="fr-FR"/>
        </w:rPr>
        <w:t xml:space="preserve"> ou un juge</w:t>
      </w:r>
      <w:r w:rsidR="008D6B80">
        <w:rPr>
          <w:lang w:val="fr-FR"/>
        </w:rPr>
        <w:t xml:space="preserve">. </w:t>
      </w:r>
    </w:p>
    <w:p w:rsidR="003F3392" w:rsidRDefault="00CE7230" w:rsidP="00E0029F">
      <w:pPr>
        <w:numPr>
          <w:ilvl w:val="0"/>
          <w:numId w:val="15"/>
        </w:numPr>
        <w:tabs>
          <w:tab w:val="left" w:pos="1134"/>
          <w:tab w:val="left" w:pos="1701"/>
        </w:tabs>
        <w:rPr>
          <w:lang w:val="fr-FR"/>
        </w:rPr>
      </w:pPr>
      <w:r>
        <w:rPr>
          <w:lang w:val="fr-FR"/>
        </w:rPr>
        <w:t xml:space="preserve">Si un inculpé indique à un fonctionnaire de police qu’il souhaite solliciter auprès d’un </w:t>
      </w:r>
      <w:r>
        <w:rPr>
          <w:i/>
          <w:iCs/>
          <w:lang w:val="fr-FR"/>
        </w:rPr>
        <w:t>magistrat</w:t>
      </w:r>
      <w:r w:rsidR="00A87284">
        <w:rPr>
          <w:i/>
          <w:iCs/>
          <w:lang w:val="fr-FR"/>
        </w:rPr>
        <w:t>e</w:t>
      </w:r>
      <w:r>
        <w:rPr>
          <w:i/>
          <w:iCs/>
          <w:lang w:val="fr-FR"/>
        </w:rPr>
        <w:t xml:space="preserve"> </w:t>
      </w:r>
      <w:r>
        <w:rPr>
          <w:lang w:val="fr-FR"/>
        </w:rPr>
        <w:t xml:space="preserve">ou d’un juge le réexamen de la décision relative à sa demande de mise en liberté sous caution ou de déposer cette demande, </w:t>
      </w:r>
      <w:r w:rsidR="00584EB9">
        <w:rPr>
          <w:lang w:val="fr-FR"/>
        </w:rPr>
        <w:t xml:space="preserve">le fonctionnaire de police est tenu, dans les meilleurs délais, de faire en sorte que cette personne soit déférée devant un </w:t>
      </w:r>
      <w:r w:rsidR="00584EB9">
        <w:rPr>
          <w:i/>
          <w:iCs/>
          <w:lang w:val="fr-FR"/>
        </w:rPr>
        <w:t>magistrat</w:t>
      </w:r>
      <w:r w:rsidR="00227FDA">
        <w:rPr>
          <w:i/>
          <w:iCs/>
          <w:lang w:val="fr-FR"/>
        </w:rPr>
        <w:t>e</w:t>
      </w:r>
      <w:r w:rsidR="00584EB9">
        <w:rPr>
          <w:i/>
          <w:iCs/>
          <w:lang w:val="fr-FR"/>
        </w:rPr>
        <w:t xml:space="preserve"> </w:t>
      </w:r>
      <w:r w:rsidR="00584EB9">
        <w:rPr>
          <w:lang w:val="fr-FR"/>
        </w:rPr>
        <w:t>ou un juge, ou qu’elle fasse sa demande par d’autres moyens de communication (par exemple le</w:t>
      </w:r>
      <w:r w:rsidR="00AA63ED">
        <w:rPr>
          <w:lang w:val="fr-FR"/>
        </w:rPr>
        <w:t xml:space="preserve"> téléphone ou la radio, etc.) (</w:t>
      </w:r>
      <w:r w:rsidR="00584EB9">
        <w:rPr>
          <w:lang w:val="fr-FR"/>
        </w:rPr>
        <w:t>art. 33 4</w:t>
      </w:r>
      <w:r w:rsidR="00AA63ED">
        <w:rPr>
          <w:lang w:val="fr-FR"/>
        </w:rPr>
        <w:t>)</w:t>
      </w:r>
      <w:r w:rsidR="00584EB9">
        <w:rPr>
          <w:lang w:val="fr-FR"/>
        </w:rPr>
        <w:t>).</w:t>
      </w:r>
    </w:p>
    <w:p w:rsidR="00584EB9" w:rsidRDefault="00584EB9" w:rsidP="005D7B68">
      <w:pPr>
        <w:tabs>
          <w:tab w:val="left" w:pos="567"/>
          <w:tab w:val="left" w:pos="1134"/>
          <w:tab w:val="left" w:pos="1701"/>
          <w:tab w:val="left" w:pos="2268"/>
        </w:tabs>
        <w:rPr>
          <w:b/>
          <w:bCs/>
          <w:lang w:val="fr-FR"/>
        </w:rPr>
      </w:pPr>
      <w:r>
        <w:rPr>
          <w:b/>
          <w:bCs/>
          <w:lang w:val="fr-FR"/>
        </w:rPr>
        <w:t>Question 4</w:t>
      </w:r>
    </w:p>
    <w:p w:rsidR="00584EB9" w:rsidRPr="00B47D37" w:rsidRDefault="00B47D37" w:rsidP="005D7B68">
      <w:pPr>
        <w:tabs>
          <w:tab w:val="left" w:pos="567"/>
          <w:tab w:val="left" w:pos="1134"/>
          <w:tab w:val="left" w:pos="1701"/>
          <w:tab w:val="left" w:pos="2268"/>
        </w:tabs>
        <w:ind w:firstLine="708"/>
        <w:rPr>
          <w:b/>
          <w:bCs/>
          <w:lang w:val="fr-FR"/>
        </w:rPr>
      </w:pPr>
      <w:r w:rsidRPr="00B47D37">
        <w:rPr>
          <w:b/>
          <w:bCs/>
          <w:lang w:val="fr-FR"/>
        </w:rPr>
        <w:t>Décrire les mesures qui ont été prises, le cas échéant, afin d’empêcher que les femmes ne soient victimes de mauvais traitements dans les lieux de détention. L’État partie surveille</w:t>
      </w:r>
      <w:r w:rsidRPr="00B47D37">
        <w:rPr>
          <w:b/>
          <w:bCs/>
          <w:lang w:val="fr-FR"/>
        </w:rPr>
        <w:noBreakHyphen/>
        <w:t>t</w:t>
      </w:r>
      <w:r w:rsidRPr="00B47D37">
        <w:rPr>
          <w:b/>
          <w:bCs/>
          <w:lang w:val="fr-FR"/>
        </w:rPr>
        <w:noBreakHyphen/>
        <w:t>il la violence sexuelle dans les lieux de détention et, dans l’affirmative, avec quel résultat? Fournir des données statistiques sur le nombre de plaintes pour violences sexuelles qui ont été reçues et qui ont fait l’objet d’une enquête au cours de la période considérée ainsi que sur le nombre de poursuites engagées et de condamnations prononcées.</w:t>
      </w:r>
    </w:p>
    <w:p w:rsidR="003F3392" w:rsidRDefault="00B47D37" w:rsidP="005D7B68">
      <w:pPr>
        <w:tabs>
          <w:tab w:val="left" w:pos="567"/>
          <w:tab w:val="left" w:pos="1134"/>
          <w:tab w:val="left" w:pos="1701"/>
          <w:tab w:val="left" w:pos="2268"/>
        </w:tabs>
        <w:rPr>
          <w:lang w:val="fr-FR"/>
        </w:rPr>
      </w:pPr>
      <w:r>
        <w:rPr>
          <w:lang w:val="fr-FR"/>
        </w:rPr>
        <w:t>142.</w:t>
      </w:r>
      <w:r>
        <w:rPr>
          <w:lang w:val="fr-FR"/>
        </w:rPr>
        <w:tab/>
        <w:t>Dans chaque juridiction australienne existent des mécanismes permettant de faire en sorte que les femmes placées en détention soient protégées contre les violences sexuelles et les mauvais traitements</w:t>
      </w:r>
      <w:r w:rsidR="00572260">
        <w:rPr>
          <w:lang w:val="fr-FR"/>
        </w:rPr>
        <w:t>;</w:t>
      </w:r>
      <w:r>
        <w:rPr>
          <w:lang w:val="fr-FR"/>
        </w:rPr>
        <w:t xml:space="preserve"> des mécanismes ont été mis en place pour le dépôt des plaintes et des mesures nécessaires ont été prises </w:t>
      </w:r>
      <w:r w:rsidR="006F1BEA">
        <w:rPr>
          <w:lang w:val="fr-FR"/>
        </w:rPr>
        <w:t>pour permettre de faire face aux principaux problèmes auxquels les femmes sont confrontées, y compris la mise à disposition d’une gamme de procédures de suivi</w:t>
      </w:r>
      <w:r w:rsidR="008D6B80">
        <w:rPr>
          <w:lang w:val="fr-FR"/>
        </w:rPr>
        <w:t xml:space="preserve">. </w:t>
      </w:r>
      <w:r w:rsidR="006F1BEA">
        <w:rPr>
          <w:lang w:val="fr-FR"/>
        </w:rPr>
        <w:t>La première partie des mesures présentées ci-dessous concerne la prévention des mauvais traitements infligés aux femmes détenues dans le cadre des contrôles d’immigration</w:t>
      </w:r>
      <w:r w:rsidR="00621F8F">
        <w:rPr>
          <w:lang w:val="fr-FR"/>
        </w:rPr>
        <w:t xml:space="preserve"> du Commonwealth</w:t>
      </w:r>
      <w:r w:rsidR="008D6B80">
        <w:rPr>
          <w:lang w:val="fr-FR"/>
        </w:rPr>
        <w:t xml:space="preserve">. </w:t>
      </w:r>
      <w:r w:rsidR="00621F8F">
        <w:rPr>
          <w:lang w:val="fr-FR"/>
        </w:rPr>
        <w:t>Les informations relatives aux mesures prises dans d’autres lieux de détention, comme les prisons, sont fournies</w:t>
      </w:r>
      <w:r w:rsidR="00A757C0">
        <w:rPr>
          <w:lang w:val="fr-FR"/>
        </w:rPr>
        <w:t xml:space="preserve"> ci-après par les États et les t</w:t>
      </w:r>
      <w:r w:rsidR="00621F8F">
        <w:rPr>
          <w:lang w:val="fr-FR"/>
        </w:rPr>
        <w:t xml:space="preserve">erritoires. </w:t>
      </w:r>
    </w:p>
    <w:p w:rsidR="003F3392" w:rsidRDefault="00621F8F" w:rsidP="00B96219">
      <w:pPr>
        <w:keepNext/>
        <w:keepLines/>
        <w:tabs>
          <w:tab w:val="left" w:pos="567"/>
          <w:tab w:val="left" w:pos="1134"/>
          <w:tab w:val="left" w:pos="1701"/>
          <w:tab w:val="left" w:pos="2268"/>
        </w:tabs>
        <w:rPr>
          <w:b/>
          <w:bCs/>
          <w:lang w:val="fr-FR"/>
        </w:rPr>
      </w:pPr>
      <w:r>
        <w:rPr>
          <w:b/>
          <w:bCs/>
          <w:lang w:val="fr-FR"/>
        </w:rPr>
        <w:t>Informations du Gouvernement du Commonwealth</w:t>
      </w:r>
    </w:p>
    <w:p w:rsidR="00621F8F" w:rsidRDefault="0011457B" w:rsidP="00B96219">
      <w:pPr>
        <w:keepNext/>
        <w:keepLines/>
        <w:tabs>
          <w:tab w:val="left" w:pos="567"/>
          <w:tab w:val="left" w:pos="1134"/>
          <w:tab w:val="left" w:pos="1701"/>
          <w:tab w:val="left" w:pos="2268"/>
        </w:tabs>
        <w:rPr>
          <w:b/>
          <w:bCs/>
          <w:lang w:val="fr-FR"/>
        </w:rPr>
      </w:pPr>
      <w:r>
        <w:rPr>
          <w:b/>
          <w:bCs/>
          <w:lang w:val="fr-FR"/>
        </w:rPr>
        <w:t>Rétention des immigrants</w:t>
      </w:r>
    </w:p>
    <w:p w:rsidR="00B8341C" w:rsidRDefault="00B20BB7" w:rsidP="005D7B68">
      <w:pPr>
        <w:tabs>
          <w:tab w:val="left" w:pos="567"/>
          <w:tab w:val="left" w:pos="1134"/>
          <w:tab w:val="left" w:pos="1701"/>
          <w:tab w:val="left" w:pos="2268"/>
        </w:tabs>
        <w:rPr>
          <w:lang w:val="fr-FR"/>
        </w:rPr>
      </w:pPr>
      <w:r>
        <w:rPr>
          <w:lang w:val="fr-FR"/>
        </w:rPr>
        <w:t>143</w:t>
      </w:r>
      <w:r w:rsidR="00621F8F">
        <w:rPr>
          <w:lang w:val="fr-FR"/>
        </w:rPr>
        <w:t>.</w:t>
      </w:r>
      <w:r w:rsidR="00621F8F">
        <w:rPr>
          <w:lang w:val="fr-FR"/>
        </w:rPr>
        <w:tab/>
        <w:t>On veille soigneusement à faire en sort</w:t>
      </w:r>
      <w:r w:rsidR="00227FDA">
        <w:rPr>
          <w:lang w:val="fr-FR"/>
        </w:rPr>
        <w:t>e que les immigrants placés en r</w:t>
      </w:r>
      <w:r w:rsidR="00621F8F">
        <w:rPr>
          <w:lang w:val="fr-FR"/>
        </w:rPr>
        <w:t>étention</w:t>
      </w:r>
      <w:r w:rsidR="00AA63ED">
        <w:rPr>
          <w:lang w:val="fr-FR"/>
        </w:rPr>
        <w:t xml:space="preserve"> soient traité</w:t>
      </w:r>
      <w:r w:rsidR="00621F8F">
        <w:rPr>
          <w:lang w:val="fr-FR"/>
        </w:rPr>
        <w:t>s avec resp</w:t>
      </w:r>
      <w:r w:rsidR="00AA63ED">
        <w:rPr>
          <w:lang w:val="fr-FR"/>
        </w:rPr>
        <w:t>ect et dignité et soient détenu</w:t>
      </w:r>
      <w:r w:rsidR="00621F8F">
        <w:rPr>
          <w:lang w:val="fr-FR"/>
        </w:rPr>
        <w:t>s dans des conditions de sûreté et de sécurité, tout en bénéficiant de services essentiels et culturellement appr</w:t>
      </w:r>
      <w:r w:rsidR="00AA63ED">
        <w:rPr>
          <w:lang w:val="fr-FR"/>
        </w:rPr>
        <w:t>opriés</w:t>
      </w:r>
      <w:r w:rsidR="008D6B80">
        <w:rPr>
          <w:lang w:val="fr-FR"/>
        </w:rPr>
        <w:t xml:space="preserve">. </w:t>
      </w:r>
      <w:r w:rsidR="00AA63ED">
        <w:rPr>
          <w:lang w:val="fr-FR"/>
        </w:rPr>
        <w:t>Les établissements de rétention</w:t>
      </w:r>
      <w:r w:rsidR="00621F8F">
        <w:rPr>
          <w:lang w:val="fr-FR"/>
        </w:rPr>
        <w:t xml:space="preserve"> sont gérés d’une manière correspondant au fait qu’il s’agit d’une mesure administ</w:t>
      </w:r>
      <w:r w:rsidR="000717A9">
        <w:rPr>
          <w:lang w:val="fr-FR"/>
        </w:rPr>
        <w:t>rative et non correctionnelle ni</w:t>
      </w:r>
      <w:r w:rsidR="00621F8F">
        <w:rPr>
          <w:lang w:val="fr-FR"/>
        </w:rPr>
        <w:t xml:space="preserve"> punitive.</w:t>
      </w:r>
    </w:p>
    <w:p w:rsidR="00621F8F" w:rsidRDefault="00B20BB7" w:rsidP="005D7B68">
      <w:pPr>
        <w:tabs>
          <w:tab w:val="left" w:pos="567"/>
          <w:tab w:val="left" w:pos="1134"/>
          <w:tab w:val="left" w:pos="1701"/>
          <w:tab w:val="left" w:pos="2268"/>
        </w:tabs>
        <w:rPr>
          <w:lang w:val="fr-FR"/>
        </w:rPr>
      </w:pPr>
      <w:r>
        <w:rPr>
          <w:lang w:val="fr-FR"/>
        </w:rPr>
        <w:t>144</w:t>
      </w:r>
      <w:r w:rsidR="00B8341C">
        <w:rPr>
          <w:lang w:val="fr-FR"/>
        </w:rPr>
        <w:t>.</w:t>
      </w:r>
      <w:r w:rsidR="00B8341C">
        <w:rPr>
          <w:lang w:val="fr-FR"/>
        </w:rPr>
        <w:tab/>
        <w:t>La politique présidant à la protection d</w:t>
      </w:r>
      <w:r w:rsidR="00C21457">
        <w:rPr>
          <w:lang w:val="fr-FR"/>
        </w:rPr>
        <w:t>es femmes placées en rétention</w:t>
      </w:r>
      <w:r w:rsidR="00B8341C">
        <w:rPr>
          <w:lang w:val="fr-FR"/>
        </w:rPr>
        <w:t xml:space="preserve"> est incorporée dans les normes relat</w:t>
      </w:r>
      <w:r w:rsidR="007B558D">
        <w:rPr>
          <w:lang w:val="fr-FR"/>
        </w:rPr>
        <w:t>ives à la rétention des immigrants</w:t>
      </w:r>
      <w:r w:rsidR="00B8341C">
        <w:rPr>
          <w:lang w:val="fr-FR"/>
        </w:rPr>
        <w:t xml:space="preserve"> élaborées en concertation avec le bureau du Médiateur fédéral et la Commission des droits de l’homme et de l’égalité des chances</w:t>
      </w:r>
      <w:r w:rsidR="008D6B80">
        <w:rPr>
          <w:lang w:val="fr-FR"/>
        </w:rPr>
        <w:t xml:space="preserve">. </w:t>
      </w:r>
      <w:r w:rsidR="00B8341C">
        <w:rPr>
          <w:lang w:val="fr-FR"/>
        </w:rPr>
        <w:t xml:space="preserve">Ces normes font partie du contrat passé avec la société </w:t>
      </w:r>
      <w:r w:rsidR="00B8341C" w:rsidRPr="00C21457">
        <w:rPr>
          <w:i/>
          <w:iCs/>
          <w:lang w:val="fr-FR"/>
        </w:rPr>
        <w:t>Global Solutions Limited</w:t>
      </w:r>
      <w:r w:rsidR="00B8341C">
        <w:rPr>
          <w:lang w:val="fr-FR"/>
        </w:rPr>
        <w:t>, qui</w:t>
      </w:r>
      <w:r w:rsidR="00621F8F">
        <w:rPr>
          <w:lang w:val="fr-FR"/>
        </w:rPr>
        <w:t xml:space="preserve"> </w:t>
      </w:r>
      <w:r w:rsidR="00B8341C">
        <w:rPr>
          <w:lang w:val="fr-FR"/>
        </w:rPr>
        <w:t>gère les établissements australien</w:t>
      </w:r>
      <w:r w:rsidR="007B558D">
        <w:rPr>
          <w:lang w:val="fr-FR"/>
        </w:rPr>
        <w:t>s</w:t>
      </w:r>
      <w:r w:rsidR="00B8341C">
        <w:rPr>
          <w:lang w:val="fr-FR"/>
        </w:rPr>
        <w:t xml:space="preserve"> de rétention des immigrants</w:t>
      </w:r>
      <w:r w:rsidR="008D6B80">
        <w:rPr>
          <w:lang w:val="fr-FR"/>
        </w:rPr>
        <w:t xml:space="preserve">. </w:t>
      </w:r>
      <w:r w:rsidR="007B558D">
        <w:rPr>
          <w:lang w:val="fr-FR"/>
        </w:rPr>
        <w:t>Ces normes insistent fortement sur la nécessité de traiter les personnes placées dans ces établissements de manière appropriée et en étant sensible à leurs besoins.</w:t>
      </w:r>
    </w:p>
    <w:p w:rsidR="007B558D" w:rsidRPr="002172FE" w:rsidRDefault="00B20BB7" w:rsidP="005D7B68">
      <w:pPr>
        <w:tabs>
          <w:tab w:val="left" w:pos="567"/>
          <w:tab w:val="left" w:pos="1134"/>
          <w:tab w:val="left" w:pos="1701"/>
          <w:tab w:val="left" w:pos="2268"/>
        </w:tabs>
        <w:rPr>
          <w:lang w:val="fr-FR"/>
        </w:rPr>
      </w:pPr>
      <w:r>
        <w:rPr>
          <w:lang w:val="fr-FR"/>
        </w:rPr>
        <w:t>145</w:t>
      </w:r>
      <w:r w:rsidR="007B558D">
        <w:rPr>
          <w:lang w:val="fr-FR"/>
        </w:rPr>
        <w:t>.</w:t>
      </w:r>
      <w:r w:rsidR="007B558D">
        <w:rPr>
          <w:lang w:val="fr-FR"/>
        </w:rPr>
        <w:tab/>
        <w:t xml:space="preserve">Le paragraphe 6.8 de ce document propose une norme et </w:t>
      </w:r>
      <w:r w:rsidR="000A5D83" w:rsidRPr="000A5D83">
        <w:rPr>
          <w:lang w:val="fr-FR"/>
        </w:rPr>
        <w:t>des critères d’évaluation des résultats en ce qui concerne les</w:t>
      </w:r>
      <w:r w:rsidR="002172FE" w:rsidRPr="000A5D83">
        <w:rPr>
          <w:lang w:val="fr-FR"/>
        </w:rPr>
        <w:t xml:space="preserve"> agressions, y compris les agression</w:t>
      </w:r>
      <w:r w:rsidR="002172FE">
        <w:rPr>
          <w:lang w:val="fr-FR"/>
        </w:rPr>
        <w:t>s sexuelles</w:t>
      </w:r>
      <w:r w:rsidR="008D6B80">
        <w:rPr>
          <w:lang w:val="fr-FR"/>
        </w:rPr>
        <w:t xml:space="preserve">. </w:t>
      </w:r>
      <w:r w:rsidR="002172FE">
        <w:rPr>
          <w:lang w:val="fr-FR"/>
        </w:rPr>
        <w:t>Les personnes placées dans les établissements de rétention des immigrants et le personnel sont informés sur la loi relative aux agressions, y compris les agressions sexuelles, sur les conséquences des infractions à cette loi, et sur les moyens de faire connaître les allégations d’agression</w:t>
      </w:r>
      <w:r w:rsidR="008D6B80">
        <w:rPr>
          <w:lang w:val="fr-FR"/>
        </w:rPr>
        <w:t xml:space="preserve">. </w:t>
      </w:r>
      <w:r w:rsidR="000A5D83">
        <w:rPr>
          <w:lang w:val="fr-FR"/>
        </w:rPr>
        <w:t>Le prestataire de services de r</w:t>
      </w:r>
      <w:r w:rsidR="003B4ABF">
        <w:rPr>
          <w:lang w:val="fr-FR"/>
        </w:rPr>
        <w:t xml:space="preserve">étention doit faire parvenir sans délai toutes les allégations ou soupçons raisonnables d’agression, y compris d’agressions sexuelles, au </w:t>
      </w:r>
      <w:r w:rsidR="008433AD">
        <w:rPr>
          <w:lang w:val="fr-FR"/>
        </w:rPr>
        <w:t>Minist</w:t>
      </w:r>
      <w:r w:rsidR="000A5D83">
        <w:rPr>
          <w:lang w:val="fr-FR"/>
        </w:rPr>
        <w:t>ère de l’immigration et de la ci</w:t>
      </w:r>
      <w:r w:rsidR="008433AD">
        <w:rPr>
          <w:lang w:val="fr-FR"/>
        </w:rPr>
        <w:t>toyenneté</w:t>
      </w:r>
      <w:r w:rsidR="003B4ABF">
        <w:rPr>
          <w:lang w:val="fr-FR"/>
        </w:rPr>
        <w:t xml:space="preserve"> et aux autorités appropriées, dont la police et les services publics de protection de l’enfance, le cas échéant, pour enquête</w:t>
      </w:r>
      <w:r w:rsidR="008D6B80">
        <w:rPr>
          <w:lang w:val="fr-FR"/>
        </w:rPr>
        <w:t xml:space="preserve">. </w:t>
      </w:r>
      <w:r w:rsidR="000C6451">
        <w:rPr>
          <w:lang w:val="fr-FR"/>
        </w:rPr>
        <w:t xml:space="preserve">Si les faits sur lesquels portent les allégations sont avérés, les coupables peuvent être inculpés et poursuivis conformément aux </w:t>
      </w:r>
      <w:r w:rsidR="000A5D83">
        <w:rPr>
          <w:lang w:val="fr-FR"/>
        </w:rPr>
        <w:t>dispositions de la loi applicable</w:t>
      </w:r>
      <w:r w:rsidR="000C6451">
        <w:rPr>
          <w:lang w:val="fr-FR"/>
        </w:rPr>
        <w:t>.</w:t>
      </w:r>
    </w:p>
    <w:p w:rsidR="003F3392" w:rsidRDefault="00B20BB7" w:rsidP="005D7B68">
      <w:pPr>
        <w:tabs>
          <w:tab w:val="left" w:pos="567"/>
          <w:tab w:val="left" w:pos="1134"/>
          <w:tab w:val="left" w:pos="1701"/>
          <w:tab w:val="left" w:pos="2268"/>
        </w:tabs>
        <w:rPr>
          <w:lang w:val="fr-FR"/>
        </w:rPr>
      </w:pPr>
      <w:r>
        <w:rPr>
          <w:lang w:val="fr-FR"/>
        </w:rPr>
        <w:t>146</w:t>
      </w:r>
      <w:r w:rsidR="000C6451">
        <w:rPr>
          <w:lang w:val="fr-FR"/>
        </w:rPr>
        <w:t>.</w:t>
      </w:r>
      <w:r w:rsidR="000C6451">
        <w:rPr>
          <w:lang w:val="fr-FR"/>
        </w:rPr>
        <w:tab/>
        <w:t>L’expérience acquise a montré que les allégations d’agression sexuelle sont rarement adm</w:t>
      </w:r>
      <w:r w:rsidR="00F63522">
        <w:rPr>
          <w:lang w:val="fr-FR"/>
        </w:rPr>
        <w:t xml:space="preserve">ises et une recherche effectuée dans les archives du </w:t>
      </w:r>
      <w:r w:rsidR="008433AD">
        <w:rPr>
          <w:lang w:val="fr-FR"/>
        </w:rPr>
        <w:t>Minist</w:t>
      </w:r>
      <w:r w:rsidR="000A5D83">
        <w:rPr>
          <w:lang w:val="fr-FR"/>
        </w:rPr>
        <w:t>ère de l’immigration et de la ci</w:t>
      </w:r>
      <w:r w:rsidR="008433AD">
        <w:rPr>
          <w:lang w:val="fr-FR"/>
        </w:rPr>
        <w:t>toyenneté</w:t>
      </w:r>
      <w:r w:rsidR="00F63522">
        <w:rPr>
          <w:lang w:val="fr-FR"/>
        </w:rPr>
        <w:t xml:space="preserve"> au cours de ces dernières années n’a pas permis de découvrir une seule affaire dans laquelle l’agression sexuelle ait été prouvée</w:t>
      </w:r>
      <w:r w:rsidR="008D6B80">
        <w:rPr>
          <w:lang w:val="fr-FR"/>
        </w:rPr>
        <w:t xml:space="preserve">. </w:t>
      </w:r>
      <w:r w:rsidR="00F63522">
        <w:rPr>
          <w:lang w:val="fr-FR"/>
        </w:rPr>
        <w:t>Après l’incident, un traitement médical ou des services professionnels de consultation (ou les deux) sont proposés promptement</w:t>
      </w:r>
      <w:r w:rsidR="0011457B">
        <w:rPr>
          <w:lang w:val="fr-FR"/>
        </w:rPr>
        <w:t xml:space="preserve"> et avec délicatesse à to</w:t>
      </w:r>
      <w:r w:rsidR="007E4D9B">
        <w:rPr>
          <w:lang w:val="fr-FR"/>
        </w:rPr>
        <w:t>ute personne détenue</w:t>
      </w:r>
      <w:r w:rsidR="0011457B">
        <w:rPr>
          <w:lang w:val="fr-FR"/>
        </w:rPr>
        <w:t xml:space="preserve"> dans le cadre des contrôles d’immigration alléguant avoir été victime d’une agression.</w:t>
      </w:r>
      <w:r w:rsidR="00F63522">
        <w:rPr>
          <w:lang w:val="fr-FR"/>
        </w:rPr>
        <w:t xml:space="preserve"> </w:t>
      </w:r>
    </w:p>
    <w:p w:rsidR="00D13FF3" w:rsidRDefault="00B20BB7" w:rsidP="005D7B68">
      <w:pPr>
        <w:tabs>
          <w:tab w:val="left" w:pos="567"/>
          <w:tab w:val="left" w:pos="1134"/>
          <w:tab w:val="left" w:pos="1701"/>
          <w:tab w:val="left" w:pos="2268"/>
        </w:tabs>
        <w:rPr>
          <w:lang w:val="fr-FR"/>
        </w:rPr>
      </w:pPr>
      <w:r>
        <w:rPr>
          <w:lang w:val="fr-FR"/>
        </w:rPr>
        <w:t>147</w:t>
      </w:r>
      <w:r w:rsidR="0095203B">
        <w:rPr>
          <w:lang w:val="fr-FR"/>
        </w:rPr>
        <w:t>.</w:t>
      </w:r>
      <w:r w:rsidR="00141B9C">
        <w:rPr>
          <w:lang w:val="fr-FR"/>
        </w:rPr>
        <w:tab/>
        <w:t xml:space="preserve">Les immigrants placés en rétention peuvent faire état d’une allégation d’agression à la police ou à d’autres autorités. Ils ont également le droit de porter plainte auprès de la Commission des droits de l’homme et de l’égalité des chances en vertu de la </w:t>
      </w:r>
      <w:r w:rsidR="00141B9C" w:rsidRPr="000A5D83">
        <w:rPr>
          <w:lang w:val="fr-FR"/>
        </w:rPr>
        <w:t>loi de 1986 sur les droits de l’homme et l’égalité des chances</w:t>
      </w:r>
      <w:r w:rsidR="00141B9C">
        <w:rPr>
          <w:lang w:val="fr-FR"/>
        </w:rPr>
        <w:t xml:space="preserve"> et du Médiateur fédéral au titre de la </w:t>
      </w:r>
      <w:r w:rsidR="00141B9C" w:rsidRPr="000A5D83">
        <w:rPr>
          <w:lang w:val="fr-FR"/>
        </w:rPr>
        <w:t>loi de 1976 sur le Médiateur</w:t>
      </w:r>
      <w:r w:rsidR="008D6B80">
        <w:rPr>
          <w:lang w:val="fr-FR"/>
        </w:rPr>
        <w:t xml:space="preserve">. </w:t>
      </w:r>
      <w:r w:rsidR="00141B9C">
        <w:rPr>
          <w:lang w:val="fr-FR"/>
        </w:rPr>
        <w:t xml:space="preserve">De plus, aux termes du Contrat des services de détention, toute demande déposée par un immigrant placé en rétention </w:t>
      </w:r>
      <w:r w:rsidR="00D13FF3">
        <w:rPr>
          <w:lang w:val="fr-FR"/>
        </w:rPr>
        <w:t>pour entrer en rapport avec ladite Commission ou le Médiateur doit être appuyée.</w:t>
      </w:r>
    </w:p>
    <w:p w:rsidR="00841A59" w:rsidRDefault="00B20BB7" w:rsidP="005D7B68">
      <w:pPr>
        <w:tabs>
          <w:tab w:val="left" w:pos="567"/>
          <w:tab w:val="left" w:pos="1134"/>
          <w:tab w:val="left" w:pos="1701"/>
          <w:tab w:val="left" w:pos="2268"/>
        </w:tabs>
        <w:rPr>
          <w:lang w:val="fr-FR"/>
        </w:rPr>
      </w:pPr>
      <w:r>
        <w:rPr>
          <w:lang w:val="fr-FR"/>
        </w:rPr>
        <w:t>148</w:t>
      </w:r>
      <w:r w:rsidR="00D13FF3">
        <w:rPr>
          <w:lang w:val="fr-FR"/>
        </w:rPr>
        <w:t>.</w:t>
      </w:r>
      <w:r w:rsidR="00D13FF3">
        <w:rPr>
          <w:lang w:val="fr-FR"/>
        </w:rPr>
        <w:tab/>
        <w:t xml:space="preserve">Le maximum est également fait pour qu’une personne </w:t>
      </w:r>
      <w:r w:rsidR="00841A59">
        <w:rPr>
          <w:lang w:val="fr-FR"/>
        </w:rPr>
        <w:t>détenue dans le cadre des contrôles d’immigration qui allègue avoir</w:t>
      </w:r>
      <w:r w:rsidR="000A5D83">
        <w:rPr>
          <w:lang w:val="fr-FR"/>
        </w:rPr>
        <w:t xml:space="preserve"> été victime d’une agression soit</w:t>
      </w:r>
      <w:r w:rsidR="00841A59">
        <w:rPr>
          <w:lang w:val="fr-FR"/>
        </w:rPr>
        <w:t xml:space="preserve"> protégée contre la rétorsion, l’intimidation ou d’autres atteintes corporelles.</w:t>
      </w:r>
    </w:p>
    <w:p w:rsidR="00D5263F" w:rsidRDefault="00B20BB7" w:rsidP="005D7B68">
      <w:pPr>
        <w:tabs>
          <w:tab w:val="left" w:pos="567"/>
          <w:tab w:val="left" w:pos="1134"/>
          <w:tab w:val="left" w:pos="1701"/>
          <w:tab w:val="left" w:pos="2268"/>
        </w:tabs>
        <w:rPr>
          <w:lang w:val="fr-FR"/>
        </w:rPr>
      </w:pPr>
      <w:r>
        <w:rPr>
          <w:lang w:val="fr-FR"/>
        </w:rPr>
        <w:t>149</w:t>
      </w:r>
      <w:r w:rsidR="00841A59">
        <w:rPr>
          <w:lang w:val="fr-FR"/>
        </w:rPr>
        <w:t>.</w:t>
      </w:r>
      <w:r w:rsidR="00841A59">
        <w:rPr>
          <w:lang w:val="fr-FR"/>
        </w:rPr>
        <w:tab/>
        <w:t>En vertu du paragraphe 2.2.3 des normes relatives à la rétention des immigrants, on identifie, on évalue les besoins par</w:t>
      </w:r>
      <w:r w:rsidR="003728A8">
        <w:rPr>
          <w:lang w:val="fr-FR"/>
        </w:rPr>
        <w:t>ticuliers</w:t>
      </w:r>
      <w:r w:rsidR="00841A59">
        <w:rPr>
          <w:lang w:val="fr-FR"/>
        </w:rPr>
        <w:t xml:space="preserve"> </w:t>
      </w:r>
      <w:r w:rsidR="003728A8">
        <w:rPr>
          <w:lang w:val="fr-FR"/>
        </w:rPr>
        <w:t xml:space="preserve">en matière de soins </w:t>
      </w:r>
      <w:r w:rsidR="00841A59">
        <w:rPr>
          <w:lang w:val="fr-FR"/>
        </w:rPr>
        <w:t>des</w:t>
      </w:r>
      <w:r w:rsidR="00FD4F8C">
        <w:rPr>
          <w:lang w:val="fr-FR"/>
        </w:rPr>
        <w:t xml:space="preserve"> immigrants placés en rétention</w:t>
      </w:r>
      <w:r w:rsidR="003728A8">
        <w:rPr>
          <w:lang w:val="fr-FR"/>
        </w:rPr>
        <w:t>,</w:t>
      </w:r>
      <w:r w:rsidR="00841A59">
        <w:rPr>
          <w:lang w:val="fr-FR"/>
        </w:rPr>
        <w:t xml:space="preserve"> y compris des personnes atteintes de </w:t>
      </w:r>
      <w:r w:rsidR="00D5263F">
        <w:rPr>
          <w:lang w:val="fr-FR"/>
        </w:rPr>
        <w:t xml:space="preserve">certaines </w:t>
      </w:r>
      <w:r w:rsidR="00841A59">
        <w:rPr>
          <w:lang w:val="fr-FR"/>
        </w:rPr>
        <w:t>maladies</w:t>
      </w:r>
      <w:r w:rsidR="00D5263F">
        <w:rPr>
          <w:lang w:val="fr-FR"/>
        </w:rPr>
        <w:t xml:space="preserve"> et de certains états pathologiques, et on y répond</w:t>
      </w:r>
      <w:r w:rsidR="008D6B80">
        <w:rPr>
          <w:lang w:val="fr-FR"/>
        </w:rPr>
        <w:t xml:space="preserve">. </w:t>
      </w:r>
      <w:r w:rsidR="00D5263F">
        <w:rPr>
          <w:lang w:val="fr-FR"/>
        </w:rPr>
        <w:t>En font partie des femmes, accompagnées ou non.</w:t>
      </w:r>
    </w:p>
    <w:p w:rsidR="00D5263F" w:rsidRDefault="00D5263F" w:rsidP="005D7B68">
      <w:pPr>
        <w:tabs>
          <w:tab w:val="left" w:pos="567"/>
          <w:tab w:val="left" w:pos="1134"/>
          <w:tab w:val="left" w:pos="1701"/>
          <w:tab w:val="left" w:pos="2268"/>
        </w:tabs>
        <w:rPr>
          <w:b/>
          <w:bCs/>
          <w:lang w:val="fr-FR"/>
        </w:rPr>
      </w:pPr>
      <w:r>
        <w:rPr>
          <w:b/>
          <w:bCs/>
          <w:lang w:val="fr-FR"/>
        </w:rPr>
        <w:t xml:space="preserve">Informations des États et </w:t>
      </w:r>
      <w:r w:rsidR="00A757C0">
        <w:rPr>
          <w:b/>
          <w:bCs/>
          <w:lang w:val="fr-FR"/>
        </w:rPr>
        <w:t>t</w:t>
      </w:r>
      <w:r>
        <w:rPr>
          <w:b/>
          <w:bCs/>
          <w:lang w:val="fr-FR"/>
        </w:rPr>
        <w:t>erritoires</w:t>
      </w:r>
    </w:p>
    <w:p w:rsidR="00D5263F" w:rsidRDefault="00D5263F" w:rsidP="005D7B68">
      <w:pPr>
        <w:tabs>
          <w:tab w:val="left" w:pos="567"/>
          <w:tab w:val="left" w:pos="1134"/>
          <w:tab w:val="left" w:pos="1701"/>
          <w:tab w:val="left" w:pos="2268"/>
        </w:tabs>
        <w:rPr>
          <w:b/>
          <w:bCs/>
          <w:lang w:val="fr-FR"/>
        </w:rPr>
      </w:pPr>
      <w:r>
        <w:rPr>
          <w:b/>
          <w:bCs/>
          <w:lang w:val="fr-FR"/>
        </w:rPr>
        <w:t>Nouvelle-Galles du Sud</w:t>
      </w:r>
    </w:p>
    <w:p w:rsidR="00D5263F" w:rsidRDefault="00D5263F" w:rsidP="005D7B68">
      <w:pPr>
        <w:tabs>
          <w:tab w:val="left" w:pos="567"/>
          <w:tab w:val="left" w:pos="1134"/>
          <w:tab w:val="left" w:pos="1701"/>
          <w:tab w:val="left" w:pos="2268"/>
        </w:tabs>
        <w:rPr>
          <w:b/>
          <w:bCs/>
          <w:lang w:val="fr-FR"/>
        </w:rPr>
      </w:pPr>
      <w:r>
        <w:rPr>
          <w:b/>
          <w:bCs/>
          <w:lang w:val="fr-FR"/>
        </w:rPr>
        <w:t>Mauvais traitements infligés aux femmes</w:t>
      </w:r>
    </w:p>
    <w:p w:rsidR="00D5263F" w:rsidRDefault="00B20BB7" w:rsidP="005D7B68">
      <w:pPr>
        <w:tabs>
          <w:tab w:val="left" w:pos="567"/>
          <w:tab w:val="left" w:pos="1134"/>
          <w:tab w:val="left" w:pos="1701"/>
          <w:tab w:val="left" w:pos="2268"/>
        </w:tabs>
        <w:rPr>
          <w:lang w:val="fr-FR"/>
        </w:rPr>
      </w:pPr>
      <w:r>
        <w:rPr>
          <w:lang w:val="fr-FR"/>
        </w:rPr>
        <w:t>150</w:t>
      </w:r>
      <w:r w:rsidR="00D5263F">
        <w:rPr>
          <w:lang w:val="fr-FR"/>
        </w:rPr>
        <w:t>.</w:t>
      </w:r>
      <w:r w:rsidR="00D5263F">
        <w:rPr>
          <w:lang w:val="fr-FR"/>
        </w:rPr>
        <w:tab/>
        <w:t>Les détenues doivent être placées à l’écart des hommes (sauf dans certaines circonstances et sous la surveillance prévue par le Commissaire aux services pénitentiaires)</w:t>
      </w:r>
      <w:r w:rsidR="00572260">
        <w:rPr>
          <w:lang w:val="fr-FR"/>
        </w:rPr>
        <w:t>:</w:t>
      </w:r>
      <w:r w:rsidR="00D5263F">
        <w:rPr>
          <w:lang w:val="fr-FR"/>
        </w:rPr>
        <w:t xml:space="preserve"> clauses 33 et 181 du </w:t>
      </w:r>
      <w:r w:rsidR="00AB53BE" w:rsidRPr="00AE2C60">
        <w:rPr>
          <w:lang w:val="fr-FR"/>
        </w:rPr>
        <w:t>règlement sur l’administration des peines criminelles</w:t>
      </w:r>
      <w:r w:rsidR="00AE2C60">
        <w:rPr>
          <w:lang w:val="fr-FR"/>
        </w:rPr>
        <w:t xml:space="preserve"> de 2001</w:t>
      </w:r>
      <w:r w:rsidR="00AB53BE">
        <w:rPr>
          <w:i/>
          <w:iCs/>
          <w:lang w:val="fr-FR"/>
        </w:rPr>
        <w:t xml:space="preserve"> </w:t>
      </w:r>
      <w:r w:rsidR="00AE2C60">
        <w:rPr>
          <w:lang w:val="fr-FR"/>
        </w:rPr>
        <w:t>(le r</w:t>
      </w:r>
      <w:r w:rsidR="00AB53BE">
        <w:rPr>
          <w:lang w:val="fr-FR"/>
        </w:rPr>
        <w:t>èglement).</w:t>
      </w:r>
    </w:p>
    <w:p w:rsidR="00AB53BE" w:rsidRDefault="00B20BB7" w:rsidP="005D7B68">
      <w:pPr>
        <w:tabs>
          <w:tab w:val="left" w:pos="567"/>
          <w:tab w:val="left" w:pos="1134"/>
          <w:tab w:val="left" w:pos="1701"/>
          <w:tab w:val="left" w:pos="2268"/>
        </w:tabs>
        <w:rPr>
          <w:lang w:val="fr-FR"/>
        </w:rPr>
      </w:pPr>
      <w:r>
        <w:rPr>
          <w:lang w:val="fr-FR"/>
        </w:rPr>
        <w:t>151</w:t>
      </w:r>
      <w:r w:rsidR="00AB53BE">
        <w:rPr>
          <w:lang w:val="fr-FR"/>
        </w:rPr>
        <w:t>.</w:t>
      </w:r>
      <w:r w:rsidR="00AB53BE">
        <w:rPr>
          <w:lang w:val="fr-FR"/>
        </w:rPr>
        <w:tab/>
        <w:t>Sauf en cas d’urgence, un détenu ne doit pas être fouillé par une personne du sexe opposé, ni en présence de ce</w:t>
      </w:r>
      <w:r w:rsidR="00AE2C60">
        <w:rPr>
          <w:lang w:val="fr-FR"/>
        </w:rPr>
        <w:t>tte personne</w:t>
      </w:r>
      <w:r w:rsidR="00572260">
        <w:rPr>
          <w:lang w:val="fr-FR"/>
        </w:rPr>
        <w:t>:</w:t>
      </w:r>
      <w:r w:rsidR="00AE2C60">
        <w:rPr>
          <w:lang w:val="fr-FR"/>
        </w:rPr>
        <w:t xml:space="preserve"> clause 46 2) du r</w:t>
      </w:r>
      <w:r w:rsidR="00AB53BE">
        <w:rPr>
          <w:lang w:val="fr-FR"/>
        </w:rPr>
        <w:t>èglement</w:t>
      </w:r>
      <w:r w:rsidR="008D6B80">
        <w:rPr>
          <w:lang w:val="fr-FR"/>
        </w:rPr>
        <w:t xml:space="preserve">. </w:t>
      </w:r>
      <w:r w:rsidR="00AB53BE">
        <w:rPr>
          <w:lang w:val="fr-FR"/>
        </w:rPr>
        <w:t xml:space="preserve">Cela figure également dans le </w:t>
      </w:r>
      <w:r w:rsidR="00AB53BE" w:rsidRPr="00AE2C60">
        <w:rPr>
          <w:lang w:val="fr-FR"/>
        </w:rPr>
        <w:t>Manuel de procédure</w:t>
      </w:r>
      <w:r w:rsidR="00AE2C60" w:rsidRPr="00AE2C60">
        <w:rPr>
          <w:lang w:val="fr-FR"/>
        </w:rPr>
        <w:t xml:space="preserve">s </w:t>
      </w:r>
      <w:r w:rsidR="00AB53BE" w:rsidRPr="00AE2C60">
        <w:rPr>
          <w:lang w:val="fr-FR"/>
        </w:rPr>
        <w:t>des opérations</w:t>
      </w:r>
      <w:r w:rsidR="00AB53BE">
        <w:rPr>
          <w:lang w:val="fr-FR"/>
        </w:rPr>
        <w:t xml:space="preserve"> du Département des services pénitentiaires de Nouvelle</w:t>
      </w:r>
      <w:r w:rsidR="00A757C0">
        <w:rPr>
          <w:lang w:val="fr-FR"/>
        </w:rPr>
        <w:noBreakHyphen/>
      </w:r>
      <w:r w:rsidR="00AB53BE">
        <w:rPr>
          <w:lang w:val="fr-FR"/>
        </w:rPr>
        <w:t>Galles du Sud</w:t>
      </w:r>
      <w:r w:rsidR="008D6B80">
        <w:rPr>
          <w:lang w:val="fr-FR"/>
        </w:rPr>
        <w:t xml:space="preserve">. </w:t>
      </w:r>
      <w:r w:rsidR="00EE6876">
        <w:rPr>
          <w:lang w:val="fr-FR"/>
        </w:rPr>
        <w:t xml:space="preserve">Il y est indiqué </w:t>
      </w:r>
      <w:r w:rsidR="00AB53BE">
        <w:rPr>
          <w:lang w:val="fr-FR"/>
        </w:rPr>
        <w:t>que le personnel de surveillance des établissements pénitentiaires de sexe masculin</w:t>
      </w:r>
      <w:r w:rsidR="007D17D5">
        <w:rPr>
          <w:lang w:val="fr-FR"/>
        </w:rPr>
        <w:t xml:space="preserve"> ne doit</w:t>
      </w:r>
      <w:r w:rsidR="00AB53BE">
        <w:rPr>
          <w:lang w:val="fr-FR"/>
        </w:rPr>
        <w:t xml:space="preserve"> pas procéder à une fouille superficielle d’une détenue, sauf en cas d’urgence</w:t>
      </w:r>
      <w:r w:rsidR="008D6B80">
        <w:rPr>
          <w:lang w:val="fr-FR"/>
        </w:rPr>
        <w:t xml:space="preserve">. </w:t>
      </w:r>
      <w:r w:rsidR="007D17D5">
        <w:rPr>
          <w:lang w:val="fr-FR"/>
        </w:rPr>
        <w:t>Dans le cas des transsexuels, la fouille superficielle d’un détenu ayant une identité féminine ne peut être effectuée que par un agent du service pénitentiaire de sexe féminin</w:t>
      </w:r>
      <w:r w:rsidR="008D6B80">
        <w:rPr>
          <w:lang w:val="fr-FR"/>
        </w:rPr>
        <w:t xml:space="preserve">. </w:t>
      </w:r>
      <w:r w:rsidR="007D17D5">
        <w:rPr>
          <w:lang w:val="fr-FR"/>
        </w:rPr>
        <w:t>La fouille de</w:t>
      </w:r>
      <w:r w:rsidR="00EE6876">
        <w:rPr>
          <w:lang w:val="fr-FR"/>
        </w:rPr>
        <w:t>s détenus ne doit être pratiquée</w:t>
      </w:r>
      <w:r w:rsidR="007D17D5">
        <w:rPr>
          <w:lang w:val="fr-FR"/>
        </w:rPr>
        <w:t xml:space="preserve"> qu’en tenant compte de leur dignité et de leur respect de soi, et de manière aussi convenable que le permet une fouil</w:t>
      </w:r>
      <w:r w:rsidR="00AE2C60">
        <w:rPr>
          <w:lang w:val="fr-FR"/>
        </w:rPr>
        <w:t>le effecti</w:t>
      </w:r>
      <w:r w:rsidR="00751A52">
        <w:rPr>
          <w:lang w:val="fr-FR"/>
        </w:rPr>
        <w:t>ve (</w:t>
      </w:r>
      <w:r w:rsidR="00AE2C60">
        <w:rPr>
          <w:lang w:val="fr-FR"/>
        </w:rPr>
        <w:t>clause 46 3) du r</w:t>
      </w:r>
      <w:r w:rsidR="007D17D5">
        <w:rPr>
          <w:lang w:val="fr-FR"/>
        </w:rPr>
        <w:t>èglement</w:t>
      </w:r>
      <w:r w:rsidR="00751A52">
        <w:rPr>
          <w:lang w:val="fr-FR"/>
        </w:rPr>
        <w:t>)</w:t>
      </w:r>
      <w:r w:rsidR="007D17D5">
        <w:rPr>
          <w:lang w:val="fr-FR"/>
        </w:rPr>
        <w:t>.</w:t>
      </w:r>
    </w:p>
    <w:p w:rsidR="007D17D5" w:rsidRDefault="007D17D5" w:rsidP="005D7B68">
      <w:pPr>
        <w:tabs>
          <w:tab w:val="left" w:pos="567"/>
          <w:tab w:val="left" w:pos="1134"/>
          <w:tab w:val="left" w:pos="1701"/>
          <w:tab w:val="left" w:pos="2268"/>
        </w:tabs>
        <w:rPr>
          <w:b/>
          <w:bCs/>
          <w:lang w:val="fr-FR"/>
        </w:rPr>
      </w:pPr>
      <w:r>
        <w:rPr>
          <w:b/>
          <w:bCs/>
          <w:lang w:val="fr-FR"/>
        </w:rPr>
        <w:t>Violences sexuelles</w:t>
      </w:r>
    </w:p>
    <w:p w:rsidR="007D17D5" w:rsidRDefault="007D17D5" w:rsidP="005D7B68">
      <w:pPr>
        <w:tabs>
          <w:tab w:val="left" w:pos="567"/>
          <w:tab w:val="left" w:pos="1134"/>
          <w:tab w:val="left" w:pos="1701"/>
          <w:tab w:val="left" w:pos="2268"/>
        </w:tabs>
        <w:rPr>
          <w:lang w:val="fr-FR"/>
        </w:rPr>
      </w:pPr>
      <w:r>
        <w:rPr>
          <w:lang w:val="fr-FR"/>
        </w:rPr>
        <w:t>15</w:t>
      </w:r>
      <w:r w:rsidR="00B20BB7">
        <w:rPr>
          <w:lang w:val="fr-FR"/>
        </w:rPr>
        <w:t>2</w:t>
      </w:r>
      <w:r>
        <w:rPr>
          <w:lang w:val="fr-FR"/>
        </w:rPr>
        <w:t>.</w:t>
      </w:r>
      <w:r>
        <w:rPr>
          <w:lang w:val="fr-FR"/>
        </w:rPr>
        <w:tab/>
      </w:r>
      <w:r w:rsidR="006B57D4">
        <w:rPr>
          <w:lang w:val="fr-FR"/>
        </w:rPr>
        <w:t>En cas d’agression observée ou alléguée dans un centre pénitentiaire, il convient d’appliquer strictement les procédures ci-après.</w:t>
      </w:r>
    </w:p>
    <w:p w:rsidR="006B57D4" w:rsidRDefault="00B20BB7" w:rsidP="005D7B68">
      <w:pPr>
        <w:tabs>
          <w:tab w:val="left" w:pos="567"/>
          <w:tab w:val="left" w:pos="1134"/>
          <w:tab w:val="left" w:pos="1701"/>
          <w:tab w:val="left" w:pos="2268"/>
        </w:tabs>
        <w:rPr>
          <w:lang w:val="fr-FR"/>
        </w:rPr>
      </w:pPr>
      <w:r>
        <w:rPr>
          <w:lang w:val="fr-FR"/>
        </w:rPr>
        <w:t>153</w:t>
      </w:r>
      <w:r w:rsidR="0083110C">
        <w:rPr>
          <w:lang w:val="fr-FR"/>
        </w:rPr>
        <w:t>.</w:t>
      </w:r>
      <w:r w:rsidR="0083110C">
        <w:rPr>
          <w:lang w:val="fr-FR"/>
        </w:rPr>
        <w:tab/>
        <w:t>Le surveillant</w:t>
      </w:r>
      <w:r w:rsidR="006B57D4">
        <w:rPr>
          <w:lang w:val="fr-FR"/>
        </w:rPr>
        <w:t xml:space="preserve"> qui en a fait la découverte doit sans délai, que la victime soit un surveillant ou un détenu, préven</w:t>
      </w:r>
      <w:r w:rsidR="0083110C">
        <w:rPr>
          <w:lang w:val="fr-FR"/>
        </w:rPr>
        <w:t>ir le Dir</w:t>
      </w:r>
      <w:r w:rsidR="00AE2C60">
        <w:rPr>
          <w:lang w:val="fr-FR"/>
        </w:rPr>
        <w:t>ecteur général ou l’agent pénitentiaire</w:t>
      </w:r>
      <w:r w:rsidR="0083110C">
        <w:rPr>
          <w:lang w:val="fr-FR"/>
        </w:rPr>
        <w:t xml:space="preserve"> </w:t>
      </w:r>
      <w:r w:rsidR="00AE2C60">
        <w:rPr>
          <w:lang w:val="fr-FR"/>
        </w:rPr>
        <w:t>le plus gradé qui assure la direction du</w:t>
      </w:r>
      <w:r w:rsidR="006B57D4">
        <w:rPr>
          <w:lang w:val="fr-FR"/>
        </w:rPr>
        <w:t xml:space="preserve"> centre de détention.</w:t>
      </w:r>
    </w:p>
    <w:p w:rsidR="00CB31BE" w:rsidRDefault="00B20BB7" w:rsidP="005D7B68">
      <w:pPr>
        <w:tabs>
          <w:tab w:val="left" w:pos="567"/>
          <w:tab w:val="left" w:pos="1134"/>
          <w:tab w:val="left" w:pos="1701"/>
          <w:tab w:val="left" w:pos="2268"/>
        </w:tabs>
        <w:rPr>
          <w:lang w:val="fr-FR"/>
        </w:rPr>
      </w:pPr>
      <w:r>
        <w:rPr>
          <w:lang w:val="fr-FR"/>
        </w:rPr>
        <w:t>154</w:t>
      </w:r>
      <w:r w:rsidR="006B57D4">
        <w:rPr>
          <w:lang w:val="fr-FR"/>
        </w:rPr>
        <w:t>.</w:t>
      </w:r>
      <w:r w:rsidR="006B57D4">
        <w:rPr>
          <w:lang w:val="fr-FR"/>
        </w:rPr>
        <w:tab/>
        <w:t>Le Directeur g</w:t>
      </w:r>
      <w:r w:rsidR="00AE2C60">
        <w:rPr>
          <w:lang w:val="fr-FR"/>
        </w:rPr>
        <w:t xml:space="preserve">énéral (ou l’agent pénitentiaire </w:t>
      </w:r>
      <w:r w:rsidR="006B57D4">
        <w:rPr>
          <w:lang w:val="fr-FR"/>
        </w:rPr>
        <w:t>le plus gradé</w:t>
      </w:r>
      <w:r w:rsidR="00AE2C60">
        <w:rPr>
          <w:lang w:val="fr-FR"/>
        </w:rPr>
        <w:t xml:space="preserve"> qui assure la direction</w:t>
      </w:r>
      <w:r w:rsidR="006B57D4">
        <w:rPr>
          <w:lang w:val="fr-FR"/>
        </w:rPr>
        <w:t>)</w:t>
      </w:r>
      <w:r w:rsidR="00494F2E">
        <w:rPr>
          <w:lang w:val="fr-FR"/>
        </w:rPr>
        <w:t xml:space="preserve"> doit informer de cette agression</w:t>
      </w:r>
      <w:r w:rsidR="006B57D4">
        <w:rPr>
          <w:lang w:val="fr-FR"/>
        </w:rPr>
        <w:t xml:space="preserve">, de cette agression sexuelle ou de cette bagarre </w:t>
      </w:r>
      <w:r w:rsidR="00494F2E">
        <w:rPr>
          <w:lang w:val="fr-FR"/>
        </w:rPr>
        <w:t>le surveillant de garde au plus tard deux heures après l’incident</w:t>
      </w:r>
      <w:r w:rsidR="008D6B80">
        <w:rPr>
          <w:lang w:val="fr-FR"/>
        </w:rPr>
        <w:t xml:space="preserve">. </w:t>
      </w:r>
      <w:r w:rsidR="00494F2E">
        <w:rPr>
          <w:lang w:val="fr-FR"/>
        </w:rPr>
        <w:t>Les personnes impliquées dans l’agression, l’agression sexuelle</w:t>
      </w:r>
      <w:r w:rsidR="006B57D4">
        <w:rPr>
          <w:lang w:val="fr-FR"/>
        </w:rPr>
        <w:t xml:space="preserve"> </w:t>
      </w:r>
      <w:r w:rsidR="00494F2E">
        <w:rPr>
          <w:lang w:val="fr-FR"/>
        </w:rPr>
        <w:t>ou la bagarre doivent être soumises à un examen médical dans les meilleurs délais et</w:t>
      </w:r>
      <w:r w:rsidR="00387FE3">
        <w:rPr>
          <w:lang w:val="fr-FR"/>
        </w:rPr>
        <w:t xml:space="preserve"> un </w:t>
      </w:r>
      <w:r w:rsidR="00CB31BE">
        <w:rPr>
          <w:lang w:val="fr-FR"/>
        </w:rPr>
        <w:t>rapport du Service de santé du système pénitentiaire sur l’incident ou l’agression doit être remis au</w:t>
      </w:r>
      <w:r w:rsidR="00494F2E">
        <w:rPr>
          <w:lang w:val="fr-FR"/>
        </w:rPr>
        <w:t xml:space="preserve"> Directeur général (ou</w:t>
      </w:r>
      <w:r w:rsidR="00AE2C60">
        <w:rPr>
          <w:lang w:val="fr-FR"/>
        </w:rPr>
        <w:t xml:space="preserve"> </w:t>
      </w:r>
      <w:r w:rsidR="009C3109">
        <w:rPr>
          <w:lang w:val="fr-FR"/>
        </w:rPr>
        <w:t>à l’agent pénitentiaire le plus gradé qui assure la direction</w:t>
      </w:r>
      <w:r w:rsidR="00CB31BE">
        <w:rPr>
          <w:lang w:val="fr-FR"/>
        </w:rPr>
        <w:t>) en cas de dommages corporels.</w:t>
      </w:r>
    </w:p>
    <w:p w:rsidR="00CB31BE" w:rsidRDefault="00B20BB7" w:rsidP="005D7B68">
      <w:pPr>
        <w:tabs>
          <w:tab w:val="left" w:pos="567"/>
          <w:tab w:val="left" w:pos="1134"/>
          <w:tab w:val="left" w:pos="1701"/>
          <w:tab w:val="left" w:pos="2268"/>
        </w:tabs>
        <w:rPr>
          <w:lang w:val="fr-FR"/>
        </w:rPr>
      </w:pPr>
      <w:r>
        <w:rPr>
          <w:lang w:val="fr-FR"/>
        </w:rPr>
        <w:t>155</w:t>
      </w:r>
      <w:r w:rsidR="00CB31BE">
        <w:rPr>
          <w:lang w:val="fr-FR"/>
        </w:rPr>
        <w:t>.</w:t>
      </w:r>
      <w:r w:rsidR="00CB31BE">
        <w:rPr>
          <w:lang w:val="fr-FR"/>
        </w:rPr>
        <w:tab/>
        <w:t>Si une ou plusieurs personnes ont subi des dommages corporels à la suite de l’agression, de l’agression sexuelle ou de la bagarre, la police est immédiateme</w:t>
      </w:r>
      <w:r w:rsidR="00A757C0">
        <w:rPr>
          <w:lang w:val="fr-FR"/>
        </w:rPr>
        <w:t>nt informée de cet incident, ce </w:t>
      </w:r>
      <w:r w:rsidR="00CB31BE">
        <w:rPr>
          <w:lang w:val="fr-FR"/>
        </w:rPr>
        <w:t>qui est aussi le cas si l’une des parties concernées le souhaite</w:t>
      </w:r>
      <w:r w:rsidR="008D6B80">
        <w:rPr>
          <w:lang w:val="fr-FR"/>
        </w:rPr>
        <w:t xml:space="preserve">. </w:t>
      </w:r>
      <w:r w:rsidR="00CB31BE">
        <w:rPr>
          <w:lang w:val="fr-FR"/>
        </w:rPr>
        <w:t xml:space="preserve">Les autorités de police locales contrôlent les enquêtes en cours et </w:t>
      </w:r>
      <w:r w:rsidR="00F661ED">
        <w:rPr>
          <w:lang w:val="fr-FR"/>
        </w:rPr>
        <w:t xml:space="preserve">c’est d’elles que relève </w:t>
      </w:r>
      <w:r w:rsidR="00CB31BE">
        <w:rPr>
          <w:lang w:val="fr-FR"/>
        </w:rPr>
        <w:t>la décision d’inculper les c</w:t>
      </w:r>
      <w:r w:rsidR="00F661ED">
        <w:rPr>
          <w:lang w:val="fr-FR"/>
        </w:rPr>
        <w:t>oupables</w:t>
      </w:r>
      <w:r w:rsidR="00CB31BE">
        <w:rPr>
          <w:lang w:val="fr-FR"/>
        </w:rPr>
        <w:t>.</w:t>
      </w:r>
    </w:p>
    <w:p w:rsidR="004522F8" w:rsidRDefault="00B20BB7" w:rsidP="005D7B68">
      <w:pPr>
        <w:tabs>
          <w:tab w:val="left" w:pos="567"/>
          <w:tab w:val="left" w:pos="1134"/>
          <w:tab w:val="left" w:pos="1701"/>
          <w:tab w:val="left" w:pos="2268"/>
        </w:tabs>
        <w:rPr>
          <w:lang w:val="fr-FR"/>
        </w:rPr>
      </w:pPr>
      <w:r>
        <w:rPr>
          <w:lang w:val="fr-FR"/>
        </w:rPr>
        <w:t>156</w:t>
      </w:r>
      <w:r w:rsidR="00CB31BE">
        <w:rPr>
          <w:lang w:val="fr-FR"/>
        </w:rPr>
        <w:t>.</w:t>
      </w:r>
      <w:r w:rsidR="00CB31BE">
        <w:rPr>
          <w:lang w:val="fr-FR"/>
        </w:rPr>
        <w:tab/>
      </w:r>
      <w:r w:rsidR="00F661ED">
        <w:rPr>
          <w:lang w:val="fr-FR"/>
        </w:rPr>
        <w:t>En l’absence de dommages corpor</w:t>
      </w:r>
      <w:r w:rsidR="0083110C">
        <w:rPr>
          <w:lang w:val="fr-FR"/>
        </w:rPr>
        <w:t>els, le Dire</w:t>
      </w:r>
      <w:r w:rsidR="00627C16">
        <w:rPr>
          <w:lang w:val="fr-FR"/>
        </w:rPr>
        <w:t>cteur général (ou l’agent pénitentiaire</w:t>
      </w:r>
      <w:r w:rsidR="00F661ED">
        <w:rPr>
          <w:lang w:val="fr-FR"/>
        </w:rPr>
        <w:t xml:space="preserve"> le plus gradé</w:t>
      </w:r>
      <w:r w:rsidR="00E966C4">
        <w:rPr>
          <w:lang w:val="fr-FR"/>
        </w:rPr>
        <w:t xml:space="preserve"> chargé de la direction</w:t>
      </w:r>
      <w:r w:rsidR="00627C16">
        <w:rPr>
          <w:lang w:val="fr-FR"/>
        </w:rPr>
        <w:t xml:space="preserve"> de l’établissement</w:t>
      </w:r>
      <w:r w:rsidR="00F661ED">
        <w:rPr>
          <w:lang w:val="fr-FR"/>
        </w:rPr>
        <w:t>) interrogera toutes les parti</w:t>
      </w:r>
      <w:r w:rsidR="00627C16">
        <w:rPr>
          <w:lang w:val="fr-FR"/>
        </w:rPr>
        <w:t>es concernées afin de</w:t>
      </w:r>
      <w:r w:rsidR="00F661ED">
        <w:rPr>
          <w:lang w:val="fr-FR"/>
        </w:rPr>
        <w:t xml:space="preserve"> savoir si l’une d’elles veut que la police soit in</w:t>
      </w:r>
      <w:r w:rsidR="00627C16">
        <w:rPr>
          <w:lang w:val="fr-FR"/>
        </w:rPr>
        <w:t>formée ou</w:t>
      </w:r>
      <w:r w:rsidR="00F661ED">
        <w:rPr>
          <w:lang w:val="fr-FR"/>
        </w:rPr>
        <w:t xml:space="preserve"> souhaite que l’affaire soit traitée à l’intérieur du Département</w:t>
      </w:r>
      <w:r w:rsidR="008D6B80">
        <w:rPr>
          <w:lang w:val="fr-FR"/>
        </w:rPr>
        <w:t xml:space="preserve">. </w:t>
      </w:r>
      <w:r w:rsidR="00F661ED">
        <w:rPr>
          <w:lang w:val="fr-FR"/>
        </w:rPr>
        <w:t>Les détenus doivent indiquer par écrit s’ils souhaitent que l’affaire soit traitée par la police ou par le Directeur général</w:t>
      </w:r>
      <w:r w:rsidR="008D6B80">
        <w:rPr>
          <w:lang w:val="fr-FR"/>
        </w:rPr>
        <w:t xml:space="preserve">. </w:t>
      </w:r>
      <w:r w:rsidR="00F661ED">
        <w:rPr>
          <w:lang w:val="fr-FR"/>
        </w:rPr>
        <w:t>Le formulaire de demande du détenu doit également comporter la description des circonstances de l’agression, de l’agression sexuelle ou de la bagarre alléguée.</w:t>
      </w:r>
    </w:p>
    <w:p w:rsidR="004522F8" w:rsidRDefault="00B20BB7" w:rsidP="005D7B68">
      <w:pPr>
        <w:tabs>
          <w:tab w:val="left" w:pos="567"/>
          <w:tab w:val="left" w:pos="1134"/>
          <w:tab w:val="left" w:pos="1701"/>
          <w:tab w:val="left" w:pos="2268"/>
        </w:tabs>
        <w:rPr>
          <w:lang w:val="fr-FR"/>
        </w:rPr>
      </w:pPr>
      <w:r>
        <w:rPr>
          <w:lang w:val="fr-FR"/>
        </w:rPr>
        <w:t>157</w:t>
      </w:r>
      <w:r w:rsidR="004522F8">
        <w:rPr>
          <w:lang w:val="fr-FR"/>
        </w:rPr>
        <w:t>.</w:t>
      </w:r>
      <w:r w:rsidR="004522F8">
        <w:rPr>
          <w:lang w:val="fr-FR"/>
        </w:rPr>
        <w:tab/>
        <w:t xml:space="preserve">Si la police refuse de procéder à une enquête, ou bien après l’enquête de police au terme de laquelle cette dernière a estimé qu’elle n’avait pas à prendre de mesures, le Département procède à </w:t>
      </w:r>
      <w:r w:rsidR="00466E89">
        <w:rPr>
          <w:lang w:val="fr-FR"/>
        </w:rPr>
        <w:t>sa propre enquête</w:t>
      </w:r>
      <w:r w:rsidR="004522F8">
        <w:rPr>
          <w:lang w:val="fr-FR"/>
        </w:rPr>
        <w:t>.</w:t>
      </w:r>
    </w:p>
    <w:p w:rsidR="004522F8" w:rsidRDefault="004522F8" w:rsidP="005D7B68">
      <w:pPr>
        <w:tabs>
          <w:tab w:val="left" w:pos="567"/>
          <w:tab w:val="left" w:pos="1134"/>
          <w:tab w:val="left" w:pos="1701"/>
          <w:tab w:val="left" w:pos="2268"/>
        </w:tabs>
        <w:rPr>
          <w:b/>
          <w:bCs/>
          <w:lang w:val="fr-FR"/>
        </w:rPr>
      </w:pPr>
      <w:r>
        <w:rPr>
          <w:b/>
          <w:bCs/>
          <w:lang w:val="fr-FR"/>
        </w:rPr>
        <w:t>Plaintes reçues</w:t>
      </w:r>
    </w:p>
    <w:p w:rsidR="006B57D4" w:rsidRDefault="00B20BB7" w:rsidP="005D7B68">
      <w:pPr>
        <w:tabs>
          <w:tab w:val="left" w:pos="567"/>
          <w:tab w:val="left" w:pos="1134"/>
          <w:tab w:val="left" w:pos="1701"/>
          <w:tab w:val="left" w:pos="2268"/>
        </w:tabs>
        <w:rPr>
          <w:lang w:val="fr-FR"/>
        </w:rPr>
      </w:pPr>
      <w:r>
        <w:rPr>
          <w:lang w:val="fr-FR"/>
        </w:rPr>
        <w:t>158</w:t>
      </w:r>
      <w:r w:rsidR="004522F8">
        <w:rPr>
          <w:lang w:val="fr-FR"/>
        </w:rPr>
        <w:t>.</w:t>
      </w:r>
      <w:r w:rsidR="004522F8">
        <w:rPr>
          <w:lang w:val="fr-FR"/>
        </w:rPr>
        <w:tab/>
        <w:t>Entre 2005 et 2007, on a compté six allégations d’agression sexuelle de la part de détenus (hommes et femmes)</w:t>
      </w:r>
      <w:r w:rsidR="00CB31BE">
        <w:rPr>
          <w:lang w:val="fr-FR"/>
        </w:rPr>
        <w:t xml:space="preserve"> </w:t>
      </w:r>
      <w:r w:rsidR="0083110C">
        <w:rPr>
          <w:lang w:val="fr-FR"/>
        </w:rPr>
        <w:t>contre des surveillants</w:t>
      </w:r>
      <w:r w:rsidR="004522F8">
        <w:rPr>
          <w:lang w:val="fr-FR"/>
        </w:rPr>
        <w:t>, soit 2,56 % de l’ensemble des allégations des détenus pendant cette période. Les données relatives aux résultats concernant ces allégations ne sont</w:t>
      </w:r>
      <w:r w:rsidR="00627C16">
        <w:rPr>
          <w:lang w:val="fr-FR"/>
        </w:rPr>
        <w:t xml:space="preserve"> pas</w:t>
      </w:r>
      <w:r w:rsidR="004522F8">
        <w:rPr>
          <w:lang w:val="fr-FR"/>
        </w:rPr>
        <w:t xml:space="preserve"> disponibles.</w:t>
      </w:r>
    </w:p>
    <w:p w:rsidR="004522F8" w:rsidRDefault="004522F8" w:rsidP="005D7B68">
      <w:pPr>
        <w:tabs>
          <w:tab w:val="left" w:pos="567"/>
          <w:tab w:val="left" w:pos="1134"/>
          <w:tab w:val="left" w:pos="1701"/>
          <w:tab w:val="left" w:pos="2268"/>
        </w:tabs>
        <w:rPr>
          <w:b/>
          <w:bCs/>
          <w:lang w:val="fr-FR"/>
        </w:rPr>
      </w:pPr>
      <w:r>
        <w:rPr>
          <w:b/>
          <w:bCs/>
          <w:lang w:val="fr-FR"/>
        </w:rPr>
        <w:t>Victoria</w:t>
      </w:r>
    </w:p>
    <w:p w:rsidR="00A8785A" w:rsidRDefault="00A8785A" w:rsidP="005D7B68">
      <w:pPr>
        <w:tabs>
          <w:tab w:val="left" w:pos="567"/>
          <w:tab w:val="left" w:pos="1134"/>
          <w:tab w:val="left" w:pos="1701"/>
          <w:tab w:val="left" w:pos="2268"/>
        </w:tabs>
        <w:rPr>
          <w:b/>
          <w:bCs/>
          <w:lang w:val="fr-FR"/>
        </w:rPr>
      </w:pPr>
      <w:r>
        <w:rPr>
          <w:b/>
          <w:bCs/>
          <w:lang w:val="fr-FR"/>
        </w:rPr>
        <w:t>Protection de l’enfance</w:t>
      </w:r>
    </w:p>
    <w:p w:rsidR="004522F8" w:rsidRPr="004522F8" w:rsidRDefault="00B20BB7" w:rsidP="005D7B68">
      <w:pPr>
        <w:tabs>
          <w:tab w:val="left" w:pos="567"/>
          <w:tab w:val="left" w:pos="1134"/>
          <w:tab w:val="left" w:pos="1701"/>
          <w:tab w:val="left" w:pos="2268"/>
        </w:tabs>
        <w:rPr>
          <w:lang w:val="fr-FR"/>
        </w:rPr>
      </w:pPr>
      <w:r>
        <w:rPr>
          <w:lang w:val="fr-FR"/>
        </w:rPr>
        <w:t>159</w:t>
      </w:r>
      <w:r w:rsidR="004522F8">
        <w:rPr>
          <w:lang w:val="fr-FR"/>
        </w:rPr>
        <w:t>.</w:t>
      </w:r>
      <w:r w:rsidR="004522F8">
        <w:rPr>
          <w:lang w:val="fr-FR"/>
        </w:rPr>
        <w:tab/>
        <w:t xml:space="preserve">La </w:t>
      </w:r>
      <w:r w:rsidR="004522F8" w:rsidRPr="00A8785A">
        <w:rPr>
          <w:lang w:val="fr-FR"/>
        </w:rPr>
        <w:t>loi de 2005 sur les enfants, les jeunes et les familles</w:t>
      </w:r>
      <w:r w:rsidR="004522F8">
        <w:rPr>
          <w:lang w:val="fr-FR"/>
        </w:rPr>
        <w:t xml:space="preserve"> permet de placer les jeunes qui présentent un risque important et immédiat de porter atteinte à eux-mêmes ou aux autres, ou les deux, </w:t>
      </w:r>
      <w:r w:rsidR="00466E89">
        <w:rPr>
          <w:lang w:val="fr-FR"/>
        </w:rPr>
        <w:t>dans un établissement sécurisé</w:t>
      </w:r>
      <w:r w:rsidR="005448BE">
        <w:rPr>
          <w:lang w:val="fr-FR"/>
        </w:rPr>
        <w:t xml:space="preserve"> et fermé</w:t>
      </w:r>
      <w:r w:rsidR="001313C2">
        <w:rPr>
          <w:lang w:val="fr-FR"/>
        </w:rPr>
        <w:t xml:space="preserve"> pendant </w:t>
      </w:r>
      <w:r w:rsidR="006C544F">
        <w:rPr>
          <w:lang w:val="fr-FR"/>
        </w:rPr>
        <w:t xml:space="preserve">vingt et un </w:t>
      </w:r>
      <w:r w:rsidR="001313C2">
        <w:rPr>
          <w:lang w:val="fr-FR"/>
        </w:rPr>
        <w:t>jours au maximum</w:t>
      </w:r>
      <w:r w:rsidR="008D6B80">
        <w:rPr>
          <w:lang w:val="fr-FR"/>
        </w:rPr>
        <w:t xml:space="preserve">. </w:t>
      </w:r>
      <w:r w:rsidR="001313C2">
        <w:rPr>
          <w:lang w:val="fr-FR"/>
        </w:rPr>
        <w:t xml:space="preserve">Il existe deux </w:t>
      </w:r>
      <w:r w:rsidR="001313C2">
        <w:rPr>
          <w:i/>
          <w:iCs/>
          <w:lang w:val="fr-FR"/>
        </w:rPr>
        <w:t>Secure Welfare Services</w:t>
      </w:r>
      <w:r w:rsidR="004059B4">
        <w:rPr>
          <w:lang w:val="fr-FR"/>
        </w:rPr>
        <w:t xml:space="preserve"> (centres de </w:t>
      </w:r>
      <w:r w:rsidR="004059B4" w:rsidRPr="004059B4">
        <w:rPr>
          <w:lang w:val="fr-FR"/>
        </w:rPr>
        <w:t xml:space="preserve">détention </w:t>
      </w:r>
      <w:r w:rsidR="00B650EF" w:rsidRPr="004059B4">
        <w:rPr>
          <w:lang w:val="fr-FR"/>
        </w:rPr>
        <w:t>fermés</w:t>
      </w:r>
      <w:r w:rsidR="00A8785A">
        <w:rPr>
          <w:lang w:val="fr-FR"/>
        </w:rPr>
        <w:t>)</w:t>
      </w:r>
      <w:r w:rsidR="004D3A85">
        <w:rPr>
          <w:lang w:val="fr-FR"/>
        </w:rPr>
        <w:t>,</w:t>
      </w:r>
      <w:r w:rsidR="001313C2">
        <w:rPr>
          <w:lang w:val="fr-FR"/>
        </w:rPr>
        <w:t xml:space="preserve"> l’un pour les garçons et l’autre pour les filles, dans lesquels il y a toujours un personnel du même sexe en service</w:t>
      </w:r>
      <w:r w:rsidR="008D6B80">
        <w:rPr>
          <w:lang w:val="fr-FR"/>
        </w:rPr>
        <w:t xml:space="preserve">. </w:t>
      </w:r>
      <w:r w:rsidR="001313C2">
        <w:rPr>
          <w:lang w:val="fr-FR"/>
        </w:rPr>
        <w:t>Il y a en permanence au moins deux membres du personnel supplémentaires en service pour renforcer l’observation et la surveillance du comportement du personnel.</w:t>
      </w:r>
    </w:p>
    <w:p w:rsidR="00440F5D" w:rsidRDefault="00B20BB7" w:rsidP="005D7B68">
      <w:pPr>
        <w:tabs>
          <w:tab w:val="left" w:pos="567"/>
          <w:tab w:val="left" w:pos="1134"/>
          <w:tab w:val="left" w:pos="1701"/>
          <w:tab w:val="left" w:pos="2268"/>
        </w:tabs>
        <w:rPr>
          <w:lang w:val="fr-FR"/>
        </w:rPr>
      </w:pPr>
      <w:r>
        <w:rPr>
          <w:lang w:val="fr-FR"/>
        </w:rPr>
        <w:t>160</w:t>
      </w:r>
      <w:r w:rsidR="00B650EF">
        <w:rPr>
          <w:lang w:val="fr-FR"/>
        </w:rPr>
        <w:t>.</w:t>
      </w:r>
      <w:r w:rsidR="00B650EF">
        <w:rPr>
          <w:lang w:val="fr-FR"/>
        </w:rPr>
        <w:tab/>
        <w:t>D</w:t>
      </w:r>
      <w:r w:rsidR="006B6948">
        <w:rPr>
          <w:lang w:val="fr-FR"/>
        </w:rPr>
        <w:t xml:space="preserve">es explications </w:t>
      </w:r>
      <w:r w:rsidR="00B650EF">
        <w:rPr>
          <w:lang w:val="fr-FR"/>
        </w:rPr>
        <w:t xml:space="preserve">sont données à tout le personnel </w:t>
      </w:r>
      <w:r w:rsidR="006B6948">
        <w:rPr>
          <w:lang w:val="fr-FR"/>
        </w:rPr>
        <w:t>sur les normes de comportement professionnel</w:t>
      </w:r>
      <w:r w:rsidR="008D6B80">
        <w:rPr>
          <w:lang w:val="fr-FR"/>
        </w:rPr>
        <w:t xml:space="preserve">. </w:t>
      </w:r>
      <w:r w:rsidR="006B6948">
        <w:rPr>
          <w:lang w:val="fr-FR"/>
        </w:rPr>
        <w:t>L</w:t>
      </w:r>
      <w:r w:rsidR="00E12644">
        <w:rPr>
          <w:lang w:val="fr-FR"/>
        </w:rPr>
        <w:t>es jeunes qui y sont placé</w:t>
      </w:r>
      <w:r w:rsidR="006B6948">
        <w:rPr>
          <w:lang w:val="fr-FR"/>
        </w:rPr>
        <w:t>s reçoivent, lors de leur admission, des informations (orales et écri</w:t>
      </w:r>
      <w:r w:rsidR="004D3A85">
        <w:rPr>
          <w:lang w:val="fr-FR"/>
        </w:rPr>
        <w:t>tes) sur leur droit de</w:t>
      </w:r>
      <w:r w:rsidR="006B6948">
        <w:rPr>
          <w:lang w:val="fr-FR"/>
        </w:rPr>
        <w:t xml:space="preserve"> déposer plainte et la manière de s’y prendre</w:t>
      </w:r>
      <w:r w:rsidR="00E12644">
        <w:rPr>
          <w:lang w:val="fr-FR"/>
        </w:rPr>
        <w:t xml:space="preserve"> pour l’exercer</w:t>
      </w:r>
      <w:r w:rsidR="006B6948">
        <w:rPr>
          <w:lang w:val="fr-FR"/>
        </w:rPr>
        <w:t>, ainsi que sur le rôle du bureau du Médiateur</w:t>
      </w:r>
      <w:r w:rsidR="007A3C0C">
        <w:rPr>
          <w:lang w:val="fr-FR"/>
        </w:rPr>
        <w:t>,</w:t>
      </w:r>
      <w:r w:rsidR="00440F5D">
        <w:rPr>
          <w:lang w:val="fr-FR"/>
        </w:rPr>
        <w:t xml:space="preserve"> et les détails sur les moyens d</w:t>
      </w:r>
      <w:r w:rsidR="00AB2B18">
        <w:rPr>
          <w:lang w:val="fr-FR"/>
        </w:rPr>
        <w:t>e</w:t>
      </w:r>
      <w:r w:rsidR="00440F5D">
        <w:rPr>
          <w:lang w:val="fr-FR"/>
        </w:rPr>
        <w:t xml:space="preserve"> prendre contact avec lui</w:t>
      </w:r>
      <w:r w:rsidR="008D6B80">
        <w:rPr>
          <w:lang w:val="fr-FR"/>
        </w:rPr>
        <w:t xml:space="preserve">. </w:t>
      </w:r>
      <w:r w:rsidR="00440F5D">
        <w:rPr>
          <w:lang w:val="fr-FR"/>
        </w:rPr>
        <w:t xml:space="preserve">Des représentants du bureau du Médiateur font des visites </w:t>
      </w:r>
      <w:r w:rsidR="004059B4">
        <w:rPr>
          <w:lang w:val="fr-FR"/>
        </w:rPr>
        <w:t>de routine dans les centres de détention fermés</w:t>
      </w:r>
      <w:r w:rsidR="00440F5D" w:rsidRPr="008051F6">
        <w:rPr>
          <w:color w:val="0000FF"/>
          <w:lang w:val="fr-FR"/>
        </w:rPr>
        <w:t xml:space="preserve"> </w:t>
      </w:r>
      <w:r w:rsidR="00440F5D">
        <w:rPr>
          <w:lang w:val="fr-FR"/>
        </w:rPr>
        <w:t>p</w:t>
      </w:r>
      <w:r w:rsidR="00E12644">
        <w:rPr>
          <w:lang w:val="fr-FR"/>
        </w:rPr>
        <w:t>our informer les jeunes</w:t>
      </w:r>
      <w:r w:rsidR="00AB2B18">
        <w:rPr>
          <w:lang w:val="fr-FR"/>
        </w:rPr>
        <w:t xml:space="preserve"> qui</w:t>
      </w:r>
      <w:r w:rsidR="00440F5D">
        <w:rPr>
          <w:lang w:val="fr-FR"/>
        </w:rPr>
        <w:t xml:space="preserve"> </w:t>
      </w:r>
      <w:r w:rsidR="00AB2B18">
        <w:rPr>
          <w:lang w:val="fr-FR"/>
        </w:rPr>
        <w:t xml:space="preserve">y </w:t>
      </w:r>
      <w:r w:rsidR="00440F5D">
        <w:rPr>
          <w:lang w:val="fr-FR"/>
        </w:rPr>
        <w:t>sont placées sur leur rôle, etc.</w:t>
      </w:r>
    </w:p>
    <w:p w:rsidR="00440F5D" w:rsidRDefault="00B20BB7" w:rsidP="005D7B68">
      <w:pPr>
        <w:tabs>
          <w:tab w:val="left" w:pos="567"/>
          <w:tab w:val="left" w:pos="1134"/>
          <w:tab w:val="left" w:pos="1701"/>
          <w:tab w:val="left" w:pos="2268"/>
        </w:tabs>
        <w:rPr>
          <w:lang w:val="fr-FR"/>
        </w:rPr>
      </w:pPr>
      <w:r>
        <w:rPr>
          <w:lang w:val="fr-FR"/>
        </w:rPr>
        <w:t>161</w:t>
      </w:r>
      <w:r w:rsidR="00440F5D">
        <w:rPr>
          <w:lang w:val="fr-FR"/>
        </w:rPr>
        <w:t>.</w:t>
      </w:r>
      <w:r w:rsidR="00440F5D">
        <w:rPr>
          <w:lang w:val="fr-FR"/>
        </w:rPr>
        <w:tab/>
        <w:t xml:space="preserve">Des chargés de dossiers </w:t>
      </w:r>
      <w:r w:rsidR="0086603C">
        <w:rPr>
          <w:lang w:val="fr-FR"/>
        </w:rPr>
        <w:t>vont voir régulièrement les intéressés</w:t>
      </w:r>
      <w:r w:rsidR="00440F5D">
        <w:rPr>
          <w:lang w:val="fr-FR"/>
        </w:rPr>
        <w:t xml:space="preserve"> et peuvent ainsi </w:t>
      </w:r>
      <w:r w:rsidR="0086603C">
        <w:rPr>
          <w:lang w:val="fr-FR"/>
        </w:rPr>
        <w:t xml:space="preserve">les </w:t>
      </w:r>
      <w:r w:rsidR="00440F5D">
        <w:rPr>
          <w:lang w:val="fr-FR"/>
        </w:rPr>
        <w:t>observer et avoir leurs réa</w:t>
      </w:r>
      <w:r w:rsidR="0086603C">
        <w:rPr>
          <w:lang w:val="fr-FR"/>
        </w:rPr>
        <w:t>ctions sur la manière dont ils sont</w:t>
      </w:r>
      <w:r w:rsidR="00440F5D">
        <w:rPr>
          <w:lang w:val="fr-FR"/>
        </w:rPr>
        <w:t xml:space="preserve"> traités.</w:t>
      </w:r>
    </w:p>
    <w:p w:rsidR="00292AA0" w:rsidRDefault="00440F5D" w:rsidP="005D7B68">
      <w:pPr>
        <w:tabs>
          <w:tab w:val="left" w:pos="567"/>
          <w:tab w:val="left" w:pos="1134"/>
          <w:tab w:val="left" w:pos="1701"/>
          <w:tab w:val="left" w:pos="2268"/>
        </w:tabs>
        <w:rPr>
          <w:lang w:val="fr-FR"/>
        </w:rPr>
      </w:pPr>
      <w:r>
        <w:rPr>
          <w:lang w:val="fr-FR"/>
        </w:rPr>
        <w:t>16</w:t>
      </w:r>
      <w:r w:rsidR="00B20BB7">
        <w:rPr>
          <w:lang w:val="fr-FR"/>
        </w:rPr>
        <w:t>2</w:t>
      </w:r>
      <w:r>
        <w:rPr>
          <w:lang w:val="fr-FR"/>
        </w:rPr>
        <w:t>.</w:t>
      </w:r>
      <w:r>
        <w:rPr>
          <w:lang w:val="fr-FR"/>
        </w:rPr>
        <w:tab/>
      </w:r>
      <w:r w:rsidR="00B267CD">
        <w:rPr>
          <w:lang w:val="fr-FR"/>
        </w:rPr>
        <w:t>La politique d</w:t>
      </w:r>
      <w:r w:rsidR="0086603C">
        <w:rPr>
          <w:lang w:val="fr-FR"/>
        </w:rPr>
        <w:t xml:space="preserve">u </w:t>
      </w:r>
      <w:r w:rsidR="00B267CD">
        <w:rPr>
          <w:lang w:val="fr-FR"/>
        </w:rPr>
        <w:t>Départ</w:t>
      </w:r>
      <w:r w:rsidR="00260C87">
        <w:rPr>
          <w:lang w:val="fr-FR"/>
        </w:rPr>
        <w:t xml:space="preserve">ement des </w:t>
      </w:r>
      <w:r w:rsidR="00972E1C">
        <w:rPr>
          <w:lang w:val="fr-FR"/>
        </w:rPr>
        <w:t>services sociaux</w:t>
      </w:r>
      <w:r w:rsidR="0086603C">
        <w:rPr>
          <w:lang w:val="fr-FR"/>
        </w:rPr>
        <w:t xml:space="preserve"> (</w:t>
      </w:r>
      <w:r w:rsidR="0086603C" w:rsidRPr="0086603C">
        <w:rPr>
          <w:i/>
          <w:iCs/>
          <w:lang w:val="fr-FR"/>
        </w:rPr>
        <w:t>Department of Human Services</w:t>
      </w:r>
      <w:r w:rsidR="0086603C">
        <w:rPr>
          <w:lang w:val="fr-FR"/>
        </w:rPr>
        <w:t>)</w:t>
      </w:r>
      <w:r w:rsidR="00B267CD">
        <w:rPr>
          <w:lang w:val="fr-FR"/>
        </w:rPr>
        <w:t xml:space="preserve"> concernant les déclarations de violences physiques ou sexuelles s’applique aux </w:t>
      </w:r>
      <w:r w:rsidR="004059B4" w:rsidRPr="004059B4">
        <w:rPr>
          <w:lang w:val="fr-FR"/>
        </w:rPr>
        <w:t>centres de détention fermés</w:t>
      </w:r>
      <w:r w:rsidR="008D6B80">
        <w:rPr>
          <w:lang w:val="fr-FR"/>
        </w:rPr>
        <w:t xml:space="preserve">. </w:t>
      </w:r>
      <w:r w:rsidR="00B267CD">
        <w:rPr>
          <w:lang w:val="fr-FR"/>
        </w:rPr>
        <w:t>Toutes les allégatio</w:t>
      </w:r>
      <w:r w:rsidR="0086603C">
        <w:rPr>
          <w:lang w:val="fr-FR"/>
        </w:rPr>
        <w:t>ns des jeunes</w:t>
      </w:r>
      <w:r w:rsidR="00B267CD">
        <w:rPr>
          <w:lang w:val="fr-FR"/>
        </w:rPr>
        <w:t xml:space="preserve"> sont immédiatement transmises au directeur de programme desdits services et </w:t>
      </w:r>
      <w:r w:rsidR="0086603C">
        <w:rPr>
          <w:lang w:val="fr-FR"/>
        </w:rPr>
        <w:t xml:space="preserve">à </w:t>
      </w:r>
      <w:r w:rsidR="00B267CD">
        <w:rPr>
          <w:lang w:val="fr-FR"/>
        </w:rPr>
        <w:t>la protection régionale de l’enfance par le</w:t>
      </w:r>
      <w:r w:rsidR="007A3C0C">
        <w:rPr>
          <w:lang w:val="fr-FR"/>
        </w:rPr>
        <w:t xml:space="preserve"> biais d’un rapport d’incident </w:t>
      </w:r>
      <w:r w:rsidR="00B267CD">
        <w:rPr>
          <w:lang w:val="fr-FR"/>
        </w:rPr>
        <w:t>critique</w:t>
      </w:r>
      <w:r w:rsidR="008D6B80">
        <w:rPr>
          <w:lang w:val="fr-FR"/>
        </w:rPr>
        <w:t xml:space="preserve">. </w:t>
      </w:r>
      <w:r w:rsidR="00B267CD">
        <w:rPr>
          <w:lang w:val="fr-FR"/>
        </w:rPr>
        <w:t>Ce dernier est également transmis au directeur régional et au(x) directeur(s) concerné(s) du bureau central</w:t>
      </w:r>
      <w:r w:rsidR="008D6B80">
        <w:rPr>
          <w:lang w:val="fr-FR"/>
        </w:rPr>
        <w:t xml:space="preserve">. </w:t>
      </w:r>
      <w:r w:rsidR="00AF7670">
        <w:rPr>
          <w:lang w:val="fr-FR"/>
        </w:rPr>
        <w:t>Une enquête indépendante est effectuée et des mesures de sécurité sont prises pour faire en sorte qu’il soit pou</w:t>
      </w:r>
      <w:r w:rsidR="0086603C">
        <w:rPr>
          <w:lang w:val="fr-FR"/>
        </w:rPr>
        <w:t>rvu au bien-être de l’intéressé</w:t>
      </w:r>
      <w:r w:rsidR="00AF7670">
        <w:rPr>
          <w:lang w:val="fr-FR"/>
        </w:rPr>
        <w:t>.</w:t>
      </w:r>
      <w:r w:rsidR="00B267CD">
        <w:rPr>
          <w:lang w:val="fr-FR"/>
        </w:rPr>
        <w:t xml:space="preserve"> </w:t>
      </w:r>
    </w:p>
    <w:p w:rsidR="00292AA0" w:rsidRDefault="00292AA0" w:rsidP="005D7B68">
      <w:pPr>
        <w:tabs>
          <w:tab w:val="left" w:pos="567"/>
          <w:tab w:val="left" w:pos="1134"/>
          <w:tab w:val="left" w:pos="1701"/>
          <w:tab w:val="left" w:pos="2268"/>
        </w:tabs>
        <w:rPr>
          <w:b/>
          <w:bCs/>
          <w:lang w:val="fr-FR"/>
        </w:rPr>
      </w:pPr>
      <w:r>
        <w:rPr>
          <w:b/>
          <w:bCs/>
          <w:lang w:val="fr-FR"/>
        </w:rPr>
        <w:t>Santé mentale</w:t>
      </w:r>
    </w:p>
    <w:p w:rsidR="00362662" w:rsidRDefault="00B20BB7" w:rsidP="005D7B68">
      <w:pPr>
        <w:tabs>
          <w:tab w:val="left" w:pos="567"/>
          <w:tab w:val="left" w:pos="1134"/>
          <w:tab w:val="left" w:pos="1701"/>
          <w:tab w:val="left" w:pos="2268"/>
        </w:tabs>
        <w:rPr>
          <w:lang w:val="fr-FR"/>
        </w:rPr>
      </w:pPr>
      <w:r>
        <w:rPr>
          <w:lang w:val="fr-FR"/>
        </w:rPr>
        <w:t>163</w:t>
      </w:r>
      <w:r w:rsidR="00292AA0">
        <w:rPr>
          <w:lang w:val="fr-FR"/>
        </w:rPr>
        <w:t>.</w:t>
      </w:r>
      <w:r w:rsidR="00260C87">
        <w:rPr>
          <w:lang w:val="fr-FR"/>
        </w:rPr>
        <w:tab/>
        <w:t xml:space="preserve">Le Département des </w:t>
      </w:r>
      <w:r w:rsidR="00972E1C">
        <w:rPr>
          <w:lang w:val="fr-FR"/>
        </w:rPr>
        <w:t>services sociaux</w:t>
      </w:r>
      <w:r w:rsidR="00260C87">
        <w:rPr>
          <w:lang w:val="fr-FR"/>
        </w:rPr>
        <w:t xml:space="preserve"> de l’État de Victoria a lancé un projet d’enquête de </w:t>
      </w:r>
      <w:r w:rsidR="005A6467">
        <w:rPr>
          <w:lang w:val="fr-FR"/>
        </w:rPr>
        <w:t>douze</w:t>
      </w:r>
      <w:r w:rsidR="00260C87">
        <w:rPr>
          <w:lang w:val="fr-FR"/>
        </w:rPr>
        <w:t xml:space="preserve"> mois sur les préoccupations concernant la sexospécificité et la sécurité des femmes dans les services</w:t>
      </w:r>
      <w:r w:rsidR="00B956A8">
        <w:rPr>
          <w:lang w:val="fr-FR"/>
        </w:rPr>
        <w:t xml:space="preserve"> hospitaliers de santé mentale pour adultes</w:t>
      </w:r>
      <w:r w:rsidR="008D6B80">
        <w:rPr>
          <w:lang w:val="fr-FR"/>
        </w:rPr>
        <w:t xml:space="preserve">. </w:t>
      </w:r>
      <w:r w:rsidR="00B956A8">
        <w:rPr>
          <w:lang w:val="fr-FR"/>
        </w:rPr>
        <w:t>En outre,</w:t>
      </w:r>
      <w:r w:rsidR="005A6467">
        <w:rPr>
          <w:lang w:val="fr-FR"/>
        </w:rPr>
        <w:t xml:space="preserve"> le Département a alloué 20 000 </w:t>
      </w:r>
      <w:r w:rsidR="00B956A8">
        <w:rPr>
          <w:lang w:val="fr-FR"/>
        </w:rPr>
        <w:t>dollars à chacun de ces services pour leur permettre de procéder à des changements dans les installations afin d’améliorer la sécurité des patientes.</w:t>
      </w:r>
    </w:p>
    <w:p w:rsidR="00237807" w:rsidRDefault="00B20BB7" w:rsidP="005D7B68">
      <w:pPr>
        <w:tabs>
          <w:tab w:val="left" w:pos="567"/>
          <w:tab w:val="left" w:pos="1134"/>
          <w:tab w:val="left" w:pos="1701"/>
          <w:tab w:val="left" w:pos="2268"/>
        </w:tabs>
        <w:rPr>
          <w:lang w:val="fr-FR"/>
        </w:rPr>
      </w:pPr>
      <w:r>
        <w:rPr>
          <w:lang w:val="fr-FR"/>
        </w:rPr>
        <w:t>164</w:t>
      </w:r>
      <w:r w:rsidR="00362662">
        <w:rPr>
          <w:lang w:val="fr-FR"/>
        </w:rPr>
        <w:t>.</w:t>
      </w:r>
      <w:r w:rsidR="00362662">
        <w:rPr>
          <w:lang w:val="fr-FR"/>
        </w:rPr>
        <w:tab/>
        <w:t xml:space="preserve">Le </w:t>
      </w:r>
      <w:r w:rsidR="0097775A">
        <w:rPr>
          <w:lang w:val="fr-FR"/>
        </w:rPr>
        <w:t xml:space="preserve">rôle du </w:t>
      </w:r>
      <w:r w:rsidR="00362662">
        <w:rPr>
          <w:lang w:val="fr-FR"/>
        </w:rPr>
        <w:t>psychiatre pri</w:t>
      </w:r>
      <w:r w:rsidR="0097775A">
        <w:rPr>
          <w:lang w:val="fr-FR"/>
        </w:rPr>
        <w:t>ncipal est défini par</w:t>
      </w:r>
      <w:r w:rsidR="00362662">
        <w:rPr>
          <w:lang w:val="fr-FR"/>
        </w:rPr>
        <w:t xml:space="preserve"> la </w:t>
      </w:r>
      <w:r w:rsidR="00362662" w:rsidRPr="0097775A">
        <w:rPr>
          <w:lang w:val="fr-FR"/>
        </w:rPr>
        <w:t>loi de 1986 sur la santé mentale</w:t>
      </w:r>
      <w:r w:rsidR="00362662">
        <w:rPr>
          <w:i/>
          <w:iCs/>
          <w:lang w:val="fr-FR"/>
        </w:rPr>
        <w:t xml:space="preserve"> </w:t>
      </w:r>
      <w:r w:rsidR="00362662">
        <w:rPr>
          <w:lang w:val="fr-FR"/>
        </w:rPr>
        <w:t>de l’État de Victoria</w:t>
      </w:r>
      <w:r w:rsidR="008D6B80">
        <w:rPr>
          <w:lang w:val="fr-FR"/>
        </w:rPr>
        <w:t xml:space="preserve">. </w:t>
      </w:r>
      <w:r w:rsidR="00237807">
        <w:rPr>
          <w:lang w:val="fr-FR"/>
        </w:rPr>
        <w:t>Il est habilité à effectuer des enquêtes sur les plaintes déposées et à prendre les mesures nécessaires.</w:t>
      </w:r>
    </w:p>
    <w:p w:rsidR="00237807" w:rsidRDefault="00237807" w:rsidP="005D7B68">
      <w:pPr>
        <w:tabs>
          <w:tab w:val="left" w:pos="567"/>
          <w:tab w:val="left" w:pos="1134"/>
          <w:tab w:val="left" w:pos="1701"/>
          <w:tab w:val="left" w:pos="2268"/>
        </w:tabs>
        <w:rPr>
          <w:b/>
          <w:bCs/>
          <w:lang w:val="fr-FR"/>
        </w:rPr>
      </w:pPr>
      <w:r>
        <w:rPr>
          <w:b/>
          <w:bCs/>
          <w:lang w:val="fr-FR"/>
        </w:rPr>
        <w:t>Garde à vue</w:t>
      </w:r>
    </w:p>
    <w:p w:rsidR="0026242E" w:rsidRDefault="00B20BB7" w:rsidP="005D7B68">
      <w:pPr>
        <w:tabs>
          <w:tab w:val="left" w:pos="567"/>
          <w:tab w:val="left" w:pos="1134"/>
          <w:tab w:val="left" w:pos="1701"/>
          <w:tab w:val="left" w:pos="2268"/>
        </w:tabs>
        <w:rPr>
          <w:lang w:val="fr-FR"/>
        </w:rPr>
      </w:pPr>
      <w:r>
        <w:rPr>
          <w:bCs/>
          <w:lang w:val="fr-FR"/>
        </w:rPr>
        <w:t>165</w:t>
      </w:r>
      <w:r w:rsidR="00237807">
        <w:rPr>
          <w:bCs/>
          <w:lang w:val="fr-FR"/>
        </w:rPr>
        <w:t>.</w:t>
      </w:r>
      <w:r w:rsidR="00237807">
        <w:rPr>
          <w:bCs/>
          <w:lang w:val="fr-FR"/>
        </w:rPr>
        <w:tab/>
        <w:t>Le manuel de la police de l’État de Victoria fournit des informations uti</w:t>
      </w:r>
      <w:r w:rsidR="00C74EA4">
        <w:rPr>
          <w:bCs/>
          <w:lang w:val="fr-FR"/>
        </w:rPr>
        <w:t>les</w:t>
      </w:r>
      <w:r w:rsidR="00237807">
        <w:rPr>
          <w:bCs/>
          <w:lang w:val="fr-FR"/>
        </w:rPr>
        <w:t xml:space="preserve"> concernant les pratiques et les prescriptions législatives relatives aux personnes placées en garde à vue</w:t>
      </w:r>
      <w:r w:rsidR="008D6B80">
        <w:rPr>
          <w:bCs/>
          <w:lang w:val="fr-FR"/>
        </w:rPr>
        <w:t xml:space="preserve">. </w:t>
      </w:r>
      <w:r w:rsidR="00237807">
        <w:rPr>
          <w:bCs/>
          <w:lang w:val="fr-FR"/>
        </w:rPr>
        <w:t xml:space="preserve">Il s’agit, en l’occurrence, qu’elles soient toutes traitées avec humanité et </w:t>
      </w:r>
      <w:r w:rsidR="0026242E">
        <w:rPr>
          <w:bCs/>
          <w:lang w:val="fr-FR"/>
        </w:rPr>
        <w:t>bénéficient d’une protection physique et mentale constante</w:t>
      </w:r>
      <w:r w:rsidR="008D6B80">
        <w:rPr>
          <w:bCs/>
          <w:lang w:val="fr-FR"/>
        </w:rPr>
        <w:t xml:space="preserve">. </w:t>
      </w:r>
      <w:r w:rsidR="0026242E">
        <w:rPr>
          <w:bCs/>
          <w:lang w:val="fr-FR"/>
        </w:rPr>
        <w:t>Les citoyens de l’État de</w:t>
      </w:r>
      <w:r w:rsidR="007B3750">
        <w:rPr>
          <w:bCs/>
          <w:lang w:val="fr-FR"/>
        </w:rPr>
        <w:t xml:space="preserve"> Victoria peuvent déposer une réclamation</w:t>
      </w:r>
      <w:r w:rsidR="0026242E">
        <w:rPr>
          <w:bCs/>
          <w:lang w:val="fr-FR"/>
        </w:rPr>
        <w:t xml:space="preserve"> auprès du Département</w:t>
      </w:r>
      <w:r w:rsidR="006B6948" w:rsidRPr="00440F5D">
        <w:rPr>
          <w:i/>
          <w:iCs/>
          <w:lang w:val="fr-FR"/>
        </w:rPr>
        <w:t xml:space="preserve"> </w:t>
      </w:r>
      <w:r w:rsidR="007027C2">
        <w:rPr>
          <w:lang w:val="fr-FR"/>
        </w:rPr>
        <w:t>de la déontologie de la</w:t>
      </w:r>
      <w:r w:rsidR="001E3D9B">
        <w:rPr>
          <w:lang w:val="fr-FR"/>
        </w:rPr>
        <w:t xml:space="preserve"> police du</w:t>
      </w:r>
      <w:r w:rsidR="0026242E">
        <w:rPr>
          <w:lang w:val="fr-FR"/>
        </w:rPr>
        <w:t xml:space="preserve"> Victoria, du </w:t>
      </w:r>
      <w:r w:rsidR="0026242E" w:rsidRPr="0026242E">
        <w:rPr>
          <w:i/>
          <w:iCs/>
          <w:lang w:val="fr-FR"/>
        </w:rPr>
        <w:t>Victorian Office of Police Integrity</w:t>
      </w:r>
      <w:r w:rsidR="008051F6">
        <w:rPr>
          <w:lang w:val="fr-FR"/>
        </w:rPr>
        <w:t xml:space="preserve"> (B</w:t>
      </w:r>
      <w:r w:rsidR="0026242E">
        <w:rPr>
          <w:lang w:val="fr-FR"/>
        </w:rPr>
        <w:t>ureau de l’intégrité policièr</w:t>
      </w:r>
      <w:r w:rsidR="009B704F">
        <w:rPr>
          <w:lang w:val="fr-FR"/>
        </w:rPr>
        <w:t>e du</w:t>
      </w:r>
      <w:r w:rsidR="0026242E">
        <w:rPr>
          <w:lang w:val="fr-FR"/>
        </w:rPr>
        <w:t xml:space="preserve"> Victoria)</w:t>
      </w:r>
      <w:r w:rsidR="006B6948" w:rsidRPr="00440F5D">
        <w:rPr>
          <w:i/>
          <w:iCs/>
          <w:lang w:val="fr-FR"/>
        </w:rPr>
        <w:t xml:space="preserve"> </w:t>
      </w:r>
      <w:r w:rsidR="0026242E">
        <w:rPr>
          <w:lang w:val="fr-FR"/>
        </w:rPr>
        <w:t>ou du Ministre des services de police et d’urgence.</w:t>
      </w:r>
    </w:p>
    <w:p w:rsidR="0026242E" w:rsidRDefault="0026242E" w:rsidP="005D7B68">
      <w:pPr>
        <w:tabs>
          <w:tab w:val="left" w:pos="567"/>
          <w:tab w:val="left" w:pos="1134"/>
          <w:tab w:val="left" w:pos="1701"/>
          <w:tab w:val="left" w:pos="2268"/>
        </w:tabs>
        <w:rPr>
          <w:b/>
          <w:bCs/>
          <w:lang w:val="fr-FR"/>
        </w:rPr>
      </w:pPr>
      <w:r w:rsidRPr="0026242E">
        <w:rPr>
          <w:b/>
          <w:bCs/>
          <w:lang w:val="fr-FR"/>
        </w:rPr>
        <w:t>Établissements pénitentiaires</w:t>
      </w:r>
    </w:p>
    <w:p w:rsidR="00E732D8" w:rsidRDefault="00B20BB7" w:rsidP="005D7B68">
      <w:pPr>
        <w:tabs>
          <w:tab w:val="left" w:pos="567"/>
          <w:tab w:val="left" w:pos="1134"/>
          <w:tab w:val="left" w:pos="1701"/>
          <w:tab w:val="left" w:pos="2268"/>
        </w:tabs>
        <w:rPr>
          <w:lang w:val="fr-FR"/>
        </w:rPr>
      </w:pPr>
      <w:r>
        <w:rPr>
          <w:lang w:val="fr-FR"/>
        </w:rPr>
        <w:t>166</w:t>
      </w:r>
      <w:r w:rsidR="00382A21">
        <w:rPr>
          <w:lang w:val="fr-FR"/>
        </w:rPr>
        <w:t>.</w:t>
      </w:r>
      <w:r w:rsidR="00382A21">
        <w:rPr>
          <w:lang w:val="fr-FR"/>
        </w:rPr>
        <w:tab/>
        <w:t>Toutes les détenues du</w:t>
      </w:r>
      <w:r w:rsidR="0026242E">
        <w:rPr>
          <w:lang w:val="fr-FR"/>
        </w:rPr>
        <w:t xml:space="preserve"> Victoria sont placées dans des prisons pour femmes, à l’écart des détenus hommes</w:t>
      </w:r>
      <w:r w:rsidR="008D6B80">
        <w:rPr>
          <w:lang w:val="fr-FR"/>
        </w:rPr>
        <w:t xml:space="preserve">. </w:t>
      </w:r>
      <w:r w:rsidR="00E732D8">
        <w:rPr>
          <w:lang w:val="fr-FR"/>
        </w:rPr>
        <w:t>Un ensemble de processus et d’initiatives a ét</w:t>
      </w:r>
      <w:r w:rsidR="007027C2">
        <w:rPr>
          <w:lang w:val="fr-FR"/>
        </w:rPr>
        <w:t>é mis en place pour permettre de répondre à leurs</w:t>
      </w:r>
      <w:r w:rsidR="00E732D8">
        <w:rPr>
          <w:lang w:val="fr-FR"/>
        </w:rPr>
        <w:t xml:space="preserve"> besoins particuliers et </w:t>
      </w:r>
      <w:r w:rsidR="007027C2">
        <w:rPr>
          <w:lang w:val="fr-FR"/>
        </w:rPr>
        <w:t xml:space="preserve">de </w:t>
      </w:r>
      <w:r w:rsidR="00E732D8">
        <w:rPr>
          <w:lang w:val="fr-FR"/>
        </w:rPr>
        <w:t>veiller à leur bien-être</w:t>
      </w:r>
      <w:r w:rsidR="00572260">
        <w:rPr>
          <w:lang w:val="fr-FR"/>
        </w:rPr>
        <w:t>:</w:t>
      </w:r>
    </w:p>
    <w:p w:rsidR="008F5A6B" w:rsidRDefault="008F5A6B" w:rsidP="00B96219">
      <w:pPr>
        <w:numPr>
          <w:ilvl w:val="1"/>
          <w:numId w:val="16"/>
        </w:numPr>
        <w:tabs>
          <w:tab w:val="left" w:pos="567"/>
          <w:tab w:val="left" w:pos="1134"/>
          <w:tab w:val="left" w:pos="1701"/>
          <w:tab w:val="left" w:pos="2268"/>
        </w:tabs>
        <w:rPr>
          <w:lang w:val="fr-FR"/>
        </w:rPr>
      </w:pPr>
      <w:r>
        <w:rPr>
          <w:lang w:val="fr-FR"/>
        </w:rPr>
        <w:t>Le Comité consultatif</w:t>
      </w:r>
      <w:r w:rsidR="00E732D8">
        <w:rPr>
          <w:lang w:val="fr-FR"/>
        </w:rPr>
        <w:t xml:space="preserve"> pour les services pénitentiaires destinés aux femmes, présidé par le secrétaire d’État à la justice, a été créé par le Ministre chargé de l’administra</w:t>
      </w:r>
      <w:r w:rsidR="005D6015">
        <w:rPr>
          <w:lang w:val="fr-FR"/>
        </w:rPr>
        <w:t>tion pénitentiaire en 2003, afin de formuler</w:t>
      </w:r>
      <w:r w:rsidR="00E732D8">
        <w:rPr>
          <w:lang w:val="fr-FR"/>
        </w:rPr>
        <w:t xml:space="preserve"> des conseils</w:t>
      </w:r>
      <w:r w:rsidR="005D6015">
        <w:rPr>
          <w:lang w:val="fr-FR"/>
        </w:rPr>
        <w:t>, à titre d’instance spécialisée</w:t>
      </w:r>
      <w:r w:rsidR="00E732D8">
        <w:rPr>
          <w:lang w:val="fr-FR"/>
        </w:rPr>
        <w:t xml:space="preserve"> non gouvernemental</w:t>
      </w:r>
      <w:r w:rsidR="005D6015">
        <w:rPr>
          <w:lang w:val="fr-FR"/>
        </w:rPr>
        <w:t>e,</w:t>
      </w:r>
      <w:r w:rsidR="00E732D8">
        <w:rPr>
          <w:lang w:val="fr-FR"/>
        </w:rPr>
        <w:t xml:space="preserve"> concernant les services pénitentiaires pour les femmes</w:t>
      </w:r>
      <w:r w:rsidR="008D6B80">
        <w:rPr>
          <w:lang w:val="fr-FR"/>
        </w:rPr>
        <w:t xml:space="preserve">. </w:t>
      </w:r>
      <w:r w:rsidR="00E732D8">
        <w:rPr>
          <w:lang w:val="fr-FR"/>
        </w:rPr>
        <w:t>Ce comité est composé de 14 membres n’appartenant pas au gouvernement</w:t>
      </w:r>
      <w:r w:rsidR="00854628">
        <w:rPr>
          <w:lang w:val="fr-FR"/>
        </w:rPr>
        <w:t xml:space="preserve"> et</w:t>
      </w:r>
      <w:r w:rsidR="00E732D8">
        <w:rPr>
          <w:lang w:val="fr-FR"/>
        </w:rPr>
        <w:t xml:space="preserve"> dont le recrutement est fondé sur l’expérience et le savoir-faire en matière de services pénitentiaires pour les femmes</w:t>
      </w:r>
      <w:r w:rsidR="00DC164A">
        <w:rPr>
          <w:lang w:val="fr-FR"/>
        </w:rPr>
        <w:t>, de sensibilisation</w:t>
      </w:r>
      <w:r>
        <w:rPr>
          <w:lang w:val="fr-FR"/>
        </w:rPr>
        <w:t xml:space="preserve">, de recherche, de gestion, ainsi que sur leur expérience des milieux </w:t>
      </w:r>
      <w:r w:rsidR="005A6467">
        <w:rPr>
          <w:lang w:val="fr-FR"/>
        </w:rPr>
        <w:t>intellectuels et universitaires;</w:t>
      </w:r>
    </w:p>
    <w:p w:rsidR="00725230" w:rsidRDefault="008F5A6B" w:rsidP="005D7B68">
      <w:pPr>
        <w:numPr>
          <w:ilvl w:val="1"/>
          <w:numId w:val="16"/>
        </w:numPr>
        <w:tabs>
          <w:tab w:val="left" w:pos="567"/>
          <w:tab w:val="left" w:pos="1134"/>
          <w:tab w:val="left" w:pos="1701"/>
          <w:tab w:val="left" w:pos="2268"/>
        </w:tabs>
        <w:rPr>
          <w:lang w:val="fr-FR"/>
        </w:rPr>
      </w:pPr>
      <w:r>
        <w:rPr>
          <w:lang w:val="fr-FR"/>
        </w:rPr>
        <w:t>Les normes de 200</w:t>
      </w:r>
      <w:r w:rsidR="007929F0">
        <w:rPr>
          <w:lang w:val="fr-FR"/>
        </w:rPr>
        <w:t>6 pour la gestion des détenues, dans l’État de</w:t>
      </w:r>
      <w:r>
        <w:rPr>
          <w:lang w:val="fr-FR"/>
        </w:rPr>
        <w:t xml:space="preserve"> Victoria</w:t>
      </w:r>
      <w:r w:rsidR="007929F0">
        <w:rPr>
          <w:lang w:val="fr-FR"/>
        </w:rPr>
        <w:t>,</w:t>
      </w:r>
      <w:r>
        <w:rPr>
          <w:lang w:val="fr-FR"/>
        </w:rPr>
        <w:t xml:space="preserve"> ont été élaborées sous le contrôle du Comité consultatif pour les services pénitentiaires destinés aux femmes, et correspondent à une approche de la gestion des prisonnières qui tient compte de leurs préoccupations et de leurs</w:t>
      </w:r>
      <w:r w:rsidR="00725230">
        <w:rPr>
          <w:lang w:val="fr-FR"/>
        </w:rPr>
        <w:t xml:space="preserve"> besoins</w:t>
      </w:r>
      <w:r w:rsidR="008D6B80">
        <w:rPr>
          <w:lang w:val="fr-FR"/>
        </w:rPr>
        <w:t xml:space="preserve">. </w:t>
      </w:r>
      <w:r w:rsidR="00725230">
        <w:rPr>
          <w:lang w:val="fr-FR"/>
        </w:rPr>
        <w:t>E</w:t>
      </w:r>
      <w:r w:rsidR="005D6015">
        <w:rPr>
          <w:lang w:val="fr-FR"/>
        </w:rPr>
        <w:t>lles définissent les règles</w:t>
      </w:r>
      <w:r w:rsidR="00725230">
        <w:rPr>
          <w:lang w:val="fr-FR"/>
        </w:rPr>
        <w:t xml:space="preserve"> minimales destinées aux services pénitentiaires pour les femmes et constituent la base des procédures de fonctio</w:t>
      </w:r>
      <w:r w:rsidR="005A6467">
        <w:rPr>
          <w:lang w:val="fr-FR"/>
        </w:rPr>
        <w:t>nnement des prisons pour femmes;</w:t>
      </w:r>
    </w:p>
    <w:p w:rsidR="007C5B94" w:rsidRDefault="00725230" w:rsidP="005D7B68">
      <w:pPr>
        <w:numPr>
          <w:ilvl w:val="1"/>
          <w:numId w:val="16"/>
        </w:numPr>
        <w:tabs>
          <w:tab w:val="left" w:pos="567"/>
          <w:tab w:val="left" w:pos="1134"/>
          <w:tab w:val="left" w:pos="1701"/>
          <w:tab w:val="left" w:pos="2268"/>
        </w:tabs>
        <w:rPr>
          <w:lang w:val="fr-FR"/>
        </w:rPr>
      </w:pPr>
      <w:r>
        <w:rPr>
          <w:lang w:val="fr-FR"/>
        </w:rPr>
        <w:t xml:space="preserve">L’Inspection des établissements pénitentiaires est indépendante de </w:t>
      </w:r>
      <w:r w:rsidRPr="00725230">
        <w:rPr>
          <w:i/>
          <w:iCs/>
          <w:lang w:val="fr-FR"/>
        </w:rPr>
        <w:t>Corrections Victoria</w:t>
      </w:r>
      <w:r>
        <w:rPr>
          <w:lang w:val="fr-FR"/>
        </w:rPr>
        <w:t xml:space="preserve"> </w:t>
      </w:r>
      <w:r w:rsidR="000821C9">
        <w:rPr>
          <w:lang w:val="fr-FR"/>
        </w:rPr>
        <w:t>(l’organisme d’administration des établissements</w:t>
      </w:r>
      <w:r w:rsidR="00F67B83">
        <w:rPr>
          <w:lang w:val="fr-FR"/>
        </w:rPr>
        <w:t xml:space="preserve"> et services</w:t>
      </w:r>
      <w:r w:rsidR="000821C9">
        <w:rPr>
          <w:lang w:val="fr-FR"/>
        </w:rPr>
        <w:t xml:space="preserve"> pénitentiaires de cet État) </w:t>
      </w:r>
      <w:r>
        <w:rPr>
          <w:lang w:val="fr-FR"/>
        </w:rPr>
        <w:t>et dépend directement du Secrétaire d’État à la justice et du Ministre chargé de l’administration pénitentiaire</w:t>
      </w:r>
      <w:r w:rsidR="008D6B80">
        <w:rPr>
          <w:lang w:val="fr-FR"/>
        </w:rPr>
        <w:t xml:space="preserve">. </w:t>
      </w:r>
      <w:r>
        <w:rPr>
          <w:lang w:val="fr-FR"/>
        </w:rPr>
        <w:t>Son rôle est d’assurer le bien-être de tous les détenus grâce à des processus de surveillance et d’examen</w:t>
      </w:r>
      <w:r w:rsidR="008D6B80">
        <w:rPr>
          <w:lang w:val="fr-FR"/>
        </w:rPr>
        <w:t xml:space="preserve">. </w:t>
      </w:r>
      <w:r w:rsidR="007C5B94">
        <w:rPr>
          <w:lang w:val="fr-FR"/>
        </w:rPr>
        <w:t xml:space="preserve">Il procède régulièrement </w:t>
      </w:r>
      <w:r w:rsidR="00BF2901">
        <w:rPr>
          <w:lang w:val="fr-FR"/>
        </w:rPr>
        <w:t xml:space="preserve">à </w:t>
      </w:r>
      <w:r w:rsidR="007C5B94">
        <w:rPr>
          <w:lang w:val="fr-FR"/>
        </w:rPr>
        <w:t>des examens du système carcéral fondés sur les p</w:t>
      </w:r>
      <w:r w:rsidR="005A6467">
        <w:rPr>
          <w:lang w:val="fr-FR"/>
        </w:rPr>
        <w:t>rincipes dits de prisons saines;</w:t>
      </w:r>
    </w:p>
    <w:p w:rsidR="007C5B94" w:rsidRPr="005B7D04" w:rsidRDefault="007C5B94" w:rsidP="005D7B68">
      <w:pPr>
        <w:numPr>
          <w:ilvl w:val="1"/>
          <w:numId w:val="16"/>
        </w:numPr>
        <w:tabs>
          <w:tab w:val="left" w:pos="567"/>
          <w:tab w:val="left" w:pos="1134"/>
          <w:tab w:val="left" w:pos="1701"/>
          <w:tab w:val="left" w:pos="2268"/>
        </w:tabs>
        <w:rPr>
          <w:lang w:val="fr-FR"/>
        </w:rPr>
      </w:pPr>
      <w:r>
        <w:rPr>
          <w:lang w:val="fr-FR"/>
        </w:rPr>
        <w:t xml:space="preserve">La </w:t>
      </w:r>
      <w:r w:rsidRPr="005B7D04">
        <w:rPr>
          <w:lang w:val="fr-FR"/>
        </w:rPr>
        <w:t xml:space="preserve">Better Pathways Strategy </w:t>
      </w:r>
      <w:r>
        <w:rPr>
          <w:lang w:val="fr-FR"/>
        </w:rPr>
        <w:t>(la stratégie des meilleures voies) consiste en un ensemble de 37 initiatives destinées à permettre de faire diminuer la délinquance, l’emprisonnement, l</w:t>
      </w:r>
      <w:r w:rsidR="00BF2901">
        <w:rPr>
          <w:lang w:val="fr-FR"/>
        </w:rPr>
        <w:t>es récidives et le harcèlement</w:t>
      </w:r>
      <w:r>
        <w:rPr>
          <w:lang w:val="fr-FR"/>
        </w:rPr>
        <w:t xml:space="preserve"> des</w:t>
      </w:r>
      <w:r w:rsidR="00BF2901">
        <w:rPr>
          <w:lang w:val="fr-FR"/>
        </w:rPr>
        <w:t xml:space="preserve"> femmes</w:t>
      </w:r>
      <w:r w:rsidR="008D6B80">
        <w:rPr>
          <w:lang w:val="fr-FR"/>
        </w:rPr>
        <w:t xml:space="preserve">. </w:t>
      </w:r>
      <w:r w:rsidR="00BF2901">
        <w:rPr>
          <w:lang w:val="fr-FR"/>
        </w:rPr>
        <w:t>Le Gouvernement de l’É</w:t>
      </w:r>
      <w:r>
        <w:rPr>
          <w:lang w:val="fr-FR"/>
        </w:rPr>
        <w:t>tat de Victoria a alloué 25,5 millions de dollars pour financer cette st</w:t>
      </w:r>
      <w:r w:rsidR="00DE6DA5">
        <w:rPr>
          <w:lang w:val="fr-FR"/>
        </w:rPr>
        <w:t>ratégie sur quatre ans, de 2005/06 à 2008/</w:t>
      </w:r>
      <w:r>
        <w:rPr>
          <w:lang w:val="fr-FR"/>
        </w:rPr>
        <w:t>09, dont 18,3 millions de dollars sont affectés à des programmes de soutien aux détenues et aux condamnées et 7,2 millions à des améliorations des instal</w:t>
      </w:r>
      <w:r w:rsidR="005A6467">
        <w:rPr>
          <w:lang w:val="fr-FR"/>
        </w:rPr>
        <w:t>lations des prisons pour femmes;</w:t>
      </w:r>
      <w:r w:rsidR="00725230" w:rsidRPr="005B7D04">
        <w:rPr>
          <w:lang w:val="fr-FR"/>
        </w:rPr>
        <w:t xml:space="preserve"> </w:t>
      </w:r>
    </w:p>
    <w:p w:rsidR="0073208C" w:rsidRDefault="007C5B94" w:rsidP="005D7B68">
      <w:pPr>
        <w:numPr>
          <w:ilvl w:val="1"/>
          <w:numId w:val="16"/>
        </w:numPr>
        <w:tabs>
          <w:tab w:val="left" w:pos="567"/>
          <w:tab w:val="left" w:pos="1134"/>
          <w:tab w:val="left" w:pos="1701"/>
          <w:tab w:val="left" w:pos="2268"/>
        </w:tabs>
        <w:rPr>
          <w:lang w:val="fr-FR"/>
        </w:rPr>
      </w:pPr>
      <w:r>
        <w:rPr>
          <w:lang w:val="fr-FR"/>
        </w:rPr>
        <w:t xml:space="preserve">Le </w:t>
      </w:r>
      <w:r>
        <w:rPr>
          <w:i/>
          <w:iCs/>
          <w:lang w:val="fr-FR"/>
        </w:rPr>
        <w:t xml:space="preserve">Womens’s Correctional Services Framework </w:t>
      </w:r>
      <w:r>
        <w:rPr>
          <w:lang w:val="fr-FR"/>
        </w:rPr>
        <w:t xml:space="preserve">(Cadre </w:t>
      </w:r>
      <w:r w:rsidR="00CA46DB">
        <w:rPr>
          <w:lang w:val="fr-FR"/>
        </w:rPr>
        <w:t xml:space="preserve">de références </w:t>
      </w:r>
      <w:r>
        <w:rPr>
          <w:lang w:val="fr-FR"/>
        </w:rPr>
        <w:t xml:space="preserve">des services pénitentiaires pour les femmes) est une initiative faisant partie de la </w:t>
      </w:r>
      <w:r w:rsidR="00A619D6">
        <w:rPr>
          <w:lang w:val="fr-FR"/>
        </w:rPr>
        <w:t>«</w:t>
      </w:r>
      <w:r>
        <w:rPr>
          <w:lang w:val="fr-FR"/>
        </w:rPr>
        <w:t>stratégie des meilleures voies</w:t>
      </w:r>
      <w:r w:rsidR="00A619D6">
        <w:rPr>
          <w:lang w:val="fr-FR"/>
        </w:rPr>
        <w:t>»</w:t>
      </w:r>
      <w:r>
        <w:rPr>
          <w:lang w:val="fr-FR"/>
        </w:rPr>
        <w:t>, et propose une structure permettant de poursuivre ces développements à long terme</w:t>
      </w:r>
      <w:r w:rsidR="008D6B80">
        <w:rPr>
          <w:lang w:val="fr-FR"/>
        </w:rPr>
        <w:t xml:space="preserve">. </w:t>
      </w:r>
      <w:r w:rsidR="00DE6DA5">
        <w:rPr>
          <w:lang w:val="fr-FR"/>
        </w:rPr>
        <w:t>Il </w:t>
      </w:r>
      <w:r>
        <w:rPr>
          <w:lang w:val="fr-FR"/>
        </w:rPr>
        <w:t>comporte un ensemble</w:t>
      </w:r>
      <w:r w:rsidR="0073208C">
        <w:rPr>
          <w:lang w:val="fr-FR"/>
        </w:rPr>
        <w:t xml:space="preserve"> unificateur de principes e</w:t>
      </w:r>
      <w:r w:rsidR="00CA46DB">
        <w:rPr>
          <w:lang w:val="fr-FR"/>
        </w:rPr>
        <w:t>t d’objectifs opérationnels destiné à</w:t>
      </w:r>
      <w:r w:rsidR="0073208C">
        <w:rPr>
          <w:lang w:val="fr-FR"/>
        </w:rPr>
        <w:t xml:space="preserve"> orienter le développement et la prestation à long terme de services pénitentiaires tenant compte des préoccupations et des besoins des femmes</w:t>
      </w:r>
      <w:r w:rsidR="005A6467">
        <w:rPr>
          <w:lang w:val="fr-FR"/>
        </w:rPr>
        <w:t>.</w:t>
      </w:r>
    </w:p>
    <w:p w:rsidR="0073208C" w:rsidRDefault="00B20BB7" w:rsidP="005D7B68">
      <w:pPr>
        <w:tabs>
          <w:tab w:val="left" w:pos="567"/>
          <w:tab w:val="left" w:pos="1134"/>
          <w:tab w:val="left" w:pos="1701"/>
          <w:tab w:val="left" w:pos="2268"/>
        </w:tabs>
        <w:rPr>
          <w:lang w:val="fr-FR"/>
        </w:rPr>
      </w:pPr>
      <w:r>
        <w:rPr>
          <w:lang w:val="fr-FR"/>
        </w:rPr>
        <w:t>167</w:t>
      </w:r>
      <w:r w:rsidR="0073208C">
        <w:rPr>
          <w:lang w:val="fr-FR"/>
        </w:rPr>
        <w:t>.</w:t>
      </w:r>
      <w:r w:rsidR="0073208C">
        <w:rPr>
          <w:lang w:val="fr-FR"/>
        </w:rPr>
        <w:tab/>
        <w:t xml:space="preserve">Les archives de </w:t>
      </w:r>
      <w:r w:rsidR="0073208C">
        <w:rPr>
          <w:i/>
          <w:iCs/>
          <w:lang w:val="fr-FR"/>
        </w:rPr>
        <w:t>Corrections Victoria</w:t>
      </w:r>
      <w:r w:rsidR="0073208C">
        <w:rPr>
          <w:lang w:val="fr-FR"/>
        </w:rPr>
        <w:t xml:space="preserve"> font état de 12 allégatio</w:t>
      </w:r>
      <w:r w:rsidR="00FB35F5">
        <w:rPr>
          <w:lang w:val="fr-FR"/>
        </w:rPr>
        <w:t>ns d’agression sexuelle en 2006/</w:t>
      </w:r>
      <w:r w:rsidR="0073208C">
        <w:rPr>
          <w:lang w:val="fr-FR"/>
        </w:rPr>
        <w:t>07</w:t>
      </w:r>
      <w:r w:rsidR="008D6B80">
        <w:rPr>
          <w:lang w:val="fr-FR"/>
        </w:rPr>
        <w:t xml:space="preserve">. </w:t>
      </w:r>
      <w:r w:rsidR="0073208C">
        <w:rPr>
          <w:lang w:val="fr-FR"/>
        </w:rPr>
        <w:t xml:space="preserve">Tous ces incidents </w:t>
      </w:r>
      <w:r w:rsidR="000E6C25">
        <w:rPr>
          <w:lang w:val="fr-FR"/>
        </w:rPr>
        <w:t>ont été rapportés à la police du</w:t>
      </w:r>
      <w:r w:rsidR="0073208C">
        <w:rPr>
          <w:lang w:val="fr-FR"/>
        </w:rPr>
        <w:t xml:space="preserve"> Victoria par le biais des protocoles et procédures</w:t>
      </w:r>
      <w:r w:rsidR="008D6B80">
        <w:rPr>
          <w:lang w:val="fr-FR"/>
        </w:rPr>
        <w:t xml:space="preserve">. </w:t>
      </w:r>
      <w:r w:rsidR="0073208C">
        <w:rPr>
          <w:lang w:val="fr-FR"/>
        </w:rPr>
        <w:t xml:space="preserve">Au 23 juillet 2007, sept de ces affaires avaient été </w:t>
      </w:r>
      <w:r w:rsidR="0073208C" w:rsidRPr="004059B4">
        <w:rPr>
          <w:lang w:val="fr-FR"/>
        </w:rPr>
        <w:t>réglée</w:t>
      </w:r>
      <w:r w:rsidR="007E2DC3" w:rsidRPr="004059B4">
        <w:rPr>
          <w:lang w:val="fr-FR"/>
        </w:rPr>
        <w:t>s</w:t>
      </w:r>
      <w:r w:rsidR="0073208C">
        <w:rPr>
          <w:lang w:val="fr-FR"/>
        </w:rPr>
        <w:t xml:space="preserve"> de la manière suivante</w:t>
      </w:r>
      <w:r w:rsidR="00572260">
        <w:rPr>
          <w:lang w:val="fr-FR"/>
        </w:rPr>
        <w:t>:</w:t>
      </w:r>
    </w:p>
    <w:p w:rsidR="0073208C" w:rsidRDefault="00A730F1" w:rsidP="005D7B68">
      <w:pPr>
        <w:tabs>
          <w:tab w:val="left" w:pos="567"/>
          <w:tab w:val="left" w:pos="1134"/>
          <w:tab w:val="left" w:pos="1701"/>
          <w:tab w:val="left" w:pos="2268"/>
        </w:tabs>
        <w:rPr>
          <w:lang w:val="fr-FR"/>
        </w:rPr>
      </w:pPr>
      <w:r>
        <w:rPr>
          <w:lang w:val="fr-FR"/>
        </w:rPr>
        <w:tab/>
      </w:r>
      <w:r w:rsidR="00CA46DB">
        <w:rPr>
          <w:lang w:val="fr-FR"/>
        </w:rPr>
        <w:t>a)</w:t>
      </w:r>
      <w:r w:rsidR="00CA46DB">
        <w:rPr>
          <w:lang w:val="fr-FR"/>
        </w:rPr>
        <w:tab/>
        <w:t>R</w:t>
      </w:r>
      <w:r w:rsidR="0073208C">
        <w:rPr>
          <w:lang w:val="fr-FR"/>
        </w:rPr>
        <w:t>etra</w:t>
      </w:r>
      <w:r w:rsidR="00CA46DB">
        <w:rPr>
          <w:lang w:val="fr-FR"/>
        </w:rPr>
        <w:t>it de la plainte dans trois cas</w:t>
      </w:r>
      <w:r w:rsidR="00572260">
        <w:rPr>
          <w:lang w:val="fr-FR"/>
        </w:rPr>
        <w:t>;</w:t>
      </w:r>
    </w:p>
    <w:p w:rsidR="007E2DC3" w:rsidRPr="004059B4" w:rsidRDefault="0073208C" w:rsidP="005D7B68">
      <w:pPr>
        <w:tabs>
          <w:tab w:val="left" w:pos="567"/>
          <w:tab w:val="left" w:pos="1134"/>
          <w:tab w:val="left" w:pos="1701"/>
          <w:tab w:val="left" w:pos="2268"/>
        </w:tabs>
        <w:rPr>
          <w:lang w:val="fr-FR"/>
        </w:rPr>
      </w:pPr>
      <w:r>
        <w:rPr>
          <w:lang w:val="fr-FR"/>
        </w:rPr>
        <w:tab/>
        <w:t>b)</w:t>
      </w:r>
      <w:r>
        <w:rPr>
          <w:lang w:val="fr-FR"/>
        </w:rPr>
        <w:tab/>
      </w:r>
      <w:r w:rsidR="007C75BD">
        <w:rPr>
          <w:lang w:val="fr-FR"/>
        </w:rPr>
        <w:t>A</w:t>
      </w:r>
      <w:r w:rsidR="004059B4" w:rsidRPr="004059B4">
        <w:rPr>
          <w:lang w:val="fr-FR"/>
        </w:rPr>
        <w:t>ffaire non résolue</w:t>
      </w:r>
      <w:r w:rsidR="00572260">
        <w:rPr>
          <w:lang w:val="fr-FR"/>
        </w:rPr>
        <w:t>;</w:t>
      </w:r>
    </w:p>
    <w:p w:rsidR="007E2DC3" w:rsidRPr="004059B4" w:rsidRDefault="00CA46DB" w:rsidP="005D7B68">
      <w:pPr>
        <w:tabs>
          <w:tab w:val="left" w:pos="567"/>
          <w:tab w:val="left" w:pos="1134"/>
          <w:tab w:val="left" w:pos="1701"/>
          <w:tab w:val="left" w:pos="2268"/>
        </w:tabs>
        <w:rPr>
          <w:lang w:val="fr-FR"/>
        </w:rPr>
      </w:pPr>
      <w:r w:rsidRPr="004059B4">
        <w:rPr>
          <w:lang w:val="fr-FR"/>
        </w:rPr>
        <w:tab/>
        <w:t>c)</w:t>
      </w:r>
      <w:r w:rsidRPr="004059B4">
        <w:rPr>
          <w:lang w:val="fr-FR"/>
        </w:rPr>
        <w:tab/>
        <w:t>R</w:t>
      </w:r>
      <w:r w:rsidR="007E2DC3" w:rsidRPr="004059B4">
        <w:rPr>
          <w:lang w:val="fr-FR"/>
        </w:rPr>
        <w:t xml:space="preserve">envoi en prison en vue de poursuites </w:t>
      </w:r>
      <w:r w:rsidR="004059B4" w:rsidRPr="004059B4">
        <w:rPr>
          <w:lang w:val="fr-FR"/>
        </w:rPr>
        <w:t>à l’échelon local</w:t>
      </w:r>
      <w:r w:rsidR="00572260">
        <w:rPr>
          <w:lang w:val="fr-FR"/>
        </w:rPr>
        <w:t>;</w:t>
      </w:r>
      <w:r w:rsidR="007E2DC3" w:rsidRPr="004059B4">
        <w:rPr>
          <w:lang w:val="fr-FR"/>
        </w:rPr>
        <w:t xml:space="preserve"> et</w:t>
      </w:r>
    </w:p>
    <w:p w:rsidR="007E2DC3" w:rsidRDefault="00CA46DB" w:rsidP="005D7B68">
      <w:pPr>
        <w:tabs>
          <w:tab w:val="left" w:pos="567"/>
          <w:tab w:val="left" w:pos="1134"/>
          <w:tab w:val="left" w:pos="1701"/>
          <w:tab w:val="left" w:pos="2268"/>
        </w:tabs>
        <w:rPr>
          <w:lang w:val="fr-FR"/>
        </w:rPr>
      </w:pPr>
      <w:r>
        <w:rPr>
          <w:lang w:val="fr-FR"/>
        </w:rPr>
        <w:tab/>
        <w:t>d)</w:t>
      </w:r>
      <w:r>
        <w:rPr>
          <w:lang w:val="fr-FR"/>
        </w:rPr>
        <w:tab/>
        <w:t>A</w:t>
      </w:r>
      <w:r w:rsidR="007E2DC3">
        <w:rPr>
          <w:lang w:val="fr-FR"/>
        </w:rPr>
        <w:t>rrêt des poursuites de la police dans un cas.</w:t>
      </w:r>
    </w:p>
    <w:p w:rsidR="007E2DC3" w:rsidRDefault="007E2DC3" w:rsidP="005D7B68">
      <w:pPr>
        <w:tabs>
          <w:tab w:val="left" w:pos="567"/>
          <w:tab w:val="left" w:pos="1134"/>
          <w:tab w:val="left" w:pos="1701"/>
          <w:tab w:val="left" w:pos="2268"/>
        </w:tabs>
        <w:rPr>
          <w:b/>
          <w:bCs/>
          <w:lang w:val="fr-FR"/>
        </w:rPr>
      </w:pPr>
      <w:r>
        <w:rPr>
          <w:b/>
          <w:bCs/>
          <w:lang w:val="fr-FR"/>
        </w:rPr>
        <w:t>Queensland</w:t>
      </w:r>
    </w:p>
    <w:p w:rsidR="008E76CE" w:rsidRDefault="00B20BB7" w:rsidP="005D7B68">
      <w:pPr>
        <w:tabs>
          <w:tab w:val="left" w:pos="567"/>
          <w:tab w:val="left" w:pos="1134"/>
          <w:tab w:val="left" w:pos="1701"/>
          <w:tab w:val="left" w:pos="2268"/>
        </w:tabs>
        <w:rPr>
          <w:lang w:val="fr-FR"/>
        </w:rPr>
      </w:pPr>
      <w:r>
        <w:rPr>
          <w:lang w:val="fr-FR"/>
        </w:rPr>
        <w:t>168</w:t>
      </w:r>
      <w:r w:rsidR="007E2DC3">
        <w:rPr>
          <w:lang w:val="fr-FR"/>
        </w:rPr>
        <w:t>.</w:t>
      </w:r>
      <w:r w:rsidR="007E2DC3">
        <w:rPr>
          <w:lang w:val="fr-FR"/>
        </w:rPr>
        <w:tab/>
      </w:r>
      <w:r w:rsidR="00C82245">
        <w:rPr>
          <w:lang w:val="fr-FR"/>
        </w:rPr>
        <w:t>Les plaintes concernant des violences sexuelles à l’égard d’une personne placée en garde à vue dans le service de police du Queensland</w:t>
      </w:r>
      <w:r w:rsidR="008E76CE">
        <w:rPr>
          <w:lang w:val="fr-FR"/>
        </w:rPr>
        <w:t xml:space="preserve"> feraient l’objet d’une enquête en tant que pl</w:t>
      </w:r>
      <w:r w:rsidR="00CA46DB">
        <w:rPr>
          <w:lang w:val="fr-FR"/>
        </w:rPr>
        <w:t>ainte pénale</w:t>
      </w:r>
      <w:r w:rsidR="008D6B80">
        <w:rPr>
          <w:lang w:val="fr-FR"/>
        </w:rPr>
        <w:t xml:space="preserve">. </w:t>
      </w:r>
      <w:r w:rsidR="00CA46DB">
        <w:rPr>
          <w:lang w:val="fr-FR"/>
        </w:rPr>
        <w:t>Si la plainte est déposée contre un policier</w:t>
      </w:r>
      <w:r w:rsidR="008E76CE">
        <w:rPr>
          <w:lang w:val="fr-FR"/>
        </w:rPr>
        <w:t xml:space="preserve">, cette affaire constituerait une </w:t>
      </w:r>
      <w:r w:rsidR="00CA46DB">
        <w:rPr>
          <w:lang w:val="fr-FR"/>
        </w:rPr>
        <w:t xml:space="preserve">allégation de </w:t>
      </w:r>
      <w:r w:rsidR="00A619D6">
        <w:rPr>
          <w:lang w:val="fr-FR"/>
        </w:rPr>
        <w:t>«</w:t>
      </w:r>
      <w:r w:rsidR="00CA46DB">
        <w:rPr>
          <w:lang w:val="fr-FR"/>
        </w:rPr>
        <w:t>manquement à ses obligations</w:t>
      </w:r>
      <w:r w:rsidR="00A619D6">
        <w:rPr>
          <w:lang w:val="fr-FR"/>
        </w:rPr>
        <w:t>»</w:t>
      </w:r>
      <w:r w:rsidR="000E6C25">
        <w:rPr>
          <w:lang w:val="fr-FR"/>
        </w:rPr>
        <w:t xml:space="preserve"> et serait instruite</w:t>
      </w:r>
      <w:r w:rsidR="00873692">
        <w:rPr>
          <w:lang w:val="fr-FR"/>
        </w:rPr>
        <w:t>,</w:t>
      </w:r>
      <w:r w:rsidR="008E76CE">
        <w:rPr>
          <w:lang w:val="fr-FR"/>
        </w:rPr>
        <w:t xml:space="preserve"> conformément aux prescriptions de la</w:t>
      </w:r>
      <w:r w:rsidR="008E76CE">
        <w:rPr>
          <w:i/>
          <w:iCs/>
          <w:lang w:val="fr-FR"/>
        </w:rPr>
        <w:t xml:space="preserve"> </w:t>
      </w:r>
      <w:r w:rsidR="008E76CE" w:rsidRPr="00CA46DB">
        <w:rPr>
          <w:lang w:val="fr-FR"/>
        </w:rPr>
        <w:t>loi de 2001 sur les infractions et fautes professionnelles</w:t>
      </w:r>
      <w:r w:rsidR="008D6B80">
        <w:rPr>
          <w:lang w:val="fr-FR"/>
        </w:rPr>
        <w:t xml:space="preserve">. </w:t>
      </w:r>
      <w:r w:rsidR="008E76CE">
        <w:rPr>
          <w:lang w:val="fr-FR"/>
        </w:rPr>
        <w:t>Ces enquêtes sont suivies par la Commission des infractions et fautes professionnelles.</w:t>
      </w:r>
    </w:p>
    <w:p w:rsidR="00BA7E0C" w:rsidRDefault="00B20BB7" w:rsidP="005D7B68">
      <w:pPr>
        <w:tabs>
          <w:tab w:val="left" w:pos="567"/>
          <w:tab w:val="left" w:pos="1134"/>
          <w:tab w:val="left" w:pos="1701"/>
          <w:tab w:val="left" w:pos="2268"/>
        </w:tabs>
        <w:rPr>
          <w:lang w:val="fr-FR"/>
        </w:rPr>
      </w:pPr>
      <w:r>
        <w:rPr>
          <w:lang w:val="fr-FR"/>
        </w:rPr>
        <w:t>169</w:t>
      </w:r>
      <w:r w:rsidR="008E76CE">
        <w:rPr>
          <w:lang w:val="fr-FR"/>
        </w:rPr>
        <w:t>.</w:t>
      </w:r>
      <w:r w:rsidR="008E76CE">
        <w:rPr>
          <w:lang w:val="fr-FR"/>
        </w:rPr>
        <w:tab/>
        <w:t>Le</w:t>
      </w:r>
      <w:r w:rsidR="00BA7E0C">
        <w:rPr>
          <w:lang w:val="fr-FR"/>
        </w:rPr>
        <w:t xml:space="preserve"> Département des services pénite</w:t>
      </w:r>
      <w:r w:rsidR="008E76CE">
        <w:rPr>
          <w:lang w:val="fr-FR"/>
        </w:rPr>
        <w:t>ntiaires du Queensland</w:t>
      </w:r>
      <w:r w:rsidR="00BA7E0C">
        <w:rPr>
          <w:lang w:val="fr-FR"/>
        </w:rPr>
        <w:t xml:space="preserve"> a mis en place des procédures destinées à faire en sorte que les prévenus soient traités de manière appropriée en garde à vue</w:t>
      </w:r>
      <w:r w:rsidR="008D6B80">
        <w:rPr>
          <w:lang w:val="fr-FR"/>
        </w:rPr>
        <w:t xml:space="preserve">. </w:t>
      </w:r>
      <w:r w:rsidR="00BA7E0C">
        <w:rPr>
          <w:lang w:val="fr-FR"/>
        </w:rPr>
        <w:t>Les détenues sont logées à l’écart des détenus de sexe masculin</w:t>
      </w:r>
      <w:r w:rsidR="008D6B80">
        <w:rPr>
          <w:lang w:val="fr-FR"/>
        </w:rPr>
        <w:t xml:space="preserve">. </w:t>
      </w:r>
      <w:r w:rsidR="00BA7E0C">
        <w:rPr>
          <w:lang w:val="fr-FR"/>
        </w:rPr>
        <w:t>Les allégations d’agression sexuelle font l’objet</w:t>
      </w:r>
      <w:r w:rsidR="00873692">
        <w:rPr>
          <w:lang w:val="fr-FR"/>
        </w:rPr>
        <w:t xml:space="preserve"> d’une enquête, conformément à la</w:t>
      </w:r>
      <w:r w:rsidR="00BA7E0C">
        <w:rPr>
          <w:lang w:val="fr-FR"/>
        </w:rPr>
        <w:t xml:space="preserve"> procédure relative aux agressions sexuelles</w:t>
      </w:r>
      <w:r w:rsidR="002C2AC5">
        <w:rPr>
          <w:lang w:val="fr-FR"/>
        </w:rPr>
        <w:t>,</w:t>
      </w:r>
      <w:r w:rsidR="00BA7E0C">
        <w:rPr>
          <w:lang w:val="fr-FR"/>
        </w:rPr>
        <w:t xml:space="preserve"> qui comporte des examens médicaux, la collecte des éléments de preuve et la prise de mesure</w:t>
      </w:r>
      <w:r w:rsidR="00546137">
        <w:rPr>
          <w:lang w:val="fr-FR"/>
        </w:rPr>
        <w:t>s</w:t>
      </w:r>
      <w:r w:rsidR="00BA7E0C">
        <w:rPr>
          <w:lang w:val="fr-FR"/>
        </w:rPr>
        <w:t xml:space="preserve"> pour séparer les auteurs présumés des violences et les victimes</w:t>
      </w:r>
      <w:r w:rsidR="008D6B80">
        <w:rPr>
          <w:lang w:val="fr-FR"/>
        </w:rPr>
        <w:t xml:space="preserve">. </w:t>
      </w:r>
      <w:r w:rsidR="00BA7E0C">
        <w:rPr>
          <w:lang w:val="fr-FR"/>
        </w:rPr>
        <w:t>Les protocoles relatifs aux agressions sexuelles sont immédiatement app</w:t>
      </w:r>
      <w:r w:rsidR="003020D3">
        <w:rPr>
          <w:lang w:val="fr-FR"/>
        </w:rPr>
        <w:t xml:space="preserve">liqués </w:t>
      </w:r>
      <w:r w:rsidR="00F67B83">
        <w:rPr>
          <w:lang w:val="fr-FR"/>
        </w:rPr>
        <w:t>et l’affaire est envoyée</w:t>
      </w:r>
      <w:r w:rsidR="00BA7E0C">
        <w:rPr>
          <w:lang w:val="fr-FR"/>
        </w:rPr>
        <w:t xml:space="preserve"> à l’Unité d’enquête des services pénitentiaires pour suite à donner.</w:t>
      </w:r>
    </w:p>
    <w:p w:rsidR="001212BA" w:rsidRDefault="00B20BB7" w:rsidP="005D7B68">
      <w:pPr>
        <w:tabs>
          <w:tab w:val="left" w:pos="567"/>
          <w:tab w:val="left" w:pos="1134"/>
          <w:tab w:val="left" w:pos="1701"/>
          <w:tab w:val="left" w:pos="2268"/>
        </w:tabs>
        <w:rPr>
          <w:lang w:val="fr-FR"/>
        </w:rPr>
      </w:pPr>
      <w:r>
        <w:rPr>
          <w:lang w:val="fr-FR"/>
        </w:rPr>
        <w:t>170</w:t>
      </w:r>
      <w:r w:rsidR="00873692">
        <w:rPr>
          <w:lang w:val="fr-FR"/>
        </w:rPr>
        <w:t>.</w:t>
      </w:r>
      <w:r w:rsidR="00873692">
        <w:rPr>
          <w:lang w:val="fr-FR"/>
        </w:rPr>
        <w:tab/>
        <w:t>Lorsqu’une</w:t>
      </w:r>
      <w:r w:rsidR="004D35E6">
        <w:rPr>
          <w:lang w:val="fr-FR"/>
        </w:rPr>
        <w:t xml:space="preserve"> </w:t>
      </w:r>
      <w:r w:rsidR="00873692">
        <w:rPr>
          <w:lang w:val="fr-FR"/>
        </w:rPr>
        <w:t xml:space="preserve">personne </w:t>
      </w:r>
      <w:r w:rsidR="004D35E6">
        <w:rPr>
          <w:lang w:val="fr-FR"/>
        </w:rPr>
        <w:t>est plac</w:t>
      </w:r>
      <w:r w:rsidR="00873692">
        <w:rPr>
          <w:lang w:val="fr-FR"/>
        </w:rPr>
        <w:t>é</w:t>
      </w:r>
      <w:r w:rsidR="004D35E6">
        <w:rPr>
          <w:lang w:val="fr-FR"/>
        </w:rPr>
        <w:t>e en détention provisoire</w:t>
      </w:r>
      <w:r w:rsidR="00BA7E0C">
        <w:rPr>
          <w:lang w:val="fr-FR"/>
        </w:rPr>
        <w:t>, une évaluation rigoureuse est entreprise</w:t>
      </w:r>
      <w:r w:rsidR="001212BA">
        <w:rPr>
          <w:lang w:val="fr-FR"/>
        </w:rPr>
        <w:t>, qui tient compte, sans que ce soit limitatif, de facteurs comme le risque q</w:t>
      </w:r>
      <w:r w:rsidR="00873692">
        <w:rPr>
          <w:lang w:val="fr-FR"/>
        </w:rPr>
        <w:t>u’elle</w:t>
      </w:r>
      <w:r w:rsidR="001212BA">
        <w:rPr>
          <w:lang w:val="fr-FR"/>
        </w:rPr>
        <w:t xml:space="preserve"> soit </w:t>
      </w:r>
      <w:r w:rsidR="00873692">
        <w:rPr>
          <w:lang w:val="fr-FR"/>
        </w:rPr>
        <w:t>agressée par d’autres détenus</w:t>
      </w:r>
      <w:r w:rsidR="001212BA">
        <w:rPr>
          <w:lang w:val="fr-FR"/>
        </w:rPr>
        <w:t>.</w:t>
      </w:r>
    </w:p>
    <w:p w:rsidR="001212BA" w:rsidRDefault="00B20BB7" w:rsidP="005D7B68">
      <w:pPr>
        <w:tabs>
          <w:tab w:val="left" w:pos="567"/>
          <w:tab w:val="left" w:pos="1134"/>
          <w:tab w:val="left" w:pos="1701"/>
          <w:tab w:val="left" w:pos="2268"/>
        </w:tabs>
        <w:rPr>
          <w:lang w:val="fr-FR"/>
        </w:rPr>
      </w:pPr>
      <w:r>
        <w:rPr>
          <w:lang w:val="fr-FR"/>
        </w:rPr>
        <w:t>171</w:t>
      </w:r>
      <w:r w:rsidR="001212BA">
        <w:rPr>
          <w:lang w:val="fr-FR"/>
        </w:rPr>
        <w:t>.</w:t>
      </w:r>
      <w:r w:rsidR="001212BA">
        <w:rPr>
          <w:lang w:val="fr-FR"/>
        </w:rPr>
        <w:tab/>
        <w:t>Le service de police du Queensland dispose des données relatives aux plaintes et des informations statistiques internes, lesquelles, toutefois, ne sont pas ventilées pour permettre d’isoler les plaint</w:t>
      </w:r>
      <w:r w:rsidR="00340AEA">
        <w:rPr>
          <w:lang w:val="fr-FR"/>
        </w:rPr>
        <w:t>e</w:t>
      </w:r>
      <w:r w:rsidR="001212BA">
        <w:rPr>
          <w:lang w:val="fr-FR"/>
        </w:rPr>
        <w:t>s relatives aux violences sexuelles contre les femmes placées en garde à vue.</w:t>
      </w:r>
    </w:p>
    <w:p w:rsidR="001212BA" w:rsidRDefault="006C544F" w:rsidP="005D7B68">
      <w:pPr>
        <w:tabs>
          <w:tab w:val="left" w:pos="567"/>
          <w:tab w:val="left" w:pos="1134"/>
          <w:tab w:val="left" w:pos="1701"/>
          <w:tab w:val="left" w:pos="2268"/>
        </w:tabs>
        <w:rPr>
          <w:b/>
          <w:bCs/>
          <w:lang w:val="fr-FR"/>
        </w:rPr>
      </w:pPr>
      <w:r>
        <w:rPr>
          <w:b/>
          <w:bCs/>
          <w:lang w:val="fr-FR"/>
        </w:rPr>
        <w:t>Australie occidentale</w:t>
      </w:r>
    </w:p>
    <w:p w:rsidR="004D35E6" w:rsidRDefault="00B20BB7" w:rsidP="005D7B68">
      <w:pPr>
        <w:tabs>
          <w:tab w:val="left" w:pos="567"/>
          <w:tab w:val="left" w:pos="1134"/>
          <w:tab w:val="left" w:pos="1701"/>
          <w:tab w:val="left" w:pos="2268"/>
        </w:tabs>
        <w:rPr>
          <w:lang w:val="fr-FR"/>
        </w:rPr>
      </w:pPr>
      <w:r>
        <w:rPr>
          <w:lang w:val="fr-FR"/>
        </w:rPr>
        <w:t>172</w:t>
      </w:r>
      <w:r w:rsidR="001212BA">
        <w:rPr>
          <w:lang w:val="fr-FR"/>
        </w:rPr>
        <w:t>.</w:t>
      </w:r>
      <w:r w:rsidR="001212BA">
        <w:rPr>
          <w:lang w:val="fr-FR"/>
        </w:rPr>
        <w:tab/>
        <w:t>Le Département des services pénitentiaires d’</w:t>
      </w:r>
      <w:r w:rsidR="008E1139">
        <w:rPr>
          <w:lang w:val="fr-FR"/>
        </w:rPr>
        <w:t>Australie occidentale</w:t>
      </w:r>
      <w:r w:rsidR="001212BA">
        <w:rPr>
          <w:lang w:val="fr-FR"/>
        </w:rPr>
        <w:t xml:space="preserve"> tient beaucoup à ce que les femmes détenues dans les prisons de cet État bénéficient des soins et services nécessaires pour répondre à leurs besoins particuliers</w:t>
      </w:r>
      <w:r w:rsidR="008D6B80">
        <w:rPr>
          <w:lang w:val="fr-FR"/>
        </w:rPr>
        <w:t xml:space="preserve">. </w:t>
      </w:r>
      <w:r w:rsidR="001212BA">
        <w:rPr>
          <w:lang w:val="fr-FR"/>
        </w:rPr>
        <w:t xml:space="preserve">La </w:t>
      </w:r>
      <w:r w:rsidR="004D35E6">
        <w:rPr>
          <w:lang w:val="fr-FR"/>
        </w:rPr>
        <w:t>Direction des services pénitenti</w:t>
      </w:r>
      <w:r w:rsidR="00367278">
        <w:rPr>
          <w:lang w:val="fr-FR"/>
        </w:rPr>
        <w:t>aires pour les femmes de ce département</w:t>
      </w:r>
      <w:r w:rsidR="00340AEA">
        <w:rPr>
          <w:lang w:val="fr-FR"/>
        </w:rPr>
        <w:t xml:space="preserve"> a été mise en place afin</w:t>
      </w:r>
      <w:r w:rsidR="004D35E6">
        <w:rPr>
          <w:lang w:val="fr-FR"/>
        </w:rPr>
        <w:t xml:space="preserve"> que l’on se préoccupe davantage d</w:t>
      </w:r>
      <w:r w:rsidR="00E26907">
        <w:rPr>
          <w:lang w:val="fr-FR"/>
        </w:rPr>
        <w:t>es problèmes relatifs à ces dernières</w:t>
      </w:r>
      <w:r w:rsidR="004D35E6">
        <w:rPr>
          <w:lang w:val="fr-FR"/>
        </w:rPr>
        <w:t xml:space="preserve"> dans les prisons</w:t>
      </w:r>
      <w:r w:rsidR="008D6B80">
        <w:rPr>
          <w:lang w:val="fr-FR"/>
        </w:rPr>
        <w:t xml:space="preserve">. </w:t>
      </w:r>
      <w:r w:rsidR="004D35E6">
        <w:rPr>
          <w:lang w:val="fr-FR"/>
        </w:rPr>
        <w:t>Les services pénitentiaires pour les femmes sont fournis conformément aux principes ci-après</w:t>
      </w:r>
      <w:r w:rsidR="00572260">
        <w:rPr>
          <w:lang w:val="fr-FR"/>
        </w:rPr>
        <w:t>:</w:t>
      </w:r>
    </w:p>
    <w:p w:rsidR="00CB1942" w:rsidRDefault="004D35E6" w:rsidP="005B7D04">
      <w:pPr>
        <w:numPr>
          <w:ilvl w:val="0"/>
          <w:numId w:val="17"/>
        </w:numPr>
        <w:tabs>
          <w:tab w:val="left" w:pos="567"/>
          <w:tab w:val="left" w:pos="1134"/>
          <w:tab w:val="left" w:pos="1701"/>
          <w:tab w:val="left" w:pos="2268"/>
        </w:tabs>
        <w:rPr>
          <w:lang w:val="fr-FR"/>
        </w:rPr>
      </w:pPr>
      <w:r>
        <w:rPr>
          <w:lang w:val="fr-FR"/>
        </w:rPr>
        <w:t>Responsabilité personnelle et autonomisation – La responsabilité pe</w:t>
      </w:r>
      <w:r w:rsidR="00367278">
        <w:rPr>
          <w:lang w:val="fr-FR"/>
        </w:rPr>
        <w:t>rsonnelle rend l</w:t>
      </w:r>
      <w:r>
        <w:rPr>
          <w:lang w:val="fr-FR"/>
        </w:rPr>
        <w:t>es femmes</w:t>
      </w:r>
      <w:r w:rsidR="00367278">
        <w:rPr>
          <w:lang w:val="fr-FR"/>
        </w:rPr>
        <w:t xml:space="preserve"> plus enclines à</w:t>
      </w:r>
      <w:r>
        <w:rPr>
          <w:lang w:val="fr-FR"/>
        </w:rPr>
        <w:t xml:space="preserve"> respecter la loi et à remplir un rôle dans la collectivité</w:t>
      </w:r>
      <w:r w:rsidR="008D6B80">
        <w:rPr>
          <w:lang w:val="fr-FR"/>
        </w:rPr>
        <w:t xml:space="preserve">. </w:t>
      </w:r>
      <w:r w:rsidR="00CB1942">
        <w:rPr>
          <w:lang w:val="fr-FR"/>
        </w:rPr>
        <w:t>L’autonomisation entraîne le développement du sens des valeurs, de la conscience de leur propre valeur et de leur</w:t>
      </w:r>
      <w:r>
        <w:rPr>
          <w:lang w:val="fr-FR"/>
        </w:rPr>
        <w:t xml:space="preserve"> </w:t>
      </w:r>
      <w:r w:rsidR="00CB1942">
        <w:rPr>
          <w:lang w:val="fr-FR"/>
        </w:rPr>
        <w:t>confiance dans leurs possibilités de créer un avenir positif.</w:t>
      </w:r>
    </w:p>
    <w:p w:rsidR="00CB1942" w:rsidRDefault="00CB1942" w:rsidP="005D7B68">
      <w:pPr>
        <w:numPr>
          <w:ilvl w:val="0"/>
          <w:numId w:val="17"/>
        </w:numPr>
        <w:tabs>
          <w:tab w:val="left" w:pos="567"/>
          <w:tab w:val="left" w:pos="1134"/>
          <w:tab w:val="left" w:pos="1701"/>
          <w:tab w:val="left" w:pos="2268"/>
        </w:tabs>
        <w:rPr>
          <w:lang w:val="fr-FR"/>
        </w:rPr>
      </w:pPr>
      <w:r>
        <w:rPr>
          <w:lang w:val="fr-FR"/>
        </w:rPr>
        <w:t>Responsabilité familiale – On insiste sur l’importance des relations familiales pour les femmes placées en détention et on les favorise dans leur intérêt et dans celui des familles et de la communauté.</w:t>
      </w:r>
    </w:p>
    <w:p w:rsidR="00671AE3" w:rsidRDefault="00671AE3" w:rsidP="005D7B68">
      <w:pPr>
        <w:numPr>
          <w:ilvl w:val="0"/>
          <w:numId w:val="17"/>
        </w:numPr>
        <w:tabs>
          <w:tab w:val="left" w:pos="567"/>
          <w:tab w:val="left" w:pos="1134"/>
          <w:tab w:val="left" w:pos="1701"/>
          <w:tab w:val="left" w:pos="2268"/>
        </w:tabs>
        <w:rPr>
          <w:lang w:val="fr-FR"/>
        </w:rPr>
      </w:pPr>
      <w:r>
        <w:rPr>
          <w:lang w:val="fr-FR"/>
        </w:rPr>
        <w:t>Responsabilité envers la collectivité – un partenariat fécond sera établi en les encourageant activement à participer à la vie de la collectivité</w:t>
      </w:r>
      <w:r w:rsidR="008D6B80">
        <w:rPr>
          <w:lang w:val="fr-FR"/>
        </w:rPr>
        <w:t xml:space="preserve">. </w:t>
      </w:r>
      <w:r>
        <w:rPr>
          <w:lang w:val="fr-FR"/>
        </w:rPr>
        <w:t>Pour réussir la transition entre la prison et le retour à l</w:t>
      </w:r>
      <w:r w:rsidR="00367278">
        <w:rPr>
          <w:lang w:val="fr-FR"/>
        </w:rPr>
        <w:t>a vie au sein de la communauté</w:t>
      </w:r>
      <w:r>
        <w:rPr>
          <w:lang w:val="fr-FR"/>
        </w:rPr>
        <w:t>, il faut disposer de réseaux sociaux constructifs et s’impliquer dans la vie sociale</w:t>
      </w:r>
      <w:r w:rsidR="008D6B80">
        <w:rPr>
          <w:lang w:val="fr-FR"/>
        </w:rPr>
        <w:t xml:space="preserve">. </w:t>
      </w:r>
      <w:r>
        <w:rPr>
          <w:lang w:val="fr-FR"/>
        </w:rPr>
        <w:t>Le travail dans la collectivité aide les femmes à se préparer à leur mise en liberté et à leur réinsertion.</w:t>
      </w:r>
    </w:p>
    <w:p w:rsidR="0037478F" w:rsidRDefault="00671AE3" w:rsidP="005D7B68">
      <w:pPr>
        <w:numPr>
          <w:ilvl w:val="0"/>
          <w:numId w:val="17"/>
        </w:numPr>
        <w:tabs>
          <w:tab w:val="left" w:pos="567"/>
          <w:tab w:val="left" w:pos="1134"/>
          <w:tab w:val="left" w:pos="1701"/>
          <w:tab w:val="left" w:pos="2268"/>
        </w:tabs>
        <w:rPr>
          <w:lang w:val="fr-FR"/>
        </w:rPr>
      </w:pPr>
      <w:r>
        <w:rPr>
          <w:lang w:val="fr-FR"/>
        </w:rPr>
        <w:t>Respect et intégrité – En toutes circonstances, la dignité intrinsèque de toutes les personnes</w:t>
      </w:r>
      <w:r w:rsidR="0037478F">
        <w:rPr>
          <w:lang w:val="fr-FR"/>
        </w:rPr>
        <w:t xml:space="preserve"> est respectée, et les traits particuliers, les divers milieux, les besoins et les opinions de</w:t>
      </w:r>
      <w:r w:rsidR="00B95A0C">
        <w:rPr>
          <w:lang w:val="fr-FR"/>
        </w:rPr>
        <w:t>s</w:t>
      </w:r>
      <w:r w:rsidR="0037478F">
        <w:rPr>
          <w:lang w:val="fr-FR"/>
        </w:rPr>
        <w:t xml:space="preserve"> femmes sont appréciés</w:t>
      </w:r>
      <w:r w:rsidR="008D6B80">
        <w:rPr>
          <w:lang w:val="fr-FR"/>
        </w:rPr>
        <w:t xml:space="preserve">. </w:t>
      </w:r>
      <w:r w:rsidR="0037478F">
        <w:rPr>
          <w:lang w:val="fr-FR"/>
        </w:rPr>
        <w:t>Le respect des individus et des différences entre leurs convictions religieuses et culturelles constitue la base sur laquelle des relations interpersonnelles et</w:t>
      </w:r>
      <w:r>
        <w:rPr>
          <w:lang w:val="fr-FR"/>
        </w:rPr>
        <w:t xml:space="preserve"> </w:t>
      </w:r>
      <w:r w:rsidR="0037478F">
        <w:rPr>
          <w:lang w:val="fr-FR"/>
        </w:rPr>
        <w:t>un respect de soi-même constructifs sont édifiés.</w:t>
      </w:r>
      <w:r>
        <w:rPr>
          <w:lang w:val="fr-FR"/>
        </w:rPr>
        <w:t xml:space="preserve"> </w:t>
      </w:r>
    </w:p>
    <w:p w:rsidR="0037478F" w:rsidRDefault="00B20BB7" w:rsidP="005D7B68">
      <w:pPr>
        <w:tabs>
          <w:tab w:val="left" w:pos="567"/>
          <w:tab w:val="left" w:pos="1134"/>
          <w:tab w:val="left" w:pos="1701"/>
          <w:tab w:val="left" w:pos="2268"/>
        </w:tabs>
        <w:rPr>
          <w:lang w:val="fr-FR"/>
        </w:rPr>
      </w:pPr>
      <w:r>
        <w:rPr>
          <w:lang w:val="fr-FR"/>
        </w:rPr>
        <w:t>173</w:t>
      </w:r>
      <w:r w:rsidR="0037478F">
        <w:rPr>
          <w:lang w:val="fr-FR"/>
        </w:rPr>
        <w:t>.</w:t>
      </w:r>
      <w:r w:rsidR="0037478F">
        <w:rPr>
          <w:lang w:val="fr-FR"/>
        </w:rPr>
        <w:tab/>
        <w:t>Depuis 2001, le Département des services pénitentiaires</w:t>
      </w:r>
      <w:r w:rsidR="00CB1942">
        <w:rPr>
          <w:lang w:val="fr-FR"/>
        </w:rPr>
        <w:t xml:space="preserve"> </w:t>
      </w:r>
      <w:r w:rsidR="0037478F">
        <w:rPr>
          <w:lang w:val="fr-FR"/>
        </w:rPr>
        <w:t>réalise des profils biannuels des femmes i</w:t>
      </w:r>
      <w:r w:rsidR="002A5473">
        <w:rPr>
          <w:lang w:val="fr-FR"/>
        </w:rPr>
        <w:t>ncarcérées, qui</w:t>
      </w:r>
      <w:r w:rsidR="0037478F">
        <w:rPr>
          <w:lang w:val="fr-FR"/>
        </w:rPr>
        <w:t xml:space="preserve"> aident </w:t>
      </w:r>
      <w:r w:rsidR="002A5473">
        <w:rPr>
          <w:lang w:val="fr-FR"/>
        </w:rPr>
        <w:t xml:space="preserve">lesdits services </w:t>
      </w:r>
      <w:r w:rsidR="0037478F">
        <w:rPr>
          <w:lang w:val="fr-FR"/>
        </w:rPr>
        <w:t>à mieux répondre à leurs besoins dans le contexte de leur famille et de leur communauté.</w:t>
      </w:r>
    </w:p>
    <w:p w:rsidR="00A148DF" w:rsidRDefault="00B20BB7" w:rsidP="005D7B68">
      <w:pPr>
        <w:tabs>
          <w:tab w:val="left" w:pos="567"/>
          <w:tab w:val="left" w:pos="1134"/>
          <w:tab w:val="left" w:pos="1701"/>
          <w:tab w:val="left" w:pos="2268"/>
        </w:tabs>
        <w:rPr>
          <w:lang w:val="fr-FR"/>
        </w:rPr>
      </w:pPr>
      <w:r>
        <w:rPr>
          <w:lang w:val="fr-FR"/>
        </w:rPr>
        <w:t>174</w:t>
      </w:r>
      <w:r w:rsidR="0037478F">
        <w:rPr>
          <w:lang w:val="fr-FR"/>
        </w:rPr>
        <w:t>.</w:t>
      </w:r>
      <w:r w:rsidR="0037478F">
        <w:rPr>
          <w:lang w:val="fr-FR"/>
        </w:rPr>
        <w:tab/>
        <w:t>Toute allégat</w:t>
      </w:r>
      <w:r w:rsidR="00367278">
        <w:rPr>
          <w:lang w:val="fr-FR"/>
        </w:rPr>
        <w:t>ion</w:t>
      </w:r>
      <w:r w:rsidR="00482341">
        <w:rPr>
          <w:lang w:val="fr-FR"/>
        </w:rPr>
        <w:t xml:space="preserve"> de violences sexuelles subies</w:t>
      </w:r>
      <w:r w:rsidR="0037478F">
        <w:rPr>
          <w:lang w:val="fr-FR"/>
        </w:rPr>
        <w:t xml:space="preserve"> par une femme, que ce soit alors qu’elle était en détention ou libre d</w:t>
      </w:r>
      <w:r w:rsidR="001D1682">
        <w:rPr>
          <w:lang w:val="fr-FR"/>
        </w:rPr>
        <w:t>ans la collectivité, est transmise</w:t>
      </w:r>
      <w:r w:rsidR="006A3B90">
        <w:rPr>
          <w:lang w:val="fr-FR"/>
        </w:rPr>
        <w:t xml:space="preserve"> directement à la police d’</w:t>
      </w:r>
      <w:r w:rsidR="008E1139">
        <w:rPr>
          <w:lang w:val="fr-FR"/>
        </w:rPr>
        <w:t>Australie occidentale</w:t>
      </w:r>
      <w:r w:rsidR="0037478F">
        <w:rPr>
          <w:lang w:val="fr-FR"/>
        </w:rPr>
        <w:t xml:space="preserve"> pour enquête</w:t>
      </w:r>
      <w:r w:rsidR="008D6B80">
        <w:rPr>
          <w:lang w:val="fr-FR"/>
        </w:rPr>
        <w:t xml:space="preserve">. </w:t>
      </w:r>
      <w:r w:rsidR="00A148DF">
        <w:rPr>
          <w:lang w:val="fr-FR"/>
        </w:rPr>
        <w:t>La prison oriente ensuite la femme vers des services de consultation spécifiques en matière d’agressions sexuelles ou des services de consultation psychologique</w:t>
      </w:r>
      <w:r w:rsidR="0037478F">
        <w:rPr>
          <w:lang w:val="fr-FR"/>
        </w:rPr>
        <w:t xml:space="preserve"> </w:t>
      </w:r>
      <w:r w:rsidR="00A148DF">
        <w:rPr>
          <w:lang w:val="fr-FR"/>
        </w:rPr>
        <w:t>à caractère plus général.</w:t>
      </w:r>
    </w:p>
    <w:p w:rsidR="00A148DF" w:rsidRDefault="008E1139" w:rsidP="005D7B68">
      <w:pPr>
        <w:tabs>
          <w:tab w:val="left" w:pos="567"/>
          <w:tab w:val="left" w:pos="1134"/>
          <w:tab w:val="left" w:pos="1701"/>
          <w:tab w:val="left" w:pos="2268"/>
        </w:tabs>
        <w:rPr>
          <w:b/>
          <w:bCs/>
          <w:lang w:val="fr-FR"/>
        </w:rPr>
      </w:pPr>
      <w:r>
        <w:rPr>
          <w:b/>
          <w:bCs/>
          <w:lang w:val="fr-FR"/>
        </w:rPr>
        <w:t>Australie méridionale</w:t>
      </w:r>
    </w:p>
    <w:p w:rsidR="00A148DF" w:rsidRDefault="00A148DF" w:rsidP="005D7B68">
      <w:pPr>
        <w:tabs>
          <w:tab w:val="left" w:pos="567"/>
          <w:tab w:val="left" w:pos="1134"/>
          <w:tab w:val="left" w:pos="1701"/>
          <w:tab w:val="left" w:pos="2268"/>
        </w:tabs>
        <w:rPr>
          <w:lang w:val="fr-FR"/>
        </w:rPr>
      </w:pPr>
      <w:r>
        <w:rPr>
          <w:lang w:val="fr-FR"/>
        </w:rPr>
        <w:t>17</w:t>
      </w:r>
      <w:r w:rsidR="00B20BB7">
        <w:rPr>
          <w:lang w:val="fr-FR"/>
        </w:rPr>
        <w:t>5</w:t>
      </w:r>
      <w:r>
        <w:rPr>
          <w:lang w:val="fr-FR"/>
        </w:rPr>
        <w:t>.</w:t>
      </w:r>
      <w:r>
        <w:rPr>
          <w:lang w:val="fr-FR"/>
        </w:rPr>
        <w:tab/>
        <w:t>L’</w:t>
      </w:r>
      <w:r w:rsidR="008E1139">
        <w:rPr>
          <w:lang w:val="fr-FR"/>
        </w:rPr>
        <w:t>Australie méridionale</w:t>
      </w:r>
      <w:r>
        <w:rPr>
          <w:lang w:val="fr-FR"/>
        </w:rPr>
        <w:t xml:space="preserve"> fournit aux détenues des services conformes au Plan stratégique 2005-08 du Département des services pénitentiaires, dont </w:t>
      </w:r>
      <w:r w:rsidR="00FF369E">
        <w:rPr>
          <w:lang w:val="fr-FR"/>
        </w:rPr>
        <w:t>l’</w:t>
      </w:r>
      <w:r>
        <w:rPr>
          <w:lang w:val="fr-FR"/>
        </w:rPr>
        <w:t xml:space="preserve">une des composantes principales est </w:t>
      </w:r>
      <w:r w:rsidR="00A619D6">
        <w:rPr>
          <w:lang w:val="fr-FR"/>
        </w:rPr>
        <w:t>«</w:t>
      </w:r>
      <w:r>
        <w:rPr>
          <w:lang w:val="fr-FR"/>
        </w:rPr>
        <w:t>une gestion efficace des délinquant</w:t>
      </w:r>
      <w:r w:rsidR="00FF369E">
        <w:rPr>
          <w:lang w:val="fr-FR"/>
        </w:rPr>
        <w:t>e</w:t>
      </w:r>
      <w:r>
        <w:rPr>
          <w:lang w:val="fr-FR"/>
        </w:rPr>
        <w:t>s</w:t>
      </w:r>
      <w:r w:rsidR="00A619D6">
        <w:rPr>
          <w:lang w:val="fr-FR"/>
        </w:rPr>
        <w:t>»</w:t>
      </w:r>
      <w:r w:rsidR="008D6B80">
        <w:rPr>
          <w:lang w:val="fr-FR"/>
        </w:rPr>
        <w:t xml:space="preserve">. </w:t>
      </w:r>
      <w:r>
        <w:rPr>
          <w:lang w:val="fr-FR"/>
        </w:rPr>
        <w:t>Cet objectif vise à rendre les communautés plus sures grâce aux éléments suivants</w:t>
      </w:r>
      <w:r w:rsidR="00572260">
        <w:rPr>
          <w:lang w:val="fr-FR"/>
        </w:rPr>
        <w:t>:</w:t>
      </w:r>
    </w:p>
    <w:p w:rsidR="00A148DF" w:rsidRDefault="00367278" w:rsidP="005D7B68">
      <w:pPr>
        <w:tabs>
          <w:tab w:val="left" w:pos="567"/>
          <w:tab w:val="left" w:pos="1134"/>
          <w:tab w:val="left" w:pos="1701"/>
          <w:tab w:val="left" w:pos="2268"/>
        </w:tabs>
        <w:rPr>
          <w:lang w:val="fr-FR"/>
        </w:rPr>
      </w:pPr>
      <w:r>
        <w:rPr>
          <w:lang w:val="fr-FR"/>
        </w:rPr>
        <w:tab/>
        <w:t>a)</w:t>
      </w:r>
      <w:r>
        <w:rPr>
          <w:lang w:val="fr-FR"/>
        </w:rPr>
        <w:tab/>
        <w:t>U</w:t>
      </w:r>
      <w:r w:rsidR="00A148DF">
        <w:rPr>
          <w:lang w:val="fr-FR"/>
        </w:rPr>
        <w:t>n système pénitentiaire efficace</w:t>
      </w:r>
      <w:r w:rsidR="00572260">
        <w:rPr>
          <w:lang w:val="fr-FR"/>
        </w:rPr>
        <w:t>;</w:t>
      </w:r>
    </w:p>
    <w:p w:rsidR="00A148DF" w:rsidRDefault="00367278" w:rsidP="005D7B68">
      <w:pPr>
        <w:tabs>
          <w:tab w:val="left" w:pos="567"/>
          <w:tab w:val="left" w:pos="1134"/>
          <w:tab w:val="left" w:pos="1701"/>
          <w:tab w:val="left" w:pos="2268"/>
        </w:tabs>
        <w:rPr>
          <w:lang w:val="fr-FR"/>
        </w:rPr>
      </w:pPr>
      <w:r>
        <w:rPr>
          <w:lang w:val="fr-FR"/>
        </w:rPr>
        <w:tab/>
        <w:t>b)</w:t>
      </w:r>
      <w:r>
        <w:rPr>
          <w:lang w:val="fr-FR"/>
        </w:rPr>
        <w:tab/>
        <w:t>U</w:t>
      </w:r>
      <w:r w:rsidR="00A148DF">
        <w:rPr>
          <w:lang w:val="fr-FR"/>
        </w:rPr>
        <w:t>ne</w:t>
      </w:r>
      <w:r w:rsidR="00FF369E">
        <w:rPr>
          <w:lang w:val="fr-FR"/>
        </w:rPr>
        <w:t xml:space="preserve"> surveillance et une réadaptation rentables des prisonniè</w:t>
      </w:r>
      <w:r w:rsidR="00A148DF">
        <w:rPr>
          <w:lang w:val="fr-FR"/>
        </w:rPr>
        <w:t>r</w:t>
      </w:r>
      <w:r w:rsidR="00FF369E">
        <w:rPr>
          <w:lang w:val="fr-FR"/>
        </w:rPr>
        <w:t>e</w:t>
      </w:r>
      <w:r w:rsidR="00A148DF">
        <w:rPr>
          <w:lang w:val="fr-FR"/>
        </w:rPr>
        <w:t>s et des délinquant</w:t>
      </w:r>
      <w:r w:rsidR="00FF369E">
        <w:rPr>
          <w:lang w:val="fr-FR"/>
        </w:rPr>
        <w:t>e</w:t>
      </w:r>
      <w:r w:rsidR="00A148DF">
        <w:rPr>
          <w:lang w:val="fr-FR"/>
        </w:rPr>
        <w:t>s</w:t>
      </w:r>
      <w:r w:rsidR="00572260">
        <w:rPr>
          <w:lang w:val="fr-FR"/>
        </w:rPr>
        <w:t>;</w:t>
      </w:r>
      <w:r w:rsidR="00A148DF">
        <w:rPr>
          <w:lang w:val="fr-FR"/>
        </w:rPr>
        <w:t xml:space="preserve"> et</w:t>
      </w:r>
    </w:p>
    <w:p w:rsidR="00CA18EE" w:rsidRDefault="00367278" w:rsidP="005D7B68">
      <w:pPr>
        <w:tabs>
          <w:tab w:val="left" w:pos="567"/>
          <w:tab w:val="left" w:pos="1134"/>
          <w:tab w:val="left" w:pos="1701"/>
          <w:tab w:val="left" w:pos="2268"/>
        </w:tabs>
        <w:rPr>
          <w:lang w:val="fr-FR"/>
        </w:rPr>
      </w:pPr>
      <w:r>
        <w:rPr>
          <w:lang w:val="fr-FR"/>
        </w:rPr>
        <w:tab/>
        <w:t>c)</w:t>
      </w:r>
      <w:r>
        <w:rPr>
          <w:lang w:val="fr-FR"/>
        </w:rPr>
        <w:tab/>
        <w:t>U</w:t>
      </w:r>
      <w:r w:rsidR="00A148DF">
        <w:rPr>
          <w:lang w:val="fr-FR"/>
        </w:rPr>
        <w:t>n environnement sûr</w:t>
      </w:r>
      <w:r w:rsidR="00CA18EE">
        <w:rPr>
          <w:lang w:val="fr-FR"/>
        </w:rPr>
        <w:t>, sans risque et humain.</w:t>
      </w:r>
    </w:p>
    <w:p w:rsidR="00CA18EE" w:rsidRDefault="00B20BB7" w:rsidP="005D7B68">
      <w:pPr>
        <w:tabs>
          <w:tab w:val="left" w:pos="567"/>
          <w:tab w:val="left" w:pos="1134"/>
          <w:tab w:val="left" w:pos="1701"/>
          <w:tab w:val="left" w:pos="2268"/>
        </w:tabs>
        <w:rPr>
          <w:lang w:val="fr-FR"/>
        </w:rPr>
      </w:pPr>
      <w:r>
        <w:rPr>
          <w:lang w:val="fr-FR"/>
        </w:rPr>
        <w:t>176</w:t>
      </w:r>
      <w:r w:rsidR="00CA18EE">
        <w:rPr>
          <w:lang w:val="fr-FR"/>
        </w:rPr>
        <w:t>.</w:t>
      </w:r>
      <w:r w:rsidR="00CA18EE">
        <w:rPr>
          <w:lang w:val="fr-FR"/>
        </w:rPr>
        <w:tab/>
        <w:t>En conséquence, toutes les politiques et les procédures doivent être conformes à ces objectifs.</w:t>
      </w:r>
    </w:p>
    <w:p w:rsidR="00CA18EE" w:rsidRDefault="00B20BB7" w:rsidP="005D7B68">
      <w:pPr>
        <w:tabs>
          <w:tab w:val="left" w:pos="567"/>
          <w:tab w:val="left" w:pos="1134"/>
          <w:tab w:val="left" w:pos="1701"/>
          <w:tab w:val="left" w:pos="2268"/>
        </w:tabs>
        <w:rPr>
          <w:lang w:val="fr-FR"/>
        </w:rPr>
      </w:pPr>
      <w:r>
        <w:rPr>
          <w:lang w:val="fr-FR"/>
        </w:rPr>
        <w:t>177</w:t>
      </w:r>
      <w:r w:rsidR="00CA18EE">
        <w:rPr>
          <w:lang w:val="fr-FR"/>
        </w:rPr>
        <w:t>.</w:t>
      </w:r>
      <w:r w:rsidR="00CA18EE">
        <w:rPr>
          <w:lang w:val="fr-FR"/>
        </w:rPr>
        <w:tab/>
        <w:t>Les détenues ont aussi le droit de porter tout mauvais traitement à l’attention</w:t>
      </w:r>
      <w:r w:rsidR="00572260">
        <w:rPr>
          <w:lang w:val="fr-FR"/>
        </w:rPr>
        <w:t>:</w:t>
      </w:r>
    </w:p>
    <w:p w:rsidR="00CA18EE" w:rsidRDefault="00367278" w:rsidP="005D7B68">
      <w:pPr>
        <w:tabs>
          <w:tab w:val="left" w:pos="567"/>
          <w:tab w:val="left" w:pos="1134"/>
          <w:tab w:val="left" w:pos="1701"/>
          <w:tab w:val="left" w:pos="2268"/>
        </w:tabs>
        <w:rPr>
          <w:lang w:val="fr-FR"/>
        </w:rPr>
      </w:pPr>
      <w:r>
        <w:rPr>
          <w:lang w:val="fr-FR"/>
        </w:rPr>
        <w:tab/>
        <w:t>a)</w:t>
      </w:r>
      <w:r>
        <w:rPr>
          <w:lang w:val="fr-FR"/>
        </w:rPr>
        <w:tab/>
        <w:t>D</w:t>
      </w:r>
      <w:r w:rsidR="00CA18EE">
        <w:rPr>
          <w:lang w:val="fr-FR"/>
        </w:rPr>
        <w:t>e leur chargé de dossier</w:t>
      </w:r>
      <w:r w:rsidR="00572260">
        <w:rPr>
          <w:lang w:val="fr-FR"/>
        </w:rPr>
        <w:t>;</w:t>
      </w:r>
      <w:r w:rsidR="00CA18EE">
        <w:rPr>
          <w:lang w:val="fr-FR"/>
        </w:rPr>
        <w:t> </w:t>
      </w:r>
    </w:p>
    <w:p w:rsidR="00962DE7" w:rsidRDefault="00CA18EE" w:rsidP="005D7B68">
      <w:pPr>
        <w:tabs>
          <w:tab w:val="left" w:pos="567"/>
          <w:tab w:val="left" w:pos="1134"/>
          <w:tab w:val="left" w:pos="1701"/>
          <w:tab w:val="left" w:pos="2268"/>
        </w:tabs>
        <w:rPr>
          <w:lang w:val="fr-FR"/>
        </w:rPr>
      </w:pPr>
      <w:r>
        <w:rPr>
          <w:lang w:val="fr-FR"/>
        </w:rPr>
        <w:tab/>
        <w:t>b)</w:t>
      </w:r>
      <w:r>
        <w:rPr>
          <w:lang w:val="fr-FR"/>
        </w:rPr>
        <w:tab/>
      </w:r>
      <w:r w:rsidR="00367278">
        <w:rPr>
          <w:lang w:val="fr-FR"/>
        </w:rPr>
        <w:t>D</w:t>
      </w:r>
      <w:r w:rsidR="00962DE7">
        <w:rPr>
          <w:lang w:val="fr-FR"/>
        </w:rPr>
        <w:t>e l’unité et/ou du Directeur général dans chaque prison</w:t>
      </w:r>
      <w:r w:rsidR="00572260">
        <w:rPr>
          <w:lang w:val="fr-FR"/>
        </w:rPr>
        <w:t>;</w:t>
      </w:r>
      <w:r w:rsidR="00962DE7">
        <w:rPr>
          <w:lang w:val="fr-FR"/>
        </w:rPr>
        <w:t> </w:t>
      </w:r>
    </w:p>
    <w:p w:rsidR="00962DE7" w:rsidRDefault="00367278" w:rsidP="005D7B68">
      <w:pPr>
        <w:tabs>
          <w:tab w:val="left" w:pos="567"/>
          <w:tab w:val="left" w:pos="1134"/>
          <w:tab w:val="left" w:pos="1701"/>
          <w:tab w:val="left" w:pos="2268"/>
        </w:tabs>
        <w:rPr>
          <w:lang w:val="fr-FR"/>
        </w:rPr>
      </w:pPr>
      <w:r>
        <w:rPr>
          <w:lang w:val="fr-FR"/>
        </w:rPr>
        <w:tab/>
        <w:t>c)</w:t>
      </w:r>
      <w:r>
        <w:rPr>
          <w:lang w:val="fr-FR"/>
        </w:rPr>
        <w:tab/>
        <w:t>D</w:t>
      </w:r>
      <w:r w:rsidR="00962DE7">
        <w:rPr>
          <w:lang w:val="fr-FR"/>
        </w:rPr>
        <w:t>es inspecteurs qui sont indépendants du Département des services pénitentiaires, nommés par le ministre, et qui viennent voir chaque personne toutes les semaines</w:t>
      </w:r>
      <w:r w:rsidR="00572260">
        <w:rPr>
          <w:lang w:val="fr-FR"/>
        </w:rPr>
        <w:t>;</w:t>
      </w:r>
      <w:r w:rsidR="00962DE7">
        <w:rPr>
          <w:lang w:val="fr-FR"/>
        </w:rPr>
        <w:t> </w:t>
      </w:r>
    </w:p>
    <w:p w:rsidR="00962DE7" w:rsidRDefault="00367278" w:rsidP="005D7B68">
      <w:pPr>
        <w:tabs>
          <w:tab w:val="left" w:pos="567"/>
          <w:tab w:val="left" w:pos="1134"/>
          <w:tab w:val="left" w:pos="1701"/>
          <w:tab w:val="left" w:pos="2268"/>
        </w:tabs>
        <w:rPr>
          <w:lang w:val="fr-FR"/>
        </w:rPr>
      </w:pPr>
      <w:r>
        <w:rPr>
          <w:lang w:val="fr-FR"/>
        </w:rPr>
        <w:tab/>
        <w:t>d)</w:t>
      </w:r>
      <w:r>
        <w:rPr>
          <w:lang w:val="fr-FR"/>
        </w:rPr>
        <w:tab/>
        <w:t>D</w:t>
      </w:r>
      <w:r w:rsidR="00962DE7">
        <w:rPr>
          <w:lang w:val="fr-FR"/>
        </w:rPr>
        <w:t>es aumônier</w:t>
      </w:r>
      <w:r>
        <w:rPr>
          <w:lang w:val="fr-FR"/>
        </w:rPr>
        <w:t>s</w:t>
      </w:r>
      <w:r w:rsidR="00572260">
        <w:rPr>
          <w:lang w:val="fr-FR"/>
        </w:rPr>
        <w:t>;</w:t>
      </w:r>
    </w:p>
    <w:p w:rsidR="00962DE7" w:rsidRDefault="00367278" w:rsidP="005D7B68">
      <w:pPr>
        <w:tabs>
          <w:tab w:val="left" w:pos="567"/>
          <w:tab w:val="left" w:pos="1134"/>
          <w:tab w:val="left" w:pos="1701"/>
          <w:tab w:val="left" w:pos="2268"/>
        </w:tabs>
        <w:rPr>
          <w:lang w:val="fr-FR"/>
        </w:rPr>
      </w:pPr>
      <w:r>
        <w:rPr>
          <w:lang w:val="fr-FR"/>
        </w:rPr>
        <w:tab/>
        <w:t>e)</w:t>
      </w:r>
      <w:r>
        <w:rPr>
          <w:lang w:val="fr-FR"/>
        </w:rPr>
        <w:tab/>
        <w:t>D</w:t>
      </w:r>
      <w:r w:rsidR="00962DE7">
        <w:rPr>
          <w:lang w:val="fr-FR"/>
        </w:rPr>
        <w:t>es agents de liaison aborigènes</w:t>
      </w:r>
      <w:r w:rsidR="00572260">
        <w:rPr>
          <w:lang w:val="fr-FR"/>
        </w:rPr>
        <w:t>;</w:t>
      </w:r>
    </w:p>
    <w:p w:rsidR="00962DE7" w:rsidRDefault="00040770" w:rsidP="005B7D04">
      <w:pPr>
        <w:tabs>
          <w:tab w:val="left" w:pos="567"/>
          <w:tab w:val="left" w:pos="1134"/>
          <w:tab w:val="left" w:pos="1701"/>
          <w:tab w:val="left" w:pos="2268"/>
        </w:tabs>
        <w:rPr>
          <w:lang w:val="fr-FR"/>
        </w:rPr>
      </w:pPr>
      <w:r>
        <w:rPr>
          <w:lang w:val="fr-FR"/>
        </w:rPr>
        <w:tab/>
        <w:t>f)</w:t>
      </w:r>
      <w:r>
        <w:rPr>
          <w:lang w:val="fr-FR"/>
        </w:rPr>
        <w:tab/>
        <w:t>De la permanence téléphonique</w:t>
      </w:r>
      <w:r w:rsidR="00962DE7">
        <w:rPr>
          <w:lang w:val="fr-FR"/>
        </w:rPr>
        <w:t xml:space="preserve"> du Département des services pénitentiaires réservée aux plaintes</w:t>
      </w:r>
      <w:r w:rsidR="000412C4">
        <w:rPr>
          <w:lang w:val="fr-FR"/>
        </w:rPr>
        <w:t xml:space="preserve"> à laquelle toutes les détenues</w:t>
      </w:r>
      <w:r w:rsidR="00962DE7">
        <w:rPr>
          <w:lang w:val="fr-FR"/>
        </w:rPr>
        <w:t xml:space="preserve"> ont accès</w:t>
      </w:r>
      <w:r w:rsidR="00367278">
        <w:rPr>
          <w:lang w:val="fr-FR"/>
        </w:rPr>
        <w:t xml:space="preserve"> gratuitement</w:t>
      </w:r>
      <w:r w:rsidR="00572260">
        <w:rPr>
          <w:lang w:val="fr-FR"/>
        </w:rPr>
        <w:t>;</w:t>
      </w:r>
    </w:p>
    <w:p w:rsidR="00962DE7" w:rsidRDefault="00040770" w:rsidP="005D7B68">
      <w:pPr>
        <w:tabs>
          <w:tab w:val="left" w:pos="567"/>
          <w:tab w:val="left" w:pos="1134"/>
          <w:tab w:val="left" w:pos="1701"/>
          <w:tab w:val="left" w:pos="2268"/>
        </w:tabs>
        <w:rPr>
          <w:lang w:val="fr-FR"/>
        </w:rPr>
      </w:pPr>
      <w:r>
        <w:rPr>
          <w:lang w:val="fr-FR"/>
        </w:rPr>
        <w:tab/>
        <w:t>g)</w:t>
      </w:r>
      <w:r>
        <w:rPr>
          <w:lang w:val="fr-FR"/>
        </w:rPr>
        <w:tab/>
        <w:t>Du</w:t>
      </w:r>
      <w:r w:rsidR="00962DE7">
        <w:rPr>
          <w:lang w:val="fr-FR"/>
        </w:rPr>
        <w:t xml:space="preserve"> Médiateur</w:t>
      </w:r>
      <w:r w:rsidR="00572260">
        <w:rPr>
          <w:lang w:val="fr-FR"/>
        </w:rPr>
        <w:t>;</w:t>
      </w:r>
    </w:p>
    <w:p w:rsidR="00641B03" w:rsidRDefault="00040770" w:rsidP="005D7B68">
      <w:pPr>
        <w:tabs>
          <w:tab w:val="left" w:pos="567"/>
          <w:tab w:val="left" w:pos="1134"/>
          <w:tab w:val="left" w:pos="1701"/>
          <w:tab w:val="left" w:pos="2268"/>
        </w:tabs>
        <w:rPr>
          <w:lang w:val="fr-FR"/>
        </w:rPr>
      </w:pPr>
      <w:r>
        <w:rPr>
          <w:lang w:val="fr-FR"/>
        </w:rPr>
        <w:tab/>
        <w:t>h)</w:t>
      </w:r>
      <w:r>
        <w:rPr>
          <w:lang w:val="fr-FR"/>
        </w:rPr>
        <w:tab/>
        <w:t>D</w:t>
      </w:r>
      <w:r w:rsidR="00962DE7">
        <w:rPr>
          <w:lang w:val="fr-FR"/>
        </w:rPr>
        <w:t>u Conseil consultatif des services pénitentiaires, qui est un organisme indépendant</w:t>
      </w:r>
      <w:r w:rsidR="0037478F">
        <w:rPr>
          <w:lang w:val="fr-FR"/>
        </w:rPr>
        <w:t xml:space="preserve"> </w:t>
      </w:r>
      <w:r>
        <w:rPr>
          <w:lang w:val="fr-FR"/>
        </w:rPr>
        <w:t>placé sous l’égide du Ministre</w:t>
      </w:r>
      <w:r w:rsidR="00572260">
        <w:rPr>
          <w:lang w:val="fr-FR"/>
        </w:rPr>
        <w:t>;</w:t>
      </w:r>
    </w:p>
    <w:p w:rsidR="00641B03" w:rsidRDefault="00040770" w:rsidP="005D7B68">
      <w:pPr>
        <w:tabs>
          <w:tab w:val="left" w:pos="567"/>
          <w:tab w:val="left" w:pos="1134"/>
          <w:tab w:val="left" w:pos="1701"/>
          <w:tab w:val="left" w:pos="2268"/>
        </w:tabs>
        <w:rPr>
          <w:lang w:val="fr-FR"/>
        </w:rPr>
      </w:pPr>
      <w:r>
        <w:rPr>
          <w:lang w:val="fr-FR"/>
        </w:rPr>
        <w:tab/>
        <w:t>i)</w:t>
      </w:r>
      <w:r>
        <w:rPr>
          <w:lang w:val="fr-FR"/>
        </w:rPr>
        <w:tab/>
        <w:t>D</w:t>
      </w:r>
      <w:r w:rsidR="00641B03">
        <w:rPr>
          <w:lang w:val="fr-FR"/>
        </w:rPr>
        <w:t>es s</w:t>
      </w:r>
      <w:r w:rsidR="005D12A4">
        <w:rPr>
          <w:lang w:val="fr-FR"/>
        </w:rPr>
        <w:t>ervices d’aide et de réadaptation</w:t>
      </w:r>
      <w:r w:rsidR="00641B03">
        <w:rPr>
          <w:lang w:val="fr-FR"/>
        </w:rPr>
        <w:t xml:space="preserve"> pour les délinquant</w:t>
      </w:r>
      <w:r w:rsidR="005D12A4">
        <w:rPr>
          <w:lang w:val="fr-FR"/>
        </w:rPr>
        <w:t>e</w:t>
      </w:r>
      <w:r w:rsidR="00641B03">
        <w:rPr>
          <w:lang w:val="fr-FR"/>
        </w:rPr>
        <w:t>s</w:t>
      </w:r>
      <w:r w:rsidR="00572260">
        <w:rPr>
          <w:lang w:val="fr-FR"/>
        </w:rPr>
        <w:t>;</w:t>
      </w:r>
    </w:p>
    <w:p w:rsidR="00641B03" w:rsidRDefault="00040770" w:rsidP="005D7B68">
      <w:pPr>
        <w:tabs>
          <w:tab w:val="left" w:pos="567"/>
          <w:tab w:val="left" w:pos="1134"/>
          <w:tab w:val="left" w:pos="1701"/>
          <w:tab w:val="left" w:pos="2268"/>
        </w:tabs>
        <w:rPr>
          <w:lang w:val="fr-FR"/>
        </w:rPr>
      </w:pPr>
      <w:r>
        <w:rPr>
          <w:lang w:val="fr-FR"/>
        </w:rPr>
        <w:tab/>
        <w:t>j)</w:t>
      </w:r>
      <w:r>
        <w:rPr>
          <w:lang w:val="fr-FR"/>
        </w:rPr>
        <w:tab/>
        <w:t>D</w:t>
      </w:r>
      <w:r w:rsidR="00641B03">
        <w:rPr>
          <w:lang w:val="fr-FR"/>
        </w:rPr>
        <w:t>es services d’aide aux détenus et délinquants</w:t>
      </w:r>
      <w:r w:rsidR="004D35E6">
        <w:rPr>
          <w:lang w:val="fr-FR"/>
        </w:rPr>
        <w:t xml:space="preserve"> </w:t>
      </w:r>
      <w:r>
        <w:rPr>
          <w:lang w:val="fr-FR"/>
        </w:rPr>
        <w:t>aborigènes</w:t>
      </w:r>
      <w:r w:rsidR="00572260">
        <w:rPr>
          <w:lang w:val="fr-FR"/>
        </w:rPr>
        <w:t>;</w:t>
      </w:r>
      <w:r w:rsidR="00641B03">
        <w:rPr>
          <w:lang w:val="fr-FR"/>
        </w:rPr>
        <w:t xml:space="preserve"> et</w:t>
      </w:r>
    </w:p>
    <w:p w:rsidR="00641B03" w:rsidRDefault="00040770" w:rsidP="005D7B68">
      <w:pPr>
        <w:tabs>
          <w:tab w:val="left" w:pos="567"/>
          <w:tab w:val="left" w:pos="1134"/>
          <w:tab w:val="left" w:pos="1701"/>
          <w:tab w:val="left" w:pos="2268"/>
        </w:tabs>
        <w:rPr>
          <w:lang w:val="fr-FR"/>
        </w:rPr>
      </w:pPr>
      <w:r>
        <w:rPr>
          <w:lang w:val="fr-FR"/>
        </w:rPr>
        <w:tab/>
        <w:t>k)</w:t>
      </w:r>
      <w:r>
        <w:rPr>
          <w:lang w:val="fr-FR"/>
        </w:rPr>
        <w:tab/>
        <w:t>D</w:t>
      </w:r>
      <w:r w:rsidR="00641B03">
        <w:rPr>
          <w:lang w:val="fr-FR"/>
        </w:rPr>
        <w:t>u Mouvement des droits juridiques des aborigènes.</w:t>
      </w:r>
    </w:p>
    <w:p w:rsidR="00641B03" w:rsidRDefault="00B20BB7" w:rsidP="005D7B68">
      <w:pPr>
        <w:tabs>
          <w:tab w:val="left" w:pos="567"/>
          <w:tab w:val="left" w:pos="1134"/>
          <w:tab w:val="left" w:pos="1701"/>
          <w:tab w:val="left" w:pos="2268"/>
        </w:tabs>
        <w:rPr>
          <w:lang w:val="fr-FR"/>
        </w:rPr>
      </w:pPr>
      <w:r>
        <w:rPr>
          <w:lang w:val="fr-FR"/>
        </w:rPr>
        <w:t>178</w:t>
      </w:r>
      <w:r w:rsidR="00641B03">
        <w:rPr>
          <w:lang w:val="fr-FR"/>
        </w:rPr>
        <w:t>.</w:t>
      </w:r>
      <w:r w:rsidR="00641B03">
        <w:rPr>
          <w:lang w:val="fr-FR"/>
        </w:rPr>
        <w:tab/>
        <w:t>Par ailleurs, selon le sérieux des allégations, la polic</w:t>
      </w:r>
      <w:r w:rsidR="00040770">
        <w:rPr>
          <w:lang w:val="fr-FR"/>
        </w:rPr>
        <w:t>e d’</w:t>
      </w:r>
      <w:r w:rsidR="008E1139">
        <w:rPr>
          <w:lang w:val="fr-FR"/>
        </w:rPr>
        <w:t>Australie méridionale</w:t>
      </w:r>
      <w:r w:rsidR="00040770">
        <w:rPr>
          <w:lang w:val="fr-FR"/>
        </w:rPr>
        <w:t xml:space="preserve"> et l’U</w:t>
      </w:r>
      <w:r w:rsidR="00641B03">
        <w:rPr>
          <w:lang w:val="fr-FR"/>
        </w:rPr>
        <w:t>nité de renseignement et d’enquête du Département peuvent effectuer tou</w:t>
      </w:r>
      <w:r w:rsidR="00040770">
        <w:rPr>
          <w:lang w:val="fr-FR"/>
        </w:rPr>
        <w:t>te</w:t>
      </w:r>
      <w:r w:rsidR="00641B03">
        <w:rPr>
          <w:lang w:val="fr-FR"/>
        </w:rPr>
        <w:t>s les deux une enquête</w:t>
      </w:r>
      <w:r w:rsidR="00DA2475">
        <w:rPr>
          <w:lang w:val="fr-FR"/>
        </w:rPr>
        <w:t>,</w:t>
      </w:r>
      <w:r w:rsidR="00641B03">
        <w:rPr>
          <w:lang w:val="fr-FR"/>
        </w:rPr>
        <w:t xml:space="preserve"> suite à la plainte.</w:t>
      </w:r>
    </w:p>
    <w:p w:rsidR="00E236B8" w:rsidRDefault="00623404" w:rsidP="005D7B68">
      <w:pPr>
        <w:tabs>
          <w:tab w:val="left" w:pos="567"/>
          <w:tab w:val="left" w:pos="1134"/>
          <w:tab w:val="left" w:pos="1701"/>
          <w:tab w:val="left" w:pos="2268"/>
        </w:tabs>
        <w:rPr>
          <w:lang w:val="fr-FR"/>
        </w:rPr>
      </w:pPr>
      <w:r>
        <w:rPr>
          <w:lang w:val="fr-FR"/>
        </w:rPr>
        <w:t>179</w:t>
      </w:r>
      <w:r w:rsidR="00641B03">
        <w:rPr>
          <w:lang w:val="fr-FR"/>
        </w:rPr>
        <w:t>.</w:t>
      </w:r>
      <w:r w:rsidR="00641B03">
        <w:rPr>
          <w:lang w:val="fr-FR"/>
        </w:rPr>
        <w:tab/>
      </w:r>
      <w:r w:rsidR="0056224D">
        <w:rPr>
          <w:lang w:val="fr-FR"/>
        </w:rPr>
        <w:t>Le Département des services pénitentiaires s’est engagé à améliorer sans cesse la sélection et la formation</w:t>
      </w:r>
      <w:r w:rsidR="0083110C">
        <w:rPr>
          <w:lang w:val="fr-FR"/>
        </w:rPr>
        <w:t xml:space="preserve"> des surveillants</w:t>
      </w:r>
      <w:r w:rsidR="008D6B80">
        <w:rPr>
          <w:lang w:val="fr-FR"/>
        </w:rPr>
        <w:t xml:space="preserve">. </w:t>
      </w:r>
      <w:r w:rsidR="0083110C">
        <w:rPr>
          <w:lang w:val="fr-FR"/>
        </w:rPr>
        <w:t>Les stagiaires</w:t>
      </w:r>
      <w:r w:rsidR="0056224D">
        <w:rPr>
          <w:lang w:val="fr-FR"/>
        </w:rPr>
        <w:t xml:space="preserve"> sont soumis à un processus de sélection rigoureux comportant un test psychologique avant de commencer les huit semaines d’entraînement pratique</w:t>
      </w:r>
      <w:r w:rsidR="008D6B80">
        <w:rPr>
          <w:lang w:val="fr-FR"/>
        </w:rPr>
        <w:t xml:space="preserve">. </w:t>
      </w:r>
      <w:r w:rsidR="0056224D">
        <w:rPr>
          <w:lang w:val="fr-FR"/>
        </w:rPr>
        <w:t xml:space="preserve">Cette formation s’achève avant qu’ils n’assument leurs responsabilités </w:t>
      </w:r>
      <w:r w:rsidR="00E236B8">
        <w:rPr>
          <w:lang w:val="fr-FR"/>
        </w:rPr>
        <w:t xml:space="preserve">dans </w:t>
      </w:r>
      <w:r w:rsidR="00261C4C">
        <w:rPr>
          <w:lang w:val="fr-FR"/>
        </w:rPr>
        <w:t>l’administration des détenus</w:t>
      </w:r>
      <w:r w:rsidR="008D6B80">
        <w:rPr>
          <w:lang w:val="fr-FR"/>
        </w:rPr>
        <w:t xml:space="preserve">. </w:t>
      </w:r>
      <w:r w:rsidR="00E236B8">
        <w:rPr>
          <w:lang w:val="fr-FR"/>
        </w:rPr>
        <w:t>La formation met l’accent sur un traitement respectueux et humain, et renforce le refus de toute espèce de comportement inappr</w:t>
      </w:r>
      <w:r w:rsidR="00040770">
        <w:rPr>
          <w:lang w:val="fr-FR"/>
        </w:rPr>
        <w:t>oprié à l’égard des détenus</w:t>
      </w:r>
      <w:r w:rsidR="00E236B8">
        <w:rPr>
          <w:lang w:val="fr-FR"/>
        </w:rPr>
        <w:t>, y compris la violence ou la brutalité.</w:t>
      </w:r>
    </w:p>
    <w:p w:rsidR="00E236B8" w:rsidRDefault="00623404" w:rsidP="005D7B68">
      <w:pPr>
        <w:tabs>
          <w:tab w:val="left" w:pos="567"/>
          <w:tab w:val="left" w:pos="1134"/>
          <w:tab w:val="left" w:pos="1701"/>
          <w:tab w:val="left" w:pos="2268"/>
        </w:tabs>
        <w:rPr>
          <w:lang w:val="fr-FR"/>
        </w:rPr>
      </w:pPr>
      <w:r>
        <w:rPr>
          <w:lang w:val="fr-FR"/>
        </w:rPr>
        <w:t>180</w:t>
      </w:r>
      <w:r w:rsidR="00E236B8">
        <w:rPr>
          <w:lang w:val="fr-FR"/>
        </w:rPr>
        <w:t>.</w:t>
      </w:r>
      <w:r w:rsidR="00E236B8">
        <w:rPr>
          <w:lang w:val="fr-FR"/>
        </w:rPr>
        <w:tab/>
        <w:t>Dans le cadre du processus de formation, des représe</w:t>
      </w:r>
      <w:r w:rsidR="00FB35F5">
        <w:rPr>
          <w:lang w:val="fr-FR"/>
        </w:rPr>
        <w:t>ntants chevronnés du bureau du m</w:t>
      </w:r>
      <w:r w:rsidR="00E236B8">
        <w:rPr>
          <w:lang w:val="fr-FR"/>
        </w:rPr>
        <w:t>édiateur et des in</w:t>
      </w:r>
      <w:r w:rsidR="00261C4C">
        <w:rPr>
          <w:lang w:val="fr-FR"/>
        </w:rPr>
        <w:t>specteurs indépendants,</w:t>
      </w:r>
      <w:r w:rsidR="00E236B8">
        <w:rPr>
          <w:lang w:val="fr-FR"/>
        </w:rPr>
        <w:t xml:space="preserve"> nommés par le Ministre pour surveiller étroiteme</w:t>
      </w:r>
      <w:r w:rsidR="00040770">
        <w:rPr>
          <w:lang w:val="fr-FR"/>
        </w:rPr>
        <w:t>nt le traitement des détenus</w:t>
      </w:r>
      <w:r w:rsidR="00E236B8">
        <w:rPr>
          <w:lang w:val="fr-FR"/>
        </w:rPr>
        <w:t>, expliquent leur rôle et leurs attentes à tous les stagiaires.</w:t>
      </w:r>
    </w:p>
    <w:p w:rsidR="00AD046F" w:rsidRDefault="00623404" w:rsidP="005D7B68">
      <w:pPr>
        <w:tabs>
          <w:tab w:val="left" w:pos="567"/>
          <w:tab w:val="left" w:pos="1134"/>
          <w:tab w:val="left" w:pos="1701"/>
          <w:tab w:val="left" w:pos="2268"/>
        </w:tabs>
        <w:rPr>
          <w:lang w:val="fr-FR"/>
        </w:rPr>
      </w:pPr>
      <w:r>
        <w:rPr>
          <w:lang w:val="fr-FR"/>
        </w:rPr>
        <w:t>181</w:t>
      </w:r>
      <w:r w:rsidR="00E236B8">
        <w:rPr>
          <w:lang w:val="fr-FR"/>
        </w:rPr>
        <w:t>.</w:t>
      </w:r>
      <w:r w:rsidR="00E236B8">
        <w:rPr>
          <w:lang w:val="fr-FR"/>
        </w:rPr>
        <w:tab/>
        <w:t>Outre la sélection et la formation initiales, chaque prison a un programme régulier de formation pour les agents de détention</w:t>
      </w:r>
      <w:r w:rsidR="00AD046F">
        <w:rPr>
          <w:lang w:val="fr-FR"/>
        </w:rPr>
        <w:t>.</w:t>
      </w:r>
    </w:p>
    <w:p w:rsidR="00AD046F" w:rsidRDefault="00AD046F" w:rsidP="005D7B68">
      <w:pPr>
        <w:tabs>
          <w:tab w:val="left" w:pos="567"/>
          <w:tab w:val="left" w:pos="1134"/>
          <w:tab w:val="left" w:pos="1701"/>
          <w:tab w:val="left" w:pos="2268"/>
        </w:tabs>
        <w:rPr>
          <w:lang w:val="fr-FR"/>
        </w:rPr>
      </w:pPr>
      <w:r>
        <w:rPr>
          <w:lang w:val="fr-FR"/>
        </w:rPr>
        <w:t>18</w:t>
      </w:r>
      <w:r w:rsidR="00623404">
        <w:rPr>
          <w:lang w:val="fr-FR"/>
        </w:rPr>
        <w:t>2</w:t>
      </w:r>
      <w:r>
        <w:rPr>
          <w:lang w:val="fr-FR"/>
        </w:rPr>
        <w:t>.</w:t>
      </w:r>
      <w:r>
        <w:rPr>
          <w:lang w:val="fr-FR"/>
        </w:rPr>
        <w:tab/>
        <w:t>Afin de veiller à ce que les détenues profitent encore mieux des meilleures pratiques, la prison pour femmes d’Adélaïde a adopté un</w:t>
      </w:r>
      <w:r w:rsidR="00040770">
        <w:rPr>
          <w:lang w:val="fr-FR"/>
        </w:rPr>
        <w:t>e</w:t>
      </w:r>
      <w:r>
        <w:rPr>
          <w:lang w:val="fr-FR"/>
        </w:rPr>
        <w:t xml:space="preserve"> approche par équipe multidisciplinaire, qui fait intervenir</w:t>
      </w:r>
      <w:r w:rsidR="00AB0139">
        <w:rPr>
          <w:lang w:val="fr-FR"/>
        </w:rPr>
        <w:t>,</w:t>
      </w:r>
      <w:r>
        <w:rPr>
          <w:lang w:val="fr-FR"/>
        </w:rPr>
        <w:t xml:space="preserve"> en collaboration</w:t>
      </w:r>
      <w:r w:rsidR="00AB0139">
        <w:rPr>
          <w:lang w:val="fr-FR"/>
        </w:rPr>
        <w:t>,</w:t>
      </w:r>
      <w:r>
        <w:rPr>
          <w:lang w:val="fr-FR"/>
        </w:rPr>
        <w:t xml:space="preserve"> des membres du personnel du </w:t>
      </w:r>
      <w:r w:rsidR="00482341">
        <w:rPr>
          <w:lang w:val="fr-FR"/>
        </w:rPr>
        <w:t>système sanitaire pénitentiaire</w:t>
      </w:r>
      <w:r>
        <w:rPr>
          <w:lang w:val="fr-FR"/>
        </w:rPr>
        <w:t xml:space="preserve"> ainsi que des services opérationnels, psychologiques et sociaux.</w:t>
      </w:r>
    </w:p>
    <w:p w:rsidR="003F0166" w:rsidRDefault="00623404" w:rsidP="005D7B68">
      <w:pPr>
        <w:tabs>
          <w:tab w:val="left" w:pos="567"/>
          <w:tab w:val="left" w:pos="1134"/>
          <w:tab w:val="left" w:pos="1701"/>
          <w:tab w:val="left" w:pos="2268"/>
        </w:tabs>
        <w:rPr>
          <w:lang w:val="fr-FR"/>
        </w:rPr>
      </w:pPr>
      <w:r>
        <w:rPr>
          <w:lang w:val="fr-FR"/>
        </w:rPr>
        <w:t>183</w:t>
      </w:r>
      <w:r w:rsidR="00AD046F">
        <w:rPr>
          <w:lang w:val="fr-FR"/>
        </w:rPr>
        <w:t>.</w:t>
      </w:r>
      <w:r w:rsidR="00AD046F">
        <w:rPr>
          <w:lang w:val="fr-FR"/>
        </w:rPr>
        <w:tab/>
        <w:t>Il convient de remarquer que, conformément à l’optique consistant à ménager un environnement sûr, sans danger et humain,</w:t>
      </w:r>
      <w:r w:rsidR="00134714">
        <w:rPr>
          <w:lang w:val="fr-FR"/>
        </w:rPr>
        <w:t xml:space="preserve"> le personnel de</w:t>
      </w:r>
      <w:r w:rsidR="00AD046F">
        <w:rPr>
          <w:lang w:val="fr-FR"/>
        </w:rPr>
        <w:t xml:space="preserve"> la prison pour femmes d’Adélaïde a pour politique de ne pas pratiquer de fouille corporelle interne</w:t>
      </w:r>
      <w:r w:rsidR="003F0166">
        <w:rPr>
          <w:lang w:val="fr-FR"/>
        </w:rPr>
        <w:t xml:space="preserve"> sur les détenues.</w:t>
      </w:r>
    </w:p>
    <w:p w:rsidR="003F0166" w:rsidRDefault="00623404" w:rsidP="005D7B68">
      <w:pPr>
        <w:tabs>
          <w:tab w:val="left" w:pos="567"/>
          <w:tab w:val="left" w:pos="1134"/>
          <w:tab w:val="left" w:pos="1701"/>
          <w:tab w:val="left" w:pos="2268"/>
        </w:tabs>
        <w:rPr>
          <w:lang w:val="fr-FR"/>
        </w:rPr>
      </w:pPr>
      <w:r>
        <w:rPr>
          <w:lang w:val="fr-FR"/>
        </w:rPr>
        <w:t>184</w:t>
      </w:r>
      <w:r w:rsidR="003F0166">
        <w:rPr>
          <w:lang w:val="fr-FR"/>
        </w:rPr>
        <w:t>.</w:t>
      </w:r>
      <w:r w:rsidR="003F0166">
        <w:rPr>
          <w:lang w:val="fr-FR"/>
        </w:rPr>
        <w:tab/>
        <w:t>Au cours de l’année budgétaire</w:t>
      </w:r>
      <w:r w:rsidR="00AD046F">
        <w:rPr>
          <w:lang w:val="fr-FR"/>
        </w:rPr>
        <w:t xml:space="preserve"> </w:t>
      </w:r>
      <w:r w:rsidR="00FB35F5">
        <w:rPr>
          <w:lang w:val="fr-FR"/>
        </w:rPr>
        <w:t>2006/</w:t>
      </w:r>
      <w:r w:rsidR="003F0166">
        <w:rPr>
          <w:lang w:val="fr-FR"/>
        </w:rPr>
        <w:t>07, il y a eu une seule plainte pour agression sexuelle déposée par une détenue contre une autre détenue</w:t>
      </w:r>
      <w:r w:rsidR="008D6B80">
        <w:rPr>
          <w:lang w:val="fr-FR"/>
        </w:rPr>
        <w:t xml:space="preserve">. </w:t>
      </w:r>
      <w:r w:rsidR="003F0166">
        <w:rPr>
          <w:lang w:val="fr-FR"/>
        </w:rPr>
        <w:t>L’affaire a donné lieu à une enquête de police, mais n’a pas eu de suite</w:t>
      </w:r>
      <w:r w:rsidR="008D6B80">
        <w:rPr>
          <w:lang w:val="fr-FR"/>
        </w:rPr>
        <w:t xml:space="preserve">. </w:t>
      </w:r>
      <w:r w:rsidR="003F0166">
        <w:rPr>
          <w:lang w:val="fr-FR"/>
        </w:rPr>
        <w:t>La victime présumée a fait l’objet d’une pri</w:t>
      </w:r>
      <w:r w:rsidR="00040770">
        <w:rPr>
          <w:lang w:val="fr-FR"/>
        </w:rPr>
        <w:t>se en charge psychologique et d’</w:t>
      </w:r>
      <w:r w:rsidR="003F0166">
        <w:rPr>
          <w:lang w:val="fr-FR"/>
        </w:rPr>
        <w:t>un soutien.</w:t>
      </w:r>
    </w:p>
    <w:p w:rsidR="00563703" w:rsidRDefault="00563703" w:rsidP="005D7B68">
      <w:pPr>
        <w:tabs>
          <w:tab w:val="left" w:pos="567"/>
          <w:tab w:val="left" w:pos="1134"/>
          <w:tab w:val="left" w:pos="1701"/>
          <w:tab w:val="left" w:pos="2268"/>
        </w:tabs>
        <w:rPr>
          <w:b/>
          <w:bCs/>
          <w:lang w:val="fr-FR"/>
        </w:rPr>
      </w:pPr>
      <w:r>
        <w:rPr>
          <w:b/>
          <w:bCs/>
          <w:lang w:val="fr-FR"/>
        </w:rPr>
        <w:t>Tasmanie</w:t>
      </w:r>
    </w:p>
    <w:p w:rsidR="00DF594E" w:rsidRDefault="00623404" w:rsidP="005D7B68">
      <w:pPr>
        <w:tabs>
          <w:tab w:val="left" w:pos="567"/>
          <w:tab w:val="left" w:pos="1134"/>
          <w:tab w:val="left" w:pos="1701"/>
          <w:tab w:val="left" w:pos="2268"/>
        </w:tabs>
        <w:rPr>
          <w:lang w:val="fr-FR"/>
        </w:rPr>
      </w:pPr>
      <w:r>
        <w:rPr>
          <w:lang w:val="fr-FR"/>
        </w:rPr>
        <w:t>185.</w:t>
      </w:r>
      <w:r>
        <w:rPr>
          <w:lang w:val="fr-FR"/>
        </w:rPr>
        <w:tab/>
      </w:r>
      <w:r w:rsidR="00563703">
        <w:rPr>
          <w:lang w:val="fr-FR"/>
        </w:rPr>
        <w:t>Les mauvais t</w:t>
      </w:r>
      <w:r w:rsidR="008B66BA">
        <w:rPr>
          <w:lang w:val="fr-FR"/>
        </w:rPr>
        <w:t xml:space="preserve">raitements infligés aux femmes </w:t>
      </w:r>
      <w:r w:rsidR="00563703">
        <w:rPr>
          <w:lang w:val="fr-FR"/>
        </w:rPr>
        <w:t>placées en garde à vue ou en détention ailleurs ne sont acceptables et entraînerait une inculpation de leurs auteurs au titre de la loi sur les infractions pénales</w:t>
      </w:r>
      <w:r w:rsidR="007610E4">
        <w:rPr>
          <w:lang w:val="fr-FR"/>
        </w:rPr>
        <w:t>,</w:t>
      </w:r>
      <w:r w:rsidR="00563703">
        <w:rPr>
          <w:lang w:val="fr-FR"/>
        </w:rPr>
        <w:t xml:space="preserve"> et leur condamnation en vertu de dispositions disciplinaires (</w:t>
      </w:r>
      <w:r w:rsidR="00563703" w:rsidRPr="00040770">
        <w:rPr>
          <w:lang w:val="fr-FR"/>
        </w:rPr>
        <w:t>loi de 2003 sur les services de police</w:t>
      </w:r>
      <w:r w:rsidR="00563703">
        <w:rPr>
          <w:i/>
          <w:iCs/>
          <w:lang w:val="fr-FR"/>
        </w:rPr>
        <w:t xml:space="preserve">) </w:t>
      </w:r>
      <w:r w:rsidR="00563703">
        <w:rPr>
          <w:lang w:val="fr-FR"/>
        </w:rPr>
        <w:t>(Tasmanie)</w:t>
      </w:r>
      <w:r w:rsidR="008D6B80">
        <w:rPr>
          <w:lang w:val="fr-FR"/>
        </w:rPr>
        <w:t xml:space="preserve">. </w:t>
      </w:r>
      <w:r w:rsidR="00563703">
        <w:rPr>
          <w:lang w:val="fr-FR"/>
        </w:rPr>
        <w:t>Les fonc</w:t>
      </w:r>
      <w:r w:rsidR="00040770">
        <w:rPr>
          <w:lang w:val="fr-FR"/>
        </w:rPr>
        <w:t>tionnaires de police sont bien formés</w:t>
      </w:r>
      <w:r w:rsidR="00563703">
        <w:rPr>
          <w:lang w:val="fr-FR"/>
        </w:rPr>
        <w:t xml:space="preserve"> et surveillés</w:t>
      </w:r>
      <w:r w:rsidR="008B66BA">
        <w:rPr>
          <w:lang w:val="fr-FR"/>
        </w:rPr>
        <w:t>,</w:t>
      </w:r>
      <w:r w:rsidR="001F5929">
        <w:rPr>
          <w:lang w:val="fr-FR"/>
        </w:rPr>
        <w:t xml:space="preserve"> et la victime de violences dispose de nombreux moyens de porter plainte</w:t>
      </w:r>
      <w:r w:rsidR="008D6B80">
        <w:rPr>
          <w:lang w:val="fr-FR"/>
        </w:rPr>
        <w:t xml:space="preserve">. </w:t>
      </w:r>
      <w:r w:rsidR="00DF594E">
        <w:rPr>
          <w:lang w:val="fr-FR"/>
        </w:rPr>
        <w:t>Comme il a été indiqué dans la rép</w:t>
      </w:r>
      <w:r w:rsidR="008B66BA">
        <w:rPr>
          <w:lang w:val="fr-FR"/>
        </w:rPr>
        <w:t>onse à la question 2, les policiers</w:t>
      </w:r>
      <w:r w:rsidR="00226131">
        <w:rPr>
          <w:lang w:val="fr-FR"/>
        </w:rPr>
        <w:t xml:space="preserve"> ont l’obligation</w:t>
      </w:r>
      <w:r w:rsidR="008B66BA">
        <w:rPr>
          <w:lang w:val="fr-FR"/>
        </w:rPr>
        <w:t xml:space="preserve"> de prendre soin</w:t>
      </w:r>
      <w:r w:rsidR="00DF594E">
        <w:rPr>
          <w:lang w:val="fr-FR"/>
        </w:rPr>
        <w:t xml:space="preserve"> des personnes placées en garde à vue.</w:t>
      </w:r>
      <w:r w:rsidR="00563703">
        <w:rPr>
          <w:lang w:val="fr-FR"/>
        </w:rPr>
        <w:t xml:space="preserve"> </w:t>
      </w:r>
    </w:p>
    <w:p w:rsidR="00623404" w:rsidRDefault="00623404" w:rsidP="005D7B68">
      <w:pPr>
        <w:tabs>
          <w:tab w:val="left" w:pos="567"/>
          <w:tab w:val="left" w:pos="1134"/>
          <w:tab w:val="left" w:pos="1701"/>
          <w:tab w:val="left" w:pos="2268"/>
        </w:tabs>
        <w:rPr>
          <w:lang w:val="fr-FR"/>
        </w:rPr>
      </w:pPr>
      <w:r>
        <w:rPr>
          <w:lang w:val="fr-FR"/>
        </w:rPr>
        <w:t>186.</w:t>
      </w:r>
      <w:r>
        <w:rPr>
          <w:lang w:val="fr-FR"/>
        </w:rPr>
        <w:tab/>
      </w:r>
      <w:r w:rsidR="00DF594E">
        <w:rPr>
          <w:lang w:val="fr-FR"/>
        </w:rPr>
        <w:t>Dans les prisons de Tasmanie, les services de santé s</w:t>
      </w:r>
      <w:r w:rsidR="00226131">
        <w:rPr>
          <w:lang w:val="fr-FR"/>
        </w:rPr>
        <w:t>ont administrés par le Dépa</w:t>
      </w:r>
      <w:r w:rsidR="00972E1C">
        <w:rPr>
          <w:lang w:val="fr-FR"/>
        </w:rPr>
        <w:t>r</w:t>
      </w:r>
      <w:r w:rsidR="00226131">
        <w:rPr>
          <w:lang w:val="fr-FR"/>
        </w:rPr>
        <w:t>tement</w:t>
      </w:r>
      <w:r w:rsidR="00DF594E">
        <w:rPr>
          <w:lang w:val="fr-FR"/>
        </w:rPr>
        <w:t xml:space="preserve"> de la santé et des </w:t>
      </w:r>
      <w:r w:rsidR="00972E1C">
        <w:rPr>
          <w:lang w:val="fr-FR"/>
        </w:rPr>
        <w:t>services sociaux, tandis que le Département</w:t>
      </w:r>
      <w:r w:rsidR="00DF594E">
        <w:rPr>
          <w:lang w:val="fr-FR"/>
        </w:rPr>
        <w:t xml:space="preserve"> de la justice administre le système pénitentiaire.</w:t>
      </w:r>
    </w:p>
    <w:p w:rsidR="00A944D3" w:rsidRDefault="00623404" w:rsidP="005D7B68">
      <w:pPr>
        <w:tabs>
          <w:tab w:val="left" w:pos="567"/>
          <w:tab w:val="left" w:pos="1134"/>
          <w:tab w:val="left" w:pos="1701"/>
          <w:tab w:val="left" w:pos="2268"/>
        </w:tabs>
        <w:rPr>
          <w:lang w:val="fr-FR"/>
        </w:rPr>
      </w:pPr>
      <w:r>
        <w:rPr>
          <w:lang w:val="fr-FR"/>
        </w:rPr>
        <w:t>187.</w:t>
      </w:r>
      <w:r>
        <w:rPr>
          <w:lang w:val="fr-FR"/>
        </w:rPr>
        <w:tab/>
      </w:r>
      <w:r w:rsidR="00DF594E">
        <w:rPr>
          <w:lang w:val="fr-FR"/>
        </w:rPr>
        <w:t>Les détenues exercent un certain choix dans les disposition prises pour les soins de santé, par exemple, elles ont un droit d’accès au pe</w:t>
      </w:r>
      <w:r w:rsidR="00A944D3">
        <w:rPr>
          <w:lang w:val="fr-FR"/>
        </w:rPr>
        <w:t>r</w:t>
      </w:r>
      <w:r w:rsidR="00DF594E">
        <w:rPr>
          <w:lang w:val="fr-FR"/>
        </w:rPr>
        <w:t>sonnel médical féminin et peuvent</w:t>
      </w:r>
      <w:r w:rsidR="00BE59FB">
        <w:rPr>
          <w:lang w:val="fr-FR"/>
        </w:rPr>
        <w:t xml:space="preserve"> être</w:t>
      </w:r>
      <w:r w:rsidR="00DF594E">
        <w:rPr>
          <w:lang w:val="fr-FR"/>
        </w:rPr>
        <w:t xml:space="preserve"> séparées des</w:t>
      </w:r>
      <w:r w:rsidR="00A944D3">
        <w:rPr>
          <w:lang w:val="fr-FR"/>
        </w:rPr>
        <w:t xml:space="preserve"> détenus de sexe masculin ou d’autres détenus.</w:t>
      </w:r>
    </w:p>
    <w:p w:rsidR="00A944D3" w:rsidRDefault="00A944D3" w:rsidP="005B7D04">
      <w:pPr>
        <w:keepNext/>
        <w:keepLines/>
        <w:tabs>
          <w:tab w:val="left" w:pos="567"/>
          <w:tab w:val="left" w:pos="1134"/>
          <w:tab w:val="left" w:pos="1701"/>
          <w:tab w:val="left" w:pos="2268"/>
        </w:tabs>
        <w:rPr>
          <w:b/>
          <w:bCs/>
          <w:lang w:val="fr-FR"/>
        </w:rPr>
      </w:pPr>
      <w:r w:rsidRPr="00A944D3">
        <w:rPr>
          <w:b/>
          <w:bCs/>
          <w:lang w:val="fr-FR"/>
        </w:rPr>
        <w:t>Territoire de la capitale australienne</w:t>
      </w:r>
    </w:p>
    <w:p w:rsidR="00A944D3" w:rsidRDefault="00623404" w:rsidP="005B7D04">
      <w:pPr>
        <w:keepNext/>
        <w:keepLines/>
        <w:tabs>
          <w:tab w:val="left" w:pos="567"/>
          <w:tab w:val="left" w:pos="1134"/>
          <w:tab w:val="left" w:pos="1701"/>
          <w:tab w:val="left" w:pos="2268"/>
        </w:tabs>
        <w:rPr>
          <w:lang w:val="fr-FR"/>
        </w:rPr>
      </w:pPr>
      <w:r>
        <w:rPr>
          <w:lang w:val="fr-FR"/>
        </w:rPr>
        <w:t>188</w:t>
      </w:r>
      <w:r w:rsidR="00A944D3">
        <w:rPr>
          <w:lang w:val="fr-FR"/>
        </w:rPr>
        <w:t>.</w:t>
      </w:r>
      <w:r w:rsidR="00A944D3">
        <w:rPr>
          <w:lang w:val="fr-FR"/>
        </w:rPr>
        <w:tab/>
        <w:t>La nouvelle prison du Territ</w:t>
      </w:r>
      <w:r w:rsidR="00962EFF">
        <w:rPr>
          <w:lang w:val="fr-FR"/>
        </w:rPr>
        <w:t>oire de la capitale fédérale</w:t>
      </w:r>
      <w:r w:rsidR="00A944D3">
        <w:rPr>
          <w:lang w:val="fr-FR"/>
        </w:rPr>
        <w:t xml:space="preserve"> sera dotée des </w:t>
      </w:r>
      <w:r w:rsidR="00FB35F5">
        <w:rPr>
          <w:lang w:val="fr-FR"/>
        </w:rPr>
        <w:t>éléments ci</w:t>
      </w:r>
      <w:r w:rsidR="00FB35F5">
        <w:rPr>
          <w:lang w:val="fr-FR"/>
        </w:rPr>
        <w:noBreakHyphen/>
      </w:r>
      <w:r w:rsidR="00962EFF">
        <w:rPr>
          <w:lang w:val="fr-FR"/>
        </w:rPr>
        <w:t>après pour répondre aux</w:t>
      </w:r>
      <w:r w:rsidR="00A944D3">
        <w:rPr>
          <w:lang w:val="fr-FR"/>
        </w:rPr>
        <w:t xml:space="preserve"> besoins de</w:t>
      </w:r>
      <w:r w:rsidR="00962EFF">
        <w:rPr>
          <w:lang w:val="fr-FR"/>
        </w:rPr>
        <w:t>s</w:t>
      </w:r>
      <w:r w:rsidR="00A944D3">
        <w:rPr>
          <w:lang w:val="fr-FR"/>
        </w:rPr>
        <w:t xml:space="preserve"> détenues</w:t>
      </w:r>
      <w:r w:rsidR="00572260">
        <w:rPr>
          <w:lang w:val="fr-FR"/>
        </w:rPr>
        <w:t>:</w:t>
      </w:r>
    </w:p>
    <w:p w:rsidR="00A944D3" w:rsidRDefault="00962EFF" w:rsidP="005B7D04">
      <w:pPr>
        <w:numPr>
          <w:ilvl w:val="1"/>
          <w:numId w:val="18"/>
        </w:numPr>
        <w:tabs>
          <w:tab w:val="left" w:pos="567"/>
          <w:tab w:val="left" w:pos="1134"/>
          <w:tab w:val="left" w:pos="1701"/>
          <w:tab w:val="left" w:pos="2268"/>
        </w:tabs>
        <w:rPr>
          <w:lang w:val="fr-FR"/>
        </w:rPr>
      </w:pPr>
      <w:r>
        <w:rPr>
          <w:lang w:val="fr-FR"/>
        </w:rPr>
        <w:t>D</w:t>
      </w:r>
      <w:r w:rsidR="00A944D3">
        <w:rPr>
          <w:lang w:val="fr-FR"/>
        </w:rPr>
        <w:t>es logements de style cottage équipés pour la préparation de repas, avec des chambres dans lesquelles peuvent dormir de jeunes enfants</w:t>
      </w:r>
      <w:r w:rsidR="00572260">
        <w:rPr>
          <w:lang w:val="fr-FR"/>
        </w:rPr>
        <w:t>;</w:t>
      </w:r>
    </w:p>
    <w:p w:rsidR="00A944D3" w:rsidRDefault="00962EFF" w:rsidP="005B7D04">
      <w:pPr>
        <w:numPr>
          <w:ilvl w:val="1"/>
          <w:numId w:val="18"/>
        </w:numPr>
        <w:tabs>
          <w:tab w:val="left" w:pos="567"/>
          <w:tab w:val="left" w:pos="1134"/>
          <w:tab w:val="left" w:pos="1701"/>
          <w:tab w:val="left" w:pos="2268"/>
        </w:tabs>
        <w:rPr>
          <w:lang w:val="fr-FR"/>
        </w:rPr>
      </w:pPr>
      <w:r>
        <w:rPr>
          <w:lang w:val="fr-FR"/>
        </w:rPr>
        <w:t>L</w:t>
      </w:r>
      <w:r w:rsidR="00A944D3">
        <w:rPr>
          <w:lang w:val="fr-FR"/>
        </w:rPr>
        <w:t>e placement dans le centre sera fondé sur les besoins de la détenue tels qu’ils auront été évalués et non pas simplement sur des considérations de sécurité</w:t>
      </w:r>
      <w:r w:rsidR="00572260">
        <w:rPr>
          <w:lang w:val="fr-FR"/>
        </w:rPr>
        <w:t>;</w:t>
      </w:r>
    </w:p>
    <w:p w:rsidR="00767CDA" w:rsidRDefault="00962EFF" w:rsidP="005B7D04">
      <w:pPr>
        <w:numPr>
          <w:ilvl w:val="1"/>
          <w:numId w:val="18"/>
        </w:numPr>
        <w:tabs>
          <w:tab w:val="left" w:pos="567"/>
          <w:tab w:val="left" w:pos="1134"/>
          <w:tab w:val="left" w:pos="1701"/>
          <w:tab w:val="left" w:pos="2268"/>
        </w:tabs>
        <w:rPr>
          <w:lang w:val="fr-FR"/>
        </w:rPr>
      </w:pPr>
      <w:r>
        <w:rPr>
          <w:lang w:val="fr-FR"/>
        </w:rPr>
        <w:t>D</w:t>
      </w:r>
      <w:r w:rsidR="00767CDA">
        <w:rPr>
          <w:lang w:val="fr-FR"/>
        </w:rPr>
        <w:t>es p</w:t>
      </w:r>
      <w:r w:rsidR="00A944D3">
        <w:rPr>
          <w:lang w:val="fr-FR"/>
        </w:rPr>
        <w:t>arloirs</w:t>
      </w:r>
      <w:r w:rsidR="00767CDA">
        <w:rPr>
          <w:lang w:val="fr-FR"/>
        </w:rPr>
        <w:t xml:space="preserve"> qui viseront à encourager et favoriser les visites des familles</w:t>
      </w:r>
      <w:r w:rsidR="00572260">
        <w:rPr>
          <w:lang w:val="fr-FR"/>
        </w:rPr>
        <w:t>;</w:t>
      </w:r>
    </w:p>
    <w:p w:rsidR="00767CDA" w:rsidRDefault="00962EFF" w:rsidP="005B7D04">
      <w:pPr>
        <w:numPr>
          <w:ilvl w:val="1"/>
          <w:numId w:val="18"/>
        </w:numPr>
        <w:tabs>
          <w:tab w:val="left" w:pos="567"/>
          <w:tab w:val="left" w:pos="1134"/>
          <w:tab w:val="left" w:pos="1701"/>
          <w:tab w:val="left" w:pos="2268"/>
        </w:tabs>
        <w:rPr>
          <w:lang w:val="fr-FR"/>
        </w:rPr>
      </w:pPr>
      <w:r>
        <w:rPr>
          <w:lang w:val="fr-FR"/>
        </w:rPr>
        <w:t>D</w:t>
      </w:r>
      <w:r w:rsidR="00767CDA">
        <w:rPr>
          <w:lang w:val="fr-FR"/>
        </w:rPr>
        <w:t>es locaux pour le déroulement des</w:t>
      </w:r>
      <w:r w:rsidR="004D6AA7">
        <w:rPr>
          <w:lang w:val="fr-FR"/>
        </w:rPr>
        <w:t xml:space="preserve"> programmes de santé, de réadapta</w:t>
      </w:r>
      <w:r w:rsidR="00767CDA">
        <w:rPr>
          <w:lang w:val="fr-FR"/>
        </w:rPr>
        <w:t>tion et d’autonomie fonctionnelle destinés aux détenues</w:t>
      </w:r>
      <w:r w:rsidR="00572260">
        <w:rPr>
          <w:lang w:val="fr-FR"/>
        </w:rPr>
        <w:t>;</w:t>
      </w:r>
    </w:p>
    <w:p w:rsidR="00767CDA" w:rsidRDefault="00962EFF" w:rsidP="005B7D04">
      <w:pPr>
        <w:numPr>
          <w:ilvl w:val="1"/>
          <w:numId w:val="18"/>
        </w:numPr>
        <w:tabs>
          <w:tab w:val="left" w:pos="567"/>
          <w:tab w:val="left" w:pos="1134"/>
          <w:tab w:val="left" w:pos="1701"/>
          <w:tab w:val="left" w:pos="2268"/>
        </w:tabs>
        <w:rPr>
          <w:lang w:val="fr-FR"/>
        </w:rPr>
      </w:pPr>
      <w:r>
        <w:rPr>
          <w:lang w:val="fr-FR"/>
        </w:rPr>
        <w:t>U</w:t>
      </w:r>
      <w:r w:rsidR="00767CDA">
        <w:rPr>
          <w:lang w:val="fr-FR"/>
        </w:rPr>
        <w:t>n centre social avec des installations récréatives</w:t>
      </w:r>
      <w:r w:rsidR="00572260">
        <w:rPr>
          <w:lang w:val="fr-FR"/>
        </w:rPr>
        <w:t>;</w:t>
      </w:r>
    </w:p>
    <w:p w:rsidR="00767CDA" w:rsidRDefault="00962EFF" w:rsidP="005B7D04">
      <w:pPr>
        <w:numPr>
          <w:ilvl w:val="1"/>
          <w:numId w:val="18"/>
        </w:numPr>
        <w:tabs>
          <w:tab w:val="left" w:pos="567"/>
          <w:tab w:val="left" w:pos="1134"/>
          <w:tab w:val="left" w:pos="1701"/>
          <w:tab w:val="left" w:pos="2268"/>
        </w:tabs>
        <w:rPr>
          <w:lang w:val="fr-FR"/>
        </w:rPr>
      </w:pPr>
      <w:r>
        <w:rPr>
          <w:lang w:val="fr-FR"/>
        </w:rPr>
        <w:t>U</w:t>
      </w:r>
      <w:r w:rsidR="00767CDA">
        <w:rPr>
          <w:lang w:val="fr-FR"/>
        </w:rPr>
        <w:t>n centre spirituel</w:t>
      </w:r>
      <w:r w:rsidR="00572260">
        <w:rPr>
          <w:lang w:val="fr-FR"/>
        </w:rPr>
        <w:t>;</w:t>
      </w:r>
    </w:p>
    <w:p w:rsidR="00F162BB" w:rsidRPr="004059B4" w:rsidRDefault="00962EFF" w:rsidP="005B7D04">
      <w:pPr>
        <w:numPr>
          <w:ilvl w:val="1"/>
          <w:numId w:val="18"/>
        </w:numPr>
        <w:tabs>
          <w:tab w:val="left" w:pos="567"/>
          <w:tab w:val="left" w:pos="1134"/>
          <w:tab w:val="left" w:pos="1701"/>
          <w:tab w:val="left" w:pos="2268"/>
        </w:tabs>
        <w:rPr>
          <w:lang w:val="fr-FR"/>
        </w:rPr>
      </w:pPr>
      <w:r>
        <w:rPr>
          <w:lang w:val="fr-FR"/>
        </w:rPr>
        <w:t>D</w:t>
      </w:r>
      <w:r w:rsidR="00767CDA">
        <w:rPr>
          <w:lang w:val="fr-FR"/>
        </w:rPr>
        <w:t xml:space="preserve">es logements discrets dans le </w:t>
      </w:r>
      <w:r w:rsidR="00767CDA" w:rsidRPr="004059B4">
        <w:rPr>
          <w:lang w:val="fr-FR"/>
        </w:rPr>
        <w:t>Transitional Release Centre</w:t>
      </w:r>
      <w:r w:rsidR="004059B4">
        <w:rPr>
          <w:lang w:val="fr-FR"/>
        </w:rPr>
        <w:t xml:space="preserve"> (</w:t>
      </w:r>
      <w:r w:rsidR="00FB35F5">
        <w:rPr>
          <w:lang w:val="fr-FR"/>
        </w:rPr>
        <w:t>C</w:t>
      </w:r>
      <w:r w:rsidR="00FB35F5" w:rsidRPr="004059B4">
        <w:rPr>
          <w:lang w:val="fr-FR"/>
        </w:rPr>
        <w:t xml:space="preserve">entre </w:t>
      </w:r>
      <w:r w:rsidR="00C9381B" w:rsidRPr="004059B4">
        <w:rPr>
          <w:lang w:val="fr-FR"/>
        </w:rPr>
        <w:t>de transition avant la libération).</w:t>
      </w:r>
    </w:p>
    <w:p w:rsidR="00B85A0D" w:rsidRDefault="00623404" w:rsidP="005D7B68">
      <w:pPr>
        <w:tabs>
          <w:tab w:val="left" w:pos="567"/>
          <w:tab w:val="left" w:pos="1134"/>
          <w:tab w:val="left" w:pos="1701"/>
          <w:tab w:val="left" w:pos="2268"/>
        </w:tabs>
        <w:rPr>
          <w:lang w:val="fr-FR"/>
        </w:rPr>
      </w:pPr>
      <w:r>
        <w:rPr>
          <w:lang w:val="fr-FR"/>
        </w:rPr>
        <w:t>189</w:t>
      </w:r>
      <w:r w:rsidR="00F162BB">
        <w:rPr>
          <w:lang w:val="fr-FR"/>
        </w:rPr>
        <w:t>.</w:t>
      </w:r>
      <w:r w:rsidR="00F162BB">
        <w:rPr>
          <w:lang w:val="fr-FR"/>
        </w:rPr>
        <w:tab/>
        <w:t xml:space="preserve">L’article 112 de la </w:t>
      </w:r>
      <w:r w:rsidR="00F162BB" w:rsidRPr="00962EFF">
        <w:rPr>
          <w:lang w:val="fr-FR"/>
        </w:rPr>
        <w:t>loi de</w:t>
      </w:r>
      <w:r w:rsidR="00962EFF" w:rsidRPr="00962EFF">
        <w:rPr>
          <w:lang w:val="fr-FR"/>
        </w:rPr>
        <w:t xml:space="preserve"> </w:t>
      </w:r>
      <w:r w:rsidR="00F162BB" w:rsidRPr="00962EFF">
        <w:rPr>
          <w:lang w:val="fr-FR"/>
        </w:rPr>
        <w:t>2007 sur l’administration des établissements pénitentiaires</w:t>
      </w:r>
      <w:r w:rsidR="00F162BB">
        <w:rPr>
          <w:i/>
          <w:iCs/>
          <w:lang w:val="fr-FR"/>
        </w:rPr>
        <w:t xml:space="preserve"> </w:t>
      </w:r>
      <w:r w:rsidR="00F162BB">
        <w:rPr>
          <w:lang w:val="fr-FR"/>
        </w:rPr>
        <w:t>(Territ</w:t>
      </w:r>
      <w:r w:rsidR="00962EFF">
        <w:rPr>
          <w:lang w:val="fr-FR"/>
        </w:rPr>
        <w:t>oire de la capitale fédérale</w:t>
      </w:r>
      <w:r w:rsidR="00F162BB">
        <w:rPr>
          <w:lang w:val="fr-FR"/>
        </w:rPr>
        <w:t xml:space="preserve">) dispose qu’un </w:t>
      </w:r>
      <w:r w:rsidR="009334D5">
        <w:rPr>
          <w:lang w:val="fr-FR"/>
        </w:rPr>
        <w:t>agent pénitentiaire</w:t>
      </w:r>
      <w:r w:rsidR="0083110C">
        <w:rPr>
          <w:lang w:val="fr-FR"/>
        </w:rPr>
        <w:t xml:space="preserve"> </w:t>
      </w:r>
      <w:r w:rsidR="00F162BB">
        <w:rPr>
          <w:lang w:val="fr-FR"/>
        </w:rPr>
        <w:t xml:space="preserve">peut </w:t>
      </w:r>
      <w:r w:rsidR="00F162BB" w:rsidRPr="004059B4">
        <w:rPr>
          <w:lang w:val="fr-FR"/>
        </w:rPr>
        <w:t xml:space="preserve">effectuer </w:t>
      </w:r>
      <w:r w:rsidR="004059B4" w:rsidRPr="004059B4">
        <w:rPr>
          <w:lang w:val="fr-FR"/>
        </w:rPr>
        <w:t>une fouille minutieuse</w:t>
      </w:r>
      <w:r w:rsidR="00F162BB" w:rsidRPr="004059B4">
        <w:rPr>
          <w:lang w:val="fr-FR"/>
        </w:rPr>
        <w:t>, une fouille corporelle ou une fo</w:t>
      </w:r>
      <w:r w:rsidR="009334D5" w:rsidRPr="004059B4">
        <w:rPr>
          <w:lang w:val="fr-FR"/>
        </w:rPr>
        <w:t>uille ordinaire,</w:t>
      </w:r>
      <w:r w:rsidR="00F162BB" w:rsidRPr="004059B4">
        <w:rPr>
          <w:lang w:val="fr-FR"/>
        </w:rPr>
        <w:t xml:space="preserve"> en vertu de l’article 111</w:t>
      </w:r>
      <w:r w:rsidR="009334D5" w:rsidRPr="004059B4">
        <w:rPr>
          <w:lang w:val="fr-FR"/>
        </w:rPr>
        <w:t>,</w:t>
      </w:r>
      <w:r w:rsidR="00572260">
        <w:rPr>
          <w:lang w:val="fr-FR"/>
        </w:rPr>
        <w:t xml:space="preserve"> </w:t>
      </w:r>
      <w:r w:rsidR="00C6646D">
        <w:rPr>
          <w:lang w:val="fr-FR"/>
        </w:rPr>
        <w:t>seulement sur une personne du même sexe que lui</w:t>
      </w:r>
      <w:r w:rsidR="00572260">
        <w:rPr>
          <w:lang w:val="fr-FR"/>
        </w:rPr>
        <w:t>;</w:t>
      </w:r>
      <w:r w:rsidR="00C6646D">
        <w:rPr>
          <w:lang w:val="fr-FR"/>
        </w:rPr>
        <w:t xml:space="preserve"> si ce n’est pas le cas, une autre personne du même sexe que la personne fouillée doit être présente pendant l’opéra</w:t>
      </w:r>
      <w:r w:rsidR="009334D5">
        <w:rPr>
          <w:lang w:val="fr-FR"/>
        </w:rPr>
        <w:t>tion</w:t>
      </w:r>
      <w:r w:rsidR="008D6B80">
        <w:rPr>
          <w:lang w:val="fr-FR"/>
        </w:rPr>
        <w:t xml:space="preserve">. </w:t>
      </w:r>
      <w:r w:rsidR="009334D5">
        <w:rPr>
          <w:lang w:val="fr-FR"/>
        </w:rPr>
        <w:t>Aux termes de l’article 114,</w:t>
      </w:r>
      <w:r w:rsidR="00C6646D">
        <w:rPr>
          <w:lang w:val="fr-FR"/>
        </w:rPr>
        <w:t xml:space="preserve"> la fouille à corps d’une personne détenue doit être effec</w:t>
      </w:r>
      <w:r w:rsidR="0083110C">
        <w:rPr>
          <w:lang w:val="fr-FR"/>
        </w:rPr>
        <w:t xml:space="preserve">tuée par un surveillant ou une surveillante </w:t>
      </w:r>
      <w:r w:rsidR="00C6646D">
        <w:rPr>
          <w:lang w:val="fr-FR"/>
        </w:rPr>
        <w:t>du même sexe qu’elle, et en présence d’un ou plusieurs surveillants ou surveillantes tous du même sexe que l’intéressé(e)</w:t>
      </w:r>
      <w:r w:rsidR="008D6B80">
        <w:rPr>
          <w:lang w:val="fr-FR"/>
        </w:rPr>
        <w:t xml:space="preserve">. </w:t>
      </w:r>
      <w:r w:rsidR="00C6646D">
        <w:rPr>
          <w:lang w:val="fr-FR"/>
        </w:rPr>
        <w:t>Au cours de la fouille la partie supérieure et la partie inférieure du corps ne doivent être découvertes en même temps.</w:t>
      </w:r>
    </w:p>
    <w:p w:rsidR="00B85A0D" w:rsidRDefault="009030A8" w:rsidP="005D7B68">
      <w:pPr>
        <w:tabs>
          <w:tab w:val="left" w:pos="567"/>
          <w:tab w:val="left" w:pos="1134"/>
          <w:tab w:val="left" w:pos="1701"/>
          <w:tab w:val="left" w:pos="2268"/>
        </w:tabs>
        <w:rPr>
          <w:lang w:val="fr-FR"/>
        </w:rPr>
      </w:pPr>
      <w:r>
        <w:rPr>
          <w:lang w:val="fr-FR"/>
        </w:rPr>
        <w:t>1</w:t>
      </w:r>
      <w:r w:rsidR="00623404">
        <w:rPr>
          <w:lang w:val="fr-FR"/>
        </w:rPr>
        <w:t>90</w:t>
      </w:r>
      <w:r w:rsidR="00B85A0D">
        <w:rPr>
          <w:lang w:val="fr-FR"/>
        </w:rPr>
        <w:t>.</w:t>
      </w:r>
      <w:r w:rsidR="00B85A0D">
        <w:rPr>
          <w:lang w:val="fr-FR"/>
        </w:rPr>
        <w:tab/>
        <w:t>Un plan de recrutement est en cours d’application pour permettre de recruter un plus grand nombre de surveillantes d’établissements pénitentiaires, car il s’agit là d’une garantie reconnue contre les agressions sexuelles</w:t>
      </w:r>
      <w:r w:rsidR="008D6B80">
        <w:rPr>
          <w:lang w:val="fr-FR"/>
        </w:rPr>
        <w:t xml:space="preserve">. </w:t>
      </w:r>
      <w:r w:rsidR="00B85A0D">
        <w:rPr>
          <w:lang w:val="fr-FR"/>
        </w:rPr>
        <w:t>Le personnel de surveillance féminin représente actuellement 27 % de l’ensemble de l’effectif dans le Territ</w:t>
      </w:r>
      <w:r w:rsidR="009334D5">
        <w:rPr>
          <w:lang w:val="fr-FR"/>
        </w:rPr>
        <w:t>oire de la capitale fédérale</w:t>
      </w:r>
      <w:r w:rsidR="00B85A0D">
        <w:rPr>
          <w:lang w:val="fr-FR"/>
        </w:rPr>
        <w:t>.</w:t>
      </w:r>
    </w:p>
    <w:p w:rsidR="00067AA2" w:rsidRDefault="00B85A0D" w:rsidP="005D7B68">
      <w:pPr>
        <w:tabs>
          <w:tab w:val="left" w:pos="567"/>
          <w:tab w:val="left" w:pos="1134"/>
          <w:tab w:val="left" w:pos="1701"/>
          <w:tab w:val="left" w:pos="2268"/>
        </w:tabs>
        <w:rPr>
          <w:lang w:val="fr-FR"/>
        </w:rPr>
      </w:pPr>
      <w:r>
        <w:rPr>
          <w:lang w:val="fr-FR"/>
        </w:rPr>
        <w:t>19</w:t>
      </w:r>
      <w:r w:rsidR="00623404">
        <w:rPr>
          <w:lang w:val="fr-FR"/>
        </w:rPr>
        <w:t>1</w:t>
      </w:r>
      <w:r>
        <w:rPr>
          <w:lang w:val="fr-FR"/>
        </w:rPr>
        <w:t>.</w:t>
      </w:r>
      <w:r>
        <w:rPr>
          <w:lang w:val="fr-FR"/>
        </w:rPr>
        <w:tab/>
        <w:t>Dans son audit des établissements de détention provisoire du Territoire de la capitale</w:t>
      </w:r>
      <w:r w:rsidR="00FE0D77">
        <w:rPr>
          <w:lang w:val="fr-FR"/>
        </w:rPr>
        <w:t xml:space="preserve"> fédérale</w:t>
      </w:r>
      <w:r>
        <w:rPr>
          <w:lang w:val="fr-FR"/>
        </w:rPr>
        <w:t xml:space="preserve"> relatif aux droits de l’homme, la Commissi</w:t>
      </w:r>
      <w:r w:rsidR="00FB35F5">
        <w:rPr>
          <w:lang w:val="fr-FR"/>
        </w:rPr>
        <w:t>on des droits de l’homme dudit t</w:t>
      </w:r>
      <w:r>
        <w:rPr>
          <w:lang w:val="fr-FR"/>
        </w:rPr>
        <w:t xml:space="preserve">erritoire recommandera que les femmes ne soient </w:t>
      </w:r>
      <w:r w:rsidR="009334D5">
        <w:rPr>
          <w:lang w:val="fr-FR"/>
        </w:rPr>
        <w:t xml:space="preserve">pas </w:t>
      </w:r>
      <w:r>
        <w:rPr>
          <w:lang w:val="fr-FR"/>
        </w:rPr>
        <w:t>gardées par des hommes la nuit</w:t>
      </w:r>
      <w:r w:rsidR="008D6B80">
        <w:rPr>
          <w:lang w:val="fr-FR"/>
        </w:rPr>
        <w:t xml:space="preserve">. </w:t>
      </w:r>
      <w:r>
        <w:rPr>
          <w:lang w:val="fr-FR"/>
        </w:rPr>
        <w:t>Cette recommandation</w:t>
      </w:r>
      <w:r w:rsidR="00960B85">
        <w:rPr>
          <w:lang w:val="fr-FR"/>
        </w:rPr>
        <w:t>, qui</w:t>
      </w:r>
      <w:r>
        <w:rPr>
          <w:lang w:val="fr-FR"/>
        </w:rPr>
        <w:t xml:space="preserve"> vise à prévenir les agressions sexu</w:t>
      </w:r>
      <w:r w:rsidR="00960B85">
        <w:rPr>
          <w:lang w:val="fr-FR"/>
        </w:rPr>
        <w:t>elles contre les détenues,</w:t>
      </w:r>
      <w:r>
        <w:rPr>
          <w:lang w:val="fr-FR"/>
        </w:rPr>
        <w:t xml:space="preserve"> est conforme aux normes internationales comme</w:t>
      </w:r>
      <w:r w:rsidR="009334D5">
        <w:rPr>
          <w:lang w:val="fr-FR"/>
        </w:rPr>
        <w:t xml:space="preserve"> la r</w:t>
      </w:r>
      <w:r>
        <w:rPr>
          <w:lang w:val="fr-FR"/>
        </w:rPr>
        <w:t>ègle 53 de l’ensemble de règles minima pour le traitement des détenus</w:t>
      </w:r>
      <w:r w:rsidR="008D6B80">
        <w:rPr>
          <w:lang w:val="fr-FR"/>
        </w:rPr>
        <w:t xml:space="preserve">. </w:t>
      </w:r>
      <w:r>
        <w:rPr>
          <w:lang w:val="fr-FR"/>
        </w:rPr>
        <w:t>On ne sait pas encore ce que sera la réponse du Gouvernement du Territ</w:t>
      </w:r>
      <w:r w:rsidR="00D706F0">
        <w:rPr>
          <w:lang w:val="fr-FR"/>
        </w:rPr>
        <w:t>oire de la capitale fédérale</w:t>
      </w:r>
      <w:r w:rsidR="00067AA2">
        <w:rPr>
          <w:lang w:val="fr-FR"/>
        </w:rPr>
        <w:t xml:space="preserve"> à cette recommandation.</w:t>
      </w:r>
    </w:p>
    <w:p w:rsidR="00067AA2" w:rsidRDefault="00067AA2" w:rsidP="005D7B68">
      <w:pPr>
        <w:tabs>
          <w:tab w:val="left" w:pos="567"/>
          <w:tab w:val="left" w:pos="1134"/>
          <w:tab w:val="left" w:pos="1701"/>
          <w:tab w:val="left" w:pos="2268"/>
        </w:tabs>
        <w:rPr>
          <w:lang w:val="fr-FR"/>
        </w:rPr>
      </w:pPr>
      <w:r>
        <w:rPr>
          <w:lang w:val="fr-FR"/>
        </w:rPr>
        <w:t>19</w:t>
      </w:r>
      <w:r w:rsidR="00623404">
        <w:rPr>
          <w:lang w:val="fr-FR"/>
        </w:rPr>
        <w:t>2</w:t>
      </w:r>
      <w:r>
        <w:rPr>
          <w:lang w:val="fr-FR"/>
        </w:rPr>
        <w:t>.</w:t>
      </w:r>
      <w:r>
        <w:rPr>
          <w:lang w:val="fr-FR"/>
        </w:rPr>
        <w:tab/>
        <w:t>La</w:t>
      </w:r>
      <w:r>
        <w:rPr>
          <w:i/>
          <w:iCs/>
          <w:lang w:val="fr-FR"/>
        </w:rPr>
        <w:t xml:space="preserve"> </w:t>
      </w:r>
      <w:r w:rsidRPr="00F37801">
        <w:rPr>
          <w:lang w:val="fr-FR"/>
        </w:rPr>
        <w:t>loi de 2007 sur l’administration des établissements pénitentiaires</w:t>
      </w:r>
      <w:r>
        <w:rPr>
          <w:lang w:val="fr-FR"/>
        </w:rPr>
        <w:t xml:space="preserve">, qui doit entrer en vigueur en décembre 2007 et fournira le cadre législatif de la nouvelle prison du Territoire </w:t>
      </w:r>
      <w:r w:rsidR="00F37801">
        <w:rPr>
          <w:lang w:val="fr-FR"/>
        </w:rPr>
        <w:t xml:space="preserve">de la capitale </w:t>
      </w:r>
      <w:r>
        <w:rPr>
          <w:lang w:val="fr-FR"/>
        </w:rPr>
        <w:t>une fois qu’elle sera terminée, dispose que la fouille à corps des détenues ne doit être effectuée que par un personnel féminin.</w:t>
      </w:r>
    </w:p>
    <w:p w:rsidR="00067AA2" w:rsidRDefault="00067AA2" w:rsidP="005D7B68">
      <w:pPr>
        <w:tabs>
          <w:tab w:val="left" w:pos="567"/>
          <w:tab w:val="left" w:pos="1134"/>
          <w:tab w:val="left" w:pos="1701"/>
          <w:tab w:val="left" w:pos="2268"/>
        </w:tabs>
        <w:rPr>
          <w:b/>
          <w:bCs/>
          <w:lang w:val="fr-FR"/>
        </w:rPr>
      </w:pPr>
      <w:r>
        <w:rPr>
          <w:b/>
          <w:bCs/>
          <w:lang w:val="fr-FR"/>
        </w:rPr>
        <w:t>Territoire du Nord</w:t>
      </w:r>
    </w:p>
    <w:p w:rsidR="00822624" w:rsidRDefault="00623404" w:rsidP="005D7B68">
      <w:pPr>
        <w:tabs>
          <w:tab w:val="left" w:pos="567"/>
          <w:tab w:val="left" w:pos="1134"/>
          <w:tab w:val="left" w:pos="1701"/>
          <w:tab w:val="left" w:pos="2268"/>
        </w:tabs>
        <w:rPr>
          <w:lang w:val="fr-FR"/>
        </w:rPr>
      </w:pPr>
      <w:r>
        <w:rPr>
          <w:lang w:val="fr-FR"/>
        </w:rPr>
        <w:t>193</w:t>
      </w:r>
      <w:r w:rsidR="00067AA2">
        <w:rPr>
          <w:lang w:val="fr-FR"/>
        </w:rPr>
        <w:t>.</w:t>
      </w:r>
      <w:r w:rsidR="00F162BB">
        <w:rPr>
          <w:i/>
          <w:iCs/>
          <w:lang w:val="fr-FR"/>
        </w:rPr>
        <w:t xml:space="preserve"> </w:t>
      </w:r>
      <w:r w:rsidR="008E76CE" w:rsidRPr="00A944D3">
        <w:rPr>
          <w:b/>
          <w:bCs/>
          <w:lang w:val="fr-FR"/>
        </w:rPr>
        <w:tab/>
      </w:r>
      <w:r w:rsidR="00385F25">
        <w:rPr>
          <w:lang w:val="fr-FR"/>
        </w:rPr>
        <w:t>Les autorités du</w:t>
      </w:r>
      <w:r w:rsidR="00CA0CA4" w:rsidRPr="00CA0CA4">
        <w:rPr>
          <w:lang w:val="fr-FR"/>
        </w:rPr>
        <w:t xml:space="preserve"> Territoire du Nord</w:t>
      </w:r>
      <w:r w:rsidR="00385F25">
        <w:rPr>
          <w:lang w:val="fr-FR"/>
        </w:rPr>
        <w:t xml:space="preserve"> exercent une surveillance </w:t>
      </w:r>
      <w:r w:rsidR="00F37801">
        <w:rPr>
          <w:lang w:val="fr-FR"/>
        </w:rPr>
        <w:t>dans les prisons, notamment</w:t>
      </w:r>
      <w:r w:rsidR="00385F25">
        <w:rPr>
          <w:lang w:val="fr-FR"/>
        </w:rPr>
        <w:t xml:space="preserve"> en ce qui concerne les violences sexuelles</w:t>
      </w:r>
      <w:r w:rsidR="008D6B80">
        <w:rPr>
          <w:lang w:val="fr-FR"/>
        </w:rPr>
        <w:t xml:space="preserve">. </w:t>
      </w:r>
      <w:r w:rsidR="00385F25">
        <w:rPr>
          <w:lang w:val="fr-FR"/>
        </w:rPr>
        <w:t>Entre 1997 et 2004, il a été fait état de sept cas par le Groupe de déontologie, qui a mené des</w:t>
      </w:r>
      <w:r w:rsidR="004059B4">
        <w:rPr>
          <w:lang w:val="fr-FR"/>
        </w:rPr>
        <w:t xml:space="preserve"> enquêtes à leur sujet et les a remis</w:t>
      </w:r>
      <w:r w:rsidR="00385F25">
        <w:rPr>
          <w:lang w:val="fr-FR"/>
        </w:rPr>
        <w:t xml:space="preserve"> à </w:t>
      </w:r>
      <w:r w:rsidR="00BA0022">
        <w:rPr>
          <w:lang w:val="fr-FR"/>
        </w:rPr>
        <w:t>l</w:t>
      </w:r>
      <w:r w:rsidR="00385F25">
        <w:rPr>
          <w:lang w:val="fr-FR"/>
        </w:rPr>
        <w:t>a police pour</w:t>
      </w:r>
      <w:r w:rsidR="00822624">
        <w:rPr>
          <w:lang w:val="fr-FR"/>
        </w:rPr>
        <w:t xml:space="preserve"> enquête criminelle.</w:t>
      </w:r>
    </w:p>
    <w:p w:rsidR="00822624" w:rsidRDefault="00822624" w:rsidP="005D7B68">
      <w:pPr>
        <w:tabs>
          <w:tab w:val="left" w:pos="567"/>
          <w:tab w:val="left" w:pos="1134"/>
          <w:tab w:val="left" w:pos="1701"/>
          <w:tab w:val="left" w:pos="2268"/>
        </w:tabs>
        <w:rPr>
          <w:b/>
          <w:bCs/>
          <w:lang w:val="fr-FR"/>
        </w:rPr>
      </w:pPr>
      <w:r>
        <w:rPr>
          <w:b/>
          <w:bCs/>
          <w:lang w:val="fr-FR"/>
        </w:rPr>
        <w:t>Question 5</w:t>
      </w:r>
    </w:p>
    <w:p w:rsidR="00822624" w:rsidRDefault="00822624" w:rsidP="005D7B68">
      <w:pPr>
        <w:tabs>
          <w:tab w:val="left" w:pos="567"/>
          <w:tab w:val="left" w:pos="1134"/>
          <w:tab w:val="left" w:pos="1701"/>
          <w:tab w:val="left" w:pos="2268"/>
        </w:tabs>
        <w:ind w:firstLine="708"/>
        <w:rPr>
          <w:b/>
          <w:bCs/>
          <w:lang w:val="fr-FR"/>
        </w:rPr>
      </w:pPr>
      <w:r w:rsidRPr="00822624">
        <w:rPr>
          <w:b/>
          <w:bCs/>
          <w:lang w:val="fr-FR"/>
        </w:rPr>
        <w:t>Fournir des données statistiques sur le nombre de personnes mises en détention en tant que «terroristes» présumés. Donner des précisions sur les garanties prévues dans la nouvelle législation relative à la lutte contre le terrorisme, en particulier la loi antiterrorisme (n</w:t>
      </w:r>
      <w:r w:rsidR="00FB35F5">
        <w:rPr>
          <w:b/>
          <w:bCs/>
          <w:vertAlign w:val="superscript"/>
          <w:lang w:val="fr-FR"/>
        </w:rPr>
        <w:t>o</w:t>
      </w:r>
      <w:r w:rsidRPr="00822624">
        <w:rPr>
          <w:b/>
          <w:bCs/>
          <w:lang w:val="fr-FR"/>
        </w:rPr>
        <w:t> 2) de 2005, dont l’objectif est d’assurer que les obligations prévues dans la Convention soient aussi respectées dans le cadre des lois et des opérations antiterrorisme</w:t>
      </w:r>
      <w:r w:rsidR="008D6B80">
        <w:rPr>
          <w:b/>
          <w:bCs/>
          <w:lang w:val="fr-FR"/>
        </w:rPr>
        <w:t xml:space="preserve">. </w:t>
      </w:r>
    </w:p>
    <w:p w:rsidR="00D26345" w:rsidRDefault="00623404" w:rsidP="005D7B68">
      <w:pPr>
        <w:tabs>
          <w:tab w:val="left" w:pos="567"/>
          <w:tab w:val="left" w:pos="1134"/>
          <w:tab w:val="left" w:pos="1701"/>
          <w:tab w:val="left" w:pos="2268"/>
        </w:tabs>
        <w:rPr>
          <w:lang w:val="fr-FR"/>
        </w:rPr>
      </w:pPr>
      <w:r>
        <w:rPr>
          <w:lang w:val="fr-FR"/>
        </w:rPr>
        <w:t>194</w:t>
      </w:r>
      <w:r w:rsidR="00822624">
        <w:rPr>
          <w:lang w:val="fr-FR"/>
        </w:rPr>
        <w:t>.</w:t>
      </w:r>
      <w:r w:rsidR="00822624">
        <w:rPr>
          <w:lang w:val="fr-FR"/>
        </w:rPr>
        <w:tab/>
        <w:t xml:space="preserve">Avant toutes choses, le Gouvernement australien note qu’on peut soutenir que dans sa première question sur le nombre de personnes placées en détention parce </w:t>
      </w:r>
      <w:r w:rsidR="00BA0022">
        <w:rPr>
          <w:lang w:val="fr-FR"/>
        </w:rPr>
        <w:t xml:space="preserve">que </w:t>
      </w:r>
      <w:r w:rsidR="00822624">
        <w:rPr>
          <w:lang w:val="fr-FR"/>
        </w:rPr>
        <w:t>soupçonnées d’activités terroristes</w:t>
      </w:r>
      <w:r w:rsidR="00D26345">
        <w:rPr>
          <w:lang w:val="fr-FR"/>
        </w:rPr>
        <w:t>, le Co</w:t>
      </w:r>
      <w:r w:rsidR="00BA0022">
        <w:rPr>
          <w:lang w:val="fr-FR"/>
        </w:rPr>
        <w:t>mité sort du</w:t>
      </w:r>
      <w:r w:rsidR="00DD2C55">
        <w:rPr>
          <w:lang w:val="fr-FR"/>
        </w:rPr>
        <w:t xml:space="preserve"> cadre de son mandat</w:t>
      </w:r>
      <w:r w:rsidR="008D6B80">
        <w:rPr>
          <w:lang w:val="fr-FR"/>
        </w:rPr>
        <w:t xml:space="preserve">. </w:t>
      </w:r>
      <w:r w:rsidR="00D26345">
        <w:rPr>
          <w:lang w:val="fr-FR"/>
        </w:rPr>
        <w:t>Il n’</w:t>
      </w:r>
      <w:r w:rsidR="00DD2C55">
        <w:rPr>
          <w:lang w:val="fr-FR"/>
        </w:rPr>
        <w:t xml:space="preserve">y </w:t>
      </w:r>
      <w:r w:rsidR="00D26345">
        <w:rPr>
          <w:lang w:val="fr-FR"/>
        </w:rPr>
        <w:t xml:space="preserve">est </w:t>
      </w:r>
      <w:r w:rsidR="00DD2C55">
        <w:rPr>
          <w:lang w:val="fr-FR"/>
        </w:rPr>
        <w:t xml:space="preserve">pas </w:t>
      </w:r>
      <w:r w:rsidR="00D26345">
        <w:rPr>
          <w:lang w:val="fr-FR"/>
        </w:rPr>
        <w:t>spécifié quel intérêt cette</w:t>
      </w:r>
      <w:r w:rsidR="00BA0022">
        <w:rPr>
          <w:lang w:val="fr-FR"/>
        </w:rPr>
        <w:t xml:space="preserve"> question présente pour ce qui est</w:t>
      </w:r>
      <w:r w:rsidR="00D26345">
        <w:rPr>
          <w:lang w:val="fr-FR"/>
        </w:rPr>
        <w:t xml:space="preserve"> des obligations relevant de l’article 2 de la Convention contre la torture</w:t>
      </w:r>
      <w:r w:rsidR="008D6B80">
        <w:rPr>
          <w:lang w:val="fr-FR"/>
        </w:rPr>
        <w:t xml:space="preserve">. </w:t>
      </w:r>
      <w:r w:rsidR="00D26345">
        <w:rPr>
          <w:lang w:val="fr-FR"/>
        </w:rPr>
        <w:t xml:space="preserve">Cependant, afin d’être utile au Comité, tant pour cette question que pour la question 2, le gouvernement </w:t>
      </w:r>
      <w:r w:rsidR="00BA0022">
        <w:rPr>
          <w:lang w:val="fr-FR"/>
        </w:rPr>
        <w:t xml:space="preserve">est d’accord pour </w:t>
      </w:r>
      <w:r w:rsidR="00D26345">
        <w:rPr>
          <w:lang w:val="fr-FR"/>
        </w:rPr>
        <w:t>communique</w:t>
      </w:r>
      <w:r w:rsidR="00BA0022">
        <w:rPr>
          <w:lang w:val="fr-FR"/>
        </w:rPr>
        <w:t>r</w:t>
      </w:r>
      <w:r w:rsidR="00D26345">
        <w:rPr>
          <w:lang w:val="fr-FR"/>
        </w:rPr>
        <w:t xml:space="preserve"> les informations ci-après.</w:t>
      </w:r>
    </w:p>
    <w:p w:rsidR="00BD3A57" w:rsidRDefault="00623404" w:rsidP="005D7B68">
      <w:pPr>
        <w:tabs>
          <w:tab w:val="left" w:pos="567"/>
          <w:tab w:val="left" w:pos="1134"/>
          <w:tab w:val="left" w:pos="1701"/>
          <w:tab w:val="left" w:pos="2268"/>
        </w:tabs>
        <w:rPr>
          <w:lang w:val="fr-FR"/>
        </w:rPr>
      </w:pPr>
      <w:r>
        <w:rPr>
          <w:lang w:val="fr-FR"/>
        </w:rPr>
        <w:t>195</w:t>
      </w:r>
      <w:r w:rsidR="00D26345">
        <w:rPr>
          <w:lang w:val="fr-FR"/>
        </w:rPr>
        <w:t>.</w:t>
      </w:r>
      <w:r w:rsidR="00D26345">
        <w:rPr>
          <w:lang w:val="fr-FR"/>
        </w:rPr>
        <w:tab/>
      </w:r>
      <w:r w:rsidR="00BD3A57">
        <w:rPr>
          <w:lang w:val="fr-FR"/>
        </w:rPr>
        <w:t>Le Gouvernement australien est très soucieux</w:t>
      </w:r>
      <w:r w:rsidR="008E76CE" w:rsidRPr="00822624">
        <w:rPr>
          <w:lang w:val="fr-FR"/>
        </w:rPr>
        <w:t xml:space="preserve"> </w:t>
      </w:r>
      <w:r w:rsidR="00BD3A57">
        <w:rPr>
          <w:lang w:val="fr-FR"/>
        </w:rPr>
        <w:t>de respecter, dans son application de la législation antiterroriste, le</w:t>
      </w:r>
      <w:r w:rsidR="00131B8E">
        <w:rPr>
          <w:lang w:val="fr-FR"/>
        </w:rPr>
        <w:t>s obligations internationales imposées à</w:t>
      </w:r>
      <w:r w:rsidR="00BD3A57">
        <w:rPr>
          <w:lang w:val="fr-FR"/>
        </w:rPr>
        <w:t xml:space="preserve"> l’Australie, y compris celles qu’elle a contractées au titre de la Convention contre la torture</w:t>
      </w:r>
      <w:r w:rsidR="008D6B80">
        <w:rPr>
          <w:lang w:val="fr-FR"/>
        </w:rPr>
        <w:t xml:space="preserve">. </w:t>
      </w:r>
      <w:r w:rsidR="00BD3A57">
        <w:rPr>
          <w:lang w:val="fr-FR"/>
        </w:rPr>
        <w:t>Á cette fin, ladite législation comporte des garanties appropriées</w:t>
      </w:r>
      <w:r w:rsidR="008D6B80">
        <w:rPr>
          <w:lang w:val="fr-FR"/>
        </w:rPr>
        <w:t xml:space="preserve">. </w:t>
      </w:r>
      <w:r w:rsidR="00BD3A57">
        <w:rPr>
          <w:lang w:val="fr-FR"/>
        </w:rPr>
        <w:t>La première partie de cette réponse contient des statistiques du Commonwealth sur le nombre de personnes soupçonnées d’activités terroristes placées en déten</w:t>
      </w:r>
      <w:r w:rsidR="00332417">
        <w:rPr>
          <w:lang w:val="fr-FR"/>
        </w:rPr>
        <w:t>tion et sur les garanties figura</w:t>
      </w:r>
      <w:r w:rsidR="00BD3A57">
        <w:rPr>
          <w:lang w:val="fr-FR"/>
        </w:rPr>
        <w:t>nt dans les lois fédérales antiterrorisme, suivies de statistiques et d’informations des Territoires et des États.</w:t>
      </w:r>
    </w:p>
    <w:p w:rsidR="00BD3A57" w:rsidRDefault="00BD3A57" w:rsidP="005D7B68">
      <w:pPr>
        <w:tabs>
          <w:tab w:val="left" w:pos="567"/>
          <w:tab w:val="left" w:pos="1134"/>
          <w:tab w:val="left" w:pos="1701"/>
          <w:tab w:val="left" w:pos="2268"/>
        </w:tabs>
        <w:rPr>
          <w:b/>
          <w:bCs/>
          <w:lang w:val="fr-FR"/>
        </w:rPr>
      </w:pPr>
      <w:r>
        <w:rPr>
          <w:b/>
          <w:bCs/>
          <w:lang w:val="fr-FR"/>
        </w:rPr>
        <w:t>Informations du Gouvernement du Commonwealth</w:t>
      </w:r>
    </w:p>
    <w:p w:rsidR="007E2DC3" w:rsidRDefault="00623404" w:rsidP="005D7B68">
      <w:pPr>
        <w:tabs>
          <w:tab w:val="left" w:pos="567"/>
          <w:tab w:val="left" w:pos="1134"/>
          <w:tab w:val="left" w:pos="1701"/>
          <w:tab w:val="left" w:pos="2268"/>
        </w:tabs>
        <w:rPr>
          <w:lang w:val="fr-FR"/>
        </w:rPr>
      </w:pPr>
      <w:r>
        <w:rPr>
          <w:lang w:val="fr-FR"/>
        </w:rPr>
        <w:t>196</w:t>
      </w:r>
      <w:r w:rsidR="00BD3A57">
        <w:rPr>
          <w:lang w:val="fr-FR"/>
        </w:rPr>
        <w:t>.</w:t>
      </w:r>
      <w:r w:rsidR="00BD3A57">
        <w:rPr>
          <w:lang w:val="fr-FR"/>
        </w:rPr>
        <w:tab/>
        <w:t>Au 2 août 2007, 22 personnes, placées en détention provisoire</w:t>
      </w:r>
      <w:r w:rsidR="000A31BF">
        <w:rPr>
          <w:lang w:val="fr-FR"/>
        </w:rPr>
        <w:t xml:space="preserve"> et inculpées d’activités liées au terrorisme</w:t>
      </w:r>
      <w:r w:rsidR="00BD3A57">
        <w:rPr>
          <w:lang w:val="fr-FR"/>
        </w:rPr>
        <w:t>, attendent d’être jugées</w:t>
      </w:r>
      <w:r w:rsidR="008D6B80">
        <w:rPr>
          <w:lang w:val="fr-FR"/>
        </w:rPr>
        <w:t xml:space="preserve">. </w:t>
      </w:r>
      <w:r w:rsidR="000A31BF">
        <w:rPr>
          <w:lang w:val="fr-FR"/>
        </w:rPr>
        <w:t>Six autres personnes ont été mise</w:t>
      </w:r>
      <w:r w:rsidR="00FC56A7">
        <w:rPr>
          <w:lang w:val="fr-FR"/>
        </w:rPr>
        <w:t>s</w:t>
      </w:r>
      <w:r w:rsidR="000A31BF">
        <w:rPr>
          <w:lang w:val="fr-FR"/>
        </w:rPr>
        <w:t xml:space="preserve"> en liberté sous caution au titre des mêmes chefs d’inculpation</w:t>
      </w:r>
      <w:r w:rsidR="008D6B80">
        <w:rPr>
          <w:lang w:val="fr-FR"/>
        </w:rPr>
        <w:t xml:space="preserve">. </w:t>
      </w:r>
      <w:r w:rsidR="00FC56A7">
        <w:rPr>
          <w:lang w:val="fr-FR"/>
        </w:rPr>
        <w:t>Ces chiffres vont changer au fil du temps en fonction de l’évolution et des circonstances du traitement des dossiers.</w:t>
      </w:r>
    </w:p>
    <w:p w:rsidR="00FC56A7" w:rsidRDefault="00623404" w:rsidP="005D7B68">
      <w:pPr>
        <w:tabs>
          <w:tab w:val="left" w:pos="567"/>
          <w:tab w:val="left" w:pos="1134"/>
          <w:tab w:val="left" w:pos="1701"/>
          <w:tab w:val="left" w:pos="2268"/>
        </w:tabs>
        <w:rPr>
          <w:lang w:val="fr-FR"/>
        </w:rPr>
      </w:pPr>
      <w:r>
        <w:rPr>
          <w:lang w:val="fr-FR"/>
        </w:rPr>
        <w:t>197</w:t>
      </w:r>
      <w:r w:rsidR="00FC56A7">
        <w:rPr>
          <w:lang w:val="fr-FR"/>
        </w:rPr>
        <w:t>.</w:t>
      </w:r>
      <w:r w:rsidR="00FC56A7">
        <w:rPr>
          <w:lang w:val="fr-FR"/>
        </w:rPr>
        <w:tab/>
        <w:t>Les lois antiterrorisme promulguées en 2002 on permis d’introduire un ensemble d</w:t>
      </w:r>
      <w:r w:rsidR="00131B8E">
        <w:rPr>
          <w:lang w:val="fr-FR"/>
        </w:rPr>
        <w:t>’infractions</w:t>
      </w:r>
      <w:r w:rsidR="00FC56A7">
        <w:rPr>
          <w:lang w:val="fr-FR"/>
        </w:rPr>
        <w:t xml:space="preserve"> dans la </w:t>
      </w:r>
      <w:r w:rsidR="00FC56A7" w:rsidRPr="00332417">
        <w:rPr>
          <w:lang w:val="fr-FR"/>
        </w:rPr>
        <w:t>loi de 1995 sur le Code Pénal</w:t>
      </w:r>
      <w:r w:rsidR="00FC56A7">
        <w:rPr>
          <w:i/>
          <w:iCs/>
          <w:lang w:val="fr-FR"/>
        </w:rPr>
        <w:t xml:space="preserve"> </w:t>
      </w:r>
      <w:r w:rsidR="00FC56A7">
        <w:rPr>
          <w:lang w:val="fr-FR"/>
        </w:rPr>
        <w:t>(Code pénal)</w:t>
      </w:r>
      <w:r w:rsidR="008D6B80">
        <w:rPr>
          <w:lang w:val="fr-FR"/>
        </w:rPr>
        <w:t xml:space="preserve">. </w:t>
      </w:r>
      <w:r w:rsidR="00FC56A7">
        <w:rPr>
          <w:lang w:val="fr-FR"/>
        </w:rPr>
        <w:t>Elles concernent le fait de concevoir, de préparer et d’organiser des actes terroristes, de s’entraîner en vue d’un acte terroriste et d</w:t>
      </w:r>
      <w:r w:rsidR="00131B8E">
        <w:rPr>
          <w:lang w:val="fr-FR"/>
        </w:rPr>
        <w:t>e le financer</w:t>
      </w:r>
      <w:r w:rsidR="008D6B80">
        <w:rPr>
          <w:lang w:val="fr-FR"/>
        </w:rPr>
        <w:t xml:space="preserve">. </w:t>
      </w:r>
      <w:r w:rsidR="00FC56A7">
        <w:rPr>
          <w:lang w:val="fr-FR"/>
        </w:rPr>
        <w:t>Il faut ajouter</w:t>
      </w:r>
      <w:r w:rsidR="00BA5A4B">
        <w:rPr>
          <w:lang w:val="fr-FR"/>
        </w:rPr>
        <w:t xml:space="preserve"> à cela le fait d’appartenir à des organisations terroristes et d’autres types d’engagement envers elle</w:t>
      </w:r>
      <w:r w:rsidR="00DF26D2">
        <w:rPr>
          <w:lang w:val="fr-FR"/>
        </w:rPr>
        <w:t>s</w:t>
      </w:r>
      <w:r w:rsidR="008D6B80">
        <w:rPr>
          <w:lang w:val="fr-FR"/>
        </w:rPr>
        <w:t xml:space="preserve">. </w:t>
      </w:r>
      <w:r w:rsidR="00DF26D2">
        <w:rPr>
          <w:lang w:val="fr-FR"/>
        </w:rPr>
        <w:t>Ces lois portent également</w:t>
      </w:r>
      <w:r w:rsidR="00BA5A4B">
        <w:rPr>
          <w:lang w:val="fr-FR"/>
        </w:rPr>
        <w:t xml:space="preserve"> création d’un système permettant d’établir une liste des organisations terroristes</w:t>
      </w:r>
      <w:r w:rsidR="002B11A6">
        <w:rPr>
          <w:lang w:val="fr-FR"/>
        </w:rPr>
        <w:t xml:space="preserve"> et comportant</w:t>
      </w:r>
      <w:r w:rsidR="00BA5A4B">
        <w:rPr>
          <w:lang w:val="fr-FR"/>
        </w:rPr>
        <w:t xml:space="preserve"> de</w:t>
      </w:r>
      <w:r w:rsidR="00332417">
        <w:rPr>
          <w:lang w:val="fr-FR"/>
        </w:rPr>
        <w:t>s</w:t>
      </w:r>
      <w:r w:rsidR="00BA5A4B">
        <w:rPr>
          <w:lang w:val="fr-FR"/>
        </w:rPr>
        <w:t xml:space="preserve"> prescriptions strictes à respecter pour qu’une organisation puisse y figurer</w:t>
      </w:r>
      <w:r w:rsidR="002B11A6">
        <w:rPr>
          <w:lang w:val="fr-FR"/>
        </w:rPr>
        <w:t>, ainsi qu’</w:t>
      </w:r>
      <w:r w:rsidR="00BA5A4B">
        <w:rPr>
          <w:lang w:val="fr-FR"/>
        </w:rPr>
        <w:t>un certain nombre d’autres garanties.</w:t>
      </w:r>
    </w:p>
    <w:p w:rsidR="00BA5A4B" w:rsidRDefault="00623404" w:rsidP="005D7B68">
      <w:pPr>
        <w:tabs>
          <w:tab w:val="left" w:pos="567"/>
          <w:tab w:val="left" w:pos="1134"/>
          <w:tab w:val="left" w:pos="1701"/>
          <w:tab w:val="left" w:pos="2268"/>
        </w:tabs>
        <w:rPr>
          <w:lang w:val="fr-FR"/>
        </w:rPr>
      </w:pPr>
      <w:r>
        <w:rPr>
          <w:lang w:val="fr-FR"/>
        </w:rPr>
        <w:t>198</w:t>
      </w:r>
      <w:r w:rsidR="00BA5A4B">
        <w:rPr>
          <w:lang w:val="fr-FR"/>
        </w:rPr>
        <w:t>.</w:t>
      </w:r>
      <w:r w:rsidR="00BA5A4B">
        <w:rPr>
          <w:lang w:val="fr-FR"/>
        </w:rPr>
        <w:tab/>
        <w:t>Pour qu’une organisation soit inscrite sur cette liste, l’</w:t>
      </w:r>
      <w:r w:rsidR="008E1139" w:rsidRPr="008E1139">
        <w:rPr>
          <w:lang w:val="fr-FR"/>
        </w:rPr>
        <w:t>Attorney général</w:t>
      </w:r>
      <w:r w:rsidR="00437CCA">
        <w:rPr>
          <w:lang w:val="fr-FR"/>
        </w:rPr>
        <w:t xml:space="preserve"> doit avoir acquis la conviction</w:t>
      </w:r>
      <w:r w:rsidR="00BA5A4B">
        <w:rPr>
          <w:lang w:val="fr-FR"/>
        </w:rPr>
        <w:t xml:space="preserve"> qu’elle </w:t>
      </w:r>
      <w:r w:rsidR="00346711">
        <w:rPr>
          <w:lang w:val="fr-FR"/>
        </w:rPr>
        <w:t>est directement ou indirectement liée à la conception ou à la préparation</w:t>
      </w:r>
      <w:r w:rsidR="00BA5A4B">
        <w:rPr>
          <w:lang w:val="fr-FR"/>
        </w:rPr>
        <w:t xml:space="preserve"> </w:t>
      </w:r>
      <w:r w:rsidR="00346711">
        <w:rPr>
          <w:lang w:val="fr-FR"/>
        </w:rPr>
        <w:t>d’un acte terroriste, qu’elle y contribue ou qu’elle le favorise, ou encore qu’elle appelle à le commettre (qu’il ait eu lieu ou non, ou qu’il doive être commis ou non)</w:t>
      </w:r>
      <w:r w:rsidR="008D6B80">
        <w:rPr>
          <w:lang w:val="fr-FR"/>
        </w:rPr>
        <w:t xml:space="preserve">. </w:t>
      </w:r>
      <w:r w:rsidR="00346711">
        <w:rPr>
          <w:lang w:val="fr-FR"/>
        </w:rPr>
        <w:t>Cette décision est soumise à un contrôle juridictionnel</w:t>
      </w:r>
      <w:r w:rsidR="008D6B80">
        <w:rPr>
          <w:lang w:val="fr-FR"/>
        </w:rPr>
        <w:t xml:space="preserve">. </w:t>
      </w:r>
      <w:r w:rsidR="00346711">
        <w:rPr>
          <w:lang w:val="fr-FR"/>
        </w:rPr>
        <w:t>Le chef de file de l’opposition à la Chambre des Représentants doit également être informé des propositions de dispositions réglementaires</w:t>
      </w:r>
      <w:r w:rsidR="00CD6F7F">
        <w:rPr>
          <w:lang w:val="fr-FR"/>
        </w:rPr>
        <w:t xml:space="preserve"> et il convient de consulter</w:t>
      </w:r>
      <w:r w:rsidR="00346711">
        <w:rPr>
          <w:lang w:val="fr-FR"/>
        </w:rPr>
        <w:t xml:space="preserve"> et les États et les Te</w:t>
      </w:r>
      <w:r w:rsidR="00CD6F7F">
        <w:rPr>
          <w:lang w:val="fr-FR"/>
        </w:rPr>
        <w:t>rritoires à ce sujet</w:t>
      </w:r>
      <w:r w:rsidR="00346711">
        <w:rPr>
          <w:lang w:val="fr-FR"/>
        </w:rPr>
        <w:t xml:space="preserve">. </w:t>
      </w:r>
    </w:p>
    <w:p w:rsidR="00CB50C1" w:rsidRDefault="00F9526E" w:rsidP="005D7B68">
      <w:pPr>
        <w:tabs>
          <w:tab w:val="left" w:pos="567"/>
          <w:tab w:val="left" w:pos="1134"/>
          <w:tab w:val="left" w:pos="1701"/>
          <w:tab w:val="left" w:pos="2268"/>
        </w:tabs>
        <w:rPr>
          <w:lang w:val="fr-FR"/>
        </w:rPr>
      </w:pPr>
      <w:r>
        <w:rPr>
          <w:lang w:val="fr-FR"/>
        </w:rPr>
        <w:t>19</w:t>
      </w:r>
      <w:r w:rsidR="00623404">
        <w:rPr>
          <w:lang w:val="fr-FR"/>
        </w:rPr>
        <w:t>9</w:t>
      </w:r>
      <w:r>
        <w:rPr>
          <w:lang w:val="fr-FR"/>
        </w:rPr>
        <w:t>.</w:t>
      </w:r>
      <w:r>
        <w:rPr>
          <w:lang w:val="fr-FR"/>
        </w:rPr>
        <w:tab/>
        <w:t>Le Code pénal prévoit</w:t>
      </w:r>
      <w:r w:rsidR="00CB50C1">
        <w:rPr>
          <w:lang w:val="fr-FR"/>
        </w:rPr>
        <w:t xml:space="preserve"> que les dispositions au titre desquelles une organisation a été placée sur cette liste deviennent caduques au bout de deux ans</w:t>
      </w:r>
      <w:r w:rsidR="008D6B80">
        <w:rPr>
          <w:lang w:val="fr-FR"/>
        </w:rPr>
        <w:t xml:space="preserve">. </w:t>
      </w:r>
      <w:r w:rsidR="00CB50C1">
        <w:rPr>
          <w:lang w:val="fr-FR"/>
        </w:rPr>
        <w:t>Toute personne ou organisation (y compris un</w:t>
      </w:r>
      <w:r>
        <w:rPr>
          <w:lang w:val="fr-FR"/>
        </w:rPr>
        <w:t>e organisation appelée</w:t>
      </w:r>
      <w:r w:rsidR="00CB50C1">
        <w:rPr>
          <w:lang w:val="fr-FR"/>
        </w:rPr>
        <w:t xml:space="preserve"> à y figurer) peut déposer une demande pour en être rayée, </w:t>
      </w:r>
      <w:r w:rsidR="00283009">
        <w:rPr>
          <w:lang w:val="fr-FR"/>
        </w:rPr>
        <w:t>que le Ministre doit examiner</w:t>
      </w:r>
      <w:r w:rsidR="008D6B80">
        <w:rPr>
          <w:lang w:val="fr-FR"/>
        </w:rPr>
        <w:t xml:space="preserve">. </w:t>
      </w:r>
      <w:r w:rsidR="001F3083">
        <w:rPr>
          <w:lang w:val="fr-FR"/>
        </w:rPr>
        <w:t xml:space="preserve">Le Code pénal </w:t>
      </w:r>
      <w:r>
        <w:rPr>
          <w:lang w:val="fr-FR"/>
        </w:rPr>
        <w:t xml:space="preserve">indique également </w:t>
      </w:r>
      <w:r w:rsidR="001F3083">
        <w:rPr>
          <w:lang w:val="fr-FR"/>
        </w:rPr>
        <w:t>qu’elle doit être étudiée par u</w:t>
      </w:r>
      <w:r w:rsidR="00D77C1F">
        <w:rPr>
          <w:lang w:val="fr-FR"/>
        </w:rPr>
        <w:t>n comité parlementaire mixte, lequel</w:t>
      </w:r>
      <w:r w:rsidR="001F3083">
        <w:rPr>
          <w:lang w:val="fr-FR"/>
        </w:rPr>
        <w:t xml:space="preserve"> peut communiquer ses commentaires et ses recommandations au Parlement.</w:t>
      </w:r>
    </w:p>
    <w:p w:rsidR="0038161E" w:rsidRDefault="00623404" w:rsidP="005D7B68">
      <w:pPr>
        <w:tabs>
          <w:tab w:val="left" w:pos="567"/>
          <w:tab w:val="left" w:pos="1134"/>
          <w:tab w:val="left" w:pos="1701"/>
          <w:tab w:val="left" w:pos="2268"/>
        </w:tabs>
        <w:rPr>
          <w:lang w:val="fr-FR"/>
        </w:rPr>
      </w:pPr>
      <w:r>
        <w:rPr>
          <w:lang w:val="fr-FR"/>
        </w:rPr>
        <w:t>200</w:t>
      </w:r>
      <w:r w:rsidR="0038161E">
        <w:rPr>
          <w:lang w:val="fr-FR"/>
        </w:rPr>
        <w:t>.</w:t>
      </w:r>
      <w:r w:rsidR="0038161E">
        <w:rPr>
          <w:lang w:val="fr-FR"/>
        </w:rPr>
        <w:tab/>
        <w:t>Toute personne inculpée d’une infraction liée au terrorisme</w:t>
      </w:r>
      <w:r w:rsidR="00572260">
        <w:rPr>
          <w:lang w:val="fr-FR"/>
        </w:rPr>
        <w:t xml:space="preserve"> </w:t>
      </w:r>
      <w:r w:rsidR="0038161E">
        <w:rPr>
          <w:lang w:val="fr-FR"/>
        </w:rPr>
        <w:t>et poursuivie à ce titre bénéficie des garanties offertes par le système australien de justice pénale</w:t>
      </w:r>
      <w:r w:rsidR="008508C4">
        <w:rPr>
          <w:lang w:val="fr-FR"/>
        </w:rPr>
        <w:t>, dont la présomption d’innocence, le droit de garder le silence, le droit</w:t>
      </w:r>
      <w:r w:rsidR="00DE4A2C">
        <w:rPr>
          <w:lang w:val="fr-FR"/>
        </w:rPr>
        <w:t xml:space="preserve"> à une représentation judiciaire</w:t>
      </w:r>
      <w:r w:rsidR="008508C4">
        <w:rPr>
          <w:lang w:val="fr-FR"/>
        </w:rPr>
        <w:t xml:space="preserve"> et la nécessité que la culpabilité soit prouvée au-delà de tout doute raisonnable.</w:t>
      </w:r>
    </w:p>
    <w:p w:rsidR="002A2F32" w:rsidRDefault="002A2F32" w:rsidP="005D7B68">
      <w:pPr>
        <w:tabs>
          <w:tab w:val="left" w:pos="567"/>
          <w:tab w:val="left" w:pos="1134"/>
          <w:tab w:val="left" w:pos="1701"/>
          <w:tab w:val="left" w:pos="2268"/>
        </w:tabs>
        <w:rPr>
          <w:bCs/>
          <w:lang w:val="fr-FR"/>
        </w:rPr>
      </w:pPr>
      <w:r>
        <w:rPr>
          <w:lang w:val="fr-FR"/>
        </w:rPr>
        <w:t>20</w:t>
      </w:r>
      <w:r w:rsidR="00623404">
        <w:rPr>
          <w:lang w:val="fr-FR"/>
        </w:rPr>
        <w:t>1</w:t>
      </w:r>
      <w:r>
        <w:rPr>
          <w:lang w:val="fr-FR"/>
        </w:rPr>
        <w:t>.</w:t>
      </w:r>
      <w:r>
        <w:rPr>
          <w:lang w:val="fr-FR"/>
        </w:rPr>
        <w:tab/>
        <w:t xml:space="preserve">La </w:t>
      </w:r>
      <w:r w:rsidRPr="003324AA">
        <w:rPr>
          <w:lang w:val="fr-FR"/>
        </w:rPr>
        <w:t xml:space="preserve">loi </w:t>
      </w:r>
      <w:r w:rsidR="00F7559B">
        <w:rPr>
          <w:lang w:val="fr-FR"/>
        </w:rPr>
        <w:t>antiterrorisme de 2005</w:t>
      </w:r>
      <w:r w:rsidRPr="003324AA">
        <w:rPr>
          <w:lang w:val="fr-FR"/>
        </w:rPr>
        <w:t xml:space="preserve"> </w:t>
      </w:r>
      <w:r w:rsidR="00BB4F1E" w:rsidRPr="003324AA">
        <w:rPr>
          <w:lang w:val="fr-FR"/>
        </w:rPr>
        <w:t>(</w:t>
      </w:r>
      <w:r w:rsidR="00FB35F5">
        <w:rPr>
          <w:lang w:val="fr-FR"/>
        </w:rPr>
        <w:t>n</w:t>
      </w:r>
      <w:r w:rsidR="00FB35F5" w:rsidRPr="00FB35F5">
        <w:rPr>
          <w:vertAlign w:val="superscript"/>
          <w:lang w:val="fr-FR"/>
        </w:rPr>
        <w:t>o</w:t>
      </w:r>
      <w:r w:rsidR="00BB4F1E" w:rsidRPr="003324AA">
        <w:rPr>
          <w:lang w:val="fr-FR"/>
        </w:rPr>
        <w:t xml:space="preserve"> 2)</w:t>
      </w:r>
      <w:r w:rsidR="00BB4F1E">
        <w:rPr>
          <w:lang w:val="fr-FR"/>
        </w:rPr>
        <w:t xml:space="preserve"> porte création de pouvoirs relatifs à la détention préventive</w:t>
      </w:r>
      <w:r w:rsidR="00933AAB">
        <w:rPr>
          <w:lang w:val="fr-FR"/>
        </w:rPr>
        <w:t xml:space="preserve"> et aux ordonnances de contrôle</w:t>
      </w:r>
      <w:r w:rsidR="008D6B80">
        <w:rPr>
          <w:lang w:val="fr-FR"/>
        </w:rPr>
        <w:t xml:space="preserve">. </w:t>
      </w:r>
      <w:r w:rsidR="00933AAB">
        <w:rPr>
          <w:lang w:val="fr-FR"/>
        </w:rPr>
        <w:t>D’autres pouvoirs en matière d’interrogatoire et, dans certaines circonstances, de placement en détention</w:t>
      </w:r>
      <w:r w:rsidR="008E2660">
        <w:rPr>
          <w:lang w:val="fr-FR"/>
        </w:rPr>
        <w:t>, d’une personne pouvant détenir des renseignements concernant une infraction liée au terrorisme ont été</w:t>
      </w:r>
      <w:r w:rsidR="00933AAB">
        <w:rPr>
          <w:lang w:val="fr-FR"/>
        </w:rPr>
        <w:t xml:space="preserve"> </w:t>
      </w:r>
      <w:r w:rsidR="008E2660">
        <w:rPr>
          <w:lang w:val="fr-FR"/>
        </w:rPr>
        <w:t xml:space="preserve">introduits par le biais d’amendements à la </w:t>
      </w:r>
      <w:r w:rsidR="008E2660" w:rsidRPr="003324AA">
        <w:rPr>
          <w:lang w:val="fr-FR"/>
        </w:rPr>
        <w:t>loi de 1979</w:t>
      </w:r>
      <w:r w:rsidR="00456EDB" w:rsidRPr="003324AA">
        <w:rPr>
          <w:lang w:val="fr-FR"/>
        </w:rPr>
        <w:t xml:space="preserve"> sur</w:t>
      </w:r>
      <w:r w:rsidR="00456EDB" w:rsidRPr="003324AA">
        <w:rPr>
          <w:bCs/>
          <w:lang w:val="fr-FR"/>
        </w:rPr>
        <w:t xml:space="preserve"> l’Agence australienne du renseignement relatif à la sécurité</w:t>
      </w:r>
      <w:r w:rsidR="00C055CC">
        <w:rPr>
          <w:bCs/>
          <w:i/>
          <w:iCs/>
          <w:lang w:val="fr-FR"/>
        </w:rPr>
        <w:t xml:space="preserve"> </w:t>
      </w:r>
      <w:r w:rsidR="00C055CC">
        <w:rPr>
          <w:bCs/>
          <w:lang w:val="fr-FR"/>
        </w:rPr>
        <w:t>en 2003</w:t>
      </w:r>
      <w:r w:rsidR="008D6B80">
        <w:rPr>
          <w:bCs/>
          <w:lang w:val="fr-FR"/>
        </w:rPr>
        <w:t xml:space="preserve">. </w:t>
      </w:r>
      <w:r w:rsidR="00C055CC">
        <w:rPr>
          <w:bCs/>
          <w:lang w:val="fr-FR"/>
        </w:rPr>
        <w:t>Un aperçu des garanties offertes par ces lois figure ci-après.</w:t>
      </w:r>
    </w:p>
    <w:p w:rsidR="00471680" w:rsidRDefault="00471680" w:rsidP="005D7B68">
      <w:pPr>
        <w:tabs>
          <w:tab w:val="left" w:pos="567"/>
          <w:tab w:val="left" w:pos="1134"/>
          <w:tab w:val="left" w:pos="1701"/>
          <w:tab w:val="left" w:pos="2268"/>
        </w:tabs>
        <w:rPr>
          <w:b/>
          <w:lang w:val="fr-FR"/>
        </w:rPr>
      </w:pPr>
      <w:r>
        <w:rPr>
          <w:b/>
          <w:lang w:val="fr-FR"/>
        </w:rPr>
        <w:t>Détention préventive</w:t>
      </w:r>
    </w:p>
    <w:p w:rsidR="00471680" w:rsidRDefault="00471680" w:rsidP="005D7B68">
      <w:pPr>
        <w:tabs>
          <w:tab w:val="left" w:pos="567"/>
          <w:tab w:val="left" w:pos="1134"/>
          <w:tab w:val="left" w:pos="1701"/>
          <w:tab w:val="left" w:pos="2268"/>
        </w:tabs>
        <w:rPr>
          <w:bCs/>
          <w:lang w:val="fr-FR"/>
        </w:rPr>
      </w:pPr>
      <w:r>
        <w:rPr>
          <w:bCs/>
          <w:lang w:val="fr-FR"/>
        </w:rPr>
        <w:t>20</w:t>
      </w:r>
      <w:r w:rsidR="00623404">
        <w:rPr>
          <w:bCs/>
          <w:lang w:val="fr-FR"/>
        </w:rPr>
        <w:t>2</w:t>
      </w:r>
      <w:r>
        <w:rPr>
          <w:bCs/>
          <w:lang w:val="fr-FR"/>
        </w:rPr>
        <w:t>.</w:t>
      </w:r>
      <w:r>
        <w:rPr>
          <w:bCs/>
          <w:lang w:val="fr-FR"/>
        </w:rPr>
        <w:tab/>
        <w:t xml:space="preserve">La division 105 de la </w:t>
      </w:r>
      <w:r w:rsidRPr="00927925">
        <w:rPr>
          <w:bCs/>
          <w:lang w:val="fr-FR"/>
        </w:rPr>
        <w:t>loi de 1995 sur le Code pénal</w:t>
      </w:r>
      <w:r>
        <w:rPr>
          <w:bCs/>
          <w:lang w:val="fr-FR"/>
        </w:rPr>
        <w:t xml:space="preserve"> (Code p</w:t>
      </w:r>
      <w:r w:rsidR="00927925">
        <w:rPr>
          <w:bCs/>
          <w:lang w:val="fr-FR"/>
        </w:rPr>
        <w:t>énal) habilite tout</w:t>
      </w:r>
      <w:r w:rsidR="00CF42B0">
        <w:rPr>
          <w:bCs/>
          <w:lang w:val="fr-FR"/>
        </w:rPr>
        <w:t xml:space="preserve"> fonctionnaire de haut rang de la </w:t>
      </w:r>
      <w:r w:rsidR="00397763">
        <w:rPr>
          <w:bCs/>
          <w:lang w:val="fr-FR"/>
        </w:rPr>
        <w:t>police fédérale australienne</w:t>
      </w:r>
      <w:r w:rsidR="00CF42B0">
        <w:rPr>
          <w:bCs/>
          <w:lang w:val="fr-FR"/>
        </w:rPr>
        <w:t xml:space="preserve"> à</w:t>
      </w:r>
      <w:r w:rsidR="00DC148D">
        <w:rPr>
          <w:bCs/>
          <w:lang w:val="fr-FR"/>
        </w:rPr>
        <w:t xml:space="preserve"> délivrer</w:t>
      </w:r>
      <w:r w:rsidR="00CF42B0">
        <w:rPr>
          <w:bCs/>
          <w:lang w:val="fr-FR"/>
        </w:rPr>
        <w:t xml:space="preserve"> une ordonnance de placement d’une personne en détention préventive pour 24 heures aux fins de la prévention d’un attentat terrori</w:t>
      </w:r>
      <w:r w:rsidR="00426761">
        <w:rPr>
          <w:bCs/>
          <w:lang w:val="fr-FR"/>
        </w:rPr>
        <w:t>ste imminent ou pour préserver d</w:t>
      </w:r>
      <w:r w:rsidR="00CF42B0">
        <w:rPr>
          <w:bCs/>
          <w:lang w:val="fr-FR"/>
        </w:rPr>
        <w:t>es éléments de preuve relatifs à un attentat terroriste réc</w:t>
      </w:r>
      <w:r w:rsidR="001269EF">
        <w:rPr>
          <w:bCs/>
          <w:lang w:val="fr-FR"/>
        </w:rPr>
        <w:t>ent</w:t>
      </w:r>
      <w:r w:rsidR="008D6B80">
        <w:rPr>
          <w:bCs/>
          <w:lang w:val="fr-FR"/>
        </w:rPr>
        <w:t xml:space="preserve">. </w:t>
      </w:r>
      <w:r w:rsidR="001269EF">
        <w:rPr>
          <w:bCs/>
          <w:lang w:val="fr-FR"/>
        </w:rPr>
        <w:t>Le Code pénal habilite toute</w:t>
      </w:r>
      <w:r w:rsidR="00CF42B0">
        <w:rPr>
          <w:bCs/>
          <w:lang w:val="fr-FR"/>
        </w:rPr>
        <w:t xml:space="preserve"> autorité</w:t>
      </w:r>
      <w:r w:rsidR="00901BBB">
        <w:rPr>
          <w:bCs/>
          <w:lang w:val="fr-FR"/>
        </w:rPr>
        <w:t xml:space="preserve"> ayant délivré une ordonnance – un </w:t>
      </w:r>
      <w:r w:rsidR="00EF157E">
        <w:rPr>
          <w:bCs/>
          <w:i/>
          <w:iCs/>
          <w:lang w:val="fr-FR"/>
        </w:rPr>
        <w:t>m</w:t>
      </w:r>
      <w:r w:rsidR="00901BBB">
        <w:rPr>
          <w:bCs/>
          <w:i/>
          <w:iCs/>
          <w:lang w:val="fr-FR"/>
        </w:rPr>
        <w:t>agistrate</w:t>
      </w:r>
      <w:r w:rsidR="00901BBB">
        <w:rPr>
          <w:bCs/>
          <w:lang w:val="fr-FR"/>
        </w:rPr>
        <w:t xml:space="preserve"> </w:t>
      </w:r>
      <w:r w:rsidR="00901BBB" w:rsidRPr="00901BBB">
        <w:rPr>
          <w:bCs/>
          <w:lang w:val="fr-FR"/>
        </w:rPr>
        <w:t>fédéral ou un</w:t>
      </w:r>
      <w:r w:rsidR="00572260">
        <w:rPr>
          <w:bCs/>
          <w:lang w:val="fr-FR"/>
        </w:rPr>
        <w:t xml:space="preserve"> </w:t>
      </w:r>
      <w:r w:rsidR="00901BBB" w:rsidRPr="00901BBB">
        <w:rPr>
          <w:bCs/>
          <w:lang w:val="fr-FR"/>
        </w:rPr>
        <w:t>juge</w:t>
      </w:r>
      <w:r w:rsidR="00901BBB">
        <w:rPr>
          <w:bCs/>
          <w:lang w:val="fr-FR"/>
        </w:rPr>
        <w:t xml:space="preserve"> qui a consenti à jouer ce rôle ou qui agit à titre personnel – à prolonger l’ordonnance de détention préventive de 24 heures.</w:t>
      </w:r>
    </w:p>
    <w:p w:rsidR="00901BBB" w:rsidRDefault="00572739" w:rsidP="005D7B68">
      <w:pPr>
        <w:tabs>
          <w:tab w:val="left" w:pos="567"/>
          <w:tab w:val="left" w:pos="1134"/>
          <w:tab w:val="left" w:pos="1701"/>
          <w:tab w:val="left" w:pos="2268"/>
        </w:tabs>
        <w:rPr>
          <w:bCs/>
          <w:lang w:val="fr-FR"/>
        </w:rPr>
      </w:pPr>
      <w:r>
        <w:rPr>
          <w:bCs/>
          <w:lang w:val="fr-FR"/>
        </w:rPr>
        <w:t>20</w:t>
      </w:r>
      <w:r w:rsidR="00623404">
        <w:rPr>
          <w:bCs/>
          <w:lang w:val="fr-FR"/>
        </w:rPr>
        <w:t>3</w:t>
      </w:r>
      <w:r>
        <w:rPr>
          <w:bCs/>
          <w:lang w:val="fr-FR"/>
        </w:rPr>
        <w:t>.</w:t>
      </w:r>
      <w:r>
        <w:rPr>
          <w:bCs/>
          <w:lang w:val="fr-FR"/>
        </w:rPr>
        <w:tab/>
        <w:t>Le cadre législatif</w:t>
      </w:r>
      <w:r w:rsidR="00901BBB">
        <w:rPr>
          <w:bCs/>
          <w:lang w:val="fr-FR"/>
        </w:rPr>
        <w:t xml:space="preserve"> comporte des prescriptions rigoureuses à respecter avant de pouvoir </w:t>
      </w:r>
      <w:r w:rsidR="00DC148D" w:rsidRPr="00DC148D">
        <w:rPr>
          <w:bCs/>
          <w:lang w:val="fr-FR"/>
        </w:rPr>
        <w:t>délivrer</w:t>
      </w:r>
      <w:r w:rsidR="00901BBB" w:rsidRPr="00DC148D">
        <w:rPr>
          <w:bCs/>
          <w:lang w:val="fr-FR"/>
        </w:rPr>
        <w:t xml:space="preserve"> u</w:t>
      </w:r>
      <w:r w:rsidR="00901BBB">
        <w:rPr>
          <w:bCs/>
          <w:lang w:val="fr-FR"/>
        </w:rPr>
        <w:t>ne ordonnance de placement en détention préventive et des garanties destinées à assurer que les détenus soient traités correctement.</w:t>
      </w:r>
    </w:p>
    <w:p w:rsidR="0049277A" w:rsidRDefault="00623404" w:rsidP="005D7B68">
      <w:pPr>
        <w:tabs>
          <w:tab w:val="left" w:pos="567"/>
          <w:tab w:val="left" w:pos="1134"/>
          <w:tab w:val="left" w:pos="1701"/>
          <w:tab w:val="left" w:pos="2268"/>
        </w:tabs>
        <w:rPr>
          <w:bCs/>
          <w:lang w:val="fr-FR"/>
        </w:rPr>
      </w:pPr>
      <w:r>
        <w:rPr>
          <w:bCs/>
          <w:lang w:val="fr-FR"/>
        </w:rPr>
        <w:t>204</w:t>
      </w:r>
      <w:r w:rsidR="00901BBB">
        <w:rPr>
          <w:bCs/>
          <w:lang w:val="fr-FR"/>
        </w:rPr>
        <w:t>.</w:t>
      </w:r>
      <w:r w:rsidR="00901BBB">
        <w:rPr>
          <w:bCs/>
          <w:lang w:val="fr-FR"/>
        </w:rPr>
        <w:tab/>
        <w:t xml:space="preserve">La détention préventive est supervisée par un membre de haut rang de la </w:t>
      </w:r>
      <w:r w:rsidR="00397763">
        <w:rPr>
          <w:bCs/>
          <w:lang w:val="fr-FR"/>
        </w:rPr>
        <w:t>police fédérale australienne</w:t>
      </w:r>
      <w:r w:rsidR="00901BBB">
        <w:rPr>
          <w:bCs/>
          <w:lang w:val="fr-FR"/>
        </w:rPr>
        <w:t>, qui est nommé pour</w:t>
      </w:r>
      <w:r w:rsidR="0049277A">
        <w:rPr>
          <w:bCs/>
          <w:lang w:val="fr-FR"/>
        </w:rPr>
        <w:t xml:space="preserve"> surveiller l’exercice des pouvoirs et le respect des obligations conférés par cette ordonnance</w:t>
      </w:r>
      <w:r w:rsidR="008D6B80">
        <w:rPr>
          <w:bCs/>
          <w:lang w:val="fr-FR"/>
        </w:rPr>
        <w:t xml:space="preserve">. </w:t>
      </w:r>
      <w:r w:rsidR="0049277A">
        <w:rPr>
          <w:bCs/>
          <w:lang w:val="fr-FR"/>
        </w:rPr>
        <w:t>Il est interdit de questionner une personne placée en détention préventive à d’autres fins que de vérifier son identité et de veiller à sa santé et à son bien-être.</w:t>
      </w:r>
    </w:p>
    <w:p w:rsidR="0049277A" w:rsidRDefault="00623404" w:rsidP="005D7B68">
      <w:pPr>
        <w:tabs>
          <w:tab w:val="left" w:pos="567"/>
          <w:tab w:val="left" w:pos="1134"/>
          <w:tab w:val="left" w:pos="1701"/>
          <w:tab w:val="left" w:pos="2268"/>
        </w:tabs>
        <w:rPr>
          <w:bCs/>
          <w:lang w:val="fr-FR"/>
        </w:rPr>
      </w:pPr>
      <w:r>
        <w:rPr>
          <w:bCs/>
          <w:lang w:val="fr-FR"/>
        </w:rPr>
        <w:t>205</w:t>
      </w:r>
      <w:r w:rsidR="0049277A">
        <w:rPr>
          <w:bCs/>
          <w:lang w:val="fr-FR"/>
        </w:rPr>
        <w:t>.</w:t>
      </w:r>
      <w:r w:rsidR="0049277A">
        <w:rPr>
          <w:bCs/>
          <w:lang w:val="fr-FR"/>
        </w:rPr>
        <w:tab/>
      </w:r>
      <w:r w:rsidR="007C74C5">
        <w:rPr>
          <w:bCs/>
          <w:lang w:val="fr-FR"/>
        </w:rPr>
        <w:t xml:space="preserve">Tout détenu a </w:t>
      </w:r>
      <w:r w:rsidR="004B0B8E">
        <w:rPr>
          <w:bCs/>
          <w:lang w:val="fr-FR"/>
        </w:rPr>
        <w:t>le droit d’</w:t>
      </w:r>
      <w:r w:rsidR="007C74C5">
        <w:rPr>
          <w:bCs/>
          <w:lang w:val="fr-FR"/>
        </w:rPr>
        <w:t xml:space="preserve">avoir une copie de l’ordonnance initiale et de l’ordonnance de prolongation, qui doit comporter un résumé des motifs pour lesquels elle a été </w:t>
      </w:r>
      <w:r w:rsidR="00DC148D" w:rsidRPr="00DC148D">
        <w:rPr>
          <w:bCs/>
          <w:lang w:val="fr-FR"/>
        </w:rPr>
        <w:t>délivrée</w:t>
      </w:r>
      <w:r w:rsidR="008D6B80">
        <w:rPr>
          <w:bCs/>
          <w:lang w:val="fr-FR"/>
        </w:rPr>
        <w:t xml:space="preserve">. </w:t>
      </w:r>
      <w:r w:rsidR="007C74C5">
        <w:rPr>
          <w:bCs/>
          <w:lang w:val="fr-FR"/>
        </w:rPr>
        <w:t>Il doit en outre être informé de la durée et de</w:t>
      </w:r>
      <w:r w:rsidR="00DC148D">
        <w:rPr>
          <w:bCs/>
          <w:lang w:val="fr-FR"/>
        </w:rPr>
        <w:t>s conditions</w:t>
      </w:r>
      <w:r w:rsidR="007C74C5">
        <w:rPr>
          <w:bCs/>
          <w:lang w:val="fr-FR"/>
        </w:rPr>
        <w:t xml:space="preserve"> de la détention préventive et de ses droits concernant l’accès aux mé</w:t>
      </w:r>
      <w:r w:rsidR="00A30DA4">
        <w:rPr>
          <w:bCs/>
          <w:lang w:val="fr-FR"/>
        </w:rPr>
        <w:t>canismes de dépôt de plainte, ainsi que d</w:t>
      </w:r>
      <w:r w:rsidR="00D230F8">
        <w:rPr>
          <w:bCs/>
          <w:lang w:val="fr-FR"/>
        </w:rPr>
        <w:t>es possibilités de recours judiciaires ou autres contre cette ordonnance.</w:t>
      </w:r>
    </w:p>
    <w:p w:rsidR="00D230F8" w:rsidRDefault="00623404" w:rsidP="005D7B68">
      <w:pPr>
        <w:tabs>
          <w:tab w:val="left" w:pos="567"/>
          <w:tab w:val="left" w:pos="1134"/>
          <w:tab w:val="left" w:pos="1701"/>
          <w:tab w:val="left" w:pos="2268"/>
        </w:tabs>
        <w:rPr>
          <w:bCs/>
          <w:lang w:val="fr-FR"/>
        </w:rPr>
      </w:pPr>
      <w:r>
        <w:rPr>
          <w:bCs/>
          <w:lang w:val="fr-FR"/>
        </w:rPr>
        <w:t>206</w:t>
      </w:r>
      <w:r w:rsidR="00D230F8">
        <w:rPr>
          <w:bCs/>
          <w:lang w:val="fr-FR"/>
        </w:rPr>
        <w:t>.</w:t>
      </w:r>
      <w:r w:rsidR="00D230F8">
        <w:rPr>
          <w:bCs/>
          <w:lang w:val="fr-FR"/>
        </w:rPr>
        <w:tab/>
        <w:t>Toute personne placée en détention préventive peut exercer un recours auprès d’un tribunal fédéral ou porter plainte auprè</w:t>
      </w:r>
      <w:r w:rsidR="00EF157E">
        <w:rPr>
          <w:bCs/>
          <w:lang w:val="fr-FR"/>
        </w:rPr>
        <w:t>s du Médiateur du Commonwealth (ou les deux)</w:t>
      </w:r>
      <w:r w:rsidR="00D230F8">
        <w:rPr>
          <w:bCs/>
          <w:lang w:val="fr-FR"/>
        </w:rPr>
        <w:t xml:space="preserve"> contre l’ordo</w:t>
      </w:r>
      <w:r w:rsidR="00D81E44">
        <w:rPr>
          <w:bCs/>
          <w:lang w:val="fr-FR"/>
        </w:rPr>
        <w:t>nnance y afférente</w:t>
      </w:r>
      <w:r w:rsidR="00D230F8">
        <w:rPr>
          <w:bCs/>
          <w:lang w:val="fr-FR"/>
        </w:rPr>
        <w:t xml:space="preserve"> et au sujet du traitement d</w:t>
      </w:r>
      <w:r w:rsidR="00C82760">
        <w:rPr>
          <w:bCs/>
          <w:lang w:val="fr-FR"/>
        </w:rPr>
        <w:t>ont elle fait l’objet en exécution</w:t>
      </w:r>
      <w:r w:rsidR="00D230F8">
        <w:rPr>
          <w:bCs/>
          <w:lang w:val="fr-FR"/>
        </w:rPr>
        <w:t xml:space="preserve"> de cette ordonnance</w:t>
      </w:r>
      <w:r w:rsidR="008D6B80">
        <w:rPr>
          <w:bCs/>
          <w:lang w:val="fr-FR"/>
        </w:rPr>
        <w:t xml:space="preserve">. </w:t>
      </w:r>
      <w:r w:rsidR="00D230F8">
        <w:rPr>
          <w:bCs/>
          <w:lang w:val="fr-FR"/>
        </w:rPr>
        <w:t xml:space="preserve">Elle peut protester auprès d’un membre de haut grade de la </w:t>
      </w:r>
      <w:r w:rsidR="00397763">
        <w:rPr>
          <w:bCs/>
          <w:lang w:val="fr-FR"/>
        </w:rPr>
        <w:t>police fédérale australienne</w:t>
      </w:r>
      <w:r w:rsidR="00D230F8">
        <w:rPr>
          <w:bCs/>
          <w:lang w:val="fr-FR"/>
        </w:rPr>
        <w:t xml:space="preserve"> en vue de faire annuler l’ordonnance et porter plainte auprès d’une autorité compétente d’un État ou d’un Territoire</w:t>
      </w:r>
      <w:r w:rsidR="002A0FA8">
        <w:rPr>
          <w:bCs/>
          <w:lang w:val="fr-FR"/>
        </w:rPr>
        <w:t xml:space="preserve"> au sujet du t</w:t>
      </w:r>
      <w:r w:rsidR="00C41338">
        <w:rPr>
          <w:bCs/>
          <w:lang w:val="fr-FR"/>
        </w:rPr>
        <w:t xml:space="preserve">raitement auquel elle est soumise par </w:t>
      </w:r>
      <w:r w:rsidR="00EF157E">
        <w:rPr>
          <w:bCs/>
          <w:lang w:val="fr-FR"/>
        </w:rPr>
        <w:t>un membre de la police d’un É</w:t>
      </w:r>
      <w:r w:rsidR="002A0FA8">
        <w:rPr>
          <w:bCs/>
          <w:lang w:val="fr-FR"/>
        </w:rPr>
        <w:t>tat ou d’un Territoire dans le cadre de sa détention.</w:t>
      </w:r>
    </w:p>
    <w:p w:rsidR="002A0FA8" w:rsidRDefault="00260FF1" w:rsidP="005D7B68">
      <w:pPr>
        <w:tabs>
          <w:tab w:val="left" w:pos="567"/>
          <w:tab w:val="left" w:pos="1134"/>
          <w:tab w:val="left" w:pos="1701"/>
          <w:tab w:val="left" w:pos="2268"/>
        </w:tabs>
        <w:rPr>
          <w:bCs/>
          <w:lang w:val="fr-FR"/>
        </w:rPr>
      </w:pPr>
      <w:r>
        <w:rPr>
          <w:bCs/>
          <w:lang w:val="fr-FR"/>
        </w:rPr>
        <w:t>207</w:t>
      </w:r>
      <w:r w:rsidR="002A0FA8">
        <w:rPr>
          <w:bCs/>
          <w:lang w:val="fr-FR"/>
        </w:rPr>
        <w:t>.</w:t>
      </w:r>
      <w:r w:rsidR="002A0FA8">
        <w:rPr>
          <w:bCs/>
          <w:lang w:val="fr-FR"/>
        </w:rPr>
        <w:tab/>
      </w:r>
      <w:r w:rsidR="004543AD">
        <w:rPr>
          <w:bCs/>
          <w:lang w:val="fr-FR"/>
        </w:rPr>
        <w:t xml:space="preserve">Le Code pénal dispose qu’un détenu doit </w:t>
      </w:r>
      <w:r w:rsidR="0096520E">
        <w:rPr>
          <w:bCs/>
          <w:lang w:val="fr-FR"/>
        </w:rPr>
        <w:t xml:space="preserve">être traité avec humanité dans </w:t>
      </w:r>
      <w:r w:rsidR="00EF157E">
        <w:rPr>
          <w:bCs/>
          <w:lang w:val="fr-FR"/>
        </w:rPr>
        <w:t xml:space="preserve">le </w:t>
      </w:r>
      <w:r w:rsidR="0096520E">
        <w:rPr>
          <w:bCs/>
          <w:lang w:val="fr-FR"/>
        </w:rPr>
        <w:t>respect de l</w:t>
      </w:r>
      <w:r w:rsidR="004543AD">
        <w:rPr>
          <w:bCs/>
          <w:lang w:val="fr-FR"/>
        </w:rPr>
        <w:t>a dignité humaine et ne doit pas être soumis à des traitements cruels, inhumains ou dégradants</w:t>
      </w:r>
      <w:r w:rsidR="008D6B80">
        <w:rPr>
          <w:bCs/>
          <w:lang w:val="fr-FR"/>
        </w:rPr>
        <w:t xml:space="preserve">. </w:t>
      </w:r>
      <w:r w:rsidR="00D42D71">
        <w:rPr>
          <w:bCs/>
          <w:lang w:val="fr-FR"/>
        </w:rPr>
        <w:t>Il </w:t>
      </w:r>
      <w:r w:rsidR="004543AD">
        <w:rPr>
          <w:bCs/>
          <w:lang w:val="fr-FR"/>
        </w:rPr>
        <w:t xml:space="preserve">doit avoir la possibilité de contacter un </w:t>
      </w:r>
      <w:r w:rsidR="00D81E44">
        <w:rPr>
          <w:bCs/>
          <w:lang w:val="fr-FR"/>
        </w:rPr>
        <w:t>avocat, et a le droit d’avertir</w:t>
      </w:r>
      <w:r w:rsidR="004543AD">
        <w:rPr>
          <w:bCs/>
          <w:lang w:val="fr-FR"/>
        </w:rPr>
        <w:t xml:space="preserve"> un membre de sa famille et toute autre personne</w:t>
      </w:r>
      <w:r w:rsidR="00D81E44">
        <w:rPr>
          <w:bCs/>
          <w:lang w:val="fr-FR"/>
        </w:rPr>
        <w:t xml:space="preserve"> spécifiée</w:t>
      </w:r>
      <w:r w:rsidR="008D6B80">
        <w:rPr>
          <w:bCs/>
          <w:lang w:val="fr-FR"/>
        </w:rPr>
        <w:t xml:space="preserve">. </w:t>
      </w:r>
      <w:r w:rsidR="004543AD">
        <w:rPr>
          <w:bCs/>
          <w:lang w:val="fr-FR"/>
        </w:rPr>
        <w:t>Tout détenu a</w:t>
      </w:r>
      <w:r w:rsidR="0035648C">
        <w:rPr>
          <w:bCs/>
          <w:lang w:val="fr-FR"/>
        </w:rPr>
        <w:t xml:space="preserve"> le droit d’</w:t>
      </w:r>
      <w:r w:rsidR="004543AD">
        <w:rPr>
          <w:bCs/>
          <w:lang w:val="fr-FR"/>
        </w:rPr>
        <w:t>avoir recours à un interprète s’il a du mal à parler ou à comprendre l’anglais.</w:t>
      </w:r>
    </w:p>
    <w:p w:rsidR="004543AD" w:rsidRDefault="004543AD" w:rsidP="005D7B68">
      <w:pPr>
        <w:tabs>
          <w:tab w:val="left" w:pos="567"/>
          <w:tab w:val="left" w:pos="1134"/>
          <w:tab w:val="left" w:pos="1701"/>
          <w:tab w:val="left" w:pos="2268"/>
        </w:tabs>
        <w:rPr>
          <w:bCs/>
          <w:lang w:val="fr-FR"/>
        </w:rPr>
      </w:pPr>
      <w:r>
        <w:rPr>
          <w:bCs/>
          <w:lang w:val="fr-FR"/>
        </w:rPr>
        <w:t>20</w:t>
      </w:r>
      <w:r w:rsidR="00260FF1">
        <w:rPr>
          <w:bCs/>
          <w:lang w:val="fr-FR"/>
        </w:rPr>
        <w:t>8</w:t>
      </w:r>
      <w:r>
        <w:rPr>
          <w:bCs/>
          <w:lang w:val="fr-FR"/>
        </w:rPr>
        <w:t>.</w:t>
      </w:r>
      <w:r>
        <w:rPr>
          <w:bCs/>
          <w:lang w:val="fr-FR"/>
        </w:rPr>
        <w:tab/>
        <w:t>La détention préventive ne s’applique pas aux personnes âgées de moins de 16 ans et le Code pénal comporte des garanties supplémentaires pour les personnes âgées de 16 à 18 ans</w:t>
      </w:r>
      <w:r w:rsidR="00765C1A">
        <w:rPr>
          <w:bCs/>
          <w:lang w:val="fr-FR"/>
        </w:rPr>
        <w:t xml:space="preserve"> et celles qui sont</w:t>
      </w:r>
      <w:r>
        <w:rPr>
          <w:bCs/>
          <w:lang w:val="fr-FR"/>
        </w:rPr>
        <w:t xml:space="preserve"> incapables </w:t>
      </w:r>
      <w:r w:rsidR="00513F4F">
        <w:rPr>
          <w:bCs/>
          <w:lang w:val="fr-FR"/>
        </w:rPr>
        <w:t>de gérer leur</w:t>
      </w:r>
      <w:r w:rsidR="00D81E44">
        <w:rPr>
          <w:bCs/>
          <w:lang w:val="fr-FR"/>
        </w:rPr>
        <w:t>s propres affaires, à savoir le droit de prendre contact avec leurs parents ou</w:t>
      </w:r>
      <w:r w:rsidR="00513F4F">
        <w:rPr>
          <w:bCs/>
          <w:lang w:val="fr-FR"/>
        </w:rPr>
        <w:t xml:space="preserve"> tuteur</w:t>
      </w:r>
      <w:r w:rsidR="007F61AA">
        <w:rPr>
          <w:bCs/>
          <w:lang w:val="fr-FR"/>
        </w:rPr>
        <w:t>s et d’être incarcéré</w:t>
      </w:r>
      <w:r w:rsidR="0066730C">
        <w:rPr>
          <w:bCs/>
          <w:lang w:val="fr-FR"/>
        </w:rPr>
        <w:t>es</w:t>
      </w:r>
      <w:r w:rsidR="00513F4F">
        <w:rPr>
          <w:bCs/>
          <w:lang w:val="fr-FR"/>
        </w:rPr>
        <w:t xml:space="preserve"> à l’écart des adultes.</w:t>
      </w:r>
    </w:p>
    <w:p w:rsidR="00513F4F" w:rsidRDefault="00513F4F" w:rsidP="005D7B68">
      <w:pPr>
        <w:tabs>
          <w:tab w:val="left" w:pos="567"/>
          <w:tab w:val="left" w:pos="1134"/>
          <w:tab w:val="left" w:pos="1701"/>
          <w:tab w:val="left" w:pos="2268"/>
        </w:tabs>
        <w:rPr>
          <w:bCs/>
          <w:lang w:val="fr-FR"/>
        </w:rPr>
      </w:pPr>
      <w:r>
        <w:rPr>
          <w:bCs/>
          <w:lang w:val="fr-FR"/>
        </w:rPr>
        <w:t>20</w:t>
      </w:r>
      <w:r w:rsidR="00260FF1">
        <w:rPr>
          <w:bCs/>
          <w:lang w:val="fr-FR"/>
        </w:rPr>
        <w:t>9</w:t>
      </w:r>
      <w:r>
        <w:rPr>
          <w:bCs/>
          <w:lang w:val="fr-FR"/>
        </w:rPr>
        <w:t>.</w:t>
      </w:r>
      <w:r>
        <w:rPr>
          <w:bCs/>
          <w:lang w:val="fr-FR"/>
        </w:rPr>
        <w:tab/>
      </w:r>
      <w:r w:rsidR="0096520E">
        <w:rPr>
          <w:bCs/>
          <w:lang w:val="fr-FR"/>
        </w:rPr>
        <w:t>Tout fonctionnaire qui ne respecte pas les garanties énoncées dans le Code pénal, dont l’obligation de traiter les détenus avec humanité dans le respect de la dignité humaine et l’interdiction</w:t>
      </w:r>
      <w:r w:rsidR="009133E7">
        <w:rPr>
          <w:bCs/>
          <w:lang w:val="fr-FR"/>
        </w:rPr>
        <w:t xml:space="preserve"> des traitements cruels, inhumains ou dégradants, commet une infraction passible d’un maximum de deux ans d’emprisonnement.</w:t>
      </w:r>
    </w:p>
    <w:p w:rsidR="008F1D37" w:rsidRDefault="00260FF1" w:rsidP="005D7B68">
      <w:pPr>
        <w:tabs>
          <w:tab w:val="left" w:pos="567"/>
          <w:tab w:val="left" w:pos="1134"/>
          <w:tab w:val="left" w:pos="1701"/>
          <w:tab w:val="left" w:pos="2268"/>
        </w:tabs>
        <w:rPr>
          <w:bCs/>
          <w:lang w:val="fr-FR"/>
        </w:rPr>
      </w:pPr>
      <w:r>
        <w:rPr>
          <w:bCs/>
          <w:lang w:val="fr-FR"/>
        </w:rPr>
        <w:t>210</w:t>
      </w:r>
      <w:r w:rsidR="008F1D37">
        <w:rPr>
          <w:bCs/>
          <w:lang w:val="fr-FR"/>
        </w:rPr>
        <w:t>.</w:t>
      </w:r>
      <w:r w:rsidR="008F1D37">
        <w:rPr>
          <w:bCs/>
          <w:lang w:val="fr-FR"/>
        </w:rPr>
        <w:tab/>
        <w:t>L’</w:t>
      </w:r>
      <w:r w:rsidR="008E1139" w:rsidRPr="008E1139">
        <w:rPr>
          <w:bCs/>
          <w:lang w:val="fr-FR"/>
        </w:rPr>
        <w:t>Attorney général</w:t>
      </w:r>
      <w:r w:rsidR="008F1D37">
        <w:rPr>
          <w:bCs/>
          <w:lang w:val="fr-FR"/>
        </w:rPr>
        <w:t xml:space="preserve"> doit remettre un rapport annuel au Parlement sur l’exercice des pouvoirs relatifs à la détention préventive, indiquant, entre autres, le nombre d’ordonnances </w:t>
      </w:r>
      <w:r w:rsidR="00B17983" w:rsidRPr="00B17983">
        <w:rPr>
          <w:bCs/>
          <w:lang w:val="fr-FR"/>
        </w:rPr>
        <w:t>délivrées</w:t>
      </w:r>
      <w:r w:rsidR="008F1D37" w:rsidRPr="00B17983">
        <w:rPr>
          <w:bCs/>
          <w:lang w:val="fr-FR"/>
        </w:rPr>
        <w:t xml:space="preserve"> </w:t>
      </w:r>
      <w:r w:rsidR="008F1D37">
        <w:rPr>
          <w:bCs/>
          <w:lang w:val="fr-FR"/>
        </w:rPr>
        <w:t>(le cas échéant), la durée de la détention et les détails concernant les plaintes déposées auprès du Médiateur fédéral à l’égard de l’exercice de ces pouvoirs.</w:t>
      </w:r>
    </w:p>
    <w:p w:rsidR="008F1D37" w:rsidRDefault="00260FF1" w:rsidP="005D7B68">
      <w:pPr>
        <w:tabs>
          <w:tab w:val="left" w:pos="567"/>
          <w:tab w:val="left" w:pos="1134"/>
          <w:tab w:val="left" w:pos="1701"/>
          <w:tab w:val="left" w:pos="2268"/>
        </w:tabs>
        <w:rPr>
          <w:bCs/>
          <w:lang w:val="fr-FR"/>
        </w:rPr>
      </w:pPr>
      <w:r>
        <w:rPr>
          <w:bCs/>
          <w:lang w:val="fr-FR"/>
        </w:rPr>
        <w:t>211</w:t>
      </w:r>
      <w:r w:rsidR="008F1D37">
        <w:rPr>
          <w:bCs/>
          <w:lang w:val="fr-FR"/>
        </w:rPr>
        <w:t>.</w:t>
      </w:r>
      <w:r w:rsidR="008F1D37">
        <w:rPr>
          <w:bCs/>
          <w:lang w:val="fr-FR"/>
        </w:rPr>
        <w:tab/>
        <w:t>Aucune ordonnance de placement en détention préventive n’a été délivrée depuis la promulgation de ces lois en 2005.</w:t>
      </w:r>
      <w:r w:rsidR="008F1D37">
        <w:rPr>
          <w:bCs/>
          <w:lang w:val="fr-FR"/>
        </w:rPr>
        <w:tab/>
      </w:r>
    </w:p>
    <w:p w:rsidR="0083329B" w:rsidRDefault="0083329B" w:rsidP="005B7D04">
      <w:pPr>
        <w:tabs>
          <w:tab w:val="left" w:pos="567"/>
          <w:tab w:val="left" w:pos="1134"/>
          <w:tab w:val="left" w:pos="1701"/>
          <w:tab w:val="left" w:pos="2268"/>
        </w:tabs>
        <w:rPr>
          <w:b/>
          <w:lang w:val="fr-FR"/>
        </w:rPr>
      </w:pPr>
      <w:r>
        <w:rPr>
          <w:b/>
          <w:lang w:val="fr-FR"/>
        </w:rPr>
        <w:t>Ordonnances de contrôle</w:t>
      </w:r>
    </w:p>
    <w:p w:rsidR="0083329B" w:rsidRDefault="00260FF1" w:rsidP="005B7D04">
      <w:pPr>
        <w:tabs>
          <w:tab w:val="left" w:pos="567"/>
          <w:tab w:val="left" w:pos="1134"/>
          <w:tab w:val="left" w:pos="1701"/>
          <w:tab w:val="left" w:pos="2268"/>
        </w:tabs>
        <w:rPr>
          <w:bCs/>
          <w:lang w:val="fr-FR"/>
        </w:rPr>
      </w:pPr>
      <w:r>
        <w:rPr>
          <w:bCs/>
          <w:lang w:val="fr-FR"/>
        </w:rPr>
        <w:t>212</w:t>
      </w:r>
      <w:r w:rsidR="0083329B">
        <w:rPr>
          <w:bCs/>
          <w:lang w:val="fr-FR"/>
        </w:rPr>
        <w:t>.</w:t>
      </w:r>
      <w:r w:rsidR="0083329B">
        <w:rPr>
          <w:bCs/>
          <w:lang w:val="fr-FR"/>
        </w:rPr>
        <w:tab/>
        <w:t xml:space="preserve">La division 104 de la </w:t>
      </w:r>
      <w:r w:rsidR="0083329B" w:rsidRPr="00EF157E">
        <w:rPr>
          <w:bCs/>
          <w:lang w:val="fr-FR"/>
        </w:rPr>
        <w:t>loi sur le Code pénal</w:t>
      </w:r>
      <w:r w:rsidR="00981AEA">
        <w:rPr>
          <w:bCs/>
          <w:lang w:val="fr-FR"/>
        </w:rPr>
        <w:t xml:space="preserve"> (Code pénal) autorise tout</w:t>
      </w:r>
      <w:r w:rsidR="0083329B">
        <w:rPr>
          <w:bCs/>
          <w:lang w:val="fr-FR"/>
        </w:rPr>
        <w:t xml:space="preserve"> membre gradé de la </w:t>
      </w:r>
      <w:r w:rsidR="00397763">
        <w:rPr>
          <w:bCs/>
          <w:lang w:val="fr-FR"/>
        </w:rPr>
        <w:t>police fédérale australienne</w:t>
      </w:r>
      <w:r w:rsidR="0083329B">
        <w:rPr>
          <w:bCs/>
          <w:lang w:val="fr-FR"/>
        </w:rPr>
        <w:t xml:space="preserve"> à solliciter une </w:t>
      </w:r>
      <w:r w:rsidR="0083329B" w:rsidRPr="00DC148D">
        <w:rPr>
          <w:bCs/>
          <w:lang w:val="fr-FR"/>
        </w:rPr>
        <w:t>ordonnance de contrôle</w:t>
      </w:r>
      <w:r w:rsidR="00EE6B74" w:rsidRPr="00DC148D">
        <w:rPr>
          <w:bCs/>
          <w:lang w:val="fr-FR"/>
        </w:rPr>
        <w:t xml:space="preserve"> d’</w:t>
      </w:r>
      <w:r w:rsidR="00DC148D" w:rsidRPr="00DC148D">
        <w:rPr>
          <w:bCs/>
          <w:lang w:val="fr-FR"/>
        </w:rPr>
        <w:t>urgence</w:t>
      </w:r>
      <w:r w:rsidR="00EE6B74">
        <w:rPr>
          <w:bCs/>
          <w:color w:val="0000FF"/>
          <w:lang w:val="fr-FR"/>
        </w:rPr>
        <w:t xml:space="preserve"> </w:t>
      </w:r>
      <w:r w:rsidR="00EE6B74">
        <w:rPr>
          <w:bCs/>
          <w:lang w:val="fr-FR"/>
        </w:rPr>
        <w:t>si cela peut fortement contribuer à prévenir un acte terroriste, ou dans le cas où une personne a donné ou reçu une formation dans le cadre d’une organisation terroriste, et si chacune des conditions imposées par cette ordonnance est raisonnablement nécessaire, appropriée et adaptée aux fins de la protection du public contre un attentat terroriste</w:t>
      </w:r>
      <w:r w:rsidR="008D6B80">
        <w:rPr>
          <w:bCs/>
          <w:lang w:val="fr-FR"/>
        </w:rPr>
        <w:t xml:space="preserve">. </w:t>
      </w:r>
      <w:r w:rsidR="00EE6B74">
        <w:rPr>
          <w:bCs/>
          <w:lang w:val="fr-FR"/>
        </w:rPr>
        <w:t>Les ordonnances de contrôle ne constituent pas une alternative à l’arrestation et à l’inculpation si cette procédure est possible.</w:t>
      </w:r>
    </w:p>
    <w:p w:rsidR="00EE6B74" w:rsidRDefault="00EE6B74" w:rsidP="005D7B68">
      <w:pPr>
        <w:tabs>
          <w:tab w:val="left" w:pos="567"/>
          <w:tab w:val="left" w:pos="1134"/>
          <w:tab w:val="left" w:pos="1701"/>
          <w:tab w:val="left" w:pos="2268"/>
        </w:tabs>
        <w:rPr>
          <w:bCs/>
          <w:lang w:val="fr-FR"/>
        </w:rPr>
      </w:pPr>
      <w:r>
        <w:rPr>
          <w:bCs/>
          <w:lang w:val="fr-FR"/>
        </w:rPr>
        <w:t>21</w:t>
      </w:r>
      <w:r w:rsidR="00260FF1">
        <w:rPr>
          <w:bCs/>
          <w:lang w:val="fr-FR"/>
        </w:rPr>
        <w:t>3</w:t>
      </w:r>
      <w:r>
        <w:rPr>
          <w:bCs/>
          <w:lang w:val="fr-FR"/>
        </w:rPr>
        <w:t>.</w:t>
      </w:r>
      <w:r>
        <w:rPr>
          <w:bCs/>
          <w:lang w:val="fr-FR"/>
        </w:rPr>
        <w:tab/>
      </w:r>
      <w:r w:rsidR="00153457">
        <w:rPr>
          <w:bCs/>
          <w:lang w:val="fr-FR"/>
        </w:rPr>
        <w:t xml:space="preserve">Ce cadre législatif comprend un certain nombre de garanties visant </w:t>
      </w:r>
      <w:r w:rsidR="00EF157E">
        <w:rPr>
          <w:bCs/>
          <w:lang w:val="fr-FR"/>
        </w:rPr>
        <w:t>à faire en</w:t>
      </w:r>
      <w:r w:rsidR="00153457">
        <w:rPr>
          <w:bCs/>
          <w:lang w:val="fr-FR"/>
        </w:rPr>
        <w:t xml:space="preserve"> sorte que les personnes soient traitées dans le respect de leurs droits juridiques.</w:t>
      </w:r>
    </w:p>
    <w:p w:rsidR="00153457" w:rsidRDefault="00260FF1" w:rsidP="005D7B68">
      <w:pPr>
        <w:tabs>
          <w:tab w:val="left" w:pos="567"/>
          <w:tab w:val="left" w:pos="1134"/>
          <w:tab w:val="left" w:pos="1701"/>
          <w:tab w:val="left" w:pos="2268"/>
        </w:tabs>
        <w:rPr>
          <w:bCs/>
          <w:lang w:val="fr-FR"/>
        </w:rPr>
      </w:pPr>
      <w:r>
        <w:rPr>
          <w:bCs/>
          <w:lang w:val="fr-FR"/>
        </w:rPr>
        <w:t>214</w:t>
      </w:r>
      <w:r w:rsidR="00153457">
        <w:rPr>
          <w:bCs/>
          <w:lang w:val="fr-FR"/>
        </w:rPr>
        <w:t>.</w:t>
      </w:r>
      <w:r w:rsidR="00153457">
        <w:rPr>
          <w:bCs/>
          <w:lang w:val="fr-FR"/>
        </w:rPr>
        <w:tab/>
      </w:r>
      <w:r w:rsidR="00E05CBF">
        <w:rPr>
          <w:bCs/>
          <w:lang w:val="fr-FR"/>
        </w:rPr>
        <w:t>Toute demande d’une ordonnance de contrôle doit obtenir l’accord de l’</w:t>
      </w:r>
      <w:r w:rsidR="008E1139" w:rsidRPr="008E1139">
        <w:rPr>
          <w:bCs/>
          <w:lang w:val="fr-FR"/>
        </w:rPr>
        <w:t>Attorney général</w:t>
      </w:r>
      <w:r w:rsidR="00E05CBF">
        <w:rPr>
          <w:bCs/>
          <w:lang w:val="fr-FR"/>
        </w:rPr>
        <w:t xml:space="preserve"> et doit être délivrée par un tribunal</w:t>
      </w:r>
      <w:r w:rsidR="008D6B80">
        <w:rPr>
          <w:bCs/>
          <w:lang w:val="fr-FR"/>
        </w:rPr>
        <w:t xml:space="preserve">. </w:t>
      </w:r>
      <w:r w:rsidR="00E05CBF">
        <w:rPr>
          <w:bCs/>
          <w:lang w:val="fr-FR"/>
        </w:rPr>
        <w:t>La d</w:t>
      </w:r>
      <w:r w:rsidR="00765C1A">
        <w:rPr>
          <w:bCs/>
          <w:lang w:val="fr-FR"/>
        </w:rPr>
        <w:t>urée de ces ordonnances</w:t>
      </w:r>
      <w:r w:rsidR="00E05CBF">
        <w:rPr>
          <w:bCs/>
          <w:lang w:val="fr-FR"/>
        </w:rPr>
        <w:t xml:space="preserve"> ne doit </w:t>
      </w:r>
      <w:r w:rsidR="0080457F">
        <w:rPr>
          <w:bCs/>
          <w:lang w:val="fr-FR"/>
        </w:rPr>
        <w:t xml:space="preserve">pas </w:t>
      </w:r>
      <w:r w:rsidR="00E05CBF">
        <w:rPr>
          <w:bCs/>
          <w:lang w:val="fr-FR"/>
        </w:rPr>
        <w:t xml:space="preserve">dépasser </w:t>
      </w:r>
      <w:r w:rsidR="00D42D71">
        <w:rPr>
          <w:bCs/>
          <w:lang w:val="fr-FR"/>
        </w:rPr>
        <w:t>douze </w:t>
      </w:r>
      <w:r w:rsidR="00E05CBF">
        <w:rPr>
          <w:bCs/>
          <w:lang w:val="fr-FR"/>
        </w:rPr>
        <w:t>mois, ou trois mois pour les personnes âgées de 16 à 18 ans</w:t>
      </w:r>
      <w:r w:rsidR="008D6B80">
        <w:rPr>
          <w:bCs/>
          <w:lang w:val="fr-FR"/>
        </w:rPr>
        <w:t xml:space="preserve">. </w:t>
      </w:r>
      <w:r w:rsidR="00E05CBF">
        <w:rPr>
          <w:bCs/>
          <w:lang w:val="fr-FR"/>
        </w:rPr>
        <w:t>Une personne âgée de moins de</w:t>
      </w:r>
      <w:r w:rsidR="00B010E0">
        <w:rPr>
          <w:bCs/>
          <w:lang w:val="fr-FR"/>
        </w:rPr>
        <w:t xml:space="preserve"> 16 ans ne doit pas faire l’objet d’une</w:t>
      </w:r>
      <w:r w:rsidR="00E05CBF">
        <w:rPr>
          <w:bCs/>
          <w:lang w:val="fr-FR"/>
        </w:rPr>
        <w:t xml:space="preserve"> une ordonnance de contrôle.</w:t>
      </w:r>
    </w:p>
    <w:p w:rsidR="00E05CBF" w:rsidRPr="00DC148D" w:rsidRDefault="00260FF1" w:rsidP="005D7B68">
      <w:pPr>
        <w:tabs>
          <w:tab w:val="left" w:pos="567"/>
          <w:tab w:val="left" w:pos="1134"/>
          <w:tab w:val="left" w:pos="1701"/>
          <w:tab w:val="left" w:pos="2268"/>
        </w:tabs>
        <w:rPr>
          <w:bCs/>
          <w:lang w:val="fr-FR"/>
        </w:rPr>
      </w:pPr>
      <w:r>
        <w:rPr>
          <w:bCs/>
          <w:lang w:val="fr-FR"/>
        </w:rPr>
        <w:t>215</w:t>
      </w:r>
      <w:r w:rsidR="00E05CBF">
        <w:rPr>
          <w:bCs/>
          <w:lang w:val="fr-FR"/>
        </w:rPr>
        <w:t>.</w:t>
      </w:r>
      <w:r w:rsidR="00E05CBF">
        <w:rPr>
          <w:bCs/>
          <w:lang w:val="fr-FR"/>
        </w:rPr>
        <w:tab/>
      </w:r>
      <w:r w:rsidR="00A23187">
        <w:rPr>
          <w:bCs/>
          <w:lang w:val="fr-FR"/>
        </w:rPr>
        <w:t>Toute personne doit avoir notification de la durée et de l’effet de l’ordonnance de contrôle temporaire et son avocat a le droit d’en demander une copie</w:t>
      </w:r>
      <w:r w:rsidR="008D6B80">
        <w:rPr>
          <w:bCs/>
          <w:lang w:val="fr-FR"/>
        </w:rPr>
        <w:t xml:space="preserve">. </w:t>
      </w:r>
      <w:r w:rsidR="00A23187">
        <w:rPr>
          <w:bCs/>
          <w:lang w:val="fr-FR"/>
        </w:rPr>
        <w:t xml:space="preserve">L’ordonnance doit spécifier un jour auquel l’intéressé peut se présenter devant un tribunal pour que ce dernier la confirme, </w:t>
      </w:r>
      <w:r w:rsidR="00A23187" w:rsidRPr="00DC148D">
        <w:rPr>
          <w:bCs/>
          <w:lang w:val="fr-FR"/>
        </w:rPr>
        <w:t>la déclare nulle et non avenue</w:t>
      </w:r>
      <w:r w:rsidR="00DC148D">
        <w:rPr>
          <w:bCs/>
          <w:lang w:val="fr-FR"/>
        </w:rPr>
        <w:t xml:space="preserve"> ou la révoque</w:t>
      </w:r>
      <w:r w:rsidR="00A23187">
        <w:rPr>
          <w:bCs/>
          <w:lang w:val="fr-FR"/>
        </w:rPr>
        <w:t xml:space="preserve">. L’intéressé ou son représentant a le droit de produire des preuves </w:t>
      </w:r>
      <w:r w:rsidR="00A23187" w:rsidRPr="00DC148D">
        <w:rPr>
          <w:bCs/>
          <w:lang w:val="fr-FR"/>
        </w:rPr>
        <w:t xml:space="preserve">ou </w:t>
      </w:r>
      <w:r w:rsidR="00DC148D" w:rsidRPr="00DC148D">
        <w:rPr>
          <w:bCs/>
          <w:lang w:val="fr-FR"/>
        </w:rPr>
        <w:t>de présenter des observations au tribunal</w:t>
      </w:r>
      <w:r w:rsidR="00A23187">
        <w:rPr>
          <w:bCs/>
          <w:lang w:val="fr-FR"/>
        </w:rPr>
        <w:t xml:space="preserve"> au sujet de cette ordonnance</w:t>
      </w:r>
      <w:r w:rsidR="008D6B80">
        <w:rPr>
          <w:bCs/>
          <w:lang w:val="fr-FR"/>
        </w:rPr>
        <w:t xml:space="preserve">. </w:t>
      </w:r>
      <w:r w:rsidR="00A23187">
        <w:rPr>
          <w:bCs/>
          <w:lang w:val="fr-FR"/>
        </w:rPr>
        <w:t>T</w:t>
      </w:r>
      <w:r w:rsidR="0080457F">
        <w:rPr>
          <w:bCs/>
          <w:lang w:val="fr-FR"/>
        </w:rPr>
        <w:t>oute personne peut demander</w:t>
      </w:r>
      <w:r w:rsidR="00A23187">
        <w:rPr>
          <w:bCs/>
          <w:lang w:val="fr-FR"/>
        </w:rPr>
        <w:t xml:space="preserve"> qu’elle s</w:t>
      </w:r>
      <w:r w:rsidR="00DC148D">
        <w:rPr>
          <w:bCs/>
          <w:lang w:val="fr-FR"/>
        </w:rPr>
        <w:t>oit modifiée, révoquée</w:t>
      </w:r>
      <w:r w:rsidR="00A23187">
        <w:rPr>
          <w:bCs/>
          <w:lang w:val="fr-FR"/>
        </w:rPr>
        <w:t xml:space="preserve"> ou </w:t>
      </w:r>
      <w:r w:rsidR="00A23187" w:rsidRPr="00DC148D">
        <w:rPr>
          <w:bCs/>
          <w:lang w:val="fr-FR"/>
        </w:rPr>
        <w:t>déclarée nulle et non avenue</w:t>
      </w:r>
      <w:r w:rsidR="00924DB0" w:rsidRPr="00DC148D">
        <w:rPr>
          <w:bCs/>
          <w:lang w:val="fr-FR"/>
        </w:rPr>
        <w:t xml:space="preserve"> dès qu’elle reçoit notification</w:t>
      </w:r>
      <w:r w:rsidR="00A23187" w:rsidRPr="00DC148D">
        <w:rPr>
          <w:bCs/>
          <w:lang w:val="fr-FR"/>
        </w:rPr>
        <w:t xml:space="preserve"> </w:t>
      </w:r>
      <w:r w:rsidR="008722D0">
        <w:rPr>
          <w:bCs/>
          <w:lang w:val="fr-FR"/>
        </w:rPr>
        <w:t>de sa confirmation</w:t>
      </w:r>
      <w:r w:rsidR="00924DB0" w:rsidRPr="00DC148D">
        <w:rPr>
          <w:bCs/>
          <w:lang w:val="fr-FR"/>
        </w:rPr>
        <w:t>.</w:t>
      </w:r>
      <w:r w:rsidR="00A23187" w:rsidRPr="00DC148D">
        <w:rPr>
          <w:bCs/>
          <w:lang w:val="fr-FR"/>
        </w:rPr>
        <w:t xml:space="preserve"> </w:t>
      </w:r>
    </w:p>
    <w:p w:rsidR="00BA5A4B" w:rsidRPr="00E11A7E" w:rsidRDefault="00924DB0" w:rsidP="005D7B68">
      <w:pPr>
        <w:tabs>
          <w:tab w:val="left" w:pos="567"/>
          <w:tab w:val="left" w:pos="1134"/>
          <w:tab w:val="left" w:pos="1701"/>
          <w:tab w:val="left" w:pos="2268"/>
        </w:tabs>
        <w:rPr>
          <w:lang w:val="fr-FR"/>
        </w:rPr>
      </w:pPr>
      <w:r>
        <w:rPr>
          <w:lang w:val="fr-FR"/>
        </w:rPr>
        <w:t>21</w:t>
      </w:r>
      <w:r w:rsidR="00260FF1">
        <w:rPr>
          <w:lang w:val="fr-FR"/>
        </w:rPr>
        <w:t>6</w:t>
      </w:r>
      <w:r>
        <w:rPr>
          <w:lang w:val="fr-FR"/>
        </w:rPr>
        <w:t>.</w:t>
      </w:r>
      <w:r>
        <w:rPr>
          <w:lang w:val="fr-FR"/>
        </w:rPr>
        <w:tab/>
        <w:t>En vertu du Code pénal, l’</w:t>
      </w:r>
      <w:r w:rsidR="008E1139" w:rsidRPr="008E1139">
        <w:rPr>
          <w:lang w:val="fr-FR"/>
        </w:rPr>
        <w:t>Attorney général</w:t>
      </w:r>
      <w:r>
        <w:rPr>
          <w:lang w:val="fr-FR"/>
        </w:rPr>
        <w:t xml:space="preserve"> est tenu de remettre chaque année un rapport au Parlement sur le nombre d’ordonnances de </w:t>
      </w:r>
      <w:r w:rsidRPr="00E11A7E">
        <w:rPr>
          <w:lang w:val="fr-FR"/>
        </w:rPr>
        <w:t xml:space="preserve">contrôle temporaires délivrées, confirmées, modifiées ou annulées, et sur les détails de toutes les plaintes déposées auprès du Médiateur fédéral </w:t>
      </w:r>
      <w:r w:rsidR="002E64C5">
        <w:rPr>
          <w:lang w:val="fr-FR"/>
        </w:rPr>
        <w:t>concernant</w:t>
      </w:r>
      <w:r w:rsidRPr="00E11A7E">
        <w:rPr>
          <w:lang w:val="fr-FR"/>
        </w:rPr>
        <w:t xml:space="preserve"> l’exercice de ces pouvoirs.</w:t>
      </w:r>
    </w:p>
    <w:p w:rsidR="00EF1BB1" w:rsidRDefault="00924DB0" w:rsidP="005D7B68">
      <w:pPr>
        <w:tabs>
          <w:tab w:val="left" w:pos="567"/>
          <w:tab w:val="left" w:pos="1134"/>
          <w:tab w:val="left" w:pos="1701"/>
          <w:tab w:val="left" w:pos="2268"/>
        </w:tabs>
        <w:rPr>
          <w:lang w:val="fr-FR"/>
        </w:rPr>
      </w:pPr>
      <w:r>
        <w:rPr>
          <w:lang w:val="fr-FR"/>
        </w:rPr>
        <w:t>21</w:t>
      </w:r>
      <w:r w:rsidR="00260FF1">
        <w:rPr>
          <w:lang w:val="fr-FR"/>
        </w:rPr>
        <w:t>7</w:t>
      </w:r>
      <w:r>
        <w:rPr>
          <w:lang w:val="fr-FR"/>
        </w:rPr>
        <w:t>.</w:t>
      </w:r>
      <w:r>
        <w:rPr>
          <w:lang w:val="fr-FR"/>
        </w:rPr>
        <w:tab/>
        <w:t xml:space="preserve">Une seule ordonnance de </w:t>
      </w:r>
      <w:r w:rsidRPr="00E11A7E">
        <w:rPr>
          <w:lang w:val="fr-FR"/>
        </w:rPr>
        <w:t>contrôle temporaire</w:t>
      </w:r>
      <w:r>
        <w:rPr>
          <w:color w:val="0000FF"/>
          <w:lang w:val="fr-FR"/>
        </w:rPr>
        <w:t xml:space="preserve"> </w:t>
      </w:r>
      <w:r w:rsidRPr="00924DB0">
        <w:rPr>
          <w:lang w:val="fr-FR"/>
        </w:rPr>
        <w:t>a été délivrée depuis</w:t>
      </w:r>
      <w:r>
        <w:rPr>
          <w:lang w:val="fr-FR"/>
        </w:rPr>
        <w:t xml:space="preserve"> la mise en place de ces pouvoirs en 2005, et elle est maintenant arrivée à terme.</w:t>
      </w:r>
    </w:p>
    <w:p w:rsidR="00EF1BB1" w:rsidRDefault="00EF1BB1" w:rsidP="005D7B68">
      <w:pPr>
        <w:tabs>
          <w:tab w:val="left" w:pos="567"/>
          <w:tab w:val="left" w:pos="1134"/>
          <w:tab w:val="left" w:pos="1701"/>
          <w:tab w:val="left" w:pos="2268"/>
        </w:tabs>
        <w:rPr>
          <w:b/>
          <w:bCs/>
          <w:lang w:val="fr-FR"/>
        </w:rPr>
      </w:pPr>
      <w:r>
        <w:rPr>
          <w:b/>
          <w:bCs/>
          <w:lang w:val="fr-FR"/>
        </w:rPr>
        <w:t>Détention et interrogatoire des personnes en rapport avec des infractions liées au terrorisme, aux fins du renseignement</w:t>
      </w:r>
    </w:p>
    <w:p w:rsidR="00924DB0" w:rsidRDefault="00EF1BB1" w:rsidP="005D7B68">
      <w:pPr>
        <w:tabs>
          <w:tab w:val="left" w:pos="567"/>
          <w:tab w:val="left" w:pos="1134"/>
          <w:tab w:val="left" w:pos="1701"/>
          <w:tab w:val="left" w:pos="2268"/>
        </w:tabs>
        <w:rPr>
          <w:lang w:val="fr-FR"/>
        </w:rPr>
      </w:pPr>
      <w:r>
        <w:rPr>
          <w:lang w:val="fr-FR"/>
        </w:rPr>
        <w:t>21</w:t>
      </w:r>
      <w:r w:rsidR="00260FF1">
        <w:rPr>
          <w:lang w:val="fr-FR"/>
        </w:rPr>
        <w:t>8</w:t>
      </w:r>
      <w:r>
        <w:rPr>
          <w:lang w:val="fr-FR"/>
        </w:rPr>
        <w:t>.</w:t>
      </w:r>
      <w:r>
        <w:rPr>
          <w:lang w:val="fr-FR"/>
        </w:rPr>
        <w:tab/>
      </w:r>
      <w:r w:rsidR="00494AE8">
        <w:rPr>
          <w:lang w:val="fr-FR"/>
        </w:rPr>
        <w:t xml:space="preserve">La </w:t>
      </w:r>
      <w:r w:rsidR="00494AE8" w:rsidRPr="0080457F">
        <w:rPr>
          <w:lang w:val="fr-FR"/>
        </w:rPr>
        <w:t>loi de 1979 sur l’Agence australienne du renseignement relatif à la sécurité</w:t>
      </w:r>
      <w:r w:rsidR="00494AE8">
        <w:rPr>
          <w:i/>
          <w:iCs/>
          <w:lang w:val="fr-FR"/>
        </w:rPr>
        <w:t xml:space="preserve"> </w:t>
      </w:r>
      <w:r w:rsidR="00494AE8">
        <w:rPr>
          <w:lang w:val="fr-FR"/>
        </w:rPr>
        <w:t xml:space="preserve">habilite cette dernière à demander à un </w:t>
      </w:r>
      <w:r w:rsidR="0080457F">
        <w:rPr>
          <w:i/>
          <w:iCs/>
          <w:lang w:val="fr-FR"/>
        </w:rPr>
        <w:t>m</w:t>
      </w:r>
      <w:r w:rsidR="00494AE8">
        <w:rPr>
          <w:i/>
          <w:iCs/>
          <w:lang w:val="fr-FR"/>
        </w:rPr>
        <w:t>agistrate</w:t>
      </w:r>
      <w:r w:rsidR="00B54385">
        <w:rPr>
          <w:lang w:val="fr-FR"/>
        </w:rPr>
        <w:t xml:space="preserve"> fédéral ou à un</w:t>
      </w:r>
      <w:r w:rsidR="00494AE8">
        <w:rPr>
          <w:lang w:val="fr-FR"/>
        </w:rPr>
        <w:t xml:space="preserve"> juge</w:t>
      </w:r>
      <w:r w:rsidR="00E24800">
        <w:rPr>
          <w:lang w:val="fr-FR"/>
        </w:rPr>
        <w:t xml:space="preserve"> de délivrer</w:t>
      </w:r>
      <w:r w:rsidR="00494AE8">
        <w:rPr>
          <w:lang w:val="fr-FR"/>
        </w:rPr>
        <w:t xml:space="preserve"> un mandat lui permettant</w:t>
      </w:r>
      <w:r w:rsidR="00924DB0">
        <w:rPr>
          <w:color w:val="0000FF"/>
          <w:lang w:val="fr-FR"/>
        </w:rPr>
        <w:t xml:space="preserve"> </w:t>
      </w:r>
      <w:r w:rsidR="00494AE8" w:rsidRPr="00494AE8">
        <w:rPr>
          <w:lang w:val="fr-FR"/>
        </w:rPr>
        <w:t>de questionne</w:t>
      </w:r>
      <w:r w:rsidR="00494AE8">
        <w:rPr>
          <w:lang w:val="fr-FR"/>
        </w:rPr>
        <w:t>r et, dans certaines circonstan</w:t>
      </w:r>
      <w:r w:rsidR="00494AE8" w:rsidRPr="00494AE8">
        <w:rPr>
          <w:lang w:val="fr-FR"/>
        </w:rPr>
        <w:t>ces</w:t>
      </w:r>
      <w:r w:rsidR="00494AE8">
        <w:rPr>
          <w:lang w:val="fr-FR"/>
        </w:rPr>
        <w:t>, de placer en détention une personne pouvant détenir des renseignements relatifs à une infraction liée au terrorisme.</w:t>
      </w:r>
    </w:p>
    <w:p w:rsidR="00494AE8" w:rsidRDefault="00494AE8" w:rsidP="005D7B68">
      <w:pPr>
        <w:tabs>
          <w:tab w:val="left" w:pos="567"/>
          <w:tab w:val="left" w:pos="1134"/>
          <w:tab w:val="left" w:pos="1701"/>
          <w:tab w:val="left" w:pos="2268"/>
        </w:tabs>
        <w:rPr>
          <w:lang w:val="fr-FR"/>
        </w:rPr>
      </w:pPr>
      <w:r>
        <w:rPr>
          <w:lang w:val="fr-FR"/>
        </w:rPr>
        <w:t>21</w:t>
      </w:r>
      <w:r w:rsidR="00260FF1">
        <w:rPr>
          <w:lang w:val="fr-FR"/>
        </w:rPr>
        <w:t>9</w:t>
      </w:r>
      <w:r>
        <w:rPr>
          <w:lang w:val="fr-FR"/>
        </w:rPr>
        <w:t>.</w:t>
      </w:r>
      <w:r>
        <w:rPr>
          <w:lang w:val="fr-FR"/>
        </w:rPr>
        <w:tab/>
        <w:t xml:space="preserve">La procédure de l’interrogatoire et du placement en détention relève d’un cadre administratif comprenant des critères rigoureux en matière de délivrance d’un mandat, des délais pour la durée de l’interrogatoire et de la détention, et un protocole </w:t>
      </w:r>
      <w:r w:rsidR="00220D85">
        <w:rPr>
          <w:lang w:val="fr-FR"/>
        </w:rPr>
        <w:t>qui décrit l</w:t>
      </w:r>
      <w:r>
        <w:rPr>
          <w:lang w:val="fr-FR"/>
        </w:rPr>
        <w:t>es procédures à suivre pour l’interrogato</w:t>
      </w:r>
      <w:r w:rsidR="000C4A2D">
        <w:rPr>
          <w:lang w:val="fr-FR"/>
        </w:rPr>
        <w:t>ire et le placement en détention au titre de</w:t>
      </w:r>
      <w:r>
        <w:rPr>
          <w:lang w:val="fr-FR"/>
        </w:rPr>
        <w:t xml:space="preserve"> la loi sur l’Agence</w:t>
      </w:r>
      <w:r w:rsidR="000C4A2D">
        <w:rPr>
          <w:lang w:val="fr-FR"/>
        </w:rPr>
        <w:t>.</w:t>
      </w:r>
    </w:p>
    <w:p w:rsidR="00E21B46" w:rsidRDefault="00572739" w:rsidP="005D7B68">
      <w:pPr>
        <w:tabs>
          <w:tab w:val="left" w:pos="567"/>
          <w:tab w:val="left" w:pos="1134"/>
          <w:tab w:val="left" w:pos="1701"/>
          <w:tab w:val="left" w:pos="2268"/>
        </w:tabs>
        <w:rPr>
          <w:lang w:val="fr-FR"/>
        </w:rPr>
      </w:pPr>
      <w:r>
        <w:rPr>
          <w:lang w:val="fr-FR"/>
        </w:rPr>
        <w:t>2</w:t>
      </w:r>
      <w:r w:rsidR="00260FF1">
        <w:rPr>
          <w:lang w:val="fr-FR"/>
        </w:rPr>
        <w:t>20</w:t>
      </w:r>
      <w:r>
        <w:rPr>
          <w:lang w:val="fr-FR"/>
        </w:rPr>
        <w:t>.</w:t>
      </w:r>
      <w:r>
        <w:rPr>
          <w:lang w:val="fr-FR"/>
        </w:rPr>
        <w:tab/>
        <w:t>Le</w:t>
      </w:r>
      <w:r w:rsidR="000C4A2D">
        <w:rPr>
          <w:lang w:val="fr-FR"/>
        </w:rPr>
        <w:t xml:space="preserve"> mandat en question autorise un interrogatoire de </w:t>
      </w:r>
      <w:r w:rsidR="000F455D">
        <w:rPr>
          <w:lang w:val="fr-FR"/>
        </w:rPr>
        <w:t>vingt</w:t>
      </w:r>
      <w:r w:rsidR="000F455D">
        <w:rPr>
          <w:lang w:val="fr-FR"/>
        </w:rPr>
        <w:noBreakHyphen/>
        <w:t>quatre</w:t>
      </w:r>
      <w:r w:rsidR="000C4A2D">
        <w:rPr>
          <w:lang w:val="fr-FR"/>
        </w:rPr>
        <w:t xml:space="preserve"> heures au maximum (ou </w:t>
      </w:r>
      <w:r w:rsidR="000F455D">
        <w:rPr>
          <w:lang w:val="fr-FR"/>
        </w:rPr>
        <w:t>quarante</w:t>
      </w:r>
      <w:r w:rsidR="000F455D">
        <w:rPr>
          <w:lang w:val="fr-FR"/>
        </w:rPr>
        <w:noBreakHyphen/>
        <w:t>huit </w:t>
      </w:r>
      <w:r w:rsidR="000C4A2D">
        <w:rPr>
          <w:lang w:val="fr-FR"/>
        </w:rPr>
        <w:t xml:space="preserve">heures s’il est fait appel à un interprète). L’Agence de renseignement relatif à la sécurité peut soumettre l’intéressé à un interrogatoire initial de huit heures au maximum, puis doit obtenir l’autorisation d’une </w:t>
      </w:r>
      <w:r w:rsidR="00220D85">
        <w:rPr>
          <w:lang w:val="fr-FR"/>
        </w:rPr>
        <w:t>autorité désignée à cet effet</w:t>
      </w:r>
      <w:r w:rsidR="000C4A2D">
        <w:rPr>
          <w:lang w:val="fr-FR"/>
        </w:rPr>
        <w:t xml:space="preserve"> pour po</w:t>
      </w:r>
      <w:r w:rsidR="008F018A">
        <w:rPr>
          <w:lang w:val="fr-FR"/>
        </w:rPr>
        <w:t>uvoir le prolonger</w:t>
      </w:r>
      <w:r w:rsidR="000C4A2D">
        <w:rPr>
          <w:lang w:val="fr-FR"/>
        </w:rPr>
        <w:t xml:space="preserve"> de huit heures</w:t>
      </w:r>
      <w:r w:rsidR="008F018A">
        <w:rPr>
          <w:lang w:val="fr-FR"/>
        </w:rPr>
        <w:t xml:space="preserve"> à chaque demande</w:t>
      </w:r>
      <w:r w:rsidR="008D6B80">
        <w:rPr>
          <w:lang w:val="fr-FR"/>
        </w:rPr>
        <w:t xml:space="preserve">. </w:t>
      </w:r>
      <w:r w:rsidR="000C4A2D">
        <w:rPr>
          <w:lang w:val="fr-FR"/>
        </w:rPr>
        <w:t xml:space="preserve">Cette autorité peut </w:t>
      </w:r>
      <w:r w:rsidR="00220D85">
        <w:rPr>
          <w:lang w:val="fr-FR"/>
        </w:rPr>
        <w:t>être un ancien magistrat ayant exercé ses fonctions auprès d’une juridiction</w:t>
      </w:r>
      <w:r w:rsidR="000C4A2D">
        <w:rPr>
          <w:lang w:val="fr-FR"/>
        </w:rPr>
        <w:t xml:space="preserve"> supérieur</w:t>
      </w:r>
      <w:r w:rsidR="00220D85">
        <w:rPr>
          <w:lang w:val="fr-FR"/>
        </w:rPr>
        <w:t>e</w:t>
      </w:r>
      <w:r w:rsidR="0080457F">
        <w:rPr>
          <w:lang w:val="fr-FR"/>
        </w:rPr>
        <w:t>, un juge en poste à la Cour s</w:t>
      </w:r>
      <w:r w:rsidR="000C4A2D">
        <w:rPr>
          <w:lang w:val="fr-FR"/>
        </w:rPr>
        <w:t>uprême ou dans un tribunal de district d’un État ou d’un Territo</w:t>
      </w:r>
      <w:r w:rsidR="00220D85">
        <w:rPr>
          <w:lang w:val="fr-FR"/>
        </w:rPr>
        <w:t>ire ou le Vice-P</w:t>
      </w:r>
      <w:r w:rsidR="000C4A2D">
        <w:rPr>
          <w:lang w:val="fr-FR"/>
        </w:rPr>
        <w:t xml:space="preserve">résident ou le Président </w:t>
      </w:r>
      <w:r w:rsidR="00220D85">
        <w:rPr>
          <w:lang w:val="fr-FR"/>
        </w:rPr>
        <w:t>du Tribunal</w:t>
      </w:r>
      <w:r w:rsidR="000C4A2D">
        <w:rPr>
          <w:lang w:val="fr-FR"/>
        </w:rPr>
        <w:t xml:space="preserve"> d’</w:t>
      </w:r>
      <w:r w:rsidR="00220D85">
        <w:rPr>
          <w:lang w:val="fr-FR"/>
        </w:rPr>
        <w:t>appel administratif</w:t>
      </w:r>
      <w:r w:rsidR="000C4A2D">
        <w:rPr>
          <w:lang w:val="fr-FR"/>
        </w:rPr>
        <w:t>, qui a été nommé par</w:t>
      </w:r>
      <w:r w:rsidR="00220D85">
        <w:rPr>
          <w:lang w:val="fr-FR"/>
        </w:rPr>
        <w:t xml:space="preserve"> le</w:t>
      </w:r>
      <w:r w:rsidR="000C4A2D">
        <w:rPr>
          <w:lang w:val="fr-FR"/>
        </w:rPr>
        <w:t xml:space="preserve"> Ministre au titre de l’article 34B de la loi sur l’Agence du renseignement relatif à la sécurité.</w:t>
      </w:r>
    </w:p>
    <w:p w:rsidR="000C4A2D" w:rsidRDefault="00E21B46" w:rsidP="005D7B68">
      <w:pPr>
        <w:tabs>
          <w:tab w:val="left" w:pos="567"/>
          <w:tab w:val="left" w:pos="1134"/>
          <w:tab w:val="left" w:pos="1701"/>
          <w:tab w:val="left" w:pos="2268"/>
        </w:tabs>
        <w:rPr>
          <w:lang w:val="fr-FR"/>
        </w:rPr>
      </w:pPr>
      <w:r>
        <w:rPr>
          <w:lang w:val="fr-FR"/>
        </w:rPr>
        <w:t>22</w:t>
      </w:r>
      <w:r w:rsidR="00260FF1">
        <w:rPr>
          <w:lang w:val="fr-FR"/>
        </w:rPr>
        <w:t>1</w:t>
      </w:r>
      <w:r>
        <w:rPr>
          <w:lang w:val="fr-FR"/>
        </w:rPr>
        <w:t>.</w:t>
      </w:r>
      <w:r>
        <w:rPr>
          <w:lang w:val="fr-FR"/>
        </w:rPr>
        <w:tab/>
        <w:t>Dans certaines circonstances, par exemple lorsqu’il y a de bonnes raisons de penser que l’intéressé</w:t>
      </w:r>
      <w:r w:rsidR="00220D85">
        <w:rPr>
          <w:lang w:val="fr-FR"/>
        </w:rPr>
        <w:t xml:space="preserve"> ne se présentera peut-être pas devant une autorité prescrite, il peut être placé en détention pendant un maximum de </w:t>
      </w:r>
      <w:r w:rsidR="000F455D">
        <w:rPr>
          <w:lang w:val="fr-FR"/>
        </w:rPr>
        <w:t>cent soixante</w:t>
      </w:r>
      <w:r w:rsidR="000F455D">
        <w:rPr>
          <w:lang w:val="fr-FR"/>
        </w:rPr>
        <w:noBreakHyphen/>
        <w:t>huit</w:t>
      </w:r>
      <w:r w:rsidR="00220D85">
        <w:rPr>
          <w:lang w:val="fr-FR"/>
        </w:rPr>
        <w:t xml:space="preserve"> he</w:t>
      </w:r>
      <w:r w:rsidR="0080457F">
        <w:rPr>
          <w:lang w:val="fr-FR"/>
        </w:rPr>
        <w:t>ures</w:t>
      </w:r>
      <w:r w:rsidR="008D6B80">
        <w:rPr>
          <w:lang w:val="fr-FR"/>
        </w:rPr>
        <w:t xml:space="preserve">. </w:t>
      </w:r>
      <w:r w:rsidR="0080457F">
        <w:rPr>
          <w:lang w:val="fr-FR"/>
        </w:rPr>
        <w:t>Ce placement</w:t>
      </w:r>
      <w:r w:rsidR="00220D85">
        <w:rPr>
          <w:lang w:val="fr-FR"/>
        </w:rPr>
        <w:t xml:space="preserve"> do</w:t>
      </w:r>
      <w:r w:rsidR="0080457F">
        <w:rPr>
          <w:lang w:val="fr-FR"/>
        </w:rPr>
        <w:t>it être spécifiquement autorisé</w:t>
      </w:r>
      <w:r w:rsidR="00220D85">
        <w:rPr>
          <w:lang w:val="fr-FR"/>
        </w:rPr>
        <w:t xml:space="preserve"> par le mandat</w:t>
      </w:r>
      <w:r w:rsidR="008D6B80">
        <w:rPr>
          <w:lang w:val="fr-FR"/>
        </w:rPr>
        <w:t xml:space="preserve">. </w:t>
      </w:r>
      <w:r w:rsidR="00220D85">
        <w:rPr>
          <w:lang w:val="fr-FR"/>
        </w:rPr>
        <w:t>L’interrogatoire est supervisé par une autorité désignée, et la détention par un fonctionnaire de police.</w:t>
      </w:r>
      <w:r w:rsidR="000C4A2D">
        <w:rPr>
          <w:lang w:val="fr-FR"/>
        </w:rPr>
        <w:t xml:space="preserve"> </w:t>
      </w:r>
    </w:p>
    <w:p w:rsidR="004F42DF" w:rsidRDefault="00220D85" w:rsidP="005D7B68">
      <w:pPr>
        <w:tabs>
          <w:tab w:val="left" w:pos="567"/>
          <w:tab w:val="left" w:pos="1134"/>
          <w:tab w:val="left" w:pos="1701"/>
          <w:tab w:val="left" w:pos="2268"/>
        </w:tabs>
        <w:rPr>
          <w:lang w:val="fr-FR"/>
        </w:rPr>
      </w:pPr>
      <w:r>
        <w:rPr>
          <w:lang w:val="fr-FR"/>
        </w:rPr>
        <w:t>22</w:t>
      </w:r>
      <w:r w:rsidR="00260FF1">
        <w:rPr>
          <w:lang w:val="fr-FR"/>
        </w:rPr>
        <w:t>2</w:t>
      </w:r>
      <w:r>
        <w:rPr>
          <w:lang w:val="fr-FR"/>
        </w:rPr>
        <w:t>.</w:t>
      </w:r>
      <w:r>
        <w:rPr>
          <w:lang w:val="fr-FR"/>
        </w:rPr>
        <w:tab/>
      </w:r>
      <w:r w:rsidR="004F42DF">
        <w:rPr>
          <w:lang w:val="fr-FR"/>
        </w:rPr>
        <w:t>Lors de sa première comparution devant une autorité désignée, l’intéressé doit être informé de la durée</w:t>
      </w:r>
      <w:r w:rsidR="0080457F">
        <w:rPr>
          <w:lang w:val="fr-FR"/>
        </w:rPr>
        <w:t xml:space="preserve"> et de</w:t>
      </w:r>
      <w:r w:rsidR="0080457F">
        <w:rPr>
          <w:color w:val="0000FF"/>
          <w:lang w:val="fr-FR"/>
        </w:rPr>
        <w:t xml:space="preserve"> </w:t>
      </w:r>
      <w:r w:rsidR="0080457F" w:rsidRPr="00E11A7E">
        <w:rPr>
          <w:lang w:val="fr-FR"/>
        </w:rPr>
        <w:t>la teneur du mandat</w:t>
      </w:r>
      <w:r w:rsidR="00DE6AAF">
        <w:rPr>
          <w:lang w:val="fr-FR"/>
        </w:rPr>
        <w:t>, de son droit d’accéder aux mécanismes de dépôt de plainte et de consulter un conseil ou d’emprunter d’autres voies de recours</w:t>
      </w:r>
      <w:r w:rsidR="00572260">
        <w:rPr>
          <w:lang w:val="fr-FR"/>
        </w:rPr>
        <w:t>;</w:t>
      </w:r>
      <w:r w:rsidR="00DE6AAF">
        <w:rPr>
          <w:lang w:val="fr-FR"/>
        </w:rPr>
        <w:t xml:space="preserve"> on doit aussi lui indiquer des personnes qu’il a le droit de contacter.</w:t>
      </w:r>
    </w:p>
    <w:p w:rsidR="00352396" w:rsidRDefault="00352396" w:rsidP="005D7B68">
      <w:pPr>
        <w:tabs>
          <w:tab w:val="left" w:pos="567"/>
          <w:tab w:val="left" w:pos="1134"/>
          <w:tab w:val="left" w:pos="1701"/>
          <w:tab w:val="left" w:pos="2268"/>
        </w:tabs>
        <w:rPr>
          <w:lang w:val="fr-FR"/>
        </w:rPr>
      </w:pPr>
      <w:r>
        <w:rPr>
          <w:lang w:val="fr-FR"/>
        </w:rPr>
        <w:t>22</w:t>
      </w:r>
      <w:r w:rsidR="00260FF1">
        <w:rPr>
          <w:lang w:val="fr-FR"/>
        </w:rPr>
        <w:t>3</w:t>
      </w:r>
      <w:r>
        <w:rPr>
          <w:lang w:val="fr-FR"/>
        </w:rPr>
        <w:t>.</w:t>
      </w:r>
      <w:r>
        <w:rPr>
          <w:lang w:val="fr-FR"/>
        </w:rPr>
        <w:tab/>
        <w:t>La loi sur l’Agence</w:t>
      </w:r>
      <w:r w:rsidR="00F333D5">
        <w:rPr>
          <w:lang w:val="fr-FR"/>
        </w:rPr>
        <w:t xml:space="preserve"> australienne du</w:t>
      </w:r>
      <w:r>
        <w:rPr>
          <w:lang w:val="fr-FR"/>
        </w:rPr>
        <w:t xml:space="preserve"> renseignement relatif à la sécurité dispose qu</w:t>
      </w:r>
      <w:r w:rsidR="006E4764">
        <w:rPr>
          <w:lang w:val="fr-FR"/>
        </w:rPr>
        <w:t>e toute</w:t>
      </w:r>
      <w:r>
        <w:rPr>
          <w:lang w:val="fr-FR"/>
        </w:rPr>
        <w:t xml:space="preserve"> personne faisant l’objet d’un mandat doit être traitée avec humanité dans le </w:t>
      </w:r>
      <w:r w:rsidR="00A5780A">
        <w:rPr>
          <w:lang w:val="fr-FR"/>
        </w:rPr>
        <w:t xml:space="preserve">respect de la dignité humaine, </w:t>
      </w:r>
      <w:r>
        <w:rPr>
          <w:lang w:val="fr-FR"/>
        </w:rPr>
        <w:t xml:space="preserve">ne doit pas être </w:t>
      </w:r>
      <w:r w:rsidR="006E4764">
        <w:rPr>
          <w:lang w:val="fr-FR"/>
        </w:rPr>
        <w:t>soumise à des traitements cruels,</w:t>
      </w:r>
      <w:r>
        <w:rPr>
          <w:lang w:val="fr-FR"/>
        </w:rPr>
        <w:t xml:space="preserve"> inhumains </w:t>
      </w:r>
      <w:r w:rsidR="00A2275D">
        <w:rPr>
          <w:lang w:val="fr-FR"/>
        </w:rPr>
        <w:t>ou dégradants,</w:t>
      </w:r>
      <w:r>
        <w:rPr>
          <w:lang w:val="fr-FR"/>
        </w:rPr>
        <w:t xml:space="preserve"> doit avoir accès </w:t>
      </w:r>
      <w:r w:rsidR="00DE6AAF">
        <w:rPr>
          <w:lang w:val="fr-FR"/>
        </w:rPr>
        <w:t>à une représentation judiciaire</w:t>
      </w:r>
      <w:r w:rsidR="00A2275D">
        <w:rPr>
          <w:lang w:val="fr-FR"/>
        </w:rPr>
        <w:t xml:space="preserve"> et, dans certaines circonstances, doit pouvoir contacter des amis, des membres de sa famille ou d’autres pe</w:t>
      </w:r>
      <w:r w:rsidR="007859E4">
        <w:rPr>
          <w:lang w:val="fr-FR"/>
        </w:rPr>
        <w:t>r</w:t>
      </w:r>
      <w:r w:rsidR="00A2275D">
        <w:rPr>
          <w:lang w:val="fr-FR"/>
        </w:rPr>
        <w:t>sonnes.</w:t>
      </w:r>
    </w:p>
    <w:p w:rsidR="002B43E9" w:rsidRDefault="00582190" w:rsidP="005D7B68">
      <w:pPr>
        <w:tabs>
          <w:tab w:val="left" w:pos="567"/>
          <w:tab w:val="left" w:pos="1134"/>
          <w:tab w:val="left" w:pos="1701"/>
          <w:tab w:val="left" w:pos="2268"/>
        </w:tabs>
        <w:rPr>
          <w:lang w:val="fr-FR"/>
        </w:rPr>
      </w:pPr>
      <w:r>
        <w:rPr>
          <w:lang w:val="fr-FR"/>
        </w:rPr>
        <w:t>22</w:t>
      </w:r>
      <w:r w:rsidR="00260FF1">
        <w:rPr>
          <w:lang w:val="fr-FR"/>
        </w:rPr>
        <w:t>4</w:t>
      </w:r>
      <w:r>
        <w:rPr>
          <w:lang w:val="fr-FR"/>
        </w:rPr>
        <w:t>.</w:t>
      </w:r>
      <w:r>
        <w:rPr>
          <w:lang w:val="fr-FR"/>
        </w:rPr>
        <w:tab/>
        <w:t>Toute personne faisant</w:t>
      </w:r>
      <w:r w:rsidR="002B43E9">
        <w:rPr>
          <w:lang w:val="fr-FR"/>
        </w:rPr>
        <w:t xml:space="preserve"> l’objet d’un mandat a le droit</w:t>
      </w:r>
      <w:r w:rsidR="00881B7C">
        <w:rPr>
          <w:lang w:val="fr-FR"/>
        </w:rPr>
        <w:t xml:space="preserve"> d’exercer un recours auprès d’un tribunal fédéral au suj</w:t>
      </w:r>
      <w:r w:rsidR="006E4764">
        <w:rPr>
          <w:lang w:val="fr-FR"/>
        </w:rPr>
        <w:t>et de ce</w:t>
      </w:r>
      <w:r w:rsidR="00F333D5">
        <w:rPr>
          <w:lang w:val="fr-FR"/>
        </w:rPr>
        <w:t xml:space="preserve"> mandat ou</w:t>
      </w:r>
      <w:r w:rsidR="006E4764">
        <w:rPr>
          <w:lang w:val="fr-FR"/>
        </w:rPr>
        <w:t xml:space="preserve"> du</w:t>
      </w:r>
      <w:r w:rsidR="00F333D5">
        <w:rPr>
          <w:lang w:val="fr-FR"/>
        </w:rPr>
        <w:t xml:space="preserve"> traitement qui lui est appliqué en vertu de ce dernier</w:t>
      </w:r>
      <w:r w:rsidR="008D6B80">
        <w:rPr>
          <w:lang w:val="fr-FR"/>
        </w:rPr>
        <w:t xml:space="preserve">. </w:t>
      </w:r>
      <w:r w:rsidR="00F333D5">
        <w:rPr>
          <w:lang w:val="fr-FR"/>
        </w:rPr>
        <w:t xml:space="preserve">Elle peut également contacter à tout moment l’Inspecteur général du renseignement et de la sécurité, le Médiateur fédéral ou d’autres organismes d’examen des plaintes pour porter plainte contre l’Agence australienne du renseignement relatif à la sécurité, la </w:t>
      </w:r>
      <w:r w:rsidR="00397763">
        <w:rPr>
          <w:lang w:val="fr-FR"/>
        </w:rPr>
        <w:t>police fédérale australienne</w:t>
      </w:r>
      <w:r w:rsidR="00F333D5">
        <w:rPr>
          <w:lang w:val="fr-FR"/>
        </w:rPr>
        <w:t xml:space="preserve"> ou la police de l’État ou du </w:t>
      </w:r>
      <w:r w:rsidR="000F455D">
        <w:rPr>
          <w:lang w:val="fr-FR"/>
        </w:rPr>
        <w:t>t</w:t>
      </w:r>
      <w:r w:rsidR="00F333D5">
        <w:rPr>
          <w:lang w:val="fr-FR"/>
        </w:rPr>
        <w:t>erritoire concerné.</w:t>
      </w:r>
    </w:p>
    <w:p w:rsidR="00987862" w:rsidRDefault="00987862" w:rsidP="005D7B68">
      <w:pPr>
        <w:tabs>
          <w:tab w:val="left" w:pos="567"/>
          <w:tab w:val="left" w:pos="1134"/>
          <w:tab w:val="left" w:pos="1701"/>
          <w:tab w:val="left" w:pos="2268"/>
        </w:tabs>
        <w:rPr>
          <w:lang w:val="fr-FR"/>
        </w:rPr>
      </w:pPr>
      <w:r>
        <w:rPr>
          <w:lang w:val="fr-FR"/>
        </w:rPr>
        <w:t>22</w:t>
      </w:r>
      <w:r w:rsidR="00260FF1">
        <w:rPr>
          <w:lang w:val="fr-FR"/>
        </w:rPr>
        <w:t>5</w:t>
      </w:r>
      <w:r>
        <w:rPr>
          <w:lang w:val="fr-FR"/>
        </w:rPr>
        <w:t>.</w:t>
      </w:r>
      <w:r>
        <w:rPr>
          <w:lang w:val="fr-FR"/>
        </w:rPr>
        <w:tab/>
        <w:t>Tout fonctionnaire qui viole les garanties</w:t>
      </w:r>
      <w:r w:rsidR="002F6E85">
        <w:rPr>
          <w:lang w:val="fr-FR"/>
        </w:rPr>
        <w:t xml:space="preserve"> ou l</w:t>
      </w:r>
      <w:r w:rsidR="00AA17DA">
        <w:rPr>
          <w:lang w:val="fr-FR"/>
        </w:rPr>
        <w:t>es droits reconnus à l’intéressé</w:t>
      </w:r>
      <w:r w:rsidR="002F6E85">
        <w:rPr>
          <w:lang w:val="fr-FR"/>
        </w:rPr>
        <w:t xml:space="preserve"> par la loi, ou agit au mépris d’une directive de l’autorité de contrôle désignée, se rend coupable d’une infraction passible d’une peine pouvant aller jusqu’à deux ans d’emprisonnement.</w:t>
      </w:r>
    </w:p>
    <w:p w:rsidR="00BD479B" w:rsidRDefault="00BD479B" w:rsidP="005D7B68">
      <w:pPr>
        <w:tabs>
          <w:tab w:val="left" w:pos="567"/>
          <w:tab w:val="left" w:pos="1134"/>
          <w:tab w:val="left" w:pos="1701"/>
          <w:tab w:val="left" w:pos="2268"/>
        </w:tabs>
        <w:rPr>
          <w:lang w:val="fr-FR"/>
        </w:rPr>
      </w:pPr>
      <w:r>
        <w:rPr>
          <w:lang w:val="fr-FR"/>
        </w:rPr>
        <w:t>22</w:t>
      </w:r>
      <w:r w:rsidR="00260FF1">
        <w:rPr>
          <w:lang w:val="fr-FR"/>
        </w:rPr>
        <w:t>6</w:t>
      </w:r>
      <w:r>
        <w:rPr>
          <w:lang w:val="fr-FR"/>
        </w:rPr>
        <w:t>.</w:t>
      </w:r>
      <w:r>
        <w:rPr>
          <w:lang w:val="fr-FR"/>
        </w:rPr>
        <w:tab/>
        <w:t xml:space="preserve">Depuis la promulgation de ces lois en 2003 et jusqu’au 30 juin 2006, 14 mandats d’interrogatoire </w:t>
      </w:r>
      <w:r w:rsidR="005144E8">
        <w:rPr>
          <w:lang w:val="fr-FR"/>
        </w:rPr>
        <w:t>ont été délivrés, et aucun mandat de placement en détention</w:t>
      </w:r>
      <w:r w:rsidR="008D6B80">
        <w:rPr>
          <w:lang w:val="fr-FR"/>
        </w:rPr>
        <w:t xml:space="preserve">. </w:t>
      </w:r>
      <w:r w:rsidR="005144E8">
        <w:rPr>
          <w:lang w:val="fr-FR"/>
        </w:rPr>
        <w:t>Les informations relatives aux mandats délivrés, le cas échéant, entre le 30 juin 2006 et le 30 juin 2007 seront publiées dans le rapport annuel à venir de l’Agence au Parlement.</w:t>
      </w:r>
    </w:p>
    <w:p w:rsidR="00251D52" w:rsidRPr="00E560D2" w:rsidRDefault="000F455D" w:rsidP="005B7D04">
      <w:pPr>
        <w:tabs>
          <w:tab w:val="left" w:pos="567"/>
          <w:tab w:val="left" w:pos="1134"/>
          <w:tab w:val="left" w:pos="1701"/>
          <w:tab w:val="left" w:pos="2268"/>
        </w:tabs>
        <w:rPr>
          <w:b/>
          <w:bCs/>
          <w:lang w:val="fr-FR"/>
        </w:rPr>
      </w:pPr>
      <w:r>
        <w:rPr>
          <w:b/>
          <w:bCs/>
          <w:lang w:val="fr-FR"/>
        </w:rPr>
        <w:t>Informations des États et des t</w:t>
      </w:r>
      <w:r w:rsidR="00251D52" w:rsidRPr="00E560D2">
        <w:rPr>
          <w:b/>
          <w:bCs/>
          <w:lang w:val="fr-FR"/>
        </w:rPr>
        <w:t>erritoires</w:t>
      </w:r>
    </w:p>
    <w:p w:rsidR="00251D52" w:rsidRDefault="00251D52" w:rsidP="005B7D04">
      <w:pPr>
        <w:tabs>
          <w:tab w:val="left" w:pos="567"/>
          <w:tab w:val="left" w:pos="1134"/>
          <w:tab w:val="left" w:pos="1701"/>
          <w:tab w:val="left" w:pos="2268"/>
        </w:tabs>
        <w:rPr>
          <w:b/>
          <w:bCs/>
          <w:lang w:val="fr-FR"/>
        </w:rPr>
      </w:pPr>
      <w:r>
        <w:rPr>
          <w:b/>
          <w:bCs/>
          <w:lang w:val="fr-FR"/>
        </w:rPr>
        <w:t>Nouvelle</w:t>
      </w:r>
      <w:r w:rsidR="000F455D">
        <w:rPr>
          <w:b/>
          <w:bCs/>
          <w:lang w:val="fr-FR"/>
        </w:rPr>
        <w:noBreakHyphen/>
      </w:r>
      <w:r>
        <w:rPr>
          <w:b/>
          <w:bCs/>
          <w:lang w:val="fr-FR"/>
        </w:rPr>
        <w:t>Galles du Sud</w:t>
      </w:r>
    </w:p>
    <w:p w:rsidR="00251D52" w:rsidRDefault="00251D52" w:rsidP="005B7D04">
      <w:pPr>
        <w:tabs>
          <w:tab w:val="left" w:pos="567"/>
          <w:tab w:val="left" w:pos="1134"/>
          <w:tab w:val="left" w:pos="1701"/>
          <w:tab w:val="left" w:pos="2268"/>
        </w:tabs>
        <w:rPr>
          <w:bCs/>
          <w:lang w:val="fr-FR"/>
        </w:rPr>
      </w:pPr>
      <w:r>
        <w:rPr>
          <w:bCs/>
          <w:lang w:val="fr-FR"/>
        </w:rPr>
        <w:t>22</w:t>
      </w:r>
      <w:r w:rsidR="00260FF1">
        <w:rPr>
          <w:bCs/>
          <w:lang w:val="fr-FR"/>
        </w:rPr>
        <w:t>7</w:t>
      </w:r>
      <w:r>
        <w:rPr>
          <w:bCs/>
          <w:lang w:val="fr-FR"/>
        </w:rPr>
        <w:t>.</w:t>
      </w:r>
      <w:r>
        <w:rPr>
          <w:bCs/>
          <w:lang w:val="fr-FR"/>
        </w:rPr>
        <w:tab/>
        <w:t>Les suspects placés en détention en Nouv</w:t>
      </w:r>
      <w:r w:rsidR="000F455D">
        <w:rPr>
          <w:bCs/>
          <w:lang w:val="fr-FR"/>
        </w:rPr>
        <w:t>elle</w:t>
      </w:r>
      <w:r w:rsidR="000F455D">
        <w:rPr>
          <w:bCs/>
          <w:lang w:val="fr-FR"/>
        </w:rPr>
        <w:noBreakHyphen/>
      </w:r>
      <w:r>
        <w:rPr>
          <w:bCs/>
          <w:lang w:val="fr-FR"/>
        </w:rPr>
        <w:t>Galles du Sud pour des infractions liées au terrorisme l’ont été en vertu des pouvoirs fédéraux</w:t>
      </w:r>
      <w:r w:rsidR="008D6B80">
        <w:rPr>
          <w:bCs/>
          <w:lang w:val="fr-FR"/>
        </w:rPr>
        <w:t xml:space="preserve">. </w:t>
      </w:r>
      <w:r>
        <w:rPr>
          <w:bCs/>
          <w:lang w:val="fr-FR"/>
        </w:rPr>
        <w:t>En 2005, la Nouvelle</w:t>
      </w:r>
      <w:r w:rsidR="000F455D">
        <w:rPr>
          <w:bCs/>
          <w:lang w:val="fr-FR"/>
        </w:rPr>
        <w:noBreakHyphen/>
      </w:r>
      <w:r>
        <w:rPr>
          <w:bCs/>
          <w:lang w:val="fr-FR"/>
        </w:rPr>
        <w:t xml:space="preserve">Galles du Sud a adopté un plan supplémentaire de placement en détention préventive pour ces infractions, qui figure dans la </w:t>
      </w:r>
      <w:r w:rsidRPr="006E4764">
        <w:rPr>
          <w:bCs/>
          <w:lang w:val="fr-FR"/>
        </w:rPr>
        <w:t>loi de 2002 sur le terrorisme (pouvoirs de la police)</w:t>
      </w:r>
      <w:r w:rsidR="008D6B80">
        <w:rPr>
          <w:bCs/>
          <w:lang w:val="fr-FR"/>
        </w:rPr>
        <w:t xml:space="preserve">. </w:t>
      </w:r>
      <w:r>
        <w:rPr>
          <w:bCs/>
          <w:lang w:val="fr-FR"/>
        </w:rPr>
        <w:t xml:space="preserve">Il n’a pas n’a pas été mis en œuvre. </w:t>
      </w:r>
    </w:p>
    <w:p w:rsidR="00D456B0" w:rsidRDefault="00251D52" w:rsidP="005B7D04">
      <w:pPr>
        <w:keepNext/>
        <w:tabs>
          <w:tab w:val="left" w:pos="567"/>
          <w:tab w:val="left" w:pos="1134"/>
          <w:tab w:val="left" w:pos="1701"/>
          <w:tab w:val="left" w:pos="2268"/>
        </w:tabs>
        <w:rPr>
          <w:bCs/>
          <w:lang w:val="fr-FR"/>
        </w:rPr>
      </w:pPr>
      <w:r>
        <w:rPr>
          <w:bCs/>
          <w:lang w:val="fr-FR"/>
        </w:rPr>
        <w:t>22</w:t>
      </w:r>
      <w:r w:rsidR="00260FF1">
        <w:rPr>
          <w:bCs/>
          <w:lang w:val="fr-FR"/>
        </w:rPr>
        <w:t>8</w:t>
      </w:r>
      <w:r>
        <w:rPr>
          <w:bCs/>
          <w:lang w:val="fr-FR"/>
        </w:rPr>
        <w:t>.</w:t>
      </w:r>
      <w:r>
        <w:rPr>
          <w:bCs/>
          <w:lang w:val="fr-FR"/>
        </w:rPr>
        <w:tab/>
      </w:r>
      <w:r w:rsidR="00A5780A">
        <w:rPr>
          <w:bCs/>
          <w:lang w:val="fr-FR"/>
        </w:rPr>
        <w:t>Le Gouvernement de</w:t>
      </w:r>
      <w:r w:rsidR="00D456B0">
        <w:rPr>
          <w:bCs/>
          <w:lang w:val="fr-FR"/>
        </w:rPr>
        <w:t xml:space="preserve"> </w:t>
      </w:r>
      <w:r w:rsidR="000F455D">
        <w:rPr>
          <w:bCs/>
          <w:lang w:val="fr-FR"/>
        </w:rPr>
        <w:t>Nouvelle</w:t>
      </w:r>
      <w:r w:rsidR="000F455D">
        <w:rPr>
          <w:bCs/>
          <w:lang w:val="fr-FR"/>
        </w:rPr>
        <w:noBreakHyphen/>
      </w:r>
      <w:r w:rsidR="00680966">
        <w:rPr>
          <w:bCs/>
          <w:lang w:val="fr-FR"/>
        </w:rPr>
        <w:t>Galles du Sud</w:t>
      </w:r>
      <w:r w:rsidR="00D456B0">
        <w:rPr>
          <w:bCs/>
          <w:lang w:val="fr-FR"/>
        </w:rPr>
        <w:t xml:space="preserve"> a mis </w:t>
      </w:r>
      <w:r w:rsidR="00AA17DA">
        <w:rPr>
          <w:bCs/>
          <w:lang w:val="fr-FR"/>
        </w:rPr>
        <w:t>au point un cadre législatif</w:t>
      </w:r>
      <w:r w:rsidR="00D456B0">
        <w:rPr>
          <w:bCs/>
          <w:lang w:val="fr-FR"/>
        </w:rPr>
        <w:t xml:space="preserve"> permet</w:t>
      </w:r>
      <w:r w:rsidR="00AA17DA">
        <w:rPr>
          <w:bCs/>
          <w:lang w:val="fr-FR"/>
        </w:rPr>
        <w:t>tant</w:t>
      </w:r>
      <w:r w:rsidR="00D456B0">
        <w:rPr>
          <w:bCs/>
          <w:lang w:val="fr-FR"/>
        </w:rPr>
        <w:t xml:space="preserve"> d’obtenir un équilibre entre les deux impératifs que sont des pouvoirs policiers appropriés et la protection des libertés civiles</w:t>
      </w:r>
      <w:r w:rsidR="008D6B80">
        <w:rPr>
          <w:bCs/>
          <w:lang w:val="fr-FR"/>
        </w:rPr>
        <w:t xml:space="preserve">. </w:t>
      </w:r>
      <w:r w:rsidR="00D456B0">
        <w:rPr>
          <w:bCs/>
          <w:lang w:val="fr-FR"/>
        </w:rPr>
        <w:t>Les ordonnances de contrôle et de pl</w:t>
      </w:r>
      <w:r w:rsidR="006E4764">
        <w:rPr>
          <w:bCs/>
          <w:lang w:val="fr-FR"/>
        </w:rPr>
        <w:t>acement en détention préventive</w:t>
      </w:r>
      <w:r w:rsidR="00D456B0">
        <w:rPr>
          <w:bCs/>
          <w:lang w:val="fr-FR"/>
        </w:rPr>
        <w:t xml:space="preserve"> sont assorties des garanties ci-après</w:t>
      </w:r>
      <w:r w:rsidR="00572260">
        <w:rPr>
          <w:bCs/>
          <w:lang w:val="fr-FR"/>
        </w:rPr>
        <w:t>:</w:t>
      </w:r>
    </w:p>
    <w:p w:rsidR="00D456B0" w:rsidRDefault="00D456B0" w:rsidP="00E0029F">
      <w:pPr>
        <w:keepNext/>
        <w:numPr>
          <w:ilvl w:val="0"/>
          <w:numId w:val="19"/>
        </w:numPr>
        <w:tabs>
          <w:tab w:val="left" w:pos="567"/>
          <w:tab w:val="left" w:pos="1134"/>
          <w:tab w:val="left" w:pos="1701"/>
          <w:tab w:val="left" w:pos="2268"/>
        </w:tabs>
        <w:rPr>
          <w:bCs/>
          <w:lang w:val="fr-FR"/>
        </w:rPr>
      </w:pPr>
      <w:r>
        <w:rPr>
          <w:bCs/>
          <w:lang w:val="fr-FR"/>
        </w:rPr>
        <w:t>Nul ne peut être placé en détention au t</w:t>
      </w:r>
      <w:r w:rsidR="00B54385">
        <w:rPr>
          <w:bCs/>
          <w:lang w:val="fr-FR"/>
        </w:rPr>
        <w:t>itre d’aucun ensemble d’ordonnances</w:t>
      </w:r>
      <w:r>
        <w:rPr>
          <w:bCs/>
          <w:lang w:val="fr-FR"/>
        </w:rPr>
        <w:t xml:space="preserve"> de placement en détention préventive pendant plus de </w:t>
      </w:r>
      <w:r w:rsidR="000F455D">
        <w:rPr>
          <w:bCs/>
          <w:lang w:val="fr-FR"/>
        </w:rPr>
        <w:t>quatorze</w:t>
      </w:r>
      <w:r>
        <w:rPr>
          <w:bCs/>
          <w:lang w:val="fr-FR"/>
        </w:rPr>
        <w:t xml:space="preserve"> jours en tout</w:t>
      </w:r>
      <w:r w:rsidR="00345424">
        <w:rPr>
          <w:bCs/>
          <w:lang w:val="fr-FR"/>
        </w:rPr>
        <w:t>;</w:t>
      </w:r>
    </w:p>
    <w:p w:rsidR="00D456B0" w:rsidRDefault="006E4764" w:rsidP="00E0029F">
      <w:pPr>
        <w:numPr>
          <w:ilvl w:val="0"/>
          <w:numId w:val="19"/>
        </w:numPr>
        <w:tabs>
          <w:tab w:val="left" w:pos="567"/>
          <w:tab w:val="left" w:pos="1134"/>
          <w:tab w:val="left" w:pos="1701"/>
          <w:tab w:val="left" w:pos="2268"/>
        </w:tabs>
        <w:rPr>
          <w:bCs/>
          <w:lang w:val="fr-FR"/>
        </w:rPr>
      </w:pPr>
      <w:r>
        <w:rPr>
          <w:bCs/>
          <w:lang w:val="fr-FR"/>
        </w:rPr>
        <w:t>Toute</w:t>
      </w:r>
      <w:r w:rsidR="00D456B0">
        <w:rPr>
          <w:bCs/>
          <w:lang w:val="fr-FR"/>
        </w:rPr>
        <w:t xml:space="preserve"> personne placée en détention préventive ou la police peut solliciter </w:t>
      </w:r>
      <w:r w:rsidR="00D456B0" w:rsidRPr="00E11A7E">
        <w:rPr>
          <w:bCs/>
          <w:lang w:val="fr-FR"/>
        </w:rPr>
        <w:t xml:space="preserve">l’annulation </w:t>
      </w:r>
      <w:r w:rsidR="00B54385">
        <w:rPr>
          <w:bCs/>
          <w:lang w:val="fr-FR"/>
        </w:rPr>
        <w:t>de l’ordonnance</w:t>
      </w:r>
      <w:r w:rsidR="00D456B0">
        <w:rPr>
          <w:bCs/>
          <w:lang w:val="fr-FR"/>
        </w:rPr>
        <w:t xml:space="preserve"> (à quelque stade que ce soi</w:t>
      </w:r>
      <w:r w:rsidR="00E560D2">
        <w:rPr>
          <w:bCs/>
          <w:lang w:val="fr-FR"/>
        </w:rPr>
        <w:t>t) auprès d’un juge de la Cour s</w:t>
      </w:r>
      <w:r w:rsidR="00345424">
        <w:rPr>
          <w:bCs/>
          <w:lang w:val="fr-FR"/>
        </w:rPr>
        <w:t>uprême;</w:t>
      </w:r>
    </w:p>
    <w:p w:rsidR="004B2431" w:rsidRPr="00E11A7E" w:rsidRDefault="00D456B0" w:rsidP="00E0029F">
      <w:pPr>
        <w:numPr>
          <w:ilvl w:val="0"/>
          <w:numId w:val="19"/>
        </w:numPr>
        <w:tabs>
          <w:tab w:val="left" w:pos="567"/>
          <w:tab w:val="left" w:pos="1134"/>
          <w:tab w:val="left" w:pos="1701"/>
          <w:tab w:val="left" w:pos="2268"/>
        </w:tabs>
        <w:rPr>
          <w:bCs/>
          <w:lang w:val="fr-FR"/>
        </w:rPr>
      </w:pPr>
      <w:r>
        <w:rPr>
          <w:bCs/>
          <w:lang w:val="fr-FR"/>
        </w:rPr>
        <w:t>Quico</w:t>
      </w:r>
      <w:r w:rsidR="00B54385">
        <w:rPr>
          <w:bCs/>
          <w:lang w:val="fr-FR"/>
        </w:rPr>
        <w:t>nque faisant l’objet d’une ordonnance de placement en</w:t>
      </w:r>
      <w:r>
        <w:rPr>
          <w:bCs/>
          <w:lang w:val="fr-FR"/>
        </w:rPr>
        <w:t xml:space="preserve"> détention préventive a droit à </w:t>
      </w:r>
      <w:r w:rsidRPr="00E11A7E">
        <w:rPr>
          <w:bCs/>
          <w:lang w:val="fr-FR"/>
        </w:rPr>
        <w:t>une représen</w:t>
      </w:r>
      <w:r w:rsidR="00E11A7E" w:rsidRPr="00E11A7E">
        <w:rPr>
          <w:bCs/>
          <w:lang w:val="fr-FR"/>
        </w:rPr>
        <w:t>tation judiciaire</w:t>
      </w:r>
      <w:r w:rsidR="00345424">
        <w:rPr>
          <w:bCs/>
          <w:lang w:val="fr-FR"/>
        </w:rPr>
        <w:t>;</w:t>
      </w:r>
    </w:p>
    <w:p w:rsidR="004B2431" w:rsidRDefault="004B2431" w:rsidP="00E0029F">
      <w:pPr>
        <w:numPr>
          <w:ilvl w:val="0"/>
          <w:numId w:val="19"/>
        </w:numPr>
        <w:tabs>
          <w:tab w:val="left" w:pos="567"/>
          <w:tab w:val="left" w:pos="1134"/>
          <w:tab w:val="left" w:pos="1701"/>
          <w:tab w:val="left" w:pos="2268"/>
        </w:tabs>
        <w:rPr>
          <w:bCs/>
          <w:color w:val="000000"/>
          <w:lang w:val="fr-FR"/>
        </w:rPr>
      </w:pPr>
      <w:r w:rsidRPr="004B2431">
        <w:rPr>
          <w:bCs/>
          <w:color w:val="000000"/>
          <w:lang w:val="fr-FR"/>
        </w:rPr>
        <w:t>Les</w:t>
      </w:r>
      <w:r w:rsidR="00345424">
        <w:rPr>
          <w:bCs/>
          <w:color w:val="000000"/>
          <w:lang w:val="fr-FR"/>
        </w:rPr>
        <w:t xml:space="preserve"> audiences ont lieu à huis clos;</w:t>
      </w:r>
    </w:p>
    <w:p w:rsidR="004B2431" w:rsidRDefault="004B2431" w:rsidP="00E0029F">
      <w:pPr>
        <w:numPr>
          <w:ilvl w:val="0"/>
          <w:numId w:val="19"/>
        </w:numPr>
        <w:tabs>
          <w:tab w:val="left" w:pos="567"/>
          <w:tab w:val="left" w:pos="1134"/>
          <w:tab w:val="left" w:pos="1701"/>
          <w:tab w:val="left" w:pos="2268"/>
        </w:tabs>
        <w:rPr>
          <w:bCs/>
          <w:color w:val="000000"/>
          <w:lang w:val="fr-FR"/>
        </w:rPr>
      </w:pPr>
      <w:r>
        <w:rPr>
          <w:bCs/>
          <w:color w:val="000000"/>
          <w:lang w:val="fr-FR"/>
        </w:rPr>
        <w:t>Les informations au vu desquelle</w:t>
      </w:r>
      <w:r w:rsidR="00B54385">
        <w:rPr>
          <w:bCs/>
          <w:color w:val="000000"/>
          <w:lang w:val="fr-FR"/>
        </w:rPr>
        <w:t>s la police demande une ordonnance</w:t>
      </w:r>
      <w:r>
        <w:rPr>
          <w:bCs/>
          <w:color w:val="000000"/>
          <w:lang w:val="fr-FR"/>
        </w:rPr>
        <w:t xml:space="preserve"> de placement en détention préventive sont mises à la disposition de l’intéressé, sous réserve de toute prescription imposant de ne pas les communiquer au titre de la loi sur les informations relatives à la sécurité nationale (poursuites pénales et civiles)</w:t>
      </w:r>
      <w:r w:rsidR="004B3D2E">
        <w:rPr>
          <w:bCs/>
          <w:color w:val="000000"/>
          <w:lang w:val="fr-FR"/>
        </w:rPr>
        <w:t xml:space="preserve"> dans l’intérêt généra</w:t>
      </w:r>
      <w:r w:rsidR="00194973">
        <w:rPr>
          <w:bCs/>
          <w:color w:val="000000"/>
          <w:lang w:val="fr-FR"/>
        </w:rPr>
        <w:t>l</w:t>
      </w:r>
      <w:r w:rsidR="00345424">
        <w:rPr>
          <w:bCs/>
          <w:color w:val="000000"/>
          <w:lang w:val="fr-FR"/>
        </w:rPr>
        <w:t>;</w:t>
      </w:r>
    </w:p>
    <w:p w:rsidR="004B3D2E" w:rsidRDefault="004B3D2E" w:rsidP="00E0029F">
      <w:pPr>
        <w:numPr>
          <w:ilvl w:val="0"/>
          <w:numId w:val="19"/>
        </w:numPr>
        <w:tabs>
          <w:tab w:val="left" w:pos="567"/>
          <w:tab w:val="left" w:pos="1134"/>
          <w:tab w:val="left" w:pos="1701"/>
          <w:tab w:val="left" w:pos="2268"/>
        </w:tabs>
        <w:rPr>
          <w:bCs/>
          <w:color w:val="000000"/>
          <w:lang w:val="fr-FR"/>
        </w:rPr>
      </w:pPr>
      <w:r>
        <w:rPr>
          <w:bCs/>
          <w:color w:val="000000"/>
          <w:lang w:val="fr-FR"/>
        </w:rPr>
        <w:t xml:space="preserve">Le fait pour la personne placée en détention préventive de révéler à autrui qu’elle </w:t>
      </w:r>
      <w:r w:rsidR="00B54385">
        <w:rPr>
          <w:bCs/>
          <w:color w:val="000000"/>
          <w:lang w:val="fr-FR"/>
        </w:rPr>
        <w:t>est détenue au titre d’une ordonnance</w:t>
      </w:r>
      <w:r>
        <w:rPr>
          <w:bCs/>
          <w:color w:val="000000"/>
          <w:lang w:val="fr-FR"/>
        </w:rPr>
        <w:t xml:space="preserve"> de placement en détention préventive n’est</w:t>
      </w:r>
      <w:r w:rsidR="006E4764">
        <w:rPr>
          <w:bCs/>
          <w:color w:val="000000"/>
          <w:lang w:val="fr-FR"/>
        </w:rPr>
        <w:t xml:space="preserve"> pas</w:t>
      </w:r>
      <w:r>
        <w:rPr>
          <w:bCs/>
          <w:color w:val="000000"/>
          <w:lang w:val="fr-FR"/>
        </w:rPr>
        <w:t xml:space="preserve"> constitutif d’une infraction</w:t>
      </w:r>
      <w:r w:rsidR="00345424">
        <w:rPr>
          <w:bCs/>
          <w:color w:val="000000"/>
          <w:lang w:val="fr-FR"/>
        </w:rPr>
        <w:t>;</w:t>
      </w:r>
    </w:p>
    <w:p w:rsidR="007C30C1" w:rsidRDefault="00B54385" w:rsidP="00E0029F">
      <w:pPr>
        <w:numPr>
          <w:ilvl w:val="0"/>
          <w:numId w:val="19"/>
        </w:numPr>
        <w:tabs>
          <w:tab w:val="left" w:pos="567"/>
          <w:tab w:val="left" w:pos="1134"/>
          <w:tab w:val="left" w:pos="1701"/>
          <w:tab w:val="left" w:pos="2268"/>
        </w:tabs>
        <w:rPr>
          <w:bCs/>
          <w:color w:val="000000"/>
          <w:lang w:val="fr-FR"/>
        </w:rPr>
      </w:pPr>
      <w:r>
        <w:rPr>
          <w:bCs/>
          <w:color w:val="000000"/>
          <w:lang w:val="fr-FR"/>
        </w:rPr>
        <w:t>Ces ordonnances</w:t>
      </w:r>
      <w:r w:rsidR="007C30C1">
        <w:rPr>
          <w:bCs/>
          <w:color w:val="000000"/>
          <w:lang w:val="fr-FR"/>
        </w:rPr>
        <w:t xml:space="preserve"> ne peuvent pas être obtenu</w:t>
      </w:r>
      <w:r>
        <w:rPr>
          <w:bCs/>
          <w:color w:val="000000"/>
          <w:lang w:val="fr-FR"/>
        </w:rPr>
        <w:t>e</w:t>
      </w:r>
      <w:r w:rsidR="007C30C1">
        <w:rPr>
          <w:bCs/>
          <w:color w:val="000000"/>
          <w:lang w:val="fr-FR"/>
        </w:rPr>
        <w:t>s pour des personnes âgées de moins de 16 ans et des dispositions spéciales s’appliquent aux</w:t>
      </w:r>
      <w:r w:rsidR="00345424">
        <w:rPr>
          <w:bCs/>
          <w:color w:val="000000"/>
          <w:lang w:val="fr-FR"/>
        </w:rPr>
        <w:t xml:space="preserve"> personnes âgées de 16 à 18 ans;</w:t>
      </w:r>
    </w:p>
    <w:p w:rsidR="007C30C1" w:rsidRDefault="007C30C1" w:rsidP="00E0029F">
      <w:pPr>
        <w:numPr>
          <w:ilvl w:val="0"/>
          <w:numId w:val="19"/>
        </w:numPr>
        <w:tabs>
          <w:tab w:val="left" w:pos="567"/>
          <w:tab w:val="left" w:pos="1134"/>
          <w:tab w:val="left" w:pos="1701"/>
          <w:tab w:val="left" w:pos="2268"/>
        </w:tabs>
        <w:rPr>
          <w:bCs/>
          <w:color w:val="000000"/>
          <w:lang w:val="fr-FR"/>
        </w:rPr>
      </w:pPr>
      <w:r>
        <w:rPr>
          <w:bCs/>
          <w:color w:val="000000"/>
          <w:lang w:val="fr-FR"/>
        </w:rPr>
        <w:t>Il est interdit de questionner une personne placée en détention au titre d’un</w:t>
      </w:r>
      <w:r w:rsidR="00B54385">
        <w:rPr>
          <w:bCs/>
          <w:color w:val="000000"/>
          <w:lang w:val="fr-FR"/>
        </w:rPr>
        <w:t>e ordonnance</w:t>
      </w:r>
      <w:r>
        <w:rPr>
          <w:bCs/>
          <w:color w:val="000000"/>
          <w:lang w:val="fr-FR"/>
        </w:rPr>
        <w:t xml:space="preserve"> de placement en détention préventive, sauf pour vérifier son iden</w:t>
      </w:r>
      <w:r w:rsidR="00345424">
        <w:rPr>
          <w:bCs/>
          <w:color w:val="000000"/>
          <w:lang w:val="fr-FR"/>
        </w:rPr>
        <w:t>tité;</w:t>
      </w:r>
    </w:p>
    <w:p w:rsidR="007C30C1" w:rsidRDefault="007C30C1" w:rsidP="00E0029F">
      <w:pPr>
        <w:numPr>
          <w:ilvl w:val="0"/>
          <w:numId w:val="19"/>
        </w:numPr>
        <w:tabs>
          <w:tab w:val="left" w:pos="567"/>
          <w:tab w:val="left" w:pos="1134"/>
          <w:tab w:val="left" w:pos="1701"/>
          <w:tab w:val="left" w:pos="2268"/>
        </w:tabs>
        <w:rPr>
          <w:bCs/>
          <w:color w:val="000000"/>
          <w:lang w:val="fr-FR"/>
        </w:rPr>
      </w:pPr>
      <w:r>
        <w:rPr>
          <w:bCs/>
          <w:color w:val="000000"/>
          <w:lang w:val="fr-FR"/>
        </w:rPr>
        <w:t xml:space="preserve">Quiconque, au </w:t>
      </w:r>
      <w:r w:rsidR="009C70B7">
        <w:rPr>
          <w:bCs/>
          <w:color w:val="000000"/>
          <w:lang w:val="fr-FR"/>
        </w:rPr>
        <w:t>cours de l’exécution d’une ordonnance</w:t>
      </w:r>
      <w:r>
        <w:rPr>
          <w:bCs/>
          <w:color w:val="000000"/>
          <w:lang w:val="fr-FR"/>
        </w:rPr>
        <w:t xml:space="preserve"> de placement en détention préventive, ne traite pas l’intéressé avec humanité et dignité se rend coupable d’une infraction</w:t>
      </w:r>
      <w:r w:rsidR="00345424">
        <w:rPr>
          <w:bCs/>
          <w:color w:val="000000"/>
          <w:lang w:val="fr-FR"/>
        </w:rPr>
        <w:t>;</w:t>
      </w:r>
    </w:p>
    <w:p w:rsidR="00252BBB" w:rsidRDefault="00252BBB" w:rsidP="00E0029F">
      <w:pPr>
        <w:numPr>
          <w:ilvl w:val="0"/>
          <w:numId w:val="19"/>
        </w:numPr>
        <w:tabs>
          <w:tab w:val="left" w:pos="567"/>
          <w:tab w:val="left" w:pos="1134"/>
          <w:tab w:val="left" w:pos="1701"/>
          <w:tab w:val="left" w:pos="2268"/>
        </w:tabs>
        <w:rPr>
          <w:bCs/>
          <w:color w:val="000000"/>
          <w:lang w:val="fr-FR"/>
        </w:rPr>
      </w:pPr>
      <w:r>
        <w:rPr>
          <w:bCs/>
          <w:color w:val="000000"/>
          <w:lang w:val="fr-FR"/>
        </w:rPr>
        <w:t>La police est placée sous</w:t>
      </w:r>
      <w:r w:rsidR="00DB0B89">
        <w:rPr>
          <w:bCs/>
          <w:color w:val="000000"/>
          <w:lang w:val="fr-FR"/>
        </w:rPr>
        <w:t xml:space="preserve"> le contrôle</w:t>
      </w:r>
      <w:r>
        <w:rPr>
          <w:bCs/>
          <w:color w:val="000000"/>
          <w:lang w:val="fr-FR"/>
        </w:rPr>
        <w:t xml:space="preserve"> du Médiateur et d</w:t>
      </w:r>
      <w:r w:rsidR="00380077">
        <w:rPr>
          <w:bCs/>
          <w:lang w:val="fr-FR"/>
        </w:rPr>
        <w:t>e la Commission pour l’intégrité de la police</w:t>
      </w:r>
      <w:r w:rsidR="008D6B80">
        <w:rPr>
          <w:bCs/>
          <w:lang w:val="fr-FR"/>
        </w:rPr>
        <w:t xml:space="preserve">. </w:t>
      </w:r>
      <w:r>
        <w:rPr>
          <w:bCs/>
          <w:lang w:val="fr-FR"/>
        </w:rPr>
        <w:t>L’</w:t>
      </w:r>
      <w:r w:rsidRPr="00830892">
        <w:rPr>
          <w:bCs/>
          <w:lang w:val="fr-FR"/>
        </w:rPr>
        <w:t xml:space="preserve">Attorney </w:t>
      </w:r>
      <w:r w:rsidR="00830892">
        <w:rPr>
          <w:bCs/>
          <w:lang w:val="fr-FR"/>
        </w:rPr>
        <w:t>gé</w:t>
      </w:r>
      <w:r w:rsidRPr="00830892">
        <w:rPr>
          <w:bCs/>
          <w:lang w:val="fr-FR"/>
        </w:rPr>
        <w:t>n</w:t>
      </w:r>
      <w:r w:rsidR="00830892">
        <w:rPr>
          <w:bCs/>
          <w:lang w:val="fr-FR"/>
        </w:rPr>
        <w:t>é</w:t>
      </w:r>
      <w:r w:rsidRPr="00830892">
        <w:rPr>
          <w:bCs/>
          <w:lang w:val="fr-FR"/>
        </w:rPr>
        <w:t>ral</w:t>
      </w:r>
      <w:r w:rsidR="007C30C1">
        <w:rPr>
          <w:bCs/>
          <w:color w:val="000000"/>
          <w:lang w:val="fr-FR"/>
        </w:rPr>
        <w:t xml:space="preserve"> </w:t>
      </w:r>
      <w:r>
        <w:rPr>
          <w:bCs/>
          <w:color w:val="000000"/>
          <w:lang w:val="fr-FR"/>
        </w:rPr>
        <w:t xml:space="preserve">et le Ministre de la police doivent établir un rapport annuel, </w:t>
      </w:r>
      <w:r w:rsidR="000F67DE">
        <w:rPr>
          <w:bCs/>
          <w:color w:val="000000"/>
          <w:lang w:val="fr-FR"/>
        </w:rPr>
        <w:t>présenté au Parlement, sur l’application de</w:t>
      </w:r>
      <w:r>
        <w:rPr>
          <w:bCs/>
          <w:color w:val="000000"/>
          <w:lang w:val="fr-FR"/>
        </w:rPr>
        <w:t xml:space="preserve"> la loi</w:t>
      </w:r>
      <w:r w:rsidR="00345424">
        <w:rPr>
          <w:bCs/>
          <w:color w:val="000000"/>
          <w:lang w:val="fr-FR"/>
        </w:rPr>
        <w:t>;</w:t>
      </w:r>
    </w:p>
    <w:p w:rsidR="007C30C1" w:rsidRDefault="000F67DE" w:rsidP="00E0029F">
      <w:pPr>
        <w:numPr>
          <w:ilvl w:val="0"/>
          <w:numId w:val="19"/>
        </w:numPr>
        <w:tabs>
          <w:tab w:val="left" w:pos="567"/>
          <w:tab w:val="left" w:pos="1134"/>
          <w:tab w:val="left" w:pos="1701"/>
          <w:tab w:val="left" w:pos="2268"/>
        </w:tabs>
        <w:rPr>
          <w:bCs/>
          <w:color w:val="000000"/>
          <w:lang w:val="fr-FR"/>
        </w:rPr>
      </w:pPr>
      <w:r>
        <w:rPr>
          <w:bCs/>
          <w:color w:val="000000"/>
          <w:lang w:val="fr-FR"/>
        </w:rPr>
        <w:t>La loi</w:t>
      </w:r>
      <w:r w:rsidR="00345424">
        <w:rPr>
          <w:bCs/>
          <w:color w:val="000000"/>
          <w:lang w:val="fr-FR"/>
        </w:rPr>
        <w:t xml:space="preserve"> de la Nouvelle</w:t>
      </w:r>
      <w:r w:rsidR="00345424">
        <w:rPr>
          <w:bCs/>
          <w:color w:val="000000"/>
          <w:lang w:val="fr-FR"/>
        </w:rPr>
        <w:noBreakHyphen/>
      </w:r>
      <w:r w:rsidR="00252BBB">
        <w:rPr>
          <w:bCs/>
          <w:color w:val="000000"/>
          <w:lang w:val="fr-FR"/>
        </w:rPr>
        <w:t xml:space="preserve">Galles du Sud </w:t>
      </w:r>
      <w:r>
        <w:rPr>
          <w:bCs/>
          <w:color w:val="000000"/>
          <w:lang w:val="fr-FR"/>
        </w:rPr>
        <w:t xml:space="preserve">sera examinée de près, pendant une période de cinq ans, par le Médiateur, qui établira des rapports sur son application deux et </w:t>
      </w:r>
      <w:r w:rsidR="00345424">
        <w:rPr>
          <w:bCs/>
          <w:color w:val="000000"/>
          <w:lang w:val="fr-FR"/>
        </w:rPr>
        <w:t>cinq ans après sa mise en œuvre;</w:t>
      </w:r>
    </w:p>
    <w:p w:rsidR="000F67DE" w:rsidRPr="005B7D04" w:rsidRDefault="000F67DE" w:rsidP="0051618C">
      <w:pPr>
        <w:numPr>
          <w:ilvl w:val="0"/>
          <w:numId w:val="19"/>
        </w:numPr>
        <w:tabs>
          <w:tab w:val="left" w:pos="567"/>
          <w:tab w:val="left" w:pos="1134"/>
          <w:tab w:val="left" w:pos="1701"/>
          <w:tab w:val="left" w:pos="2268"/>
        </w:tabs>
        <w:rPr>
          <w:bCs/>
          <w:lang w:val="fr-FR"/>
        </w:rPr>
      </w:pPr>
      <w:r w:rsidRPr="005B7D04">
        <w:rPr>
          <w:bCs/>
          <w:lang w:val="fr-FR"/>
        </w:rPr>
        <w:t xml:space="preserve">Le cadre législatif s’éteindra au bout de </w:t>
      </w:r>
      <w:r w:rsidR="00345424" w:rsidRPr="005B7D04">
        <w:rPr>
          <w:bCs/>
          <w:lang w:val="fr-FR"/>
        </w:rPr>
        <w:t>dix</w:t>
      </w:r>
      <w:r w:rsidRPr="005B7D04">
        <w:rPr>
          <w:bCs/>
          <w:lang w:val="fr-FR"/>
        </w:rPr>
        <w:t xml:space="preserve"> ans</w:t>
      </w:r>
      <w:r w:rsidR="00345424" w:rsidRPr="005B7D04">
        <w:rPr>
          <w:bCs/>
          <w:lang w:val="fr-FR"/>
        </w:rPr>
        <w:t>;</w:t>
      </w:r>
    </w:p>
    <w:p w:rsidR="000F67DE" w:rsidRDefault="006E4764" w:rsidP="0051618C">
      <w:pPr>
        <w:numPr>
          <w:ilvl w:val="0"/>
          <w:numId w:val="19"/>
        </w:numPr>
        <w:tabs>
          <w:tab w:val="left" w:pos="567"/>
          <w:tab w:val="left" w:pos="1134"/>
          <w:tab w:val="left" w:pos="1701"/>
          <w:tab w:val="left" w:pos="2268"/>
        </w:tabs>
        <w:rPr>
          <w:bCs/>
          <w:lang w:val="fr-FR"/>
        </w:rPr>
      </w:pPr>
      <w:r w:rsidRPr="005B7D04">
        <w:rPr>
          <w:bCs/>
          <w:lang w:val="fr-FR"/>
        </w:rPr>
        <w:t>U</w:t>
      </w:r>
      <w:r w:rsidR="009C70B7" w:rsidRPr="005B7D04">
        <w:rPr>
          <w:bCs/>
          <w:lang w:val="fr-FR"/>
        </w:rPr>
        <w:t>ne ordonnance</w:t>
      </w:r>
      <w:r w:rsidR="000F67DE" w:rsidRPr="005B7D04">
        <w:rPr>
          <w:bCs/>
          <w:lang w:val="fr-FR"/>
        </w:rPr>
        <w:t xml:space="preserve"> de placement en détention préventive ne peut être </w:t>
      </w:r>
      <w:r w:rsidR="000F67DE" w:rsidRPr="00E11A7E">
        <w:rPr>
          <w:bCs/>
          <w:lang w:val="fr-FR"/>
        </w:rPr>
        <w:t>délivré</w:t>
      </w:r>
      <w:r w:rsidRPr="00E11A7E">
        <w:rPr>
          <w:bCs/>
          <w:lang w:val="fr-FR"/>
        </w:rPr>
        <w:t>e</w:t>
      </w:r>
      <w:r w:rsidR="000F67DE" w:rsidRPr="00E11A7E">
        <w:rPr>
          <w:bCs/>
          <w:lang w:val="fr-FR"/>
        </w:rPr>
        <w:t xml:space="preserve"> qu’après une audience </w:t>
      </w:r>
      <w:r w:rsidR="00DB0B89" w:rsidRPr="00E11A7E">
        <w:rPr>
          <w:bCs/>
          <w:lang w:val="fr-FR"/>
        </w:rPr>
        <w:t>de vérification à laquelle les deux parties peuvent être présentes et être entendues</w:t>
      </w:r>
      <w:r w:rsidR="008D6B80">
        <w:rPr>
          <w:bCs/>
          <w:lang w:val="fr-FR"/>
        </w:rPr>
        <w:t xml:space="preserve">. </w:t>
      </w:r>
      <w:r w:rsidR="00DB0B89" w:rsidRPr="00E11A7E">
        <w:rPr>
          <w:bCs/>
          <w:lang w:val="fr-FR"/>
        </w:rPr>
        <w:t>Une copie de tout</w:t>
      </w:r>
      <w:r w:rsidR="009C70B7" w:rsidRPr="00E11A7E">
        <w:rPr>
          <w:bCs/>
          <w:lang w:val="fr-FR"/>
        </w:rPr>
        <w:t>e ordonnance</w:t>
      </w:r>
      <w:r w:rsidR="00DB0B89" w:rsidRPr="00E11A7E">
        <w:rPr>
          <w:bCs/>
          <w:lang w:val="fr-FR"/>
        </w:rPr>
        <w:t xml:space="preserve"> temporaire ainsi qu’un résumé des m</w:t>
      </w:r>
      <w:r w:rsidR="00DB0B89" w:rsidRPr="00DB0B89">
        <w:rPr>
          <w:bCs/>
          <w:lang w:val="fr-FR"/>
        </w:rPr>
        <w:t>otifs pour lesquels</w:t>
      </w:r>
      <w:r w:rsidR="00DB0B89">
        <w:rPr>
          <w:bCs/>
          <w:color w:val="0000FF"/>
          <w:lang w:val="fr-FR"/>
        </w:rPr>
        <w:t xml:space="preserve"> </w:t>
      </w:r>
      <w:r w:rsidR="00DB0B89" w:rsidRPr="00DB0B89">
        <w:rPr>
          <w:bCs/>
          <w:lang w:val="fr-FR"/>
        </w:rPr>
        <w:t>ce</w:t>
      </w:r>
      <w:r>
        <w:rPr>
          <w:bCs/>
          <w:lang w:val="fr-FR"/>
        </w:rPr>
        <w:t>tte dernière</w:t>
      </w:r>
      <w:r w:rsidR="00DB0B89" w:rsidRPr="00DB0B89">
        <w:rPr>
          <w:bCs/>
          <w:lang w:val="fr-FR"/>
        </w:rPr>
        <w:t xml:space="preserve"> a été délivré</w:t>
      </w:r>
      <w:r>
        <w:rPr>
          <w:bCs/>
          <w:lang w:val="fr-FR"/>
        </w:rPr>
        <w:t>e</w:t>
      </w:r>
      <w:r w:rsidR="00DB0B89" w:rsidRPr="00DB0B89">
        <w:rPr>
          <w:bCs/>
          <w:lang w:val="fr-FR"/>
        </w:rPr>
        <w:t xml:space="preserve"> doivent</w:t>
      </w:r>
      <w:r w:rsidR="00345424">
        <w:rPr>
          <w:bCs/>
          <w:lang w:val="fr-FR"/>
        </w:rPr>
        <w:t xml:space="preserve"> être remis aux intéressés;</w:t>
      </w:r>
    </w:p>
    <w:p w:rsidR="00DB0B89" w:rsidRDefault="009C70B7" w:rsidP="0051618C">
      <w:pPr>
        <w:numPr>
          <w:ilvl w:val="0"/>
          <w:numId w:val="19"/>
        </w:numPr>
        <w:tabs>
          <w:tab w:val="left" w:pos="567"/>
          <w:tab w:val="left" w:pos="1134"/>
          <w:tab w:val="left" w:pos="1701"/>
          <w:tab w:val="left" w:pos="2268"/>
        </w:tabs>
        <w:rPr>
          <w:bCs/>
          <w:lang w:val="fr-FR"/>
        </w:rPr>
      </w:pPr>
      <w:r>
        <w:rPr>
          <w:bCs/>
          <w:lang w:val="fr-FR"/>
        </w:rPr>
        <w:t>Les ordonnances</w:t>
      </w:r>
      <w:r w:rsidR="00DB0B89">
        <w:rPr>
          <w:bCs/>
          <w:lang w:val="fr-FR"/>
        </w:rPr>
        <w:t xml:space="preserve"> de placement en détention préventive sont soumis</w:t>
      </w:r>
      <w:r>
        <w:rPr>
          <w:bCs/>
          <w:lang w:val="fr-FR"/>
        </w:rPr>
        <w:t>es</w:t>
      </w:r>
      <w:r w:rsidR="00DB0B89">
        <w:rPr>
          <w:bCs/>
          <w:lang w:val="fr-FR"/>
        </w:rPr>
        <w:t xml:space="preserve"> à un contrôle judiciaire</w:t>
      </w:r>
      <w:r w:rsidR="00944870">
        <w:rPr>
          <w:bCs/>
          <w:lang w:val="fr-FR"/>
        </w:rPr>
        <w:t>, assorti d’un contrôle juridictionnel sur le fond de l’affaire.</w:t>
      </w:r>
    </w:p>
    <w:p w:rsidR="00944870" w:rsidRDefault="00944870" w:rsidP="005D7B68">
      <w:pPr>
        <w:tabs>
          <w:tab w:val="left" w:pos="567"/>
          <w:tab w:val="left" w:pos="1134"/>
          <w:tab w:val="left" w:pos="1701"/>
          <w:tab w:val="left" w:pos="2268"/>
        </w:tabs>
        <w:rPr>
          <w:b/>
          <w:lang w:val="fr-FR"/>
        </w:rPr>
      </w:pPr>
      <w:r>
        <w:rPr>
          <w:b/>
          <w:lang w:val="fr-FR"/>
        </w:rPr>
        <w:t>Droits des détenus en vertu de la</w:t>
      </w:r>
      <w:r>
        <w:rPr>
          <w:b/>
          <w:i/>
          <w:iCs/>
          <w:lang w:val="fr-FR"/>
        </w:rPr>
        <w:t xml:space="preserve"> </w:t>
      </w:r>
      <w:r w:rsidRPr="00D13028">
        <w:rPr>
          <w:b/>
          <w:lang w:val="fr-FR"/>
        </w:rPr>
        <w:t>loi de 2002 sur le terrorisme (pouvoirs de la police)</w:t>
      </w:r>
      <w:r>
        <w:rPr>
          <w:b/>
          <w:i/>
          <w:iCs/>
          <w:lang w:val="fr-FR"/>
        </w:rPr>
        <w:t xml:space="preserve"> </w:t>
      </w:r>
      <w:r w:rsidR="00345424">
        <w:rPr>
          <w:b/>
          <w:lang w:val="fr-FR"/>
        </w:rPr>
        <w:t>(Nouvelle</w:t>
      </w:r>
      <w:r w:rsidR="00345424">
        <w:rPr>
          <w:b/>
          <w:lang w:val="fr-FR"/>
        </w:rPr>
        <w:noBreakHyphen/>
      </w:r>
      <w:r>
        <w:rPr>
          <w:b/>
          <w:lang w:val="fr-FR"/>
        </w:rPr>
        <w:t>Galles du Sud)</w:t>
      </w:r>
    </w:p>
    <w:p w:rsidR="00944870" w:rsidRDefault="00944870" w:rsidP="005D7B68">
      <w:pPr>
        <w:tabs>
          <w:tab w:val="left" w:pos="567"/>
          <w:tab w:val="left" w:pos="1134"/>
          <w:tab w:val="left" w:pos="1701"/>
          <w:tab w:val="left" w:pos="2268"/>
        </w:tabs>
        <w:rPr>
          <w:bCs/>
          <w:lang w:val="fr-FR"/>
        </w:rPr>
      </w:pPr>
      <w:r>
        <w:rPr>
          <w:bCs/>
          <w:lang w:val="fr-FR"/>
        </w:rPr>
        <w:t>22</w:t>
      </w:r>
      <w:r w:rsidR="00260FF1">
        <w:rPr>
          <w:bCs/>
          <w:lang w:val="fr-FR"/>
        </w:rPr>
        <w:t>9</w:t>
      </w:r>
      <w:r>
        <w:rPr>
          <w:bCs/>
          <w:lang w:val="fr-FR"/>
        </w:rPr>
        <w:t>.</w:t>
      </w:r>
      <w:r>
        <w:rPr>
          <w:bCs/>
          <w:lang w:val="fr-FR"/>
        </w:rPr>
        <w:tab/>
        <w:t xml:space="preserve">Les dispositions relatives à la détention préventive en rapport avec les activités terroristes figurent dans la </w:t>
      </w:r>
      <w:r w:rsidRPr="00D13028">
        <w:rPr>
          <w:bCs/>
          <w:lang w:val="fr-FR"/>
        </w:rPr>
        <w:t>loi de 2002 sur le terrorisme (pouvoirs de la police)</w:t>
      </w:r>
      <w:r>
        <w:rPr>
          <w:bCs/>
          <w:i/>
          <w:iCs/>
          <w:lang w:val="fr-FR"/>
        </w:rPr>
        <w:t xml:space="preserve"> </w:t>
      </w:r>
      <w:r w:rsidR="00345424">
        <w:rPr>
          <w:bCs/>
          <w:lang w:val="fr-FR"/>
        </w:rPr>
        <w:t>(Nouvelle</w:t>
      </w:r>
      <w:r w:rsidR="00345424">
        <w:rPr>
          <w:bCs/>
          <w:lang w:val="fr-FR"/>
        </w:rPr>
        <w:noBreakHyphen/>
      </w:r>
      <w:r>
        <w:rPr>
          <w:bCs/>
          <w:lang w:val="fr-FR"/>
        </w:rPr>
        <w:t>Galles du Sud</w:t>
      </w:r>
      <w:r w:rsidR="009703C8">
        <w:rPr>
          <w:bCs/>
          <w:lang w:val="fr-FR"/>
        </w:rPr>
        <w:t>)</w:t>
      </w:r>
      <w:r>
        <w:rPr>
          <w:bCs/>
          <w:lang w:val="fr-FR"/>
        </w:rPr>
        <w:t>.</w:t>
      </w:r>
    </w:p>
    <w:p w:rsidR="00380077" w:rsidRPr="00E11A7E" w:rsidRDefault="00294BE5" w:rsidP="005D7B68">
      <w:pPr>
        <w:tabs>
          <w:tab w:val="left" w:pos="567"/>
          <w:tab w:val="left" w:pos="1134"/>
          <w:tab w:val="left" w:pos="1701"/>
          <w:tab w:val="left" w:pos="2268"/>
        </w:tabs>
        <w:rPr>
          <w:bCs/>
          <w:lang w:val="fr-FR"/>
        </w:rPr>
      </w:pPr>
      <w:r>
        <w:rPr>
          <w:bCs/>
          <w:color w:val="000000"/>
          <w:lang w:val="fr-FR"/>
        </w:rPr>
        <w:t>2</w:t>
      </w:r>
      <w:r w:rsidR="00260FF1">
        <w:rPr>
          <w:bCs/>
          <w:color w:val="000000"/>
          <w:lang w:val="fr-FR"/>
        </w:rPr>
        <w:t>30</w:t>
      </w:r>
      <w:r>
        <w:rPr>
          <w:bCs/>
          <w:color w:val="000000"/>
          <w:lang w:val="fr-FR"/>
        </w:rPr>
        <w:t>.</w:t>
      </w:r>
      <w:r>
        <w:rPr>
          <w:bCs/>
          <w:color w:val="000000"/>
          <w:lang w:val="fr-FR"/>
        </w:rPr>
        <w:tab/>
        <w:t>L’</w:t>
      </w:r>
      <w:r w:rsidR="00AE10AC">
        <w:rPr>
          <w:bCs/>
          <w:color w:val="000000"/>
          <w:lang w:val="fr-FR"/>
        </w:rPr>
        <w:t>article 26Z</w:t>
      </w:r>
      <w:r w:rsidR="009703C8">
        <w:rPr>
          <w:bCs/>
          <w:color w:val="000000"/>
          <w:lang w:val="fr-FR"/>
        </w:rPr>
        <w:t xml:space="preserve">E et </w:t>
      </w:r>
      <w:r>
        <w:rPr>
          <w:bCs/>
          <w:color w:val="000000"/>
          <w:lang w:val="fr-FR"/>
        </w:rPr>
        <w:t>ZF de cette loi dispose</w:t>
      </w:r>
      <w:r w:rsidR="00AE10AC">
        <w:rPr>
          <w:bCs/>
          <w:color w:val="000000"/>
          <w:lang w:val="fr-FR"/>
        </w:rPr>
        <w:t xml:space="preserve"> que tou</w:t>
      </w:r>
      <w:r>
        <w:rPr>
          <w:bCs/>
          <w:color w:val="000000"/>
          <w:lang w:val="fr-FR"/>
        </w:rPr>
        <w:t>t détenu a le droit de prendre contact</w:t>
      </w:r>
      <w:r w:rsidR="00AE10AC">
        <w:rPr>
          <w:bCs/>
          <w:color w:val="000000"/>
          <w:lang w:val="fr-FR"/>
        </w:rPr>
        <w:t xml:space="preserve"> </w:t>
      </w:r>
      <w:r>
        <w:rPr>
          <w:bCs/>
          <w:color w:val="000000"/>
          <w:lang w:val="fr-FR"/>
        </w:rPr>
        <w:t xml:space="preserve">avec </w:t>
      </w:r>
      <w:r w:rsidR="00AE10AC">
        <w:rPr>
          <w:bCs/>
          <w:color w:val="000000"/>
          <w:lang w:val="fr-FR"/>
        </w:rPr>
        <w:t>des membres de sa famille, le Médiateur et</w:t>
      </w:r>
      <w:r w:rsidR="00380077">
        <w:rPr>
          <w:bCs/>
          <w:color w:val="000000"/>
          <w:lang w:val="fr-FR"/>
        </w:rPr>
        <w:t xml:space="preserve"> la Commission pour l’intégrité de la police, et l’article 26ZG qu’il a le droit de contacter un avocat</w:t>
      </w:r>
      <w:r w:rsidR="008D6B80">
        <w:rPr>
          <w:bCs/>
          <w:color w:val="000000"/>
          <w:lang w:val="fr-FR"/>
        </w:rPr>
        <w:t xml:space="preserve">. </w:t>
      </w:r>
      <w:r w:rsidR="00380077">
        <w:rPr>
          <w:bCs/>
          <w:color w:val="000000"/>
          <w:lang w:val="fr-FR"/>
        </w:rPr>
        <w:t>Des règles spéciales à cette fin pour les personnes âgées de moins de 18 ans ou pour toute personne incapable de gérer ses propres affaires sont prévues dans l’article 26ZH</w:t>
      </w:r>
      <w:r w:rsidR="008D6B80">
        <w:rPr>
          <w:bCs/>
          <w:color w:val="000000"/>
          <w:lang w:val="fr-FR"/>
        </w:rPr>
        <w:t xml:space="preserve">. </w:t>
      </w:r>
      <w:r w:rsidR="00380077">
        <w:rPr>
          <w:bCs/>
          <w:color w:val="000000"/>
          <w:lang w:val="fr-FR"/>
        </w:rPr>
        <w:t>Elles permettent à toute personne âgée de moins de</w:t>
      </w:r>
      <w:r w:rsidR="00345424">
        <w:rPr>
          <w:bCs/>
          <w:color w:val="000000"/>
          <w:lang w:val="fr-FR"/>
        </w:rPr>
        <w:t xml:space="preserve"> 18 </w:t>
      </w:r>
      <w:r w:rsidR="009C70B7">
        <w:rPr>
          <w:bCs/>
          <w:color w:val="000000"/>
          <w:lang w:val="fr-FR"/>
        </w:rPr>
        <w:t xml:space="preserve">ans placée en détention </w:t>
      </w:r>
      <w:r w:rsidR="009C70B7" w:rsidRPr="00E11A7E">
        <w:rPr>
          <w:bCs/>
          <w:lang w:val="fr-FR"/>
        </w:rPr>
        <w:t xml:space="preserve">en exécution d’une ordonnance </w:t>
      </w:r>
      <w:r w:rsidR="00380077" w:rsidRPr="00E11A7E">
        <w:rPr>
          <w:bCs/>
          <w:lang w:val="fr-FR"/>
        </w:rPr>
        <w:t>de prendre contact avec son père ou sa mère, son tuteur ou toute autre personne capable</w:t>
      </w:r>
      <w:r w:rsidRPr="00E11A7E">
        <w:rPr>
          <w:bCs/>
          <w:lang w:val="fr-FR"/>
        </w:rPr>
        <w:t xml:space="preserve"> de représenter ses intérêts e</w:t>
      </w:r>
      <w:r w:rsidR="00380077" w:rsidRPr="00E11A7E">
        <w:rPr>
          <w:bCs/>
          <w:lang w:val="fr-FR"/>
        </w:rPr>
        <w:t xml:space="preserve">t acceptable pour elle et pour le fonctionnaire de police </w:t>
      </w:r>
      <w:r w:rsidR="00E11A7E" w:rsidRPr="00E11A7E">
        <w:rPr>
          <w:bCs/>
          <w:lang w:val="fr-FR"/>
        </w:rPr>
        <w:t>en charge</w:t>
      </w:r>
      <w:r w:rsidR="00380077" w:rsidRPr="00E11A7E">
        <w:rPr>
          <w:bCs/>
          <w:lang w:val="fr-FR"/>
        </w:rPr>
        <w:t xml:space="preserve"> de sa détention.</w:t>
      </w:r>
    </w:p>
    <w:p w:rsidR="00944870" w:rsidRDefault="00F51615" w:rsidP="005D7B68">
      <w:pPr>
        <w:tabs>
          <w:tab w:val="left" w:pos="567"/>
          <w:tab w:val="left" w:pos="1134"/>
          <w:tab w:val="left" w:pos="1701"/>
          <w:tab w:val="left" w:pos="2268"/>
        </w:tabs>
        <w:rPr>
          <w:bCs/>
          <w:color w:val="000000"/>
          <w:lang w:val="fr-FR"/>
        </w:rPr>
      </w:pPr>
      <w:r w:rsidRPr="00E11A7E">
        <w:rPr>
          <w:bCs/>
          <w:lang w:val="fr-FR"/>
        </w:rPr>
        <w:t>23</w:t>
      </w:r>
      <w:r w:rsidR="00260FF1">
        <w:rPr>
          <w:bCs/>
          <w:lang w:val="fr-FR"/>
        </w:rPr>
        <w:t>1</w:t>
      </w:r>
      <w:r w:rsidRPr="00E11A7E">
        <w:rPr>
          <w:bCs/>
          <w:lang w:val="fr-FR"/>
        </w:rPr>
        <w:t>.</w:t>
      </w:r>
      <w:r w:rsidRPr="00E11A7E">
        <w:rPr>
          <w:bCs/>
          <w:lang w:val="fr-FR"/>
        </w:rPr>
        <w:tab/>
        <w:t xml:space="preserve">En outre, </w:t>
      </w:r>
      <w:r w:rsidR="0042196D" w:rsidRPr="00E11A7E">
        <w:rPr>
          <w:bCs/>
          <w:lang w:val="fr-FR"/>
        </w:rPr>
        <w:t>l’article 26ZC exige que toute personne pl</w:t>
      </w:r>
      <w:r w:rsidR="009C70B7" w:rsidRPr="00E11A7E">
        <w:rPr>
          <w:bCs/>
          <w:lang w:val="fr-FR"/>
        </w:rPr>
        <w:t>acée en détention préventive en exécution d’une ordonnance</w:t>
      </w:r>
      <w:r w:rsidR="00380077" w:rsidRPr="00E11A7E">
        <w:rPr>
          <w:bCs/>
          <w:lang w:val="fr-FR"/>
        </w:rPr>
        <w:t xml:space="preserve"> </w:t>
      </w:r>
      <w:r w:rsidR="0042196D" w:rsidRPr="00E11A7E">
        <w:rPr>
          <w:bCs/>
          <w:lang w:val="fr-FR"/>
        </w:rPr>
        <w:t>qui le requiert soit traitée avec humanité</w:t>
      </w:r>
      <w:r w:rsidR="0042196D">
        <w:rPr>
          <w:bCs/>
          <w:color w:val="000000"/>
          <w:lang w:val="fr-FR"/>
        </w:rPr>
        <w:t xml:space="preserve"> dans le respect de la dignité humaine et ne fasse pas l’objet de traitements cruels, inhumains ou dégradants de la part de quiconque est investi de l’autorité</w:t>
      </w:r>
      <w:r w:rsidR="00572260">
        <w:rPr>
          <w:bCs/>
          <w:color w:val="000000"/>
          <w:lang w:val="fr-FR"/>
        </w:rPr>
        <w:t xml:space="preserve"> </w:t>
      </w:r>
      <w:r w:rsidR="0042196D">
        <w:rPr>
          <w:bCs/>
          <w:color w:val="000000"/>
          <w:lang w:val="fr-FR"/>
        </w:rPr>
        <w:t>en vertu de ce</w:t>
      </w:r>
      <w:r w:rsidR="009C70B7">
        <w:rPr>
          <w:bCs/>
          <w:color w:val="000000"/>
          <w:lang w:val="fr-FR"/>
        </w:rPr>
        <w:t>tte ordonnance</w:t>
      </w:r>
      <w:r w:rsidR="0042196D">
        <w:rPr>
          <w:bCs/>
          <w:color w:val="000000"/>
          <w:lang w:val="fr-FR"/>
        </w:rPr>
        <w:t>,</w:t>
      </w:r>
      <w:r w:rsidR="001F506B">
        <w:rPr>
          <w:bCs/>
          <w:color w:val="000000"/>
          <w:lang w:val="fr-FR"/>
        </w:rPr>
        <w:t xml:space="preserve"> </w:t>
      </w:r>
      <w:r w:rsidR="0042196D">
        <w:rPr>
          <w:bCs/>
          <w:color w:val="000000"/>
          <w:lang w:val="fr-FR"/>
        </w:rPr>
        <w:t>ou chargé de l’exécuter.</w:t>
      </w:r>
    </w:p>
    <w:p w:rsidR="001F506B" w:rsidRDefault="00071BE1" w:rsidP="005D7B68">
      <w:pPr>
        <w:tabs>
          <w:tab w:val="left" w:pos="567"/>
          <w:tab w:val="left" w:pos="1134"/>
          <w:tab w:val="left" w:pos="1701"/>
          <w:tab w:val="left" w:pos="2268"/>
        </w:tabs>
        <w:rPr>
          <w:bCs/>
          <w:color w:val="000000"/>
          <w:lang w:val="fr-FR"/>
        </w:rPr>
      </w:pPr>
      <w:r>
        <w:rPr>
          <w:bCs/>
          <w:color w:val="000000"/>
          <w:lang w:val="fr-FR"/>
        </w:rPr>
        <w:t>23</w:t>
      </w:r>
      <w:r w:rsidR="00260FF1">
        <w:rPr>
          <w:bCs/>
          <w:color w:val="000000"/>
          <w:lang w:val="fr-FR"/>
        </w:rPr>
        <w:t>2</w:t>
      </w:r>
      <w:r>
        <w:rPr>
          <w:bCs/>
          <w:color w:val="000000"/>
          <w:lang w:val="fr-FR"/>
        </w:rPr>
        <w:t>.</w:t>
      </w:r>
      <w:r>
        <w:rPr>
          <w:bCs/>
          <w:color w:val="000000"/>
          <w:lang w:val="fr-FR"/>
        </w:rPr>
        <w:tab/>
        <w:t>L’article 26ZI autorise un fonctionnaire de police déte</w:t>
      </w:r>
      <w:r w:rsidR="009C70B7">
        <w:rPr>
          <w:bCs/>
          <w:color w:val="000000"/>
          <w:lang w:val="fr-FR"/>
        </w:rPr>
        <w:t xml:space="preserve">nteur de l’autorité en vertu </w:t>
      </w:r>
      <w:r>
        <w:rPr>
          <w:bCs/>
          <w:color w:val="000000"/>
          <w:lang w:val="fr-FR"/>
        </w:rPr>
        <w:t>de</w:t>
      </w:r>
      <w:r w:rsidR="009C70B7">
        <w:rPr>
          <w:bCs/>
          <w:color w:val="000000"/>
          <w:lang w:val="fr-FR"/>
        </w:rPr>
        <w:t xml:space="preserve"> l’ordonnance de</w:t>
      </w:r>
      <w:r>
        <w:rPr>
          <w:bCs/>
          <w:color w:val="000000"/>
          <w:lang w:val="fr-FR"/>
        </w:rPr>
        <w:t xml:space="preserve"> placement en détention préventive à surveiller le</w:t>
      </w:r>
      <w:r w:rsidR="00D13028">
        <w:rPr>
          <w:bCs/>
          <w:color w:val="000000"/>
          <w:lang w:val="fr-FR"/>
        </w:rPr>
        <w:t>s</w:t>
      </w:r>
      <w:r>
        <w:rPr>
          <w:bCs/>
          <w:color w:val="000000"/>
          <w:lang w:val="fr-FR"/>
        </w:rPr>
        <w:t xml:space="preserve"> contact</w:t>
      </w:r>
      <w:r w:rsidR="00D13028">
        <w:rPr>
          <w:bCs/>
          <w:color w:val="000000"/>
          <w:lang w:val="fr-FR"/>
        </w:rPr>
        <w:t>s</w:t>
      </w:r>
      <w:r>
        <w:rPr>
          <w:bCs/>
          <w:color w:val="000000"/>
          <w:lang w:val="fr-FR"/>
        </w:rPr>
        <w:t xml:space="preserve"> du détenu avec les membres de sa famille, son avocat, etc.</w:t>
      </w:r>
    </w:p>
    <w:p w:rsidR="00071BE1" w:rsidRDefault="00071BE1" w:rsidP="005D7B68">
      <w:pPr>
        <w:tabs>
          <w:tab w:val="left" w:pos="567"/>
          <w:tab w:val="left" w:pos="1134"/>
          <w:tab w:val="left" w:pos="1701"/>
          <w:tab w:val="left" w:pos="2268"/>
        </w:tabs>
        <w:rPr>
          <w:bCs/>
          <w:color w:val="000000"/>
          <w:lang w:val="fr-FR"/>
        </w:rPr>
      </w:pPr>
      <w:r>
        <w:rPr>
          <w:b/>
          <w:color w:val="000000"/>
          <w:lang w:val="fr-FR"/>
        </w:rPr>
        <w:t>Victoria</w:t>
      </w:r>
    </w:p>
    <w:p w:rsidR="00071BE1" w:rsidRPr="00071BE1" w:rsidRDefault="00071BE1" w:rsidP="005D7B68">
      <w:pPr>
        <w:tabs>
          <w:tab w:val="left" w:pos="567"/>
          <w:tab w:val="left" w:pos="1134"/>
          <w:tab w:val="left" w:pos="1701"/>
          <w:tab w:val="left" w:pos="2268"/>
        </w:tabs>
        <w:rPr>
          <w:bCs/>
          <w:color w:val="000000"/>
          <w:lang w:val="fr-FR"/>
        </w:rPr>
      </w:pPr>
      <w:r>
        <w:rPr>
          <w:bCs/>
          <w:color w:val="000000"/>
          <w:lang w:val="fr-FR"/>
        </w:rPr>
        <w:t>23</w:t>
      </w:r>
      <w:r w:rsidR="00260FF1">
        <w:rPr>
          <w:bCs/>
          <w:color w:val="000000"/>
          <w:lang w:val="fr-FR"/>
        </w:rPr>
        <w:t>3</w:t>
      </w:r>
      <w:r>
        <w:rPr>
          <w:bCs/>
          <w:color w:val="000000"/>
          <w:lang w:val="fr-FR"/>
        </w:rPr>
        <w:t>.</w:t>
      </w:r>
      <w:r>
        <w:rPr>
          <w:bCs/>
          <w:color w:val="000000"/>
          <w:lang w:val="fr-FR"/>
        </w:rPr>
        <w:tab/>
        <w:t>Les opérations sont coordonnées par les organismes fédéraux</w:t>
      </w:r>
      <w:r w:rsidR="008D6B80">
        <w:rPr>
          <w:bCs/>
          <w:color w:val="000000"/>
          <w:lang w:val="fr-FR"/>
        </w:rPr>
        <w:t xml:space="preserve">. </w:t>
      </w:r>
      <w:r>
        <w:rPr>
          <w:bCs/>
          <w:color w:val="000000"/>
          <w:lang w:val="fr-FR"/>
        </w:rPr>
        <w:t>Pour ce qui est des garanti</w:t>
      </w:r>
      <w:r w:rsidR="00AA17DA">
        <w:rPr>
          <w:bCs/>
          <w:color w:val="000000"/>
          <w:lang w:val="fr-FR"/>
        </w:rPr>
        <w:t>es, prière de voir la réponse du</w:t>
      </w:r>
      <w:r>
        <w:rPr>
          <w:bCs/>
          <w:color w:val="000000"/>
          <w:lang w:val="fr-FR"/>
        </w:rPr>
        <w:t xml:space="preserve"> Victoria à la question 3.</w:t>
      </w:r>
    </w:p>
    <w:p w:rsidR="00071BE1" w:rsidRDefault="00071BE1" w:rsidP="005D7B68">
      <w:pPr>
        <w:tabs>
          <w:tab w:val="left" w:pos="567"/>
          <w:tab w:val="left" w:pos="1134"/>
          <w:tab w:val="left" w:pos="1701"/>
          <w:tab w:val="left" w:pos="2268"/>
        </w:tabs>
        <w:rPr>
          <w:b/>
          <w:lang w:val="fr-FR"/>
        </w:rPr>
      </w:pPr>
      <w:r>
        <w:rPr>
          <w:b/>
          <w:lang w:val="fr-FR"/>
        </w:rPr>
        <w:t>Queensland</w:t>
      </w:r>
    </w:p>
    <w:p w:rsidR="00026CBE" w:rsidRDefault="00260FF1" w:rsidP="005D7B68">
      <w:pPr>
        <w:tabs>
          <w:tab w:val="left" w:pos="567"/>
          <w:tab w:val="left" w:pos="1134"/>
          <w:tab w:val="left" w:pos="1701"/>
          <w:tab w:val="left" w:pos="2268"/>
        </w:tabs>
        <w:rPr>
          <w:bCs/>
          <w:lang w:val="fr-FR"/>
        </w:rPr>
      </w:pPr>
      <w:r>
        <w:rPr>
          <w:bCs/>
          <w:lang w:val="fr-FR"/>
        </w:rPr>
        <w:t>234</w:t>
      </w:r>
      <w:r w:rsidR="00071BE1">
        <w:rPr>
          <w:bCs/>
          <w:lang w:val="fr-FR"/>
        </w:rPr>
        <w:t>.</w:t>
      </w:r>
      <w:r w:rsidR="00071BE1">
        <w:rPr>
          <w:bCs/>
          <w:lang w:val="fr-FR"/>
        </w:rPr>
        <w:tab/>
        <w:t>Deux individus, au Queensland, ont été inculpés séparément d’infractions liées au terrorisme</w:t>
      </w:r>
      <w:r w:rsidR="00026CBE">
        <w:rPr>
          <w:bCs/>
          <w:lang w:val="fr-FR"/>
        </w:rPr>
        <w:t xml:space="preserve"> en vertu du Code pénal du Commonwealth</w:t>
      </w:r>
      <w:r w:rsidR="008D6B80">
        <w:rPr>
          <w:bCs/>
          <w:lang w:val="fr-FR"/>
        </w:rPr>
        <w:t xml:space="preserve">. </w:t>
      </w:r>
      <w:r w:rsidR="00026CBE">
        <w:rPr>
          <w:bCs/>
          <w:lang w:val="fr-FR"/>
        </w:rPr>
        <w:t>Les poursuites ont été abandonnées par la</w:t>
      </w:r>
      <w:r w:rsidR="00345424">
        <w:rPr>
          <w:bCs/>
          <w:lang w:val="fr-FR"/>
        </w:rPr>
        <w:t> </w:t>
      </w:r>
      <w:r w:rsidR="00026CBE">
        <w:rPr>
          <w:bCs/>
          <w:lang w:val="fr-FR"/>
        </w:rPr>
        <w:t>suite.</w:t>
      </w:r>
    </w:p>
    <w:p w:rsidR="004D095E" w:rsidRDefault="00026CBE" w:rsidP="005D7B68">
      <w:pPr>
        <w:tabs>
          <w:tab w:val="left" w:pos="567"/>
          <w:tab w:val="left" w:pos="1134"/>
          <w:tab w:val="left" w:pos="1701"/>
          <w:tab w:val="left" w:pos="2268"/>
        </w:tabs>
        <w:rPr>
          <w:bCs/>
          <w:lang w:val="fr-FR"/>
        </w:rPr>
      </w:pPr>
      <w:r>
        <w:rPr>
          <w:bCs/>
          <w:lang w:val="fr-FR"/>
        </w:rPr>
        <w:t>23</w:t>
      </w:r>
      <w:r w:rsidR="00260FF1">
        <w:rPr>
          <w:bCs/>
          <w:lang w:val="fr-FR"/>
        </w:rPr>
        <w:t>5</w:t>
      </w:r>
      <w:r>
        <w:rPr>
          <w:bCs/>
          <w:lang w:val="fr-FR"/>
        </w:rPr>
        <w:t>.</w:t>
      </w:r>
      <w:r>
        <w:rPr>
          <w:bCs/>
          <w:lang w:val="fr-FR"/>
        </w:rPr>
        <w:tab/>
        <w:t xml:space="preserve">L’article 12 de la </w:t>
      </w:r>
      <w:r w:rsidRPr="00D13028">
        <w:rPr>
          <w:bCs/>
          <w:lang w:val="fr-FR"/>
        </w:rPr>
        <w:t>loi de 2005 sur le terrorisme (placement en détention préventive)</w:t>
      </w:r>
      <w:r>
        <w:rPr>
          <w:bCs/>
          <w:i/>
          <w:iCs/>
          <w:lang w:val="fr-FR"/>
        </w:rPr>
        <w:t xml:space="preserve"> </w:t>
      </w:r>
      <w:r>
        <w:rPr>
          <w:bCs/>
          <w:lang w:val="fr-FR"/>
        </w:rPr>
        <w:t>(Queensland) autorise le placement en détention préventive d’un</w:t>
      </w:r>
      <w:r w:rsidR="00345424">
        <w:rPr>
          <w:bCs/>
          <w:lang w:val="fr-FR"/>
        </w:rPr>
        <w:t>e personne âgée de plus de 16 </w:t>
      </w:r>
      <w:r>
        <w:rPr>
          <w:bCs/>
          <w:lang w:val="fr-FR"/>
        </w:rPr>
        <w:t xml:space="preserve">ans pendant une période pouvant aller jusqu’à </w:t>
      </w:r>
      <w:r w:rsidR="00345424">
        <w:rPr>
          <w:bCs/>
          <w:lang w:val="fr-FR"/>
        </w:rPr>
        <w:t>quatorze</w:t>
      </w:r>
      <w:r>
        <w:rPr>
          <w:bCs/>
          <w:lang w:val="fr-FR"/>
        </w:rPr>
        <w:t xml:space="preserve"> jours pour empêcher l’accomplissement d’un acte de terrorisme imminent ou pour préserver les éléments de preuve d’un acte terroriste récent en ex</w:t>
      </w:r>
      <w:r w:rsidR="009C70B7">
        <w:rPr>
          <w:bCs/>
          <w:lang w:val="fr-FR"/>
        </w:rPr>
        <w:t>écution d’une ordonnance</w:t>
      </w:r>
      <w:r>
        <w:rPr>
          <w:bCs/>
          <w:lang w:val="fr-FR"/>
        </w:rPr>
        <w:t xml:space="preserve"> délivré</w:t>
      </w:r>
      <w:r w:rsidR="009C70B7">
        <w:rPr>
          <w:bCs/>
          <w:lang w:val="fr-FR"/>
        </w:rPr>
        <w:t>e</w:t>
      </w:r>
      <w:r>
        <w:rPr>
          <w:bCs/>
          <w:lang w:val="fr-FR"/>
        </w:rPr>
        <w:t xml:space="preserve"> à cette fin</w:t>
      </w:r>
      <w:r w:rsidR="008D6B80">
        <w:rPr>
          <w:bCs/>
          <w:lang w:val="fr-FR"/>
        </w:rPr>
        <w:t xml:space="preserve">. </w:t>
      </w:r>
      <w:r>
        <w:rPr>
          <w:bCs/>
          <w:lang w:val="fr-FR"/>
        </w:rPr>
        <w:t>Selon l’article 52 de cette loi, le fait de ne pas traiter une personne placée en détention préventive avec humanité, ou de la soumettre à un traitement cruel, inhumain ou dégradant</w:t>
      </w:r>
      <w:r w:rsidR="00385D26">
        <w:rPr>
          <w:bCs/>
          <w:lang w:val="fr-FR"/>
        </w:rPr>
        <w:t xml:space="preserve"> est constitutif d’une infraction</w:t>
      </w:r>
      <w:r w:rsidR="008D6B80">
        <w:rPr>
          <w:bCs/>
          <w:lang w:val="fr-FR"/>
        </w:rPr>
        <w:t xml:space="preserve">. </w:t>
      </w:r>
      <w:r w:rsidR="00385D26">
        <w:rPr>
          <w:bCs/>
          <w:lang w:val="fr-FR"/>
        </w:rPr>
        <w:t>Toute personne placée en détention pré</w:t>
      </w:r>
      <w:r w:rsidR="009C70B7">
        <w:rPr>
          <w:bCs/>
          <w:lang w:val="fr-FR"/>
        </w:rPr>
        <w:t>ventive en exécution d’une ordonnance</w:t>
      </w:r>
      <w:r w:rsidR="00385D26">
        <w:rPr>
          <w:bCs/>
          <w:lang w:val="fr-FR"/>
        </w:rPr>
        <w:t xml:space="preserve"> délivré</w:t>
      </w:r>
      <w:r w:rsidR="009C70B7">
        <w:rPr>
          <w:bCs/>
          <w:lang w:val="fr-FR"/>
        </w:rPr>
        <w:t>e</w:t>
      </w:r>
      <w:r w:rsidR="00385D26">
        <w:rPr>
          <w:bCs/>
          <w:lang w:val="fr-FR"/>
        </w:rPr>
        <w:t xml:space="preserve"> à cet effet a le droit de contacter des membres de sa famille, le Médiateur, la Commission</w:t>
      </w:r>
      <w:r w:rsidR="008946AB">
        <w:rPr>
          <w:bCs/>
          <w:lang w:val="fr-FR"/>
        </w:rPr>
        <w:t xml:space="preserve"> des infractions et des fautes professionnelles et des avocats, sous réserve d’</w:t>
      </w:r>
      <w:r w:rsidR="00E11A7E">
        <w:rPr>
          <w:bCs/>
          <w:lang w:val="fr-FR"/>
        </w:rPr>
        <w:t>exceptions liées aux nécessités de l’enquête</w:t>
      </w:r>
      <w:r w:rsidR="008946AB">
        <w:rPr>
          <w:bCs/>
          <w:lang w:val="fr-FR"/>
        </w:rPr>
        <w:t>. Il est interdit de l’interroger, sauf pour des questions de bien-être, d’identité ou pour permettre à la police de se conformer à la loi</w:t>
      </w:r>
      <w:r w:rsidR="008D6B80">
        <w:rPr>
          <w:bCs/>
          <w:lang w:val="fr-FR"/>
        </w:rPr>
        <w:t xml:space="preserve">. </w:t>
      </w:r>
      <w:r w:rsidR="004D095E">
        <w:rPr>
          <w:bCs/>
          <w:lang w:val="fr-FR"/>
        </w:rPr>
        <w:t>Des règles spéciales, y compris des dispositions supplémentaires en matière de contact,</w:t>
      </w:r>
      <w:r w:rsidR="008946AB">
        <w:rPr>
          <w:bCs/>
          <w:lang w:val="fr-FR"/>
        </w:rPr>
        <w:t xml:space="preserve"> s’</w:t>
      </w:r>
      <w:r w:rsidR="004D095E">
        <w:rPr>
          <w:bCs/>
          <w:lang w:val="fr-FR"/>
        </w:rPr>
        <w:t>appliq</w:t>
      </w:r>
      <w:r w:rsidR="008946AB">
        <w:rPr>
          <w:bCs/>
          <w:lang w:val="fr-FR"/>
        </w:rPr>
        <w:t>uent aux enfants</w:t>
      </w:r>
      <w:r w:rsidR="004D095E">
        <w:rPr>
          <w:bCs/>
          <w:lang w:val="fr-FR"/>
        </w:rPr>
        <w:t xml:space="preserve"> (art.</w:t>
      </w:r>
      <w:r w:rsidR="00E225ED">
        <w:rPr>
          <w:bCs/>
          <w:lang w:val="fr-FR"/>
        </w:rPr>
        <w:t xml:space="preserve"> </w:t>
      </w:r>
      <w:r w:rsidR="004D095E">
        <w:rPr>
          <w:bCs/>
          <w:lang w:val="fr-FR"/>
        </w:rPr>
        <w:t>9, 60) et aux personnes qui n</w:t>
      </w:r>
      <w:r w:rsidR="00D10587">
        <w:rPr>
          <w:bCs/>
          <w:lang w:val="fr-FR"/>
        </w:rPr>
        <w:t>e jouissent</w:t>
      </w:r>
      <w:r w:rsidR="004D095E">
        <w:rPr>
          <w:bCs/>
          <w:lang w:val="fr-FR"/>
        </w:rPr>
        <w:t xml:space="preserve"> pas</w:t>
      </w:r>
      <w:r w:rsidR="00D10587">
        <w:rPr>
          <w:bCs/>
          <w:lang w:val="fr-FR"/>
        </w:rPr>
        <w:t xml:space="preserve"> de</w:t>
      </w:r>
      <w:r w:rsidR="004D095E">
        <w:rPr>
          <w:bCs/>
          <w:lang w:val="fr-FR"/>
        </w:rPr>
        <w:t xml:space="preserve"> toutes leurs facultés (art. 60), à savoir l’autorisation d’avoir des contacts journaliers, y compris à l’occasion de visites, avec un parent ou un tuteur, ou une personne indépendante capable de représenter les intérêts du détenu.</w:t>
      </w:r>
    </w:p>
    <w:p w:rsidR="00F42801" w:rsidRDefault="004D095E" w:rsidP="005D7B68">
      <w:pPr>
        <w:tabs>
          <w:tab w:val="left" w:pos="567"/>
          <w:tab w:val="left" w:pos="1134"/>
          <w:tab w:val="left" w:pos="1701"/>
          <w:tab w:val="left" w:pos="2268"/>
        </w:tabs>
        <w:rPr>
          <w:bCs/>
          <w:lang w:val="fr-FR"/>
        </w:rPr>
      </w:pPr>
      <w:r>
        <w:rPr>
          <w:bCs/>
          <w:lang w:val="fr-FR"/>
        </w:rPr>
        <w:t>23</w:t>
      </w:r>
      <w:r w:rsidR="00260FF1">
        <w:rPr>
          <w:bCs/>
          <w:lang w:val="fr-FR"/>
        </w:rPr>
        <w:t>6</w:t>
      </w:r>
      <w:r>
        <w:rPr>
          <w:bCs/>
          <w:lang w:val="fr-FR"/>
        </w:rPr>
        <w:t>.</w:t>
      </w:r>
      <w:r>
        <w:rPr>
          <w:bCs/>
          <w:lang w:val="fr-FR"/>
        </w:rPr>
        <w:tab/>
        <w:t>En vertu de la loi sur le terrorisme (placement en détention préventive), le fait de</w:t>
      </w:r>
      <w:r w:rsidR="00D10587">
        <w:rPr>
          <w:bCs/>
          <w:lang w:val="fr-FR"/>
        </w:rPr>
        <w:t xml:space="preserve"> ne pas traiter le</w:t>
      </w:r>
      <w:r>
        <w:rPr>
          <w:bCs/>
          <w:lang w:val="fr-FR"/>
        </w:rPr>
        <w:t xml:space="preserve"> détenu avec humanité ou de le soumettre à un traitement cruel, inhumain ou dégradant est constitutif d’une infraction</w:t>
      </w:r>
      <w:r w:rsidR="008D6B80">
        <w:rPr>
          <w:bCs/>
          <w:lang w:val="fr-FR"/>
        </w:rPr>
        <w:t xml:space="preserve">. </w:t>
      </w:r>
      <w:r>
        <w:rPr>
          <w:bCs/>
          <w:lang w:val="fr-FR"/>
        </w:rPr>
        <w:t>Toute personne placée en détention pré</w:t>
      </w:r>
      <w:r w:rsidR="009C70B7">
        <w:rPr>
          <w:bCs/>
          <w:lang w:val="fr-FR"/>
        </w:rPr>
        <w:t>ventive en exécution d’une ordonnance</w:t>
      </w:r>
      <w:r>
        <w:rPr>
          <w:bCs/>
          <w:lang w:val="fr-FR"/>
        </w:rPr>
        <w:t xml:space="preserve"> délivré</w:t>
      </w:r>
      <w:r w:rsidR="009C70B7">
        <w:rPr>
          <w:bCs/>
          <w:lang w:val="fr-FR"/>
        </w:rPr>
        <w:t>e</w:t>
      </w:r>
      <w:r>
        <w:rPr>
          <w:bCs/>
          <w:lang w:val="fr-FR"/>
        </w:rPr>
        <w:t xml:space="preserve"> à cet effet a le droit de contacter des membres de sa famille, le Médiateur, la Commission</w:t>
      </w:r>
      <w:r w:rsidR="00D10587">
        <w:rPr>
          <w:bCs/>
          <w:lang w:val="fr-FR"/>
        </w:rPr>
        <w:t xml:space="preserve"> des infractions</w:t>
      </w:r>
      <w:r w:rsidR="00E225ED">
        <w:rPr>
          <w:bCs/>
          <w:lang w:val="fr-FR"/>
        </w:rPr>
        <w:t xml:space="preserve"> et des fautes professionnelles, et son avocat</w:t>
      </w:r>
      <w:r w:rsidR="008D6B80">
        <w:rPr>
          <w:bCs/>
          <w:lang w:val="fr-FR"/>
        </w:rPr>
        <w:t xml:space="preserve">. </w:t>
      </w:r>
      <w:r w:rsidR="00D10587">
        <w:rPr>
          <w:bCs/>
          <w:lang w:val="fr-FR"/>
        </w:rPr>
        <w:t>Il est interdit de l’interroger, sauf sur des questions de bien-être, d’identité ou pour permettre à la police de se conformer à la loi</w:t>
      </w:r>
      <w:r w:rsidR="008D6B80">
        <w:rPr>
          <w:bCs/>
          <w:lang w:val="fr-FR"/>
        </w:rPr>
        <w:t xml:space="preserve">. </w:t>
      </w:r>
      <w:r w:rsidR="00D10587">
        <w:rPr>
          <w:bCs/>
          <w:lang w:val="fr-FR"/>
        </w:rPr>
        <w:t>Des règles spéciales s’appliquent aux enfants et aux personnes qui ne jouissent pas de toutes leurs facultés</w:t>
      </w:r>
      <w:r w:rsidR="008D6B80">
        <w:rPr>
          <w:bCs/>
          <w:lang w:val="fr-FR"/>
        </w:rPr>
        <w:t xml:space="preserve">. </w:t>
      </w:r>
      <w:r w:rsidR="00D10587">
        <w:rPr>
          <w:bCs/>
          <w:lang w:val="fr-FR"/>
        </w:rPr>
        <w:t>Toute personne faisant l’objet d’un</w:t>
      </w:r>
      <w:r w:rsidR="009C70B7">
        <w:rPr>
          <w:bCs/>
          <w:lang w:val="fr-FR"/>
        </w:rPr>
        <w:t xml:space="preserve">e </w:t>
      </w:r>
      <w:r w:rsidR="009C70B7" w:rsidRPr="003919DE">
        <w:rPr>
          <w:bCs/>
          <w:lang w:val="fr-FR"/>
        </w:rPr>
        <w:t>ordonnance</w:t>
      </w:r>
      <w:r w:rsidR="00D10587" w:rsidRPr="003919DE">
        <w:rPr>
          <w:bCs/>
          <w:lang w:val="fr-FR"/>
        </w:rPr>
        <w:t xml:space="preserve"> final</w:t>
      </w:r>
      <w:r w:rsidR="009C70B7" w:rsidRPr="003919DE">
        <w:rPr>
          <w:bCs/>
          <w:lang w:val="fr-FR"/>
        </w:rPr>
        <w:t>e</w:t>
      </w:r>
      <w:r w:rsidR="00D10587" w:rsidRPr="003919DE">
        <w:rPr>
          <w:bCs/>
          <w:lang w:val="fr-FR"/>
        </w:rPr>
        <w:t xml:space="preserve"> de placement en détention préventive peut so</w:t>
      </w:r>
      <w:r w:rsidR="00D13028" w:rsidRPr="003919DE">
        <w:rPr>
          <w:bCs/>
          <w:lang w:val="fr-FR"/>
        </w:rPr>
        <w:t>lliciter de la part de la Cour s</w:t>
      </w:r>
      <w:r w:rsidR="00D10587" w:rsidRPr="003919DE">
        <w:rPr>
          <w:bCs/>
          <w:lang w:val="fr-FR"/>
        </w:rPr>
        <w:t>uprême l’exa</w:t>
      </w:r>
      <w:r w:rsidR="009C70B7" w:rsidRPr="003919DE">
        <w:rPr>
          <w:bCs/>
          <w:lang w:val="fr-FR"/>
        </w:rPr>
        <w:t>men ou l’annulation de ladite ordonnance</w:t>
      </w:r>
      <w:r w:rsidR="008D6B80">
        <w:rPr>
          <w:bCs/>
          <w:lang w:val="fr-FR"/>
        </w:rPr>
        <w:t xml:space="preserve">. </w:t>
      </w:r>
      <w:r w:rsidR="00D10587" w:rsidRPr="003919DE">
        <w:rPr>
          <w:bCs/>
          <w:lang w:val="fr-FR"/>
        </w:rPr>
        <w:t>En outre, une personne indépendante chargée du contrôle de l’intérêt public a le droit de se présenter devant une autorité</w:t>
      </w:r>
      <w:r w:rsidR="009C70B7" w:rsidRPr="003919DE">
        <w:rPr>
          <w:bCs/>
          <w:lang w:val="fr-FR"/>
        </w:rPr>
        <w:t xml:space="preserve"> délivrant des ordonnances</w:t>
      </w:r>
      <w:r w:rsidR="00BA4388" w:rsidRPr="003919DE">
        <w:rPr>
          <w:bCs/>
          <w:lang w:val="fr-FR"/>
        </w:rPr>
        <w:t xml:space="preserve"> de placement en</w:t>
      </w:r>
      <w:r w:rsidR="00BA4388">
        <w:rPr>
          <w:bCs/>
          <w:lang w:val="fr-FR"/>
        </w:rPr>
        <w:t xml:space="preserve"> détention provisoire et de faire des observat</w:t>
      </w:r>
      <w:r w:rsidR="009C70B7">
        <w:rPr>
          <w:bCs/>
          <w:lang w:val="fr-FR"/>
        </w:rPr>
        <w:t>ions sur les demandes d’ordonnances</w:t>
      </w:r>
      <w:r w:rsidR="00EE6742">
        <w:rPr>
          <w:bCs/>
          <w:lang w:val="fr-FR"/>
        </w:rPr>
        <w:t xml:space="preserve"> aux fins de la protection de</w:t>
      </w:r>
      <w:r w:rsidR="00043F8B">
        <w:rPr>
          <w:bCs/>
          <w:lang w:val="fr-FR"/>
        </w:rPr>
        <w:t xml:space="preserve"> l’intérêt général</w:t>
      </w:r>
      <w:r w:rsidR="00EE6742">
        <w:rPr>
          <w:bCs/>
          <w:lang w:val="fr-FR"/>
        </w:rPr>
        <w:t>, des droits individuels et d</w:t>
      </w:r>
      <w:r w:rsidR="00BA4388">
        <w:rPr>
          <w:bCs/>
          <w:lang w:val="fr-FR"/>
        </w:rPr>
        <w:t xml:space="preserve">es </w:t>
      </w:r>
      <w:r w:rsidR="00EE6742">
        <w:rPr>
          <w:bCs/>
          <w:lang w:val="fr-FR"/>
        </w:rPr>
        <w:t>libertés civiles</w:t>
      </w:r>
      <w:r w:rsidR="00BA4388">
        <w:rPr>
          <w:bCs/>
          <w:lang w:val="fr-FR"/>
        </w:rPr>
        <w:t>.</w:t>
      </w:r>
    </w:p>
    <w:p w:rsidR="00F42801" w:rsidRDefault="008E1139" w:rsidP="005D7B68">
      <w:pPr>
        <w:tabs>
          <w:tab w:val="left" w:pos="567"/>
          <w:tab w:val="left" w:pos="1134"/>
          <w:tab w:val="left" w:pos="1701"/>
          <w:tab w:val="left" w:pos="2268"/>
        </w:tabs>
        <w:rPr>
          <w:b/>
          <w:lang w:val="fr-FR"/>
        </w:rPr>
      </w:pPr>
      <w:r>
        <w:rPr>
          <w:b/>
          <w:lang w:val="fr-FR"/>
        </w:rPr>
        <w:t>Australie occidentale</w:t>
      </w:r>
    </w:p>
    <w:p w:rsidR="00BE6C54" w:rsidRDefault="00F42801" w:rsidP="005D7B68">
      <w:pPr>
        <w:tabs>
          <w:tab w:val="left" w:pos="567"/>
          <w:tab w:val="left" w:pos="1134"/>
          <w:tab w:val="left" w:pos="1701"/>
          <w:tab w:val="left" w:pos="2268"/>
        </w:tabs>
        <w:rPr>
          <w:bCs/>
          <w:lang w:val="fr-FR"/>
        </w:rPr>
      </w:pPr>
      <w:r>
        <w:rPr>
          <w:bCs/>
          <w:lang w:val="fr-FR"/>
        </w:rPr>
        <w:t>23</w:t>
      </w:r>
      <w:r w:rsidR="00260FF1">
        <w:rPr>
          <w:bCs/>
          <w:lang w:val="fr-FR"/>
        </w:rPr>
        <w:t>7</w:t>
      </w:r>
      <w:r>
        <w:rPr>
          <w:bCs/>
          <w:lang w:val="fr-FR"/>
        </w:rPr>
        <w:t>.</w:t>
      </w:r>
      <w:r>
        <w:rPr>
          <w:bCs/>
          <w:lang w:val="fr-FR"/>
        </w:rPr>
        <w:tab/>
        <w:t xml:space="preserve">En vertu de la </w:t>
      </w:r>
      <w:r w:rsidRPr="00D13028">
        <w:rPr>
          <w:bCs/>
          <w:lang w:val="fr-FR"/>
        </w:rPr>
        <w:t>loi de 2006 sur le terrorisme (placement en détention préventive)</w:t>
      </w:r>
      <w:r>
        <w:rPr>
          <w:bCs/>
          <w:lang w:val="fr-FR"/>
        </w:rPr>
        <w:t xml:space="preserve"> (</w:t>
      </w:r>
      <w:r w:rsidR="008E1139">
        <w:rPr>
          <w:bCs/>
          <w:lang w:val="fr-FR"/>
        </w:rPr>
        <w:t>Australie occidentale</w:t>
      </w:r>
      <w:r>
        <w:rPr>
          <w:bCs/>
          <w:lang w:val="fr-FR"/>
        </w:rPr>
        <w:t>), qui autorise le placement d’une personne en détention préventive pour empêcher l’accomplissement d’</w:t>
      </w:r>
      <w:r w:rsidR="00860E57">
        <w:rPr>
          <w:bCs/>
          <w:lang w:val="fr-FR"/>
        </w:rPr>
        <w:t>un</w:t>
      </w:r>
      <w:r>
        <w:rPr>
          <w:bCs/>
          <w:lang w:val="fr-FR"/>
        </w:rPr>
        <w:t xml:space="preserve"> acte de terrorisme ou </w:t>
      </w:r>
      <w:r w:rsidR="00E60D15">
        <w:rPr>
          <w:bCs/>
          <w:lang w:val="fr-FR"/>
        </w:rPr>
        <w:t xml:space="preserve">pour </w:t>
      </w:r>
      <w:r>
        <w:rPr>
          <w:bCs/>
          <w:lang w:val="fr-FR"/>
        </w:rPr>
        <w:t>préserver des éléments de preuve concernant un acte de terrorisme récent, ou en rappo</w:t>
      </w:r>
      <w:r w:rsidR="0097406E">
        <w:rPr>
          <w:bCs/>
          <w:lang w:val="fr-FR"/>
        </w:rPr>
        <w:t>rt avec cet acte, l’intéressé</w:t>
      </w:r>
      <w:r>
        <w:rPr>
          <w:bCs/>
          <w:lang w:val="fr-FR"/>
        </w:rPr>
        <w:t xml:space="preserve"> peut être placée en détention dans des locaux de la police</w:t>
      </w:r>
      <w:r w:rsidR="00BE6C54">
        <w:rPr>
          <w:bCs/>
          <w:lang w:val="fr-FR"/>
        </w:rPr>
        <w:t>, dans une prison ou dans un centre de détention.</w:t>
      </w:r>
    </w:p>
    <w:p w:rsidR="00A01AE0" w:rsidRDefault="00D13028" w:rsidP="005D7B68">
      <w:pPr>
        <w:tabs>
          <w:tab w:val="left" w:pos="567"/>
          <w:tab w:val="left" w:pos="1134"/>
          <w:tab w:val="left" w:pos="1701"/>
          <w:tab w:val="left" w:pos="2268"/>
        </w:tabs>
        <w:rPr>
          <w:bCs/>
          <w:lang w:val="fr-FR"/>
        </w:rPr>
      </w:pPr>
      <w:r>
        <w:rPr>
          <w:bCs/>
          <w:lang w:val="fr-FR"/>
        </w:rPr>
        <w:t>23</w:t>
      </w:r>
      <w:r w:rsidR="00260FF1">
        <w:rPr>
          <w:bCs/>
          <w:lang w:val="fr-FR"/>
        </w:rPr>
        <w:t>8</w:t>
      </w:r>
      <w:r>
        <w:rPr>
          <w:bCs/>
          <w:lang w:val="fr-FR"/>
        </w:rPr>
        <w:t>.</w:t>
      </w:r>
      <w:r>
        <w:rPr>
          <w:bCs/>
          <w:lang w:val="fr-FR"/>
        </w:rPr>
        <w:tab/>
        <w:t>Aucune p</w:t>
      </w:r>
      <w:r w:rsidR="00A01AE0">
        <w:rPr>
          <w:bCs/>
          <w:lang w:val="fr-FR"/>
        </w:rPr>
        <w:t>ersonne n’a été placé</w:t>
      </w:r>
      <w:r>
        <w:rPr>
          <w:bCs/>
          <w:lang w:val="fr-FR"/>
        </w:rPr>
        <w:t>e</w:t>
      </w:r>
      <w:r w:rsidR="00A01AE0">
        <w:rPr>
          <w:bCs/>
          <w:lang w:val="fr-FR"/>
        </w:rPr>
        <w:t xml:space="preserve"> en détention </w:t>
      </w:r>
      <w:r>
        <w:rPr>
          <w:bCs/>
          <w:lang w:val="fr-FR"/>
        </w:rPr>
        <w:t>au motif qu’elle était</w:t>
      </w:r>
      <w:r w:rsidR="005B1B40">
        <w:rPr>
          <w:bCs/>
          <w:lang w:val="fr-FR"/>
        </w:rPr>
        <w:t xml:space="preserve"> soupçonnée d’activités terroristes,</w:t>
      </w:r>
      <w:r w:rsidR="00A01AE0">
        <w:rPr>
          <w:bCs/>
          <w:lang w:val="fr-FR"/>
        </w:rPr>
        <w:t xml:space="preserve"> au titre de la loi sur le terrorisme (placement en détention préventive).</w:t>
      </w:r>
    </w:p>
    <w:p w:rsidR="00761EC2" w:rsidRDefault="00D13028" w:rsidP="005D7B68">
      <w:pPr>
        <w:tabs>
          <w:tab w:val="left" w:pos="567"/>
          <w:tab w:val="left" w:pos="1134"/>
          <w:tab w:val="left" w:pos="1701"/>
          <w:tab w:val="left" w:pos="2268"/>
        </w:tabs>
        <w:rPr>
          <w:bCs/>
          <w:lang w:val="fr-FR"/>
        </w:rPr>
      </w:pPr>
      <w:r>
        <w:rPr>
          <w:bCs/>
          <w:lang w:val="fr-FR"/>
        </w:rPr>
        <w:t>23</w:t>
      </w:r>
      <w:r w:rsidR="00260FF1">
        <w:rPr>
          <w:bCs/>
          <w:lang w:val="fr-FR"/>
        </w:rPr>
        <w:t>9</w:t>
      </w:r>
      <w:r>
        <w:rPr>
          <w:bCs/>
          <w:lang w:val="fr-FR"/>
        </w:rPr>
        <w:t>.</w:t>
      </w:r>
      <w:r>
        <w:rPr>
          <w:bCs/>
          <w:lang w:val="fr-FR"/>
        </w:rPr>
        <w:tab/>
        <w:t>La loi sur le</w:t>
      </w:r>
      <w:r w:rsidR="00A01AE0">
        <w:rPr>
          <w:bCs/>
          <w:lang w:val="fr-FR"/>
        </w:rPr>
        <w:t xml:space="preserve"> terrorisme (placement en détention préventive) dispose qu’une personne placée en détention préventive en exécuti</w:t>
      </w:r>
      <w:r w:rsidR="009C70B7">
        <w:rPr>
          <w:bCs/>
          <w:lang w:val="fr-FR"/>
        </w:rPr>
        <w:t>on d’une ordonnance délivrée</w:t>
      </w:r>
      <w:r w:rsidR="00A01AE0">
        <w:rPr>
          <w:bCs/>
          <w:lang w:val="fr-FR"/>
        </w:rPr>
        <w:t xml:space="preserve"> à cet effet ne doit pas être soumise à un traitement cruel, inhumain ou dégradant</w:t>
      </w:r>
      <w:r w:rsidR="008D6B80">
        <w:rPr>
          <w:bCs/>
          <w:lang w:val="fr-FR"/>
        </w:rPr>
        <w:t xml:space="preserve">. </w:t>
      </w:r>
      <w:r w:rsidR="00A01AE0">
        <w:rPr>
          <w:bCs/>
          <w:lang w:val="fr-FR"/>
        </w:rPr>
        <w:t>Cela entraînerait le recours à un traitement méd</w:t>
      </w:r>
      <w:r w:rsidR="00761EC2">
        <w:rPr>
          <w:bCs/>
          <w:lang w:val="fr-FR"/>
        </w:rPr>
        <w:t>ical conformément aux principes en vigueur dans la police d’</w:t>
      </w:r>
      <w:r w:rsidR="008E1139">
        <w:rPr>
          <w:bCs/>
          <w:lang w:val="fr-FR"/>
        </w:rPr>
        <w:t>Australie occidentale</w:t>
      </w:r>
      <w:r w:rsidR="00761EC2">
        <w:rPr>
          <w:bCs/>
          <w:lang w:val="fr-FR"/>
        </w:rPr>
        <w:t xml:space="preserve"> et à des poursuites judiciaires.</w:t>
      </w:r>
    </w:p>
    <w:p w:rsidR="00055F14" w:rsidRDefault="00761EC2" w:rsidP="005D7B68">
      <w:pPr>
        <w:tabs>
          <w:tab w:val="left" w:pos="567"/>
          <w:tab w:val="left" w:pos="1134"/>
          <w:tab w:val="left" w:pos="1701"/>
          <w:tab w:val="left" w:pos="2268"/>
        </w:tabs>
        <w:rPr>
          <w:bCs/>
          <w:lang w:val="fr-FR"/>
        </w:rPr>
      </w:pPr>
      <w:r>
        <w:rPr>
          <w:bCs/>
          <w:lang w:val="fr-FR"/>
        </w:rPr>
        <w:t>2</w:t>
      </w:r>
      <w:r w:rsidR="00260FF1">
        <w:rPr>
          <w:bCs/>
          <w:lang w:val="fr-FR"/>
        </w:rPr>
        <w:t>40</w:t>
      </w:r>
      <w:r>
        <w:rPr>
          <w:bCs/>
          <w:lang w:val="fr-FR"/>
        </w:rPr>
        <w:t>.</w:t>
      </w:r>
      <w:r>
        <w:rPr>
          <w:bCs/>
          <w:lang w:val="fr-FR"/>
        </w:rPr>
        <w:tab/>
        <w:t>Les d</w:t>
      </w:r>
      <w:r w:rsidR="007050DA">
        <w:rPr>
          <w:bCs/>
          <w:lang w:val="fr-FR"/>
        </w:rPr>
        <w:t>roits de toute personne de consulter un avocat, d’</w:t>
      </w:r>
      <w:r w:rsidR="00547B6F">
        <w:rPr>
          <w:bCs/>
          <w:lang w:val="fr-FR"/>
        </w:rPr>
        <w:t xml:space="preserve">être </w:t>
      </w:r>
      <w:r w:rsidR="007050DA">
        <w:rPr>
          <w:bCs/>
          <w:lang w:val="fr-FR"/>
        </w:rPr>
        <w:t>informée de ses droits et</w:t>
      </w:r>
      <w:r w:rsidR="00572260">
        <w:rPr>
          <w:bCs/>
          <w:lang w:val="fr-FR"/>
        </w:rPr>
        <w:t xml:space="preserve"> </w:t>
      </w:r>
      <w:r w:rsidR="007050DA">
        <w:rPr>
          <w:bCs/>
          <w:lang w:val="fr-FR"/>
        </w:rPr>
        <w:t>d’</w:t>
      </w:r>
      <w:r>
        <w:rPr>
          <w:bCs/>
          <w:lang w:val="fr-FR"/>
        </w:rPr>
        <w:t>informer sans délai sa famille de son placement en détention, quel qu’en soit le lieu, ne sont pas affect</w:t>
      </w:r>
      <w:r w:rsidR="00D515C7">
        <w:rPr>
          <w:bCs/>
          <w:lang w:val="fr-FR"/>
        </w:rPr>
        <w:t>és par cette loi</w:t>
      </w:r>
      <w:r w:rsidR="008D6B80">
        <w:rPr>
          <w:bCs/>
          <w:lang w:val="fr-FR"/>
        </w:rPr>
        <w:t xml:space="preserve">. </w:t>
      </w:r>
      <w:r w:rsidR="00D515C7">
        <w:rPr>
          <w:bCs/>
          <w:lang w:val="fr-FR"/>
        </w:rPr>
        <w:t>En fait, cette loi</w:t>
      </w:r>
      <w:r>
        <w:rPr>
          <w:bCs/>
          <w:lang w:val="fr-FR"/>
        </w:rPr>
        <w:t xml:space="preserve"> les rend explicites.</w:t>
      </w:r>
    </w:p>
    <w:p w:rsidR="00055F14" w:rsidRDefault="00055F14" w:rsidP="005D7B68">
      <w:pPr>
        <w:tabs>
          <w:tab w:val="left" w:pos="567"/>
          <w:tab w:val="left" w:pos="1134"/>
          <w:tab w:val="left" w:pos="1701"/>
          <w:tab w:val="left" w:pos="2268"/>
        </w:tabs>
        <w:rPr>
          <w:bCs/>
          <w:lang w:val="fr-FR"/>
        </w:rPr>
      </w:pPr>
      <w:r>
        <w:rPr>
          <w:bCs/>
          <w:lang w:val="fr-FR"/>
        </w:rPr>
        <w:t>24</w:t>
      </w:r>
      <w:r w:rsidR="00260FF1">
        <w:rPr>
          <w:bCs/>
          <w:lang w:val="fr-FR"/>
        </w:rPr>
        <w:t>1</w:t>
      </w:r>
      <w:r>
        <w:rPr>
          <w:bCs/>
          <w:lang w:val="fr-FR"/>
        </w:rPr>
        <w:t>.</w:t>
      </w:r>
      <w:r>
        <w:rPr>
          <w:bCs/>
          <w:lang w:val="fr-FR"/>
        </w:rPr>
        <w:tab/>
        <w:t>Dans le cas où une personne est placée en détention préventive</w:t>
      </w:r>
      <w:r w:rsidR="00761EC2">
        <w:rPr>
          <w:bCs/>
          <w:lang w:val="fr-FR"/>
        </w:rPr>
        <w:t xml:space="preserve"> </w:t>
      </w:r>
      <w:r>
        <w:rPr>
          <w:bCs/>
          <w:lang w:val="fr-FR"/>
        </w:rPr>
        <w:t>aux fins de la prévention d’un acte de terrorisme, il existe des dispositions législatives qui lui permettent, dans des circon</w:t>
      </w:r>
      <w:r w:rsidR="00D13028">
        <w:rPr>
          <w:bCs/>
          <w:lang w:val="fr-FR"/>
        </w:rPr>
        <w:t>stances spécifiées, de prendre contact avec</w:t>
      </w:r>
      <w:r w:rsidR="00572260">
        <w:rPr>
          <w:bCs/>
          <w:lang w:val="fr-FR"/>
        </w:rPr>
        <w:t>:</w:t>
      </w:r>
    </w:p>
    <w:p w:rsidR="00E2647F" w:rsidRDefault="00D13028" w:rsidP="00E0029F">
      <w:pPr>
        <w:keepNext/>
        <w:numPr>
          <w:ilvl w:val="0"/>
          <w:numId w:val="20"/>
        </w:numPr>
        <w:tabs>
          <w:tab w:val="left" w:pos="567"/>
          <w:tab w:val="left" w:pos="1134"/>
          <w:tab w:val="left" w:pos="1701"/>
          <w:tab w:val="left" w:pos="2268"/>
        </w:tabs>
        <w:rPr>
          <w:bCs/>
          <w:lang w:val="fr-FR"/>
        </w:rPr>
      </w:pPr>
      <w:r>
        <w:rPr>
          <w:bCs/>
          <w:lang w:val="fr-FR"/>
        </w:rPr>
        <w:t>D</w:t>
      </w:r>
      <w:r w:rsidR="00055F14">
        <w:rPr>
          <w:bCs/>
          <w:lang w:val="fr-FR"/>
        </w:rPr>
        <w:t xml:space="preserve">es membres de sa famille et des proches ou des collègues </w:t>
      </w:r>
      <w:r w:rsidR="00E2647F">
        <w:rPr>
          <w:bCs/>
          <w:lang w:val="fr-FR"/>
        </w:rPr>
        <w:t>–</w:t>
      </w:r>
      <w:r w:rsidR="00055F14">
        <w:rPr>
          <w:bCs/>
          <w:lang w:val="fr-FR"/>
        </w:rPr>
        <w:t xml:space="preserve"> </w:t>
      </w:r>
      <w:r w:rsidR="00E2647F">
        <w:rPr>
          <w:bCs/>
          <w:lang w:val="fr-FR"/>
        </w:rPr>
        <w:t>elle peut, en l’occurrence, indiquer qu’elle est en sécurité mais ne peut pas être contactée pour le moment</w:t>
      </w:r>
      <w:r w:rsidR="00572260">
        <w:rPr>
          <w:bCs/>
          <w:lang w:val="fr-FR"/>
        </w:rPr>
        <w:t>;</w:t>
      </w:r>
      <w:r w:rsidR="00055F14">
        <w:rPr>
          <w:bCs/>
          <w:lang w:val="fr-FR"/>
        </w:rPr>
        <w:t xml:space="preserve"> </w:t>
      </w:r>
    </w:p>
    <w:p w:rsidR="00AC373E" w:rsidRPr="005B7D04" w:rsidRDefault="00D13028" w:rsidP="00E0029F">
      <w:pPr>
        <w:keepNext/>
        <w:numPr>
          <w:ilvl w:val="0"/>
          <w:numId w:val="20"/>
        </w:numPr>
        <w:tabs>
          <w:tab w:val="left" w:pos="567"/>
          <w:tab w:val="left" w:pos="1134"/>
          <w:tab w:val="left" w:pos="1701"/>
          <w:tab w:val="left" w:pos="2268"/>
        </w:tabs>
        <w:rPr>
          <w:bCs/>
          <w:lang w:val="fr-FR"/>
        </w:rPr>
      </w:pPr>
      <w:r>
        <w:rPr>
          <w:bCs/>
          <w:lang w:val="fr-FR"/>
        </w:rPr>
        <w:t>L</w:t>
      </w:r>
      <w:r w:rsidR="00E2647F">
        <w:rPr>
          <w:bCs/>
          <w:lang w:val="fr-FR"/>
        </w:rPr>
        <w:t>e Commissaire</w:t>
      </w:r>
      <w:r w:rsidR="00761EC2">
        <w:rPr>
          <w:bCs/>
          <w:lang w:val="fr-FR"/>
        </w:rPr>
        <w:t xml:space="preserve"> </w:t>
      </w:r>
      <w:r w:rsidR="00E2647F">
        <w:rPr>
          <w:bCs/>
          <w:lang w:val="fr-FR"/>
        </w:rPr>
        <w:t>parlementaire d’</w:t>
      </w:r>
      <w:r w:rsidR="008E1139">
        <w:rPr>
          <w:bCs/>
          <w:lang w:val="fr-FR"/>
        </w:rPr>
        <w:t>Australie occidentale</w:t>
      </w:r>
      <w:r w:rsidR="00E2647F">
        <w:rPr>
          <w:bCs/>
          <w:lang w:val="fr-FR"/>
        </w:rPr>
        <w:t xml:space="preserve">, la Commission de lutte contre la corruption et la criminalité </w:t>
      </w:r>
      <w:r w:rsidR="00AC373E" w:rsidRPr="005B7D04">
        <w:rPr>
          <w:bCs/>
          <w:lang w:val="fr-FR"/>
        </w:rPr>
        <w:t>d’</w:t>
      </w:r>
      <w:r w:rsidR="008E1139" w:rsidRPr="005B7D04">
        <w:rPr>
          <w:bCs/>
          <w:lang w:val="fr-FR"/>
        </w:rPr>
        <w:t>Australie occidentale</w:t>
      </w:r>
      <w:r w:rsidR="00AC373E" w:rsidRPr="005B7D04">
        <w:rPr>
          <w:bCs/>
          <w:lang w:val="fr-FR"/>
        </w:rPr>
        <w:t xml:space="preserve"> et l’Inspecteur des services pénitentiaires d’</w:t>
      </w:r>
      <w:r w:rsidR="008E1139" w:rsidRPr="005B7D04">
        <w:rPr>
          <w:bCs/>
          <w:lang w:val="fr-FR"/>
        </w:rPr>
        <w:t>Australie occidentale</w:t>
      </w:r>
      <w:r w:rsidR="00AC373E" w:rsidRPr="005B7D04">
        <w:rPr>
          <w:bCs/>
          <w:lang w:val="fr-FR"/>
        </w:rPr>
        <w:t xml:space="preserve"> – cela pouvant être aux fins d’un dépôt de plainte concer</w:t>
      </w:r>
      <w:r w:rsidR="00DA3596" w:rsidRPr="005B7D04">
        <w:rPr>
          <w:bCs/>
          <w:lang w:val="fr-FR"/>
        </w:rPr>
        <w:t>nant le placement de l’intéressé</w:t>
      </w:r>
      <w:r w:rsidR="00AC373E" w:rsidRPr="005B7D04">
        <w:rPr>
          <w:bCs/>
          <w:lang w:val="fr-FR"/>
        </w:rPr>
        <w:t xml:space="preserve"> en détention pré</w:t>
      </w:r>
      <w:r w:rsidR="009C70B7" w:rsidRPr="005B7D04">
        <w:rPr>
          <w:bCs/>
          <w:lang w:val="fr-FR"/>
        </w:rPr>
        <w:t>ventive en exécution d’une ordonnance</w:t>
      </w:r>
      <w:r w:rsidR="00AC373E" w:rsidRPr="005B7D04">
        <w:rPr>
          <w:bCs/>
          <w:lang w:val="fr-FR"/>
        </w:rPr>
        <w:t xml:space="preserve"> délivré</w:t>
      </w:r>
      <w:r w:rsidR="009C70B7" w:rsidRPr="005B7D04">
        <w:rPr>
          <w:bCs/>
          <w:lang w:val="fr-FR"/>
        </w:rPr>
        <w:t>e</w:t>
      </w:r>
      <w:r w:rsidR="00AC373E" w:rsidRPr="005B7D04">
        <w:rPr>
          <w:bCs/>
          <w:lang w:val="fr-FR"/>
        </w:rPr>
        <w:t xml:space="preserve"> à cet effet</w:t>
      </w:r>
      <w:r w:rsidR="00572260" w:rsidRPr="005B7D04">
        <w:rPr>
          <w:bCs/>
          <w:lang w:val="fr-FR"/>
        </w:rPr>
        <w:t>;</w:t>
      </w:r>
      <w:r w:rsidR="00AC373E" w:rsidRPr="005B7D04">
        <w:rPr>
          <w:bCs/>
          <w:lang w:val="fr-FR"/>
        </w:rPr>
        <w:t xml:space="preserve"> et</w:t>
      </w:r>
    </w:p>
    <w:p w:rsidR="00AC373E" w:rsidRDefault="00D13028" w:rsidP="00E0029F">
      <w:pPr>
        <w:keepNext/>
        <w:numPr>
          <w:ilvl w:val="0"/>
          <w:numId w:val="20"/>
        </w:numPr>
        <w:tabs>
          <w:tab w:val="left" w:pos="567"/>
          <w:tab w:val="left" w:pos="1134"/>
          <w:tab w:val="left" w:pos="1701"/>
          <w:tab w:val="left" w:pos="2268"/>
        </w:tabs>
        <w:rPr>
          <w:lang w:val="fr-FR"/>
        </w:rPr>
      </w:pPr>
      <w:r>
        <w:rPr>
          <w:lang w:val="fr-FR"/>
        </w:rPr>
        <w:t>U</w:t>
      </w:r>
      <w:r w:rsidR="00AC373E" w:rsidRPr="00AC373E">
        <w:rPr>
          <w:lang w:val="fr-FR"/>
        </w:rPr>
        <w:t>n avocat – pour solliciter des conseils juridiques, mettre au point une représentation en justice, porter plainte ou faire des observations auprès d’un organe de contrôle.</w:t>
      </w:r>
    </w:p>
    <w:p w:rsidR="004A04B9" w:rsidRDefault="00AC373E" w:rsidP="005D7B68">
      <w:pPr>
        <w:tabs>
          <w:tab w:val="left" w:pos="567"/>
          <w:tab w:val="left" w:pos="1134"/>
          <w:tab w:val="left" w:pos="1701"/>
          <w:tab w:val="left" w:pos="2268"/>
        </w:tabs>
        <w:rPr>
          <w:lang w:val="fr-FR"/>
        </w:rPr>
      </w:pPr>
      <w:r>
        <w:rPr>
          <w:lang w:val="fr-FR"/>
        </w:rPr>
        <w:t>24</w:t>
      </w:r>
      <w:r w:rsidR="00260FF1">
        <w:rPr>
          <w:lang w:val="fr-FR"/>
        </w:rPr>
        <w:t>2</w:t>
      </w:r>
      <w:r>
        <w:rPr>
          <w:lang w:val="fr-FR"/>
        </w:rPr>
        <w:t>.</w:t>
      </w:r>
      <w:r>
        <w:rPr>
          <w:lang w:val="fr-FR"/>
        </w:rPr>
        <w:tab/>
        <w:t>Les droits relatifs à l’accès à un médecin de son choix peuvent dépendre du lieu où la personne a été placée en détention</w:t>
      </w:r>
      <w:r w:rsidR="008D6B80">
        <w:rPr>
          <w:lang w:val="fr-FR"/>
        </w:rPr>
        <w:t xml:space="preserve">. </w:t>
      </w:r>
      <w:r>
        <w:rPr>
          <w:lang w:val="fr-FR"/>
        </w:rPr>
        <w:t>Par exemple, sous réserve de certaines exemptions concernant les contacts et les communicati</w:t>
      </w:r>
      <w:r w:rsidR="001238BD">
        <w:rPr>
          <w:lang w:val="fr-FR"/>
        </w:rPr>
        <w:t>ons avec des tiers, s’il s’agit</w:t>
      </w:r>
      <w:r>
        <w:rPr>
          <w:lang w:val="fr-FR"/>
        </w:rPr>
        <w:t xml:space="preserve"> </w:t>
      </w:r>
      <w:r w:rsidR="001238BD">
        <w:rPr>
          <w:lang w:val="fr-FR"/>
        </w:rPr>
        <w:t>d’</w:t>
      </w:r>
      <w:r>
        <w:rPr>
          <w:lang w:val="fr-FR"/>
        </w:rPr>
        <w:t xml:space="preserve">une prison ou </w:t>
      </w:r>
      <w:r w:rsidR="001238BD">
        <w:rPr>
          <w:lang w:val="fr-FR"/>
        </w:rPr>
        <w:t>d’</w:t>
      </w:r>
      <w:r>
        <w:rPr>
          <w:lang w:val="fr-FR"/>
        </w:rPr>
        <w:t>un centre de détention, elle a les mêmes droits qu’un</w:t>
      </w:r>
      <w:r w:rsidR="00572260">
        <w:rPr>
          <w:lang w:val="fr-FR"/>
        </w:rPr>
        <w:t xml:space="preserve"> </w:t>
      </w:r>
      <w:r>
        <w:rPr>
          <w:lang w:val="fr-FR"/>
        </w:rPr>
        <w:t xml:space="preserve">prisonnier incarcéré au titre de </w:t>
      </w:r>
      <w:r w:rsidRPr="00D13028">
        <w:rPr>
          <w:lang w:val="fr-FR"/>
        </w:rPr>
        <w:t>la loi de 1981 sur les prisons</w:t>
      </w:r>
      <w:r>
        <w:rPr>
          <w:lang w:val="fr-FR"/>
        </w:rPr>
        <w:t xml:space="preserve"> (</w:t>
      </w:r>
      <w:r w:rsidR="008E1139">
        <w:rPr>
          <w:lang w:val="fr-FR"/>
        </w:rPr>
        <w:t>Australie occidentale</w:t>
      </w:r>
      <w:r>
        <w:rPr>
          <w:lang w:val="fr-FR"/>
        </w:rPr>
        <w:t xml:space="preserve">) ou de la </w:t>
      </w:r>
      <w:r w:rsidRPr="00D13028">
        <w:rPr>
          <w:lang w:val="fr-FR"/>
        </w:rPr>
        <w:t>loi de 1994 sur les jeunes délinquants</w:t>
      </w:r>
      <w:r>
        <w:rPr>
          <w:i/>
          <w:iCs/>
          <w:lang w:val="fr-FR"/>
        </w:rPr>
        <w:t xml:space="preserve"> </w:t>
      </w:r>
      <w:r>
        <w:rPr>
          <w:lang w:val="fr-FR"/>
        </w:rPr>
        <w:t>(</w:t>
      </w:r>
      <w:r w:rsidR="008E1139">
        <w:rPr>
          <w:lang w:val="fr-FR"/>
        </w:rPr>
        <w:t>Australie occidentale</w:t>
      </w:r>
      <w:r>
        <w:rPr>
          <w:lang w:val="fr-FR"/>
        </w:rPr>
        <w:t>)</w:t>
      </w:r>
      <w:r w:rsidR="008D6B80">
        <w:rPr>
          <w:lang w:val="fr-FR"/>
        </w:rPr>
        <w:t xml:space="preserve">. </w:t>
      </w:r>
      <w:r>
        <w:rPr>
          <w:lang w:val="fr-FR"/>
        </w:rPr>
        <w:t xml:space="preserve">Cela veut dire, </w:t>
      </w:r>
      <w:r w:rsidR="004C028A">
        <w:rPr>
          <w:lang w:val="fr-FR"/>
        </w:rPr>
        <w:t>pour l’essentiel, qu’elle a</w:t>
      </w:r>
      <w:r>
        <w:rPr>
          <w:lang w:val="fr-FR"/>
        </w:rPr>
        <w:t xml:space="preserve"> dr</w:t>
      </w:r>
      <w:r w:rsidR="007E4C6C">
        <w:rPr>
          <w:lang w:val="fr-FR"/>
        </w:rPr>
        <w:t>oit à un traitement médical et sera autorisée</w:t>
      </w:r>
      <w:r>
        <w:rPr>
          <w:lang w:val="fr-FR"/>
        </w:rPr>
        <w:t xml:space="preserve"> </w:t>
      </w:r>
      <w:r w:rsidR="007E4C6C">
        <w:rPr>
          <w:lang w:val="fr-FR"/>
        </w:rPr>
        <w:t xml:space="preserve">à </w:t>
      </w:r>
      <w:r>
        <w:rPr>
          <w:lang w:val="fr-FR"/>
        </w:rPr>
        <w:t>consulter un médecin, mais pas nécessairement celui de son choix.</w:t>
      </w:r>
    </w:p>
    <w:p w:rsidR="00AC373E" w:rsidRDefault="004A04B9" w:rsidP="005D7B68">
      <w:pPr>
        <w:tabs>
          <w:tab w:val="left" w:pos="567"/>
          <w:tab w:val="left" w:pos="1134"/>
          <w:tab w:val="left" w:pos="1701"/>
          <w:tab w:val="left" w:pos="2268"/>
        </w:tabs>
        <w:rPr>
          <w:lang w:val="fr-FR"/>
        </w:rPr>
      </w:pPr>
      <w:r>
        <w:rPr>
          <w:lang w:val="fr-FR"/>
        </w:rPr>
        <w:t>24</w:t>
      </w:r>
      <w:r w:rsidR="00260FF1">
        <w:rPr>
          <w:lang w:val="fr-FR"/>
        </w:rPr>
        <w:t>3</w:t>
      </w:r>
      <w:r>
        <w:rPr>
          <w:lang w:val="fr-FR"/>
        </w:rPr>
        <w:t>.</w:t>
      </w:r>
      <w:r>
        <w:rPr>
          <w:lang w:val="fr-FR"/>
        </w:rPr>
        <w:tab/>
        <w:t>Dans le cas d’une personne âgée de moins de 18 ans ou incapable de gérer ses propres affaires, il existe des dispositions spéciales, à savoir qu’elle a le droit de contacter son père ou sa mère, ou son tuteur, ou tout autre personne capable de représenter ses intérêts</w:t>
      </w:r>
      <w:r w:rsidR="00AC373E">
        <w:rPr>
          <w:lang w:val="fr-FR"/>
        </w:rPr>
        <w:t xml:space="preserve"> </w:t>
      </w:r>
      <w:r>
        <w:rPr>
          <w:lang w:val="fr-FR"/>
        </w:rPr>
        <w:t>supérieurs</w:t>
      </w:r>
      <w:r w:rsidR="008D6B80">
        <w:rPr>
          <w:lang w:val="fr-FR"/>
        </w:rPr>
        <w:t xml:space="preserve">. </w:t>
      </w:r>
      <w:r w:rsidR="00AB7804">
        <w:rPr>
          <w:lang w:val="fr-FR"/>
        </w:rPr>
        <w:t>Pour que l’honnêteté de la démarche ne puisse pas être mise en cause, cette personne ne doit pas être un fonctionnaire du Commonwealth, de l’État ou du Territoire, ni un employé de l’Agence du renseignement</w:t>
      </w:r>
      <w:r w:rsidR="00AC373E">
        <w:rPr>
          <w:lang w:val="fr-FR"/>
        </w:rPr>
        <w:t xml:space="preserve"> </w:t>
      </w:r>
      <w:r w:rsidR="00AB7804">
        <w:rPr>
          <w:lang w:val="fr-FR"/>
        </w:rPr>
        <w:t>relatif à la sécurité.</w:t>
      </w:r>
    </w:p>
    <w:p w:rsidR="00AB7804" w:rsidRDefault="00AB7804" w:rsidP="005D7B68">
      <w:pPr>
        <w:tabs>
          <w:tab w:val="left" w:pos="567"/>
          <w:tab w:val="left" w:pos="1134"/>
          <w:tab w:val="left" w:pos="1701"/>
          <w:tab w:val="left" w:pos="2268"/>
        </w:tabs>
        <w:rPr>
          <w:lang w:val="fr-FR"/>
        </w:rPr>
      </w:pPr>
      <w:r>
        <w:rPr>
          <w:lang w:val="fr-FR"/>
        </w:rPr>
        <w:t>24</w:t>
      </w:r>
      <w:r w:rsidR="00260FF1">
        <w:rPr>
          <w:lang w:val="fr-FR"/>
        </w:rPr>
        <w:t>4</w:t>
      </w:r>
      <w:r>
        <w:rPr>
          <w:lang w:val="fr-FR"/>
        </w:rPr>
        <w:t>.</w:t>
      </w:r>
      <w:r>
        <w:rPr>
          <w:lang w:val="fr-FR"/>
        </w:rPr>
        <w:tab/>
      </w:r>
      <w:r w:rsidR="000732FB">
        <w:rPr>
          <w:lang w:val="fr-FR"/>
        </w:rPr>
        <w:t>Á des fins de contrôle</w:t>
      </w:r>
      <w:r w:rsidR="00E8615B">
        <w:rPr>
          <w:lang w:val="fr-FR"/>
        </w:rPr>
        <w:t>, l’Inspecteur des services pénitentiaires peut examiner la situation et</w:t>
      </w:r>
      <w:r w:rsidR="000732FB">
        <w:rPr>
          <w:lang w:val="fr-FR"/>
        </w:rPr>
        <w:t xml:space="preserve"> le traitement du dé</w:t>
      </w:r>
      <w:r w:rsidR="00E8615B">
        <w:rPr>
          <w:lang w:val="fr-FR"/>
        </w:rPr>
        <w:t>tenu</w:t>
      </w:r>
      <w:r w:rsidR="001238BD">
        <w:rPr>
          <w:lang w:val="fr-FR"/>
        </w:rPr>
        <w:t xml:space="preserve"> et formuler</w:t>
      </w:r>
      <w:r w:rsidR="000732FB">
        <w:rPr>
          <w:lang w:val="fr-FR"/>
        </w:rPr>
        <w:t xml:space="preserve"> des recommandations à</w:t>
      </w:r>
      <w:r w:rsidR="00EE3D27">
        <w:rPr>
          <w:lang w:val="fr-FR"/>
        </w:rPr>
        <w:t xml:space="preserve"> l’intention de</w:t>
      </w:r>
      <w:r w:rsidR="000732FB">
        <w:rPr>
          <w:lang w:val="fr-FR"/>
        </w:rPr>
        <w:t xml:space="preserve"> la </w:t>
      </w:r>
      <w:r w:rsidR="00283919">
        <w:rPr>
          <w:lang w:val="fr-FR"/>
        </w:rPr>
        <w:t>police s’il le juge bon</w:t>
      </w:r>
      <w:r w:rsidR="008D6B80">
        <w:rPr>
          <w:lang w:val="fr-FR"/>
        </w:rPr>
        <w:t xml:space="preserve">. </w:t>
      </w:r>
      <w:r w:rsidR="00283919">
        <w:rPr>
          <w:lang w:val="fr-FR"/>
        </w:rPr>
        <w:t>Toute</w:t>
      </w:r>
      <w:r w:rsidR="000732FB">
        <w:rPr>
          <w:lang w:val="fr-FR"/>
        </w:rPr>
        <w:t xml:space="preserve"> personne (par exemple un fonctionnaire de police)</w:t>
      </w:r>
      <w:r w:rsidR="00283919">
        <w:rPr>
          <w:lang w:val="fr-FR"/>
        </w:rPr>
        <w:t xml:space="preserve"> qui </w:t>
      </w:r>
      <w:r w:rsidR="000732FB">
        <w:rPr>
          <w:lang w:val="fr-FR"/>
        </w:rPr>
        <w:t xml:space="preserve">viole </w:t>
      </w:r>
      <w:r w:rsidR="00283919">
        <w:rPr>
          <w:lang w:val="fr-FR"/>
        </w:rPr>
        <w:t>les garanties législatives</w:t>
      </w:r>
      <w:r w:rsidR="000732FB">
        <w:rPr>
          <w:lang w:val="fr-FR"/>
        </w:rPr>
        <w:t xml:space="preserve"> se rend coupable d’une infraction passible d’une peine de deux ans d’emprisonnement.</w:t>
      </w:r>
    </w:p>
    <w:p w:rsidR="000732FB" w:rsidRDefault="008E1139" w:rsidP="005D7B68">
      <w:pPr>
        <w:tabs>
          <w:tab w:val="left" w:pos="567"/>
          <w:tab w:val="left" w:pos="1134"/>
          <w:tab w:val="left" w:pos="1701"/>
          <w:tab w:val="left" w:pos="2268"/>
        </w:tabs>
        <w:rPr>
          <w:b/>
          <w:bCs/>
          <w:lang w:val="fr-FR"/>
        </w:rPr>
      </w:pPr>
      <w:r>
        <w:rPr>
          <w:b/>
          <w:bCs/>
          <w:lang w:val="fr-FR"/>
        </w:rPr>
        <w:t>Australie méridionale</w:t>
      </w:r>
    </w:p>
    <w:p w:rsidR="000732FB" w:rsidRDefault="000732FB" w:rsidP="005D7B68">
      <w:pPr>
        <w:tabs>
          <w:tab w:val="left" w:pos="567"/>
          <w:tab w:val="left" w:pos="1134"/>
          <w:tab w:val="left" w:pos="1701"/>
          <w:tab w:val="left" w:pos="2268"/>
        </w:tabs>
        <w:rPr>
          <w:lang w:val="fr-FR"/>
        </w:rPr>
      </w:pPr>
      <w:r>
        <w:rPr>
          <w:lang w:val="fr-FR"/>
        </w:rPr>
        <w:t>24</w:t>
      </w:r>
      <w:r w:rsidR="00260FF1">
        <w:rPr>
          <w:lang w:val="fr-FR"/>
        </w:rPr>
        <w:t>5</w:t>
      </w:r>
      <w:r>
        <w:rPr>
          <w:lang w:val="fr-FR"/>
        </w:rPr>
        <w:t>.</w:t>
      </w:r>
      <w:r>
        <w:rPr>
          <w:lang w:val="fr-FR"/>
        </w:rPr>
        <w:tab/>
      </w:r>
      <w:r w:rsidR="005B1B40">
        <w:rPr>
          <w:lang w:val="fr-FR"/>
        </w:rPr>
        <w:t xml:space="preserve">Aucune personne n’est actuellement placée en détention en </w:t>
      </w:r>
      <w:r w:rsidR="008E1139">
        <w:rPr>
          <w:lang w:val="fr-FR"/>
        </w:rPr>
        <w:t>Australie méridionale</w:t>
      </w:r>
      <w:r w:rsidR="005B1B40">
        <w:rPr>
          <w:lang w:val="fr-FR"/>
        </w:rPr>
        <w:t xml:space="preserve"> au motif qu’elle est soupçonnée d’activités terroristes</w:t>
      </w:r>
      <w:r w:rsidR="008D6B80">
        <w:rPr>
          <w:lang w:val="fr-FR"/>
        </w:rPr>
        <w:t xml:space="preserve">. </w:t>
      </w:r>
      <w:r w:rsidR="00860E57">
        <w:rPr>
          <w:lang w:val="fr-FR"/>
        </w:rPr>
        <w:t xml:space="preserve">La </w:t>
      </w:r>
      <w:r w:rsidR="00860E57" w:rsidRPr="00283919">
        <w:rPr>
          <w:lang w:val="fr-FR"/>
        </w:rPr>
        <w:t>loi de 2005 sur le terrorisme (placement en détention préventive)</w:t>
      </w:r>
      <w:r w:rsidR="00860E57">
        <w:rPr>
          <w:i/>
          <w:iCs/>
          <w:lang w:val="fr-FR"/>
        </w:rPr>
        <w:t xml:space="preserve"> </w:t>
      </w:r>
      <w:r w:rsidR="00860E57">
        <w:rPr>
          <w:lang w:val="fr-FR"/>
        </w:rPr>
        <w:t>d’</w:t>
      </w:r>
      <w:r w:rsidR="008E1139">
        <w:rPr>
          <w:lang w:val="fr-FR"/>
        </w:rPr>
        <w:t>Australie méridionale</w:t>
      </w:r>
      <w:r w:rsidR="00860E57">
        <w:rPr>
          <w:lang w:val="fr-FR"/>
        </w:rPr>
        <w:t xml:space="preserve"> (la loi sur le terrorisme), est fondée sur la</w:t>
      </w:r>
      <w:r w:rsidR="00860E57">
        <w:rPr>
          <w:i/>
          <w:iCs/>
          <w:lang w:val="fr-FR"/>
        </w:rPr>
        <w:t xml:space="preserve"> </w:t>
      </w:r>
      <w:r w:rsidR="00C65BCF">
        <w:rPr>
          <w:lang w:val="fr-FR"/>
        </w:rPr>
        <w:t>loi anti</w:t>
      </w:r>
      <w:r w:rsidR="00860E57" w:rsidRPr="00283919">
        <w:rPr>
          <w:lang w:val="fr-FR"/>
        </w:rPr>
        <w:t>terrorisme</w:t>
      </w:r>
      <w:r w:rsidR="00C65BCF">
        <w:rPr>
          <w:lang w:val="fr-FR"/>
        </w:rPr>
        <w:t xml:space="preserve"> de 2005</w:t>
      </w:r>
      <w:r w:rsidR="00860E57" w:rsidRPr="00283919">
        <w:rPr>
          <w:lang w:val="fr-FR"/>
        </w:rPr>
        <w:t xml:space="preserve"> (</w:t>
      </w:r>
      <w:r w:rsidR="001C6B89">
        <w:rPr>
          <w:lang w:val="fr-FR"/>
        </w:rPr>
        <w:t>n</w:t>
      </w:r>
      <w:r w:rsidR="001C6B89" w:rsidRPr="001C6B89">
        <w:rPr>
          <w:vertAlign w:val="superscript"/>
          <w:lang w:val="fr-FR"/>
        </w:rPr>
        <w:t>o</w:t>
      </w:r>
      <w:r w:rsidR="00860E57" w:rsidRPr="00283919">
        <w:rPr>
          <w:lang w:val="fr-FR"/>
        </w:rPr>
        <w:t xml:space="preserve"> 2)</w:t>
      </w:r>
      <w:r w:rsidR="008D6B80">
        <w:rPr>
          <w:lang w:val="fr-FR"/>
        </w:rPr>
        <w:t xml:space="preserve">. </w:t>
      </w:r>
      <w:r w:rsidR="00860E57">
        <w:rPr>
          <w:lang w:val="fr-FR"/>
        </w:rPr>
        <w:t xml:space="preserve">C’est la raison pour laquelle les garanties prévues en </w:t>
      </w:r>
      <w:r w:rsidR="008E1139">
        <w:rPr>
          <w:lang w:val="fr-FR"/>
        </w:rPr>
        <w:t>Australie méridionale</w:t>
      </w:r>
      <w:r w:rsidR="00860E57">
        <w:rPr>
          <w:lang w:val="fr-FR"/>
        </w:rPr>
        <w:t xml:space="preserve"> sont identiques à celles de la législation du Commonwealth.</w:t>
      </w:r>
    </w:p>
    <w:p w:rsidR="00860E57" w:rsidRDefault="00860E57" w:rsidP="005D7B68">
      <w:pPr>
        <w:tabs>
          <w:tab w:val="left" w:pos="567"/>
          <w:tab w:val="left" w:pos="1134"/>
          <w:tab w:val="left" w:pos="1701"/>
          <w:tab w:val="left" w:pos="2268"/>
        </w:tabs>
        <w:rPr>
          <w:lang w:val="fr-FR"/>
        </w:rPr>
      </w:pPr>
      <w:r>
        <w:rPr>
          <w:lang w:val="fr-FR"/>
        </w:rPr>
        <w:t>24</w:t>
      </w:r>
      <w:r w:rsidR="00612CC4">
        <w:rPr>
          <w:lang w:val="fr-FR"/>
        </w:rPr>
        <w:t>6</w:t>
      </w:r>
      <w:r>
        <w:rPr>
          <w:lang w:val="fr-FR"/>
        </w:rPr>
        <w:t>.</w:t>
      </w:r>
      <w:r>
        <w:rPr>
          <w:lang w:val="fr-FR"/>
        </w:rPr>
        <w:tab/>
        <w:t>La loi sur le terrorisme autorise le placement d’une personne en détention temporaire pour empêcher l’accomplissement d’un acte terroriste ou pour préserver des éléments de preuve</w:t>
      </w:r>
      <w:r w:rsidR="004E6703">
        <w:rPr>
          <w:lang w:val="fr-FR"/>
        </w:rPr>
        <w:t xml:space="preserve"> concernant un acte de terrorisme récent, ou en rapport avec ce dernier</w:t>
      </w:r>
      <w:r w:rsidR="008D6B80">
        <w:rPr>
          <w:lang w:val="fr-FR"/>
        </w:rPr>
        <w:t xml:space="preserve">. </w:t>
      </w:r>
      <w:r w:rsidR="004E6703">
        <w:rPr>
          <w:lang w:val="fr-FR"/>
        </w:rPr>
        <w:t>Cette loi ne donne pas le droit d’interroger le détenu, sauf dans son intérêt.</w:t>
      </w:r>
    </w:p>
    <w:p w:rsidR="004E6703" w:rsidRDefault="009C70B7" w:rsidP="005D7B68">
      <w:pPr>
        <w:tabs>
          <w:tab w:val="left" w:pos="567"/>
          <w:tab w:val="left" w:pos="1134"/>
          <w:tab w:val="left" w:pos="1701"/>
          <w:tab w:val="left" w:pos="2268"/>
        </w:tabs>
        <w:rPr>
          <w:lang w:val="fr-FR"/>
        </w:rPr>
      </w:pPr>
      <w:r>
        <w:rPr>
          <w:lang w:val="fr-FR"/>
        </w:rPr>
        <w:t>24</w:t>
      </w:r>
      <w:r w:rsidR="00612CC4">
        <w:rPr>
          <w:lang w:val="fr-FR"/>
        </w:rPr>
        <w:t>7</w:t>
      </w:r>
      <w:r>
        <w:rPr>
          <w:lang w:val="fr-FR"/>
        </w:rPr>
        <w:t>.</w:t>
      </w:r>
      <w:r>
        <w:rPr>
          <w:lang w:val="fr-FR"/>
        </w:rPr>
        <w:tab/>
        <w:t xml:space="preserve">Une ordonnance </w:t>
      </w:r>
      <w:r w:rsidR="004E6703">
        <w:rPr>
          <w:lang w:val="fr-FR"/>
        </w:rPr>
        <w:t>de placement en détention préventive peut être délivré</w:t>
      </w:r>
      <w:r w:rsidR="00283919">
        <w:rPr>
          <w:lang w:val="fr-FR"/>
        </w:rPr>
        <w:t>e</w:t>
      </w:r>
      <w:r w:rsidR="004E6703">
        <w:rPr>
          <w:lang w:val="fr-FR"/>
        </w:rPr>
        <w:t xml:space="preserve"> soit par un fonctionnaire de police gradé, soit par un juge (ou un juge en retraite) en po</w:t>
      </w:r>
      <w:r w:rsidR="00283919">
        <w:rPr>
          <w:lang w:val="fr-FR"/>
        </w:rPr>
        <w:t>ste (ou l’ayant été) à la Cour suprême ou dans un t</w:t>
      </w:r>
      <w:r w:rsidR="004E6703">
        <w:rPr>
          <w:lang w:val="fr-FR"/>
        </w:rPr>
        <w:t>ribunal de district</w:t>
      </w:r>
      <w:r w:rsidR="008D6B80">
        <w:rPr>
          <w:lang w:val="fr-FR"/>
        </w:rPr>
        <w:t xml:space="preserve">. </w:t>
      </w:r>
      <w:r w:rsidR="004E6703">
        <w:rPr>
          <w:lang w:val="fr-FR"/>
        </w:rPr>
        <w:t xml:space="preserve">L’article 10 de la loi sur le terrorisme dispose qu’une personne peut être placée en détention préventive pendant une </w:t>
      </w:r>
      <w:r>
        <w:rPr>
          <w:lang w:val="fr-FR"/>
        </w:rPr>
        <w:t>période spéci</w:t>
      </w:r>
      <w:r w:rsidR="001F47B0">
        <w:rPr>
          <w:lang w:val="fr-FR"/>
        </w:rPr>
        <w:t>fiée</w:t>
      </w:r>
      <w:r w:rsidR="008D6B80">
        <w:rPr>
          <w:lang w:val="fr-FR"/>
        </w:rPr>
        <w:t xml:space="preserve">. </w:t>
      </w:r>
      <w:r w:rsidR="00782562">
        <w:rPr>
          <w:lang w:val="fr-FR"/>
        </w:rPr>
        <w:t>Si </w:t>
      </w:r>
      <w:r w:rsidR="001F47B0">
        <w:rPr>
          <w:lang w:val="fr-FR"/>
        </w:rPr>
        <w:t>l’ordonnance est délivrée</w:t>
      </w:r>
      <w:r w:rsidR="004E6703">
        <w:rPr>
          <w:lang w:val="fr-FR"/>
        </w:rPr>
        <w:t xml:space="preserve"> par un f</w:t>
      </w:r>
      <w:r>
        <w:rPr>
          <w:lang w:val="fr-FR"/>
        </w:rPr>
        <w:t>onctionnaire de police gradé, elle</w:t>
      </w:r>
      <w:r w:rsidR="004E6703">
        <w:rPr>
          <w:lang w:val="fr-FR"/>
        </w:rPr>
        <w:t xml:space="preserve"> est limité</w:t>
      </w:r>
      <w:r w:rsidR="00112C0B">
        <w:rPr>
          <w:lang w:val="fr-FR"/>
        </w:rPr>
        <w:t xml:space="preserve">e à </w:t>
      </w:r>
      <w:r w:rsidR="00782562">
        <w:rPr>
          <w:lang w:val="fr-FR"/>
        </w:rPr>
        <w:t>vingt</w:t>
      </w:r>
      <w:r w:rsidR="00782562">
        <w:rPr>
          <w:lang w:val="fr-FR"/>
        </w:rPr>
        <w:noBreakHyphen/>
        <w:t>quatre </w:t>
      </w:r>
      <w:r w:rsidR="00112C0B">
        <w:rPr>
          <w:lang w:val="fr-FR"/>
        </w:rPr>
        <w:t>heures</w:t>
      </w:r>
      <w:r w:rsidR="00572260">
        <w:rPr>
          <w:lang w:val="fr-FR"/>
        </w:rPr>
        <w:t>;</w:t>
      </w:r>
      <w:r w:rsidR="00112C0B">
        <w:rPr>
          <w:lang w:val="fr-FR"/>
        </w:rPr>
        <w:t xml:space="preserve"> si</w:t>
      </w:r>
      <w:r>
        <w:rPr>
          <w:lang w:val="fr-FR"/>
        </w:rPr>
        <w:t xml:space="preserve"> elle</w:t>
      </w:r>
      <w:r w:rsidR="004E6703">
        <w:rPr>
          <w:lang w:val="fr-FR"/>
        </w:rPr>
        <w:t xml:space="preserve"> </w:t>
      </w:r>
      <w:r w:rsidR="00112C0B">
        <w:rPr>
          <w:lang w:val="fr-FR"/>
        </w:rPr>
        <w:t>l’est</w:t>
      </w:r>
      <w:r w:rsidR="004E6703">
        <w:rPr>
          <w:lang w:val="fr-FR"/>
        </w:rPr>
        <w:t xml:space="preserve"> par un juge, </w:t>
      </w:r>
      <w:r>
        <w:rPr>
          <w:lang w:val="fr-FR"/>
        </w:rPr>
        <w:t>elle</w:t>
      </w:r>
      <w:r w:rsidR="004E6703">
        <w:rPr>
          <w:lang w:val="fr-FR"/>
        </w:rPr>
        <w:t xml:space="preserve"> est limité</w:t>
      </w:r>
      <w:r>
        <w:rPr>
          <w:lang w:val="fr-FR"/>
        </w:rPr>
        <w:t>e</w:t>
      </w:r>
      <w:r w:rsidR="004E6703">
        <w:rPr>
          <w:lang w:val="fr-FR"/>
        </w:rPr>
        <w:t xml:space="preserve"> à </w:t>
      </w:r>
      <w:r w:rsidR="00782562">
        <w:rPr>
          <w:lang w:val="fr-FR"/>
        </w:rPr>
        <w:t>quatorze</w:t>
      </w:r>
      <w:r w:rsidR="004E6703">
        <w:rPr>
          <w:lang w:val="fr-FR"/>
        </w:rPr>
        <w:t xml:space="preserve"> jours</w:t>
      </w:r>
      <w:r w:rsidR="008D6B80">
        <w:rPr>
          <w:lang w:val="fr-FR"/>
        </w:rPr>
        <w:t xml:space="preserve">. </w:t>
      </w:r>
      <w:r w:rsidR="004E6703">
        <w:rPr>
          <w:lang w:val="fr-FR"/>
        </w:rPr>
        <w:t>Il est p</w:t>
      </w:r>
      <w:r w:rsidR="00782562">
        <w:rPr>
          <w:lang w:val="fr-FR"/>
        </w:rPr>
        <w:t>révu, dans </w:t>
      </w:r>
      <w:r w:rsidR="006A5A32">
        <w:rPr>
          <w:lang w:val="fr-FR"/>
        </w:rPr>
        <w:t>l’article 11, que nul ne peut être placé</w:t>
      </w:r>
      <w:r w:rsidR="004E6703">
        <w:rPr>
          <w:lang w:val="fr-FR"/>
        </w:rPr>
        <w:t xml:space="preserve"> en dé</w:t>
      </w:r>
      <w:r>
        <w:rPr>
          <w:lang w:val="fr-FR"/>
        </w:rPr>
        <w:t>tention en exécution d’une ordonnance</w:t>
      </w:r>
      <w:r w:rsidR="004E6703">
        <w:rPr>
          <w:lang w:val="fr-FR"/>
        </w:rPr>
        <w:t xml:space="preserve"> au-del</w:t>
      </w:r>
      <w:r w:rsidR="003919DE">
        <w:rPr>
          <w:lang w:val="fr-FR"/>
        </w:rPr>
        <w:t>à des</w:t>
      </w:r>
      <w:r w:rsidR="00EB140F">
        <w:rPr>
          <w:lang w:val="fr-FR"/>
        </w:rPr>
        <w:t xml:space="preserve"> </w:t>
      </w:r>
      <w:r w:rsidR="00782562">
        <w:rPr>
          <w:lang w:val="fr-FR"/>
        </w:rPr>
        <w:t>quarante</w:t>
      </w:r>
      <w:r w:rsidR="00782562">
        <w:rPr>
          <w:lang w:val="fr-FR"/>
        </w:rPr>
        <w:noBreakHyphen/>
        <w:t>huit</w:t>
      </w:r>
      <w:r w:rsidR="003919DE">
        <w:rPr>
          <w:lang w:val="fr-FR"/>
        </w:rPr>
        <w:t xml:space="preserve"> heures qui suivent la délivrance</w:t>
      </w:r>
      <w:r w:rsidR="00FB398E" w:rsidRPr="00283919">
        <w:rPr>
          <w:color w:val="0000FF"/>
          <w:lang w:val="fr-FR"/>
        </w:rPr>
        <w:t xml:space="preserve"> </w:t>
      </w:r>
      <w:r w:rsidR="00FB398E">
        <w:rPr>
          <w:lang w:val="fr-FR"/>
        </w:rPr>
        <w:t>dudit mandat.</w:t>
      </w:r>
    </w:p>
    <w:p w:rsidR="004E6703" w:rsidRDefault="004E6703" w:rsidP="005D7B68">
      <w:pPr>
        <w:tabs>
          <w:tab w:val="left" w:pos="567"/>
          <w:tab w:val="left" w:pos="1134"/>
          <w:tab w:val="left" w:pos="1701"/>
          <w:tab w:val="left" w:pos="2268"/>
        </w:tabs>
        <w:rPr>
          <w:lang w:val="fr-FR"/>
        </w:rPr>
      </w:pPr>
      <w:r>
        <w:rPr>
          <w:lang w:val="fr-FR"/>
        </w:rPr>
        <w:t>24</w:t>
      </w:r>
      <w:r w:rsidR="00612CC4">
        <w:rPr>
          <w:lang w:val="fr-FR"/>
        </w:rPr>
        <w:t>8.</w:t>
      </w:r>
      <w:r w:rsidR="00612CC4">
        <w:rPr>
          <w:lang w:val="fr-FR"/>
        </w:rPr>
        <w:tab/>
      </w:r>
      <w:r w:rsidR="00A000C9">
        <w:rPr>
          <w:lang w:val="fr-FR"/>
        </w:rPr>
        <w:t>es personnes placées en détention pré</w:t>
      </w:r>
      <w:r w:rsidR="009C70B7">
        <w:rPr>
          <w:lang w:val="fr-FR"/>
        </w:rPr>
        <w:t xml:space="preserve">ventive en </w:t>
      </w:r>
      <w:r w:rsidR="009C70B7" w:rsidRPr="003919DE">
        <w:rPr>
          <w:lang w:val="fr-FR"/>
        </w:rPr>
        <w:t xml:space="preserve">exécution </w:t>
      </w:r>
      <w:r w:rsidR="009C70B7">
        <w:rPr>
          <w:lang w:val="fr-FR"/>
        </w:rPr>
        <w:t>d’une ordonnance</w:t>
      </w:r>
      <w:r w:rsidR="00A000C9">
        <w:rPr>
          <w:lang w:val="fr-FR"/>
        </w:rPr>
        <w:t xml:space="preserve"> délivré</w:t>
      </w:r>
      <w:r w:rsidR="009C70B7">
        <w:rPr>
          <w:lang w:val="fr-FR"/>
        </w:rPr>
        <w:t>e</w:t>
      </w:r>
      <w:r w:rsidR="00A000C9">
        <w:rPr>
          <w:lang w:val="fr-FR"/>
        </w:rPr>
        <w:t xml:space="preserve"> à cet effet jouissent des mêmes droits concernant l’accès à un avocat, le droit d’être informé</w:t>
      </w:r>
      <w:r w:rsidR="00C21C1F">
        <w:rPr>
          <w:lang w:val="fr-FR"/>
        </w:rPr>
        <w:t>es</w:t>
      </w:r>
      <w:r w:rsidR="00A000C9">
        <w:rPr>
          <w:lang w:val="fr-FR"/>
        </w:rPr>
        <w:t xml:space="preserve"> de leur</w:t>
      </w:r>
      <w:r w:rsidR="00283919">
        <w:rPr>
          <w:lang w:val="fr-FR"/>
        </w:rPr>
        <w:t>s droits et celui d’avertir</w:t>
      </w:r>
      <w:r w:rsidR="00A000C9">
        <w:rPr>
          <w:lang w:val="fr-FR"/>
        </w:rPr>
        <w:t xml:space="preserve"> un mem</w:t>
      </w:r>
      <w:r w:rsidR="00283919">
        <w:rPr>
          <w:lang w:val="fr-FR"/>
        </w:rPr>
        <w:t>bre de leur famille</w:t>
      </w:r>
      <w:r w:rsidR="00A000C9">
        <w:rPr>
          <w:lang w:val="fr-FR"/>
        </w:rPr>
        <w:t>.</w:t>
      </w:r>
    </w:p>
    <w:p w:rsidR="00A000C9" w:rsidRDefault="00B348E4" w:rsidP="005D7B68">
      <w:pPr>
        <w:tabs>
          <w:tab w:val="left" w:pos="567"/>
          <w:tab w:val="left" w:pos="1134"/>
          <w:tab w:val="left" w:pos="1701"/>
          <w:tab w:val="left" w:pos="2268"/>
        </w:tabs>
        <w:rPr>
          <w:lang w:val="fr-FR"/>
        </w:rPr>
      </w:pPr>
      <w:r>
        <w:rPr>
          <w:lang w:val="fr-FR"/>
        </w:rPr>
        <w:t>24</w:t>
      </w:r>
      <w:r w:rsidR="00612CC4">
        <w:rPr>
          <w:lang w:val="fr-FR"/>
        </w:rPr>
        <w:t>9</w:t>
      </w:r>
      <w:r w:rsidR="00E42058">
        <w:rPr>
          <w:lang w:val="fr-FR"/>
        </w:rPr>
        <w:t>.</w:t>
      </w:r>
      <w:r>
        <w:rPr>
          <w:lang w:val="fr-FR"/>
        </w:rPr>
        <w:tab/>
        <w:t>Conformément à l’article 29, toute personne doit être informée des éléments qui figurent dans le paragraphe 2) dès que possible après avoir été placée en détention pré</w:t>
      </w:r>
      <w:r w:rsidR="009C70B7">
        <w:rPr>
          <w:lang w:val="fr-FR"/>
        </w:rPr>
        <w:t xml:space="preserve">ventive en </w:t>
      </w:r>
      <w:r w:rsidR="009C70B7" w:rsidRPr="003919DE">
        <w:rPr>
          <w:lang w:val="fr-FR"/>
        </w:rPr>
        <w:t xml:space="preserve">exécution </w:t>
      </w:r>
      <w:r w:rsidR="009C70B7">
        <w:rPr>
          <w:lang w:val="fr-FR"/>
        </w:rPr>
        <w:t>d’une ordonnance</w:t>
      </w:r>
      <w:r>
        <w:rPr>
          <w:lang w:val="fr-FR"/>
        </w:rPr>
        <w:t xml:space="preserve"> délivré</w:t>
      </w:r>
      <w:r w:rsidR="009C70B7">
        <w:rPr>
          <w:lang w:val="fr-FR"/>
        </w:rPr>
        <w:t>e</w:t>
      </w:r>
      <w:r>
        <w:rPr>
          <w:lang w:val="fr-FR"/>
        </w:rPr>
        <w:t xml:space="preserve"> à cet effet, à savoir</w:t>
      </w:r>
      <w:r w:rsidR="00572260">
        <w:rPr>
          <w:lang w:val="fr-FR"/>
        </w:rPr>
        <w:t>:</w:t>
      </w:r>
    </w:p>
    <w:p w:rsidR="00B348E4" w:rsidRDefault="00B348E4" w:rsidP="005D7B68">
      <w:pPr>
        <w:tabs>
          <w:tab w:val="left" w:pos="567"/>
          <w:tab w:val="left" w:pos="1134"/>
          <w:tab w:val="left" w:pos="1701"/>
          <w:tab w:val="left" w:pos="2268"/>
        </w:tabs>
        <w:rPr>
          <w:lang w:val="fr-FR"/>
        </w:rPr>
      </w:pPr>
      <w:r>
        <w:rPr>
          <w:lang w:val="fr-FR"/>
        </w:rPr>
        <w:tab/>
        <w:t>a)</w:t>
      </w:r>
      <w:r>
        <w:rPr>
          <w:lang w:val="fr-FR"/>
        </w:rPr>
        <w:tab/>
      </w:r>
      <w:r w:rsidR="00283919">
        <w:rPr>
          <w:lang w:val="fr-FR"/>
        </w:rPr>
        <w:t>L</w:t>
      </w:r>
      <w:r w:rsidR="000C65A1">
        <w:rPr>
          <w:lang w:val="fr-FR"/>
        </w:rPr>
        <w:t>es restrictions concernant les personnes que l’intéressé peut contacter pendant sa détention</w:t>
      </w:r>
      <w:r w:rsidR="00572260">
        <w:rPr>
          <w:lang w:val="fr-FR"/>
        </w:rPr>
        <w:t>;</w:t>
      </w:r>
    </w:p>
    <w:p w:rsidR="000C65A1" w:rsidRDefault="00283919" w:rsidP="005D7B68">
      <w:pPr>
        <w:tabs>
          <w:tab w:val="left" w:pos="567"/>
          <w:tab w:val="left" w:pos="1134"/>
          <w:tab w:val="left" w:pos="1701"/>
          <w:tab w:val="left" w:pos="2268"/>
        </w:tabs>
        <w:rPr>
          <w:lang w:val="fr-FR"/>
        </w:rPr>
      </w:pPr>
      <w:r>
        <w:rPr>
          <w:lang w:val="fr-FR"/>
        </w:rPr>
        <w:tab/>
        <w:t>b)</w:t>
      </w:r>
      <w:r>
        <w:rPr>
          <w:lang w:val="fr-FR"/>
        </w:rPr>
        <w:tab/>
        <w:t>L</w:t>
      </w:r>
      <w:r w:rsidR="000C65A1">
        <w:rPr>
          <w:lang w:val="fr-FR"/>
        </w:rPr>
        <w:t>e temps de détention</w:t>
      </w:r>
      <w:r w:rsidR="00572260">
        <w:rPr>
          <w:lang w:val="fr-FR"/>
        </w:rPr>
        <w:t>;</w:t>
      </w:r>
    </w:p>
    <w:p w:rsidR="000C65A1" w:rsidRDefault="00283919" w:rsidP="005D7B68">
      <w:pPr>
        <w:tabs>
          <w:tab w:val="left" w:pos="567"/>
          <w:tab w:val="left" w:pos="1134"/>
          <w:tab w:val="left" w:pos="1701"/>
          <w:tab w:val="left" w:pos="2268"/>
        </w:tabs>
        <w:rPr>
          <w:lang w:val="fr-FR"/>
        </w:rPr>
      </w:pPr>
      <w:r>
        <w:rPr>
          <w:lang w:val="fr-FR"/>
        </w:rPr>
        <w:tab/>
        <w:t>c)</w:t>
      </w:r>
      <w:r>
        <w:rPr>
          <w:lang w:val="fr-FR"/>
        </w:rPr>
        <w:tab/>
        <w:t>L</w:t>
      </w:r>
      <w:r w:rsidR="000C65A1">
        <w:rPr>
          <w:lang w:val="fr-FR"/>
        </w:rPr>
        <w:t>e droit de porter plainte auprès de l’Autorité des plaintes contre les services de police</w:t>
      </w:r>
      <w:r w:rsidR="00572260">
        <w:rPr>
          <w:lang w:val="fr-FR"/>
        </w:rPr>
        <w:t>;</w:t>
      </w:r>
    </w:p>
    <w:p w:rsidR="000C65A1" w:rsidRDefault="00283919" w:rsidP="005D7B68">
      <w:pPr>
        <w:tabs>
          <w:tab w:val="left" w:pos="567"/>
          <w:tab w:val="left" w:pos="1134"/>
          <w:tab w:val="left" w:pos="1701"/>
          <w:tab w:val="left" w:pos="2268"/>
        </w:tabs>
        <w:rPr>
          <w:lang w:val="fr-FR"/>
        </w:rPr>
      </w:pPr>
      <w:r>
        <w:rPr>
          <w:lang w:val="fr-FR"/>
        </w:rPr>
        <w:tab/>
        <w:t>d)</w:t>
      </w:r>
      <w:r>
        <w:rPr>
          <w:lang w:val="fr-FR"/>
        </w:rPr>
        <w:tab/>
        <w:t>L</w:t>
      </w:r>
      <w:r w:rsidR="000C65A1">
        <w:rPr>
          <w:lang w:val="fr-FR"/>
        </w:rPr>
        <w:t>e droit de contacter un avocat ou d’être aidée à le faire en vertu de l’article 37</w:t>
      </w:r>
      <w:r w:rsidR="00572260">
        <w:rPr>
          <w:lang w:val="fr-FR"/>
        </w:rPr>
        <w:t>;</w:t>
      </w:r>
      <w:r w:rsidR="000C65A1">
        <w:rPr>
          <w:lang w:val="fr-FR"/>
        </w:rPr>
        <w:t xml:space="preserve"> et</w:t>
      </w:r>
    </w:p>
    <w:p w:rsidR="000C65A1" w:rsidRDefault="00283919" w:rsidP="005D7B68">
      <w:pPr>
        <w:tabs>
          <w:tab w:val="left" w:pos="567"/>
          <w:tab w:val="left" w:pos="1134"/>
          <w:tab w:val="left" w:pos="1701"/>
          <w:tab w:val="left" w:pos="2268"/>
        </w:tabs>
        <w:rPr>
          <w:lang w:val="fr-FR"/>
        </w:rPr>
      </w:pPr>
      <w:r>
        <w:rPr>
          <w:lang w:val="fr-FR"/>
        </w:rPr>
        <w:tab/>
        <w:t>e)</w:t>
      </w:r>
      <w:r>
        <w:rPr>
          <w:lang w:val="fr-FR"/>
        </w:rPr>
        <w:tab/>
        <w:t>L</w:t>
      </w:r>
      <w:r w:rsidR="000C65A1">
        <w:rPr>
          <w:lang w:val="fr-FR"/>
        </w:rPr>
        <w:t>e droit d’obtenir le réexam</w:t>
      </w:r>
      <w:r w:rsidR="00D77D70">
        <w:rPr>
          <w:lang w:val="fr-FR"/>
        </w:rPr>
        <w:t>en du mandat par la Cour s</w:t>
      </w:r>
      <w:r w:rsidR="00782562">
        <w:rPr>
          <w:lang w:val="fr-FR"/>
        </w:rPr>
        <w:t>uprême au titre de l’article </w:t>
      </w:r>
      <w:r w:rsidR="000C65A1">
        <w:rPr>
          <w:lang w:val="fr-FR"/>
        </w:rPr>
        <w:t>17.</w:t>
      </w:r>
    </w:p>
    <w:p w:rsidR="000C65A1" w:rsidRDefault="000C65A1" w:rsidP="005D7B68">
      <w:pPr>
        <w:tabs>
          <w:tab w:val="left" w:pos="567"/>
          <w:tab w:val="left" w:pos="1134"/>
          <w:tab w:val="left" w:pos="1701"/>
          <w:tab w:val="left" w:pos="2268"/>
        </w:tabs>
        <w:rPr>
          <w:lang w:val="fr-FR"/>
        </w:rPr>
      </w:pPr>
      <w:r>
        <w:rPr>
          <w:lang w:val="fr-FR"/>
        </w:rPr>
        <w:t>2</w:t>
      </w:r>
      <w:r w:rsidR="00612CC4">
        <w:rPr>
          <w:lang w:val="fr-FR"/>
        </w:rPr>
        <w:t>50.</w:t>
      </w:r>
      <w:r w:rsidR="00612CC4">
        <w:rPr>
          <w:lang w:val="fr-FR"/>
        </w:rPr>
        <w:tab/>
      </w:r>
      <w:r>
        <w:rPr>
          <w:lang w:val="fr-FR"/>
        </w:rPr>
        <w:t xml:space="preserve"> loi prévoit également des garanties concernant la nécessité d’expliquer ce qui précède, le droit de contacter des membres de la famille et l’interdiction de soumettre les détenus à un traitement cruel, inhumain ou dégradant </w:t>
      </w:r>
      <w:r w:rsidR="007330E2">
        <w:rPr>
          <w:lang w:val="fr-FR"/>
        </w:rPr>
        <w:t>(art.</w:t>
      </w:r>
      <w:r>
        <w:rPr>
          <w:lang w:val="fr-FR"/>
        </w:rPr>
        <w:t xml:space="preserve"> 33 b) de la loi sur le terrorisme).</w:t>
      </w:r>
    </w:p>
    <w:p w:rsidR="000C65A1" w:rsidRDefault="000C65A1" w:rsidP="005D7B68">
      <w:pPr>
        <w:tabs>
          <w:tab w:val="left" w:pos="567"/>
          <w:tab w:val="left" w:pos="1134"/>
          <w:tab w:val="left" w:pos="1701"/>
          <w:tab w:val="left" w:pos="2268"/>
        </w:tabs>
        <w:rPr>
          <w:b/>
          <w:bCs/>
          <w:lang w:val="fr-FR"/>
        </w:rPr>
      </w:pPr>
      <w:r>
        <w:rPr>
          <w:b/>
          <w:bCs/>
          <w:lang w:val="fr-FR"/>
        </w:rPr>
        <w:t>Tasmanie</w:t>
      </w:r>
    </w:p>
    <w:p w:rsidR="000C65A1" w:rsidRDefault="000C65A1" w:rsidP="005D7B68">
      <w:pPr>
        <w:tabs>
          <w:tab w:val="left" w:pos="567"/>
          <w:tab w:val="left" w:pos="1134"/>
          <w:tab w:val="left" w:pos="1701"/>
          <w:tab w:val="left" w:pos="2268"/>
        </w:tabs>
        <w:rPr>
          <w:lang w:val="fr-FR"/>
        </w:rPr>
      </w:pPr>
      <w:r>
        <w:rPr>
          <w:lang w:val="fr-FR"/>
        </w:rPr>
        <w:t>25</w:t>
      </w:r>
      <w:r w:rsidR="00612CC4">
        <w:rPr>
          <w:lang w:val="fr-FR"/>
        </w:rPr>
        <w:t>1</w:t>
      </w:r>
      <w:r w:rsidR="00E42058">
        <w:rPr>
          <w:lang w:val="fr-FR"/>
        </w:rPr>
        <w:t>.</w:t>
      </w:r>
      <w:r>
        <w:rPr>
          <w:lang w:val="fr-FR"/>
        </w:rPr>
        <w:tab/>
        <w:t>Au 26 juin 2007, aucune personne n’</w:t>
      </w:r>
      <w:r w:rsidR="00492400">
        <w:rPr>
          <w:lang w:val="fr-FR"/>
        </w:rPr>
        <w:t>avait été placée en garde à vue par la police de Tasmanie au motif qu’elle était soupçonnée d’activités terroristes.</w:t>
      </w:r>
    </w:p>
    <w:p w:rsidR="00492400" w:rsidRDefault="00492400" w:rsidP="005D7B68">
      <w:pPr>
        <w:tabs>
          <w:tab w:val="left" w:pos="567"/>
          <w:tab w:val="left" w:pos="1134"/>
          <w:tab w:val="left" w:pos="1701"/>
          <w:tab w:val="left" w:pos="2268"/>
        </w:tabs>
        <w:rPr>
          <w:b/>
          <w:lang w:val="fr-FR"/>
        </w:rPr>
      </w:pPr>
      <w:r>
        <w:rPr>
          <w:b/>
          <w:lang w:val="fr-FR"/>
        </w:rPr>
        <w:t>Nouvelle législation en matière de contre-terrorisme</w:t>
      </w:r>
    </w:p>
    <w:p w:rsidR="00492400" w:rsidRDefault="00492400" w:rsidP="005D7B68">
      <w:pPr>
        <w:tabs>
          <w:tab w:val="left" w:pos="567"/>
          <w:tab w:val="left" w:pos="1134"/>
          <w:tab w:val="left" w:pos="1701"/>
          <w:tab w:val="left" w:pos="2268"/>
        </w:tabs>
        <w:rPr>
          <w:bCs/>
          <w:lang w:val="fr-FR"/>
        </w:rPr>
      </w:pPr>
      <w:r>
        <w:rPr>
          <w:bCs/>
          <w:lang w:val="fr-FR"/>
        </w:rPr>
        <w:t>25</w:t>
      </w:r>
      <w:r w:rsidR="00612CC4">
        <w:rPr>
          <w:bCs/>
          <w:lang w:val="fr-FR"/>
        </w:rPr>
        <w:t>2</w:t>
      </w:r>
      <w:r w:rsidR="00E42058">
        <w:rPr>
          <w:bCs/>
          <w:lang w:val="fr-FR"/>
        </w:rPr>
        <w:t>.</w:t>
      </w:r>
      <w:r>
        <w:rPr>
          <w:bCs/>
          <w:lang w:val="fr-FR"/>
        </w:rPr>
        <w:tab/>
        <w:t xml:space="preserve">La Tasmanie a adopté la </w:t>
      </w:r>
      <w:r w:rsidRPr="00200B09">
        <w:rPr>
          <w:bCs/>
          <w:lang w:val="fr-FR"/>
        </w:rPr>
        <w:t>loi de 2005 sur les pouvoirs de la police (sécurité publique)</w:t>
      </w:r>
      <w:r>
        <w:rPr>
          <w:bCs/>
          <w:i/>
          <w:iCs/>
          <w:lang w:val="fr-FR"/>
        </w:rPr>
        <w:t xml:space="preserve"> </w:t>
      </w:r>
      <w:r>
        <w:rPr>
          <w:bCs/>
          <w:lang w:val="fr-FR"/>
        </w:rPr>
        <w:t>promulguée le 13 décembre 2005, et la</w:t>
      </w:r>
      <w:r>
        <w:rPr>
          <w:bCs/>
          <w:i/>
          <w:iCs/>
          <w:lang w:val="fr-FR"/>
        </w:rPr>
        <w:t xml:space="preserve"> </w:t>
      </w:r>
      <w:r w:rsidRPr="00200B09">
        <w:rPr>
          <w:bCs/>
          <w:lang w:val="fr-FR"/>
        </w:rPr>
        <w:t xml:space="preserve">loi de 2005 sur le terrorisme (placement en détention préventive) </w:t>
      </w:r>
      <w:r>
        <w:rPr>
          <w:bCs/>
          <w:lang w:val="fr-FR"/>
        </w:rPr>
        <w:t>(Tasmanie) qui entrera en vigueur lors de sa promulgation, laquelle n’est pas prévue à court terme, sauf si elle s’avère nécessaire pour parer ou répondre à un acte de terrorisme.</w:t>
      </w:r>
    </w:p>
    <w:p w:rsidR="00492400" w:rsidRDefault="00492400" w:rsidP="005D7B68">
      <w:pPr>
        <w:tabs>
          <w:tab w:val="left" w:pos="567"/>
          <w:tab w:val="left" w:pos="1134"/>
          <w:tab w:val="left" w:pos="1701"/>
          <w:tab w:val="left" w:pos="2268"/>
        </w:tabs>
        <w:rPr>
          <w:bCs/>
          <w:lang w:val="fr-FR"/>
        </w:rPr>
      </w:pPr>
      <w:r>
        <w:rPr>
          <w:bCs/>
          <w:lang w:val="fr-FR"/>
        </w:rPr>
        <w:t>25</w:t>
      </w:r>
      <w:r w:rsidR="00612CC4">
        <w:rPr>
          <w:bCs/>
          <w:lang w:val="fr-FR"/>
        </w:rPr>
        <w:t>3</w:t>
      </w:r>
      <w:r w:rsidR="00E42058">
        <w:rPr>
          <w:bCs/>
          <w:lang w:val="fr-FR"/>
        </w:rPr>
        <w:t>.</w:t>
      </w:r>
      <w:r>
        <w:rPr>
          <w:bCs/>
          <w:lang w:val="fr-FR"/>
        </w:rPr>
        <w:tab/>
        <w:t xml:space="preserve">La </w:t>
      </w:r>
      <w:r w:rsidRPr="00200B09">
        <w:rPr>
          <w:bCs/>
          <w:lang w:val="fr-FR"/>
        </w:rPr>
        <w:t>loi de 2001 sur les éléments de preuve</w:t>
      </w:r>
      <w:r>
        <w:rPr>
          <w:bCs/>
          <w:lang w:val="fr-FR"/>
        </w:rPr>
        <w:t xml:space="preserve"> comporte des dispositions relatives à l’enregistrement des interrogatoires sur bande magn</w:t>
      </w:r>
      <w:r w:rsidR="00200B09">
        <w:rPr>
          <w:bCs/>
          <w:lang w:val="fr-FR"/>
        </w:rPr>
        <w:t>étique</w:t>
      </w:r>
      <w:r w:rsidR="00572260">
        <w:rPr>
          <w:bCs/>
          <w:lang w:val="fr-FR"/>
        </w:rPr>
        <w:t>;</w:t>
      </w:r>
      <w:r w:rsidR="00200B09">
        <w:rPr>
          <w:bCs/>
          <w:lang w:val="fr-FR"/>
        </w:rPr>
        <w:t xml:space="preserve"> alors que la loi sur le</w:t>
      </w:r>
      <w:r>
        <w:rPr>
          <w:bCs/>
          <w:lang w:val="fr-FR"/>
        </w:rPr>
        <w:t xml:space="preserve"> terrorisme (placement en détention préventive) (non encore promulguée)</w:t>
      </w:r>
      <w:r w:rsidR="00E9305A">
        <w:rPr>
          <w:bCs/>
          <w:lang w:val="fr-FR"/>
        </w:rPr>
        <w:t xml:space="preserve"> décrit les conditions et les droits dont bénéficient les personnes soupçonnées d’activités terroristes, y compris en ce qui concerne le placement en détention préventive pendant un certain temps aux fins de l’enqu</w:t>
      </w:r>
      <w:r w:rsidR="00072BBB">
        <w:rPr>
          <w:bCs/>
          <w:lang w:val="fr-FR"/>
        </w:rPr>
        <w:t>ête</w:t>
      </w:r>
      <w:r w:rsidR="008D6B80">
        <w:rPr>
          <w:bCs/>
          <w:lang w:val="fr-FR"/>
        </w:rPr>
        <w:t xml:space="preserve">. </w:t>
      </w:r>
      <w:r w:rsidR="00072BBB">
        <w:rPr>
          <w:bCs/>
          <w:lang w:val="fr-FR"/>
        </w:rPr>
        <w:t>Cela est conforme, pour l’essentiel,</w:t>
      </w:r>
      <w:r w:rsidR="00E9305A">
        <w:rPr>
          <w:bCs/>
          <w:lang w:val="fr-FR"/>
        </w:rPr>
        <w:t xml:space="preserve"> </w:t>
      </w:r>
      <w:r w:rsidR="00072BBB">
        <w:rPr>
          <w:bCs/>
          <w:lang w:val="fr-FR"/>
        </w:rPr>
        <w:t xml:space="preserve">au </w:t>
      </w:r>
      <w:r w:rsidR="00200B09">
        <w:rPr>
          <w:bCs/>
          <w:lang w:val="fr-FR"/>
        </w:rPr>
        <w:t>‘</w:t>
      </w:r>
      <w:r w:rsidR="00E9305A">
        <w:rPr>
          <w:bCs/>
          <w:lang w:val="fr-FR"/>
        </w:rPr>
        <w:t>modèle national</w:t>
      </w:r>
      <w:r w:rsidR="00072BBB">
        <w:rPr>
          <w:bCs/>
          <w:lang w:val="fr-FR"/>
        </w:rPr>
        <w:t>’</w:t>
      </w:r>
      <w:r w:rsidR="00E9305A">
        <w:rPr>
          <w:bCs/>
          <w:lang w:val="fr-FR"/>
        </w:rPr>
        <w:t xml:space="preserve">. </w:t>
      </w:r>
    </w:p>
    <w:p w:rsidR="00072BBB" w:rsidRDefault="00072BBB" w:rsidP="005D7B68">
      <w:pPr>
        <w:tabs>
          <w:tab w:val="left" w:pos="567"/>
          <w:tab w:val="left" w:pos="1134"/>
          <w:tab w:val="left" w:pos="1701"/>
          <w:tab w:val="left" w:pos="2268"/>
        </w:tabs>
        <w:rPr>
          <w:b/>
          <w:lang w:val="fr-FR"/>
        </w:rPr>
      </w:pPr>
      <w:r>
        <w:rPr>
          <w:b/>
          <w:lang w:val="fr-FR"/>
        </w:rPr>
        <w:t>Loi de 2005 sur le terrorisme (placement en détention préventive)</w:t>
      </w:r>
    </w:p>
    <w:p w:rsidR="00072BBB" w:rsidRDefault="00072BBB" w:rsidP="005D7B68">
      <w:pPr>
        <w:tabs>
          <w:tab w:val="left" w:pos="567"/>
          <w:tab w:val="left" w:pos="1134"/>
          <w:tab w:val="left" w:pos="1701"/>
          <w:tab w:val="left" w:pos="2268"/>
        </w:tabs>
        <w:rPr>
          <w:bCs/>
          <w:lang w:val="fr-FR"/>
        </w:rPr>
      </w:pPr>
      <w:r>
        <w:rPr>
          <w:bCs/>
          <w:lang w:val="fr-FR"/>
        </w:rPr>
        <w:t>25</w:t>
      </w:r>
      <w:r w:rsidR="00612CC4">
        <w:rPr>
          <w:bCs/>
          <w:lang w:val="fr-FR"/>
        </w:rPr>
        <w:t>4</w:t>
      </w:r>
      <w:r w:rsidR="00E42058">
        <w:rPr>
          <w:bCs/>
          <w:lang w:val="fr-FR"/>
        </w:rPr>
        <w:t>.</w:t>
      </w:r>
      <w:r>
        <w:rPr>
          <w:bCs/>
          <w:lang w:val="fr-FR"/>
        </w:rPr>
        <w:tab/>
        <w:t>L’objet de la loi sur le terrorisme (placement en déten</w:t>
      </w:r>
      <w:r w:rsidR="00D77D70">
        <w:rPr>
          <w:bCs/>
          <w:lang w:val="fr-FR"/>
        </w:rPr>
        <w:t>tion préventive) est d’habiliter la</w:t>
      </w:r>
      <w:r>
        <w:rPr>
          <w:bCs/>
          <w:lang w:val="fr-FR"/>
        </w:rPr>
        <w:t xml:space="preserve"> </w:t>
      </w:r>
      <w:r w:rsidR="00D77D70">
        <w:rPr>
          <w:bCs/>
          <w:lang w:val="fr-FR"/>
        </w:rPr>
        <w:t>police de Tasmanie à</w:t>
      </w:r>
      <w:r>
        <w:rPr>
          <w:bCs/>
          <w:lang w:val="fr-FR"/>
        </w:rPr>
        <w:t xml:space="preserve"> placer des personnes en détention pendant 14 jours au maximum afin de prévenir l’accomplissement d’actes de terrorisme imminents ou de préserver des éléments de preuve concernant un acte de terrorisme qui a eu lieu, ou en rapport avec lui</w:t>
      </w:r>
      <w:r w:rsidR="008D6B80">
        <w:rPr>
          <w:bCs/>
          <w:lang w:val="fr-FR"/>
        </w:rPr>
        <w:t xml:space="preserve">. </w:t>
      </w:r>
      <w:r>
        <w:rPr>
          <w:bCs/>
          <w:lang w:val="fr-FR"/>
        </w:rPr>
        <w:t xml:space="preserve">Le placement en détention préventive implique l’incarcération, </w:t>
      </w:r>
      <w:r w:rsidR="00A458A2">
        <w:rPr>
          <w:bCs/>
          <w:lang w:val="fr-FR"/>
        </w:rPr>
        <w:t>ne serait-ce que pendant un cours laps de temps, de personnes qui sont ainsi privée</w:t>
      </w:r>
      <w:r w:rsidR="001C01E6">
        <w:rPr>
          <w:bCs/>
          <w:lang w:val="fr-FR"/>
        </w:rPr>
        <w:t>s</w:t>
      </w:r>
      <w:r w:rsidR="00A458A2">
        <w:rPr>
          <w:bCs/>
          <w:lang w:val="fr-FR"/>
        </w:rPr>
        <w:t xml:space="preserve"> de liberté.</w:t>
      </w:r>
    </w:p>
    <w:p w:rsidR="00A458A2" w:rsidRDefault="00A458A2" w:rsidP="005D7B68">
      <w:pPr>
        <w:tabs>
          <w:tab w:val="left" w:pos="567"/>
          <w:tab w:val="left" w:pos="1134"/>
          <w:tab w:val="left" w:pos="1701"/>
          <w:tab w:val="left" w:pos="2268"/>
        </w:tabs>
        <w:rPr>
          <w:bCs/>
          <w:lang w:val="fr-FR"/>
        </w:rPr>
      </w:pPr>
      <w:r>
        <w:rPr>
          <w:bCs/>
          <w:lang w:val="fr-FR"/>
        </w:rPr>
        <w:t>25</w:t>
      </w:r>
      <w:r w:rsidR="00612CC4">
        <w:rPr>
          <w:bCs/>
          <w:lang w:val="fr-FR"/>
        </w:rPr>
        <w:t>5</w:t>
      </w:r>
      <w:r w:rsidR="00BE07AE">
        <w:rPr>
          <w:bCs/>
          <w:lang w:val="fr-FR"/>
        </w:rPr>
        <w:t>.</w:t>
      </w:r>
      <w:r w:rsidR="00BE07AE">
        <w:rPr>
          <w:bCs/>
          <w:lang w:val="fr-FR"/>
        </w:rPr>
        <w:tab/>
      </w:r>
      <w:r w:rsidR="00E42058">
        <w:rPr>
          <w:bCs/>
          <w:lang w:val="fr-FR"/>
        </w:rPr>
        <w:t xml:space="preserve">Cette </w:t>
      </w:r>
      <w:r>
        <w:rPr>
          <w:bCs/>
          <w:lang w:val="fr-FR"/>
        </w:rPr>
        <w:t>loi comporte d’importantes garanties, à savoir</w:t>
      </w:r>
      <w:r w:rsidR="00572260">
        <w:rPr>
          <w:bCs/>
          <w:lang w:val="fr-FR"/>
        </w:rPr>
        <w:t>:</w:t>
      </w:r>
    </w:p>
    <w:p w:rsidR="00A458A2" w:rsidRDefault="00F4086E" w:rsidP="005D7B68">
      <w:pPr>
        <w:tabs>
          <w:tab w:val="left" w:pos="567"/>
          <w:tab w:val="left" w:pos="1134"/>
          <w:tab w:val="left" w:pos="1701"/>
          <w:tab w:val="left" w:pos="2268"/>
        </w:tabs>
        <w:rPr>
          <w:bCs/>
          <w:lang w:val="fr-FR"/>
        </w:rPr>
      </w:pPr>
      <w:r>
        <w:rPr>
          <w:bCs/>
          <w:lang w:val="fr-FR"/>
        </w:rPr>
        <w:tab/>
        <w:t>a)</w:t>
      </w:r>
      <w:r>
        <w:rPr>
          <w:bCs/>
          <w:lang w:val="fr-FR"/>
        </w:rPr>
        <w:tab/>
        <w:t>L</w:t>
      </w:r>
      <w:r w:rsidR="00201FEB">
        <w:rPr>
          <w:bCs/>
          <w:lang w:val="fr-FR"/>
        </w:rPr>
        <w:t>a demande d’une ordonnance</w:t>
      </w:r>
      <w:r w:rsidR="00A458A2">
        <w:rPr>
          <w:bCs/>
          <w:lang w:val="fr-FR"/>
        </w:rPr>
        <w:t xml:space="preserve"> de placeme</w:t>
      </w:r>
      <w:r w:rsidR="00A10550">
        <w:rPr>
          <w:bCs/>
          <w:lang w:val="fr-FR"/>
        </w:rPr>
        <w:t>nt en détention préventive déposée</w:t>
      </w:r>
      <w:r w:rsidR="00A458A2">
        <w:rPr>
          <w:bCs/>
          <w:lang w:val="fr-FR"/>
        </w:rPr>
        <w:t xml:space="preserve"> par la police doit faire l’objet d’une homologation et d’un examen normal et approprié</w:t>
      </w:r>
      <w:r w:rsidR="00572260">
        <w:rPr>
          <w:bCs/>
          <w:lang w:val="fr-FR"/>
        </w:rPr>
        <w:t>;</w:t>
      </w:r>
    </w:p>
    <w:p w:rsidR="00A458A2" w:rsidRPr="003919DE" w:rsidRDefault="00A458A2" w:rsidP="005D7B68">
      <w:pPr>
        <w:tabs>
          <w:tab w:val="left" w:pos="567"/>
          <w:tab w:val="left" w:pos="1134"/>
          <w:tab w:val="left" w:pos="1701"/>
          <w:tab w:val="left" w:pos="2268"/>
        </w:tabs>
        <w:rPr>
          <w:bCs/>
          <w:lang w:val="fr-FR"/>
        </w:rPr>
      </w:pPr>
      <w:r>
        <w:rPr>
          <w:bCs/>
          <w:lang w:val="fr-FR"/>
        </w:rPr>
        <w:tab/>
        <w:t>b)</w:t>
      </w:r>
      <w:r>
        <w:rPr>
          <w:bCs/>
          <w:lang w:val="fr-FR"/>
        </w:rPr>
        <w:tab/>
        <w:t>Toute personne placée en détention pré</w:t>
      </w:r>
      <w:r w:rsidR="00201FEB">
        <w:rPr>
          <w:bCs/>
          <w:lang w:val="fr-FR"/>
        </w:rPr>
        <w:t xml:space="preserve">ventive en </w:t>
      </w:r>
      <w:r w:rsidR="00201FEB" w:rsidRPr="003919DE">
        <w:rPr>
          <w:bCs/>
          <w:lang w:val="fr-FR"/>
        </w:rPr>
        <w:t>exécution d’une ordonnance</w:t>
      </w:r>
      <w:r w:rsidRPr="003919DE">
        <w:rPr>
          <w:bCs/>
          <w:lang w:val="fr-FR"/>
        </w:rPr>
        <w:t xml:space="preserve"> délivré</w:t>
      </w:r>
      <w:r w:rsidR="00201FEB" w:rsidRPr="003919DE">
        <w:rPr>
          <w:bCs/>
          <w:lang w:val="fr-FR"/>
        </w:rPr>
        <w:t>e</w:t>
      </w:r>
      <w:r w:rsidRPr="003919DE">
        <w:rPr>
          <w:bCs/>
          <w:lang w:val="fr-FR"/>
        </w:rPr>
        <w:t xml:space="preserve"> à cet effet a droit</w:t>
      </w:r>
      <w:r w:rsidR="001A5A5E">
        <w:rPr>
          <w:bCs/>
          <w:lang w:val="fr-FR"/>
        </w:rPr>
        <w:t xml:space="preserve"> à une représentation judiciaire</w:t>
      </w:r>
      <w:r w:rsidRPr="003919DE">
        <w:rPr>
          <w:bCs/>
          <w:lang w:val="fr-FR"/>
        </w:rPr>
        <w:t>, et peut contester la validité du mandat</w:t>
      </w:r>
      <w:r w:rsidR="00572260">
        <w:rPr>
          <w:bCs/>
          <w:lang w:val="fr-FR"/>
        </w:rPr>
        <w:t>;</w:t>
      </w:r>
    </w:p>
    <w:p w:rsidR="00A458A2" w:rsidRPr="003919DE" w:rsidRDefault="00A458A2" w:rsidP="005D7B68">
      <w:pPr>
        <w:tabs>
          <w:tab w:val="left" w:pos="567"/>
          <w:tab w:val="left" w:pos="1134"/>
          <w:tab w:val="left" w:pos="1701"/>
          <w:tab w:val="left" w:pos="2268"/>
        </w:tabs>
        <w:rPr>
          <w:bCs/>
          <w:lang w:val="fr-FR"/>
        </w:rPr>
      </w:pPr>
      <w:r w:rsidRPr="003919DE">
        <w:rPr>
          <w:bCs/>
          <w:lang w:val="fr-FR"/>
        </w:rPr>
        <w:tab/>
        <w:t>c)</w:t>
      </w:r>
      <w:r w:rsidRPr="003919DE">
        <w:rPr>
          <w:bCs/>
          <w:lang w:val="fr-FR"/>
        </w:rPr>
        <w:tab/>
        <w:t>Aucune personne âgée de moins de 16 ans ne peut être placée en détention en exécution de ces mandats</w:t>
      </w:r>
      <w:r w:rsidR="00572260">
        <w:rPr>
          <w:bCs/>
          <w:lang w:val="fr-FR"/>
        </w:rPr>
        <w:t>;</w:t>
      </w:r>
    </w:p>
    <w:p w:rsidR="00A458A2" w:rsidRDefault="00A458A2" w:rsidP="005D7B68">
      <w:pPr>
        <w:tabs>
          <w:tab w:val="left" w:pos="567"/>
          <w:tab w:val="left" w:pos="1134"/>
          <w:tab w:val="left" w:pos="1701"/>
          <w:tab w:val="left" w:pos="2268"/>
        </w:tabs>
        <w:rPr>
          <w:bCs/>
          <w:lang w:val="fr-FR"/>
        </w:rPr>
      </w:pPr>
      <w:r>
        <w:rPr>
          <w:bCs/>
          <w:lang w:val="fr-FR"/>
        </w:rPr>
        <w:tab/>
        <w:t>d)</w:t>
      </w:r>
      <w:r>
        <w:rPr>
          <w:bCs/>
          <w:lang w:val="fr-FR"/>
        </w:rPr>
        <w:tab/>
        <w:t>Il existe des dispositions spéciales pour les personnes âgées de 16 à 18 ans et celles qui sont incapables de gérer leurs propres affaires</w:t>
      </w:r>
      <w:r w:rsidR="00572260">
        <w:rPr>
          <w:bCs/>
          <w:lang w:val="fr-FR"/>
        </w:rPr>
        <w:t>;</w:t>
      </w:r>
    </w:p>
    <w:p w:rsidR="00A458A2" w:rsidRDefault="00A458A2" w:rsidP="005D7B68">
      <w:pPr>
        <w:tabs>
          <w:tab w:val="left" w:pos="567"/>
          <w:tab w:val="left" w:pos="1134"/>
          <w:tab w:val="left" w:pos="1701"/>
          <w:tab w:val="left" w:pos="2268"/>
        </w:tabs>
        <w:rPr>
          <w:bCs/>
          <w:lang w:val="fr-FR"/>
        </w:rPr>
      </w:pPr>
      <w:r>
        <w:rPr>
          <w:bCs/>
          <w:lang w:val="fr-FR"/>
        </w:rPr>
        <w:tab/>
        <w:t>e)</w:t>
      </w:r>
      <w:r>
        <w:rPr>
          <w:bCs/>
          <w:lang w:val="fr-FR"/>
        </w:rPr>
        <w:tab/>
        <w:t>Toute personne placée en détention doit être traitée avec humanité, respect et dignité</w:t>
      </w:r>
      <w:r w:rsidR="008D6B80">
        <w:rPr>
          <w:bCs/>
          <w:lang w:val="fr-FR"/>
        </w:rPr>
        <w:t xml:space="preserve">. </w:t>
      </w:r>
      <w:r>
        <w:rPr>
          <w:bCs/>
          <w:lang w:val="fr-FR"/>
        </w:rPr>
        <w:t>Le non-respect de cette disposition est constitutif d’une infraction passible d’une peine d’emprisonnement de cinq ans au maximum</w:t>
      </w:r>
      <w:r w:rsidR="00572260">
        <w:rPr>
          <w:bCs/>
          <w:lang w:val="fr-FR"/>
        </w:rPr>
        <w:t>;</w:t>
      </w:r>
    </w:p>
    <w:p w:rsidR="00EF1247" w:rsidRDefault="00A458A2" w:rsidP="005D7B68">
      <w:pPr>
        <w:tabs>
          <w:tab w:val="left" w:pos="567"/>
          <w:tab w:val="left" w:pos="1134"/>
          <w:tab w:val="left" w:pos="1701"/>
          <w:tab w:val="left" w:pos="2268"/>
        </w:tabs>
        <w:rPr>
          <w:bCs/>
          <w:lang w:val="fr-FR"/>
        </w:rPr>
      </w:pPr>
      <w:r>
        <w:rPr>
          <w:bCs/>
          <w:lang w:val="fr-FR"/>
        </w:rPr>
        <w:tab/>
        <w:t>f)</w:t>
      </w:r>
      <w:r>
        <w:rPr>
          <w:bCs/>
          <w:lang w:val="fr-FR"/>
        </w:rPr>
        <w:tab/>
      </w:r>
      <w:r w:rsidR="00201FEB">
        <w:rPr>
          <w:bCs/>
          <w:lang w:val="fr-FR"/>
        </w:rPr>
        <w:t>Les détenus peuvent être soumis à des ordonnances</w:t>
      </w:r>
      <w:r w:rsidR="00EF1247">
        <w:rPr>
          <w:bCs/>
          <w:lang w:val="fr-FR"/>
        </w:rPr>
        <w:t xml:space="preserve"> précisant les perso</w:t>
      </w:r>
      <w:r w:rsidR="00D00B3B">
        <w:rPr>
          <w:bCs/>
          <w:lang w:val="fr-FR"/>
        </w:rPr>
        <w:t>nnes avec lesquelles ils n’ont</w:t>
      </w:r>
      <w:r w:rsidR="00EF1247">
        <w:rPr>
          <w:bCs/>
          <w:lang w:val="fr-FR"/>
        </w:rPr>
        <w:t xml:space="preserve"> pas le droit de communiquer</w:t>
      </w:r>
      <w:r w:rsidR="008D6B80">
        <w:rPr>
          <w:bCs/>
          <w:lang w:val="fr-FR"/>
        </w:rPr>
        <w:t xml:space="preserve">. </w:t>
      </w:r>
      <w:r w:rsidR="00EF1247">
        <w:rPr>
          <w:bCs/>
          <w:lang w:val="fr-FR"/>
        </w:rPr>
        <w:t>Toutefois, la loi les autorise à contester ces ordonnances, et à les faire modifier ou annuler par un tribunal.</w:t>
      </w:r>
    </w:p>
    <w:p w:rsidR="007D66FC" w:rsidRDefault="00EF1247" w:rsidP="005D7B68">
      <w:pPr>
        <w:tabs>
          <w:tab w:val="left" w:pos="567"/>
          <w:tab w:val="left" w:pos="1134"/>
          <w:tab w:val="left" w:pos="1701"/>
          <w:tab w:val="left" w:pos="2268"/>
        </w:tabs>
        <w:rPr>
          <w:bCs/>
          <w:lang w:val="fr-FR"/>
        </w:rPr>
      </w:pPr>
      <w:r>
        <w:rPr>
          <w:bCs/>
          <w:lang w:val="fr-FR"/>
        </w:rPr>
        <w:t>25</w:t>
      </w:r>
      <w:r w:rsidR="00612CC4">
        <w:rPr>
          <w:bCs/>
          <w:lang w:val="fr-FR"/>
        </w:rPr>
        <w:t>6</w:t>
      </w:r>
      <w:r w:rsidR="00BE07AE">
        <w:rPr>
          <w:bCs/>
          <w:lang w:val="fr-FR"/>
        </w:rPr>
        <w:t>.</w:t>
      </w:r>
      <w:r w:rsidR="00BE07AE">
        <w:rPr>
          <w:bCs/>
          <w:lang w:val="fr-FR"/>
        </w:rPr>
        <w:tab/>
      </w:r>
      <w:r w:rsidR="00EB140F">
        <w:rPr>
          <w:bCs/>
          <w:lang w:val="fr-FR"/>
        </w:rPr>
        <w:t>O</w:t>
      </w:r>
      <w:r>
        <w:rPr>
          <w:bCs/>
          <w:lang w:val="fr-FR"/>
        </w:rPr>
        <w:t xml:space="preserve">utre la faculté d’introduire un recours auprès d’un tribunal contre une ordonnance de placement en détention préventive </w:t>
      </w:r>
      <w:r w:rsidRPr="003919DE">
        <w:rPr>
          <w:bCs/>
          <w:lang w:val="fr-FR"/>
        </w:rPr>
        <w:t>ou</w:t>
      </w:r>
      <w:r w:rsidR="007D66FC" w:rsidRPr="003919DE">
        <w:rPr>
          <w:bCs/>
          <w:lang w:val="fr-FR"/>
        </w:rPr>
        <w:t xml:space="preserve"> d’interdiction de communiquer, tout</w:t>
      </w:r>
      <w:r w:rsidR="007D66FC" w:rsidRPr="007D66FC">
        <w:rPr>
          <w:bCs/>
          <w:lang w:val="fr-FR"/>
        </w:rPr>
        <w:t xml:space="preserve"> détenu dispose de plusieurs autres garanties</w:t>
      </w:r>
      <w:r w:rsidR="00572260">
        <w:rPr>
          <w:bCs/>
          <w:lang w:val="fr-FR"/>
        </w:rPr>
        <w:t>:</w:t>
      </w:r>
    </w:p>
    <w:p w:rsidR="00651654" w:rsidRDefault="007D66FC" w:rsidP="005D7B68">
      <w:pPr>
        <w:tabs>
          <w:tab w:val="left" w:pos="567"/>
          <w:tab w:val="left" w:pos="1134"/>
          <w:tab w:val="left" w:pos="1701"/>
          <w:tab w:val="left" w:pos="2268"/>
        </w:tabs>
        <w:rPr>
          <w:bCs/>
          <w:lang w:val="fr-FR"/>
        </w:rPr>
      </w:pPr>
      <w:r>
        <w:rPr>
          <w:bCs/>
          <w:lang w:val="fr-FR"/>
        </w:rPr>
        <w:tab/>
        <w:t>a)</w:t>
      </w:r>
      <w:r>
        <w:rPr>
          <w:bCs/>
          <w:lang w:val="fr-FR"/>
        </w:rPr>
        <w:tab/>
      </w:r>
      <w:r w:rsidR="00651654">
        <w:rPr>
          <w:bCs/>
          <w:lang w:val="fr-FR"/>
        </w:rPr>
        <w:t>Un responsable des services de police surveillera l’exécution des obligations des fonctionnaires chargés d’exécuter les ordres relatifs au détenu</w:t>
      </w:r>
      <w:r w:rsidR="008D6B80">
        <w:rPr>
          <w:bCs/>
          <w:lang w:val="fr-FR"/>
        </w:rPr>
        <w:t xml:space="preserve">. </w:t>
      </w:r>
      <w:r w:rsidR="00651654">
        <w:rPr>
          <w:bCs/>
          <w:lang w:val="fr-FR"/>
        </w:rPr>
        <w:t xml:space="preserve">Ce responsable, qui ne doit </w:t>
      </w:r>
      <w:r w:rsidR="00F4086E">
        <w:rPr>
          <w:bCs/>
          <w:lang w:val="fr-FR"/>
        </w:rPr>
        <w:t xml:space="preserve">pas </w:t>
      </w:r>
      <w:r w:rsidR="00651654">
        <w:rPr>
          <w:bCs/>
          <w:lang w:val="fr-FR"/>
        </w:rPr>
        <w:t>avoir été impliqué dans la demande ou la délivrance des ordonnances de placement en détention, sera n</w:t>
      </w:r>
      <w:r w:rsidR="002C1E95">
        <w:rPr>
          <w:bCs/>
          <w:lang w:val="fr-FR"/>
        </w:rPr>
        <w:t>ommé par le Directeur général</w:t>
      </w:r>
      <w:r w:rsidR="00651654">
        <w:rPr>
          <w:bCs/>
          <w:lang w:val="fr-FR"/>
        </w:rPr>
        <w:t xml:space="preserve"> de</w:t>
      </w:r>
      <w:r w:rsidR="002C1E95">
        <w:rPr>
          <w:bCs/>
          <w:lang w:val="fr-FR"/>
        </w:rPr>
        <w:t xml:space="preserve"> la</w:t>
      </w:r>
      <w:r w:rsidR="00651654">
        <w:rPr>
          <w:bCs/>
          <w:lang w:val="fr-FR"/>
        </w:rPr>
        <w:t xml:space="preserve"> police</w:t>
      </w:r>
      <w:r w:rsidR="008D6B80">
        <w:rPr>
          <w:bCs/>
          <w:lang w:val="fr-FR"/>
        </w:rPr>
        <w:t xml:space="preserve">. </w:t>
      </w:r>
      <w:r w:rsidR="00651654">
        <w:rPr>
          <w:bCs/>
          <w:lang w:val="fr-FR"/>
        </w:rPr>
        <w:t>Le détenu ou une personne agissant en son nom pourra présenter des observations audit responsable sur le traitement dont il fait l’objet.</w:t>
      </w:r>
    </w:p>
    <w:p w:rsidR="00651654" w:rsidRDefault="00651654" w:rsidP="005D7B68">
      <w:pPr>
        <w:tabs>
          <w:tab w:val="left" w:pos="567"/>
          <w:tab w:val="left" w:pos="1134"/>
          <w:tab w:val="left" w:pos="1701"/>
          <w:tab w:val="left" w:pos="2268"/>
        </w:tabs>
        <w:rPr>
          <w:bCs/>
          <w:lang w:val="fr-FR"/>
        </w:rPr>
      </w:pPr>
      <w:r>
        <w:rPr>
          <w:bCs/>
          <w:lang w:val="fr-FR"/>
        </w:rPr>
        <w:tab/>
        <w:t>b)</w:t>
      </w:r>
      <w:r>
        <w:rPr>
          <w:bCs/>
          <w:lang w:val="fr-FR"/>
        </w:rPr>
        <w:tab/>
        <w:t>Le détenu</w:t>
      </w:r>
      <w:r w:rsidR="00C2451E">
        <w:rPr>
          <w:bCs/>
          <w:lang w:val="fr-FR"/>
        </w:rPr>
        <w:t>,</w:t>
      </w:r>
      <w:r>
        <w:rPr>
          <w:bCs/>
          <w:lang w:val="fr-FR"/>
        </w:rPr>
        <w:t xml:space="preserve"> ou une personne agissant en son nom</w:t>
      </w:r>
      <w:r w:rsidR="00C2451E">
        <w:rPr>
          <w:bCs/>
          <w:lang w:val="fr-FR"/>
        </w:rPr>
        <w:t>,</w:t>
      </w:r>
      <w:r>
        <w:rPr>
          <w:bCs/>
          <w:lang w:val="fr-FR"/>
        </w:rPr>
        <w:t xml:space="preserve"> pourra également saisir le Médiateur de Tasmanie pour qu’il examine les questions qui lui seront soumises conformément à la loi de 1978 sur le Médiateur, et</w:t>
      </w:r>
    </w:p>
    <w:p w:rsidR="00605A74" w:rsidRDefault="00651654" w:rsidP="005D7B68">
      <w:pPr>
        <w:tabs>
          <w:tab w:val="left" w:pos="567"/>
          <w:tab w:val="left" w:pos="1134"/>
          <w:tab w:val="left" w:pos="1701"/>
          <w:tab w:val="left" w:pos="2268"/>
        </w:tabs>
        <w:rPr>
          <w:bCs/>
          <w:lang w:val="fr-FR"/>
        </w:rPr>
      </w:pPr>
      <w:r>
        <w:rPr>
          <w:bCs/>
          <w:lang w:val="fr-FR"/>
        </w:rPr>
        <w:tab/>
        <w:t>c)</w:t>
      </w:r>
      <w:r>
        <w:rPr>
          <w:bCs/>
          <w:lang w:val="fr-FR"/>
        </w:rPr>
        <w:tab/>
      </w:r>
      <w:r w:rsidR="00605A74">
        <w:rPr>
          <w:bCs/>
          <w:lang w:val="fr-FR"/>
        </w:rPr>
        <w:t xml:space="preserve">Tout détenu a </w:t>
      </w:r>
      <w:r w:rsidR="00330227">
        <w:rPr>
          <w:bCs/>
          <w:lang w:val="fr-FR"/>
        </w:rPr>
        <w:t>le droit d’</w:t>
      </w:r>
      <w:r w:rsidR="00605A74">
        <w:rPr>
          <w:bCs/>
          <w:lang w:val="fr-FR"/>
        </w:rPr>
        <w:t>être représenté en justice</w:t>
      </w:r>
      <w:r w:rsidR="008D6B80">
        <w:rPr>
          <w:bCs/>
          <w:lang w:val="fr-FR"/>
        </w:rPr>
        <w:t xml:space="preserve">. </w:t>
      </w:r>
      <w:r w:rsidR="00605A74">
        <w:rPr>
          <w:bCs/>
          <w:lang w:val="fr-FR"/>
        </w:rPr>
        <w:t>Cela lui permet d’</w:t>
      </w:r>
      <w:r w:rsidR="00330227">
        <w:rPr>
          <w:bCs/>
          <w:lang w:val="fr-FR"/>
        </w:rPr>
        <w:t>obtenir une assistance judiciaire</w:t>
      </w:r>
      <w:r w:rsidR="00605A74">
        <w:rPr>
          <w:bCs/>
          <w:lang w:val="fr-FR"/>
        </w:rPr>
        <w:t xml:space="preserve"> </w:t>
      </w:r>
      <w:r w:rsidR="00330227">
        <w:rPr>
          <w:bCs/>
          <w:lang w:val="fr-FR"/>
        </w:rPr>
        <w:t>et de donner des instructions concernant la procédure judiciaire,</w:t>
      </w:r>
      <w:r w:rsidR="00572260">
        <w:rPr>
          <w:bCs/>
          <w:lang w:val="fr-FR"/>
        </w:rPr>
        <w:t xml:space="preserve"> </w:t>
      </w:r>
      <w:r w:rsidR="00605A74">
        <w:rPr>
          <w:bCs/>
          <w:lang w:val="fr-FR"/>
        </w:rPr>
        <w:t>toute plainte déposée auprès du Médiateur, et de</w:t>
      </w:r>
      <w:r w:rsidR="00330227">
        <w:rPr>
          <w:bCs/>
          <w:lang w:val="fr-FR"/>
        </w:rPr>
        <w:t>s</w:t>
      </w:r>
      <w:r w:rsidR="00605A74">
        <w:rPr>
          <w:bCs/>
          <w:lang w:val="fr-FR"/>
        </w:rPr>
        <w:t xml:space="preserve"> doléances présentées au fonctionnaire de police responsable.</w:t>
      </w:r>
    </w:p>
    <w:p w:rsidR="00236BE0" w:rsidRDefault="00605A74" w:rsidP="005D7B68">
      <w:pPr>
        <w:tabs>
          <w:tab w:val="left" w:pos="567"/>
          <w:tab w:val="left" w:pos="1134"/>
          <w:tab w:val="left" w:pos="1701"/>
          <w:tab w:val="left" w:pos="2268"/>
        </w:tabs>
        <w:rPr>
          <w:bCs/>
          <w:lang w:val="fr-FR"/>
        </w:rPr>
      </w:pPr>
      <w:r>
        <w:rPr>
          <w:bCs/>
          <w:lang w:val="fr-FR"/>
        </w:rPr>
        <w:t>25</w:t>
      </w:r>
      <w:r w:rsidR="00612CC4">
        <w:rPr>
          <w:bCs/>
          <w:lang w:val="fr-FR"/>
        </w:rPr>
        <w:t>7</w:t>
      </w:r>
      <w:r w:rsidR="00BE07AE">
        <w:rPr>
          <w:bCs/>
          <w:lang w:val="fr-FR"/>
        </w:rPr>
        <w:t>.</w:t>
      </w:r>
      <w:r w:rsidR="00BE07AE">
        <w:rPr>
          <w:bCs/>
          <w:lang w:val="fr-FR"/>
        </w:rPr>
        <w:tab/>
      </w:r>
      <w:r w:rsidR="005B7D04">
        <w:rPr>
          <w:bCs/>
          <w:lang w:val="fr-FR"/>
        </w:rPr>
        <w:t>L</w:t>
      </w:r>
      <w:r>
        <w:rPr>
          <w:bCs/>
          <w:lang w:val="fr-FR"/>
        </w:rPr>
        <w:t>e plus, la possibilité qu’a la police de solliciter des ordonnances de placement en détention préventive en vertu de cette loi dispara</w:t>
      </w:r>
      <w:r w:rsidR="00236BE0">
        <w:rPr>
          <w:bCs/>
          <w:lang w:val="fr-FR"/>
        </w:rPr>
        <w:t xml:space="preserve">îtra automatiquement </w:t>
      </w:r>
      <w:r w:rsidR="008407EF">
        <w:rPr>
          <w:bCs/>
          <w:lang w:val="fr-FR"/>
        </w:rPr>
        <w:t>dix</w:t>
      </w:r>
      <w:r>
        <w:rPr>
          <w:bCs/>
          <w:lang w:val="fr-FR"/>
        </w:rPr>
        <w:t xml:space="preserve"> ans après </w:t>
      </w:r>
      <w:r w:rsidR="00236BE0">
        <w:rPr>
          <w:bCs/>
          <w:lang w:val="fr-FR"/>
        </w:rPr>
        <w:t>sa date d’entrée en vigueur</w:t>
      </w:r>
      <w:r w:rsidR="008D6B80">
        <w:rPr>
          <w:bCs/>
          <w:lang w:val="fr-FR"/>
        </w:rPr>
        <w:t xml:space="preserve">. </w:t>
      </w:r>
      <w:r w:rsidR="00236BE0">
        <w:rPr>
          <w:bCs/>
          <w:lang w:val="fr-FR"/>
        </w:rPr>
        <w:t>Il sera effectué un suivi et un examen continu de l’efficacité de la loi et en vertu de la clause d’extinction, un examen détaillé de la</w:t>
      </w:r>
      <w:r w:rsidR="00330227">
        <w:rPr>
          <w:bCs/>
          <w:lang w:val="fr-FR"/>
        </w:rPr>
        <w:t>dite</w:t>
      </w:r>
      <w:r w:rsidR="00236BE0">
        <w:rPr>
          <w:bCs/>
          <w:lang w:val="fr-FR"/>
        </w:rPr>
        <w:t xml:space="preserve"> loi aura lieu avant qu’elle ne soit abrogée, au bout de </w:t>
      </w:r>
      <w:r w:rsidR="008407EF">
        <w:rPr>
          <w:bCs/>
          <w:lang w:val="fr-FR"/>
        </w:rPr>
        <w:t>dix</w:t>
      </w:r>
      <w:r w:rsidR="00236BE0">
        <w:rPr>
          <w:bCs/>
          <w:lang w:val="fr-FR"/>
        </w:rPr>
        <w:t xml:space="preserve"> ans.</w:t>
      </w:r>
    </w:p>
    <w:p w:rsidR="00236BE0" w:rsidRDefault="00236BE0" w:rsidP="005D7B68">
      <w:pPr>
        <w:tabs>
          <w:tab w:val="left" w:pos="567"/>
          <w:tab w:val="left" w:pos="1134"/>
          <w:tab w:val="left" w:pos="1701"/>
          <w:tab w:val="left" w:pos="2268"/>
        </w:tabs>
        <w:rPr>
          <w:b/>
          <w:lang w:val="fr-FR"/>
        </w:rPr>
      </w:pPr>
      <w:r>
        <w:rPr>
          <w:b/>
          <w:lang w:val="fr-FR"/>
        </w:rPr>
        <w:t>Loi de 20</w:t>
      </w:r>
      <w:r w:rsidR="00330227">
        <w:rPr>
          <w:b/>
          <w:lang w:val="fr-FR"/>
        </w:rPr>
        <w:t>0</w:t>
      </w:r>
      <w:r>
        <w:rPr>
          <w:b/>
          <w:lang w:val="fr-FR"/>
        </w:rPr>
        <w:t>5 sur les pouvoirs de la police (sécurité publique)</w:t>
      </w:r>
    </w:p>
    <w:p w:rsidR="002C1E95" w:rsidRDefault="00236BE0" w:rsidP="005D7B68">
      <w:pPr>
        <w:tabs>
          <w:tab w:val="left" w:pos="567"/>
          <w:tab w:val="left" w:pos="1134"/>
          <w:tab w:val="left" w:pos="1701"/>
          <w:tab w:val="left" w:pos="2268"/>
        </w:tabs>
        <w:rPr>
          <w:bCs/>
          <w:lang w:val="fr-FR"/>
        </w:rPr>
      </w:pPr>
      <w:r>
        <w:rPr>
          <w:bCs/>
          <w:lang w:val="fr-FR"/>
        </w:rPr>
        <w:t>25</w:t>
      </w:r>
      <w:r w:rsidR="00612CC4">
        <w:rPr>
          <w:bCs/>
          <w:lang w:val="fr-FR"/>
        </w:rPr>
        <w:t>8</w:t>
      </w:r>
      <w:r w:rsidR="00BE07AE">
        <w:rPr>
          <w:bCs/>
          <w:lang w:val="fr-FR"/>
        </w:rPr>
        <w:t>.</w:t>
      </w:r>
      <w:r w:rsidR="00BE07AE">
        <w:rPr>
          <w:bCs/>
          <w:lang w:val="fr-FR"/>
        </w:rPr>
        <w:tab/>
      </w:r>
      <w:r w:rsidR="005B7D04">
        <w:rPr>
          <w:bCs/>
          <w:lang w:val="fr-FR"/>
        </w:rPr>
        <w:t>L</w:t>
      </w:r>
      <w:r>
        <w:rPr>
          <w:bCs/>
          <w:lang w:val="fr-FR"/>
        </w:rPr>
        <w:t>’objectif de la</w:t>
      </w:r>
      <w:r>
        <w:rPr>
          <w:bCs/>
          <w:i/>
          <w:iCs/>
          <w:lang w:val="fr-FR"/>
        </w:rPr>
        <w:t xml:space="preserve"> </w:t>
      </w:r>
      <w:r w:rsidRPr="00F4086E">
        <w:rPr>
          <w:bCs/>
          <w:lang w:val="fr-FR"/>
        </w:rPr>
        <w:t>loi de 2005 sur les pouvoirs de la police (sécurité publique)</w:t>
      </w:r>
      <w:r>
        <w:rPr>
          <w:bCs/>
          <w:i/>
          <w:iCs/>
          <w:lang w:val="fr-FR"/>
        </w:rPr>
        <w:t xml:space="preserve"> </w:t>
      </w:r>
      <w:r>
        <w:rPr>
          <w:bCs/>
          <w:lang w:val="fr-FR"/>
        </w:rPr>
        <w:t>est de permettre à la police</w:t>
      </w:r>
      <w:r w:rsidR="00605A74">
        <w:rPr>
          <w:bCs/>
          <w:lang w:val="fr-FR"/>
        </w:rPr>
        <w:t xml:space="preserve"> </w:t>
      </w:r>
      <w:r w:rsidR="00DA6A5C">
        <w:rPr>
          <w:bCs/>
          <w:lang w:val="fr-FR"/>
        </w:rPr>
        <w:t>d’interpeller</w:t>
      </w:r>
      <w:r>
        <w:rPr>
          <w:bCs/>
          <w:lang w:val="fr-FR"/>
        </w:rPr>
        <w:t>, de fouiller et d’</w:t>
      </w:r>
      <w:r w:rsidR="00035E11">
        <w:rPr>
          <w:bCs/>
          <w:lang w:val="fr-FR"/>
        </w:rPr>
        <w:t xml:space="preserve">interroger </w:t>
      </w:r>
      <w:r>
        <w:rPr>
          <w:bCs/>
          <w:lang w:val="fr-FR"/>
        </w:rPr>
        <w:t>les personnes, de fouiller les véhicules, et de saisir et de</w:t>
      </w:r>
      <w:r w:rsidR="00035E11">
        <w:rPr>
          <w:bCs/>
          <w:lang w:val="fr-FR"/>
        </w:rPr>
        <w:t xml:space="preserve"> confisquer des objets pour assurer la sécurité du public s’il existe un risque de terrorisme, une menace terroriste ou si un acte de terrorisme a été perpétré.</w:t>
      </w:r>
    </w:p>
    <w:p w:rsidR="0088285A" w:rsidRDefault="002C1E95" w:rsidP="005D7B68">
      <w:pPr>
        <w:tabs>
          <w:tab w:val="left" w:pos="567"/>
          <w:tab w:val="left" w:pos="1134"/>
          <w:tab w:val="left" w:pos="1701"/>
          <w:tab w:val="left" w:pos="2268"/>
        </w:tabs>
        <w:rPr>
          <w:bCs/>
          <w:lang w:val="fr-FR"/>
        </w:rPr>
      </w:pPr>
      <w:r>
        <w:rPr>
          <w:bCs/>
          <w:lang w:val="fr-FR"/>
        </w:rPr>
        <w:t>25</w:t>
      </w:r>
      <w:r w:rsidR="00BE07AE">
        <w:rPr>
          <w:bCs/>
          <w:lang w:val="fr-FR"/>
        </w:rPr>
        <w:t>9.</w:t>
      </w:r>
      <w:r w:rsidR="00BE07AE">
        <w:rPr>
          <w:bCs/>
          <w:lang w:val="fr-FR"/>
        </w:rPr>
        <w:tab/>
      </w:r>
      <w:r w:rsidR="005B7D04">
        <w:rPr>
          <w:bCs/>
          <w:lang w:val="fr-FR"/>
        </w:rPr>
        <w:t>L</w:t>
      </w:r>
      <w:r>
        <w:rPr>
          <w:bCs/>
          <w:lang w:val="fr-FR"/>
        </w:rPr>
        <w:t>a loi sur les pouvoirs de la police (sécurité publique) permet au Directeur général de la police</w:t>
      </w:r>
      <w:r w:rsidR="0088285A">
        <w:rPr>
          <w:bCs/>
          <w:lang w:val="fr-FR"/>
        </w:rPr>
        <w:t xml:space="preserve"> de demander au Premier min</w:t>
      </w:r>
      <w:r w:rsidR="00F4086E">
        <w:rPr>
          <w:bCs/>
          <w:lang w:val="fr-FR"/>
        </w:rPr>
        <w:t>istre de Tasmanie ou à la Cour s</w:t>
      </w:r>
      <w:r w:rsidR="0088285A">
        <w:rPr>
          <w:bCs/>
          <w:lang w:val="fr-FR"/>
        </w:rPr>
        <w:t>uprême d’autoriser les fonctionnaires de police à exercer certains pouvoirs lorsque les circonstances le justifient à savoir</w:t>
      </w:r>
      <w:r w:rsidR="00572260">
        <w:rPr>
          <w:bCs/>
          <w:lang w:val="fr-FR"/>
        </w:rPr>
        <w:t>:</w:t>
      </w:r>
    </w:p>
    <w:p w:rsidR="0088285A" w:rsidRDefault="0088285A" w:rsidP="00E0029F">
      <w:pPr>
        <w:numPr>
          <w:ilvl w:val="0"/>
          <w:numId w:val="21"/>
        </w:numPr>
        <w:tabs>
          <w:tab w:val="left" w:pos="567"/>
          <w:tab w:val="left" w:pos="1134"/>
          <w:tab w:val="left" w:pos="1701"/>
          <w:tab w:val="left" w:pos="2268"/>
        </w:tabs>
        <w:rPr>
          <w:bCs/>
          <w:lang w:val="fr-FR"/>
        </w:rPr>
      </w:pPr>
      <w:r>
        <w:rPr>
          <w:bCs/>
          <w:lang w:val="fr-FR"/>
        </w:rPr>
        <w:t>La protection du public participant ou assistant à une manifestation si la nature de cette dernière fait qu’il existe un risque d’acte de terrorisme</w:t>
      </w:r>
      <w:r w:rsidR="00572260">
        <w:rPr>
          <w:bCs/>
          <w:lang w:val="fr-FR"/>
        </w:rPr>
        <w:t>;</w:t>
      </w:r>
    </w:p>
    <w:p w:rsidR="008831B9" w:rsidRDefault="0088285A" w:rsidP="00E0029F">
      <w:pPr>
        <w:numPr>
          <w:ilvl w:val="0"/>
          <w:numId w:val="21"/>
        </w:numPr>
        <w:tabs>
          <w:tab w:val="left" w:pos="567"/>
          <w:tab w:val="left" w:pos="1134"/>
          <w:tab w:val="left" w:pos="1701"/>
          <w:tab w:val="left" w:pos="2268"/>
        </w:tabs>
        <w:rPr>
          <w:bCs/>
          <w:lang w:val="fr-FR"/>
        </w:rPr>
      </w:pPr>
      <w:r>
        <w:rPr>
          <w:bCs/>
          <w:lang w:val="fr-FR"/>
        </w:rPr>
        <w:t>La protection de sites ou de zones</w:t>
      </w:r>
      <w:r w:rsidR="008831B9">
        <w:rPr>
          <w:bCs/>
          <w:lang w:val="fr-FR"/>
        </w:rPr>
        <w:t xml:space="preserve"> pouvant présenter un risque d’atten</w:t>
      </w:r>
      <w:r w:rsidR="00D12A47">
        <w:rPr>
          <w:bCs/>
          <w:lang w:val="fr-FR"/>
        </w:rPr>
        <w:t>tat terroriste, et celle</w:t>
      </w:r>
      <w:r w:rsidR="008831B9">
        <w:rPr>
          <w:bCs/>
          <w:lang w:val="fr-FR"/>
        </w:rPr>
        <w:t xml:space="preserve"> des personnes vivant à proximité de ces sites ou zones que voici</w:t>
      </w:r>
      <w:r w:rsidR="00572260">
        <w:rPr>
          <w:bCs/>
          <w:lang w:val="fr-FR"/>
        </w:rPr>
        <w:t>:</w:t>
      </w:r>
    </w:p>
    <w:p w:rsidR="008831B9" w:rsidRDefault="00F4086E" w:rsidP="00E0029F">
      <w:pPr>
        <w:numPr>
          <w:ilvl w:val="1"/>
          <w:numId w:val="21"/>
        </w:numPr>
        <w:tabs>
          <w:tab w:val="clear" w:pos="1593"/>
          <w:tab w:val="left" w:pos="567"/>
          <w:tab w:val="left" w:pos="1134"/>
          <w:tab w:val="left" w:pos="1701"/>
          <w:tab w:val="left" w:pos="2268"/>
        </w:tabs>
        <w:rPr>
          <w:bCs/>
          <w:lang w:val="fr-FR"/>
        </w:rPr>
      </w:pPr>
      <w:r>
        <w:rPr>
          <w:bCs/>
          <w:lang w:val="fr-FR"/>
        </w:rPr>
        <w:t>U</w:t>
      </w:r>
      <w:r w:rsidR="008831B9">
        <w:rPr>
          <w:bCs/>
          <w:lang w:val="fr-FR"/>
        </w:rPr>
        <w:t>n aéroport, une gare routière ou un échangeur routier, une gare de chemin</w:t>
      </w:r>
      <w:r w:rsidR="00101E41">
        <w:rPr>
          <w:bCs/>
          <w:lang w:val="fr-FR"/>
        </w:rPr>
        <w:t>s de fer, un terminal maritime</w:t>
      </w:r>
      <w:r w:rsidR="00572260">
        <w:rPr>
          <w:bCs/>
          <w:lang w:val="fr-FR"/>
        </w:rPr>
        <w:t>;</w:t>
      </w:r>
      <w:r w:rsidR="008831B9">
        <w:rPr>
          <w:bCs/>
          <w:lang w:val="fr-FR"/>
        </w:rPr>
        <w:t xml:space="preserve"> ou</w:t>
      </w:r>
    </w:p>
    <w:p w:rsidR="008831B9" w:rsidRDefault="00F4086E" w:rsidP="00E0029F">
      <w:pPr>
        <w:numPr>
          <w:ilvl w:val="1"/>
          <w:numId w:val="21"/>
        </w:numPr>
        <w:tabs>
          <w:tab w:val="clear" w:pos="1593"/>
          <w:tab w:val="left" w:pos="567"/>
          <w:tab w:val="left" w:pos="1134"/>
          <w:tab w:val="left" w:pos="1701"/>
          <w:tab w:val="left" w:pos="2268"/>
        </w:tabs>
        <w:rPr>
          <w:bCs/>
          <w:lang w:val="fr-FR"/>
        </w:rPr>
      </w:pPr>
      <w:r>
        <w:rPr>
          <w:bCs/>
          <w:lang w:val="fr-FR"/>
        </w:rPr>
        <w:t>U</w:t>
      </w:r>
      <w:r w:rsidR="008831B9">
        <w:rPr>
          <w:bCs/>
          <w:lang w:val="fr-FR"/>
        </w:rPr>
        <w:t>n lieu de grands rassemblements de population, ou</w:t>
      </w:r>
    </w:p>
    <w:p w:rsidR="008831B9" w:rsidRDefault="00F4086E" w:rsidP="00E0029F">
      <w:pPr>
        <w:numPr>
          <w:ilvl w:val="1"/>
          <w:numId w:val="21"/>
        </w:numPr>
        <w:tabs>
          <w:tab w:val="clear" w:pos="1593"/>
          <w:tab w:val="left" w:pos="567"/>
          <w:tab w:val="left" w:pos="1134"/>
          <w:tab w:val="left" w:pos="1701"/>
          <w:tab w:val="left" w:pos="2268"/>
        </w:tabs>
        <w:rPr>
          <w:bCs/>
          <w:lang w:val="fr-FR"/>
        </w:rPr>
      </w:pPr>
      <w:r>
        <w:rPr>
          <w:bCs/>
          <w:lang w:val="fr-FR"/>
        </w:rPr>
        <w:t>U</w:t>
      </w:r>
      <w:r w:rsidR="008831B9">
        <w:rPr>
          <w:bCs/>
          <w:lang w:val="fr-FR"/>
        </w:rPr>
        <w:t>n</w:t>
      </w:r>
      <w:r w:rsidR="00123448">
        <w:rPr>
          <w:bCs/>
          <w:lang w:val="fr-FR"/>
        </w:rPr>
        <w:t>e</w:t>
      </w:r>
      <w:r w:rsidR="008831B9">
        <w:rPr>
          <w:bCs/>
          <w:lang w:val="fr-FR"/>
        </w:rPr>
        <w:t xml:space="preserve"> zone dans laquelle est situé un service essentiel</w:t>
      </w:r>
      <w:r w:rsidR="00572260">
        <w:rPr>
          <w:bCs/>
          <w:lang w:val="fr-FR"/>
        </w:rPr>
        <w:t>;</w:t>
      </w:r>
    </w:p>
    <w:p w:rsidR="00123448" w:rsidRDefault="00123448" w:rsidP="00E0029F">
      <w:pPr>
        <w:numPr>
          <w:ilvl w:val="0"/>
          <w:numId w:val="21"/>
        </w:numPr>
        <w:tabs>
          <w:tab w:val="left" w:pos="567"/>
          <w:tab w:val="left" w:pos="1134"/>
          <w:tab w:val="left" w:pos="1701"/>
          <w:tab w:val="left" w:pos="2268"/>
        </w:tabs>
        <w:rPr>
          <w:bCs/>
          <w:lang w:val="fr-FR"/>
        </w:rPr>
      </w:pPr>
      <w:r>
        <w:rPr>
          <w:bCs/>
          <w:lang w:val="fr-FR"/>
        </w:rPr>
        <w:t>La prévention ou l’atténuation des consé</w:t>
      </w:r>
      <w:r w:rsidR="00101E41">
        <w:rPr>
          <w:bCs/>
          <w:lang w:val="fr-FR"/>
        </w:rPr>
        <w:t>quences d’un acte de terrorisme</w:t>
      </w:r>
      <w:r w:rsidR="00572260">
        <w:rPr>
          <w:bCs/>
          <w:lang w:val="fr-FR"/>
        </w:rPr>
        <w:t>;</w:t>
      </w:r>
      <w:r>
        <w:rPr>
          <w:bCs/>
          <w:lang w:val="fr-FR"/>
        </w:rPr>
        <w:t xml:space="preserve"> et</w:t>
      </w:r>
    </w:p>
    <w:p w:rsidR="00123448" w:rsidRDefault="00123448" w:rsidP="00E0029F">
      <w:pPr>
        <w:numPr>
          <w:ilvl w:val="0"/>
          <w:numId w:val="21"/>
        </w:numPr>
        <w:tabs>
          <w:tab w:val="left" w:pos="567"/>
          <w:tab w:val="left" w:pos="1134"/>
          <w:tab w:val="left" w:pos="1701"/>
          <w:tab w:val="left" w:pos="2268"/>
        </w:tabs>
        <w:rPr>
          <w:bCs/>
          <w:lang w:val="fr-FR"/>
        </w:rPr>
      </w:pPr>
      <w:r>
        <w:rPr>
          <w:bCs/>
          <w:lang w:val="fr-FR"/>
        </w:rPr>
        <w:t>Les enquêtes sur un acte de terrorisme ou la prise</w:t>
      </w:r>
      <w:r w:rsidR="003C2A3F">
        <w:rPr>
          <w:bCs/>
          <w:lang w:val="fr-FR"/>
        </w:rPr>
        <w:t xml:space="preserve"> en charge des séquelles de cet </w:t>
      </w:r>
      <w:r>
        <w:rPr>
          <w:bCs/>
          <w:lang w:val="fr-FR"/>
        </w:rPr>
        <w:t>acte.</w:t>
      </w:r>
    </w:p>
    <w:p w:rsidR="00123448" w:rsidRDefault="00123448" w:rsidP="005D7B68">
      <w:pPr>
        <w:tabs>
          <w:tab w:val="left" w:pos="567"/>
          <w:tab w:val="left" w:pos="1134"/>
          <w:tab w:val="left" w:pos="1701"/>
          <w:tab w:val="left" w:pos="2268"/>
        </w:tabs>
        <w:rPr>
          <w:bCs/>
          <w:lang w:val="fr-FR"/>
        </w:rPr>
      </w:pPr>
      <w:r>
        <w:rPr>
          <w:bCs/>
          <w:lang w:val="fr-FR"/>
        </w:rPr>
        <w:t>2</w:t>
      </w:r>
      <w:r w:rsidR="00E42058">
        <w:rPr>
          <w:bCs/>
          <w:lang w:val="fr-FR"/>
        </w:rPr>
        <w:t>60</w:t>
      </w:r>
      <w:r>
        <w:rPr>
          <w:bCs/>
          <w:lang w:val="fr-FR"/>
        </w:rPr>
        <w:t>.</w:t>
      </w:r>
      <w:r>
        <w:rPr>
          <w:bCs/>
          <w:lang w:val="fr-FR"/>
        </w:rPr>
        <w:tab/>
        <w:t>L’autorisation d’exercer ces pouvoirs précisera le d</w:t>
      </w:r>
      <w:r w:rsidR="00AD641A">
        <w:rPr>
          <w:bCs/>
          <w:lang w:val="fr-FR"/>
        </w:rPr>
        <w:t>omaine auquel elle</w:t>
      </w:r>
      <w:r>
        <w:rPr>
          <w:bCs/>
          <w:lang w:val="fr-FR"/>
        </w:rPr>
        <w:t xml:space="preserve"> s’applique.</w:t>
      </w:r>
    </w:p>
    <w:p w:rsidR="0013019A" w:rsidRDefault="00123448" w:rsidP="005D7B68">
      <w:pPr>
        <w:tabs>
          <w:tab w:val="left" w:pos="567"/>
          <w:tab w:val="left" w:pos="1134"/>
          <w:tab w:val="left" w:pos="1701"/>
          <w:tab w:val="left" w:pos="2268"/>
        </w:tabs>
        <w:rPr>
          <w:bCs/>
          <w:lang w:val="fr-FR"/>
        </w:rPr>
      </w:pPr>
      <w:r>
        <w:rPr>
          <w:bCs/>
          <w:lang w:val="fr-FR"/>
        </w:rPr>
        <w:t>26</w:t>
      </w:r>
      <w:r w:rsidR="00E42058">
        <w:rPr>
          <w:bCs/>
          <w:lang w:val="fr-FR"/>
        </w:rPr>
        <w:t>1</w:t>
      </w:r>
      <w:r>
        <w:rPr>
          <w:bCs/>
          <w:lang w:val="fr-FR"/>
        </w:rPr>
        <w:t>.</w:t>
      </w:r>
      <w:r>
        <w:rPr>
          <w:bCs/>
          <w:lang w:val="fr-FR"/>
        </w:rPr>
        <w:tab/>
        <w:t>Une autorisation peut également concerner l’exercice de pouvoirs à l’</w:t>
      </w:r>
      <w:r w:rsidR="00F4086E">
        <w:rPr>
          <w:bCs/>
          <w:lang w:val="fr-FR"/>
        </w:rPr>
        <w:t>égard de personnes</w:t>
      </w:r>
      <w:r w:rsidR="00101E41">
        <w:rPr>
          <w:bCs/>
          <w:lang w:val="fr-FR"/>
        </w:rPr>
        <w:t xml:space="preserve"> ou</w:t>
      </w:r>
      <w:r>
        <w:rPr>
          <w:bCs/>
          <w:lang w:val="fr-FR"/>
        </w:rPr>
        <w:t xml:space="preserve"> d</w:t>
      </w:r>
      <w:r w:rsidR="00F4086E">
        <w:rPr>
          <w:bCs/>
          <w:lang w:val="fr-FR"/>
        </w:rPr>
        <w:t>e</w:t>
      </w:r>
      <w:r>
        <w:rPr>
          <w:bCs/>
          <w:lang w:val="fr-FR"/>
        </w:rPr>
        <w:t xml:space="preserve"> véhicules désignés</w:t>
      </w:r>
      <w:r w:rsidR="008D6B80">
        <w:rPr>
          <w:bCs/>
          <w:lang w:val="fr-FR"/>
        </w:rPr>
        <w:t xml:space="preserve">. </w:t>
      </w:r>
      <w:r>
        <w:rPr>
          <w:bCs/>
          <w:lang w:val="fr-FR"/>
        </w:rPr>
        <w:t>Il y a deux catégories de pouvoirs</w:t>
      </w:r>
      <w:r w:rsidR="008D6B80">
        <w:rPr>
          <w:bCs/>
          <w:lang w:val="fr-FR"/>
        </w:rPr>
        <w:t xml:space="preserve">. </w:t>
      </w:r>
      <w:r>
        <w:rPr>
          <w:bCs/>
          <w:lang w:val="fr-FR"/>
        </w:rPr>
        <w:t>La première comprend ceux qui ne requièrent pas l’autorisation d’un tribunal, mais peuvent être conférés par le Directeur général de la police avec l’accord du Premier ministre</w:t>
      </w:r>
      <w:r w:rsidR="008D6B80">
        <w:rPr>
          <w:bCs/>
          <w:lang w:val="fr-FR"/>
        </w:rPr>
        <w:t xml:space="preserve">. </w:t>
      </w:r>
      <w:r w:rsidR="0041354C">
        <w:rPr>
          <w:bCs/>
          <w:lang w:val="fr-FR"/>
        </w:rPr>
        <w:t>Ils pe</w:t>
      </w:r>
      <w:r w:rsidR="00036EF2">
        <w:rPr>
          <w:bCs/>
          <w:lang w:val="fr-FR"/>
        </w:rPr>
        <w:t>rmettent de procéder aux opérations</w:t>
      </w:r>
      <w:r w:rsidR="0041354C">
        <w:rPr>
          <w:bCs/>
          <w:lang w:val="fr-FR"/>
        </w:rPr>
        <w:t xml:space="preserve"> suivantes</w:t>
      </w:r>
      <w:r w:rsidR="00572260">
        <w:rPr>
          <w:bCs/>
          <w:lang w:val="fr-FR"/>
        </w:rPr>
        <w:t>:</w:t>
      </w:r>
      <w:r>
        <w:rPr>
          <w:bCs/>
          <w:lang w:val="fr-FR"/>
        </w:rPr>
        <w:t xml:space="preserve"> </w:t>
      </w:r>
    </w:p>
    <w:p w:rsidR="00DA6A5C" w:rsidRDefault="0013019A" w:rsidP="005D7B68">
      <w:pPr>
        <w:tabs>
          <w:tab w:val="left" w:pos="567"/>
          <w:tab w:val="left" w:pos="1134"/>
          <w:tab w:val="left" w:pos="1701"/>
          <w:tab w:val="left" w:pos="2268"/>
        </w:tabs>
        <w:rPr>
          <w:bCs/>
          <w:lang w:val="fr-FR"/>
        </w:rPr>
      </w:pPr>
      <w:r>
        <w:rPr>
          <w:bCs/>
          <w:lang w:val="fr-FR"/>
        </w:rPr>
        <w:tab/>
        <w:t>a)</w:t>
      </w:r>
      <w:r w:rsidR="00411420">
        <w:rPr>
          <w:bCs/>
          <w:lang w:val="fr-FR"/>
        </w:rPr>
        <w:tab/>
        <w:t>O</w:t>
      </w:r>
      <w:r w:rsidR="00DA6A5C">
        <w:rPr>
          <w:bCs/>
          <w:lang w:val="fr-FR"/>
        </w:rPr>
        <w:t>btenir qu’une personne révèle son identité</w:t>
      </w:r>
      <w:r w:rsidR="00572260">
        <w:rPr>
          <w:bCs/>
          <w:lang w:val="fr-FR"/>
        </w:rPr>
        <w:t>;</w:t>
      </w:r>
    </w:p>
    <w:p w:rsidR="00B30B7B" w:rsidRDefault="00DA6A5C" w:rsidP="005D7B68">
      <w:pPr>
        <w:tabs>
          <w:tab w:val="left" w:pos="567"/>
          <w:tab w:val="left" w:pos="1134"/>
          <w:tab w:val="left" w:pos="1701"/>
          <w:tab w:val="left" w:pos="2268"/>
        </w:tabs>
        <w:rPr>
          <w:bCs/>
          <w:lang w:val="fr-FR"/>
        </w:rPr>
      </w:pPr>
      <w:r>
        <w:rPr>
          <w:bCs/>
          <w:lang w:val="fr-FR"/>
        </w:rPr>
        <w:tab/>
        <w:t>b)</w:t>
      </w:r>
      <w:r>
        <w:rPr>
          <w:bCs/>
          <w:lang w:val="fr-FR"/>
        </w:rPr>
        <w:tab/>
      </w:r>
      <w:r w:rsidR="00411420">
        <w:rPr>
          <w:bCs/>
          <w:lang w:val="fr-FR"/>
        </w:rPr>
        <w:t>I</w:t>
      </w:r>
      <w:r>
        <w:rPr>
          <w:bCs/>
          <w:lang w:val="fr-FR"/>
        </w:rPr>
        <w:t>nterpeller</w:t>
      </w:r>
      <w:r w:rsidR="00B30B7B">
        <w:rPr>
          <w:bCs/>
          <w:lang w:val="fr-FR"/>
        </w:rPr>
        <w:t xml:space="preserve"> une personne pour effectuer une fouille simple</w:t>
      </w:r>
      <w:r w:rsidR="00572260">
        <w:rPr>
          <w:bCs/>
          <w:lang w:val="fr-FR"/>
        </w:rPr>
        <w:t>;</w:t>
      </w:r>
    </w:p>
    <w:p w:rsidR="00B30B7B" w:rsidRDefault="00B30B7B" w:rsidP="005D7B68">
      <w:pPr>
        <w:tabs>
          <w:tab w:val="left" w:pos="567"/>
          <w:tab w:val="left" w:pos="1134"/>
          <w:tab w:val="left" w:pos="1701"/>
          <w:tab w:val="left" w:pos="2268"/>
        </w:tabs>
        <w:rPr>
          <w:bCs/>
          <w:lang w:val="fr-FR"/>
        </w:rPr>
      </w:pPr>
      <w:r>
        <w:rPr>
          <w:bCs/>
          <w:lang w:val="fr-FR"/>
        </w:rPr>
        <w:tab/>
        <w:t>c)</w:t>
      </w:r>
      <w:r w:rsidR="0013019A">
        <w:rPr>
          <w:bCs/>
          <w:lang w:val="fr-FR"/>
        </w:rPr>
        <w:tab/>
      </w:r>
      <w:r w:rsidR="00411420">
        <w:rPr>
          <w:bCs/>
          <w:lang w:val="fr-FR"/>
        </w:rPr>
        <w:t>A</w:t>
      </w:r>
      <w:r>
        <w:rPr>
          <w:bCs/>
          <w:lang w:val="fr-FR"/>
        </w:rPr>
        <w:t>rrêter des véhicules pour les fouiller</w:t>
      </w:r>
      <w:r w:rsidR="00572260">
        <w:rPr>
          <w:bCs/>
          <w:lang w:val="fr-FR"/>
        </w:rPr>
        <w:t>;</w:t>
      </w:r>
    </w:p>
    <w:p w:rsidR="00B30B7B" w:rsidRDefault="00411420" w:rsidP="005D7B68">
      <w:pPr>
        <w:tabs>
          <w:tab w:val="left" w:pos="567"/>
          <w:tab w:val="left" w:pos="1134"/>
          <w:tab w:val="left" w:pos="1701"/>
          <w:tab w:val="left" w:pos="2268"/>
        </w:tabs>
        <w:rPr>
          <w:bCs/>
          <w:lang w:val="fr-FR"/>
        </w:rPr>
      </w:pPr>
      <w:r>
        <w:rPr>
          <w:bCs/>
          <w:lang w:val="fr-FR"/>
        </w:rPr>
        <w:tab/>
        <w:t>d)</w:t>
      </w:r>
      <w:r>
        <w:rPr>
          <w:bCs/>
          <w:lang w:val="fr-FR"/>
        </w:rPr>
        <w:tab/>
        <w:t>D</w:t>
      </w:r>
      <w:r w:rsidR="00B30B7B">
        <w:rPr>
          <w:bCs/>
          <w:lang w:val="fr-FR"/>
        </w:rPr>
        <w:t>éplacer des véhicules</w:t>
      </w:r>
      <w:r w:rsidR="00572260">
        <w:rPr>
          <w:bCs/>
          <w:lang w:val="fr-FR"/>
        </w:rPr>
        <w:t>;</w:t>
      </w:r>
    </w:p>
    <w:p w:rsidR="00B30B7B" w:rsidRDefault="00411420" w:rsidP="005D7B68">
      <w:pPr>
        <w:tabs>
          <w:tab w:val="left" w:pos="567"/>
          <w:tab w:val="left" w:pos="1134"/>
          <w:tab w:val="left" w:pos="1701"/>
          <w:tab w:val="left" w:pos="2268"/>
        </w:tabs>
        <w:rPr>
          <w:bCs/>
          <w:lang w:val="fr-FR"/>
        </w:rPr>
      </w:pPr>
      <w:r>
        <w:rPr>
          <w:bCs/>
          <w:lang w:val="fr-FR"/>
        </w:rPr>
        <w:tab/>
        <w:t>e)</w:t>
      </w:r>
      <w:r>
        <w:rPr>
          <w:bCs/>
          <w:lang w:val="fr-FR"/>
        </w:rPr>
        <w:tab/>
        <w:t>B</w:t>
      </w:r>
      <w:r w:rsidR="00B30B7B">
        <w:rPr>
          <w:bCs/>
          <w:lang w:val="fr-FR"/>
        </w:rPr>
        <w:t>oucler une zone désignée pour en limiter l’entrée et la sortie.</w:t>
      </w:r>
    </w:p>
    <w:p w:rsidR="00B30B7B" w:rsidRDefault="00B30B7B" w:rsidP="005D7B68">
      <w:pPr>
        <w:tabs>
          <w:tab w:val="left" w:pos="567"/>
          <w:tab w:val="left" w:pos="1134"/>
          <w:tab w:val="left" w:pos="1701"/>
          <w:tab w:val="left" w:pos="2268"/>
        </w:tabs>
        <w:rPr>
          <w:bCs/>
          <w:lang w:val="fr-FR"/>
        </w:rPr>
      </w:pPr>
      <w:r>
        <w:rPr>
          <w:bCs/>
          <w:lang w:val="fr-FR"/>
        </w:rPr>
        <w:t>26</w:t>
      </w:r>
      <w:r w:rsidR="00E42058">
        <w:rPr>
          <w:bCs/>
          <w:lang w:val="fr-FR"/>
        </w:rPr>
        <w:t>2</w:t>
      </w:r>
      <w:r>
        <w:rPr>
          <w:bCs/>
          <w:lang w:val="fr-FR"/>
        </w:rPr>
        <w:t>.</w:t>
      </w:r>
      <w:r>
        <w:rPr>
          <w:bCs/>
          <w:lang w:val="fr-FR"/>
        </w:rPr>
        <w:tab/>
        <w:t>La deuxième catégorie comprend les pouvoirs supplémentaires pouvant nécessiter l’autorisation d’un tribunal sur demande du Directeur général de la police avec l’accord du Premier ministre</w:t>
      </w:r>
      <w:r w:rsidR="008D6B80">
        <w:rPr>
          <w:bCs/>
          <w:lang w:val="fr-FR"/>
        </w:rPr>
        <w:t xml:space="preserve">. </w:t>
      </w:r>
      <w:r>
        <w:rPr>
          <w:bCs/>
          <w:lang w:val="fr-FR"/>
        </w:rPr>
        <w:t>Ils sont conférés aux fins suivantes</w:t>
      </w:r>
      <w:r w:rsidR="00572260">
        <w:rPr>
          <w:bCs/>
          <w:lang w:val="fr-FR"/>
        </w:rPr>
        <w:t>:</w:t>
      </w:r>
      <w:r>
        <w:rPr>
          <w:bCs/>
          <w:lang w:val="fr-FR"/>
        </w:rPr>
        <w:t xml:space="preserve"> </w:t>
      </w:r>
    </w:p>
    <w:p w:rsidR="00B30B7B" w:rsidRDefault="00411420" w:rsidP="005D7B68">
      <w:pPr>
        <w:tabs>
          <w:tab w:val="left" w:pos="567"/>
          <w:tab w:val="left" w:pos="1134"/>
          <w:tab w:val="left" w:pos="1701"/>
          <w:tab w:val="left" w:pos="2268"/>
        </w:tabs>
        <w:rPr>
          <w:bCs/>
          <w:lang w:val="fr-FR"/>
        </w:rPr>
      </w:pPr>
      <w:r>
        <w:rPr>
          <w:bCs/>
          <w:lang w:val="fr-FR"/>
        </w:rPr>
        <w:tab/>
        <w:t>a)</w:t>
      </w:r>
      <w:r>
        <w:rPr>
          <w:bCs/>
          <w:lang w:val="fr-FR"/>
        </w:rPr>
        <w:tab/>
        <w:t>E</w:t>
      </w:r>
      <w:r w:rsidR="00B30B7B">
        <w:rPr>
          <w:bCs/>
          <w:lang w:val="fr-FR"/>
        </w:rPr>
        <w:t>ffectuer une fouille à corps</w:t>
      </w:r>
      <w:r w:rsidR="00572260">
        <w:rPr>
          <w:bCs/>
          <w:lang w:val="fr-FR"/>
        </w:rPr>
        <w:t>;</w:t>
      </w:r>
    </w:p>
    <w:p w:rsidR="00B30B7B" w:rsidRDefault="00411420" w:rsidP="005D7B68">
      <w:pPr>
        <w:tabs>
          <w:tab w:val="left" w:pos="567"/>
          <w:tab w:val="left" w:pos="1134"/>
          <w:tab w:val="left" w:pos="1701"/>
          <w:tab w:val="left" w:pos="2268"/>
        </w:tabs>
        <w:rPr>
          <w:bCs/>
          <w:lang w:val="fr-FR"/>
        </w:rPr>
      </w:pPr>
      <w:r>
        <w:rPr>
          <w:bCs/>
          <w:lang w:val="fr-FR"/>
        </w:rPr>
        <w:tab/>
        <w:t>b)</w:t>
      </w:r>
      <w:r>
        <w:rPr>
          <w:bCs/>
          <w:lang w:val="fr-FR"/>
        </w:rPr>
        <w:tab/>
        <w:t>P</w:t>
      </w:r>
      <w:r w:rsidR="00B30B7B">
        <w:rPr>
          <w:bCs/>
          <w:lang w:val="fr-FR"/>
        </w:rPr>
        <w:t>énétrer d</w:t>
      </w:r>
      <w:r w:rsidR="00D26D8D">
        <w:rPr>
          <w:bCs/>
          <w:lang w:val="fr-FR"/>
        </w:rPr>
        <w:t>ans des locaux pour effectuer une perquisition</w:t>
      </w:r>
      <w:r w:rsidR="00572260">
        <w:rPr>
          <w:bCs/>
          <w:lang w:val="fr-FR"/>
        </w:rPr>
        <w:t>;</w:t>
      </w:r>
      <w:r w:rsidR="00B30B7B">
        <w:rPr>
          <w:bCs/>
          <w:lang w:val="fr-FR"/>
        </w:rPr>
        <w:t xml:space="preserve"> et</w:t>
      </w:r>
    </w:p>
    <w:p w:rsidR="0071457C" w:rsidRDefault="00411420" w:rsidP="005D7B68">
      <w:pPr>
        <w:tabs>
          <w:tab w:val="left" w:pos="567"/>
          <w:tab w:val="left" w:pos="1134"/>
          <w:tab w:val="left" w:pos="1701"/>
          <w:tab w:val="left" w:pos="2268"/>
        </w:tabs>
        <w:rPr>
          <w:bCs/>
          <w:lang w:val="fr-FR"/>
        </w:rPr>
      </w:pPr>
      <w:r>
        <w:rPr>
          <w:bCs/>
          <w:lang w:val="fr-FR"/>
        </w:rPr>
        <w:tab/>
        <w:t>c)</w:t>
      </w:r>
      <w:r>
        <w:rPr>
          <w:bCs/>
          <w:lang w:val="fr-FR"/>
        </w:rPr>
        <w:tab/>
        <w:t>D</w:t>
      </w:r>
      <w:r w:rsidR="00B30B7B">
        <w:rPr>
          <w:bCs/>
          <w:lang w:val="fr-FR"/>
        </w:rPr>
        <w:t>onner des inst</w:t>
      </w:r>
      <w:r w:rsidR="00642239">
        <w:rPr>
          <w:bCs/>
          <w:lang w:val="fr-FR"/>
        </w:rPr>
        <w:t>ructions à un organe public afin</w:t>
      </w:r>
      <w:r w:rsidR="00B30B7B">
        <w:rPr>
          <w:bCs/>
          <w:lang w:val="fr-FR"/>
        </w:rPr>
        <w:t xml:space="preserve"> qu’il exerce ses pouvoirs ou ses fonctions</w:t>
      </w:r>
      <w:r w:rsidR="0071457C">
        <w:rPr>
          <w:bCs/>
          <w:lang w:val="fr-FR"/>
        </w:rPr>
        <w:t xml:space="preserve"> de manière à appuyer</w:t>
      </w:r>
      <w:r w:rsidR="00B30B7B">
        <w:rPr>
          <w:bCs/>
          <w:lang w:val="fr-FR"/>
        </w:rPr>
        <w:t xml:space="preserve"> </w:t>
      </w:r>
      <w:r w:rsidR="0071457C">
        <w:rPr>
          <w:bCs/>
          <w:lang w:val="fr-FR"/>
        </w:rPr>
        <w:t>ceux du Directeur général de la police.</w:t>
      </w:r>
    </w:p>
    <w:p w:rsidR="0071457C" w:rsidRDefault="0071457C" w:rsidP="005D7B68">
      <w:pPr>
        <w:tabs>
          <w:tab w:val="left" w:pos="567"/>
          <w:tab w:val="left" w:pos="1134"/>
          <w:tab w:val="left" w:pos="1701"/>
          <w:tab w:val="left" w:pos="2268"/>
        </w:tabs>
        <w:rPr>
          <w:bCs/>
          <w:lang w:val="fr-FR"/>
        </w:rPr>
      </w:pPr>
      <w:r>
        <w:rPr>
          <w:bCs/>
          <w:lang w:val="fr-FR"/>
        </w:rPr>
        <w:t>26</w:t>
      </w:r>
      <w:r w:rsidR="00E42058">
        <w:rPr>
          <w:bCs/>
          <w:lang w:val="fr-FR"/>
        </w:rPr>
        <w:t>3</w:t>
      </w:r>
      <w:r>
        <w:rPr>
          <w:bCs/>
          <w:lang w:val="fr-FR"/>
        </w:rPr>
        <w:t>.</w:t>
      </w:r>
      <w:r>
        <w:rPr>
          <w:bCs/>
          <w:lang w:val="fr-FR"/>
        </w:rPr>
        <w:tab/>
        <w:t>Généralement, l’exercice de ces pouvoirs supplémentaires requiert l’autorisation de la Cou</w:t>
      </w:r>
      <w:r w:rsidR="00411420">
        <w:rPr>
          <w:bCs/>
          <w:lang w:val="fr-FR"/>
        </w:rPr>
        <w:t>r s</w:t>
      </w:r>
      <w:r>
        <w:rPr>
          <w:bCs/>
          <w:lang w:val="fr-FR"/>
        </w:rPr>
        <w:t>uprême</w:t>
      </w:r>
      <w:r w:rsidR="008D6B80">
        <w:rPr>
          <w:bCs/>
          <w:lang w:val="fr-FR"/>
        </w:rPr>
        <w:t xml:space="preserve">. </w:t>
      </w:r>
      <w:r>
        <w:rPr>
          <w:bCs/>
          <w:lang w:val="fr-FR"/>
        </w:rPr>
        <w:t xml:space="preserve">En </w:t>
      </w:r>
      <w:r w:rsidR="00DC4E7B">
        <w:rPr>
          <w:bCs/>
          <w:lang w:val="fr-FR"/>
        </w:rPr>
        <w:t>cas d’urgence, comme dans celui</w:t>
      </w:r>
      <w:r>
        <w:rPr>
          <w:bCs/>
          <w:lang w:val="fr-FR"/>
        </w:rPr>
        <w:t xml:space="preserve"> où un acte de terrorisme a eu lieu ou est considéré comme imminent, le Directeur général de la police peut, avec l’accord du Premier ministre, </w:t>
      </w:r>
      <w:r w:rsidR="00411420">
        <w:rPr>
          <w:bCs/>
          <w:lang w:val="fr-FR"/>
        </w:rPr>
        <w:t xml:space="preserve">en </w:t>
      </w:r>
      <w:r>
        <w:rPr>
          <w:bCs/>
          <w:lang w:val="fr-FR"/>
        </w:rPr>
        <w:t xml:space="preserve">autoriser l’exercice pendant </w:t>
      </w:r>
      <w:r w:rsidR="003C2A3F">
        <w:rPr>
          <w:bCs/>
          <w:lang w:val="fr-FR"/>
        </w:rPr>
        <w:t>soixante</w:t>
      </w:r>
      <w:r w:rsidR="003C2A3F">
        <w:rPr>
          <w:bCs/>
          <w:lang w:val="fr-FR"/>
        </w:rPr>
        <w:noBreakHyphen/>
        <w:t>douze</w:t>
      </w:r>
      <w:r>
        <w:rPr>
          <w:bCs/>
          <w:lang w:val="fr-FR"/>
        </w:rPr>
        <w:t xml:space="preserve"> heures au maximum</w:t>
      </w:r>
      <w:r w:rsidR="008D6B80">
        <w:rPr>
          <w:bCs/>
          <w:lang w:val="fr-FR"/>
        </w:rPr>
        <w:t xml:space="preserve">. </w:t>
      </w:r>
      <w:r>
        <w:rPr>
          <w:bCs/>
          <w:lang w:val="fr-FR"/>
        </w:rPr>
        <w:t>Si nécessaire</w:t>
      </w:r>
      <w:r w:rsidR="00101E41">
        <w:rPr>
          <w:bCs/>
          <w:lang w:val="fr-FR"/>
        </w:rPr>
        <w:t>,</w:t>
      </w:r>
      <w:r>
        <w:rPr>
          <w:bCs/>
          <w:lang w:val="fr-FR"/>
        </w:rPr>
        <w:t xml:space="preserve"> cette période peut être prolongée </w:t>
      </w:r>
      <w:r w:rsidR="00411420">
        <w:rPr>
          <w:bCs/>
          <w:lang w:val="fr-FR"/>
        </w:rPr>
        <w:t>avec l’autorisation de la Cour s</w:t>
      </w:r>
      <w:r>
        <w:rPr>
          <w:bCs/>
          <w:lang w:val="fr-FR"/>
        </w:rPr>
        <w:t>uprême.</w:t>
      </w:r>
    </w:p>
    <w:p w:rsidR="00CD5962" w:rsidRDefault="0071457C" w:rsidP="005D7B68">
      <w:pPr>
        <w:tabs>
          <w:tab w:val="left" w:pos="567"/>
          <w:tab w:val="left" w:pos="1134"/>
          <w:tab w:val="left" w:pos="1701"/>
          <w:tab w:val="left" w:pos="2268"/>
        </w:tabs>
        <w:rPr>
          <w:bCs/>
          <w:lang w:val="fr-FR"/>
        </w:rPr>
      </w:pPr>
      <w:r>
        <w:rPr>
          <w:bCs/>
          <w:lang w:val="fr-FR"/>
        </w:rPr>
        <w:t>26</w:t>
      </w:r>
      <w:r w:rsidR="00E42058">
        <w:rPr>
          <w:bCs/>
          <w:lang w:val="fr-FR"/>
        </w:rPr>
        <w:t>4</w:t>
      </w:r>
      <w:r>
        <w:rPr>
          <w:bCs/>
          <w:lang w:val="fr-FR"/>
        </w:rPr>
        <w:t>.</w:t>
      </w:r>
      <w:r>
        <w:rPr>
          <w:bCs/>
          <w:lang w:val="fr-FR"/>
        </w:rPr>
        <w:tab/>
        <w:t>Grâce à tous ces pouvoirs, la police peut recourir raisonnablement à la force pour</w:t>
      </w:r>
      <w:r w:rsidR="00CD5962">
        <w:rPr>
          <w:bCs/>
          <w:lang w:val="fr-FR"/>
        </w:rPr>
        <w:t xml:space="preserve"> saisir et confisquer des objets et autoriser l’appui d’autres personnes.</w:t>
      </w:r>
      <w:r w:rsidR="008831B9">
        <w:rPr>
          <w:bCs/>
          <w:lang w:val="fr-FR"/>
        </w:rPr>
        <w:t xml:space="preserve"> </w:t>
      </w:r>
    </w:p>
    <w:p w:rsidR="00CD5962" w:rsidRDefault="00CD5962" w:rsidP="005D7B68">
      <w:pPr>
        <w:tabs>
          <w:tab w:val="left" w:pos="567"/>
          <w:tab w:val="left" w:pos="1134"/>
          <w:tab w:val="left" w:pos="1701"/>
          <w:tab w:val="left" w:pos="2268"/>
        </w:tabs>
        <w:rPr>
          <w:bCs/>
          <w:lang w:val="fr-FR"/>
        </w:rPr>
      </w:pPr>
      <w:r>
        <w:rPr>
          <w:bCs/>
          <w:lang w:val="fr-FR"/>
        </w:rPr>
        <w:t>26</w:t>
      </w:r>
      <w:r w:rsidR="00E42058">
        <w:rPr>
          <w:bCs/>
          <w:lang w:val="fr-FR"/>
        </w:rPr>
        <w:t>5</w:t>
      </w:r>
      <w:r>
        <w:rPr>
          <w:bCs/>
          <w:lang w:val="fr-FR"/>
        </w:rPr>
        <w:t>.</w:t>
      </w:r>
      <w:r>
        <w:rPr>
          <w:bCs/>
          <w:lang w:val="fr-FR"/>
        </w:rPr>
        <w:tab/>
        <w:t>L</w:t>
      </w:r>
      <w:r w:rsidR="004D43F1">
        <w:rPr>
          <w:bCs/>
          <w:lang w:val="fr-FR"/>
        </w:rPr>
        <w:t>a période de temps maximale pour</w:t>
      </w:r>
      <w:r>
        <w:rPr>
          <w:bCs/>
          <w:lang w:val="fr-FR"/>
        </w:rPr>
        <w:t xml:space="preserve"> laquelle</w:t>
      </w:r>
      <w:r w:rsidR="0088285A">
        <w:rPr>
          <w:bCs/>
          <w:lang w:val="fr-FR"/>
        </w:rPr>
        <w:t xml:space="preserve"> </w:t>
      </w:r>
      <w:r>
        <w:rPr>
          <w:bCs/>
          <w:lang w:val="fr-FR"/>
        </w:rPr>
        <w:t>il est possible de demander l’autorisation d’exercer l’un qu</w:t>
      </w:r>
      <w:r w:rsidR="002663E0">
        <w:rPr>
          <w:bCs/>
          <w:lang w:val="fr-FR"/>
        </w:rPr>
        <w:t>elconque des pouvoirs de l’une</w:t>
      </w:r>
      <w:r>
        <w:rPr>
          <w:bCs/>
          <w:lang w:val="fr-FR"/>
        </w:rPr>
        <w:t xml:space="preserve"> ou l’autre catégorie</w:t>
      </w:r>
      <w:r w:rsidR="0088285A">
        <w:rPr>
          <w:bCs/>
          <w:lang w:val="fr-FR"/>
        </w:rPr>
        <w:t xml:space="preserve"> </w:t>
      </w:r>
      <w:r w:rsidR="007649BB">
        <w:rPr>
          <w:bCs/>
          <w:lang w:val="fr-FR"/>
        </w:rPr>
        <w:t>varie selon les circonstances.</w:t>
      </w:r>
    </w:p>
    <w:p w:rsidR="007A04FA" w:rsidRDefault="00CD5962" w:rsidP="005D7B68">
      <w:pPr>
        <w:tabs>
          <w:tab w:val="left" w:pos="567"/>
          <w:tab w:val="left" w:pos="1134"/>
          <w:tab w:val="left" w:pos="1701"/>
          <w:tab w:val="left" w:pos="2268"/>
        </w:tabs>
        <w:rPr>
          <w:bCs/>
          <w:lang w:val="fr-FR"/>
        </w:rPr>
      </w:pPr>
      <w:r>
        <w:rPr>
          <w:bCs/>
          <w:lang w:val="fr-FR"/>
        </w:rPr>
        <w:tab/>
        <w:t>a)</w:t>
      </w:r>
      <w:r>
        <w:rPr>
          <w:bCs/>
          <w:lang w:val="fr-FR"/>
        </w:rPr>
        <w:tab/>
        <w:t>Dans le cas d’une manifestation, l’autorisation s’applique à partir d’un moment opportun précisé par le Directeur général de la police ava</w:t>
      </w:r>
      <w:r w:rsidR="007A04FA">
        <w:rPr>
          <w:bCs/>
          <w:lang w:val="fr-FR"/>
        </w:rPr>
        <w:t>nt le début de la manifestation, pour être automatiquement</w:t>
      </w:r>
      <w:r w:rsidR="00236BE0">
        <w:rPr>
          <w:bCs/>
          <w:lang w:val="fr-FR"/>
        </w:rPr>
        <w:t xml:space="preserve"> </w:t>
      </w:r>
      <w:r w:rsidR="007A04FA">
        <w:rPr>
          <w:bCs/>
          <w:lang w:val="fr-FR"/>
        </w:rPr>
        <w:t xml:space="preserve">levée </w:t>
      </w:r>
      <w:r w:rsidR="003C2A3F">
        <w:rPr>
          <w:bCs/>
          <w:lang w:val="fr-FR"/>
        </w:rPr>
        <w:t>vingt</w:t>
      </w:r>
      <w:r w:rsidR="003C2A3F">
        <w:rPr>
          <w:bCs/>
          <w:lang w:val="fr-FR"/>
        </w:rPr>
        <w:noBreakHyphen/>
        <w:t>quatre</w:t>
      </w:r>
      <w:r w:rsidR="007A04FA">
        <w:rPr>
          <w:bCs/>
          <w:lang w:val="fr-FR"/>
        </w:rPr>
        <w:t xml:space="preserve"> heures après ladite manifestation</w:t>
      </w:r>
      <w:r w:rsidR="00572260">
        <w:rPr>
          <w:bCs/>
          <w:lang w:val="fr-FR"/>
        </w:rPr>
        <w:t>;</w:t>
      </w:r>
    </w:p>
    <w:p w:rsidR="00A458A2" w:rsidRDefault="007A04FA" w:rsidP="005D7B68">
      <w:pPr>
        <w:tabs>
          <w:tab w:val="left" w:pos="567"/>
          <w:tab w:val="left" w:pos="1134"/>
          <w:tab w:val="left" w:pos="1701"/>
          <w:tab w:val="left" w:pos="2268"/>
        </w:tabs>
        <w:rPr>
          <w:bCs/>
          <w:lang w:val="fr-FR"/>
        </w:rPr>
      </w:pPr>
      <w:r>
        <w:rPr>
          <w:bCs/>
          <w:lang w:val="fr-FR"/>
        </w:rPr>
        <w:tab/>
        <w:t>b)</w:t>
      </w:r>
      <w:r>
        <w:rPr>
          <w:bCs/>
          <w:lang w:val="fr-FR"/>
        </w:rPr>
        <w:tab/>
        <w:t>En ce qui concerne les sites relatifs aux transports et autres sites particuliers exposés, d’une manière général, au risque d’un acte de terrorisme, cette autorisation peut être maintenue</w:t>
      </w:r>
      <w:r w:rsidR="00A458A2" w:rsidRPr="007D66FC">
        <w:rPr>
          <w:bCs/>
          <w:lang w:val="fr-FR"/>
        </w:rPr>
        <w:t xml:space="preserve"> </w:t>
      </w:r>
      <w:r w:rsidR="000C4096">
        <w:rPr>
          <w:bCs/>
          <w:lang w:val="fr-FR"/>
        </w:rPr>
        <w:t xml:space="preserve">pendant une période pouvant aller jusqu’à </w:t>
      </w:r>
      <w:r w:rsidR="003C2A3F">
        <w:rPr>
          <w:bCs/>
          <w:lang w:val="fr-FR"/>
        </w:rPr>
        <w:t>douze</w:t>
      </w:r>
      <w:r w:rsidR="000C4096">
        <w:rPr>
          <w:bCs/>
          <w:lang w:val="fr-FR"/>
        </w:rPr>
        <w:t xml:space="preserve"> mois</w:t>
      </w:r>
      <w:r w:rsidR="00572260">
        <w:rPr>
          <w:bCs/>
          <w:lang w:val="fr-FR"/>
        </w:rPr>
        <w:t>;</w:t>
      </w:r>
      <w:r w:rsidR="000C4096">
        <w:rPr>
          <w:bCs/>
          <w:lang w:val="fr-FR"/>
        </w:rPr>
        <w:t xml:space="preserve"> et</w:t>
      </w:r>
    </w:p>
    <w:p w:rsidR="000C4096" w:rsidRDefault="000C4096" w:rsidP="005D7B68">
      <w:pPr>
        <w:tabs>
          <w:tab w:val="left" w:pos="567"/>
          <w:tab w:val="left" w:pos="1134"/>
          <w:tab w:val="left" w:pos="1701"/>
          <w:tab w:val="left" w:pos="2268"/>
        </w:tabs>
        <w:rPr>
          <w:bCs/>
          <w:lang w:val="fr-FR"/>
        </w:rPr>
      </w:pPr>
      <w:r>
        <w:rPr>
          <w:bCs/>
          <w:lang w:val="fr-FR"/>
        </w:rPr>
        <w:tab/>
        <w:t>c)</w:t>
      </w:r>
      <w:r>
        <w:rPr>
          <w:bCs/>
          <w:lang w:val="fr-FR"/>
        </w:rPr>
        <w:tab/>
        <w:t xml:space="preserve">En cas d’acte de terrorisme, la période couverte par l’autorisation d’exercer ces pouvoirs supplémentaires ne peut excéder </w:t>
      </w:r>
      <w:r w:rsidR="003C2A3F">
        <w:rPr>
          <w:bCs/>
          <w:lang w:val="fr-FR"/>
        </w:rPr>
        <w:t>quatorze</w:t>
      </w:r>
      <w:r>
        <w:rPr>
          <w:bCs/>
          <w:lang w:val="fr-FR"/>
        </w:rPr>
        <w:t xml:space="preserve"> jours.</w:t>
      </w:r>
    </w:p>
    <w:p w:rsidR="000C4096" w:rsidRDefault="000C4096" w:rsidP="005D7B68">
      <w:pPr>
        <w:tabs>
          <w:tab w:val="left" w:pos="567"/>
          <w:tab w:val="left" w:pos="1134"/>
          <w:tab w:val="left" w:pos="1701"/>
          <w:tab w:val="left" w:pos="2268"/>
        </w:tabs>
        <w:rPr>
          <w:bCs/>
          <w:lang w:val="fr-FR"/>
        </w:rPr>
      </w:pPr>
      <w:r>
        <w:rPr>
          <w:bCs/>
          <w:lang w:val="fr-FR"/>
        </w:rPr>
        <w:t>26</w:t>
      </w:r>
      <w:r w:rsidR="00E42058">
        <w:rPr>
          <w:bCs/>
          <w:lang w:val="fr-FR"/>
        </w:rPr>
        <w:t>6</w:t>
      </w:r>
      <w:r>
        <w:rPr>
          <w:bCs/>
          <w:lang w:val="fr-FR"/>
        </w:rPr>
        <w:t>.</w:t>
      </w:r>
      <w:r>
        <w:rPr>
          <w:bCs/>
          <w:lang w:val="fr-FR"/>
        </w:rPr>
        <w:tab/>
        <w:t xml:space="preserve">La loi sur les pouvoirs de la police (sécurité publique) </w:t>
      </w:r>
      <w:r w:rsidR="00DC11AC" w:rsidRPr="00DC11AC">
        <w:rPr>
          <w:bCs/>
          <w:lang w:val="fr-FR"/>
        </w:rPr>
        <w:t>cesse d’être applicable</w:t>
      </w:r>
      <w:r>
        <w:rPr>
          <w:bCs/>
          <w:color w:val="0000FF"/>
          <w:lang w:val="fr-FR"/>
        </w:rPr>
        <w:t xml:space="preserve"> </w:t>
      </w:r>
      <w:r>
        <w:rPr>
          <w:bCs/>
          <w:lang w:val="fr-FR"/>
        </w:rPr>
        <w:t>dix ans après son entrée en vigueur.</w:t>
      </w:r>
    </w:p>
    <w:p w:rsidR="000C4096" w:rsidRDefault="000C4096" w:rsidP="005B7D04">
      <w:pPr>
        <w:keepNext/>
        <w:tabs>
          <w:tab w:val="left" w:pos="567"/>
          <w:tab w:val="left" w:pos="1134"/>
          <w:tab w:val="left" w:pos="1701"/>
          <w:tab w:val="left" w:pos="2268"/>
        </w:tabs>
        <w:rPr>
          <w:b/>
          <w:lang w:val="fr-FR"/>
        </w:rPr>
      </w:pPr>
      <w:r>
        <w:rPr>
          <w:b/>
          <w:lang w:val="fr-FR"/>
        </w:rPr>
        <w:t>Territoire de la capitale australienne</w:t>
      </w:r>
    </w:p>
    <w:p w:rsidR="000C4096" w:rsidRDefault="000C4096" w:rsidP="005B7D04">
      <w:pPr>
        <w:keepNext/>
        <w:tabs>
          <w:tab w:val="left" w:pos="567"/>
          <w:tab w:val="left" w:pos="1134"/>
          <w:tab w:val="left" w:pos="1701"/>
          <w:tab w:val="left" w:pos="2268"/>
        </w:tabs>
        <w:rPr>
          <w:bCs/>
          <w:lang w:val="fr-FR"/>
        </w:rPr>
      </w:pPr>
      <w:r>
        <w:rPr>
          <w:bCs/>
          <w:lang w:val="fr-FR"/>
        </w:rPr>
        <w:t>26</w:t>
      </w:r>
      <w:r w:rsidR="00E42058">
        <w:rPr>
          <w:bCs/>
          <w:lang w:val="fr-FR"/>
        </w:rPr>
        <w:t>7</w:t>
      </w:r>
      <w:r>
        <w:rPr>
          <w:bCs/>
          <w:lang w:val="fr-FR"/>
        </w:rPr>
        <w:t>.</w:t>
      </w:r>
      <w:r>
        <w:rPr>
          <w:bCs/>
          <w:lang w:val="fr-FR"/>
        </w:rPr>
        <w:tab/>
        <w:t>Aucune pers</w:t>
      </w:r>
      <w:r w:rsidR="00DD2484">
        <w:rPr>
          <w:bCs/>
          <w:lang w:val="fr-FR"/>
        </w:rPr>
        <w:t>onne n’a été placée en garde à vue par la police du Territoire</w:t>
      </w:r>
      <w:r w:rsidR="00101E41">
        <w:rPr>
          <w:bCs/>
          <w:lang w:val="fr-FR"/>
        </w:rPr>
        <w:t xml:space="preserve"> </w:t>
      </w:r>
      <w:r>
        <w:rPr>
          <w:bCs/>
          <w:lang w:val="fr-FR"/>
        </w:rPr>
        <w:t>au motif qu’elle était soupçonnée d’activités terroristes</w:t>
      </w:r>
      <w:r w:rsidR="008D6B80">
        <w:rPr>
          <w:bCs/>
          <w:lang w:val="fr-FR"/>
        </w:rPr>
        <w:t xml:space="preserve">. </w:t>
      </w:r>
      <w:r w:rsidR="00DD2484">
        <w:rPr>
          <w:bCs/>
          <w:lang w:val="fr-FR"/>
        </w:rPr>
        <w:t>Aucune personne n’a été placée en détention provisoire ni condamnée pour avoir commis un acte de terrorisme dans le Territoire.</w:t>
      </w:r>
    </w:p>
    <w:p w:rsidR="00DD2484" w:rsidRDefault="00DD2484" w:rsidP="005D7B68">
      <w:pPr>
        <w:tabs>
          <w:tab w:val="left" w:pos="567"/>
          <w:tab w:val="left" w:pos="1134"/>
          <w:tab w:val="left" w:pos="1701"/>
          <w:tab w:val="left" w:pos="2268"/>
        </w:tabs>
        <w:rPr>
          <w:bCs/>
          <w:lang w:val="fr-FR"/>
        </w:rPr>
      </w:pPr>
      <w:r>
        <w:rPr>
          <w:bCs/>
          <w:lang w:val="fr-FR"/>
        </w:rPr>
        <w:t>26</w:t>
      </w:r>
      <w:r w:rsidR="00E42058">
        <w:rPr>
          <w:bCs/>
          <w:lang w:val="fr-FR"/>
        </w:rPr>
        <w:t>8</w:t>
      </w:r>
      <w:r>
        <w:rPr>
          <w:bCs/>
          <w:lang w:val="fr-FR"/>
        </w:rPr>
        <w:t>.</w:t>
      </w:r>
      <w:r>
        <w:rPr>
          <w:bCs/>
          <w:lang w:val="fr-FR"/>
        </w:rPr>
        <w:tab/>
        <w:t>En vertu de la législation du Territ</w:t>
      </w:r>
      <w:r w:rsidR="007649BB">
        <w:rPr>
          <w:bCs/>
          <w:lang w:val="fr-FR"/>
        </w:rPr>
        <w:t>oire de la capitale fédérale</w:t>
      </w:r>
      <w:r>
        <w:rPr>
          <w:bCs/>
          <w:lang w:val="fr-FR"/>
        </w:rPr>
        <w:t>, les personnes soupçonnées d’infractions liées au terrorisme peuvent faire l’objet d’une enquête, être arrêtées et être traitées conformément aux dispositions législatives normale</w:t>
      </w:r>
      <w:r w:rsidR="00141ABC">
        <w:rPr>
          <w:bCs/>
          <w:lang w:val="fr-FR"/>
        </w:rPr>
        <w:t>s</w:t>
      </w:r>
      <w:r>
        <w:rPr>
          <w:bCs/>
          <w:lang w:val="fr-FR"/>
        </w:rPr>
        <w:t xml:space="preserve"> relatives à l’application de la loi</w:t>
      </w:r>
      <w:r w:rsidR="008D6B80">
        <w:rPr>
          <w:bCs/>
          <w:lang w:val="fr-FR"/>
        </w:rPr>
        <w:t xml:space="preserve">. </w:t>
      </w:r>
      <w:r>
        <w:rPr>
          <w:bCs/>
          <w:lang w:val="fr-FR"/>
        </w:rPr>
        <w:t>Le seul texte législatif pouv</w:t>
      </w:r>
      <w:r w:rsidR="00D12954">
        <w:rPr>
          <w:bCs/>
          <w:lang w:val="fr-FR"/>
        </w:rPr>
        <w:t xml:space="preserve">ant être qualifié de </w:t>
      </w:r>
      <w:r w:rsidR="00A619D6">
        <w:rPr>
          <w:bCs/>
          <w:lang w:val="fr-FR"/>
        </w:rPr>
        <w:t>«</w:t>
      </w:r>
      <w:r w:rsidR="00D12954">
        <w:rPr>
          <w:bCs/>
          <w:lang w:val="fr-FR"/>
        </w:rPr>
        <w:t>loi anti</w:t>
      </w:r>
      <w:r>
        <w:rPr>
          <w:bCs/>
          <w:lang w:val="fr-FR"/>
        </w:rPr>
        <w:t>terrorisme</w:t>
      </w:r>
      <w:r w:rsidR="00A619D6">
        <w:rPr>
          <w:bCs/>
          <w:lang w:val="fr-FR"/>
        </w:rPr>
        <w:t>»</w:t>
      </w:r>
      <w:r>
        <w:rPr>
          <w:bCs/>
          <w:lang w:val="fr-FR"/>
        </w:rPr>
        <w:t xml:space="preserve"> serait la</w:t>
      </w:r>
      <w:r>
        <w:rPr>
          <w:bCs/>
          <w:i/>
          <w:iCs/>
          <w:lang w:val="fr-FR"/>
        </w:rPr>
        <w:t xml:space="preserve"> </w:t>
      </w:r>
      <w:r w:rsidRPr="007649BB">
        <w:rPr>
          <w:bCs/>
          <w:lang w:val="fr-FR"/>
        </w:rPr>
        <w:t>loi de 2006 sur le terrorisme (</w:t>
      </w:r>
      <w:r w:rsidR="006C02C3" w:rsidRPr="007649BB">
        <w:rPr>
          <w:bCs/>
          <w:lang w:val="fr-FR"/>
        </w:rPr>
        <w:t>pouvoirs exceptionnels temporaires)</w:t>
      </w:r>
      <w:r w:rsidR="006C02C3">
        <w:rPr>
          <w:bCs/>
          <w:lang w:val="fr-FR"/>
        </w:rPr>
        <w:t>, qui habilite la police à solliciter des ordonnances de placement en détention préventive,</w:t>
      </w:r>
      <w:r w:rsidR="008E4293">
        <w:rPr>
          <w:bCs/>
          <w:lang w:val="fr-FR"/>
        </w:rPr>
        <w:t xml:space="preserve"> et des pouvoirs d’enquête de flagrance</w:t>
      </w:r>
      <w:r w:rsidR="006C02C3">
        <w:rPr>
          <w:bCs/>
          <w:lang w:val="fr-FR"/>
        </w:rPr>
        <w:t>.</w:t>
      </w:r>
    </w:p>
    <w:p w:rsidR="006C02C3" w:rsidRDefault="006C02C3" w:rsidP="005D7B68">
      <w:pPr>
        <w:tabs>
          <w:tab w:val="left" w:pos="567"/>
          <w:tab w:val="left" w:pos="1134"/>
          <w:tab w:val="left" w:pos="1701"/>
          <w:tab w:val="left" w:pos="2268"/>
        </w:tabs>
        <w:rPr>
          <w:bCs/>
          <w:lang w:val="fr-FR"/>
        </w:rPr>
      </w:pPr>
      <w:r>
        <w:rPr>
          <w:bCs/>
          <w:lang w:val="fr-FR"/>
        </w:rPr>
        <w:t>26</w:t>
      </w:r>
      <w:r w:rsidR="00E42058">
        <w:rPr>
          <w:bCs/>
          <w:lang w:val="fr-FR"/>
        </w:rPr>
        <w:t>9</w:t>
      </w:r>
      <w:r>
        <w:rPr>
          <w:bCs/>
          <w:lang w:val="fr-FR"/>
        </w:rPr>
        <w:t>.</w:t>
      </w:r>
      <w:r>
        <w:rPr>
          <w:bCs/>
          <w:lang w:val="fr-FR"/>
        </w:rPr>
        <w:tab/>
        <w:t xml:space="preserve">L’article 18 de la loi sur le terrorisme (pouvoirs exceptionnels temporaires) permet à un tribunal d’ordonner le placement en détention préventive d’une personne dont il a de bonnes raisons de penser qu’elle a l’intention ou la capacité de commettre un attentat terroriste, qu’il est nécessaire de placer cette personne en détention pour éviter cela, et qu’il est prévu que cet attentat est imminent et, en tout état de cause, aura lieu dans les </w:t>
      </w:r>
      <w:r w:rsidR="003C2A3F">
        <w:rPr>
          <w:bCs/>
          <w:lang w:val="fr-FR"/>
        </w:rPr>
        <w:t>quatorze</w:t>
      </w:r>
      <w:r>
        <w:rPr>
          <w:bCs/>
          <w:lang w:val="fr-FR"/>
        </w:rPr>
        <w:t xml:space="preserve"> jours qui suivent.</w:t>
      </w:r>
    </w:p>
    <w:p w:rsidR="00EA087D" w:rsidRDefault="006C02C3" w:rsidP="005D7B68">
      <w:pPr>
        <w:tabs>
          <w:tab w:val="left" w:pos="567"/>
          <w:tab w:val="left" w:pos="1134"/>
          <w:tab w:val="left" w:pos="1701"/>
          <w:tab w:val="left" w:pos="2268"/>
        </w:tabs>
        <w:rPr>
          <w:bCs/>
          <w:lang w:val="fr-FR"/>
        </w:rPr>
      </w:pPr>
      <w:r>
        <w:rPr>
          <w:bCs/>
          <w:lang w:val="fr-FR"/>
        </w:rPr>
        <w:t>2</w:t>
      </w:r>
      <w:r w:rsidR="00E42058">
        <w:rPr>
          <w:bCs/>
          <w:lang w:val="fr-FR"/>
        </w:rPr>
        <w:t>70</w:t>
      </w:r>
      <w:r>
        <w:rPr>
          <w:bCs/>
          <w:lang w:val="fr-FR"/>
        </w:rPr>
        <w:t>.</w:t>
      </w:r>
      <w:r>
        <w:rPr>
          <w:bCs/>
          <w:lang w:val="fr-FR"/>
        </w:rPr>
        <w:tab/>
      </w:r>
      <w:r w:rsidR="004E422E">
        <w:rPr>
          <w:bCs/>
          <w:lang w:val="fr-FR"/>
        </w:rPr>
        <w:t>Toute personne peut être placée en détention pendan</w:t>
      </w:r>
      <w:r w:rsidR="003C2A3F">
        <w:rPr>
          <w:bCs/>
          <w:lang w:val="fr-FR"/>
        </w:rPr>
        <w:t>t sept jours en exécution d’une </w:t>
      </w:r>
      <w:r w:rsidR="004E422E">
        <w:rPr>
          <w:bCs/>
          <w:lang w:val="fr-FR"/>
        </w:rPr>
        <w:t xml:space="preserve">ordonnance de placement en détention préventive (art. 21). </w:t>
      </w:r>
      <w:r w:rsidR="00BF6EED">
        <w:rPr>
          <w:bCs/>
          <w:lang w:val="fr-FR"/>
        </w:rPr>
        <w:t>Cette ordonnance peut être prorogée, mais il est in</w:t>
      </w:r>
      <w:r w:rsidR="00101E41">
        <w:rPr>
          <w:bCs/>
          <w:lang w:val="fr-FR"/>
        </w:rPr>
        <w:t>terdit de maintenir l’intéressé</w:t>
      </w:r>
      <w:r w:rsidR="00BF6EED">
        <w:rPr>
          <w:bCs/>
          <w:lang w:val="fr-FR"/>
        </w:rPr>
        <w:t xml:space="preserve"> en détention préventive pendant plus de </w:t>
      </w:r>
      <w:r w:rsidR="003C2A3F">
        <w:rPr>
          <w:bCs/>
          <w:lang w:val="fr-FR"/>
        </w:rPr>
        <w:t>quatorze </w:t>
      </w:r>
      <w:r w:rsidR="00BF6EED">
        <w:rPr>
          <w:bCs/>
          <w:lang w:val="fr-FR"/>
        </w:rPr>
        <w:t>jours, ce qui signifie qu’aucune prorogation ni associ</w:t>
      </w:r>
      <w:r w:rsidR="00101E41">
        <w:rPr>
          <w:bCs/>
          <w:lang w:val="fr-FR"/>
        </w:rPr>
        <w:t>ation d’ordonnance</w:t>
      </w:r>
      <w:r w:rsidR="007601E6">
        <w:rPr>
          <w:bCs/>
          <w:lang w:val="fr-FR"/>
        </w:rPr>
        <w:t>s</w:t>
      </w:r>
      <w:r w:rsidR="00101E41">
        <w:rPr>
          <w:bCs/>
          <w:lang w:val="fr-FR"/>
        </w:rPr>
        <w:t xml:space="preserve"> n’autorise son maintien</w:t>
      </w:r>
      <w:r w:rsidR="00BF6EED">
        <w:rPr>
          <w:bCs/>
          <w:lang w:val="fr-FR"/>
        </w:rPr>
        <w:t xml:space="preserve"> en détention préventive pendant plus de</w:t>
      </w:r>
      <w:r w:rsidR="008B2FBC">
        <w:rPr>
          <w:bCs/>
          <w:lang w:val="fr-FR"/>
        </w:rPr>
        <w:t xml:space="preserve"> 14 jours</w:t>
      </w:r>
      <w:r w:rsidR="00BF6EED">
        <w:rPr>
          <w:bCs/>
          <w:lang w:val="fr-FR"/>
        </w:rPr>
        <w:t>, quel que soit</w:t>
      </w:r>
      <w:r w:rsidR="000545E1">
        <w:rPr>
          <w:bCs/>
          <w:lang w:val="fr-FR"/>
        </w:rPr>
        <w:t xml:space="preserve"> le type d’ordonnance délivrée (art. 21 3) et 26 2))</w:t>
      </w:r>
      <w:r w:rsidR="00BF6EED">
        <w:rPr>
          <w:bCs/>
          <w:lang w:val="fr-FR"/>
        </w:rPr>
        <w:t>.</w:t>
      </w:r>
    </w:p>
    <w:p w:rsidR="00EA087D" w:rsidRDefault="00EA087D" w:rsidP="005D7B68">
      <w:pPr>
        <w:tabs>
          <w:tab w:val="left" w:pos="567"/>
          <w:tab w:val="left" w:pos="1134"/>
          <w:tab w:val="left" w:pos="1701"/>
          <w:tab w:val="left" w:pos="2268"/>
        </w:tabs>
        <w:rPr>
          <w:bCs/>
          <w:lang w:val="fr-FR"/>
        </w:rPr>
      </w:pPr>
      <w:r>
        <w:rPr>
          <w:bCs/>
          <w:lang w:val="fr-FR"/>
        </w:rPr>
        <w:t>27</w:t>
      </w:r>
      <w:r w:rsidR="00E42058">
        <w:rPr>
          <w:bCs/>
          <w:lang w:val="fr-FR"/>
        </w:rPr>
        <w:t>1</w:t>
      </w:r>
      <w:r>
        <w:rPr>
          <w:bCs/>
          <w:lang w:val="fr-FR"/>
        </w:rPr>
        <w:t>.</w:t>
      </w:r>
      <w:r>
        <w:rPr>
          <w:bCs/>
          <w:lang w:val="fr-FR"/>
        </w:rPr>
        <w:tab/>
        <w:t>La loi sur le terrorisme (pouvoirs exceptionnels tempora</w:t>
      </w:r>
      <w:r w:rsidR="003C2A3F">
        <w:rPr>
          <w:bCs/>
          <w:lang w:val="fr-FR"/>
        </w:rPr>
        <w:t>ires) comporte les garanties ci</w:t>
      </w:r>
      <w:r w:rsidR="003C2A3F">
        <w:rPr>
          <w:bCs/>
          <w:lang w:val="fr-FR"/>
        </w:rPr>
        <w:noBreakHyphen/>
      </w:r>
      <w:r>
        <w:rPr>
          <w:bCs/>
          <w:lang w:val="fr-FR"/>
        </w:rPr>
        <w:t>après</w:t>
      </w:r>
      <w:r w:rsidR="00572260">
        <w:rPr>
          <w:bCs/>
          <w:lang w:val="fr-FR"/>
        </w:rPr>
        <w:t>:</w:t>
      </w:r>
    </w:p>
    <w:p w:rsidR="001B1FDD" w:rsidRDefault="00EA087D" w:rsidP="005D7B68">
      <w:pPr>
        <w:tabs>
          <w:tab w:val="left" w:pos="567"/>
          <w:tab w:val="left" w:pos="1134"/>
          <w:tab w:val="left" w:pos="1701"/>
          <w:tab w:val="left" w:pos="2268"/>
        </w:tabs>
        <w:rPr>
          <w:bCs/>
          <w:lang w:val="fr-FR"/>
        </w:rPr>
      </w:pPr>
      <w:r>
        <w:rPr>
          <w:bCs/>
          <w:lang w:val="fr-FR"/>
        </w:rPr>
        <w:tab/>
        <w:t>a)</w:t>
      </w:r>
      <w:r w:rsidR="001B1FDD">
        <w:rPr>
          <w:bCs/>
          <w:lang w:val="fr-FR"/>
        </w:rPr>
        <w:tab/>
        <w:t>Les ordonnances de placement en détention préventive ne peuvent s’appliquer ou être destinées à un enfant (art. 11)</w:t>
      </w:r>
      <w:r w:rsidR="00572260">
        <w:rPr>
          <w:bCs/>
          <w:lang w:val="fr-FR"/>
        </w:rPr>
        <w:t>;</w:t>
      </w:r>
    </w:p>
    <w:p w:rsidR="001B1FDD" w:rsidRDefault="001B1FDD" w:rsidP="005D7B68">
      <w:pPr>
        <w:tabs>
          <w:tab w:val="left" w:pos="567"/>
          <w:tab w:val="left" w:pos="1134"/>
          <w:tab w:val="left" w:pos="1701"/>
          <w:tab w:val="left" w:pos="2268"/>
        </w:tabs>
        <w:rPr>
          <w:bCs/>
          <w:lang w:val="fr-FR"/>
        </w:rPr>
      </w:pPr>
      <w:r>
        <w:rPr>
          <w:bCs/>
          <w:lang w:val="fr-FR"/>
        </w:rPr>
        <w:tab/>
        <w:t>b)</w:t>
      </w:r>
      <w:r>
        <w:rPr>
          <w:bCs/>
          <w:lang w:val="fr-FR"/>
        </w:rPr>
        <w:tab/>
        <w:t>Quand la police demande que soit délivrée une ordonnance de placement en détention préventive, une copie de cette demande doit être re</w:t>
      </w:r>
      <w:r w:rsidR="004928F9">
        <w:rPr>
          <w:bCs/>
          <w:lang w:val="fr-FR"/>
        </w:rPr>
        <w:t>mise</w:t>
      </w:r>
      <w:r w:rsidR="003B1825">
        <w:rPr>
          <w:bCs/>
          <w:lang w:val="fr-FR"/>
        </w:rPr>
        <w:t xml:space="preserve"> à</w:t>
      </w:r>
      <w:r w:rsidR="004928F9">
        <w:rPr>
          <w:bCs/>
          <w:lang w:val="fr-FR"/>
        </w:rPr>
        <w:t xml:space="preserve"> l’intéressé</w:t>
      </w:r>
      <w:r>
        <w:rPr>
          <w:bCs/>
          <w:lang w:val="fr-FR"/>
        </w:rPr>
        <w:t xml:space="preserve"> (art. 13 2))</w:t>
      </w:r>
      <w:r w:rsidR="00572260">
        <w:rPr>
          <w:bCs/>
          <w:lang w:val="fr-FR"/>
        </w:rPr>
        <w:t>;</w:t>
      </w:r>
    </w:p>
    <w:p w:rsidR="00C756D2" w:rsidRDefault="001B1FDD" w:rsidP="005D7B68">
      <w:pPr>
        <w:tabs>
          <w:tab w:val="left" w:pos="567"/>
          <w:tab w:val="left" w:pos="1134"/>
          <w:tab w:val="left" w:pos="1701"/>
          <w:tab w:val="left" w:pos="2268"/>
        </w:tabs>
        <w:rPr>
          <w:bCs/>
          <w:lang w:val="fr-FR"/>
        </w:rPr>
      </w:pPr>
      <w:r>
        <w:rPr>
          <w:bCs/>
          <w:lang w:val="fr-FR"/>
        </w:rPr>
        <w:tab/>
        <w:t>c)</w:t>
      </w:r>
      <w:r>
        <w:rPr>
          <w:bCs/>
          <w:lang w:val="fr-FR"/>
        </w:rPr>
        <w:tab/>
        <w:t>Toute personne faisant l’objet d’une ordonnance de placement en détention préventive a le droit d’être représentée par un avocat pendant les poursuites (art. 13 3)</w:t>
      </w:r>
      <w:r w:rsidR="00CF6173">
        <w:rPr>
          <w:bCs/>
          <w:lang w:val="fr-FR"/>
        </w:rPr>
        <w:t xml:space="preserve"> et 4)</w:t>
      </w:r>
      <w:r>
        <w:rPr>
          <w:bCs/>
          <w:lang w:val="fr-FR"/>
        </w:rPr>
        <w:t>) et de contacter un avocat à tout moment pour se préparer à toute procédure au titre de la loi (art. 52)</w:t>
      </w:r>
      <w:r w:rsidR="008D6B80">
        <w:rPr>
          <w:bCs/>
          <w:lang w:val="fr-FR"/>
        </w:rPr>
        <w:t xml:space="preserve">. </w:t>
      </w:r>
      <w:r w:rsidR="00C756D2">
        <w:rPr>
          <w:bCs/>
          <w:lang w:val="fr-FR"/>
        </w:rPr>
        <w:t>Pendant la procédure</w:t>
      </w:r>
      <w:r w:rsidR="00572260">
        <w:rPr>
          <w:bCs/>
          <w:lang w:val="fr-FR"/>
        </w:rPr>
        <w:t xml:space="preserve"> </w:t>
      </w:r>
      <w:r w:rsidR="00C756D2">
        <w:rPr>
          <w:bCs/>
          <w:lang w:val="fr-FR"/>
        </w:rPr>
        <w:t>de demande d’ordonnance de placement en détention préventive,</w:t>
      </w:r>
      <w:r>
        <w:rPr>
          <w:bCs/>
          <w:lang w:val="fr-FR"/>
        </w:rPr>
        <w:t xml:space="preserve"> </w:t>
      </w:r>
      <w:r w:rsidR="00C756D2">
        <w:rPr>
          <w:bCs/>
          <w:lang w:val="fr-FR"/>
        </w:rPr>
        <w:t>l’intéressé ou son avocat a le droit d’appeler des témoins, de les interroger et de procéder à un contre-int</w:t>
      </w:r>
      <w:r w:rsidR="00F92465">
        <w:rPr>
          <w:bCs/>
          <w:lang w:val="fr-FR"/>
        </w:rPr>
        <w:t>errogatoire de ces personnes, ainsi que</w:t>
      </w:r>
      <w:r w:rsidR="0022372B">
        <w:rPr>
          <w:bCs/>
          <w:lang w:val="fr-FR"/>
        </w:rPr>
        <w:t xml:space="preserve"> de présenter des observations;</w:t>
      </w:r>
      <w:r w:rsidR="00C756D2">
        <w:rPr>
          <w:bCs/>
          <w:lang w:val="fr-FR"/>
        </w:rPr>
        <w:t xml:space="preserve"> </w:t>
      </w:r>
    </w:p>
    <w:p w:rsidR="00C756D2" w:rsidRDefault="00C756D2" w:rsidP="005D7B68">
      <w:pPr>
        <w:tabs>
          <w:tab w:val="left" w:pos="567"/>
          <w:tab w:val="left" w:pos="1134"/>
          <w:tab w:val="left" w:pos="1701"/>
          <w:tab w:val="left" w:pos="2268"/>
        </w:tabs>
        <w:rPr>
          <w:bCs/>
          <w:lang w:val="fr-FR"/>
        </w:rPr>
      </w:pPr>
      <w:r>
        <w:rPr>
          <w:bCs/>
          <w:lang w:val="fr-FR"/>
        </w:rPr>
        <w:tab/>
        <w:t>d)</w:t>
      </w:r>
      <w:r>
        <w:rPr>
          <w:bCs/>
          <w:lang w:val="fr-FR"/>
        </w:rPr>
        <w:tab/>
        <w:t xml:space="preserve">Les ordonnances de placement en détention préventive ne peuvent </w:t>
      </w:r>
      <w:r w:rsidR="007649BB">
        <w:rPr>
          <w:bCs/>
          <w:lang w:val="fr-FR"/>
        </w:rPr>
        <w:t>être délivrées que par la Cour s</w:t>
      </w:r>
      <w:r>
        <w:rPr>
          <w:bCs/>
          <w:lang w:val="fr-FR"/>
        </w:rPr>
        <w:t>uprême (car il s’agit d’un tribunal supérieur indépendant)</w:t>
      </w:r>
      <w:r w:rsidR="008D6B80">
        <w:rPr>
          <w:bCs/>
          <w:lang w:val="fr-FR"/>
        </w:rPr>
        <w:t xml:space="preserve">. </w:t>
      </w:r>
      <w:r>
        <w:rPr>
          <w:bCs/>
          <w:lang w:val="fr-FR"/>
        </w:rPr>
        <w:t xml:space="preserve">L’autorisation d’exercer des pouvoirs spéciaux peut être délivrée par le </w:t>
      </w:r>
      <w:r>
        <w:rPr>
          <w:bCs/>
          <w:i/>
          <w:iCs/>
          <w:lang w:val="fr-FR"/>
        </w:rPr>
        <w:t>Magistrate’s Court</w:t>
      </w:r>
      <w:r w:rsidR="007649BB">
        <w:rPr>
          <w:bCs/>
          <w:lang w:val="fr-FR"/>
        </w:rPr>
        <w:t xml:space="preserve"> ou par la Cour s</w:t>
      </w:r>
      <w:r>
        <w:rPr>
          <w:bCs/>
          <w:lang w:val="fr-FR"/>
        </w:rPr>
        <w:t>uprême</w:t>
      </w:r>
      <w:r w:rsidR="00572260">
        <w:rPr>
          <w:bCs/>
          <w:lang w:val="fr-FR"/>
        </w:rPr>
        <w:t>;</w:t>
      </w:r>
    </w:p>
    <w:p w:rsidR="006C02C3" w:rsidRDefault="00C756D2" w:rsidP="005D7B68">
      <w:pPr>
        <w:tabs>
          <w:tab w:val="left" w:pos="567"/>
          <w:tab w:val="left" w:pos="1134"/>
          <w:tab w:val="left" w:pos="1701"/>
          <w:tab w:val="left" w:pos="2268"/>
        </w:tabs>
        <w:rPr>
          <w:bCs/>
          <w:lang w:val="fr-FR"/>
        </w:rPr>
      </w:pPr>
      <w:r>
        <w:rPr>
          <w:bCs/>
          <w:lang w:val="fr-FR"/>
        </w:rPr>
        <w:tab/>
        <w:t>e)</w:t>
      </w:r>
      <w:r>
        <w:rPr>
          <w:bCs/>
          <w:lang w:val="fr-FR"/>
        </w:rPr>
        <w:tab/>
      </w:r>
      <w:r w:rsidR="00B645FD">
        <w:rPr>
          <w:bCs/>
          <w:lang w:val="fr-FR"/>
        </w:rPr>
        <w:t xml:space="preserve">Le </w:t>
      </w:r>
      <w:r w:rsidR="00B645FD" w:rsidRPr="008503E6">
        <w:rPr>
          <w:bCs/>
          <w:i/>
          <w:iCs/>
          <w:lang w:val="fr-FR"/>
        </w:rPr>
        <w:t>Public Interest Monitor</w:t>
      </w:r>
      <w:r w:rsidR="001B1FDD">
        <w:rPr>
          <w:bCs/>
          <w:lang w:val="fr-FR"/>
        </w:rPr>
        <w:t xml:space="preserve"> </w:t>
      </w:r>
      <w:r w:rsidR="007649BB">
        <w:rPr>
          <w:bCs/>
          <w:lang w:val="fr-FR"/>
        </w:rPr>
        <w:t>(Contrôleur de l’intérêt général)</w:t>
      </w:r>
      <w:r w:rsidR="008503E6">
        <w:rPr>
          <w:bCs/>
          <w:lang w:val="fr-FR"/>
        </w:rPr>
        <w:t xml:space="preserve"> </w:t>
      </w:r>
      <w:r w:rsidR="00B645FD">
        <w:rPr>
          <w:bCs/>
          <w:lang w:val="fr-FR"/>
        </w:rPr>
        <w:t>est autorisé à se présenter et à faire des observations pendant la procédure judiciaire si des ordonnances de placement en détent</w:t>
      </w:r>
      <w:r w:rsidR="007649BB">
        <w:rPr>
          <w:bCs/>
          <w:lang w:val="fr-FR"/>
        </w:rPr>
        <w:t>ion préventive sont sollicitées</w:t>
      </w:r>
      <w:r w:rsidR="00572260">
        <w:rPr>
          <w:bCs/>
          <w:lang w:val="fr-FR"/>
        </w:rPr>
        <w:t>;</w:t>
      </w:r>
    </w:p>
    <w:p w:rsidR="00B645FD" w:rsidRDefault="00B645FD" w:rsidP="005D7B68">
      <w:pPr>
        <w:tabs>
          <w:tab w:val="left" w:pos="567"/>
          <w:tab w:val="left" w:pos="1134"/>
          <w:tab w:val="left" w:pos="1701"/>
          <w:tab w:val="left" w:pos="2268"/>
        </w:tabs>
        <w:rPr>
          <w:bCs/>
          <w:lang w:val="fr-FR"/>
        </w:rPr>
      </w:pPr>
      <w:r>
        <w:rPr>
          <w:bCs/>
          <w:lang w:val="fr-FR"/>
        </w:rPr>
        <w:tab/>
        <w:t>f)</w:t>
      </w:r>
      <w:r>
        <w:rPr>
          <w:bCs/>
          <w:lang w:val="fr-FR"/>
        </w:rPr>
        <w:tab/>
        <w:t>Le Commissaire aux droits de l’homme et le Médiateur doivent être informés des placements en détention préventive, et ce dernier peut ent</w:t>
      </w:r>
      <w:r w:rsidR="007649BB">
        <w:rPr>
          <w:bCs/>
          <w:lang w:val="fr-FR"/>
        </w:rPr>
        <w:t>endre les plaintes des détenus</w:t>
      </w:r>
      <w:r w:rsidR="00572260">
        <w:rPr>
          <w:bCs/>
          <w:lang w:val="fr-FR"/>
        </w:rPr>
        <w:t>;</w:t>
      </w:r>
    </w:p>
    <w:p w:rsidR="00B645FD" w:rsidRDefault="00B645FD" w:rsidP="005D7B68">
      <w:pPr>
        <w:tabs>
          <w:tab w:val="left" w:pos="567"/>
          <w:tab w:val="left" w:pos="1134"/>
          <w:tab w:val="left" w:pos="1701"/>
          <w:tab w:val="left" w:pos="2268"/>
        </w:tabs>
        <w:rPr>
          <w:bCs/>
          <w:lang w:val="fr-FR"/>
        </w:rPr>
      </w:pPr>
      <w:r>
        <w:rPr>
          <w:bCs/>
          <w:lang w:val="fr-FR"/>
        </w:rPr>
        <w:tab/>
        <w:t>g)</w:t>
      </w:r>
      <w:r>
        <w:rPr>
          <w:bCs/>
          <w:lang w:val="fr-FR"/>
        </w:rPr>
        <w:tab/>
        <w:t>Les suspects ne sont pas interrogés aux fins de l’enquête pendant leur détention préventive, et ne peuvent être questionnés que sur leur identi</w:t>
      </w:r>
      <w:r w:rsidR="007649BB">
        <w:rPr>
          <w:bCs/>
          <w:lang w:val="fr-FR"/>
        </w:rPr>
        <w:t>té et leur bien-être (art. 58)</w:t>
      </w:r>
      <w:r w:rsidR="00572260">
        <w:rPr>
          <w:bCs/>
          <w:lang w:val="fr-FR"/>
        </w:rPr>
        <w:t>;</w:t>
      </w:r>
    </w:p>
    <w:p w:rsidR="00B645FD" w:rsidRDefault="00B645FD" w:rsidP="005D7B68">
      <w:pPr>
        <w:tabs>
          <w:tab w:val="left" w:pos="567"/>
          <w:tab w:val="left" w:pos="1134"/>
          <w:tab w:val="left" w:pos="1701"/>
          <w:tab w:val="left" w:pos="2268"/>
        </w:tabs>
        <w:rPr>
          <w:bCs/>
          <w:lang w:val="fr-FR"/>
        </w:rPr>
      </w:pPr>
      <w:r>
        <w:rPr>
          <w:bCs/>
          <w:lang w:val="fr-FR"/>
        </w:rPr>
        <w:tab/>
        <w:t>h)</w:t>
      </w:r>
      <w:r>
        <w:rPr>
          <w:bCs/>
          <w:lang w:val="fr-FR"/>
        </w:rPr>
        <w:tab/>
        <w:t>L’article 48 porte création d’une infraction passible d’une peine de deux ans d’emprisonnement ou 200 unités pénales</w:t>
      </w:r>
      <w:r w:rsidR="00167F98">
        <w:rPr>
          <w:bCs/>
          <w:lang w:val="fr-FR"/>
        </w:rPr>
        <w:t xml:space="preserve"> dans le cas où quiconque traite une personne placée en détention pré</w:t>
      </w:r>
      <w:r w:rsidR="007649BB">
        <w:rPr>
          <w:bCs/>
          <w:lang w:val="fr-FR"/>
        </w:rPr>
        <w:t>ventive sans humanité et au mépris de</w:t>
      </w:r>
      <w:r w:rsidR="00167F98">
        <w:rPr>
          <w:bCs/>
          <w:lang w:val="fr-FR"/>
        </w:rPr>
        <w:t xml:space="preserve"> la dignité de la personne humaine, ou soumet quiconque à un traitement cruel, inhumain ou dégradant</w:t>
      </w:r>
      <w:r w:rsidR="00572260">
        <w:rPr>
          <w:bCs/>
          <w:lang w:val="fr-FR"/>
        </w:rPr>
        <w:t>;</w:t>
      </w:r>
    </w:p>
    <w:p w:rsidR="00167F98" w:rsidRDefault="00167F98" w:rsidP="005D7B68">
      <w:pPr>
        <w:tabs>
          <w:tab w:val="left" w:pos="567"/>
          <w:tab w:val="left" w:pos="1134"/>
          <w:tab w:val="left" w:pos="1701"/>
          <w:tab w:val="left" w:pos="2268"/>
        </w:tabs>
        <w:rPr>
          <w:bCs/>
          <w:lang w:val="fr-FR"/>
        </w:rPr>
      </w:pPr>
      <w:r>
        <w:rPr>
          <w:bCs/>
          <w:lang w:val="fr-FR"/>
        </w:rPr>
        <w:tab/>
        <w:t>i)</w:t>
      </w:r>
      <w:r>
        <w:rPr>
          <w:bCs/>
          <w:lang w:val="fr-FR"/>
        </w:rPr>
        <w:tab/>
        <w:t>Conformément aux art</w:t>
      </w:r>
      <w:r w:rsidR="00AE34FE">
        <w:rPr>
          <w:bCs/>
          <w:lang w:val="fr-FR"/>
        </w:rPr>
        <w:t xml:space="preserve">icles 55 et 56, la police n’est </w:t>
      </w:r>
      <w:r>
        <w:rPr>
          <w:bCs/>
          <w:lang w:val="fr-FR"/>
        </w:rPr>
        <w:t>autorisée à surveiller les conversations entre un détenu et son avocat ou des membres de sa famille que dans certaines circonstances</w:t>
      </w:r>
      <w:r w:rsidR="00572260">
        <w:rPr>
          <w:bCs/>
          <w:lang w:val="fr-FR"/>
        </w:rPr>
        <w:t>;</w:t>
      </w:r>
    </w:p>
    <w:p w:rsidR="00167F98" w:rsidRDefault="00167F98" w:rsidP="005D7B68">
      <w:pPr>
        <w:tabs>
          <w:tab w:val="left" w:pos="567"/>
          <w:tab w:val="left" w:pos="1134"/>
          <w:tab w:val="left" w:pos="1701"/>
          <w:tab w:val="left" w:pos="2268"/>
        </w:tabs>
        <w:rPr>
          <w:bCs/>
          <w:lang w:val="fr-FR"/>
        </w:rPr>
      </w:pPr>
      <w:r>
        <w:rPr>
          <w:bCs/>
          <w:lang w:val="fr-FR"/>
        </w:rPr>
        <w:tab/>
        <w:t>j)</w:t>
      </w:r>
      <w:r>
        <w:rPr>
          <w:bCs/>
          <w:lang w:val="fr-FR"/>
        </w:rPr>
        <w:tab/>
        <w:t xml:space="preserve">En vertu de l’article 50, les détenus peuvent contacter un membre de leur famille, la personne avec laquelle ils vivent et un collègue de travail, </w:t>
      </w:r>
      <w:r w:rsidR="008503E6">
        <w:rPr>
          <w:bCs/>
          <w:lang w:val="fr-FR"/>
        </w:rPr>
        <w:t>à raison d’</w:t>
      </w:r>
      <w:r>
        <w:rPr>
          <w:bCs/>
          <w:lang w:val="fr-FR"/>
        </w:rPr>
        <w:t>une fois chacun</w:t>
      </w:r>
      <w:r w:rsidR="008D6B80">
        <w:rPr>
          <w:bCs/>
          <w:lang w:val="fr-FR"/>
        </w:rPr>
        <w:t xml:space="preserve">. </w:t>
      </w:r>
      <w:r w:rsidR="001A4B7C">
        <w:rPr>
          <w:bCs/>
          <w:lang w:val="fr-FR"/>
        </w:rPr>
        <w:t>Ils peuvent</w:t>
      </w:r>
      <w:r>
        <w:rPr>
          <w:bCs/>
          <w:lang w:val="fr-FR"/>
        </w:rPr>
        <w:t xml:space="preserve"> in</w:t>
      </w:r>
      <w:r w:rsidR="001A4B7C">
        <w:rPr>
          <w:bCs/>
          <w:lang w:val="fr-FR"/>
        </w:rPr>
        <w:t>former leur</w:t>
      </w:r>
      <w:r>
        <w:rPr>
          <w:bCs/>
          <w:lang w:val="fr-FR"/>
        </w:rPr>
        <w:t xml:space="preserve"> avocat et le Médiateur fédéral, mais égalemen</w:t>
      </w:r>
      <w:r w:rsidR="001A4B7C">
        <w:rPr>
          <w:bCs/>
          <w:lang w:val="fr-FR"/>
        </w:rPr>
        <w:t>t indiquer aux personnes qu’ils</w:t>
      </w:r>
      <w:r>
        <w:rPr>
          <w:bCs/>
          <w:lang w:val="fr-FR"/>
        </w:rPr>
        <w:t xml:space="preserve"> contacte</w:t>
      </w:r>
      <w:r w:rsidR="001A4B7C">
        <w:rPr>
          <w:bCs/>
          <w:lang w:val="fr-FR"/>
        </w:rPr>
        <w:t>nt qu’ils ont été placés</w:t>
      </w:r>
      <w:r w:rsidR="009A6111">
        <w:rPr>
          <w:bCs/>
          <w:lang w:val="fr-FR"/>
        </w:rPr>
        <w:t xml:space="preserve"> en détention préventive en </w:t>
      </w:r>
      <w:r w:rsidR="009A6111" w:rsidRPr="00396A06">
        <w:rPr>
          <w:bCs/>
          <w:lang w:val="fr-FR"/>
        </w:rPr>
        <w:t xml:space="preserve">exécution </w:t>
      </w:r>
      <w:r w:rsidR="009A6111">
        <w:rPr>
          <w:bCs/>
          <w:lang w:val="fr-FR"/>
        </w:rPr>
        <w:t>d’une ordonnan</w:t>
      </w:r>
      <w:r w:rsidR="001A4B7C">
        <w:rPr>
          <w:bCs/>
          <w:lang w:val="fr-FR"/>
        </w:rPr>
        <w:t>ce délivrée à cet effet, qu’ils sont</w:t>
      </w:r>
      <w:r w:rsidR="009A6111">
        <w:rPr>
          <w:bCs/>
          <w:lang w:val="fr-FR"/>
        </w:rPr>
        <w:t xml:space="preserve"> en sécurité, pe</w:t>
      </w:r>
      <w:r w:rsidR="001A4B7C">
        <w:rPr>
          <w:bCs/>
          <w:lang w:val="fr-FR"/>
        </w:rPr>
        <w:t>ndant combien de temps ils seront</w:t>
      </w:r>
      <w:r w:rsidR="009A6111">
        <w:rPr>
          <w:bCs/>
          <w:lang w:val="fr-FR"/>
        </w:rPr>
        <w:t xml:space="preserve"> d</w:t>
      </w:r>
      <w:r w:rsidR="001A4B7C">
        <w:rPr>
          <w:bCs/>
          <w:lang w:val="fr-FR"/>
        </w:rPr>
        <w:t>étenus</w:t>
      </w:r>
      <w:r w:rsidR="00572260">
        <w:rPr>
          <w:bCs/>
          <w:lang w:val="fr-FR"/>
        </w:rPr>
        <w:t xml:space="preserve"> </w:t>
      </w:r>
      <w:r w:rsidR="00396A06">
        <w:rPr>
          <w:bCs/>
          <w:lang w:val="fr-FR"/>
        </w:rPr>
        <w:t>et, aux membres de leur</w:t>
      </w:r>
      <w:r w:rsidR="009A6111">
        <w:rPr>
          <w:bCs/>
          <w:lang w:val="fr-FR"/>
        </w:rPr>
        <w:t xml:space="preserve"> famille et </w:t>
      </w:r>
      <w:r w:rsidR="00396A06">
        <w:rPr>
          <w:bCs/>
          <w:lang w:val="fr-FR"/>
        </w:rPr>
        <w:t>aux</w:t>
      </w:r>
      <w:r w:rsidR="001A4B7C">
        <w:rPr>
          <w:bCs/>
          <w:lang w:val="fr-FR"/>
        </w:rPr>
        <w:t xml:space="preserve"> personne</w:t>
      </w:r>
      <w:r w:rsidR="00396A06">
        <w:rPr>
          <w:bCs/>
          <w:lang w:val="fr-FR"/>
        </w:rPr>
        <w:t>s avec les</w:t>
      </w:r>
      <w:r w:rsidR="001A4B7C">
        <w:rPr>
          <w:bCs/>
          <w:lang w:val="fr-FR"/>
        </w:rPr>
        <w:t>quelle</w:t>
      </w:r>
      <w:r w:rsidR="00396A06">
        <w:rPr>
          <w:bCs/>
          <w:lang w:val="fr-FR"/>
        </w:rPr>
        <w:t>s</w:t>
      </w:r>
      <w:r w:rsidR="001A4B7C">
        <w:rPr>
          <w:bCs/>
          <w:lang w:val="fr-FR"/>
        </w:rPr>
        <w:t xml:space="preserve"> ils vivent, leur</w:t>
      </w:r>
      <w:r w:rsidR="009A6111">
        <w:rPr>
          <w:bCs/>
          <w:lang w:val="fr-FR"/>
        </w:rPr>
        <w:t xml:space="preserve"> lieu de détention</w:t>
      </w:r>
      <w:r w:rsidR="008D6B80">
        <w:rPr>
          <w:bCs/>
          <w:lang w:val="fr-FR"/>
        </w:rPr>
        <w:t xml:space="preserve">. </w:t>
      </w:r>
      <w:r w:rsidR="009A6111">
        <w:rPr>
          <w:bCs/>
          <w:lang w:val="fr-FR"/>
        </w:rPr>
        <w:t>Si l’ordonnance de placement en détention préventive prévoit la possibilité de contacter d’autres personnes, l’intéressé est libre de le faire</w:t>
      </w:r>
      <w:r w:rsidR="00572260">
        <w:rPr>
          <w:bCs/>
          <w:lang w:val="fr-FR"/>
        </w:rPr>
        <w:t>;</w:t>
      </w:r>
    </w:p>
    <w:p w:rsidR="009A6111" w:rsidRDefault="009A6111" w:rsidP="005D7B68">
      <w:pPr>
        <w:tabs>
          <w:tab w:val="left" w:pos="567"/>
          <w:tab w:val="left" w:pos="1134"/>
          <w:tab w:val="left" w:pos="1701"/>
          <w:tab w:val="left" w:pos="2268"/>
        </w:tabs>
        <w:rPr>
          <w:bCs/>
          <w:lang w:val="fr-FR"/>
        </w:rPr>
      </w:pPr>
      <w:r>
        <w:rPr>
          <w:bCs/>
          <w:lang w:val="fr-FR"/>
        </w:rPr>
        <w:tab/>
        <w:t>k)</w:t>
      </w:r>
      <w:r>
        <w:rPr>
          <w:bCs/>
          <w:lang w:val="fr-FR"/>
        </w:rPr>
        <w:tab/>
        <w:t>L’article 96 prévoit que, dans une procédure visée par cette loi, les éléments de preuve obtenus directement ou indirectement par la</w:t>
      </w:r>
      <w:r w:rsidR="005B32F4">
        <w:rPr>
          <w:bCs/>
          <w:lang w:val="fr-FR"/>
        </w:rPr>
        <w:t xml:space="preserve"> torture ne sont pas recevables</w:t>
      </w:r>
      <w:r>
        <w:rPr>
          <w:bCs/>
          <w:lang w:val="fr-FR"/>
        </w:rPr>
        <w:t>, que</w:t>
      </w:r>
      <w:r w:rsidR="00875EC3">
        <w:rPr>
          <w:bCs/>
          <w:lang w:val="fr-FR"/>
        </w:rPr>
        <w:t>l que soit le lieu où elle</w:t>
      </w:r>
      <w:r>
        <w:rPr>
          <w:bCs/>
          <w:lang w:val="fr-FR"/>
        </w:rPr>
        <w:t xml:space="preserve"> a été appliquée</w:t>
      </w:r>
      <w:r w:rsidR="008D6B80">
        <w:rPr>
          <w:bCs/>
          <w:lang w:val="fr-FR"/>
        </w:rPr>
        <w:t xml:space="preserve">. </w:t>
      </w:r>
      <w:r>
        <w:rPr>
          <w:bCs/>
          <w:lang w:val="fr-FR"/>
        </w:rPr>
        <w:t>Aux fins de cet article, la définition de la tort</w:t>
      </w:r>
      <w:r w:rsidR="001C61C0">
        <w:rPr>
          <w:bCs/>
          <w:lang w:val="fr-FR"/>
        </w:rPr>
        <w:t>ure est celle qui figure dans le</w:t>
      </w:r>
      <w:r>
        <w:rPr>
          <w:bCs/>
          <w:lang w:val="fr-FR"/>
        </w:rPr>
        <w:t xml:space="preserve"> paragraphe 1 de l’article premier de la Convention contre la torture et autres peines et traitements cruels, inhumains ou dégradants</w:t>
      </w:r>
      <w:r w:rsidR="00572260">
        <w:rPr>
          <w:bCs/>
          <w:lang w:val="fr-FR"/>
        </w:rPr>
        <w:t>;</w:t>
      </w:r>
    </w:p>
    <w:p w:rsidR="00BB1D7F" w:rsidRDefault="009A6111" w:rsidP="005D7B68">
      <w:pPr>
        <w:tabs>
          <w:tab w:val="left" w:pos="567"/>
          <w:tab w:val="left" w:pos="1134"/>
          <w:tab w:val="left" w:pos="1701"/>
          <w:tab w:val="left" w:pos="2268"/>
        </w:tabs>
        <w:rPr>
          <w:bCs/>
          <w:lang w:val="fr-FR"/>
        </w:rPr>
      </w:pPr>
      <w:r>
        <w:rPr>
          <w:bCs/>
          <w:lang w:val="fr-FR"/>
        </w:rPr>
        <w:tab/>
        <w:t>l)</w:t>
      </w:r>
      <w:r>
        <w:rPr>
          <w:bCs/>
          <w:lang w:val="fr-FR"/>
        </w:rPr>
        <w:tab/>
        <w:t>En vertu de l’article 93, les fon</w:t>
      </w:r>
      <w:r w:rsidR="00BB1D7F">
        <w:rPr>
          <w:bCs/>
          <w:lang w:val="fr-FR"/>
        </w:rPr>
        <w:t>ctionnaires de police qui exercent les pouvoirs d’interpellation et de fouille au titre de cette loi sont tenus de suivre une formation sur les obligations que leur impose la loi de 2004 du Territoir</w:t>
      </w:r>
      <w:r w:rsidR="007F7AFB">
        <w:rPr>
          <w:bCs/>
          <w:lang w:val="fr-FR"/>
        </w:rPr>
        <w:t>e de la capitale australienne relative aux</w:t>
      </w:r>
      <w:r w:rsidR="00BB1D7F">
        <w:rPr>
          <w:bCs/>
          <w:lang w:val="fr-FR"/>
        </w:rPr>
        <w:t xml:space="preserve"> droits de l’homme.</w:t>
      </w:r>
    </w:p>
    <w:p w:rsidR="00BB1D7F" w:rsidRDefault="00BB1D7F" w:rsidP="005D7B68">
      <w:pPr>
        <w:tabs>
          <w:tab w:val="left" w:pos="567"/>
          <w:tab w:val="left" w:pos="1134"/>
          <w:tab w:val="left" w:pos="1701"/>
          <w:tab w:val="left" w:pos="2268"/>
        </w:tabs>
        <w:rPr>
          <w:b/>
          <w:lang w:val="fr-FR"/>
        </w:rPr>
      </w:pPr>
      <w:r>
        <w:rPr>
          <w:b/>
          <w:lang w:val="fr-FR"/>
        </w:rPr>
        <w:t>Territoire du Nord</w:t>
      </w:r>
    </w:p>
    <w:p w:rsidR="009A6111" w:rsidRDefault="00BB1D7F" w:rsidP="005D7B68">
      <w:pPr>
        <w:tabs>
          <w:tab w:val="left" w:pos="567"/>
          <w:tab w:val="left" w:pos="1134"/>
          <w:tab w:val="left" w:pos="1701"/>
          <w:tab w:val="left" w:pos="2268"/>
        </w:tabs>
        <w:rPr>
          <w:bCs/>
          <w:lang w:val="fr-FR"/>
        </w:rPr>
      </w:pPr>
      <w:r>
        <w:rPr>
          <w:bCs/>
          <w:lang w:val="fr-FR"/>
        </w:rPr>
        <w:t>27</w:t>
      </w:r>
      <w:r w:rsidR="00E42058">
        <w:rPr>
          <w:bCs/>
          <w:lang w:val="fr-FR"/>
        </w:rPr>
        <w:t>2</w:t>
      </w:r>
      <w:r>
        <w:rPr>
          <w:bCs/>
          <w:lang w:val="fr-FR"/>
        </w:rPr>
        <w:t>.</w:t>
      </w:r>
      <w:r>
        <w:rPr>
          <w:bCs/>
          <w:lang w:val="fr-FR"/>
        </w:rPr>
        <w:tab/>
        <w:t xml:space="preserve">Aucune personne n’a été placée en détention préventive au motif qu’elle était soupçonnée d’activités terroristes au titre de la </w:t>
      </w:r>
      <w:r w:rsidRPr="00875EC3">
        <w:rPr>
          <w:bCs/>
          <w:lang w:val="fr-FR"/>
        </w:rPr>
        <w:t>loi sur le terrorisme (pouvoirs exceptionnels)</w:t>
      </w:r>
      <w:r w:rsidR="009A6111">
        <w:rPr>
          <w:bCs/>
          <w:lang w:val="fr-FR"/>
        </w:rPr>
        <w:t xml:space="preserve"> </w:t>
      </w:r>
      <w:r>
        <w:rPr>
          <w:bCs/>
          <w:lang w:val="fr-FR"/>
        </w:rPr>
        <w:t>(Territoire du Nord) ou des dispositions relatives au terrorisme du Code pénal (art. 50</w:t>
      </w:r>
      <w:r w:rsidR="0022372B">
        <w:rPr>
          <w:bCs/>
          <w:lang w:val="fr-FR"/>
        </w:rPr>
        <w:t xml:space="preserve"> à </w:t>
      </w:r>
      <w:r>
        <w:rPr>
          <w:bCs/>
          <w:lang w:val="fr-FR"/>
        </w:rPr>
        <w:t>55).</w:t>
      </w:r>
    </w:p>
    <w:p w:rsidR="00BB1D7F" w:rsidRDefault="00BB1D7F" w:rsidP="00D63A87">
      <w:pPr>
        <w:keepNext/>
        <w:tabs>
          <w:tab w:val="left" w:pos="567"/>
          <w:tab w:val="left" w:pos="1134"/>
          <w:tab w:val="left" w:pos="1701"/>
          <w:tab w:val="left" w:pos="2268"/>
        </w:tabs>
        <w:rPr>
          <w:bCs/>
          <w:lang w:val="fr-FR"/>
        </w:rPr>
      </w:pPr>
      <w:r>
        <w:rPr>
          <w:bCs/>
          <w:lang w:val="fr-FR"/>
        </w:rPr>
        <w:t>27</w:t>
      </w:r>
      <w:r w:rsidR="00E42058">
        <w:rPr>
          <w:bCs/>
          <w:lang w:val="fr-FR"/>
        </w:rPr>
        <w:t>3</w:t>
      </w:r>
      <w:r>
        <w:rPr>
          <w:bCs/>
          <w:lang w:val="fr-FR"/>
        </w:rPr>
        <w:t>.</w:t>
      </w:r>
      <w:r>
        <w:rPr>
          <w:bCs/>
          <w:lang w:val="fr-FR"/>
        </w:rPr>
        <w:tab/>
        <w:t>La division 5 de la loi sur le terrorisme (pouvoirs exceptionnels) impose de traiter les détenus avec humanité, notamment l’article 21 ZG, qui dispose qu’une personne placée en détention préventive</w:t>
      </w:r>
      <w:r w:rsidR="00D63A87">
        <w:rPr>
          <w:bCs/>
          <w:lang w:val="fr-FR"/>
        </w:rPr>
        <w:t>:</w:t>
      </w:r>
    </w:p>
    <w:p w:rsidR="00BB1D7F" w:rsidRDefault="00875EC3" w:rsidP="00D63A87">
      <w:pPr>
        <w:keepNext/>
        <w:tabs>
          <w:tab w:val="left" w:pos="567"/>
          <w:tab w:val="left" w:pos="1134"/>
          <w:tab w:val="left" w:pos="1701"/>
          <w:tab w:val="left" w:pos="2268"/>
        </w:tabs>
        <w:rPr>
          <w:bCs/>
          <w:lang w:val="fr-FR"/>
        </w:rPr>
      </w:pPr>
      <w:r>
        <w:rPr>
          <w:bCs/>
          <w:lang w:val="fr-FR"/>
        </w:rPr>
        <w:tab/>
        <w:t>a)</w:t>
      </w:r>
      <w:r>
        <w:rPr>
          <w:bCs/>
          <w:lang w:val="fr-FR"/>
        </w:rPr>
        <w:tab/>
        <w:t>D</w:t>
      </w:r>
      <w:r w:rsidR="00BB1D7F">
        <w:rPr>
          <w:bCs/>
          <w:lang w:val="fr-FR"/>
        </w:rPr>
        <w:t>oit être traitée avec humanité dans le respect de la dignité humaine, et</w:t>
      </w:r>
    </w:p>
    <w:p w:rsidR="001F2E31" w:rsidRDefault="00875EC3" w:rsidP="005D7B68">
      <w:pPr>
        <w:tabs>
          <w:tab w:val="left" w:pos="567"/>
          <w:tab w:val="left" w:pos="1134"/>
          <w:tab w:val="left" w:pos="1701"/>
          <w:tab w:val="left" w:pos="2268"/>
        </w:tabs>
        <w:rPr>
          <w:bCs/>
          <w:lang w:val="fr-FR"/>
        </w:rPr>
      </w:pPr>
      <w:r>
        <w:rPr>
          <w:bCs/>
          <w:lang w:val="fr-FR"/>
        </w:rPr>
        <w:tab/>
        <w:t>b)</w:t>
      </w:r>
      <w:r>
        <w:rPr>
          <w:bCs/>
          <w:lang w:val="fr-FR"/>
        </w:rPr>
        <w:tab/>
        <w:t>N</w:t>
      </w:r>
      <w:r w:rsidR="00BB1D7F">
        <w:rPr>
          <w:bCs/>
          <w:lang w:val="fr-FR"/>
        </w:rPr>
        <w:t>e doit pas être soumise à un traitement cruel, inhumain ou dégradant</w:t>
      </w:r>
      <w:r w:rsidR="00062BA7">
        <w:rPr>
          <w:bCs/>
          <w:lang w:val="fr-FR"/>
        </w:rPr>
        <w:t xml:space="preserve"> de la part de</w:t>
      </w:r>
      <w:r w:rsidR="00B9445B">
        <w:rPr>
          <w:bCs/>
          <w:lang w:val="fr-FR"/>
        </w:rPr>
        <w:t xml:space="preserve"> quiconque exerce une autorité au titre de l’ordonnance, met cette dernière en œuvre ou l’exécute</w:t>
      </w:r>
      <w:r w:rsidR="008D6B80">
        <w:rPr>
          <w:bCs/>
          <w:lang w:val="fr-FR"/>
        </w:rPr>
        <w:t xml:space="preserve">. </w:t>
      </w:r>
      <w:r w:rsidR="00062BA7">
        <w:rPr>
          <w:bCs/>
          <w:lang w:val="fr-FR"/>
        </w:rPr>
        <w:t>Toute infraction à cette disposition est passible d’une peine de deux ans d’emprisonnement.</w:t>
      </w:r>
    </w:p>
    <w:p w:rsidR="00EA7492" w:rsidRDefault="001F2E31" w:rsidP="005D7B68">
      <w:pPr>
        <w:tabs>
          <w:tab w:val="left" w:pos="567"/>
          <w:tab w:val="left" w:pos="1134"/>
          <w:tab w:val="left" w:pos="1701"/>
          <w:tab w:val="left" w:pos="2268"/>
        </w:tabs>
        <w:rPr>
          <w:bCs/>
          <w:lang w:val="fr-FR"/>
        </w:rPr>
      </w:pPr>
      <w:r>
        <w:rPr>
          <w:bCs/>
          <w:lang w:val="fr-FR"/>
        </w:rPr>
        <w:t>27</w:t>
      </w:r>
      <w:r w:rsidR="00E42058">
        <w:rPr>
          <w:bCs/>
          <w:lang w:val="fr-FR"/>
        </w:rPr>
        <w:t>4</w:t>
      </w:r>
      <w:r>
        <w:rPr>
          <w:bCs/>
          <w:lang w:val="fr-FR"/>
        </w:rPr>
        <w:t>.</w:t>
      </w:r>
      <w:r>
        <w:rPr>
          <w:bCs/>
          <w:lang w:val="fr-FR"/>
        </w:rPr>
        <w:tab/>
        <w:t xml:space="preserve">Pour </w:t>
      </w:r>
      <w:r w:rsidR="00875EC3">
        <w:rPr>
          <w:bCs/>
          <w:lang w:val="fr-FR"/>
        </w:rPr>
        <w:t>ce qui nous préoccupe, le titre</w:t>
      </w:r>
      <w:r>
        <w:rPr>
          <w:bCs/>
          <w:lang w:val="fr-FR"/>
        </w:rPr>
        <w:t xml:space="preserve"> 2B de la loi sur le terrorisme (pouvoirs exceptionnels) – ordonnances de placement en détention préventive </w:t>
      </w:r>
      <w:r w:rsidR="00EA7492">
        <w:rPr>
          <w:bCs/>
          <w:lang w:val="fr-FR"/>
        </w:rPr>
        <w:t>–</w:t>
      </w:r>
      <w:r>
        <w:rPr>
          <w:bCs/>
          <w:lang w:val="fr-FR"/>
        </w:rPr>
        <w:t xml:space="preserve"> </w:t>
      </w:r>
      <w:r w:rsidR="00EA7492">
        <w:rPr>
          <w:bCs/>
          <w:lang w:val="fr-FR"/>
        </w:rPr>
        <w:t>présente le plus grand intérêt</w:t>
      </w:r>
      <w:r w:rsidR="008D6B80">
        <w:rPr>
          <w:bCs/>
          <w:lang w:val="fr-FR"/>
        </w:rPr>
        <w:t xml:space="preserve">. </w:t>
      </w:r>
      <w:r w:rsidR="00EA7492">
        <w:rPr>
          <w:bCs/>
          <w:lang w:val="fr-FR"/>
        </w:rPr>
        <w:t>Cette partie</w:t>
      </w:r>
      <w:r w:rsidR="0054094F">
        <w:rPr>
          <w:bCs/>
          <w:lang w:val="fr-FR"/>
        </w:rPr>
        <w:t>,</w:t>
      </w:r>
      <w:r w:rsidR="00EA7492">
        <w:rPr>
          <w:bCs/>
          <w:lang w:val="fr-FR"/>
        </w:rPr>
        <w:t xml:space="preserve"> </w:t>
      </w:r>
      <w:r w:rsidR="0054094F">
        <w:rPr>
          <w:bCs/>
          <w:lang w:val="fr-FR"/>
        </w:rPr>
        <w:t xml:space="preserve">qui </w:t>
      </w:r>
      <w:r w:rsidR="00EA7492">
        <w:rPr>
          <w:bCs/>
          <w:lang w:val="fr-FR"/>
        </w:rPr>
        <w:t>a été intégrée à la loi et est entrée en vigueur le 28 juin 2006 dan</w:t>
      </w:r>
      <w:r w:rsidR="0054094F">
        <w:rPr>
          <w:bCs/>
          <w:lang w:val="fr-FR"/>
        </w:rPr>
        <w:t>s le cadre d’un plan national,</w:t>
      </w:r>
      <w:r w:rsidR="00EA7492">
        <w:rPr>
          <w:bCs/>
          <w:lang w:val="fr-FR"/>
        </w:rPr>
        <w:t xml:space="preserve"> dispose qu’une personne doit être placée et maintenue en détention pendant un bref laps de temps aux fins ci-après</w:t>
      </w:r>
      <w:r w:rsidR="00572260">
        <w:rPr>
          <w:bCs/>
          <w:lang w:val="fr-FR"/>
        </w:rPr>
        <w:t>:</w:t>
      </w:r>
    </w:p>
    <w:p w:rsidR="00EA7492" w:rsidRDefault="00875EC3" w:rsidP="005D7B68">
      <w:pPr>
        <w:tabs>
          <w:tab w:val="left" w:pos="567"/>
          <w:tab w:val="left" w:pos="1134"/>
          <w:tab w:val="left" w:pos="1701"/>
          <w:tab w:val="left" w:pos="2268"/>
        </w:tabs>
        <w:rPr>
          <w:bCs/>
          <w:lang w:val="fr-FR"/>
        </w:rPr>
      </w:pPr>
      <w:r>
        <w:rPr>
          <w:bCs/>
          <w:lang w:val="fr-FR"/>
        </w:rPr>
        <w:tab/>
        <w:t>a)</w:t>
      </w:r>
      <w:r>
        <w:rPr>
          <w:bCs/>
          <w:lang w:val="fr-FR"/>
        </w:rPr>
        <w:tab/>
        <w:t>E</w:t>
      </w:r>
      <w:r w:rsidR="00EA7492">
        <w:rPr>
          <w:bCs/>
          <w:lang w:val="fr-FR"/>
        </w:rPr>
        <w:t>mpêcher un attentat terroriste de se produire dans un futur proche, ou</w:t>
      </w:r>
    </w:p>
    <w:p w:rsidR="00EA7492" w:rsidRDefault="00875EC3" w:rsidP="005D7B68">
      <w:pPr>
        <w:tabs>
          <w:tab w:val="left" w:pos="567"/>
          <w:tab w:val="left" w:pos="1134"/>
          <w:tab w:val="left" w:pos="1701"/>
          <w:tab w:val="left" w:pos="2268"/>
        </w:tabs>
        <w:rPr>
          <w:bCs/>
          <w:lang w:val="fr-FR"/>
        </w:rPr>
      </w:pPr>
      <w:r>
        <w:rPr>
          <w:bCs/>
          <w:lang w:val="fr-FR"/>
        </w:rPr>
        <w:tab/>
        <w:t>b)</w:t>
      </w:r>
      <w:r>
        <w:rPr>
          <w:bCs/>
          <w:lang w:val="fr-FR"/>
        </w:rPr>
        <w:tab/>
        <w:t xml:space="preserve"> P</w:t>
      </w:r>
      <w:r w:rsidR="00EA7492">
        <w:rPr>
          <w:bCs/>
          <w:lang w:val="fr-FR"/>
        </w:rPr>
        <w:t>réserver des éléments de preuve relatifs à un attentat terroriste ou en rapport avec lui.</w:t>
      </w:r>
    </w:p>
    <w:p w:rsidR="00EA7492" w:rsidRDefault="00EA7492" w:rsidP="005D7B68">
      <w:pPr>
        <w:tabs>
          <w:tab w:val="left" w:pos="567"/>
          <w:tab w:val="left" w:pos="1134"/>
          <w:tab w:val="left" w:pos="1701"/>
          <w:tab w:val="left" w:pos="2268"/>
        </w:tabs>
        <w:rPr>
          <w:bCs/>
          <w:lang w:val="fr-FR"/>
        </w:rPr>
      </w:pPr>
      <w:r>
        <w:rPr>
          <w:bCs/>
          <w:lang w:val="fr-FR"/>
        </w:rPr>
        <w:t>27</w:t>
      </w:r>
      <w:r w:rsidR="00E42058">
        <w:rPr>
          <w:bCs/>
          <w:lang w:val="fr-FR"/>
        </w:rPr>
        <w:t>5</w:t>
      </w:r>
      <w:r>
        <w:rPr>
          <w:bCs/>
          <w:lang w:val="fr-FR"/>
        </w:rPr>
        <w:t>.</w:t>
      </w:r>
      <w:r>
        <w:rPr>
          <w:bCs/>
          <w:lang w:val="fr-FR"/>
        </w:rPr>
        <w:tab/>
        <w:t>En raison de ses implications potentielles en ce qui concerne les droits et libertés des individus, cette loi comporte des garanties, des contrepoids et des équilibres rigoureux pour parer aux ab</w:t>
      </w:r>
      <w:r w:rsidR="00647572">
        <w:rPr>
          <w:bCs/>
          <w:lang w:val="fr-FR"/>
        </w:rPr>
        <w:t>us qui peuvent en être faits</w:t>
      </w:r>
      <w:r w:rsidR="008D6B80">
        <w:rPr>
          <w:bCs/>
          <w:lang w:val="fr-FR"/>
        </w:rPr>
        <w:t xml:space="preserve">. </w:t>
      </w:r>
      <w:r w:rsidR="00647572">
        <w:rPr>
          <w:bCs/>
          <w:lang w:val="fr-FR"/>
        </w:rPr>
        <w:t>En v</w:t>
      </w:r>
      <w:r>
        <w:rPr>
          <w:bCs/>
          <w:lang w:val="fr-FR"/>
        </w:rPr>
        <w:t>oici les principaux</w:t>
      </w:r>
      <w:r w:rsidR="00572260">
        <w:rPr>
          <w:bCs/>
          <w:lang w:val="fr-FR"/>
        </w:rPr>
        <w:t>:</w:t>
      </w:r>
    </w:p>
    <w:p w:rsidR="0024106A" w:rsidRDefault="00EA7492" w:rsidP="005D7B68">
      <w:pPr>
        <w:tabs>
          <w:tab w:val="left" w:pos="567"/>
          <w:tab w:val="left" w:pos="1134"/>
          <w:tab w:val="left" w:pos="1701"/>
          <w:tab w:val="left" w:pos="2268"/>
        </w:tabs>
        <w:rPr>
          <w:bCs/>
          <w:lang w:val="fr-FR"/>
        </w:rPr>
      </w:pPr>
      <w:r>
        <w:rPr>
          <w:bCs/>
          <w:lang w:val="fr-FR"/>
        </w:rPr>
        <w:tab/>
        <w:t>a)</w:t>
      </w:r>
      <w:r>
        <w:rPr>
          <w:bCs/>
          <w:lang w:val="fr-FR"/>
        </w:rPr>
        <w:tab/>
        <w:t>Les ordonnances de placement en détention préventive ne peuvent être délivrées que par</w:t>
      </w:r>
      <w:r w:rsidR="0024106A">
        <w:rPr>
          <w:bCs/>
          <w:lang w:val="fr-FR"/>
        </w:rPr>
        <w:t xml:space="preserve"> un juge habilité dans des circonstances et pour des motifs strictement limités (art. 21G), et seulement à la demande d’un fonctionnaire de police d’un grade ég</w:t>
      </w:r>
      <w:r w:rsidR="001F0613">
        <w:rPr>
          <w:bCs/>
          <w:lang w:val="fr-FR"/>
        </w:rPr>
        <w:t>al ou supérieur à commissaire</w:t>
      </w:r>
      <w:r w:rsidR="00E60938">
        <w:rPr>
          <w:bCs/>
          <w:lang w:val="fr-FR"/>
        </w:rPr>
        <w:t>,</w:t>
      </w:r>
      <w:r w:rsidR="0024106A">
        <w:rPr>
          <w:bCs/>
          <w:lang w:val="fr-FR"/>
        </w:rPr>
        <w:t xml:space="preserve"> lui-même habilité à effectuer</w:t>
      </w:r>
      <w:r w:rsidR="0022372B">
        <w:rPr>
          <w:bCs/>
          <w:lang w:val="fr-FR"/>
        </w:rPr>
        <w:t xml:space="preserve"> cette démarche (art. 21D, 21E);</w:t>
      </w:r>
    </w:p>
    <w:p w:rsidR="0024106A" w:rsidRDefault="0024106A" w:rsidP="005D7B68">
      <w:pPr>
        <w:tabs>
          <w:tab w:val="left" w:pos="567"/>
          <w:tab w:val="left" w:pos="1134"/>
          <w:tab w:val="left" w:pos="1701"/>
          <w:tab w:val="left" w:pos="2268"/>
        </w:tabs>
        <w:rPr>
          <w:bCs/>
          <w:lang w:val="fr-FR"/>
        </w:rPr>
      </w:pPr>
      <w:r>
        <w:rPr>
          <w:bCs/>
          <w:lang w:val="fr-FR"/>
        </w:rPr>
        <w:tab/>
        <w:t>b)</w:t>
      </w:r>
      <w:r>
        <w:rPr>
          <w:bCs/>
          <w:lang w:val="fr-FR"/>
        </w:rPr>
        <w:tab/>
        <w:t xml:space="preserve">Une ordonnance de placement en détention préventive doit préciser le </w:t>
      </w:r>
      <w:r w:rsidR="00875EC3">
        <w:rPr>
          <w:bCs/>
          <w:lang w:val="fr-FR"/>
        </w:rPr>
        <w:t>temps de détention (art. 21H) qui</w:t>
      </w:r>
      <w:r>
        <w:rPr>
          <w:bCs/>
          <w:lang w:val="fr-FR"/>
        </w:rPr>
        <w:t>, en tou</w:t>
      </w:r>
      <w:r w:rsidR="00875EC3">
        <w:rPr>
          <w:bCs/>
          <w:lang w:val="fr-FR"/>
        </w:rPr>
        <w:t>t état de cause,</w:t>
      </w:r>
      <w:r>
        <w:rPr>
          <w:bCs/>
          <w:lang w:val="fr-FR"/>
        </w:rPr>
        <w:t xml:space="preserve"> </w:t>
      </w:r>
      <w:r w:rsidR="00875EC3">
        <w:rPr>
          <w:bCs/>
          <w:lang w:val="fr-FR"/>
        </w:rPr>
        <w:t xml:space="preserve">ne </w:t>
      </w:r>
      <w:r>
        <w:rPr>
          <w:bCs/>
          <w:lang w:val="fr-FR"/>
        </w:rPr>
        <w:t>doit</w:t>
      </w:r>
      <w:r w:rsidR="00875EC3">
        <w:rPr>
          <w:bCs/>
          <w:lang w:val="fr-FR"/>
        </w:rPr>
        <w:t xml:space="preserve"> pas</w:t>
      </w:r>
      <w:r>
        <w:rPr>
          <w:bCs/>
          <w:lang w:val="fr-FR"/>
        </w:rPr>
        <w:t xml:space="preserve"> e</w:t>
      </w:r>
      <w:r w:rsidR="0022372B">
        <w:rPr>
          <w:bCs/>
          <w:lang w:val="fr-FR"/>
        </w:rPr>
        <w:t>xcéder 14 jours (art. 21K, 21N);</w:t>
      </w:r>
    </w:p>
    <w:p w:rsidR="00C65DC5" w:rsidRPr="008E4293" w:rsidRDefault="0024106A" w:rsidP="005D7B68">
      <w:pPr>
        <w:tabs>
          <w:tab w:val="left" w:pos="567"/>
          <w:tab w:val="left" w:pos="1134"/>
          <w:tab w:val="left" w:pos="1701"/>
          <w:tab w:val="left" w:pos="2268"/>
        </w:tabs>
        <w:rPr>
          <w:bCs/>
          <w:lang w:val="fr-FR"/>
        </w:rPr>
      </w:pPr>
      <w:r>
        <w:rPr>
          <w:bCs/>
          <w:lang w:val="fr-FR"/>
        </w:rPr>
        <w:tab/>
        <w:t>c)</w:t>
      </w:r>
      <w:r>
        <w:rPr>
          <w:bCs/>
          <w:lang w:val="fr-FR"/>
        </w:rPr>
        <w:tab/>
        <w:t>Dès que possible après qu’une personne faisant l’objet d’une ordonnance de place</w:t>
      </w:r>
      <w:r w:rsidR="004D45C2">
        <w:rPr>
          <w:bCs/>
          <w:lang w:val="fr-FR"/>
        </w:rPr>
        <w:t>ment en détention préventive a été</w:t>
      </w:r>
      <w:r>
        <w:rPr>
          <w:bCs/>
          <w:lang w:val="fr-FR"/>
        </w:rPr>
        <w:t xml:space="preserve"> </w:t>
      </w:r>
      <w:r w:rsidR="00EA0F40">
        <w:rPr>
          <w:bCs/>
          <w:lang w:val="fr-FR"/>
        </w:rPr>
        <w:t>placé</w:t>
      </w:r>
      <w:r w:rsidR="00FD3D29">
        <w:rPr>
          <w:bCs/>
          <w:lang w:val="fr-FR"/>
        </w:rPr>
        <w:t>e</w:t>
      </w:r>
      <w:r>
        <w:rPr>
          <w:bCs/>
          <w:lang w:val="fr-FR"/>
        </w:rPr>
        <w:t xml:space="preserve"> en garde à vue ou en détention, la </w:t>
      </w:r>
      <w:r w:rsidR="00EA0F40">
        <w:rPr>
          <w:bCs/>
          <w:lang w:val="fr-FR"/>
        </w:rPr>
        <w:t>police doit demander à la Cour s</w:t>
      </w:r>
      <w:r>
        <w:rPr>
          <w:bCs/>
          <w:lang w:val="fr-FR"/>
        </w:rPr>
        <w:t>uprême de réexaminer cette ordonnance</w:t>
      </w:r>
      <w:r w:rsidR="008D6B80">
        <w:rPr>
          <w:bCs/>
          <w:lang w:val="fr-FR"/>
        </w:rPr>
        <w:t xml:space="preserve">. </w:t>
      </w:r>
      <w:r w:rsidR="004D45C2">
        <w:rPr>
          <w:bCs/>
          <w:lang w:val="fr-FR"/>
        </w:rPr>
        <w:t>Pour ce faire</w:t>
      </w:r>
      <w:r w:rsidR="008D7847">
        <w:rPr>
          <w:bCs/>
          <w:lang w:val="fr-FR"/>
        </w:rPr>
        <w:t xml:space="preserve">, </w:t>
      </w:r>
      <w:r w:rsidR="00C65DC5">
        <w:rPr>
          <w:bCs/>
          <w:lang w:val="fr-FR"/>
        </w:rPr>
        <w:t>la Cour ne doit pas être constituée par le</w:t>
      </w:r>
      <w:r w:rsidR="00EA0F40">
        <w:rPr>
          <w:bCs/>
          <w:lang w:val="fr-FR"/>
        </w:rPr>
        <w:t xml:space="preserve"> juge qui l’a délivrée</w:t>
      </w:r>
      <w:r w:rsidR="008D6B80">
        <w:rPr>
          <w:bCs/>
          <w:lang w:val="fr-FR"/>
        </w:rPr>
        <w:t xml:space="preserve">. </w:t>
      </w:r>
      <w:r w:rsidR="00C65DC5">
        <w:rPr>
          <w:bCs/>
          <w:lang w:val="fr-FR"/>
        </w:rPr>
        <w:t>Le détenu a le droit</w:t>
      </w:r>
      <w:r w:rsidR="00572260">
        <w:rPr>
          <w:bCs/>
          <w:lang w:val="fr-FR"/>
        </w:rPr>
        <w:t xml:space="preserve"> </w:t>
      </w:r>
      <w:r w:rsidR="00C65DC5">
        <w:rPr>
          <w:bCs/>
          <w:lang w:val="fr-FR"/>
        </w:rPr>
        <w:t>d’être présent pendant la procédure de réexamen, de témoigner, d’appeler, d’interroger les témoins et de les soumettre à un contre-interrogatoire, de produire des documents et de faire des observations (en personne ou par l’intermédiaire</w:t>
      </w:r>
      <w:r w:rsidR="00887BC9">
        <w:rPr>
          <w:bCs/>
          <w:lang w:val="fr-FR"/>
        </w:rPr>
        <w:t xml:space="preserve"> de son avocat</w:t>
      </w:r>
      <w:r w:rsidR="00C65DC5">
        <w:rPr>
          <w:bCs/>
          <w:lang w:val="fr-FR"/>
        </w:rPr>
        <w:t>, ou les deux)</w:t>
      </w:r>
      <w:r w:rsidR="008D6B80">
        <w:rPr>
          <w:bCs/>
          <w:lang w:val="fr-FR"/>
        </w:rPr>
        <w:t xml:space="preserve">. </w:t>
      </w:r>
      <w:r w:rsidR="00C65DC5">
        <w:rPr>
          <w:bCs/>
          <w:lang w:val="fr-FR"/>
        </w:rPr>
        <w:t>La Cour</w:t>
      </w:r>
      <w:r w:rsidR="00606C14">
        <w:rPr>
          <w:bCs/>
          <w:lang w:val="fr-FR"/>
        </w:rPr>
        <w:t xml:space="preserve"> s</w:t>
      </w:r>
      <w:r w:rsidR="00C65DC5">
        <w:rPr>
          <w:bCs/>
          <w:lang w:val="fr-FR"/>
        </w:rPr>
        <w:t xml:space="preserve">uprême peut confirmer, modifier ou </w:t>
      </w:r>
      <w:r w:rsidR="00C65DC5" w:rsidRPr="008E4293">
        <w:rPr>
          <w:bCs/>
          <w:lang w:val="fr-FR"/>
        </w:rPr>
        <w:t>annuler l’ordonn</w:t>
      </w:r>
      <w:r w:rsidR="0022372B">
        <w:rPr>
          <w:bCs/>
          <w:lang w:val="fr-FR"/>
        </w:rPr>
        <w:t>ance (art. 21P);</w:t>
      </w:r>
    </w:p>
    <w:p w:rsidR="005C226E" w:rsidRDefault="00C65DC5" w:rsidP="005D7B68">
      <w:pPr>
        <w:tabs>
          <w:tab w:val="left" w:pos="567"/>
          <w:tab w:val="left" w:pos="1134"/>
          <w:tab w:val="left" w:pos="1701"/>
          <w:tab w:val="left" w:pos="2268"/>
        </w:tabs>
        <w:rPr>
          <w:bCs/>
          <w:lang w:val="fr-FR"/>
        </w:rPr>
      </w:pPr>
      <w:r w:rsidRPr="008E4293">
        <w:rPr>
          <w:bCs/>
          <w:lang w:val="fr-FR"/>
        </w:rPr>
        <w:tab/>
        <w:t>d)</w:t>
      </w:r>
      <w:r w:rsidRPr="008E4293">
        <w:rPr>
          <w:bCs/>
          <w:lang w:val="fr-FR"/>
        </w:rPr>
        <w:tab/>
        <w:t xml:space="preserve">La personne faisant l’objet d’une ordonnance de placement en détention préventive peut également </w:t>
      </w:r>
      <w:r w:rsidR="00606C14" w:rsidRPr="008E4293">
        <w:rPr>
          <w:bCs/>
          <w:lang w:val="fr-FR"/>
        </w:rPr>
        <w:t xml:space="preserve">en solliciter </w:t>
      </w:r>
      <w:r w:rsidRPr="008E4293">
        <w:rPr>
          <w:bCs/>
          <w:lang w:val="fr-FR"/>
        </w:rPr>
        <w:t xml:space="preserve">l’annulation </w:t>
      </w:r>
      <w:r w:rsidR="005C226E" w:rsidRPr="008E4293">
        <w:rPr>
          <w:bCs/>
          <w:lang w:val="fr-FR"/>
        </w:rPr>
        <w:t>ou</w:t>
      </w:r>
      <w:r w:rsidR="005C226E">
        <w:rPr>
          <w:bCs/>
          <w:lang w:val="fr-FR"/>
        </w:rPr>
        <w:t xml:space="preserve"> une modification (art. 21R)</w:t>
      </w:r>
      <w:r w:rsidR="00FD3D29" w:rsidRPr="00FD3D29">
        <w:rPr>
          <w:bCs/>
          <w:lang w:val="fr-FR"/>
        </w:rPr>
        <w:t xml:space="preserve"> </w:t>
      </w:r>
      <w:r w:rsidR="00FD3D29">
        <w:rPr>
          <w:bCs/>
          <w:lang w:val="fr-FR"/>
        </w:rPr>
        <w:t>auprès de la Cour suprême</w:t>
      </w:r>
      <w:r w:rsidR="0022372B">
        <w:rPr>
          <w:bCs/>
          <w:lang w:val="fr-FR"/>
        </w:rPr>
        <w:t>;</w:t>
      </w:r>
    </w:p>
    <w:p w:rsidR="005C226E" w:rsidRDefault="005C226E" w:rsidP="005D7B68">
      <w:pPr>
        <w:tabs>
          <w:tab w:val="left" w:pos="567"/>
          <w:tab w:val="left" w:pos="1134"/>
          <w:tab w:val="left" w:pos="1701"/>
          <w:tab w:val="left" w:pos="2268"/>
        </w:tabs>
        <w:rPr>
          <w:bCs/>
          <w:lang w:val="fr-FR"/>
        </w:rPr>
      </w:pPr>
      <w:r>
        <w:rPr>
          <w:bCs/>
          <w:lang w:val="fr-FR"/>
        </w:rPr>
        <w:tab/>
        <w:t>e)</w:t>
      </w:r>
      <w:r>
        <w:rPr>
          <w:bCs/>
          <w:lang w:val="fr-FR"/>
        </w:rPr>
        <w:tab/>
        <w:t xml:space="preserve">Au terme d’une </w:t>
      </w:r>
      <w:r w:rsidR="002B7A87">
        <w:rPr>
          <w:bCs/>
          <w:lang w:val="fr-FR"/>
        </w:rPr>
        <w:t>pr</w:t>
      </w:r>
      <w:r w:rsidR="00310509">
        <w:rPr>
          <w:bCs/>
          <w:lang w:val="fr-FR"/>
        </w:rPr>
        <w:t>océdure presque identique, une</w:t>
      </w:r>
      <w:r>
        <w:rPr>
          <w:bCs/>
          <w:lang w:val="fr-FR"/>
        </w:rPr>
        <w:t xml:space="preserve"> personne placée en détention préventive en </w:t>
      </w:r>
      <w:r w:rsidRPr="00541472">
        <w:rPr>
          <w:bCs/>
          <w:lang w:val="fr-FR"/>
        </w:rPr>
        <w:t xml:space="preserve">exécution </w:t>
      </w:r>
      <w:r>
        <w:rPr>
          <w:bCs/>
          <w:lang w:val="fr-FR"/>
        </w:rPr>
        <w:t xml:space="preserve">d’une ordonnance délivrée à cet effet peut faire l’objet d’une </w:t>
      </w:r>
      <w:r w:rsidR="00541472" w:rsidRPr="00541472">
        <w:rPr>
          <w:bCs/>
          <w:lang w:val="fr-FR"/>
        </w:rPr>
        <w:t>ordonnance</w:t>
      </w:r>
      <w:r w:rsidR="00541472">
        <w:rPr>
          <w:bCs/>
          <w:lang w:val="fr-FR"/>
        </w:rPr>
        <w:t xml:space="preserve"> lui interdisant</w:t>
      </w:r>
      <w:r>
        <w:rPr>
          <w:bCs/>
          <w:lang w:val="fr-FR"/>
        </w:rPr>
        <w:t xml:space="preserve"> de contacter toute personne s</w:t>
      </w:r>
      <w:r w:rsidR="00541472">
        <w:rPr>
          <w:bCs/>
          <w:lang w:val="fr-FR"/>
        </w:rPr>
        <w:t>pécifiée</w:t>
      </w:r>
      <w:r w:rsidR="0022372B">
        <w:rPr>
          <w:bCs/>
          <w:lang w:val="fr-FR"/>
        </w:rPr>
        <w:t xml:space="preserve"> (art. 21Q, 21R);</w:t>
      </w:r>
    </w:p>
    <w:p w:rsidR="00BE25C5" w:rsidRDefault="005C226E" w:rsidP="005D7B68">
      <w:pPr>
        <w:tabs>
          <w:tab w:val="left" w:pos="567"/>
          <w:tab w:val="left" w:pos="1134"/>
          <w:tab w:val="left" w:pos="1701"/>
          <w:tab w:val="left" w:pos="2268"/>
        </w:tabs>
        <w:rPr>
          <w:bCs/>
          <w:lang w:val="fr-FR"/>
        </w:rPr>
      </w:pPr>
      <w:r>
        <w:rPr>
          <w:bCs/>
          <w:lang w:val="fr-FR"/>
        </w:rPr>
        <w:tab/>
        <w:t>f)</w:t>
      </w:r>
      <w:r>
        <w:rPr>
          <w:bCs/>
          <w:lang w:val="fr-FR"/>
        </w:rPr>
        <w:tab/>
        <w:t xml:space="preserve">Au moment où une personne est placée en garde à vue </w:t>
      </w:r>
      <w:r w:rsidRPr="00541472">
        <w:rPr>
          <w:bCs/>
          <w:lang w:val="fr-FR"/>
        </w:rPr>
        <w:t>en exécution d’une</w:t>
      </w:r>
      <w:r>
        <w:rPr>
          <w:bCs/>
          <w:lang w:val="fr-FR"/>
        </w:rPr>
        <w:t xml:space="preserve"> ordonnance</w:t>
      </w:r>
      <w:r w:rsidR="00BE25C5">
        <w:rPr>
          <w:bCs/>
          <w:lang w:val="fr-FR"/>
        </w:rPr>
        <w:t xml:space="preserve"> de placement en détention préventive, le fon</w:t>
      </w:r>
      <w:r w:rsidR="00221944">
        <w:rPr>
          <w:bCs/>
          <w:lang w:val="fr-FR"/>
        </w:rPr>
        <w:t>ctionnaire de police qui en est chargé</w:t>
      </w:r>
      <w:r w:rsidR="00BE25C5">
        <w:rPr>
          <w:bCs/>
          <w:lang w:val="fr-FR"/>
        </w:rPr>
        <w:t xml:space="preserve"> doit</w:t>
      </w:r>
      <w:r w:rsidR="00572260">
        <w:rPr>
          <w:bCs/>
          <w:lang w:val="fr-FR"/>
        </w:rPr>
        <w:t>:</w:t>
      </w:r>
    </w:p>
    <w:p w:rsidR="00744BF2" w:rsidRDefault="0022372B" w:rsidP="005D7B68">
      <w:pPr>
        <w:tabs>
          <w:tab w:val="left" w:pos="567"/>
          <w:tab w:val="left" w:pos="1134"/>
          <w:tab w:val="left" w:pos="1701"/>
          <w:tab w:val="left" w:pos="2268"/>
        </w:tabs>
        <w:ind w:left="1701" w:hanging="1701"/>
        <w:rPr>
          <w:bCs/>
          <w:color w:val="0000FF"/>
          <w:lang w:val="fr-FR"/>
        </w:rPr>
      </w:pPr>
      <w:r>
        <w:rPr>
          <w:bCs/>
          <w:lang w:val="fr-FR"/>
        </w:rPr>
        <w:tab/>
      </w:r>
      <w:r>
        <w:rPr>
          <w:bCs/>
          <w:lang w:val="fr-FR"/>
        </w:rPr>
        <w:tab/>
      </w:r>
      <w:r w:rsidR="00F014A2">
        <w:rPr>
          <w:bCs/>
          <w:lang w:val="fr-FR"/>
        </w:rPr>
        <w:t>i)</w:t>
      </w:r>
      <w:r w:rsidR="00F014A2">
        <w:rPr>
          <w:bCs/>
          <w:lang w:val="fr-FR"/>
        </w:rPr>
        <w:tab/>
        <w:t>R</w:t>
      </w:r>
      <w:r w:rsidR="00BE25C5">
        <w:rPr>
          <w:bCs/>
          <w:lang w:val="fr-FR"/>
        </w:rPr>
        <w:t>emettre à cette personne une copie de l’o</w:t>
      </w:r>
      <w:r w:rsidR="00744BF2">
        <w:rPr>
          <w:bCs/>
          <w:lang w:val="fr-FR"/>
        </w:rPr>
        <w:t xml:space="preserve">rdonnance et de toute </w:t>
      </w:r>
      <w:r w:rsidR="00541472" w:rsidRPr="00541472">
        <w:rPr>
          <w:bCs/>
          <w:lang w:val="fr-FR"/>
        </w:rPr>
        <w:t>ordonnance d’interdiction de co</w:t>
      </w:r>
      <w:r w:rsidR="0005687F">
        <w:rPr>
          <w:bCs/>
          <w:lang w:val="fr-FR"/>
        </w:rPr>
        <w:t xml:space="preserve">mmuniquer </w:t>
      </w:r>
      <w:r w:rsidR="00744BF2" w:rsidRPr="00744BF2">
        <w:rPr>
          <w:bCs/>
          <w:lang w:val="fr-FR"/>
        </w:rPr>
        <w:t>en vigueur</w:t>
      </w:r>
      <w:r w:rsidR="00744BF2">
        <w:rPr>
          <w:bCs/>
          <w:lang w:val="fr-FR"/>
        </w:rPr>
        <w:t>, ainsi qu’un résumé des motifs pour lesquels ces ordonnances ont été délivrées</w:t>
      </w:r>
      <w:r w:rsidR="008D6B80">
        <w:rPr>
          <w:bCs/>
          <w:lang w:val="fr-FR"/>
        </w:rPr>
        <w:t xml:space="preserve">. </w:t>
      </w:r>
      <w:r w:rsidR="00744BF2">
        <w:rPr>
          <w:bCs/>
          <w:lang w:val="fr-FR"/>
        </w:rPr>
        <w:t>Le fonctionnaire de police doit également, sur demande, remettre des copies à tout avocat agissant au nom de la personne placée en détention (art. 21ZF)</w:t>
      </w:r>
      <w:r w:rsidR="00572260">
        <w:rPr>
          <w:bCs/>
          <w:lang w:val="fr-FR"/>
        </w:rPr>
        <w:t>;</w:t>
      </w:r>
      <w:r w:rsidR="005C226E" w:rsidRPr="00744BF2">
        <w:rPr>
          <w:bCs/>
          <w:color w:val="0000FF"/>
          <w:lang w:val="fr-FR"/>
        </w:rPr>
        <w:t xml:space="preserve"> </w:t>
      </w:r>
    </w:p>
    <w:p w:rsidR="00744BF2" w:rsidRDefault="0022372B" w:rsidP="005D7B68">
      <w:pPr>
        <w:tabs>
          <w:tab w:val="left" w:pos="567"/>
          <w:tab w:val="left" w:pos="1134"/>
          <w:tab w:val="left" w:pos="1701"/>
          <w:tab w:val="left" w:pos="2268"/>
        </w:tabs>
        <w:ind w:left="1701" w:hanging="1701"/>
        <w:rPr>
          <w:bCs/>
          <w:lang w:val="fr-FR"/>
        </w:rPr>
      </w:pPr>
      <w:r>
        <w:rPr>
          <w:bCs/>
          <w:lang w:val="fr-FR"/>
        </w:rPr>
        <w:tab/>
      </w:r>
      <w:r>
        <w:rPr>
          <w:bCs/>
          <w:lang w:val="fr-FR"/>
        </w:rPr>
        <w:tab/>
      </w:r>
      <w:r w:rsidR="00744BF2" w:rsidRPr="00744BF2">
        <w:rPr>
          <w:bCs/>
          <w:lang w:val="fr-FR"/>
        </w:rPr>
        <w:t>ii)</w:t>
      </w:r>
      <w:r w:rsidR="00744BF2" w:rsidRPr="00744BF2">
        <w:rPr>
          <w:bCs/>
          <w:lang w:val="fr-FR"/>
        </w:rPr>
        <w:tab/>
      </w:r>
      <w:r w:rsidR="00F014A2">
        <w:rPr>
          <w:bCs/>
          <w:lang w:val="fr-FR"/>
        </w:rPr>
        <w:t>E</w:t>
      </w:r>
      <w:r w:rsidR="00744BF2">
        <w:rPr>
          <w:bCs/>
          <w:lang w:val="fr-FR"/>
        </w:rPr>
        <w:t>xpliquer les effets de l’ordonnance au détenu, et en particulier ses droits concernant</w:t>
      </w:r>
      <w:r w:rsidR="00572260">
        <w:rPr>
          <w:bCs/>
          <w:lang w:val="fr-FR"/>
        </w:rPr>
        <w:t>:</w:t>
      </w:r>
    </w:p>
    <w:p w:rsidR="00364BF1" w:rsidRDefault="004F18B6" w:rsidP="005D7B68">
      <w:pPr>
        <w:tabs>
          <w:tab w:val="left" w:pos="567"/>
          <w:tab w:val="left" w:pos="1134"/>
          <w:tab w:val="left" w:pos="1701"/>
          <w:tab w:val="left" w:pos="2268"/>
        </w:tabs>
        <w:ind w:left="2268" w:hanging="2268"/>
        <w:rPr>
          <w:bCs/>
          <w:lang w:val="fr-FR"/>
        </w:rPr>
      </w:pPr>
      <w:r>
        <w:rPr>
          <w:bCs/>
          <w:lang w:val="fr-FR"/>
        </w:rPr>
        <w:tab/>
      </w:r>
      <w:r w:rsidR="009030A8">
        <w:rPr>
          <w:bCs/>
          <w:lang w:val="fr-FR"/>
        </w:rPr>
        <w:tab/>
      </w:r>
      <w:r w:rsidR="009030A8">
        <w:rPr>
          <w:bCs/>
          <w:lang w:val="fr-FR"/>
        </w:rPr>
        <w:tab/>
        <w:t>–</w:t>
      </w:r>
      <w:r w:rsidR="009030A8">
        <w:rPr>
          <w:bCs/>
          <w:lang w:val="fr-FR"/>
        </w:rPr>
        <w:tab/>
      </w:r>
      <w:r w:rsidR="00F014A2">
        <w:rPr>
          <w:bCs/>
          <w:lang w:val="fr-FR"/>
        </w:rPr>
        <w:t>L</w:t>
      </w:r>
      <w:r w:rsidR="00364BF1">
        <w:rPr>
          <w:bCs/>
          <w:lang w:val="fr-FR"/>
        </w:rPr>
        <w:t xml:space="preserve">a prescription selon laquelle ladite ordonnance doit être réexaminée par </w:t>
      </w:r>
      <w:r w:rsidR="00F014A2">
        <w:rPr>
          <w:bCs/>
          <w:lang w:val="fr-FR"/>
        </w:rPr>
        <w:t>la Cour s</w:t>
      </w:r>
      <w:r w:rsidR="00364BF1">
        <w:rPr>
          <w:bCs/>
          <w:lang w:val="fr-FR"/>
        </w:rPr>
        <w:t>uprême, le détenu ayant le droit d’être entendu</w:t>
      </w:r>
      <w:r w:rsidR="00572260">
        <w:rPr>
          <w:bCs/>
          <w:lang w:val="fr-FR"/>
        </w:rPr>
        <w:t>;</w:t>
      </w:r>
    </w:p>
    <w:p w:rsidR="00364BF1" w:rsidRDefault="004F18B6" w:rsidP="005D7B68">
      <w:pPr>
        <w:tabs>
          <w:tab w:val="left" w:pos="567"/>
          <w:tab w:val="left" w:pos="1134"/>
          <w:tab w:val="left" w:pos="1701"/>
          <w:tab w:val="left" w:pos="2268"/>
        </w:tabs>
        <w:ind w:left="2268" w:hanging="2268"/>
        <w:rPr>
          <w:bCs/>
          <w:lang w:val="fr-FR"/>
        </w:rPr>
      </w:pPr>
      <w:r>
        <w:rPr>
          <w:bCs/>
          <w:lang w:val="fr-FR"/>
        </w:rPr>
        <w:tab/>
      </w:r>
      <w:r>
        <w:rPr>
          <w:bCs/>
          <w:lang w:val="fr-FR"/>
        </w:rPr>
        <w:tab/>
      </w:r>
      <w:r>
        <w:rPr>
          <w:bCs/>
          <w:lang w:val="fr-FR"/>
        </w:rPr>
        <w:tab/>
      </w:r>
      <w:r w:rsidR="004D5B82">
        <w:rPr>
          <w:bCs/>
          <w:lang w:val="fr-FR"/>
        </w:rPr>
        <w:t>–</w:t>
      </w:r>
      <w:r w:rsidR="004D5B82">
        <w:rPr>
          <w:bCs/>
          <w:lang w:val="fr-FR"/>
        </w:rPr>
        <w:tab/>
      </w:r>
      <w:r w:rsidR="00F014A2">
        <w:rPr>
          <w:bCs/>
          <w:lang w:val="fr-FR"/>
        </w:rPr>
        <w:t>L</w:t>
      </w:r>
      <w:r w:rsidR="00364BF1">
        <w:rPr>
          <w:bCs/>
          <w:lang w:val="fr-FR"/>
        </w:rPr>
        <w:t>es personnes que le dét</w:t>
      </w:r>
      <w:r w:rsidR="002D033E">
        <w:rPr>
          <w:bCs/>
          <w:lang w:val="fr-FR"/>
        </w:rPr>
        <w:t>enu peut contacter en vertu de l’article</w:t>
      </w:r>
      <w:r w:rsidR="00364BF1">
        <w:rPr>
          <w:bCs/>
          <w:lang w:val="fr-FR"/>
        </w:rPr>
        <w:t xml:space="preserve"> 21ZI ou 21ZL, ainsi que les restrictions dont ce droit est assorti</w:t>
      </w:r>
      <w:r w:rsidR="00572260">
        <w:rPr>
          <w:bCs/>
          <w:lang w:val="fr-FR"/>
        </w:rPr>
        <w:t>;</w:t>
      </w:r>
    </w:p>
    <w:p w:rsidR="00C45F81" w:rsidRDefault="004F18B6" w:rsidP="005D7B68">
      <w:pPr>
        <w:tabs>
          <w:tab w:val="left" w:pos="567"/>
          <w:tab w:val="left" w:pos="1134"/>
          <w:tab w:val="left" w:pos="1701"/>
          <w:tab w:val="left" w:pos="2268"/>
        </w:tabs>
        <w:ind w:left="2268" w:hanging="2268"/>
        <w:rPr>
          <w:bCs/>
          <w:lang w:val="fr-FR"/>
        </w:rPr>
      </w:pPr>
      <w:r>
        <w:rPr>
          <w:bCs/>
          <w:lang w:val="fr-FR"/>
        </w:rPr>
        <w:tab/>
      </w:r>
      <w:r>
        <w:rPr>
          <w:bCs/>
          <w:lang w:val="fr-FR"/>
        </w:rPr>
        <w:tab/>
      </w:r>
      <w:r>
        <w:rPr>
          <w:bCs/>
          <w:lang w:val="fr-FR"/>
        </w:rPr>
        <w:tab/>
      </w:r>
      <w:r w:rsidR="004D5B82">
        <w:rPr>
          <w:bCs/>
          <w:lang w:val="fr-FR"/>
        </w:rPr>
        <w:t>–</w:t>
      </w:r>
      <w:r w:rsidR="004D5B82">
        <w:rPr>
          <w:bCs/>
          <w:lang w:val="fr-FR"/>
        </w:rPr>
        <w:tab/>
      </w:r>
      <w:r w:rsidR="00F014A2">
        <w:rPr>
          <w:bCs/>
          <w:lang w:val="fr-FR"/>
        </w:rPr>
        <w:t>L</w:t>
      </w:r>
      <w:r w:rsidR="00364BF1">
        <w:rPr>
          <w:bCs/>
          <w:lang w:val="fr-FR"/>
        </w:rPr>
        <w:t>a possibilité de contacter, au titre de l’article 21ZJ,</w:t>
      </w:r>
      <w:r w:rsidR="0024106A" w:rsidRPr="00744BF2">
        <w:rPr>
          <w:bCs/>
          <w:lang w:val="fr-FR"/>
        </w:rPr>
        <w:t xml:space="preserve"> </w:t>
      </w:r>
      <w:r w:rsidR="00364BF1">
        <w:rPr>
          <w:bCs/>
          <w:lang w:val="fr-FR"/>
        </w:rPr>
        <w:t>le Médiateur ou</w:t>
      </w:r>
      <w:r w:rsidR="009418FC">
        <w:rPr>
          <w:bCs/>
          <w:lang w:val="fr-FR"/>
        </w:rPr>
        <w:t xml:space="preserve"> le fonctionnai</w:t>
      </w:r>
      <w:r w:rsidR="00C45F81">
        <w:rPr>
          <w:bCs/>
          <w:lang w:val="fr-FR"/>
        </w:rPr>
        <w:t>re responsable du Groupe d’éthique et de</w:t>
      </w:r>
      <w:r w:rsidR="009418FC">
        <w:rPr>
          <w:bCs/>
          <w:lang w:val="fr-FR"/>
        </w:rPr>
        <w:t xml:space="preserve"> déontologie</w:t>
      </w:r>
      <w:r w:rsidR="00C45F81">
        <w:rPr>
          <w:bCs/>
          <w:lang w:val="fr-FR"/>
        </w:rPr>
        <w:t xml:space="preserve"> en ce qui concerne l’exercice des pouvoirs et l’exécution des tâches</w:t>
      </w:r>
      <w:r w:rsidR="0024106A" w:rsidRPr="00744BF2">
        <w:rPr>
          <w:bCs/>
          <w:lang w:val="fr-FR"/>
        </w:rPr>
        <w:t xml:space="preserve"> </w:t>
      </w:r>
      <w:r w:rsidR="00C45F81" w:rsidRPr="00541472">
        <w:rPr>
          <w:bCs/>
          <w:lang w:val="fr-FR"/>
        </w:rPr>
        <w:t>au titre de l’ordonnance</w:t>
      </w:r>
      <w:r w:rsidR="00C45F81">
        <w:rPr>
          <w:bCs/>
          <w:lang w:val="fr-FR"/>
        </w:rPr>
        <w:t>, du respect de la prescription de l’article 21T selon laquelle la police doit demander qu</w:t>
      </w:r>
      <w:r w:rsidR="00F014A2">
        <w:rPr>
          <w:bCs/>
          <w:lang w:val="fr-FR"/>
        </w:rPr>
        <w:t>e la Cour s</w:t>
      </w:r>
      <w:r w:rsidR="00C45F81">
        <w:rPr>
          <w:bCs/>
          <w:lang w:val="fr-FR"/>
        </w:rPr>
        <w:t>uprême annule l’ordonnance de placement en détention préventive si les motifs de sa délivrance cessent d’exister, et le traitement dont le détenu fait l’objet</w:t>
      </w:r>
      <w:r w:rsidR="00572260">
        <w:rPr>
          <w:bCs/>
          <w:lang w:val="fr-FR"/>
        </w:rPr>
        <w:t>;</w:t>
      </w:r>
    </w:p>
    <w:p w:rsidR="00CF4130" w:rsidRDefault="004F18B6" w:rsidP="005D7B68">
      <w:pPr>
        <w:tabs>
          <w:tab w:val="left" w:pos="567"/>
          <w:tab w:val="left" w:pos="1134"/>
          <w:tab w:val="left" w:pos="1701"/>
          <w:tab w:val="left" w:pos="2268"/>
        </w:tabs>
        <w:ind w:left="2268" w:hanging="2268"/>
        <w:rPr>
          <w:bCs/>
          <w:lang w:val="fr-FR"/>
        </w:rPr>
      </w:pPr>
      <w:r>
        <w:rPr>
          <w:bCs/>
          <w:lang w:val="fr-FR"/>
        </w:rPr>
        <w:tab/>
      </w:r>
      <w:r>
        <w:rPr>
          <w:bCs/>
          <w:lang w:val="fr-FR"/>
        </w:rPr>
        <w:tab/>
      </w:r>
      <w:r>
        <w:rPr>
          <w:bCs/>
          <w:lang w:val="fr-FR"/>
        </w:rPr>
        <w:tab/>
      </w:r>
      <w:r w:rsidR="004D5B82">
        <w:rPr>
          <w:bCs/>
          <w:lang w:val="fr-FR"/>
        </w:rPr>
        <w:t>–</w:t>
      </w:r>
      <w:r w:rsidR="004D5B82">
        <w:rPr>
          <w:bCs/>
          <w:lang w:val="fr-FR"/>
        </w:rPr>
        <w:tab/>
      </w:r>
      <w:r w:rsidR="00F014A2">
        <w:rPr>
          <w:bCs/>
          <w:lang w:val="fr-FR"/>
        </w:rPr>
        <w:t>L</w:t>
      </w:r>
      <w:r w:rsidR="00C45F81">
        <w:rPr>
          <w:bCs/>
          <w:lang w:val="fr-FR"/>
        </w:rPr>
        <w:t>a possibilité</w:t>
      </w:r>
      <w:r w:rsidR="001F2E31" w:rsidRPr="00744BF2">
        <w:rPr>
          <w:bCs/>
          <w:lang w:val="fr-FR"/>
        </w:rPr>
        <w:t xml:space="preserve"> </w:t>
      </w:r>
      <w:r w:rsidR="00C45F81">
        <w:rPr>
          <w:bCs/>
          <w:lang w:val="fr-FR"/>
        </w:rPr>
        <w:t xml:space="preserve">qu’il a, en vertu de l’article 21ZU, d’introduire un recours auprès de </w:t>
      </w:r>
      <w:r w:rsidR="00F014A2">
        <w:rPr>
          <w:bCs/>
          <w:lang w:val="fr-FR"/>
        </w:rPr>
        <w:t>la Cour s</w:t>
      </w:r>
      <w:r w:rsidR="00C45F81">
        <w:rPr>
          <w:bCs/>
          <w:lang w:val="fr-FR"/>
        </w:rPr>
        <w:t>uprême</w:t>
      </w:r>
      <w:r w:rsidR="00CF4130">
        <w:rPr>
          <w:bCs/>
          <w:lang w:val="fr-FR"/>
        </w:rPr>
        <w:t xml:space="preserve"> au sujet de l’ordonnance de placement en détention préventiv</w:t>
      </w:r>
      <w:r w:rsidR="00B41790">
        <w:rPr>
          <w:bCs/>
          <w:lang w:val="fr-FR"/>
        </w:rPr>
        <w:t xml:space="preserve">e, de l’ordonnance d’interdiction de communiquer, </w:t>
      </w:r>
      <w:r w:rsidR="00CF4130">
        <w:rPr>
          <w:bCs/>
          <w:lang w:val="fr-FR"/>
        </w:rPr>
        <w:t>ou du traitement dont il fait l’objet en détention</w:t>
      </w:r>
      <w:r w:rsidR="00572260">
        <w:rPr>
          <w:bCs/>
          <w:lang w:val="fr-FR"/>
        </w:rPr>
        <w:t>;</w:t>
      </w:r>
    </w:p>
    <w:p w:rsidR="00BB1D7F" w:rsidRDefault="004F18B6" w:rsidP="005D7B68">
      <w:pPr>
        <w:tabs>
          <w:tab w:val="left" w:pos="567"/>
          <w:tab w:val="left" w:pos="1134"/>
          <w:tab w:val="left" w:pos="1701"/>
          <w:tab w:val="left" w:pos="2268"/>
        </w:tabs>
        <w:ind w:left="2268" w:hanging="2268"/>
        <w:rPr>
          <w:bCs/>
          <w:lang w:val="fr-FR"/>
        </w:rPr>
      </w:pPr>
      <w:r>
        <w:rPr>
          <w:bCs/>
          <w:lang w:val="fr-FR"/>
        </w:rPr>
        <w:tab/>
      </w:r>
      <w:r>
        <w:rPr>
          <w:bCs/>
          <w:lang w:val="fr-FR"/>
        </w:rPr>
        <w:tab/>
      </w:r>
      <w:r>
        <w:rPr>
          <w:bCs/>
          <w:lang w:val="fr-FR"/>
        </w:rPr>
        <w:tab/>
      </w:r>
      <w:r w:rsidR="004D5B82">
        <w:rPr>
          <w:bCs/>
          <w:lang w:val="fr-FR"/>
        </w:rPr>
        <w:t>–</w:t>
      </w:r>
      <w:r w:rsidR="004D5B82">
        <w:rPr>
          <w:bCs/>
          <w:lang w:val="fr-FR"/>
        </w:rPr>
        <w:tab/>
      </w:r>
      <w:r w:rsidR="00F014A2">
        <w:rPr>
          <w:bCs/>
          <w:lang w:val="fr-FR"/>
        </w:rPr>
        <w:t>L</w:t>
      </w:r>
      <w:r w:rsidR="00CF4130">
        <w:rPr>
          <w:bCs/>
          <w:lang w:val="fr-FR"/>
        </w:rPr>
        <w:t>a possibilité</w:t>
      </w:r>
      <w:r w:rsidR="00B9445B" w:rsidRPr="00744BF2">
        <w:rPr>
          <w:bCs/>
          <w:lang w:val="fr-FR"/>
        </w:rPr>
        <w:t xml:space="preserve"> </w:t>
      </w:r>
      <w:r w:rsidR="00CF4130">
        <w:rPr>
          <w:bCs/>
          <w:lang w:val="fr-FR"/>
        </w:rPr>
        <w:t>de contacter un avocat au titre de l’article 21ZK</w:t>
      </w:r>
      <w:r w:rsidR="00572260">
        <w:rPr>
          <w:bCs/>
          <w:lang w:val="fr-FR"/>
        </w:rPr>
        <w:t>;</w:t>
      </w:r>
      <w:r w:rsidR="00CF4130">
        <w:rPr>
          <w:bCs/>
          <w:lang w:val="fr-FR"/>
        </w:rPr>
        <w:t xml:space="preserve"> et</w:t>
      </w:r>
    </w:p>
    <w:p w:rsidR="00CF4130" w:rsidRDefault="004F18B6" w:rsidP="005D7B68">
      <w:pPr>
        <w:tabs>
          <w:tab w:val="left" w:pos="567"/>
          <w:tab w:val="left" w:pos="1134"/>
          <w:tab w:val="left" w:pos="1701"/>
          <w:tab w:val="left" w:pos="2268"/>
        </w:tabs>
        <w:ind w:left="2268" w:hanging="2268"/>
        <w:rPr>
          <w:bCs/>
          <w:lang w:val="fr-FR"/>
        </w:rPr>
      </w:pPr>
      <w:r>
        <w:rPr>
          <w:bCs/>
          <w:lang w:val="fr-FR"/>
        </w:rPr>
        <w:tab/>
      </w:r>
      <w:r>
        <w:rPr>
          <w:bCs/>
          <w:lang w:val="fr-FR"/>
        </w:rPr>
        <w:tab/>
      </w:r>
      <w:r>
        <w:rPr>
          <w:bCs/>
          <w:lang w:val="fr-FR"/>
        </w:rPr>
        <w:tab/>
      </w:r>
      <w:r w:rsidR="004D5B82">
        <w:rPr>
          <w:bCs/>
          <w:lang w:val="fr-FR"/>
        </w:rPr>
        <w:t>–</w:t>
      </w:r>
      <w:r w:rsidR="004D5B82">
        <w:rPr>
          <w:bCs/>
          <w:lang w:val="fr-FR"/>
        </w:rPr>
        <w:tab/>
      </w:r>
      <w:r w:rsidR="00F014A2">
        <w:rPr>
          <w:bCs/>
          <w:lang w:val="fr-FR"/>
        </w:rPr>
        <w:t>L</w:t>
      </w:r>
      <w:r w:rsidR="00CF4130">
        <w:rPr>
          <w:bCs/>
          <w:lang w:val="fr-FR"/>
        </w:rPr>
        <w:t>e nom et le numéro de téléphone professionnel du fonctionnaire de police nommé pour superviser l’exercice des fonctions du personnel impliqué par l’ordonn</w:t>
      </w:r>
      <w:r w:rsidR="00DD7372">
        <w:rPr>
          <w:bCs/>
          <w:lang w:val="fr-FR"/>
        </w:rPr>
        <w:t xml:space="preserve">ance de placement en détention </w:t>
      </w:r>
      <w:r w:rsidR="00CF4130">
        <w:rPr>
          <w:bCs/>
          <w:lang w:val="fr-FR"/>
        </w:rPr>
        <w:t>préventive.</w:t>
      </w:r>
    </w:p>
    <w:p w:rsidR="00CF4130" w:rsidRDefault="004D5B82" w:rsidP="005D7B68">
      <w:pPr>
        <w:tabs>
          <w:tab w:val="left" w:pos="567"/>
          <w:tab w:val="left" w:pos="1134"/>
          <w:tab w:val="left" w:pos="1701"/>
          <w:tab w:val="left" w:pos="2268"/>
        </w:tabs>
        <w:rPr>
          <w:bCs/>
          <w:lang w:val="fr-FR"/>
        </w:rPr>
      </w:pPr>
      <w:r>
        <w:rPr>
          <w:bCs/>
          <w:lang w:val="fr-FR"/>
        </w:rPr>
        <w:tab/>
      </w:r>
      <w:r w:rsidR="00CF4130">
        <w:rPr>
          <w:bCs/>
          <w:lang w:val="fr-FR"/>
        </w:rPr>
        <w:t>g)</w:t>
      </w:r>
      <w:r w:rsidR="00CF4130">
        <w:rPr>
          <w:bCs/>
          <w:lang w:val="fr-FR"/>
        </w:rPr>
        <w:tab/>
        <w:t>Si la personne appréhendée n’est pas en mesure de communiquer correctement en anglais, le fonctionnaire de police doit faire appel à un interprète</w:t>
      </w:r>
      <w:r w:rsidR="0023226F">
        <w:rPr>
          <w:bCs/>
          <w:lang w:val="fr-FR"/>
        </w:rPr>
        <w:t xml:space="preserve"> quand il donne ses explications</w:t>
      </w:r>
      <w:r w:rsidR="008D6B80">
        <w:rPr>
          <w:bCs/>
          <w:lang w:val="fr-FR"/>
        </w:rPr>
        <w:t xml:space="preserve">. </w:t>
      </w:r>
      <w:r w:rsidR="0023226F">
        <w:rPr>
          <w:bCs/>
          <w:lang w:val="fr-FR"/>
        </w:rPr>
        <w:t>Tout fonctionnaire de police qui ne se co</w:t>
      </w:r>
      <w:r w:rsidR="00F014A2">
        <w:rPr>
          <w:bCs/>
          <w:lang w:val="fr-FR"/>
        </w:rPr>
        <w:t>nforme pas à la prescription</w:t>
      </w:r>
      <w:r w:rsidR="00B5748B">
        <w:rPr>
          <w:bCs/>
          <w:lang w:val="fr-FR"/>
        </w:rPr>
        <w:t xml:space="preserve"> lui</w:t>
      </w:r>
      <w:r w:rsidR="00F014A2">
        <w:rPr>
          <w:bCs/>
          <w:lang w:val="fr-FR"/>
        </w:rPr>
        <w:t xml:space="preserve"> enjoignant</w:t>
      </w:r>
      <w:r w:rsidR="0023226F">
        <w:rPr>
          <w:bCs/>
          <w:lang w:val="fr-FR"/>
        </w:rPr>
        <w:t xml:space="preserve"> de donner à la personne appréhendée les explications requises est passible d’une peine de deux ans d’emprisonnement</w:t>
      </w:r>
      <w:r w:rsidR="00B5748B">
        <w:rPr>
          <w:bCs/>
          <w:lang w:val="fr-FR"/>
        </w:rPr>
        <w:t xml:space="preserve"> (art. 21ZD)</w:t>
      </w:r>
      <w:r>
        <w:rPr>
          <w:bCs/>
          <w:lang w:val="fr-FR"/>
        </w:rPr>
        <w:t>;</w:t>
      </w:r>
    </w:p>
    <w:p w:rsidR="00941633" w:rsidRDefault="004D5B82" w:rsidP="005D7B68">
      <w:pPr>
        <w:tabs>
          <w:tab w:val="left" w:pos="567"/>
          <w:tab w:val="left" w:pos="1134"/>
          <w:tab w:val="left" w:pos="1701"/>
          <w:tab w:val="left" w:pos="2268"/>
        </w:tabs>
        <w:rPr>
          <w:bCs/>
          <w:lang w:val="fr-FR"/>
        </w:rPr>
      </w:pPr>
      <w:r>
        <w:rPr>
          <w:bCs/>
          <w:lang w:val="fr-FR"/>
        </w:rPr>
        <w:tab/>
      </w:r>
      <w:r w:rsidR="00941633">
        <w:rPr>
          <w:bCs/>
          <w:lang w:val="fr-FR"/>
        </w:rPr>
        <w:t>h)</w:t>
      </w:r>
      <w:r w:rsidR="00941633">
        <w:rPr>
          <w:bCs/>
          <w:lang w:val="fr-FR"/>
        </w:rPr>
        <w:tab/>
        <w:t xml:space="preserve">Un fonctionnaire de police n’a pas le droit d’interroger une personne appréhendée en </w:t>
      </w:r>
      <w:r w:rsidR="00941633" w:rsidRPr="00541472">
        <w:rPr>
          <w:bCs/>
          <w:lang w:val="fr-FR"/>
        </w:rPr>
        <w:t xml:space="preserve">exécution </w:t>
      </w:r>
      <w:r w:rsidR="00941633">
        <w:rPr>
          <w:bCs/>
          <w:lang w:val="fr-FR"/>
        </w:rPr>
        <w:t xml:space="preserve">d’une ordonnance de placement en détention préventive, sauf aux fins de la vérification que cette personne est bien celle qui fait l’objet de l’ordonnance, pour assurer la sécurité et le bien-être de ladite personne, ou pour se conformer à une disposition de la loi relative à son placement en détention préventive </w:t>
      </w:r>
      <w:r w:rsidR="00541472" w:rsidRPr="00541472">
        <w:rPr>
          <w:bCs/>
          <w:lang w:val="fr-FR"/>
        </w:rPr>
        <w:t>en vertu</w:t>
      </w:r>
      <w:r w:rsidR="00941633">
        <w:rPr>
          <w:bCs/>
          <w:color w:val="0000FF"/>
          <w:lang w:val="fr-FR"/>
        </w:rPr>
        <w:t xml:space="preserve"> </w:t>
      </w:r>
      <w:r w:rsidR="00941633">
        <w:rPr>
          <w:bCs/>
          <w:lang w:val="fr-FR"/>
        </w:rPr>
        <w:t>de l’ordonnance délivrée à cet effet</w:t>
      </w:r>
      <w:r w:rsidR="008D6B80">
        <w:rPr>
          <w:bCs/>
          <w:lang w:val="fr-FR"/>
        </w:rPr>
        <w:t xml:space="preserve">. </w:t>
      </w:r>
      <w:r w:rsidR="004F18B6">
        <w:rPr>
          <w:bCs/>
          <w:lang w:val="fr-FR"/>
        </w:rPr>
        <w:t>Le </w:t>
      </w:r>
      <w:r w:rsidR="00941633">
        <w:rPr>
          <w:bCs/>
          <w:lang w:val="fr-FR"/>
        </w:rPr>
        <w:t>non-respect de cette interdiction est passible d’une pei</w:t>
      </w:r>
      <w:r w:rsidR="004F18B6">
        <w:rPr>
          <w:bCs/>
          <w:lang w:val="fr-FR"/>
        </w:rPr>
        <w:t>ne de deux ans d’emprisonnement;</w:t>
      </w:r>
    </w:p>
    <w:p w:rsidR="00941633" w:rsidRDefault="004D5B82" w:rsidP="005D7B68">
      <w:pPr>
        <w:tabs>
          <w:tab w:val="left" w:pos="567"/>
          <w:tab w:val="left" w:pos="1134"/>
          <w:tab w:val="left" w:pos="1701"/>
          <w:tab w:val="left" w:pos="2268"/>
        </w:tabs>
        <w:rPr>
          <w:bCs/>
          <w:lang w:val="fr-FR"/>
        </w:rPr>
      </w:pPr>
      <w:r>
        <w:rPr>
          <w:bCs/>
          <w:lang w:val="fr-FR"/>
        </w:rPr>
        <w:tab/>
      </w:r>
      <w:r w:rsidR="00941633">
        <w:rPr>
          <w:bCs/>
          <w:lang w:val="fr-FR"/>
        </w:rPr>
        <w:t>i)</w:t>
      </w:r>
      <w:r w:rsidR="00941633">
        <w:rPr>
          <w:bCs/>
          <w:lang w:val="fr-FR"/>
        </w:rPr>
        <w:tab/>
      </w:r>
      <w:r w:rsidR="000F0022">
        <w:rPr>
          <w:bCs/>
          <w:lang w:val="fr-FR"/>
        </w:rPr>
        <w:t>En vertu de l’article 21ZG, toute personne placée en garde à vu</w:t>
      </w:r>
      <w:r w:rsidR="00541472">
        <w:rPr>
          <w:bCs/>
          <w:lang w:val="fr-FR"/>
        </w:rPr>
        <w:t>e ou en détention préventive au titre</w:t>
      </w:r>
      <w:r w:rsidR="000F0022">
        <w:rPr>
          <w:bCs/>
          <w:lang w:val="fr-FR"/>
        </w:rPr>
        <w:t xml:space="preserve"> d’une ordonnance délivrée à cet effet</w:t>
      </w:r>
      <w:r w:rsidR="00572260">
        <w:rPr>
          <w:bCs/>
          <w:lang w:val="fr-FR"/>
        </w:rPr>
        <w:t>:</w:t>
      </w:r>
    </w:p>
    <w:p w:rsidR="000F0022" w:rsidRDefault="0094070D" w:rsidP="005D7B68">
      <w:pPr>
        <w:tabs>
          <w:tab w:val="left" w:pos="567"/>
          <w:tab w:val="left" w:pos="1134"/>
          <w:tab w:val="left" w:pos="1701"/>
          <w:tab w:val="left" w:pos="2268"/>
        </w:tabs>
        <w:ind w:left="1701" w:hanging="1701"/>
        <w:rPr>
          <w:bCs/>
          <w:lang w:val="fr-FR"/>
        </w:rPr>
      </w:pPr>
      <w:r>
        <w:rPr>
          <w:bCs/>
          <w:lang w:val="fr-FR"/>
        </w:rPr>
        <w:tab/>
      </w:r>
      <w:r w:rsidR="004D5B82">
        <w:rPr>
          <w:bCs/>
          <w:lang w:val="fr-FR"/>
        </w:rPr>
        <w:tab/>
      </w:r>
      <w:r>
        <w:rPr>
          <w:bCs/>
          <w:lang w:val="fr-FR"/>
        </w:rPr>
        <w:t>i)</w:t>
      </w:r>
      <w:r w:rsidR="004D5B82">
        <w:rPr>
          <w:bCs/>
          <w:lang w:val="fr-FR"/>
        </w:rPr>
        <w:tab/>
      </w:r>
      <w:r>
        <w:rPr>
          <w:bCs/>
          <w:lang w:val="fr-FR"/>
        </w:rPr>
        <w:t>D</w:t>
      </w:r>
      <w:r w:rsidR="000F0022">
        <w:rPr>
          <w:bCs/>
          <w:lang w:val="fr-FR"/>
        </w:rPr>
        <w:t>oit être traitée avec humanité dans le respect de la dignité de la personne humaine, et</w:t>
      </w:r>
    </w:p>
    <w:p w:rsidR="000F0022" w:rsidRDefault="004D5B82" w:rsidP="005D7B68">
      <w:pPr>
        <w:tabs>
          <w:tab w:val="left" w:pos="567"/>
          <w:tab w:val="left" w:pos="1134"/>
          <w:tab w:val="left" w:pos="1701"/>
          <w:tab w:val="left" w:pos="2268"/>
        </w:tabs>
        <w:ind w:left="1701" w:hanging="1701"/>
        <w:rPr>
          <w:bCs/>
          <w:lang w:val="fr-FR"/>
        </w:rPr>
      </w:pPr>
      <w:r>
        <w:rPr>
          <w:bCs/>
          <w:lang w:val="fr-FR"/>
        </w:rPr>
        <w:tab/>
      </w:r>
      <w:r w:rsidR="0094070D">
        <w:rPr>
          <w:bCs/>
          <w:lang w:val="fr-FR"/>
        </w:rPr>
        <w:tab/>
        <w:t>ii)</w:t>
      </w:r>
      <w:r>
        <w:rPr>
          <w:bCs/>
          <w:lang w:val="fr-FR"/>
        </w:rPr>
        <w:tab/>
      </w:r>
      <w:r w:rsidR="0094070D">
        <w:rPr>
          <w:bCs/>
          <w:lang w:val="fr-FR"/>
        </w:rPr>
        <w:t>N</w:t>
      </w:r>
      <w:r w:rsidR="000F0022">
        <w:rPr>
          <w:bCs/>
          <w:lang w:val="fr-FR"/>
        </w:rPr>
        <w:t xml:space="preserve">e pas faire l’objet d’un traitement cruel, inhumain ou dégradant de la part de quiconque exerce l’autorité, met en œuvre ou </w:t>
      </w:r>
      <w:r w:rsidR="000F0022" w:rsidRPr="00541472">
        <w:rPr>
          <w:bCs/>
          <w:lang w:val="fr-FR"/>
        </w:rPr>
        <w:t>exécute</w:t>
      </w:r>
      <w:r w:rsidR="000F0022" w:rsidRPr="0094070D">
        <w:rPr>
          <w:bCs/>
          <w:color w:val="0000FF"/>
          <w:lang w:val="fr-FR"/>
        </w:rPr>
        <w:t xml:space="preserve"> </w:t>
      </w:r>
      <w:r w:rsidR="000F0022">
        <w:rPr>
          <w:bCs/>
          <w:lang w:val="fr-FR"/>
        </w:rPr>
        <w:t>l’ordonnance de placement en détention préventive</w:t>
      </w:r>
      <w:r w:rsidR="008D6B80">
        <w:rPr>
          <w:bCs/>
          <w:lang w:val="fr-FR"/>
        </w:rPr>
        <w:t xml:space="preserve">. </w:t>
      </w:r>
      <w:r w:rsidR="000F0022">
        <w:rPr>
          <w:bCs/>
          <w:lang w:val="fr-FR"/>
        </w:rPr>
        <w:t>Toute infraction</w:t>
      </w:r>
      <w:r w:rsidR="00572260">
        <w:rPr>
          <w:bCs/>
          <w:lang w:val="fr-FR"/>
        </w:rPr>
        <w:t xml:space="preserve"> </w:t>
      </w:r>
      <w:r w:rsidR="000F0022">
        <w:rPr>
          <w:bCs/>
          <w:lang w:val="fr-FR"/>
        </w:rPr>
        <w:t>à cette disposition est passible d’une peine de deux ans d’emprisonnement.</w:t>
      </w:r>
    </w:p>
    <w:p w:rsidR="000F0022" w:rsidRDefault="004F18B6" w:rsidP="005D7B68">
      <w:pPr>
        <w:tabs>
          <w:tab w:val="left" w:pos="567"/>
          <w:tab w:val="left" w:pos="1134"/>
          <w:tab w:val="left" w:pos="1701"/>
          <w:tab w:val="left" w:pos="2268"/>
          <w:tab w:val="left" w:pos="2835"/>
        </w:tabs>
        <w:rPr>
          <w:bCs/>
          <w:lang w:val="fr-FR"/>
        </w:rPr>
      </w:pPr>
      <w:r>
        <w:rPr>
          <w:bCs/>
          <w:lang w:val="fr-FR"/>
        </w:rPr>
        <w:tab/>
        <w:t>j)</w:t>
      </w:r>
      <w:r>
        <w:rPr>
          <w:bCs/>
          <w:lang w:val="fr-FR"/>
        </w:rPr>
        <w:tab/>
      </w:r>
      <w:r w:rsidR="000F0022">
        <w:rPr>
          <w:bCs/>
          <w:lang w:val="fr-FR"/>
        </w:rPr>
        <w:t>Le Directeur général de la police est tenu d’établir un rapport écrit annuel à l’intention du Premier ministre, qu’il doit lui remettre le 30 octobre de chaque année et dans</w:t>
      </w:r>
      <w:r w:rsidR="00D15DB9">
        <w:rPr>
          <w:bCs/>
          <w:lang w:val="fr-FR"/>
        </w:rPr>
        <w:t xml:space="preserve"> </w:t>
      </w:r>
      <w:r w:rsidR="000F0022">
        <w:rPr>
          <w:bCs/>
          <w:lang w:val="fr-FR"/>
        </w:rPr>
        <w:t>lequel il indique, entre autres, le nombre d’ordonnances de placement en détention préventive et d</w:t>
      </w:r>
      <w:r w:rsidR="00B24E83">
        <w:rPr>
          <w:bCs/>
          <w:lang w:val="fr-FR"/>
        </w:rPr>
        <w:t>’interdiction de communiquer</w:t>
      </w:r>
      <w:r w:rsidR="000F0022">
        <w:rPr>
          <w:bCs/>
          <w:lang w:val="fr-FR"/>
        </w:rPr>
        <w:t xml:space="preserve"> délivrées pendant l’année jusqu’au 30 juin, avec le</w:t>
      </w:r>
      <w:r w:rsidR="0094070D">
        <w:rPr>
          <w:bCs/>
          <w:lang w:val="fr-FR"/>
        </w:rPr>
        <w:t>s</w:t>
      </w:r>
      <w:r w:rsidR="000F0022">
        <w:rPr>
          <w:bCs/>
          <w:lang w:val="fr-FR"/>
        </w:rPr>
        <w:t xml:space="preserve"> détails de chaque ordonnance et les mesures prises en exécution de ladit</w:t>
      </w:r>
      <w:r w:rsidR="00D15DB9">
        <w:rPr>
          <w:bCs/>
          <w:lang w:val="fr-FR"/>
        </w:rPr>
        <w:t>e ordonnance</w:t>
      </w:r>
      <w:r w:rsidR="008D6B80">
        <w:rPr>
          <w:bCs/>
          <w:lang w:val="fr-FR"/>
        </w:rPr>
        <w:t xml:space="preserve">. </w:t>
      </w:r>
      <w:r w:rsidR="00F0350A">
        <w:rPr>
          <w:bCs/>
          <w:lang w:val="fr-FR"/>
        </w:rPr>
        <w:t xml:space="preserve">Le Ministre est tenu de présenter ce rapport au Parlement du Territoire du Nord </w:t>
      </w:r>
      <w:r w:rsidR="00C02590">
        <w:rPr>
          <w:bCs/>
          <w:lang w:val="fr-FR"/>
        </w:rPr>
        <w:t>au cours des sept premiers jours de la session parlementaire qui suit.</w:t>
      </w:r>
    </w:p>
    <w:p w:rsidR="00D15DB9" w:rsidRPr="00D15DB9" w:rsidRDefault="00D15DB9" w:rsidP="005D7B68">
      <w:pPr>
        <w:tabs>
          <w:tab w:val="left" w:pos="567"/>
          <w:tab w:val="left" w:pos="1134"/>
          <w:tab w:val="left" w:pos="1701"/>
          <w:tab w:val="left" w:pos="2268"/>
          <w:tab w:val="left" w:pos="2835"/>
        </w:tabs>
        <w:rPr>
          <w:b/>
          <w:lang w:val="fr-FR"/>
        </w:rPr>
      </w:pPr>
      <w:r>
        <w:rPr>
          <w:b/>
          <w:lang w:val="fr-FR"/>
        </w:rPr>
        <w:t>Question 6</w:t>
      </w:r>
    </w:p>
    <w:p w:rsidR="0069150D" w:rsidRDefault="00C23FA1" w:rsidP="005D7B68">
      <w:pPr>
        <w:tabs>
          <w:tab w:val="left" w:pos="567"/>
          <w:tab w:val="left" w:pos="1134"/>
          <w:tab w:val="left" w:pos="1701"/>
          <w:tab w:val="left" w:pos="2268"/>
          <w:tab w:val="left" w:pos="2835"/>
        </w:tabs>
        <w:rPr>
          <w:b/>
          <w:bCs/>
          <w:lang w:val="fr-FR"/>
        </w:rPr>
      </w:pPr>
      <w:r>
        <w:rPr>
          <w:b/>
          <w:bCs/>
          <w:lang w:val="fr-FR"/>
        </w:rPr>
        <w:tab/>
      </w:r>
      <w:r w:rsidR="0069150D" w:rsidRPr="0069150D">
        <w:rPr>
          <w:b/>
          <w:bCs/>
          <w:lang w:val="fr-FR"/>
        </w:rPr>
        <w:t xml:space="preserve">Commenter les </w:t>
      </w:r>
      <w:r w:rsidR="0069150D" w:rsidRPr="00C23FA1">
        <w:rPr>
          <w:b/>
          <w:lang w:val="fr-FR"/>
        </w:rPr>
        <w:t xml:space="preserve">conclusions </w:t>
      </w:r>
      <w:r w:rsidR="0069150D" w:rsidRPr="0069150D">
        <w:rPr>
          <w:b/>
          <w:bCs/>
          <w:lang w:val="fr-FR"/>
        </w:rPr>
        <w:t xml:space="preserve">d’autres organes des Nations Unies selon lesquelles la détention de demandeurs d’asile n’est en soi ni illégale ni arbitraire, mais la privation de liberté peut être qualifiée d’arbitraire après un certain laps de temps, si le maintien en détention n’est pas dûment justifié. </w:t>
      </w:r>
    </w:p>
    <w:p w:rsidR="0069150D" w:rsidRDefault="0069150D" w:rsidP="005D7B68">
      <w:pPr>
        <w:tabs>
          <w:tab w:val="left" w:pos="567"/>
          <w:tab w:val="left" w:pos="1134"/>
          <w:tab w:val="left" w:pos="1701"/>
          <w:tab w:val="left" w:pos="2268"/>
          <w:tab w:val="left" w:pos="2835"/>
        </w:tabs>
        <w:rPr>
          <w:lang w:val="fr-FR"/>
        </w:rPr>
      </w:pPr>
      <w:r>
        <w:rPr>
          <w:lang w:val="fr-FR"/>
        </w:rPr>
        <w:t>27</w:t>
      </w:r>
      <w:r w:rsidR="00E42058">
        <w:rPr>
          <w:lang w:val="fr-FR"/>
        </w:rPr>
        <w:t>6</w:t>
      </w:r>
      <w:r>
        <w:rPr>
          <w:lang w:val="fr-FR"/>
        </w:rPr>
        <w:t>.</w:t>
      </w:r>
      <w:r>
        <w:rPr>
          <w:lang w:val="fr-FR"/>
        </w:rPr>
        <w:tab/>
        <w:t xml:space="preserve">Á titre de remarque préliminaire, le Gouvernement australien note qu’on peut soutenir que la question du Comité </w:t>
      </w:r>
      <w:r w:rsidR="00DD2C55">
        <w:rPr>
          <w:lang w:val="fr-FR"/>
        </w:rPr>
        <w:t>n’</w:t>
      </w:r>
      <w:r>
        <w:rPr>
          <w:lang w:val="fr-FR"/>
        </w:rPr>
        <w:t>entre pas dans le cadre de son mandat</w:t>
      </w:r>
      <w:r w:rsidR="008D6B80">
        <w:rPr>
          <w:lang w:val="fr-FR"/>
        </w:rPr>
        <w:t xml:space="preserve">. </w:t>
      </w:r>
      <w:r w:rsidR="00DD2C55">
        <w:rPr>
          <w:lang w:val="fr-FR"/>
        </w:rPr>
        <w:t>Elle ne spécifie pas en quoi les obligations imposées par l’article 2 de la Convention contre la torture et les peines et traitements cruels, inhumains ou dégradants concerne</w:t>
      </w:r>
      <w:r w:rsidR="00AB76F4">
        <w:rPr>
          <w:lang w:val="fr-FR"/>
        </w:rPr>
        <w:t>nt</w:t>
      </w:r>
      <w:r w:rsidR="00DD2C55">
        <w:rPr>
          <w:lang w:val="fr-FR"/>
        </w:rPr>
        <w:t xml:space="preserve"> la détention arbitraire, ni pourquoi le Comité devrait répéter le suivi effectué par d’autres organes des Nations Unies</w:t>
      </w:r>
      <w:r w:rsidR="008D6B80">
        <w:rPr>
          <w:lang w:val="fr-FR"/>
        </w:rPr>
        <w:t xml:space="preserve">. </w:t>
      </w:r>
      <w:r w:rsidR="00DD2C55">
        <w:rPr>
          <w:lang w:val="fr-FR"/>
        </w:rPr>
        <w:t>Cependant, afin d’</w:t>
      </w:r>
      <w:r w:rsidR="009C6A3A">
        <w:rPr>
          <w:lang w:val="fr-FR"/>
        </w:rPr>
        <w:t>ê</w:t>
      </w:r>
      <w:r w:rsidR="00DD2C55">
        <w:rPr>
          <w:lang w:val="fr-FR"/>
        </w:rPr>
        <w:t>tre utile au Comité</w:t>
      </w:r>
      <w:r w:rsidR="009C6A3A">
        <w:rPr>
          <w:lang w:val="fr-FR"/>
        </w:rPr>
        <w:t xml:space="preserve">, le gouvernement </w:t>
      </w:r>
      <w:r w:rsidR="000A30C3">
        <w:rPr>
          <w:lang w:val="fr-FR"/>
        </w:rPr>
        <w:t xml:space="preserve">accepte de </w:t>
      </w:r>
      <w:r w:rsidR="009C6A3A">
        <w:rPr>
          <w:lang w:val="fr-FR"/>
        </w:rPr>
        <w:t>communique</w:t>
      </w:r>
      <w:r w:rsidR="000A30C3">
        <w:rPr>
          <w:lang w:val="fr-FR"/>
        </w:rPr>
        <w:t>r</w:t>
      </w:r>
      <w:r w:rsidR="009C6A3A">
        <w:rPr>
          <w:lang w:val="fr-FR"/>
        </w:rPr>
        <w:t xml:space="preserve"> les informations ci-après.</w:t>
      </w:r>
    </w:p>
    <w:p w:rsidR="009C6A3A" w:rsidRDefault="009C6A3A" w:rsidP="005D7B68">
      <w:pPr>
        <w:tabs>
          <w:tab w:val="left" w:pos="567"/>
          <w:tab w:val="left" w:pos="1134"/>
          <w:tab w:val="left" w:pos="1701"/>
          <w:tab w:val="left" w:pos="2268"/>
          <w:tab w:val="left" w:pos="2835"/>
        </w:tabs>
        <w:rPr>
          <w:lang w:val="fr-FR"/>
        </w:rPr>
      </w:pPr>
      <w:r>
        <w:rPr>
          <w:lang w:val="fr-FR"/>
        </w:rPr>
        <w:t>27</w:t>
      </w:r>
      <w:r w:rsidR="00E42058">
        <w:rPr>
          <w:lang w:val="fr-FR"/>
        </w:rPr>
        <w:t>7</w:t>
      </w:r>
      <w:r>
        <w:rPr>
          <w:lang w:val="fr-FR"/>
        </w:rPr>
        <w:t>.</w:t>
      </w:r>
      <w:r>
        <w:rPr>
          <w:lang w:val="fr-FR"/>
        </w:rPr>
        <w:tab/>
        <w:t>La détention de demandeurs d’asile n’est ni illégale ni arbitraire en soi</w:t>
      </w:r>
      <w:r w:rsidR="008D6B80">
        <w:rPr>
          <w:lang w:val="fr-FR"/>
        </w:rPr>
        <w:t xml:space="preserve">. </w:t>
      </w:r>
      <w:r>
        <w:rPr>
          <w:lang w:val="fr-FR"/>
        </w:rPr>
        <w:t>Rien, dans la jurisprudence du Comité des droits de l’homme n’indique que la détention pendant un certain laps de temps pourrait être jugée arbitraire en soi</w:t>
      </w:r>
      <w:r w:rsidR="008D6B80">
        <w:rPr>
          <w:lang w:val="fr-FR"/>
        </w:rPr>
        <w:t xml:space="preserve">. </w:t>
      </w:r>
      <w:r>
        <w:rPr>
          <w:lang w:val="fr-FR"/>
        </w:rPr>
        <w:t xml:space="preserve">Dans l’affaire </w:t>
      </w:r>
      <w:r w:rsidR="000A30C3">
        <w:rPr>
          <w:i/>
          <w:iCs/>
          <w:lang w:val="fr-FR"/>
        </w:rPr>
        <w:t xml:space="preserve">A </w:t>
      </w:r>
      <w:r w:rsidR="000A30C3">
        <w:rPr>
          <w:lang w:val="fr-FR"/>
        </w:rPr>
        <w:t>c</w:t>
      </w:r>
      <w:r w:rsidR="008D6B80">
        <w:rPr>
          <w:lang w:val="fr-FR"/>
        </w:rPr>
        <w:t xml:space="preserve">. </w:t>
      </w:r>
      <w:r>
        <w:rPr>
          <w:i/>
          <w:iCs/>
          <w:lang w:val="fr-FR"/>
        </w:rPr>
        <w:t xml:space="preserve">Australie </w:t>
      </w:r>
      <w:r>
        <w:rPr>
          <w:lang w:val="fr-FR"/>
        </w:rPr>
        <w:t>(</w:t>
      </w:r>
      <w:r w:rsidR="001E3104">
        <w:rPr>
          <w:lang w:val="fr-FR"/>
        </w:rPr>
        <w:t>c</w:t>
      </w:r>
      <w:r>
        <w:rPr>
          <w:lang w:val="fr-FR"/>
        </w:rPr>
        <w:t xml:space="preserve">ommunication </w:t>
      </w:r>
      <w:r w:rsidR="001E3104">
        <w:rPr>
          <w:szCs w:val="24"/>
          <w:lang w:val="fr-FR"/>
        </w:rPr>
        <w:t>n</w:t>
      </w:r>
      <w:r w:rsidR="00C23FA1">
        <w:rPr>
          <w:szCs w:val="24"/>
          <w:vertAlign w:val="superscript"/>
          <w:lang w:val="fr-FR"/>
        </w:rPr>
        <w:t>o</w:t>
      </w:r>
      <w:r>
        <w:rPr>
          <w:lang w:val="fr-FR"/>
        </w:rPr>
        <w:t xml:space="preserve"> 560/1993), le Comité des droits de l’homme a indiqué que le temps de détention administrative</w:t>
      </w:r>
      <w:r w:rsidR="007A7FDA">
        <w:rPr>
          <w:lang w:val="fr-FR"/>
        </w:rPr>
        <w:t xml:space="preserve"> (aux fins, par exemple, des contrôles d’immigration) pourrait être un </w:t>
      </w:r>
      <w:r w:rsidR="007A7FDA">
        <w:rPr>
          <w:i/>
          <w:iCs/>
          <w:lang w:val="fr-FR"/>
        </w:rPr>
        <w:t>facteur</w:t>
      </w:r>
      <w:r w:rsidR="007A7FDA">
        <w:rPr>
          <w:lang w:val="fr-FR"/>
        </w:rPr>
        <w:t xml:space="preserve"> permettant d’évaluer si la détention est arbitraire</w:t>
      </w:r>
      <w:r w:rsidR="008D6B80">
        <w:rPr>
          <w:lang w:val="fr-FR"/>
        </w:rPr>
        <w:t xml:space="preserve">. </w:t>
      </w:r>
      <w:r w:rsidR="001E3104">
        <w:rPr>
          <w:lang w:val="fr-FR"/>
        </w:rPr>
        <w:t>Le Comité a indiqué que «</w:t>
      </w:r>
      <w:r w:rsidR="007A7FDA">
        <w:rPr>
          <w:lang w:val="fr-FR"/>
        </w:rPr>
        <w:t>la détention ne devrait pas se prolonger au-delà de la période pour laquelle l’État peut fournir une justification appropriée</w:t>
      </w:r>
      <w:r w:rsidR="00A619D6">
        <w:rPr>
          <w:lang w:val="fr-FR"/>
        </w:rPr>
        <w:t>»</w:t>
      </w:r>
      <w:r w:rsidR="007A7FDA">
        <w:rPr>
          <w:lang w:val="fr-FR"/>
        </w:rPr>
        <w:t>.</w:t>
      </w:r>
      <w:r w:rsidR="007A7FDA">
        <w:rPr>
          <w:rStyle w:val="FootnoteReference"/>
          <w:lang w:val="fr-FR"/>
        </w:rPr>
        <w:footnoteReference w:id="7"/>
      </w:r>
      <w:r w:rsidR="00572260">
        <w:rPr>
          <w:lang w:val="fr-FR"/>
        </w:rPr>
        <w:t xml:space="preserve"> </w:t>
      </w:r>
      <w:r w:rsidR="00180C5D">
        <w:rPr>
          <w:lang w:val="fr-FR"/>
        </w:rPr>
        <w:t>Le facteur déterminant n’est pas la durée de la détention, mais la question de savo</w:t>
      </w:r>
      <w:r w:rsidR="007D7534">
        <w:rPr>
          <w:lang w:val="fr-FR"/>
        </w:rPr>
        <w:t>ir si les motifs</w:t>
      </w:r>
      <w:r w:rsidR="00180C5D">
        <w:rPr>
          <w:lang w:val="fr-FR"/>
        </w:rPr>
        <w:t xml:space="preserve"> </w:t>
      </w:r>
      <w:r w:rsidR="007D7534">
        <w:rPr>
          <w:lang w:val="fr-FR"/>
        </w:rPr>
        <w:t xml:space="preserve">en </w:t>
      </w:r>
      <w:r w:rsidR="00180C5D">
        <w:rPr>
          <w:lang w:val="fr-FR"/>
        </w:rPr>
        <w:t>sont justifiables</w:t>
      </w:r>
      <w:r w:rsidR="008D6B80">
        <w:rPr>
          <w:lang w:val="fr-FR"/>
        </w:rPr>
        <w:t xml:space="preserve">. </w:t>
      </w:r>
      <w:r w:rsidR="008A2CD0">
        <w:rPr>
          <w:lang w:val="fr-FR"/>
        </w:rPr>
        <w:t xml:space="preserve">En fin de compte, pour savoir si la détention est </w:t>
      </w:r>
      <w:r w:rsidR="00A619D6">
        <w:rPr>
          <w:lang w:val="fr-FR"/>
        </w:rPr>
        <w:t>«</w:t>
      </w:r>
      <w:r w:rsidR="008A2CD0">
        <w:rPr>
          <w:lang w:val="fr-FR"/>
        </w:rPr>
        <w:t>arbitraire</w:t>
      </w:r>
      <w:r w:rsidR="00A619D6">
        <w:rPr>
          <w:lang w:val="fr-FR"/>
        </w:rPr>
        <w:t>»</w:t>
      </w:r>
      <w:r w:rsidR="008A2CD0">
        <w:rPr>
          <w:lang w:val="fr-FR"/>
        </w:rPr>
        <w:t xml:space="preserve"> et constitue une infraction à l’article</w:t>
      </w:r>
      <w:r w:rsidR="00572260">
        <w:rPr>
          <w:lang w:val="fr-FR"/>
        </w:rPr>
        <w:t xml:space="preserve"> </w:t>
      </w:r>
      <w:r w:rsidR="008A2CD0">
        <w:rPr>
          <w:lang w:val="fr-FR"/>
        </w:rPr>
        <w:t>9 1) du Pacte international relatif aux droits civils et politiques, il faut examiner les princi</w:t>
      </w:r>
      <w:r w:rsidR="007D7534">
        <w:rPr>
          <w:lang w:val="fr-FR"/>
        </w:rPr>
        <w:t>paux facteurs qui la justifient</w:t>
      </w:r>
      <w:r w:rsidR="008D6B80">
        <w:rPr>
          <w:lang w:val="fr-FR"/>
        </w:rPr>
        <w:t xml:space="preserve">. </w:t>
      </w:r>
      <w:r w:rsidR="008A2CD0">
        <w:rPr>
          <w:lang w:val="fr-FR"/>
        </w:rPr>
        <w:t xml:space="preserve">Le Comité des droits de l’homme a indiqué que le critère principal, pour savoir si la détention aux fins des contrôles d’immigration est arbitraire est de savoir si elle est raisonnable, nécessaire, proportionnée, appropriée et justifiée </w:t>
      </w:r>
      <w:r w:rsidR="008871A1">
        <w:rPr>
          <w:lang w:val="fr-FR"/>
        </w:rPr>
        <w:t>à tous égards</w:t>
      </w:r>
      <w:r w:rsidR="008A2CD0">
        <w:rPr>
          <w:lang w:val="fr-FR"/>
        </w:rPr>
        <w:t>.</w:t>
      </w:r>
      <w:r w:rsidR="008A2CD0">
        <w:rPr>
          <w:rStyle w:val="FootnoteReference"/>
          <w:lang w:val="fr-FR"/>
        </w:rPr>
        <w:footnoteReference w:id="8"/>
      </w:r>
      <w:r w:rsidR="00572260">
        <w:rPr>
          <w:lang w:val="fr-FR"/>
        </w:rPr>
        <w:t xml:space="preserve"> </w:t>
      </w:r>
      <w:r w:rsidR="008871A1">
        <w:rPr>
          <w:lang w:val="fr-FR"/>
        </w:rPr>
        <w:t xml:space="preserve">En ce qui concerne la détention dans le cadre des contrôles d’immigration, le Comité des droits de l’homme a indiqué que </w:t>
      </w:r>
      <w:r w:rsidR="00A619D6">
        <w:rPr>
          <w:lang w:val="fr-FR"/>
        </w:rPr>
        <w:t>«</w:t>
      </w:r>
      <w:r w:rsidR="008871A1">
        <w:rPr>
          <w:lang w:val="fr-FR"/>
        </w:rPr>
        <w:t>le fait que la personne visée est entrée illégalement dans le pays peut indiquer qu’une enquête est nécessaire, et il peut y avoir d’autres considérations propres à l’intéressé</w:t>
      </w:r>
      <w:r w:rsidR="00095B2E">
        <w:rPr>
          <w:lang w:val="fr-FR"/>
        </w:rPr>
        <w:t>, telles que le risque de fuite et le manque de coopération qui peuvent justifier la détention pendant une période donnée.</w:t>
      </w:r>
      <w:r w:rsidR="00A619D6">
        <w:rPr>
          <w:lang w:val="fr-FR"/>
        </w:rPr>
        <w:t>»</w:t>
      </w:r>
      <w:r w:rsidR="00095B2E">
        <w:rPr>
          <w:rStyle w:val="FootnoteReference"/>
          <w:lang w:val="fr-FR"/>
        </w:rPr>
        <w:footnoteReference w:id="9"/>
      </w:r>
    </w:p>
    <w:p w:rsidR="00095B2E" w:rsidRDefault="00095B2E" w:rsidP="005D7B68">
      <w:pPr>
        <w:tabs>
          <w:tab w:val="left" w:pos="567"/>
          <w:tab w:val="left" w:pos="1134"/>
          <w:tab w:val="left" w:pos="1701"/>
          <w:tab w:val="left" w:pos="2268"/>
          <w:tab w:val="left" w:pos="2835"/>
        </w:tabs>
        <w:rPr>
          <w:lang w:val="fr-FR"/>
        </w:rPr>
      </w:pPr>
      <w:r>
        <w:rPr>
          <w:lang w:val="fr-FR"/>
        </w:rPr>
        <w:t>27</w:t>
      </w:r>
      <w:r w:rsidR="00E42058">
        <w:rPr>
          <w:lang w:val="fr-FR"/>
        </w:rPr>
        <w:t>8</w:t>
      </w:r>
      <w:r>
        <w:rPr>
          <w:lang w:val="fr-FR"/>
        </w:rPr>
        <w:t>.</w:t>
      </w:r>
      <w:r w:rsidR="001956C1">
        <w:rPr>
          <w:lang w:val="fr-FR"/>
        </w:rPr>
        <w:tab/>
        <w:t>Le gouvernement est conscient que la notion d’arbitraire signifie que la détention aux fins des contrôles d’immigration ne devrait pas être maintenue au-delà de ce qui est justifié comme étant raisonnable, nécessaire et proportionné</w:t>
      </w:r>
      <w:r w:rsidR="008D6B80">
        <w:rPr>
          <w:lang w:val="fr-FR"/>
        </w:rPr>
        <w:t xml:space="preserve">. </w:t>
      </w:r>
      <w:r w:rsidR="001956C1">
        <w:rPr>
          <w:lang w:val="fr-FR"/>
        </w:rPr>
        <w:t xml:space="preserve">Á cette fin, le gouvernement met en œuvre une politique consistant </w:t>
      </w:r>
      <w:r w:rsidR="002E0B78">
        <w:rPr>
          <w:lang w:val="fr-FR"/>
        </w:rPr>
        <w:t>à traiter les demandes de visa de protection le plus rapidement possible et s’efforce sans cesse d’y parvenir</w:t>
      </w:r>
      <w:r w:rsidR="008D6B80">
        <w:rPr>
          <w:lang w:val="fr-FR"/>
        </w:rPr>
        <w:t xml:space="preserve">. </w:t>
      </w:r>
      <w:r w:rsidR="002E0B78">
        <w:rPr>
          <w:lang w:val="fr-FR"/>
        </w:rPr>
        <w:t>La plupart des demandeurs de visa de protection ne sont pas placés en détention et restent en liberté avec un visa intérimaire pendant le traitement de leur demande de visa.</w:t>
      </w:r>
    </w:p>
    <w:p w:rsidR="00BD22E0" w:rsidRDefault="002E0B78" w:rsidP="005D7B68">
      <w:pPr>
        <w:tabs>
          <w:tab w:val="left" w:pos="567"/>
          <w:tab w:val="left" w:pos="1134"/>
          <w:tab w:val="left" w:pos="1701"/>
          <w:tab w:val="left" w:pos="2268"/>
          <w:tab w:val="left" w:pos="2835"/>
        </w:tabs>
        <w:rPr>
          <w:lang w:val="fr-FR"/>
        </w:rPr>
      </w:pPr>
      <w:r>
        <w:rPr>
          <w:lang w:val="fr-FR"/>
        </w:rPr>
        <w:t>27</w:t>
      </w:r>
      <w:r w:rsidR="00E42058">
        <w:rPr>
          <w:lang w:val="fr-FR"/>
        </w:rPr>
        <w:t>9</w:t>
      </w:r>
      <w:r>
        <w:rPr>
          <w:lang w:val="fr-FR"/>
        </w:rPr>
        <w:t>.</w:t>
      </w:r>
      <w:r>
        <w:rPr>
          <w:lang w:val="fr-FR"/>
        </w:rPr>
        <w:tab/>
      </w:r>
      <w:r w:rsidR="00311C83">
        <w:rPr>
          <w:lang w:val="fr-FR"/>
        </w:rPr>
        <w:t>Les éléments qui entrent en ligne de compte pour la détermination de la durée de la détention sont le temps nécessaire pour effectuer une évaluation efficace de la demande de visa, les résultats des procédures d’examen et, le cas échéant, le temps nécessaire pour prendre les mesures de refoulement</w:t>
      </w:r>
      <w:r w:rsidR="008D6B80">
        <w:rPr>
          <w:lang w:val="fr-FR"/>
        </w:rPr>
        <w:t xml:space="preserve">. </w:t>
      </w:r>
      <w:r w:rsidR="00311C83">
        <w:rPr>
          <w:lang w:val="fr-FR"/>
        </w:rPr>
        <w:t>Les demandes de visa de protection de personnes placées en détention dans le cadre des contrôles d’immigration bénéficient d’une priorité absolue et un certain nombre de mesures (comme</w:t>
      </w:r>
      <w:r w:rsidR="004C7962">
        <w:rPr>
          <w:lang w:val="fr-FR"/>
        </w:rPr>
        <w:t xml:space="preserve"> </w:t>
      </w:r>
      <w:r w:rsidR="004C7962" w:rsidRPr="00541472">
        <w:rPr>
          <w:lang w:val="fr-FR"/>
        </w:rPr>
        <w:t xml:space="preserve">le </w:t>
      </w:r>
      <w:r w:rsidR="00541472" w:rsidRPr="00541472">
        <w:rPr>
          <w:lang w:val="fr-FR"/>
        </w:rPr>
        <w:t>contrôle informatisé en vis-à-vis</w:t>
      </w:r>
      <w:r w:rsidR="004C7962" w:rsidRPr="00541472">
        <w:rPr>
          <w:lang w:val="fr-FR"/>
        </w:rPr>
        <w:t>,</w:t>
      </w:r>
      <w:r w:rsidR="00732D3F">
        <w:rPr>
          <w:lang w:val="fr-FR"/>
        </w:rPr>
        <w:t xml:space="preserve"> la</w:t>
      </w:r>
      <w:r w:rsidR="004C7962">
        <w:rPr>
          <w:lang w:val="fr-FR"/>
        </w:rPr>
        <w:t xml:space="preserve"> vérification de</w:t>
      </w:r>
      <w:r w:rsidR="00732D3F">
        <w:rPr>
          <w:lang w:val="fr-FR"/>
        </w:rPr>
        <w:t>s</w:t>
      </w:r>
      <w:r w:rsidR="004C7962">
        <w:rPr>
          <w:lang w:val="fr-FR"/>
        </w:rPr>
        <w:t xml:space="preserve"> références et d</w:t>
      </w:r>
      <w:r w:rsidR="00732D3F">
        <w:rPr>
          <w:lang w:val="fr-FR"/>
        </w:rPr>
        <w:t>e l</w:t>
      </w:r>
      <w:r w:rsidR="004C7962">
        <w:rPr>
          <w:lang w:val="fr-FR"/>
        </w:rPr>
        <w:t>’identité)</w:t>
      </w:r>
      <w:r w:rsidR="00B75EF8">
        <w:rPr>
          <w:lang w:val="fr-FR"/>
        </w:rPr>
        <w:t xml:space="preserve"> ont été mises en œuvre pour accélérer le traitement tout en conservant une procédure d’évaluation solide et rigoureuse</w:t>
      </w:r>
      <w:r w:rsidR="008D6B80">
        <w:rPr>
          <w:lang w:val="fr-FR"/>
        </w:rPr>
        <w:t xml:space="preserve">. </w:t>
      </w:r>
      <w:r w:rsidR="00B75EF8">
        <w:rPr>
          <w:lang w:val="fr-FR"/>
        </w:rPr>
        <w:t>D’autres modifications destinées à raccourcir le délai de traitement des demandes de visa de protection ont été apportées en 2005 (voir ci-dessous)</w:t>
      </w:r>
      <w:r w:rsidR="008D6B80">
        <w:rPr>
          <w:lang w:val="fr-FR"/>
        </w:rPr>
        <w:t xml:space="preserve">. </w:t>
      </w:r>
      <w:r w:rsidR="00C23FA1">
        <w:rPr>
          <w:lang w:val="fr-FR"/>
        </w:rPr>
        <w:t>Au </w:t>
      </w:r>
      <w:r w:rsidR="008E206E">
        <w:rPr>
          <w:lang w:val="fr-FR"/>
        </w:rPr>
        <w:t>cours de l’année 2006</w:t>
      </w:r>
      <w:r w:rsidR="00C23FA1">
        <w:rPr>
          <w:lang w:val="fr-FR"/>
        </w:rPr>
        <w:t>/</w:t>
      </w:r>
      <w:r w:rsidR="008E206E">
        <w:rPr>
          <w:lang w:val="fr-FR"/>
        </w:rPr>
        <w:t xml:space="preserve">07, les deux tiers des demandeurs de visa en rétention ont été informés de la décision relative à leur demande de protection moins de </w:t>
      </w:r>
      <w:r w:rsidR="00C23FA1">
        <w:rPr>
          <w:lang w:val="fr-FR"/>
        </w:rPr>
        <w:t>quarante</w:t>
      </w:r>
      <w:r w:rsidR="00C23FA1">
        <w:rPr>
          <w:lang w:val="fr-FR"/>
        </w:rPr>
        <w:noBreakHyphen/>
        <w:t>trois </w:t>
      </w:r>
      <w:r w:rsidR="008E206E">
        <w:rPr>
          <w:lang w:val="fr-FR"/>
        </w:rPr>
        <w:t>jours après l’avoir déposée</w:t>
      </w:r>
      <w:r w:rsidR="008D6B80">
        <w:rPr>
          <w:lang w:val="fr-FR"/>
        </w:rPr>
        <w:t xml:space="preserve">. </w:t>
      </w:r>
      <w:r w:rsidR="008E206E">
        <w:rPr>
          <w:lang w:val="fr-FR"/>
        </w:rPr>
        <w:t>Quelque 94 % des demandeurs de visa de protection ont reçu la réponse</w:t>
      </w:r>
      <w:r w:rsidR="00B364C4">
        <w:rPr>
          <w:lang w:val="fr-FR"/>
        </w:rPr>
        <w:t xml:space="preserve"> dans les </w:t>
      </w:r>
      <w:r w:rsidR="00C23FA1">
        <w:rPr>
          <w:lang w:val="fr-FR"/>
        </w:rPr>
        <w:t>quatre</w:t>
      </w:r>
      <w:r w:rsidR="00C23FA1">
        <w:rPr>
          <w:lang w:val="fr-FR"/>
        </w:rPr>
        <w:noBreakHyphen/>
        <w:t>vingt</w:t>
      </w:r>
      <w:r w:rsidR="00C23FA1">
        <w:rPr>
          <w:lang w:val="fr-FR"/>
        </w:rPr>
        <w:noBreakHyphen/>
        <w:t>dix </w:t>
      </w:r>
      <w:r w:rsidR="00B364C4">
        <w:rPr>
          <w:lang w:val="fr-FR"/>
        </w:rPr>
        <w:t>jours</w:t>
      </w:r>
      <w:r w:rsidR="008D6B80">
        <w:rPr>
          <w:lang w:val="fr-FR"/>
        </w:rPr>
        <w:t xml:space="preserve">. </w:t>
      </w:r>
      <w:r w:rsidR="00B364C4">
        <w:rPr>
          <w:lang w:val="fr-FR"/>
        </w:rPr>
        <w:t>Le</w:t>
      </w:r>
      <w:r w:rsidR="008E206E">
        <w:rPr>
          <w:lang w:val="fr-FR"/>
        </w:rPr>
        <w:t xml:space="preserve"> faible pourcentage</w:t>
      </w:r>
      <w:r w:rsidR="00B364C4">
        <w:rPr>
          <w:lang w:val="fr-FR"/>
        </w:rPr>
        <w:t xml:space="preserve"> de dépassement de ce délai a été d</w:t>
      </w:r>
      <w:r w:rsidR="00BD22E0">
        <w:rPr>
          <w:lang w:val="fr-FR"/>
        </w:rPr>
        <w:t>û à des problèmes particuliers en matière de moralité ou de sécurité requérant une investigation plus approfondie.</w:t>
      </w:r>
    </w:p>
    <w:p w:rsidR="00553122" w:rsidRDefault="00553122" w:rsidP="005D7B68">
      <w:pPr>
        <w:tabs>
          <w:tab w:val="left" w:pos="567"/>
          <w:tab w:val="left" w:pos="1134"/>
          <w:tab w:val="left" w:pos="1701"/>
          <w:tab w:val="left" w:pos="2268"/>
          <w:tab w:val="left" w:pos="2835"/>
        </w:tabs>
        <w:rPr>
          <w:bCs/>
          <w:lang w:val="fr-FR"/>
        </w:rPr>
      </w:pPr>
      <w:r>
        <w:rPr>
          <w:lang w:val="fr-FR"/>
        </w:rPr>
        <w:t>2</w:t>
      </w:r>
      <w:r w:rsidR="00E42058">
        <w:rPr>
          <w:lang w:val="fr-FR"/>
        </w:rPr>
        <w:t>80</w:t>
      </w:r>
      <w:r>
        <w:rPr>
          <w:lang w:val="fr-FR"/>
        </w:rPr>
        <w:t>.</w:t>
      </w:r>
      <w:r>
        <w:rPr>
          <w:lang w:val="fr-FR"/>
        </w:rPr>
        <w:tab/>
        <w:t>Les fonctionnaires responsables de la prise de décision concernant les visas de protection</w:t>
      </w:r>
      <w:r w:rsidR="00311C83">
        <w:rPr>
          <w:lang w:val="fr-FR"/>
        </w:rPr>
        <w:t xml:space="preserve"> </w:t>
      </w:r>
      <w:r>
        <w:rPr>
          <w:lang w:val="fr-FR"/>
        </w:rPr>
        <w:t>sont formés pour faire en sorte que toutes les demandes fassent l’objet d’un examen et de conclusions complets et objectifs avant</w:t>
      </w:r>
      <w:r w:rsidR="00311C83">
        <w:rPr>
          <w:bCs/>
          <w:lang w:val="fr-FR"/>
        </w:rPr>
        <w:t xml:space="preserve"> </w:t>
      </w:r>
      <w:r>
        <w:rPr>
          <w:bCs/>
          <w:lang w:val="fr-FR"/>
        </w:rPr>
        <w:t>de prendre leur décision</w:t>
      </w:r>
      <w:r w:rsidR="008D6B80">
        <w:rPr>
          <w:bCs/>
          <w:lang w:val="fr-FR"/>
        </w:rPr>
        <w:t xml:space="preserve">. </w:t>
      </w:r>
      <w:r>
        <w:rPr>
          <w:bCs/>
          <w:lang w:val="fr-FR"/>
        </w:rPr>
        <w:t>Après qu’il a été conclu que</w:t>
      </w:r>
      <w:r w:rsidR="00311C83">
        <w:rPr>
          <w:bCs/>
          <w:lang w:val="fr-FR"/>
        </w:rPr>
        <w:t xml:space="preserve"> </w:t>
      </w:r>
      <w:r>
        <w:rPr>
          <w:bCs/>
          <w:lang w:val="fr-FR"/>
        </w:rPr>
        <w:t>l’Australie n’a aucune obligation de protection envers tel ou tel individu, la détention de ce dernier peut être prolongée pendant qu’il exerce son droit au réexamen de ladite décision.</w:t>
      </w:r>
    </w:p>
    <w:p w:rsidR="00553122" w:rsidRDefault="00553122" w:rsidP="00F81A5E">
      <w:pPr>
        <w:keepNext/>
        <w:tabs>
          <w:tab w:val="left" w:pos="567"/>
          <w:tab w:val="left" w:pos="1134"/>
          <w:tab w:val="left" w:pos="1701"/>
          <w:tab w:val="left" w:pos="2268"/>
          <w:tab w:val="left" w:pos="2835"/>
        </w:tabs>
        <w:rPr>
          <w:b/>
          <w:lang w:val="fr-FR"/>
        </w:rPr>
      </w:pPr>
      <w:r>
        <w:rPr>
          <w:b/>
          <w:lang w:val="fr-FR"/>
        </w:rPr>
        <w:t xml:space="preserve">Amendements législatifs </w:t>
      </w:r>
      <w:r w:rsidR="00906F76">
        <w:rPr>
          <w:b/>
          <w:lang w:val="fr-FR"/>
        </w:rPr>
        <w:t xml:space="preserve">opérés </w:t>
      </w:r>
      <w:r>
        <w:rPr>
          <w:b/>
          <w:lang w:val="fr-FR"/>
        </w:rPr>
        <w:t>en 2005</w:t>
      </w:r>
    </w:p>
    <w:p w:rsidR="002E0B78" w:rsidRDefault="00E42058" w:rsidP="00F81A5E">
      <w:pPr>
        <w:keepNext/>
        <w:tabs>
          <w:tab w:val="left" w:pos="567"/>
          <w:tab w:val="left" w:pos="1134"/>
          <w:tab w:val="left" w:pos="1701"/>
          <w:tab w:val="left" w:pos="2268"/>
          <w:tab w:val="left" w:pos="2835"/>
        </w:tabs>
        <w:rPr>
          <w:bCs/>
          <w:lang w:val="fr-FR"/>
        </w:rPr>
      </w:pPr>
      <w:r>
        <w:rPr>
          <w:bCs/>
          <w:lang w:val="fr-FR"/>
        </w:rPr>
        <w:t>281</w:t>
      </w:r>
      <w:r w:rsidR="00553122">
        <w:rPr>
          <w:bCs/>
          <w:lang w:val="fr-FR"/>
        </w:rPr>
        <w:t>.</w:t>
      </w:r>
      <w:r w:rsidR="00553122">
        <w:rPr>
          <w:bCs/>
          <w:lang w:val="fr-FR"/>
        </w:rPr>
        <w:tab/>
      </w:r>
      <w:r w:rsidR="00AC066E">
        <w:rPr>
          <w:bCs/>
          <w:lang w:val="fr-FR"/>
        </w:rPr>
        <w:t>En 2005, le Gouvernement australien a annoncé un certain nombre de</w:t>
      </w:r>
      <w:r w:rsidR="00834C8D">
        <w:rPr>
          <w:bCs/>
          <w:lang w:val="fr-FR"/>
        </w:rPr>
        <w:t xml:space="preserve"> changements à la fois dans la législation et </w:t>
      </w:r>
      <w:r w:rsidR="000804CF">
        <w:rPr>
          <w:bCs/>
          <w:lang w:val="fr-FR"/>
        </w:rPr>
        <w:t xml:space="preserve">dans </w:t>
      </w:r>
      <w:r w:rsidR="00834C8D">
        <w:rPr>
          <w:bCs/>
          <w:lang w:val="fr-FR"/>
        </w:rPr>
        <w:t>le traitement des questions relatives aux personnes placées en détention dans le cadre du contrôle de l’immigration, ainsi que dans le traitement des demandes de visa de protection, à savoir</w:t>
      </w:r>
      <w:r w:rsidR="00572260">
        <w:rPr>
          <w:bCs/>
          <w:lang w:val="fr-FR"/>
        </w:rPr>
        <w:t>:</w:t>
      </w:r>
    </w:p>
    <w:p w:rsidR="00834C8D" w:rsidRDefault="00F41100" w:rsidP="005D7B68">
      <w:pPr>
        <w:tabs>
          <w:tab w:val="left" w:pos="567"/>
          <w:tab w:val="left" w:pos="1134"/>
          <w:tab w:val="left" w:pos="1701"/>
          <w:tab w:val="left" w:pos="2268"/>
          <w:tab w:val="left" w:pos="2835"/>
        </w:tabs>
        <w:rPr>
          <w:lang w:val="fr-FR"/>
        </w:rPr>
      </w:pPr>
      <w:r>
        <w:rPr>
          <w:lang w:val="fr-FR"/>
        </w:rPr>
        <w:tab/>
        <w:t>a)</w:t>
      </w:r>
      <w:r>
        <w:rPr>
          <w:lang w:val="fr-FR"/>
        </w:rPr>
        <w:tab/>
        <w:t>D</w:t>
      </w:r>
      <w:r w:rsidR="00834C8D">
        <w:rPr>
          <w:lang w:val="fr-FR"/>
        </w:rPr>
        <w:t>ans le cas où le placement en détention d’une famille</w:t>
      </w:r>
      <w:r w:rsidR="00C23FA1">
        <w:rPr>
          <w:lang w:val="fr-FR"/>
        </w:rPr>
        <w:t xml:space="preserve"> de non</w:t>
      </w:r>
      <w:r w:rsidR="00C23FA1">
        <w:rPr>
          <w:lang w:val="fr-FR"/>
        </w:rPr>
        <w:noBreakHyphen/>
      </w:r>
      <w:r w:rsidR="00C9188B">
        <w:rPr>
          <w:lang w:val="fr-FR"/>
        </w:rPr>
        <w:t>ressortissants</w:t>
      </w:r>
      <w:r w:rsidR="00F111A4">
        <w:rPr>
          <w:lang w:val="fr-FR"/>
        </w:rPr>
        <w:t xml:space="preserve"> (avec des enfants)</w:t>
      </w:r>
      <w:r w:rsidR="0064316C">
        <w:rPr>
          <w:lang w:val="fr-FR"/>
        </w:rPr>
        <w:t xml:space="preserve"> en situation irrégulière est requis au ti</w:t>
      </w:r>
      <w:r w:rsidR="00F111A4">
        <w:rPr>
          <w:lang w:val="fr-FR"/>
        </w:rPr>
        <w:t xml:space="preserve">tre de la loi sur l’immigration, cette détention devrait être organisée, sauf en dernier recours, dans le cadre d’autres dispositions (c’est-à-dire au sein de la collectivité </w:t>
      </w:r>
      <w:r w:rsidR="00A22AA2">
        <w:rPr>
          <w:lang w:val="fr-FR"/>
        </w:rPr>
        <w:t>au titre d’une assignation à résidence</w:t>
      </w:r>
      <w:r w:rsidR="000804CF">
        <w:rPr>
          <w:lang w:val="fr-FR"/>
        </w:rPr>
        <w:t xml:space="preserve"> [</w:t>
      </w:r>
      <w:r w:rsidR="00BF63E8">
        <w:rPr>
          <w:lang w:val="fr-FR"/>
        </w:rPr>
        <w:t xml:space="preserve">ce qu’on appelle maintenant </w:t>
      </w:r>
      <w:r w:rsidR="00A22AA2">
        <w:rPr>
          <w:lang w:val="fr-FR"/>
        </w:rPr>
        <w:t>dét</w:t>
      </w:r>
      <w:r w:rsidR="00213888">
        <w:rPr>
          <w:lang w:val="fr-FR"/>
        </w:rPr>
        <w:t>entio</w:t>
      </w:r>
      <w:r w:rsidR="000804CF">
        <w:rPr>
          <w:lang w:val="fr-FR"/>
        </w:rPr>
        <w:t>n au sein de la communauté]</w:t>
      </w:r>
      <w:r w:rsidR="00A22AA2">
        <w:rPr>
          <w:lang w:val="fr-FR"/>
        </w:rPr>
        <w:t xml:space="preserve"> en un lieu spécifié </w:t>
      </w:r>
      <w:r w:rsidR="00434164">
        <w:rPr>
          <w:lang w:val="fr-FR"/>
        </w:rPr>
        <w:t xml:space="preserve">et </w:t>
      </w:r>
      <w:r w:rsidR="00A22AA2">
        <w:rPr>
          <w:lang w:val="fr-FR"/>
        </w:rPr>
        <w:t>dans des conditions</w:t>
      </w:r>
      <w:r w:rsidR="00434164">
        <w:rPr>
          <w:lang w:val="fr-FR"/>
        </w:rPr>
        <w:t xml:space="preserve"> convenant à sa</w:t>
      </w:r>
      <w:r w:rsidR="00A22AA2">
        <w:rPr>
          <w:lang w:val="fr-FR"/>
        </w:rPr>
        <w:t xml:space="preserve"> situation) où il existe des possibilités et dès que possible, plutôt que dans des conditions traditionnelles</w:t>
      </w:r>
      <w:r w:rsidR="00434164">
        <w:rPr>
          <w:lang w:val="fr-FR"/>
        </w:rPr>
        <w:t xml:space="preserve"> de détention</w:t>
      </w:r>
      <w:r w:rsidR="00572260">
        <w:rPr>
          <w:lang w:val="fr-FR"/>
        </w:rPr>
        <w:t>;</w:t>
      </w:r>
    </w:p>
    <w:p w:rsidR="00434164" w:rsidRDefault="002532B0" w:rsidP="005D7B68">
      <w:pPr>
        <w:tabs>
          <w:tab w:val="left" w:pos="567"/>
          <w:tab w:val="left" w:pos="1134"/>
          <w:tab w:val="left" w:pos="1701"/>
          <w:tab w:val="left" w:pos="2268"/>
          <w:tab w:val="left" w:pos="2835"/>
        </w:tabs>
        <w:rPr>
          <w:lang w:val="fr-FR"/>
        </w:rPr>
      </w:pPr>
      <w:r>
        <w:rPr>
          <w:lang w:val="fr-FR"/>
        </w:rPr>
        <w:tab/>
        <w:t>b)</w:t>
      </w:r>
      <w:r>
        <w:rPr>
          <w:lang w:val="fr-FR"/>
        </w:rPr>
        <w:tab/>
        <w:t>L</w:t>
      </w:r>
      <w:r w:rsidR="00434164">
        <w:rPr>
          <w:lang w:val="fr-FR"/>
        </w:rPr>
        <w:t xml:space="preserve">e </w:t>
      </w:r>
      <w:r w:rsidR="008433AD">
        <w:rPr>
          <w:lang w:val="fr-FR"/>
        </w:rPr>
        <w:t>Ministère de l’immigration et de la citoyenneté</w:t>
      </w:r>
      <w:r w:rsidR="00434164">
        <w:rPr>
          <w:lang w:val="fr-FR"/>
        </w:rPr>
        <w:t xml:space="preserve"> doit statuer sur toutes les demandes de visa de protection </w:t>
      </w:r>
      <w:r w:rsidR="00434164" w:rsidRPr="00541472">
        <w:rPr>
          <w:lang w:val="fr-FR"/>
        </w:rPr>
        <w:t>init</w:t>
      </w:r>
      <w:r w:rsidR="000804CF">
        <w:rPr>
          <w:lang w:val="fr-FR"/>
        </w:rPr>
        <w:t>iales</w:t>
      </w:r>
      <w:r w:rsidR="00180793">
        <w:rPr>
          <w:color w:val="0000FF"/>
          <w:lang w:val="fr-FR"/>
        </w:rPr>
        <w:t xml:space="preserve"> </w:t>
      </w:r>
      <w:r w:rsidR="00180793" w:rsidRPr="00180793">
        <w:rPr>
          <w:lang w:val="fr-FR"/>
        </w:rPr>
        <w:t>dans le</w:t>
      </w:r>
      <w:r w:rsidR="00180793">
        <w:rPr>
          <w:lang w:val="fr-FR"/>
        </w:rPr>
        <w:t>s</w:t>
      </w:r>
      <w:r w:rsidR="00180793" w:rsidRPr="00180793">
        <w:rPr>
          <w:lang w:val="fr-FR"/>
        </w:rPr>
        <w:t xml:space="preserve"> 90 jours qui suivent</w:t>
      </w:r>
      <w:r w:rsidR="00180793">
        <w:rPr>
          <w:color w:val="0000FF"/>
          <w:lang w:val="fr-FR"/>
        </w:rPr>
        <w:t xml:space="preserve"> </w:t>
      </w:r>
      <w:r w:rsidR="00180793">
        <w:rPr>
          <w:lang w:val="fr-FR"/>
        </w:rPr>
        <w:t>leur dépôt</w:t>
      </w:r>
      <w:r w:rsidR="00572260">
        <w:rPr>
          <w:lang w:val="fr-FR"/>
        </w:rPr>
        <w:t>;</w:t>
      </w:r>
    </w:p>
    <w:p w:rsidR="00180793" w:rsidRDefault="002532B0" w:rsidP="005D7B68">
      <w:pPr>
        <w:tabs>
          <w:tab w:val="left" w:pos="567"/>
          <w:tab w:val="left" w:pos="1134"/>
          <w:tab w:val="left" w:pos="1701"/>
          <w:tab w:val="left" w:pos="2268"/>
          <w:tab w:val="left" w:pos="2835"/>
        </w:tabs>
        <w:rPr>
          <w:lang w:val="fr-FR"/>
        </w:rPr>
      </w:pPr>
      <w:r>
        <w:rPr>
          <w:lang w:val="fr-FR"/>
        </w:rPr>
        <w:tab/>
        <w:t>c)</w:t>
      </w:r>
      <w:r>
        <w:rPr>
          <w:lang w:val="fr-FR"/>
        </w:rPr>
        <w:tab/>
        <w:t>T</w:t>
      </w:r>
      <w:r w:rsidR="00180793">
        <w:rPr>
          <w:lang w:val="fr-FR"/>
        </w:rPr>
        <w:t>ous les réexamens effectués par le Tribunal de contrôle des décisions concernant les réfugiés doivent être terminés au plus tard</w:t>
      </w:r>
      <w:r>
        <w:rPr>
          <w:lang w:val="fr-FR"/>
        </w:rPr>
        <w:t xml:space="preserve"> </w:t>
      </w:r>
      <w:r w:rsidR="00180793">
        <w:rPr>
          <w:lang w:val="fr-FR"/>
        </w:rPr>
        <w:t>90 jours après la date de réception des doss</w:t>
      </w:r>
      <w:r w:rsidR="001F577B">
        <w:rPr>
          <w:lang w:val="fr-FR"/>
        </w:rPr>
        <w:t>iers concernés transmis par le Ministère</w:t>
      </w:r>
      <w:r w:rsidR="00180793">
        <w:rPr>
          <w:lang w:val="fr-FR"/>
        </w:rPr>
        <w:t xml:space="preserve"> de l’immigration et de la citoyenneté</w:t>
      </w:r>
      <w:r w:rsidR="00572260">
        <w:rPr>
          <w:lang w:val="fr-FR"/>
        </w:rPr>
        <w:t>;</w:t>
      </w:r>
    </w:p>
    <w:p w:rsidR="00180793" w:rsidRDefault="002532B0" w:rsidP="005D7B68">
      <w:pPr>
        <w:tabs>
          <w:tab w:val="left" w:pos="567"/>
          <w:tab w:val="left" w:pos="1134"/>
          <w:tab w:val="left" w:pos="1701"/>
          <w:tab w:val="left" w:pos="2268"/>
          <w:tab w:val="left" w:pos="2835"/>
        </w:tabs>
        <w:rPr>
          <w:lang w:val="fr-FR"/>
        </w:rPr>
      </w:pPr>
      <w:r>
        <w:rPr>
          <w:lang w:val="fr-FR"/>
        </w:rPr>
        <w:tab/>
        <w:t>d)</w:t>
      </w:r>
      <w:r>
        <w:rPr>
          <w:lang w:val="fr-FR"/>
        </w:rPr>
        <w:tab/>
        <w:t>D</w:t>
      </w:r>
      <w:r w:rsidR="00180793">
        <w:rPr>
          <w:lang w:val="fr-FR"/>
        </w:rPr>
        <w:t>es rapports doivent être envoyés au Parlement sur les cas dans lesquels ces délais ont été dépassés</w:t>
      </w:r>
      <w:r w:rsidR="00572260">
        <w:rPr>
          <w:lang w:val="fr-FR"/>
        </w:rPr>
        <w:t>;</w:t>
      </w:r>
    </w:p>
    <w:p w:rsidR="001F577B" w:rsidRDefault="002532B0" w:rsidP="005D7B68">
      <w:pPr>
        <w:tabs>
          <w:tab w:val="left" w:pos="567"/>
          <w:tab w:val="left" w:pos="1134"/>
          <w:tab w:val="left" w:pos="1701"/>
          <w:tab w:val="left" w:pos="2268"/>
          <w:tab w:val="left" w:pos="2835"/>
        </w:tabs>
        <w:rPr>
          <w:lang w:val="fr-FR"/>
        </w:rPr>
      </w:pPr>
      <w:r>
        <w:rPr>
          <w:lang w:val="fr-FR"/>
        </w:rPr>
        <w:tab/>
        <w:t>e)</w:t>
      </w:r>
      <w:r>
        <w:rPr>
          <w:lang w:val="fr-FR"/>
        </w:rPr>
        <w:tab/>
        <w:t>D</w:t>
      </w:r>
      <w:r w:rsidR="00180793">
        <w:rPr>
          <w:lang w:val="fr-FR"/>
        </w:rPr>
        <w:t xml:space="preserve">ans le cas où une personne a été maintenue en détention pendant deux ans ou plus, </w:t>
      </w:r>
      <w:r w:rsidR="001F577B">
        <w:rPr>
          <w:lang w:val="fr-FR"/>
        </w:rPr>
        <w:t>un rapport sur cette personne doit automatiquement être adressé tous les six mois par le Ministère de l’immigration et de la citoyenneté au Médiateur fédéral</w:t>
      </w:r>
      <w:r w:rsidR="008D6B80">
        <w:rPr>
          <w:lang w:val="fr-FR"/>
        </w:rPr>
        <w:t xml:space="preserve">. </w:t>
      </w:r>
      <w:r w:rsidR="001F577B">
        <w:rPr>
          <w:lang w:val="fr-FR"/>
        </w:rPr>
        <w:t>L’évaluation de chaque rapport faite par le Médiateur, y compris les recommandations sur la remise en liberté, ou non, de l’intéressé, sera présentée au Parlement</w:t>
      </w:r>
      <w:r w:rsidR="00572260">
        <w:rPr>
          <w:lang w:val="fr-FR"/>
        </w:rPr>
        <w:t>;</w:t>
      </w:r>
    </w:p>
    <w:p w:rsidR="00180793" w:rsidRDefault="002532B0" w:rsidP="005D7B68">
      <w:pPr>
        <w:tabs>
          <w:tab w:val="left" w:pos="567"/>
          <w:tab w:val="left" w:pos="1134"/>
          <w:tab w:val="left" w:pos="1701"/>
          <w:tab w:val="left" w:pos="2268"/>
          <w:tab w:val="left" w:pos="2835"/>
        </w:tabs>
        <w:rPr>
          <w:lang w:val="fr-FR"/>
        </w:rPr>
      </w:pPr>
      <w:r>
        <w:rPr>
          <w:lang w:val="fr-FR"/>
        </w:rPr>
        <w:tab/>
        <w:t>f)</w:t>
      </w:r>
      <w:r>
        <w:rPr>
          <w:lang w:val="fr-FR"/>
        </w:rPr>
        <w:tab/>
        <w:t>L</w:t>
      </w:r>
      <w:r w:rsidR="001F577B">
        <w:rPr>
          <w:lang w:val="fr-FR"/>
        </w:rPr>
        <w:t xml:space="preserve">a disposition relative au pouvoir </w:t>
      </w:r>
      <w:r w:rsidR="00E60AF3">
        <w:rPr>
          <w:lang w:val="fr-FR"/>
        </w:rPr>
        <w:t xml:space="preserve">supplémentaire </w:t>
      </w:r>
      <w:r w:rsidR="001F577B">
        <w:rPr>
          <w:lang w:val="fr-FR"/>
        </w:rPr>
        <w:t>non obligatoire donné au Ministre de l’immigration et de la citoyenneté</w:t>
      </w:r>
      <w:r w:rsidR="008433AD">
        <w:rPr>
          <w:lang w:val="fr-FR"/>
        </w:rPr>
        <w:t xml:space="preserve"> de prévoir des dispositions de substitution concernant les conditions de détention d’une personne</w:t>
      </w:r>
      <w:r w:rsidR="00572260">
        <w:rPr>
          <w:lang w:val="fr-FR"/>
        </w:rPr>
        <w:t>;</w:t>
      </w:r>
    </w:p>
    <w:p w:rsidR="008433AD" w:rsidRDefault="002532B0" w:rsidP="005D7B68">
      <w:pPr>
        <w:tabs>
          <w:tab w:val="left" w:pos="567"/>
          <w:tab w:val="left" w:pos="1134"/>
          <w:tab w:val="left" w:pos="1701"/>
          <w:tab w:val="left" w:pos="2268"/>
          <w:tab w:val="left" w:pos="2835"/>
        </w:tabs>
        <w:rPr>
          <w:lang w:val="fr-FR"/>
        </w:rPr>
      </w:pPr>
      <w:r>
        <w:rPr>
          <w:lang w:val="fr-FR"/>
        </w:rPr>
        <w:tab/>
        <w:t>g)</w:t>
      </w:r>
      <w:r>
        <w:rPr>
          <w:lang w:val="fr-FR"/>
        </w:rPr>
        <w:tab/>
        <w:t>L</w:t>
      </w:r>
      <w:r w:rsidR="008433AD">
        <w:rPr>
          <w:lang w:val="fr-FR"/>
        </w:rPr>
        <w:t>a disposition relative au pouvoir supplémentaire non obligatoire qu’a le Ministre de l’immigration et de la citoyenneté</w:t>
      </w:r>
      <w:r w:rsidR="005E5581">
        <w:rPr>
          <w:lang w:val="fr-FR"/>
        </w:rPr>
        <w:t xml:space="preserve"> de prendre personnellement l’initiative d’accorder un visa à une personne placée en détention</w:t>
      </w:r>
      <w:r w:rsidR="00572260">
        <w:rPr>
          <w:lang w:val="fr-FR"/>
        </w:rPr>
        <w:t>;</w:t>
      </w:r>
      <w:r w:rsidR="005E5581">
        <w:rPr>
          <w:lang w:val="fr-FR"/>
        </w:rPr>
        <w:t xml:space="preserve"> et</w:t>
      </w:r>
    </w:p>
    <w:p w:rsidR="005E5581" w:rsidRDefault="002532B0" w:rsidP="005D7B68">
      <w:pPr>
        <w:tabs>
          <w:tab w:val="left" w:pos="567"/>
          <w:tab w:val="left" w:pos="1134"/>
          <w:tab w:val="left" w:pos="1701"/>
          <w:tab w:val="left" w:pos="2268"/>
          <w:tab w:val="left" w:pos="2835"/>
        </w:tabs>
        <w:rPr>
          <w:lang w:val="fr-FR"/>
        </w:rPr>
      </w:pPr>
      <w:r>
        <w:rPr>
          <w:lang w:val="fr-FR"/>
        </w:rPr>
        <w:tab/>
        <w:t>h)</w:t>
      </w:r>
      <w:r>
        <w:rPr>
          <w:lang w:val="fr-FR"/>
        </w:rPr>
        <w:tab/>
        <w:t>L</w:t>
      </w:r>
      <w:r w:rsidR="005E5581">
        <w:rPr>
          <w:lang w:val="fr-FR"/>
        </w:rPr>
        <w:t>a modification du Règlement relatif à l’immigration de 1994 consistant à créer un nouveau visa intérimaire pour perm</w:t>
      </w:r>
      <w:r>
        <w:rPr>
          <w:lang w:val="fr-FR"/>
        </w:rPr>
        <w:t>ettre de libérer et d’intégrer dans</w:t>
      </w:r>
      <w:r w:rsidR="005E5581">
        <w:rPr>
          <w:lang w:val="fr-FR"/>
        </w:rPr>
        <w:t xml:space="preserve"> la collectivité des immigrés placés dans des centres de rétention qu’il n’est pas raisonnablement possible de refouler à ce moment</w:t>
      </w:r>
      <w:r w:rsidR="008D6B80">
        <w:rPr>
          <w:lang w:val="fr-FR"/>
        </w:rPr>
        <w:t xml:space="preserve">. </w:t>
      </w:r>
      <w:r w:rsidR="005E5581">
        <w:rPr>
          <w:lang w:val="fr-FR"/>
        </w:rPr>
        <w:t>Un visa intérimaire en instance d’expulsion peut être accordé dans le cadre du pouvoir non délégable et non obligatoire</w:t>
      </w:r>
      <w:r w:rsidR="006F1AE3">
        <w:rPr>
          <w:lang w:val="fr-FR"/>
        </w:rPr>
        <w:t xml:space="preserve"> relevant de l’intérêt public</w:t>
      </w:r>
      <w:r w:rsidR="005E5581">
        <w:rPr>
          <w:lang w:val="fr-FR"/>
        </w:rPr>
        <w:t xml:space="preserve"> qu’a le Ministre de l’immigration et de la citoyenneté</w:t>
      </w:r>
      <w:r w:rsidR="00556436">
        <w:rPr>
          <w:lang w:val="fr-FR"/>
        </w:rPr>
        <w:t xml:space="preserve"> d’accorder un visa à une personne placée en détention dans le cadre des contrôle</w:t>
      </w:r>
      <w:r w:rsidR="00EB0159">
        <w:rPr>
          <w:lang w:val="fr-FR"/>
        </w:rPr>
        <w:t>s</w:t>
      </w:r>
      <w:r w:rsidR="00556436">
        <w:rPr>
          <w:lang w:val="fr-FR"/>
        </w:rPr>
        <w:t xml:space="preserve"> d’immigration.</w:t>
      </w:r>
    </w:p>
    <w:p w:rsidR="00B244FD" w:rsidRDefault="00B244FD" w:rsidP="005D7B68">
      <w:pPr>
        <w:tabs>
          <w:tab w:val="left" w:pos="567"/>
          <w:tab w:val="left" w:pos="1134"/>
          <w:tab w:val="left" w:pos="1701"/>
          <w:tab w:val="left" w:pos="2268"/>
          <w:tab w:val="left" w:pos="2835"/>
        </w:tabs>
        <w:rPr>
          <w:lang w:val="fr-FR"/>
        </w:rPr>
      </w:pPr>
      <w:r>
        <w:rPr>
          <w:lang w:val="fr-FR"/>
        </w:rPr>
        <w:t>28</w:t>
      </w:r>
      <w:r w:rsidR="00E42058">
        <w:rPr>
          <w:lang w:val="fr-FR"/>
        </w:rPr>
        <w:t>2</w:t>
      </w:r>
      <w:r>
        <w:rPr>
          <w:lang w:val="fr-FR"/>
        </w:rPr>
        <w:t>.</w:t>
      </w:r>
      <w:r>
        <w:rPr>
          <w:lang w:val="fr-FR"/>
        </w:rPr>
        <w:tab/>
      </w:r>
      <w:r w:rsidR="007462DA">
        <w:rPr>
          <w:lang w:val="fr-FR"/>
        </w:rPr>
        <w:t>En 2005, le Gouvernement australien a aussi mis en place des</w:t>
      </w:r>
      <w:r w:rsidR="00E362A0">
        <w:rPr>
          <w:lang w:val="fr-FR"/>
        </w:rPr>
        <w:t xml:space="preserve"> </w:t>
      </w:r>
      <w:r w:rsidR="00E362A0" w:rsidRPr="002532B0">
        <w:rPr>
          <w:i/>
          <w:iCs/>
          <w:lang w:val="fr-FR"/>
        </w:rPr>
        <w:t xml:space="preserve">Detention Review Managers </w:t>
      </w:r>
      <w:r w:rsidR="002532B0">
        <w:rPr>
          <w:lang w:val="fr-FR"/>
        </w:rPr>
        <w:t>(responsables du</w:t>
      </w:r>
      <w:r w:rsidR="00E362A0">
        <w:rPr>
          <w:lang w:val="fr-FR"/>
        </w:rPr>
        <w:t xml:space="preserve"> réexamen des placements en détention)</w:t>
      </w:r>
      <w:r w:rsidR="008D6B80">
        <w:rPr>
          <w:lang w:val="fr-FR"/>
        </w:rPr>
        <w:t xml:space="preserve">. </w:t>
      </w:r>
      <w:r w:rsidR="00E362A0">
        <w:rPr>
          <w:lang w:val="fr-FR"/>
        </w:rPr>
        <w:t>Ces derniers réexaminent en toute indépendance la décision initiale de placer une personne en détention, y compris les demandeurs de visa de protection, et continuent de réexaminer régulièrement les cas des immigrants placés dans des centres de rétention</w:t>
      </w:r>
      <w:r w:rsidR="00C9188B">
        <w:rPr>
          <w:lang w:val="fr-FR"/>
        </w:rPr>
        <w:t xml:space="preserve"> pour veiller à ce que leur détention demeure légale et raisonnable.</w:t>
      </w:r>
    </w:p>
    <w:p w:rsidR="00C9188B" w:rsidRDefault="00C9188B" w:rsidP="005D7B68">
      <w:pPr>
        <w:tabs>
          <w:tab w:val="left" w:pos="567"/>
          <w:tab w:val="left" w:pos="1134"/>
          <w:tab w:val="left" w:pos="1701"/>
          <w:tab w:val="left" w:pos="2268"/>
          <w:tab w:val="left" w:pos="2835"/>
        </w:tabs>
        <w:rPr>
          <w:lang w:val="fr-FR"/>
        </w:rPr>
      </w:pPr>
      <w:r>
        <w:rPr>
          <w:lang w:val="fr-FR"/>
        </w:rPr>
        <w:t>28</w:t>
      </w:r>
      <w:r w:rsidR="00E42058">
        <w:rPr>
          <w:lang w:val="fr-FR"/>
        </w:rPr>
        <w:t>3</w:t>
      </w:r>
      <w:r>
        <w:rPr>
          <w:lang w:val="fr-FR"/>
        </w:rPr>
        <w:t>.</w:t>
      </w:r>
      <w:r>
        <w:rPr>
          <w:lang w:val="fr-FR"/>
        </w:rPr>
        <w:tab/>
      </w:r>
      <w:r w:rsidR="00F31DB9">
        <w:rPr>
          <w:lang w:val="fr-FR"/>
        </w:rPr>
        <w:t>Il est prévu que l</w:t>
      </w:r>
      <w:r w:rsidR="00C23FA1">
        <w:rPr>
          <w:lang w:val="fr-FR"/>
        </w:rPr>
        <w:t>a détention des non</w:t>
      </w:r>
      <w:r w:rsidR="00C23FA1">
        <w:rPr>
          <w:lang w:val="fr-FR"/>
        </w:rPr>
        <w:noBreakHyphen/>
      </w:r>
      <w:r>
        <w:rPr>
          <w:lang w:val="fr-FR"/>
        </w:rPr>
        <w:t>ressortissants en situation irrégulière</w:t>
      </w:r>
      <w:r w:rsidR="00F31DB9">
        <w:rPr>
          <w:lang w:val="fr-FR"/>
        </w:rPr>
        <w:t>, y compris les demandeurs d’asile qui sont également des non</w:t>
      </w:r>
      <w:r w:rsidR="00C23FA1">
        <w:rPr>
          <w:lang w:val="fr-FR"/>
        </w:rPr>
        <w:noBreakHyphen/>
      </w:r>
      <w:r w:rsidR="00F31DB9">
        <w:rPr>
          <w:lang w:val="fr-FR"/>
        </w:rPr>
        <w:t xml:space="preserve">ressortissants, doit être adaptée aux fins recherchées, à savoir permettre au Gouvernement australien d’effectuer des contrôles de santé, de moralité et de sécurité, </w:t>
      </w:r>
      <w:r w:rsidR="00422FF1">
        <w:rPr>
          <w:lang w:val="fr-FR"/>
        </w:rPr>
        <w:t>d’évaluer toutes les demandes</w:t>
      </w:r>
      <w:r w:rsidR="00314921">
        <w:rPr>
          <w:lang w:val="fr-FR"/>
        </w:rPr>
        <w:t xml:space="preserve"> faites pour être autorisé à demeurer</w:t>
      </w:r>
      <w:r w:rsidR="00422FF1">
        <w:rPr>
          <w:lang w:val="fr-FR"/>
        </w:rPr>
        <w:t xml:space="preserve"> en Australie, d’assurer un exercice sérieux du droit de l’Australie à empêcher l’entrée des requérants dans le pays dans l’attente de ces évaluations et de faire en sorte que le refoulement puisse être opéré s’il est constaté qu’ils ne répondent pas aux critères imposés pour obtenir un visa les autorisant à demeurer en Australie</w:t>
      </w:r>
      <w:r w:rsidR="008D6B80">
        <w:rPr>
          <w:lang w:val="fr-FR"/>
        </w:rPr>
        <w:t xml:space="preserve">. </w:t>
      </w:r>
      <w:r w:rsidR="00314921">
        <w:rPr>
          <w:lang w:val="fr-FR"/>
        </w:rPr>
        <w:t xml:space="preserve">Le Gouvernement australien </w:t>
      </w:r>
      <w:r w:rsidR="00145A1B">
        <w:rPr>
          <w:lang w:val="fr-FR"/>
        </w:rPr>
        <w:t>rejette toute</w:t>
      </w:r>
      <w:r w:rsidR="00B95DDB">
        <w:rPr>
          <w:lang w:val="fr-FR"/>
        </w:rPr>
        <w:t xml:space="preserve"> insinuation tendant à faire croire que la détention, sur son territoire, de personnes dans le cadre des contrôles d’immigration est arbitraire.</w:t>
      </w:r>
    </w:p>
    <w:p w:rsidR="00E15E74" w:rsidRDefault="002A7325" w:rsidP="00D4407B">
      <w:pPr>
        <w:keepNext/>
        <w:tabs>
          <w:tab w:val="left" w:pos="567"/>
          <w:tab w:val="left" w:pos="1134"/>
          <w:tab w:val="left" w:pos="1701"/>
          <w:tab w:val="left" w:pos="2268"/>
          <w:tab w:val="left" w:pos="2835"/>
        </w:tabs>
        <w:jc w:val="center"/>
        <w:rPr>
          <w:b/>
          <w:bCs/>
          <w:lang w:val="fr-FR"/>
        </w:rPr>
      </w:pPr>
      <w:r>
        <w:rPr>
          <w:b/>
          <w:bCs/>
          <w:lang w:val="fr-FR"/>
        </w:rPr>
        <w:t>ARTICLE</w:t>
      </w:r>
      <w:r w:rsidR="00F81A5E">
        <w:rPr>
          <w:b/>
          <w:bCs/>
          <w:lang w:val="fr-FR"/>
        </w:rPr>
        <w:t xml:space="preserve"> </w:t>
      </w:r>
      <w:r w:rsidR="00E15E74">
        <w:rPr>
          <w:b/>
          <w:bCs/>
          <w:lang w:val="fr-FR"/>
        </w:rPr>
        <w:t>3</w:t>
      </w:r>
    </w:p>
    <w:p w:rsidR="00E15E74" w:rsidRDefault="00E15E74" w:rsidP="00D4407B">
      <w:pPr>
        <w:keepNext/>
        <w:tabs>
          <w:tab w:val="left" w:pos="567"/>
          <w:tab w:val="left" w:pos="1134"/>
          <w:tab w:val="left" w:pos="1701"/>
          <w:tab w:val="left" w:pos="2268"/>
          <w:tab w:val="left" w:pos="2835"/>
        </w:tabs>
        <w:rPr>
          <w:b/>
          <w:bCs/>
          <w:lang w:val="fr-FR"/>
        </w:rPr>
      </w:pPr>
      <w:r>
        <w:rPr>
          <w:b/>
          <w:bCs/>
          <w:lang w:val="fr-FR"/>
        </w:rPr>
        <w:t>Question 7</w:t>
      </w:r>
    </w:p>
    <w:p w:rsidR="00575C7D" w:rsidRPr="00575C7D" w:rsidRDefault="009030A8" w:rsidP="00D4407B">
      <w:pPr>
        <w:keepNext/>
        <w:tabs>
          <w:tab w:val="left" w:pos="567"/>
          <w:tab w:val="left" w:pos="1134"/>
          <w:tab w:val="left" w:pos="1701"/>
          <w:tab w:val="left" w:pos="2268"/>
          <w:tab w:val="left" w:pos="2835"/>
        </w:tabs>
        <w:rPr>
          <w:b/>
          <w:bCs/>
          <w:lang w:val="fr-FR"/>
        </w:rPr>
      </w:pPr>
      <w:r>
        <w:rPr>
          <w:b/>
          <w:bCs/>
          <w:lang w:val="fr-FR"/>
        </w:rPr>
        <w:tab/>
      </w:r>
      <w:r w:rsidR="00575C7D" w:rsidRPr="00575C7D">
        <w:rPr>
          <w:b/>
          <w:bCs/>
          <w:lang w:val="fr-FR"/>
        </w:rPr>
        <w:t>Concernant la rétention d’immigrants, prière d’indiquer:</w:t>
      </w:r>
    </w:p>
    <w:p w:rsidR="00575C7D" w:rsidRDefault="006F1D2F" w:rsidP="00D4407B">
      <w:pPr>
        <w:keepNext/>
        <w:tabs>
          <w:tab w:val="left" w:pos="567"/>
          <w:tab w:val="left" w:pos="1134"/>
          <w:tab w:val="left" w:pos="1701"/>
          <w:tab w:val="left" w:pos="2268"/>
          <w:tab w:val="left" w:pos="2835"/>
        </w:tabs>
        <w:rPr>
          <w:b/>
          <w:bCs/>
          <w:lang w:val="fr-FR"/>
        </w:rPr>
      </w:pPr>
      <w:r>
        <w:rPr>
          <w:b/>
          <w:bCs/>
          <w:lang w:val="fr-FR"/>
        </w:rPr>
        <w:tab/>
        <w:t>a)</w:t>
      </w:r>
      <w:r>
        <w:rPr>
          <w:b/>
          <w:bCs/>
          <w:lang w:val="fr-FR"/>
        </w:rPr>
        <w:tab/>
      </w:r>
      <w:r w:rsidR="00575C7D" w:rsidRPr="00575C7D">
        <w:rPr>
          <w:b/>
          <w:bCs/>
          <w:lang w:val="fr-FR"/>
        </w:rPr>
        <w:t>Quels sont les recours accessibles pour contester la légalité de la rétention d’immigrants;</w:t>
      </w:r>
    </w:p>
    <w:p w:rsidR="00575C7D" w:rsidRDefault="00575C7D" w:rsidP="00D4407B">
      <w:pPr>
        <w:keepNext/>
        <w:tabs>
          <w:tab w:val="left" w:pos="567"/>
          <w:tab w:val="left" w:pos="1134"/>
          <w:tab w:val="left" w:pos="1701"/>
          <w:tab w:val="left" w:pos="2268"/>
          <w:tab w:val="left" w:pos="2835"/>
        </w:tabs>
        <w:rPr>
          <w:lang w:val="fr-FR"/>
        </w:rPr>
      </w:pPr>
      <w:r>
        <w:rPr>
          <w:lang w:val="fr-FR"/>
        </w:rPr>
        <w:t>28</w:t>
      </w:r>
      <w:r w:rsidR="00E42058">
        <w:rPr>
          <w:lang w:val="fr-FR"/>
        </w:rPr>
        <w:t>4</w:t>
      </w:r>
      <w:r>
        <w:rPr>
          <w:lang w:val="fr-FR"/>
        </w:rPr>
        <w:t>.</w:t>
      </w:r>
      <w:r>
        <w:rPr>
          <w:lang w:val="fr-FR"/>
        </w:rPr>
        <w:tab/>
        <w:t>La légalité de la rétention d’immigrants peut être contestée de différentes manières</w:t>
      </w:r>
      <w:r w:rsidR="00572260">
        <w:rPr>
          <w:lang w:val="fr-FR"/>
        </w:rPr>
        <w:t>:</w:t>
      </w:r>
    </w:p>
    <w:p w:rsidR="00575C7D" w:rsidRDefault="00E75B19" w:rsidP="00D4407B">
      <w:pPr>
        <w:keepNext/>
        <w:tabs>
          <w:tab w:val="left" w:pos="567"/>
          <w:tab w:val="left" w:pos="1134"/>
          <w:tab w:val="left" w:pos="1701"/>
          <w:tab w:val="left" w:pos="2268"/>
          <w:tab w:val="left" w:pos="2835"/>
        </w:tabs>
        <w:rPr>
          <w:lang w:val="fr-FR"/>
        </w:rPr>
      </w:pPr>
      <w:r>
        <w:rPr>
          <w:lang w:val="fr-FR"/>
        </w:rPr>
        <w:tab/>
        <w:t>a)</w:t>
      </w:r>
      <w:r>
        <w:rPr>
          <w:lang w:val="fr-FR"/>
        </w:rPr>
        <w:tab/>
        <w:t>I</w:t>
      </w:r>
      <w:r w:rsidR="00575C7D">
        <w:rPr>
          <w:lang w:val="fr-FR"/>
        </w:rPr>
        <w:t>l est possible de solliciter</w:t>
      </w:r>
      <w:r>
        <w:rPr>
          <w:lang w:val="fr-FR"/>
        </w:rPr>
        <w:t>,</w:t>
      </w:r>
      <w:r w:rsidR="00575C7D">
        <w:rPr>
          <w:lang w:val="fr-FR"/>
        </w:rPr>
        <w:t xml:space="preserve"> </w:t>
      </w:r>
      <w:r>
        <w:rPr>
          <w:lang w:val="fr-FR"/>
        </w:rPr>
        <w:t xml:space="preserve">au titre de l’article 189 de la loi de 1958 sur l’immigration, </w:t>
      </w:r>
      <w:r w:rsidR="00575C7D">
        <w:rPr>
          <w:lang w:val="fr-FR"/>
        </w:rPr>
        <w:t>un réexamen judiciaire de l’exercice du pouvoir de détention</w:t>
      </w:r>
      <w:r w:rsidR="00A911E1">
        <w:rPr>
          <w:lang w:val="fr-FR"/>
        </w:rPr>
        <w:t xml:space="preserve"> auprès du </w:t>
      </w:r>
      <w:r w:rsidR="00A911E1" w:rsidRPr="002532B0">
        <w:rPr>
          <w:i/>
          <w:iCs/>
          <w:lang w:val="fr-FR"/>
        </w:rPr>
        <w:t>Federal Magistrates Court</w:t>
      </w:r>
      <w:r w:rsidR="00A911E1">
        <w:rPr>
          <w:lang w:val="fr-FR"/>
        </w:rPr>
        <w:t xml:space="preserve"> </w:t>
      </w:r>
      <w:r w:rsidR="002532B0">
        <w:rPr>
          <w:lang w:val="fr-FR"/>
        </w:rPr>
        <w:t xml:space="preserve">(Tribunal fédéral de première instance) </w:t>
      </w:r>
      <w:r w:rsidR="00A911E1">
        <w:rPr>
          <w:lang w:val="fr-FR"/>
        </w:rPr>
        <w:t>(avec</w:t>
      </w:r>
      <w:r w:rsidR="008725C1">
        <w:rPr>
          <w:lang w:val="fr-FR"/>
        </w:rPr>
        <w:t xml:space="preserve"> recours possible auprès de la </w:t>
      </w:r>
      <w:r w:rsidR="002532B0">
        <w:rPr>
          <w:lang w:val="fr-FR"/>
        </w:rPr>
        <w:t>Cour fédérale</w:t>
      </w:r>
      <w:r w:rsidR="002532B0">
        <w:rPr>
          <w:i/>
          <w:iCs/>
          <w:lang w:val="fr-FR"/>
        </w:rPr>
        <w:t xml:space="preserve"> </w:t>
      </w:r>
      <w:r w:rsidR="00A911E1">
        <w:rPr>
          <w:lang w:val="fr-FR"/>
        </w:rPr>
        <w:t xml:space="preserve">et </w:t>
      </w:r>
      <w:r w:rsidR="00720252">
        <w:rPr>
          <w:lang w:val="fr-FR"/>
        </w:rPr>
        <w:t xml:space="preserve">de la </w:t>
      </w:r>
      <w:r w:rsidR="008725C1" w:rsidRPr="002532B0">
        <w:rPr>
          <w:lang w:val="fr-FR"/>
        </w:rPr>
        <w:t>Haute Cour</w:t>
      </w:r>
      <w:r w:rsidR="002532B0">
        <w:rPr>
          <w:i/>
          <w:iCs/>
          <w:lang w:val="fr-FR"/>
        </w:rPr>
        <w:t>)</w:t>
      </w:r>
      <w:r w:rsidR="00A911E1">
        <w:rPr>
          <w:lang w:val="fr-FR"/>
        </w:rPr>
        <w:t>.</w:t>
      </w:r>
    </w:p>
    <w:p w:rsidR="00A911E1" w:rsidRDefault="00A911E1" w:rsidP="00D4407B">
      <w:pPr>
        <w:keepNext/>
        <w:tabs>
          <w:tab w:val="left" w:pos="567"/>
          <w:tab w:val="left" w:pos="1134"/>
          <w:tab w:val="left" w:pos="1701"/>
          <w:tab w:val="left" w:pos="2268"/>
          <w:tab w:val="left" w:pos="2835"/>
        </w:tabs>
        <w:rPr>
          <w:lang w:val="fr-FR"/>
        </w:rPr>
      </w:pPr>
      <w:r>
        <w:rPr>
          <w:lang w:val="fr-FR"/>
        </w:rPr>
        <w:tab/>
        <w:t>b)</w:t>
      </w:r>
      <w:r>
        <w:rPr>
          <w:lang w:val="fr-FR"/>
        </w:rPr>
        <w:tab/>
      </w:r>
      <w:r w:rsidR="00720252">
        <w:rPr>
          <w:lang w:val="fr-FR"/>
        </w:rPr>
        <w:t>Le réexamen judiciai</w:t>
      </w:r>
      <w:r w:rsidR="00E75B19">
        <w:rPr>
          <w:lang w:val="fr-FR"/>
        </w:rPr>
        <w:t>re peut également être demandé</w:t>
      </w:r>
      <w:r w:rsidR="00720252">
        <w:rPr>
          <w:lang w:val="fr-FR"/>
        </w:rPr>
        <w:t xml:space="preserve"> directement auprès de la </w:t>
      </w:r>
      <w:r w:rsidR="008725C1">
        <w:rPr>
          <w:lang w:val="fr-FR"/>
        </w:rPr>
        <w:t>Haute Cour</w:t>
      </w:r>
      <w:r w:rsidR="00720252" w:rsidRPr="00720252">
        <w:rPr>
          <w:lang w:val="fr-FR"/>
        </w:rPr>
        <w:t xml:space="preserve"> statuant en première instance</w:t>
      </w:r>
      <w:r w:rsidR="00AB633E">
        <w:rPr>
          <w:lang w:val="fr-FR"/>
        </w:rPr>
        <w:t>, ce qui est consacré par la Constitution australienne.</w:t>
      </w:r>
    </w:p>
    <w:p w:rsidR="00AB633E" w:rsidRDefault="00AB633E" w:rsidP="00D4407B">
      <w:pPr>
        <w:keepNext/>
        <w:tabs>
          <w:tab w:val="left" w:pos="567"/>
          <w:tab w:val="left" w:pos="1134"/>
          <w:tab w:val="left" w:pos="1701"/>
          <w:tab w:val="left" w:pos="2268"/>
          <w:tab w:val="left" w:pos="2835"/>
        </w:tabs>
        <w:rPr>
          <w:lang w:val="fr-FR"/>
        </w:rPr>
      </w:pPr>
      <w:r>
        <w:rPr>
          <w:lang w:val="fr-FR"/>
        </w:rPr>
        <w:tab/>
        <w:t>c)</w:t>
      </w:r>
      <w:r>
        <w:rPr>
          <w:lang w:val="fr-FR"/>
        </w:rPr>
        <w:tab/>
        <w:t>En outre, une ordonnance d’habeas corpus pe</w:t>
      </w:r>
      <w:r w:rsidR="008725C1">
        <w:rPr>
          <w:lang w:val="fr-FR"/>
        </w:rPr>
        <w:t>ut être sollicitée auprès de la Haute Cour, de la Cour fédérale</w:t>
      </w:r>
      <w:r w:rsidR="00322D9E">
        <w:rPr>
          <w:lang w:val="fr-FR"/>
        </w:rPr>
        <w:t xml:space="preserve"> ou de la Cour</w:t>
      </w:r>
      <w:r w:rsidR="002532B0">
        <w:rPr>
          <w:lang w:val="fr-FR"/>
        </w:rPr>
        <w:t xml:space="preserve"> s</w:t>
      </w:r>
      <w:r w:rsidR="00322D9E">
        <w:rPr>
          <w:lang w:val="fr-FR"/>
        </w:rPr>
        <w:t>uprême</w:t>
      </w:r>
      <w:r>
        <w:rPr>
          <w:lang w:val="fr-FR"/>
        </w:rPr>
        <w:t xml:space="preserve"> des États.</w:t>
      </w:r>
    </w:p>
    <w:p w:rsidR="00AB633E" w:rsidRDefault="00AB633E" w:rsidP="00D4407B">
      <w:pPr>
        <w:keepNext/>
        <w:tabs>
          <w:tab w:val="left" w:pos="567"/>
          <w:tab w:val="left" w:pos="1134"/>
          <w:tab w:val="left" w:pos="1701"/>
          <w:tab w:val="left" w:pos="2268"/>
          <w:tab w:val="left" w:pos="2835"/>
        </w:tabs>
        <w:rPr>
          <w:lang w:val="fr-FR"/>
        </w:rPr>
      </w:pPr>
      <w:r>
        <w:rPr>
          <w:lang w:val="fr-FR"/>
        </w:rPr>
        <w:tab/>
        <w:t>d)</w:t>
      </w:r>
      <w:r>
        <w:rPr>
          <w:lang w:val="fr-FR"/>
        </w:rPr>
        <w:tab/>
        <w:t>Les immigrants placés en ré</w:t>
      </w:r>
      <w:r w:rsidR="00E75B19">
        <w:rPr>
          <w:lang w:val="fr-FR"/>
        </w:rPr>
        <w:t>tention peuvent aussi demander</w:t>
      </w:r>
      <w:r>
        <w:rPr>
          <w:lang w:val="fr-FR"/>
        </w:rPr>
        <w:t xml:space="preserve"> le réexamen de la décision de refus ou d’annulation du visa (ce qui signifie qu’ils sont susceptibles d’être placés en détention s’ils ne sont pas titulaires d’un autre visa)</w:t>
      </w:r>
      <w:r w:rsidR="008D6B80">
        <w:rPr>
          <w:lang w:val="fr-FR"/>
        </w:rPr>
        <w:t xml:space="preserve">. </w:t>
      </w:r>
      <w:r w:rsidR="006F3518">
        <w:rPr>
          <w:lang w:val="fr-FR"/>
        </w:rPr>
        <w:t>Habituellement, il est possible d’obtenir un examen au fond (par</w:t>
      </w:r>
      <w:r w:rsidR="00AC7C39">
        <w:rPr>
          <w:lang w:val="fr-FR"/>
        </w:rPr>
        <w:t xml:space="preserve"> le Tribunal de contr</w:t>
      </w:r>
      <w:r w:rsidR="00E63D82">
        <w:rPr>
          <w:lang w:val="fr-FR"/>
        </w:rPr>
        <w:t>ôle des déci</w:t>
      </w:r>
      <w:r w:rsidR="00AC7C39">
        <w:rPr>
          <w:lang w:val="fr-FR"/>
        </w:rPr>
        <w:t>sions concernant les étrangers,</w:t>
      </w:r>
      <w:r w:rsidR="00E63D82">
        <w:rPr>
          <w:lang w:val="fr-FR"/>
        </w:rPr>
        <w:t xml:space="preserve"> le tribunal chargé de se prononcer sur les questions de migration ou le Tribunal des recours administratifs, selon le type de visa et la raison du refus)</w:t>
      </w:r>
      <w:r w:rsidR="008D6B80">
        <w:rPr>
          <w:lang w:val="fr-FR"/>
        </w:rPr>
        <w:t xml:space="preserve">. </w:t>
      </w:r>
      <w:r w:rsidR="00E63D82">
        <w:rPr>
          <w:lang w:val="fr-FR"/>
        </w:rPr>
        <w:t xml:space="preserve">Il est également possible de solliciter un réexamen judiciaire (auprès de la </w:t>
      </w:r>
      <w:r w:rsidR="00E63D82" w:rsidRPr="00E63D82">
        <w:rPr>
          <w:i/>
          <w:iCs/>
          <w:lang w:val="fr-FR"/>
        </w:rPr>
        <w:t>Federal Magistrates Court</w:t>
      </w:r>
      <w:r w:rsidR="00530B75">
        <w:rPr>
          <w:i/>
          <w:iCs/>
          <w:lang w:val="fr-FR"/>
        </w:rPr>
        <w:t xml:space="preserve"> </w:t>
      </w:r>
      <w:r w:rsidR="005D6AAD">
        <w:rPr>
          <w:lang w:val="fr-FR"/>
        </w:rPr>
        <w:t>(</w:t>
      </w:r>
      <w:r w:rsidR="00530B75">
        <w:rPr>
          <w:lang w:val="fr-FR"/>
        </w:rPr>
        <w:t>tribun</w:t>
      </w:r>
      <w:r w:rsidR="005D6AAD">
        <w:rPr>
          <w:lang w:val="fr-FR"/>
        </w:rPr>
        <w:t>al fédéral de première instance)</w:t>
      </w:r>
      <w:r w:rsidR="008725C1">
        <w:rPr>
          <w:lang w:val="fr-FR"/>
        </w:rPr>
        <w:t>, de la Cour fédérale ou de la Haute Cour</w:t>
      </w:r>
      <w:r w:rsidR="00E63D82">
        <w:rPr>
          <w:lang w:val="fr-FR"/>
        </w:rPr>
        <w:t>, ou des deux, ainsi qu’il a été indiqué plus haut).</w:t>
      </w:r>
      <w:r w:rsidR="00AC7C39">
        <w:rPr>
          <w:lang w:val="fr-FR"/>
        </w:rPr>
        <w:t xml:space="preserve"> </w:t>
      </w:r>
    </w:p>
    <w:p w:rsidR="00C55A55" w:rsidRDefault="00C55A55" w:rsidP="00D4407B">
      <w:pPr>
        <w:keepNext/>
        <w:tabs>
          <w:tab w:val="left" w:pos="567"/>
          <w:tab w:val="left" w:pos="1134"/>
          <w:tab w:val="left" w:pos="1701"/>
          <w:tab w:val="left" w:pos="2268"/>
          <w:tab w:val="left" w:pos="2835"/>
        </w:tabs>
        <w:ind w:firstLine="567"/>
        <w:rPr>
          <w:b/>
          <w:bCs/>
          <w:lang w:val="fr-FR"/>
        </w:rPr>
      </w:pPr>
      <w:r w:rsidRPr="00C55A55">
        <w:rPr>
          <w:b/>
          <w:bCs/>
          <w:lang w:val="fr-FR"/>
        </w:rPr>
        <w:t>b)</w:t>
      </w:r>
      <w:r w:rsidRPr="00C55A55">
        <w:rPr>
          <w:b/>
          <w:bCs/>
          <w:lang w:val="fr-FR"/>
        </w:rPr>
        <w:tab/>
        <w:t xml:space="preserve">Si une assistance juridique est proposée aux détenus en difficulté financière; </w:t>
      </w:r>
    </w:p>
    <w:p w:rsidR="00E63D82" w:rsidRDefault="00E63D82" w:rsidP="00D4407B">
      <w:pPr>
        <w:keepNext/>
        <w:tabs>
          <w:tab w:val="left" w:pos="567"/>
          <w:tab w:val="left" w:pos="1134"/>
          <w:tab w:val="left" w:pos="1701"/>
          <w:tab w:val="left" w:pos="2268"/>
          <w:tab w:val="left" w:pos="2835"/>
        </w:tabs>
        <w:rPr>
          <w:lang w:val="fr-FR"/>
        </w:rPr>
      </w:pPr>
      <w:r>
        <w:rPr>
          <w:lang w:val="fr-FR"/>
        </w:rPr>
        <w:t>28</w:t>
      </w:r>
      <w:r w:rsidR="00E42058">
        <w:rPr>
          <w:lang w:val="fr-FR"/>
        </w:rPr>
        <w:t>5</w:t>
      </w:r>
      <w:r>
        <w:rPr>
          <w:lang w:val="fr-FR"/>
        </w:rPr>
        <w:t>.</w:t>
      </w:r>
      <w:r>
        <w:rPr>
          <w:lang w:val="fr-FR"/>
        </w:rPr>
        <w:tab/>
        <w:t>Les immigrants placés en rétention</w:t>
      </w:r>
      <w:r w:rsidR="00530B75">
        <w:rPr>
          <w:lang w:val="fr-FR"/>
        </w:rPr>
        <w:t xml:space="preserve"> sont informés de leur droit de consulter un conseil juridique.</w:t>
      </w:r>
    </w:p>
    <w:p w:rsidR="00530B75" w:rsidRDefault="00530B75" w:rsidP="00D4407B">
      <w:pPr>
        <w:keepNext/>
        <w:tabs>
          <w:tab w:val="left" w:pos="567"/>
          <w:tab w:val="left" w:pos="1134"/>
          <w:tab w:val="left" w:pos="1701"/>
          <w:tab w:val="left" w:pos="2268"/>
          <w:tab w:val="left" w:pos="2835"/>
        </w:tabs>
        <w:rPr>
          <w:lang w:val="fr-FR"/>
        </w:rPr>
      </w:pPr>
      <w:r>
        <w:rPr>
          <w:lang w:val="fr-FR"/>
        </w:rPr>
        <w:t>28</w:t>
      </w:r>
      <w:r w:rsidR="00E42058">
        <w:rPr>
          <w:lang w:val="fr-FR"/>
        </w:rPr>
        <w:t>6</w:t>
      </w:r>
      <w:r>
        <w:rPr>
          <w:lang w:val="fr-FR"/>
        </w:rPr>
        <w:t>.</w:t>
      </w:r>
      <w:r>
        <w:rPr>
          <w:lang w:val="fr-FR"/>
        </w:rPr>
        <w:tab/>
        <w:t xml:space="preserve">Il est possible d’obtenir une assistance juridique financée par des fonds publics pour contester la légalité d’un placement en détention dans le cadre des contrôles d’immigration et, comme le prescrit la loi sur l’immigration, tout </w:t>
      </w:r>
      <w:r w:rsidR="0062710A">
        <w:rPr>
          <w:lang w:val="fr-FR"/>
        </w:rPr>
        <w:t>immigré placé en détention qui le demande se voit accorder toutes les facilités raisonnables pour pouvoir consulter un conseil juridique ou introduire une action en justice contre son placement en détention</w:t>
      </w:r>
      <w:r w:rsidR="008D6B80">
        <w:rPr>
          <w:lang w:val="fr-FR"/>
        </w:rPr>
        <w:t xml:space="preserve">. </w:t>
      </w:r>
      <w:r w:rsidR="0062710A">
        <w:rPr>
          <w:lang w:val="fr-FR"/>
        </w:rPr>
        <w:t>Les détenus peuvent également obtenir gratuitement des avis juridiques</w:t>
      </w:r>
      <w:r w:rsidR="00FA3EF8">
        <w:rPr>
          <w:lang w:val="fr-FR"/>
        </w:rPr>
        <w:t xml:space="preserve"> et une représentation en justice par des avocats commis d’office.</w:t>
      </w:r>
    </w:p>
    <w:p w:rsidR="005B169B" w:rsidRDefault="005B169B" w:rsidP="00D4407B">
      <w:pPr>
        <w:keepNext/>
        <w:tabs>
          <w:tab w:val="left" w:pos="567"/>
          <w:tab w:val="left" w:pos="1134"/>
          <w:tab w:val="left" w:pos="1701"/>
          <w:tab w:val="left" w:pos="2268"/>
          <w:tab w:val="left" w:pos="2835"/>
        </w:tabs>
        <w:rPr>
          <w:lang w:val="fr-FR"/>
        </w:rPr>
      </w:pPr>
      <w:r>
        <w:rPr>
          <w:lang w:val="fr-FR"/>
        </w:rPr>
        <w:t>28</w:t>
      </w:r>
      <w:r w:rsidR="00E42058">
        <w:rPr>
          <w:lang w:val="fr-FR"/>
        </w:rPr>
        <w:t>7</w:t>
      </w:r>
      <w:r>
        <w:rPr>
          <w:lang w:val="fr-FR"/>
        </w:rPr>
        <w:t>.</w:t>
      </w:r>
      <w:r>
        <w:rPr>
          <w:lang w:val="fr-FR"/>
        </w:rPr>
        <w:tab/>
        <w:t>Les demandeurs de visas de protection placés dans des centres de rétention ont accès gratuitement à des services professionnels d’aide à la migration</w:t>
      </w:r>
      <w:r w:rsidR="00B87DBC">
        <w:rPr>
          <w:lang w:val="fr-FR"/>
        </w:rPr>
        <w:t>,</w:t>
      </w:r>
      <w:r>
        <w:rPr>
          <w:lang w:val="fr-FR"/>
        </w:rPr>
        <w:t xml:space="preserve"> dans le cadre d’un programme d’assistance aux demandeurs</w:t>
      </w:r>
      <w:r w:rsidR="00B87DBC">
        <w:rPr>
          <w:lang w:val="fr-FR"/>
        </w:rPr>
        <w:t xml:space="preserve"> et de conseils en matière d’immigration, </w:t>
      </w:r>
      <w:r w:rsidR="00322D9E">
        <w:rPr>
          <w:lang w:val="fr-FR"/>
        </w:rPr>
        <w:t>pour la préparation, le dépôt</w:t>
      </w:r>
      <w:r w:rsidR="00B87DBC">
        <w:rPr>
          <w:lang w:val="fr-FR"/>
        </w:rPr>
        <w:t>, la présentation d’une demande de visa de protection et de demandes de réexamen au fond de toute décision de refus auprès du tribunal compétent.</w:t>
      </w:r>
    </w:p>
    <w:p w:rsidR="00B87DBC" w:rsidRDefault="00B87DBC" w:rsidP="00D4407B">
      <w:pPr>
        <w:keepNext/>
        <w:tabs>
          <w:tab w:val="left" w:pos="567"/>
          <w:tab w:val="left" w:pos="1134"/>
          <w:tab w:val="left" w:pos="1701"/>
          <w:tab w:val="left" w:pos="2268"/>
          <w:tab w:val="left" w:pos="2835"/>
        </w:tabs>
        <w:rPr>
          <w:lang w:val="fr-FR"/>
        </w:rPr>
      </w:pPr>
      <w:r>
        <w:rPr>
          <w:lang w:val="fr-FR"/>
        </w:rPr>
        <w:t>28</w:t>
      </w:r>
      <w:r w:rsidR="00E42058">
        <w:rPr>
          <w:lang w:val="fr-FR"/>
        </w:rPr>
        <w:t>8</w:t>
      </w:r>
      <w:r>
        <w:rPr>
          <w:lang w:val="fr-FR"/>
        </w:rPr>
        <w:t>.</w:t>
      </w:r>
      <w:r>
        <w:rPr>
          <w:lang w:val="fr-FR"/>
        </w:rPr>
        <w:tab/>
        <w:t>Les demandeurs de visa de protection qui souhaitent solliciter le réexamen judiciaire de la décision prise par le Tribunal de contrôle des décisions concernant les réfugiés</w:t>
      </w:r>
      <w:r w:rsidR="0013242E">
        <w:rPr>
          <w:lang w:val="fr-FR"/>
        </w:rPr>
        <w:t xml:space="preserve"> ont également accès gratuitement à l’assistance d’un homme de loi qui les aide à faire le point et à préparer leur demande de réexamen judiciaire dans le cadre du système de consultations juridiques qui fonctionne dans deux États australiens (Nouvelle</w:t>
      </w:r>
      <w:r w:rsidR="00B7519D">
        <w:rPr>
          <w:lang w:val="fr-FR"/>
        </w:rPr>
        <w:noBreakHyphen/>
      </w:r>
      <w:r w:rsidR="0013242E">
        <w:rPr>
          <w:lang w:val="fr-FR"/>
        </w:rPr>
        <w:t xml:space="preserve">Galles du Sud , où se trouvent la plupart des requérants, et </w:t>
      </w:r>
      <w:r w:rsidR="008E1139">
        <w:rPr>
          <w:lang w:val="fr-FR"/>
        </w:rPr>
        <w:t>Australie occidentale</w:t>
      </w:r>
      <w:r w:rsidR="0013242E">
        <w:rPr>
          <w:lang w:val="fr-FR"/>
        </w:rPr>
        <w:t>).</w:t>
      </w:r>
    </w:p>
    <w:p w:rsidR="00B20F5B" w:rsidRDefault="00B20F5B" w:rsidP="005D7B68">
      <w:pPr>
        <w:tabs>
          <w:tab w:val="left" w:pos="567"/>
          <w:tab w:val="left" w:pos="1134"/>
          <w:tab w:val="left" w:pos="1701"/>
          <w:tab w:val="left" w:pos="2268"/>
          <w:tab w:val="left" w:pos="2835"/>
        </w:tabs>
        <w:ind w:firstLine="567"/>
        <w:rPr>
          <w:b/>
          <w:bCs/>
          <w:lang w:val="fr-FR"/>
        </w:rPr>
      </w:pPr>
      <w:r w:rsidRPr="00B20F5B">
        <w:rPr>
          <w:b/>
          <w:bCs/>
          <w:lang w:val="fr-FR"/>
        </w:rPr>
        <w:t>c)</w:t>
      </w:r>
      <w:r w:rsidRPr="00B20F5B">
        <w:rPr>
          <w:b/>
          <w:bCs/>
          <w:lang w:val="fr-FR"/>
        </w:rPr>
        <w:tab/>
        <w:t xml:space="preserve">Si les avocats de la défense peuvent participer aux audiences du Tribunal de contrôle des décisions concernant les réfugiés; </w:t>
      </w:r>
    </w:p>
    <w:p w:rsidR="00B20F5B" w:rsidRDefault="00B20F5B" w:rsidP="005D7B68">
      <w:pPr>
        <w:tabs>
          <w:tab w:val="left" w:pos="567"/>
          <w:tab w:val="left" w:pos="1134"/>
          <w:tab w:val="left" w:pos="1701"/>
          <w:tab w:val="left" w:pos="2268"/>
          <w:tab w:val="left" w:pos="2835"/>
        </w:tabs>
        <w:rPr>
          <w:lang w:val="fr-FR"/>
        </w:rPr>
      </w:pPr>
      <w:r>
        <w:rPr>
          <w:lang w:val="fr-FR"/>
        </w:rPr>
        <w:t>28</w:t>
      </w:r>
      <w:r w:rsidR="00E42058">
        <w:rPr>
          <w:lang w:val="fr-FR"/>
        </w:rPr>
        <w:t>9</w:t>
      </w:r>
      <w:r>
        <w:rPr>
          <w:lang w:val="fr-FR"/>
        </w:rPr>
        <w:t>.</w:t>
      </w:r>
      <w:r>
        <w:rPr>
          <w:lang w:val="fr-FR"/>
        </w:rPr>
        <w:tab/>
        <w:t>Le Tribunal de contrôle des décisions concernant les réfugiés est un organe indépendant habilité à procéder à des révisions au fond des décisions prises par d</w:t>
      </w:r>
      <w:r w:rsidR="0034032B">
        <w:rPr>
          <w:lang w:val="fr-FR"/>
        </w:rPr>
        <w:t>es fonctionnaires du Ministère de l’immigration et de la citoyenneté, agissant en tant que représentant du Ministre, pour refuser d’accorder de</w:t>
      </w:r>
      <w:r w:rsidR="00B7519D">
        <w:rPr>
          <w:lang w:val="fr-FR"/>
        </w:rPr>
        <w:t>s visas de protection à des non</w:t>
      </w:r>
      <w:r w:rsidR="00B7519D">
        <w:rPr>
          <w:lang w:val="fr-FR"/>
        </w:rPr>
        <w:noBreakHyphen/>
      </w:r>
      <w:r w:rsidR="0034032B">
        <w:rPr>
          <w:lang w:val="fr-FR"/>
        </w:rPr>
        <w:t>ressortissants en Australie, ou pour annuler des visas de</w:t>
      </w:r>
      <w:r w:rsidR="00B7519D">
        <w:rPr>
          <w:lang w:val="fr-FR"/>
        </w:rPr>
        <w:t xml:space="preserve"> protection détenus par des non</w:t>
      </w:r>
      <w:r w:rsidR="00B7519D">
        <w:rPr>
          <w:lang w:val="fr-FR"/>
        </w:rPr>
        <w:noBreakHyphen/>
      </w:r>
      <w:r w:rsidR="0034032B">
        <w:rPr>
          <w:lang w:val="fr-FR"/>
        </w:rPr>
        <w:t>ressortissants en Australie.</w:t>
      </w:r>
    </w:p>
    <w:p w:rsidR="00EA3F01" w:rsidRDefault="0034032B" w:rsidP="005D7B68">
      <w:pPr>
        <w:tabs>
          <w:tab w:val="left" w:pos="567"/>
          <w:tab w:val="left" w:pos="1134"/>
          <w:tab w:val="left" w:pos="1701"/>
          <w:tab w:val="left" w:pos="2268"/>
          <w:tab w:val="left" w:pos="2835"/>
        </w:tabs>
        <w:rPr>
          <w:lang w:val="fr-FR"/>
        </w:rPr>
      </w:pPr>
      <w:r>
        <w:rPr>
          <w:lang w:val="fr-FR"/>
        </w:rPr>
        <w:t>2</w:t>
      </w:r>
      <w:r w:rsidR="00E42058">
        <w:rPr>
          <w:lang w:val="fr-FR"/>
        </w:rPr>
        <w:t>90</w:t>
      </w:r>
      <w:r>
        <w:rPr>
          <w:lang w:val="fr-FR"/>
        </w:rPr>
        <w:t>.</w:t>
      </w:r>
      <w:r>
        <w:rPr>
          <w:lang w:val="fr-FR"/>
        </w:rPr>
        <w:tab/>
        <w:t>Le Tribunal de contrôle des décisions concernant les réfugiés</w:t>
      </w:r>
      <w:r w:rsidR="0084790C">
        <w:rPr>
          <w:lang w:val="fr-FR"/>
        </w:rPr>
        <w:t xml:space="preserve"> est tenu d’effectuer</w:t>
      </w:r>
      <w:r w:rsidR="004C5B93">
        <w:rPr>
          <w:lang w:val="fr-FR"/>
        </w:rPr>
        <w:t xml:space="preserve"> son contrôle de pleine juridiction avec le sens de l’équité et de la justice</w:t>
      </w:r>
      <w:r>
        <w:rPr>
          <w:lang w:val="fr-FR"/>
        </w:rPr>
        <w:t>,</w:t>
      </w:r>
      <w:r w:rsidR="004C5B93">
        <w:rPr>
          <w:lang w:val="fr-FR"/>
        </w:rPr>
        <w:t xml:space="preserve"> avec une grande économie de moyens</w:t>
      </w:r>
      <w:r>
        <w:rPr>
          <w:lang w:val="fr-FR"/>
        </w:rPr>
        <w:t xml:space="preserve">, </w:t>
      </w:r>
      <w:r w:rsidR="004C5B93">
        <w:rPr>
          <w:lang w:val="fr-FR"/>
        </w:rPr>
        <w:t>sans formalisme et avec rapidité</w:t>
      </w:r>
      <w:r w:rsidR="008D6B80">
        <w:rPr>
          <w:lang w:val="fr-FR"/>
        </w:rPr>
        <w:t xml:space="preserve">. </w:t>
      </w:r>
      <w:r>
        <w:rPr>
          <w:lang w:val="fr-FR"/>
        </w:rPr>
        <w:t>Á la différence d’un</w:t>
      </w:r>
      <w:r w:rsidR="00824B52">
        <w:rPr>
          <w:lang w:val="fr-FR"/>
        </w:rPr>
        <w:t>e cour de justi</w:t>
      </w:r>
      <w:r w:rsidR="004024D6">
        <w:rPr>
          <w:lang w:val="fr-FR"/>
        </w:rPr>
        <w:t>ce, ce tribunal applique une méthode non contradictoire</w:t>
      </w:r>
      <w:r w:rsidR="00824B52">
        <w:rPr>
          <w:lang w:val="fr-FR"/>
        </w:rPr>
        <w:t xml:space="preserve"> et le Ministère de l’immigration et de la citoyenneté n’est généralement pas représenté à ses audiences</w:t>
      </w:r>
      <w:r w:rsidR="008D6B80">
        <w:rPr>
          <w:lang w:val="fr-FR"/>
        </w:rPr>
        <w:t xml:space="preserve">. </w:t>
      </w:r>
      <w:r w:rsidR="00824B52">
        <w:rPr>
          <w:lang w:val="fr-FR"/>
        </w:rPr>
        <w:t>Ce mode est de nature inquisitoire et le tribunal n’</w:t>
      </w:r>
      <w:r w:rsidR="004C5B93">
        <w:rPr>
          <w:lang w:val="fr-FR"/>
        </w:rPr>
        <w:t>est pas tenu aux subtilités ni aux formes</w:t>
      </w:r>
      <w:r w:rsidR="002331C4">
        <w:rPr>
          <w:lang w:val="fr-FR"/>
        </w:rPr>
        <w:t xml:space="preserve"> juridiques, ni</w:t>
      </w:r>
      <w:r w:rsidR="004C5B93">
        <w:rPr>
          <w:lang w:val="fr-FR"/>
        </w:rPr>
        <w:t xml:space="preserve"> aux règles de la preuve</w:t>
      </w:r>
      <w:r w:rsidR="002331C4">
        <w:rPr>
          <w:lang w:val="fr-FR"/>
        </w:rPr>
        <w:t>, et il se prononce au fond conformément au principe même de la justice.</w:t>
      </w:r>
      <w:r w:rsidR="00824B52">
        <w:rPr>
          <w:lang w:val="fr-FR"/>
        </w:rPr>
        <w:t xml:space="preserve"> </w:t>
      </w:r>
    </w:p>
    <w:p w:rsidR="0034032B" w:rsidRDefault="00EA3F01" w:rsidP="005D7B68">
      <w:pPr>
        <w:tabs>
          <w:tab w:val="left" w:pos="567"/>
          <w:tab w:val="left" w:pos="1134"/>
          <w:tab w:val="left" w:pos="1701"/>
          <w:tab w:val="left" w:pos="2268"/>
          <w:tab w:val="left" w:pos="2835"/>
        </w:tabs>
        <w:rPr>
          <w:lang w:val="fr-FR"/>
        </w:rPr>
      </w:pPr>
      <w:r>
        <w:rPr>
          <w:lang w:val="fr-FR"/>
        </w:rPr>
        <w:t>29</w:t>
      </w:r>
      <w:r w:rsidR="00E42058">
        <w:rPr>
          <w:lang w:val="fr-FR"/>
        </w:rPr>
        <w:t>1</w:t>
      </w:r>
      <w:r w:rsidR="00A47316">
        <w:rPr>
          <w:lang w:val="fr-FR"/>
        </w:rPr>
        <w:t>.</w:t>
      </w:r>
      <w:r w:rsidR="00A47316">
        <w:rPr>
          <w:lang w:val="fr-FR"/>
        </w:rPr>
        <w:tab/>
        <w:t>Si la personne qui forme un recours</w:t>
      </w:r>
      <w:r w:rsidR="002A6202">
        <w:rPr>
          <w:lang w:val="fr-FR"/>
        </w:rPr>
        <w:t xml:space="preserve"> est aidée, pour faire sa demande de visa </w:t>
      </w:r>
      <w:r w:rsidR="003F4B95">
        <w:rPr>
          <w:lang w:val="fr-FR"/>
        </w:rPr>
        <w:t>de protection, par un c</w:t>
      </w:r>
      <w:r w:rsidR="001653F8">
        <w:rPr>
          <w:lang w:val="fr-FR"/>
        </w:rPr>
        <w:t>onseil</w:t>
      </w:r>
      <w:r w:rsidR="003F4B95">
        <w:rPr>
          <w:lang w:val="fr-FR"/>
        </w:rPr>
        <w:t xml:space="preserve"> (juridique)</w:t>
      </w:r>
      <w:r w:rsidR="002A6202">
        <w:rPr>
          <w:lang w:val="fr-FR"/>
        </w:rPr>
        <w:t>, ce dernier peut assister à l’audience avec le requérant</w:t>
      </w:r>
      <w:r w:rsidR="008D6B80">
        <w:rPr>
          <w:lang w:val="fr-FR"/>
        </w:rPr>
        <w:t xml:space="preserve">. </w:t>
      </w:r>
      <w:r w:rsidR="002A6202">
        <w:rPr>
          <w:lang w:val="fr-FR"/>
        </w:rPr>
        <w:t>On lui demandera habituellement s’il souhaite prendre la parole après que le requérant et les témoins ont été entendus</w:t>
      </w:r>
      <w:r w:rsidR="008D6B80">
        <w:rPr>
          <w:lang w:val="fr-FR"/>
        </w:rPr>
        <w:t xml:space="preserve">. </w:t>
      </w:r>
      <w:r w:rsidR="002A6202">
        <w:rPr>
          <w:lang w:val="fr-FR"/>
        </w:rPr>
        <w:t>Toutefois, le Tribunal de contrôle des décisions concernant les réfugiés n’est pas</w:t>
      </w:r>
      <w:r w:rsidR="001653F8">
        <w:rPr>
          <w:lang w:val="fr-FR"/>
        </w:rPr>
        <w:t xml:space="preserve"> tenu de permettre au conseil</w:t>
      </w:r>
      <w:r w:rsidR="002A6202">
        <w:rPr>
          <w:lang w:val="fr-FR"/>
        </w:rPr>
        <w:t xml:space="preserve"> de plaider en faveur du requérant.</w:t>
      </w:r>
    </w:p>
    <w:p w:rsidR="004024D6" w:rsidRDefault="004024D6" w:rsidP="005D7B68">
      <w:pPr>
        <w:tabs>
          <w:tab w:val="left" w:pos="567"/>
          <w:tab w:val="left" w:pos="1134"/>
          <w:tab w:val="left" w:pos="1701"/>
          <w:tab w:val="left" w:pos="2268"/>
          <w:tab w:val="left" w:pos="2835"/>
        </w:tabs>
        <w:ind w:firstLine="567"/>
        <w:rPr>
          <w:b/>
          <w:bCs/>
          <w:lang w:val="fr-FR"/>
        </w:rPr>
      </w:pPr>
      <w:r w:rsidRPr="004024D6">
        <w:rPr>
          <w:b/>
          <w:bCs/>
          <w:lang w:val="fr-FR"/>
        </w:rPr>
        <w:t>d)</w:t>
      </w:r>
      <w:r w:rsidRPr="004024D6">
        <w:rPr>
          <w:b/>
          <w:bCs/>
          <w:lang w:val="fr-FR"/>
        </w:rPr>
        <w:tab/>
        <w:t xml:space="preserve">Si un recours formé contre une décision de rejet de la demande d’asile a un effet suspensif sur l’exécution d’une ordonnance d’expulsion; </w:t>
      </w:r>
    </w:p>
    <w:p w:rsidR="004024D6" w:rsidRDefault="004024D6" w:rsidP="005D7B68">
      <w:pPr>
        <w:tabs>
          <w:tab w:val="left" w:pos="567"/>
          <w:tab w:val="left" w:pos="1134"/>
          <w:tab w:val="left" w:pos="1701"/>
          <w:tab w:val="left" w:pos="2268"/>
          <w:tab w:val="left" w:pos="2835"/>
        </w:tabs>
        <w:rPr>
          <w:lang w:val="fr-FR"/>
        </w:rPr>
      </w:pPr>
      <w:r>
        <w:rPr>
          <w:lang w:val="fr-FR"/>
        </w:rPr>
        <w:t>29</w:t>
      </w:r>
      <w:r w:rsidR="00E42058">
        <w:rPr>
          <w:lang w:val="fr-FR"/>
        </w:rPr>
        <w:t>2</w:t>
      </w:r>
      <w:r>
        <w:rPr>
          <w:lang w:val="fr-FR"/>
        </w:rPr>
        <w:t>.</w:t>
      </w:r>
      <w:r>
        <w:rPr>
          <w:lang w:val="fr-FR"/>
        </w:rPr>
        <w:tab/>
        <w:t>L’article 198 6) de la loi sur l’immigration</w:t>
      </w:r>
      <w:r w:rsidR="00725AA2">
        <w:rPr>
          <w:lang w:val="fr-FR"/>
        </w:rPr>
        <w:t xml:space="preserve"> dispose que tout immigrant placé en détention, y compris les demandeurs de visa de protection, </w:t>
      </w:r>
      <w:r w:rsidR="008F1F1A">
        <w:rPr>
          <w:lang w:val="fr-FR"/>
        </w:rPr>
        <w:t>doit être refoulé dans les meilleurs délais si, entre autres, sa demande de visa a fait l’objet d’une décision définitive</w:t>
      </w:r>
      <w:r w:rsidR="008D6B80">
        <w:rPr>
          <w:lang w:val="fr-FR"/>
        </w:rPr>
        <w:t xml:space="preserve">. </w:t>
      </w:r>
      <w:r w:rsidR="008F1F1A">
        <w:rPr>
          <w:lang w:val="fr-FR"/>
        </w:rPr>
        <w:t>On considère qu’une demande de visa de protection a fait l’objet d’une décision définitive quand cette dernière ne peut plus être réexaminée par le Tribunal de contrôle des décisions concernant les réfugiés.</w:t>
      </w:r>
    </w:p>
    <w:p w:rsidR="008F1F1A" w:rsidRDefault="008F1F1A" w:rsidP="005D7B68">
      <w:pPr>
        <w:tabs>
          <w:tab w:val="left" w:pos="567"/>
          <w:tab w:val="left" w:pos="1134"/>
          <w:tab w:val="left" w:pos="1701"/>
          <w:tab w:val="left" w:pos="2268"/>
          <w:tab w:val="left" w:pos="2835"/>
        </w:tabs>
        <w:rPr>
          <w:lang w:val="fr-FR"/>
        </w:rPr>
      </w:pPr>
      <w:r>
        <w:rPr>
          <w:lang w:val="fr-FR"/>
        </w:rPr>
        <w:t>29</w:t>
      </w:r>
      <w:r w:rsidR="00E42058">
        <w:rPr>
          <w:lang w:val="fr-FR"/>
        </w:rPr>
        <w:t>3</w:t>
      </w:r>
      <w:r>
        <w:rPr>
          <w:lang w:val="fr-FR"/>
        </w:rPr>
        <w:t>.</w:t>
      </w:r>
      <w:r>
        <w:rPr>
          <w:lang w:val="fr-FR"/>
        </w:rPr>
        <w:tab/>
      </w:r>
      <w:r w:rsidR="00F77566">
        <w:rPr>
          <w:lang w:val="fr-FR"/>
        </w:rPr>
        <w:t>La politique actuelle du Ministère de l’immigration et de la citoyenneté est de ne pas refouler un immigrant demandeur d’un visa de protection placé en détention dans l’attente de la conclusion du réexamen judiciaire ou de la réponse à une demande d’intervention auprès d’un ministre liée à la demande de visa.</w:t>
      </w:r>
    </w:p>
    <w:p w:rsidR="00F77566" w:rsidRDefault="00F77566" w:rsidP="005D7B68">
      <w:pPr>
        <w:tabs>
          <w:tab w:val="left" w:pos="567"/>
          <w:tab w:val="left" w:pos="1134"/>
          <w:tab w:val="left" w:pos="1701"/>
          <w:tab w:val="left" w:pos="2268"/>
          <w:tab w:val="left" w:pos="2835"/>
        </w:tabs>
        <w:rPr>
          <w:lang w:val="fr-FR"/>
        </w:rPr>
      </w:pPr>
      <w:r>
        <w:rPr>
          <w:lang w:val="fr-FR"/>
        </w:rPr>
        <w:tab/>
      </w:r>
      <w:r w:rsidRPr="00F77566">
        <w:rPr>
          <w:b/>
          <w:bCs/>
          <w:lang w:val="fr-FR"/>
        </w:rPr>
        <w:t>e)</w:t>
      </w:r>
      <w:r w:rsidRPr="00F77566">
        <w:rPr>
          <w:b/>
          <w:bCs/>
          <w:lang w:val="fr-FR"/>
        </w:rPr>
        <w:tab/>
        <w:t>Si l’État partie a établi une liste de «pays tiers sûrs» en vue du renvoi d’immigrants et, dans l’affirmative, selon quels critères cette liste est dressée et tenue à jour</w:t>
      </w:r>
      <w:r w:rsidRPr="00F77566">
        <w:rPr>
          <w:lang w:val="fr-FR"/>
        </w:rPr>
        <w:t>;</w:t>
      </w:r>
    </w:p>
    <w:p w:rsidR="00F77566" w:rsidRDefault="00F77566" w:rsidP="005D7B68">
      <w:pPr>
        <w:tabs>
          <w:tab w:val="left" w:pos="567"/>
          <w:tab w:val="left" w:pos="1134"/>
          <w:tab w:val="left" w:pos="1701"/>
          <w:tab w:val="left" w:pos="2268"/>
          <w:tab w:val="left" w:pos="2835"/>
        </w:tabs>
        <w:rPr>
          <w:lang w:val="fr-FR"/>
        </w:rPr>
      </w:pPr>
      <w:r>
        <w:rPr>
          <w:lang w:val="fr-FR"/>
        </w:rPr>
        <w:t>29</w:t>
      </w:r>
      <w:r w:rsidR="00E42058">
        <w:rPr>
          <w:lang w:val="fr-FR"/>
        </w:rPr>
        <w:t>4</w:t>
      </w:r>
      <w:r>
        <w:rPr>
          <w:lang w:val="fr-FR"/>
        </w:rPr>
        <w:t>.</w:t>
      </w:r>
      <w:r>
        <w:rPr>
          <w:lang w:val="fr-FR"/>
        </w:rPr>
        <w:tab/>
        <w:t xml:space="preserve">L’Australie n’a pas établi une liste de </w:t>
      </w:r>
      <w:r w:rsidR="00A619D6">
        <w:rPr>
          <w:lang w:val="fr-FR"/>
        </w:rPr>
        <w:t>«</w:t>
      </w:r>
      <w:r>
        <w:rPr>
          <w:lang w:val="fr-FR"/>
        </w:rPr>
        <w:t>pays tiers sûrs</w:t>
      </w:r>
      <w:r w:rsidR="00A619D6">
        <w:rPr>
          <w:lang w:val="fr-FR"/>
        </w:rPr>
        <w:t>»</w:t>
      </w:r>
      <w:r w:rsidR="008D6B80">
        <w:rPr>
          <w:lang w:val="fr-FR"/>
        </w:rPr>
        <w:t xml:space="preserve">. </w:t>
      </w:r>
      <w:r>
        <w:rPr>
          <w:lang w:val="fr-FR"/>
        </w:rPr>
        <w:t>Toutes les demandes de visa de protection sont étudiées au cas par cas, conformément au droit interne et au droit international, e</w:t>
      </w:r>
      <w:r w:rsidR="006C114D">
        <w:rPr>
          <w:lang w:val="fr-FR"/>
        </w:rPr>
        <w:t>t ces examens tiennent compte</w:t>
      </w:r>
      <w:r>
        <w:rPr>
          <w:lang w:val="fr-FR"/>
        </w:rPr>
        <w:t xml:space="preserve"> d’un grand nombre d’informations</w:t>
      </w:r>
      <w:r w:rsidR="00CA1D47">
        <w:rPr>
          <w:lang w:val="fr-FR"/>
        </w:rPr>
        <w:t xml:space="preserve"> récentes sur les pays.</w:t>
      </w:r>
    </w:p>
    <w:p w:rsidR="00381492" w:rsidRDefault="00CA1D47" w:rsidP="005D7B68">
      <w:pPr>
        <w:tabs>
          <w:tab w:val="left" w:pos="567"/>
          <w:tab w:val="left" w:pos="1134"/>
          <w:tab w:val="left" w:pos="1701"/>
          <w:tab w:val="left" w:pos="2268"/>
          <w:tab w:val="left" w:pos="2835"/>
        </w:tabs>
        <w:rPr>
          <w:lang w:val="fr-FR"/>
        </w:rPr>
      </w:pPr>
      <w:r>
        <w:rPr>
          <w:lang w:val="fr-FR"/>
        </w:rPr>
        <w:t>29</w:t>
      </w:r>
      <w:r w:rsidR="00E42058">
        <w:rPr>
          <w:lang w:val="fr-FR"/>
        </w:rPr>
        <w:t>5</w:t>
      </w:r>
      <w:r>
        <w:rPr>
          <w:lang w:val="fr-FR"/>
        </w:rPr>
        <w:t>.</w:t>
      </w:r>
      <w:r>
        <w:rPr>
          <w:lang w:val="fr-FR"/>
        </w:rPr>
        <w:tab/>
        <w:t>La loi sur l’immigration comporte des dispositions (subdivisions AI et AK) aux termes desquelles un pays tiers peut être déclaré s</w:t>
      </w:r>
      <w:r w:rsidR="00381492">
        <w:rPr>
          <w:lang w:val="fr-FR"/>
        </w:rPr>
        <w:t>ûr en tant que tel, ou bien</w:t>
      </w:r>
      <w:r>
        <w:rPr>
          <w:lang w:val="fr-FR"/>
        </w:rPr>
        <w:t xml:space="preserve"> pour un individu particulier ou une catégorie d’individus</w:t>
      </w:r>
      <w:r w:rsidR="008D6B80">
        <w:rPr>
          <w:lang w:val="fr-FR"/>
        </w:rPr>
        <w:t xml:space="preserve">. </w:t>
      </w:r>
      <w:r>
        <w:rPr>
          <w:lang w:val="fr-FR"/>
        </w:rPr>
        <w:t>Actuellement aucun pays n’a été classé en vert</w:t>
      </w:r>
      <w:r w:rsidR="00381492">
        <w:rPr>
          <w:lang w:val="fr-FR"/>
        </w:rPr>
        <w:t>u</w:t>
      </w:r>
      <w:r>
        <w:rPr>
          <w:lang w:val="fr-FR"/>
        </w:rPr>
        <w:t xml:space="preserve"> de ces dispositions</w:t>
      </w:r>
      <w:r w:rsidR="008D6B80">
        <w:rPr>
          <w:lang w:val="fr-FR"/>
        </w:rPr>
        <w:t xml:space="preserve">. </w:t>
      </w:r>
      <w:r>
        <w:rPr>
          <w:lang w:val="fr-FR"/>
        </w:rPr>
        <w:t>La République populaire de Chine</w:t>
      </w:r>
      <w:r w:rsidR="00381492">
        <w:rPr>
          <w:lang w:val="fr-FR"/>
        </w:rPr>
        <w:t xml:space="preserve"> a été déclaré</w:t>
      </w:r>
      <w:r w:rsidR="009C3C53">
        <w:rPr>
          <w:lang w:val="fr-FR"/>
        </w:rPr>
        <w:t>e</w:t>
      </w:r>
      <w:r>
        <w:rPr>
          <w:lang w:val="fr-FR"/>
        </w:rPr>
        <w:t xml:space="preserve"> pays tiers sûr</w:t>
      </w:r>
      <w:r w:rsidR="00381492">
        <w:rPr>
          <w:lang w:val="fr-FR"/>
        </w:rPr>
        <w:t xml:space="preserve"> pour les réfugiés vietnamiens qui y sont établis dans le cadre d’un accord entre l’Australie et la République populaire de Chine</w:t>
      </w:r>
      <w:r w:rsidR="008D6B80">
        <w:rPr>
          <w:lang w:val="fr-FR"/>
        </w:rPr>
        <w:t xml:space="preserve">. </w:t>
      </w:r>
      <w:r w:rsidR="00381492">
        <w:rPr>
          <w:lang w:val="fr-FR"/>
        </w:rPr>
        <w:t>Cependant, en pratique, cela a peu de conséquences car il n’est arrivé personne en Australie, qui soit concerné par cette disposition, depuis plus de cinq ans.</w:t>
      </w:r>
    </w:p>
    <w:p w:rsidR="00381492" w:rsidRPr="00381492" w:rsidRDefault="00B7519D" w:rsidP="005D7B68">
      <w:pPr>
        <w:tabs>
          <w:tab w:val="left" w:pos="567"/>
          <w:tab w:val="left" w:pos="1134"/>
          <w:tab w:val="left" w:pos="1701"/>
          <w:tab w:val="left" w:pos="2268"/>
          <w:tab w:val="left" w:pos="2835"/>
        </w:tabs>
        <w:rPr>
          <w:b/>
          <w:bCs/>
          <w:lang w:val="fr-FR"/>
        </w:rPr>
      </w:pPr>
      <w:r>
        <w:rPr>
          <w:b/>
          <w:bCs/>
          <w:lang w:val="fr-FR"/>
        </w:rPr>
        <w:tab/>
      </w:r>
      <w:r w:rsidR="00381492" w:rsidRPr="00381492">
        <w:rPr>
          <w:b/>
          <w:bCs/>
          <w:lang w:val="fr-FR"/>
        </w:rPr>
        <w:t>f)</w:t>
      </w:r>
      <w:r w:rsidR="00381492" w:rsidRPr="00381492">
        <w:rPr>
          <w:b/>
          <w:bCs/>
          <w:lang w:val="fr-FR"/>
        </w:rPr>
        <w:tab/>
        <w:t>Quel est le statut juridique des détenus dont le visa a été annulé en application de l’article </w:t>
      </w:r>
      <w:r>
        <w:rPr>
          <w:b/>
          <w:bCs/>
          <w:lang w:val="fr-FR"/>
        </w:rPr>
        <w:t>501 de la loi sur l’immigration</w:t>
      </w:r>
      <w:r w:rsidR="009030A8">
        <w:rPr>
          <w:b/>
          <w:bCs/>
          <w:lang w:val="fr-FR"/>
        </w:rPr>
        <w:t>.</w:t>
      </w:r>
      <w:r w:rsidR="00381492" w:rsidRPr="00381492">
        <w:rPr>
          <w:b/>
          <w:bCs/>
          <w:lang w:val="fr-FR"/>
        </w:rPr>
        <w:t xml:space="preserve"> </w:t>
      </w:r>
    </w:p>
    <w:p w:rsidR="00CA1D47" w:rsidRDefault="00C01624" w:rsidP="005D7B68">
      <w:pPr>
        <w:tabs>
          <w:tab w:val="left" w:pos="567"/>
          <w:tab w:val="left" w:pos="1134"/>
          <w:tab w:val="left" w:pos="1701"/>
          <w:tab w:val="left" w:pos="2268"/>
          <w:tab w:val="left" w:pos="2835"/>
        </w:tabs>
        <w:rPr>
          <w:lang w:val="fr-FR"/>
        </w:rPr>
      </w:pPr>
      <w:r>
        <w:rPr>
          <w:lang w:val="fr-FR"/>
        </w:rPr>
        <w:t>29</w:t>
      </w:r>
      <w:r w:rsidR="00E42058">
        <w:rPr>
          <w:lang w:val="fr-FR"/>
        </w:rPr>
        <w:t>6</w:t>
      </w:r>
      <w:r>
        <w:rPr>
          <w:lang w:val="fr-FR"/>
        </w:rPr>
        <w:t>.</w:t>
      </w:r>
      <w:r>
        <w:rPr>
          <w:lang w:val="fr-FR"/>
        </w:rPr>
        <w:tab/>
        <w:t>Toute</w:t>
      </w:r>
      <w:r w:rsidR="00381492">
        <w:rPr>
          <w:lang w:val="fr-FR"/>
        </w:rPr>
        <w:t xml:space="preserve"> personne dont le visa a été annulé en application de l’article 501 de la </w:t>
      </w:r>
      <w:r w:rsidR="00381492" w:rsidRPr="00A47316">
        <w:rPr>
          <w:lang w:val="fr-FR"/>
        </w:rPr>
        <w:t>loi de 1958 sur l’immigration</w:t>
      </w:r>
      <w:r w:rsidR="00381492">
        <w:rPr>
          <w:lang w:val="fr-FR"/>
        </w:rPr>
        <w:t xml:space="preserve"> n’est plus titulaire d’un visa valide et devient un non</w:t>
      </w:r>
      <w:r w:rsidR="00B7519D">
        <w:rPr>
          <w:lang w:val="fr-FR"/>
        </w:rPr>
        <w:noBreakHyphen/>
      </w:r>
      <w:r w:rsidR="00381492">
        <w:rPr>
          <w:lang w:val="fr-FR"/>
        </w:rPr>
        <w:t xml:space="preserve">ressortissant en situation irrégulière </w:t>
      </w:r>
      <w:r w:rsidR="007330E2">
        <w:rPr>
          <w:lang w:val="fr-FR"/>
        </w:rPr>
        <w:t>(art.</w:t>
      </w:r>
      <w:r w:rsidR="00381492">
        <w:rPr>
          <w:lang w:val="fr-FR"/>
        </w:rPr>
        <w:t xml:space="preserve"> 13 e</w:t>
      </w:r>
      <w:r w:rsidR="00FC092E">
        <w:rPr>
          <w:lang w:val="fr-FR"/>
        </w:rPr>
        <w:t>t 14</w:t>
      </w:r>
      <w:r w:rsidR="00A47316">
        <w:rPr>
          <w:lang w:val="fr-FR"/>
        </w:rPr>
        <w:t>)</w:t>
      </w:r>
      <w:r w:rsidR="008D6B80">
        <w:rPr>
          <w:lang w:val="fr-FR"/>
        </w:rPr>
        <w:t xml:space="preserve">. </w:t>
      </w:r>
      <w:r w:rsidR="00B7519D">
        <w:rPr>
          <w:lang w:val="fr-FR"/>
        </w:rPr>
        <w:t>Les non</w:t>
      </w:r>
      <w:r w:rsidR="00B7519D">
        <w:rPr>
          <w:lang w:val="fr-FR"/>
        </w:rPr>
        <w:noBreakHyphen/>
      </w:r>
      <w:r w:rsidR="00381492">
        <w:rPr>
          <w:lang w:val="fr-FR"/>
        </w:rPr>
        <w:t>ressortissants en situation irrégulière doivent être placés en détention</w:t>
      </w:r>
      <w:r w:rsidR="00FC092E">
        <w:rPr>
          <w:lang w:val="fr-FR"/>
        </w:rPr>
        <w:t xml:space="preserve"> </w:t>
      </w:r>
      <w:r w:rsidR="007330E2">
        <w:rPr>
          <w:lang w:val="fr-FR"/>
        </w:rPr>
        <w:t>(art.</w:t>
      </w:r>
      <w:r w:rsidR="00FC092E">
        <w:rPr>
          <w:lang w:val="fr-FR"/>
        </w:rPr>
        <w:t xml:space="preserve"> 189</w:t>
      </w:r>
      <w:r w:rsidR="00007212">
        <w:rPr>
          <w:lang w:val="fr-FR"/>
        </w:rPr>
        <w:t xml:space="preserve">) jusqu’à ce qu’ils soient refoulés ou obtiennent un </w:t>
      </w:r>
      <w:r w:rsidR="00FC092E">
        <w:rPr>
          <w:lang w:val="fr-FR"/>
        </w:rPr>
        <w:t>nouveau visa (art. 196</w:t>
      </w:r>
      <w:r w:rsidR="00007212">
        <w:rPr>
          <w:lang w:val="fr-FR"/>
        </w:rPr>
        <w:t>)</w:t>
      </w:r>
      <w:r w:rsidR="008D6B80">
        <w:rPr>
          <w:lang w:val="fr-FR"/>
        </w:rPr>
        <w:t xml:space="preserve">. </w:t>
      </w:r>
      <w:r w:rsidR="00007212">
        <w:rPr>
          <w:lang w:val="fr-FR"/>
        </w:rPr>
        <w:t>Les détenus doivent être refoulés dans les meilleurs délais lorsque la demande de visa concernée et le réexamen au fond ont fait l’objet d’une décision d</w:t>
      </w:r>
      <w:r w:rsidR="00FC092E">
        <w:rPr>
          <w:lang w:val="fr-FR"/>
        </w:rPr>
        <w:t xml:space="preserve">éfinitive </w:t>
      </w:r>
      <w:r w:rsidR="007330E2">
        <w:rPr>
          <w:lang w:val="fr-FR"/>
        </w:rPr>
        <w:t>(art.</w:t>
      </w:r>
      <w:r w:rsidR="00FC092E">
        <w:rPr>
          <w:lang w:val="fr-FR"/>
        </w:rPr>
        <w:t xml:space="preserve"> 198</w:t>
      </w:r>
      <w:r w:rsidR="00007212">
        <w:rPr>
          <w:lang w:val="fr-FR"/>
        </w:rPr>
        <w:t>).</w:t>
      </w:r>
    </w:p>
    <w:p w:rsidR="00007212" w:rsidRDefault="00007212" w:rsidP="005D7B68">
      <w:pPr>
        <w:tabs>
          <w:tab w:val="left" w:pos="567"/>
          <w:tab w:val="left" w:pos="1134"/>
          <w:tab w:val="left" w:pos="1701"/>
          <w:tab w:val="left" w:pos="2268"/>
          <w:tab w:val="left" w:pos="2835"/>
        </w:tabs>
        <w:rPr>
          <w:b/>
          <w:bCs/>
          <w:lang w:val="fr-FR"/>
        </w:rPr>
      </w:pPr>
      <w:r>
        <w:rPr>
          <w:b/>
          <w:bCs/>
          <w:lang w:val="fr-FR"/>
        </w:rPr>
        <w:t>Question 8</w:t>
      </w:r>
    </w:p>
    <w:p w:rsidR="00007212" w:rsidRDefault="00007212" w:rsidP="005D7B68">
      <w:pPr>
        <w:tabs>
          <w:tab w:val="left" w:pos="567"/>
          <w:tab w:val="left" w:pos="1134"/>
          <w:tab w:val="left" w:pos="1701"/>
          <w:tab w:val="left" w:pos="2268"/>
          <w:tab w:val="left" w:pos="2835"/>
        </w:tabs>
        <w:rPr>
          <w:b/>
          <w:bCs/>
          <w:lang w:val="fr-FR"/>
        </w:rPr>
      </w:pPr>
      <w:r>
        <w:rPr>
          <w:b/>
          <w:bCs/>
          <w:lang w:val="fr-FR"/>
        </w:rPr>
        <w:tab/>
      </w:r>
      <w:r w:rsidRPr="00007212">
        <w:rPr>
          <w:b/>
          <w:bCs/>
          <w:lang w:val="fr-FR"/>
        </w:rPr>
        <w:t>Indiquer si l’État partie demande des garanties, notamment d’ordre diplomatique, avant d’extrader ou de renvoyer une personne vers un autre État afin d’éviter que cette personne ne soit contrainte de retourner dans un pays où elle risque d’être soumise à la torture. Le cas échéant, indiquer également si un mécanisme a été mis en place pour vérifier</w:t>
      </w:r>
      <w:r w:rsidR="00B7519D">
        <w:rPr>
          <w:b/>
          <w:bCs/>
          <w:lang w:val="fr-FR"/>
        </w:rPr>
        <w:t xml:space="preserve"> si ces garanties sont honorées</w:t>
      </w:r>
      <w:r w:rsidR="009030A8">
        <w:rPr>
          <w:b/>
          <w:bCs/>
          <w:lang w:val="fr-FR"/>
        </w:rPr>
        <w:t>.</w:t>
      </w:r>
      <w:r w:rsidRPr="00007212">
        <w:rPr>
          <w:b/>
          <w:bCs/>
          <w:lang w:val="fr-FR"/>
        </w:rPr>
        <w:t xml:space="preserve"> </w:t>
      </w:r>
    </w:p>
    <w:p w:rsidR="00007212" w:rsidRDefault="00007212" w:rsidP="005D7B68">
      <w:pPr>
        <w:tabs>
          <w:tab w:val="left" w:pos="567"/>
          <w:tab w:val="left" w:pos="1134"/>
          <w:tab w:val="left" w:pos="1701"/>
          <w:tab w:val="left" w:pos="2268"/>
          <w:tab w:val="left" w:pos="2835"/>
        </w:tabs>
        <w:rPr>
          <w:lang w:val="fr-FR"/>
        </w:rPr>
      </w:pPr>
      <w:r>
        <w:rPr>
          <w:lang w:val="fr-FR"/>
        </w:rPr>
        <w:t>29</w:t>
      </w:r>
      <w:r w:rsidR="00E42058">
        <w:rPr>
          <w:lang w:val="fr-FR"/>
        </w:rPr>
        <w:t>7</w:t>
      </w:r>
      <w:r>
        <w:rPr>
          <w:lang w:val="fr-FR"/>
        </w:rPr>
        <w:t>.</w:t>
      </w:r>
      <w:r>
        <w:rPr>
          <w:lang w:val="fr-FR"/>
        </w:rPr>
        <w:tab/>
        <w:t>Dans tous les cas d’extradition ou de renvoi d’une personne vers un autre État, l’Australie étudie</w:t>
      </w:r>
      <w:r w:rsidR="00EA6E0C">
        <w:rPr>
          <w:lang w:val="fr-FR"/>
        </w:rPr>
        <w:t xml:space="preserve"> au cas par cas</w:t>
      </w:r>
      <w:r>
        <w:rPr>
          <w:lang w:val="fr-FR"/>
        </w:rPr>
        <w:t xml:space="preserve"> l</w:t>
      </w:r>
      <w:r w:rsidR="00A47316">
        <w:rPr>
          <w:lang w:val="fr-FR"/>
        </w:rPr>
        <w:t>es situations donnant lieu à préoccupation</w:t>
      </w:r>
      <w:r>
        <w:rPr>
          <w:lang w:val="fr-FR"/>
        </w:rPr>
        <w:t xml:space="preserve"> concernant le traitement auquel cette personne pou</w:t>
      </w:r>
      <w:r w:rsidR="00EA6E0C">
        <w:rPr>
          <w:lang w:val="fr-FR"/>
        </w:rPr>
        <w:t>rrait être soumise à son retour</w:t>
      </w:r>
      <w:r w:rsidR="008D6B80">
        <w:rPr>
          <w:lang w:val="fr-FR"/>
        </w:rPr>
        <w:t xml:space="preserve">. </w:t>
      </w:r>
      <w:r>
        <w:rPr>
          <w:lang w:val="fr-FR"/>
        </w:rPr>
        <w:t>Le Gouvernement australien</w:t>
      </w:r>
      <w:r w:rsidR="0073263A">
        <w:rPr>
          <w:lang w:val="fr-FR"/>
        </w:rPr>
        <w:t xml:space="preserve"> évalue dans chaque cas s’il exist</w:t>
      </w:r>
      <w:r w:rsidR="000C54BB">
        <w:rPr>
          <w:lang w:val="fr-FR"/>
        </w:rPr>
        <w:t>e un risque réel qu’elle soit soumise</w:t>
      </w:r>
      <w:r w:rsidR="0073263A">
        <w:rPr>
          <w:lang w:val="fr-FR"/>
        </w:rPr>
        <w:t xml:space="preserve"> à la torture ou à un traitement cruel, inhumain ou dégradant</w:t>
      </w:r>
      <w:r w:rsidR="008D6B80">
        <w:rPr>
          <w:lang w:val="fr-FR"/>
        </w:rPr>
        <w:t xml:space="preserve">. </w:t>
      </w:r>
      <w:r w:rsidR="0073263A">
        <w:rPr>
          <w:lang w:val="fr-FR"/>
        </w:rPr>
        <w:t xml:space="preserve">Le critère du </w:t>
      </w:r>
      <w:r w:rsidR="00A619D6">
        <w:rPr>
          <w:lang w:val="fr-FR"/>
        </w:rPr>
        <w:t>«</w:t>
      </w:r>
      <w:r w:rsidR="0073263A">
        <w:rPr>
          <w:lang w:val="fr-FR"/>
        </w:rPr>
        <w:t>risque réel</w:t>
      </w:r>
      <w:r w:rsidR="00A619D6">
        <w:rPr>
          <w:lang w:val="fr-FR"/>
        </w:rPr>
        <w:t>»</w:t>
      </w:r>
      <w:r w:rsidR="0073263A">
        <w:rPr>
          <w:lang w:val="fr-FR"/>
        </w:rPr>
        <w:t xml:space="preserve"> consiste à considérer la situation</w:t>
      </w:r>
      <w:r w:rsidR="00C26FFC">
        <w:rPr>
          <w:lang w:val="fr-FR"/>
        </w:rPr>
        <w:t xml:space="preserve"> de l’intéressé</w:t>
      </w:r>
      <w:r w:rsidR="0073263A">
        <w:rPr>
          <w:lang w:val="fr-FR"/>
        </w:rPr>
        <w:t xml:space="preserve"> dans cette étude au cas par cas, po</w:t>
      </w:r>
      <w:r w:rsidR="0041447B">
        <w:rPr>
          <w:lang w:val="fr-FR"/>
        </w:rPr>
        <w:t>ur s’assurer qu’il</w:t>
      </w:r>
      <w:r w:rsidR="0073263A">
        <w:rPr>
          <w:lang w:val="fr-FR"/>
        </w:rPr>
        <w:t xml:space="preserve"> ne court p</w:t>
      </w:r>
      <w:r w:rsidR="0041447B">
        <w:rPr>
          <w:lang w:val="fr-FR"/>
        </w:rPr>
        <w:t>as un risque réel d’être soumis</w:t>
      </w:r>
      <w:r w:rsidR="0073263A">
        <w:rPr>
          <w:lang w:val="fr-FR"/>
        </w:rPr>
        <w:t xml:space="preserve"> à la torture à son retour</w:t>
      </w:r>
      <w:r w:rsidR="008D6B80">
        <w:rPr>
          <w:lang w:val="fr-FR"/>
        </w:rPr>
        <w:t xml:space="preserve">. </w:t>
      </w:r>
      <w:r w:rsidR="0073263A">
        <w:rPr>
          <w:lang w:val="fr-FR"/>
        </w:rPr>
        <w:t>En procédant à cette évaluation, le Gouvernement australien tient compte de toutes les considérations pertinentes, y compris l’existence, dans le pays concerné, d’un ensemble de violations systématiques des droits de l’homme, graves, flagrantes et massives</w:t>
      </w:r>
      <w:r w:rsidR="008D6B80">
        <w:rPr>
          <w:lang w:val="fr-FR"/>
        </w:rPr>
        <w:t xml:space="preserve">. </w:t>
      </w:r>
      <w:r w:rsidR="0073263A">
        <w:rPr>
          <w:lang w:val="fr-FR"/>
        </w:rPr>
        <w:t>Le gouvernement a connaissance de la déclaration du Comité contre la torture selon laquelle</w:t>
      </w:r>
    </w:p>
    <w:p w:rsidR="00224144" w:rsidRDefault="00224144" w:rsidP="005D7B68">
      <w:pPr>
        <w:tabs>
          <w:tab w:val="left" w:pos="567"/>
          <w:tab w:val="left" w:pos="1134"/>
          <w:tab w:val="left" w:pos="1701"/>
          <w:tab w:val="left" w:pos="2268"/>
          <w:tab w:val="left" w:pos="2835"/>
        </w:tabs>
        <w:ind w:left="720" w:hanging="12"/>
        <w:rPr>
          <w:i/>
          <w:iCs/>
          <w:lang w:val="fr-FR"/>
        </w:rPr>
      </w:pPr>
      <w:r>
        <w:rPr>
          <w:lang w:val="fr-FR"/>
        </w:rPr>
        <w:t xml:space="preserve">… </w:t>
      </w:r>
      <w:r w:rsidRPr="00224144">
        <w:rPr>
          <w:i/>
          <w:iCs/>
          <w:lang w:val="fr-FR"/>
        </w:rPr>
        <w:t>l’objectif de cette évaluation est de déterminer si la personne concernée risque personnellement d’être soumise à la torture dans le pays où elle retournerait. Dès lors, l’existence d’un ensemble de violations systématiques des droits de l’homme, graves, flagrantes ou massives dans le pays en question n’est pas en soi un motif suffisant pour conclure que cette personne risque d’être soumise à la torture à son retour dans ce pays; il doit exister des raisons supplémentaires de penser qu’elle serait personnellement en danger. À l’inverse, l’absence d’un ensemble de violations flagrantes et systématiques des droits de l’homme ne signifie pas qu’une personne ne puisse pas être considérée comme étant exposée au risque d’être torturée dans les circonstances qui sont les siennes</w:t>
      </w:r>
      <w:r>
        <w:rPr>
          <w:rStyle w:val="FootnoteReference"/>
          <w:i/>
          <w:iCs/>
          <w:lang w:val="fr-FR"/>
        </w:rPr>
        <w:footnoteReference w:id="10"/>
      </w:r>
      <w:r w:rsidR="00B7519D">
        <w:rPr>
          <w:i/>
          <w:iCs/>
          <w:lang w:val="fr-FR"/>
        </w:rPr>
        <w:t>.</w:t>
      </w:r>
    </w:p>
    <w:p w:rsidR="00224144" w:rsidRDefault="00224144" w:rsidP="005D7B68">
      <w:pPr>
        <w:tabs>
          <w:tab w:val="left" w:pos="567"/>
          <w:tab w:val="left" w:pos="1134"/>
          <w:tab w:val="left" w:pos="1701"/>
          <w:tab w:val="left" w:pos="2268"/>
          <w:tab w:val="left" w:pos="2835"/>
        </w:tabs>
        <w:rPr>
          <w:lang w:val="fr-FR"/>
        </w:rPr>
      </w:pPr>
      <w:r>
        <w:rPr>
          <w:lang w:val="fr-FR"/>
        </w:rPr>
        <w:t>29</w:t>
      </w:r>
      <w:r w:rsidR="00E42058">
        <w:rPr>
          <w:lang w:val="fr-FR"/>
        </w:rPr>
        <w:t>8</w:t>
      </w:r>
      <w:r>
        <w:rPr>
          <w:lang w:val="fr-FR"/>
        </w:rPr>
        <w:t>.</w:t>
      </w:r>
      <w:r>
        <w:rPr>
          <w:lang w:val="fr-FR"/>
        </w:rPr>
        <w:tab/>
        <w:t xml:space="preserve">Le </w:t>
      </w:r>
      <w:r w:rsidR="00B7519D">
        <w:rPr>
          <w:lang w:val="fr-FR"/>
        </w:rPr>
        <w:t xml:space="preserve">Gouvernement </w:t>
      </w:r>
      <w:r>
        <w:rPr>
          <w:lang w:val="fr-FR"/>
        </w:rPr>
        <w:t xml:space="preserve">a également connaissance de la déclaration du Comité selon laquelle </w:t>
      </w:r>
      <w:r w:rsidR="00A619D6">
        <w:rPr>
          <w:lang w:val="fr-FR"/>
        </w:rPr>
        <w:t>«</w:t>
      </w:r>
      <w:r w:rsidR="004701B5" w:rsidRPr="004701B5">
        <w:rPr>
          <w:lang w:val="fr-FR"/>
        </w:rPr>
        <w:t>il n’est pas nécessaire de montrer que le risque couru est hautement probable. Sans être nécessairement hautement probable, le risque doit néanmoins être personnel et actuel. À cet égard, le Comité a établi dans des décisions antérieures que le risque de torture doit être prévisible, réel et personnel</w:t>
      </w:r>
      <w:r w:rsidR="004701B5">
        <w:rPr>
          <w:rStyle w:val="FootnoteReference"/>
          <w:lang w:val="fr-FR"/>
        </w:rPr>
        <w:footnoteReference w:id="11"/>
      </w:r>
      <w:r w:rsidR="00B7519D" w:rsidRPr="004701B5">
        <w:rPr>
          <w:lang w:val="fr-FR"/>
        </w:rPr>
        <w:t>.</w:t>
      </w:r>
      <w:r w:rsidR="00B7519D">
        <w:rPr>
          <w:lang w:val="fr-FR"/>
        </w:rPr>
        <w:t>».</w:t>
      </w:r>
    </w:p>
    <w:p w:rsidR="004701B5" w:rsidRDefault="004701B5" w:rsidP="005D7B68">
      <w:pPr>
        <w:tabs>
          <w:tab w:val="left" w:pos="567"/>
          <w:tab w:val="left" w:pos="1134"/>
          <w:tab w:val="left" w:pos="1701"/>
          <w:tab w:val="left" w:pos="2268"/>
          <w:tab w:val="left" w:pos="2835"/>
        </w:tabs>
        <w:rPr>
          <w:lang w:val="fr-FR"/>
        </w:rPr>
      </w:pPr>
      <w:r>
        <w:rPr>
          <w:lang w:val="fr-FR"/>
        </w:rPr>
        <w:t>29</w:t>
      </w:r>
      <w:r w:rsidR="00E42058">
        <w:rPr>
          <w:lang w:val="fr-FR"/>
        </w:rPr>
        <w:t>9</w:t>
      </w:r>
      <w:r>
        <w:rPr>
          <w:lang w:val="fr-FR"/>
        </w:rPr>
        <w:t>.</w:t>
      </w:r>
      <w:r>
        <w:rPr>
          <w:lang w:val="fr-FR"/>
        </w:rPr>
        <w:tab/>
        <w:t>L’Au</w:t>
      </w:r>
      <w:r w:rsidR="00A47316">
        <w:rPr>
          <w:lang w:val="fr-FR"/>
        </w:rPr>
        <w:t>stralie est fermement décidée à respecter l</w:t>
      </w:r>
      <w:r>
        <w:rPr>
          <w:lang w:val="fr-FR"/>
        </w:rPr>
        <w:t>es obligations</w:t>
      </w:r>
      <w:r w:rsidR="00770300">
        <w:rPr>
          <w:lang w:val="fr-FR"/>
        </w:rPr>
        <w:t>,</w:t>
      </w:r>
      <w:r w:rsidR="00B7519D">
        <w:rPr>
          <w:lang w:val="fr-FR"/>
        </w:rPr>
        <w:t xml:space="preserve"> en matière de non</w:t>
      </w:r>
      <w:r w:rsidR="00B7519D">
        <w:rPr>
          <w:lang w:val="fr-FR"/>
        </w:rPr>
        <w:noBreakHyphen/>
      </w:r>
      <w:r>
        <w:rPr>
          <w:lang w:val="fr-FR"/>
        </w:rPr>
        <w:t>refoulement</w:t>
      </w:r>
      <w:r w:rsidR="00770300">
        <w:rPr>
          <w:lang w:val="fr-FR"/>
        </w:rPr>
        <w:t>,</w:t>
      </w:r>
      <w:r>
        <w:rPr>
          <w:lang w:val="fr-FR"/>
        </w:rPr>
        <w:t xml:space="preserve"> que lui impose le droit international</w:t>
      </w:r>
      <w:r w:rsidR="008D6B80">
        <w:rPr>
          <w:lang w:val="fr-FR"/>
        </w:rPr>
        <w:t xml:space="preserve">. </w:t>
      </w:r>
      <w:r>
        <w:rPr>
          <w:lang w:val="fr-FR"/>
        </w:rPr>
        <w:t>Des procédures ont été établies au sein du Gouvernement australien pou</w:t>
      </w:r>
      <w:r w:rsidR="005868A1">
        <w:rPr>
          <w:lang w:val="fr-FR"/>
        </w:rPr>
        <w:t>r permettre de v</w:t>
      </w:r>
      <w:r w:rsidR="00B7519D">
        <w:rPr>
          <w:lang w:val="fr-FR"/>
        </w:rPr>
        <w:t>érifier que l’obligation de non</w:t>
      </w:r>
      <w:r w:rsidR="00B7519D">
        <w:rPr>
          <w:lang w:val="fr-FR"/>
        </w:rPr>
        <w:noBreakHyphen/>
      </w:r>
      <w:r w:rsidR="005868A1">
        <w:rPr>
          <w:lang w:val="fr-FR"/>
        </w:rPr>
        <w:t>refoulement en application de l’article 3 de la Convention contre la torture est dûment respectée, ainsi que ses obligations</w:t>
      </w:r>
      <w:r>
        <w:rPr>
          <w:lang w:val="fr-FR"/>
        </w:rPr>
        <w:t xml:space="preserve"> </w:t>
      </w:r>
      <w:r w:rsidR="005868A1">
        <w:rPr>
          <w:lang w:val="fr-FR"/>
        </w:rPr>
        <w:t>dans le cadre du Pacte international relatif a</w:t>
      </w:r>
      <w:r w:rsidR="00C321E9">
        <w:rPr>
          <w:lang w:val="fr-FR"/>
        </w:rPr>
        <w:t xml:space="preserve">ux droits civils et politiques </w:t>
      </w:r>
      <w:r w:rsidR="005868A1">
        <w:rPr>
          <w:lang w:val="fr-FR"/>
        </w:rPr>
        <w:t>et de la Convention sur le statut des réfugiés, en plus de celles que lui impose le Deuxième protocole facultatif se rapportant au Pacte international relatif aux droits civils et politiques.</w:t>
      </w:r>
    </w:p>
    <w:p w:rsidR="007F0804" w:rsidRDefault="00E42058" w:rsidP="005D7B68">
      <w:pPr>
        <w:tabs>
          <w:tab w:val="left" w:pos="567"/>
          <w:tab w:val="left" w:pos="1134"/>
          <w:tab w:val="left" w:pos="1701"/>
          <w:tab w:val="left" w:pos="2268"/>
          <w:tab w:val="left" w:pos="2835"/>
        </w:tabs>
        <w:rPr>
          <w:lang w:val="fr-FR"/>
        </w:rPr>
      </w:pPr>
      <w:r>
        <w:rPr>
          <w:lang w:val="fr-FR"/>
        </w:rPr>
        <w:t>300</w:t>
      </w:r>
      <w:r w:rsidR="005868A1">
        <w:rPr>
          <w:lang w:val="fr-FR"/>
        </w:rPr>
        <w:t>.</w:t>
      </w:r>
      <w:r w:rsidR="005868A1">
        <w:rPr>
          <w:lang w:val="fr-FR"/>
        </w:rPr>
        <w:tab/>
        <w:t xml:space="preserve">Les cas qui </w:t>
      </w:r>
      <w:r w:rsidR="00B7519D">
        <w:rPr>
          <w:lang w:val="fr-FR"/>
        </w:rPr>
        <w:t>relèvent de l’obligation de non</w:t>
      </w:r>
      <w:r w:rsidR="00B7519D">
        <w:rPr>
          <w:lang w:val="fr-FR"/>
        </w:rPr>
        <w:noBreakHyphen/>
      </w:r>
      <w:r w:rsidR="005868A1">
        <w:rPr>
          <w:lang w:val="fr-FR"/>
        </w:rPr>
        <w:t>refoulement sont soumis au Mini</w:t>
      </w:r>
      <w:r w:rsidR="00B7519D">
        <w:rPr>
          <w:lang w:val="fr-FR"/>
        </w:rPr>
        <w:t>stre de l’immigration et de la c</w:t>
      </w:r>
      <w:r w:rsidR="005868A1">
        <w:rPr>
          <w:lang w:val="fr-FR"/>
        </w:rPr>
        <w:t>itoyenneté qui peut envisager d’exercer son pouvoir discrétionnaire pour octroyer un visa</w:t>
      </w:r>
      <w:r w:rsidR="008D6B80">
        <w:rPr>
          <w:lang w:val="fr-FR"/>
        </w:rPr>
        <w:t xml:space="preserve">. </w:t>
      </w:r>
      <w:r w:rsidR="001D4991">
        <w:rPr>
          <w:lang w:val="fr-FR"/>
        </w:rPr>
        <w:t>En outre, il est procédé à une évaluation de la situation au regard de l’obligation de non</w:t>
      </w:r>
      <w:r w:rsidR="00EB140F">
        <w:rPr>
          <w:lang w:val="fr-FR"/>
        </w:rPr>
        <w:noBreakHyphen/>
      </w:r>
      <w:r w:rsidR="001D4991">
        <w:rPr>
          <w:lang w:val="fr-FR"/>
        </w:rPr>
        <w:t>refoulement</w:t>
      </w:r>
      <w:r w:rsidR="00FE103A">
        <w:rPr>
          <w:lang w:val="fr-FR"/>
        </w:rPr>
        <w:t xml:space="preserve"> pour tous</w:t>
      </w:r>
      <w:r w:rsidR="00EA2FCF">
        <w:rPr>
          <w:lang w:val="fr-FR"/>
        </w:rPr>
        <w:t xml:space="preserve"> les demandeurs d’asile</w:t>
      </w:r>
      <w:r w:rsidR="00FE103A">
        <w:rPr>
          <w:lang w:val="fr-FR"/>
        </w:rPr>
        <w:t xml:space="preserve"> contraints de quitter l’Australie</w:t>
      </w:r>
      <w:r w:rsidR="008D6B80">
        <w:rPr>
          <w:lang w:val="fr-FR"/>
        </w:rPr>
        <w:t xml:space="preserve">. </w:t>
      </w:r>
      <w:r w:rsidR="00FE103A">
        <w:rPr>
          <w:lang w:val="fr-FR"/>
        </w:rPr>
        <w:t>Cette évaluation est effectuée avant le refoulement et tient compte de toutes les informations récentes sur les pays.</w:t>
      </w:r>
    </w:p>
    <w:p w:rsidR="00BE6635" w:rsidRDefault="007F0804" w:rsidP="005D7B68">
      <w:pPr>
        <w:tabs>
          <w:tab w:val="left" w:pos="567"/>
          <w:tab w:val="left" w:pos="1134"/>
          <w:tab w:val="left" w:pos="1701"/>
          <w:tab w:val="left" w:pos="2268"/>
          <w:tab w:val="left" w:pos="2835"/>
        </w:tabs>
        <w:rPr>
          <w:lang w:val="fr-FR"/>
        </w:rPr>
      </w:pPr>
      <w:r>
        <w:rPr>
          <w:lang w:val="fr-FR"/>
        </w:rPr>
        <w:t>30</w:t>
      </w:r>
      <w:r w:rsidR="00E42058">
        <w:rPr>
          <w:lang w:val="fr-FR"/>
        </w:rPr>
        <w:t>1</w:t>
      </w:r>
      <w:r>
        <w:rPr>
          <w:lang w:val="fr-FR"/>
        </w:rPr>
        <w:t>.</w:t>
      </w:r>
      <w:r>
        <w:rPr>
          <w:lang w:val="fr-FR"/>
        </w:rPr>
        <w:tab/>
        <w:t>Il est également tenu compte de l’obligation de non-refoulement</w:t>
      </w:r>
      <w:r w:rsidR="005868A1">
        <w:rPr>
          <w:lang w:val="fr-FR"/>
        </w:rPr>
        <w:t xml:space="preserve"> </w:t>
      </w:r>
      <w:r>
        <w:rPr>
          <w:lang w:val="fr-FR"/>
        </w:rPr>
        <w:t>dans la procédure d’annulation d’un visa pour des raisons de moralité</w:t>
      </w:r>
      <w:r w:rsidR="008D6B80">
        <w:rPr>
          <w:lang w:val="fr-FR"/>
        </w:rPr>
        <w:t xml:space="preserve">. </w:t>
      </w:r>
      <w:r>
        <w:rPr>
          <w:lang w:val="fr-FR"/>
        </w:rPr>
        <w:t>Si une personne affirme, au cours de cette procédure, que ses droits de l’homme seront violés à son retour dans un autre pays, ou si le gouvernement repère des problèmes</w:t>
      </w:r>
      <w:r w:rsidR="005868A1">
        <w:rPr>
          <w:lang w:val="fr-FR"/>
        </w:rPr>
        <w:t xml:space="preserve"> </w:t>
      </w:r>
      <w:r>
        <w:rPr>
          <w:lang w:val="fr-FR"/>
        </w:rPr>
        <w:t>liés aux droits de l’homme, on procède à une évaluation complète de l’obligation de non-refoulement à laquelle est soumise l’Australie</w:t>
      </w:r>
      <w:r w:rsidR="008D6B80">
        <w:rPr>
          <w:lang w:val="fr-FR"/>
        </w:rPr>
        <w:t xml:space="preserve">. </w:t>
      </w:r>
      <w:r>
        <w:rPr>
          <w:lang w:val="fr-FR"/>
        </w:rPr>
        <w:t xml:space="preserve">Cette évaluation </w:t>
      </w:r>
      <w:r w:rsidR="00D654CA">
        <w:rPr>
          <w:lang w:val="fr-FR"/>
        </w:rPr>
        <w:t>éclaire la procédure de prise de décision, au cours de laquelle il est dûment tenu compte du caractère absolu de l’obligation de non-refoulement en vertu de la Convention contre la torture et du Pacte international relatif aux droits civils et politiques.</w:t>
      </w:r>
    </w:p>
    <w:p w:rsidR="00295C5C" w:rsidRDefault="00BE6635" w:rsidP="005D7B68">
      <w:pPr>
        <w:tabs>
          <w:tab w:val="left" w:pos="567"/>
          <w:tab w:val="left" w:pos="1134"/>
          <w:tab w:val="left" w:pos="1701"/>
          <w:tab w:val="left" w:pos="2268"/>
          <w:tab w:val="left" w:pos="2835"/>
        </w:tabs>
        <w:rPr>
          <w:lang w:val="fr-FR"/>
        </w:rPr>
      </w:pPr>
      <w:r>
        <w:rPr>
          <w:lang w:val="fr-FR"/>
        </w:rPr>
        <w:t>30</w:t>
      </w:r>
      <w:r w:rsidR="00E42058">
        <w:rPr>
          <w:lang w:val="fr-FR"/>
        </w:rPr>
        <w:t>2</w:t>
      </w:r>
      <w:r>
        <w:rPr>
          <w:lang w:val="fr-FR"/>
        </w:rPr>
        <w:t>.</w:t>
      </w:r>
      <w:r>
        <w:rPr>
          <w:lang w:val="fr-FR"/>
        </w:rPr>
        <w:tab/>
        <w:t>Le Gouvernement australien est informé de la déclaration des autorités internationales, notamment la Cour européenne des droits de l’homme, le Comité des Nations Unies contre la torture et le Rapporteur spécial des Nations Unies contre la torture</w:t>
      </w:r>
      <w:r w:rsidR="00FE2B3A">
        <w:rPr>
          <w:lang w:val="fr-FR"/>
        </w:rPr>
        <w:t>, selon laquelle les engagements à caractère diplomatique de ne pas soumettre un</w:t>
      </w:r>
      <w:r w:rsidR="00E35E55">
        <w:rPr>
          <w:lang w:val="fr-FR"/>
        </w:rPr>
        <w:t>e</w:t>
      </w:r>
      <w:r w:rsidR="00FE2B3A">
        <w:rPr>
          <w:lang w:val="fr-FR"/>
        </w:rPr>
        <w:t xml:space="preserve"> personne à la torture pris par un pays ne suffisent pas, en tant que tels, pour garantir qu’il ne </w:t>
      </w:r>
      <w:r w:rsidR="00B7519D">
        <w:rPr>
          <w:lang w:val="fr-FR"/>
        </w:rPr>
        <w:t>violera pas l’obligation de non</w:t>
      </w:r>
      <w:r w:rsidR="00B7519D">
        <w:rPr>
          <w:lang w:val="fr-FR"/>
        </w:rPr>
        <w:noBreakHyphen/>
      </w:r>
      <w:r w:rsidR="00FE2B3A">
        <w:rPr>
          <w:lang w:val="fr-FR"/>
        </w:rPr>
        <w:t>refoulement qui lui est fa</w:t>
      </w:r>
      <w:r w:rsidR="00E35E55">
        <w:rPr>
          <w:lang w:val="fr-FR"/>
        </w:rPr>
        <w:t>ite s’il ne se fonde que sur ces</w:t>
      </w:r>
      <w:r w:rsidR="00FE2B3A">
        <w:rPr>
          <w:lang w:val="fr-FR"/>
        </w:rPr>
        <w:t xml:space="preserve"> engagement</w:t>
      </w:r>
      <w:r w:rsidR="00E35E55">
        <w:rPr>
          <w:lang w:val="fr-FR"/>
        </w:rPr>
        <w:t>s</w:t>
      </w:r>
      <w:r w:rsidR="00FE2B3A">
        <w:rPr>
          <w:lang w:val="fr-FR"/>
        </w:rPr>
        <w:t xml:space="preserve"> et refoule cette personne</w:t>
      </w:r>
      <w:r w:rsidR="008D6B80">
        <w:rPr>
          <w:lang w:val="fr-FR"/>
        </w:rPr>
        <w:t xml:space="preserve">. </w:t>
      </w:r>
      <w:r w:rsidR="00FE2B3A">
        <w:rPr>
          <w:lang w:val="fr-FR"/>
        </w:rPr>
        <w:t>Les autorités internationales suggèrent également</w:t>
      </w:r>
      <w:r w:rsidR="00EE6D7B">
        <w:rPr>
          <w:lang w:val="fr-FR"/>
        </w:rPr>
        <w:t xml:space="preserve"> que des accords leur permetta</w:t>
      </w:r>
      <w:r w:rsidR="00FE2B3A">
        <w:rPr>
          <w:lang w:val="fr-FR"/>
        </w:rPr>
        <w:t xml:space="preserve">nt d’avoir accès aux décisions concernées et </w:t>
      </w:r>
      <w:r w:rsidR="00EE6D7B">
        <w:rPr>
          <w:lang w:val="fr-FR"/>
        </w:rPr>
        <w:t>de les superviser</w:t>
      </w:r>
      <w:r w:rsidR="00374F4C">
        <w:rPr>
          <w:lang w:val="fr-FR"/>
        </w:rPr>
        <w:t xml:space="preserve"> contribuerai</w:t>
      </w:r>
      <w:r w:rsidR="00EE6D7B">
        <w:rPr>
          <w:lang w:val="fr-FR"/>
        </w:rPr>
        <w:t>en</w:t>
      </w:r>
      <w:r w:rsidR="00374F4C">
        <w:rPr>
          <w:lang w:val="fr-FR"/>
        </w:rPr>
        <w:t>t à garantir l’exécution de l’obligation de non-refoulement</w:t>
      </w:r>
      <w:r w:rsidR="008D6B80">
        <w:rPr>
          <w:lang w:val="fr-FR"/>
        </w:rPr>
        <w:t xml:space="preserve">. </w:t>
      </w:r>
      <w:r w:rsidR="00374F4C">
        <w:rPr>
          <w:lang w:val="fr-FR"/>
        </w:rPr>
        <w:t>Ces autorités, bien que n’ayant aucun pouvoir contraignant sur l’Australie, ont du poids, et le Gouvernement australien tient compte de leur avis dans ses décisions</w:t>
      </w:r>
      <w:r w:rsidR="008D6B80">
        <w:rPr>
          <w:lang w:val="fr-FR"/>
        </w:rPr>
        <w:t xml:space="preserve">. </w:t>
      </w:r>
      <w:r w:rsidR="00374F4C">
        <w:rPr>
          <w:lang w:val="fr-FR"/>
        </w:rPr>
        <w:t xml:space="preserve">Au 3 septembre 2007, il avait sollicité et reçu une assurance concernant une personne qui devait être refoulée en application de la loi sur l’immigration, </w:t>
      </w:r>
      <w:r w:rsidR="00295C5C">
        <w:rPr>
          <w:lang w:val="fr-FR"/>
        </w:rPr>
        <w:t>mais elle ne l’a pas encore été</w:t>
      </w:r>
      <w:r w:rsidR="00374F4C">
        <w:rPr>
          <w:lang w:val="fr-FR"/>
        </w:rPr>
        <w:t>.</w:t>
      </w:r>
    </w:p>
    <w:p w:rsidR="00B76585" w:rsidRDefault="00295C5C" w:rsidP="005D7B68">
      <w:pPr>
        <w:tabs>
          <w:tab w:val="left" w:pos="567"/>
          <w:tab w:val="left" w:pos="1134"/>
          <w:tab w:val="left" w:pos="1701"/>
          <w:tab w:val="left" w:pos="2268"/>
          <w:tab w:val="left" w:pos="2835"/>
        </w:tabs>
        <w:rPr>
          <w:lang w:val="fr-FR"/>
        </w:rPr>
      </w:pPr>
      <w:r>
        <w:rPr>
          <w:lang w:val="fr-FR"/>
        </w:rPr>
        <w:t>30</w:t>
      </w:r>
      <w:r w:rsidR="00E42058">
        <w:rPr>
          <w:lang w:val="fr-FR"/>
        </w:rPr>
        <w:t>3</w:t>
      </w:r>
      <w:r>
        <w:rPr>
          <w:lang w:val="fr-FR"/>
        </w:rPr>
        <w:t>.</w:t>
      </w:r>
      <w:r>
        <w:rPr>
          <w:lang w:val="fr-FR"/>
        </w:rPr>
        <w:tab/>
        <w:t xml:space="preserve">Pour ce qui est de l’extradition, l’article 22 3) b) de la </w:t>
      </w:r>
      <w:r w:rsidRPr="009466FD">
        <w:rPr>
          <w:lang w:val="fr-FR"/>
        </w:rPr>
        <w:t>loi de 1998 sur l’extradition</w:t>
      </w:r>
      <w:r>
        <w:rPr>
          <w:lang w:val="fr-FR"/>
        </w:rPr>
        <w:t xml:space="preserve"> (Commonwealth) dispose précisément que nul ne doit être extradé si </w:t>
      </w:r>
      <w:r w:rsidR="00B76585">
        <w:rPr>
          <w:lang w:val="fr-FR"/>
        </w:rPr>
        <w:t>l’</w:t>
      </w:r>
      <w:r w:rsidR="008E1139" w:rsidRPr="008E1139">
        <w:rPr>
          <w:lang w:val="fr-FR"/>
        </w:rPr>
        <w:t>Attorney général</w:t>
      </w:r>
      <w:r w:rsidR="00B76585">
        <w:rPr>
          <w:i/>
          <w:iCs/>
          <w:lang w:val="fr-FR"/>
        </w:rPr>
        <w:t xml:space="preserve"> </w:t>
      </w:r>
      <w:r w:rsidR="009C3370">
        <w:rPr>
          <w:lang w:val="fr-FR"/>
        </w:rPr>
        <w:t>n’a pas acquis la conviction</w:t>
      </w:r>
      <w:r w:rsidR="00B76585">
        <w:rPr>
          <w:lang w:val="fr-FR"/>
        </w:rPr>
        <w:t xml:space="preserve"> que l’intéressé ne sera pas soumis à la torture dans le pays qui demande son extradition.</w:t>
      </w:r>
    </w:p>
    <w:p w:rsidR="00C57CE6" w:rsidRDefault="00B76585" w:rsidP="005D7B68">
      <w:pPr>
        <w:tabs>
          <w:tab w:val="left" w:pos="567"/>
          <w:tab w:val="left" w:pos="1134"/>
          <w:tab w:val="left" w:pos="1701"/>
          <w:tab w:val="left" w:pos="2268"/>
          <w:tab w:val="left" w:pos="2835"/>
        </w:tabs>
        <w:rPr>
          <w:lang w:val="fr-FR"/>
        </w:rPr>
      </w:pPr>
      <w:r>
        <w:rPr>
          <w:lang w:val="fr-FR"/>
        </w:rPr>
        <w:t>30</w:t>
      </w:r>
      <w:r w:rsidR="00E42058">
        <w:rPr>
          <w:lang w:val="fr-FR"/>
        </w:rPr>
        <w:t>4</w:t>
      </w:r>
      <w:r>
        <w:rPr>
          <w:lang w:val="fr-FR"/>
        </w:rPr>
        <w:t>.</w:t>
      </w:r>
      <w:r>
        <w:rPr>
          <w:lang w:val="fr-FR"/>
        </w:rPr>
        <w:tab/>
        <w:t>L’Australie peut tenir compte d’un engagement diplomatique pris par l’État d’accueil lors de la prise de décision relative à son obligation de non-refoulement</w:t>
      </w:r>
      <w:r w:rsidR="008D6B80">
        <w:rPr>
          <w:lang w:val="fr-FR"/>
        </w:rPr>
        <w:t xml:space="preserve">. </w:t>
      </w:r>
      <w:r>
        <w:rPr>
          <w:lang w:val="fr-FR"/>
        </w:rPr>
        <w:t>Toutefois, cet engagement</w:t>
      </w:r>
      <w:r w:rsidR="00B47D0F">
        <w:rPr>
          <w:lang w:val="fr-FR"/>
        </w:rPr>
        <w:t xml:space="preserve"> ne la décharge pas de la responsabilité qu’elle a d’effectuer une évaluation pour savoir s’il existe un risque réel de torture</w:t>
      </w:r>
      <w:r w:rsidR="008D6B80">
        <w:rPr>
          <w:lang w:val="fr-FR"/>
        </w:rPr>
        <w:t xml:space="preserve">. </w:t>
      </w:r>
      <w:r w:rsidR="00B47D0F">
        <w:rPr>
          <w:lang w:val="fr-FR"/>
        </w:rPr>
        <w:t>L’engagement peut être un facteur</w:t>
      </w:r>
      <w:r w:rsidR="00572260">
        <w:rPr>
          <w:lang w:val="fr-FR"/>
        </w:rPr>
        <w:t xml:space="preserve"> </w:t>
      </w:r>
      <w:r w:rsidR="00B47D0F">
        <w:rPr>
          <w:lang w:val="fr-FR"/>
        </w:rPr>
        <w:t>permettant de décider qu’il n’y a pas de risque réel, mais une évaluation doit prendre en compte toutes les circonstances d’une affaire donnée</w:t>
      </w:r>
      <w:r w:rsidR="008D6B80">
        <w:rPr>
          <w:lang w:val="fr-FR"/>
        </w:rPr>
        <w:t xml:space="preserve">. </w:t>
      </w:r>
      <w:r w:rsidR="00B47D0F">
        <w:rPr>
          <w:lang w:val="fr-FR"/>
        </w:rPr>
        <w:t>L’Australie procède également à une évaluation pour vérifier si le pays en question res</w:t>
      </w:r>
      <w:r w:rsidR="00C57CE6">
        <w:rPr>
          <w:lang w:val="fr-FR"/>
        </w:rPr>
        <w:t>pec</w:t>
      </w:r>
      <w:r w:rsidR="00B47D0F">
        <w:rPr>
          <w:lang w:val="fr-FR"/>
        </w:rPr>
        <w:t>tera son engagement</w:t>
      </w:r>
      <w:r w:rsidR="008D6B80">
        <w:rPr>
          <w:lang w:val="fr-FR"/>
        </w:rPr>
        <w:t xml:space="preserve">. </w:t>
      </w:r>
      <w:r w:rsidR="00B47D0F">
        <w:rPr>
          <w:lang w:val="fr-FR"/>
        </w:rPr>
        <w:t>Cette approche est conforme à la prescription fondamentale</w:t>
      </w:r>
      <w:r w:rsidR="00C57CE6">
        <w:rPr>
          <w:lang w:val="fr-FR"/>
        </w:rPr>
        <w:t xml:space="preserve"> requérant que l’État qui procède à l’extradition soit </w:t>
      </w:r>
      <w:r w:rsidR="009C3370">
        <w:rPr>
          <w:lang w:val="fr-FR"/>
        </w:rPr>
        <w:t xml:space="preserve">convaincu </w:t>
      </w:r>
      <w:r w:rsidR="009466FD">
        <w:rPr>
          <w:lang w:val="fr-FR"/>
        </w:rPr>
        <w:t>que l’É</w:t>
      </w:r>
      <w:r w:rsidR="00C57CE6">
        <w:rPr>
          <w:lang w:val="fr-FR"/>
        </w:rPr>
        <w:t>tat d’accueil respectera son engagement en tout état de cause.</w:t>
      </w:r>
      <w:r w:rsidR="00B47D0F">
        <w:rPr>
          <w:lang w:val="fr-FR"/>
        </w:rPr>
        <w:t xml:space="preserve"> </w:t>
      </w:r>
    </w:p>
    <w:p w:rsidR="00364BA2" w:rsidRDefault="00364BA2" w:rsidP="005D7B68">
      <w:pPr>
        <w:tabs>
          <w:tab w:val="left" w:pos="567"/>
          <w:tab w:val="left" w:pos="1134"/>
          <w:tab w:val="left" w:pos="1701"/>
          <w:tab w:val="left" w:pos="2268"/>
          <w:tab w:val="left" w:pos="2835"/>
        </w:tabs>
        <w:rPr>
          <w:lang w:val="fr-FR"/>
        </w:rPr>
      </w:pPr>
      <w:r>
        <w:rPr>
          <w:lang w:val="fr-FR"/>
        </w:rPr>
        <w:t>30</w:t>
      </w:r>
      <w:r w:rsidR="00E42058">
        <w:rPr>
          <w:lang w:val="fr-FR"/>
        </w:rPr>
        <w:t>5</w:t>
      </w:r>
      <w:r>
        <w:rPr>
          <w:lang w:val="fr-FR"/>
        </w:rPr>
        <w:t>.</w:t>
      </w:r>
      <w:r>
        <w:rPr>
          <w:lang w:val="fr-FR"/>
        </w:rPr>
        <w:tab/>
        <w:t>S’agissant de chercher à prendre contact avec la personne extradée vers un autre pays afin de contrôler si ce dernier honore son engagement de ne pas la soumettre à la torture, c’est en fin de compte une question de politique</w:t>
      </w:r>
      <w:r w:rsidR="008D6B80">
        <w:rPr>
          <w:lang w:val="fr-FR"/>
        </w:rPr>
        <w:t xml:space="preserve">. </w:t>
      </w:r>
      <w:r>
        <w:rPr>
          <w:lang w:val="fr-FR"/>
        </w:rPr>
        <w:t>Il faut examiner séparément chaque cas, à la lumière de ce qu’on en sait</w:t>
      </w:r>
      <w:r w:rsidR="008D6B80">
        <w:rPr>
          <w:lang w:val="fr-FR"/>
        </w:rPr>
        <w:t xml:space="preserve">. </w:t>
      </w:r>
      <w:r>
        <w:rPr>
          <w:lang w:val="fr-FR"/>
        </w:rPr>
        <w:t xml:space="preserve">L’Australie met à profit les occasions qu’elle </w:t>
      </w:r>
      <w:r w:rsidR="00BD3A50">
        <w:rPr>
          <w:lang w:val="fr-FR"/>
        </w:rPr>
        <w:t xml:space="preserve">a </w:t>
      </w:r>
      <w:r>
        <w:rPr>
          <w:lang w:val="fr-FR"/>
        </w:rPr>
        <w:t>d’informer l’État vers lequel un</w:t>
      </w:r>
      <w:r w:rsidR="00BD3A50">
        <w:rPr>
          <w:lang w:val="fr-FR"/>
        </w:rPr>
        <w:t>e</w:t>
      </w:r>
      <w:r>
        <w:rPr>
          <w:lang w:val="fr-FR"/>
        </w:rPr>
        <w:t xml:space="preserve"> personne a été extradée qu’elle essayera de temps en temps de contacter cette personne.</w:t>
      </w:r>
    </w:p>
    <w:p w:rsidR="00364BA2" w:rsidRDefault="00364BA2" w:rsidP="00F81A5E">
      <w:pPr>
        <w:keepNext/>
        <w:tabs>
          <w:tab w:val="left" w:pos="567"/>
          <w:tab w:val="left" w:pos="1134"/>
          <w:tab w:val="left" w:pos="1701"/>
          <w:tab w:val="left" w:pos="2268"/>
          <w:tab w:val="left" w:pos="2835"/>
        </w:tabs>
        <w:rPr>
          <w:b/>
          <w:bCs/>
          <w:lang w:val="fr-FR"/>
        </w:rPr>
      </w:pPr>
      <w:r>
        <w:rPr>
          <w:b/>
          <w:bCs/>
          <w:lang w:val="fr-FR"/>
        </w:rPr>
        <w:t>Question 9</w:t>
      </w:r>
    </w:p>
    <w:p w:rsidR="00364BA2" w:rsidRDefault="00364BA2" w:rsidP="00F81A5E">
      <w:pPr>
        <w:keepNext/>
        <w:tabs>
          <w:tab w:val="left" w:pos="567"/>
          <w:tab w:val="left" w:pos="1134"/>
          <w:tab w:val="left" w:pos="1701"/>
          <w:tab w:val="left" w:pos="2268"/>
          <w:tab w:val="left" w:pos="2835"/>
        </w:tabs>
        <w:rPr>
          <w:b/>
          <w:bCs/>
          <w:lang w:val="fr-FR"/>
        </w:rPr>
      </w:pPr>
      <w:r>
        <w:rPr>
          <w:b/>
          <w:bCs/>
          <w:lang w:val="fr-FR"/>
        </w:rPr>
        <w:tab/>
      </w:r>
      <w:r w:rsidRPr="00364BA2">
        <w:rPr>
          <w:b/>
          <w:bCs/>
          <w:lang w:val="fr-FR"/>
        </w:rPr>
        <w:t>Indiquer au Comité le nombre d’affaires traitées pendant la période considérée dans lesquelles le Ministre de l’immigration et des affaires multiculturelles et autochtones a exercé le pouvoir que lui confère</w:t>
      </w:r>
      <w:r w:rsidR="00A730F1">
        <w:rPr>
          <w:b/>
          <w:bCs/>
          <w:lang w:val="fr-FR"/>
        </w:rPr>
        <w:t>nt les articles 417, 454 et 501</w:t>
      </w:r>
      <w:r w:rsidRPr="00364BA2">
        <w:rPr>
          <w:b/>
          <w:bCs/>
          <w:lang w:val="fr-FR"/>
        </w:rPr>
        <w:t>J</w:t>
      </w:r>
      <w:r w:rsidRPr="00364BA2">
        <w:rPr>
          <w:b/>
          <w:bCs/>
          <w:i/>
          <w:iCs/>
          <w:lang w:val="fr-FR"/>
        </w:rPr>
        <w:t xml:space="preserve"> </w:t>
      </w:r>
      <w:r w:rsidRPr="00364BA2">
        <w:rPr>
          <w:b/>
          <w:bCs/>
          <w:lang w:val="fr-FR"/>
        </w:rPr>
        <w:t>de la loi de 1958 sur l’immigration de remplacer une décision du Tribunal de contrôle des décisions concernant les réfugiés ou du Tribunal des recours administratifs par une nouvelle décision plus favorable au requérant</w:t>
      </w:r>
      <w:r w:rsidR="00B46CA8">
        <w:rPr>
          <w:rStyle w:val="FootnoteReference"/>
          <w:b/>
          <w:bCs/>
          <w:lang w:val="fr-FR"/>
        </w:rPr>
        <w:footnoteReference w:id="12"/>
      </w:r>
      <w:r w:rsidR="009030A8">
        <w:rPr>
          <w:b/>
          <w:bCs/>
          <w:lang w:val="fr-FR"/>
        </w:rPr>
        <w:t>.</w:t>
      </w:r>
    </w:p>
    <w:p w:rsidR="00B46CA8" w:rsidRDefault="00B46CA8" w:rsidP="005D7B68">
      <w:pPr>
        <w:tabs>
          <w:tab w:val="left" w:pos="567"/>
          <w:tab w:val="left" w:pos="1134"/>
          <w:tab w:val="left" w:pos="1701"/>
          <w:tab w:val="left" w:pos="2268"/>
          <w:tab w:val="left" w:pos="2835"/>
        </w:tabs>
        <w:rPr>
          <w:lang w:val="fr-FR"/>
        </w:rPr>
      </w:pPr>
      <w:r>
        <w:rPr>
          <w:lang w:val="fr-FR"/>
        </w:rPr>
        <w:t>30</w:t>
      </w:r>
      <w:r w:rsidR="00E42058">
        <w:rPr>
          <w:lang w:val="fr-FR"/>
        </w:rPr>
        <w:t>6</w:t>
      </w:r>
      <w:r>
        <w:rPr>
          <w:lang w:val="fr-FR"/>
        </w:rPr>
        <w:t>.</w:t>
      </w:r>
      <w:r>
        <w:rPr>
          <w:lang w:val="fr-FR"/>
        </w:rPr>
        <w:tab/>
        <w:t>Le</w:t>
      </w:r>
      <w:r w:rsidR="005059EC">
        <w:rPr>
          <w:lang w:val="fr-FR"/>
        </w:rPr>
        <w:t xml:space="preserve"> Gouvernement australien ne voit</w:t>
      </w:r>
      <w:r>
        <w:rPr>
          <w:lang w:val="fr-FR"/>
        </w:rPr>
        <w:t xml:space="preserve"> pas très bien de quelle manière cette question</w:t>
      </w:r>
      <w:r w:rsidR="00572260">
        <w:rPr>
          <w:lang w:val="fr-FR"/>
        </w:rPr>
        <w:t xml:space="preserve"> </w:t>
      </w:r>
      <w:r>
        <w:rPr>
          <w:lang w:val="fr-FR"/>
        </w:rPr>
        <w:t>relève du mandat du Comité</w:t>
      </w:r>
      <w:r w:rsidR="008D6B80">
        <w:rPr>
          <w:lang w:val="fr-FR"/>
        </w:rPr>
        <w:t xml:space="preserve">. </w:t>
      </w:r>
      <w:r>
        <w:rPr>
          <w:lang w:val="fr-FR"/>
        </w:rPr>
        <w:t>Néanmoins, pour lui être utile, il accepte de lui communiquer les infor</w:t>
      </w:r>
      <w:r w:rsidR="00A730F1">
        <w:rPr>
          <w:lang w:val="fr-FR"/>
        </w:rPr>
        <w:t>mations ci</w:t>
      </w:r>
      <w:r w:rsidR="00A730F1">
        <w:rPr>
          <w:lang w:val="fr-FR"/>
        </w:rPr>
        <w:noBreakHyphen/>
      </w:r>
      <w:r>
        <w:rPr>
          <w:lang w:val="fr-FR"/>
        </w:rPr>
        <w:t>après.</w:t>
      </w:r>
    </w:p>
    <w:p w:rsidR="00B46CA8" w:rsidRDefault="00B46CA8" w:rsidP="005D7B68">
      <w:pPr>
        <w:tabs>
          <w:tab w:val="left" w:pos="567"/>
          <w:tab w:val="left" w:pos="1134"/>
          <w:tab w:val="left" w:pos="1701"/>
          <w:tab w:val="left" w:pos="2268"/>
          <w:tab w:val="left" w:pos="2835"/>
        </w:tabs>
        <w:rPr>
          <w:lang w:val="fr-FR"/>
        </w:rPr>
      </w:pPr>
      <w:r>
        <w:rPr>
          <w:lang w:val="fr-FR"/>
        </w:rPr>
        <w:t>30</w:t>
      </w:r>
      <w:r w:rsidR="00E42058">
        <w:rPr>
          <w:lang w:val="fr-FR"/>
        </w:rPr>
        <w:t>7</w:t>
      </w:r>
      <w:r>
        <w:rPr>
          <w:lang w:val="fr-FR"/>
        </w:rPr>
        <w:t>.</w:t>
      </w:r>
      <w:r>
        <w:rPr>
          <w:lang w:val="fr-FR"/>
        </w:rPr>
        <w:tab/>
        <w:t>Entre juillet 1997 et juin 2004, le Ministre de l’immigration et des affaires multiculturelles et autochtones a exercé le pouvoir d’</w:t>
      </w:r>
      <w:r w:rsidR="0079752E">
        <w:rPr>
          <w:lang w:val="fr-FR"/>
        </w:rPr>
        <w:t>intervention ministérielle tel qu’il est défini</w:t>
      </w:r>
      <w:r>
        <w:rPr>
          <w:lang w:val="fr-FR"/>
        </w:rPr>
        <w:t xml:space="preserve"> dans les articles 417, 454 et 501J de la</w:t>
      </w:r>
      <w:r>
        <w:rPr>
          <w:i/>
          <w:iCs/>
          <w:lang w:val="fr-FR"/>
        </w:rPr>
        <w:t xml:space="preserve"> </w:t>
      </w:r>
      <w:r w:rsidRPr="0079752E">
        <w:rPr>
          <w:lang w:val="fr-FR"/>
        </w:rPr>
        <w:t>loi de 1958 sur l’immigration</w:t>
      </w:r>
      <w:r>
        <w:rPr>
          <w:lang w:val="fr-FR"/>
        </w:rPr>
        <w:t xml:space="preserve"> pour substituer une décision plus favorabl</w:t>
      </w:r>
      <w:r w:rsidR="00B453AD">
        <w:rPr>
          <w:lang w:val="fr-FR"/>
        </w:rPr>
        <w:t>e à celle qu’avait prise le Tribunal de contrôle des décisions concernant les réfugiés ou le Tribunal des recours administratifs dans 1 748 cas.</w:t>
      </w:r>
    </w:p>
    <w:p w:rsidR="00B453AD" w:rsidRDefault="00B453AD" w:rsidP="005D7B68">
      <w:pPr>
        <w:tabs>
          <w:tab w:val="left" w:pos="567"/>
          <w:tab w:val="left" w:pos="1134"/>
          <w:tab w:val="left" w:pos="1701"/>
          <w:tab w:val="left" w:pos="2268"/>
          <w:tab w:val="left" w:pos="2835"/>
        </w:tabs>
        <w:rPr>
          <w:lang w:val="fr-FR"/>
        </w:rPr>
      </w:pPr>
      <w:r>
        <w:rPr>
          <w:lang w:val="fr-FR"/>
        </w:rPr>
        <w:t>30</w:t>
      </w:r>
      <w:r w:rsidR="00E42058">
        <w:rPr>
          <w:lang w:val="fr-FR"/>
        </w:rPr>
        <w:t>8</w:t>
      </w:r>
      <w:r>
        <w:rPr>
          <w:lang w:val="fr-FR"/>
        </w:rPr>
        <w:t>.</w:t>
      </w:r>
      <w:r>
        <w:rPr>
          <w:lang w:val="fr-FR"/>
        </w:rPr>
        <w:tab/>
      </w:r>
      <w:r w:rsidR="00C321E9">
        <w:rPr>
          <w:lang w:val="fr-FR"/>
        </w:rPr>
        <w:t>Au 6 juillet 2007, l</w:t>
      </w:r>
      <w:r>
        <w:rPr>
          <w:lang w:val="fr-FR"/>
        </w:rPr>
        <w:t>es archives</w:t>
      </w:r>
      <w:r w:rsidR="00C321E9">
        <w:rPr>
          <w:lang w:val="fr-FR"/>
        </w:rPr>
        <w:t xml:space="preserve"> ministérielles montrent </w:t>
      </w:r>
      <w:r>
        <w:rPr>
          <w:lang w:val="fr-FR"/>
        </w:rPr>
        <w:t>que, entre juillet 2004 et juin 2007, le Ministre est intervenu, au titre des articles 417, 454 ou 501J, dans 1 058 autres cas.</w:t>
      </w:r>
    </w:p>
    <w:p w:rsidR="00B453AD" w:rsidRDefault="00B453AD" w:rsidP="005D7B68">
      <w:pPr>
        <w:tabs>
          <w:tab w:val="left" w:pos="567"/>
          <w:tab w:val="left" w:pos="1134"/>
          <w:tab w:val="left" w:pos="1701"/>
          <w:tab w:val="left" w:pos="2268"/>
          <w:tab w:val="left" w:pos="2835"/>
        </w:tabs>
        <w:rPr>
          <w:b/>
          <w:bCs/>
          <w:lang w:val="fr-FR"/>
        </w:rPr>
      </w:pPr>
      <w:r>
        <w:rPr>
          <w:b/>
          <w:bCs/>
          <w:lang w:val="fr-FR"/>
        </w:rPr>
        <w:t>Question 10</w:t>
      </w:r>
    </w:p>
    <w:p w:rsidR="00B453AD" w:rsidRDefault="00B453AD" w:rsidP="005D7B68">
      <w:pPr>
        <w:tabs>
          <w:tab w:val="left" w:pos="567"/>
          <w:tab w:val="left" w:pos="1134"/>
          <w:tab w:val="left" w:pos="1701"/>
          <w:tab w:val="left" w:pos="2268"/>
          <w:tab w:val="left" w:pos="2835"/>
        </w:tabs>
        <w:rPr>
          <w:b/>
          <w:lang w:val="fr-FR"/>
        </w:rPr>
      </w:pPr>
      <w:r>
        <w:rPr>
          <w:b/>
          <w:bCs/>
          <w:lang w:val="fr-FR"/>
        </w:rPr>
        <w:tab/>
      </w:r>
      <w:r w:rsidRPr="00B453AD">
        <w:rPr>
          <w:b/>
          <w:lang w:val="fr-FR"/>
        </w:rPr>
        <w:t>Exposer la position de l’État partie face aux préoccupations exprimées récemment par la Commission des droits de l’homme et de l’égalité des chances au sujet du projet de loi de 2006 portant modification de la loi sur l’immigration (dispositions relatives à la procédure d’examen des demandes d’asile), dont les dispositions pourraient donner lieu à des procédures arbitraires, augmentant ainsi le risque de prise de décisions erronées et de refoulement de demandeurs d’asile. Indiquer les motifs à la base des modification</w:t>
      </w:r>
      <w:r w:rsidR="00A730F1">
        <w:rPr>
          <w:b/>
          <w:lang w:val="fr-FR"/>
        </w:rPr>
        <w:t>s prévues dans le projet de loi</w:t>
      </w:r>
      <w:r w:rsidR="009030A8">
        <w:rPr>
          <w:b/>
          <w:lang w:val="fr-FR"/>
        </w:rPr>
        <w:t>.</w:t>
      </w:r>
    </w:p>
    <w:p w:rsidR="00B453AD" w:rsidRDefault="00B453AD" w:rsidP="005D7B68">
      <w:pPr>
        <w:tabs>
          <w:tab w:val="left" w:pos="567"/>
          <w:tab w:val="left" w:pos="1134"/>
          <w:tab w:val="left" w:pos="1701"/>
          <w:tab w:val="left" w:pos="2268"/>
          <w:tab w:val="left" w:pos="2835"/>
        </w:tabs>
        <w:rPr>
          <w:bCs/>
          <w:lang w:val="fr-FR"/>
        </w:rPr>
      </w:pPr>
      <w:r>
        <w:rPr>
          <w:bCs/>
          <w:lang w:val="fr-FR"/>
        </w:rPr>
        <w:t>30</w:t>
      </w:r>
      <w:r w:rsidR="00E42058">
        <w:rPr>
          <w:bCs/>
          <w:lang w:val="fr-FR"/>
        </w:rPr>
        <w:t>9</w:t>
      </w:r>
      <w:r>
        <w:rPr>
          <w:bCs/>
          <w:lang w:val="fr-FR"/>
        </w:rPr>
        <w:t>.</w:t>
      </w:r>
      <w:r>
        <w:rPr>
          <w:bCs/>
          <w:lang w:val="fr-FR"/>
        </w:rPr>
        <w:tab/>
        <w:t xml:space="preserve">Le </w:t>
      </w:r>
      <w:r w:rsidRPr="00A86443">
        <w:rPr>
          <w:bCs/>
          <w:lang w:val="fr-FR"/>
        </w:rPr>
        <w:t>projet de loi de 2006 portant modification de la loi sur l’immigration (dispositions relatives à la procédure d’examen des demandes d’asile)</w:t>
      </w:r>
      <w:r>
        <w:rPr>
          <w:bCs/>
          <w:lang w:val="fr-FR"/>
        </w:rPr>
        <w:t xml:space="preserve"> a été adopté et la nouvelle loi est entrée en vigueur le 29 juin 2007 sous le nom de </w:t>
      </w:r>
      <w:r w:rsidRPr="00A86443">
        <w:rPr>
          <w:bCs/>
          <w:lang w:val="fr-FR"/>
        </w:rPr>
        <w:t>loi de 2007 portant modification</w:t>
      </w:r>
      <w:r w:rsidR="000619F2" w:rsidRPr="00A86443">
        <w:rPr>
          <w:bCs/>
          <w:lang w:val="fr-FR"/>
        </w:rPr>
        <w:t xml:space="preserve"> de la loi sur l’immigration (dispositions relatives à la procédure d’examen des demandes d’asile)</w:t>
      </w:r>
      <w:r w:rsidR="000619F2">
        <w:rPr>
          <w:bCs/>
          <w:i/>
          <w:iCs/>
          <w:lang w:val="fr-FR"/>
        </w:rPr>
        <w:t xml:space="preserve"> </w:t>
      </w:r>
      <w:r w:rsidR="000619F2">
        <w:rPr>
          <w:bCs/>
          <w:lang w:val="fr-FR"/>
        </w:rPr>
        <w:t>(‘la loi sur les dispositions relatives à la procédure d’examen des demandes d’asile’).</w:t>
      </w:r>
    </w:p>
    <w:p w:rsidR="000619F2" w:rsidRDefault="000619F2" w:rsidP="005D7B68">
      <w:pPr>
        <w:tabs>
          <w:tab w:val="left" w:pos="567"/>
          <w:tab w:val="left" w:pos="1134"/>
          <w:tab w:val="left" w:pos="1701"/>
          <w:tab w:val="left" w:pos="2268"/>
          <w:tab w:val="left" w:pos="2835"/>
        </w:tabs>
        <w:rPr>
          <w:bCs/>
          <w:lang w:val="fr-FR"/>
        </w:rPr>
      </w:pPr>
      <w:r>
        <w:rPr>
          <w:bCs/>
          <w:lang w:val="fr-FR"/>
        </w:rPr>
        <w:t>3</w:t>
      </w:r>
      <w:r w:rsidR="00E42058">
        <w:rPr>
          <w:bCs/>
          <w:lang w:val="fr-FR"/>
        </w:rPr>
        <w:t>10</w:t>
      </w:r>
      <w:r>
        <w:rPr>
          <w:bCs/>
          <w:lang w:val="fr-FR"/>
        </w:rPr>
        <w:t>.</w:t>
      </w:r>
      <w:r>
        <w:rPr>
          <w:bCs/>
          <w:lang w:val="fr-FR"/>
        </w:rPr>
        <w:tab/>
        <w:t xml:space="preserve">Le Tribunal chargé de se prononcer sur les questions de migration et le Tribunal de contrôle des décisions concernant les réfugiés sont des organes officiels indépendants qui ont été créés pour réexaminer diverses décisions prises en application de </w:t>
      </w:r>
      <w:r w:rsidRPr="00A86443">
        <w:rPr>
          <w:bCs/>
          <w:lang w:val="fr-FR"/>
        </w:rPr>
        <w:t>la loi de 1958 sur l’immigration</w:t>
      </w:r>
      <w:r w:rsidR="008D6B80">
        <w:rPr>
          <w:bCs/>
          <w:lang w:val="fr-FR"/>
        </w:rPr>
        <w:t xml:space="preserve">. </w:t>
      </w:r>
      <w:r>
        <w:rPr>
          <w:bCs/>
          <w:lang w:val="fr-FR"/>
        </w:rPr>
        <w:t>Par exemple,</w:t>
      </w:r>
      <w:r w:rsidR="00D87B6D">
        <w:rPr>
          <w:bCs/>
          <w:lang w:val="fr-FR"/>
        </w:rPr>
        <w:t xml:space="preserve"> </w:t>
      </w:r>
      <w:r w:rsidR="00FA57D2">
        <w:rPr>
          <w:bCs/>
          <w:lang w:val="fr-FR"/>
        </w:rPr>
        <w:t xml:space="preserve">le Tribunal de contrôle des décisions concernant les réfugiés peut réexaminer une décision d’un représentant du </w:t>
      </w:r>
      <w:r w:rsidR="00A86443">
        <w:rPr>
          <w:bCs/>
          <w:lang w:val="fr-FR"/>
        </w:rPr>
        <w:t>Ministère de l’immigration de ne</w:t>
      </w:r>
      <w:r w:rsidR="00FA57D2">
        <w:rPr>
          <w:bCs/>
          <w:lang w:val="fr-FR"/>
        </w:rPr>
        <w:t xml:space="preserve"> pas octroyer un visa de protection, ce qui constitue le mécanisme grâce auquel l’Australie exécute les obligations que lui impose la Convention relative au statut des réfugiés</w:t>
      </w:r>
      <w:r w:rsidR="008D6B80">
        <w:rPr>
          <w:bCs/>
          <w:lang w:val="fr-FR"/>
        </w:rPr>
        <w:t xml:space="preserve">. </w:t>
      </w:r>
      <w:r w:rsidR="00FA57D2">
        <w:rPr>
          <w:bCs/>
          <w:lang w:val="fr-FR"/>
        </w:rPr>
        <w:t>Ce réexamen (effectué à la fois par le Tribunal de contrôle des décisions concernant les réfugiés et le Tribunal chargé de se prononcer sur les questions de migration) consiste en une étude</w:t>
      </w:r>
      <w:r w:rsidR="00493DBF">
        <w:rPr>
          <w:bCs/>
          <w:lang w:val="fr-FR"/>
        </w:rPr>
        <w:t>,</w:t>
      </w:r>
      <w:r w:rsidR="00FA57D2">
        <w:rPr>
          <w:bCs/>
          <w:lang w:val="fr-FR"/>
        </w:rPr>
        <w:t xml:space="preserve"> faite à partir de zéro</w:t>
      </w:r>
      <w:r w:rsidR="00493DBF">
        <w:rPr>
          <w:bCs/>
          <w:lang w:val="fr-FR"/>
        </w:rPr>
        <w:t>,</w:t>
      </w:r>
      <w:r w:rsidR="00FA57D2">
        <w:rPr>
          <w:bCs/>
          <w:lang w:val="fr-FR"/>
        </w:rPr>
        <w:t xml:space="preserve"> de toutes les circonstances de l’affaire, à l’intérieur du cadre législatif et politique, afin de pouvoir prendre la décision</w:t>
      </w:r>
      <w:r w:rsidR="00717F27">
        <w:rPr>
          <w:bCs/>
          <w:lang w:val="fr-FR"/>
        </w:rPr>
        <w:t xml:space="preserve"> la plus judicieuse et la plus appropriée</w:t>
      </w:r>
      <w:r w:rsidR="008D6B80">
        <w:rPr>
          <w:bCs/>
          <w:lang w:val="fr-FR"/>
        </w:rPr>
        <w:t xml:space="preserve">. </w:t>
      </w:r>
      <w:r w:rsidR="00717F27">
        <w:rPr>
          <w:bCs/>
          <w:lang w:val="fr-FR"/>
        </w:rPr>
        <w:t>Dans l’exercice de ces fonctions, ces deux</w:t>
      </w:r>
      <w:r w:rsidR="009030A8">
        <w:rPr>
          <w:bCs/>
          <w:lang w:val="fr-FR"/>
        </w:rPr>
        <w:t> </w:t>
      </w:r>
      <w:r w:rsidR="00717F27">
        <w:rPr>
          <w:bCs/>
          <w:lang w:val="fr-FR"/>
        </w:rPr>
        <w:t>tribunaux sont tenus par leur propre code de procédure, qui figure dans la l</w:t>
      </w:r>
      <w:r w:rsidR="002C1248">
        <w:rPr>
          <w:bCs/>
          <w:lang w:val="fr-FR"/>
        </w:rPr>
        <w:t>oi, de</w:t>
      </w:r>
      <w:r w:rsidR="00717F27">
        <w:rPr>
          <w:bCs/>
          <w:lang w:val="fr-FR"/>
        </w:rPr>
        <w:t xml:space="preserve"> traiter les requérants avec équité.</w:t>
      </w:r>
    </w:p>
    <w:p w:rsidR="00717F27" w:rsidRDefault="00717F27" w:rsidP="005D7B68">
      <w:pPr>
        <w:tabs>
          <w:tab w:val="left" w:pos="567"/>
          <w:tab w:val="left" w:pos="1134"/>
          <w:tab w:val="left" w:pos="1701"/>
          <w:tab w:val="left" w:pos="2268"/>
          <w:tab w:val="left" w:pos="2835"/>
        </w:tabs>
        <w:rPr>
          <w:bCs/>
          <w:lang w:val="fr-FR"/>
        </w:rPr>
      </w:pPr>
      <w:r>
        <w:rPr>
          <w:bCs/>
          <w:lang w:val="fr-FR"/>
        </w:rPr>
        <w:t>31</w:t>
      </w:r>
      <w:r w:rsidR="00E42058">
        <w:rPr>
          <w:bCs/>
          <w:lang w:val="fr-FR"/>
        </w:rPr>
        <w:t>1</w:t>
      </w:r>
      <w:r>
        <w:rPr>
          <w:bCs/>
          <w:lang w:val="fr-FR"/>
        </w:rPr>
        <w:t>.</w:t>
      </w:r>
      <w:r>
        <w:rPr>
          <w:bCs/>
          <w:lang w:val="fr-FR"/>
        </w:rPr>
        <w:tab/>
        <w:t>Les modifications apportées par la loi sur les dispositions relatives à la procédure d’examen des demandes d’asile étaient nécessaires parce que les prescriptions pour une procédure équitable destinées aux tribunaux avaient été interprétées de façon très littérale par la Haute Cour d’Australie et la Cour Fédéral</w:t>
      </w:r>
      <w:r w:rsidR="00A86443">
        <w:rPr>
          <w:bCs/>
          <w:lang w:val="fr-FR"/>
        </w:rPr>
        <w:t>e</w:t>
      </w:r>
      <w:r>
        <w:rPr>
          <w:bCs/>
          <w:lang w:val="fr-FR"/>
        </w:rPr>
        <w:t xml:space="preserve"> dans une série de décisions judiciaires</w:t>
      </w:r>
      <w:r w:rsidR="008D6B80">
        <w:rPr>
          <w:bCs/>
          <w:lang w:val="fr-FR"/>
        </w:rPr>
        <w:t xml:space="preserve">. </w:t>
      </w:r>
      <w:r w:rsidR="009C7CE1">
        <w:rPr>
          <w:bCs/>
          <w:lang w:val="fr-FR"/>
        </w:rPr>
        <w:t xml:space="preserve">Selon la position adoptée par la suite par les juges sur les effets de cette interprétation très littérale, cette dernière a conduit à une application extrêmement technique de la loi dans des circonstances où </w:t>
      </w:r>
      <w:r w:rsidR="00A619D6">
        <w:rPr>
          <w:bCs/>
          <w:lang w:val="fr-FR"/>
        </w:rPr>
        <w:t>«</w:t>
      </w:r>
      <w:r w:rsidR="009C7CE1">
        <w:rPr>
          <w:bCs/>
          <w:lang w:val="fr-FR"/>
        </w:rPr>
        <w:t>aucune injustice, en pratique, ne peut être relevée</w:t>
      </w:r>
      <w:r w:rsidR="00A619D6">
        <w:rPr>
          <w:bCs/>
          <w:lang w:val="fr-FR"/>
        </w:rPr>
        <w:t>»</w:t>
      </w:r>
      <w:r w:rsidR="009C7CE1">
        <w:rPr>
          <w:bCs/>
          <w:lang w:val="fr-FR"/>
        </w:rPr>
        <w:t xml:space="preserve"> dans la manière dont les tribunaux ont effectué le réexamen.</w:t>
      </w:r>
    </w:p>
    <w:p w:rsidR="009C7CE1" w:rsidRDefault="009C7CE1" w:rsidP="005D7B68">
      <w:pPr>
        <w:tabs>
          <w:tab w:val="left" w:pos="567"/>
          <w:tab w:val="left" w:pos="1134"/>
          <w:tab w:val="left" w:pos="1701"/>
          <w:tab w:val="left" w:pos="2268"/>
          <w:tab w:val="left" w:pos="2835"/>
        </w:tabs>
        <w:rPr>
          <w:bCs/>
          <w:lang w:val="fr-FR"/>
        </w:rPr>
      </w:pPr>
      <w:r>
        <w:rPr>
          <w:bCs/>
          <w:lang w:val="fr-FR"/>
        </w:rPr>
        <w:t>31</w:t>
      </w:r>
      <w:r w:rsidR="00E42058">
        <w:rPr>
          <w:bCs/>
          <w:lang w:val="fr-FR"/>
        </w:rPr>
        <w:t>2</w:t>
      </w:r>
      <w:r>
        <w:rPr>
          <w:bCs/>
          <w:lang w:val="fr-FR"/>
        </w:rPr>
        <w:t>.</w:t>
      </w:r>
      <w:r>
        <w:rPr>
          <w:bCs/>
          <w:lang w:val="fr-FR"/>
        </w:rPr>
        <w:tab/>
        <w:t xml:space="preserve">Ces décisions judiciaires ont eu pour effets cumulés que les tribunaux ont été forcés d’adopter une approche très rigoureuse </w:t>
      </w:r>
      <w:r w:rsidR="005055EC">
        <w:rPr>
          <w:bCs/>
          <w:lang w:val="fr-FR"/>
        </w:rPr>
        <w:t>pour que les personnes qui avaient introduit ce recours bénéficient d’une procédure équitable, et cela entraîne des ramifications considérables dans leur mode de fonctionnement</w:t>
      </w:r>
      <w:r w:rsidR="008D6B80">
        <w:rPr>
          <w:bCs/>
          <w:lang w:val="fr-FR"/>
        </w:rPr>
        <w:t xml:space="preserve">. </w:t>
      </w:r>
      <w:r w:rsidR="005055EC">
        <w:rPr>
          <w:bCs/>
          <w:lang w:val="fr-FR"/>
        </w:rPr>
        <w:t>Par exemple</w:t>
      </w:r>
      <w:r w:rsidR="00572260">
        <w:rPr>
          <w:bCs/>
          <w:lang w:val="fr-FR"/>
        </w:rPr>
        <w:t>:</w:t>
      </w:r>
    </w:p>
    <w:p w:rsidR="005055EC" w:rsidRDefault="005055EC" w:rsidP="005D7B68">
      <w:pPr>
        <w:tabs>
          <w:tab w:val="left" w:pos="567"/>
          <w:tab w:val="left" w:pos="1134"/>
          <w:tab w:val="left" w:pos="1701"/>
          <w:tab w:val="left" w:pos="2268"/>
          <w:tab w:val="left" w:pos="2835"/>
        </w:tabs>
        <w:rPr>
          <w:bCs/>
          <w:lang w:val="fr-FR"/>
        </w:rPr>
      </w:pPr>
      <w:r>
        <w:rPr>
          <w:bCs/>
          <w:lang w:val="fr-FR"/>
        </w:rPr>
        <w:tab/>
        <w:t>a)</w:t>
      </w:r>
      <w:r>
        <w:rPr>
          <w:bCs/>
          <w:lang w:val="fr-FR"/>
        </w:rPr>
        <w:tab/>
        <w:t>Il y a eu des retards lorsque les questions qui avaient déjà fait l’objet d’un traitement exhaustif lors des audiences des tribunaux ont du être réexpliquées par écrit aux</w:t>
      </w:r>
      <w:r w:rsidR="00323D2E">
        <w:rPr>
          <w:bCs/>
          <w:lang w:val="fr-FR"/>
        </w:rPr>
        <w:t xml:space="preserve"> requérants</w:t>
      </w:r>
      <w:r>
        <w:rPr>
          <w:bCs/>
          <w:lang w:val="fr-FR"/>
        </w:rPr>
        <w:t xml:space="preserve"> à la suite de l’audience</w:t>
      </w:r>
      <w:r w:rsidR="00572260">
        <w:rPr>
          <w:bCs/>
          <w:lang w:val="fr-FR"/>
        </w:rPr>
        <w:t>;</w:t>
      </w:r>
      <w:r>
        <w:rPr>
          <w:bCs/>
          <w:lang w:val="fr-FR"/>
        </w:rPr>
        <w:t xml:space="preserve"> et</w:t>
      </w:r>
    </w:p>
    <w:p w:rsidR="002126D3" w:rsidRDefault="005055EC" w:rsidP="005D7B68">
      <w:pPr>
        <w:tabs>
          <w:tab w:val="left" w:pos="567"/>
          <w:tab w:val="left" w:pos="1134"/>
          <w:tab w:val="left" w:pos="1701"/>
          <w:tab w:val="left" w:pos="2268"/>
          <w:tab w:val="left" w:pos="2835"/>
        </w:tabs>
        <w:rPr>
          <w:bCs/>
          <w:lang w:val="fr-FR"/>
        </w:rPr>
      </w:pPr>
      <w:r>
        <w:rPr>
          <w:bCs/>
          <w:lang w:val="fr-FR"/>
        </w:rPr>
        <w:tab/>
        <w:t>b)</w:t>
      </w:r>
      <w:r>
        <w:rPr>
          <w:bCs/>
          <w:lang w:val="fr-FR"/>
        </w:rPr>
        <w:tab/>
        <w:t xml:space="preserve">Les renseignements tels que les détails des passeports, la composition de la famille, et les </w:t>
      </w:r>
      <w:r w:rsidR="002126D3">
        <w:rPr>
          <w:bCs/>
          <w:lang w:val="fr-FR"/>
        </w:rPr>
        <w:t xml:space="preserve">attestations déjà données par les intéressés aux fins de leur recours ont dû leur être remis par </w:t>
      </w:r>
      <w:r w:rsidR="00493DBF">
        <w:rPr>
          <w:bCs/>
          <w:lang w:val="fr-FR"/>
        </w:rPr>
        <w:t>écrit pour qu’ils puissent formuler</w:t>
      </w:r>
      <w:r w:rsidR="002126D3">
        <w:rPr>
          <w:bCs/>
          <w:lang w:val="fr-FR"/>
        </w:rPr>
        <w:t xml:space="preserve"> des observations de ma</w:t>
      </w:r>
      <w:r w:rsidR="00250296">
        <w:rPr>
          <w:bCs/>
          <w:lang w:val="fr-FR"/>
        </w:rPr>
        <w:t>nière que les tribunaux soient en mesure de</w:t>
      </w:r>
      <w:r w:rsidR="002126D3">
        <w:rPr>
          <w:bCs/>
          <w:lang w:val="fr-FR"/>
        </w:rPr>
        <w:t xml:space="preserve"> les étudier.</w:t>
      </w:r>
    </w:p>
    <w:p w:rsidR="00D91A5A" w:rsidRDefault="002126D3" w:rsidP="005D7B68">
      <w:pPr>
        <w:tabs>
          <w:tab w:val="left" w:pos="567"/>
          <w:tab w:val="left" w:pos="1134"/>
          <w:tab w:val="left" w:pos="1701"/>
          <w:tab w:val="left" w:pos="2268"/>
          <w:tab w:val="left" w:pos="2835"/>
        </w:tabs>
        <w:rPr>
          <w:bCs/>
          <w:lang w:val="fr-FR"/>
        </w:rPr>
      </w:pPr>
      <w:r>
        <w:rPr>
          <w:bCs/>
          <w:lang w:val="fr-FR"/>
        </w:rPr>
        <w:t>31</w:t>
      </w:r>
      <w:r w:rsidR="00E42058">
        <w:rPr>
          <w:bCs/>
          <w:lang w:val="fr-FR"/>
        </w:rPr>
        <w:t>3</w:t>
      </w:r>
      <w:r>
        <w:rPr>
          <w:bCs/>
          <w:lang w:val="fr-FR"/>
        </w:rPr>
        <w:t>.</w:t>
      </w:r>
      <w:r>
        <w:rPr>
          <w:bCs/>
          <w:lang w:val="fr-FR"/>
        </w:rPr>
        <w:tab/>
        <w:t>Les dispositions</w:t>
      </w:r>
      <w:r w:rsidR="00D91A5A">
        <w:rPr>
          <w:bCs/>
          <w:lang w:val="fr-FR"/>
        </w:rPr>
        <w:t xml:space="preserve"> pertinentes de l</w:t>
      </w:r>
      <w:r>
        <w:rPr>
          <w:bCs/>
          <w:lang w:val="fr-FR"/>
        </w:rPr>
        <w:t>a loi sur les dispositions relatives à la procédure d’examen des demandes d’a</w:t>
      </w:r>
      <w:r w:rsidR="00D91A5A">
        <w:rPr>
          <w:bCs/>
          <w:lang w:val="fr-FR"/>
        </w:rPr>
        <w:t>sile sont mises en conformité avec la méthode pratique et raisonnable utilisée par ces tribunaux aux fins d’une procédure équitable avant les décisions prises par les cours susmentionnées.</w:t>
      </w:r>
    </w:p>
    <w:p w:rsidR="002126D3" w:rsidRDefault="00D91A5A" w:rsidP="005D7B68">
      <w:pPr>
        <w:tabs>
          <w:tab w:val="left" w:pos="567"/>
          <w:tab w:val="left" w:pos="1134"/>
          <w:tab w:val="left" w:pos="1701"/>
          <w:tab w:val="left" w:pos="2268"/>
          <w:tab w:val="left" w:pos="2835"/>
        </w:tabs>
        <w:rPr>
          <w:bCs/>
          <w:lang w:val="fr-FR"/>
        </w:rPr>
      </w:pPr>
      <w:r>
        <w:rPr>
          <w:bCs/>
          <w:lang w:val="fr-FR"/>
        </w:rPr>
        <w:t>31</w:t>
      </w:r>
      <w:r w:rsidR="00E42058">
        <w:rPr>
          <w:bCs/>
          <w:lang w:val="fr-FR"/>
        </w:rPr>
        <w:t>4</w:t>
      </w:r>
      <w:r>
        <w:rPr>
          <w:bCs/>
          <w:lang w:val="fr-FR"/>
        </w:rPr>
        <w:t>.</w:t>
      </w:r>
      <w:r>
        <w:rPr>
          <w:bCs/>
          <w:lang w:val="fr-FR"/>
        </w:rPr>
        <w:tab/>
        <w:t>Le Gouvernement australien rejette l’assertion selon laquelle la loi sur les dispositions relatives à la procédure d’examen des demandes d’asile rend possible une procédure inéquitable</w:t>
      </w:r>
      <w:r w:rsidR="005D793F">
        <w:rPr>
          <w:bCs/>
          <w:lang w:val="fr-FR"/>
        </w:rPr>
        <w:t xml:space="preserve"> pour l’adoption d’une décision consécutive à une demande d’asile, ou à toute autre demande de la part des tribunaux</w:t>
      </w:r>
      <w:r w:rsidR="008D6B80">
        <w:rPr>
          <w:bCs/>
          <w:lang w:val="fr-FR"/>
        </w:rPr>
        <w:t xml:space="preserve">. </w:t>
      </w:r>
      <w:r w:rsidR="005D793F">
        <w:rPr>
          <w:bCs/>
          <w:lang w:val="fr-FR"/>
        </w:rPr>
        <w:t>Cette loi comporte</w:t>
      </w:r>
      <w:r>
        <w:rPr>
          <w:bCs/>
          <w:lang w:val="fr-FR"/>
        </w:rPr>
        <w:t xml:space="preserve"> </w:t>
      </w:r>
      <w:r w:rsidR="005D793F">
        <w:rPr>
          <w:bCs/>
          <w:lang w:val="fr-FR"/>
        </w:rPr>
        <w:t>plusieurs protections destinées à garantir un traitement équitable aux requérants, les tribunaux devant, entre autres</w:t>
      </w:r>
      <w:r w:rsidR="00572260">
        <w:rPr>
          <w:bCs/>
          <w:lang w:val="fr-FR"/>
        </w:rPr>
        <w:t>:</w:t>
      </w:r>
    </w:p>
    <w:p w:rsidR="003A54EB" w:rsidRDefault="00A86443" w:rsidP="005D7B68">
      <w:pPr>
        <w:tabs>
          <w:tab w:val="left" w:pos="567"/>
          <w:tab w:val="left" w:pos="1134"/>
          <w:tab w:val="left" w:pos="1701"/>
          <w:tab w:val="left" w:pos="2268"/>
          <w:tab w:val="left" w:pos="2835"/>
        </w:tabs>
        <w:rPr>
          <w:bCs/>
          <w:lang w:val="fr-FR"/>
        </w:rPr>
      </w:pPr>
      <w:r>
        <w:rPr>
          <w:bCs/>
          <w:lang w:val="fr-FR"/>
        </w:rPr>
        <w:tab/>
        <w:t>a)</w:t>
      </w:r>
      <w:r>
        <w:rPr>
          <w:bCs/>
          <w:lang w:val="fr-FR"/>
        </w:rPr>
        <w:tab/>
        <w:t>D</w:t>
      </w:r>
      <w:r w:rsidR="003A54EB">
        <w:rPr>
          <w:bCs/>
          <w:lang w:val="fr-FR"/>
        </w:rPr>
        <w:t>onner des détails clairs sur</w:t>
      </w:r>
      <w:r w:rsidR="003501A6">
        <w:rPr>
          <w:bCs/>
          <w:lang w:val="fr-FR"/>
        </w:rPr>
        <w:t xml:space="preserve"> </w:t>
      </w:r>
      <w:r w:rsidR="003501A6" w:rsidRPr="00A86443">
        <w:rPr>
          <w:bCs/>
          <w:lang w:val="fr-FR"/>
        </w:rPr>
        <w:t xml:space="preserve">les </w:t>
      </w:r>
      <w:r w:rsidR="009D7E10" w:rsidRPr="00A86443">
        <w:rPr>
          <w:bCs/>
          <w:lang w:val="fr-FR"/>
        </w:rPr>
        <w:t>renseignements</w:t>
      </w:r>
      <w:r w:rsidR="00B64CF1" w:rsidRPr="00A86443">
        <w:rPr>
          <w:bCs/>
          <w:lang w:val="fr-FR"/>
        </w:rPr>
        <w:t xml:space="preserve"> défavorable</w:t>
      </w:r>
      <w:r w:rsidR="003501A6" w:rsidRPr="00A86443">
        <w:rPr>
          <w:bCs/>
          <w:lang w:val="fr-FR"/>
        </w:rPr>
        <w:t>s</w:t>
      </w:r>
      <w:r w:rsidR="009D7E10">
        <w:rPr>
          <w:bCs/>
          <w:lang w:val="fr-FR"/>
        </w:rPr>
        <w:t xml:space="preserve"> qui sont présenté</w:t>
      </w:r>
      <w:r w:rsidR="003501A6">
        <w:rPr>
          <w:bCs/>
          <w:lang w:val="fr-FR"/>
        </w:rPr>
        <w:t>s</w:t>
      </w:r>
      <w:r w:rsidR="00572260">
        <w:rPr>
          <w:bCs/>
          <w:lang w:val="fr-FR"/>
        </w:rPr>
        <w:t>;</w:t>
      </w:r>
    </w:p>
    <w:p w:rsidR="003501A6" w:rsidRDefault="00A86443" w:rsidP="005D7B68">
      <w:pPr>
        <w:tabs>
          <w:tab w:val="left" w:pos="567"/>
          <w:tab w:val="left" w:pos="1134"/>
          <w:tab w:val="left" w:pos="1701"/>
          <w:tab w:val="left" w:pos="2268"/>
          <w:tab w:val="left" w:pos="2835"/>
        </w:tabs>
        <w:rPr>
          <w:bCs/>
          <w:lang w:val="fr-FR"/>
        </w:rPr>
      </w:pPr>
      <w:r>
        <w:rPr>
          <w:bCs/>
          <w:lang w:val="fr-FR"/>
        </w:rPr>
        <w:tab/>
        <w:t>b)</w:t>
      </w:r>
      <w:r>
        <w:rPr>
          <w:bCs/>
          <w:lang w:val="fr-FR"/>
        </w:rPr>
        <w:tab/>
        <w:t>S</w:t>
      </w:r>
      <w:r w:rsidR="00B64CF1">
        <w:rPr>
          <w:bCs/>
          <w:lang w:val="fr-FR"/>
        </w:rPr>
        <w:t>’assurer, dans toute la mesure du possible, que le requérant compren</w:t>
      </w:r>
      <w:r w:rsidR="009D7E10">
        <w:rPr>
          <w:bCs/>
          <w:lang w:val="fr-FR"/>
        </w:rPr>
        <w:t>d pourquoi il</w:t>
      </w:r>
      <w:r w:rsidR="003501A6">
        <w:rPr>
          <w:bCs/>
          <w:lang w:val="fr-FR"/>
        </w:rPr>
        <w:t>s revêtent de l’importance pour le</w:t>
      </w:r>
      <w:r w:rsidR="00B64CF1">
        <w:rPr>
          <w:bCs/>
          <w:lang w:val="fr-FR"/>
        </w:rPr>
        <w:t xml:space="preserve"> réexamen, et les conséquences</w:t>
      </w:r>
      <w:r>
        <w:rPr>
          <w:bCs/>
          <w:lang w:val="fr-FR"/>
        </w:rPr>
        <w:t xml:space="preserve"> qu’ils auront</w:t>
      </w:r>
      <w:r w:rsidR="003501A6">
        <w:rPr>
          <w:bCs/>
          <w:lang w:val="fr-FR"/>
        </w:rPr>
        <w:t xml:space="preserve"> si l’</w:t>
      </w:r>
      <w:r w:rsidR="009D7E10">
        <w:rPr>
          <w:bCs/>
          <w:lang w:val="fr-FR"/>
        </w:rPr>
        <w:t>on se fonde sur eux</w:t>
      </w:r>
      <w:r w:rsidR="003501A6">
        <w:rPr>
          <w:bCs/>
          <w:lang w:val="fr-FR"/>
        </w:rPr>
        <w:t xml:space="preserve"> pour confirmer la décision faisant l’objet du contrôle</w:t>
      </w:r>
      <w:r w:rsidR="00572260">
        <w:rPr>
          <w:bCs/>
          <w:lang w:val="fr-FR"/>
        </w:rPr>
        <w:t>;</w:t>
      </w:r>
    </w:p>
    <w:p w:rsidR="00851E2E" w:rsidRDefault="00A86443" w:rsidP="005D7B68">
      <w:pPr>
        <w:tabs>
          <w:tab w:val="left" w:pos="567"/>
          <w:tab w:val="left" w:pos="1134"/>
          <w:tab w:val="left" w:pos="1701"/>
          <w:tab w:val="left" w:pos="2268"/>
          <w:tab w:val="left" w:pos="2835"/>
        </w:tabs>
        <w:rPr>
          <w:bCs/>
          <w:lang w:val="fr-FR"/>
        </w:rPr>
      </w:pPr>
      <w:r>
        <w:rPr>
          <w:bCs/>
          <w:lang w:val="fr-FR"/>
        </w:rPr>
        <w:tab/>
        <w:t>c)</w:t>
      </w:r>
      <w:r>
        <w:rPr>
          <w:bCs/>
          <w:lang w:val="fr-FR"/>
        </w:rPr>
        <w:tab/>
        <w:t>I</w:t>
      </w:r>
      <w:r w:rsidR="003501A6">
        <w:rPr>
          <w:bCs/>
          <w:lang w:val="fr-FR"/>
        </w:rPr>
        <w:t>nformer le requérant qu’il peut solliciter un délai</w:t>
      </w:r>
      <w:r w:rsidR="00B64CF1">
        <w:rPr>
          <w:bCs/>
          <w:lang w:val="fr-FR"/>
        </w:rPr>
        <w:t xml:space="preserve"> </w:t>
      </w:r>
      <w:r w:rsidR="003501A6">
        <w:rPr>
          <w:bCs/>
          <w:lang w:val="fr-FR"/>
        </w:rPr>
        <w:t>pour présenter ses observations</w:t>
      </w:r>
      <w:r w:rsidR="00851E2E">
        <w:rPr>
          <w:bCs/>
          <w:lang w:val="fr-FR"/>
        </w:rPr>
        <w:t xml:space="preserve"> ou ses réactions à l’égard de </w:t>
      </w:r>
      <w:r w:rsidR="009D7E10">
        <w:rPr>
          <w:bCs/>
          <w:lang w:val="fr-FR"/>
        </w:rPr>
        <w:t>ces renseignement</w:t>
      </w:r>
      <w:r w:rsidR="00851E2E">
        <w:rPr>
          <w:bCs/>
          <w:lang w:val="fr-FR"/>
        </w:rPr>
        <w:t xml:space="preserve"> défavorables, si le tribunal choisit d’en traiter oralement pendant une audience, et renvoyer le réexamen à une date ultérieure et accorder au requérant un délai supplémentaire si le tribunal considère que le requérant </w:t>
      </w:r>
      <w:r w:rsidR="009D7E10">
        <w:rPr>
          <w:bCs/>
          <w:lang w:val="fr-FR"/>
        </w:rPr>
        <w:t xml:space="preserve">en </w:t>
      </w:r>
      <w:r w:rsidR="00851E2E">
        <w:rPr>
          <w:bCs/>
          <w:lang w:val="fr-FR"/>
        </w:rPr>
        <w:t>a ra</w:t>
      </w:r>
      <w:r w:rsidR="009D7E10">
        <w:rPr>
          <w:bCs/>
          <w:lang w:val="fr-FR"/>
        </w:rPr>
        <w:t>isonnablement besoin</w:t>
      </w:r>
      <w:r w:rsidR="00572260">
        <w:rPr>
          <w:bCs/>
          <w:lang w:val="fr-FR"/>
        </w:rPr>
        <w:t>;</w:t>
      </w:r>
      <w:r w:rsidR="00851E2E">
        <w:rPr>
          <w:bCs/>
          <w:lang w:val="fr-FR"/>
        </w:rPr>
        <w:t xml:space="preserve"> et</w:t>
      </w:r>
    </w:p>
    <w:p w:rsidR="00B64CF1" w:rsidRDefault="00A86443" w:rsidP="005D7B68">
      <w:pPr>
        <w:tabs>
          <w:tab w:val="left" w:pos="567"/>
          <w:tab w:val="left" w:pos="1134"/>
          <w:tab w:val="left" w:pos="1701"/>
          <w:tab w:val="left" w:pos="2268"/>
          <w:tab w:val="left" w:pos="2835"/>
        </w:tabs>
        <w:rPr>
          <w:bCs/>
          <w:lang w:val="fr-FR"/>
        </w:rPr>
      </w:pPr>
      <w:r>
        <w:rPr>
          <w:bCs/>
          <w:lang w:val="fr-FR"/>
        </w:rPr>
        <w:tab/>
        <w:t>d)</w:t>
      </w:r>
      <w:r>
        <w:rPr>
          <w:bCs/>
          <w:lang w:val="fr-FR"/>
        </w:rPr>
        <w:tab/>
        <w:t>P</w:t>
      </w:r>
      <w:r w:rsidR="00851E2E">
        <w:rPr>
          <w:bCs/>
          <w:lang w:val="fr-FR"/>
        </w:rPr>
        <w:t xml:space="preserve">rocéder de manière équitable et juste en appliquant les codes de procédure prévus dans cette loi. </w:t>
      </w:r>
    </w:p>
    <w:p w:rsidR="00F832B2" w:rsidRDefault="00F832B2" w:rsidP="005D7B68">
      <w:pPr>
        <w:tabs>
          <w:tab w:val="left" w:pos="567"/>
          <w:tab w:val="left" w:pos="1134"/>
          <w:tab w:val="left" w:pos="1701"/>
          <w:tab w:val="left" w:pos="2268"/>
          <w:tab w:val="left" w:pos="2835"/>
        </w:tabs>
        <w:rPr>
          <w:b/>
          <w:lang w:val="fr-FR"/>
        </w:rPr>
      </w:pPr>
      <w:r>
        <w:rPr>
          <w:b/>
          <w:lang w:val="fr-FR"/>
        </w:rPr>
        <w:t>Question 11</w:t>
      </w:r>
    </w:p>
    <w:p w:rsidR="009D7E10" w:rsidRDefault="009D7E10" w:rsidP="005D7B68">
      <w:pPr>
        <w:tabs>
          <w:tab w:val="left" w:pos="567"/>
          <w:tab w:val="left" w:pos="1134"/>
          <w:tab w:val="left" w:pos="1701"/>
          <w:tab w:val="left" w:pos="2268"/>
          <w:tab w:val="left" w:pos="2835"/>
        </w:tabs>
        <w:rPr>
          <w:b/>
          <w:lang w:val="fr-FR"/>
        </w:rPr>
      </w:pPr>
      <w:r>
        <w:rPr>
          <w:b/>
          <w:lang w:val="fr-FR"/>
        </w:rPr>
        <w:tab/>
      </w:r>
      <w:r w:rsidR="00E80CED" w:rsidRPr="00E80CED">
        <w:rPr>
          <w:b/>
          <w:lang w:val="fr-FR"/>
        </w:rPr>
        <w:t>Donner au Comité des informations à jour sur les mesures prises pour donner suite aux recommandations contenues dans le rapport 2004 de la Commission parlementaire d’enquête sur les pouvoirs ministériels en matière d’immigration, notamment à la recommandation invitant le Gouvernement à adopter un système de protection complémentaire afin d’assurer que l’Australie ne s’appuie plus exclusivement sur les pouvoirs discrétionnaires du Ministre pour respecter les obligations de non</w:t>
      </w:r>
      <w:r w:rsidR="00E80CED" w:rsidRPr="00E80CED">
        <w:rPr>
          <w:b/>
          <w:lang w:val="fr-FR"/>
        </w:rPr>
        <w:noBreakHyphen/>
        <w:t>refoulement qui lui incombent en vertu de la Convention contre la torture.</w:t>
      </w:r>
    </w:p>
    <w:p w:rsidR="00E80CED" w:rsidRDefault="00E80CED" w:rsidP="005D7B68">
      <w:pPr>
        <w:tabs>
          <w:tab w:val="left" w:pos="567"/>
          <w:tab w:val="left" w:pos="1134"/>
          <w:tab w:val="left" w:pos="1701"/>
          <w:tab w:val="left" w:pos="2268"/>
          <w:tab w:val="left" w:pos="2835"/>
        </w:tabs>
        <w:rPr>
          <w:bCs/>
          <w:lang w:val="fr-FR"/>
        </w:rPr>
      </w:pPr>
      <w:r>
        <w:rPr>
          <w:bCs/>
          <w:lang w:val="fr-FR"/>
        </w:rPr>
        <w:t>31</w:t>
      </w:r>
      <w:r w:rsidR="00E42058">
        <w:rPr>
          <w:bCs/>
          <w:lang w:val="fr-FR"/>
        </w:rPr>
        <w:t>5</w:t>
      </w:r>
      <w:r>
        <w:rPr>
          <w:bCs/>
          <w:lang w:val="fr-FR"/>
        </w:rPr>
        <w:t>.</w:t>
      </w:r>
      <w:r>
        <w:rPr>
          <w:bCs/>
          <w:lang w:val="fr-FR"/>
        </w:rPr>
        <w:tab/>
        <w:t>Le gouvernement n’a pas encore réagi aux recommandations du rapport de la Commission parlementaire d’enquête sur les pouvoirs ministériels en matière d’immigration.</w:t>
      </w:r>
    </w:p>
    <w:p w:rsidR="00E80CED" w:rsidRDefault="00E80CED" w:rsidP="005D7B68">
      <w:pPr>
        <w:tabs>
          <w:tab w:val="left" w:pos="567"/>
          <w:tab w:val="left" w:pos="1134"/>
          <w:tab w:val="left" w:pos="1701"/>
          <w:tab w:val="left" w:pos="2268"/>
          <w:tab w:val="left" w:pos="2835"/>
        </w:tabs>
        <w:rPr>
          <w:bCs/>
          <w:lang w:val="fr-FR"/>
        </w:rPr>
      </w:pPr>
      <w:r>
        <w:rPr>
          <w:bCs/>
          <w:lang w:val="fr-FR"/>
        </w:rPr>
        <w:t>31</w:t>
      </w:r>
      <w:r w:rsidR="00E42058">
        <w:rPr>
          <w:bCs/>
          <w:lang w:val="fr-FR"/>
        </w:rPr>
        <w:t>6</w:t>
      </w:r>
      <w:r>
        <w:rPr>
          <w:bCs/>
          <w:lang w:val="fr-FR"/>
        </w:rPr>
        <w:t>.</w:t>
      </w:r>
      <w:r>
        <w:rPr>
          <w:bCs/>
          <w:lang w:val="fr-FR"/>
        </w:rPr>
        <w:tab/>
        <w:t xml:space="preserve">Les dispositions actuelles de la loi sur l’immigration autorisent une intervention ministérielle dans l’intérêt général pour faire face aux obligations internationales pertinentes, y compris dans tous les cas où </w:t>
      </w:r>
      <w:r w:rsidR="00636200">
        <w:rPr>
          <w:bCs/>
          <w:lang w:val="fr-FR"/>
        </w:rPr>
        <w:t>l’obligation de non-refoulement existe en vertu de la Convention contre la torture et du Pacte international</w:t>
      </w:r>
      <w:r>
        <w:rPr>
          <w:bCs/>
          <w:lang w:val="fr-FR"/>
        </w:rPr>
        <w:t xml:space="preserve"> </w:t>
      </w:r>
      <w:r w:rsidR="00636200">
        <w:rPr>
          <w:bCs/>
          <w:lang w:val="fr-FR"/>
        </w:rPr>
        <w:t>relatif aux droits civils et politiques.</w:t>
      </w:r>
    </w:p>
    <w:p w:rsidR="00636200" w:rsidRDefault="00636200" w:rsidP="005D7B68">
      <w:pPr>
        <w:tabs>
          <w:tab w:val="left" w:pos="567"/>
          <w:tab w:val="left" w:pos="1134"/>
          <w:tab w:val="left" w:pos="1701"/>
          <w:tab w:val="left" w:pos="2268"/>
          <w:tab w:val="left" w:pos="2835"/>
        </w:tabs>
        <w:rPr>
          <w:b/>
          <w:lang w:val="fr-FR"/>
        </w:rPr>
      </w:pPr>
      <w:r>
        <w:rPr>
          <w:b/>
          <w:lang w:val="fr-FR"/>
        </w:rPr>
        <w:t>Question 12</w:t>
      </w:r>
    </w:p>
    <w:p w:rsidR="00636200" w:rsidRPr="00636200" w:rsidRDefault="00636200" w:rsidP="005D7B68">
      <w:pPr>
        <w:tabs>
          <w:tab w:val="left" w:pos="567"/>
          <w:tab w:val="left" w:pos="1134"/>
          <w:tab w:val="left" w:pos="1701"/>
          <w:tab w:val="left" w:pos="2268"/>
          <w:tab w:val="left" w:pos="2835"/>
        </w:tabs>
        <w:rPr>
          <w:b/>
          <w:lang w:val="fr-FR"/>
        </w:rPr>
      </w:pPr>
      <w:r>
        <w:rPr>
          <w:b/>
          <w:lang w:val="fr-FR"/>
        </w:rPr>
        <w:tab/>
      </w:r>
      <w:r w:rsidRPr="00636200">
        <w:rPr>
          <w:b/>
          <w:lang w:val="fr-FR"/>
        </w:rPr>
        <w:t>Fournir pour la période considérée des statistiques ventilées par âge, sexe et nationalité concernant:</w:t>
      </w:r>
    </w:p>
    <w:p w:rsidR="00636200" w:rsidRDefault="009030A8" w:rsidP="005D7B68">
      <w:pPr>
        <w:tabs>
          <w:tab w:val="left" w:pos="567"/>
          <w:tab w:val="left" w:pos="1134"/>
          <w:tab w:val="left" w:pos="1701"/>
          <w:tab w:val="left" w:pos="2268"/>
          <w:tab w:val="left" w:pos="2835"/>
        </w:tabs>
        <w:rPr>
          <w:b/>
          <w:lang w:val="fr-FR"/>
        </w:rPr>
      </w:pPr>
      <w:r>
        <w:rPr>
          <w:b/>
          <w:lang w:val="fr-FR"/>
        </w:rPr>
        <w:tab/>
      </w:r>
      <w:r w:rsidR="00636200" w:rsidRPr="00636200">
        <w:rPr>
          <w:b/>
          <w:lang w:val="fr-FR"/>
        </w:rPr>
        <w:t>a)</w:t>
      </w:r>
      <w:r w:rsidR="00636200" w:rsidRPr="00636200">
        <w:rPr>
          <w:b/>
          <w:lang w:val="fr-FR"/>
        </w:rPr>
        <w:tab/>
        <w:t>Le nombre de demandes d’asile qui ont été enregistrées et le nombre de demandes qui ont été acceptées;</w:t>
      </w:r>
    </w:p>
    <w:p w:rsidR="00636200" w:rsidRPr="00636200" w:rsidRDefault="00A86443" w:rsidP="005D7B68">
      <w:pPr>
        <w:tabs>
          <w:tab w:val="left" w:pos="567"/>
          <w:tab w:val="left" w:pos="1134"/>
          <w:tab w:val="left" w:pos="1701"/>
          <w:tab w:val="left" w:pos="2268"/>
          <w:tab w:val="left" w:pos="2835"/>
        </w:tabs>
        <w:rPr>
          <w:bCs/>
          <w:lang w:val="fr-FR"/>
        </w:rPr>
      </w:pPr>
      <w:r>
        <w:rPr>
          <w:bCs/>
          <w:lang w:val="fr-FR"/>
        </w:rPr>
        <w:t>31</w:t>
      </w:r>
      <w:r w:rsidR="00E42058">
        <w:rPr>
          <w:bCs/>
          <w:lang w:val="fr-FR"/>
        </w:rPr>
        <w:t>7</w:t>
      </w:r>
      <w:r>
        <w:rPr>
          <w:bCs/>
          <w:lang w:val="fr-FR"/>
        </w:rPr>
        <w:t>.</w:t>
      </w:r>
      <w:r>
        <w:rPr>
          <w:bCs/>
          <w:lang w:val="fr-FR"/>
        </w:rPr>
        <w:tab/>
        <w:t xml:space="preserve">Les </w:t>
      </w:r>
      <w:r w:rsidR="00636200">
        <w:rPr>
          <w:bCs/>
          <w:lang w:val="fr-FR"/>
        </w:rPr>
        <w:t>statistiques du Ministère de l’immigration et de la citoyenneté</w:t>
      </w:r>
      <w:r w:rsidR="00F424BB">
        <w:rPr>
          <w:bCs/>
          <w:lang w:val="fr-FR"/>
        </w:rPr>
        <w:t xml:space="preserve"> indiquent, </w:t>
      </w:r>
      <w:r w:rsidR="00636200">
        <w:rPr>
          <w:bCs/>
          <w:lang w:val="fr-FR"/>
        </w:rPr>
        <w:t>au 13 juillet 2007</w:t>
      </w:r>
      <w:r w:rsidR="00F424BB">
        <w:rPr>
          <w:bCs/>
          <w:lang w:val="fr-FR"/>
        </w:rPr>
        <w:t>, que</w:t>
      </w:r>
      <w:r w:rsidR="00636200">
        <w:rPr>
          <w:bCs/>
          <w:lang w:val="fr-FR"/>
        </w:rPr>
        <w:t xml:space="preserve"> 61 </w:t>
      </w:r>
      <w:r w:rsidR="00F424BB">
        <w:rPr>
          <w:bCs/>
          <w:lang w:val="fr-FR"/>
        </w:rPr>
        <w:t>018</w:t>
      </w:r>
      <w:r w:rsidR="00636200">
        <w:rPr>
          <w:bCs/>
          <w:lang w:val="fr-FR"/>
        </w:rPr>
        <w:t xml:space="preserve"> demandes</w:t>
      </w:r>
      <w:r w:rsidR="00F424BB">
        <w:rPr>
          <w:bCs/>
          <w:lang w:val="fr-FR"/>
        </w:rPr>
        <w:t xml:space="preserve"> initiales</w:t>
      </w:r>
      <w:r w:rsidR="00636200">
        <w:rPr>
          <w:bCs/>
          <w:lang w:val="fr-FR"/>
        </w:rPr>
        <w:t xml:space="preserve"> de visa de protection avaient été déposées pen</w:t>
      </w:r>
      <w:r w:rsidR="000325DD">
        <w:rPr>
          <w:bCs/>
          <w:lang w:val="fr-FR"/>
        </w:rPr>
        <w:t>dant la période considérée</w:t>
      </w:r>
      <w:r w:rsidR="00636200">
        <w:rPr>
          <w:bCs/>
          <w:lang w:val="fr-FR"/>
        </w:rPr>
        <w:t xml:space="preserve"> (du 1</w:t>
      </w:r>
      <w:r w:rsidR="00636200" w:rsidRPr="00636200">
        <w:rPr>
          <w:bCs/>
          <w:vertAlign w:val="superscript"/>
          <w:lang w:val="fr-FR"/>
        </w:rPr>
        <w:t>er</w:t>
      </w:r>
      <w:r w:rsidR="00676296">
        <w:rPr>
          <w:bCs/>
          <w:lang w:val="fr-FR"/>
        </w:rPr>
        <w:t xml:space="preserve"> juin 1997 au 31</w:t>
      </w:r>
      <w:r w:rsidR="00636200">
        <w:rPr>
          <w:bCs/>
          <w:lang w:val="fr-FR"/>
        </w:rPr>
        <w:t xml:space="preserve"> octobre 2004)</w:t>
      </w:r>
      <w:r w:rsidR="008D6B80">
        <w:rPr>
          <w:bCs/>
          <w:lang w:val="fr-FR"/>
        </w:rPr>
        <w:t xml:space="preserve">. </w:t>
      </w:r>
      <w:r w:rsidR="00636200">
        <w:rPr>
          <w:bCs/>
          <w:lang w:val="fr-FR"/>
        </w:rPr>
        <w:t>La ventilation par âge, sexe et nationalité</w:t>
      </w:r>
      <w:r w:rsidR="00033888">
        <w:rPr>
          <w:bCs/>
          <w:lang w:val="fr-FR"/>
        </w:rPr>
        <w:t xml:space="preserve"> est présentée</w:t>
      </w:r>
      <w:r w:rsidR="00636200">
        <w:rPr>
          <w:bCs/>
          <w:lang w:val="fr-FR"/>
        </w:rPr>
        <w:t xml:space="preserve"> dans les tableaux ci-après</w:t>
      </w:r>
      <w:r w:rsidR="00572260">
        <w:rPr>
          <w:bCs/>
          <w:lang w:val="fr-FR"/>
        </w:rPr>
        <w:t>:</w:t>
      </w:r>
    </w:p>
    <w:p w:rsidR="00AE00DC" w:rsidRPr="009E4649" w:rsidRDefault="009D3D55" w:rsidP="005D7B68">
      <w:pPr>
        <w:pStyle w:val="Heading2"/>
        <w:tabs>
          <w:tab w:val="left" w:pos="567"/>
          <w:tab w:val="left" w:pos="1134"/>
          <w:tab w:val="left" w:pos="1701"/>
          <w:tab w:val="left" w:pos="2268"/>
          <w:tab w:val="left" w:pos="2835"/>
        </w:tabs>
        <w:rPr>
          <w:lang w:val="fr-FR"/>
        </w:rPr>
      </w:pPr>
      <w:bookmarkStart w:id="6" w:name="_Toc193614075"/>
      <w:r>
        <w:rPr>
          <w:lang w:val="fr-FR"/>
        </w:rPr>
        <w:t>D</w:t>
      </w:r>
      <w:r w:rsidR="00AE00DC" w:rsidRPr="009E4649">
        <w:rPr>
          <w:lang w:val="fr-FR"/>
        </w:rPr>
        <w:t xml:space="preserve">emandes </w:t>
      </w:r>
      <w:r>
        <w:rPr>
          <w:lang w:val="fr-FR"/>
        </w:rPr>
        <w:t xml:space="preserve">initiales </w:t>
      </w:r>
      <w:r w:rsidR="00AE00DC" w:rsidRPr="009E4649">
        <w:rPr>
          <w:lang w:val="fr-FR"/>
        </w:rPr>
        <w:t xml:space="preserve">de visa de protection </w:t>
      </w:r>
      <w:r w:rsidR="00AE00DC">
        <w:rPr>
          <w:lang w:val="fr-FR"/>
        </w:rPr>
        <w:t>déposée</w:t>
      </w:r>
      <w:r w:rsidR="00AE00DC" w:rsidRPr="009E4649">
        <w:rPr>
          <w:lang w:val="fr-FR"/>
        </w:rPr>
        <w:t>s entre le</w:t>
      </w:r>
      <w:r w:rsidR="00572260">
        <w:rPr>
          <w:lang w:val="fr-FR"/>
        </w:rPr>
        <w:t xml:space="preserve"> </w:t>
      </w:r>
      <w:r w:rsidR="00AE00DC">
        <w:rPr>
          <w:lang w:val="fr-FR"/>
        </w:rPr>
        <w:t>1</w:t>
      </w:r>
      <w:r w:rsidR="00AE00DC" w:rsidRPr="009E4649">
        <w:rPr>
          <w:vertAlign w:val="superscript"/>
          <w:lang w:val="fr-FR"/>
        </w:rPr>
        <w:t>er</w:t>
      </w:r>
      <w:r w:rsidR="009030A8">
        <w:rPr>
          <w:lang w:val="fr-FR"/>
        </w:rPr>
        <w:t xml:space="preserve"> juin 1997</w:t>
      </w:r>
      <w:r w:rsidR="009030A8">
        <w:rPr>
          <w:lang w:val="fr-FR"/>
        </w:rPr>
        <w:br/>
      </w:r>
      <w:r w:rsidR="00AE00DC">
        <w:rPr>
          <w:lang w:val="fr-FR"/>
        </w:rPr>
        <w:t>et le 31 octobre</w:t>
      </w:r>
      <w:r w:rsidR="00A86443">
        <w:rPr>
          <w:lang w:val="fr-FR"/>
        </w:rPr>
        <w:t xml:space="preserve"> 2004, </w:t>
      </w:r>
      <w:r w:rsidR="00AE00DC">
        <w:rPr>
          <w:lang w:val="fr-FR"/>
        </w:rPr>
        <w:t>par â</w:t>
      </w:r>
      <w:r w:rsidR="00AE00DC" w:rsidRPr="009E4649">
        <w:rPr>
          <w:lang w:val="fr-FR"/>
        </w:rPr>
        <w:t>ge</w:t>
      </w:r>
      <w:bookmarkEnd w:id="6"/>
    </w:p>
    <w:tbl>
      <w:tblPr>
        <w:tblW w:w="0" w:type="auto"/>
        <w:jc w:val="center"/>
        <w:tblInd w:w="-191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00"/>
        <w:gridCol w:w="3994"/>
      </w:tblGrid>
      <w:tr w:rsidR="00AE00DC" w:rsidRPr="009E4649">
        <w:trPr>
          <w:jc w:val="center"/>
        </w:trPr>
        <w:tc>
          <w:tcPr>
            <w:tcW w:w="4000" w:type="dxa"/>
            <w:tcBorders>
              <w:top w:val="single" w:sz="4" w:space="0" w:color="auto"/>
              <w:bottom w:val="single" w:sz="4" w:space="0" w:color="auto"/>
            </w:tcBorders>
            <w:vAlign w:val="center"/>
          </w:tcPr>
          <w:p w:rsidR="00AE00DC" w:rsidRPr="00796611" w:rsidRDefault="00AE00DC" w:rsidP="005D7B68">
            <w:pPr>
              <w:tabs>
                <w:tab w:val="left" w:pos="567"/>
                <w:tab w:val="left" w:pos="1134"/>
                <w:tab w:val="left" w:pos="1701"/>
                <w:tab w:val="left" w:pos="2268"/>
                <w:tab w:val="left" w:pos="2835"/>
              </w:tabs>
              <w:spacing w:before="20" w:after="20"/>
              <w:jc w:val="center"/>
            </w:pPr>
            <w:r>
              <w:t>Requérants par groupe d’âge</w:t>
            </w:r>
            <w:r w:rsidR="009030A8" w:rsidRPr="009030A8">
              <w:rPr>
                <w:b/>
                <w:bCs/>
              </w:rPr>
              <w:t>*</w:t>
            </w:r>
          </w:p>
        </w:tc>
        <w:tc>
          <w:tcPr>
            <w:tcW w:w="3994" w:type="dxa"/>
            <w:tcBorders>
              <w:top w:val="single" w:sz="4" w:space="0" w:color="auto"/>
              <w:bottom w:val="single" w:sz="4" w:space="0" w:color="auto"/>
            </w:tcBorders>
            <w:vAlign w:val="center"/>
          </w:tcPr>
          <w:p w:rsidR="00AE00DC" w:rsidRPr="009E4649" w:rsidRDefault="00032245" w:rsidP="005D7B68">
            <w:pPr>
              <w:tabs>
                <w:tab w:val="left" w:pos="567"/>
                <w:tab w:val="left" w:pos="1134"/>
                <w:tab w:val="left" w:pos="1701"/>
                <w:tab w:val="left" w:pos="2268"/>
                <w:tab w:val="left" w:pos="2835"/>
              </w:tabs>
              <w:spacing w:before="20" w:after="20"/>
              <w:jc w:val="center"/>
              <w:rPr>
                <w:lang w:val="fr-FR"/>
              </w:rPr>
            </w:pPr>
            <w:r>
              <w:rPr>
                <w:lang w:val="fr-FR"/>
              </w:rPr>
              <w:t>Nombre de d</w:t>
            </w:r>
            <w:r w:rsidR="00AE00DC" w:rsidRPr="009E4649">
              <w:rPr>
                <w:lang w:val="fr-FR"/>
              </w:rPr>
              <w:t xml:space="preserve">emandes de visa de protection </w:t>
            </w:r>
            <w:r w:rsidR="00AE00DC">
              <w:rPr>
                <w:lang w:val="fr-FR"/>
              </w:rPr>
              <w:t>déposées</w:t>
            </w:r>
          </w:p>
        </w:tc>
      </w:tr>
      <w:tr w:rsidR="00AE00DC" w:rsidRPr="00796611">
        <w:trPr>
          <w:jc w:val="center"/>
        </w:trPr>
        <w:tc>
          <w:tcPr>
            <w:tcW w:w="4000" w:type="dxa"/>
            <w:tcBorders>
              <w:top w:val="single" w:sz="4" w:space="0" w:color="auto"/>
            </w:tcBorders>
          </w:tcPr>
          <w:p w:rsidR="00AE00DC" w:rsidRPr="00796611" w:rsidRDefault="00AE00DC" w:rsidP="005D7B68">
            <w:pPr>
              <w:tabs>
                <w:tab w:val="left" w:pos="567"/>
                <w:tab w:val="left" w:pos="1134"/>
                <w:tab w:val="left" w:pos="1701"/>
                <w:tab w:val="left" w:pos="2268"/>
                <w:tab w:val="left" w:pos="2835"/>
              </w:tabs>
              <w:spacing w:before="20" w:after="20"/>
            </w:pPr>
            <w:r>
              <w:t>0 à</w:t>
            </w:r>
            <w:r w:rsidRPr="00796611">
              <w:t xml:space="preserve"> 17</w:t>
            </w:r>
            <w:r w:rsidR="00032245">
              <w:t xml:space="preserve"> ans</w:t>
            </w:r>
          </w:p>
        </w:tc>
        <w:tc>
          <w:tcPr>
            <w:tcW w:w="3994" w:type="dxa"/>
            <w:tcBorders>
              <w:top w:val="single" w:sz="4" w:space="0" w:color="auto"/>
            </w:tcBorders>
          </w:tcPr>
          <w:p w:rsidR="00AE00DC" w:rsidRPr="00796611" w:rsidRDefault="00AE00DC" w:rsidP="005D7B68">
            <w:pPr>
              <w:tabs>
                <w:tab w:val="left" w:pos="567"/>
                <w:tab w:val="left" w:pos="1134"/>
                <w:tab w:val="left" w:pos="1701"/>
                <w:tab w:val="left" w:pos="2268"/>
                <w:tab w:val="left" w:pos="2952"/>
                <w:tab w:val="left" w:pos="3132"/>
              </w:tabs>
              <w:spacing w:before="20" w:after="20"/>
              <w:ind w:right="826"/>
              <w:jc w:val="right"/>
            </w:pPr>
            <w:r w:rsidRPr="00796611">
              <w:t>8 512</w:t>
            </w:r>
          </w:p>
        </w:tc>
      </w:tr>
      <w:tr w:rsidR="00AE00DC" w:rsidRPr="00796611">
        <w:trPr>
          <w:jc w:val="center"/>
        </w:trPr>
        <w:tc>
          <w:tcPr>
            <w:tcW w:w="4000" w:type="dxa"/>
          </w:tcPr>
          <w:p w:rsidR="00AE00DC" w:rsidRPr="00796611" w:rsidRDefault="00AE00DC" w:rsidP="005D7B68">
            <w:pPr>
              <w:tabs>
                <w:tab w:val="left" w:pos="567"/>
                <w:tab w:val="left" w:pos="1134"/>
                <w:tab w:val="left" w:pos="1701"/>
                <w:tab w:val="left" w:pos="2268"/>
                <w:tab w:val="left" w:pos="2835"/>
              </w:tabs>
              <w:spacing w:before="20" w:after="20"/>
            </w:pPr>
            <w:r>
              <w:t>18 à</w:t>
            </w:r>
            <w:r w:rsidRPr="00796611">
              <w:t xml:space="preserve"> 30</w:t>
            </w:r>
            <w:r w:rsidR="00032245">
              <w:t xml:space="preserve"> ans</w:t>
            </w:r>
          </w:p>
        </w:tc>
        <w:tc>
          <w:tcPr>
            <w:tcW w:w="3994" w:type="dxa"/>
          </w:tcPr>
          <w:p w:rsidR="00AE00DC" w:rsidRPr="00796611" w:rsidRDefault="00AE00DC" w:rsidP="005D7B68">
            <w:pPr>
              <w:tabs>
                <w:tab w:val="left" w:pos="567"/>
                <w:tab w:val="left" w:pos="1134"/>
                <w:tab w:val="left" w:pos="1701"/>
                <w:tab w:val="left" w:pos="2268"/>
                <w:tab w:val="left" w:pos="2952"/>
                <w:tab w:val="left" w:pos="3132"/>
              </w:tabs>
              <w:spacing w:before="20" w:after="20"/>
              <w:ind w:right="826"/>
              <w:jc w:val="right"/>
            </w:pPr>
            <w:r w:rsidRPr="00796611">
              <w:t>23 902</w:t>
            </w:r>
          </w:p>
        </w:tc>
      </w:tr>
      <w:tr w:rsidR="00AE00DC" w:rsidRPr="00796611">
        <w:trPr>
          <w:jc w:val="center"/>
        </w:trPr>
        <w:tc>
          <w:tcPr>
            <w:tcW w:w="4000" w:type="dxa"/>
          </w:tcPr>
          <w:p w:rsidR="00AE00DC" w:rsidRPr="00796611" w:rsidRDefault="00AE00DC" w:rsidP="005D7B68">
            <w:pPr>
              <w:tabs>
                <w:tab w:val="left" w:pos="567"/>
                <w:tab w:val="left" w:pos="1134"/>
                <w:tab w:val="left" w:pos="1701"/>
                <w:tab w:val="left" w:pos="2268"/>
                <w:tab w:val="left" w:pos="2835"/>
              </w:tabs>
              <w:spacing w:before="20" w:after="20"/>
            </w:pPr>
            <w:r>
              <w:t>31 à</w:t>
            </w:r>
            <w:r w:rsidRPr="00796611">
              <w:t xml:space="preserve"> 60</w:t>
            </w:r>
            <w:r w:rsidR="00032245">
              <w:t xml:space="preserve"> ans</w:t>
            </w:r>
          </w:p>
        </w:tc>
        <w:tc>
          <w:tcPr>
            <w:tcW w:w="3994" w:type="dxa"/>
          </w:tcPr>
          <w:p w:rsidR="00AE00DC" w:rsidRPr="00796611" w:rsidRDefault="00AE00DC" w:rsidP="005D7B68">
            <w:pPr>
              <w:tabs>
                <w:tab w:val="left" w:pos="567"/>
                <w:tab w:val="left" w:pos="1134"/>
                <w:tab w:val="left" w:pos="1701"/>
                <w:tab w:val="left" w:pos="2268"/>
                <w:tab w:val="left" w:pos="2952"/>
                <w:tab w:val="left" w:pos="3132"/>
              </w:tabs>
              <w:spacing w:before="20" w:after="20"/>
              <w:ind w:right="826"/>
              <w:jc w:val="right"/>
            </w:pPr>
            <w:r w:rsidRPr="00796611">
              <w:t>27 224</w:t>
            </w:r>
          </w:p>
        </w:tc>
      </w:tr>
      <w:tr w:rsidR="00AE00DC" w:rsidRPr="00796611">
        <w:trPr>
          <w:jc w:val="center"/>
        </w:trPr>
        <w:tc>
          <w:tcPr>
            <w:tcW w:w="4000" w:type="dxa"/>
            <w:tcBorders>
              <w:bottom w:val="single" w:sz="4" w:space="0" w:color="auto"/>
            </w:tcBorders>
          </w:tcPr>
          <w:p w:rsidR="00AE00DC" w:rsidRPr="00796611" w:rsidRDefault="00AE00DC" w:rsidP="005D7B68">
            <w:pPr>
              <w:tabs>
                <w:tab w:val="left" w:pos="567"/>
                <w:tab w:val="left" w:pos="1134"/>
                <w:tab w:val="left" w:pos="1701"/>
                <w:tab w:val="left" w:pos="2268"/>
                <w:tab w:val="left" w:pos="2835"/>
              </w:tabs>
              <w:spacing w:before="20" w:after="20"/>
            </w:pPr>
            <w:r w:rsidRPr="00796611">
              <w:t xml:space="preserve">61 </w:t>
            </w:r>
            <w:r w:rsidR="00032245">
              <w:t xml:space="preserve">ans </w:t>
            </w:r>
            <w:r>
              <w:t>et plus</w:t>
            </w:r>
          </w:p>
        </w:tc>
        <w:tc>
          <w:tcPr>
            <w:tcW w:w="3994" w:type="dxa"/>
            <w:tcBorders>
              <w:bottom w:val="single" w:sz="4" w:space="0" w:color="auto"/>
            </w:tcBorders>
          </w:tcPr>
          <w:p w:rsidR="00AE00DC" w:rsidRPr="00796611" w:rsidRDefault="00AE00DC" w:rsidP="005D7B68">
            <w:pPr>
              <w:tabs>
                <w:tab w:val="left" w:pos="567"/>
                <w:tab w:val="left" w:pos="1134"/>
                <w:tab w:val="left" w:pos="1701"/>
                <w:tab w:val="left" w:pos="2268"/>
                <w:tab w:val="left" w:pos="2952"/>
                <w:tab w:val="left" w:pos="3132"/>
              </w:tabs>
              <w:spacing w:before="20" w:after="20"/>
              <w:ind w:right="826"/>
              <w:jc w:val="right"/>
            </w:pPr>
            <w:r w:rsidRPr="00796611">
              <w:t>1 380</w:t>
            </w:r>
          </w:p>
        </w:tc>
      </w:tr>
      <w:tr w:rsidR="00AE00DC" w:rsidRPr="00796611">
        <w:trPr>
          <w:jc w:val="center"/>
        </w:trPr>
        <w:tc>
          <w:tcPr>
            <w:tcW w:w="4000" w:type="dxa"/>
            <w:tcBorders>
              <w:top w:val="single" w:sz="4" w:space="0" w:color="auto"/>
              <w:bottom w:val="single" w:sz="4" w:space="0" w:color="auto"/>
            </w:tcBorders>
          </w:tcPr>
          <w:p w:rsidR="00AE00DC" w:rsidRPr="00796611" w:rsidRDefault="009030A8" w:rsidP="005D7B68">
            <w:pPr>
              <w:tabs>
                <w:tab w:val="left" w:pos="381"/>
                <w:tab w:val="left" w:pos="567"/>
                <w:tab w:val="left" w:pos="1134"/>
                <w:tab w:val="left" w:pos="1701"/>
                <w:tab w:val="left" w:pos="2268"/>
                <w:tab w:val="left" w:pos="2835"/>
              </w:tabs>
              <w:adjustRightInd w:val="0"/>
              <w:snapToGrid w:val="0"/>
              <w:spacing w:after="0"/>
            </w:pPr>
            <w:r>
              <w:tab/>
            </w:r>
            <w:r w:rsidR="00AE00DC" w:rsidRPr="004306ED">
              <w:rPr>
                <w:snapToGrid w:val="0"/>
                <w:szCs w:val="24"/>
              </w:rPr>
              <w:t>Total</w:t>
            </w:r>
          </w:p>
        </w:tc>
        <w:tc>
          <w:tcPr>
            <w:tcW w:w="3994" w:type="dxa"/>
            <w:tcBorders>
              <w:top w:val="single" w:sz="4" w:space="0" w:color="auto"/>
              <w:bottom w:val="single" w:sz="4" w:space="0" w:color="auto"/>
            </w:tcBorders>
          </w:tcPr>
          <w:p w:rsidR="00AE00DC" w:rsidRPr="00796611" w:rsidRDefault="00AE00DC" w:rsidP="005D7B68">
            <w:pPr>
              <w:tabs>
                <w:tab w:val="left" w:pos="567"/>
                <w:tab w:val="left" w:pos="1134"/>
                <w:tab w:val="left" w:pos="1701"/>
                <w:tab w:val="left" w:pos="2268"/>
                <w:tab w:val="left" w:pos="2952"/>
                <w:tab w:val="left" w:pos="3132"/>
              </w:tabs>
              <w:spacing w:before="20" w:after="20"/>
              <w:ind w:right="826"/>
              <w:jc w:val="right"/>
            </w:pPr>
            <w:r w:rsidRPr="00796611">
              <w:t>61 018</w:t>
            </w:r>
          </w:p>
        </w:tc>
      </w:tr>
    </w:tbl>
    <w:p w:rsidR="00AE00DC" w:rsidRPr="009E4649" w:rsidRDefault="009030A8" w:rsidP="005D7B68">
      <w:pPr>
        <w:tabs>
          <w:tab w:val="left" w:pos="567"/>
          <w:tab w:val="left" w:pos="618"/>
          <w:tab w:val="left" w:pos="1134"/>
          <w:tab w:val="left" w:pos="1701"/>
          <w:tab w:val="left" w:pos="2268"/>
          <w:tab w:val="left" w:pos="2835"/>
        </w:tabs>
        <w:spacing w:before="240"/>
        <w:rPr>
          <w:lang w:val="fr-FR"/>
        </w:rPr>
      </w:pPr>
      <w:r>
        <w:rPr>
          <w:lang w:val="fr-FR"/>
        </w:rPr>
        <w:tab/>
      </w:r>
      <w:r w:rsidR="00AE00DC" w:rsidRPr="009030A8">
        <w:rPr>
          <w:b/>
          <w:bCs/>
          <w:lang w:val="fr-FR"/>
        </w:rPr>
        <w:t>*</w:t>
      </w:r>
      <w:r w:rsidR="00572260">
        <w:rPr>
          <w:lang w:val="fr-FR"/>
        </w:rPr>
        <w:t xml:space="preserve"> </w:t>
      </w:r>
      <w:r w:rsidR="00AE00DC" w:rsidRPr="009E4649">
        <w:rPr>
          <w:lang w:val="fr-FR"/>
        </w:rPr>
        <w:t>Âge au dépôt de la demande.</w:t>
      </w:r>
    </w:p>
    <w:p w:rsidR="00AE00DC" w:rsidRPr="009E4649" w:rsidRDefault="009D3D55" w:rsidP="005D7B68">
      <w:pPr>
        <w:pStyle w:val="Heading2"/>
        <w:tabs>
          <w:tab w:val="left" w:pos="567"/>
          <w:tab w:val="left" w:pos="1134"/>
          <w:tab w:val="left" w:pos="1701"/>
          <w:tab w:val="left" w:pos="2268"/>
          <w:tab w:val="left" w:pos="2835"/>
        </w:tabs>
        <w:rPr>
          <w:lang w:val="fr-FR"/>
        </w:rPr>
      </w:pPr>
      <w:bookmarkStart w:id="7" w:name="_Toc193614076"/>
      <w:r>
        <w:rPr>
          <w:lang w:val="fr-FR"/>
        </w:rPr>
        <w:t>D</w:t>
      </w:r>
      <w:r w:rsidR="00AE00DC" w:rsidRPr="009E4649">
        <w:rPr>
          <w:lang w:val="fr-FR"/>
        </w:rPr>
        <w:t xml:space="preserve">emandes </w:t>
      </w:r>
      <w:r>
        <w:rPr>
          <w:lang w:val="fr-FR"/>
        </w:rPr>
        <w:t xml:space="preserve">initiales </w:t>
      </w:r>
      <w:r w:rsidR="00AE00DC" w:rsidRPr="009E4649">
        <w:rPr>
          <w:lang w:val="fr-FR"/>
        </w:rPr>
        <w:t>de visa de protection</w:t>
      </w:r>
      <w:r w:rsidR="00AE00DC">
        <w:rPr>
          <w:lang w:val="fr-FR"/>
        </w:rPr>
        <w:t xml:space="preserve"> déposées entre le 1</w:t>
      </w:r>
      <w:r w:rsidR="00AE00DC" w:rsidRPr="009E4649">
        <w:rPr>
          <w:vertAlign w:val="superscript"/>
          <w:lang w:val="fr-FR"/>
        </w:rPr>
        <w:t>er</w:t>
      </w:r>
      <w:r w:rsidR="00AE00DC">
        <w:rPr>
          <w:lang w:val="fr-FR"/>
        </w:rPr>
        <w:t xml:space="preserve"> juin 1997</w:t>
      </w:r>
      <w:r w:rsidR="009030A8">
        <w:rPr>
          <w:lang w:val="fr-FR"/>
        </w:rPr>
        <w:br/>
      </w:r>
      <w:r w:rsidR="00AE00DC">
        <w:rPr>
          <w:lang w:val="fr-FR"/>
        </w:rPr>
        <w:t>et le 31 octobre</w:t>
      </w:r>
      <w:r w:rsidR="00A86443">
        <w:rPr>
          <w:lang w:val="fr-FR"/>
        </w:rPr>
        <w:t xml:space="preserve"> 2004, </w:t>
      </w:r>
      <w:r w:rsidR="00AE00DC">
        <w:rPr>
          <w:lang w:val="fr-FR"/>
        </w:rPr>
        <w:t>par sexe</w:t>
      </w:r>
      <w:bookmarkEnd w:id="7"/>
    </w:p>
    <w:tbl>
      <w:tblPr>
        <w:tblW w:w="0" w:type="auto"/>
        <w:jc w:val="center"/>
        <w:tblInd w:w="958" w:type="dxa"/>
        <w:tblLook w:val="01E0" w:firstRow="1" w:lastRow="1" w:firstColumn="1" w:lastColumn="1" w:noHBand="0" w:noVBand="0"/>
      </w:tblPr>
      <w:tblGrid>
        <w:gridCol w:w="4053"/>
        <w:gridCol w:w="3960"/>
      </w:tblGrid>
      <w:tr w:rsidR="00AE00DC" w:rsidRPr="009E4649" w:rsidTr="00D4407B">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AE00DC" w:rsidRPr="00796611" w:rsidRDefault="00AE00DC" w:rsidP="005D7B68">
            <w:pPr>
              <w:tabs>
                <w:tab w:val="left" w:pos="567"/>
                <w:tab w:val="left" w:pos="1134"/>
                <w:tab w:val="left" w:pos="1701"/>
                <w:tab w:val="left" w:pos="2268"/>
                <w:tab w:val="left" w:pos="2835"/>
              </w:tabs>
              <w:spacing w:before="20" w:after="20"/>
              <w:jc w:val="center"/>
            </w:pPr>
            <w:r>
              <w:t>Sexe</w:t>
            </w:r>
          </w:p>
        </w:tc>
        <w:tc>
          <w:tcPr>
            <w:tcW w:w="3960" w:type="dxa"/>
            <w:tcBorders>
              <w:top w:val="single" w:sz="4" w:space="0" w:color="auto"/>
              <w:left w:val="single" w:sz="4" w:space="0" w:color="auto"/>
              <w:bottom w:val="single" w:sz="4" w:space="0" w:color="auto"/>
              <w:right w:val="single" w:sz="4" w:space="0" w:color="auto"/>
            </w:tcBorders>
          </w:tcPr>
          <w:p w:rsidR="00AE00DC" w:rsidRPr="009E4649" w:rsidRDefault="00032245" w:rsidP="005D7B68">
            <w:pPr>
              <w:tabs>
                <w:tab w:val="left" w:pos="567"/>
                <w:tab w:val="left" w:pos="1134"/>
                <w:tab w:val="left" w:pos="1701"/>
                <w:tab w:val="left" w:pos="2268"/>
                <w:tab w:val="left" w:pos="2835"/>
              </w:tabs>
              <w:spacing w:before="20" w:after="20"/>
              <w:jc w:val="center"/>
              <w:rPr>
                <w:lang w:val="fr-FR"/>
              </w:rPr>
            </w:pPr>
            <w:r>
              <w:rPr>
                <w:lang w:val="fr-FR"/>
              </w:rPr>
              <w:t>Nombre de d</w:t>
            </w:r>
            <w:r w:rsidR="00AE00DC" w:rsidRPr="009E4649">
              <w:rPr>
                <w:lang w:val="fr-FR"/>
              </w:rPr>
              <w:t>emandes de visa de protection déposées</w:t>
            </w:r>
          </w:p>
        </w:tc>
      </w:tr>
      <w:tr w:rsidR="00AE00DC" w:rsidRPr="00796611" w:rsidTr="00D4407B">
        <w:trPr>
          <w:jc w:val="center"/>
        </w:trPr>
        <w:tc>
          <w:tcPr>
            <w:tcW w:w="4053" w:type="dxa"/>
            <w:tcBorders>
              <w:left w:val="single" w:sz="4" w:space="0" w:color="auto"/>
              <w:bottom w:val="nil"/>
              <w:right w:val="single" w:sz="4" w:space="0" w:color="auto"/>
            </w:tcBorders>
          </w:tcPr>
          <w:p w:rsidR="00AE00DC" w:rsidRPr="00796611" w:rsidRDefault="00AE00DC" w:rsidP="005D7B68">
            <w:pPr>
              <w:tabs>
                <w:tab w:val="left" w:pos="567"/>
                <w:tab w:val="left" w:pos="1134"/>
                <w:tab w:val="left" w:pos="1701"/>
                <w:tab w:val="left" w:pos="2268"/>
                <w:tab w:val="left" w:pos="2835"/>
              </w:tabs>
              <w:spacing w:before="20" w:after="20"/>
            </w:pPr>
            <w:r>
              <w:t>Hommes</w:t>
            </w:r>
          </w:p>
        </w:tc>
        <w:tc>
          <w:tcPr>
            <w:tcW w:w="3960" w:type="dxa"/>
            <w:tcBorders>
              <w:left w:val="single" w:sz="4" w:space="0" w:color="auto"/>
              <w:bottom w:val="nil"/>
              <w:right w:val="single" w:sz="4" w:space="0" w:color="auto"/>
            </w:tcBorders>
          </w:tcPr>
          <w:p w:rsidR="00AE00DC" w:rsidRPr="004D014B" w:rsidRDefault="00AE00DC"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4D014B">
              <w:rPr>
                <w:snapToGrid w:val="0"/>
                <w:szCs w:val="24"/>
                <w:lang w:val="fr-FR"/>
              </w:rPr>
              <w:t>40 633</w:t>
            </w:r>
          </w:p>
        </w:tc>
      </w:tr>
      <w:tr w:rsidR="00AE00DC" w:rsidRPr="00796611" w:rsidTr="00D4407B">
        <w:trPr>
          <w:jc w:val="center"/>
        </w:trPr>
        <w:tc>
          <w:tcPr>
            <w:tcW w:w="4053" w:type="dxa"/>
            <w:tcBorders>
              <w:top w:val="nil"/>
              <w:left w:val="single" w:sz="4" w:space="0" w:color="auto"/>
              <w:bottom w:val="single" w:sz="4" w:space="0" w:color="auto"/>
              <w:right w:val="single" w:sz="4" w:space="0" w:color="auto"/>
            </w:tcBorders>
          </w:tcPr>
          <w:p w:rsidR="00AE00DC" w:rsidRPr="00796611" w:rsidRDefault="00AE00DC" w:rsidP="005D7B68">
            <w:pPr>
              <w:tabs>
                <w:tab w:val="left" w:pos="567"/>
                <w:tab w:val="left" w:pos="1134"/>
                <w:tab w:val="left" w:pos="1701"/>
                <w:tab w:val="left" w:pos="2268"/>
                <w:tab w:val="left" w:pos="2835"/>
              </w:tabs>
              <w:spacing w:before="20" w:after="20"/>
            </w:pPr>
            <w:r>
              <w:t>Femmes</w:t>
            </w:r>
          </w:p>
        </w:tc>
        <w:tc>
          <w:tcPr>
            <w:tcW w:w="3960" w:type="dxa"/>
            <w:tcBorders>
              <w:top w:val="nil"/>
              <w:left w:val="single" w:sz="4" w:space="0" w:color="auto"/>
              <w:bottom w:val="single" w:sz="4" w:space="0" w:color="auto"/>
              <w:right w:val="single" w:sz="4" w:space="0" w:color="auto"/>
            </w:tcBorders>
          </w:tcPr>
          <w:p w:rsidR="00AE00DC" w:rsidRPr="004D014B" w:rsidRDefault="00AE00DC"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4D014B">
              <w:rPr>
                <w:snapToGrid w:val="0"/>
                <w:szCs w:val="24"/>
                <w:lang w:val="fr-FR"/>
              </w:rPr>
              <w:t>20 385</w:t>
            </w:r>
          </w:p>
        </w:tc>
      </w:tr>
      <w:tr w:rsidR="00AE00DC" w:rsidRPr="00796611" w:rsidTr="00D4407B">
        <w:trPr>
          <w:jc w:val="center"/>
        </w:trPr>
        <w:tc>
          <w:tcPr>
            <w:tcW w:w="4053" w:type="dxa"/>
            <w:tcBorders>
              <w:top w:val="single" w:sz="4" w:space="0" w:color="auto"/>
              <w:left w:val="single" w:sz="4" w:space="0" w:color="auto"/>
              <w:bottom w:val="single" w:sz="4" w:space="0" w:color="auto"/>
              <w:right w:val="single" w:sz="4" w:space="0" w:color="auto"/>
            </w:tcBorders>
          </w:tcPr>
          <w:p w:rsidR="00AE00DC" w:rsidRPr="00796611" w:rsidRDefault="004D014B" w:rsidP="005D7B68">
            <w:pPr>
              <w:tabs>
                <w:tab w:val="left" w:pos="381"/>
                <w:tab w:val="left" w:pos="567"/>
                <w:tab w:val="left" w:pos="1134"/>
                <w:tab w:val="left" w:pos="1701"/>
                <w:tab w:val="left" w:pos="2268"/>
                <w:tab w:val="left" w:pos="2835"/>
              </w:tabs>
              <w:adjustRightInd w:val="0"/>
              <w:snapToGrid w:val="0"/>
              <w:spacing w:after="0"/>
            </w:pPr>
            <w:r>
              <w:tab/>
            </w:r>
            <w:r w:rsidR="00AE00DC" w:rsidRPr="004306ED">
              <w:rPr>
                <w:snapToGrid w:val="0"/>
                <w:szCs w:val="24"/>
              </w:rPr>
              <w:t>Total</w:t>
            </w:r>
          </w:p>
        </w:tc>
        <w:tc>
          <w:tcPr>
            <w:tcW w:w="3960" w:type="dxa"/>
            <w:tcBorders>
              <w:top w:val="single" w:sz="4" w:space="0" w:color="auto"/>
              <w:left w:val="single" w:sz="4" w:space="0" w:color="auto"/>
              <w:bottom w:val="single" w:sz="4" w:space="0" w:color="auto"/>
              <w:right w:val="single" w:sz="4" w:space="0" w:color="auto"/>
            </w:tcBorders>
          </w:tcPr>
          <w:p w:rsidR="00AE00DC" w:rsidRPr="004D014B" w:rsidRDefault="00AE00DC"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4D014B">
              <w:rPr>
                <w:snapToGrid w:val="0"/>
                <w:szCs w:val="24"/>
                <w:lang w:val="fr-FR"/>
              </w:rPr>
              <w:t>61 018</w:t>
            </w:r>
          </w:p>
        </w:tc>
      </w:tr>
    </w:tbl>
    <w:p w:rsidR="0088724D" w:rsidRPr="00184453" w:rsidRDefault="0088724D" w:rsidP="005D7B68">
      <w:pPr>
        <w:pStyle w:val="Heading2"/>
        <w:tabs>
          <w:tab w:val="left" w:pos="567"/>
          <w:tab w:val="left" w:pos="1134"/>
          <w:tab w:val="left" w:pos="1701"/>
          <w:tab w:val="left" w:pos="2268"/>
          <w:tab w:val="left" w:pos="2835"/>
        </w:tabs>
        <w:spacing w:before="120" w:after="220"/>
        <w:rPr>
          <w:i/>
          <w:sz w:val="22"/>
          <w:szCs w:val="22"/>
          <w:lang w:val="fr-FR"/>
        </w:rPr>
      </w:pPr>
      <w:bookmarkStart w:id="8" w:name="_Toc193614077"/>
      <w:r w:rsidRPr="00184453">
        <w:rPr>
          <w:sz w:val="22"/>
          <w:szCs w:val="22"/>
          <w:lang w:val="fr-FR"/>
        </w:rPr>
        <w:t xml:space="preserve">Demandes initiales de visa de protection </w:t>
      </w:r>
      <w:r>
        <w:rPr>
          <w:sz w:val="22"/>
          <w:szCs w:val="22"/>
          <w:lang w:val="fr-FR"/>
        </w:rPr>
        <w:t>déposée</w:t>
      </w:r>
      <w:r w:rsidRPr="00184453">
        <w:rPr>
          <w:sz w:val="22"/>
          <w:szCs w:val="22"/>
          <w:lang w:val="fr-FR"/>
        </w:rPr>
        <w:t>s entre le</w:t>
      </w:r>
      <w:r>
        <w:rPr>
          <w:sz w:val="22"/>
          <w:szCs w:val="22"/>
          <w:lang w:val="fr-FR"/>
        </w:rPr>
        <w:t xml:space="preserve"> 1</w:t>
      </w:r>
      <w:r w:rsidRPr="00184453">
        <w:rPr>
          <w:sz w:val="22"/>
          <w:szCs w:val="22"/>
          <w:vertAlign w:val="superscript"/>
          <w:lang w:val="fr-FR"/>
        </w:rPr>
        <w:t>er</w:t>
      </w:r>
      <w:r>
        <w:rPr>
          <w:sz w:val="22"/>
          <w:szCs w:val="22"/>
          <w:lang w:val="fr-FR"/>
        </w:rPr>
        <w:t xml:space="preserve"> juin 1</w:t>
      </w:r>
      <w:r w:rsidR="009030A8">
        <w:rPr>
          <w:sz w:val="22"/>
          <w:szCs w:val="22"/>
          <w:lang w:val="fr-FR"/>
        </w:rPr>
        <w:t>997</w:t>
      </w:r>
      <w:r w:rsidR="009030A8">
        <w:rPr>
          <w:sz w:val="22"/>
          <w:szCs w:val="22"/>
          <w:lang w:val="fr-FR"/>
        </w:rPr>
        <w:br/>
      </w:r>
      <w:r>
        <w:rPr>
          <w:sz w:val="22"/>
          <w:szCs w:val="22"/>
          <w:lang w:val="fr-FR"/>
        </w:rPr>
        <w:t>et le 31 octobre 2004</w:t>
      </w:r>
      <w:r w:rsidR="009030A8">
        <w:rPr>
          <w:sz w:val="22"/>
          <w:szCs w:val="22"/>
          <w:lang w:val="fr-FR"/>
        </w:rPr>
        <w:t xml:space="preserve"> </w:t>
      </w:r>
      <w:r>
        <w:rPr>
          <w:sz w:val="22"/>
          <w:szCs w:val="22"/>
          <w:lang w:val="fr-FR"/>
        </w:rPr>
        <w:t>par nationalité</w:t>
      </w:r>
      <w:r w:rsidRPr="00184453">
        <w:rPr>
          <w:sz w:val="22"/>
          <w:szCs w:val="22"/>
          <w:lang w:val="fr-FR"/>
        </w:rPr>
        <w:t xml:space="preserve"> </w:t>
      </w:r>
      <w:r>
        <w:rPr>
          <w:sz w:val="22"/>
          <w:szCs w:val="22"/>
          <w:lang w:val="fr-FR"/>
        </w:rPr>
        <w:t>–</w:t>
      </w:r>
      <w:r w:rsidRPr="00184453">
        <w:rPr>
          <w:sz w:val="22"/>
          <w:szCs w:val="22"/>
          <w:lang w:val="fr-FR"/>
        </w:rPr>
        <w:t xml:space="preserve"> </w:t>
      </w:r>
      <w:r w:rsidR="00D3745A">
        <w:rPr>
          <w:sz w:val="22"/>
          <w:szCs w:val="22"/>
          <w:lang w:val="fr-FR"/>
        </w:rPr>
        <w:t>40</w:t>
      </w:r>
      <w:r w:rsidR="001E72F4">
        <w:rPr>
          <w:sz w:val="22"/>
          <w:szCs w:val="22"/>
          <w:lang w:val="fr-FR"/>
        </w:rPr>
        <w:t xml:space="preserve"> nationalités</w:t>
      </w:r>
      <w:r w:rsidR="00D3745A">
        <w:rPr>
          <w:sz w:val="22"/>
          <w:szCs w:val="22"/>
          <w:lang w:val="fr-FR"/>
        </w:rPr>
        <w:t xml:space="preserve"> les plus représentées</w:t>
      </w:r>
      <w:bookmarkEnd w:id="8"/>
    </w:p>
    <w:tbl>
      <w:tblPr>
        <w:tblW w:w="0" w:type="auto"/>
        <w:jc w:val="center"/>
        <w:tblInd w:w="95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35"/>
        <w:gridCol w:w="4183"/>
        <w:gridCol w:w="45"/>
      </w:tblGrid>
      <w:tr w:rsidR="0088724D" w:rsidRPr="005245F8" w:rsidTr="00D4407B">
        <w:trPr>
          <w:tblHeader/>
          <w:jc w:val="center"/>
        </w:trPr>
        <w:tc>
          <w:tcPr>
            <w:tcW w:w="4235" w:type="dxa"/>
            <w:tcBorders>
              <w:top w:val="single" w:sz="4" w:space="0" w:color="auto"/>
              <w:bottom w:val="single" w:sz="4" w:space="0" w:color="auto"/>
            </w:tcBorders>
            <w:vAlign w:val="center"/>
          </w:tcPr>
          <w:p w:rsidR="0088724D" w:rsidRPr="009030A8" w:rsidRDefault="0088724D" w:rsidP="005D7B68">
            <w:pPr>
              <w:tabs>
                <w:tab w:val="left" w:pos="567"/>
                <w:tab w:val="left" w:pos="1134"/>
                <w:tab w:val="left" w:pos="1701"/>
                <w:tab w:val="left" w:pos="2268"/>
                <w:tab w:val="left" w:pos="2835"/>
              </w:tabs>
              <w:adjustRightInd w:val="0"/>
              <w:snapToGrid w:val="0"/>
              <w:spacing w:after="0"/>
              <w:jc w:val="center"/>
              <w:rPr>
                <w:snapToGrid w:val="0"/>
                <w:szCs w:val="24"/>
                <w:lang w:val="fr-FR"/>
              </w:rPr>
            </w:pPr>
            <w:r w:rsidRPr="009030A8">
              <w:rPr>
                <w:snapToGrid w:val="0"/>
                <w:szCs w:val="24"/>
                <w:lang w:val="fr-FR"/>
              </w:rPr>
              <w:t>Nationalité</w:t>
            </w:r>
          </w:p>
        </w:tc>
        <w:tc>
          <w:tcPr>
            <w:tcW w:w="4228" w:type="dxa"/>
            <w:gridSpan w:val="2"/>
            <w:tcBorders>
              <w:top w:val="single" w:sz="4" w:space="0" w:color="auto"/>
              <w:bottom w:val="single" w:sz="4" w:space="0" w:color="auto"/>
            </w:tcBorders>
          </w:tcPr>
          <w:p w:rsidR="0088724D" w:rsidRPr="005245F8" w:rsidRDefault="0088724D" w:rsidP="005D7B68">
            <w:pPr>
              <w:tabs>
                <w:tab w:val="left" w:pos="567"/>
                <w:tab w:val="left" w:pos="1134"/>
                <w:tab w:val="left" w:pos="1701"/>
                <w:tab w:val="left" w:pos="2268"/>
                <w:tab w:val="left" w:pos="2835"/>
              </w:tabs>
              <w:adjustRightInd w:val="0"/>
              <w:snapToGrid w:val="0"/>
              <w:spacing w:after="0"/>
              <w:jc w:val="center"/>
              <w:rPr>
                <w:snapToGrid w:val="0"/>
                <w:szCs w:val="24"/>
                <w:lang w:val="fr-FR"/>
              </w:rPr>
            </w:pPr>
            <w:r w:rsidRPr="005245F8">
              <w:rPr>
                <w:snapToGrid w:val="0"/>
                <w:szCs w:val="24"/>
                <w:lang w:val="fr-FR"/>
              </w:rPr>
              <w:t xml:space="preserve">Demandes de visa de protection déposées </w:t>
            </w:r>
          </w:p>
        </w:tc>
      </w:tr>
      <w:tr w:rsidR="0088724D" w:rsidRPr="009030A8" w:rsidTr="00D4407B">
        <w:trPr>
          <w:gridAfter w:val="1"/>
          <w:wAfter w:w="45" w:type="dxa"/>
          <w:jc w:val="center"/>
        </w:trPr>
        <w:tc>
          <w:tcPr>
            <w:tcW w:w="4235" w:type="dxa"/>
            <w:tcBorders>
              <w:top w:val="single" w:sz="4" w:space="0" w:color="auto"/>
            </w:tcBorders>
          </w:tcPr>
          <w:p w:rsidR="0088724D" w:rsidRPr="009030A8" w:rsidRDefault="0088724D" w:rsidP="005D7B68">
            <w:pPr>
              <w:tabs>
                <w:tab w:val="left" w:pos="567"/>
                <w:tab w:val="left" w:pos="1134"/>
                <w:tab w:val="left" w:pos="1701"/>
                <w:tab w:val="left" w:pos="2268"/>
                <w:tab w:val="left" w:pos="2835"/>
              </w:tabs>
              <w:adjustRightInd w:val="0"/>
              <w:snapToGrid w:val="0"/>
              <w:spacing w:after="0"/>
              <w:rPr>
                <w:snapToGrid w:val="0"/>
                <w:szCs w:val="24"/>
                <w:lang w:val="fr-FR"/>
              </w:rPr>
            </w:pPr>
            <w:r w:rsidRPr="009030A8">
              <w:rPr>
                <w:snapToGrid w:val="0"/>
                <w:szCs w:val="24"/>
                <w:lang w:val="fr-FR"/>
              </w:rPr>
              <w:t>Chine (République populaire de)</w:t>
            </w:r>
          </w:p>
        </w:tc>
        <w:tc>
          <w:tcPr>
            <w:tcW w:w="4183" w:type="dxa"/>
            <w:tcBorders>
              <w:top w:val="single" w:sz="4" w:space="0" w:color="auto"/>
            </w:tcBorders>
          </w:tcPr>
          <w:p w:rsidR="0088724D" w:rsidRPr="009030A8"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9030A8">
              <w:rPr>
                <w:snapToGrid w:val="0"/>
                <w:szCs w:val="24"/>
                <w:lang w:val="fr-FR"/>
              </w:rPr>
              <w:t>7 829</w:t>
            </w:r>
          </w:p>
        </w:tc>
      </w:tr>
      <w:tr w:rsidR="0088724D" w:rsidRPr="009030A8" w:rsidTr="00D4407B">
        <w:trPr>
          <w:gridAfter w:val="1"/>
          <w:wAfter w:w="45" w:type="dxa"/>
          <w:jc w:val="center"/>
        </w:trPr>
        <w:tc>
          <w:tcPr>
            <w:tcW w:w="4235" w:type="dxa"/>
          </w:tcPr>
          <w:p w:rsidR="0088724D" w:rsidRPr="009030A8" w:rsidRDefault="0088724D" w:rsidP="005D7B68">
            <w:pPr>
              <w:tabs>
                <w:tab w:val="left" w:pos="567"/>
                <w:tab w:val="left" w:pos="1134"/>
                <w:tab w:val="left" w:pos="1701"/>
                <w:tab w:val="left" w:pos="2268"/>
                <w:tab w:val="left" w:pos="2835"/>
              </w:tabs>
              <w:adjustRightInd w:val="0"/>
              <w:snapToGrid w:val="0"/>
              <w:spacing w:after="0"/>
              <w:rPr>
                <w:snapToGrid w:val="0"/>
                <w:szCs w:val="24"/>
                <w:lang w:val="fr-FR"/>
              </w:rPr>
            </w:pPr>
            <w:r w:rsidRPr="009030A8">
              <w:rPr>
                <w:snapToGrid w:val="0"/>
                <w:szCs w:val="24"/>
                <w:lang w:val="fr-FR"/>
              </w:rPr>
              <w:t xml:space="preserve">Indonésie </w:t>
            </w:r>
          </w:p>
        </w:tc>
        <w:tc>
          <w:tcPr>
            <w:tcW w:w="4183" w:type="dxa"/>
          </w:tcPr>
          <w:p w:rsidR="0088724D" w:rsidRPr="009030A8"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9030A8">
              <w:rPr>
                <w:snapToGrid w:val="0"/>
                <w:szCs w:val="24"/>
                <w:lang w:val="fr-FR"/>
              </w:rPr>
              <w:t>6 579</w:t>
            </w:r>
          </w:p>
        </w:tc>
      </w:tr>
      <w:tr w:rsidR="0088724D" w:rsidRPr="009030A8" w:rsidTr="00D4407B">
        <w:trPr>
          <w:gridAfter w:val="1"/>
          <w:wAfter w:w="45" w:type="dxa"/>
          <w:jc w:val="center"/>
        </w:trPr>
        <w:tc>
          <w:tcPr>
            <w:tcW w:w="4235" w:type="dxa"/>
          </w:tcPr>
          <w:p w:rsidR="0088724D" w:rsidRPr="009030A8" w:rsidRDefault="0088724D" w:rsidP="005D7B68">
            <w:pPr>
              <w:tabs>
                <w:tab w:val="left" w:pos="567"/>
                <w:tab w:val="left" w:pos="1134"/>
                <w:tab w:val="left" w:pos="1701"/>
                <w:tab w:val="left" w:pos="2268"/>
                <w:tab w:val="left" w:pos="2835"/>
              </w:tabs>
              <w:adjustRightInd w:val="0"/>
              <w:snapToGrid w:val="0"/>
              <w:spacing w:after="0"/>
              <w:rPr>
                <w:snapToGrid w:val="0"/>
                <w:szCs w:val="24"/>
                <w:lang w:val="fr-FR"/>
              </w:rPr>
            </w:pPr>
            <w:r w:rsidRPr="009030A8">
              <w:rPr>
                <w:snapToGrid w:val="0"/>
                <w:szCs w:val="24"/>
                <w:lang w:val="fr-FR"/>
              </w:rPr>
              <w:t>Iraq</w:t>
            </w:r>
          </w:p>
        </w:tc>
        <w:tc>
          <w:tcPr>
            <w:tcW w:w="4183" w:type="dxa"/>
          </w:tcPr>
          <w:p w:rsidR="0088724D" w:rsidRPr="009030A8"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lang w:val="fr-FR"/>
              </w:rPr>
            </w:pPr>
            <w:r w:rsidRPr="009030A8">
              <w:rPr>
                <w:snapToGrid w:val="0"/>
                <w:szCs w:val="24"/>
                <w:lang w:val="fr-FR"/>
              </w:rPr>
              <w:t>5 558</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sidRPr="009030A8">
              <w:rPr>
                <w:snapToGrid w:val="0"/>
                <w:szCs w:val="24"/>
                <w:lang w:val="fr-FR"/>
              </w:rPr>
              <w:t>Afgh</w:t>
            </w:r>
            <w:r w:rsidRPr="00796611">
              <w:rPr>
                <w:snapToGrid w:val="0"/>
                <w:szCs w:val="24"/>
              </w:rPr>
              <w:t>anistan</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4 260</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Inde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3 767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Sri Lanka</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3 057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Philippines</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2 721</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sidRPr="00796611">
              <w:rPr>
                <w:snapToGrid w:val="0"/>
                <w:szCs w:val="24"/>
              </w:rPr>
              <w:t>Fi</w:t>
            </w:r>
            <w:r>
              <w:rPr>
                <w:snapToGrid w:val="0"/>
                <w:szCs w:val="24"/>
              </w:rPr>
              <w:t>d</w:t>
            </w:r>
            <w:r w:rsidRPr="00796611">
              <w:rPr>
                <w:snapToGrid w:val="0"/>
                <w:szCs w:val="24"/>
              </w:rPr>
              <w:t>ji</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2 448</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Iran</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1 807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Malaisie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1 647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Corée, République de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1 604</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Thaï</w:t>
            </w:r>
            <w:r w:rsidRPr="00796611">
              <w:rPr>
                <w:snapToGrid w:val="0"/>
                <w:szCs w:val="24"/>
              </w:rPr>
              <w:t>land</w:t>
            </w:r>
            <w:r>
              <w:rPr>
                <w:snapToGrid w:val="0"/>
                <w:szCs w:val="24"/>
              </w:rPr>
              <w:t>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1 412</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Bangladesh</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1 383</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Pakistan</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966</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Colombie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900</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Liban</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886</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Viet Nam</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813</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Turquie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807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Fédé</w:t>
            </w:r>
            <w:r w:rsidRPr="00796611">
              <w:rPr>
                <w:snapToGrid w:val="0"/>
                <w:szCs w:val="24"/>
              </w:rPr>
              <w:t>ration</w:t>
            </w:r>
            <w:r>
              <w:rPr>
                <w:snapToGrid w:val="0"/>
                <w:szCs w:val="24"/>
              </w:rPr>
              <w:t xml:space="preserve"> de Russie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631</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Né</w:t>
            </w:r>
            <w:r w:rsidRPr="00796611">
              <w:rPr>
                <w:snapToGrid w:val="0"/>
                <w:szCs w:val="24"/>
              </w:rPr>
              <w:t>pal</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573</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Apatrides</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559</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Myanmar</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537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É</w:t>
            </w:r>
            <w:r w:rsidRPr="00796611">
              <w:rPr>
                <w:snapToGrid w:val="0"/>
                <w:szCs w:val="24"/>
              </w:rPr>
              <w:t>gypt</w:t>
            </w:r>
            <w:r>
              <w:rPr>
                <w:snapToGrid w:val="0"/>
                <w:szCs w:val="24"/>
              </w:rPr>
              <w:t>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499</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Ex-</w:t>
            </w:r>
            <w:r w:rsidRPr="00796611">
              <w:rPr>
                <w:snapToGrid w:val="0"/>
                <w:szCs w:val="24"/>
              </w:rPr>
              <w:t>Y</w:t>
            </w:r>
            <w:r>
              <w:rPr>
                <w:snapToGrid w:val="0"/>
                <w:szCs w:val="24"/>
              </w:rPr>
              <w:t>o</w:t>
            </w:r>
            <w:r w:rsidRPr="00796611">
              <w:rPr>
                <w:snapToGrid w:val="0"/>
                <w:szCs w:val="24"/>
              </w:rPr>
              <w:t>ugoslavi</w:t>
            </w:r>
            <w:r>
              <w:rPr>
                <w:snapToGrid w:val="0"/>
                <w:szCs w:val="24"/>
              </w:rPr>
              <w:t>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488</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Ukraine</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485</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Tonga</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398</w:t>
            </w:r>
          </w:p>
        </w:tc>
      </w:tr>
      <w:tr w:rsidR="0088724D" w:rsidRPr="00796611" w:rsidTr="00D4407B">
        <w:trPr>
          <w:gridAfter w:val="1"/>
          <w:wAfter w:w="45" w:type="dxa"/>
          <w:jc w:val="center"/>
        </w:trPr>
        <w:tc>
          <w:tcPr>
            <w:tcW w:w="4235" w:type="dxa"/>
          </w:tcPr>
          <w:p w:rsidR="0088724D" w:rsidRPr="005245F8" w:rsidRDefault="0088724D" w:rsidP="005D7B68">
            <w:pPr>
              <w:tabs>
                <w:tab w:val="left" w:pos="567"/>
                <w:tab w:val="left" w:pos="1134"/>
                <w:tab w:val="left" w:pos="1701"/>
                <w:tab w:val="left" w:pos="2268"/>
                <w:tab w:val="left" w:pos="2835"/>
              </w:tabs>
              <w:adjustRightInd w:val="0"/>
              <w:snapToGrid w:val="0"/>
              <w:spacing w:after="0"/>
              <w:rPr>
                <w:snapToGrid w:val="0"/>
                <w:szCs w:val="24"/>
                <w:lang w:val="fr-FR"/>
              </w:rPr>
            </w:pPr>
            <w:r w:rsidRPr="005245F8">
              <w:rPr>
                <w:snapToGrid w:val="0"/>
                <w:szCs w:val="24"/>
                <w:lang w:val="fr-FR"/>
              </w:rPr>
              <w:t>Ex-République yougoslave de Macédo</w:t>
            </w:r>
            <w:r>
              <w:rPr>
                <w:snapToGrid w:val="0"/>
                <w:szCs w:val="24"/>
                <w:lang w:val="fr-FR"/>
              </w:rPr>
              <w:t>ine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356</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Kampuchea</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353</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Albanie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309</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Algérie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303</w:t>
            </w:r>
          </w:p>
        </w:tc>
      </w:tr>
      <w:tr w:rsidR="0088724D" w:rsidRPr="00796611" w:rsidTr="00D4407B">
        <w:trPr>
          <w:gridAfter w:val="1"/>
          <w:wAfter w:w="45" w:type="dxa"/>
          <w:jc w:val="center"/>
        </w:trPr>
        <w:tc>
          <w:tcPr>
            <w:tcW w:w="4235" w:type="dxa"/>
          </w:tcPr>
          <w:p w:rsidR="0088724D" w:rsidRPr="00796611" w:rsidRDefault="004306E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Nigé</w:t>
            </w:r>
            <w:r w:rsidR="0088724D" w:rsidRPr="00796611">
              <w:rPr>
                <w:snapToGrid w:val="0"/>
                <w:szCs w:val="24"/>
              </w:rPr>
              <w:t>ria</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300</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sidRPr="00796611">
              <w:rPr>
                <w:snapToGrid w:val="0"/>
                <w:szCs w:val="24"/>
              </w:rPr>
              <w:t>Y</w:t>
            </w:r>
            <w:r>
              <w:rPr>
                <w:snapToGrid w:val="0"/>
                <w:szCs w:val="24"/>
              </w:rPr>
              <w:t>ougoslavie, République fédérale de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293</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Pérou</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285</w:t>
            </w:r>
          </w:p>
        </w:tc>
      </w:tr>
      <w:tr w:rsidR="0088724D" w:rsidRPr="00796611" w:rsidTr="00D4407B">
        <w:trPr>
          <w:gridAfter w:val="1"/>
          <w:wAfter w:w="45" w:type="dxa"/>
          <w:jc w:val="center"/>
        </w:trPr>
        <w:tc>
          <w:tcPr>
            <w:tcW w:w="4235" w:type="dxa"/>
          </w:tcPr>
          <w:p w:rsidR="0088724D" w:rsidRPr="00796611" w:rsidRDefault="004306E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Aut</w:t>
            </w:r>
            <w:r w:rsidR="0088724D">
              <w:rPr>
                <w:snapToGrid w:val="0"/>
                <w:szCs w:val="24"/>
              </w:rPr>
              <w:t>orité palestinienne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281</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Somalie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231</w:t>
            </w:r>
          </w:p>
        </w:tc>
      </w:tr>
      <w:tr w:rsidR="0088724D" w:rsidRPr="00796611" w:rsidTr="00D4407B">
        <w:trPr>
          <w:gridAfter w:val="1"/>
          <w:wAfter w:w="45" w:type="dxa"/>
          <w:jc w:val="center"/>
        </w:trPr>
        <w:tc>
          <w:tcPr>
            <w:tcW w:w="4235" w:type="dxa"/>
          </w:tcPr>
          <w:p w:rsidR="0088724D" w:rsidRPr="005245F8" w:rsidRDefault="0088724D" w:rsidP="005D7B68">
            <w:pPr>
              <w:tabs>
                <w:tab w:val="left" w:pos="567"/>
                <w:tab w:val="left" w:pos="1134"/>
                <w:tab w:val="left" w:pos="1701"/>
                <w:tab w:val="left" w:pos="2268"/>
                <w:tab w:val="left" w:pos="2835"/>
              </w:tabs>
              <w:adjustRightInd w:val="0"/>
              <w:snapToGrid w:val="0"/>
              <w:spacing w:after="0"/>
              <w:rPr>
                <w:snapToGrid w:val="0"/>
                <w:szCs w:val="24"/>
                <w:lang w:val="fr-FR"/>
              </w:rPr>
            </w:pPr>
            <w:r w:rsidRPr="005245F8">
              <w:rPr>
                <w:snapToGrid w:val="0"/>
                <w:szCs w:val="24"/>
                <w:lang w:val="fr-FR"/>
              </w:rPr>
              <w:t>Afrique du Sud, Républi</w:t>
            </w:r>
            <w:r>
              <w:rPr>
                <w:snapToGrid w:val="0"/>
                <w:szCs w:val="24"/>
                <w:lang w:val="fr-FR"/>
              </w:rPr>
              <w:t>que d’</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217</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Mongolie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209</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Syrie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200</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sidRPr="00796611">
              <w:rPr>
                <w:snapToGrid w:val="0"/>
                <w:szCs w:val="24"/>
              </w:rPr>
              <w:t>Jordan</w:t>
            </w:r>
            <w:r>
              <w:rPr>
                <w:snapToGrid w:val="0"/>
                <w:szCs w:val="24"/>
              </w:rPr>
              <w:t>ie</w:t>
            </w:r>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178</w:t>
            </w:r>
          </w:p>
        </w:tc>
      </w:tr>
      <w:tr w:rsidR="0088724D" w:rsidRPr="00796611" w:rsidTr="00D4407B">
        <w:trPr>
          <w:gridAfter w:val="1"/>
          <w:wAfter w:w="45" w:type="dxa"/>
          <w:jc w:val="center"/>
        </w:trPr>
        <w:tc>
          <w:tcPr>
            <w:tcW w:w="4235" w:type="dxa"/>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smartTag w:uri="urn:schemas-microsoft-com:office:smarttags" w:element="country-region">
              <w:smartTag w:uri="urn:schemas-microsoft-com:office:smarttags" w:element="place">
                <w:r w:rsidRPr="00796611">
                  <w:rPr>
                    <w:snapToGrid w:val="0"/>
                    <w:szCs w:val="24"/>
                  </w:rPr>
                  <w:t>Zimbabwe</w:t>
                </w:r>
              </w:smartTag>
            </w:smartTag>
          </w:p>
        </w:tc>
        <w:tc>
          <w:tcPr>
            <w:tcW w:w="4183" w:type="dxa"/>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175</w:t>
            </w:r>
          </w:p>
        </w:tc>
      </w:tr>
      <w:tr w:rsidR="0088724D" w:rsidRPr="00796611" w:rsidTr="00D4407B">
        <w:trPr>
          <w:gridAfter w:val="1"/>
          <w:wAfter w:w="45" w:type="dxa"/>
          <w:jc w:val="center"/>
        </w:trPr>
        <w:tc>
          <w:tcPr>
            <w:tcW w:w="4235" w:type="dxa"/>
            <w:tcBorders>
              <w:bottom w:val="single" w:sz="4" w:space="0" w:color="auto"/>
            </w:tcBorders>
          </w:tcPr>
          <w:p w:rsidR="0088724D" w:rsidRPr="00796611" w:rsidRDefault="0088724D" w:rsidP="005D7B68">
            <w:pPr>
              <w:tabs>
                <w:tab w:val="left" w:pos="567"/>
                <w:tab w:val="left" w:pos="1134"/>
                <w:tab w:val="left" w:pos="1701"/>
                <w:tab w:val="left" w:pos="2268"/>
                <w:tab w:val="left" w:pos="2835"/>
              </w:tabs>
              <w:adjustRightInd w:val="0"/>
              <w:snapToGrid w:val="0"/>
              <w:spacing w:after="0"/>
              <w:rPr>
                <w:snapToGrid w:val="0"/>
                <w:szCs w:val="24"/>
              </w:rPr>
            </w:pPr>
            <w:r>
              <w:rPr>
                <w:snapToGrid w:val="0"/>
                <w:szCs w:val="24"/>
              </w:rPr>
              <w:t>Autres</w:t>
            </w:r>
            <w:r w:rsidRPr="00796611">
              <w:rPr>
                <w:snapToGrid w:val="0"/>
                <w:szCs w:val="24"/>
              </w:rPr>
              <w:t xml:space="preserve"> (142)</w:t>
            </w:r>
          </w:p>
        </w:tc>
        <w:tc>
          <w:tcPr>
            <w:tcW w:w="4183" w:type="dxa"/>
            <w:tcBorders>
              <w:bottom w:val="single" w:sz="4" w:space="0" w:color="auto"/>
            </w:tcBorders>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4 714</w:t>
            </w:r>
          </w:p>
        </w:tc>
      </w:tr>
      <w:tr w:rsidR="0088724D" w:rsidRPr="00796611" w:rsidTr="00D4407B">
        <w:trPr>
          <w:gridAfter w:val="1"/>
          <w:wAfter w:w="45" w:type="dxa"/>
          <w:jc w:val="center"/>
        </w:trPr>
        <w:tc>
          <w:tcPr>
            <w:tcW w:w="4235" w:type="dxa"/>
            <w:tcBorders>
              <w:top w:val="single" w:sz="4" w:space="0" w:color="auto"/>
              <w:bottom w:val="single" w:sz="4" w:space="0" w:color="auto"/>
            </w:tcBorders>
          </w:tcPr>
          <w:p w:rsidR="0088724D" w:rsidRPr="00796611" w:rsidRDefault="004306ED" w:rsidP="005D7B68">
            <w:pPr>
              <w:tabs>
                <w:tab w:val="left" w:pos="381"/>
                <w:tab w:val="left" w:pos="567"/>
                <w:tab w:val="left" w:pos="1134"/>
                <w:tab w:val="left" w:pos="1701"/>
                <w:tab w:val="left" w:pos="2268"/>
                <w:tab w:val="left" w:pos="2835"/>
              </w:tabs>
              <w:adjustRightInd w:val="0"/>
              <w:snapToGrid w:val="0"/>
              <w:spacing w:after="0"/>
              <w:rPr>
                <w:snapToGrid w:val="0"/>
                <w:szCs w:val="24"/>
              </w:rPr>
            </w:pPr>
            <w:r>
              <w:rPr>
                <w:snapToGrid w:val="0"/>
                <w:szCs w:val="24"/>
              </w:rPr>
              <w:tab/>
            </w:r>
            <w:r w:rsidR="0088724D" w:rsidRPr="00796611">
              <w:rPr>
                <w:snapToGrid w:val="0"/>
                <w:szCs w:val="24"/>
              </w:rPr>
              <w:t>Total</w:t>
            </w:r>
          </w:p>
        </w:tc>
        <w:tc>
          <w:tcPr>
            <w:tcW w:w="4183" w:type="dxa"/>
            <w:tcBorders>
              <w:top w:val="single" w:sz="4" w:space="0" w:color="auto"/>
              <w:bottom w:val="single" w:sz="4" w:space="0" w:color="auto"/>
            </w:tcBorders>
          </w:tcPr>
          <w:p w:rsidR="0088724D" w:rsidRPr="00796611" w:rsidRDefault="0088724D" w:rsidP="005D7B68">
            <w:pPr>
              <w:tabs>
                <w:tab w:val="left" w:pos="-7185"/>
                <w:tab w:val="left" w:pos="567"/>
                <w:tab w:val="left" w:pos="1134"/>
                <w:tab w:val="left" w:pos="1701"/>
                <w:tab w:val="left" w:pos="2268"/>
                <w:tab w:val="left" w:pos="2835"/>
              </w:tabs>
              <w:adjustRightInd w:val="0"/>
              <w:snapToGrid w:val="0"/>
              <w:spacing w:after="0"/>
              <w:ind w:right="699"/>
              <w:jc w:val="right"/>
              <w:rPr>
                <w:snapToGrid w:val="0"/>
                <w:szCs w:val="24"/>
              </w:rPr>
            </w:pPr>
            <w:r w:rsidRPr="00796611">
              <w:rPr>
                <w:snapToGrid w:val="0"/>
                <w:szCs w:val="24"/>
              </w:rPr>
              <w:t>61 018</w:t>
            </w:r>
          </w:p>
        </w:tc>
      </w:tr>
    </w:tbl>
    <w:p w:rsidR="0088724D" w:rsidRDefault="0088724D" w:rsidP="005D7B68">
      <w:pPr>
        <w:tabs>
          <w:tab w:val="left" w:pos="567"/>
          <w:tab w:val="left" w:pos="1134"/>
          <w:tab w:val="left" w:pos="1701"/>
          <w:tab w:val="left" w:pos="2268"/>
          <w:tab w:val="left" w:pos="2835"/>
        </w:tabs>
        <w:spacing w:before="240" w:after="200"/>
        <w:rPr>
          <w:szCs w:val="24"/>
          <w:lang w:val="fr-FR"/>
        </w:rPr>
      </w:pPr>
      <w:r w:rsidRPr="0088724D">
        <w:rPr>
          <w:szCs w:val="24"/>
          <w:lang w:val="fr-FR"/>
        </w:rPr>
        <w:tab/>
      </w:r>
      <w:r w:rsidRPr="005245F8">
        <w:rPr>
          <w:szCs w:val="24"/>
          <w:lang w:val="fr-FR"/>
        </w:rPr>
        <w:t xml:space="preserve">La nationalité indiquée </w:t>
      </w:r>
      <w:r w:rsidR="00A04EB4">
        <w:rPr>
          <w:szCs w:val="24"/>
          <w:lang w:val="fr-FR"/>
        </w:rPr>
        <w:t>est celle déclarée par le</w:t>
      </w:r>
      <w:r w:rsidRPr="005245F8">
        <w:rPr>
          <w:szCs w:val="24"/>
          <w:lang w:val="fr-FR"/>
        </w:rPr>
        <w:t xml:space="preserve"> requérant.</w:t>
      </w:r>
    </w:p>
    <w:p w:rsidR="00F424BB" w:rsidRPr="005245F8" w:rsidRDefault="00E42058" w:rsidP="005D7B68">
      <w:pPr>
        <w:tabs>
          <w:tab w:val="left" w:pos="567"/>
          <w:tab w:val="left" w:pos="1134"/>
          <w:tab w:val="left" w:pos="1701"/>
          <w:tab w:val="left" w:pos="2268"/>
          <w:tab w:val="left" w:pos="2835"/>
        </w:tabs>
        <w:spacing w:before="240" w:after="200"/>
        <w:rPr>
          <w:szCs w:val="24"/>
          <w:lang w:val="fr-FR"/>
        </w:rPr>
      </w:pPr>
      <w:r>
        <w:rPr>
          <w:szCs w:val="24"/>
          <w:lang w:val="fr-FR"/>
        </w:rPr>
        <w:t>318</w:t>
      </w:r>
      <w:r w:rsidR="00ED60FD">
        <w:rPr>
          <w:szCs w:val="24"/>
          <w:lang w:val="fr-FR"/>
        </w:rPr>
        <w:t>.</w:t>
      </w:r>
      <w:r w:rsidR="00ED60FD">
        <w:rPr>
          <w:szCs w:val="24"/>
          <w:lang w:val="fr-FR"/>
        </w:rPr>
        <w:tab/>
        <w:t xml:space="preserve">Les </w:t>
      </w:r>
      <w:r w:rsidR="00F424BB">
        <w:rPr>
          <w:szCs w:val="24"/>
          <w:lang w:val="fr-FR"/>
        </w:rPr>
        <w:t>statistiques du Ministère de l’immigration et de la citoyenneté indiquent, au 13 juillet 2007, que 17 240 demandes initiales de visa de protection avaient été satisfaites pendant la période</w:t>
      </w:r>
      <w:r w:rsidR="00191036">
        <w:rPr>
          <w:szCs w:val="24"/>
          <w:lang w:val="fr-FR"/>
        </w:rPr>
        <w:t xml:space="preserve"> considérée</w:t>
      </w:r>
      <w:r w:rsidR="00F424BB">
        <w:rPr>
          <w:szCs w:val="24"/>
          <w:lang w:val="fr-FR"/>
        </w:rPr>
        <w:t xml:space="preserve"> (du</w:t>
      </w:r>
      <w:r w:rsidR="00F102AE">
        <w:rPr>
          <w:szCs w:val="24"/>
          <w:lang w:val="fr-FR"/>
        </w:rPr>
        <w:t xml:space="preserve"> </w:t>
      </w:r>
      <w:r w:rsidR="00F424BB">
        <w:rPr>
          <w:szCs w:val="24"/>
          <w:lang w:val="fr-FR"/>
        </w:rPr>
        <w:t>1</w:t>
      </w:r>
      <w:r w:rsidR="00F424BB" w:rsidRPr="00F424BB">
        <w:rPr>
          <w:szCs w:val="24"/>
          <w:vertAlign w:val="superscript"/>
          <w:lang w:val="fr-FR"/>
        </w:rPr>
        <w:t>er</w:t>
      </w:r>
      <w:r w:rsidR="00F424BB">
        <w:rPr>
          <w:szCs w:val="24"/>
          <w:lang w:val="fr-FR"/>
        </w:rPr>
        <w:t xml:space="preserve"> juin 1997 au 31 octobre 2004) à la suite de leur traitement</w:t>
      </w:r>
      <w:r w:rsidR="008D6B80">
        <w:rPr>
          <w:szCs w:val="24"/>
          <w:lang w:val="fr-FR"/>
        </w:rPr>
        <w:t xml:space="preserve">. </w:t>
      </w:r>
      <w:r w:rsidR="00F424BB">
        <w:rPr>
          <w:szCs w:val="24"/>
          <w:lang w:val="fr-FR"/>
        </w:rPr>
        <w:t>La ventilation par âge, sexe et</w:t>
      </w:r>
      <w:r w:rsidR="005C19C1">
        <w:rPr>
          <w:szCs w:val="24"/>
          <w:lang w:val="fr-FR"/>
        </w:rPr>
        <w:t xml:space="preserve"> nationalité est prés</w:t>
      </w:r>
      <w:r w:rsidR="003F5AE1">
        <w:rPr>
          <w:szCs w:val="24"/>
          <w:lang w:val="fr-FR"/>
        </w:rPr>
        <w:t>entée dans les tableaux ci-dessous</w:t>
      </w:r>
      <w:r w:rsidR="008D6B80">
        <w:rPr>
          <w:szCs w:val="24"/>
          <w:lang w:val="fr-FR"/>
        </w:rPr>
        <w:t xml:space="preserve">. </w:t>
      </w:r>
      <w:r w:rsidR="005C19C1">
        <w:rPr>
          <w:szCs w:val="24"/>
          <w:lang w:val="fr-FR"/>
        </w:rPr>
        <w:t>Veuil</w:t>
      </w:r>
      <w:r w:rsidR="008236C9">
        <w:rPr>
          <w:szCs w:val="24"/>
          <w:lang w:val="fr-FR"/>
        </w:rPr>
        <w:t>l</w:t>
      </w:r>
      <w:r w:rsidR="005C19C1">
        <w:rPr>
          <w:szCs w:val="24"/>
          <w:lang w:val="fr-FR"/>
        </w:rPr>
        <w:t>ez noter que</w:t>
      </w:r>
      <w:r w:rsidR="008236C9">
        <w:rPr>
          <w:szCs w:val="24"/>
          <w:lang w:val="fr-FR"/>
        </w:rPr>
        <w:t xml:space="preserve"> les immigrants clandestins arrivés en Australie après octobre 1999 n’ont le droit d’obtenir qu’un visa de protection</w:t>
      </w:r>
      <w:r w:rsidR="005C19C1">
        <w:rPr>
          <w:szCs w:val="24"/>
          <w:lang w:val="fr-FR"/>
        </w:rPr>
        <w:t xml:space="preserve"> </w:t>
      </w:r>
      <w:r w:rsidR="008236C9">
        <w:rPr>
          <w:szCs w:val="24"/>
          <w:lang w:val="fr-FR"/>
        </w:rPr>
        <w:t>temporaire, en un premier temps</w:t>
      </w:r>
      <w:r w:rsidR="008D6B80">
        <w:rPr>
          <w:szCs w:val="24"/>
          <w:lang w:val="fr-FR"/>
        </w:rPr>
        <w:t xml:space="preserve">. </w:t>
      </w:r>
      <w:r w:rsidR="008236C9">
        <w:rPr>
          <w:szCs w:val="24"/>
          <w:lang w:val="fr-FR"/>
        </w:rPr>
        <w:t>Les statistiques susmentionnées concernent l’octroi initial de visas de protection</w:t>
      </w:r>
      <w:r w:rsidR="008D6B80">
        <w:rPr>
          <w:szCs w:val="24"/>
          <w:lang w:val="fr-FR"/>
        </w:rPr>
        <w:t xml:space="preserve">. </w:t>
      </w:r>
      <w:r w:rsidR="008236C9">
        <w:rPr>
          <w:szCs w:val="24"/>
          <w:lang w:val="fr-FR"/>
        </w:rPr>
        <w:t>Elles ne tiennent pas compte</w:t>
      </w:r>
      <w:r w:rsidR="006366EF">
        <w:rPr>
          <w:szCs w:val="24"/>
          <w:lang w:val="fr-FR"/>
        </w:rPr>
        <w:t xml:space="preserve"> du deuxième visa de protection (permanent ou temporaire) qui est éventuellement octroyé.</w:t>
      </w:r>
    </w:p>
    <w:p w:rsidR="001F60FF" w:rsidRPr="000F03E8" w:rsidRDefault="001F60FF" w:rsidP="005D7B68">
      <w:pPr>
        <w:pStyle w:val="Heading2"/>
        <w:tabs>
          <w:tab w:val="left" w:pos="567"/>
          <w:tab w:val="left" w:pos="1134"/>
          <w:tab w:val="left" w:pos="1701"/>
          <w:tab w:val="left" w:pos="2268"/>
          <w:tab w:val="left" w:pos="2835"/>
        </w:tabs>
        <w:rPr>
          <w:lang w:val="fr-FR"/>
        </w:rPr>
      </w:pPr>
      <w:bookmarkStart w:id="9" w:name="_Toc193614078"/>
      <w:r w:rsidRPr="000F03E8">
        <w:rPr>
          <w:lang w:val="fr-FR"/>
        </w:rPr>
        <w:t>Visas de protection initiaux octroyés entre le 1er juin 1997</w:t>
      </w:r>
      <w:r w:rsidR="004306ED">
        <w:rPr>
          <w:lang w:val="fr-FR"/>
        </w:rPr>
        <w:br/>
      </w:r>
      <w:r>
        <w:rPr>
          <w:lang w:val="fr-FR"/>
        </w:rPr>
        <w:t>et le 31 octobre 2004</w:t>
      </w:r>
      <w:r w:rsidR="00ED60FD">
        <w:rPr>
          <w:lang w:val="fr-FR"/>
        </w:rPr>
        <w:t>,</w:t>
      </w:r>
      <w:r>
        <w:rPr>
          <w:lang w:val="fr-FR"/>
        </w:rPr>
        <w:t xml:space="preserve"> par âge</w:t>
      </w:r>
      <w:bookmarkEnd w:id="9"/>
    </w:p>
    <w:tbl>
      <w:tblPr>
        <w:tblW w:w="0" w:type="auto"/>
        <w:jc w:val="center"/>
        <w:tblInd w:w="-17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56"/>
        <w:gridCol w:w="3530"/>
      </w:tblGrid>
      <w:tr w:rsidR="001F60FF" w:rsidRPr="00032245">
        <w:trPr>
          <w:jc w:val="center"/>
        </w:trPr>
        <w:tc>
          <w:tcPr>
            <w:tcW w:w="4256" w:type="dxa"/>
            <w:tcBorders>
              <w:top w:val="single" w:sz="4" w:space="0" w:color="auto"/>
              <w:bottom w:val="single" w:sz="4" w:space="0" w:color="auto"/>
            </w:tcBorders>
            <w:vAlign w:val="center"/>
          </w:tcPr>
          <w:p w:rsidR="001F60FF" w:rsidRPr="00796611" w:rsidRDefault="001F60FF" w:rsidP="005D7B68">
            <w:pPr>
              <w:tabs>
                <w:tab w:val="left" w:pos="567"/>
                <w:tab w:val="left" w:pos="1134"/>
                <w:tab w:val="left" w:pos="1701"/>
                <w:tab w:val="left" w:pos="2268"/>
                <w:tab w:val="left" w:pos="2835"/>
              </w:tabs>
              <w:spacing w:before="20" w:after="20"/>
              <w:jc w:val="center"/>
            </w:pPr>
            <w:r>
              <w:t>Groupe d’âge des requérants</w:t>
            </w:r>
            <w:r w:rsidRPr="00796611">
              <w:t>*</w:t>
            </w:r>
          </w:p>
        </w:tc>
        <w:tc>
          <w:tcPr>
            <w:tcW w:w="3530" w:type="dxa"/>
            <w:tcBorders>
              <w:top w:val="single" w:sz="4" w:space="0" w:color="auto"/>
              <w:bottom w:val="single" w:sz="4" w:space="0" w:color="auto"/>
            </w:tcBorders>
          </w:tcPr>
          <w:p w:rsidR="001F60FF" w:rsidRPr="00032245" w:rsidRDefault="00032245" w:rsidP="005D7B68">
            <w:pPr>
              <w:tabs>
                <w:tab w:val="left" w:pos="567"/>
                <w:tab w:val="left" w:pos="1134"/>
                <w:tab w:val="left" w:pos="1701"/>
                <w:tab w:val="left" w:pos="2268"/>
                <w:tab w:val="left" w:pos="2835"/>
              </w:tabs>
              <w:spacing w:before="20" w:after="20"/>
              <w:jc w:val="center"/>
              <w:rPr>
                <w:lang w:val="fr-FR"/>
              </w:rPr>
            </w:pPr>
            <w:r w:rsidRPr="00032245">
              <w:rPr>
                <w:lang w:val="fr-FR"/>
              </w:rPr>
              <w:t>Nombre de v</w:t>
            </w:r>
            <w:r w:rsidR="001F60FF" w:rsidRPr="00032245">
              <w:rPr>
                <w:lang w:val="fr-FR"/>
              </w:rPr>
              <w:t>isas de protection octroyés</w:t>
            </w:r>
          </w:p>
        </w:tc>
      </w:tr>
      <w:tr w:rsidR="001F60FF" w:rsidRPr="00796611">
        <w:trPr>
          <w:jc w:val="center"/>
        </w:trPr>
        <w:tc>
          <w:tcPr>
            <w:tcW w:w="4256" w:type="dxa"/>
            <w:tcBorders>
              <w:top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pPr>
            <w:r>
              <w:t>0 à</w:t>
            </w:r>
            <w:r w:rsidRPr="00796611">
              <w:t xml:space="preserve"> 17</w:t>
            </w:r>
            <w:r>
              <w:t xml:space="preserve"> ans</w:t>
            </w:r>
          </w:p>
        </w:tc>
        <w:tc>
          <w:tcPr>
            <w:tcW w:w="3530" w:type="dxa"/>
            <w:tcBorders>
              <w:top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22"/>
              <w:jc w:val="right"/>
            </w:pPr>
            <w:r w:rsidRPr="00796611">
              <w:t>3 918</w:t>
            </w:r>
          </w:p>
        </w:tc>
      </w:tr>
      <w:tr w:rsidR="001F60FF" w:rsidRPr="00796611">
        <w:trPr>
          <w:jc w:val="center"/>
        </w:trPr>
        <w:tc>
          <w:tcPr>
            <w:tcW w:w="4256" w:type="dxa"/>
          </w:tcPr>
          <w:p w:rsidR="001F60FF" w:rsidRPr="00796611" w:rsidRDefault="001F60FF" w:rsidP="005D7B68">
            <w:pPr>
              <w:tabs>
                <w:tab w:val="left" w:pos="567"/>
                <w:tab w:val="left" w:pos="1134"/>
                <w:tab w:val="left" w:pos="1701"/>
                <w:tab w:val="left" w:pos="2268"/>
                <w:tab w:val="left" w:pos="2835"/>
              </w:tabs>
              <w:spacing w:before="20" w:after="20"/>
            </w:pPr>
            <w:r>
              <w:t>18 à</w:t>
            </w:r>
            <w:r w:rsidRPr="00796611">
              <w:t xml:space="preserve"> 30</w:t>
            </w:r>
            <w:r>
              <w:t xml:space="preserve"> ans</w:t>
            </w:r>
          </w:p>
        </w:tc>
        <w:tc>
          <w:tcPr>
            <w:tcW w:w="3530" w:type="dxa"/>
          </w:tcPr>
          <w:p w:rsidR="001F60FF" w:rsidRPr="00796611" w:rsidRDefault="001F60FF" w:rsidP="005D7B68">
            <w:pPr>
              <w:tabs>
                <w:tab w:val="left" w:pos="567"/>
                <w:tab w:val="left" w:pos="1134"/>
                <w:tab w:val="left" w:pos="1701"/>
                <w:tab w:val="left" w:pos="2268"/>
                <w:tab w:val="left" w:pos="2835"/>
              </w:tabs>
              <w:spacing w:before="20" w:after="20"/>
              <w:ind w:right="722"/>
              <w:jc w:val="right"/>
            </w:pPr>
            <w:r w:rsidRPr="00796611">
              <w:t>7 024</w:t>
            </w:r>
          </w:p>
        </w:tc>
      </w:tr>
      <w:tr w:rsidR="001F60FF" w:rsidRPr="00796611">
        <w:trPr>
          <w:jc w:val="center"/>
        </w:trPr>
        <w:tc>
          <w:tcPr>
            <w:tcW w:w="4256" w:type="dxa"/>
          </w:tcPr>
          <w:p w:rsidR="001F60FF" w:rsidRPr="00796611" w:rsidRDefault="001F60FF" w:rsidP="005D7B68">
            <w:pPr>
              <w:tabs>
                <w:tab w:val="left" w:pos="567"/>
                <w:tab w:val="left" w:pos="1134"/>
                <w:tab w:val="left" w:pos="1701"/>
                <w:tab w:val="left" w:pos="2268"/>
                <w:tab w:val="left" w:pos="2835"/>
              </w:tabs>
              <w:spacing w:before="20" w:after="20"/>
            </w:pPr>
            <w:r>
              <w:t>31 à</w:t>
            </w:r>
            <w:r w:rsidRPr="00796611">
              <w:t xml:space="preserve"> 60</w:t>
            </w:r>
            <w:r>
              <w:t xml:space="preserve"> ans</w:t>
            </w:r>
          </w:p>
        </w:tc>
        <w:tc>
          <w:tcPr>
            <w:tcW w:w="3530" w:type="dxa"/>
          </w:tcPr>
          <w:p w:rsidR="001F60FF" w:rsidRPr="00796611" w:rsidRDefault="001F60FF" w:rsidP="005D7B68">
            <w:pPr>
              <w:tabs>
                <w:tab w:val="left" w:pos="567"/>
                <w:tab w:val="left" w:pos="1134"/>
                <w:tab w:val="left" w:pos="1701"/>
                <w:tab w:val="left" w:pos="2268"/>
                <w:tab w:val="left" w:pos="2835"/>
              </w:tabs>
              <w:spacing w:before="20" w:after="20"/>
              <w:ind w:right="722"/>
              <w:jc w:val="right"/>
            </w:pPr>
            <w:r w:rsidRPr="00796611">
              <w:t>5 832</w:t>
            </w:r>
          </w:p>
        </w:tc>
      </w:tr>
      <w:tr w:rsidR="001F60FF" w:rsidRPr="00796611">
        <w:trPr>
          <w:jc w:val="center"/>
        </w:trPr>
        <w:tc>
          <w:tcPr>
            <w:tcW w:w="4256" w:type="dxa"/>
            <w:tcBorders>
              <w:bottom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pPr>
            <w:r>
              <w:t>61 ans et plus</w:t>
            </w:r>
          </w:p>
        </w:tc>
        <w:tc>
          <w:tcPr>
            <w:tcW w:w="3530" w:type="dxa"/>
            <w:tcBorders>
              <w:bottom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22"/>
              <w:jc w:val="right"/>
            </w:pPr>
            <w:r w:rsidRPr="00796611">
              <w:t>466</w:t>
            </w:r>
          </w:p>
        </w:tc>
      </w:tr>
      <w:tr w:rsidR="001F60FF" w:rsidRPr="00796611">
        <w:trPr>
          <w:jc w:val="center"/>
        </w:trPr>
        <w:tc>
          <w:tcPr>
            <w:tcW w:w="4256" w:type="dxa"/>
            <w:tcBorders>
              <w:top w:val="single" w:sz="4" w:space="0" w:color="auto"/>
              <w:bottom w:val="single" w:sz="4" w:space="0" w:color="auto"/>
            </w:tcBorders>
          </w:tcPr>
          <w:p w:rsidR="001F60FF" w:rsidRPr="00796611" w:rsidRDefault="003953DC" w:rsidP="005D7B68">
            <w:pPr>
              <w:tabs>
                <w:tab w:val="left" w:pos="381"/>
                <w:tab w:val="left" w:pos="567"/>
                <w:tab w:val="left" w:pos="1134"/>
                <w:tab w:val="left" w:pos="1701"/>
                <w:tab w:val="left" w:pos="2268"/>
                <w:tab w:val="left" w:pos="2835"/>
              </w:tabs>
              <w:adjustRightInd w:val="0"/>
              <w:snapToGrid w:val="0"/>
              <w:spacing w:after="0"/>
            </w:pPr>
            <w:r>
              <w:tab/>
            </w:r>
            <w:r w:rsidR="001F60FF" w:rsidRPr="00796611">
              <w:t>Total</w:t>
            </w:r>
          </w:p>
        </w:tc>
        <w:tc>
          <w:tcPr>
            <w:tcW w:w="3530" w:type="dxa"/>
            <w:tcBorders>
              <w:top w:val="single" w:sz="4" w:space="0" w:color="auto"/>
              <w:bottom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22"/>
              <w:jc w:val="right"/>
            </w:pPr>
            <w:r w:rsidRPr="00796611">
              <w:t>17 240</w:t>
            </w:r>
          </w:p>
        </w:tc>
      </w:tr>
    </w:tbl>
    <w:p w:rsidR="001F60FF" w:rsidRPr="000F03E8" w:rsidRDefault="001F60FF" w:rsidP="005D7B68">
      <w:pPr>
        <w:tabs>
          <w:tab w:val="left" w:pos="567"/>
          <w:tab w:val="left" w:pos="646"/>
          <w:tab w:val="left" w:pos="1134"/>
          <w:tab w:val="left" w:pos="1701"/>
          <w:tab w:val="left" w:pos="2268"/>
          <w:tab w:val="left" w:pos="2835"/>
        </w:tabs>
        <w:spacing w:before="240" w:after="360"/>
        <w:rPr>
          <w:lang w:val="fr-FR"/>
        </w:rPr>
      </w:pPr>
      <w:r w:rsidRPr="000F03E8">
        <w:rPr>
          <w:lang w:val="fr-FR"/>
        </w:rPr>
        <w:tab/>
      </w:r>
      <w:r w:rsidRPr="000F03E8">
        <w:rPr>
          <w:lang w:val="fr-FR"/>
        </w:rPr>
        <w:tab/>
        <w:t>*</w:t>
      </w:r>
      <w:r w:rsidR="00572260">
        <w:rPr>
          <w:lang w:val="fr-FR"/>
        </w:rPr>
        <w:t xml:space="preserve"> </w:t>
      </w:r>
      <w:r w:rsidRPr="000F03E8">
        <w:rPr>
          <w:lang w:val="fr-FR"/>
        </w:rPr>
        <w:t>Âge au moment du dépôt de la demande.</w:t>
      </w:r>
    </w:p>
    <w:p w:rsidR="001F60FF" w:rsidRPr="000F03E8" w:rsidRDefault="001F60FF" w:rsidP="005D7B68">
      <w:pPr>
        <w:pStyle w:val="Heading2"/>
        <w:tabs>
          <w:tab w:val="left" w:pos="567"/>
          <w:tab w:val="left" w:pos="1134"/>
          <w:tab w:val="left" w:pos="1701"/>
          <w:tab w:val="left" w:pos="2268"/>
          <w:tab w:val="left" w:pos="2835"/>
        </w:tabs>
        <w:rPr>
          <w:lang w:val="fr-FR"/>
        </w:rPr>
      </w:pPr>
      <w:bookmarkStart w:id="10" w:name="_Toc193614079"/>
      <w:r w:rsidRPr="000F03E8">
        <w:rPr>
          <w:lang w:val="fr-FR"/>
        </w:rPr>
        <w:t xml:space="preserve">Visas de protection initiaux octroyés entre le </w:t>
      </w:r>
      <w:r>
        <w:rPr>
          <w:lang w:val="fr-FR"/>
        </w:rPr>
        <w:t>1er juin 1997 et le 31 octobre</w:t>
      </w:r>
      <w:r w:rsidRPr="000F03E8">
        <w:rPr>
          <w:lang w:val="fr-FR"/>
        </w:rPr>
        <w:t xml:space="preserve"> 2004 </w:t>
      </w:r>
      <w:r w:rsidRPr="000F03E8">
        <w:rPr>
          <w:lang w:val="fr-FR"/>
        </w:rPr>
        <w:br/>
      </w:r>
      <w:r>
        <w:rPr>
          <w:lang w:val="fr-FR"/>
        </w:rPr>
        <w:t>par sexe</w:t>
      </w:r>
      <w:bookmarkEnd w:id="10"/>
    </w:p>
    <w:tbl>
      <w:tblPr>
        <w:tblW w:w="0" w:type="auto"/>
        <w:tblInd w:w="828" w:type="dxa"/>
        <w:tblLook w:val="01E0" w:firstRow="1" w:lastRow="1" w:firstColumn="1" w:lastColumn="1" w:noHBand="0" w:noVBand="0"/>
      </w:tblPr>
      <w:tblGrid>
        <w:gridCol w:w="4320"/>
        <w:gridCol w:w="3527"/>
      </w:tblGrid>
      <w:tr w:rsidR="001F60FF" w:rsidRPr="00032245">
        <w:tc>
          <w:tcPr>
            <w:tcW w:w="4320" w:type="dxa"/>
            <w:tcBorders>
              <w:top w:val="single" w:sz="4" w:space="0" w:color="auto"/>
              <w:left w:val="single" w:sz="4" w:space="0" w:color="auto"/>
              <w:bottom w:val="single" w:sz="4" w:space="0" w:color="auto"/>
              <w:right w:val="single" w:sz="4" w:space="0" w:color="auto"/>
            </w:tcBorders>
            <w:vAlign w:val="center"/>
          </w:tcPr>
          <w:p w:rsidR="001F60FF" w:rsidRPr="00796611" w:rsidRDefault="001F60FF" w:rsidP="005D7B68">
            <w:pPr>
              <w:tabs>
                <w:tab w:val="left" w:pos="567"/>
                <w:tab w:val="left" w:pos="1134"/>
                <w:tab w:val="left" w:pos="1701"/>
                <w:tab w:val="left" w:pos="2268"/>
                <w:tab w:val="left" w:pos="2835"/>
              </w:tabs>
              <w:spacing w:before="20" w:after="20"/>
              <w:jc w:val="center"/>
            </w:pPr>
            <w:r>
              <w:t>Sexe</w:t>
            </w:r>
          </w:p>
        </w:tc>
        <w:tc>
          <w:tcPr>
            <w:tcW w:w="3527" w:type="dxa"/>
            <w:tcBorders>
              <w:top w:val="single" w:sz="4" w:space="0" w:color="auto"/>
              <w:left w:val="single" w:sz="4" w:space="0" w:color="auto"/>
              <w:bottom w:val="single" w:sz="4" w:space="0" w:color="auto"/>
              <w:right w:val="single" w:sz="4" w:space="0" w:color="auto"/>
            </w:tcBorders>
          </w:tcPr>
          <w:p w:rsidR="001F60FF" w:rsidRPr="00032245" w:rsidRDefault="00032245" w:rsidP="005D7B68">
            <w:pPr>
              <w:tabs>
                <w:tab w:val="left" w:pos="567"/>
                <w:tab w:val="left" w:pos="1134"/>
                <w:tab w:val="left" w:pos="1701"/>
                <w:tab w:val="left" w:pos="2268"/>
                <w:tab w:val="left" w:pos="2835"/>
              </w:tabs>
              <w:spacing w:before="20" w:after="20"/>
              <w:jc w:val="center"/>
              <w:rPr>
                <w:lang w:val="fr-FR"/>
              </w:rPr>
            </w:pPr>
            <w:r w:rsidRPr="00032245">
              <w:rPr>
                <w:lang w:val="fr-FR"/>
              </w:rPr>
              <w:t>Nombre de v</w:t>
            </w:r>
            <w:r w:rsidR="001F60FF" w:rsidRPr="00032245">
              <w:rPr>
                <w:lang w:val="fr-FR"/>
              </w:rPr>
              <w:t>isas de protection octroyés</w:t>
            </w:r>
          </w:p>
        </w:tc>
      </w:tr>
      <w:tr w:rsidR="001F60FF" w:rsidRPr="00796611">
        <w:tc>
          <w:tcPr>
            <w:tcW w:w="4320" w:type="dxa"/>
            <w:tcBorders>
              <w:left w:val="single" w:sz="4" w:space="0" w:color="auto"/>
              <w:bottom w:val="nil"/>
              <w:right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pPr>
            <w:r>
              <w:t>Hommes</w:t>
            </w:r>
          </w:p>
        </w:tc>
        <w:tc>
          <w:tcPr>
            <w:tcW w:w="3527" w:type="dxa"/>
            <w:tcBorders>
              <w:left w:val="single" w:sz="4" w:space="0" w:color="auto"/>
              <w:bottom w:val="nil"/>
              <w:right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19"/>
              <w:jc w:val="right"/>
            </w:pPr>
            <w:r w:rsidRPr="00796611">
              <w:t>12 557</w:t>
            </w:r>
          </w:p>
        </w:tc>
      </w:tr>
      <w:tr w:rsidR="001F60FF" w:rsidRPr="00796611">
        <w:tc>
          <w:tcPr>
            <w:tcW w:w="4320" w:type="dxa"/>
            <w:tcBorders>
              <w:top w:val="nil"/>
              <w:left w:val="single" w:sz="4" w:space="0" w:color="auto"/>
              <w:bottom w:val="single" w:sz="4" w:space="0" w:color="auto"/>
              <w:right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pPr>
            <w:r>
              <w:t>Femmes</w:t>
            </w:r>
          </w:p>
        </w:tc>
        <w:tc>
          <w:tcPr>
            <w:tcW w:w="3527" w:type="dxa"/>
            <w:tcBorders>
              <w:top w:val="nil"/>
              <w:left w:val="single" w:sz="4" w:space="0" w:color="auto"/>
              <w:bottom w:val="single" w:sz="4" w:space="0" w:color="auto"/>
              <w:right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19"/>
              <w:jc w:val="right"/>
            </w:pPr>
            <w:r w:rsidRPr="00796611">
              <w:t>4 683</w:t>
            </w:r>
          </w:p>
        </w:tc>
      </w:tr>
      <w:tr w:rsidR="001F60FF" w:rsidRPr="00796611">
        <w:tc>
          <w:tcPr>
            <w:tcW w:w="4320" w:type="dxa"/>
            <w:tcBorders>
              <w:top w:val="single" w:sz="4" w:space="0" w:color="auto"/>
              <w:left w:val="single" w:sz="4" w:space="0" w:color="auto"/>
              <w:bottom w:val="single" w:sz="4" w:space="0" w:color="auto"/>
              <w:right w:val="single" w:sz="4" w:space="0" w:color="auto"/>
            </w:tcBorders>
          </w:tcPr>
          <w:p w:rsidR="001F60FF" w:rsidRPr="00796611" w:rsidRDefault="003953DC" w:rsidP="005D7B68">
            <w:pPr>
              <w:tabs>
                <w:tab w:val="left" w:pos="381"/>
                <w:tab w:val="left" w:pos="567"/>
                <w:tab w:val="left" w:pos="1134"/>
                <w:tab w:val="left" w:pos="1701"/>
                <w:tab w:val="left" w:pos="2268"/>
                <w:tab w:val="left" w:pos="2835"/>
              </w:tabs>
              <w:adjustRightInd w:val="0"/>
              <w:snapToGrid w:val="0"/>
              <w:spacing w:after="0"/>
            </w:pPr>
            <w:r>
              <w:tab/>
            </w:r>
            <w:r w:rsidR="001F60FF" w:rsidRPr="00796611">
              <w:t>Total</w:t>
            </w:r>
          </w:p>
        </w:tc>
        <w:tc>
          <w:tcPr>
            <w:tcW w:w="3527" w:type="dxa"/>
            <w:tcBorders>
              <w:top w:val="single" w:sz="4" w:space="0" w:color="auto"/>
              <w:left w:val="single" w:sz="4" w:space="0" w:color="auto"/>
              <w:bottom w:val="single" w:sz="4" w:space="0" w:color="auto"/>
              <w:right w:val="single" w:sz="4" w:space="0" w:color="auto"/>
            </w:tcBorders>
          </w:tcPr>
          <w:p w:rsidR="001F60FF" w:rsidRPr="00796611" w:rsidRDefault="001F60FF" w:rsidP="005D7B68">
            <w:pPr>
              <w:tabs>
                <w:tab w:val="left" w:pos="567"/>
                <w:tab w:val="left" w:pos="1134"/>
                <w:tab w:val="left" w:pos="1701"/>
                <w:tab w:val="left" w:pos="2268"/>
                <w:tab w:val="left" w:pos="2835"/>
              </w:tabs>
              <w:spacing w:before="20" w:after="20"/>
              <w:ind w:right="719"/>
              <w:jc w:val="right"/>
            </w:pPr>
            <w:r w:rsidRPr="00796611">
              <w:t>17 240</w:t>
            </w:r>
          </w:p>
        </w:tc>
      </w:tr>
    </w:tbl>
    <w:p w:rsidR="003D7573" w:rsidRPr="0005101F" w:rsidRDefault="001E72F4" w:rsidP="005D7B68">
      <w:pPr>
        <w:keepNext/>
        <w:tabs>
          <w:tab w:val="left" w:pos="567"/>
          <w:tab w:val="left" w:pos="1134"/>
          <w:tab w:val="left" w:pos="1701"/>
          <w:tab w:val="left" w:pos="2268"/>
          <w:tab w:val="left" w:pos="2835"/>
        </w:tabs>
        <w:spacing w:before="120"/>
        <w:jc w:val="center"/>
        <w:rPr>
          <w:b/>
          <w:bCs/>
          <w:lang w:val="fr-FR"/>
        </w:rPr>
      </w:pPr>
      <w:bookmarkStart w:id="11" w:name="_Toc193614080"/>
      <w:r w:rsidRPr="0005101F">
        <w:rPr>
          <w:b/>
          <w:bCs/>
          <w:lang w:val="fr-FR"/>
        </w:rPr>
        <w:t>Visas de protection octroyés entre le 1er juin 1997 et le 31 octobre</w:t>
      </w:r>
      <w:r w:rsidR="003D7573" w:rsidRPr="0005101F">
        <w:rPr>
          <w:b/>
          <w:bCs/>
          <w:lang w:val="fr-FR"/>
        </w:rPr>
        <w:t xml:space="preserve"> 2004</w:t>
      </w:r>
      <w:r w:rsidR="00ED60FD" w:rsidRPr="0005101F">
        <w:rPr>
          <w:b/>
          <w:bCs/>
          <w:lang w:val="fr-FR"/>
        </w:rPr>
        <w:t>,</w:t>
      </w:r>
      <w:r w:rsidR="00D3745A" w:rsidRPr="0005101F">
        <w:rPr>
          <w:b/>
          <w:bCs/>
          <w:lang w:val="fr-FR"/>
        </w:rPr>
        <w:br/>
        <w:t>par</w:t>
      </w:r>
      <w:r w:rsidRPr="0005101F">
        <w:rPr>
          <w:b/>
          <w:bCs/>
          <w:lang w:val="fr-FR"/>
        </w:rPr>
        <w:t xml:space="preserve"> nationali</w:t>
      </w:r>
      <w:r w:rsidR="00D3745A" w:rsidRPr="0005101F">
        <w:rPr>
          <w:b/>
          <w:bCs/>
          <w:lang w:val="fr-FR"/>
        </w:rPr>
        <w:t>té – 40 nationalités les plus représentées</w:t>
      </w:r>
      <w:bookmarkEnd w:id="11"/>
    </w:p>
    <w:tbl>
      <w:tblPr>
        <w:tblW w:w="0" w:type="auto"/>
        <w:tblInd w:w="84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52"/>
        <w:gridCol w:w="3573"/>
      </w:tblGrid>
      <w:tr w:rsidR="003D7573" w:rsidRPr="001E72F4">
        <w:trPr>
          <w:tblHeader/>
        </w:trPr>
        <w:tc>
          <w:tcPr>
            <w:tcW w:w="4252" w:type="dxa"/>
            <w:tcBorders>
              <w:top w:val="single" w:sz="4" w:space="0" w:color="auto"/>
              <w:bottom w:val="single" w:sz="4" w:space="0" w:color="auto"/>
            </w:tcBorders>
            <w:vAlign w:val="center"/>
          </w:tcPr>
          <w:p w:rsidR="003D7573" w:rsidRPr="00796611" w:rsidRDefault="001E72F4" w:rsidP="005D7B68">
            <w:pPr>
              <w:keepNext/>
              <w:tabs>
                <w:tab w:val="left" w:pos="567"/>
                <w:tab w:val="left" w:pos="1134"/>
                <w:tab w:val="left" w:pos="1701"/>
                <w:tab w:val="left" w:pos="2268"/>
                <w:tab w:val="left" w:pos="2835"/>
              </w:tabs>
              <w:adjustRightInd w:val="0"/>
              <w:snapToGrid w:val="0"/>
              <w:spacing w:after="0"/>
              <w:jc w:val="center"/>
              <w:rPr>
                <w:snapToGrid w:val="0"/>
              </w:rPr>
            </w:pPr>
            <w:r>
              <w:rPr>
                <w:snapToGrid w:val="0"/>
              </w:rPr>
              <w:t>Nationalité</w:t>
            </w:r>
          </w:p>
        </w:tc>
        <w:tc>
          <w:tcPr>
            <w:tcW w:w="3573" w:type="dxa"/>
            <w:tcBorders>
              <w:top w:val="single" w:sz="4" w:space="0" w:color="auto"/>
              <w:bottom w:val="single" w:sz="4" w:space="0" w:color="auto"/>
            </w:tcBorders>
          </w:tcPr>
          <w:p w:rsidR="003D7573" w:rsidRPr="001E72F4" w:rsidRDefault="001E72F4" w:rsidP="005D7B68">
            <w:pPr>
              <w:keepNext/>
              <w:tabs>
                <w:tab w:val="left" w:pos="567"/>
                <w:tab w:val="left" w:pos="1134"/>
                <w:tab w:val="left" w:pos="1701"/>
                <w:tab w:val="left" w:pos="2268"/>
                <w:tab w:val="left" w:pos="2835"/>
              </w:tabs>
              <w:adjustRightInd w:val="0"/>
              <w:snapToGrid w:val="0"/>
              <w:spacing w:after="0"/>
              <w:jc w:val="center"/>
              <w:rPr>
                <w:snapToGrid w:val="0"/>
                <w:lang w:val="fr-FR"/>
              </w:rPr>
            </w:pPr>
            <w:r w:rsidRPr="001E72F4">
              <w:rPr>
                <w:snapToGrid w:val="0"/>
                <w:lang w:val="fr-FR"/>
              </w:rPr>
              <w:t>Nombre de visas de protection octroyés</w:t>
            </w:r>
          </w:p>
        </w:tc>
      </w:tr>
      <w:tr w:rsidR="003D7573" w:rsidRPr="00796611">
        <w:tc>
          <w:tcPr>
            <w:tcW w:w="4252" w:type="dxa"/>
            <w:tcBorders>
              <w:top w:val="single" w:sz="4" w:space="0" w:color="auto"/>
            </w:tcBorders>
          </w:tcPr>
          <w:p w:rsidR="003D7573" w:rsidRPr="00796611" w:rsidRDefault="003D7573" w:rsidP="005D7B68">
            <w:pPr>
              <w:keepNext/>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Iraq</w:t>
                </w:r>
              </w:smartTag>
            </w:smartTag>
          </w:p>
        </w:tc>
        <w:tc>
          <w:tcPr>
            <w:tcW w:w="3573" w:type="dxa"/>
            <w:tcBorders>
              <w:top w:val="single" w:sz="4" w:space="0" w:color="auto"/>
            </w:tcBorders>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5 425</w:t>
            </w:r>
          </w:p>
        </w:tc>
      </w:tr>
      <w:tr w:rsidR="003D7573" w:rsidRPr="00796611">
        <w:tc>
          <w:tcPr>
            <w:tcW w:w="4252" w:type="dxa"/>
          </w:tcPr>
          <w:p w:rsidR="003D7573" w:rsidRPr="00796611" w:rsidRDefault="003D7573" w:rsidP="005D7B68">
            <w:pPr>
              <w:keepNext/>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Afghanistan</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3 976</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Sri Lanka</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1 287</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Iran</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1 115</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Apatrides</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438</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Tur</w:t>
            </w:r>
            <w:r w:rsidR="001E72F4">
              <w:rPr>
                <w:snapToGrid w:val="0"/>
              </w:rPr>
              <w:t>quie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427</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Chine (République populaire de</w:t>
            </w:r>
            <w:r w:rsidR="003D7573" w:rsidRPr="00796611">
              <w:rPr>
                <w:snapToGrid w:val="0"/>
              </w:rPr>
              <w:t>)</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402</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Myanmar</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394</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Colombi</w:t>
            </w:r>
            <w:r w:rsidR="001E72F4">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279</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Fédé</w:t>
            </w:r>
            <w:r w:rsidR="003D7573" w:rsidRPr="00796611">
              <w:rPr>
                <w:snapToGrid w:val="0"/>
              </w:rPr>
              <w:t>ration</w:t>
            </w:r>
            <w:r>
              <w:rPr>
                <w:snapToGrid w:val="0"/>
              </w:rPr>
              <w:t xml:space="preserve"> de Russie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232</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Pakistan</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226</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Algé</w:t>
            </w:r>
            <w:r w:rsidR="003D7573" w:rsidRPr="00796611">
              <w:rPr>
                <w:snapToGrid w:val="0"/>
              </w:rPr>
              <w:t>ri</w:t>
            </w:r>
            <w:r>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220</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Ex-</w:t>
            </w:r>
            <w:r w:rsidR="003D7573" w:rsidRPr="00796611">
              <w:rPr>
                <w:snapToGrid w:val="0"/>
              </w:rPr>
              <w:t>Y</w:t>
            </w:r>
            <w:r>
              <w:rPr>
                <w:snapToGrid w:val="0"/>
              </w:rPr>
              <w:t>o</w:t>
            </w:r>
            <w:r w:rsidR="003D7573" w:rsidRPr="00796611">
              <w:rPr>
                <w:snapToGrid w:val="0"/>
              </w:rPr>
              <w:t>ugoslavi</w:t>
            </w:r>
            <w:r>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206</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Somali</w:t>
            </w:r>
            <w:r w:rsidR="001E72F4">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198</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É</w:t>
            </w:r>
            <w:r w:rsidR="003D7573" w:rsidRPr="00796611">
              <w:rPr>
                <w:snapToGrid w:val="0"/>
              </w:rPr>
              <w:t>gypt</w:t>
            </w:r>
            <w:r>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163</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L</w:t>
            </w:r>
            <w:r w:rsidR="001E72F4">
              <w:rPr>
                <w:snapToGrid w:val="0"/>
              </w:rPr>
              <w:t>iban</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152</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Indoné</w:t>
            </w:r>
            <w:r w:rsidR="003D7573" w:rsidRPr="00796611">
              <w:rPr>
                <w:snapToGrid w:val="0"/>
              </w:rPr>
              <w:t>si</w:t>
            </w:r>
            <w:r>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139</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Aut</w:t>
            </w:r>
            <w:r w:rsidR="001E72F4">
              <w:rPr>
                <w:snapToGrid w:val="0"/>
              </w:rPr>
              <w:t>orité palestinienne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134</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Y</w:t>
            </w:r>
            <w:r w:rsidR="001E72F4">
              <w:rPr>
                <w:snapToGrid w:val="0"/>
              </w:rPr>
              <w:t>ougoslavie, Ré</w:t>
            </w:r>
            <w:r w:rsidRPr="00796611">
              <w:rPr>
                <w:snapToGrid w:val="0"/>
              </w:rPr>
              <w:t>publi</w:t>
            </w:r>
            <w:r w:rsidR="001E72F4">
              <w:rPr>
                <w:snapToGrid w:val="0"/>
              </w:rPr>
              <w:t>que fédérale de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133</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Koweï</w:t>
            </w:r>
            <w:r w:rsidR="003D7573" w:rsidRPr="00796611">
              <w:rPr>
                <w:snapToGrid w:val="0"/>
              </w:rPr>
              <w:t>t</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98</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Bangladesh</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88</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Inde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88</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Syri</w:t>
            </w:r>
            <w:r w:rsidR="001E72F4">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68</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Zimbabwe</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67</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É</w:t>
            </w:r>
            <w:r w:rsidR="003D7573" w:rsidRPr="00796611">
              <w:rPr>
                <w:snapToGrid w:val="0"/>
              </w:rPr>
              <w:t>thiopi</w:t>
            </w:r>
            <w:r>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67</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Kampuchea</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65</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Ukraine</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63</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S</w:t>
            </w:r>
            <w:r w:rsidR="001E72F4">
              <w:rPr>
                <w:snapToGrid w:val="0"/>
              </w:rPr>
              <w:t>o</w:t>
            </w:r>
            <w:r w:rsidRPr="00796611">
              <w:rPr>
                <w:snapToGrid w:val="0"/>
              </w:rPr>
              <w:t>udan</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62</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Jordan</w:t>
            </w:r>
            <w:r w:rsidR="001E72F4">
              <w:rPr>
                <w:snapToGrid w:val="0"/>
              </w:rPr>
              <w:t>ie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59</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Nigeria</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49</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r w:rsidRPr="00796611">
              <w:rPr>
                <w:snapToGrid w:val="0"/>
              </w:rPr>
              <w:t>Albani</w:t>
            </w:r>
            <w:r w:rsidR="001E72F4">
              <w:rPr>
                <w:snapToGrid w:val="0"/>
              </w:rPr>
              <w:t>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47</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URSS</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46</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Viet Nam</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42</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Né</w:t>
            </w:r>
            <w:r w:rsidR="003D7573" w:rsidRPr="00796611">
              <w:rPr>
                <w:snapToGrid w:val="0"/>
              </w:rPr>
              <w:t>pal</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37</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Pérou</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36</w:t>
            </w:r>
          </w:p>
        </w:tc>
      </w:tr>
      <w:tr w:rsidR="003D7573" w:rsidRPr="00796611">
        <w:tc>
          <w:tcPr>
            <w:tcW w:w="4252" w:type="dxa"/>
          </w:tcPr>
          <w:p w:rsidR="003D7573" w:rsidRPr="00796611" w:rsidRDefault="003953DC" w:rsidP="005D7B68">
            <w:pPr>
              <w:tabs>
                <w:tab w:val="left" w:pos="567"/>
                <w:tab w:val="left" w:pos="1134"/>
                <w:tab w:val="left" w:pos="1701"/>
                <w:tab w:val="left" w:pos="2268"/>
                <w:tab w:val="left" w:pos="2835"/>
              </w:tabs>
              <w:adjustRightInd w:val="0"/>
              <w:snapToGrid w:val="0"/>
              <w:spacing w:after="0"/>
              <w:rPr>
                <w:snapToGrid w:val="0"/>
              </w:rPr>
            </w:pPr>
            <w:r>
              <w:rPr>
                <w:snapToGrid w:val="0"/>
              </w:rPr>
              <w:t>Î</w:t>
            </w:r>
            <w:r w:rsidR="001E72F4">
              <w:rPr>
                <w:snapToGrid w:val="0"/>
              </w:rPr>
              <w:t xml:space="preserve">les Salomon </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30</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Brés</w:t>
            </w:r>
            <w:r w:rsidR="003D7573" w:rsidRPr="00796611">
              <w:rPr>
                <w:snapToGrid w:val="0"/>
              </w:rPr>
              <w:t>il</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28</w:t>
            </w:r>
          </w:p>
        </w:tc>
      </w:tr>
      <w:tr w:rsidR="003D7573" w:rsidRPr="00796611">
        <w:tc>
          <w:tcPr>
            <w:tcW w:w="4252" w:type="dxa"/>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Bosnie-Herzégovine</w:t>
            </w:r>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27</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Belarus</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21</w:t>
            </w:r>
          </w:p>
        </w:tc>
      </w:tr>
      <w:tr w:rsidR="003D7573" w:rsidRPr="00796611">
        <w:tc>
          <w:tcPr>
            <w:tcW w:w="4252" w:type="dxa"/>
          </w:tcPr>
          <w:p w:rsidR="003D7573" w:rsidRPr="00796611" w:rsidRDefault="003D7573" w:rsidP="005D7B68">
            <w:pPr>
              <w:tabs>
                <w:tab w:val="left" w:pos="567"/>
                <w:tab w:val="left" w:pos="1134"/>
                <w:tab w:val="left" w:pos="1701"/>
                <w:tab w:val="left" w:pos="2268"/>
                <w:tab w:val="left" w:pos="2835"/>
              </w:tabs>
              <w:adjustRightInd w:val="0"/>
              <w:snapToGrid w:val="0"/>
              <w:spacing w:after="0"/>
              <w:rPr>
                <w:snapToGrid w:val="0"/>
              </w:rPr>
            </w:pPr>
            <w:smartTag w:uri="urn:schemas-microsoft-com:office:smarttags" w:element="place">
              <w:smartTag w:uri="urn:schemas-microsoft-com:office:smarttags" w:element="country-region">
                <w:r w:rsidRPr="00796611">
                  <w:rPr>
                    <w:snapToGrid w:val="0"/>
                  </w:rPr>
                  <w:t>Sierra Leone</w:t>
                </w:r>
              </w:smartTag>
            </w:smartTag>
          </w:p>
        </w:tc>
        <w:tc>
          <w:tcPr>
            <w:tcW w:w="3573" w:type="dxa"/>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20</w:t>
            </w:r>
          </w:p>
        </w:tc>
      </w:tr>
      <w:tr w:rsidR="003D7573" w:rsidRPr="00796611">
        <w:tc>
          <w:tcPr>
            <w:tcW w:w="4252" w:type="dxa"/>
            <w:tcBorders>
              <w:bottom w:val="single" w:sz="4" w:space="0" w:color="auto"/>
            </w:tcBorders>
          </w:tcPr>
          <w:p w:rsidR="003D7573" w:rsidRPr="00796611" w:rsidRDefault="001E72F4" w:rsidP="005D7B68">
            <w:pPr>
              <w:tabs>
                <w:tab w:val="left" w:pos="567"/>
                <w:tab w:val="left" w:pos="1134"/>
                <w:tab w:val="left" w:pos="1701"/>
                <w:tab w:val="left" w:pos="2268"/>
                <w:tab w:val="left" w:pos="2835"/>
              </w:tabs>
              <w:adjustRightInd w:val="0"/>
              <w:snapToGrid w:val="0"/>
              <w:spacing w:after="0"/>
              <w:rPr>
                <w:snapToGrid w:val="0"/>
              </w:rPr>
            </w:pPr>
            <w:r>
              <w:rPr>
                <w:snapToGrid w:val="0"/>
              </w:rPr>
              <w:t>Autres</w:t>
            </w:r>
            <w:r w:rsidR="003953DC">
              <w:rPr>
                <w:snapToGrid w:val="0"/>
              </w:rPr>
              <w:t xml:space="preserve"> </w:t>
            </w:r>
            <w:r w:rsidR="003D7573" w:rsidRPr="00796611">
              <w:rPr>
                <w:snapToGrid w:val="0"/>
              </w:rPr>
              <w:t>(86)</w:t>
            </w:r>
          </w:p>
        </w:tc>
        <w:tc>
          <w:tcPr>
            <w:tcW w:w="3573" w:type="dxa"/>
            <w:tcBorders>
              <w:bottom w:val="single" w:sz="4" w:space="0" w:color="auto"/>
            </w:tcBorders>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586</w:t>
            </w:r>
          </w:p>
        </w:tc>
      </w:tr>
      <w:tr w:rsidR="003D7573" w:rsidRPr="00796611">
        <w:tc>
          <w:tcPr>
            <w:tcW w:w="4252" w:type="dxa"/>
            <w:tcBorders>
              <w:top w:val="single" w:sz="4" w:space="0" w:color="auto"/>
              <w:bottom w:val="single" w:sz="4" w:space="0" w:color="auto"/>
            </w:tcBorders>
          </w:tcPr>
          <w:p w:rsidR="003D7573" w:rsidRPr="00796611" w:rsidRDefault="003953DC" w:rsidP="005D7B68">
            <w:pPr>
              <w:tabs>
                <w:tab w:val="left" w:pos="381"/>
                <w:tab w:val="left" w:pos="567"/>
                <w:tab w:val="left" w:pos="1134"/>
                <w:tab w:val="left" w:pos="1701"/>
                <w:tab w:val="left" w:pos="2268"/>
                <w:tab w:val="left" w:pos="2835"/>
              </w:tabs>
              <w:adjustRightInd w:val="0"/>
              <w:snapToGrid w:val="0"/>
              <w:spacing w:after="0"/>
              <w:rPr>
                <w:snapToGrid w:val="0"/>
              </w:rPr>
            </w:pPr>
            <w:r>
              <w:rPr>
                <w:snapToGrid w:val="0"/>
              </w:rPr>
              <w:tab/>
            </w:r>
            <w:r w:rsidR="003D7573" w:rsidRPr="003953DC">
              <w:rPr>
                <w:snapToGrid w:val="0"/>
                <w:szCs w:val="24"/>
              </w:rPr>
              <w:t>Total</w:t>
            </w:r>
          </w:p>
        </w:tc>
        <w:tc>
          <w:tcPr>
            <w:tcW w:w="3573" w:type="dxa"/>
            <w:tcBorders>
              <w:top w:val="single" w:sz="4" w:space="0" w:color="auto"/>
              <w:bottom w:val="single" w:sz="4" w:space="0" w:color="auto"/>
            </w:tcBorders>
          </w:tcPr>
          <w:p w:rsidR="003D7573" w:rsidRPr="003953DC" w:rsidRDefault="003D7573" w:rsidP="005D7B68">
            <w:pPr>
              <w:tabs>
                <w:tab w:val="left" w:pos="567"/>
                <w:tab w:val="left" w:pos="1134"/>
                <w:tab w:val="left" w:pos="1701"/>
                <w:tab w:val="left" w:pos="2268"/>
                <w:tab w:val="left" w:pos="2835"/>
              </w:tabs>
              <w:spacing w:before="20" w:after="20"/>
              <w:ind w:right="719"/>
              <w:jc w:val="right"/>
            </w:pPr>
            <w:r w:rsidRPr="003953DC">
              <w:t>17 240</w:t>
            </w:r>
          </w:p>
        </w:tc>
      </w:tr>
    </w:tbl>
    <w:p w:rsidR="003D7573" w:rsidRDefault="001E72F4" w:rsidP="005D7B68">
      <w:pPr>
        <w:tabs>
          <w:tab w:val="left" w:pos="567"/>
          <w:tab w:val="left" w:pos="1134"/>
          <w:tab w:val="left" w:pos="1701"/>
          <w:tab w:val="left" w:pos="2268"/>
          <w:tab w:val="left" w:pos="2835"/>
        </w:tabs>
        <w:adjustRightInd w:val="0"/>
        <w:snapToGrid w:val="0"/>
        <w:spacing w:before="180"/>
        <w:rPr>
          <w:lang w:val="fr-FR"/>
        </w:rPr>
      </w:pPr>
      <w:r w:rsidRPr="008D6B80">
        <w:rPr>
          <w:lang w:val="fr-FR"/>
        </w:rPr>
        <w:tab/>
      </w:r>
      <w:r w:rsidRPr="001E72F4">
        <w:rPr>
          <w:lang w:val="fr-FR"/>
        </w:rPr>
        <w:t>La n</w:t>
      </w:r>
      <w:r w:rsidR="00F102AE">
        <w:rPr>
          <w:lang w:val="fr-FR"/>
        </w:rPr>
        <w:t>ationalité indiquée est celle déclarée par le</w:t>
      </w:r>
      <w:r w:rsidRPr="001E72F4">
        <w:rPr>
          <w:lang w:val="fr-FR"/>
        </w:rPr>
        <w:t xml:space="preserve"> requérant</w:t>
      </w:r>
      <w:r w:rsidR="003D7573" w:rsidRPr="001E72F4">
        <w:rPr>
          <w:lang w:val="fr-FR"/>
        </w:rPr>
        <w:t>.</w:t>
      </w:r>
    </w:p>
    <w:p w:rsidR="003A505B" w:rsidRPr="003A505B" w:rsidRDefault="003A505B" w:rsidP="005D7B68">
      <w:pPr>
        <w:tabs>
          <w:tab w:val="left" w:pos="567"/>
          <w:tab w:val="left" w:pos="1134"/>
          <w:tab w:val="left" w:pos="1701"/>
          <w:tab w:val="left" w:pos="2268"/>
          <w:tab w:val="left" w:pos="2835"/>
        </w:tabs>
        <w:ind w:left="1134" w:hanging="567"/>
        <w:rPr>
          <w:b/>
          <w:lang w:val="fr-FR"/>
        </w:rPr>
      </w:pPr>
      <w:r w:rsidRPr="003A505B">
        <w:rPr>
          <w:b/>
          <w:lang w:val="fr-FR"/>
        </w:rPr>
        <w:t>b)</w:t>
      </w:r>
      <w:r w:rsidRPr="003A505B">
        <w:rPr>
          <w:b/>
          <w:lang w:val="fr-FR"/>
        </w:rPr>
        <w:tab/>
        <w:t>Le nombre de reconduites à la frontière ou d’expulsions forcées;</w:t>
      </w:r>
    </w:p>
    <w:p w:rsidR="00251D52" w:rsidRPr="001E72F4" w:rsidRDefault="00E42058" w:rsidP="005D7B68">
      <w:pPr>
        <w:tabs>
          <w:tab w:val="left" w:pos="567"/>
          <w:tab w:val="left" w:pos="1134"/>
          <w:tab w:val="left" w:pos="1701"/>
          <w:tab w:val="left" w:pos="2268"/>
          <w:tab w:val="left" w:pos="2835"/>
        </w:tabs>
        <w:ind w:right="-108"/>
        <w:rPr>
          <w:lang w:val="fr-FR"/>
        </w:rPr>
      </w:pPr>
      <w:r>
        <w:rPr>
          <w:lang w:val="fr-FR"/>
        </w:rPr>
        <w:t>319</w:t>
      </w:r>
      <w:r w:rsidR="003A505B">
        <w:rPr>
          <w:lang w:val="fr-FR"/>
        </w:rPr>
        <w:t>.</w:t>
      </w:r>
      <w:r w:rsidR="003A505B">
        <w:rPr>
          <w:lang w:val="fr-FR"/>
        </w:rPr>
        <w:tab/>
        <w:t>L’Australie est heureuse de pouvoir fournir les statistiques ci-après en rapport avec la question 12 b)</w:t>
      </w:r>
      <w:r w:rsidR="008D6B80">
        <w:rPr>
          <w:lang w:val="fr-FR"/>
        </w:rPr>
        <w:t xml:space="preserve">. </w:t>
      </w:r>
      <w:r w:rsidR="003A505B">
        <w:rPr>
          <w:lang w:val="fr-FR"/>
        </w:rPr>
        <w:t>Il n’est malheureusement pas possible de présenter une ventilation plus fine.</w:t>
      </w:r>
    </w:p>
    <w:p w:rsidR="00A55BA7" w:rsidRPr="008F4038" w:rsidRDefault="00A55BA7" w:rsidP="005D7B68">
      <w:pPr>
        <w:tabs>
          <w:tab w:val="left" w:pos="567"/>
          <w:tab w:val="left" w:pos="1134"/>
          <w:tab w:val="left" w:pos="1701"/>
          <w:tab w:val="left" w:pos="2268"/>
          <w:tab w:val="left" w:pos="2835"/>
        </w:tabs>
        <w:jc w:val="center"/>
      </w:pPr>
      <w:r>
        <w:t xml:space="preserve">Refoulements </w:t>
      </w:r>
      <w:r w:rsidR="00F96013">
        <w:t xml:space="preserve">par </w:t>
      </w:r>
      <w:r>
        <w:t>nationalité</w:t>
      </w:r>
      <w:r w:rsidRPr="008F4038">
        <w:rPr>
          <w:b/>
          <w:vertAlign w:val="superscript"/>
        </w:rPr>
        <w:t>1</w:t>
      </w:r>
    </w:p>
    <w:tbl>
      <w:tblPr>
        <w:tblStyle w:val="TableGrid"/>
        <w:tblW w:w="0" w:type="auto"/>
        <w:jc w:val="center"/>
        <w:tblInd w:w="1068" w:type="dxa"/>
        <w:tblBorders>
          <w:insideH w:val="none" w:sz="0" w:space="0" w:color="auto"/>
        </w:tblBorders>
        <w:tblLook w:val="01E0" w:firstRow="1" w:lastRow="1" w:firstColumn="1" w:lastColumn="1" w:noHBand="0" w:noVBand="0"/>
      </w:tblPr>
      <w:tblGrid>
        <w:gridCol w:w="4560"/>
        <w:gridCol w:w="1800"/>
      </w:tblGrid>
      <w:tr w:rsidR="00A55BA7">
        <w:trPr>
          <w:tblHeader/>
          <w:jc w:val="center"/>
        </w:trPr>
        <w:tc>
          <w:tcPr>
            <w:tcW w:w="4560" w:type="dxa"/>
            <w:tcBorders>
              <w:top w:val="single" w:sz="4" w:space="0" w:color="auto"/>
              <w:bottom w:val="single" w:sz="4" w:space="0" w:color="auto"/>
            </w:tcBorders>
            <w:vAlign w:val="center"/>
          </w:tcPr>
          <w:p w:rsidR="00A55BA7" w:rsidRDefault="00A55BA7" w:rsidP="005D7B68">
            <w:pPr>
              <w:tabs>
                <w:tab w:val="left" w:pos="567"/>
                <w:tab w:val="left" w:pos="1134"/>
                <w:tab w:val="left" w:pos="1701"/>
                <w:tab w:val="left" w:pos="2268"/>
                <w:tab w:val="left" w:pos="2835"/>
              </w:tabs>
              <w:spacing w:after="0"/>
              <w:jc w:val="center"/>
              <w:rPr>
                <w:szCs w:val="24"/>
              </w:rPr>
            </w:pPr>
            <w:r>
              <w:rPr>
                <w:szCs w:val="24"/>
              </w:rPr>
              <w:t>Nationalité</w:t>
            </w:r>
          </w:p>
        </w:tc>
        <w:tc>
          <w:tcPr>
            <w:tcW w:w="1800" w:type="dxa"/>
            <w:tcBorders>
              <w:top w:val="single" w:sz="4" w:space="0" w:color="auto"/>
              <w:bottom w:val="single" w:sz="4" w:space="0" w:color="auto"/>
            </w:tcBorders>
            <w:vAlign w:val="center"/>
          </w:tcPr>
          <w:p w:rsidR="00A55BA7" w:rsidRDefault="000C1744" w:rsidP="005D7B68">
            <w:pPr>
              <w:tabs>
                <w:tab w:val="left" w:pos="567"/>
                <w:tab w:val="left" w:pos="1134"/>
                <w:tab w:val="left" w:pos="1701"/>
                <w:tab w:val="left" w:pos="2268"/>
                <w:tab w:val="left" w:pos="2835"/>
              </w:tabs>
              <w:spacing w:after="0"/>
              <w:ind w:right="9"/>
              <w:jc w:val="center"/>
              <w:rPr>
                <w:szCs w:val="24"/>
              </w:rPr>
            </w:pPr>
            <w:r>
              <w:rPr>
                <w:szCs w:val="24"/>
              </w:rPr>
              <w:t>Nombre</w:t>
            </w:r>
          </w:p>
        </w:tc>
      </w:tr>
      <w:tr w:rsidR="00A55BA7">
        <w:trPr>
          <w:jc w:val="center"/>
        </w:trPr>
        <w:tc>
          <w:tcPr>
            <w:tcW w:w="4560" w:type="dxa"/>
            <w:tcBorders>
              <w:top w:val="single" w:sz="4" w:space="0" w:color="auto"/>
              <w:bottom w:val="nil"/>
            </w:tcBorders>
          </w:tcPr>
          <w:p w:rsidR="00A55BA7" w:rsidRDefault="00A55BA7"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Afghanistan</w:t>
                </w:r>
              </w:smartTag>
            </w:smartTag>
          </w:p>
        </w:tc>
        <w:tc>
          <w:tcPr>
            <w:tcW w:w="1800" w:type="dxa"/>
            <w:tcBorders>
              <w:top w:val="single" w:sz="4" w:space="0" w:color="auto"/>
              <w:bottom w:val="nil"/>
            </w:tcBorders>
          </w:tcPr>
          <w:p w:rsidR="00A55BA7" w:rsidRDefault="00A55BA7" w:rsidP="005D7B68">
            <w:pPr>
              <w:tabs>
                <w:tab w:val="left" w:pos="567"/>
                <w:tab w:val="left" w:pos="1134"/>
                <w:tab w:val="left" w:pos="1701"/>
                <w:tab w:val="left" w:pos="2268"/>
                <w:tab w:val="left" w:pos="2835"/>
              </w:tabs>
              <w:spacing w:after="0"/>
              <w:ind w:right="340"/>
              <w:jc w:val="right"/>
              <w:rPr>
                <w:szCs w:val="24"/>
              </w:rPr>
            </w:pPr>
            <w:r>
              <w:rPr>
                <w:szCs w:val="24"/>
              </w:rPr>
              <w:t>764</w:t>
            </w:r>
          </w:p>
        </w:tc>
      </w:tr>
      <w:tr w:rsidR="00510BE6">
        <w:trPr>
          <w:jc w:val="center"/>
        </w:trPr>
        <w:tc>
          <w:tcPr>
            <w:tcW w:w="4560" w:type="dxa"/>
            <w:tcBorders>
              <w:top w:val="nil"/>
            </w:tcBorders>
          </w:tcPr>
          <w:p w:rsidR="00510BE6" w:rsidRPr="00510BE6" w:rsidRDefault="00510BE6" w:rsidP="005D7B68">
            <w:pPr>
              <w:tabs>
                <w:tab w:val="left" w:pos="567"/>
                <w:tab w:val="left" w:pos="1134"/>
                <w:tab w:val="left" w:pos="1701"/>
                <w:tab w:val="left" w:pos="2268"/>
                <w:tab w:val="left" w:pos="2835"/>
              </w:tabs>
              <w:spacing w:after="0"/>
              <w:rPr>
                <w:szCs w:val="24"/>
                <w:lang w:val="fr-FR"/>
              </w:rPr>
            </w:pPr>
            <w:r w:rsidRPr="00510BE6">
              <w:rPr>
                <w:szCs w:val="24"/>
                <w:lang w:val="fr-FR"/>
              </w:rPr>
              <w:t>Afrique du Sud, Républi</w:t>
            </w:r>
            <w:r>
              <w:rPr>
                <w:szCs w:val="24"/>
                <w:lang w:val="fr-FR"/>
              </w:rPr>
              <w:t>que d’</w:t>
            </w:r>
          </w:p>
        </w:tc>
        <w:tc>
          <w:tcPr>
            <w:tcW w:w="1800" w:type="dxa"/>
            <w:tcBorders>
              <w:top w:val="nil"/>
            </w:tcBorders>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694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Albanie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147</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Algérie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65</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Allemagne, République fédérale d’</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933</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Apatrides</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119</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r>
                <w:rPr>
                  <w:szCs w:val="24"/>
                </w:rPr>
                <w:t>Samoa</w:t>
              </w:r>
            </w:smartTag>
            <w:r>
              <w:rPr>
                <w:szCs w:val="24"/>
              </w:rPr>
              <w:t xml:space="preserve"> américaines</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Angola</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Arabie saoudite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38</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Argentine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141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Arménie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12</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Autorité palestinienne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85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Autriche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162</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Bahreïn</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22</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Bangladesh</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731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Belarus</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18</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Belgique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105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Birmanie (</w:t>
            </w:r>
            <w:smartTag w:uri="urn:schemas-microsoft-com:office:smarttags" w:element="place">
              <w:smartTag w:uri="urn:schemas-microsoft-com:office:smarttags" w:element="country-region">
                <w:r>
                  <w:rPr>
                    <w:szCs w:val="24"/>
                  </w:rPr>
                  <w:t>Myanmar</w:t>
                </w:r>
              </w:smartTag>
            </w:smartTag>
            <w:r>
              <w:rPr>
                <w:szCs w:val="24"/>
              </w:rPr>
              <w:t>)</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201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Bolivie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44</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Bosnie-Herzegovine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26</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Botswana</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41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Brésil</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864</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Brunei</w:t>
                </w:r>
              </w:smartTag>
            </w:smartTag>
            <w:r>
              <w:rPr>
                <w:szCs w:val="24"/>
              </w:rPr>
              <w:t xml:space="preserve"> Darussalam</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62</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Bulgarie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135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Cambodge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251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Canada</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1 175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Chili</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320</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Chine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9 428</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Colombie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489</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Congo</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14</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Congo</w:t>
                </w:r>
              </w:smartTag>
            </w:smartTag>
            <w:r>
              <w:rPr>
                <w:szCs w:val="24"/>
              </w:rPr>
              <w:t>, République démocratique du</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10</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Costa Rica</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Croatie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65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Cuba</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13</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Chypre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44</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Corée, République de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5 671</w:t>
            </w:r>
          </w:p>
        </w:tc>
      </w:tr>
      <w:tr w:rsidR="0028530C">
        <w:trPr>
          <w:jc w:val="center"/>
        </w:trPr>
        <w:tc>
          <w:tcPr>
            <w:tcW w:w="4560" w:type="dxa"/>
          </w:tcPr>
          <w:p w:rsidR="0028530C" w:rsidRPr="00E30A4F" w:rsidRDefault="0028530C" w:rsidP="005D7B68">
            <w:pPr>
              <w:tabs>
                <w:tab w:val="left" w:pos="567"/>
                <w:tab w:val="left" w:pos="1134"/>
                <w:tab w:val="left" w:pos="1701"/>
                <w:tab w:val="left" w:pos="2268"/>
                <w:tab w:val="left" w:pos="2835"/>
              </w:tabs>
              <w:spacing w:after="0"/>
              <w:rPr>
                <w:sz w:val="22"/>
                <w:szCs w:val="22"/>
                <w:lang w:val="fr-FR"/>
              </w:rPr>
            </w:pPr>
            <w:r w:rsidRPr="00E30A4F">
              <w:rPr>
                <w:sz w:val="22"/>
                <w:szCs w:val="22"/>
                <w:lang w:val="fr-FR"/>
              </w:rPr>
              <w:t>Corée, République populaire démocratique de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22</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République tchèque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195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Tchécoslovaquie</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99</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Danemark</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157</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Équateur</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135</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Égypte, République arabe d’</w:t>
            </w:r>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238</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El Salvador</w:t>
                </w:r>
              </w:smartTag>
            </w:smartTag>
          </w:p>
        </w:tc>
        <w:tc>
          <w:tcPr>
            <w:tcW w:w="1800" w:type="dxa"/>
          </w:tcPr>
          <w:p w:rsidR="0028530C" w:rsidRDefault="0028530C" w:rsidP="005D7B68">
            <w:pPr>
              <w:tabs>
                <w:tab w:val="left" w:pos="567"/>
                <w:tab w:val="left" w:pos="1134"/>
                <w:tab w:val="left" w:pos="1701"/>
                <w:tab w:val="left" w:pos="2268"/>
                <w:tab w:val="left" w:pos="2835"/>
              </w:tabs>
              <w:spacing w:after="0"/>
              <w:ind w:right="340"/>
              <w:jc w:val="right"/>
              <w:rPr>
                <w:szCs w:val="24"/>
              </w:rPr>
            </w:pPr>
            <w:r>
              <w:rPr>
                <w:szCs w:val="24"/>
              </w:rPr>
              <w:t>57</w:t>
            </w:r>
          </w:p>
        </w:tc>
      </w:tr>
      <w:tr w:rsidR="00CD28BC">
        <w:trPr>
          <w:jc w:val="center"/>
        </w:trPr>
        <w:tc>
          <w:tcPr>
            <w:tcW w:w="4560" w:type="dxa"/>
          </w:tcPr>
          <w:p w:rsidR="00CD28BC" w:rsidRDefault="00EB140F" w:rsidP="005D7B68">
            <w:pPr>
              <w:tabs>
                <w:tab w:val="left" w:pos="567"/>
                <w:tab w:val="left" w:pos="1134"/>
                <w:tab w:val="left" w:pos="1701"/>
                <w:tab w:val="left" w:pos="2268"/>
                <w:tab w:val="left" w:pos="2835"/>
              </w:tabs>
              <w:spacing w:after="0"/>
              <w:rPr>
                <w:szCs w:val="24"/>
              </w:rPr>
            </w:pPr>
            <w:r>
              <w:rPr>
                <w:szCs w:val="24"/>
              </w:rPr>
              <w:t>Émirats a</w:t>
            </w:r>
            <w:r w:rsidR="00CD28BC">
              <w:rPr>
                <w:szCs w:val="24"/>
              </w:rPr>
              <w:t xml:space="preserve">rabes </w:t>
            </w:r>
            <w:r>
              <w:rPr>
                <w:szCs w:val="24"/>
              </w:rPr>
              <w:t>u</w:t>
            </w:r>
            <w:r w:rsidR="00CD28BC">
              <w:rPr>
                <w:szCs w:val="24"/>
              </w:rPr>
              <w:t>nis</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25</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Érythrée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12</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Espagne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213</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Estonie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CD28BC">
        <w:trPr>
          <w:jc w:val="center"/>
        </w:trPr>
        <w:tc>
          <w:tcPr>
            <w:tcW w:w="4560" w:type="dxa"/>
          </w:tcPr>
          <w:p w:rsidR="00CD28BC" w:rsidRDefault="00005FE3" w:rsidP="005D7B68">
            <w:pPr>
              <w:tabs>
                <w:tab w:val="left" w:pos="567"/>
                <w:tab w:val="left" w:pos="1134"/>
                <w:tab w:val="left" w:pos="1701"/>
                <w:tab w:val="left" w:pos="2268"/>
                <w:tab w:val="left" w:pos="2835"/>
              </w:tabs>
              <w:spacing w:after="0"/>
              <w:rPr>
                <w:szCs w:val="24"/>
              </w:rPr>
            </w:pPr>
            <w:r>
              <w:rPr>
                <w:szCs w:val="24"/>
              </w:rPr>
              <w:t>É</w:t>
            </w:r>
            <w:r w:rsidR="00CD28BC">
              <w:rPr>
                <w:szCs w:val="24"/>
              </w:rPr>
              <w:t>tats-Unis d’Amérique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2 537</w:t>
            </w:r>
          </w:p>
        </w:tc>
      </w:tr>
      <w:tr w:rsidR="00E30A4F" w:rsidRPr="00E30A4F">
        <w:trPr>
          <w:jc w:val="center"/>
        </w:trPr>
        <w:tc>
          <w:tcPr>
            <w:tcW w:w="4560" w:type="dxa"/>
          </w:tcPr>
          <w:p w:rsidR="00E30A4F" w:rsidRPr="00E30A4F" w:rsidRDefault="00E30A4F" w:rsidP="005D7B68">
            <w:pPr>
              <w:tabs>
                <w:tab w:val="left" w:pos="567"/>
                <w:tab w:val="left" w:pos="1134"/>
                <w:tab w:val="left" w:pos="1701"/>
                <w:tab w:val="left" w:pos="2268"/>
                <w:tab w:val="left" w:pos="2835"/>
              </w:tabs>
              <w:spacing w:after="0"/>
              <w:rPr>
                <w:szCs w:val="24"/>
                <w:lang w:val="fr-FR"/>
              </w:rPr>
            </w:pPr>
            <w:r w:rsidRPr="00E30A4F">
              <w:rPr>
                <w:szCs w:val="24"/>
                <w:lang w:val="fr-FR"/>
              </w:rPr>
              <w:t>Ex-République yougoslave de Macédoine</w:t>
            </w:r>
          </w:p>
        </w:tc>
        <w:tc>
          <w:tcPr>
            <w:tcW w:w="1800" w:type="dxa"/>
          </w:tcPr>
          <w:p w:rsidR="00E30A4F" w:rsidRPr="00E30A4F" w:rsidRDefault="00E30A4F" w:rsidP="005D7B68">
            <w:pPr>
              <w:tabs>
                <w:tab w:val="left" w:pos="567"/>
                <w:tab w:val="left" w:pos="1134"/>
                <w:tab w:val="left" w:pos="1701"/>
                <w:tab w:val="left" w:pos="2268"/>
                <w:tab w:val="left" w:pos="2835"/>
              </w:tabs>
              <w:spacing w:after="0"/>
              <w:ind w:right="340"/>
              <w:jc w:val="right"/>
              <w:rPr>
                <w:szCs w:val="24"/>
                <w:lang w:val="fr-FR"/>
              </w:rPr>
            </w:pPr>
          </w:p>
        </w:tc>
      </w:tr>
      <w:tr w:rsidR="00510BE6" w:rsidRPr="00E30A4F">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Fédération de Russie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360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Fidji</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2 654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Finlande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45</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France</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634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Géorgie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Ghana</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83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Grèce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413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Guinée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 xml:space="preserve">Hong Kong (SAR of </w:t>
            </w:r>
            <w:smartTag w:uri="urn:schemas-microsoft-com:office:smarttags" w:element="place">
              <w:smartTag w:uri="urn:schemas-microsoft-com:office:smarttags" w:element="country-region">
                <w:r>
                  <w:rPr>
                    <w:szCs w:val="24"/>
                  </w:rPr>
                  <w:t>China</w:t>
                </w:r>
              </w:smartTag>
            </w:smartTag>
            <w:r>
              <w:rPr>
                <w:szCs w:val="24"/>
              </w:rPr>
              <w:t>)</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2 444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Hongrie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223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 xml:space="preserve">Îles Salomon </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124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Inde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4 191</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Indonésie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15 110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Iran</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443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Iraq</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406</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Irlande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3 348</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Israël</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656</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Italie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657</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Jamaïque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Japon</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1 515</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Jordanie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154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Kazakhstan</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290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Kenya</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297</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Kiribati</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22</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Koweït</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Laos</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120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Lettonie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Liban</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974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Libéria</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12</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Lituanie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State">
              <w:r>
                <w:rPr>
                  <w:szCs w:val="24"/>
                </w:rPr>
                <w:t>Macao</w:t>
              </w:r>
            </w:smartTag>
            <w:r>
              <w:rPr>
                <w:szCs w:val="24"/>
              </w:rPr>
              <w:t xml:space="preserve"> (SAR of </w:t>
            </w:r>
            <w:smartTag w:uri="urn:schemas-microsoft-com:office:smarttags" w:element="place">
              <w:smartTag w:uri="urn:schemas-microsoft-com:office:smarttags" w:element="country-region">
                <w:r>
                  <w:rPr>
                    <w:szCs w:val="24"/>
                  </w:rPr>
                  <w:t>China</w:t>
                </w:r>
              </w:smartTag>
            </w:smartTag>
            <w:r>
              <w:rPr>
                <w:szCs w:val="24"/>
              </w:rPr>
              <w:t>)</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Malawi</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Malaisie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6 243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Maldives</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Malte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26</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Maroc</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Maurice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204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Mexique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89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Moldova</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30</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Mongolie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84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Nauru</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169</w:t>
            </w:r>
          </w:p>
        </w:tc>
      </w:tr>
      <w:tr w:rsidR="003F1A04">
        <w:trPr>
          <w:jc w:val="center"/>
        </w:trPr>
        <w:tc>
          <w:tcPr>
            <w:tcW w:w="4560" w:type="dxa"/>
          </w:tcPr>
          <w:p w:rsidR="003F1A04" w:rsidRDefault="003F1A04" w:rsidP="005D7B68">
            <w:pPr>
              <w:tabs>
                <w:tab w:val="left" w:pos="567"/>
                <w:tab w:val="left" w:pos="1134"/>
                <w:tab w:val="left" w:pos="1701"/>
                <w:tab w:val="left" w:pos="2268"/>
                <w:tab w:val="left" w:pos="2835"/>
              </w:tabs>
              <w:spacing w:after="0"/>
              <w:rPr>
                <w:szCs w:val="24"/>
              </w:rPr>
            </w:pPr>
            <w:r>
              <w:rPr>
                <w:szCs w:val="24"/>
              </w:rPr>
              <w:t>Népal</w:t>
            </w:r>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484</w:t>
            </w:r>
          </w:p>
        </w:tc>
      </w:tr>
      <w:tr w:rsidR="003F1A04">
        <w:trPr>
          <w:jc w:val="center"/>
        </w:trPr>
        <w:tc>
          <w:tcPr>
            <w:tcW w:w="4560" w:type="dxa"/>
          </w:tcPr>
          <w:p w:rsidR="003F1A04" w:rsidRDefault="003F1A04"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Nigeria</w:t>
                </w:r>
              </w:smartTag>
            </w:smartTag>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215</w:t>
            </w:r>
          </w:p>
        </w:tc>
      </w:tr>
      <w:tr w:rsidR="003F1A04">
        <w:trPr>
          <w:jc w:val="center"/>
        </w:trPr>
        <w:tc>
          <w:tcPr>
            <w:tcW w:w="4560" w:type="dxa"/>
          </w:tcPr>
          <w:p w:rsidR="003F1A04" w:rsidRDefault="003F1A04" w:rsidP="005D7B68">
            <w:pPr>
              <w:tabs>
                <w:tab w:val="left" w:pos="567"/>
                <w:tab w:val="left" w:pos="1134"/>
                <w:tab w:val="left" w:pos="1701"/>
                <w:tab w:val="left" w:pos="2268"/>
                <w:tab w:val="left" w:pos="2835"/>
              </w:tabs>
              <w:spacing w:after="0"/>
              <w:rPr>
                <w:szCs w:val="24"/>
              </w:rPr>
            </w:pPr>
            <w:r>
              <w:rPr>
                <w:szCs w:val="24"/>
              </w:rPr>
              <w:t>Norvège</w:t>
            </w:r>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188</w:t>
            </w:r>
          </w:p>
        </w:tc>
      </w:tr>
      <w:tr w:rsidR="003F1A04">
        <w:trPr>
          <w:jc w:val="center"/>
        </w:trPr>
        <w:tc>
          <w:tcPr>
            <w:tcW w:w="4560" w:type="dxa"/>
          </w:tcPr>
          <w:p w:rsidR="003F1A04" w:rsidRDefault="00EB140F" w:rsidP="005D7B68">
            <w:pPr>
              <w:tabs>
                <w:tab w:val="left" w:pos="567"/>
                <w:tab w:val="left" w:pos="1134"/>
                <w:tab w:val="left" w:pos="1701"/>
                <w:tab w:val="left" w:pos="2268"/>
                <w:tab w:val="left" w:pos="2835"/>
              </w:tabs>
              <w:spacing w:after="0"/>
              <w:rPr>
                <w:szCs w:val="24"/>
              </w:rPr>
            </w:pPr>
            <w:r>
              <w:rPr>
                <w:szCs w:val="24"/>
              </w:rPr>
              <w:t>Nouvelle</w:t>
            </w:r>
            <w:r>
              <w:rPr>
                <w:szCs w:val="24"/>
              </w:rPr>
              <w:noBreakHyphen/>
            </w:r>
            <w:r w:rsidR="003F1A04">
              <w:rPr>
                <w:szCs w:val="24"/>
              </w:rPr>
              <w:t>Calédonie</w:t>
            </w:r>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19</w:t>
            </w:r>
          </w:p>
        </w:tc>
      </w:tr>
      <w:tr w:rsidR="003F1A04">
        <w:trPr>
          <w:jc w:val="center"/>
        </w:trPr>
        <w:tc>
          <w:tcPr>
            <w:tcW w:w="4560" w:type="dxa"/>
          </w:tcPr>
          <w:p w:rsidR="003F1A04" w:rsidRDefault="00EB140F" w:rsidP="005D7B68">
            <w:pPr>
              <w:tabs>
                <w:tab w:val="left" w:pos="567"/>
                <w:tab w:val="left" w:pos="1134"/>
                <w:tab w:val="left" w:pos="1701"/>
                <w:tab w:val="left" w:pos="2268"/>
                <w:tab w:val="left" w:pos="2835"/>
              </w:tabs>
              <w:spacing w:after="0"/>
              <w:rPr>
                <w:szCs w:val="24"/>
              </w:rPr>
            </w:pPr>
            <w:r>
              <w:rPr>
                <w:szCs w:val="24"/>
              </w:rPr>
              <w:t>Nouvelle</w:t>
            </w:r>
            <w:r>
              <w:rPr>
                <w:szCs w:val="24"/>
              </w:rPr>
              <w:noBreakHyphen/>
            </w:r>
            <w:r w:rsidR="003F1A04">
              <w:rPr>
                <w:szCs w:val="24"/>
              </w:rPr>
              <w:t>Zélande</w:t>
            </w:r>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705</w:t>
            </w:r>
          </w:p>
        </w:tc>
      </w:tr>
      <w:tr w:rsidR="003F1A04">
        <w:trPr>
          <w:jc w:val="center"/>
        </w:trPr>
        <w:tc>
          <w:tcPr>
            <w:tcW w:w="4560" w:type="dxa"/>
          </w:tcPr>
          <w:p w:rsidR="003F1A04" w:rsidRDefault="003F1A04"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Oman</w:t>
                </w:r>
              </w:smartTag>
            </w:smartTag>
          </w:p>
        </w:tc>
        <w:tc>
          <w:tcPr>
            <w:tcW w:w="1800" w:type="dxa"/>
          </w:tcPr>
          <w:p w:rsidR="003F1A04" w:rsidRDefault="003F1A04" w:rsidP="005D7B68">
            <w:pPr>
              <w:tabs>
                <w:tab w:val="left" w:pos="567"/>
                <w:tab w:val="left" w:pos="1134"/>
                <w:tab w:val="left" w:pos="1701"/>
                <w:tab w:val="left" w:pos="2268"/>
                <w:tab w:val="left" w:pos="2835"/>
              </w:tabs>
              <w:spacing w:after="0"/>
              <w:ind w:right="340"/>
              <w:jc w:val="right"/>
              <w:rPr>
                <w:szCs w:val="24"/>
              </w:rPr>
            </w:pPr>
            <w:r>
              <w:rPr>
                <w:szCs w:val="24"/>
              </w:rPr>
              <w:t>28</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Ouganda</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43</w:t>
            </w:r>
          </w:p>
        </w:tc>
      </w:tr>
      <w:tr w:rsidR="00CD28BC">
        <w:trPr>
          <w:jc w:val="center"/>
        </w:trPr>
        <w:tc>
          <w:tcPr>
            <w:tcW w:w="4560" w:type="dxa"/>
          </w:tcPr>
          <w:p w:rsidR="00CD28BC" w:rsidRDefault="00EB140F" w:rsidP="005D7B68">
            <w:pPr>
              <w:tabs>
                <w:tab w:val="left" w:pos="567"/>
                <w:tab w:val="left" w:pos="1134"/>
                <w:tab w:val="left" w:pos="1701"/>
                <w:tab w:val="left" w:pos="2268"/>
                <w:tab w:val="left" w:pos="2835"/>
              </w:tabs>
              <w:spacing w:after="0"/>
              <w:rPr>
                <w:szCs w:val="24"/>
              </w:rPr>
            </w:pPr>
            <w:r>
              <w:rPr>
                <w:szCs w:val="24"/>
              </w:rPr>
              <w:t>Ouzbé</w:t>
            </w:r>
            <w:r w:rsidR="00CD28BC">
              <w:rPr>
                <w:szCs w:val="24"/>
              </w:rPr>
              <w:t>kistan</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20</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Pakistan</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881</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Papouasie-Nouvelle-Guinée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1 759</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Paraguay</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13</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Pays-Bas</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457</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Pérou</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284</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Philippines</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6 303</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Pologne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447</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Portugal</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207</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Réfugiés</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12</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 xml:space="preserve">Roumanie PRE </w:t>
            </w:r>
            <w:smartTag w:uri="urn:schemas-microsoft-com:office:smarttags" w:element="date">
              <w:smartTagPr>
                <w:attr w:name="Year" w:val="2002"/>
                <w:attr w:name="Day" w:val="1"/>
                <w:attr w:name="Month" w:val="2"/>
              </w:smartTagPr>
              <w:r>
                <w:rPr>
                  <w:szCs w:val="24"/>
                </w:rPr>
                <w:t>1/2/2002</w:t>
              </w:r>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226</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Royaume-Uni</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9 313</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r>
                <w:rPr>
                  <w:szCs w:val="24"/>
                </w:rPr>
                <w:t>Samoa</w:t>
              </w:r>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786</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Sénégal</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11</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 xml:space="preserve">Serbie et </w:t>
            </w:r>
            <w:smartTag w:uri="urn:schemas-microsoft-com:office:smarttags" w:element="place">
              <w:smartTag w:uri="urn:schemas-microsoft-com:office:smarttags" w:element="country-region">
                <w:r>
                  <w:rPr>
                    <w:szCs w:val="24"/>
                  </w:rPr>
                  <w:t>Montenegro</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25</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Seychelles</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14</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Sierra Leone</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18</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Singapour</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998</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Slovaquie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158</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Slovénie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31</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Somalie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52</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Soudan</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23</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Sri Lanka</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1 829</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Suède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296</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Suisse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287</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Syrie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177</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Taïwan</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1 030</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Tanzanie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749</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Thaïlande</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4 336</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r>
                <w:rPr>
                  <w:szCs w:val="24"/>
                </w:rPr>
                <w:t>Timor</w:t>
              </w:r>
            </w:smartTag>
            <w:r>
              <w:rPr>
                <w:szCs w:val="24"/>
              </w:rPr>
              <w:t>, Est (ainsi déclaré)</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92</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Tonga</w:t>
                </w:r>
              </w:smartTag>
            </w:smartTag>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328</w:t>
            </w:r>
          </w:p>
        </w:tc>
      </w:tr>
      <w:tr w:rsidR="00CD28BC">
        <w:trPr>
          <w:jc w:val="center"/>
        </w:trPr>
        <w:tc>
          <w:tcPr>
            <w:tcW w:w="4560" w:type="dxa"/>
          </w:tcPr>
          <w:p w:rsidR="00CD28BC" w:rsidRDefault="00CD28BC" w:rsidP="005D7B68">
            <w:pPr>
              <w:tabs>
                <w:tab w:val="left" w:pos="567"/>
                <w:tab w:val="left" w:pos="1134"/>
                <w:tab w:val="left" w:pos="1701"/>
                <w:tab w:val="left" w:pos="2268"/>
                <w:tab w:val="left" w:pos="2835"/>
              </w:tabs>
              <w:spacing w:after="0"/>
              <w:rPr>
                <w:szCs w:val="24"/>
              </w:rPr>
            </w:pPr>
            <w:r>
              <w:rPr>
                <w:szCs w:val="24"/>
              </w:rPr>
              <w:t>Trinité-et-Tobago</w:t>
            </w:r>
          </w:p>
        </w:tc>
        <w:tc>
          <w:tcPr>
            <w:tcW w:w="1800" w:type="dxa"/>
          </w:tcPr>
          <w:p w:rsidR="00CD28BC" w:rsidRDefault="00CD28BC" w:rsidP="005D7B68">
            <w:pPr>
              <w:tabs>
                <w:tab w:val="left" w:pos="567"/>
                <w:tab w:val="left" w:pos="1134"/>
                <w:tab w:val="left" w:pos="1701"/>
                <w:tab w:val="left" w:pos="2268"/>
                <w:tab w:val="left" w:pos="2835"/>
              </w:tabs>
              <w:spacing w:after="0"/>
              <w:ind w:right="340"/>
              <w:jc w:val="right"/>
              <w:rPr>
                <w:szCs w:val="24"/>
              </w:rPr>
            </w:pPr>
            <w:r>
              <w:rPr>
                <w:szCs w:val="24"/>
              </w:rPr>
              <w:t>17</w:t>
            </w:r>
          </w:p>
        </w:tc>
      </w:tr>
      <w:tr w:rsidR="00510BE6">
        <w:trPr>
          <w:jc w:val="center"/>
        </w:trPr>
        <w:tc>
          <w:tcPr>
            <w:tcW w:w="4560" w:type="dxa"/>
          </w:tcPr>
          <w:p w:rsidR="00510BE6" w:rsidRDefault="00CD28BC" w:rsidP="005D7B68">
            <w:pPr>
              <w:tabs>
                <w:tab w:val="left" w:pos="567"/>
                <w:tab w:val="left" w:pos="1134"/>
                <w:tab w:val="left" w:pos="1701"/>
                <w:tab w:val="left" w:pos="2268"/>
                <w:tab w:val="left" w:pos="2835"/>
              </w:tabs>
              <w:spacing w:after="0"/>
              <w:rPr>
                <w:szCs w:val="24"/>
              </w:rPr>
            </w:pPr>
            <w:r>
              <w:rPr>
                <w:szCs w:val="24"/>
              </w:rPr>
              <w:t>Tunisie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12</w:t>
            </w:r>
          </w:p>
        </w:tc>
      </w:tr>
      <w:tr w:rsidR="00510BE6">
        <w:trPr>
          <w:jc w:val="center"/>
        </w:trPr>
        <w:tc>
          <w:tcPr>
            <w:tcW w:w="4560" w:type="dxa"/>
          </w:tcPr>
          <w:p w:rsidR="00510BE6" w:rsidRDefault="00CD28BC" w:rsidP="005D7B68">
            <w:pPr>
              <w:tabs>
                <w:tab w:val="left" w:pos="567"/>
                <w:tab w:val="left" w:pos="1134"/>
                <w:tab w:val="left" w:pos="1701"/>
                <w:tab w:val="left" w:pos="2268"/>
                <w:tab w:val="left" w:pos="2835"/>
              </w:tabs>
              <w:spacing w:after="0"/>
              <w:rPr>
                <w:szCs w:val="24"/>
              </w:rPr>
            </w:pPr>
            <w:r>
              <w:rPr>
                <w:szCs w:val="24"/>
              </w:rPr>
              <w:t>Turquie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639</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Tuvalu</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16</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Ukraine</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226</w:t>
            </w:r>
          </w:p>
        </w:tc>
      </w:tr>
      <w:tr w:rsidR="0028530C">
        <w:trPr>
          <w:jc w:val="center"/>
        </w:trPr>
        <w:tc>
          <w:tcPr>
            <w:tcW w:w="4560" w:type="dxa"/>
          </w:tcPr>
          <w:p w:rsidR="0028530C" w:rsidRDefault="0028530C" w:rsidP="005D7B68">
            <w:pPr>
              <w:tabs>
                <w:tab w:val="left" w:pos="567"/>
                <w:tab w:val="left" w:pos="1134"/>
                <w:tab w:val="left" w:pos="1701"/>
                <w:tab w:val="left" w:pos="2268"/>
                <w:tab w:val="left" w:pos="2835"/>
              </w:tabs>
              <w:spacing w:after="0"/>
              <w:rPr>
                <w:szCs w:val="24"/>
              </w:rPr>
            </w:pPr>
            <w:r>
              <w:rPr>
                <w:szCs w:val="24"/>
              </w:rPr>
              <w:t>Union soviétique</w:t>
            </w:r>
          </w:p>
        </w:tc>
        <w:tc>
          <w:tcPr>
            <w:tcW w:w="1800" w:type="dxa"/>
          </w:tcPr>
          <w:p w:rsidR="0028530C" w:rsidRDefault="00572260" w:rsidP="005D7B68">
            <w:pPr>
              <w:tabs>
                <w:tab w:val="left" w:pos="567"/>
                <w:tab w:val="left" w:pos="1134"/>
                <w:tab w:val="left" w:pos="1701"/>
                <w:tab w:val="left" w:pos="2268"/>
                <w:tab w:val="left" w:pos="2835"/>
              </w:tabs>
              <w:spacing w:after="0"/>
              <w:ind w:right="340"/>
              <w:jc w:val="right"/>
              <w:rPr>
                <w:szCs w:val="24"/>
              </w:rPr>
            </w:pPr>
            <w:r>
              <w:rPr>
                <w:szCs w:val="24"/>
              </w:rPr>
              <w:t xml:space="preserve"> </w:t>
            </w:r>
            <w:r w:rsidR="0028530C">
              <w:rPr>
                <w:szCs w:val="24"/>
              </w:rPr>
              <w:t>123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Uruguay</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104</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Vanuatu</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53</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Venezuela</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47</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Viet Nam</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2 390</w:t>
            </w:r>
          </w:p>
        </w:tc>
      </w:tr>
      <w:tr w:rsidR="00510BE6">
        <w:trPr>
          <w:jc w:val="center"/>
        </w:trPr>
        <w:tc>
          <w:tcPr>
            <w:tcW w:w="4560" w:type="dxa"/>
          </w:tcPr>
          <w:p w:rsidR="00510BE6" w:rsidRDefault="00CD28BC" w:rsidP="005D7B68">
            <w:pPr>
              <w:tabs>
                <w:tab w:val="left" w:pos="567"/>
                <w:tab w:val="left" w:pos="1134"/>
                <w:tab w:val="left" w:pos="1701"/>
                <w:tab w:val="left" w:pos="2268"/>
                <w:tab w:val="left" w:pos="2835"/>
              </w:tabs>
              <w:spacing w:after="0"/>
              <w:rPr>
                <w:szCs w:val="24"/>
              </w:rPr>
            </w:pPr>
            <w:r>
              <w:rPr>
                <w:szCs w:val="24"/>
              </w:rPr>
              <w:t>Yé</w:t>
            </w:r>
            <w:r w:rsidR="00510BE6">
              <w:rPr>
                <w:szCs w:val="24"/>
              </w:rPr>
              <w:t>men</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15</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r>
              <w:rPr>
                <w:szCs w:val="24"/>
              </w:rPr>
              <w:t>Y</w:t>
            </w:r>
            <w:r w:rsidR="00CD28BC">
              <w:rPr>
                <w:szCs w:val="24"/>
              </w:rPr>
              <w:t>ougoslavie, République fédérale de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335</w:t>
            </w:r>
          </w:p>
        </w:tc>
      </w:tr>
      <w:tr w:rsidR="00510BE6">
        <w:trPr>
          <w:jc w:val="center"/>
        </w:trPr>
        <w:tc>
          <w:tcPr>
            <w:tcW w:w="4560" w:type="dxa"/>
          </w:tcPr>
          <w:p w:rsidR="00510BE6" w:rsidRDefault="00CD28BC" w:rsidP="005D7B68">
            <w:pPr>
              <w:tabs>
                <w:tab w:val="left" w:pos="567"/>
                <w:tab w:val="left" w:pos="1134"/>
                <w:tab w:val="left" w:pos="1701"/>
                <w:tab w:val="left" w:pos="2268"/>
                <w:tab w:val="left" w:pos="2835"/>
              </w:tabs>
              <w:spacing w:after="0"/>
              <w:rPr>
                <w:szCs w:val="24"/>
              </w:rPr>
            </w:pPr>
            <w:r>
              <w:rPr>
                <w:szCs w:val="24"/>
              </w:rPr>
              <w:t>Zambie</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98</w:t>
            </w:r>
          </w:p>
        </w:tc>
      </w:tr>
      <w:tr w:rsidR="00510BE6">
        <w:trPr>
          <w:jc w:val="center"/>
        </w:trPr>
        <w:tc>
          <w:tcPr>
            <w:tcW w:w="4560" w:type="dxa"/>
          </w:tcPr>
          <w:p w:rsidR="00510BE6" w:rsidRDefault="00510BE6" w:rsidP="005D7B68">
            <w:pPr>
              <w:tabs>
                <w:tab w:val="left" w:pos="567"/>
                <w:tab w:val="left" w:pos="1134"/>
                <w:tab w:val="left" w:pos="1701"/>
                <w:tab w:val="left" w:pos="2268"/>
                <w:tab w:val="left" w:pos="2835"/>
              </w:tabs>
              <w:spacing w:after="0"/>
              <w:rPr>
                <w:szCs w:val="24"/>
              </w:rPr>
            </w:pPr>
            <w:smartTag w:uri="urn:schemas-microsoft-com:office:smarttags" w:element="place">
              <w:smartTag w:uri="urn:schemas-microsoft-com:office:smarttags" w:element="country-region">
                <w:r>
                  <w:rPr>
                    <w:szCs w:val="24"/>
                  </w:rPr>
                  <w:t>Zimbabwe</w:t>
                </w:r>
              </w:smartTag>
            </w:smartTag>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193</w:t>
            </w:r>
          </w:p>
        </w:tc>
      </w:tr>
      <w:tr w:rsidR="00510BE6">
        <w:trPr>
          <w:jc w:val="center"/>
        </w:trPr>
        <w:tc>
          <w:tcPr>
            <w:tcW w:w="4560" w:type="dxa"/>
          </w:tcPr>
          <w:p w:rsidR="00510BE6" w:rsidRDefault="00CD28BC" w:rsidP="005D7B68">
            <w:pPr>
              <w:tabs>
                <w:tab w:val="left" w:pos="567"/>
                <w:tab w:val="left" w:pos="1134"/>
                <w:tab w:val="left" w:pos="1701"/>
                <w:tab w:val="left" w:pos="2268"/>
                <w:tab w:val="left" w:pos="2835"/>
              </w:tabs>
              <w:spacing w:after="0"/>
              <w:rPr>
                <w:szCs w:val="24"/>
              </w:rPr>
            </w:pPr>
            <w:r>
              <w:rPr>
                <w:szCs w:val="24"/>
              </w:rPr>
              <w:t>Inconnus</w:t>
            </w:r>
          </w:p>
        </w:tc>
        <w:tc>
          <w:tcPr>
            <w:tcW w:w="1800" w:type="dxa"/>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7 368</w:t>
            </w:r>
          </w:p>
        </w:tc>
      </w:tr>
      <w:tr w:rsidR="00510BE6">
        <w:trPr>
          <w:jc w:val="center"/>
        </w:trPr>
        <w:tc>
          <w:tcPr>
            <w:tcW w:w="4560" w:type="dxa"/>
            <w:tcBorders>
              <w:bottom w:val="single" w:sz="4" w:space="0" w:color="auto"/>
            </w:tcBorders>
          </w:tcPr>
          <w:p w:rsidR="00510BE6" w:rsidRPr="008F4038" w:rsidRDefault="00BF1BDD" w:rsidP="005D7B68">
            <w:pPr>
              <w:tabs>
                <w:tab w:val="left" w:pos="567"/>
                <w:tab w:val="left" w:pos="1134"/>
                <w:tab w:val="left" w:pos="1701"/>
                <w:tab w:val="left" w:pos="2268"/>
                <w:tab w:val="left" w:pos="2835"/>
              </w:tabs>
              <w:spacing w:after="0"/>
              <w:rPr>
                <w:szCs w:val="24"/>
                <w:vertAlign w:val="subscript"/>
              </w:rPr>
            </w:pPr>
            <w:r>
              <w:rPr>
                <w:szCs w:val="24"/>
              </w:rPr>
              <w:t>Autres</w:t>
            </w:r>
            <w:r w:rsidR="00510BE6" w:rsidRPr="007D475F">
              <w:rPr>
                <w:b/>
                <w:i/>
                <w:iCs/>
                <w:szCs w:val="24"/>
                <w:vertAlign w:val="superscript"/>
              </w:rPr>
              <w:t>2</w:t>
            </w:r>
          </w:p>
        </w:tc>
        <w:tc>
          <w:tcPr>
            <w:tcW w:w="1800" w:type="dxa"/>
            <w:tcBorders>
              <w:bottom w:val="single" w:sz="4" w:space="0" w:color="auto"/>
            </w:tcBorders>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172</w:t>
            </w:r>
          </w:p>
        </w:tc>
      </w:tr>
      <w:tr w:rsidR="00510BE6">
        <w:trPr>
          <w:jc w:val="center"/>
        </w:trPr>
        <w:tc>
          <w:tcPr>
            <w:tcW w:w="4560" w:type="dxa"/>
            <w:tcBorders>
              <w:top w:val="single" w:sz="4" w:space="0" w:color="auto"/>
              <w:bottom w:val="single" w:sz="4" w:space="0" w:color="auto"/>
            </w:tcBorders>
          </w:tcPr>
          <w:p w:rsidR="00510BE6" w:rsidRDefault="007D475F" w:rsidP="005D7B68">
            <w:pPr>
              <w:tabs>
                <w:tab w:val="left" w:pos="381"/>
                <w:tab w:val="left" w:pos="567"/>
                <w:tab w:val="left" w:pos="1134"/>
                <w:tab w:val="left" w:pos="1701"/>
                <w:tab w:val="left" w:pos="2268"/>
                <w:tab w:val="left" w:pos="2835"/>
              </w:tabs>
              <w:adjustRightInd w:val="0"/>
              <w:snapToGrid w:val="0"/>
              <w:spacing w:after="0"/>
              <w:rPr>
                <w:szCs w:val="24"/>
              </w:rPr>
            </w:pPr>
            <w:r>
              <w:rPr>
                <w:szCs w:val="24"/>
              </w:rPr>
              <w:tab/>
            </w:r>
            <w:r w:rsidR="00510BE6" w:rsidRPr="007D475F">
              <w:rPr>
                <w:snapToGrid w:val="0"/>
                <w:szCs w:val="24"/>
              </w:rPr>
              <w:t>Total</w:t>
            </w:r>
          </w:p>
        </w:tc>
        <w:tc>
          <w:tcPr>
            <w:tcW w:w="1800" w:type="dxa"/>
            <w:tcBorders>
              <w:top w:val="single" w:sz="4" w:space="0" w:color="auto"/>
              <w:bottom w:val="single" w:sz="4" w:space="0" w:color="auto"/>
            </w:tcBorders>
          </w:tcPr>
          <w:p w:rsidR="00510BE6" w:rsidRDefault="00510BE6" w:rsidP="005D7B68">
            <w:pPr>
              <w:tabs>
                <w:tab w:val="left" w:pos="567"/>
                <w:tab w:val="left" w:pos="1134"/>
                <w:tab w:val="left" w:pos="1701"/>
                <w:tab w:val="left" w:pos="2268"/>
                <w:tab w:val="left" w:pos="2835"/>
              </w:tabs>
              <w:spacing w:after="0"/>
              <w:ind w:right="340"/>
              <w:jc w:val="right"/>
              <w:rPr>
                <w:szCs w:val="24"/>
              </w:rPr>
            </w:pPr>
            <w:r>
              <w:rPr>
                <w:szCs w:val="24"/>
              </w:rPr>
              <w:t>114 013</w:t>
            </w:r>
          </w:p>
        </w:tc>
      </w:tr>
    </w:tbl>
    <w:p w:rsidR="00F96013" w:rsidRDefault="00F96013" w:rsidP="005D7B68">
      <w:pPr>
        <w:tabs>
          <w:tab w:val="left" w:pos="567"/>
          <w:tab w:val="left" w:pos="1134"/>
          <w:tab w:val="left" w:pos="1701"/>
          <w:tab w:val="left" w:pos="2268"/>
          <w:tab w:val="left" w:pos="2835"/>
        </w:tabs>
        <w:spacing w:before="120"/>
        <w:rPr>
          <w:lang w:val="fr-FR"/>
        </w:rPr>
      </w:pPr>
      <w:r w:rsidRPr="007D475F">
        <w:rPr>
          <w:b/>
          <w:bCs/>
          <w:i/>
          <w:iCs/>
          <w:vertAlign w:val="superscript"/>
          <w:lang w:val="fr-FR"/>
        </w:rPr>
        <w:t>1</w:t>
      </w:r>
      <w:r w:rsidR="007D475F">
        <w:rPr>
          <w:b/>
          <w:bCs/>
          <w:i/>
          <w:iCs/>
          <w:vertAlign w:val="superscript"/>
          <w:lang w:val="fr-FR"/>
        </w:rPr>
        <w:t xml:space="preserve"> </w:t>
      </w:r>
      <w:r>
        <w:rPr>
          <w:lang w:val="fr-FR"/>
        </w:rPr>
        <w:t>Australiens non compris, par exemple conjoints et accompagnants refoulés</w:t>
      </w:r>
      <w:r w:rsidR="005C2969">
        <w:rPr>
          <w:lang w:val="fr-FR"/>
        </w:rPr>
        <w:t>.</w:t>
      </w:r>
    </w:p>
    <w:p w:rsidR="00F96013" w:rsidRDefault="00F96013" w:rsidP="005D7B68">
      <w:pPr>
        <w:tabs>
          <w:tab w:val="left" w:pos="567"/>
          <w:tab w:val="left" w:pos="1134"/>
          <w:tab w:val="left" w:pos="1701"/>
          <w:tab w:val="left" w:pos="2268"/>
          <w:tab w:val="left" w:pos="2835"/>
        </w:tabs>
        <w:rPr>
          <w:lang w:val="fr-FR"/>
        </w:rPr>
      </w:pPr>
      <w:r w:rsidRPr="007D475F">
        <w:rPr>
          <w:b/>
          <w:bCs/>
          <w:i/>
          <w:iCs/>
          <w:vertAlign w:val="superscript"/>
          <w:lang w:val="fr-FR"/>
        </w:rPr>
        <w:t>2</w:t>
      </w:r>
      <w:r w:rsidR="007D475F">
        <w:rPr>
          <w:b/>
          <w:bCs/>
          <w:i/>
          <w:iCs/>
          <w:vertAlign w:val="superscript"/>
          <w:lang w:val="fr-FR"/>
        </w:rPr>
        <w:t xml:space="preserve"> </w:t>
      </w:r>
      <w:r>
        <w:rPr>
          <w:lang w:val="fr-FR"/>
        </w:rPr>
        <w:t>Toutes les nationalités dont moins de 10 personnes ont été refoulées.</w:t>
      </w:r>
    </w:p>
    <w:p w:rsidR="00F96013" w:rsidRDefault="00F96013" w:rsidP="005D7B68">
      <w:pPr>
        <w:tabs>
          <w:tab w:val="left" w:pos="567"/>
          <w:tab w:val="left" w:pos="1134"/>
          <w:tab w:val="left" w:pos="1701"/>
          <w:tab w:val="left" w:pos="2268"/>
          <w:tab w:val="left" w:pos="2835"/>
        </w:tabs>
        <w:ind w:firstLine="567"/>
        <w:rPr>
          <w:b/>
          <w:lang w:val="fr-FR"/>
        </w:rPr>
      </w:pPr>
      <w:r w:rsidRPr="00F96013">
        <w:rPr>
          <w:b/>
          <w:lang w:val="fr-FR"/>
        </w:rPr>
        <w:t>c)</w:t>
      </w:r>
      <w:r w:rsidRPr="00F96013">
        <w:rPr>
          <w:b/>
          <w:lang w:val="fr-FR"/>
        </w:rPr>
        <w:tab/>
        <w:t>Le nombre de demandeurs d’asile et/ou de migrants en situation irrégulière ou sans papiers déboutés et placés en détention administrative dans des centres de rétention ou d’autres établissements en vertu d’arrangements de rétention particuliers;</w:t>
      </w:r>
    </w:p>
    <w:p w:rsidR="00F96013" w:rsidRPr="00F96013" w:rsidRDefault="00E42058" w:rsidP="005D7B68">
      <w:pPr>
        <w:tabs>
          <w:tab w:val="left" w:pos="567"/>
          <w:tab w:val="left" w:pos="1134"/>
          <w:tab w:val="left" w:pos="1701"/>
          <w:tab w:val="left" w:pos="2268"/>
          <w:tab w:val="left" w:pos="2835"/>
        </w:tabs>
        <w:rPr>
          <w:bCs/>
          <w:lang w:val="fr-FR"/>
        </w:rPr>
      </w:pPr>
      <w:r>
        <w:rPr>
          <w:bCs/>
          <w:lang w:val="fr-FR"/>
        </w:rPr>
        <w:t>320</w:t>
      </w:r>
      <w:r w:rsidR="00F96013">
        <w:rPr>
          <w:bCs/>
          <w:lang w:val="fr-FR"/>
        </w:rPr>
        <w:t>.</w:t>
      </w:r>
      <w:r w:rsidR="00F96013">
        <w:rPr>
          <w:bCs/>
          <w:lang w:val="fr-FR"/>
        </w:rPr>
        <w:tab/>
        <w:t>On a compté 20 029 immigrants clandestins (arrivés par voie maritime ou aérienne)</w:t>
      </w:r>
      <w:r w:rsidR="00AB6E3E">
        <w:rPr>
          <w:bCs/>
          <w:lang w:val="fr-FR"/>
        </w:rPr>
        <w:t xml:space="preserve"> qui ont été placés dans des centres de rétention pour immigrants entre le 1</w:t>
      </w:r>
      <w:r w:rsidR="00AB6E3E" w:rsidRPr="00AB6E3E">
        <w:rPr>
          <w:bCs/>
          <w:vertAlign w:val="superscript"/>
          <w:lang w:val="fr-FR"/>
        </w:rPr>
        <w:t>er</w:t>
      </w:r>
      <w:r w:rsidR="00AB6E3E">
        <w:rPr>
          <w:bCs/>
          <w:lang w:val="fr-FR"/>
        </w:rPr>
        <w:t xml:space="preserve"> janvier 1997 et le 27 juillet 2007, dont les groupes d’âge figurent dans le tableau ci-après</w:t>
      </w:r>
    </w:p>
    <w:tbl>
      <w:tblPr>
        <w:tblW w:w="9284"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1428"/>
        <w:gridCol w:w="1240"/>
        <w:gridCol w:w="1240"/>
        <w:gridCol w:w="1240"/>
        <w:gridCol w:w="1529"/>
        <w:gridCol w:w="952"/>
      </w:tblGrid>
      <w:tr w:rsidR="00AB6E3E" w:rsidRPr="00896E16">
        <w:trPr>
          <w:trHeight w:val="255"/>
          <w:jc w:val="center"/>
        </w:trPr>
        <w:tc>
          <w:tcPr>
            <w:tcW w:w="1655"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17 ans et moins</w:t>
            </w:r>
          </w:p>
        </w:tc>
        <w:tc>
          <w:tcPr>
            <w:tcW w:w="1428"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18-29 ans</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30-39 ans</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40-49 ans</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50-59 ans</w:t>
            </w:r>
          </w:p>
        </w:tc>
        <w:tc>
          <w:tcPr>
            <w:tcW w:w="1529"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 xml:space="preserve">60 ans et </w:t>
            </w:r>
            <w:r w:rsidR="007D475F" w:rsidRPr="00896E16">
              <w:rPr>
                <w:bCs/>
                <w:snapToGrid w:val="0"/>
                <w:sz w:val="20"/>
              </w:rPr>
              <w:t>p</w:t>
            </w:r>
            <w:r w:rsidRPr="00896E16">
              <w:rPr>
                <w:bCs/>
                <w:snapToGrid w:val="0"/>
                <w:sz w:val="20"/>
              </w:rPr>
              <w:t>lus</w:t>
            </w:r>
          </w:p>
        </w:tc>
        <w:tc>
          <w:tcPr>
            <w:tcW w:w="952"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jc w:val="center"/>
              <w:rPr>
                <w:bCs/>
                <w:snapToGrid w:val="0"/>
                <w:sz w:val="20"/>
              </w:rPr>
            </w:pPr>
            <w:r w:rsidRPr="00896E16">
              <w:rPr>
                <w:bCs/>
                <w:snapToGrid w:val="0"/>
                <w:sz w:val="20"/>
              </w:rPr>
              <w:t>Total</w:t>
            </w:r>
          </w:p>
        </w:tc>
      </w:tr>
      <w:tr w:rsidR="00AB6E3E" w:rsidRPr="00896E16">
        <w:trPr>
          <w:trHeight w:val="255"/>
          <w:jc w:val="center"/>
        </w:trPr>
        <w:tc>
          <w:tcPr>
            <w:tcW w:w="1655"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2 931</w:t>
            </w:r>
          </w:p>
        </w:tc>
        <w:tc>
          <w:tcPr>
            <w:tcW w:w="1428"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8 680</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5 536</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2 170</w:t>
            </w:r>
          </w:p>
        </w:tc>
        <w:tc>
          <w:tcPr>
            <w:tcW w:w="1240"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540</w:t>
            </w:r>
          </w:p>
        </w:tc>
        <w:tc>
          <w:tcPr>
            <w:tcW w:w="1529" w:type="dxa"/>
            <w:shd w:val="clear" w:color="auto" w:fill="auto"/>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172</w:t>
            </w:r>
          </w:p>
        </w:tc>
        <w:tc>
          <w:tcPr>
            <w:tcW w:w="952" w:type="dxa"/>
            <w:shd w:val="clear" w:color="auto" w:fill="auto"/>
            <w:noWrap/>
            <w:vAlign w:val="bottom"/>
          </w:tcPr>
          <w:p w:rsidR="00AB6E3E" w:rsidRPr="00896E16" w:rsidRDefault="00AB6E3E" w:rsidP="005D7B68">
            <w:pPr>
              <w:tabs>
                <w:tab w:val="left" w:pos="567"/>
                <w:tab w:val="left" w:pos="1134"/>
                <w:tab w:val="left" w:pos="1701"/>
                <w:tab w:val="left" w:pos="2268"/>
                <w:tab w:val="left" w:pos="2835"/>
              </w:tabs>
              <w:spacing w:before="40" w:after="40"/>
              <w:ind w:right="151"/>
              <w:jc w:val="right"/>
              <w:rPr>
                <w:snapToGrid w:val="0"/>
                <w:sz w:val="20"/>
              </w:rPr>
            </w:pPr>
            <w:r w:rsidRPr="00896E16">
              <w:rPr>
                <w:snapToGrid w:val="0"/>
                <w:sz w:val="20"/>
              </w:rPr>
              <w:t>20 029</w:t>
            </w:r>
          </w:p>
        </w:tc>
      </w:tr>
    </w:tbl>
    <w:p w:rsidR="003F3392" w:rsidRPr="001E72F4" w:rsidRDefault="00E42058" w:rsidP="005D7B68">
      <w:pPr>
        <w:tabs>
          <w:tab w:val="left" w:pos="567"/>
          <w:tab w:val="left" w:pos="1134"/>
          <w:tab w:val="left" w:pos="1701"/>
          <w:tab w:val="left" w:pos="2268"/>
          <w:tab w:val="left" w:pos="2835"/>
        </w:tabs>
        <w:spacing w:before="120"/>
        <w:rPr>
          <w:lang w:val="fr-FR"/>
        </w:rPr>
      </w:pPr>
      <w:r>
        <w:rPr>
          <w:lang w:val="fr-FR"/>
        </w:rPr>
        <w:t>321</w:t>
      </w:r>
      <w:r w:rsidR="00AB6E3E">
        <w:rPr>
          <w:lang w:val="fr-FR"/>
        </w:rPr>
        <w:t>.</w:t>
      </w:r>
      <w:r w:rsidR="00AB6E3E">
        <w:rPr>
          <w:lang w:val="fr-FR"/>
        </w:rPr>
        <w:tab/>
      </w:r>
      <w:r w:rsidR="00463337">
        <w:rPr>
          <w:lang w:val="fr-FR"/>
        </w:rPr>
        <w:t>Sur les 20 029 immigrants clandestins placés dans des centres de rétention entre 1997 et 2007, il y avait 3 928 femmes et 16 101 hommes</w:t>
      </w:r>
      <w:r w:rsidR="008D6B80">
        <w:rPr>
          <w:lang w:val="fr-FR"/>
        </w:rPr>
        <w:t xml:space="preserve">. </w:t>
      </w:r>
      <w:r w:rsidR="00463337">
        <w:rPr>
          <w:lang w:val="fr-FR"/>
        </w:rPr>
        <w:t>Les 10 pays les plus représentés figurent dans le tableau ci-après</w:t>
      </w:r>
      <w:r w:rsidR="00572260">
        <w:rPr>
          <w:lang w:val="fr-FR"/>
        </w:rPr>
        <w:t>:</w:t>
      </w:r>
      <w:r w:rsidR="00463337">
        <w:rPr>
          <w:lang w:val="fr-FR"/>
        </w:rPr>
        <w:t xml:space="preserve"> </w:t>
      </w:r>
    </w:p>
    <w:p w:rsidR="00463337" w:rsidRPr="00463337" w:rsidRDefault="00463337" w:rsidP="005D7B68">
      <w:pPr>
        <w:pStyle w:val="Heading2"/>
        <w:tabs>
          <w:tab w:val="left" w:pos="567"/>
          <w:tab w:val="left" w:pos="1134"/>
          <w:tab w:val="left" w:pos="1701"/>
          <w:tab w:val="left" w:pos="2268"/>
          <w:tab w:val="left" w:pos="2835"/>
        </w:tabs>
        <w:rPr>
          <w:snapToGrid w:val="0"/>
          <w:lang w:val="fr-FR"/>
        </w:rPr>
      </w:pPr>
      <w:bookmarkStart w:id="12" w:name="_Toc193614081"/>
      <w:r w:rsidRPr="00463337">
        <w:rPr>
          <w:snapToGrid w:val="0"/>
          <w:lang w:val="fr-FR"/>
        </w:rPr>
        <w:t xml:space="preserve">Immigrants clandestins arrivés entre 1997 </w:t>
      </w:r>
      <w:r>
        <w:rPr>
          <w:snapToGrid w:val="0"/>
          <w:lang w:val="fr-FR"/>
        </w:rPr>
        <w:t>et</w:t>
      </w:r>
      <w:r w:rsidRPr="00463337">
        <w:rPr>
          <w:snapToGrid w:val="0"/>
          <w:lang w:val="fr-FR"/>
        </w:rPr>
        <w:t xml:space="preserve"> 2007 </w:t>
      </w:r>
      <w:r>
        <w:rPr>
          <w:snapToGrid w:val="0"/>
          <w:lang w:val="fr-FR"/>
        </w:rPr>
        <w:t>– 10 pays les plus représentés</w:t>
      </w:r>
      <w:bookmarkEnd w:id="12"/>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40"/>
        <w:gridCol w:w="1620"/>
      </w:tblGrid>
      <w:tr w:rsidR="00463337" w:rsidRPr="007D7A1E">
        <w:trPr>
          <w:trHeight w:val="255"/>
        </w:trPr>
        <w:tc>
          <w:tcPr>
            <w:tcW w:w="7740" w:type="dxa"/>
            <w:tcBorders>
              <w:top w:val="single" w:sz="4" w:space="0" w:color="auto"/>
              <w:bottom w:val="single" w:sz="4" w:space="0" w:color="auto"/>
              <w:right w:val="single" w:sz="4" w:space="0" w:color="auto"/>
            </w:tcBorders>
            <w:shd w:val="clear" w:color="auto" w:fill="auto"/>
            <w:noWrap/>
            <w:vAlign w:val="bottom"/>
          </w:tcPr>
          <w:p w:rsidR="00463337" w:rsidRPr="007D7A1E" w:rsidRDefault="00A42B56" w:rsidP="005D7B68">
            <w:pPr>
              <w:keepNext/>
              <w:tabs>
                <w:tab w:val="left" w:pos="567"/>
                <w:tab w:val="left" w:pos="1134"/>
                <w:tab w:val="left" w:pos="1701"/>
                <w:tab w:val="left" w:pos="2268"/>
                <w:tab w:val="left" w:pos="2835"/>
              </w:tabs>
              <w:spacing w:before="20" w:after="20"/>
              <w:jc w:val="center"/>
              <w:rPr>
                <w:snapToGrid w:val="0"/>
                <w:sz w:val="20"/>
              </w:rPr>
            </w:pPr>
            <w:r w:rsidRPr="007D7A1E">
              <w:rPr>
                <w:snapToGrid w:val="0"/>
                <w:sz w:val="20"/>
              </w:rPr>
              <w:t>Nationalité</w:t>
            </w:r>
          </w:p>
        </w:tc>
        <w:tc>
          <w:tcPr>
            <w:tcW w:w="1620" w:type="dxa"/>
            <w:tcBorders>
              <w:top w:val="single" w:sz="4" w:space="0" w:color="auto"/>
              <w:left w:val="single" w:sz="4" w:space="0" w:color="auto"/>
              <w:bottom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jc w:val="center"/>
              <w:rPr>
                <w:snapToGrid w:val="0"/>
                <w:sz w:val="20"/>
              </w:rPr>
            </w:pPr>
            <w:r w:rsidRPr="007D7A1E">
              <w:rPr>
                <w:snapToGrid w:val="0"/>
                <w:sz w:val="20"/>
              </w:rPr>
              <w:t>Total</w:t>
            </w:r>
          </w:p>
        </w:tc>
      </w:tr>
      <w:tr w:rsidR="00463337" w:rsidRPr="007D7A1E">
        <w:trPr>
          <w:trHeight w:val="315"/>
        </w:trPr>
        <w:tc>
          <w:tcPr>
            <w:tcW w:w="7740" w:type="dxa"/>
            <w:tcBorders>
              <w:top w:val="single" w:sz="4" w:space="0" w:color="auto"/>
              <w:righ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rPr>
                <w:snapToGrid w:val="0"/>
                <w:sz w:val="20"/>
              </w:rPr>
            </w:pPr>
            <w:smartTag w:uri="urn:schemas-microsoft-com:office:smarttags" w:element="country-region">
              <w:smartTag w:uri="urn:schemas-microsoft-com:office:smarttags" w:element="place">
                <w:r w:rsidRPr="007D7A1E">
                  <w:rPr>
                    <w:snapToGrid w:val="0"/>
                    <w:sz w:val="20"/>
                  </w:rPr>
                  <w:t>Iraq</w:t>
                </w:r>
              </w:smartTag>
            </w:smartTag>
            <w:r w:rsidR="000C1744" w:rsidRPr="007D7A1E">
              <w:rPr>
                <w:b/>
                <w:bCs/>
                <w:snapToGrid w:val="0"/>
                <w:sz w:val="20"/>
              </w:rPr>
              <w:t>*</w:t>
            </w:r>
          </w:p>
        </w:tc>
        <w:tc>
          <w:tcPr>
            <w:tcW w:w="1620" w:type="dxa"/>
            <w:tcBorders>
              <w:top w:val="single" w:sz="4" w:space="0" w:color="auto"/>
              <w:lef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ind w:right="240"/>
              <w:jc w:val="right"/>
              <w:rPr>
                <w:snapToGrid w:val="0"/>
                <w:sz w:val="20"/>
              </w:rPr>
            </w:pPr>
            <w:r w:rsidRPr="007D7A1E">
              <w:rPr>
                <w:snapToGrid w:val="0"/>
                <w:sz w:val="20"/>
              </w:rPr>
              <w:t>5 436</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rPr>
                <w:snapToGrid w:val="0"/>
                <w:sz w:val="20"/>
              </w:rPr>
            </w:pPr>
            <w:smartTag w:uri="urn:schemas-microsoft-com:office:smarttags" w:element="country-region">
              <w:smartTag w:uri="urn:schemas-microsoft-com:office:smarttags" w:element="place">
                <w:r w:rsidRPr="007D7A1E">
                  <w:rPr>
                    <w:snapToGrid w:val="0"/>
                    <w:sz w:val="20"/>
                  </w:rPr>
                  <w:t>Afghanistan</w:t>
                </w:r>
              </w:smartTag>
            </w:smartTag>
            <w:r w:rsidR="000C1744" w:rsidRPr="007D7A1E">
              <w:rPr>
                <w:b/>
                <w:bCs/>
                <w:snapToGrid w:val="0"/>
                <w:sz w:val="20"/>
              </w:rPr>
              <w:t>*</w:t>
            </w:r>
          </w:p>
        </w:tc>
        <w:tc>
          <w:tcPr>
            <w:tcW w:w="1620" w:type="dxa"/>
            <w:tcBorders>
              <w:lef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ind w:right="240"/>
              <w:jc w:val="right"/>
              <w:rPr>
                <w:snapToGrid w:val="0"/>
                <w:sz w:val="20"/>
              </w:rPr>
            </w:pPr>
            <w:r w:rsidRPr="007D7A1E">
              <w:rPr>
                <w:snapToGrid w:val="0"/>
                <w:sz w:val="20"/>
              </w:rPr>
              <w:t>4 337</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keepNext/>
              <w:tabs>
                <w:tab w:val="left" w:pos="567"/>
                <w:tab w:val="left" w:pos="1134"/>
                <w:tab w:val="left" w:pos="1701"/>
                <w:tab w:val="left" w:pos="2268"/>
                <w:tab w:val="left" w:pos="2835"/>
              </w:tabs>
              <w:spacing w:before="20" w:after="20"/>
              <w:rPr>
                <w:snapToGrid w:val="0"/>
                <w:sz w:val="20"/>
                <w:lang w:val="fr-FR"/>
              </w:rPr>
            </w:pPr>
            <w:r w:rsidRPr="007D7A1E">
              <w:rPr>
                <w:snapToGrid w:val="0"/>
                <w:sz w:val="20"/>
                <w:lang w:val="fr-FR"/>
              </w:rPr>
              <w:t>République populaire</w:t>
            </w:r>
            <w:r w:rsidR="00463337" w:rsidRPr="007D7A1E">
              <w:rPr>
                <w:snapToGrid w:val="0"/>
                <w:sz w:val="20"/>
                <w:lang w:val="fr-FR"/>
              </w:rPr>
              <w:t xml:space="preserve"> </w:t>
            </w:r>
            <w:r w:rsidRPr="007D7A1E">
              <w:rPr>
                <w:snapToGrid w:val="0"/>
                <w:sz w:val="20"/>
                <w:lang w:val="fr-FR"/>
              </w:rPr>
              <w:t>de Chine</w:t>
            </w:r>
            <w:r w:rsidR="00463337" w:rsidRPr="007D7A1E">
              <w:rPr>
                <w:snapToGrid w:val="0"/>
                <w:sz w:val="20"/>
                <w:lang w:val="fr-FR"/>
              </w:rPr>
              <w:t xml:space="preserve"> (inc</w:t>
            </w:r>
            <w:r w:rsidR="00EB140F" w:rsidRPr="007D7A1E">
              <w:rPr>
                <w:snapToGrid w:val="0"/>
                <w:sz w:val="20"/>
                <w:lang w:val="fr-FR"/>
              </w:rPr>
              <w:t>.</w:t>
            </w:r>
            <w:r w:rsidR="00463337" w:rsidRPr="007D7A1E">
              <w:rPr>
                <w:snapToGrid w:val="0"/>
                <w:sz w:val="20"/>
                <w:lang w:val="fr-FR"/>
              </w:rPr>
              <w:t xml:space="preserve"> </w:t>
            </w:r>
            <w:r w:rsidR="000C1744" w:rsidRPr="007D7A1E">
              <w:rPr>
                <w:snapToGrid w:val="0"/>
                <w:sz w:val="20"/>
                <w:lang w:val="fr-FR"/>
              </w:rPr>
              <w:t>«</w:t>
            </w:r>
            <w:r w:rsidRPr="007D7A1E">
              <w:rPr>
                <w:snapToGrid w:val="0"/>
                <w:sz w:val="20"/>
                <w:lang w:val="fr-FR"/>
              </w:rPr>
              <w:t>Chine- ainsi déclarée</w:t>
            </w:r>
            <w:r w:rsidR="000C1744" w:rsidRPr="007D7A1E">
              <w:rPr>
                <w:snapToGrid w:val="0"/>
                <w:sz w:val="20"/>
                <w:lang w:val="fr-FR"/>
              </w:rPr>
              <w:t>»</w:t>
            </w:r>
            <w:r w:rsidR="00463337" w:rsidRPr="007D7A1E">
              <w:rPr>
                <w:snapToGrid w:val="0"/>
                <w:sz w:val="20"/>
                <w:lang w:val="fr-FR"/>
              </w:rPr>
              <w:t xml:space="preserve"> </w:t>
            </w:r>
            <w:r w:rsidRPr="007D7A1E">
              <w:rPr>
                <w:snapToGrid w:val="0"/>
                <w:sz w:val="20"/>
                <w:lang w:val="fr-FR"/>
              </w:rPr>
              <w:t>et</w:t>
            </w:r>
            <w:r w:rsidR="00572260" w:rsidRPr="007D7A1E">
              <w:rPr>
                <w:snapToGrid w:val="0"/>
                <w:sz w:val="20"/>
                <w:lang w:val="fr-FR"/>
              </w:rPr>
              <w:t xml:space="preserve"> </w:t>
            </w:r>
            <w:r w:rsidRPr="007D7A1E">
              <w:rPr>
                <w:snapToGrid w:val="0"/>
                <w:sz w:val="20"/>
                <w:lang w:val="fr-FR"/>
              </w:rPr>
              <w:t>résidents de Hong Kong</w:t>
            </w:r>
            <w:r w:rsidR="00463337" w:rsidRPr="007D7A1E">
              <w:rPr>
                <w:snapToGrid w:val="0"/>
                <w:sz w:val="20"/>
                <w:lang w:val="fr-FR"/>
              </w:rPr>
              <w:t>) (</w:t>
            </w:r>
            <w:r w:rsidRPr="007D7A1E">
              <w:rPr>
                <w:i/>
                <w:snapToGrid w:val="0"/>
                <w:sz w:val="20"/>
                <w:lang w:val="fr-FR"/>
              </w:rPr>
              <w:t>pêcheurs étrangers en situation irrégulière non compris</w:t>
            </w:r>
            <w:r w:rsidR="00463337" w:rsidRPr="007D7A1E">
              <w:rPr>
                <w:snapToGrid w:val="0"/>
                <w:sz w:val="20"/>
                <w:lang w:val="fr-FR"/>
              </w:rPr>
              <w:t>)</w:t>
            </w:r>
          </w:p>
        </w:tc>
        <w:tc>
          <w:tcPr>
            <w:tcW w:w="1620" w:type="dxa"/>
            <w:tcBorders>
              <w:lef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ind w:right="240"/>
              <w:jc w:val="right"/>
              <w:rPr>
                <w:snapToGrid w:val="0"/>
                <w:sz w:val="20"/>
                <w:lang w:val="fr-FR"/>
              </w:rPr>
            </w:pPr>
            <w:r w:rsidRPr="007D7A1E">
              <w:rPr>
                <w:snapToGrid w:val="0"/>
                <w:sz w:val="20"/>
                <w:lang w:val="fr-FR"/>
              </w:rPr>
              <w:t>1 570</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rPr>
                <w:snapToGrid w:val="0"/>
                <w:sz w:val="20"/>
                <w:lang w:val="fr-FR"/>
              </w:rPr>
            </w:pPr>
            <w:r w:rsidRPr="007D7A1E">
              <w:rPr>
                <w:snapToGrid w:val="0"/>
                <w:sz w:val="20"/>
                <w:lang w:val="fr-FR"/>
              </w:rPr>
              <w:t>Iran</w:t>
            </w:r>
            <w:r w:rsidR="000C1744" w:rsidRPr="007D7A1E">
              <w:rPr>
                <w:b/>
                <w:bCs/>
                <w:snapToGrid w:val="0"/>
                <w:sz w:val="20"/>
                <w:lang w:val="fr-FR"/>
              </w:rPr>
              <w:t>*</w:t>
            </w:r>
          </w:p>
        </w:tc>
        <w:tc>
          <w:tcPr>
            <w:tcW w:w="1620" w:type="dxa"/>
            <w:tcBorders>
              <w:left w:val="single" w:sz="4" w:space="0" w:color="auto"/>
            </w:tcBorders>
            <w:shd w:val="clear" w:color="auto" w:fill="auto"/>
            <w:noWrap/>
            <w:vAlign w:val="bottom"/>
          </w:tcPr>
          <w:p w:rsidR="00463337" w:rsidRPr="007D7A1E" w:rsidRDefault="00463337" w:rsidP="005D7B68">
            <w:pPr>
              <w:keepNext/>
              <w:tabs>
                <w:tab w:val="left" w:pos="567"/>
                <w:tab w:val="left" w:pos="1134"/>
                <w:tab w:val="left" w:pos="1701"/>
                <w:tab w:val="left" w:pos="2268"/>
                <w:tab w:val="left" w:pos="2835"/>
              </w:tabs>
              <w:spacing w:before="20" w:after="20"/>
              <w:ind w:right="240"/>
              <w:jc w:val="right"/>
              <w:rPr>
                <w:snapToGrid w:val="0"/>
                <w:sz w:val="20"/>
                <w:lang w:val="fr-FR"/>
              </w:rPr>
            </w:pPr>
            <w:r w:rsidRPr="007D7A1E">
              <w:rPr>
                <w:snapToGrid w:val="0"/>
                <w:sz w:val="20"/>
                <w:lang w:val="fr-FR"/>
              </w:rPr>
              <w:t>1 002</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tabs>
                <w:tab w:val="left" w:pos="567"/>
                <w:tab w:val="left" w:pos="1134"/>
                <w:tab w:val="left" w:pos="1701"/>
                <w:tab w:val="left" w:pos="2268"/>
                <w:tab w:val="left" w:pos="2835"/>
              </w:tabs>
              <w:spacing w:before="20" w:after="20"/>
              <w:rPr>
                <w:snapToGrid w:val="0"/>
                <w:sz w:val="20"/>
                <w:lang w:val="fr-FR"/>
              </w:rPr>
            </w:pPr>
            <w:r w:rsidRPr="007D7A1E">
              <w:rPr>
                <w:snapToGrid w:val="0"/>
                <w:sz w:val="20"/>
                <w:lang w:val="fr-FR"/>
              </w:rPr>
              <w:t>Malaisie</w:t>
            </w:r>
          </w:p>
        </w:tc>
        <w:tc>
          <w:tcPr>
            <w:tcW w:w="1620" w:type="dxa"/>
            <w:tcBorders>
              <w:lef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lang w:val="fr-FR"/>
              </w:rPr>
            </w:pPr>
            <w:r w:rsidRPr="007D7A1E">
              <w:rPr>
                <w:snapToGrid w:val="0"/>
                <w:sz w:val="20"/>
                <w:lang w:val="fr-FR"/>
              </w:rPr>
              <w:t>898</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rPr>
                <w:snapToGrid w:val="0"/>
                <w:sz w:val="20"/>
                <w:lang w:val="fr-FR"/>
              </w:rPr>
            </w:pPr>
            <w:r w:rsidRPr="007D7A1E">
              <w:rPr>
                <w:snapToGrid w:val="0"/>
                <w:sz w:val="20"/>
                <w:lang w:val="fr-FR"/>
              </w:rPr>
              <w:t>Sri Lanka</w:t>
            </w:r>
          </w:p>
        </w:tc>
        <w:tc>
          <w:tcPr>
            <w:tcW w:w="1620" w:type="dxa"/>
            <w:tcBorders>
              <w:lef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lang w:val="fr-FR"/>
              </w:rPr>
            </w:pPr>
            <w:r w:rsidRPr="007D7A1E">
              <w:rPr>
                <w:snapToGrid w:val="0"/>
                <w:sz w:val="20"/>
                <w:lang w:val="fr-FR"/>
              </w:rPr>
              <w:t>788</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tabs>
                <w:tab w:val="left" w:pos="567"/>
                <w:tab w:val="left" w:pos="1134"/>
                <w:tab w:val="left" w:pos="1701"/>
                <w:tab w:val="left" w:pos="2268"/>
                <w:tab w:val="left" w:pos="2835"/>
              </w:tabs>
              <w:spacing w:before="20" w:after="20"/>
              <w:rPr>
                <w:snapToGrid w:val="0"/>
                <w:sz w:val="20"/>
                <w:lang w:val="fr-FR"/>
              </w:rPr>
            </w:pPr>
            <w:r w:rsidRPr="007D7A1E">
              <w:rPr>
                <w:snapToGrid w:val="0"/>
                <w:sz w:val="20"/>
                <w:lang w:val="fr-FR"/>
              </w:rPr>
              <w:t>Indonésie</w:t>
            </w:r>
            <w:r w:rsidR="00463337" w:rsidRPr="007D7A1E">
              <w:rPr>
                <w:snapToGrid w:val="0"/>
                <w:sz w:val="20"/>
                <w:lang w:val="fr-FR"/>
              </w:rPr>
              <w:t xml:space="preserve"> (</w:t>
            </w:r>
            <w:r w:rsidRPr="007D7A1E">
              <w:rPr>
                <w:i/>
                <w:snapToGrid w:val="0"/>
                <w:sz w:val="20"/>
                <w:lang w:val="fr-FR"/>
              </w:rPr>
              <w:t>pêcheurs étrangers en situation irrégulière non compris</w:t>
            </w:r>
            <w:r w:rsidR="00463337" w:rsidRPr="007D7A1E">
              <w:rPr>
                <w:snapToGrid w:val="0"/>
                <w:sz w:val="20"/>
                <w:lang w:val="fr-FR"/>
              </w:rPr>
              <w:t>)</w:t>
            </w:r>
          </w:p>
        </w:tc>
        <w:tc>
          <w:tcPr>
            <w:tcW w:w="1620" w:type="dxa"/>
            <w:tcBorders>
              <w:lef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lang w:val="fr-FR"/>
              </w:rPr>
            </w:pPr>
            <w:r w:rsidRPr="007D7A1E">
              <w:rPr>
                <w:snapToGrid w:val="0"/>
                <w:sz w:val="20"/>
                <w:lang w:val="fr-FR"/>
              </w:rPr>
              <w:t>563</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tabs>
                <w:tab w:val="left" w:pos="567"/>
                <w:tab w:val="left" w:pos="1134"/>
                <w:tab w:val="left" w:pos="1701"/>
                <w:tab w:val="left" w:pos="2268"/>
                <w:tab w:val="left" w:pos="2835"/>
              </w:tabs>
              <w:spacing w:before="20" w:after="20"/>
              <w:rPr>
                <w:snapToGrid w:val="0"/>
                <w:sz w:val="20"/>
              </w:rPr>
            </w:pPr>
            <w:r w:rsidRPr="007D7A1E">
              <w:rPr>
                <w:snapToGrid w:val="0"/>
                <w:sz w:val="20"/>
                <w:lang w:val="fr-FR"/>
              </w:rPr>
              <w:t xml:space="preserve">Corée, </w:t>
            </w:r>
            <w:r w:rsidRPr="007D7A1E">
              <w:rPr>
                <w:snapToGrid w:val="0"/>
                <w:sz w:val="20"/>
              </w:rPr>
              <w:t>République de (Sud</w:t>
            </w:r>
            <w:r w:rsidR="00463337" w:rsidRPr="007D7A1E">
              <w:rPr>
                <w:snapToGrid w:val="0"/>
                <w:sz w:val="20"/>
              </w:rPr>
              <w:t>)</w:t>
            </w:r>
          </w:p>
        </w:tc>
        <w:tc>
          <w:tcPr>
            <w:tcW w:w="1620" w:type="dxa"/>
            <w:tcBorders>
              <w:lef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rPr>
            </w:pPr>
            <w:r w:rsidRPr="007D7A1E">
              <w:rPr>
                <w:snapToGrid w:val="0"/>
                <w:sz w:val="20"/>
              </w:rPr>
              <w:t>328</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tabs>
                <w:tab w:val="left" w:pos="567"/>
                <w:tab w:val="left" w:pos="1134"/>
                <w:tab w:val="left" w:pos="1701"/>
                <w:tab w:val="left" w:pos="2268"/>
                <w:tab w:val="left" w:pos="2835"/>
              </w:tabs>
              <w:spacing w:before="20" w:after="20"/>
              <w:rPr>
                <w:snapToGrid w:val="0"/>
                <w:sz w:val="20"/>
              </w:rPr>
            </w:pPr>
            <w:r w:rsidRPr="007D7A1E">
              <w:rPr>
                <w:snapToGrid w:val="0"/>
                <w:sz w:val="20"/>
              </w:rPr>
              <w:t>Thaï</w:t>
            </w:r>
            <w:r w:rsidR="00463337" w:rsidRPr="007D7A1E">
              <w:rPr>
                <w:snapToGrid w:val="0"/>
                <w:sz w:val="20"/>
              </w:rPr>
              <w:t>land</w:t>
            </w:r>
            <w:r w:rsidRPr="007D7A1E">
              <w:rPr>
                <w:snapToGrid w:val="0"/>
                <w:sz w:val="20"/>
              </w:rPr>
              <w:t>e</w:t>
            </w:r>
          </w:p>
        </w:tc>
        <w:tc>
          <w:tcPr>
            <w:tcW w:w="1620" w:type="dxa"/>
            <w:tcBorders>
              <w:left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rPr>
            </w:pPr>
            <w:r w:rsidRPr="007D7A1E">
              <w:rPr>
                <w:snapToGrid w:val="0"/>
                <w:sz w:val="20"/>
              </w:rPr>
              <w:t>322</w:t>
            </w:r>
          </w:p>
        </w:tc>
      </w:tr>
      <w:tr w:rsidR="00463337" w:rsidRPr="007D7A1E">
        <w:trPr>
          <w:trHeight w:val="315"/>
        </w:trPr>
        <w:tc>
          <w:tcPr>
            <w:tcW w:w="7740" w:type="dxa"/>
            <w:tcBorders>
              <w:right w:val="single" w:sz="4" w:space="0" w:color="auto"/>
            </w:tcBorders>
            <w:shd w:val="clear" w:color="auto" w:fill="auto"/>
            <w:noWrap/>
            <w:vAlign w:val="bottom"/>
          </w:tcPr>
          <w:p w:rsidR="00463337" w:rsidRPr="007D7A1E" w:rsidRDefault="00A42B56" w:rsidP="005D7B68">
            <w:pPr>
              <w:tabs>
                <w:tab w:val="left" w:pos="567"/>
                <w:tab w:val="left" w:pos="1134"/>
                <w:tab w:val="left" w:pos="1701"/>
                <w:tab w:val="left" w:pos="2268"/>
                <w:tab w:val="left" w:pos="2835"/>
              </w:tabs>
              <w:spacing w:before="20" w:after="20"/>
              <w:rPr>
                <w:snapToGrid w:val="0"/>
                <w:sz w:val="20"/>
              </w:rPr>
            </w:pPr>
            <w:r w:rsidRPr="007D7A1E">
              <w:rPr>
                <w:snapToGrid w:val="0"/>
                <w:sz w:val="20"/>
              </w:rPr>
              <w:t>Nouvelle</w:t>
            </w:r>
            <w:r w:rsidR="000C1744" w:rsidRPr="007D7A1E">
              <w:rPr>
                <w:snapToGrid w:val="0"/>
                <w:sz w:val="20"/>
              </w:rPr>
              <w:noBreakHyphen/>
            </w:r>
            <w:r w:rsidRPr="007D7A1E">
              <w:rPr>
                <w:snapToGrid w:val="0"/>
                <w:sz w:val="20"/>
              </w:rPr>
              <w:t>Zélande</w:t>
            </w:r>
          </w:p>
        </w:tc>
        <w:tc>
          <w:tcPr>
            <w:tcW w:w="1620" w:type="dxa"/>
            <w:tcBorders>
              <w:left w:val="single" w:sz="4" w:space="0" w:color="auto"/>
              <w:bottom w:val="single" w:sz="4" w:space="0" w:color="auto"/>
            </w:tcBorders>
            <w:shd w:val="clear" w:color="auto" w:fill="auto"/>
            <w:noWrap/>
            <w:vAlign w:val="bottom"/>
          </w:tcPr>
          <w:p w:rsidR="00463337" w:rsidRPr="007D7A1E" w:rsidRDefault="00463337" w:rsidP="005D7B68">
            <w:pPr>
              <w:tabs>
                <w:tab w:val="left" w:pos="567"/>
                <w:tab w:val="left" w:pos="1134"/>
                <w:tab w:val="left" w:pos="1701"/>
                <w:tab w:val="left" w:pos="2268"/>
                <w:tab w:val="left" w:pos="2835"/>
              </w:tabs>
              <w:spacing w:before="20" w:after="20"/>
              <w:ind w:right="240"/>
              <w:jc w:val="right"/>
              <w:rPr>
                <w:snapToGrid w:val="0"/>
                <w:sz w:val="20"/>
              </w:rPr>
            </w:pPr>
            <w:r w:rsidRPr="007D7A1E">
              <w:rPr>
                <w:snapToGrid w:val="0"/>
                <w:sz w:val="20"/>
              </w:rPr>
              <w:t>271</w:t>
            </w:r>
          </w:p>
        </w:tc>
      </w:tr>
    </w:tbl>
    <w:p w:rsidR="00463337" w:rsidRDefault="000C1744" w:rsidP="005D7B68">
      <w:pPr>
        <w:tabs>
          <w:tab w:val="left" w:pos="567"/>
          <w:tab w:val="left" w:pos="1134"/>
          <w:tab w:val="left" w:pos="1701"/>
          <w:tab w:val="left" w:pos="2268"/>
          <w:tab w:val="left" w:pos="2835"/>
        </w:tabs>
        <w:spacing w:before="240"/>
        <w:rPr>
          <w:snapToGrid w:val="0"/>
          <w:lang w:val="fr-FR"/>
        </w:rPr>
      </w:pPr>
      <w:r>
        <w:rPr>
          <w:b/>
          <w:bCs/>
          <w:snapToGrid w:val="0"/>
          <w:lang w:val="fr-FR"/>
        </w:rPr>
        <w:t>*</w:t>
      </w:r>
      <w:r w:rsidR="00572260">
        <w:rPr>
          <w:snapToGrid w:val="0"/>
          <w:lang w:val="fr-FR"/>
        </w:rPr>
        <w:t xml:space="preserve"> </w:t>
      </w:r>
      <w:r w:rsidR="00821AFE" w:rsidRPr="00821AFE">
        <w:rPr>
          <w:snapToGrid w:val="0"/>
          <w:lang w:val="fr-FR"/>
        </w:rPr>
        <w:t>La plupart des ressortissants irakiens</w:t>
      </w:r>
      <w:r w:rsidR="00463337" w:rsidRPr="00821AFE">
        <w:rPr>
          <w:snapToGrid w:val="0"/>
          <w:lang w:val="fr-FR"/>
        </w:rPr>
        <w:t xml:space="preserve">, </w:t>
      </w:r>
      <w:r w:rsidR="00821AFE" w:rsidRPr="00821AFE">
        <w:rPr>
          <w:snapToGrid w:val="0"/>
          <w:lang w:val="fr-FR"/>
        </w:rPr>
        <w:t>afghans</w:t>
      </w:r>
      <w:r w:rsidR="00463337" w:rsidRPr="00821AFE">
        <w:rPr>
          <w:snapToGrid w:val="0"/>
          <w:lang w:val="fr-FR"/>
        </w:rPr>
        <w:t xml:space="preserve"> </w:t>
      </w:r>
      <w:r w:rsidR="00821AFE" w:rsidRPr="00821AFE">
        <w:rPr>
          <w:snapToGrid w:val="0"/>
          <w:lang w:val="fr-FR"/>
        </w:rPr>
        <w:t>et i</w:t>
      </w:r>
      <w:r w:rsidR="00463337" w:rsidRPr="00821AFE">
        <w:rPr>
          <w:snapToGrid w:val="0"/>
          <w:lang w:val="fr-FR"/>
        </w:rPr>
        <w:t>ran</w:t>
      </w:r>
      <w:r w:rsidR="00821AFE" w:rsidRPr="00821AFE">
        <w:rPr>
          <w:snapToGrid w:val="0"/>
          <w:lang w:val="fr-FR"/>
        </w:rPr>
        <w:t>iens</w:t>
      </w:r>
      <w:r w:rsidR="00463337" w:rsidRPr="00821AFE">
        <w:rPr>
          <w:snapToGrid w:val="0"/>
          <w:lang w:val="fr-FR"/>
        </w:rPr>
        <w:t xml:space="preserve"> </w:t>
      </w:r>
      <w:r w:rsidR="00821AFE" w:rsidRPr="00821AFE">
        <w:rPr>
          <w:snapToGrid w:val="0"/>
          <w:lang w:val="fr-FR"/>
        </w:rPr>
        <w:t xml:space="preserve">avaient été </w:t>
      </w:r>
      <w:r w:rsidR="00821AFE">
        <w:rPr>
          <w:snapToGrid w:val="0"/>
          <w:lang w:val="fr-FR"/>
        </w:rPr>
        <w:t>placé</w:t>
      </w:r>
      <w:r w:rsidR="00821AFE" w:rsidRPr="00821AFE">
        <w:rPr>
          <w:snapToGrid w:val="0"/>
          <w:lang w:val="fr-FR"/>
        </w:rPr>
        <w:t>s en détention</w:t>
      </w:r>
      <w:r w:rsidR="00463337" w:rsidRPr="00821AFE">
        <w:rPr>
          <w:snapToGrid w:val="0"/>
          <w:lang w:val="fr-FR"/>
        </w:rPr>
        <w:t xml:space="preserve"> </w:t>
      </w:r>
      <w:r w:rsidR="00821AFE">
        <w:rPr>
          <w:snapToGrid w:val="0"/>
          <w:lang w:val="fr-FR"/>
        </w:rPr>
        <w:t>en tant qu’immigrants clandestins arrivés par bateau</w:t>
      </w:r>
      <w:r w:rsidR="00463337" w:rsidRPr="00821AFE">
        <w:rPr>
          <w:snapToGrid w:val="0"/>
          <w:lang w:val="fr-FR"/>
        </w:rPr>
        <w:t xml:space="preserve"> </w:t>
      </w:r>
      <w:r w:rsidR="00821AFE">
        <w:rPr>
          <w:snapToGrid w:val="0"/>
          <w:lang w:val="fr-FR"/>
        </w:rPr>
        <w:t>entre</w:t>
      </w:r>
      <w:r w:rsidR="00463337" w:rsidRPr="00821AFE">
        <w:rPr>
          <w:snapToGrid w:val="0"/>
          <w:lang w:val="fr-FR"/>
        </w:rPr>
        <w:t xml:space="preserve"> 1999-2000 </w:t>
      </w:r>
      <w:r w:rsidR="00821AFE">
        <w:rPr>
          <w:snapToGrid w:val="0"/>
          <w:lang w:val="fr-FR"/>
        </w:rPr>
        <w:t>et</w:t>
      </w:r>
      <w:r w:rsidR="00463337" w:rsidRPr="00821AFE">
        <w:rPr>
          <w:snapToGrid w:val="0"/>
          <w:lang w:val="fr-FR"/>
        </w:rPr>
        <w:t xml:space="preserve"> 2000-2001.</w:t>
      </w:r>
    </w:p>
    <w:p w:rsidR="00FD3983" w:rsidRPr="00821AFE" w:rsidRDefault="00E42058" w:rsidP="00D4407B">
      <w:pPr>
        <w:keepNext/>
        <w:tabs>
          <w:tab w:val="left" w:pos="567"/>
          <w:tab w:val="left" w:pos="1134"/>
          <w:tab w:val="left" w:pos="1701"/>
          <w:tab w:val="left" w:pos="2268"/>
          <w:tab w:val="left" w:pos="2835"/>
        </w:tabs>
        <w:spacing w:before="240"/>
        <w:rPr>
          <w:snapToGrid w:val="0"/>
          <w:lang w:val="fr-FR"/>
        </w:rPr>
      </w:pPr>
      <w:r>
        <w:rPr>
          <w:snapToGrid w:val="0"/>
          <w:lang w:val="fr-FR"/>
        </w:rPr>
        <w:t>322</w:t>
      </w:r>
      <w:r w:rsidR="00FD3983">
        <w:rPr>
          <w:snapToGrid w:val="0"/>
          <w:lang w:val="fr-FR"/>
        </w:rPr>
        <w:t>.</w:t>
      </w:r>
      <w:r w:rsidR="00FD3983">
        <w:rPr>
          <w:snapToGrid w:val="0"/>
          <w:lang w:val="fr-FR"/>
        </w:rPr>
        <w:tab/>
        <w:t>Tous les pays concernés sont présentés dans le tableau ci-dessous</w:t>
      </w:r>
      <w:r w:rsidR="00572260">
        <w:rPr>
          <w:snapToGrid w:val="0"/>
          <w:lang w:val="fr-FR"/>
        </w:rPr>
        <w:t>:</w:t>
      </w:r>
    </w:p>
    <w:tbl>
      <w:tblPr>
        <w:tblW w:w="7920" w:type="dxa"/>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6300"/>
        <w:gridCol w:w="1620"/>
      </w:tblGrid>
      <w:tr w:rsidR="00FD3983" w:rsidRPr="007D7A1E" w:rsidTr="007D7A1E">
        <w:trPr>
          <w:trHeight w:val="295"/>
          <w:tblHeader/>
          <w:jc w:val="center"/>
        </w:trPr>
        <w:tc>
          <w:tcPr>
            <w:tcW w:w="6300" w:type="dxa"/>
            <w:tcBorders>
              <w:top w:val="single" w:sz="4" w:space="0" w:color="000000"/>
              <w:bottom w:val="single" w:sz="4" w:space="0" w:color="000000"/>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jc w:val="center"/>
              <w:rPr>
                <w:snapToGrid w:val="0"/>
                <w:sz w:val="20"/>
              </w:rPr>
            </w:pPr>
            <w:r w:rsidRPr="007D7A1E">
              <w:rPr>
                <w:snapToGrid w:val="0"/>
                <w:sz w:val="20"/>
              </w:rPr>
              <w:t>Pays</w:t>
            </w:r>
          </w:p>
        </w:tc>
        <w:tc>
          <w:tcPr>
            <w:tcW w:w="1620" w:type="dxa"/>
            <w:tcBorders>
              <w:top w:val="single" w:sz="4" w:space="0" w:color="000000"/>
              <w:left w:val="single" w:sz="4" w:space="0" w:color="000000"/>
              <w:bottom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jc w:val="center"/>
              <w:rPr>
                <w:snapToGrid w:val="0"/>
                <w:sz w:val="20"/>
              </w:rPr>
            </w:pPr>
            <w:r w:rsidRPr="007D7A1E">
              <w:rPr>
                <w:snapToGrid w:val="0"/>
                <w:sz w:val="20"/>
              </w:rPr>
              <w:t>Nombre</w:t>
            </w:r>
          </w:p>
        </w:tc>
      </w:tr>
      <w:tr w:rsidR="00FD3983" w:rsidRPr="007D7A1E" w:rsidTr="007D7A1E">
        <w:trPr>
          <w:trHeight w:val="295"/>
          <w:jc w:val="center"/>
        </w:trPr>
        <w:tc>
          <w:tcPr>
            <w:tcW w:w="6300" w:type="dxa"/>
            <w:tcBorders>
              <w:top w:val="single" w:sz="4" w:space="0" w:color="000000"/>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Iraq</w:t>
                </w:r>
              </w:smartTag>
            </w:smartTag>
          </w:p>
        </w:tc>
        <w:tc>
          <w:tcPr>
            <w:tcW w:w="1620" w:type="dxa"/>
            <w:tcBorders>
              <w:top w:val="single" w:sz="4" w:space="0" w:color="000000"/>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5 436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Afghanistan</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4 337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 xml:space="preserve">République populaire de Chine (inc </w:t>
            </w:r>
            <w:r w:rsidR="000C1744" w:rsidRPr="007D7A1E">
              <w:rPr>
                <w:snapToGrid w:val="0"/>
                <w:sz w:val="20"/>
                <w:lang w:val="fr-FR"/>
              </w:rPr>
              <w:t>«</w:t>
            </w:r>
            <w:r w:rsidRPr="007D7A1E">
              <w:rPr>
                <w:snapToGrid w:val="0"/>
                <w:sz w:val="20"/>
                <w:lang w:val="fr-FR"/>
              </w:rPr>
              <w:t>Chine – ainsi déclarée</w:t>
            </w:r>
            <w:r w:rsidR="000C1744" w:rsidRPr="007D7A1E">
              <w:rPr>
                <w:snapToGrid w:val="0"/>
                <w:sz w:val="20"/>
                <w:lang w:val="fr-FR"/>
              </w:rPr>
              <w:t>»</w:t>
            </w:r>
            <w:r w:rsidRPr="007D7A1E">
              <w:rPr>
                <w:snapToGrid w:val="0"/>
                <w:sz w:val="20"/>
                <w:lang w:val="fr-FR"/>
              </w:rPr>
              <w:t xml:space="preserve"> et résidents de Hong Kong) (</w:t>
            </w:r>
            <w:r w:rsidRPr="007D7A1E">
              <w:rPr>
                <w:i/>
                <w:snapToGrid w:val="0"/>
                <w:sz w:val="20"/>
                <w:lang w:val="fr-FR"/>
              </w:rPr>
              <w:t>pêcheurs étrangers en situat</w:t>
            </w:r>
            <w:r w:rsidR="00ED60FD" w:rsidRPr="007D7A1E">
              <w:rPr>
                <w:i/>
                <w:snapToGrid w:val="0"/>
                <w:sz w:val="20"/>
                <w:lang w:val="fr-FR"/>
              </w:rPr>
              <w:t>ion</w:t>
            </w:r>
            <w:r w:rsidR="00572260" w:rsidRPr="007D7A1E">
              <w:rPr>
                <w:i/>
                <w:snapToGrid w:val="0"/>
                <w:sz w:val="20"/>
                <w:lang w:val="fr-FR"/>
              </w:rPr>
              <w:t xml:space="preserve"> </w:t>
            </w:r>
            <w:r w:rsidRPr="007D7A1E">
              <w:rPr>
                <w:i/>
                <w:snapToGrid w:val="0"/>
                <w:sz w:val="20"/>
                <w:lang w:val="fr-FR"/>
              </w:rPr>
              <w:t>irrégulière non compris</w:t>
            </w:r>
            <w:r w:rsidRPr="007D7A1E">
              <w:rPr>
                <w:snapToGrid w:val="0"/>
                <w:sz w:val="20"/>
                <w:lang w:val="fr-FR"/>
              </w:rPr>
              <w:t>)</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1 570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Iran</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1 002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Malaisie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898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Sri Lanka</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788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Indonésie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563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Corée, République de (Sud)</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328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Thaïlande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322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EB140F" w:rsidP="00D4407B">
            <w:pPr>
              <w:keepNext/>
              <w:tabs>
                <w:tab w:val="left" w:pos="567"/>
                <w:tab w:val="left" w:pos="1134"/>
                <w:tab w:val="left" w:pos="1701"/>
                <w:tab w:val="left" w:pos="2268"/>
                <w:tab w:val="left" w:pos="2835"/>
              </w:tabs>
              <w:spacing w:after="0"/>
              <w:rPr>
                <w:snapToGrid w:val="0"/>
                <w:sz w:val="20"/>
              </w:rPr>
            </w:pPr>
            <w:r w:rsidRPr="007D7A1E">
              <w:rPr>
                <w:snapToGrid w:val="0"/>
                <w:sz w:val="20"/>
              </w:rPr>
              <w:t>Nouvelle</w:t>
            </w:r>
            <w:r w:rsidRPr="007D7A1E">
              <w:rPr>
                <w:snapToGrid w:val="0"/>
                <w:sz w:val="20"/>
              </w:rPr>
              <w:noBreakHyphen/>
            </w:r>
            <w:r w:rsidR="00FD3983" w:rsidRPr="007D7A1E">
              <w:rPr>
                <w:snapToGrid w:val="0"/>
                <w:sz w:val="20"/>
              </w:rPr>
              <w:t>Zélande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271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Turquie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268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Philippines</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247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Inconnu</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236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Viet Nam</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235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Algérie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228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Inde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224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Autorité palestinienne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187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Somalie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167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Pakistan</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166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Bangladesh</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136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Royaume-Uni</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131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Koweït</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Singapour</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États-Unis d’Amérique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Fidji</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94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Corée (ainsi déclaré)</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75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Japo</w:t>
            </w:r>
            <w:r w:rsidR="00FD3983" w:rsidRPr="007D7A1E">
              <w:rPr>
                <w:snapToGrid w:val="0"/>
                <w:sz w:val="20"/>
              </w:rPr>
              <w:t>n</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71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Syrie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67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Nigeria</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63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Taï</w:t>
            </w:r>
            <w:r w:rsidR="00FD3983" w:rsidRPr="007D7A1E">
              <w:rPr>
                <w:snapToGrid w:val="0"/>
                <w:sz w:val="20"/>
              </w:rPr>
              <w:t>wan</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Tonga</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Italie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Grande-Bretagne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50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Albanie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49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France</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Liban</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Afrique du Sud</w:t>
            </w:r>
            <w:r w:rsidR="00FD3983" w:rsidRPr="007D7A1E">
              <w:rPr>
                <w:snapToGrid w:val="0"/>
                <w:sz w:val="20"/>
                <w:lang w:val="fr-FR"/>
              </w:rPr>
              <w:t xml:space="preserve">, </w:t>
            </w:r>
            <w:r w:rsidRPr="007D7A1E">
              <w:rPr>
                <w:snapToGrid w:val="0"/>
                <w:sz w:val="20"/>
                <w:lang w:val="fr-FR"/>
              </w:rPr>
              <w:t>République</w:t>
            </w:r>
            <w:r w:rsidR="00FD3983" w:rsidRPr="007D7A1E">
              <w:rPr>
                <w:snapToGrid w:val="0"/>
                <w:sz w:val="20"/>
                <w:lang w:val="fr-FR"/>
              </w:rPr>
              <w:t xml:space="preserve"> </w:t>
            </w:r>
            <w:r w:rsidRPr="007D7A1E">
              <w:rPr>
                <w:snapToGrid w:val="0"/>
                <w:sz w:val="20"/>
                <w:lang w:val="fr-FR"/>
              </w:rPr>
              <w:t>d’</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É</w:t>
            </w:r>
            <w:r w:rsidR="00FD3983" w:rsidRPr="007D7A1E">
              <w:rPr>
                <w:snapToGrid w:val="0"/>
                <w:sz w:val="20"/>
              </w:rPr>
              <w:t>gypt</w:t>
            </w:r>
            <w:r w:rsidRPr="007D7A1E">
              <w:rPr>
                <w:snapToGrid w:val="0"/>
                <w:sz w:val="20"/>
              </w:rPr>
              <w:t>e</w:t>
            </w:r>
            <w:r w:rsidR="00FD3983" w:rsidRPr="007D7A1E">
              <w:rPr>
                <w:snapToGrid w:val="0"/>
                <w:sz w:val="20"/>
              </w:rPr>
              <w:t xml:space="preserve">, </w:t>
            </w:r>
            <w:r w:rsidRPr="007D7A1E">
              <w:rPr>
                <w:snapToGrid w:val="0"/>
                <w:sz w:val="20"/>
              </w:rPr>
              <w:t>Ré</w:t>
            </w:r>
            <w:r w:rsidR="00FD3983" w:rsidRPr="007D7A1E">
              <w:rPr>
                <w:snapToGrid w:val="0"/>
                <w:sz w:val="20"/>
              </w:rPr>
              <w:t>publi</w:t>
            </w:r>
            <w:r w:rsidRPr="007D7A1E">
              <w:rPr>
                <w:snapToGrid w:val="0"/>
                <w:sz w:val="20"/>
              </w:rPr>
              <w:t>que d’</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Né</w:t>
            </w:r>
            <w:r w:rsidR="00FD3983" w:rsidRPr="007D7A1E">
              <w:rPr>
                <w:snapToGrid w:val="0"/>
                <w:sz w:val="20"/>
              </w:rPr>
              <w:t>pal</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Fédé</w:t>
            </w:r>
            <w:r w:rsidR="00FD3983" w:rsidRPr="007D7A1E">
              <w:rPr>
                <w:snapToGrid w:val="0"/>
                <w:sz w:val="20"/>
              </w:rPr>
              <w:t>ration</w:t>
            </w:r>
            <w:r w:rsidRPr="007D7A1E">
              <w:rPr>
                <w:snapToGrid w:val="0"/>
                <w:sz w:val="20"/>
              </w:rPr>
              <w:t xml:space="preserve"> de Russie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30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D4407B">
            <w:pPr>
              <w:keepNext/>
              <w:tabs>
                <w:tab w:val="left" w:pos="567"/>
                <w:tab w:val="left" w:pos="1134"/>
                <w:tab w:val="left" w:pos="1701"/>
                <w:tab w:val="left" w:pos="2268"/>
                <w:tab w:val="left" w:pos="2835"/>
              </w:tabs>
              <w:spacing w:after="0"/>
              <w:rPr>
                <w:snapToGrid w:val="0"/>
                <w:sz w:val="20"/>
              </w:rPr>
            </w:pPr>
            <w:r w:rsidRPr="007D7A1E">
              <w:rPr>
                <w:snapToGrid w:val="0"/>
                <w:sz w:val="20"/>
              </w:rPr>
              <w:t>Israë</w:t>
            </w:r>
            <w:r w:rsidR="00FD3983" w:rsidRPr="007D7A1E">
              <w:rPr>
                <w:snapToGrid w:val="0"/>
                <w:sz w:val="20"/>
              </w:rPr>
              <w:t>l</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r w:rsidRPr="007D7A1E">
              <w:rPr>
                <w:snapToGrid w:val="0"/>
                <w:sz w:val="20"/>
              </w:rPr>
              <w:t>Pap</w:t>
            </w:r>
            <w:r w:rsidR="00A3466C" w:rsidRPr="007D7A1E">
              <w:rPr>
                <w:snapToGrid w:val="0"/>
                <w:sz w:val="20"/>
              </w:rPr>
              <w:t>ouasie-Nouvelle-Guinée</w:t>
            </w:r>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Canada</w:t>
                </w:r>
              </w:smartTag>
            </w:smartTag>
          </w:p>
        </w:tc>
        <w:tc>
          <w:tcPr>
            <w:tcW w:w="1620" w:type="dxa"/>
            <w:tcBorders>
              <w:left w:val="single" w:sz="4" w:space="0" w:color="000000"/>
            </w:tcBorders>
            <w:shd w:val="clear" w:color="auto" w:fill="auto"/>
            <w:noWrap/>
            <w:vAlign w:val="bottom"/>
          </w:tcPr>
          <w:p w:rsidR="00FD3983" w:rsidRPr="007D7A1E" w:rsidRDefault="00FD3983" w:rsidP="00D4407B">
            <w:pPr>
              <w:keepNext/>
              <w:tabs>
                <w:tab w:val="left" w:pos="567"/>
                <w:tab w:val="left" w:pos="1134"/>
                <w:tab w:val="left" w:pos="1701"/>
                <w:tab w:val="left" w:pos="2268"/>
                <w:tab w:val="left" w:pos="2835"/>
              </w:tabs>
              <w:spacing w:after="0"/>
              <w:ind w:right="240"/>
              <w:jc w:val="right"/>
              <w:rPr>
                <w:snapToGrid w:val="0"/>
                <w:sz w:val="20"/>
              </w:rPr>
            </w:pPr>
            <w:r w:rsidRPr="007D7A1E">
              <w:rPr>
                <w:snapToGrid w:val="0"/>
                <w:sz w:val="20"/>
              </w:rPr>
              <w:t>27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place">
              <w:r w:rsidRPr="007D7A1E">
                <w:rPr>
                  <w:snapToGrid w:val="0"/>
                  <w:sz w:val="20"/>
                </w:rPr>
                <w:t>Samoa</w:t>
              </w:r>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S</w:t>
            </w:r>
            <w:r w:rsidR="00A3466C" w:rsidRPr="007D7A1E">
              <w:rPr>
                <w:snapToGrid w:val="0"/>
                <w:sz w:val="20"/>
              </w:rPr>
              <w:t>o</w:t>
            </w:r>
            <w:r w:rsidRPr="007D7A1E">
              <w:rPr>
                <w:snapToGrid w:val="0"/>
                <w:sz w:val="20"/>
              </w:rPr>
              <w:t>udan</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Allemagne</w:t>
            </w:r>
            <w:r w:rsidR="00FD3983" w:rsidRPr="007D7A1E">
              <w:rPr>
                <w:snapToGrid w:val="0"/>
                <w:sz w:val="20"/>
                <w:lang w:val="fr-FR"/>
              </w:rPr>
              <w:t xml:space="preserve">, </w:t>
            </w:r>
            <w:r w:rsidRPr="007D7A1E">
              <w:rPr>
                <w:snapToGrid w:val="0"/>
                <w:sz w:val="20"/>
                <w:lang w:val="fr-FR"/>
              </w:rPr>
              <w:t>République fédérale d’</w:t>
            </w:r>
            <w:r w:rsidR="00FD3983" w:rsidRPr="007D7A1E">
              <w:rPr>
                <w:snapToGrid w:val="0"/>
                <w:sz w:val="20"/>
                <w:lang w:val="fr-FR"/>
              </w:rPr>
              <w:t xml:space="preserve"> </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Ghana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Ir</w:t>
            </w:r>
            <w:r w:rsidR="00FD3983" w:rsidRPr="007D7A1E">
              <w:rPr>
                <w:snapToGrid w:val="0"/>
                <w:sz w:val="20"/>
              </w:rPr>
              <w:t>land</w:t>
            </w:r>
            <w:r w:rsidRPr="007D7A1E">
              <w:rPr>
                <w:snapToGrid w:val="0"/>
                <w:sz w:val="20"/>
              </w:rPr>
              <w:t>e</w:t>
            </w:r>
            <w:r w:rsidR="00FD3983" w:rsidRPr="007D7A1E">
              <w:rPr>
                <w:snapToGrid w:val="0"/>
                <w:sz w:val="20"/>
              </w:rPr>
              <w:t xml:space="preserve"> </w:t>
            </w:r>
            <w:r w:rsidRPr="007D7A1E">
              <w:rPr>
                <w:snapToGrid w:val="0"/>
                <w:sz w:val="20"/>
              </w:rPr>
              <w:t>(ainsi déclaré</w:t>
            </w:r>
            <w:r w:rsidR="00FD3983" w:rsidRPr="007D7A1E">
              <w:rPr>
                <w:snapToGrid w:val="0"/>
                <w:sz w:val="20"/>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République d’Irlande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Grè</w:t>
            </w:r>
            <w:r w:rsidR="00FD3983" w:rsidRPr="007D7A1E">
              <w:rPr>
                <w:snapToGrid w:val="0"/>
                <w:sz w:val="20"/>
              </w:rPr>
              <w:t>ce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Colombie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Maroc</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Ressortissants britanniques d’outre-mer</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Ex-</w:t>
            </w:r>
            <w:r w:rsidR="00FD3983" w:rsidRPr="007D7A1E">
              <w:rPr>
                <w:snapToGrid w:val="0"/>
                <w:sz w:val="20"/>
              </w:rPr>
              <w:t>Y</w:t>
            </w:r>
            <w:r w:rsidRPr="007D7A1E">
              <w:rPr>
                <w:snapToGrid w:val="0"/>
                <w:sz w:val="20"/>
              </w:rPr>
              <w:t>ougoslavie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Kenya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Ukraine</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Brés</w:t>
            </w:r>
            <w:r w:rsidR="00FD3983" w:rsidRPr="007D7A1E">
              <w:rPr>
                <w:snapToGrid w:val="0"/>
                <w:sz w:val="20"/>
              </w:rPr>
              <w:t>il</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Angleterre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Espagne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Bulgarie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Pologne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Roumanie</w:t>
            </w:r>
            <w:r w:rsidR="00ED60FD" w:rsidRPr="007D7A1E">
              <w:rPr>
                <w:snapToGrid w:val="0"/>
                <w:sz w:val="20"/>
              </w:rPr>
              <w:t xml:space="preserve"> avant</w:t>
            </w:r>
            <w:r w:rsidR="00B822A8" w:rsidRPr="007D7A1E">
              <w:rPr>
                <w:snapToGrid w:val="0"/>
                <w:sz w:val="20"/>
              </w:rPr>
              <w:t xml:space="preserve"> le</w:t>
            </w:r>
            <w:r w:rsidR="00FD3983" w:rsidRPr="007D7A1E">
              <w:rPr>
                <w:snapToGrid w:val="0"/>
                <w:sz w:val="20"/>
              </w:rPr>
              <w:t xml:space="preserve"> 1/2/2002</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Îles Sa</w:t>
            </w:r>
            <w:r w:rsidR="00FD3983" w:rsidRPr="007D7A1E">
              <w:rPr>
                <w:snapToGrid w:val="0"/>
                <w:sz w:val="20"/>
              </w:rPr>
              <w:t xml:space="preserve">lomon </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Suède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Ho</w:t>
            </w:r>
            <w:r w:rsidR="00FD3983" w:rsidRPr="007D7A1E">
              <w:rPr>
                <w:snapToGrid w:val="0"/>
                <w:sz w:val="20"/>
              </w:rPr>
              <w:t>ng</w:t>
            </w:r>
            <w:r w:rsidRPr="007D7A1E">
              <w:rPr>
                <w:snapToGrid w:val="0"/>
                <w:sz w:val="20"/>
              </w:rPr>
              <w:t>rie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Birmanie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Sierra Leone</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Y</w:t>
            </w:r>
            <w:r w:rsidR="00A3466C" w:rsidRPr="007D7A1E">
              <w:rPr>
                <w:snapToGrid w:val="0"/>
                <w:sz w:val="20"/>
              </w:rPr>
              <w:t>ougoslavie</w:t>
            </w:r>
            <w:r w:rsidRPr="007D7A1E">
              <w:rPr>
                <w:snapToGrid w:val="0"/>
                <w:sz w:val="20"/>
              </w:rPr>
              <w:t xml:space="preserve">, </w:t>
            </w:r>
            <w:r w:rsidR="00A3466C" w:rsidRPr="007D7A1E">
              <w:rPr>
                <w:snapToGrid w:val="0"/>
                <w:sz w:val="20"/>
              </w:rPr>
              <w:t>République fédérale</w:t>
            </w:r>
            <w:r w:rsidRPr="007D7A1E">
              <w:rPr>
                <w:snapToGrid w:val="0"/>
                <w:sz w:val="20"/>
              </w:rPr>
              <w:t xml:space="preserve"> </w:t>
            </w:r>
            <w:r w:rsidR="00A3466C" w:rsidRPr="007D7A1E">
              <w:rPr>
                <w:snapToGrid w:val="0"/>
                <w:sz w:val="20"/>
              </w:rPr>
              <w:t>de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Zaï</w:t>
            </w:r>
            <w:r w:rsidR="00FD3983" w:rsidRPr="007D7A1E">
              <w:rPr>
                <w:snapToGrid w:val="0"/>
                <w:sz w:val="20"/>
              </w:rPr>
              <w:t>re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10</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Ex-Ré</w:t>
            </w:r>
            <w:r w:rsidR="00FD3983" w:rsidRPr="007D7A1E">
              <w:rPr>
                <w:snapToGrid w:val="0"/>
                <w:sz w:val="20"/>
                <w:lang w:val="fr-FR"/>
              </w:rPr>
              <w:t>p</w:t>
            </w:r>
            <w:r w:rsidRPr="007D7A1E">
              <w:rPr>
                <w:snapToGrid w:val="0"/>
                <w:sz w:val="20"/>
                <w:lang w:val="fr-FR"/>
              </w:rPr>
              <w:t>ublique yougoslave de</w:t>
            </w:r>
            <w:r w:rsidR="00FD3983" w:rsidRPr="007D7A1E">
              <w:rPr>
                <w:snapToGrid w:val="0"/>
                <w:sz w:val="20"/>
                <w:lang w:val="fr-FR"/>
              </w:rPr>
              <w:t xml:space="preserve"> </w:t>
            </w:r>
            <w:r w:rsidRPr="007D7A1E">
              <w:rPr>
                <w:snapToGrid w:val="0"/>
                <w:sz w:val="20"/>
                <w:lang w:val="fr-FR"/>
              </w:rPr>
              <w:t>Macé</w:t>
            </w:r>
            <w:r w:rsidR="00FD3983" w:rsidRPr="007D7A1E">
              <w:rPr>
                <w:snapToGrid w:val="0"/>
                <w:sz w:val="20"/>
                <w:lang w:val="fr-FR"/>
              </w:rPr>
              <w:t>do</w:t>
            </w:r>
            <w:r w:rsidRPr="007D7A1E">
              <w:rPr>
                <w:snapToGrid w:val="0"/>
                <w:sz w:val="20"/>
                <w:lang w:val="fr-FR"/>
              </w:rPr>
              <w:t>ine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Jordan</w:t>
            </w:r>
            <w:r w:rsidR="00A3466C" w:rsidRPr="007D7A1E">
              <w:rPr>
                <w:snapToGrid w:val="0"/>
                <w:sz w:val="20"/>
              </w:rPr>
              <w:t>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Pays-Bas</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Tunisie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Yé</w:t>
            </w:r>
            <w:r w:rsidR="00FD3983" w:rsidRPr="007D7A1E">
              <w:rPr>
                <w:snapToGrid w:val="0"/>
                <w:sz w:val="20"/>
              </w:rPr>
              <w:t>men</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9</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Camb</w:t>
            </w:r>
            <w:r w:rsidR="00A3466C" w:rsidRPr="007D7A1E">
              <w:rPr>
                <w:snapToGrid w:val="0"/>
                <w:sz w:val="20"/>
              </w:rPr>
              <w:t>odge, Royaume du</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Éthiopie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Libye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Lituanie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Pérou</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U</w:t>
            </w:r>
            <w:r w:rsidR="00A3466C" w:rsidRPr="007D7A1E">
              <w:rPr>
                <w:snapToGrid w:val="0"/>
                <w:sz w:val="20"/>
              </w:rPr>
              <w:t>RSS</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8</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Da</w:t>
            </w:r>
            <w:r w:rsidR="00FD3983" w:rsidRPr="007D7A1E">
              <w:rPr>
                <w:snapToGrid w:val="0"/>
                <w:sz w:val="20"/>
              </w:rPr>
              <w:t>n</w:t>
            </w:r>
            <w:r w:rsidRPr="007D7A1E">
              <w:rPr>
                <w:snapToGrid w:val="0"/>
                <w:sz w:val="20"/>
              </w:rPr>
              <w:t>e</w:t>
            </w:r>
            <w:r w:rsidR="00FD3983" w:rsidRPr="007D7A1E">
              <w:rPr>
                <w:snapToGrid w:val="0"/>
                <w:sz w:val="20"/>
              </w:rPr>
              <w:t>mark</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7</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r w:rsidRPr="007D7A1E">
              <w:rPr>
                <w:snapToGrid w:val="0"/>
                <w:sz w:val="20"/>
              </w:rPr>
              <w:t>Au</w:t>
            </w:r>
            <w:r w:rsidR="00A3466C" w:rsidRPr="007D7A1E">
              <w:rPr>
                <w:snapToGrid w:val="0"/>
                <w:sz w:val="20"/>
              </w:rPr>
              <w:t>triche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Allemagne</w:t>
            </w:r>
            <w:r w:rsidR="00FD3983" w:rsidRPr="007D7A1E">
              <w:rPr>
                <w:snapToGrid w:val="0"/>
                <w:sz w:val="20"/>
              </w:rPr>
              <w:t xml:space="preserve"> </w:t>
            </w:r>
            <w:r w:rsidRPr="007D7A1E">
              <w:rPr>
                <w:snapToGrid w:val="0"/>
                <w:sz w:val="20"/>
              </w:rPr>
              <w:t>(ainsi déclaré</w:t>
            </w:r>
            <w:r w:rsidR="00FD3983" w:rsidRPr="007D7A1E">
              <w:rPr>
                <w:snapToGrid w:val="0"/>
                <w:sz w:val="20"/>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Liberia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Norvège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6</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3466C" w:rsidP="005D7B68">
            <w:pPr>
              <w:tabs>
                <w:tab w:val="left" w:pos="567"/>
                <w:tab w:val="left" w:pos="1134"/>
                <w:tab w:val="left" w:pos="1701"/>
                <w:tab w:val="left" w:pos="2268"/>
                <w:tab w:val="left" w:pos="2835"/>
              </w:tabs>
              <w:spacing w:after="0"/>
              <w:rPr>
                <w:snapToGrid w:val="0"/>
                <w:sz w:val="20"/>
              </w:rPr>
            </w:pPr>
            <w:r w:rsidRPr="007D7A1E">
              <w:rPr>
                <w:snapToGrid w:val="0"/>
                <w:sz w:val="20"/>
              </w:rPr>
              <w:t>Argentine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Bahrain</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Équateur</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Lao</w:t>
            </w:r>
            <w:r w:rsidR="00A11912" w:rsidRPr="007D7A1E">
              <w:rPr>
                <w:snapToGrid w:val="0"/>
                <w:sz w:val="20"/>
                <w:lang w:val="fr-FR"/>
              </w:rPr>
              <w:t>s, République populaire démocratique du</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Rwanda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Ou</w:t>
            </w:r>
            <w:r w:rsidR="00FD3983" w:rsidRPr="007D7A1E">
              <w:rPr>
                <w:snapToGrid w:val="0"/>
                <w:sz w:val="20"/>
              </w:rPr>
              <w:t>ganda</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5</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Tc</w:t>
            </w:r>
            <w:r w:rsidR="00FD3983" w:rsidRPr="007D7A1E">
              <w:rPr>
                <w:snapToGrid w:val="0"/>
                <w:sz w:val="20"/>
              </w:rPr>
              <w:t>had</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Tchécoslovaquie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Corée,</w:t>
            </w:r>
            <w:r w:rsidR="00FD3983" w:rsidRPr="007D7A1E">
              <w:rPr>
                <w:snapToGrid w:val="0"/>
                <w:sz w:val="20"/>
                <w:lang w:val="fr-FR"/>
              </w:rPr>
              <w:t xml:space="preserve"> </w:t>
            </w:r>
            <w:r w:rsidRPr="007D7A1E">
              <w:rPr>
                <w:snapToGrid w:val="0"/>
                <w:sz w:val="20"/>
                <w:lang w:val="fr-FR"/>
              </w:rPr>
              <w:t>République populaire démocratique de.</w:t>
            </w:r>
            <w:r w:rsidR="00FD3983" w:rsidRPr="007D7A1E">
              <w:rPr>
                <w:snapToGrid w:val="0"/>
                <w:sz w:val="20"/>
                <w:lang w:val="fr-FR"/>
              </w:rPr>
              <w:t xml:space="preserve"> </w:t>
            </w:r>
            <w:r w:rsidRPr="007D7A1E">
              <w:rPr>
                <w:snapToGrid w:val="0"/>
                <w:sz w:val="20"/>
                <w:lang w:val="fr-FR"/>
              </w:rPr>
              <w:t>(Nord</w:t>
            </w:r>
            <w:r w:rsidR="00FD3983" w:rsidRPr="007D7A1E">
              <w:rPr>
                <w:snapToGrid w:val="0"/>
                <w:sz w:val="20"/>
                <w:lang w:val="fr-FR"/>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Moldova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Portugal</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Slovaquie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Venezuela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Zimbabwe</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4</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Amérique</w:t>
            </w:r>
            <w:r w:rsidR="00FD3983" w:rsidRPr="007D7A1E">
              <w:rPr>
                <w:snapToGrid w:val="0"/>
                <w:sz w:val="20"/>
              </w:rPr>
              <w:t xml:space="preserve"> </w:t>
            </w:r>
            <w:r w:rsidRPr="007D7A1E">
              <w:rPr>
                <w:snapToGrid w:val="0"/>
                <w:sz w:val="20"/>
              </w:rPr>
              <w:t>(ainsi déclaré</w:t>
            </w:r>
            <w:r w:rsidR="00FD3983" w:rsidRPr="007D7A1E">
              <w:rPr>
                <w:snapToGrid w:val="0"/>
                <w:sz w:val="20"/>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Angola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Belgique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Botswana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Chili</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Congo</w:t>
                </w:r>
              </w:smartTag>
            </w:smartTag>
            <w:r w:rsidRPr="007D7A1E">
              <w:rPr>
                <w:snapToGrid w:val="0"/>
                <w:sz w:val="20"/>
              </w:rPr>
              <w:t xml:space="preserve">, </w:t>
            </w:r>
            <w:r w:rsidR="00A11912" w:rsidRPr="007D7A1E">
              <w:rPr>
                <w:snapToGrid w:val="0"/>
                <w:sz w:val="20"/>
              </w:rPr>
              <w:t>République</w:t>
            </w:r>
            <w:r w:rsidRPr="007D7A1E">
              <w:rPr>
                <w:snapToGrid w:val="0"/>
                <w:sz w:val="20"/>
              </w:rPr>
              <w:t xml:space="preserve"> </w:t>
            </w:r>
            <w:r w:rsidR="00A11912" w:rsidRPr="007D7A1E">
              <w:rPr>
                <w:snapToGrid w:val="0"/>
                <w:sz w:val="20"/>
              </w:rPr>
              <w:t>du</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Croatie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Kampuchea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Myanmar</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Nauru</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Arabie saoudite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Slovénie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Uruguay</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Vanuatu</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Dépendances britanniques</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Brunei</w:t>
                </w:r>
              </w:smartTag>
            </w:smartTag>
            <w:r w:rsidRPr="007D7A1E">
              <w:rPr>
                <w:snapToGrid w:val="0"/>
                <w:sz w:val="20"/>
              </w:rPr>
              <w:t xml:space="preserve"> Darussalam</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Burundi</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 xml:space="preserve">Îles </w:t>
            </w:r>
            <w:r w:rsidR="00FD3983" w:rsidRPr="007D7A1E">
              <w:rPr>
                <w:snapToGrid w:val="0"/>
                <w:sz w:val="20"/>
              </w:rPr>
              <w:t>Cook</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D51F74"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Cô</w:t>
                </w:r>
                <w:r w:rsidR="00FD3983" w:rsidRPr="007D7A1E">
                  <w:rPr>
                    <w:snapToGrid w:val="0"/>
                    <w:sz w:val="20"/>
                  </w:rPr>
                  <w:t>te d’Ivoire</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République tchèque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République démocratique du</w:t>
            </w:r>
            <w:r w:rsidR="00FD3983" w:rsidRPr="007D7A1E">
              <w:rPr>
                <w:snapToGrid w:val="0"/>
                <w:sz w:val="20"/>
              </w:rPr>
              <w:t xml:space="preserve"> </w:t>
            </w:r>
            <w:smartTag w:uri="urn:schemas-microsoft-com:office:smarttags" w:element="country-region">
              <w:smartTag w:uri="urn:schemas-microsoft-com:office:smarttags" w:element="place">
                <w:r w:rsidR="00FD3983" w:rsidRPr="007D7A1E">
                  <w:rPr>
                    <w:snapToGrid w:val="0"/>
                    <w:sz w:val="20"/>
                  </w:rPr>
                  <w:t>Congo</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A11912" w:rsidP="005D7B68">
            <w:pPr>
              <w:tabs>
                <w:tab w:val="left" w:pos="567"/>
                <w:tab w:val="left" w:pos="1134"/>
                <w:tab w:val="left" w:pos="1701"/>
                <w:tab w:val="left" w:pos="2268"/>
                <w:tab w:val="left" w:pos="2835"/>
              </w:tabs>
              <w:spacing w:after="0"/>
              <w:rPr>
                <w:snapToGrid w:val="0"/>
                <w:sz w:val="20"/>
              </w:rPr>
            </w:pPr>
            <w:r w:rsidRPr="007D7A1E">
              <w:rPr>
                <w:snapToGrid w:val="0"/>
                <w:sz w:val="20"/>
              </w:rPr>
              <w:t>Géorgie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B212AA" w:rsidP="005D7B68">
            <w:pPr>
              <w:tabs>
                <w:tab w:val="left" w:pos="567"/>
                <w:tab w:val="left" w:pos="1134"/>
                <w:tab w:val="left" w:pos="1701"/>
                <w:tab w:val="left" w:pos="2268"/>
                <w:tab w:val="left" w:pos="2835"/>
              </w:tabs>
              <w:spacing w:after="0"/>
              <w:rPr>
                <w:snapToGrid w:val="0"/>
                <w:sz w:val="20"/>
              </w:rPr>
            </w:pPr>
            <w:r w:rsidRPr="007D7A1E">
              <w:rPr>
                <w:snapToGrid w:val="0"/>
                <w:sz w:val="20"/>
              </w:rPr>
              <w:t>Kirgh</w:t>
            </w:r>
            <w:r w:rsidR="00A11912" w:rsidRPr="007D7A1E">
              <w:rPr>
                <w:snapToGrid w:val="0"/>
                <w:sz w:val="20"/>
              </w:rPr>
              <w:t>i</w:t>
            </w:r>
            <w:r w:rsidR="00FD3983" w:rsidRPr="007D7A1E">
              <w:rPr>
                <w:snapToGrid w:val="0"/>
                <w:sz w:val="20"/>
              </w:rPr>
              <w:t>z</w:t>
            </w:r>
            <w:r w:rsidR="00A11912" w:rsidRPr="007D7A1E">
              <w:rPr>
                <w:snapToGrid w:val="0"/>
                <w:sz w:val="20"/>
              </w:rPr>
              <w:t>i</w:t>
            </w:r>
            <w:r w:rsidR="00FD3983" w:rsidRPr="007D7A1E">
              <w:rPr>
                <w:snapToGrid w:val="0"/>
                <w:sz w:val="20"/>
              </w:rPr>
              <w:t>stan</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Lettonie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Séné</w:t>
            </w:r>
            <w:r w:rsidR="00FD3983" w:rsidRPr="007D7A1E">
              <w:rPr>
                <w:snapToGrid w:val="0"/>
                <w:sz w:val="20"/>
              </w:rPr>
              <w:t>gal</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Suisse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Émirats Arabes Unis</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 xml:space="preserve">Viet Nam, </w:t>
            </w:r>
            <w:r w:rsidR="00096B1A" w:rsidRPr="007D7A1E">
              <w:rPr>
                <w:snapToGrid w:val="0"/>
                <w:sz w:val="20"/>
                <w:lang w:val="fr-FR"/>
              </w:rPr>
              <w:t>Sud</w:t>
            </w:r>
            <w:r w:rsidRPr="007D7A1E">
              <w:rPr>
                <w:snapToGrid w:val="0"/>
                <w:sz w:val="20"/>
                <w:lang w:val="fr-FR"/>
              </w:rPr>
              <w:t xml:space="preserve"> </w:t>
            </w:r>
            <w:r w:rsidR="00096B1A" w:rsidRPr="007D7A1E">
              <w:rPr>
                <w:snapToGrid w:val="0"/>
                <w:sz w:val="20"/>
                <w:lang w:val="fr-FR"/>
              </w:rPr>
              <w:t>(ainsi déclaré</w:t>
            </w:r>
            <w:r w:rsidRPr="007D7A1E">
              <w:rPr>
                <w:snapToGrid w:val="0"/>
                <w:sz w:val="20"/>
                <w:lang w:val="fr-FR"/>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Afrique</w:t>
            </w:r>
            <w:r w:rsidR="00FD3983" w:rsidRPr="007D7A1E">
              <w:rPr>
                <w:snapToGrid w:val="0"/>
                <w:sz w:val="20"/>
              </w:rPr>
              <w:t xml:space="preserve"> </w:t>
            </w:r>
            <w:r w:rsidRPr="007D7A1E">
              <w:rPr>
                <w:snapToGrid w:val="0"/>
                <w:sz w:val="20"/>
              </w:rPr>
              <w:t>(ainsi déclaré</w:t>
            </w:r>
            <w:r w:rsidR="00FD3983" w:rsidRPr="007D7A1E">
              <w:rPr>
                <w:snapToGrid w:val="0"/>
                <w:sz w:val="20"/>
              </w:rPr>
              <w: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Arménie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Belarus</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Bosnie-Herzegovine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Territoire britannique d’outre-mer</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Camero</w:t>
            </w:r>
            <w:r w:rsidR="00FD3983" w:rsidRPr="007D7A1E">
              <w:rPr>
                <w:snapToGrid w:val="0"/>
                <w:sz w:val="20"/>
              </w:rPr>
              <w:t>n</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Costa Rica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Cuba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096B1A" w:rsidP="005D7B68">
            <w:pPr>
              <w:tabs>
                <w:tab w:val="left" w:pos="567"/>
                <w:tab w:val="left" w:pos="1134"/>
                <w:tab w:val="left" w:pos="1701"/>
                <w:tab w:val="left" w:pos="2268"/>
                <w:tab w:val="left" w:pos="2835"/>
              </w:tabs>
              <w:spacing w:after="0"/>
              <w:rPr>
                <w:snapToGrid w:val="0"/>
                <w:sz w:val="20"/>
              </w:rPr>
            </w:pPr>
            <w:r w:rsidRPr="007D7A1E">
              <w:rPr>
                <w:snapToGrid w:val="0"/>
                <w:sz w:val="20"/>
              </w:rPr>
              <w:t>Chypre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République démocratique de</w:t>
            </w:r>
            <w:r w:rsidR="00FD3983" w:rsidRPr="007D7A1E">
              <w:rPr>
                <w:snapToGrid w:val="0"/>
                <w:sz w:val="20"/>
                <w:lang w:val="fr-FR"/>
              </w:rPr>
              <w:t xml:space="preserve"> Timor-Leste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Érythrée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Estonie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Kazakhstan</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Kiribati</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Luxembourg</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Malte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Maurice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Mongolie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Mozambique</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Nouvelles</w:t>
            </w:r>
            <w:r w:rsidR="00FD3983" w:rsidRPr="007D7A1E">
              <w:rPr>
                <w:snapToGrid w:val="0"/>
                <w:sz w:val="20"/>
              </w:rPr>
              <w:t xml:space="preserve"> </w:t>
            </w:r>
            <w:r w:rsidRPr="007D7A1E">
              <w:rPr>
                <w:snapToGrid w:val="0"/>
                <w:sz w:val="20"/>
              </w:rPr>
              <w:t>Hé</w:t>
            </w:r>
            <w:r w:rsidR="00FD3983" w:rsidRPr="007D7A1E">
              <w:rPr>
                <w:snapToGrid w:val="0"/>
                <w:sz w:val="20"/>
              </w:rPr>
              <w:t>brides</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Nicaragua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Oman</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Palau</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Panama</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Papouasie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Réfugiés</w:t>
            </w:r>
            <w:r w:rsidR="00FD3983" w:rsidRPr="007D7A1E">
              <w:rPr>
                <w:snapToGrid w:val="0"/>
                <w:sz w:val="20"/>
                <w:lang w:val="fr-FR"/>
              </w:rPr>
              <w:t xml:space="preserve"> </w:t>
            </w:r>
            <w:r w:rsidRPr="007D7A1E">
              <w:rPr>
                <w:snapToGrid w:val="0"/>
                <w:sz w:val="20"/>
                <w:lang w:val="fr-FR"/>
              </w:rPr>
              <w:t>autres que</w:t>
            </w:r>
            <w:r w:rsidR="00541472" w:rsidRPr="007D7A1E">
              <w:rPr>
                <w:snapToGrid w:val="0"/>
                <w:sz w:val="20"/>
                <w:lang w:val="fr-FR"/>
              </w:rPr>
              <w:t xml:space="preserve"> réfugiés ONU</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Serbie</w:t>
            </w:r>
            <w:r w:rsidR="00FD3983" w:rsidRPr="007D7A1E">
              <w:rPr>
                <w:snapToGrid w:val="0"/>
                <w:sz w:val="20"/>
              </w:rPr>
              <w:t xml:space="preserve"> </w:t>
            </w:r>
            <w:r w:rsidRPr="007D7A1E">
              <w:rPr>
                <w:snapToGrid w:val="0"/>
                <w:sz w:val="20"/>
              </w:rPr>
              <w:t>et</w:t>
            </w:r>
            <w:r w:rsidR="00FD3983" w:rsidRPr="007D7A1E">
              <w:rPr>
                <w:snapToGrid w:val="0"/>
                <w:sz w:val="20"/>
              </w:rPr>
              <w:t xml:space="preserve"> </w:t>
            </w:r>
            <w:smartTag w:uri="urn:schemas-microsoft-com:office:smarttags" w:element="country-region">
              <w:smartTag w:uri="urn:schemas-microsoft-com:office:smarttags" w:element="place">
                <w:r w:rsidR="00FD3983" w:rsidRPr="007D7A1E">
                  <w:rPr>
                    <w:snapToGrid w:val="0"/>
                    <w:sz w:val="20"/>
                  </w:rPr>
                  <w:t>Montenegro</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Seychelles</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Tanzanie</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place">
              <w:r w:rsidRPr="007D7A1E">
                <w:rPr>
                  <w:snapToGrid w:val="0"/>
                  <w:sz w:val="20"/>
                </w:rPr>
                <w:t>Timor</w:t>
              </w:r>
            </w:smartTag>
            <w:r w:rsidRPr="007D7A1E">
              <w:rPr>
                <w:snapToGrid w:val="0"/>
                <w:sz w:val="20"/>
              </w:rPr>
              <w:t xml:space="preserve">, </w:t>
            </w:r>
            <w:r w:rsidR="002E3A41" w:rsidRPr="007D7A1E">
              <w:rPr>
                <w:snapToGrid w:val="0"/>
                <w:sz w:val="20"/>
              </w:rPr>
              <w:t>E</w:t>
            </w:r>
            <w:r w:rsidRPr="007D7A1E">
              <w:rPr>
                <w:snapToGrid w:val="0"/>
                <w:sz w:val="20"/>
              </w:rPr>
              <w:t>st</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Trinité-et-</w:t>
            </w:r>
            <w:r w:rsidR="00FD3983" w:rsidRPr="007D7A1E">
              <w:rPr>
                <w:snapToGrid w:val="0"/>
                <w:sz w:val="20"/>
              </w:rPr>
              <w:t>Tobago</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rPr>
                <w:snapToGrid w:val="0"/>
                <w:sz w:val="20"/>
              </w:rPr>
            </w:pPr>
            <w:smartTag w:uri="urn:schemas-microsoft-com:office:smarttags" w:element="country-region">
              <w:smartTag w:uri="urn:schemas-microsoft-com:office:smarttags" w:element="place">
                <w:r w:rsidRPr="007D7A1E">
                  <w:rPr>
                    <w:snapToGrid w:val="0"/>
                    <w:sz w:val="20"/>
                  </w:rPr>
                  <w:t>Tuvalu</w:t>
                </w:r>
              </w:smartTag>
            </w:smartTag>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Ou</w:t>
            </w:r>
            <w:r w:rsidR="00EB140F" w:rsidRPr="007D7A1E">
              <w:rPr>
                <w:snapToGrid w:val="0"/>
                <w:sz w:val="20"/>
              </w:rPr>
              <w:t>zbé</w:t>
            </w:r>
            <w:r w:rsidR="00FD3983" w:rsidRPr="007D7A1E">
              <w:rPr>
                <w:snapToGrid w:val="0"/>
                <w:sz w:val="20"/>
              </w:rPr>
              <w:t>kistan</w:t>
            </w:r>
          </w:p>
        </w:tc>
        <w:tc>
          <w:tcPr>
            <w:tcW w:w="1620" w:type="dxa"/>
            <w:tcBorders>
              <w:left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1</w:t>
            </w:r>
          </w:p>
        </w:tc>
      </w:tr>
      <w:tr w:rsidR="00FD3983" w:rsidRPr="007D7A1E" w:rsidTr="007D7A1E">
        <w:trPr>
          <w:trHeight w:val="295"/>
          <w:jc w:val="center"/>
        </w:trPr>
        <w:tc>
          <w:tcPr>
            <w:tcW w:w="6300" w:type="dxa"/>
            <w:tcBorders>
              <w:bottom w:val="single" w:sz="4" w:space="0" w:color="auto"/>
              <w:right w:val="single" w:sz="4" w:space="0" w:color="000000"/>
            </w:tcBorders>
            <w:shd w:val="clear" w:color="auto" w:fill="auto"/>
            <w:noWrap/>
            <w:vAlign w:val="bottom"/>
          </w:tcPr>
          <w:p w:rsidR="00FD3983" w:rsidRPr="007D7A1E" w:rsidRDefault="002E3A41" w:rsidP="005D7B68">
            <w:pPr>
              <w:tabs>
                <w:tab w:val="left" w:pos="567"/>
                <w:tab w:val="left" w:pos="1134"/>
                <w:tab w:val="left" w:pos="1701"/>
                <w:tab w:val="left" w:pos="2268"/>
                <w:tab w:val="left" w:pos="2835"/>
              </w:tabs>
              <w:spacing w:after="0"/>
              <w:rPr>
                <w:snapToGrid w:val="0"/>
                <w:sz w:val="20"/>
              </w:rPr>
            </w:pPr>
            <w:r w:rsidRPr="007D7A1E">
              <w:rPr>
                <w:snapToGrid w:val="0"/>
                <w:sz w:val="20"/>
              </w:rPr>
              <w:t>Apatrides</w:t>
            </w:r>
          </w:p>
        </w:tc>
        <w:tc>
          <w:tcPr>
            <w:tcW w:w="1620" w:type="dxa"/>
            <w:tcBorders>
              <w:left w:val="single" w:sz="4" w:space="0" w:color="000000"/>
              <w:bottom w:val="single" w:sz="4" w:space="0" w:color="auto"/>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301</w:t>
            </w:r>
          </w:p>
        </w:tc>
      </w:tr>
      <w:tr w:rsidR="00FD3983" w:rsidRPr="007D7A1E" w:rsidTr="007D7A1E">
        <w:trPr>
          <w:trHeight w:val="295"/>
          <w:jc w:val="center"/>
        </w:trPr>
        <w:tc>
          <w:tcPr>
            <w:tcW w:w="6300" w:type="dxa"/>
            <w:tcBorders>
              <w:top w:val="single" w:sz="4" w:space="0" w:color="auto"/>
              <w:bottom w:val="single" w:sz="4" w:space="0" w:color="000000"/>
              <w:right w:val="single" w:sz="4" w:space="0" w:color="000000"/>
            </w:tcBorders>
            <w:shd w:val="clear" w:color="auto" w:fill="auto"/>
            <w:noWrap/>
            <w:vAlign w:val="bottom"/>
          </w:tcPr>
          <w:p w:rsidR="00FD3983" w:rsidRPr="007D7A1E" w:rsidRDefault="00D51F74" w:rsidP="005D7B68">
            <w:pPr>
              <w:tabs>
                <w:tab w:val="left" w:pos="381"/>
                <w:tab w:val="left" w:pos="567"/>
                <w:tab w:val="left" w:pos="1134"/>
                <w:tab w:val="left" w:pos="1701"/>
                <w:tab w:val="left" w:pos="2268"/>
                <w:tab w:val="left" w:pos="2835"/>
              </w:tabs>
              <w:adjustRightInd w:val="0"/>
              <w:snapToGrid w:val="0"/>
              <w:spacing w:after="0"/>
              <w:rPr>
                <w:snapToGrid w:val="0"/>
                <w:sz w:val="20"/>
              </w:rPr>
            </w:pPr>
            <w:r w:rsidRPr="007D7A1E">
              <w:rPr>
                <w:snapToGrid w:val="0"/>
                <w:sz w:val="20"/>
              </w:rPr>
              <w:tab/>
            </w:r>
            <w:r w:rsidR="00FD3983" w:rsidRPr="007D7A1E">
              <w:rPr>
                <w:snapToGrid w:val="0"/>
                <w:sz w:val="20"/>
              </w:rPr>
              <w:t>Total</w:t>
            </w:r>
          </w:p>
        </w:tc>
        <w:tc>
          <w:tcPr>
            <w:tcW w:w="1620" w:type="dxa"/>
            <w:tcBorders>
              <w:top w:val="single" w:sz="4" w:space="0" w:color="auto"/>
              <w:left w:val="single" w:sz="4" w:space="0" w:color="000000"/>
              <w:bottom w:val="single" w:sz="4" w:space="0" w:color="000000"/>
            </w:tcBorders>
            <w:shd w:val="clear" w:color="auto" w:fill="auto"/>
            <w:noWrap/>
            <w:vAlign w:val="bottom"/>
          </w:tcPr>
          <w:p w:rsidR="00FD3983" w:rsidRPr="007D7A1E" w:rsidRDefault="00FD3983" w:rsidP="005D7B68">
            <w:pPr>
              <w:tabs>
                <w:tab w:val="left" w:pos="567"/>
                <w:tab w:val="left" w:pos="1134"/>
                <w:tab w:val="left" w:pos="1701"/>
                <w:tab w:val="left" w:pos="2268"/>
                <w:tab w:val="left" w:pos="2835"/>
              </w:tabs>
              <w:spacing w:after="0"/>
              <w:ind w:right="240"/>
              <w:jc w:val="right"/>
              <w:rPr>
                <w:snapToGrid w:val="0"/>
                <w:sz w:val="20"/>
              </w:rPr>
            </w:pPr>
            <w:r w:rsidRPr="007D7A1E">
              <w:rPr>
                <w:snapToGrid w:val="0"/>
                <w:sz w:val="20"/>
              </w:rPr>
              <w:t>20 029</w:t>
            </w:r>
          </w:p>
        </w:tc>
      </w:tr>
    </w:tbl>
    <w:p w:rsidR="003F3392" w:rsidRDefault="00522588" w:rsidP="005D7B68">
      <w:pPr>
        <w:tabs>
          <w:tab w:val="left" w:pos="567"/>
          <w:tab w:val="left" w:pos="1134"/>
          <w:tab w:val="left" w:pos="1701"/>
          <w:tab w:val="left" w:pos="2268"/>
          <w:tab w:val="left" w:pos="2835"/>
        </w:tabs>
        <w:spacing w:before="120"/>
        <w:rPr>
          <w:b/>
          <w:bCs/>
          <w:lang w:val="fr-FR"/>
        </w:rPr>
      </w:pPr>
      <w:r>
        <w:rPr>
          <w:b/>
          <w:bCs/>
          <w:lang w:val="fr-FR"/>
        </w:rPr>
        <w:t>Résumé des statistiques de placement en rétention</w:t>
      </w:r>
    </w:p>
    <w:p w:rsidR="00522588" w:rsidRPr="00522588" w:rsidRDefault="00E42058" w:rsidP="005D7B68">
      <w:pPr>
        <w:tabs>
          <w:tab w:val="left" w:pos="567"/>
          <w:tab w:val="left" w:pos="1134"/>
          <w:tab w:val="left" w:pos="1701"/>
          <w:tab w:val="left" w:pos="2268"/>
          <w:tab w:val="left" w:pos="2835"/>
        </w:tabs>
        <w:rPr>
          <w:lang w:val="fr-FR"/>
        </w:rPr>
      </w:pPr>
      <w:r>
        <w:rPr>
          <w:lang w:val="fr-FR"/>
        </w:rPr>
        <w:t>323</w:t>
      </w:r>
      <w:r w:rsidR="00522588">
        <w:rPr>
          <w:lang w:val="fr-FR"/>
        </w:rPr>
        <w:t>.</w:t>
      </w:r>
      <w:r w:rsidR="00522588">
        <w:rPr>
          <w:lang w:val="fr-FR"/>
        </w:rPr>
        <w:tab/>
        <w:t>Au 17 août 2007, on comptait 483 personnes placées en détention dans le cadre des contrôles d’immigration, dont 63 en détention au sein de la communauté</w:t>
      </w:r>
      <w:r w:rsidR="008D6B80">
        <w:rPr>
          <w:lang w:val="fr-FR"/>
        </w:rPr>
        <w:t xml:space="preserve">. </w:t>
      </w:r>
      <w:r w:rsidR="00522588">
        <w:rPr>
          <w:lang w:val="fr-FR"/>
        </w:rPr>
        <w:t>Sur ces 483 personnes, 30 étaient des pêcheurs étrangers en situation irr</w:t>
      </w:r>
      <w:r w:rsidR="0016271A">
        <w:rPr>
          <w:lang w:val="fr-FR"/>
        </w:rPr>
        <w:t>é</w:t>
      </w:r>
      <w:r w:rsidR="00522588">
        <w:rPr>
          <w:lang w:val="fr-FR"/>
        </w:rPr>
        <w:t>gulière</w:t>
      </w:r>
      <w:r w:rsidR="008D6B80">
        <w:rPr>
          <w:lang w:val="fr-FR"/>
        </w:rPr>
        <w:t xml:space="preserve">. </w:t>
      </w:r>
      <w:r w:rsidR="0016271A">
        <w:rPr>
          <w:lang w:val="fr-FR"/>
        </w:rPr>
        <w:t>La plupart de ces derniers ne sont maintenus en détention que pendant une courte période, en attendant d’être refoulés</w:t>
      </w:r>
      <w:r w:rsidR="008D6B80">
        <w:rPr>
          <w:lang w:val="fr-FR"/>
        </w:rPr>
        <w:t xml:space="preserve">. </w:t>
      </w:r>
    </w:p>
    <w:tbl>
      <w:tblPr>
        <w:tblW w:w="9320" w:type="dxa"/>
        <w:jc w:val="center"/>
        <w:tblInd w:w="296" w:type="dxa"/>
        <w:tblLook w:val="01E0" w:firstRow="1" w:lastRow="1" w:firstColumn="1" w:lastColumn="1" w:noHBand="0" w:noVBand="0"/>
      </w:tblPr>
      <w:tblGrid>
        <w:gridCol w:w="4897"/>
        <w:gridCol w:w="1105"/>
        <w:gridCol w:w="1106"/>
        <w:gridCol w:w="1106"/>
        <w:gridCol w:w="1106"/>
      </w:tblGrid>
      <w:tr w:rsidR="003E6395" w:rsidRPr="007D7A1E">
        <w:trPr>
          <w:tblHeader/>
          <w:jc w:val="center"/>
        </w:trPr>
        <w:tc>
          <w:tcPr>
            <w:tcW w:w="4897" w:type="dxa"/>
            <w:tcBorders>
              <w:top w:val="single" w:sz="4" w:space="0" w:color="auto"/>
              <w:left w:val="single" w:sz="4" w:space="0" w:color="auto"/>
              <w:bottom w:val="single" w:sz="4" w:space="0" w:color="auto"/>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rPr>
                <w:snapToGrid w:val="0"/>
                <w:sz w:val="20"/>
                <w:lang w:val="en-AU"/>
              </w:rPr>
            </w:pPr>
            <w:r w:rsidRPr="007D7A1E">
              <w:rPr>
                <w:snapToGrid w:val="0"/>
                <w:sz w:val="20"/>
              </w:rPr>
              <w:t xml:space="preserve">Lieu de </w:t>
            </w:r>
            <w:r w:rsidR="00D51F74" w:rsidRPr="007D7A1E">
              <w:rPr>
                <w:snapToGrid w:val="0"/>
                <w:sz w:val="20"/>
              </w:rPr>
              <w:t>retention</w:t>
            </w:r>
          </w:p>
        </w:tc>
        <w:tc>
          <w:tcPr>
            <w:tcW w:w="1105" w:type="dxa"/>
            <w:tcBorders>
              <w:top w:val="single" w:sz="4" w:space="0" w:color="auto"/>
              <w:left w:val="single" w:sz="4" w:space="0" w:color="auto"/>
              <w:bottom w:val="single" w:sz="4" w:space="0" w:color="auto"/>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jc w:val="center"/>
              <w:rPr>
                <w:snapToGrid w:val="0"/>
                <w:sz w:val="20"/>
                <w:lang w:val="en-AU"/>
              </w:rPr>
            </w:pPr>
            <w:r w:rsidRPr="007D7A1E">
              <w:rPr>
                <w:snapToGrid w:val="0"/>
                <w:sz w:val="20"/>
              </w:rPr>
              <w:t>Hommes</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jc w:val="center"/>
              <w:rPr>
                <w:snapToGrid w:val="0"/>
                <w:sz w:val="20"/>
                <w:lang w:val="en-AU"/>
              </w:rPr>
            </w:pPr>
            <w:r w:rsidRPr="007D7A1E">
              <w:rPr>
                <w:snapToGrid w:val="0"/>
                <w:sz w:val="20"/>
              </w:rPr>
              <w:t>Femmes</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jc w:val="center"/>
              <w:rPr>
                <w:snapToGrid w:val="0"/>
                <w:sz w:val="20"/>
                <w:lang w:val="en-AU"/>
              </w:rPr>
            </w:pPr>
            <w:r w:rsidRPr="007D7A1E">
              <w:rPr>
                <w:snapToGrid w:val="0"/>
                <w:sz w:val="20"/>
              </w:rPr>
              <w:t>Enfants</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jc w:val="center"/>
              <w:rPr>
                <w:snapToGrid w:val="0"/>
                <w:sz w:val="20"/>
                <w:lang w:val="en-AU"/>
              </w:rPr>
            </w:pPr>
            <w:r w:rsidRPr="007D7A1E">
              <w:rPr>
                <w:snapToGrid w:val="0"/>
                <w:sz w:val="20"/>
              </w:rPr>
              <w:t>Total</w:t>
            </w:r>
          </w:p>
        </w:tc>
      </w:tr>
      <w:tr w:rsidR="003E6395" w:rsidRPr="007D7A1E">
        <w:trPr>
          <w:jc w:val="center"/>
        </w:trPr>
        <w:tc>
          <w:tcPr>
            <w:tcW w:w="4897" w:type="dxa"/>
            <w:tcBorders>
              <w:top w:val="single" w:sz="4" w:space="0" w:color="auto"/>
              <w:left w:val="single" w:sz="4" w:space="0" w:color="auto"/>
              <w:bottom w:val="nil"/>
              <w:right w:val="single" w:sz="4" w:space="0" w:color="auto"/>
            </w:tcBorders>
          </w:tcPr>
          <w:p w:rsidR="003E6395" w:rsidRPr="007D7A1E" w:rsidRDefault="00AD5AD0"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 xml:space="preserve">IDC (Centre de rétention) de </w:t>
            </w:r>
            <w:r w:rsidR="003E6395" w:rsidRPr="007D7A1E">
              <w:rPr>
                <w:snapToGrid w:val="0"/>
                <w:sz w:val="20"/>
                <w:lang w:val="fr-FR"/>
              </w:rPr>
              <w:t xml:space="preserve">Villawood </w:t>
            </w:r>
          </w:p>
        </w:tc>
        <w:tc>
          <w:tcPr>
            <w:tcW w:w="1105" w:type="dxa"/>
            <w:tcBorders>
              <w:top w:val="single" w:sz="4" w:space="0" w:color="auto"/>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lang w:val="en-AU"/>
              </w:rPr>
            </w:pPr>
            <w:r w:rsidRPr="007D7A1E">
              <w:rPr>
                <w:snapToGrid w:val="0"/>
                <w:sz w:val="20"/>
              </w:rPr>
              <w:t>241</w:t>
            </w:r>
          </w:p>
        </w:tc>
        <w:tc>
          <w:tcPr>
            <w:tcW w:w="1106" w:type="dxa"/>
            <w:tcBorders>
              <w:top w:val="single" w:sz="4" w:space="0" w:color="auto"/>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r w:rsidRPr="007D7A1E">
              <w:rPr>
                <w:snapToGrid w:val="0"/>
                <w:sz w:val="20"/>
                <w:lang w:val="en-AU"/>
              </w:rPr>
              <w:t>21</w:t>
            </w:r>
          </w:p>
        </w:tc>
        <w:tc>
          <w:tcPr>
            <w:tcW w:w="1106" w:type="dxa"/>
            <w:tcBorders>
              <w:top w:val="single" w:sz="4" w:space="0" w:color="auto"/>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single" w:sz="4" w:space="0" w:color="auto"/>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262</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 xml:space="preserve">Northern </w:t>
            </w:r>
            <w:r w:rsidR="00AD5AD0" w:rsidRPr="007D7A1E">
              <w:rPr>
                <w:snapToGrid w:val="0"/>
                <w:sz w:val="20"/>
                <w:lang w:val="fr-FR"/>
              </w:rPr>
              <w:t>IDC</w:t>
            </w:r>
            <w:r w:rsidRPr="007D7A1E">
              <w:rPr>
                <w:snapToGrid w:val="0"/>
                <w:sz w:val="20"/>
                <w:lang w:val="fr-FR"/>
              </w:rPr>
              <w:t xml:space="preserve"> (Darwin)</w:t>
            </w:r>
          </w:p>
        </w:tc>
        <w:tc>
          <w:tcPr>
            <w:tcW w:w="1105"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25</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25</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C</w:t>
            </w:r>
            <w:r w:rsidR="0076107C" w:rsidRPr="007D7A1E">
              <w:rPr>
                <w:snapToGrid w:val="0"/>
                <w:sz w:val="20"/>
                <w:lang w:val="fr-FR"/>
              </w:rPr>
              <w:t>entre de rétention</w:t>
            </w:r>
            <w:r w:rsidRPr="007D7A1E">
              <w:rPr>
                <w:snapToGrid w:val="0"/>
                <w:sz w:val="20"/>
                <w:lang w:val="fr-FR"/>
              </w:rPr>
              <w:t xml:space="preserve"> de Maribyrnong</w:t>
            </w:r>
          </w:p>
        </w:tc>
        <w:tc>
          <w:tcPr>
            <w:tcW w:w="1105"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36</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r w:rsidRPr="007D7A1E">
              <w:rPr>
                <w:snapToGrid w:val="0"/>
                <w:sz w:val="20"/>
              </w:rPr>
              <w:t>6</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42</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C</w:t>
            </w:r>
            <w:r w:rsidR="0076107C" w:rsidRPr="007D7A1E">
              <w:rPr>
                <w:snapToGrid w:val="0"/>
                <w:sz w:val="20"/>
                <w:lang w:val="fr-FR"/>
              </w:rPr>
              <w:t>entre de rétention</w:t>
            </w:r>
            <w:r w:rsidRPr="007D7A1E">
              <w:rPr>
                <w:snapToGrid w:val="0"/>
                <w:sz w:val="20"/>
                <w:lang w:val="fr-FR"/>
              </w:rPr>
              <w:t xml:space="preserve"> de Perth</w:t>
            </w:r>
          </w:p>
        </w:tc>
        <w:tc>
          <w:tcPr>
            <w:tcW w:w="1105"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13</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13</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C</w:t>
            </w:r>
            <w:r w:rsidR="0076107C" w:rsidRPr="007D7A1E">
              <w:rPr>
                <w:snapToGrid w:val="0"/>
                <w:sz w:val="20"/>
                <w:lang w:val="fr-FR"/>
              </w:rPr>
              <w:t>entre de rétention</w:t>
            </w:r>
            <w:r w:rsidRPr="007D7A1E">
              <w:rPr>
                <w:snapToGrid w:val="0"/>
                <w:sz w:val="20"/>
                <w:lang w:val="fr-FR"/>
              </w:rPr>
              <w:t xml:space="preserve"> de Baxter</w:t>
            </w:r>
          </w:p>
        </w:tc>
        <w:tc>
          <w:tcPr>
            <w:tcW w:w="1105"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9</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9</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D4407B">
            <w:pPr>
              <w:keepNext/>
              <w:tabs>
                <w:tab w:val="left" w:pos="567"/>
                <w:tab w:val="left" w:pos="1134"/>
                <w:tab w:val="left" w:pos="1701"/>
                <w:tab w:val="left" w:pos="2268"/>
                <w:tab w:val="left" w:pos="2835"/>
              </w:tabs>
              <w:spacing w:after="0"/>
              <w:rPr>
                <w:snapToGrid w:val="0"/>
                <w:sz w:val="20"/>
                <w:lang w:val="fr-FR"/>
              </w:rPr>
            </w:pPr>
            <w:r w:rsidRPr="007D7A1E">
              <w:rPr>
                <w:snapToGrid w:val="0"/>
                <w:sz w:val="20"/>
                <w:lang w:val="fr-FR"/>
              </w:rPr>
              <w:t>C</w:t>
            </w:r>
            <w:r w:rsidR="0076107C" w:rsidRPr="007D7A1E">
              <w:rPr>
                <w:snapToGrid w:val="0"/>
                <w:sz w:val="20"/>
                <w:lang w:val="fr-FR"/>
              </w:rPr>
              <w:t>entre de rétention</w:t>
            </w:r>
            <w:r w:rsidRPr="007D7A1E">
              <w:rPr>
                <w:snapToGrid w:val="0"/>
                <w:sz w:val="20"/>
                <w:lang w:val="fr-FR"/>
              </w:rPr>
              <w:t xml:space="preserve"> de Christmas Island</w:t>
            </w:r>
          </w:p>
        </w:tc>
        <w:tc>
          <w:tcPr>
            <w:tcW w:w="1105"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2</w:t>
            </w: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lang w:val="en-AU"/>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D4407B">
            <w:pPr>
              <w:keepNext/>
              <w:tabs>
                <w:tab w:val="left" w:pos="567"/>
                <w:tab w:val="left" w:pos="1134"/>
                <w:tab w:val="left" w:pos="1701"/>
                <w:tab w:val="left" w:pos="2268"/>
                <w:tab w:val="left" w:pos="2835"/>
              </w:tabs>
              <w:spacing w:after="0"/>
              <w:ind w:right="170"/>
              <w:jc w:val="right"/>
              <w:rPr>
                <w:snapToGrid w:val="0"/>
                <w:sz w:val="20"/>
              </w:rPr>
            </w:pPr>
            <w:r w:rsidRPr="007D7A1E">
              <w:rPr>
                <w:snapToGrid w:val="0"/>
                <w:sz w:val="20"/>
              </w:rPr>
              <w:t>2</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F</w:t>
            </w:r>
            <w:r w:rsidR="006B2A73" w:rsidRPr="007D7A1E">
              <w:rPr>
                <w:snapToGrid w:val="0"/>
                <w:sz w:val="20"/>
                <w:lang w:val="fr-FR"/>
              </w:rPr>
              <w:t>oyer-logement pour immigrants</w:t>
            </w:r>
            <w:r w:rsidRPr="007D7A1E">
              <w:rPr>
                <w:snapToGrid w:val="0"/>
                <w:sz w:val="20"/>
                <w:lang w:val="fr-FR"/>
              </w:rPr>
              <w:t xml:space="preserve"> de Port Augusta</w:t>
            </w:r>
          </w:p>
        </w:tc>
        <w:tc>
          <w:tcPr>
            <w:tcW w:w="1105"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2</w:t>
            </w: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lang w:val="en-AU"/>
              </w:rPr>
            </w:pP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2</w:t>
            </w:r>
          </w:p>
        </w:tc>
      </w:tr>
      <w:tr w:rsidR="003E6395" w:rsidRPr="007D7A1E">
        <w:trPr>
          <w:jc w:val="center"/>
        </w:trPr>
        <w:tc>
          <w:tcPr>
            <w:tcW w:w="4897" w:type="dxa"/>
            <w:tcBorders>
              <w:top w:val="nil"/>
              <w:left w:val="single" w:sz="4" w:space="0" w:color="auto"/>
              <w:bottom w:val="nil"/>
              <w:right w:val="single" w:sz="4" w:space="0" w:color="auto"/>
            </w:tcBorders>
          </w:tcPr>
          <w:p w:rsidR="003E6395" w:rsidRPr="007D7A1E" w:rsidRDefault="00AD5AD0"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F</w:t>
            </w:r>
            <w:r w:rsidR="006B2A73" w:rsidRPr="007D7A1E">
              <w:rPr>
                <w:snapToGrid w:val="0"/>
                <w:sz w:val="20"/>
                <w:lang w:val="fr-FR"/>
              </w:rPr>
              <w:t>oyer-logement pour immigrants</w:t>
            </w:r>
            <w:r w:rsidRPr="007D7A1E">
              <w:rPr>
                <w:snapToGrid w:val="0"/>
                <w:sz w:val="20"/>
                <w:lang w:val="fr-FR"/>
              </w:rPr>
              <w:t xml:space="preserve"> de Sydney</w:t>
            </w:r>
          </w:p>
        </w:tc>
        <w:tc>
          <w:tcPr>
            <w:tcW w:w="1105"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10</w:t>
            </w: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lang w:val="en-AU"/>
              </w:rPr>
            </w:pPr>
            <w:r w:rsidRPr="007D7A1E">
              <w:rPr>
                <w:snapToGrid w:val="0"/>
                <w:sz w:val="20"/>
              </w:rPr>
              <w:t>5</w:t>
            </w: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8</w:t>
            </w:r>
          </w:p>
        </w:tc>
        <w:tc>
          <w:tcPr>
            <w:tcW w:w="1106" w:type="dxa"/>
            <w:tcBorders>
              <w:top w:val="nil"/>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23</w:t>
            </w:r>
          </w:p>
        </w:tc>
      </w:tr>
      <w:tr w:rsidR="003E6395" w:rsidRPr="007D7A1E">
        <w:trPr>
          <w:jc w:val="center"/>
        </w:trPr>
        <w:tc>
          <w:tcPr>
            <w:tcW w:w="4897" w:type="dxa"/>
            <w:tcBorders>
              <w:top w:val="nil"/>
              <w:left w:val="single" w:sz="4" w:space="0" w:color="auto"/>
              <w:right w:val="single" w:sz="4" w:space="0" w:color="auto"/>
            </w:tcBorders>
          </w:tcPr>
          <w:p w:rsidR="003E6395" w:rsidRPr="007D7A1E" w:rsidRDefault="00AD5AD0"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F</w:t>
            </w:r>
            <w:r w:rsidR="006B2A73" w:rsidRPr="007D7A1E">
              <w:rPr>
                <w:snapToGrid w:val="0"/>
                <w:sz w:val="20"/>
                <w:lang w:val="fr-FR"/>
              </w:rPr>
              <w:t>oyer-logement pour immigrants</w:t>
            </w:r>
            <w:r w:rsidRPr="007D7A1E">
              <w:rPr>
                <w:snapToGrid w:val="0"/>
                <w:sz w:val="20"/>
                <w:lang w:val="fr-FR"/>
              </w:rPr>
              <w:t xml:space="preserve"> de Perth</w:t>
            </w:r>
          </w:p>
        </w:tc>
        <w:tc>
          <w:tcPr>
            <w:tcW w:w="1105" w:type="dxa"/>
            <w:tcBorders>
              <w:top w:val="nil"/>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4</w:t>
            </w:r>
          </w:p>
        </w:tc>
        <w:tc>
          <w:tcPr>
            <w:tcW w:w="1106" w:type="dxa"/>
            <w:tcBorders>
              <w:top w:val="nil"/>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2</w:t>
            </w:r>
          </w:p>
        </w:tc>
        <w:tc>
          <w:tcPr>
            <w:tcW w:w="1106" w:type="dxa"/>
            <w:tcBorders>
              <w:top w:val="nil"/>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p>
        </w:tc>
        <w:tc>
          <w:tcPr>
            <w:tcW w:w="1106" w:type="dxa"/>
            <w:tcBorders>
              <w:top w:val="nil"/>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6</w:t>
            </w:r>
          </w:p>
        </w:tc>
      </w:tr>
      <w:tr w:rsidR="003E6395" w:rsidRPr="007D7A1E">
        <w:trPr>
          <w:jc w:val="center"/>
        </w:trPr>
        <w:tc>
          <w:tcPr>
            <w:tcW w:w="4897" w:type="dxa"/>
            <w:tcBorders>
              <w:left w:val="single" w:sz="4" w:space="0" w:color="auto"/>
              <w:right w:val="single" w:sz="4" w:space="0" w:color="auto"/>
            </w:tcBorders>
          </w:tcPr>
          <w:p w:rsidR="003E6395" w:rsidRPr="007D7A1E" w:rsidRDefault="00D51F74" w:rsidP="005D7B68">
            <w:pPr>
              <w:tabs>
                <w:tab w:val="left" w:pos="223"/>
                <w:tab w:val="left" w:pos="567"/>
                <w:tab w:val="left" w:pos="1134"/>
                <w:tab w:val="left" w:pos="1701"/>
                <w:tab w:val="left" w:pos="2268"/>
                <w:tab w:val="left" w:pos="2835"/>
              </w:tabs>
              <w:spacing w:after="0"/>
              <w:rPr>
                <w:snapToGrid w:val="0"/>
                <w:sz w:val="20"/>
                <w:lang w:val="fr-FR"/>
              </w:rPr>
            </w:pPr>
            <w:r w:rsidRPr="007D7A1E">
              <w:rPr>
                <w:snapToGrid w:val="0"/>
                <w:sz w:val="20"/>
                <w:lang w:val="fr-FR"/>
              </w:rPr>
              <w:tab/>
            </w:r>
            <w:r w:rsidR="003E6395" w:rsidRPr="007D7A1E">
              <w:rPr>
                <w:snapToGrid w:val="0"/>
                <w:sz w:val="20"/>
                <w:lang w:val="fr-FR"/>
              </w:rPr>
              <w:t xml:space="preserve">Total centres de rétention </w:t>
            </w:r>
            <w:r w:rsidR="006B2A73" w:rsidRPr="007D7A1E">
              <w:rPr>
                <w:snapToGrid w:val="0"/>
                <w:sz w:val="20"/>
                <w:lang w:val="fr-FR"/>
              </w:rPr>
              <w:t>et foyer</w:t>
            </w:r>
            <w:r w:rsidR="00AD5AD0" w:rsidRPr="007D7A1E">
              <w:rPr>
                <w:snapToGrid w:val="0"/>
                <w:sz w:val="20"/>
                <w:lang w:val="fr-FR"/>
              </w:rPr>
              <w:t>s</w:t>
            </w:r>
            <w:r w:rsidR="006B2A73" w:rsidRPr="007D7A1E">
              <w:rPr>
                <w:snapToGrid w:val="0"/>
                <w:sz w:val="20"/>
                <w:lang w:val="fr-FR"/>
              </w:rPr>
              <w:t>-logement</w:t>
            </w:r>
          </w:p>
        </w:tc>
        <w:tc>
          <w:tcPr>
            <w:tcW w:w="1105" w:type="dxa"/>
            <w:tcBorders>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342</w:t>
            </w:r>
          </w:p>
        </w:tc>
        <w:tc>
          <w:tcPr>
            <w:tcW w:w="1106" w:type="dxa"/>
            <w:tcBorders>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34</w:t>
            </w:r>
          </w:p>
        </w:tc>
        <w:tc>
          <w:tcPr>
            <w:tcW w:w="1106" w:type="dxa"/>
            <w:tcBorders>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8</w:t>
            </w:r>
          </w:p>
        </w:tc>
        <w:tc>
          <w:tcPr>
            <w:tcW w:w="1106" w:type="dxa"/>
            <w:tcBorders>
              <w:left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384</w:t>
            </w:r>
          </w:p>
        </w:tc>
      </w:tr>
      <w:tr w:rsidR="003E6395" w:rsidRPr="007D7A1E">
        <w:trPr>
          <w:jc w:val="center"/>
        </w:trPr>
        <w:tc>
          <w:tcPr>
            <w:tcW w:w="4897" w:type="dxa"/>
            <w:tcBorders>
              <w:left w:val="single" w:sz="4" w:space="0" w:color="auto"/>
              <w:bottom w:val="nil"/>
              <w:right w:val="single" w:sz="4" w:space="0" w:color="auto"/>
            </w:tcBorders>
          </w:tcPr>
          <w:p w:rsidR="003E6395" w:rsidRPr="007D7A1E" w:rsidRDefault="0076107C"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Dé</w:t>
            </w:r>
            <w:r w:rsidR="003E6395" w:rsidRPr="007D7A1E">
              <w:rPr>
                <w:snapToGrid w:val="0"/>
                <w:sz w:val="20"/>
                <w:lang w:val="fr-FR"/>
              </w:rPr>
              <w:t>tention</w:t>
            </w:r>
            <w:r w:rsidRPr="007D7A1E">
              <w:rPr>
                <w:snapToGrid w:val="0"/>
                <w:sz w:val="20"/>
                <w:lang w:val="fr-FR"/>
              </w:rPr>
              <w:t xml:space="preserve"> au sein de la communauté</w:t>
            </w:r>
            <w:r w:rsidR="003E6395" w:rsidRPr="007D7A1E">
              <w:rPr>
                <w:b/>
                <w:i/>
                <w:iCs/>
                <w:snapToGrid w:val="0"/>
                <w:sz w:val="20"/>
                <w:vertAlign w:val="superscript"/>
                <w:lang w:val="fr-FR"/>
              </w:rPr>
              <w:t>1</w:t>
            </w:r>
          </w:p>
        </w:tc>
        <w:tc>
          <w:tcPr>
            <w:tcW w:w="1105" w:type="dxa"/>
            <w:tcBorders>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20</w:t>
            </w:r>
          </w:p>
        </w:tc>
        <w:tc>
          <w:tcPr>
            <w:tcW w:w="1106" w:type="dxa"/>
            <w:tcBorders>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12</w:t>
            </w:r>
          </w:p>
        </w:tc>
        <w:tc>
          <w:tcPr>
            <w:tcW w:w="1106" w:type="dxa"/>
            <w:tcBorders>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31</w:t>
            </w:r>
          </w:p>
        </w:tc>
        <w:tc>
          <w:tcPr>
            <w:tcW w:w="1106" w:type="dxa"/>
            <w:tcBorders>
              <w:left w:val="single" w:sz="4" w:space="0" w:color="auto"/>
              <w:bottom w:val="nil"/>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63</w:t>
            </w:r>
          </w:p>
        </w:tc>
      </w:tr>
      <w:tr w:rsidR="003E6395" w:rsidRPr="007D7A1E">
        <w:trPr>
          <w:jc w:val="center"/>
        </w:trPr>
        <w:tc>
          <w:tcPr>
            <w:tcW w:w="4897" w:type="dxa"/>
            <w:tcBorders>
              <w:top w:val="nil"/>
              <w:left w:val="single" w:sz="4" w:space="0" w:color="auto"/>
              <w:bottom w:val="single" w:sz="4" w:space="0" w:color="auto"/>
              <w:right w:val="single" w:sz="4" w:space="0" w:color="auto"/>
            </w:tcBorders>
          </w:tcPr>
          <w:p w:rsidR="003E6395" w:rsidRPr="007D7A1E" w:rsidRDefault="0076107C" w:rsidP="005D7B68">
            <w:pPr>
              <w:tabs>
                <w:tab w:val="left" w:pos="567"/>
                <w:tab w:val="left" w:pos="1134"/>
                <w:tab w:val="left" w:pos="1701"/>
                <w:tab w:val="left" w:pos="2268"/>
                <w:tab w:val="left" w:pos="2835"/>
              </w:tabs>
              <w:spacing w:after="0"/>
              <w:rPr>
                <w:snapToGrid w:val="0"/>
                <w:sz w:val="20"/>
                <w:lang w:val="fr-FR"/>
              </w:rPr>
            </w:pPr>
            <w:r w:rsidRPr="007D7A1E">
              <w:rPr>
                <w:snapToGrid w:val="0"/>
                <w:sz w:val="20"/>
                <w:lang w:val="fr-FR"/>
              </w:rPr>
              <w:t>Autre type de dé</w:t>
            </w:r>
            <w:r w:rsidR="003E6395" w:rsidRPr="007D7A1E">
              <w:rPr>
                <w:snapToGrid w:val="0"/>
                <w:sz w:val="20"/>
                <w:lang w:val="fr-FR"/>
              </w:rPr>
              <w:t xml:space="preserve">tention </w:t>
            </w:r>
            <w:r w:rsidRPr="007D7A1E">
              <w:rPr>
                <w:snapToGrid w:val="0"/>
                <w:sz w:val="20"/>
                <w:lang w:val="fr-FR"/>
              </w:rPr>
              <w:t>temporaire au sein de la</w:t>
            </w:r>
            <w:r w:rsidR="003E6395" w:rsidRPr="007D7A1E">
              <w:rPr>
                <w:snapToGrid w:val="0"/>
                <w:sz w:val="20"/>
                <w:lang w:val="fr-FR"/>
              </w:rPr>
              <w:t xml:space="preserve"> </w:t>
            </w:r>
            <w:r w:rsidR="003E6395" w:rsidRPr="007D7A1E">
              <w:rPr>
                <w:snapToGrid w:val="0"/>
                <w:sz w:val="20"/>
                <w:lang w:val="fr-FR"/>
              </w:rPr>
              <w:br/>
            </w:r>
            <w:r w:rsidR="00572260" w:rsidRPr="007D7A1E">
              <w:rPr>
                <w:snapToGrid w:val="0"/>
                <w:sz w:val="20"/>
                <w:lang w:val="fr-FR"/>
              </w:rPr>
              <w:t xml:space="preserve"> </w:t>
            </w:r>
            <w:r w:rsidRPr="007D7A1E">
              <w:rPr>
                <w:snapToGrid w:val="0"/>
                <w:sz w:val="20"/>
                <w:lang w:val="fr-FR"/>
              </w:rPr>
              <w:t>communauté</w:t>
            </w:r>
            <w:r w:rsidR="003E6395" w:rsidRPr="007D7A1E">
              <w:rPr>
                <w:b/>
                <w:i/>
                <w:iCs/>
                <w:snapToGrid w:val="0"/>
                <w:sz w:val="20"/>
                <w:vertAlign w:val="superscript"/>
                <w:lang w:val="fr-FR"/>
              </w:rPr>
              <w:t>2</w:t>
            </w:r>
          </w:p>
        </w:tc>
        <w:tc>
          <w:tcPr>
            <w:tcW w:w="1105" w:type="dxa"/>
            <w:tcBorders>
              <w:top w:val="nil"/>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28</w:t>
            </w:r>
          </w:p>
        </w:tc>
        <w:tc>
          <w:tcPr>
            <w:tcW w:w="1106" w:type="dxa"/>
            <w:tcBorders>
              <w:top w:val="nil"/>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7</w:t>
            </w:r>
          </w:p>
        </w:tc>
        <w:tc>
          <w:tcPr>
            <w:tcW w:w="1106" w:type="dxa"/>
            <w:tcBorders>
              <w:top w:val="nil"/>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1</w:t>
            </w:r>
          </w:p>
        </w:tc>
        <w:tc>
          <w:tcPr>
            <w:tcW w:w="1106" w:type="dxa"/>
            <w:tcBorders>
              <w:top w:val="nil"/>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36</w:t>
            </w:r>
          </w:p>
        </w:tc>
      </w:tr>
      <w:tr w:rsidR="003E6395" w:rsidRPr="007D7A1E">
        <w:trPr>
          <w:jc w:val="center"/>
        </w:trPr>
        <w:tc>
          <w:tcPr>
            <w:tcW w:w="4897" w:type="dxa"/>
            <w:tcBorders>
              <w:top w:val="single" w:sz="4" w:space="0" w:color="auto"/>
              <w:left w:val="single" w:sz="4" w:space="0" w:color="auto"/>
              <w:bottom w:val="single" w:sz="4" w:space="0" w:color="auto"/>
              <w:right w:val="single" w:sz="4" w:space="0" w:color="auto"/>
            </w:tcBorders>
          </w:tcPr>
          <w:p w:rsidR="003E6395" w:rsidRPr="007D7A1E" w:rsidRDefault="00D51F74" w:rsidP="005D7B68">
            <w:pPr>
              <w:tabs>
                <w:tab w:val="left" w:pos="343"/>
                <w:tab w:val="left" w:pos="567"/>
                <w:tab w:val="left" w:pos="1134"/>
                <w:tab w:val="left" w:pos="1701"/>
                <w:tab w:val="left" w:pos="2268"/>
                <w:tab w:val="left" w:pos="2835"/>
              </w:tabs>
              <w:spacing w:after="0"/>
              <w:rPr>
                <w:snapToGrid w:val="0"/>
                <w:sz w:val="20"/>
              </w:rPr>
            </w:pPr>
            <w:r w:rsidRPr="007D7A1E">
              <w:rPr>
                <w:snapToGrid w:val="0"/>
                <w:sz w:val="20"/>
              </w:rPr>
              <w:tab/>
            </w:r>
            <w:r w:rsidR="003E6395" w:rsidRPr="007D7A1E">
              <w:rPr>
                <w:snapToGrid w:val="0"/>
                <w:sz w:val="20"/>
              </w:rPr>
              <w:t>Total</w:t>
            </w:r>
          </w:p>
        </w:tc>
        <w:tc>
          <w:tcPr>
            <w:tcW w:w="1105" w:type="dxa"/>
            <w:tcBorders>
              <w:top w:val="single" w:sz="4" w:space="0" w:color="auto"/>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390</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53</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284"/>
              <w:jc w:val="right"/>
              <w:rPr>
                <w:snapToGrid w:val="0"/>
                <w:sz w:val="20"/>
              </w:rPr>
            </w:pPr>
            <w:r w:rsidRPr="007D7A1E">
              <w:rPr>
                <w:snapToGrid w:val="0"/>
                <w:sz w:val="20"/>
              </w:rPr>
              <w:t>40</w:t>
            </w:r>
          </w:p>
        </w:tc>
        <w:tc>
          <w:tcPr>
            <w:tcW w:w="1106" w:type="dxa"/>
            <w:tcBorders>
              <w:top w:val="single" w:sz="4" w:space="0" w:color="auto"/>
              <w:left w:val="single" w:sz="4" w:space="0" w:color="auto"/>
              <w:bottom w:val="single" w:sz="4" w:space="0" w:color="auto"/>
              <w:right w:val="single" w:sz="4" w:space="0" w:color="auto"/>
            </w:tcBorders>
          </w:tcPr>
          <w:p w:rsidR="003E6395" w:rsidRPr="007D7A1E" w:rsidRDefault="003E6395" w:rsidP="005D7B68">
            <w:pPr>
              <w:tabs>
                <w:tab w:val="left" w:pos="567"/>
                <w:tab w:val="left" w:pos="1134"/>
                <w:tab w:val="left" w:pos="1701"/>
                <w:tab w:val="left" w:pos="2268"/>
                <w:tab w:val="left" w:pos="2835"/>
              </w:tabs>
              <w:spacing w:after="0"/>
              <w:ind w:right="170"/>
              <w:jc w:val="right"/>
              <w:rPr>
                <w:snapToGrid w:val="0"/>
                <w:sz w:val="20"/>
              </w:rPr>
            </w:pPr>
            <w:r w:rsidRPr="007D7A1E">
              <w:rPr>
                <w:snapToGrid w:val="0"/>
                <w:sz w:val="20"/>
              </w:rPr>
              <w:t>483</w:t>
            </w:r>
          </w:p>
        </w:tc>
      </w:tr>
    </w:tbl>
    <w:p w:rsidR="003E6395" w:rsidRPr="00D51F74" w:rsidRDefault="003E6395" w:rsidP="005D7B68">
      <w:pPr>
        <w:tabs>
          <w:tab w:val="left" w:pos="567"/>
          <w:tab w:val="left" w:pos="1134"/>
          <w:tab w:val="left" w:pos="1701"/>
          <w:tab w:val="left" w:pos="2268"/>
          <w:tab w:val="left" w:pos="2835"/>
        </w:tabs>
        <w:spacing w:before="240"/>
        <w:rPr>
          <w:snapToGrid w:val="0"/>
          <w:sz w:val="22"/>
          <w:szCs w:val="22"/>
          <w:lang w:val="fr-FR"/>
        </w:rPr>
      </w:pPr>
      <w:r w:rsidRPr="00D51F74">
        <w:rPr>
          <w:b/>
          <w:bCs/>
          <w:i/>
          <w:iCs/>
          <w:snapToGrid w:val="0"/>
          <w:vertAlign w:val="superscript"/>
          <w:lang w:val="fr-FR"/>
        </w:rPr>
        <w:t>1</w:t>
      </w:r>
      <w:r w:rsidR="00572260">
        <w:rPr>
          <w:snapToGrid w:val="0"/>
          <w:lang w:val="fr-FR"/>
        </w:rPr>
        <w:t xml:space="preserve"> </w:t>
      </w:r>
      <w:r w:rsidR="0076107C" w:rsidRPr="00D51F74">
        <w:rPr>
          <w:snapToGrid w:val="0"/>
          <w:sz w:val="22"/>
          <w:szCs w:val="22"/>
          <w:lang w:val="fr-FR"/>
        </w:rPr>
        <w:t xml:space="preserve">La personne placée en détention au sein de la communauté n’est </w:t>
      </w:r>
      <w:r w:rsidR="00D95C4B" w:rsidRPr="00D51F74">
        <w:rPr>
          <w:snapToGrid w:val="0"/>
          <w:sz w:val="22"/>
          <w:szCs w:val="22"/>
          <w:lang w:val="fr-FR"/>
        </w:rPr>
        <w:t xml:space="preserve">pas </w:t>
      </w:r>
      <w:r w:rsidR="0076107C" w:rsidRPr="00D51F74">
        <w:rPr>
          <w:snapToGrid w:val="0"/>
          <w:sz w:val="22"/>
          <w:szCs w:val="22"/>
          <w:lang w:val="fr-FR"/>
        </w:rPr>
        <w:t>tenue d’être accompagnée par une personne désignée</w:t>
      </w:r>
      <w:r w:rsidRPr="00D51F74">
        <w:rPr>
          <w:snapToGrid w:val="0"/>
          <w:sz w:val="22"/>
          <w:szCs w:val="22"/>
          <w:lang w:val="fr-FR"/>
        </w:rPr>
        <w:t>.</w:t>
      </w:r>
    </w:p>
    <w:p w:rsidR="003F3392" w:rsidRPr="0076107C" w:rsidRDefault="003E6395" w:rsidP="005D7B68">
      <w:pPr>
        <w:tabs>
          <w:tab w:val="left" w:pos="567"/>
          <w:tab w:val="left" w:pos="1134"/>
          <w:tab w:val="left" w:pos="1701"/>
          <w:tab w:val="left" w:pos="2268"/>
          <w:tab w:val="left" w:pos="2835"/>
        </w:tabs>
        <w:rPr>
          <w:lang w:val="fr-FR"/>
        </w:rPr>
      </w:pPr>
      <w:r w:rsidRPr="00D51F74">
        <w:rPr>
          <w:b/>
          <w:bCs/>
          <w:i/>
          <w:iCs/>
          <w:snapToGrid w:val="0"/>
          <w:sz w:val="22"/>
          <w:szCs w:val="22"/>
          <w:vertAlign w:val="superscript"/>
          <w:lang w:val="fr-FR"/>
        </w:rPr>
        <w:t>2</w:t>
      </w:r>
      <w:r w:rsidR="00572260" w:rsidRPr="00D51F74">
        <w:rPr>
          <w:snapToGrid w:val="0"/>
          <w:sz w:val="22"/>
          <w:szCs w:val="22"/>
          <w:lang w:val="fr-FR"/>
        </w:rPr>
        <w:t xml:space="preserve"> </w:t>
      </w:r>
      <w:r w:rsidR="0076107C" w:rsidRPr="00D51F74">
        <w:rPr>
          <w:snapToGrid w:val="0"/>
          <w:sz w:val="22"/>
          <w:szCs w:val="22"/>
          <w:lang w:val="fr-FR"/>
        </w:rPr>
        <w:t>Y compris la détention au sein de la communauté</w:t>
      </w:r>
      <w:r w:rsidRPr="00D51F74">
        <w:rPr>
          <w:snapToGrid w:val="0"/>
          <w:sz w:val="22"/>
          <w:szCs w:val="22"/>
          <w:lang w:val="fr-FR"/>
        </w:rPr>
        <w:t xml:space="preserve"> </w:t>
      </w:r>
      <w:r w:rsidR="0076107C" w:rsidRPr="00D51F74">
        <w:rPr>
          <w:snapToGrid w:val="0"/>
          <w:sz w:val="22"/>
          <w:szCs w:val="22"/>
          <w:lang w:val="fr-FR"/>
        </w:rPr>
        <w:t>avec une personne désignée</w:t>
      </w:r>
      <w:r w:rsidRPr="00D51F74">
        <w:rPr>
          <w:snapToGrid w:val="0"/>
          <w:sz w:val="22"/>
          <w:szCs w:val="22"/>
          <w:lang w:val="fr-FR"/>
        </w:rPr>
        <w:t xml:space="preserve"> </w:t>
      </w:r>
      <w:r w:rsidR="0076107C" w:rsidRPr="00D51F74">
        <w:rPr>
          <w:snapToGrid w:val="0"/>
          <w:sz w:val="22"/>
          <w:szCs w:val="22"/>
          <w:lang w:val="fr-FR"/>
        </w:rPr>
        <w:t>dans des résidences privées</w:t>
      </w:r>
      <w:r w:rsidRPr="00D51F74">
        <w:rPr>
          <w:snapToGrid w:val="0"/>
          <w:sz w:val="22"/>
          <w:szCs w:val="22"/>
          <w:lang w:val="fr-FR"/>
        </w:rPr>
        <w:t>/</w:t>
      </w:r>
      <w:r w:rsidR="002106D7" w:rsidRPr="00D51F74">
        <w:rPr>
          <w:snapToGrid w:val="0"/>
          <w:sz w:val="22"/>
          <w:szCs w:val="22"/>
          <w:lang w:val="fr-FR"/>
        </w:rPr>
        <w:t>établissemen</w:t>
      </w:r>
      <w:r w:rsidR="007651FF" w:rsidRPr="00D51F74">
        <w:rPr>
          <w:snapToGrid w:val="0"/>
          <w:sz w:val="22"/>
          <w:szCs w:val="22"/>
          <w:lang w:val="fr-FR"/>
        </w:rPr>
        <w:t xml:space="preserve">ts </w:t>
      </w:r>
      <w:r w:rsidR="0076107C" w:rsidRPr="00D51F74">
        <w:rPr>
          <w:snapToGrid w:val="0"/>
          <w:sz w:val="22"/>
          <w:szCs w:val="22"/>
          <w:lang w:val="fr-FR"/>
        </w:rPr>
        <w:t>pénitentiaires</w:t>
      </w:r>
      <w:r w:rsidRPr="00D51F74">
        <w:rPr>
          <w:snapToGrid w:val="0"/>
          <w:sz w:val="22"/>
          <w:szCs w:val="22"/>
          <w:lang w:val="fr-FR"/>
        </w:rPr>
        <w:t>/</w:t>
      </w:r>
      <w:r w:rsidR="007651FF" w:rsidRPr="00D51F74">
        <w:rPr>
          <w:snapToGrid w:val="0"/>
          <w:sz w:val="22"/>
          <w:szCs w:val="22"/>
          <w:lang w:val="fr-FR"/>
        </w:rPr>
        <w:t>cellules de garde à vue</w:t>
      </w:r>
      <w:r w:rsidR="007651FF" w:rsidRPr="00D51F74">
        <w:rPr>
          <w:snapToGrid w:val="0"/>
          <w:color w:val="FF0000"/>
          <w:sz w:val="22"/>
          <w:szCs w:val="22"/>
          <w:lang w:val="fr-FR"/>
        </w:rPr>
        <w:t xml:space="preserve"> </w:t>
      </w:r>
      <w:r w:rsidR="002106D7" w:rsidRPr="00D51F74">
        <w:rPr>
          <w:snapToGrid w:val="0"/>
          <w:sz w:val="22"/>
          <w:szCs w:val="22"/>
          <w:lang w:val="fr-FR"/>
        </w:rPr>
        <w:t>/hôtels/</w:t>
      </w:r>
      <w:r w:rsidR="007651FF" w:rsidRPr="00D51F74">
        <w:rPr>
          <w:snapToGrid w:val="0"/>
          <w:sz w:val="22"/>
          <w:szCs w:val="22"/>
          <w:lang w:val="fr-FR"/>
        </w:rPr>
        <w:t xml:space="preserve"> </w:t>
      </w:r>
      <w:r w:rsidR="002106D7" w:rsidRPr="00D51F74">
        <w:rPr>
          <w:snapToGrid w:val="0"/>
          <w:sz w:val="22"/>
          <w:szCs w:val="22"/>
          <w:lang w:val="fr-FR"/>
        </w:rPr>
        <w:t>appartements/placement familial/hôpitaux.</w:t>
      </w:r>
    </w:p>
    <w:p w:rsidR="003F3392" w:rsidRPr="0076107C" w:rsidRDefault="00A41D3A" w:rsidP="005D7B68">
      <w:pPr>
        <w:tabs>
          <w:tab w:val="left" w:pos="567"/>
          <w:tab w:val="left" w:pos="1134"/>
          <w:tab w:val="left" w:pos="1701"/>
          <w:tab w:val="left" w:pos="2268"/>
          <w:tab w:val="left" w:pos="2835"/>
        </w:tabs>
        <w:jc w:val="center"/>
        <w:rPr>
          <w:lang w:val="fr-FR"/>
        </w:rPr>
      </w:pPr>
      <w:r>
        <w:rPr>
          <w:noProof/>
          <w:lang w:val="fr-FR" w:eastAsia="fr-FR"/>
        </w:rPr>
        <w:pict>
          <v:rect id="_x0000_s1033" style="position:absolute;left:0;text-align:left;margin-left:351pt;margin-top:91.6pt;width:81pt;height:90pt;z-index:2">
            <v:textbox style="mso-next-textbox:#_x0000_s1033">
              <w:txbxContent>
                <w:p w:rsidR="00CC46D2" w:rsidRDefault="00CC46D2" w:rsidP="00A41D3A">
                  <w:pPr>
                    <w:spacing w:after="120"/>
                    <w:rPr>
                      <w:sz w:val="16"/>
                      <w:szCs w:val="16"/>
                      <w:lang w:val="fr-CH"/>
                    </w:rPr>
                  </w:pPr>
                  <w:r>
                    <w:rPr>
                      <w:sz w:val="16"/>
                      <w:szCs w:val="16"/>
                      <w:lang w:val="fr-CH"/>
                    </w:rPr>
                    <w:t xml:space="preserve"> Y</w:t>
                  </w:r>
                  <w:r w:rsidRPr="00282552">
                    <w:rPr>
                      <w:sz w:val="16"/>
                      <w:szCs w:val="16"/>
                      <w:lang w:val="fr-CH"/>
                    </w:rPr>
                    <w:t xml:space="preserve"> compris pêcheurs étrangers en situation irrégulière</w:t>
                  </w:r>
                </w:p>
                <w:p w:rsidR="00CC46D2" w:rsidRPr="00282552" w:rsidRDefault="00CC46D2" w:rsidP="00214024">
                  <w:pPr>
                    <w:rPr>
                      <w:sz w:val="16"/>
                      <w:szCs w:val="16"/>
                      <w:lang w:val="fr-CH"/>
                    </w:rPr>
                  </w:pPr>
                  <w:r>
                    <w:rPr>
                      <w:sz w:val="16"/>
                      <w:szCs w:val="16"/>
                      <w:lang w:val="fr-CH"/>
                    </w:rPr>
                    <w:t>Pêcheurs étrangers en situation irrégulière non compris</w:t>
                  </w:r>
                </w:p>
              </w:txbxContent>
            </v:textbox>
          </v:rect>
        </w:pict>
      </w:r>
      <w:r w:rsidR="00214024">
        <w:rPr>
          <w:noProof/>
          <w:lang w:val="fr-FR" w:eastAsia="fr-FR"/>
        </w:rPr>
        <w:pict>
          <v:line id="_x0000_s1037" style="position:absolute;left:0;text-align:left;flip:y;z-index:4" from="351pt,145.6pt" to="5in,145.6pt" strokecolor="red"/>
        </w:pict>
      </w:r>
      <w:r w:rsidR="00282552">
        <w:rPr>
          <w:noProof/>
          <w:lang w:val="fr-FR" w:eastAsia="fr-FR"/>
        </w:rPr>
        <w:pict>
          <v:line id="_x0000_s1035" style="position:absolute;left:0;text-align:left;z-index:3" from="351pt,100.6pt" to="5in,100.6pt" strokecolor="#36f"/>
        </w:pict>
      </w:r>
      <w:r w:rsidR="00D51F74">
        <w:rPr>
          <w:noProof/>
          <w:lang w:val="fr-FR" w:eastAsia="fr-FR"/>
        </w:rPr>
        <w:pict>
          <v:rect id="_x0000_s1031" style="position:absolute;left:0;text-align:left;margin-left:89.85pt;margin-top:10.6pt;width:306pt;height:18pt;z-index:1" stroked="f">
            <v:textbox style="mso-next-textbox:#_x0000_s1031">
              <w:txbxContent>
                <w:p w:rsidR="00CC46D2" w:rsidRPr="00D51F74" w:rsidRDefault="00CC46D2" w:rsidP="00D51F74">
                  <w:pPr>
                    <w:jc w:val="center"/>
                    <w:rPr>
                      <w:b/>
                      <w:bCs/>
                      <w:lang w:val="fr-CH"/>
                    </w:rPr>
                  </w:pPr>
                  <w:r w:rsidRPr="00D51F74">
                    <w:rPr>
                      <w:b/>
                      <w:bCs/>
                      <w:sz w:val="18"/>
                      <w:szCs w:val="18"/>
                      <w:lang w:val="fr-CH"/>
                    </w:rPr>
                    <w:t>Population placée en détention dans le cadre</w:t>
                  </w:r>
                  <w:r w:rsidRPr="00D51F74">
                    <w:rPr>
                      <w:b/>
                      <w:bCs/>
                      <w:lang w:val="fr-CH"/>
                    </w:rPr>
                    <w:t xml:space="preserve"> </w:t>
                  </w:r>
                  <w:r w:rsidRPr="00D51F74">
                    <w:rPr>
                      <w:b/>
                      <w:bCs/>
                      <w:sz w:val="18"/>
                      <w:szCs w:val="18"/>
                      <w:lang w:val="fr-CH"/>
                    </w:rPr>
                    <w:t>des contrôles d’immigration</w:t>
                  </w:r>
                </w:p>
              </w:txbxContent>
            </v:textbox>
          </v:rect>
        </w:pict>
      </w:r>
      <w:r w:rsidR="00D51F74" w:rsidRPr="006C649D">
        <w:pict>
          <v:shape id="_x0000_i1027" type="#_x0000_t75" style="width:414pt;height:232.5pt">
            <v:imagedata r:id="rId12" r:pict="rId13" o:title=""/>
          </v:shape>
        </w:pict>
      </w:r>
    </w:p>
    <w:p w:rsidR="003F3392" w:rsidRDefault="00995DE8" w:rsidP="005D7B68">
      <w:pPr>
        <w:tabs>
          <w:tab w:val="left" w:pos="567"/>
          <w:tab w:val="left" w:pos="1134"/>
          <w:tab w:val="left" w:pos="1701"/>
          <w:tab w:val="left" w:pos="2268"/>
          <w:tab w:val="left" w:pos="2835"/>
        </w:tabs>
        <w:rPr>
          <w:lang w:val="fr-FR"/>
        </w:rPr>
      </w:pPr>
      <w:r>
        <w:rPr>
          <w:lang w:val="fr-FR"/>
        </w:rPr>
        <w:t>32</w:t>
      </w:r>
      <w:r w:rsidR="00E42058">
        <w:rPr>
          <w:lang w:val="fr-FR"/>
        </w:rPr>
        <w:t>4</w:t>
      </w:r>
      <w:r>
        <w:rPr>
          <w:lang w:val="fr-FR"/>
        </w:rPr>
        <w:t>.</w:t>
      </w:r>
      <w:r>
        <w:rPr>
          <w:lang w:val="fr-FR"/>
        </w:rPr>
        <w:tab/>
        <w:t>Sur les 483 personnes placées en détention dans le cadre des contrôles d’immigration, 373 le sont pour non respect des dispositions, c’est-à-dire pour avoir</w:t>
      </w:r>
      <w:r w:rsidR="00306710">
        <w:rPr>
          <w:lang w:val="fr-FR"/>
        </w:rPr>
        <w:t xml:space="preserve"> prolongé leur séjour au-delà des délais légaux ou pour n’avoir pas respecté les conditions imposées par leur visa, ce qui entraîne l’annulation de ce dernier.</w:t>
      </w:r>
    </w:p>
    <w:p w:rsidR="00E57CD9" w:rsidRPr="00234B33" w:rsidRDefault="00234B33" w:rsidP="005D7B68">
      <w:pPr>
        <w:tabs>
          <w:tab w:val="left" w:pos="567"/>
          <w:tab w:val="left" w:pos="1134"/>
          <w:tab w:val="left" w:pos="1701"/>
          <w:tab w:val="left" w:pos="2268"/>
        </w:tabs>
        <w:jc w:val="center"/>
      </w:pPr>
      <w:r>
        <w:rPr>
          <w:noProof/>
          <w:lang w:val="fr-FR" w:eastAsia="fr-FR"/>
        </w:rPr>
        <w:pict>
          <v:rect id="_x0000_s1054" style="position:absolute;left:0;text-align:left;margin-left:317.7pt;margin-top:89.85pt;width:114.3pt;height:119.7pt;z-index:8" stroked="f">
            <v:textbox style="mso-next-textbox:#_x0000_s1054" inset="0,0,0,0">
              <w:txbxContent>
                <w:p w:rsidR="00CC46D2" w:rsidRDefault="00CC46D2" w:rsidP="000204F7">
                  <w:pPr>
                    <w:spacing w:after="160"/>
                    <w:rPr>
                      <w:sz w:val="15"/>
                      <w:szCs w:val="15"/>
                      <w:lang w:val="fr-CH"/>
                    </w:rPr>
                  </w:pPr>
                  <w:r w:rsidRPr="000204F7">
                    <w:rPr>
                      <w:sz w:val="15"/>
                      <w:szCs w:val="15"/>
                      <w:lang w:val="fr-CH"/>
                    </w:rPr>
                    <w:t>Arrivés légalement, maintenant en situation irrégulière (ex.: visa périmé)</w:t>
                  </w:r>
                </w:p>
                <w:p w:rsidR="00CC46D2" w:rsidRDefault="00CC46D2" w:rsidP="000204F7">
                  <w:pPr>
                    <w:spacing w:after="160"/>
                    <w:rPr>
                      <w:sz w:val="15"/>
                      <w:szCs w:val="15"/>
                      <w:lang w:val="fr-CH"/>
                    </w:rPr>
                  </w:pPr>
                  <w:r>
                    <w:rPr>
                      <w:sz w:val="15"/>
                      <w:szCs w:val="15"/>
                      <w:lang w:val="fr-CH"/>
                    </w:rPr>
                    <w:t>Pêcheurs étrangers en situation irrégulière</w:t>
                  </w:r>
                </w:p>
                <w:p w:rsidR="00CC46D2" w:rsidRDefault="00CC46D2" w:rsidP="000204F7">
                  <w:pPr>
                    <w:spacing w:after="160"/>
                    <w:rPr>
                      <w:sz w:val="15"/>
                      <w:szCs w:val="15"/>
                      <w:lang w:val="fr-CH"/>
                    </w:rPr>
                  </w:pPr>
                  <w:r>
                    <w:rPr>
                      <w:sz w:val="15"/>
                      <w:szCs w:val="15"/>
                      <w:lang w:val="fr-CH"/>
                    </w:rPr>
                    <w:t>Immigrants clandestins arrivés par voie aérienne</w:t>
                  </w:r>
                </w:p>
                <w:p w:rsidR="00CC46D2" w:rsidRDefault="00CC46D2" w:rsidP="000204F7">
                  <w:pPr>
                    <w:spacing w:after="160"/>
                    <w:rPr>
                      <w:sz w:val="15"/>
                      <w:szCs w:val="15"/>
                      <w:lang w:val="fr-CH"/>
                    </w:rPr>
                  </w:pPr>
                  <w:r>
                    <w:rPr>
                      <w:sz w:val="15"/>
                      <w:szCs w:val="15"/>
                      <w:lang w:val="fr-CH"/>
                    </w:rPr>
                    <w:t>Immigrants clandestins arrivés par voie maritime</w:t>
                  </w:r>
                </w:p>
                <w:p w:rsidR="00CC46D2" w:rsidRPr="000204F7" w:rsidRDefault="00CC46D2" w:rsidP="000204F7">
                  <w:pPr>
                    <w:spacing w:after="160"/>
                    <w:rPr>
                      <w:sz w:val="15"/>
                      <w:szCs w:val="15"/>
                      <w:lang w:val="fr-CH"/>
                    </w:rPr>
                  </w:pPr>
                  <w:r>
                    <w:rPr>
                      <w:sz w:val="15"/>
                      <w:szCs w:val="15"/>
                      <w:lang w:val="fr-CH"/>
                    </w:rPr>
                    <w:t>Autres (ex.: passagers clandestins, marins déserteurs)</w:t>
                  </w:r>
                </w:p>
              </w:txbxContent>
            </v:textbox>
          </v:rect>
        </w:pict>
      </w:r>
      <w:r>
        <w:rPr>
          <w:noProof/>
          <w:lang w:val="fr-FR" w:eastAsia="fr-FR"/>
        </w:rPr>
        <w:pict>
          <v:rect id="_x0000_s1053" style="position:absolute;left:0;text-align:left;margin-left:89.85pt;margin-top:12.15pt;width:295.35pt;height:32.85pt;z-index:7" stroked="f">
            <v:textbox style="mso-next-textbox:#_x0000_s1053">
              <w:txbxContent>
                <w:p w:rsidR="00CC46D2" w:rsidRPr="000204F7" w:rsidRDefault="00CC46D2" w:rsidP="000204F7">
                  <w:pPr>
                    <w:jc w:val="center"/>
                    <w:rPr>
                      <w:b/>
                      <w:bCs/>
                      <w:sz w:val="18"/>
                      <w:szCs w:val="18"/>
                      <w:lang w:val="fr-CH"/>
                    </w:rPr>
                  </w:pPr>
                  <w:r>
                    <w:rPr>
                      <w:b/>
                      <w:bCs/>
                      <w:sz w:val="18"/>
                      <w:szCs w:val="18"/>
                      <w:lang w:val="fr-CH"/>
                    </w:rPr>
                    <w:t>Personnes placées en détention dans le cadre des contrôles d’immigration</w:t>
                  </w:r>
                </w:p>
              </w:txbxContent>
            </v:textbox>
          </v:rect>
        </w:pict>
      </w:r>
      <w:r w:rsidRPr="00F36BF9">
        <w:pict>
          <v:shape id="_x0000_i1028" type="#_x0000_t75" style="width:415.5pt;height:267pt">
            <v:imagedata r:id="rId14" r:pict="rId15" o:title=""/>
          </v:shape>
        </w:pict>
      </w:r>
    </w:p>
    <w:p w:rsidR="00E57CD9" w:rsidRDefault="00E42058" w:rsidP="005D7B68">
      <w:pPr>
        <w:tabs>
          <w:tab w:val="left" w:pos="567"/>
          <w:tab w:val="left" w:pos="1134"/>
          <w:tab w:val="left" w:pos="1701"/>
          <w:tab w:val="left" w:pos="2268"/>
          <w:tab w:val="left" w:pos="2835"/>
        </w:tabs>
        <w:rPr>
          <w:lang w:val="fr-FR"/>
        </w:rPr>
      </w:pPr>
      <w:r>
        <w:rPr>
          <w:lang w:val="fr-FR"/>
        </w:rPr>
        <w:t>325</w:t>
      </w:r>
      <w:r w:rsidR="00E57CD9">
        <w:rPr>
          <w:lang w:val="fr-FR"/>
        </w:rPr>
        <w:t>.</w:t>
      </w:r>
      <w:r w:rsidR="00E57CD9">
        <w:rPr>
          <w:lang w:val="fr-FR"/>
        </w:rPr>
        <w:tab/>
        <w:t>Sur les 483 personnes placées en détention dans le cadre des contrôles d’im</w:t>
      </w:r>
      <w:r w:rsidR="007651FF">
        <w:rPr>
          <w:lang w:val="fr-FR"/>
        </w:rPr>
        <w:t>migration, 4 étaient des immigrant</w:t>
      </w:r>
      <w:r w:rsidR="00E57CD9">
        <w:rPr>
          <w:lang w:val="fr-FR"/>
        </w:rPr>
        <w:t>s clandestins arrivés par</w:t>
      </w:r>
      <w:r w:rsidR="007651FF">
        <w:rPr>
          <w:lang w:val="fr-FR"/>
        </w:rPr>
        <w:t xml:space="preserve"> voie maritime et 49 des immigrant</w:t>
      </w:r>
      <w:r w:rsidR="00E57CD9">
        <w:rPr>
          <w:lang w:val="fr-FR"/>
        </w:rPr>
        <w:t>s clandestins arrivés par voie aérienne.</w:t>
      </w:r>
    </w:p>
    <w:p w:rsidR="00234B33" w:rsidRPr="00582DD4" w:rsidRDefault="00E42058" w:rsidP="005D7B68">
      <w:pPr>
        <w:tabs>
          <w:tab w:val="left" w:pos="567"/>
          <w:tab w:val="left" w:pos="1134"/>
          <w:tab w:val="left" w:pos="1701"/>
          <w:tab w:val="left" w:pos="2268"/>
          <w:tab w:val="left" w:pos="2835"/>
        </w:tabs>
      </w:pPr>
      <w:r>
        <w:rPr>
          <w:lang w:val="fr-FR"/>
        </w:rPr>
        <w:t>326</w:t>
      </w:r>
      <w:r w:rsidR="00E57CD9">
        <w:rPr>
          <w:lang w:val="fr-FR"/>
        </w:rPr>
        <w:t>.</w:t>
      </w:r>
      <w:r w:rsidR="00E57CD9">
        <w:rPr>
          <w:lang w:val="fr-FR"/>
        </w:rPr>
        <w:tab/>
        <w:t>Parmi les immigrants placés en détention, 89 cherchent asile ou sollicitent un réexamen au fond ou un réexamen judiciaire d’une décision concernant leur demande de visa de protection</w:t>
      </w:r>
      <w:r w:rsidR="008D6B80">
        <w:rPr>
          <w:lang w:val="fr-FR"/>
        </w:rPr>
        <w:t xml:space="preserve">. </w:t>
      </w:r>
      <w:r w:rsidR="00E57CD9">
        <w:rPr>
          <w:lang w:val="fr-FR"/>
        </w:rPr>
        <w:t>Parmi eux, 25 étaient en attente de la décision du Ministère de l’immigration et de la citoyenneté concernant leur demande de visa de protection</w:t>
      </w:r>
      <w:r w:rsidR="008D6B80">
        <w:rPr>
          <w:lang w:val="fr-FR"/>
        </w:rPr>
        <w:t xml:space="preserve">. </w:t>
      </w:r>
      <w:r w:rsidR="0096088B">
        <w:rPr>
          <w:lang w:val="fr-FR"/>
        </w:rPr>
        <w:t xml:space="preserve">La </w:t>
      </w:r>
      <w:r w:rsidR="00E57CD9">
        <w:rPr>
          <w:lang w:val="fr-FR"/>
        </w:rPr>
        <w:t xml:space="preserve">majorité des demandeurs d’asile </w:t>
      </w:r>
      <w:r w:rsidR="0096088B">
        <w:rPr>
          <w:lang w:val="fr-FR"/>
        </w:rPr>
        <w:t>qui arrivent en Australie sont titulaires d’</w:t>
      </w:r>
      <w:r w:rsidR="00E57CD9">
        <w:rPr>
          <w:lang w:val="fr-FR"/>
        </w:rPr>
        <w:t>un visa valide</w:t>
      </w:r>
      <w:r w:rsidR="0005101F">
        <w:rPr>
          <w:lang w:val="fr-FR"/>
        </w:rPr>
        <w:t xml:space="preserve"> et vivent au sein de la</w:t>
      </w:r>
      <w:r w:rsidR="0096088B">
        <w:rPr>
          <w:lang w:val="fr-FR"/>
        </w:rPr>
        <w:t xml:space="preserve"> collectivité tout en poursuivant leurs démarches.</w:t>
      </w:r>
    </w:p>
    <w:p w:rsidR="00234B33" w:rsidRPr="00F36BF9" w:rsidRDefault="00234B33" w:rsidP="005D7B68">
      <w:pPr>
        <w:tabs>
          <w:tab w:val="left" w:pos="567"/>
          <w:tab w:val="left" w:pos="1134"/>
          <w:tab w:val="left" w:pos="1701"/>
          <w:tab w:val="left" w:pos="2268"/>
        </w:tabs>
        <w:jc w:val="center"/>
      </w:pPr>
      <w:r>
        <w:rPr>
          <w:noProof/>
          <w:lang w:val="fr-FR" w:eastAsia="fr-FR"/>
        </w:rPr>
        <w:pict>
          <v:rect id="_x0000_s1052" style="position:absolute;left:0;text-align:left;margin-left:312.9pt;margin-top:83.7pt;width:112.2pt;height:129.6pt;z-index:6" stroked="f">
            <v:textbox style="mso-next-textbox:#_x0000_s1052" inset="0,0,0,0">
              <w:txbxContent>
                <w:p w:rsidR="00CC46D2" w:rsidRDefault="00CC46D2" w:rsidP="00976F5C">
                  <w:pPr>
                    <w:spacing w:after="160"/>
                    <w:rPr>
                      <w:sz w:val="15"/>
                      <w:szCs w:val="15"/>
                      <w:lang w:val="fr-CH"/>
                    </w:rPr>
                  </w:pPr>
                  <w:r>
                    <w:rPr>
                      <w:sz w:val="15"/>
                      <w:szCs w:val="15"/>
                      <w:lang w:val="fr-CH"/>
                    </w:rPr>
                    <w:t>N’ont pas demandé un visa de protection (pêcheurs étrangers en situation irrégulière non compris)</w:t>
                  </w:r>
                </w:p>
                <w:p w:rsidR="00CC46D2" w:rsidRDefault="00CC46D2" w:rsidP="00976F5C">
                  <w:pPr>
                    <w:spacing w:after="160"/>
                    <w:rPr>
                      <w:sz w:val="15"/>
                      <w:szCs w:val="15"/>
                      <w:lang w:val="fr-CH"/>
                    </w:rPr>
                  </w:pPr>
                  <w:r>
                    <w:rPr>
                      <w:sz w:val="15"/>
                      <w:szCs w:val="15"/>
                      <w:lang w:val="fr-CH"/>
                    </w:rPr>
                    <w:t>N’ont pas demandé un visa de protection (pêcheurs étrangers en situation irrégulière compris)</w:t>
                  </w:r>
                </w:p>
                <w:p w:rsidR="00CC46D2" w:rsidRDefault="00CC46D2" w:rsidP="00976F5C">
                  <w:pPr>
                    <w:spacing w:after="60"/>
                    <w:rPr>
                      <w:sz w:val="15"/>
                      <w:szCs w:val="15"/>
                      <w:lang w:val="fr-CH"/>
                    </w:rPr>
                  </w:pPr>
                  <w:r>
                    <w:rPr>
                      <w:sz w:val="15"/>
                      <w:szCs w:val="15"/>
                      <w:lang w:val="fr-CH"/>
                    </w:rPr>
                    <w:t>Demande de visa de protection refusée</w:t>
                  </w:r>
                </w:p>
                <w:p w:rsidR="00CC46D2" w:rsidRPr="00976F5C" w:rsidRDefault="00CC46D2" w:rsidP="00976F5C">
                  <w:pPr>
                    <w:spacing w:after="320"/>
                    <w:rPr>
                      <w:sz w:val="15"/>
                      <w:szCs w:val="15"/>
                      <w:lang w:val="fr-CH"/>
                    </w:rPr>
                  </w:pPr>
                  <w:r>
                    <w:rPr>
                      <w:sz w:val="15"/>
                      <w:szCs w:val="15"/>
                      <w:lang w:val="fr-CH"/>
                    </w:rPr>
                    <w:t>En attente d’une décision concernant une demande de visa de protection ou un réexamen au fond ou encore un réexamen judiciaire de ladite décision</w:t>
                  </w:r>
                </w:p>
              </w:txbxContent>
            </v:textbox>
          </v:rect>
        </w:pict>
      </w:r>
      <w:r>
        <w:rPr>
          <w:noProof/>
          <w:lang w:val="fr-FR" w:eastAsia="fr-FR"/>
        </w:rPr>
        <w:pict>
          <v:rect id="_x0000_s1051" style="position:absolute;left:0;text-align:left;margin-left:81pt;margin-top:9pt;width:333pt;height:36pt;z-index:5" stroked="f">
            <v:textbox style="mso-next-textbox:#_x0000_s1051">
              <w:txbxContent>
                <w:p w:rsidR="00CC46D2" w:rsidRPr="000204F7" w:rsidRDefault="00CC46D2" w:rsidP="00976F5C">
                  <w:pPr>
                    <w:jc w:val="center"/>
                    <w:rPr>
                      <w:b/>
                      <w:bCs/>
                      <w:sz w:val="18"/>
                      <w:szCs w:val="18"/>
                      <w:lang w:val="fr-CH"/>
                    </w:rPr>
                  </w:pPr>
                  <w:r>
                    <w:rPr>
                      <w:b/>
                      <w:bCs/>
                      <w:sz w:val="18"/>
                      <w:szCs w:val="18"/>
                      <w:lang w:val="fr-CH"/>
                    </w:rPr>
                    <w:t>Personnes placées en détention dans le cadre des contrôles d’immigration en rapport avec une demande de visa de protection au 17 août 2007</w:t>
                  </w:r>
                </w:p>
              </w:txbxContent>
            </v:textbox>
          </v:rect>
        </w:pict>
      </w:r>
      <w:r w:rsidRPr="00F36BF9">
        <w:pict>
          <v:shape id="_x0000_i1029" type="#_x0000_t75" style="width:396pt;height:254.25pt">
            <v:imagedata r:id="rId16" o:title=""/>
          </v:shape>
        </w:pict>
      </w:r>
    </w:p>
    <w:p w:rsidR="00385F25" w:rsidRDefault="00F82B1D" w:rsidP="005D7B68">
      <w:pPr>
        <w:tabs>
          <w:tab w:val="left" w:pos="567"/>
          <w:tab w:val="left" w:pos="1134"/>
          <w:tab w:val="left" w:pos="1701"/>
          <w:tab w:val="left" w:pos="2268"/>
          <w:tab w:val="left" w:pos="2835"/>
        </w:tabs>
        <w:rPr>
          <w:lang w:val="fr-FR"/>
        </w:rPr>
      </w:pPr>
      <w:r>
        <w:rPr>
          <w:lang w:val="fr-FR"/>
        </w:rPr>
        <w:t>32</w:t>
      </w:r>
      <w:r w:rsidR="00E42058">
        <w:rPr>
          <w:lang w:val="fr-FR"/>
        </w:rPr>
        <w:t>7</w:t>
      </w:r>
      <w:r>
        <w:rPr>
          <w:lang w:val="fr-FR"/>
        </w:rPr>
        <w:t>.</w:t>
      </w:r>
      <w:r>
        <w:rPr>
          <w:lang w:val="fr-FR"/>
        </w:rPr>
        <w:tab/>
        <w:t>Sur les 483 personnes placées en détention dans le cadre des contrôles d’immigration, 205 sont détenus depuis moins de trois mois.</w:t>
      </w:r>
    </w:p>
    <w:p w:rsidR="00234B33" w:rsidRDefault="00F82B1D" w:rsidP="005D7B68">
      <w:pPr>
        <w:tabs>
          <w:tab w:val="left" w:pos="567"/>
          <w:tab w:val="left" w:pos="1134"/>
          <w:tab w:val="left" w:pos="1701"/>
          <w:tab w:val="left" w:pos="2268"/>
          <w:tab w:val="left" w:pos="2835"/>
        </w:tabs>
        <w:rPr>
          <w:lang w:val="fr-FR"/>
        </w:rPr>
      </w:pPr>
      <w:r>
        <w:rPr>
          <w:lang w:val="fr-FR"/>
        </w:rPr>
        <w:t>32</w:t>
      </w:r>
      <w:r w:rsidR="00E42058">
        <w:rPr>
          <w:lang w:val="fr-FR"/>
        </w:rPr>
        <w:t>8</w:t>
      </w:r>
      <w:r>
        <w:rPr>
          <w:lang w:val="fr-FR"/>
        </w:rPr>
        <w:t>.</w:t>
      </w:r>
      <w:r>
        <w:rPr>
          <w:lang w:val="fr-FR"/>
        </w:rPr>
        <w:tab/>
        <w:t xml:space="preserve">Au </w:t>
      </w:r>
      <w:r w:rsidR="00F908A3">
        <w:rPr>
          <w:lang w:val="fr-FR"/>
        </w:rPr>
        <w:t>17 août 2007, 31 enfants vivaient en détention au sein de la communauté, huit dans des foyers-logements pour immigrants et un dans un autre type de détention temporaire au sein de la communauté</w:t>
      </w:r>
      <w:r w:rsidR="008D6B80">
        <w:rPr>
          <w:lang w:val="fr-FR"/>
        </w:rPr>
        <w:t xml:space="preserve">. </w:t>
      </w:r>
      <w:r w:rsidR="00F908A3">
        <w:rPr>
          <w:lang w:val="fr-FR"/>
        </w:rPr>
        <w:t>Il n’y a aucun enfant dans les centres de rétention.</w:t>
      </w:r>
    </w:p>
    <w:p w:rsidR="00234B33" w:rsidRPr="00891B8C" w:rsidRDefault="00234B33" w:rsidP="005D7B68">
      <w:pPr>
        <w:tabs>
          <w:tab w:val="left" w:pos="567"/>
          <w:tab w:val="left" w:pos="1134"/>
          <w:tab w:val="left" w:pos="1701"/>
          <w:tab w:val="left" w:pos="2268"/>
          <w:tab w:val="left" w:pos="2835"/>
        </w:tabs>
      </w:pPr>
      <w:r>
        <w:rPr>
          <w:noProof/>
          <w:lang w:val="fr-FR" w:eastAsia="fr-FR"/>
        </w:rPr>
        <w:pict>
          <v:rect id="_x0000_s1056" style="position:absolute;margin-left:303pt;margin-top:85.75pt;width:120.75pt;height:142.35pt;z-index:10" stroked="f">
            <v:textbox style="mso-next-textbox:#_x0000_s1056" inset="0,0,0,0">
              <w:txbxContent>
                <w:p w:rsidR="00CC46D2" w:rsidRDefault="00CC46D2" w:rsidP="00976F5C">
                  <w:pPr>
                    <w:spacing w:after="80"/>
                    <w:rPr>
                      <w:sz w:val="15"/>
                      <w:szCs w:val="15"/>
                      <w:lang w:val="fr-CH"/>
                    </w:rPr>
                  </w:pPr>
                  <w:r>
                    <w:rPr>
                      <w:sz w:val="15"/>
                      <w:szCs w:val="15"/>
                      <w:lang w:val="fr-CH"/>
                    </w:rPr>
                    <w:t>Centres de rétention (pêcheurs étrangers en situation irrégulière non compris)</w:t>
                  </w:r>
                </w:p>
                <w:p w:rsidR="00CC46D2" w:rsidRDefault="00CC46D2" w:rsidP="00E03B0A">
                  <w:pPr>
                    <w:spacing w:after="200"/>
                    <w:rPr>
                      <w:sz w:val="15"/>
                      <w:szCs w:val="15"/>
                      <w:lang w:val="fr-CH"/>
                    </w:rPr>
                  </w:pPr>
                  <w:r>
                    <w:rPr>
                      <w:sz w:val="15"/>
                      <w:szCs w:val="15"/>
                      <w:lang w:val="fr-CH"/>
                    </w:rPr>
                    <w:t>Pêcheurs étrangers en situation irrégulière</w:t>
                  </w:r>
                </w:p>
                <w:p w:rsidR="00CC46D2" w:rsidRDefault="00CC46D2" w:rsidP="00E03B0A">
                  <w:pPr>
                    <w:spacing w:after="320"/>
                    <w:rPr>
                      <w:sz w:val="15"/>
                      <w:szCs w:val="15"/>
                      <w:lang w:val="fr-CH"/>
                    </w:rPr>
                  </w:pPr>
                  <w:r>
                    <w:rPr>
                      <w:sz w:val="15"/>
                      <w:szCs w:val="15"/>
                      <w:lang w:val="fr-CH"/>
                    </w:rPr>
                    <w:t>Foyers logements pour immigrants</w:t>
                  </w:r>
                </w:p>
                <w:p w:rsidR="00CC46D2" w:rsidRDefault="00CC46D2" w:rsidP="009E16ED">
                  <w:pPr>
                    <w:spacing w:after="120"/>
                    <w:rPr>
                      <w:sz w:val="15"/>
                      <w:szCs w:val="15"/>
                      <w:lang w:val="fr-CH"/>
                    </w:rPr>
                  </w:pPr>
                  <w:r>
                    <w:rPr>
                      <w:sz w:val="15"/>
                      <w:szCs w:val="15"/>
                      <w:lang w:val="fr-CH"/>
                    </w:rPr>
                    <w:t>Autres types de détention au sein de la communauté (pêcheurs étrangers en situation irrégulière non compris)</w:t>
                  </w:r>
                </w:p>
                <w:p w:rsidR="00CC46D2" w:rsidRPr="00976F5C" w:rsidRDefault="00CC46D2" w:rsidP="00E03B0A">
                  <w:pPr>
                    <w:spacing w:after="320"/>
                    <w:rPr>
                      <w:sz w:val="15"/>
                      <w:szCs w:val="15"/>
                      <w:lang w:val="fr-CH"/>
                    </w:rPr>
                  </w:pPr>
                  <w:r>
                    <w:rPr>
                      <w:sz w:val="15"/>
                      <w:szCs w:val="15"/>
                      <w:lang w:val="fr-CH"/>
                    </w:rPr>
                    <w:t>Détention au sein de la communauté</w:t>
                  </w:r>
                </w:p>
              </w:txbxContent>
            </v:textbox>
          </v:rect>
        </w:pict>
      </w:r>
      <w:r>
        <w:rPr>
          <w:noProof/>
          <w:lang w:val="fr-FR" w:eastAsia="fr-FR"/>
        </w:rPr>
        <w:pict>
          <v:rect id="_x0000_s1055" style="position:absolute;margin-left:63pt;margin-top:9.7pt;width:342pt;height:27pt;z-index:9" stroked="f">
            <v:textbox style="mso-next-textbox:#_x0000_s1055">
              <w:txbxContent>
                <w:p w:rsidR="00CC46D2" w:rsidRPr="000204F7" w:rsidRDefault="00CC46D2" w:rsidP="00976F5C">
                  <w:pPr>
                    <w:jc w:val="center"/>
                    <w:rPr>
                      <w:b/>
                      <w:bCs/>
                      <w:sz w:val="18"/>
                      <w:szCs w:val="18"/>
                      <w:lang w:val="fr-CH"/>
                    </w:rPr>
                  </w:pPr>
                  <w:r>
                    <w:rPr>
                      <w:b/>
                      <w:bCs/>
                      <w:sz w:val="18"/>
                      <w:szCs w:val="18"/>
                      <w:lang w:val="fr-CH"/>
                    </w:rPr>
                    <w:t>Personnes placées en détention dans le cadre des contrôles d’immigration,</w:t>
                  </w:r>
                  <w:r>
                    <w:rPr>
                      <w:b/>
                      <w:bCs/>
                      <w:sz w:val="18"/>
                      <w:szCs w:val="18"/>
                      <w:lang w:val="fr-CH"/>
                    </w:rPr>
                    <w:br/>
                    <w:t>par lieu de résidence, au 17 août 2007</w:t>
                  </w:r>
                </w:p>
                <w:p w:rsidR="00CC46D2" w:rsidRPr="00976F5C" w:rsidRDefault="00CC46D2">
                  <w:pPr>
                    <w:rPr>
                      <w:lang w:val="fr-CH"/>
                    </w:rPr>
                  </w:pPr>
                </w:p>
              </w:txbxContent>
            </v:textbox>
          </v:rect>
        </w:pict>
      </w:r>
      <w:r w:rsidR="00F82B1D">
        <w:rPr>
          <w:lang w:val="fr-FR"/>
        </w:rPr>
        <w:tab/>
      </w:r>
      <w:r w:rsidRPr="00891B8C">
        <w:pict>
          <v:shape id="_x0000_i1030" type="#_x0000_t75" style="width:404.25pt;height:259.5pt">
            <v:imagedata r:id="rId17" r:pict="rId18" o:title=""/>
          </v:shape>
        </w:pict>
      </w:r>
    </w:p>
    <w:p w:rsidR="00E5632B" w:rsidRDefault="0046742B" w:rsidP="005D7B68">
      <w:pPr>
        <w:tabs>
          <w:tab w:val="left" w:pos="567"/>
          <w:tab w:val="left" w:pos="1134"/>
          <w:tab w:val="left" w:pos="1701"/>
          <w:tab w:val="left" w:pos="2268"/>
          <w:tab w:val="left" w:pos="2835"/>
        </w:tabs>
        <w:rPr>
          <w:b/>
          <w:lang w:val="fr-FR"/>
        </w:rPr>
      </w:pPr>
      <w:r>
        <w:rPr>
          <w:b/>
        </w:rPr>
        <w:tab/>
      </w:r>
      <w:r w:rsidR="00E5632B" w:rsidRPr="00E5632B">
        <w:rPr>
          <w:b/>
          <w:lang w:val="fr-FR"/>
        </w:rPr>
        <w:t>d)</w:t>
      </w:r>
      <w:r w:rsidR="00E5632B" w:rsidRPr="00E5632B">
        <w:rPr>
          <w:b/>
          <w:lang w:val="fr-FR"/>
        </w:rPr>
        <w:tab/>
        <w:t>Le nombre de personnes transférées dans des centres de détention australiens implantés à l’étranger dans le cadre des accords dits «</w:t>
      </w:r>
      <w:r w:rsidR="00E5632B" w:rsidRPr="00E5632B">
        <w:rPr>
          <w:b/>
          <w:i/>
          <w:iCs/>
          <w:lang w:val="fr-FR"/>
        </w:rPr>
        <w:t>Pacific Solution»</w:t>
      </w:r>
      <w:r w:rsidR="00E5632B">
        <w:rPr>
          <w:b/>
          <w:lang w:val="fr-FR"/>
        </w:rPr>
        <w:t xml:space="preserve">; </w:t>
      </w:r>
    </w:p>
    <w:p w:rsidR="00E5632B" w:rsidRDefault="00E42058" w:rsidP="005D7B68">
      <w:pPr>
        <w:tabs>
          <w:tab w:val="left" w:pos="567"/>
          <w:tab w:val="left" w:pos="1134"/>
          <w:tab w:val="left" w:pos="1701"/>
          <w:tab w:val="left" w:pos="2268"/>
          <w:tab w:val="left" w:pos="2835"/>
        </w:tabs>
        <w:rPr>
          <w:bCs/>
          <w:lang w:val="fr-FR"/>
        </w:rPr>
      </w:pPr>
      <w:r>
        <w:rPr>
          <w:bCs/>
          <w:lang w:val="fr-FR"/>
        </w:rPr>
        <w:t>329</w:t>
      </w:r>
      <w:r w:rsidR="00E5632B">
        <w:rPr>
          <w:bCs/>
          <w:lang w:val="fr-FR"/>
        </w:rPr>
        <w:t>.</w:t>
      </w:r>
      <w:r w:rsidR="00E5632B">
        <w:rPr>
          <w:bCs/>
          <w:lang w:val="fr-FR"/>
        </w:rPr>
        <w:tab/>
        <w:t>Voir la réponse</w:t>
      </w:r>
      <w:r w:rsidR="00E5632B" w:rsidRPr="00E5632B">
        <w:rPr>
          <w:b/>
          <w:lang w:val="fr-FR"/>
        </w:rPr>
        <w:t xml:space="preserve"> </w:t>
      </w:r>
      <w:r w:rsidR="00E5632B">
        <w:rPr>
          <w:bCs/>
          <w:lang w:val="fr-FR"/>
        </w:rPr>
        <w:t>ci-après.</w:t>
      </w:r>
    </w:p>
    <w:p w:rsidR="00E5632B" w:rsidRDefault="00E5632B" w:rsidP="005D7B68">
      <w:pPr>
        <w:tabs>
          <w:tab w:val="left" w:pos="567"/>
          <w:tab w:val="left" w:pos="1134"/>
          <w:tab w:val="left" w:pos="1701"/>
          <w:tab w:val="left" w:pos="2268"/>
          <w:tab w:val="left" w:pos="2835"/>
        </w:tabs>
        <w:ind w:left="1134" w:hanging="567"/>
        <w:rPr>
          <w:b/>
          <w:lang w:val="fr-FR"/>
        </w:rPr>
      </w:pPr>
      <w:r w:rsidRPr="00E5632B">
        <w:rPr>
          <w:b/>
          <w:lang w:val="fr-FR"/>
        </w:rPr>
        <w:t>e)</w:t>
      </w:r>
      <w:r w:rsidRPr="00E5632B">
        <w:rPr>
          <w:b/>
          <w:lang w:val="fr-FR"/>
        </w:rPr>
        <w:tab/>
        <w:t xml:space="preserve">Les pays vers lesquels ces personnes ont été transférées. </w:t>
      </w:r>
    </w:p>
    <w:p w:rsidR="00E5632B" w:rsidRDefault="00E42058" w:rsidP="005D7B68">
      <w:pPr>
        <w:tabs>
          <w:tab w:val="left" w:pos="567"/>
          <w:tab w:val="left" w:pos="1134"/>
          <w:tab w:val="left" w:pos="1701"/>
          <w:tab w:val="left" w:pos="2268"/>
          <w:tab w:val="left" w:pos="2835"/>
        </w:tabs>
        <w:rPr>
          <w:bCs/>
          <w:lang w:val="fr-FR"/>
        </w:rPr>
      </w:pPr>
      <w:r>
        <w:rPr>
          <w:bCs/>
          <w:lang w:val="fr-FR"/>
        </w:rPr>
        <w:t>330</w:t>
      </w:r>
      <w:r w:rsidR="00E5632B">
        <w:rPr>
          <w:bCs/>
          <w:lang w:val="fr-FR"/>
        </w:rPr>
        <w:t>.</w:t>
      </w:r>
      <w:r w:rsidR="00E5632B">
        <w:rPr>
          <w:bCs/>
          <w:lang w:val="fr-FR"/>
        </w:rPr>
        <w:tab/>
        <w:t xml:space="preserve">La </w:t>
      </w:r>
      <w:r w:rsidR="00E5632B" w:rsidRPr="007651FF">
        <w:rPr>
          <w:bCs/>
          <w:i/>
          <w:iCs/>
          <w:lang w:val="fr-FR"/>
        </w:rPr>
        <w:t>Pacific Strategy</w:t>
      </w:r>
      <w:r w:rsidR="00E5632B">
        <w:rPr>
          <w:bCs/>
          <w:lang w:val="fr-FR"/>
        </w:rPr>
        <w:t xml:space="preserve"> est un ensemble d’</w:t>
      </w:r>
      <w:r w:rsidR="00617A24">
        <w:rPr>
          <w:bCs/>
          <w:lang w:val="fr-FR"/>
        </w:rPr>
        <w:t>initiatives destinées à la</w:t>
      </w:r>
      <w:r w:rsidR="00E5632B">
        <w:rPr>
          <w:bCs/>
          <w:lang w:val="fr-FR"/>
        </w:rPr>
        <w:t xml:space="preserve"> </w:t>
      </w:r>
      <w:r w:rsidR="00617A24">
        <w:rPr>
          <w:bCs/>
          <w:lang w:val="fr-FR"/>
        </w:rPr>
        <w:t>lutte</w:t>
      </w:r>
      <w:r w:rsidR="00E5632B">
        <w:rPr>
          <w:bCs/>
          <w:lang w:val="fr-FR"/>
        </w:rPr>
        <w:t xml:space="preserve"> contre </w:t>
      </w:r>
      <w:r w:rsidR="00617A24">
        <w:rPr>
          <w:bCs/>
          <w:lang w:val="fr-FR"/>
        </w:rPr>
        <w:t>la traite des personnes</w:t>
      </w:r>
      <w:r w:rsidR="008D6B80">
        <w:rPr>
          <w:bCs/>
          <w:lang w:val="fr-FR"/>
        </w:rPr>
        <w:t xml:space="preserve">. </w:t>
      </w:r>
      <w:r w:rsidR="0099540E" w:rsidRPr="007651FF">
        <w:rPr>
          <w:bCs/>
          <w:lang w:val="fr-FR"/>
        </w:rPr>
        <w:t>Le traitement extraterritorial</w:t>
      </w:r>
      <w:r w:rsidR="0099540E">
        <w:rPr>
          <w:bCs/>
          <w:color w:val="FF0000"/>
          <w:lang w:val="fr-FR"/>
        </w:rPr>
        <w:t xml:space="preserve"> </w:t>
      </w:r>
      <w:r w:rsidR="0099540E" w:rsidRPr="0099540E">
        <w:rPr>
          <w:bCs/>
          <w:lang w:val="fr-FR"/>
        </w:rPr>
        <w:t>des demandeurs d’asile en Papouasie</w:t>
      </w:r>
      <w:r w:rsidR="0099540E">
        <w:rPr>
          <w:bCs/>
          <w:lang w:val="fr-FR"/>
        </w:rPr>
        <w:t>-Nouvelle-Guinée et à Nauru en fait partie</w:t>
      </w:r>
      <w:r w:rsidR="008D6B80">
        <w:rPr>
          <w:bCs/>
          <w:lang w:val="fr-FR"/>
        </w:rPr>
        <w:t xml:space="preserve">. </w:t>
      </w:r>
      <w:r w:rsidR="0099540E">
        <w:rPr>
          <w:bCs/>
          <w:lang w:val="fr-FR"/>
        </w:rPr>
        <w:t>Ce traitement inclut la vérification de l’identité et de l’état de santé et, ce qui est important, celui des toutes les revendications du statut de réfugié</w:t>
      </w:r>
      <w:r w:rsidR="00785787">
        <w:rPr>
          <w:bCs/>
          <w:lang w:val="fr-FR"/>
        </w:rPr>
        <w:t xml:space="preserve"> et des recours au titre du principe du non-refoulement</w:t>
      </w:r>
      <w:r w:rsidR="008D6B80">
        <w:rPr>
          <w:bCs/>
          <w:lang w:val="fr-FR"/>
        </w:rPr>
        <w:t xml:space="preserve">. </w:t>
      </w:r>
      <w:r w:rsidR="00785787">
        <w:rPr>
          <w:bCs/>
          <w:lang w:val="fr-FR"/>
        </w:rPr>
        <w:t xml:space="preserve">Les centres de traitement extraterritoriaux ne sont pas des centres de détention, car tous les résidents sont en situation régulière dans le pays d’accueil au titre d’un visa </w:t>
      </w:r>
      <w:r w:rsidR="004B7C90">
        <w:rPr>
          <w:bCs/>
          <w:lang w:val="fr-FR"/>
        </w:rPr>
        <w:t>spécial.</w:t>
      </w:r>
    </w:p>
    <w:p w:rsidR="004B7C90" w:rsidRDefault="004B7C90" w:rsidP="005D7B68">
      <w:pPr>
        <w:tabs>
          <w:tab w:val="left" w:pos="567"/>
          <w:tab w:val="left" w:pos="1134"/>
          <w:tab w:val="left" w:pos="1701"/>
          <w:tab w:val="left" w:pos="2268"/>
          <w:tab w:val="left" w:pos="2835"/>
        </w:tabs>
        <w:rPr>
          <w:bCs/>
          <w:lang w:val="fr-FR"/>
        </w:rPr>
      </w:pPr>
      <w:r>
        <w:rPr>
          <w:bCs/>
          <w:lang w:val="fr-FR"/>
        </w:rPr>
        <w:t>33</w:t>
      </w:r>
      <w:r w:rsidR="00E42058">
        <w:rPr>
          <w:bCs/>
          <w:lang w:val="fr-FR"/>
        </w:rPr>
        <w:t>1</w:t>
      </w:r>
      <w:r>
        <w:rPr>
          <w:bCs/>
          <w:lang w:val="fr-FR"/>
        </w:rPr>
        <w:t>.</w:t>
      </w:r>
      <w:r>
        <w:rPr>
          <w:bCs/>
          <w:lang w:val="fr-FR"/>
        </w:rPr>
        <w:tab/>
        <w:t>Le centre de Papouasie-Nouvelle-Guinée est fermé pour l’instant, car il n’y a pas de résidents.</w:t>
      </w:r>
    </w:p>
    <w:p w:rsidR="004B7C90" w:rsidRPr="00E5632B" w:rsidRDefault="004B7C90" w:rsidP="005D7B68">
      <w:pPr>
        <w:tabs>
          <w:tab w:val="left" w:pos="567"/>
          <w:tab w:val="left" w:pos="1134"/>
          <w:tab w:val="left" w:pos="1701"/>
          <w:tab w:val="left" w:pos="2268"/>
          <w:tab w:val="left" w:pos="2835"/>
        </w:tabs>
        <w:rPr>
          <w:bCs/>
          <w:lang w:val="fr-FR"/>
        </w:rPr>
      </w:pPr>
      <w:r>
        <w:rPr>
          <w:bCs/>
          <w:lang w:val="fr-FR"/>
        </w:rPr>
        <w:t>33</w:t>
      </w:r>
      <w:r w:rsidR="00E42058">
        <w:rPr>
          <w:bCs/>
          <w:lang w:val="fr-FR"/>
        </w:rPr>
        <w:t>2</w:t>
      </w:r>
      <w:r>
        <w:rPr>
          <w:bCs/>
          <w:lang w:val="fr-FR"/>
        </w:rPr>
        <w:t>.</w:t>
      </w:r>
      <w:r>
        <w:rPr>
          <w:bCs/>
          <w:lang w:val="fr-FR"/>
        </w:rPr>
        <w:tab/>
      </w:r>
      <w:r w:rsidR="003D3A7B">
        <w:rPr>
          <w:bCs/>
          <w:lang w:val="fr-FR"/>
        </w:rPr>
        <w:t>Nauru et la Papouasie-Nouvelle-Guinée ne sont</w:t>
      </w:r>
      <w:r w:rsidR="007651FF">
        <w:rPr>
          <w:bCs/>
          <w:lang w:val="fr-FR"/>
        </w:rPr>
        <w:t>,</w:t>
      </w:r>
      <w:r w:rsidR="003D3A7B">
        <w:rPr>
          <w:bCs/>
          <w:lang w:val="fr-FR"/>
        </w:rPr>
        <w:t xml:space="preserve"> ni l’un ni l’autres</w:t>
      </w:r>
      <w:r w:rsidR="007651FF">
        <w:rPr>
          <w:bCs/>
          <w:lang w:val="fr-FR"/>
        </w:rPr>
        <w:t>,</w:t>
      </w:r>
      <w:r w:rsidR="003D3A7B">
        <w:rPr>
          <w:bCs/>
          <w:lang w:val="fr-FR"/>
        </w:rPr>
        <w:t xml:space="preserve"> des territoires soumis à la souveraineté de l’Australie aux fins de </w:t>
      </w:r>
      <w:r w:rsidR="007651FF">
        <w:rPr>
          <w:bCs/>
          <w:lang w:val="fr-FR"/>
        </w:rPr>
        <w:t xml:space="preserve">la </w:t>
      </w:r>
      <w:r w:rsidR="003D3A7B">
        <w:rPr>
          <w:bCs/>
          <w:lang w:val="fr-FR"/>
        </w:rPr>
        <w:t>Convention contre la torture</w:t>
      </w:r>
      <w:r w:rsidR="008D6B80">
        <w:rPr>
          <w:bCs/>
          <w:lang w:val="fr-FR"/>
        </w:rPr>
        <w:t xml:space="preserve">. </w:t>
      </w:r>
      <w:r w:rsidR="003D3A7B">
        <w:rPr>
          <w:bCs/>
          <w:lang w:val="fr-FR"/>
        </w:rPr>
        <w:t xml:space="preserve">Néanmoins, l’Australie a veillé à ce que les procédures soient en place pour que puissent </w:t>
      </w:r>
      <w:r w:rsidR="007651FF">
        <w:rPr>
          <w:bCs/>
          <w:lang w:val="fr-FR"/>
        </w:rPr>
        <w:t xml:space="preserve">être </w:t>
      </w:r>
      <w:r w:rsidR="003D3A7B">
        <w:rPr>
          <w:bCs/>
          <w:lang w:val="fr-FR"/>
        </w:rPr>
        <w:t>réglés les problèmes relatifs au non-refoulement, y compris les allégations selon lesquelles une personne risque la mort, la torture ou bien d’</w:t>
      </w:r>
      <w:r w:rsidR="009F2C05">
        <w:rPr>
          <w:bCs/>
          <w:lang w:val="fr-FR"/>
        </w:rPr>
        <w:t>être soumise à des peines ou</w:t>
      </w:r>
      <w:r w:rsidR="003D3A7B">
        <w:rPr>
          <w:bCs/>
          <w:lang w:val="fr-FR"/>
        </w:rPr>
        <w:t xml:space="preserve"> traitement</w:t>
      </w:r>
      <w:r w:rsidR="009F2C05">
        <w:rPr>
          <w:bCs/>
          <w:lang w:val="fr-FR"/>
        </w:rPr>
        <w:t>s</w:t>
      </w:r>
      <w:r w:rsidR="003D3A7B">
        <w:rPr>
          <w:bCs/>
          <w:lang w:val="fr-FR"/>
        </w:rPr>
        <w:t xml:space="preserve"> cruel</w:t>
      </w:r>
      <w:r w:rsidR="009F2C05">
        <w:rPr>
          <w:bCs/>
          <w:lang w:val="fr-FR"/>
        </w:rPr>
        <w:t>s</w:t>
      </w:r>
      <w:r w:rsidR="003D3A7B">
        <w:rPr>
          <w:bCs/>
          <w:lang w:val="fr-FR"/>
        </w:rPr>
        <w:t>, inhumain</w:t>
      </w:r>
      <w:r w:rsidR="009F2C05">
        <w:rPr>
          <w:bCs/>
          <w:lang w:val="fr-FR"/>
        </w:rPr>
        <w:t>s</w:t>
      </w:r>
      <w:r w:rsidR="003D3A7B">
        <w:rPr>
          <w:bCs/>
          <w:lang w:val="fr-FR"/>
        </w:rPr>
        <w:t xml:space="preserve"> ou dégradant</w:t>
      </w:r>
      <w:r w:rsidR="009F2C05">
        <w:rPr>
          <w:bCs/>
          <w:lang w:val="fr-FR"/>
        </w:rPr>
        <w:t>s si elle est renvoyée dans un autre pays.</w:t>
      </w:r>
      <w:r w:rsidR="003D3A7B">
        <w:rPr>
          <w:bCs/>
          <w:lang w:val="fr-FR"/>
        </w:rPr>
        <w:t xml:space="preserve"> </w:t>
      </w:r>
    </w:p>
    <w:p w:rsidR="00E5632B" w:rsidRDefault="009F2C05" w:rsidP="005D7B68">
      <w:pPr>
        <w:tabs>
          <w:tab w:val="left" w:pos="567"/>
          <w:tab w:val="left" w:pos="1134"/>
          <w:tab w:val="left" w:pos="1701"/>
          <w:tab w:val="left" w:pos="2268"/>
          <w:tab w:val="left" w:pos="2835"/>
        </w:tabs>
        <w:rPr>
          <w:bCs/>
          <w:lang w:val="fr-FR"/>
        </w:rPr>
      </w:pPr>
      <w:r>
        <w:rPr>
          <w:bCs/>
          <w:lang w:val="fr-FR"/>
        </w:rPr>
        <w:t>33</w:t>
      </w:r>
      <w:r w:rsidR="00E42058">
        <w:rPr>
          <w:bCs/>
          <w:lang w:val="fr-FR"/>
        </w:rPr>
        <w:t>3</w:t>
      </w:r>
      <w:r>
        <w:rPr>
          <w:bCs/>
          <w:lang w:val="fr-FR"/>
        </w:rPr>
        <w:t>.</w:t>
      </w:r>
      <w:r>
        <w:rPr>
          <w:bCs/>
          <w:lang w:val="fr-FR"/>
        </w:rPr>
        <w:tab/>
      </w:r>
      <w:r w:rsidR="00342D77">
        <w:rPr>
          <w:bCs/>
          <w:lang w:val="fr-FR"/>
        </w:rPr>
        <w:t>Au total, 1</w:t>
      </w:r>
      <w:r w:rsidR="007651FF">
        <w:rPr>
          <w:bCs/>
          <w:lang w:val="fr-FR"/>
        </w:rPr>
        <w:t xml:space="preserve"> </w:t>
      </w:r>
      <w:r w:rsidR="00342D77">
        <w:rPr>
          <w:bCs/>
          <w:lang w:val="fr-FR"/>
        </w:rPr>
        <w:t>524 personnes ont été transférées dans les cent</w:t>
      </w:r>
      <w:r w:rsidR="002D6717">
        <w:rPr>
          <w:bCs/>
          <w:lang w:val="fr-FR"/>
        </w:rPr>
        <w:t>res de traitement de Nauru et de </w:t>
      </w:r>
      <w:r w:rsidR="00342D77">
        <w:rPr>
          <w:bCs/>
          <w:lang w:val="fr-FR"/>
        </w:rPr>
        <w:t xml:space="preserve">Manus entre 2001 et </w:t>
      </w:r>
      <w:r w:rsidR="007651FF">
        <w:rPr>
          <w:bCs/>
          <w:lang w:val="fr-FR"/>
        </w:rPr>
        <w:t>2</w:t>
      </w:r>
      <w:r w:rsidR="00342D77">
        <w:rPr>
          <w:bCs/>
          <w:lang w:val="fr-FR"/>
        </w:rPr>
        <w:t>003, et 23 enfants sont nés de résidents de ces centres</w:t>
      </w:r>
      <w:r w:rsidR="008D6B80">
        <w:rPr>
          <w:bCs/>
          <w:lang w:val="fr-FR"/>
        </w:rPr>
        <w:t xml:space="preserve">. </w:t>
      </w:r>
      <w:r w:rsidR="002D6717">
        <w:rPr>
          <w:bCs/>
          <w:lang w:val="fr-FR"/>
        </w:rPr>
        <w:t>Le dernier de ce </w:t>
      </w:r>
      <w:r w:rsidR="0029062F">
        <w:rPr>
          <w:bCs/>
          <w:lang w:val="fr-FR"/>
        </w:rPr>
        <w:t>premier groupe de 1 547 réfugiés pris en charge a quitté Nauru pour s’établir en Scandinavi</w:t>
      </w:r>
      <w:r w:rsidR="002D6717">
        <w:rPr>
          <w:bCs/>
          <w:lang w:val="fr-FR"/>
        </w:rPr>
        <w:t>e </w:t>
      </w:r>
      <w:r w:rsidR="0029062F">
        <w:rPr>
          <w:bCs/>
          <w:lang w:val="fr-FR"/>
        </w:rPr>
        <w:t>en février 2007</w:t>
      </w:r>
      <w:r w:rsidR="008D6B80">
        <w:rPr>
          <w:bCs/>
          <w:lang w:val="fr-FR"/>
        </w:rPr>
        <w:t xml:space="preserve">. </w:t>
      </w:r>
      <w:r w:rsidR="0029062F">
        <w:rPr>
          <w:bCs/>
          <w:lang w:val="fr-FR"/>
        </w:rPr>
        <w:t>En septembre et octobre 2006, un nouveau groupe de huit Birmans adultes de sexe masculin a été transféré au centre de traitement extraterritorial de Nauru</w:t>
      </w:r>
      <w:r w:rsidR="008D6B80">
        <w:rPr>
          <w:bCs/>
          <w:lang w:val="fr-FR"/>
        </w:rPr>
        <w:t xml:space="preserve">. </w:t>
      </w:r>
      <w:r w:rsidR="0029062F">
        <w:rPr>
          <w:bCs/>
          <w:lang w:val="fr-FR"/>
        </w:rPr>
        <w:t>Quelque 82 ressortissants du Sri Lanka interceptés alors qu’ils essayaient de pénétrer illégalement en Aus</w:t>
      </w:r>
      <w:r w:rsidR="005C2969">
        <w:rPr>
          <w:bCs/>
          <w:lang w:val="fr-FR"/>
        </w:rPr>
        <w:t>tralie près de Christmas Island</w:t>
      </w:r>
      <w:r w:rsidR="0029062F">
        <w:rPr>
          <w:bCs/>
          <w:lang w:val="fr-FR"/>
        </w:rPr>
        <w:t xml:space="preserve"> ont été transférés à Nauru en mars 2007.</w:t>
      </w:r>
    </w:p>
    <w:p w:rsidR="009A2A3D" w:rsidRDefault="009A2A3D" w:rsidP="005D7B68">
      <w:pPr>
        <w:tabs>
          <w:tab w:val="left" w:pos="567"/>
          <w:tab w:val="left" w:pos="1134"/>
          <w:tab w:val="left" w:pos="1701"/>
          <w:tab w:val="left" w:pos="2268"/>
          <w:tab w:val="left" w:pos="2835"/>
        </w:tabs>
        <w:rPr>
          <w:bCs/>
          <w:lang w:val="fr-FR"/>
        </w:rPr>
      </w:pPr>
      <w:r>
        <w:rPr>
          <w:bCs/>
          <w:lang w:val="fr-FR"/>
        </w:rPr>
        <w:t>33</w:t>
      </w:r>
      <w:r w:rsidR="00E42058">
        <w:rPr>
          <w:bCs/>
          <w:lang w:val="fr-FR"/>
        </w:rPr>
        <w:t>4</w:t>
      </w:r>
      <w:r>
        <w:rPr>
          <w:bCs/>
          <w:lang w:val="fr-FR"/>
        </w:rPr>
        <w:t>.</w:t>
      </w:r>
      <w:r>
        <w:rPr>
          <w:bCs/>
          <w:lang w:val="fr-FR"/>
        </w:rPr>
        <w:tab/>
        <w:t xml:space="preserve">Les personnes emmenées dans des pays </w:t>
      </w:r>
      <w:r w:rsidR="00A619D6">
        <w:rPr>
          <w:bCs/>
          <w:lang w:val="fr-FR"/>
        </w:rPr>
        <w:t>«</w:t>
      </w:r>
      <w:r>
        <w:rPr>
          <w:bCs/>
          <w:lang w:val="fr-FR"/>
        </w:rPr>
        <w:t>déclarés</w:t>
      </w:r>
      <w:r w:rsidR="00A619D6">
        <w:rPr>
          <w:bCs/>
          <w:lang w:val="fr-FR"/>
        </w:rPr>
        <w:t>»</w:t>
      </w:r>
      <w:r>
        <w:rPr>
          <w:bCs/>
          <w:lang w:val="fr-FR"/>
        </w:rPr>
        <w:t xml:space="preserve"> ne sont pas expulsées, mais transférées légalement en application de l’article 198Ade la loi australienne sur l’immigration</w:t>
      </w:r>
      <w:r w:rsidR="008D6B80">
        <w:rPr>
          <w:bCs/>
          <w:lang w:val="fr-FR"/>
        </w:rPr>
        <w:t xml:space="preserve">. </w:t>
      </w:r>
      <w:r w:rsidR="005338E3">
        <w:rPr>
          <w:bCs/>
          <w:lang w:val="fr-FR"/>
        </w:rPr>
        <w:t>Aucune personne n’a été expulsée d’un</w:t>
      </w:r>
      <w:r w:rsidR="00E6486B">
        <w:rPr>
          <w:bCs/>
          <w:lang w:val="fr-FR"/>
        </w:rPr>
        <w:t xml:space="preserve"> centre de traitement extraterritorial par le Gouvernement de Papouasie-Nouvelle-Guinée ou de Nauru</w:t>
      </w:r>
      <w:r w:rsidR="008D6B80">
        <w:rPr>
          <w:bCs/>
          <w:lang w:val="fr-FR"/>
        </w:rPr>
        <w:t xml:space="preserve">. </w:t>
      </w:r>
      <w:r w:rsidR="00E6486B">
        <w:rPr>
          <w:bCs/>
          <w:lang w:val="fr-FR"/>
        </w:rPr>
        <w:t>Les demandeurs d’asile ont été réinstallés ou ont</w:t>
      </w:r>
      <w:r w:rsidR="009D282E">
        <w:rPr>
          <w:bCs/>
          <w:lang w:val="fr-FR"/>
        </w:rPr>
        <w:t xml:space="preserve"> librement consenti à repartir</w:t>
      </w:r>
      <w:r w:rsidR="008D6B80">
        <w:rPr>
          <w:bCs/>
          <w:lang w:val="fr-FR"/>
        </w:rPr>
        <w:t xml:space="preserve">. </w:t>
      </w:r>
      <w:r w:rsidR="009D282E">
        <w:rPr>
          <w:bCs/>
          <w:lang w:val="fr-FR"/>
        </w:rPr>
        <w:t xml:space="preserve">Aucune personne n’a été rapatriée de force ou sans </w:t>
      </w:r>
      <w:r w:rsidR="00F97B5D">
        <w:rPr>
          <w:bCs/>
          <w:lang w:val="fr-FR"/>
        </w:rPr>
        <w:t>son libre consentement</w:t>
      </w:r>
      <w:r w:rsidR="009D282E">
        <w:rPr>
          <w:bCs/>
          <w:lang w:val="fr-FR"/>
        </w:rPr>
        <w:t>.</w:t>
      </w:r>
    </w:p>
    <w:p w:rsidR="00377AB8" w:rsidRDefault="002A7325" w:rsidP="005D7B68">
      <w:pPr>
        <w:tabs>
          <w:tab w:val="left" w:pos="567"/>
          <w:tab w:val="left" w:pos="1134"/>
          <w:tab w:val="left" w:pos="1701"/>
          <w:tab w:val="left" w:pos="2268"/>
          <w:tab w:val="left" w:pos="2835"/>
        </w:tabs>
        <w:jc w:val="center"/>
        <w:rPr>
          <w:b/>
          <w:lang w:val="fr-FR"/>
        </w:rPr>
      </w:pPr>
      <w:r>
        <w:rPr>
          <w:b/>
          <w:lang w:val="fr-FR"/>
        </w:rPr>
        <w:t>ARTICLE</w:t>
      </w:r>
      <w:r w:rsidR="00F81A5E">
        <w:rPr>
          <w:b/>
          <w:lang w:val="fr-FR"/>
        </w:rPr>
        <w:t xml:space="preserve"> </w:t>
      </w:r>
      <w:r w:rsidR="00377AB8">
        <w:rPr>
          <w:b/>
          <w:lang w:val="fr-FR"/>
        </w:rPr>
        <w:t>4</w:t>
      </w:r>
    </w:p>
    <w:p w:rsidR="00377AB8" w:rsidRDefault="00377AB8" w:rsidP="005D7B68">
      <w:pPr>
        <w:tabs>
          <w:tab w:val="left" w:pos="567"/>
          <w:tab w:val="left" w:pos="1134"/>
          <w:tab w:val="left" w:pos="1701"/>
          <w:tab w:val="left" w:pos="2268"/>
          <w:tab w:val="left" w:pos="2835"/>
        </w:tabs>
        <w:rPr>
          <w:b/>
          <w:lang w:val="fr-FR"/>
        </w:rPr>
      </w:pPr>
      <w:r>
        <w:rPr>
          <w:b/>
          <w:lang w:val="fr-FR"/>
        </w:rPr>
        <w:t>Question 13</w:t>
      </w:r>
    </w:p>
    <w:p w:rsidR="00377AB8" w:rsidRPr="00377AB8" w:rsidRDefault="00377AB8" w:rsidP="005D7B68">
      <w:pPr>
        <w:tabs>
          <w:tab w:val="left" w:pos="567"/>
          <w:tab w:val="left" w:pos="1134"/>
          <w:tab w:val="left" w:pos="1701"/>
          <w:tab w:val="left" w:pos="2268"/>
          <w:tab w:val="left" w:pos="2835"/>
        </w:tabs>
        <w:rPr>
          <w:b/>
          <w:bCs/>
          <w:lang w:val="fr-FR"/>
        </w:rPr>
      </w:pPr>
      <w:r>
        <w:rPr>
          <w:b/>
          <w:lang w:val="fr-FR"/>
        </w:rPr>
        <w:tab/>
      </w:r>
      <w:r w:rsidRPr="00377AB8">
        <w:rPr>
          <w:b/>
          <w:bCs/>
          <w:lang w:val="fr-FR"/>
        </w:rPr>
        <w:t>Préciser si la législation pénale des divers États et territoires érige la torture en infraction spécifique (englobant les actes de torture, la tentative de torture et la complicité ou la participation dans ces actes) et distincte de par sa nature d’autres infractions connexes. Indiquer également les peines encourues pour ces infractions et si ces actes sont prescriptibles.</w:t>
      </w:r>
    </w:p>
    <w:p w:rsidR="00377AB8" w:rsidRDefault="00377AB8" w:rsidP="005D7B68">
      <w:pPr>
        <w:tabs>
          <w:tab w:val="left" w:pos="567"/>
          <w:tab w:val="left" w:pos="1134"/>
          <w:tab w:val="left" w:pos="1701"/>
          <w:tab w:val="left" w:pos="2268"/>
          <w:tab w:val="left" w:pos="2835"/>
        </w:tabs>
        <w:rPr>
          <w:bCs/>
          <w:lang w:val="fr-FR"/>
        </w:rPr>
      </w:pPr>
      <w:r>
        <w:rPr>
          <w:bCs/>
          <w:lang w:val="fr-FR"/>
        </w:rPr>
        <w:t>33</w:t>
      </w:r>
      <w:r w:rsidR="00E42058">
        <w:rPr>
          <w:bCs/>
          <w:lang w:val="fr-FR"/>
        </w:rPr>
        <w:t>5</w:t>
      </w:r>
      <w:r>
        <w:rPr>
          <w:bCs/>
          <w:lang w:val="fr-FR"/>
        </w:rPr>
        <w:t>.</w:t>
      </w:r>
      <w:r>
        <w:rPr>
          <w:bCs/>
          <w:lang w:val="fr-FR"/>
        </w:rPr>
        <w:tab/>
        <w:t>Tout comportement relevant de la définition de la ‘torture’ selon la Convention ou dont l’objet serait assimilable à une peine ou traitement cruel, inhumain ou dégradant est constitutif d’une infraction</w:t>
      </w:r>
      <w:r w:rsidR="00D52A82">
        <w:rPr>
          <w:bCs/>
          <w:lang w:val="fr-FR"/>
        </w:rPr>
        <w:t xml:space="preserve"> pénale pour toutes les juridictions australiennes</w:t>
      </w:r>
      <w:r w:rsidR="008D6B80">
        <w:rPr>
          <w:bCs/>
          <w:lang w:val="fr-FR"/>
        </w:rPr>
        <w:t xml:space="preserve">. </w:t>
      </w:r>
      <w:r w:rsidR="00D52A82">
        <w:rPr>
          <w:bCs/>
          <w:lang w:val="fr-FR"/>
        </w:rPr>
        <w:t>Il est fait référence au Comité au paragraphe 21, dans l’appendice 1 et dans le tableau 1 du quatr</w:t>
      </w:r>
      <w:r w:rsidR="002D6717">
        <w:rPr>
          <w:bCs/>
          <w:lang w:val="fr-FR"/>
        </w:rPr>
        <w:t>ième rapport de l’Australie, et </w:t>
      </w:r>
      <w:r w:rsidR="00D52A82">
        <w:rPr>
          <w:bCs/>
          <w:lang w:val="fr-FR"/>
        </w:rPr>
        <w:t>aux paragraphes 46-49 du deuxième et du troisième rapport de l’Australie</w:t>
      </w:r>
      <w:r w:rsidR="008D6B80">
        <w:rPr>
          <w:bCs/>
          <w:lang w:val="fr-FR"/>
        </w:rPr>
        <w:t xml:space="preserve">. </w:t>
      </w:r>
      <w:r w:rsidR="00D52A82">
        <w:rPr>
          <w:bCs/>
          <w:lang w:val="fr-FR"/>
        </w:rPr>
        <w:t>Les infractions pertinentes dans chaque juridiction sont présentées ci-après.</w:t>
      </w:r>
    </w:p>
    <w:p w:rsidR="00D52A82" w:rsidRDefault="00D52A82" w:rsidP="005D7B68">
      <w:pPr>
        <w:tabs>
          <w:tab w:val="left" w:pos="567"/>
          <w:tab w:val="left" w:pos="1134"/>
          <w:tab w:val="left" w:pos="1701"/>
          <w:tab w:val="left" w:pos="2268"/>
          <w:tab w:val="left" w:pos="2835"/>
        </w:tabs>
        <w:rPr>
          <w:b/>
          <w:lang w:val="fr-FR"/>
        </w:rPr>
      </w:pPr>
      <w:r>
        <w:rPr>
          <w:b/>
          <w:lang w:val="fr-FR"/>
        </w:rPr>
        <w:t>Informations du Gouvernement du Commonwealth</w:t>
      </w:r>
    </w:p>
    <w:p w:rsidR="00D52A82" w:rsidRDefault="00D52A82" w:rsidP="005D7B68">
      <w:pPr>
        <w:tabs>
          <w:tab w:val="left" w:pos="567"/>
          <w:tab w:val="left" w:pos="1134"/>
          <w:tab w:val="left" w:pos="1701"/>
          <w:tab w:val="left" w:pos="2268"/>
          <w:tab w:val="left" w:pos="2835"/>
        </w:tabs>
        <w:rPr>
          <w:bCs/>
          <w:lang w:val="fr-FR"/>
        </w:rPr>
      </w:pPr>
      <w:r>
        <w:rPr>
          <w:bCs/>
          <w:lang w:val="fr-FR"/>
        </w:rPr>
        <w:t>33</w:t>
      </w:r>
      <w:r w:rsidR="00E42058">
        <w:rPr>
          <w:bCs/>
          <w:lang w:val="fr-FR"/>
        </w:rPr>
        <w:t>6</w:t>
      </w:r>
      <w:r>
        <w:rPr>
          <w:bCs/>
          <w:lang w:val="fr-FR"/>
        </w:rPr>
        <w:t>.</w:t>
      </w:r>
      <w:r>
        <w:rPr>
          <w:bCs/>
          <w:lang w:val="fr-FR"/>
        </w:rPr>
        <w:tab/>
        <w:t>La</w:t>
      </w:r>
      <w:r>
        <w:rPr>
          <w:bCs/>
          <w:i/>
          <w:iCs/>
          <w:lang w:val="fr-FR"/>
        </w:rPr>
        <w:t xml:space="preserve"> </w:t>
      </w:r>
      <w:r w:rsidRPr="007651FF">
        <w:rPr>
          <w:bCs/>
          <w:lang w:val="fr-FR"/>
        </w:rPr>
        <w:t>loi</w:t>
      </w:r>
      <w:r w:rsidR="00305C98" w:rsidRPr="007651FF">
        <w:rPr>
          <w:bCs/>
          <w:lang w:val="fr-FR"/>
        </w:rPr>
        <w:t xml:space="preserve"> de 1988</w:t>
      </w:r>
      <w:r w:rsidRPr="007651FF">
        <w:rPr>
          <w:bCs/>
          <w:lang w:val="fr-FR"/>
        </w:rPr>
        <w:t xml:space="preserve"> sur les infractions pénales (torture)</w:t>
      </w:r>
      <w:r w:rsidR="00305C98">
        <w:rPr>
          <w:bCs/>
          <w:lang w:val="fr-FR"/>
        </w:rPr>
        <w:t xml:space="preserve"> (Commonwealth) érige en infraction les actes de torture commis hors d’Australie passibles de la même peine que s’ils avaient été commis dans ce pays.</w:t>
      </w:r>
    </w:p>
    <w:p w:rsidR="00305C98" w:rsidRDefault="00305C98" w:rsidP="005D7B68">
      <w:pPr>
        <w:tabs>
          <w:tab w:val="left" w:pos="567"/>
          <w:tab w:val="left" w:pos="1134"/>
          <w:tab w:val="left" w:pos="1701"/>
          <w:tab w:val="left" w:pos="2268"/>
          <w:tab w:val="left" w:pos="2835"/>
        </w:tabs>
        <w:rPr>
          <w:bCs/>
          <w:lang w:val="fr-FR"/>
        </w:rPr>
      </w:pPr>
      <w:r>
        <w:rPr>
          <w:bCs/>
          <w:lang w:val="fr-FR"/>
        </w:rPr>
        <w:t>33</w:t>
      </w:r>
      <w:r w:rsidR="00E42058">
        <w:rPr>
          <w:bCs/>
          <w:lang w:val="fr-FR"/>
        </w:rPr>
        <w:t>7</w:t>
      </w:r>
      <w:r>
        <w:rPr>
          <w:bCs/>
          <w:lang w:val="fr-FR"/>
        </w:rPr>
        <w:t>.</w:t>
      </w:r>
      <w:r>
        <w:rPr>
          <w:bCs/>
          <w:lang w:val="fr-FR"/>
        </w:rPr>
        <w:tab/>
        <w:t xml:space="preserve"> La division 268 du </w:t>
      </w:r>
      <w:r w:rsidRPr="007651FF">
        <w:rPr>
          <w:bCs/>
          <w:lang w:val="fr-FR"/>
        </w:rPr>
        <w:t>Code pénal</w:t>
      </w:r>
      <w:r>
        <w:rPr>
          <w:bCs/>
          <w:lang w:val="fr-FR"/>
        </w:rPr>
        <w:t xml:space="preserve"> prévoit des peines pour le génocide (emprisonnement à vie), les crimes contre l’humanité (de 17 ans d’emprisonnement à l’emprisonnement à vie) et les crimes de guerre (de 10 ans d’emprisonnement à l’emprisonnement à vie).</w:t>
      </w:r>
    </w:p>
    <w:p w:rsidR="00717361" w:rsidRDefault="00717361" w:rsidP="005D7B68">
      <w:pPr>
        <w:tabs>
          <w:tab w:val="left" w:pos="567"/>
          <w:tab w:val="left" w:pos="1134"/>
          <w:tab w:val="left" w:pos="1701"/>
          <w:tab w:val="left" w:pos="2268"/>
          <w:tab w:val="left" w:pos="2835"/>
        </w:tabs>
        <w:rPr>
          <w:b/>
          <w:lang w:val="fr-FR"/>
        </w:rPr>
      </w:pPr>
      <w:r>
        <w:rPr>
          <w:b/>
          <w:lang w:val="fr-FR"/>
        </w:rPr>
        <w:t>Informations des États et Territoires</w:t>
      </w:r>
    </w:p>
    <w:p w:rsidR="00717361" w:rsidRDefault="00717361" w:rsidP="005D7B68">
      <w:pPr>
        <w:tabs>
          <w:tab w:val="left" w:pos="567"/>
          <w:tab w:val="left" w:pos="1134"/>
          <w:tab w:val="left" w:pos="1701"/>
          <w:tab w:val="left" w:pos="2268"/>
          <w:tab w:val="left" w:pos="2835"/>
        </w:tabs>
        <w:rPr>
          <w:b/>
          <w:lang w:val="fr-FR"/>
        </w:rPr>
      </w:pPr>
      <w:r>
        <w:rPr>
          <w:b/>
          <w:lang w:val="fr-FR"/>
        </w:rPr>
        <w:t>Nouvelle-Galles du Sud</w:t>
      </w:r>
    </w:p>
    <w:p w:rsidR="00717361" w:rsidRDefault="00717361" w:rsidP="005D7B68">
      <w:pPr>
        <w:tabs>
          <w:tab w:val="left" w:pos="567"/>
          <w:tab w:val="left" w:pos="1134"/>
          <w:tab w:val="left" w:pos="1701"/>
          <w:tab w:val="left" w:pos="2268"/>
          <w:tab w:val="left" w:pos="2835"/>
        </w:tabs>
        <w:rPr>
          <w:bCs/>
          <w:lang w:val="fr-FR"/>
        </w:rPr>
      </w:pPr>
      <w:r>
        <w:rPr>
          <w:bCs/>
          <w:lang w:val="fr-FR"/>
        </w:rPr>
        <w:t>33</w:t>
      </w:r>
      <w:r w:rsidR="00E42058">
        <w:rPr>
          <w:bCs/>
          <w:lang w:val="fr-FR"/>
        </w:rPr>
        <w:t>8</w:t>
      </w:r>
      <w:r>
        <w:rPr>
          <w:bCs/>
          <w:lang w:val="fr-FR"/>
        </w:rPr>
        <w:t>.</w:t>
      </w:r>
      <w:r>
        <w:rPr>
          <w:bCs/>
          <w:lang w:val="fr-FR"/>
        </w:rPr>
        <w:tab/>
        <w:t xml:space="preserve">La torture n’existe pas en tant qu’infraction spécifique </w:t>
      </w:r>
      <w:r w:rsidR="002D6717">
        <w:rPr>
          <w:bCs/>
          <w:lang w:val="fr-FR"/>
        </w:rPr>
        <w:t>dans la législation de Nouvelle</w:t>
      </w:r>
      <w:r w:rsidR="002D6717">
        <w:rPr>
          <w:bCs/>
          <w:lang w:val="fr-FR"/>
        </w:rPr>
        <w:noBreakHyphen/>
      </w:r>
      <w:r>
        <w:rPr>
          <w:bCs/>
          <w:lang w:val="fr-FR"/>
        </w:rPr>
        <w:t>Galles du Sud</w:t>
      </w:r>
      <w:r w:rsidR="008D6B80">
        <w:rPr>
          <w:bCs/>
          <w:lang w:val="fr-FR"/>
        </w:rPr>
        <w:t xml:space="preserve">. </w:t>
      </w:r>
      <w:r>
        <w:rPr>
          <w:bCs/>
          <w:lang w:val="fr-FR"/>
        </w:rPr>
        <w:t>Veuillez vous reporter aux appendices et tableaux de la page iv du quatrième rapport de l’Australie</w:t>
      </w:r>
      <w:r w:rsidR="00A8548B">
        <w:rPr>
          <w:bCs/>
          <w:lang w:val="fr-FR"/>
        </w:rPr>
        <w:t xml:space="preserve"> en application de la Convention contre la torture et autres peines et traitements cruels, inhumains et dégradants</w:t>
      </w:r>
      <w:r>
        <w:rPr>
          <w:bCs/>
          <w:lang w:val="fr-FR"/>
        </w:rPr>
        <w:t xml:space="preserve"> </w:t>
      </w:r>
      <w:r w:rsidR="00A8548B">
        <w:rPr>
          <w:bCs/>
          <w:lang w:val="fr-FR"/>
        </w:rPr>
        <w:t>pour trouver les détails</w:t>
      </w:r>
      <w:r>
        <w:rPr>
          <w:bCs/>
          <w:lang w:val="fr-FR"/>
        </w:rPr>
        <w:t xml:space="preserve"> </w:t>
      </w:r>
      <w:r w:rsidR="00A8548B">
        <w:rPr>
          <w:bCs/>
          <w:lang w:val="fr-FR"/>
        </w:rPr>
        <w:t>des dispositions de la</w:t>
      </w:r>
      <w:r w:rsidR="00A8548B">
        <w:rPr>
          <w:bCs/>
          <w:i/>
          <w:iCs/>
          <w:lang w:val="fr-FR"/>
        </w:rPr>
        <w:t xml:space="preserve"> </w:t>
      </w:r>
      <w:r w:rsidR="00A8548B" w:rsidRPr="007651FF">
        <w:rPr>
          <w:bCs/>
          <w:lang w:val="fr-FR"/>
        </w:rPr>
        <w:t>loi de 1900</w:t>
      </w:r>
      <w:r w:rsidR="00572260">
        <w:rPr>
          <w:bCs/>
          <w:lang w:val="fr-FR"/>
        </w:rPr>
        <w:t xml:space="preserve"> </w:t>
      </w:r>
      <w:r w:rsidR="00A8548B" w:rsidRPr="007651FF">
        <w:rPr>
          <w:bCs/>
          <w:lang w:val="fr-FR"/>
        </w:rPr>
        <w:t xml:space="preserve">sur </w:t>
      </w:r>
      <w:r w:rsidR="00A8548B" w:rsidRPr="00F423AE">
        <w:rPr>
          <w:bCs/>
          <w:lang w:val="fr-FR"/>
        </w:rPr>
        <w:t>les infractions pénales</w:t>
      </w:r>
      <w:r w:rsidR="00A8548B" w:rsidRPr="00F423AE">
        <w:rPr>
          <w:bCs/>
          <w:i/>
          <w:iCs/>
          <w:lang w:val="fr-FR"/>
        </w:rPr>
        <w:t xml:space="preserve"> </w:t>
      </w:r>
      <w:r w:rsidR="00A8548B" w:rsidRPr="00F423AE">
        <w:rPr>
          <w:bCs/>
          <w:lang w:val="fr-FR"/>
        </w:rPr>
        <w:t>(Nouvelle-Galles du Sud) (loi sur les infractions pénales) qui peuvent s’appliquer aux délits</w:t>
      </w:r>
      <w:r w:rsidR="00A8548B">
        <w:rPr>
          <w:bCs/>
          <w:lang w:val="fr-FR"/>
        </w:rPr>
        <w:t xml:space="preserve"> à caractère cruel, inhumain ou dégradant</w:t>
      </w:r>
      <w:r w:rsidR="008D6B80">
        <w:rPr>
          <w:bCs/>
          <w:lang w:val="fr-FR"/>
        </w:rPr>
        <w:t xml:space="preserve">. </w:t>
      </w:r>
      <w:r w:rsidR="00A8548B">
        <w:rPr>
          <w:bCs/>
          <w:lang w:val="fr-FR"/>
        </w:rPr>
        <w:t xml:space="preserve">Cependant, il est tenu </w:t>
      </w:r>
      <w:r w:rsidR="00810205">
        <w:rPr>
          <w:bCs/>
          <w:lang w:val="fr-FR"/>
        </w:rPr>
        <w:t xml:space="preserve">compte </w:t>
      </w:r>
      <w:r w:rsidR="00A8548B">
        <w:rPr>
          <w:bCs/>
          <w:lang w:val="fr-FR"/>
        </w:rPr>
        <w:t xml:space="preserve">de la torture en tant que circonstance aggravante lors de la </w:t>
      </w:r>
      <w:r w:rsidR="00A8548B" w:rsidRPr="00F423AE">
        <w:rPr>
          <w:bCs/>
          <w:lang w:val="fr-FR"/>
        </w:rPr>
        <w:t>détermination de la peine</w:t>
      </w:r>
      <w:r w:rsidR="008D6B80">
        <w:rPr>
          <w:bCs/>
          <w:lang w:val="fr-FR"/>
        </w:rPr>
        <w:t xml:space="preserve">. </w:t>
      </w:r>
      <w:r w:rsidR="00A8548B" w:rsidRPr="00F423AE">
        <w:rPr>
          <w:bCs/>
          <w:lang w:val="fr-FR"/>
        </w:rPr>
        <w:t>La jurisprudence de Nouvelle-Galles du Sud indique que les me</w:t>
      </w:r>
      <w:r w:rsidR="00A8548B">
        <w:rPr>
          <w:bCs/>
          <w:lang w:val="fr-FR"/>
        </w:rPr>
        <w:t>urtres accompagnés de torture relèvent virtuellement d’un type de délit qui est naturellement sanctionné par une peine d’emprisonnement à vie.</w:t>
      </w:r>
    </w:p>
    <w:p w:rsidR="00A8548B" w:rsidRDefault="00CC5116" w:rsidP="005D7B68">
      <w:pPr>
        <w:tabs>
          <w:tab w:val="left" w:pos="567"/>
          <w:tab w:val="left" w:pos="1134"/>
          <w:tab w:val="left" w:pos="1701"/>
          <w:tab w:val="left" w:pos="2268"/>
          <w:tab w:val="left" w:pos="2835"/>
        </w:tabs>
        <w:rPr>
          <w:bCs/>
          <w:lang w:val="fr-FR"/>
        </w:rPr>
      </w:pPr>
      <w:r>
        <w:rPr>
          <w:bCs/>
          <w:lang w:val="fr-FR"/>
        </w:rPr>
        <w:t>33</w:t>
      </w:r>
      <w:r w:rsidR="00E42058">
        <w:rPr>
          <w:bCs/>
          <w:lang w:val="fr-FR"/>
        </w:rPr>
        <w:t>9</w:t>
      </w:r>
      <w:r>
        <w:rPr>
          <w:bCs/>
          <w:lang w:val="fr-FR"/>
        </w:rPr>
        <w:t>.</w:t>
      </w:r>
      <w:r>
        <w:rPr>
          <w:bCs/>
          <w:lang w:val="fr-FR"/>
        </w:rPr>
        <w:tab/>
        <w:t>La seule référence directe à la torture dans la législation pénale de Nouvelle-Galles du Sud se trouve dans l’article 91G et 91H de la loi sur le</w:t>
      </w:r>
      <w:r w:rsidR="000E74F4">
        <w:rPr>
          <w:bCs/>
          <w:lang w:val="fr-FR"/>
        </w:rPr>
        <w:t xml:space="preserve">s infractions pénales </w:t>
      </w:r>
      <w:r>
        <w:rPr>
          <w:bCs/>
          <w:lang w:val="fr-FR"/>
        </w:rPr>
        <w:t>concern</w:t>
      </w:r>
      <w:r w:rsidR="000E74F4">
        <w:rPr>
          <w:bCs/>
          <w:lang w:val="fr-FR"/>
        </w:rPr>
        <w:t>ant</w:t>
      </w:r>
      <w:r>
        <w:rPr>
          <w:bCs/>
          <w:lang w:val="fr-FR"/>
        </w:rPr>
        <w:t xml:space="preserve"> les infractions liées à la pornographie</w:t>
      </w:r>
      <w:r w:rsidR="00F726A9">
        <w:rPr>
          <w:bCs/>
          <w:lang w:val="fr-FR"/>
        </w:rPr>
        <w:t xml:space="preserve"> enfantine</w:t>
      </w:r>
      <w:r w:rsidR="008D6B80">
        <w:rPr>
          <w:bCs/>
          <w:lang w:val="fr-FR"/>
        </w:rPr>
        <w:t xml:space="preserve">. </w:t>
      </w:r>
      <w:r w:rsidR="00F726A9">
        <w:rPr>
          <w:bCs/>
          <w:lang w:val="fr-FR"/>
        </w:rPr>
        <w:t>L’article 91G de cette</w:t>
      </w:r>
      <w:r>
        <w:rPr>
          <w:bCs/>
          <w:lang w:val="fr-FR"/>
        </w:rPr>
        <w:t xml:space="preserve"> l</w:t>
      </w:r>
      <w:r w:rsidR="00F726A9">
        <w:rPr>
          <w:bCs/>
          <w:lang w:val="fr-FR"/>
        </w:rPr>
        <w:t>oi</w:t>
      </w:r>
      <w:r w:rsidR="00810205">
        <w:rPr>
          <w:bCs/>
          <w:lang w:val="fr-FR"/>
        </w:rPr>
        <w:t xml:space="preserve"> </w:t>
      </w:r>
      <w:r>
        <w:rPr>
          <w:bCs/>
          <w:lang w:val="fr-FR"/>
        </w:rPr>
        <w:t xml:space="preserve">érige en infraction le fait d’utiliser </w:t>
      </w:r>
      <w:r w:rsidR="00EE20CE">
        <w:rPr>
          <w:bCs/>
          <w:lang w:val="fr-FR"/>
        </w:rPr>
        <w:t>des enfants à des fins por</w:t>
      </w:r>
      <w:r>
        <w:rPr>
          <w:bCs/>
          <w:lang w:val="fr-FR"/>
        </w:rPr>
        <w:t>nographiques</w:t>
      </w:r>
      <w:r w:rsidR="008D6B80">
        <w:rPr>
          <w:bCs/>
          <w:lang w:val="fr-FR"/>
        </w:rPr>
        <w:t xml:space="preserve">. </w:t>
      </w:r>
      <w:r w:rsidR="00EE20CE">
        <w:rPr>
          <w:bCs/>
          <w:lang w:val="fr-FR"/>
        </w:rPr>
        <w:t>Aux termes de l</w:t>
      </w:r>
      <w:r w:rsidR="00F726A9">
        <w:rPr>
          <w:bCs/>
          <w:lang w:val="fr-FR"/>
        </w:rPr>
        <w:t>’article 91G 3) c)</w:t>
      </w:r>
      <w:r w:rsidR="00EE20CE">
        <w:rPr>
          <w:bCs/>
          <w:lang w:val="fr-FR"/>
        </w:rPr>
        <w:t>, un enfant est utilisé à des fins pornographiques s’il est soumis à la torture</w:t>
      </w:r>
      <w:r w:rsidR="00812522">
        <w:rPr>
          <w:bCs/>
          <w:lang w:val="fr-FR"/>
        </w:rPr>
        <w:t>, à un traitement cruel ou à des violences physiques (à caractère sexuel ou non) aux fins de la production de documents pornographiques</w:t>
      </w:r>
      <w:r w:rsidR="008D6B80">
        <w:rPr>
          <w:bCs/>
          <w:lang w:val="fr-FR"/>
        </w:rPr>
        <w:t xml:space="preserve">. </w:t>
      </w:r>
      <w:r w:rsidR="00812522">
        <w:rPr>
          <w:bCs/>
          <w:lang w:val="fr-FR"/>
        </w:rPr>
        <w:t>La peine dont sont passibles ces infractions est de 10 ou 14 ans d’emprisonnement selon que l’enfant est âgé de plus ou de moins de 14 ans.</w:t>
      </w:r>
    </w:p>
    <w:p w:rsidR="00812522" w:rsidRDefault="00812522" w:rsidP="005D7B68">
      <w:pPr>
        <w:tabs>
          <w:tab w:val="left" w:pos="567"/>
          <w:tab w:val="left" w:pos="1134"/>
          <w:tab w:val="left" w:pos="1701"/>
          <w:tab w:val="left" w:pos="2268"/>
          <w:tab w:val="left" w:pos="2835"/>
        </w:tabs>
        <w:rPr>
          <w:bCs/>
          <w:lang w:val="fr-FR"/>
        </w:rPr>
      </w:pPr>
      <w:r>
        <w:rPr>
          <w:bCs/>
          <w:lang w:val="fr-FR"/>
        </w:rPr>
        <w:t>3</w:t>
      </w:r>
      <w:r w:rsidR="00E42058">
        <w:rPr>
          <w:bCs/>
          <w:lang w:val="fr-FR"/>
        </w:rPr>
        <w:t>40</w:t>
      </w:r>
      <w:r>
        <w:rPr>
          <w:bCs/>
          <w:lang w:val="fr-FR"/>
        </w:rPr>
        <w:t>.</w:t>
      </w:r>
      <w:r>
        <w:rPr>
          <w:bCs/>
          <w:lang w:val="fr-FR"/>
        </w:rPr>
        <w:tab/>
        <w:t xml:space="preserve">De même, l’article 91H érige en infraction le fait de produire, de diffuser ou de posséder des documents </w:t>
      </w:r>
      <w:r w:rsidR="00F040AF">
        <w:rPr>
          <w:bCs/>
          <w:lang w:val="fr-FR"/>
        </w:rPr>
        <w:t>de pornographie enfantine ainsi définis</w:t>
      </w:r>
      <w:r w:rsidR="00572260">
        <w:rPr>
          <w:bCs/>
          <w:lang w:val="fr-FR"/>
        </w:rPr>
        <w:t>:</w:t>
      </w:r>
      <w:r w:rsidR="00F040AF">
        <w:rPr>
          <w:bCs/>
          <w:lang w:val="fr-FR"/>
        </w:rPr>
        <w:t xml:space="preserve"> des documents représentant ou décrivant, d’une manière qui</w:t>
      </w:r>
      <w:r w:rsidR="00810205">
        <w:rPr>
          <w:bCs/>
          <w:lang w:val="fr-FR"/>
        </w:rPr>
        <w:t>, en tout état de cause, serait choquante</w:t>
      </w:r>
      <w:r w:rsidR="00F040AF">
        <w:rPr>
          <w:bCs/>
          <w:lang w:val="fr-FR"/>
        </w:rPr>
        <w:t xml:space="preserve"> pour des personnes raisonnables, une personne âgée (ou apparemment âgée) de moins de 16 ans victime de torture, de traitements cruels ou de violences physiques (à caractère sexuel ou non) (art. 91H 1) c) de la loi sur les infractions pénales)</w:t>
      </w:r>
      <w:r w:rsidR="008D6B80">
        <w:rPr>
          <w:bCs/>
          <w:lang w:val="fr-FR"/>
        </w:rPr>
        <w:t xml:space="preserve">. </w:t>
      </w:r>
      <w:r w:rsidR="00F040AF">
        <w:rPr>
          <w:bCs/>
          <w:lang w:val="fr-FR"/>
        </w:rPr>
        <w:t>La production ou la diffusion de documents</w:t>
      </w:r>
      <w:r w:rsidR="00810205">
        <w:rPr>
          <w:bCs/>
          <w:lang w:val="fr-FR"/>
        </w:rPr>
        <w:t xml:space="preserve"> de</w:t>
      </w:r>
      <w:r w:rsidR="00F040AF">
        <w:rPr>
          <w:bCs/>
          <w:lang w:val="fr-FR"/>
        </w:rPr>
        <w:t xml:space="preserve"> pornographie enfantine est passible d’une peine maximale de 10 ans d’emprisonnement et le fait de posséder ce type de documents est passible d’une peine de cinq ans d’emprisonnement au maximum.</w:t>
      </w:r>
    </w:p>
    <w:p w:rsidR="00F040AF" w:rsidRDefault="00F040AF" w:rsidP="005D7B68">
      <w:pPr>
        <w:tabs>
          <w:tab w:val="left" w:pos="567"/>
          <w:tab w:val="left" w:pos="1134"/>
          <w:tab w:val="left" w:pos="1701"/>
          <w:tab w:val="left" w:pos="2268"/>
          <w:tab w:val="left" w:pos="2835"/>
        </w:tabs>
        <w:rPr>
          <w:b/>
          <w:lang w:val="fr-FR"/>
        </w:rPr>
      </w:pPr>
      <w:r>
        <w:rPr>
          <w:b/>
          <w:lang w:val="fr-FR"/>
        </w:rPr>
        <w:t>Victoria</w:t>
      </w:r>
    </w:p>
    <w:p w:rsidR="00F040AF" w:rsidRDefault="00F040AF" w:rsidP="005D7B68">
      <w:pPr>
        <w:tabs>
          <w:tab w:val="left" w:pos="567"/>
          <w:tab w:val="left" w:pos="1134"/>
          <w:tab w:val="left" w:pos="1701"/>
          <w:tab w:val="left" w:pos="2268"/>
          <w:tab w:val="left" w:pos="2835"/>
        </w:tabs>
        <w:rPr>
          <w:bCs/>
          <w:lang w:val="fr-FR"/>
        </w:rPr>
      </w:pPr>
      <w:r>
        <w:rPr>
          <w:bCs/>
          <w:lang w:val="fr-FR"/>
        </w:rPr>
        <w:t>34</w:t>
      </w:r>
      <w:r w:rsidR="00E42058">
        <w:rPr>
          <w:bCs/>
          <w:lang w:val="fr-FR"/>
        </w:rPr>
        <w:t>1</w:t>
      </w:r>
      <w:r>
        <w:rPr>
          <w:bCs/>
          <w:lang w:val="fr-FR"/>
        </w:rPr>
        <w:t>.</w:t>
      </w:r>
      <w:r>
        <w:rPr>
          <w:bCs/>
          <w:lang w:val="fr-FR"/>
        </w:rPr>
        <w:tab/>
      </w:r>
      <w:r w:rsidR="00744C57">
        <w:rPr>
          <w:bCs/>
          <w:lang w:val="fr-FR"/>
        </w:rPr>
        <w:t>La torture n’est pas spécifiquement érigée en infract</w:t>
      </w:r>
      <w:r w:rsidR="00F726A9">
        <w:rPr>
          <w:bCs/>
          <w:lang w:val="fr-FR"/>
        </w:rPr>
        <w:t>ion dans la législation du</w:t>
      </w:r>
      <w:r w:rsidR="00744C57">
        <w:rPr>
          <w:bCs/>
          <w:lang w:val="fr-FR"/>
        </w:rPr>
        <w:t xml:space="preserve"> Victoria, mais elle est spécifiquement interdite en vertu de </w:t>
      </w:r>
      <w:r w:rsidR="00F726A9">
        <w:rPr>
          <w:bCs/>
          <w:lang w:val="fr-FR"/>
        </w:rPr>
        <w:t xml:space="preserve">la </w:t>
      </w:r>
      <w:r w:rsidR="00744C57">
        <w:rPr>
          <w:bCs/>
          <w:lang w:val="fr-FR"/>
        </w:rPr>
        <w:t>Charte des droits</w:t>
      </w:r>
      <w:r w:rsidR="00B9311B">
        <w:rPr>
          <w:bCs/>
          <w:lang w:val="fr-FR"/>
        </w:rPr>
        <w:t xml:space="preserve"> de l’homme et des devoirs à cet égard</w:t>
      </w:r>
      <w:r w:rsidR="00744C57">
        <w:rPr>
          <w:bCs/>
          <w:lang w:val="fr-FR"/>
        </w:rPr>
        <w:t xml:space="preserve"> de cet État</w:t>
      </w:r>
      <w:r w:rsidR="008D6B80">
        <w:rPr>
          <w:bCs/>
          <w:lang w:val="fr-FR"/>
        </w:rPr>
        <w:t xml:space="preserve">. </w:t>
      </w:r>
      <w:r w:rsidR="00744C57">
        <w:rPr>
          <w:bCs/>
          <w:lang w:val="fr-FR"/>
        </w:rPr>
        <w:t xml:space="preserve">Pour ce qui est des détails des dispositions pénales et des peines encourues par les contrevenants en </w:t>
      </w:r>
      <w:r w:rsidR="00F726A9">
        <w:rPr>
          <w:bCs/>
          <w:lang w:val="fr-FR"/>
        </w:rPr>
        <w:t>application de la législation du</w:t>
      </w:r>
      <w:r w:rsidR="00744C57">
        <w:rPr>
          <w:bCs/>
          <w:lang w:val="fr-FR"/>
        </w:rPr>
        <w:t xml:space="preserve"> Victoria, prière de se reporter à l’appendice 1 et au tableau 1 du quatrième rapport de l’Australie.</w:t>
      </w:r>
    </w:p>
    <w:p w:rsidR="00744C57" w:rsidRDefault="00744C57" w:rsidP="005D7B68">
      <w:pPr>
        <w:tabs>
          <w:tab w:val="left" w:pos="567"/>
          <w:tab w:val="left" w:pos="1134"/>
          <w:tab w:val="left" w:pos="1701"/>
          <w:tab w:val="left" w:pos="2268"/>
          <w:tab w:val="left" w:pos="2835"/>
        </w:tabs>
        <w:rPr>
          <w:b/>
          <w:lang w:val="fr-FR"/>
        </w:rPr>
      </w:pPr>
      <w:r>
        <w:rPr>
          <w:b/>
          <w:lang w:val="fr-FR"/>
        </w:rPr>
        <w:t>Queensland</w:t>
      </w:r>
    </w:p>
    <w:p w:rsidR="00744C57" w:rsidRDefault="00744C57" w:rsidP="005D7B68">
      <w:pPr>
        <w:tabs>
          <w:tab w:val="left" w:pos="567"/>
          <w:tab w:val="left" w:pos="1134"/>
          <w:tab w:val="left" w:pos="1701"/>
          <w:tab w:val="left" w:pos="2268"/>
          <w:tab w:val="left" w:pos="2835"/>
        </w:tabs>
        <w:rPr>
          <w:bCs/>
          <w:lang w:val="fr-FR"/>
        </w:rPr>
      </w:pPr>
      <w:r>
        <w:rPr>
          <w:bCs/>
          <w:lang w:val="fr-FR"/>
        </w:rPr>
        <w:t>34</w:t>
      </w:r>
      <w:r w:rsidR="00E42058">
        <w:rPr>
          <w:bCs/>
          <w:lang w:val="fr-FR"/>
        </w:rPr>
        <w:t>2</w:t>
      </w:r>
      <w:r>
        <w:rPr>
          <w:bCs/>
          <w:lang w:val="fr-FR"/>
        </w:rPr>
        <w:t>.</w:t>
      </w:r>
      <w:r>
        <w:rPr>
          <w:bCs/>
          <w:lang w:val="fr-FR"/>
        </w:rPr>
        <w:tab/>
        <w:t xml:space="preserve">L’article 320A du </w:t>
      </w:r>
      <w:r w:rsidRPr="00810205">
        <w:rPr>
          <w:bCs/>
          <w:lang w:val="fr-FR"/>
        </w:rPr>
        <w:t>Code pénal</w:t>
      </w:r>
      <w:r>
        <w:rPr>
          <w:bCs/>
          <w:lang w:val="fr-FR"/>
        </w:rPr>
        <w:t xml:space="preserve"> du Queensland </w:t>
      </w:r>
      <w:r w:rsidR="003711C2">
        <w:rPr>
          <w:bCs/>
          <w:lang w:val="fr-FR"/>
        </w:rPr>
        <w:t>traite spécifiqueme</w:t>
      </w:r>
      <w:r w:rsidR="00935E2B">
        <w:rPr>
          <w:bCs/>
          <w:lang w:val="fr-FR"/>
        </w:rPr>
        <w:t>nt du délit de torture</w:t>
      </w:r>
      <w:r w:rsidR="008D6B80">
        <w:rPr>
          <w:bCs/>
          <w:lang w:val="fr-FR"/>
        </w:rPr>
        <w:t xml:space="preserve">. </w:t>
      </w:r>
      <w:r w:rsidR="00935E2B">
        <w:rPr>
          <w:bCs/>
          <w:lang w:val="fr-FR"/>
        </w:rPr>
        <w:t>On entend par torture</w:t>
      </w:r>
      <w:r w:rsidR="003711C2">
        <w:rPr>
          <w:bCs/>
          <w:lang w:val="fr-FR"/>
        </w:rPr>
        <w:t xml:space="preserve"> l’infliction intentionnelle de grave</w:t>
      </w:r>
      <w:r w:rsidR="00935E2B">
        <w:rPr>
          <w:bCs/>
          <w:lang w:val="fr-FR"/>
        </w:rPr>
        <w:t>s</w:t>
      </w:r>
      <w:r w:rsidR="003711C2">
        <w:rPr>
          <w:bCs/>
          <w:lang w:val="fr-FR"/>
        </w:rPr>
        <w:t xml:space="preserve"> douleur ou souffrance</w:t>
      </w:r>
      <w:r w:rsidR="00935E2B">
        <w:rPr>
          <w:bCs/>
          <w:lang w:val="fr-FR"/>
        </w:rPr>
        <w:t>s</w:t>
      </w:r>
      <w:r w:rsidR="003711C2">
        <w:rPr>
          <w:bCs/>
          <w:lang w:val="fr-FR"/>
        </w:rPr>
        <w:t xml:space="preserve"> (physique</w:t>
      </w:r>
      <w:r w:rsidR="00935E2B">
        <w:rPr>
          <w:bCs/>
          <w:lang w:val="fr-FR"/>
        </w:rPr>
        <w:t>s</w:t>
      </w:r>
      <w:r w:rsidR="003711C2">
        <w:rPr>
          <w:bCs/>
          <w:lang w:val="fr-FR"/>
        </w:rPr>
        <w:t>, mentale</w:t>
      </w:r>
      <w:r w:rsidR="00935E2B">
        <w:rPr>
          <w:bCs/>
          <w:lang w:val="fr-FR"/>
        </w:rPr>
        <w:t>s</w:t>
      </w:r>
      <w:r w:rsidR="003711C2">
        <w:rPr>
          <w:bCs/>
          <w:lang w:val="fr-FR"/>
        </w:rPr>
        <w:t>, psychologique</w:t>
      </w:r>
      <w:r w:rsidR="00935E2B">
        <w:rPr>
          <w:bCs/>
          <w:lang w:val="fr-FR"/>
        </w:rPr>
        <w:t>s</w:t>
      </w:r>
      <w:r w:rsidR="003711C2">
        <w:rPr>
          <w:bCs/>
          <w:lang w:val="fr-FR"/>
        </w:rPr>
        <w:t xml:space="preserve"> ou affective</w:t>
      </w:r>
      <w:r w:rsidR="00935E2B">
        <w:rPr>
          <w:bCs/>
          <w:lang w:val="fr-FR"/>
        </w:rPr>
        <w:t>s</w:t>
      </w:r>
      <w:r w:rsidR="003711C2">
        <w:rPr>
          <w:bCs/>
          <w:lang w:val="fr-FR"/>
        </w:rPr>
        <w:t>) à une personne par la commission d’un acte ou d’une série d’actes</w:t>
      </w:r>
      <w:r w:rsidR="008D6B80">
        <w:rPr>
          <w:bCs/>
          <w:lang w:val="fr-FR"/>
        </w:rPr>
        <w:t xml:space="preserve">. </w:t>
      </w:r>
      <w:r w:rsidR="003711C2">
        <w:rPr>
          <w:bCs/>
          <w:lang w:val="fr-FR"/>
        </w:rPr>
        <w:t>Ce délit est passible d’une peine maximale de 14 ans d’emprisonnement.</w:t>
      </w:r>
    </w:p>
    <w:p w:rsidR="001E2CD2" w:rsidRDefault="003711C2" w:rsidP="005D7B68">
      <w:pPr>
        <w:tabs>
          <w:tab w:val="left" w:pos="567"/>
          <w:tab w:val="left" w:pos="1134"/>
          <w:tab w:val="left" w:pos="1701"/>
          <w:tab w:val="left" w:pos="2268"/>
          <w:tab w:val="left" w:pos="2835"/>
        </w:tabs>
        <w:rPr>
          <w:bCs/>
          <w:lang w:val="fr-FR"/>
        </w:rPr>
      </w:pPr>
      <w:r>
        <w:rPr>
          <w:bCs/>
          <w:lang w:val="fr-FR"/>
        </w:rPr>
        <w:t>34</w:t>
      </w:r>
      <w:r w:rsidR="00E42058">
        <w:rPr>
          <w:bCs/>
          <w:lang w:val="fr-FR"/>
        </w:rPr>
        <w:t>3</w:t>
      </w:r>
      <w:r>
        <w:rPr>
          <w:bCs/>
          <w:lang w:val="fr-FR"/>
        </w:rPr>
        <w:t>.</w:t>
      </w:r>
      <w:r>
        <w:rPr>
          <w:bCs/>
          <w:lang w:val="fr-FR"/>
        </w:rPr>
        <w:tab/>
        <w:t>Au Queensland, la responsabilité pénale de toute personne qui se rend complice d’une infraction est engagée</w:t>
      </w:r>
      <w:r w:rsidR="008D6B80">
        <w:rPr>
          <w:bCs/>
          <w:lang w:val="fr-FR"/>
        </w:rPr>
        <w:t xml:space="preserve">. </w:t>
      </w:r>
      <w:r>
        <w:rPr>
          <w:bCs/>
          <w:lang w:val="fr-FR"/>
        </w:rPr>
        <w:t xml:space="preserve">En vertu de l’article 7 du </w:t>
      </w:r>
      <w:r w:rsidRPr="00810205">
        <w:rPr>
          <w:bCs/>
          <w:lang w:val="fr-FR"/>
        </w:rPr>
        <w:t>Code,</w:t>
      </w:r>
      <w:r>
        <w:rPr>
          <w:bCs/>
          <w:lang w:val="fr-FR"/>
        </w:rPr>
        <w:t xml:space="preserve"> se rend coupable d’une infraction toute personne qui commet </w:t>
      </w:r>
      <w:r w:rsidR="00232E83">
        <w:rPr>
          <w:bCs/>
          <w:lang w:val="fr-FR"/>
        </w:rPr>
        <w:t>effectivement l’acte punissable, qui accomplit un act</w:t>
      </w:r>
      <w:r w:rsidR="00F726A9">
        <w:rPr>
          <w:bCs/>
          <w:lang w:val="fr-FR"/>
        </w:rPr>
        <w:t>e aidant une autre personne à le</w:t>
      </w:r>
      <w:r w:rsidR="00232E83">
        <w:rPr>
          <w:bCs/>
          <w:lang w:val="fr-FR"/>
        </w:rPr>
        <w:t xml:space="preserve"> commettre, </w:t>
      </w:r>
      <w:r w:rsidR="003E1365">
        <w:rPr>
          <w:bCs/>
          <w:lang w:val="fr-FR"/>
        </w:rPr>
        <w:t>qui aide une autre personne à le</w:t>
      </w:r>
      <w:r w:rsidR="00232E83">
        <w:rPr>
          <w:bCs/>
          <w:lang w:val="fr-FR"/>
        </w:rPr>
        <w:t xml:space="preserve"> commettre, ou qui la pousse à le faire par des conseils ou des incitations</w:t>
      </w:r>
      <w:r w:rsidR="008D6B80">
        <w:rPr>
          <w:bCs/>
          <w:lang w:val="fr-FR"/>
        </w:rPr>
        <w:t xml:space="preserve">. </w:t>
      </w:r>
      <w:r w:rsidR="00232E83">
        <w:rPr>
          <w:bCs/>
          <w:lang w:val="fr-FR"/>
        </w:rPr>
        <w:t xml:space="preserve">En outre, l’article 8 du </w:t>
      </w:r>
      <w:r w:rsidR="00232E83" w:rsidRPr="00810205">
        <w:rPr>
          <w:bCs/>
          <w:lang w:val="fr-FR"/>
        </w:rPr>
        <w:t>Code</w:t>
      </w:r>
      <w:r w:rsidR="001E2CD2">
        <w:rPr>
          <w:bCs/>
          <w:lang w:val="fr-FR"/>
        </w:rPr>
        <w:t xml:space="preserve"> dit que</w:t>
      </w:r>
      <w:r w:rsidR="00232E83">
        <w:rPr>
          <w:bCs/>
          <w:lang w:val="fr-FR"/>
        </w:rPr>
        <w:t> </w:t>
      </w:r>
      <w:r w:rsidR="001E2CD2">
        <w:rPr>
          <w:bCs/>
          <w:lang w:val="fr-FR"/>
        </w:rPr>
        <w:t xml:space="preserve">lorsque </w:t>
      </w:r>
      <w:r w:rsidR="00232E83">
        <w:rPr>
          <w:bCs/>
          <w:lang w:val="fr-FR"/>
        </w:rPr>
        <w:t>deux per</w:t>
      </w:r>
      <w:r w:rsidR="001E2CD2">
        <w:rPr>
          <w:bCs/>
          <w:lang w:val="fr-FR"/>
        </w:rPr>
        <w:t>sonnes ou plus s’entendent pour agir de concert dans un but illicite et, pour ce faire, commettent une infraction, elles sont individuellement responsables de cette infraction</w:t>
      </w:r>
      <w:r w:rsidR="008D6B80">
        <w:rPr>
          <w:bCs/>
          <w:lang w:val="fr-FR"/>
        </w:rPr>
        <w:t xml:space="preserve">. </w:t>
      </w:r>
      <w:r w:rsidR="001E2CD2">
        <w:rPr>
          <w:bCs/>
          <w:lang w:val="fr-FR"/>
        </w:rPr>
        <w:t>Toute personne reconnue coupable de complicité à la commission d’une infraction est passible de la même peine maximale que le principal coupable.</w:t>
      </w:r>
    </w:p>
    <w:p w:rsidR="00CB77C9" w:rsidRDefault="001E2CD2" w:rsidP="005D7B68">
      <w:pPr>
        <w:tabs>
          <w:tab w:val="left" w:pos="567"/>
          <w:tab w:val="left" w:pos="1134"/>
          <w:tab w:val="left" w:pos="1701"/>
          <w:tab w:val="left" w:pos="2268"/>
          <w:tab w:val="left" w:pos="2835"/>
        </w:tabs>
        <w:rPr>
          <w:bCs/>
          <w:lang w:val="fr-FR"/>
        </w:rPr>
      </w:pPr>
      <w:r>
        <w:rPr>
          <w:bCs/>
          <w:lang w:val="fr-FR"/>
        </w:rPr>
        <w:t>34</w:t>
      </w:r>
      <w:r w:rsidR="00E42058">
        <w:rPr>
          <w:bCs/>
          <w:lang w:val="fr-FR"/>
        </w:rPr>
        <w:t>4</w:t>
      </w:r>
      <w:r>
        <w:rPr>
          <w:bCs/>
          <w:lang w:val="fr-FR"/>
        </w:rPr>
        <w:t>.</w:t>
      </w:r>
      <w:r>
        <w:rPr>
          <w:bCs/>
          <w:lang w:val="fr-FR"/>
        </w:rPr>
        <w:tab/>
      </w:r>
      <w:r w:rsidR="00CB77C9">
        <w:rPr>
          <w:bCs/>
          <w:lang w:val="fr-FR"/>
        </w:rPr>
        <w:t xml:space="preserve">Le </w:t>
      </w:r>
      <w:r w:rsidR="00CB77C9" w:rsidRPr="00810205">
        <w:rPr>
          <w:bCs/>
          <w:lang w:val="fr-FR"/>
        </w:rPr>
        <w:t>Code pénal</w:t>
      </w:r>
      <w:r w:rsidR="00CB77C9">
        <w:rPr>
          <w:bCs/>
          <w:i/>
          <w:iCs/>
          <w:lang w:val="fr-FR"/>
        </w:rPr>
        <w:t xml:space="preserve"> </w:t>
      </w:r>
      <w:r w:rsidR="00CB77C9">
        <w:rPr>
          <w:bCs/>
          <w:lang w:val="fr-FR"/>
        </w:rPr>
        <w:t xml:space="preserve">érige également en infraction l’entente en vue de commettre une infraction </w:t>
      </w:r>
      <w:r w:rsidR="007330E2">
        <w:rPr>
          <w:bCs/>
          <w:lang w:val="fr-FR"/>
        </w:rPr>
        <w:t>(art.</w:t>
      </w:r>
      <w:r w:rsidR="00CB77C9">
        <w:rPr>
          <w:bCs/>
          <w:lang w:val="fr-FR"/>
        </w:rPr>
        <w:t xml:space="preserve"> 541) et la tentative d’infraction </w:t>
      </w:r>
      <w:r w:rsidR="007330E2">
        <w:rPr>
          <w:bCs/>
          <w:lang w:val="fr-FR"/>
        </w:rPr>
        <w:t>(art.</w:t>
      </w:r>
      <w:r w:rsidR="00CB77C9">
        <w:rPr>
          <w:bCs/>
          <w:lang w:val="fr-FR"/>
        </w:rPr>
        <w:t xml:space="preserve"> 535).</w:t>
      </w:r>
    </w:p>
    <w:p w:rsidR="003711C2" w:rsidRPr="00F423AE" w:rsidRDefault="00CB77C9" w:rsidP="005D7B68">
      <w:pPr>
        <w:tabs>
          <w:tab w:val="left" w:pos="567"/>
          <w:tab w:val="left" w:pos="1134"/>
          <w:tab w:val="left" w:pos="1701"/>
          <w:tab w:val="left" w:pos="2268"/>
          <w:tab w:val="left" w:pos="2835"/>
        </w:tabs>
        <w:rPr>
          <w:bCs/>
          <w:i/>
          <w:iCs/>
          <w:lang w:val="fr-FR"/>
        </w:rPr>
      </w:pPr>
      <w:r>
        <w:rPr>
          <w:bCs/>
          <w:lang w:val="fr-FR"/>
        </w:rPr>
        <w:t>34</w:t>
      </w:r>
      <w:r w:rsidR="00E42058">
        <w:rPr>
          <w:bCs/>
          <w:lang w:val="fr-FR"/>
        </w:rPr>
        <w:t>5</w:t>
      </w:r>
      <w:r>
        <w:rPr>
          <w:bCs/>
          <w:lang w:val="fr-FR"/>
        </w:rPr>
        <w:t>.</w:t>
      </w:r>
      <w:r>
        <w:rPr>
          <w:bCs/>
          <w:lang w:val="fr-FR"/>
        </w:rPr>
        <w:tab/>
      </w:r>
      <w:r w:rsidR="00550255" w:rsidRPr="00F423AE">
        <w:rPr>
          <w:bCs/>
          <w:lang w:val="fr-FR"/>
        </w:rPr>
        <w:t>En ce qui concerne la législation relative aux prescriptions, l’article 6 de la loi sur la prescription de l’action dispose que ladite loi ne s’applique pas à une action pénale engagée par la Couronne à l’encontre</w:t>
      </w:r>
      <w:r w:rsidR="00810205" w:rsidRPr="00F423AE">
        <w:rPr>
          <w:bCs/>
          <w:lang w:val="fr-FR"/>
        </w:rPr>
        <w:t xml:space="preserve"> d’une infraction à quelque</w:t>
      </w:r>
      <w:r w:rsidR="00550255" w:rsidRPr="00F423AE">
        <w:rPr>
          <w:bCs/>
          <w:lang w:val="fr-FR"/>
        </w:rPr>
        <w:t xml:space="preserve"> loi que ce soit</w:t>
      </w:r>
      <w:r w:rsidR="008D6B80">
        <w:rPr>
          <w:bCs/>
          <w:lang w:val="fr-FR"/>
        </w:rPr>
        <w:t xml:space="preserve">. </w:t>
      </w:r>
    </w:p>
    <w:p w:rsidR="00717361" w:rsidRDefault="0046742B" w:rsidP="005D7B68">
      <w:pPr>
        <w:tabs>
          <w:tab w:val="left" w:pos="567"/>
          <w:tab w:val="left" w:pos="1134"/>
          <w:tab w:val="left" w:pos="1701"/>
          <w:tab w:val="left" w:pos="2268"/>
          <w:tab w:val="left" w:pos="2835"/>
        </w:tabs>
        <w:rPr>
          <w:b/>
          <w:lang w:val="fr-FR"/>
        </w:rPr>
      </w:pPr>
      <w:r>
        <w:rPr>
          <w:b/>
          <w:lang w:val="fr-FR"/>
        </w:rPr>
        <w:t>Australie o</w:t>
      </w:r>
      <w:r w:rsidR="00550255">
        <w:rPr>
          <w:b/>
          <w:lang w:val="fr-FR"/>
        </w:rPr>
        <w:t>ccidentale</w:t>
      </w:r>
    </w:p>
    <w:p w:rsidR="00550255" w:rsidRDefault="00550255" w:rsidP="005D7B68">
      <w:pPr>
        <w:tabs>
          <w:tab w:val="left" w:pos="567"/>
          <w:tab w:val="left" w:pos="1134"/>
          <w:tab w:val="left" w:pos="1701"/>
          <w:tab w:val="left" w:pos="2268"/>
          <w:tab w:val="left" w:pos="2835"/>
        </w:tabs>
        <w:rPr>
          <w:bCs/>
          <w:lang w:val="fr-FR"/>
        </w:rPr>
      </w:pPr>
      <w:r>
        <w:rPr>
          <w:bCs/>
          <w:lang w:val="fr-FR"/>
        </w:rPr>
        <w:t>34</w:t>
      </w:r>
      <w:r w:rsidR="00E42058">
        <w:rPr>
          <w:bCs/>
          <w:lang w:val="fr-FR"/>
        </w:rPr>
        <w:t>6</w:t>
      </w:r>
      <w:r>
        <w:rPr>
          <w:bCs/>
          <w:lang w:val="fr-FR"/>
        </w:rPr>
        <w:t>.</w:t>
      </w:r>
      <w:r>
        <w:rPr>
          <w:bCs/>
          <w:lang w:val="fr-FR"/>
        </w:rPr>
        <w:tab/>
        <w:t>Il n’existe aucune infraction spécifique en matière de torture dans la légi</w:t>
      </w:r>
      <w:r w:rsidR="00AB1A6B">
        <w:rPr>
          <w:bCs/>
          <w:lang w:val="fr-FR"/>
        </w:rPr>
        <w:t>slation d’</w:t>
      </w:r>
      <w:r w:rsidR="008E1139">
        <w:rPr>
          <w:bCs/>
          <w:lang w:val="fr-FR"/>
        </w:rPr>
        <w:t>Australie occidentale</w:t>
      </w:r>
      <w:r w:rsidR="00572260">
        <w:rPr>
          <w:bCs/>
          <w:lang w:val="fr-FR"/>
        </w:rPr>
        <w:t>;</w:t>
      </w:r>
      <w:r>
        <w:rPr>
          <w:bCs/>
          <w:lang w:val="fr-FR"/>
        </w:rPr>
        <w:t xml:space="preserve"> toutefois les infractions en rapport avec la torture</w:t>
      </w:r>
      <w:r w:rsidR="00965B84">
        <w:rPr>
          <w:bCs/>
          <w:lang w:val="fr-FR"/>
        </w:rPr>
        <w:t xml:space="preserve"> pouvant donner lie</w:t>
      </w:r>
      <w:r w:rsidR="00BB522A">
        <w:rPr>
          <w:bCs/>
          <w:lang w:val="fr-FR"/>
        </w:rPr>
        <w:t>u</w:t>
      </w:r>
      <w:r>
        <w:rPr>
          <w:bCs/>
          <w:lang w:val="fr-FR"/>
        </w:rPr>
        <w:t xml:space="preserve"> à inculpation, </w:t>
      </w:r>
      <w:r w:rsidR="00BB522A">
        <w:rPr>
          <w:bCs/>
          <w:lang w:val="fr-FR"/>
        </w:rPr>
        <w:t xml:space="preserve">y compris le fait de causer intentionnellement des lésions corporelles graves (passible d’une peine de </w:t>
      </w:r>
      <w:r w:rsidR="002D6717">
        <w:rPr>
          <w:bCs/>
          <w:lang w:val="fr-FR"/>
        </w:rPr>
        <w:t>vingt</w:t>
      </w:r>
      <w:r w:rsidR="00BB522A">
        <w:rPr>
          <w:bCs/>
          <w:lang w:val="fr-FR"/>
        </w:rPr>
        <w:t xml:space="preserve"> ans d’emprisonnement)</w:t>
      </w:r>
      <w:r w:rsidR="004C0F9B">
        <w:rPr>
          <w:bCs/>
          <w:lang w:val="fr-FR"/>
        </w:rPr>
        <w:t xml:space="preserve"> ou de causer des lésions corporelles graves (</w:t>
      </w:r>
      <w:r w:rsidR="002D6717">
        <w:rPr>
          <w:bCs/>
          <w:lang w:val="fr-FR"/>
        </w:rPr>
        <w:t xml:space="preserve">sept </w:t>
      </w:r>
      <w:r w:rsidR="004C0F9B">
        <w:rPr>
          <w:bCs/>
          <w:lang w:val="fr-FR"/>
        </w:rPr>
        <w:t>ans d’emprisonnement)</w:t>
      </w:r>
      <w:r w:rsidR="00BB522A">
        <w:rPr>
          <w:bCs/>
          <w:lang w:val="fr-FR"/>
        </w:rPr>
        <w:t>, sont prévues dans le Co</w:t>
      </w:r>
      <w:r w:rsidR="004C0F9B">
        <w:rPr>
          <w:bCs/>
          <w:lang w:val="fr-FR"/>
        </w:rPr>
        <w:t>de pénal de cet État</w:t>
      </w:r>
      <w:r w:rsidR="008D6B80">
        <w:rPr>
          <w:bCs/>
          <w:lang w:val="fr-FR"/>
        </w:rPr>
        <w:t xml:space="preserve">. </w:t>
      </w:r>
      <w:r w:rsidR="00810205">
        <w:rPr>
          <w:bCs/>
          <w:lang w:val="fr-FR"/>
        </w:rPr>
        <w:t>Les infractions visées par ce c</w:t>
      </w:r>
      <w:r w:rsidR="00BB522A">
        <w:rPr>
          <w:bCs/>
          <w:lang w:val="fr-FR"/>
        </w:rPr>
        <w:t>ode sont énumérées dans l’appendice 1 au quatrième rapport de l’Australie en application de la Convention contre la torture</w:t>
      </w:r>
      <w:r w:rsidR="008D6B80">
        <w:rPr>
          <w:bCs/>
          <w:lang w:val="fr-FR"/>
        </w:rPr>
        <w:t xml:space="preserve">. </w:t>
      </w:r>
      <w:r w:rsidR="003D5E52">
        <w:rPr>
          <w:bCs/>
          <w:lang w:val="fr-FR"/>
        </w:rPr>
        <w:t>Aucune modification importante n’a été apportée depuis lors, à part l’inclusion d’un nouvel article 306 portant création du délit spécifique de mutilation génitale féminine, dont il est question dans la réponse à la question 38.</w:t>
      </w:r>
    </w:p>
    <w:p w:rsidR="009247B3" w:rsidRDefault="008E1139" w:rsidP="005D7B68">
      <w:pPr>
        <w:tabs>
          <w:tab w:val="left" w:pos="567"/>
          <w:tab w:val="left" w:pos="1134"/>
          <w:tab w:val="left" w:pos="1701"/>
          <w:tab w:val="left" w:pos="2268"/>
          <w:tab w:val="left" w:pos="2835"/>
        </w:tabs>
        <w:rPr>
          <w:b/>
          <w:lang w:val="fr-FR"/>
        </w:rPr>
      </w:pPr>
      <w:r>
        <w:rPr>
          <w:b/>
          <w:lang w:val="fr-FR"/>
        </w:rPr>
        <w:t>Australie méridionale</w:t>
      </w:r>
    </w:p>
    <w:p w:rsidR="009247B3" w:rsidRDefault="009247B3" w:rsidP="005D7B68">
      <w:pPr>
        <w:tabs>
          <w:tab w:val="left" w:pos="567"/>
          <w:tab w:val="left" w:pos="1134"/>
          <w:tab w:val="left" w:pos="1701"/>
          <w:tab w:val="left" w:pos="2268"/>
          <w:tab w:val="left" w:pos="2835"/>
        </w:tabs>
        <w:rPr>
          <w:bCs/>
          <w:lang w:val="fr-FR"/>
        </w:rPr>
      </w:pPr>
      <w:r>
        <w:rPr>
          <w:bCs/>
          <w:lang w:val="fr-FR"/>
        </w:rPr>
        <w:t>34</w:t>
      </w:r>
      <w:r w:rsidR="00E42058">
        <w:rPr>
          <w:bCs/>
          <w:lang w:val="fr-FR"/>
        </w:rPr>
        <w:t>7</w:t>
      </w:r>
      <w:r>
        <w:rPr>
          <w:bCs/>
          <w:lang w:val="fr-FR"/>
        </w:rPr>
        <w:t>.</w:t>
      </w:r>
      <w:r>
        <w:rPr>
          <w:bCs/>
          <w:lang w:val="fr-FR"/>
        </w:rPr>
        <w:tab/>
        <w:t>Bien que la législation d’</w:t>
      </w:r>
      <w:r w:rsidR="008E1139">
        <w:rPr>
          <w:bCs/>
          <w:lang w:val="fr-FR"/>
        </w:rPr>
        <w:t>Australie méridionale</w:t>
      </w:r>
      <w:r>
        <w:rPr>
          <w:bCs/>
          <w:lang w:val="fr-FR"/>
        </w:rPr>
        <w:t xml:space="preserve"> ne vise pas une infraction spécifiquement liée à la torture, l’article 5AA de la </w:t>
      </w:r>
      <w:r w:rsidRPr="00810205">
        <w:rPr>
          <w:bCs/>
          <w:lang w:val="fr-FR"/>
        </w:rPr>
        <w:t>loi de cod</w:t>
      </w:r>
      <w:r w:rsidR="009A52C8">
        <w:rPr>
          <w:bCs/>
          <w:lang w:val="fr-FR"/>
        </w:rPr>
        <w:t>ification du droit pénal</w:t>
      </w:r>
      <w:r w:rsidR="00F27AF7">
        <w:rPr>
          <w:bCs/>
          <w:lang w:val="fr-FR"/>
        </w:rPr>
        <w:t xml:space="preserve"> a pour effet que certaines infractions sont aggravées et passibles de peines plus lourdes si le coupable les a commises en infligeant volontairement et systématiquement de graves souffrances à la victime.</w:t>
      </w:r>
    </w:p>
    <w:p w:rsidR="00D04943" w:rsidRDefault="00F27AF7" w:rsidP="005D7B68">
      <w:pPr>
        <w:tabs>
          <w:tab w:val="left" w:pos="567"/>
          <w:tab w:val="left" w:pos="1134"/>
          <w:tab w:val="left" w:pos="1701"/>
          <w:tab w:val="left" w:pos="2268"/>
          <w:tab w:val="left" w:pos="2835"/>
        </w:tabs>
        <w:rPr>
          <w:bCs/>
          <w:lang w:val="fr-FR"/>
        </w:rPr>
      </w:pPr>
      <w:r>
        <w:rPr>
          <w:bCs/>
          <w:lang w:val="fr-FR"/>
        </w:rPr>
        <w:t>34</w:t>
      </w:r>
      <w:r w:rsidR="00E42058">
        <w:rPr>
          <w:bCs/>
          <w:lang w:val="fr-FR"/>
        </w:rPr>
        <w:t>8</w:t>
      </w:r>
      <w:r>
        <w:rPr>
          <w:bCs/>
          <w:lang w:val="fr-FR"/>
        </w:rPr>
        <w:t>.</w:t>
      </w:r>
      <w:r>
        <w:rPr>
          <w:bCs/>
          <w:lang w:val="fr-FR"/>
        </w:rPr>
        <w:tab/>
      </w:r>
      <w:r w:rsidR="00D04943">
        <w:rPr>
          <w:bCs/>
          <w:lang w:val="fr-FR"/>
        </w:rPr>
        <w:t>L’article 33 de la loi sur le terrorisme prévoit qu’une personne placée en détention en application de cette loi doit être traitée avec humanité dans le respect de la dignité humaine, et ne doit pas être soumise à un traitement cruel, inhumain ou dégradant</w:t>
      </w:r>
      <w:r w:rsidR="008D6B80">
        <w:rPr>
          <w:bCs/>
          <w:lang w:val="fr-FR"/>
        </w:rPr>
        <w:t xml:space="preserve">. </w:t>
      </w:r>
      <w:r w:rsidR="00D04943">
        <w:rPr>
          <w:bCs/>
          <w:lang w:val="fr-FR"/>
        </w:rPr>
        <w:t>Tout non-respect de cette garantie est érigé en infraction à l’article 45 si son auteur se livre intentionnellement à ces agissements en violation de l’article 33</w:t>
      </w:r>
      <w:r w:rsidR="008D6B80">
        <w:rPr>
          <w:bCs/>
          <w:lang w:val="fr-FR"/>
        </w:rPr>
        <w:t xml:space="preserve">. </w:t>
      </w:r>
      <w:r w:rsidR="00D04943">
        <w:rPr>
          <w:bCs/>
          <w:lang w:val="fr-FR"/>
        </w:rPr>
        <w:t>Cette infraction est passible d’une peine maximale de deux ans d’emprisonnement.</w:t>
      </w:r>
    </w:p>
    <w:p w:rsidR="00B73F4D" w:rsidRDefault="00D04943" w:rsidP="005D7B68">
      <w:pPr>
        <w:tabs>
          <w:tab w:val="left" w:pos="567"/>
          <w:tab w:val="left" w:pos="1134"/>
          <w:tab w:val="left" w:pos="1701"/>
          <w:tab w:val="left" w:pos="2268"/>
          <w:tab w:val="left" w:pos="2835"/>
        </w:tabs>
        <w:rPr>
          <w:bCs/>
          <w:lang w:val="fr-FR"/>
        </w:rPr>
      </w:pPr>
      <w:r>
        <w:rPr>
          <w:bCs/>
          <w:lang w:val="fr-FR"/>
        </w:rPr>
        <w:t>34</w:t>
      </w:r>
      <w:r w:rsidR="00E42058">
        <w:rPr>
          <w:bCs/>
          <w:lang w:val="fr-FR"/>
        </w:rPr>
        <w:t>9</w:t>
      </w:r>
      <w:r>
        <w:rPr>
          <w:bCs/>
          <w:lang w:val="fr-FR"/>
        </w:rPr>
        <w:t>.</w:t>
      </w:r>
      <w:r>
        <w:rPr>
          <w:bCs/>
          <w:lang w:val="fr-FR"/>
        </w:rPr>
        <w:tab/>
        <w:t>Si une personne doit être poursuivie en justice pour une infraction mineure, passible d</w:t>
      </w:r>
      <w:r w:rsidR="00810205">
        <w:rPr>
          <w:bCs/>
          <w:lang w:val="fr-FR"/>
        </w:rPr>
        <w:t>’</w:t>
      </w:r>
      <w:r>
        <w:rPr>
          <w:bCs/>
          <w:lang w:val="fr-FR"/>
        </w:rPr>
        <w:t>une peine maximale de deux ans d’emprisonnement, la procédure doit être engagée dans des délais spécifiés</w:t>
      </w:r>
      <w:r w:rsidR="00B73F4D">
        <w:rPr>
          <w:bCs/>
          <w:lang w:val="fr-FR"/>
        </w:rPr>
        <w:t xml:space="preserve"> qui sont précisés dans l’article 52 de la </w:t>
      </w:r>
      <w:r w:rsidR="00B73F4D" w:rsidRPr="00810205">
        <w:rPr>
          <w:bCs/>
          <w:lang w:val="fr-FR"/>
        </w:rPr>
        <w:t>loi de 1921 sur la procédure sommaire</w:t>
      </w:r>
      <w:r w:rsidR="00B73F4D">
        <w:rPr>
          <w:bCs/>
          <w:i/>
          <w:iCs/>
          <w:lang w:val="fr-FR"/>
        </w:rPr>
        <w:t xml:space="preserve"> </w:t>
      </w:r>
      <w:r w:rsidR="00B73F4D">
        <w:rPr>
          <w:bCs/>
          <w:lang w:val="fr-FR"/>
        </w:rPr>
        <w:t>(</w:t>
      </w:r>
      <w:r w:rsidR="008E1139">
        <w:rPr>
          <w:bCs/>
          <w:lang w:val="fr-FR"/>
        </w:rPr>
        <w:t>Australie méridionale</w:t>
      </w:r>
      <w:r w:rsidR="00B73F4D">
        <w:rPr>
          <w:bCs/>
          <w:lang w:val="fr-FR"/>
        </w:rPr>
        <w:t>)</w:t>
      </w:r>
      <w:r w:rsidR="008D6B80">
        <w:rPr>
          <w:bCs/>
          <w:lang w:val="fr-FR"/>
        </w:rPr>
        <w:t xml:space="preserve">. </w:t>
      </w:r>
      <w:r w:rsidR="00B73F4D">
        <w:rPr>
          <w:bCs/>
          <w:lang w:val="fr-FR"/>
        </w:rPr>
        <w:t xml:space="preserve">La procédure relative à une infraction </w:t>
      </w:r>
      <w:r w:rsidR="00FB402E" w:rsidRPr="00406BF5">
        <w:rPr>
          <w:bCs/>
          <w:lang w:val="fr-FR"/>
        </w:rPr>
        <w:t>objective</w:t>
      </w:r>
      <w:r w:rsidR="00FB402E">
        <w:rPr>
          <w:bCs/>
          <w:color w:val="0000FF"/>
          <w:lang w:val="fr-FR"/>
        </w:rPr>
        <w:t xml:space="preserve"> </w:t>
      </w:r>
      <w:r w:rsidR="00B73F4D">
        <w:rPr>
          <w:bCs/>
          <w:lang w:val="fr-FR"/>
        </w:rPr>
        <w:t xml:space="preserve">doit être engagée au plus tard deux </w:t>
      </w:r>
      <w:r w:rsidR="00810205">
        <w:rPr>
          <w:bCs/>
          <w:lang w:val="fr-FR"/>
        </w:rPr>
        <w:t xml:space="preserve">ans </w:t>
      </w:r>
      <w:r w:rsidR="00B73F4D">
        <w:rPr>
          <w:bCs/>
          <w:lang w:val="fr-FR"/>
        </w:rPr>
        <w:t>après la date alléguée de la commission de ladite infraction.</w:t>
      </w:r>
    </w:p>
    <w:p w:rsidR="00B73F4D" w:rsidRDefault="00B73F4D" w:rsidP="005D7B68">
      <w:pPr>
        <w:tabs>
          <w:tab w:val="left" w:pos="567"/>
          <w:tab w:val="left" w:pos="1134"/>
          <w:tab w:val="left" w:pos="1701"/>
          <w:tab w:val="left" w:pos="2268"/>
          <w:tab w:val="left" w:pos="2835"/>
        </w:tabs>
        <w:rPr>
          <w:b/>
          <w:lang w:val="fr-FR"/>
        </w:rPr>
      </w:pPr>
      <w:r>
        <w:rPr>
          <w:b/>
          <w:lang w:val="fr-FR"/>
        </w:rPr>
        <w:t>Tasmanie</w:t>
      </w:r>
    </w:p>
    <w:p w:rsidR="002B7282" w:rsidRDefault="00B73F4D" w:rsidP="005D7B68">
      <w:pPr>
        <w:tabs>
          <w:tab w:val="left" w:pos="567"/>
          <w:tab w:val="left" w:pos="1134"/>
          <w:tab w:val="left" w:pos="1701"/>
          <w:tab w:val="left" w:pos="2268"/>
          <w:tab w:val="left" w:pos="2835"/>
        </w:tabs>
        <w:rPr>
          <w:bCs/>
          <w:lang w:val="fr-FR"/>
        </w:rPr>
      </w:pPr>
      <w:r>
        <w:rPr>
          <w:bCs/>
          <w:lang w:val="fr-FR"/>
        </w:rPr>
        <w:t>3</w:t>
      </w:r>
      <w:r w:rsidR="00E42058">
        <w:rPr>
          <w:bCs/>
          <w:lang w:val="fr-FR"/>
        </w:rPr>
        <w:t>50</w:t>
      </w:r>
      <w:r>
        <w:rPr>
          <w:bCs/>
          <w:lang w:val="fr-FR"/>
        </w:rPr>
        <w:t>.</w:t>
      </w:r>
      <w:r>
        <w:rPr>
          <w:bCs/>
          <w:lang w:val="fr-FR"/>
        </w:rPr>
        <w:tab/>
        <w:t>Il n’existe aucun délit spécifique de ‘torture’ dans la législation tasmanienne</w:t>
      </w:r>
      <w:r w:rsidR="008D6B80">
        <w:rPr>
          <w:bCs/>
          <w:lang w:val="fr-FR"/>
        </w:rPr>
        <w:t xml:space="preserve">. </w:t>
      </w:r>
      <w:r>
        <w:rPr>
          <w:bCs/>
          <w:lang w:val="fr-FR"/>
        </w:rPr>
        <w:t>Cependant, un acte de torture</w:t>
      </w:r>
      <w:r w:rsidR="002B7282">
        <w:rPr>
          <w:bCs/>
          <w:lang w:val="fr-FR"/>
        </w:rPr>
        <w:t xml:space="preserve"> serait constitutif,</w:t>
      </w:r>
      <w:r>
        <w:rPr>
          <w:bCs/>
          <w:lang w:val="fr-FR"/>
        </w:rPr>
        <w:t xml:space="preserve"> en vertu de la l</w:t>
      </w:r>
      <w:r w:rsidR="002B7282">
        <w:rPr>
          <w:bCs/>
          <w:lang w:val="fr-FR"/>
        </w:rPr>
        <w:t>oi d</w:t>
      </w:r>
      <w:r w:rsidR="00120B01">
        <w:rPr>
          <w:bCs/>
          <w:lang w:val="fr-FR"/>
        </w:rPr>
        <w:t>e 1924 sur le Code pénal, d’un délit de coups et blessures volontaires</w:t>
      </w:r>
      <w:r w:rsidR="002B7282">
        <w:rPr>
          <w:bCs/>
          <w:lang w:val="fr-FR"/>
        </w:rPr>
        <w:t xml:space="preserve"> passible d’une peine maximum de 21 </w:t>
      </w:r>
      <w:r w:rsidR="00120B01">
        <w:rPr>
          <w:bCs/>
          <w:lang w:val="fr-FR"/>
        </w:rPr>
        <w:t xml:space="preserve">ans </w:t>
      </w:r>
      <w:r w:rsidR="002B7282">
        <w:rPr>
          <w:bCs/>
          <w:lang w:val="fr-FR"/>
        </w:rPr>
        <w:t>d’emprisonnement</w:t>
      </w:r>
      <w:r w:rsidR="008D6B80">
        <w:rPr>
          <w:bCs/>
          <w:lang w:val="fr-FR"/>
        </w:rPr>
        <w:t xml:space="preserve">. </w:t>
      </w:r>
      <w:r w:rsidR="002B7282">
        <w:rPr>
          <w:bCs/>
          <w:lang w:val="fr-FR"/>
        </w:rPr>
        <w:t>Aucun délai de prescription n’est prévu par cette loi.</w:t>
      </w:r>
    </w:p>
    <w:p w:rsidR="002B7282" w:rsidRDefault="002B7282" w:rsidP="007D7A1E">
      <w:pPr>
        <w:keepNext/>
        <w:tabs>
          <w:tab w:val="left" w:pos="567"/>
          <w:tab w:val="left" w:pos="1134"/>
          <w:tab w:val="left" w:pos="1701"/>
          <w:tab w:val="left" w:pos="2268"/>
          <w:tab w:val="left" w:pos="2835"/>
        </w:tabs>
        <w:rPr>
          <w:b/>
          <w:lang w:val="fr-FR"/>
        </w:rPr>
      </w:pPr>
      <w:r>
        <w:rPr>
          <w:b/>
          <w:lang w:val="fr-FR"/>
        </w:rPr>
        <w:t>Territoire de la capitale australienne</w:t>
      </w:r>
    </w:p>
    <w:p w:rsidR="00830930" w:rsidRDefault="002B7282" w:rsidP="007D7A1E">
      <w:pPr>
        <w:keepNext/>
        <w:tabs>
          <w:tab w:val="left" w:pos="567"/>
          <w:tab w:val="left" w:pos="1134"/>
          <w:tab w:val="left" w:pos="1701"/>
          <w:tab w:val="left" w:pos="2268"/>
          <w:tab w:val="left" w:pos="2835"/>
        </w:tabs>
        <w:rPr>
          <w:bCs/>
          <w:lang w:val="fr-FR"/>
        </w:rPr>
      </w:pPr>
      <w:r>
        <w:rPr>
          <w:bCs/>
          <w:lang w:val="fr-FR"/>
        </w:rPr>
        <w:t>35</w:t>
      </w:r>
      <w:r w:rsidR="00E42058">
        <w:rPr>
          <w:bCs/>
          <w:lang w:val="fr-FR"/>
        </w:rPr>
        <w:t>1</w:t>
      </w:r>
      <w:r>
        <w:rPr>
          <w:bCs/>
          <w:lang w:val="fr-FR"/>
        </w:rPr>
        <w:t>.</w:t>
      </w:r>
      <w:r>
        <w:rPr>
          <w:bCs/>
          <w:lang w:val="fr-FR"/>
        </w:rPr>
        <w:tab/>
        <w:t>La législation du Territoire de la capitale</w:t>
      </w:r>
      <w:r w:rsidR="008F0793">
        <w:rPr>
          <w:bCs/>
          <w:lang w:val="fr-FR"/>
        </w:rPr>
        <w:t xml:space="preserve"> fédérale</w:t>
      </w:r>
      <w:r>
        <w:rPr>
          <w:bCs/>
          <w:lang w:val="fr-FR"/>
        </w:rPr>
        <w:t xml:space="preserve"> prévoit deux infractions relatives à des actes de torture</w:t>
      </w:r>
      <w:r w:rsidR="008D6B80">
        <w:rPr>
          <w:bCs/>
          <w:lang w:val="fr-FR"/>
        </w:rPr>
        <w:t xml:space="preserve">. </w:t>
      </w:r>
      <w:r>
        <w:rPr>
          <w:bCs/>
          <w:lang w:val="fr-FR"/>
        </w:rPr>
        <w:t>L’article 36 2) de la</w:t>
      </w:r>
      <w:r>
        <w:rPr>
          <w:bCs/>
          <w:i/>
          <w:iCs/>
          <w:lang w:val="fr-FR"/>
        </w:rPr>
        <w:t xml:space="preserve"> </w:t>
      </w:r>
      <w:r w:rsidRPr="008F0793">
        <w:rPr>
          <w:bCs/>
          <w:lang w:val="fr-FR"/>
        </w:rPr>
        <w:t>loi de 1900 sur le</w:t>
      </w:r>
      <w:r w:rsidR="008F0793">
        <w:rPr>
          <w:bCs/>
          <w:lang w:val="fr-FR"/>
        </w:rPr>
        <w:t>s</w:t>
      </w:r>
      <w:r w:rsidRPr="008F0793">
        <w:rPr>
          <w:bCs/>
          <w:lang w:val="fr-FR"/>
        </w:rPr>
        <w:t xml:space="preserve"> </w:t>
      </w:r>
      <w:r w:rsidRPr="009A52C8">
        <w:rPr>
          <w:bCs/>
          <w:lang w:val="fr-FR"/>
        </w:rPr>
        <w:t>infractions pénales</w:t>
      </w:r>
      <w:r>
        <w:rPr>
          <w:bCs/>
          <w:lang w:val="fr-FR"/>
        </w:rPr>
        <w:t xml:space="preserve"> érige en infraction le </w:t>
      </w:r>
      <w:r w:rsidR="00830930">
        <w:rPr>
          <w:bCs/>
          <w:lang w:val="fr-FR"/>
        </w:rPr>
        <w:t>fait, pour un agent de la fonction</w:t>
      </w:r>
      <w:r>
        <w:rPr>
          <w:bCs/>
          <w:lang w:val="fr-FR"/>
        </w:rPr>
        <w:t xml:space="preserve"> </w:t>
      </w:r>
      <w:r w:rsidR="00830930">
        <w:rPr>
          <w:bCs/>
          <w:lang w:val="fr-FR"/>
        </w:rPr>
        <w:t>publique</w:t>
      </w:r>
      <w:r>
        <w:rPr>
          <w:bCs/>
          <w:lang w:val="fr-FR"/>
        </w:rPr>
        <w:t xml:space="preserve"> ou une personne </w:t>
      </w:r>
      <w:r w:rsidR="00830930">
        <w:rPr>
          <w:bCs/>
          <w:lang w:val="fr-FR"/>
        </w:rPr>
        <w:t>agissant à titre officiel ou bien à l’instigation ou avec le consentement exprès ou tacite de cette dernière, de commettre un acte de torture</w:t>
      </w:r>
      <w:r w:rsidR="008D6B80">
        <w:rPr>
          <w:bCs/>
          <w:lang w:val="fr-FR"/>
        </w:rPr>
        <w:t xml:space="preserve">. </w:t>
      </w:r>
      <w:r w:rsidR="00830930">
        <w:rPr>
          <w:bCs/>
          <w:lang w:val="fr-FR"/>
        </w:rPr>
        <w:t>Cette infraction est passible d’une peine d’emprisonnement de dix ans au maximum.</w:t>
      </w:r>
    </w:p>
    <w:p w:rsidR="00F418B1" w:rsidRDefault="00830930" w:rsidP="005D7B68">
      <w:pPr>
        <w:tabs>
          <w:tab w:val="left" w:pos="567"/>
          <w:tab w:val="left" w:pos="1134"/>
          <w:tab w:val="left" w:pos="1701"/>
          <w:tab w:val="left" w:pos="2268"/>
          <w:tab w:val="left" w:pos="2835"/>
        </w:tabs>
        <w:rPr>
          <w:bCs/>
          <w:lang w:val="fr-FR"/>
        </w:rPr>
      </w:pPr>
      <w:r>
        <w:rPr>
          <w:bCs/>
          <w:lang w:val="fr-FR"/>
        </w:rPr>
        <w:t>35</w:t>
      </w:r>
      <w:r w:rsidR="00E42058">
        <w:rPr>
          <w:bCs/>
          <w:lang w:val="fr-FR"/>
        </w:rPr>
        <w:t>2</w:t>
      </w:r>
      <w:r>
        <w:rPr>
          <w:bCs/>
          <w:lang w:val="fr-FR"/>
        </w:rPr>
        <w:t>.</w:t>
      </w:r>
      <w:r>
        <w:rPr>
          <w:bCs/>
          <w:lang w:val="fr-FR"/>
        </w:rPr>
        <w:tab/>
      </w:r>
      <w:r w:rsidR="00F418B1">
        <w:rPr>
          <w:bCs/>
          <w:lang w:val="fr-FR"/>
        </w:rPr>
        <w:t xml:space="preserve">L’article 48 1) de la </w:t>
      </w:r>
      <w:r w:rsidR="00F418B1" w:rsidRPr="008F0793">
        <w:rPr>
          <w:bCs/>
          <w:lang w:val="fr-FR"/>
        </w:rPr>
        <w:t>loi de 2006 sur le terrorisme (pouvoirs exceptionnels temporaires)</w:t>
      </w:r>
      <w:r w:rsidR="00F418B1">
        <w:rPr>
          <w:bCs/>
          <w:lang w:val="fr-FR"/>
        </w:rPr>
        <w:t xml:space="preserve"> prévoit que toute personne placée en garde à vue ou en détention (y compris en exécution d’une ordonnance de placement en détention préventive)</w:t>
      </w:r>
      <w:r w:rsidR="00572260">
        <w:rPr>
          <w:bCs/>
          <w:lang w:val="fr-FR"/>
        </w:rPr>
        <w:t>:</w:t>
      </w:r>
    </w:p>
    <w:p w:rsidR="00F418B1" w:rsidRDefault="008F0793" w:rsidP="005D7B68">
      <w:pPr>
        <w:tabs>
          <w:tab w:val="left" w:pos="567"/>
          <w:tab w:val="left" w:pos="1134"/>
          <w:tab w:val="left" w:pos="1701"/>
          <w:tab w:val="left" w:pos="2268"/>
          <w:tab w:val="left" w:pos="2835"/>
        </w:tabs>
        <w:rPr>
          <w:bCs/>
          <w:lang w:val="fr-FR"/>
        </w:rPr>
      </w:pPr>
      <w:r>
        <w:rPr>
          <w:bCs/>
          <w:lang w:val="fr-FR"/>
        </w:rPr>
        <w:tab/>
        <w:t>a)</w:t>
      </w:r>
      <w:r>
        <w:rPr>
          <w:bCs/>
          <w:lang w:val="fr-FR"/>
        </w:rPr>
        <w:tab/>
        <w:t>D</w:t>
      </w:r>
      <w:r w:rsidR="00F418B1">
        <w:rPr>
          <w:bCs/>
          <w:lang w:val="fr-FR"/>
        </w:rPr>
        <w:t>oit être traitée avec humanité dans le respect de la dignité de la personne humaine</w:t>
      </w:r>
      <w:r w:rsidR="00572260">
        <w:rPr>
          <w:bCs/>
          <w:lang w:val="fr-FR"/>
        </w:rPr>
        <w:t>;</w:t>
      </w:r>
      <w:r w:rsidR="00F418B1">
        <w:rPr>
          <w:bCs/>
          <w:lang w:val="fr-FR"/>
        </w:rPr>
        <w:t xml:space="preserve"> et</w:t>
      </w:r>
    </w:p>
    <w:p w:rsidR="00F27AF7" w:rsidRDefault="00F418B1" w:rsidP="007D7A1E">
      <w:pPr>
        <w:tabs>
          <w:tab w:val="left" w:pos="567"/>
          <w:tab w:val="left" w:pos="1134"/>
          <w:tab w:val="left" w:pos="1701"/>
          <w:tab w:val="left" w:pos="2268"/>
          <w:tab w:val="left" w:pos="2835"/>
        </w:tabs>
        <w:rPr>
          <w:bCs/>
          <w:lang w:val="fr-FR"/>
        </w:rPr>
      </w:pPr>
      <w:r>
        <w:rPr>
          <w:bCs/>
          <w:lang w:val="fr-FR"/>
        </w:rPr>
        <w:tab/>
        <w:t>b)</w:t>
      </w:r>
      <w:r w:rsidR="008F0793">
        <w:rPr>
          <w:bCs/>
          <w:lang w:val="fr-FR"/>
        </w:rPr>
        <w:tab/>
        <w:t>N</w:t>
      </w:r>
      <w:r>
        <w:rPr>
          <w:bCs/>
          <w:lang w:val="fr-FR"/>
        </w:rPr>
        <w:t>e doit pas être soumise à un traitement cruel, inhumain ou dégradant par toute personne exerçant l’autorité</w:t>
      </w:r>
      <w:r w:rsidR="001129E3">
        <w:rPr>
          <w:bCs/>
          <w:lang w:val="fr-FR"/>
        </w:rPr>
        <w:t xml:space="preserve"> en vertu de cette ordonnance ou chargée de la mettre en œuvre ou de l’exécuter.</w:t>
      </w:r>
    </w:p>
    <w:p w:rsidR="001129E3" w:rsidRDefault="001129E3" w:rsidP="005D7B68">
      <w:pPr>
        <w:tabs>
          <w:tab w:val="left" w:pos="567"/>
          <w:tab w:val="left" w:pos="1134"/>
          <w:tab w:val="left" w:pos="1701"/>
          <w:tab w:val="left" w:pos="2268"/>
          <w:tab w:val="left" w:pos="2835"/>
        </w:tabs>
        <w:rPr>
          <w:bCs/>
          <w:lang w:val="fr-FR"/>
        </w:rPr>
      </w:pPr>
      <w:r>
        <w:rPr>
          <w:bCs/>
          <w:lang w:val="fr-FR"/>
        </w:rPr>
        <w:t>35</w:t>
      </w:r>
      <w:r w:rsidR="00E42058">
        <w:rPr>
          <w:bCs/>
          <w:lang w:val="fr-FR"/>
        </w:rPr>
        <w:t>3</w:t>
      </w:r>
      <w:r>
        <w:rPr>
          <w:bCs/>
          <w:lang w:val="fr-FR"/>
        </w:rPr>
        <w:t>.</w:t>
      </w:r>
      <w:r>
        <w:rPr>
          <w:bCs/>
          <w:lang w:val="fr-FR"/>
        </w:rPr>
        <w:tab/>
        <w:t>Le paragraphe 48 2) érige les agissements qui transgressent l’article 48 1) en une infraction passible d’une peine de 200 unités</w:t>
      </w:r>
      <w:r w:rsidR="00076CE2">
        <w:rPr>
          <w:bCs/>
          <w:lang w:val="fr-FR"/>
        </w:rPr>
        <w:t xml:space="preserve"> pénales ou de deux ans d’emprisonnement, ou les deux.</w:t>
      </w:r>
    </w:p>
    <w:p w:rsidR="00076CE2" w:rsidRDefault="00F423AE" w:rsidP="005D7B68">
      <w:pPr>
        <w:tabs>
          <w:tab w:val="left" w:pos="567"/>
          <w:tab w:val="left" w:pos="1134"/>
          <w:tab w:val="left" w:pos="1701"/>
          <w:tab w:val="left" w:pos="2268"/>
          <w:tab w:val="left" w:pos="2835"/>
        </w:tabs>
        <w:rPr>
          <w:b/>
          <w:lang w:val="fr-FR"/>
        </w:rPr>
      </w:pPr>
      <w:r w:rsidRPr="00F423AE">
        <w:rPr>
          <w:b/>
          <w:lang w:val="fr-FR"/>
        </w:rPr>
        <w:t>Responsabilité naissante</w:t>
      </w:r>
      <w:r w:rsidR="00921C49" w:rsidRPr="00F423AE">
        <w:rPr>
          <w:b/>
          <w:lang w:val="fr-FR"/>
        </w:rPr>
        <w:t xml:space="preserve"> et subsidiaire</w:t>
      </w:r>
      <w:r w:rsidR="00E526E4">
        <w:rPr>
          <w:b/>
          <w:lang w:val="fr-FR"/>
        </w:rPr>
        <w:t xml:space="preserve"> des infractions liées au terrorisme</w:t>
      </w:r>
    </w:p>
    <w:p w:rsidR="00E526E4" w:rsidRDefault="00E526E4" w:rsidP="005D7B68">
      <w:pPr>
        <w:tabs>
          <w:tab w:val="left" w:pos="567"/>
          <w:tab w:val="left" w:pos="1134"/>
          <w:tab w:val="left" w:pos="1701"/>
          <w:tab w:val="left" w:pos="2268"/>
          <w:tab w:val="left" w:pos="2835"/>
        </w:tabs>
        <w:rPr>
          <w:bCs/>
          <w:i/>
          <w:iCs/>
          <w:lang w:val="fr-FR"/>
        </w:rPr>
      </w:pPr>
      <w:r>
        <w:rPr>
          <w:bCs/>
          <w:lang w:val="fr-FR"/>
        </w:rPr>
        <w:t>35</w:t>
      </w:r>
      <w:r w:rsidR="00D74BDB">
        <w:rPr>
          <w:bCs/>
          <w:lang w:val="fr-FR"/>
        </w:rPr>
        <w:t>4</w:t>
      </w:r>
      <w:r>
        <w:rPr>
          <w:bCs/>
          <w:lang w:val="fr-FR"/>
        </w:rPr>
        <w:t>.</w:t>
      </w:r>
      <w:r>
        <w:rPr>
          <w:bCs/>
          <w:lang w:val="fr-FR"/>
        </w:rPr>
        <w:tab/>
        <w:t xml:space="preserve">Si une personne essaie de commettre l’un des délits de torture susmentionnés, elle se rend coupable d’une infraction à ce titre et peut être condamnée comme si elle avait effectivement commis ce délit (art. 44 du </w:t>
      </w:r>
      <w:r w:rsidRPr="009A5958">
        <w:rPr>
          <w:bCs/>
          <w:lang w:val="fr-FR"/>
        </w:rPr>
        <w:t>Code pénal de 2002).</w:t>
      </w:r>
    </w:p>
    <w:p w:rsidR="00E526E4" w:rsidRDefault="00E526E4" w:rsidP="005D7B68">
      <w:pPr>
        <w:tabs>
          <w:tab w:val="left" w:pos="567"/>
          <w:tab w:val="left" w:pos="1134"/>
          <w:tab w:val="left" w:pos="1701"/>
          <w:tab w:val="left" w:pos="2268"/>
          <w:tab w:val="left" w:pos="2835"/>
        </w:tabs>
        <w:rPr>
          <w:bCs/>
          <w:lang w:val="fr-FR"/>
        </w:rPr>
      </w:pPr>
      <w:r>
        <w:rPr>
          <w:bCs/>
          <w:lang w:val="fr-FR"/>
        </w:rPr>
        <w:t>35</w:t>
      </w:r>
      <w:r w:rsidR="00D74BDB">
        <w:rPr>
          <w:bCs/>
          <w:lang w:val="fr-FR"/>
        </w:rPr>
        <w:t>5</w:t>
      </w:r>
      <w:r>
        <w:rPr>
          <w:bCs/>
          <w:lang w:val="fr-FR"/>
        </w:rPr>
        <w:t>.</w:t>
      </w:r>
      <w:r>
        <w:rPr>
          <w:bCs/>
          <w:lang w:val="fr-FR"/>
        </w:rPr>
        <w:tab/>
        <w:t xml:space="preserve">Toute personne qui contribue </w:t>
      </w:r>
      <w:r w:rsidR="007E0363">
        <w:rPr>
          <w:bCs/>
          <w:lang w:val="fr-FR"/>
        </w:rPr>
        <w:t xml:space="preserve">intentionnellement </w:t>
      </w:r>
      <w:r>
        <w:rPr>
          <w:bCs/>
          <w:lang w:val="fr-FR"/>
        </w:rPr>
        <w:t>à la commission dudit délit par</w:t>
      </w:r>
      <w:r w:rsidR="007E0363">
        <w:rPr>
          <w:bCs/>
          <w:lang w:val="fr-FR"/>
        </w:rPr>
        <w:t xml:space="preserve"> des encouragement</w:t>
      </w:r>
      <w:r w:rsidR="00F656E5">
        <w:rPr>
          <w:bCs/>
          <w:lang w:val="fr-FR"/>
        </w:rPr>
        <w:t>s</w:t>
      </w:r>
      <w:r w:rsidR="007E0363">
        <w:rPr>
          <w:bCs/>
          <w:lang w:val="fr-FR"/>
        </w:rPr>
        <w:t>, des conseils ou de</w:t>
      </w:r>
      <w:r w:rsidR="003579F1">
        <w:rPr>
          <w:bCs/>
          <w:lang w:val="fr-FR"/>
        </w:rPr>
        <w:t>s</w:t>
      </w:r>
      <w:r w:rsidR="007E0363">
        <w:rPr>
          <w:bCs/>
          <w:lang w:val="fr-FR"/>
        </w:rPr>
        <w:t xml:space="preserve"> incitations, ou une aide quelconque est considérée comme l’ayant commis et peut être sanctionnée en conséquence (art. 45 du Code pénal).</w:t>
      </w:r>
    </w:p>
    <w:p w:rsidR="00804281" w:rsidRDefault="007E0363" w:rsidP="005D7B68">
      <w:pPr>
        <w:tabs>
          <w:tab w:val="left" w:pos="567"/>
          <w:tab w:val="left" w:pos="1134"/>
          <w:tab w:val="left" w:pos="1701"/>
          <w:tab w:val="left" w:pos="2268"/>
          <w:tab w:val="left" w:pos="2835"/>
        </w:tabs>
        <w:rPr>
          <w:bCs/>
          <w:lang w:val="fr-FR"/>
        </w:rPr>
      </w:pPr>
      <w:r>
        <w:rPr>
          <w:bCs/>
          <w:lang w:val="fr-FR"/>
        </w:rPr>
        <w:t>35</w:t>
      </w:r>
      <w:r w:rsidR="00D74BDB">
        <w:rPr>
          <w:bCs/>
          <w:lang w:val="fr-FR"/>
        </w:rPr>
        <w:t>6</w:t>
      </w:r>
      <w:r>
        <w:rPr>
          <w:bCs/>
          <w:lang w:val="fr-FR"/>
        </w:rPr>
        <w:t>.</w:t>
      </w:r>
      <w:r>
        <w:rPr>
          <w:bCs/>
          <w:lang w:val="fr-FR"/>
        </w:rPr>
        <w:tab/>
        <w:t>Si cette personne incite à la commission d’un délit de torture, elle se rend coupabl</w:t>
      </w:r>
      <w:r w:rsidR="00C613F8">
        <w:rPr>
          <w:bCs/>
          <w:lang w:val="fr-FR"/>
        </w:rPr>
        <w:t>e du délit d’incitation</w:t>
      </w:r>
      <w:r w:rsidR="008D6B80">
        <w:rPr>
          <w:bCs/>
          <w:lang w:val="fr-FR"/>
        </w:rPr>
        <w:t xml:space="preserve">. </w:t>
      </w:r>
      <w:r w:rsidR="00C613F8">
        <w:rPr>
          <w:bCs/>
          <w:lang w:val="fr-FR"/>
        </w:rPr>
        <w:t>Toute personne</w:t>
      </w:r>
      <w:r>
        <w:rPr>
          <w:bCs/>
          <w:lang w:val="fr-FR"/>
        </w:rPr>
        <w:t xml:space="preserve"> reconnue coupable</w:t>
      </w:r>
      <w:r w:rsidR="009A52C8">
        <w:rPr>
          <w:bCs/>
          <w:lang w:val="fr-FR"/>
        </w:rPr>
        <w:t xml:space="preserve"> d’incitation à commettre</w:t>
      </w:r>
      <w:r>
        <w:rPr>
          <w:bCs/>
          <w:lang w:val="fr-FR"/>
        </w:rPr>
        <w:t xml:space="preserve"> l’infraction au titre de l’article 48 de la loi sur le terrorisme (pouvoirs excep</w:t>
      </w:r>
      <w:r w:rsidR="00C613F8">
        <w:rPr>
          <w:bCs/>
          <w:lang w:val="fr-FR"/>
        </w:rPr>
        <w:t>tionnels temporaires)</w:t>
      </w:r>
      <w:r>
        <w:rPr>
          <w:bCs/>
          <w:lang w:val="fr-FR"/>
        </w:rPr>
        <w:t xml:space="preserve"> est passible d’une peine maximale de deux </w:t>
      </w:r>
      <w:r w:rsidR="00804281">
        <w:rPr>
          <w:bCs/>
          <w:lang w:val="fr-FR"/>
        </w:rPr>
        <w:t xml:space="preserve">ans </w:t>
      </w:r>
      <w:r>
        <w:rPr>
          <w:bCs/>
          <w:lang w:val="fr-FR"/>
        </w:rPr>
        <w:t>d’emprisonnement ou de 200 unités pénales, ou des deux</w:t>
      </w:r>
      <w:r w:rsidR="008D6B80">
        <w:rPr>
          <w:bCs/>
          <w:lang w:val="fr-FR"/>
        </w:rPr>
        <w:t xml:space="preserve">. </w:t>
      </w:r>
      <w:r w:rsidR="009A52C8">
        <w:rPr>
          <w:bCs/>
          <w:lang w:val="fr-FR"/>
        </w:rPr>
        <w:t>Toute personne reconnue coupable d’incitation à commettre l’infraction au titre de l’article 36 de cette même loi encourt une peine maximale de 5 ans d’emprisonnement ou de 500 unités pénales, ou les deux (art. 47 du Code pénal).</w:t>
      </w:r>
    </w:p>
    <w:p w:rsidR="007E0363" w:rsidRDefault="00804281" w:rsidP="005D7B68">
      <w:pPr>
        <w:tabs>
          <w:tab w:val="left" w:pos="567"/>
          <w:tab w:val="left" w:pos="1134"/>
          <w:tab w:val="left" w:pos="1701"/>
          <w:tab w:val="left" w:pos="2268"/>
          <w:tab w:val="left" w:pos="2835"/>
        </w:tabs>
        <w:rPr>
          <w:bCs/>
          <w:lang w:val="fr-FR"/>
        </w:rPr>
      </w:pPr>
      <w:r>
        <w:rPr>
          <w:bCs/>
          <w:lang w:val="fr-FR"/>
        </w:rPr>
        <w:t>35</w:t>
      </w:r>
      <w:r w:rsidR="00D74BDB">
        <w:rPr>
          <w:bCs/>
          <w:lang w:val="fr-FR"/>
        </w:rPr>
        <w:t>7</w:t>
      </w:r>
      <w:r>
        <w:rPr>
          <w:bCs/>
          <w:lang w:val="fr-FR"/>
        </w:rPr>
        <w:t>.</w:t>
      </w:r>
      <w:r>
        <w:rPr>
          <w:bCs/>
          <w:lang w:val="fr-FR"/>
        </w:rPr>
        <w:tab/>
        <w:t>Quiconque s’entend avec d’autres personnes en vue de commettre</w:t>
      </w:r>
      <w:r w:rsidR="007E0363">
        <w:rPr>
          <w:bCs/>
          <w:lang w:val="fr-FR"/>
        </w:rPr>
        <w:t xml:space="preserve"> </w:t>
      </w:r>
      <w:r>
        <w:rPr>
          <w:bCs/>
          <w:lang w:val="fr-FR"/>
        </w:rPr>
        <w:t>un délit de torture se rend coupable d’un délit à ce titre et encourt la même peine que s’il l’avait commis (art. 48 du Code pénal).</w:t>
      </w:r>
    </w:p>
    <w:p w:rsidR="00804281" w:rsidRDefault="00804281" w:rsidP="005D7B68">
      <w:pPr>
        <w:tabs>
          <w:tab w:val="left" w:pos="567"/>
          <w:tab w:val="left" w:pos="1134"/>
          <w:tab w:val="left" w:pos="1701"/>
          <w:tab w:val="left" w:pos="2268"/>
          <w:tab w:val="left" w:pos="2835"/>
        </w:tabs>
        <w:rPr>
          <w:b/>
          <w:lang w:val="fr-FR"/>
        </w:rPr>
      </w:pPr>
      <w:r>
        <w:rPr>
          <w:b/>
          <w:lang w:val="fr-FR"/>
        </w:rPr>
        <w:t>Délai de prescription en ce qui concerne l’engagement des poursuites</w:t>
      </w:r>
    </w:p>
    <w:p w:rsidR="00804281" w:rsidRDefault="00804281" w:rsidP="005D7B68">
      <w:pPr>
        <w:tabs>
          <w:tab w:val="left" w:pos="567"/>
          <w:tab w:val="left" w:pos="1134"/>
          <w:tab w:val="left" w:pos="1701"/>
          <w:tab w:val="left" w:pos="2268"/>
          <w:tab w:val="left" w:pos="2835"/>
        </w:tabs>
        <w:rPr>
          <w:bCs/>
          <w:lang w:val="fr-FR"/>
        </w:rPr>
      </w:pPr>
      <w:r>
        <w:rPr>
          <w:bCs/>
          <w:lang w:val="fr-FR"/>
        </w:rPr>
        <w:t>35</w:t>
      </w:r>
      <w:r w:rsidR="00D74BDB">
        <w:rPr>
          <w:bCs/>
          <w:lang w:val="fr-FR"/>
        </w:rPr>
        <w:t>8</w:t>
      </w:r>
      <w:r>
        <w:rPr>
          <w:bCs/>
          <w:lang w:val="fr-FR"/>
        </w:rPr>
        <w:t>.</w:t>
      </w:r>
      <w:r>
        <w:rPr>
          <w:bCs/>
          <w:lang w:val="fr-FR"/>
        </w:rPr>
        <w:tab/>
        <w:t>Conformément à l’article 192 de la</w:t>
      </w:r>
      <w:r>
        <w:rPr>
          <w:bCs/>
          <w:i/>
          <w:iCs/>
          <w:lang w:val="fr-FR"/>
        </w:rPr>
        <w:t xml:space="preserve"> </w:t>
      </w:r>
      <w:r w:rsidRPr="009A5958">
        <w:rPr>
          <w:bCs/>
          <w:lang w:val="fr-FR"/>
        </w:rPr>
        <w:t>loi de 2001 sur la législation</w:t>
      </w:r>
      <w:r>
        <w:rPr>
          <w:bCs/>
          <w:lang w:val="fr-FR"/>
        </w:rPr>
        <w:t>, il n’existe pas de délai de prescription concernant l’engagement des poursuites relatives à une infraction</w:t>
      </w:r>
      <w:r w:rsidR="00250B16">
        <w:rPr>
          <w:bCs/>
          <w:lang w:val="fr-FR"/>
        </w:rPr>
        <w:t xml:space="preserve"> en ap</w:t>
      </w:r>
      <w:r>
        <w:rPr>
          <w:bCs/>
          <w:lang w:val="fr-FR"/>
        </w:rPr>
        <w:t xml:space="preserve">plication </w:t>
      </w:r>
      <w:r w:rsidR="00250B16">
        <w:rPr>
          <w:bCs/>
          <w:lang w:val="fr-FR"/>
        </w:rPr>
        <w:t xml:space="preserve">de l’article 48 </w:t>
      </w:r>
      <w:r>
        <w:rPr>
          <w:bCs/>
          <w:lang w:val="fr-FR"/>
        </w:rPr>
        <w:t>de la loi</w:t>
      </w:r>
      <w:r w:rsidR="00250B16">
        <w:rPr>
          <w:bCs/>
          <w:lang w:val="fr-FR"/>
        </w:rPr>
        <w:t xml:space="preserve"> sur le terrorisme (pouvoirs exceptionnels temporaires) et </w:t>
      </w:r>
      <w:r w:rsidR="009A5958">
        <w:rPr>
          <w:bCs/>
          <w:lang w:val="fr-FR"/>
        </w:rPr>
        <w:t>de l’article 36 de la loi sur</w:t>
      </w:r>
      <w:r w:rsidR="00250B16">
        <w:rPr>
          <w:bCs/>
          <w:lang w:val="fr-FR"/>
        </w:rPr>
        <w:t xml:space="preserve"> les infractions pénales.</w:t>
      </w:r>
    </w:p>
    <w:p w:rsidR="00370BED" w:rsidRDefault="00370BED" w:rsidP="005D7B68">
      <w:pPr>
        <w:tabs>
          <w:tab w:val="left" w:pos="567"/>
          <w:tab w:val="left" w:pos="1134"/>
          <w:tab w:val="left" w:pos="1701"/>
          <w:tab w:val="left" w:pos="2268"/>
          <w:tab w:val="left" w:pos="2835"/>
        </w:tabs>
        <w:rPr>
          <w:b/>
          <w:lang w:val="fr-FR"/>
        </w:rPr>
      </w:pPr>
      <w:r>
        <w:rPr>
          <w:b/>
          <w:lang w:val="fr-FR"/>
        </w:rPr>
        <w:t>Territoire du Nord</w:t>
      </w:r>
    </w:p>
    <w:p w:rsidR="00370BED" w:rsidRDefault="00370BED" w:rsidP="005D7B68">
      <w:pPr>
        <w:tabs>
          <w:tab w:val="left" w:pos="567"/>
          <w:tab w:val="left" w:pos="1134"/>
          <w:tab w:val="left" w:pos="1701"/>
          <w:tab w:val="left" w:pos="2268"/>
          <w:tab w:val="left" w:pos="2835"/>
        </w:tabs>
        <w:rPr>
          <w:bCs/>
          <w:lang w:val="fr-FR"/>
        </w:rPr>
      </w:pPr>
      <w:r>
        <w:rPr>
          <w:bCs/>
          <w:lang w:val="fr-FR"/>
        </w:rPr>
        <w:t>35</w:t>
      </w:r>
      <w:r w:rsidR="00D74BDB">
        <w:rPr>
          <w:bCs/>
          <w:lang w:val="fr-FR"/>
        </w:rPr>
        <w:t>9</w:t>
      </w:r>
      <w:r>
        <w:rPr>
          <w:bCs/>
          <w:lang w:val="fr-FR"/>
        </w:rPr>
        <w:t>.</w:t>
      </w:r>
      <w:r>
        <w:rPr>
          <w:bCs/>
          <w:lang w:val="fr-FR"/>
        </w:rPr>
        <w:tab/>
        <w:t>Le Code pénal du Territoire du Nord n’érige pas la torture en infraction spécifique distincte</w:t>
      </w:r>
      <w:r w:rsidR="009A5958">
        <w:rPr>
          <w:bCs/>
          <w:lang w:val="fr-FR"/>
        </w:rPr>
        <w:t>,</w:t>
      </w:r>
      <w:r>
        <w:rPr>
          <w:bCs/>
          <w:lang w:val="fr-FR"/>
        </w:rPr>
        <w:t xml:space="preserve"> de par sa nature</w:t>
      </w:r>
      <w:r w:rsidR="009A5958">
        <w:rPr>
          <w:bCs/>
          <w:lang w:val="fr-FR"/>
        </w:rPr>
        <w:t>,</w:t>
      </w:r>
      <w:r>
        <w:rPr>
          <w:bCs/>
          <w:lang w:val="fr-FR"/>
        </w:rPr>
        <w:t xml:space="preserve"> d’autres infractions connexes</w:t>
      </w:r>
      <w:r w:rsidR="008D6B80">
        <w:rPr>
          <w:bCs/>
          <w:lang w:val="fr-FR"/>
        </w:rPr>
        <w:t xml:space="preserve">. </w:t>
      </w:r>
      <w:r>
        <w:rPr>
          <w:bCs/>
          <w:lang w:val="fr-FR"/>
        </w:rPr>
        <w:t xml:space="preserve">Cependant, ainsi qu’il a été précisé auparavant dans le quatrième rapport </w:t>
      </w:r>
      <w:r w:rsidR="00742736">
        <w:rPr>
          <w:bCs/>
          <w:lang w:val="fr-FR"/>
        </w:rPr>
        <w:t xml:space="preserve">de l’Australie </w:t>
      </w:r>
      <w:r>
        <w:rPr>
          <w:bCs/>
          <w:lang w:val="fr-FR"/>
        </w:rPr>
        <w:t>en application de la Convention (partie 2.2 et tableau 1),</w:t>
      </w:r>
      <w:r w:rsidR="00572260">
        <w:rPr>
          <w:bCs/>
          <w:lang w:val="fr-FR"/>
        </w:rPr>
        <w:t xml:space="preserve"> </w:t>
      </w:r>
      <w:r w:rsidR="00B93B09">
        <w:rPr>
          <w:bCs/>
          <w:lang w:val="fr-FR"/>
        </w:rPr>
        <w:t>les actes pouvant être constitutifs de torture</w:t>
      </w:r>
      <w:r w:rsidR="009A5958">
        <w:rPr>
          <w:bCs/>
          <w:lang w:val="fr-FR"/>
        </w:rPr>
        <w:t>s</w:t>
      </w:r>
      <w:r w:rsidR="00B93B09">
        <w:rPr>
          <w:bCs/>
          <w:lang w:val="fr-FR"/>
        </w:rPr>
        <w:t xml:space="preserve"> sont des infractions en vertu du droit pénal qui leur est applicable.</w:t>
      </w:r>
    </w:p>
    <w:p w:rsidR="00B93B09" w:rsidRDefault="00B93B09" w:rsidP="005D7B68">
      <w:pPr>
        <w:tabs>
          <w:tab w:val="left" w:pos="567"/>
          <w:tab w:val="left" w:pos="1134"/>
          <w:tab w:val="left" w:pos="1701"/>
          <w:tab w:val="left" w:pos="2268"/>
          <w:tab w:val="left" w:pos="2835"/>
        </w:tabs>
        <w:rPr>
          <w:bCs/>
          <w:lang w:val="fr-FR"/>
        </w:rPr>
      </w:pPr>
      <w:r>
        <w:rPr>
          <w:bCs/>
          <w:lang w:val="fr-FR"/>
        </w:rPr>
        <w:t>3</w:t>
      </w:r>
      <w:r w:rsidR="00903D54">
        <w:rPr>
          <w:bCs/>
          <w:lang w:val="fr-FR"/>
        </w:rPr>
        <w:t>60</w:t>
      </w:r>
      <w:r>
        <w:rPr>
          <w:bCs/>
          <w:lang w:val="fr-FR"/>
        </w:rPr>
        <w:t>.</w:t>
      </w:r>
      <w:r>
        <w:rPr>
          <w:bCs/>
          <w:lang w:val="fr-FR"/>
        </w:rPr>
        <w:tab/>
        <w:t>L’article 174G du Code pénal du Territoire du Nord énonce les circonstances aggravantes d’une infraction commise en violation de l’article 174C (mettre à la légère la vie d’autrui en danger) ou de l’article 17</w:t>
      </w:r>
      <w:r w:rsidR="00476F67">
        <w:rPr>
          <w:bCs/>
          <w:lang w:val="fr-FR"/>
        </w:rPr>
        <w:t>4D (faire courir à la légère le</w:t>
      </w:r>
      <w:r>
        <w:rPr>
          <w:bCs/>
          <w:lang w:val="fr-FR"/>
        </w:rPr>
        <w:t xml:space="preserve"> risque de graves lésions corporelles), auquel cas le c</w:t>
      </w:r>
      <w:r w:rsidR="009A5958">
        <w:rPr>
          <w:bCs/>
          <w:lang w:val="fr-FR"/>
        </w:rPr>
        <w:t>oupable encourt la peine maximale</w:t>
      </w:r>
      <w:r w:rsidR="008D6B80">
        <w:rPr>
          <w:bCs/>
          <w:lang w:val="fr-FR"/>
        </w:rPr>
        <w:t xml:space="preserve">. </w:t>
      </w:r>
      <w:r>
        <w:rPr>
          <w:bCs/>
          <w:lang w:val="fr-FR"/>
        </w:rPr>
        <w:t xml:space="preserve">La torture n’est </w:t>
      </w:r>
      <w:r w:rsidR="00563CA2">
        <w:rPr>
          <w:bCs/>
          <w:lang w:val="fr-FR"/>
        </w:rPr>
        <w:t xml:space="preserve">pas </w:t>
      </w:r>
      <w:r>
        <w:rPr>
          <w:bCs/>
          <w:lang w:val="fr-FR"/>
        </w:rPr>
        <w:t>expressément mentionnée parmi les circonstances aggravantes, mais ces dernières incluent le cas où l’infraction</w:t>
      </w:r>
      <w:r w:rsidR="00563CA2">
        <w:rPr>
          <w:bCs/>
          <w:lang w:val="fr-FR"/>
        </w:rPr>
        <w:t xml:space="preserve"> relève d’un abus de confiance (art. 174G e)) ou de pouvoir (art. 174G f)).</w:t>
      </w:r>
    </w:p>
    <w:p w:rsidR="00563CA2" w:rsidRDefault="00563CA2" w:rsidP="00886254">
      <w:pPr>
        <w:keepNext/>
        <w:keepLines/>
        <w:tabs>
          <w:tab w:val="left" w:pos="567"/>
          <w:tab w:val="left" w:pos="1134"/>
          <w:tab w:val="left" w:pos="1701"/>
          <w:tab w:val="left" w:pos="2268"/>
          <w:tab w:val="left" w:pos="2835"/>
        </w:tabs>
        <w:rPr>
          <w:b/>
          <w:lang w:val="fr-FR"/>
        </w:rPr>
      </w:pPr>
      <w:r>
        <w:rPr>
          <w:b/>
          <w:lang w:val="fr-FR"/>
        </w:rPr>
        <w:t>Question 14</w:t>
      </w:r>
    </w:p>
    <w:p w:rsidR="00563CA2" w:rsidRPr="002B4E2A" w:rsidRDefault="00563CA2" w:rsidP="00886254">
      <w:pPr>
        <w:keepNext/>
        <w:keepLines/>
        <w:tabs>
          <w:tab w:val="left" w:pos="567"/>
          <w:tab w:val="left" w:pos="1134"/>
          <w:tab w:val="left" w:pos="1701"/>
          <w:tab w:val="left" w:pos="2268"/>
          <w:tab w:val="left" w:pos="2835"/>
        </w:tabs>
        <w:rPr>
          <w:b/>
          <w:bCs/>
          <w:lang w:val="fr-FR"/>
        </w:rPr>
      </w:pPr>
      <w:r>
        <w:rPr>
          <w:b/>
          <w:lang w:val="fr-FR"/>
        </w:rPr>
        <w:tab/>
      </w:r>
      <w:r w:rsidR="002B4E2A" w:rsidRPr="002B4E2A">
        <w:rPr>
          <w:b/>
          <w:bCs/>
          <w:lang w:val="fr-FR"/>
        </w:rPr>
        <w:t>Fournir de plus amples informations sur le Code pénal type et sur son application dans l’ensemble du pays. Préciser en outre si, dans le Code, la torture n’est considérée que comme une circonstance aggravante d’autres infractions ou si elle constitue une infraction à part entière</w:t>
      </w:r>
      <w:r w:rsidR="002B4E2A">
        <w:rPr>
          <w:b/>
          <w:bCs/>
          <w:lang w:val="fr-FR"/>
        </w:rPr>
        <w:t>.</w:t>
      </w:r>
    </w:p>
    <w:p w:rsidR="00921C49" w:rsidRDefault="002B4E2A" w:rsidP="00886254">
      <w:pPr>
        <w:keepNext/>
        <w:keepLines/>
        <w:tabs>
          <w:tab w:val="left" w:pos="567"/>
          <w:tab w:val="left" w:pos="1134"/>
          <w:tab w:val="left" w:pos="1701"/>
          <w:tab w:val="left" w:pos="2268"/>
          <w:tab w:val="left" w:pos="2835"/>
        </w:tabs>
        <w:rPr>
          <w:bCs/>
          <w:lang w:val="fr-FR"/>
        </w:rPr>
      </w:pPr>
      <w:r>
        <w:rPr>
          <w:bCs/>
          <w:lang w:val="fr-FR"/>
        </w:rPr>
        <w:t>36</w:t>
      </w:r>
      <w:r w:rsidR="00903D54">
        <w:rPr>
          <w:bCs/>
          <w:lang w:val="fr-FR"/>
        </w:rPr>
        <w:t>1</w:t>
      </w:r>
      <w:r>
        <w:rPr>
          <w:bCs/>
          <w:lang w:val="fr-FR"/>
        </w:rPr>
        <w:t>.</w:t>
      </w:r>
      <w:r>
        <w:rPr>
          <w:bCs/>
          <w:lang w:val="fr-FR"/>
        </w:rPr>
        <w:tab/>
        <w:t>Le Code pénal type ne comporte pas de délit de torture type.</w:t>
      </w:r>
    </w:p>
    <w:p w:rsidR="002B4E2A" w:rsidRDefault="00903D54" w:rsidP="005D7B68">
      <w:pPr>
        <w:tabs>
          <w:tab w:val="left" w:pos="567"/>
          <w:tab w:val="left" w:pos="1134"/>
          <w:tab w:val="left" w:pos="1701"/>
          <w:tab w:val="left" w:pos="2268"/>
          <w:tab w:val="left" w:pos="2835"/>
        </w:tabs>
        <w:rPr>
          <w:bCs/>
          <w:lang w:val="fr-FR"/>
        </w:rPr>
      </w:pPr>
      <w:r>
        <w:rPr>
          <w:bCs/>
          <w:lang w:val="fr-FR"/>
        </w:rPr>
        <w:t>362</w:t>
      </w:r>
      <w:r w:rsidR="002B4E2A">
        <w:rPr>
          <w:bCs/>
          <w:lang w:val="fr-FR"/>
        </w:rPr>
        <w:t>.</w:t>
      </w:r>
      <w:r w:rsidR="002B4E2A">
        <w:rPr>
          <w:bCs/>
          <w:lang w:val="fr-FR"/>
        </w:rPr>
        <w:tab/>
      </w:r>
      <w:r w:rsidR="00925890">
        <w:rPr>
          <w:bCs/>
          <w:lang w:val="fr-FR"/>
        </w:rPr>
        <w:t>Le degré d’application</w:t>
      </w:r>
      <w:r w:rsidR="002B4E2A">
        <w:rPr>
          <w:bCs/>
          <w:lang w:val="fr-FR"/>
        </w:rPr>
        <w:t xml:space="preserve"> du Code</w:t>
      </w:r>
      <w:r w:rsidR="004764A4">
        <w:rPr>
          <w:bCs/>
          <w:lang w:val="fr-FR"/>
        </w:rPr>
        <w:t xml:space="preserve"> pénal type varie d’un territoire à l’autre, étant entendu que c’est au niveau d</w:t>
      </w:r>
      <w:r w:rsidR="00925890">
        <w:rPr>
          <w:bCs/>
          <w:lang w:val="fr-FR"/>
        </w:rPr>
        <w:t>u Commonwealth qu’elle</w:t>
      </w:r>
      <w:r w:rsidR="009A5958">
        <w:rPr>
          <w:bCs/>
          <w:lang w:val="fr-FR"/>
        </w:rPr>
        <w:t xml:space="preserve"> est la plus rigoureuse</w:t>
      </w:r>
      <w:r w:rsidR="008D6B80">
        <w:rPr>
          <w:bCs/>
          <w:lang w:val="fr-FR"/>
        </w:rPr>
        <w:t xml:space="preserve">. </w:t>
      </w:r>
      <w:r w:rsidR="004764A4">
        <w:rPr>
          <w:bCs/>
          <w:lang w:val="fr-FR"/>
        </w:rPr>
        <w:t>Aujourd’hui l</w:t>
      </w:r>
      <w:r w:rsidR="00925890">
        <w:rPr>
          <w:bCs/>
          <w:lang w:val="fr-FR"/>
        </w:rPr>
        <w:t>’application des différents</w:t>
      </w:r>
      <w:r w:rsidR="004764A4">
        <w:rPr>
          <w:bCs/>
          <w:lang w:val="fr-FR"/>
        </w:rPr>
        <w:t xml:space="preserve"> chapitres du Code pénal type</w:t>
      </w:r>
      <w:r w:rsidR="00925890">
        <w:rPr>
          <w:bCs/>
          <w:lang w:val="fr-FR"/>
        </w:rPr>
        <w:t xml:space="preserve"> bénéficie</w:t>
      </w:r>
      <w:r w:rsidR="004764A4">
        <w:rPr>
          <w:bCs/>
          <w:lang w:val="fr-FR"/>
        </w:rPr>
        <w:t xml:space="preserve"> d’un degré de priorité approprié aux circonstances et varie d’un territoire à l’autre (voir le tableau ci-après qui donne des détails sur cette mise en œuvre).</w:t>
      </w:r>
    </w:p>
    <w:p w:rsidR="004764A4" w:rsidRDefault="004764A4" w:rsidP="005D7B68">
      <w:pPr>
        <w:tabs>
          <w:tab w:val="left" w:pos="567"/>
          <w:tab w:val="left" w:pos="1134"/>
          <w:tab w:val="left" w:pos="1701"/>
          <w:tab w:val="left" w:pos="2268"/>
          <w:tab w:val="left" w:pos="2835"/>
        </w:tabs>
        <w:rPr>
          <w:bCs/>
          <w:lang w:val="fr-FR"/>
        </w:rPr>
      </w:pPr>
      <w:r>
        <w:rPr>
          <w:bCs/>
          <w:lang w:val="fr-FR"/>
        </w:rPr>
        <w:t>36</w:t>
      </w:r>
      <w:r w:rsidR="00903D54">
        <w:rPr>
          <w:bCs/>
          <w:lang w:val="fr-FR"/>
        </w:rPr>
        <w:t>3</w:t>
      </w:r>
      <w:r>
        <w:rPr>
          <w:bCs/>
          <w:lang w:val="fr-FR"/>
        </w:rPr>
        <w:t>.</w:t>
      </w:r>
      <w:r>
        <w:rPr>
          <w:bCs/>
          <w:lang w:val="fr-FR"/>
        </w:rPr>
        <w:tab/>
      </w:r>
      <w:r w:rsidR="00925890">
        <w:rPr>
          <w:bCs/>
          <w:lang w:val="fr-FR"/>
        </w:rPr>
        <w:t>La mise au point des délits contre les personnes remonte à 1998-1999 et le Gouvernement australien applique un système type</w:t>
      </w:r>
      <w:r w:rsidR="00E64A08">
        <w:rPr>
          <w:bCs/>
          <w:lang w:val="fr-FR"/>
        </w:rPr>
        <w:t xml:space="preserve"> de définition</w:t>
      </w:r>
      <w:r w:rsidR="00476F67">
        <w:rPr>
          <w:bCs/>
          <w:lang w:val="fr-FR"/>
        </w:rPr>
        <w:t xml:space="preserve"> de ces délits</w:t>
      </w:r>
      <w:r w:rsidR="008D6B80">
        <w:rPr>
          <w:bCs/>
          <w:lang w:val="fr-FR"/>
        </w:rPr>
        <w:t xml:space="preserve">. </w:t>
      </w:r>
      <w:r w:rsidR="00E64A08">
        <w:rPr>
          <w:bCs/>
          <w:lang w:val="fr-FR"/>
        </w:rPr>
        <w:t>Toutes les autres juridictions ont adopté les infractions contre la mutilation génitale féminine, tandis que certaines d’entre elles ont ajouté des infractions spécifiques comme le harcèlement</w:t>
      </w:r>
      <w:r w:rsidR="008D6B80">
        <w:rPr>
          <w:bCs/>
          <w:lang w:val="fr-FR"/>
        </w:rPr>
        <w:t xml:space="preserve">. </w:t>
      </w:r>
      <w:r w:rsidR="00E64A08">
        <w:rPr>
          <w:bCs/>
          <w:lang w:val="fr-FR"/>
        </w:rPr>
        <w:t xml:space="preserve">Ce chapitre de la définition des infractions types prévoit que </w:t>
      </w:r>
      <w:r w:rsidR="00F5190F">
        <w:rPr>
          <w:bCs/>
          <w:lang w:val="fr-FR"/>
        </w:rPr>
        <w:t>la torture doit être considérée</w:t>
      </w:r>
      <w:r w:rsidR="00E64A08">
        <w:rPr>
          <w:bCs/>
          <w:lang w:val="fr-FR"/>
        </w:rPr>
        <w:t xml:space="preserve"> comme une circonstance aggravante de la commission d’autres infractions.</w:t>
      </w:r>
    </w:p>
    <w:p w:rsidR="003100DB" w:rsidRDefault="009A5958" w:rsidP="005D7B68">
      <w:pPr>
        <w:tabs>
          <w:tab w:val="left" w:pos="567"/>
          <w:tab w:val="left" w:pos="1134"/>
          <w:tab w:val="left" w:pos="1701"/>
          <w:tab w:val="left" w:pos="2268"/>
          <w:tab w:val="left" w:pos="2835"/>
        </w:tabs>
        <w:rPr>
          <w:bCs/>
          <w:lang w:val="fr-FR"/>
        </w:rPr>
      </w:pPr>
      <w:r>
        <w:rPr>
          <w:bCs/>
          <w:lang w:val="fr-FR"/>
        </w:rPr>
        <w:t>36</w:t>
      </w:r>
      <w:r w:rsidR="00903D54">
        <w:rPr>
          <w:bCs/>
          <w:lang w:val="fr-FR"/>
        </w:rPr>
        <w:t>4</w:t>
      </w:r>
      <w:r>
        <w:rPr>
          <w:bCs/>
          <w:lang w:val="fr-FR"/>
        </w:rPr>
        <w:t>.</w:t>
      </w:r>
      <w:r>
        <w:rPr>
          <w:bCs/>
          <w:lang w:val="fr-FR"/>
        </w:rPr>
        <w:tab/>
        <w:t>Les info</w:t>
      </w:r>
      <w:r w:rsidR="00E64A08">
        <w:rPr>
          <w:bCs/>
          <w:lang w:val="fr-FR"/>
        </w:rPr>
        <w:t xml:space="preserve">rmations relatives aux infractions aggravées dans la législation pénale des États et </w:t>
      </w:r>
      <w:r w:rsidR="004A3CE0">
        <w:rPr>
          <w:bCs/>
          <w:lang w:val="fr-FR"/>
        </w:rPr>
        <w:t>T</w:t>
      </w:r>
      <w:r w:rsidR="00E64A08">
        <w:rPr>
          <w:bCs/>
          <w:lang w:val="fr-FR"/>
        </w:rPr>
        <w:t xml:space="preserve">erritoires figurent dans la réponse à </w:t>
      </w:r>
      <w:r w:rsidR="000C23DD">
        <w:rPr>
          <w:bCs/>
          <w:lang w:val="fr-FR"/>
        </w:rPr>
        <w:t>la question 1</w:t>
      </w:r>
      <w:r w:rsidR="00E64A08">
        <w:rPr>
          <w:bCs/>
          <w:lang w:val="fr-FR"/>
        </w:rPr>
        <w:t>3.</w:t>
      </w:r>
    </w:p>
    <w:p w:rsidR="004A3CE0" w:rsidRDefault="004A3CE0" w:rsidP="005D7B68">
      <w:pPr>
        <w:tabs>
          <w:tab w:val="left" w:pos="567"/>
          <w:tab w:val="left" w:pos="1134"/>
          <w:tab w:val="left" w:pos="1701"/>
          <w:tab w:val="left" w:pos="2268"/>
          <w:tab w:val="left" w:pos="2835"/>
        </w:tabs>
        <w:rPr>
          <w:bCs/>
          <w:lang w:val="fr-FR"/>
        </w:rPr>
      </w:pPr>
    </w:p>
    <w:p w:rsidR="004A3CE0" w:rsidRDefault="004A3CE0" w:rsidP="005D7B68">
      <w:pPr>
        <w:tabs>
          <w:tab w:val="left" w:pos="567"/>
          <w:tab w:val="left" w:pos="1134"/>
          <w:tab w:val="left" w:pos="1701"/>
          <w:tab w:val="left" w:pos="2268"/>
          <w:tab w:val="left" w:pos="2835"/>
        </w:tabs>
        <w:rPr>
          <w:bCs/>
          <w:lang w:val="fr-FR"/>
        </w:rPr>
        <w:sectPr w:rsidR="004A3CE0" w:rsidSect="00D63A87">
          <w:headerReference w:type="even" r:id="rId19"/>
          <w:headerReference w:type="default" r:id="rId20"/>
          <w:footerReference w:type="first" r:id="rId21"/>
          <w:pgSz w:w="11906" w:h="16838"/>
          <w:pgMar w:top="1701" w:right="851" w:bottom="1985" w:left="1701" w:header="851" w:footer="1701" w:gutter="0"/>
          <w:cols w:space="708"/>
          <w:titlePg/>
          <w:docGrid w:linePitch="360"/>
        </w:sectPr>
      </w:pPr>
    </w:p>
    <w:tbl>
      <w:tblPr>
        <w:tblW w:w="13568"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260"/>
        <w:gridCol w:w="1440"/>
        <w:gridCol w:w="1440"/>
        <w:gridCol w:w="900"/>
        <w:gridCol w:w="1620"/>
        <w:gridCol w:w="1620"/>
        <w:gridCol w:w="1194"/>
        <w:gridCol w:w="1157"/>
        <w:gridCol w:w="1251"/>
      </w:tblGrid>
      <w:tr w:rsidR="00D35BF6" w:rsidRPr="00F6500D" w:rsidTr="00AB4C28">
        <w:tblPrEx>
          <w:tblCellMar>
            <w:top w:w="0" w:type="dxa"/>
            <w:bottom w:w="0" w:type="dxa"/>
          </w:tblCellMar>
        </w:tblPrEx>
        <w:trPr>
          <w:trHeight w:val="420"/>
          <w:jc w:val="center"/>
        </w:trPr>
        <w:tc>
          <w:tcPr>
            <w:tcW w:w="1686" w:type="dxa"/>
            <w:shd w:val="clear" w:color="auto" w:fill="auto"/>
            <w:vAlign w:val="center"/>
          </w:tcPr>
          <w:p w:rsidR="00F6500D"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Chapitre du Code pénal type</w:t>
            </w:r>
          </w:p>
        </w:tc>
        <w:tc>
          <w:tcPr>
            <w:tcW w:w="1260"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Commonwealth</w:t>
            </w:r>
          </w:p>
        </w:tc>
        <w:tc>
          <w:tcPr>
            <w:tcW w:w="1440"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Nouvelle</w:t>
            </w:r>
            <w:r w:rsidR="00F6500D" w:rsidRPr="00F6500D">
              <w:rPr>
                <w:snapToGrid w:val="0"/>
                <w:sz w:val="16"/>
                <w:szCs w:val="16"/>
                <w:lang w:val="fr-FR"/>
              </w:rPr>
              <w:noBreakHyphen/>
            </w:r>
            <w:r w:rsidRPr="00F6500D">
              <w:rPr>
                <w:snapToGrid w:val="0"/>
                <w:sz w:val="16"/>
                <w:szCs w:val="16"/>
                <w:lang w:val="fr-FR"/>
              </w:rPr>
              <w:t>Galles</w:t>
            </w:r>
            <w:r w:rsidR="00F6500D" w:rsidRPr="00F6500D">
              <w:rPr>
                <w:snapToGrid w:val="0"/>
                <w:sz w:val="16"/>
                <w:szCs w:val="16"/>
                <w:lang w:val="fr-FR"/>
              </w:rPr>
              <w:br/>
            </w:r>
            <w:r w:rsidRPr="00F6500D">
              <w:rPr>
                <w:snapToGrid w:val="0"/>
                <w:sz w:val="16"/>
                <w:szCs w:val="16"/>
                <w:lang w:val="fr-FR"/>
              </w:rPr>
              <w:t>du Sud</w:t>
            </w:r>
          </w:p>
        </w:tc>
        <w:tc>
          <w:tcPr>
            <w:tcW w:w="1440"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Victoria</w:t>
            </w:r>
          </w:p>
        </w:tc>
        <w:tc>
          <w:tcPr>
            <w:tcW w:w="900"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Queen</w:t>
            </w:r>
            <w:r w:rsidR="000353FA" w:rsidRPr="00F6500D">
              <w:rPr>
                <w:snapToGrid w:val="0"/>
                <w:sz w:val="16"/>
                <w:szCs w:val="16"/>
                <w:lang w:val="fr-FR"/>
              </w:rPr>
              <w:t>s</w:t>
            </w:r>
            <w:r w:rsidRPr="00F6500D">
              <w:rPr>
                <w:snapToGrid w:val="0"/>
                <w:sz w:val="16"/>
                <w:szCs w:val="16"/>
                <w:lang w:val="fr-FR"/>
              </w:rPr>
              <w:t>land</w:t>
            </w:r>
          </w:p>
        </w:tc>
        <w:tc>
          <w:tcPr>
            <w:tcW w:w="1620" w:type="dxa"/>
            <w:shd w:val="clear" w:color="auto" w:fill="auto"/>
            <w:vAlign w:val="center"/>
          </w:tcPr>
          <w:p w:rsidR="00D35BF6" w:rsidRPr="00F6500D" w:rsidRDefault="008E1139"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Australie occidentale</w:t>
            </w:r>
          </w:p>
        </w:tc>
        <w:tc>
          <w:tcPr>
            <w:tcW w:w="1620" w:type="dxa"/>
            <w:shd w:val="clear" w:color="auto" w:fill="auto"/>
            <w:vAlign w:val="center"/>
          </w:tcPr>
          <w:p w:rsidR="00D35BF6" w:rsidRPr="00F6500D" w:rsidRDefault="008E1139"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Australie méridionale</w:t>
            </w:r>
          </w:p>
        </w:tc>
        <w:tc>
          <w:tcPr>
            <w:tcW w:w="1194"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Tasmanie</w:t>
            </w:r>
          </w:p>
        </w:tc>
        <w:tc>
          <w:tcPr>
            <w:tcW w:w="1157"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Territoire de la capitale</w:t>
            </w:r>
          </w:p>
        </w:tc>
        <w:tc>
          <w:tcPr>
            <w:tcW w:w="1251" w:type="dxa"/>
            <w:shd w:val="clear" w:color="auto" w:fill="auto"/>
            <w:vAlign w:val="center"/>
          </w:tcPr>
          <w:p w:rsidR="00D35BF6" w:rsidRPr="00F6500D" w:rsidRDefault="00D35BF6" w:rsidP="005D7B6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Territoire du Nord</w:t>
            </w:r>
          </w:p>
        </w:tc>
      </w:tr>
      <w:tr w:rsidR="00D35BF6" w:rsidRPr="00F6500D" w:rsidTr="00AB4C28">
        <w:tblPrEx>
          <w:tblCellMar>
            <w:top w:w="0" w:type="dxa"/>
            <w:bottom w:w="0" w:type="dxa"/>
          </w:tblCellMar>
        </w:tblPrEx>
        <w:trPr>
          <w:trHeight w:val="423"/>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rPr>
            </w:pPr>
            <w:r w:rsidRPr="00F6500D">
              <w:rPr>
                <w:snapToGrid w:val="0"/>
                <w:sz w:val="16"/>
                <w:szCs w:val="16"/>
                <w:lang w:val="fr-FR"/>
              </w:rPr>
              <w:t>1 et 2</w:t>
            </w:r>
            <w:r w:rsidR="00572260" w:rsidRPr="00F6500D">
              <w:rPr>
                <w:snapToGrid w:val="0"/>
                <w:sz w:val="16"/>
                <w:szCs w:val="16"/>
                <w:lang w:val="fr-FR"/>
              </w:rPr>
              <w:t xml:space="preserve"> </w:t>
            </w:r>
            <w:r w:rsidRPr="00F6500D">
              <w:rPr>
                <w:snapToGrid w:val="0"/>
                <w:sz w:val="16"/>
                <w:szCs w:val="16"/>
                <w:lang w:val="fr-FR"/>
              </w:rPr>
              <w:t>P</w:t>
            </w:r>
            <w:r w:rsidRPr="00F6500D">
              <w:rPr>
                <w:snapToGrid w:val="0"/>
                <w:sz w:val="16"/>
                <w:szCs w:val="16"/>
              </w:rPr>
              <w:t>rincipes généraux (1992)</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(1995)</w:t>
            </w:r>
          </w:p>
        </w:tc>
        <w:tc>
          <w:tcPr>
            <w:tcW w:w="144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En partie</w:t>
            </w:r>
            <w:r w:rsidR="00675399" w:rsidRPr="00F6500D">
              <w:rPr>
                <w:snapToGrid w:val="0"/>
                <w:sz w:val="16"/>
                <w:szCs w:val="16"/>
              </w:rPr>
              <w:t xml:space="preserve"> (légitime défense)</w:t>
            </w:r>
          </w:p>
        </w:tc>
        <w:tc>
          <w:tcPr>
            <w:tcW w:w="144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62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62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En partie (légitime défense; juri</w:t>
            </w:r>
            <w:r w:rsidR="00D35BF6" w:rsidRPr="00F6500D">
              <w:rPr>
                <w:snapToGrid w:val="0"/>
                <w:sz w:val="16"/>
                <w:szCs w:val="16"/>
                <w:lang w:val="fr-FR"/>
              </w:rPr>
              <w:t>diction)</w:t>
            </w:r>
          </w:p>
        </w:tc>
        <w:tc>
          <w:tcPr>
            <w:tcW w:w="1194"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157"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572260" w:rsidRPr="00F6500D">
              <w:rPr>
                <w:snapToGrid w:val="0"/>
                <w:sz w:val="16"/>
                <w:szCs w:val="16"/>
              </w:rPr>
              <w:t xml:space="preserve"> </w:t>
            </w:r>
            <w:r w:rsidR="00D35BF6" w:rsidRPr="00F6500D">
              <w:rPr>
                <w:snapToGrid w:val="0"/>
                <w:sz w:val="16"/>
                <w:szCs w:val="16"/>
              </w:rPr>
              <w:t>(2002)</w:t>
            </w:r>
          </w:p>
        </w:tc>
        <w:tc>
          <w:tcPr>
            <w:tcW w:w="1251"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(2006)</w:t>
            </w:r>
          </w:p>
        </w:tc>
      </w:tr>
      <w:tr w:rsidR="00D35BF6" w:rsidRPr="00F6500D" w:rsidTr="00AB4C28">
        <w:tblPrEx>
          <w:tblCellMar>
            <w:top w:w="0" w:type="dxa"/>
            <w:bottom w:w="0" w:type="dxa"/>
          </w:tblCellMar>
        </w:tblPrEx>
        <w:trPr>
          <w:trHeight w:val="414"/>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rPr>
            </w:pPr>
            <w:r w:rsidRPr="00F6500D">
              <w:rPr>
                <w:snapToGrid w:val="0"/>
                <w:sz w:val="16"/>
                <w:szCs w:val="16"/>
              </w:rPr>
              <w:t>3</w:t>
            </w:r>
            <w:r w:rsidR="00572260" w:rsidRPr="00F6500D">
              <w:rPr>
                <w:snapToGrid w:val="0"/>
                <w:sz w:val="16"/>
                <w:szCs w:val="16"/>
              </w:rPr>
              <w:t xml:space="preserve"> </w:t>
            </w:r>
            <w:r w:rsidRPr="00F6500D">
              <w:rPr>
                <w:snapToGrid w:val="0"/>
                <w:sz w:val="16"/>
                <w:szCs w:val="16"/>
              </w:rPr>
              <w:t>Fraude Corruption (1995)</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br/>
              <w:t>(2000)</w:t>
            </w:r>
          </w:p>
        </w:tc>
        <w:tc>
          <w:tcPr>
            <w:tcW w:w="144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Déjà similaire</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62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62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La plupart des aspects</w:t>
            </w:r>
            <w:r w:rsidR="00D35BF6" w:rsidRPr="00F6500D">
              <w:rPr>
                <w:snapToGrid w:val="0"/>
                <w:sz w:val="16"/>
                <w:szCs w:val="16"/>
              </w:rPr>
              <w:t xml:space="preserve"> (2002)</w:t>
            </w:r>
          </w:p>
        </w:tc>
        <w:tc>
          <w:tcPr>
            <w:tcW w:w="1194"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157"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572260" w:rsidRPr="00F6500D">
              <w:rPr>
                <w:snapToGrid w:val="0"/>
                <w:sz w:val="16"/>
                <w:szCs w:val="16"/>
              </w:rPr>
              <w:t xml:space="preserve"> </w:t>
            </w:r>
            <w:r w:rsidR="00D35BF6" w:rsidRPr="00F6500D">
              <w:rPr>
                <w:snapToGrid w:val="0"/>
                <w:sz w:val="16"/>
                <w:szCs w:val="16"/>
              </w:rPr>
              <w:t>(2004)</w:t>
            </w:r>
          </w:p>
        </w:tc>
        <w:tc>
          <w:tcPr>
            <w:tcW w:w="1251"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r>
      <w:tr w:rsidR="00D35BF6" w:rsidRPr="00F6500D" w:rsidTr="00AB4C28">
        <w:tblPrEx>
          <w:tblCellMar>
            <w:top w:w="0" w:type="dxa"/>
            <w:bottom w:w="0" w:type="dxa"/>
          </w:tblCellMar>
        </w:tblPrEx>
        <w:trPr>
          <w:trHeight w:val="420"/>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rPr>
            </w:pPr>
            <w:r w:rsidRPr="00F6500D">
              <w:rPr>
                <w:snapToGrid w:val="0"/>
                <w:sz w:val="16"/>
                <w:szCs w:val="16"/>
              </w:rPr>
              <w:t>4</w:t>
            </w:r>
            <w:r w:rsidR="00572260" w:rsidRPr="00F6500D">
              <w:rPr>
                <w:snapToGrid w:val="0"/>
                <w:sz w:val="16"/>
                <w:szCs w:val="16"/>
              </w:rPr>
              <w:t xml:space="preserve"> </w:t>
            </w:r>
            <w:r w:rsidR="004D0079" w:rsidRPr="00F6500D">
              <w:rPr>
                <w:snapToGrid w:val="0"/>
                <w:sz w:val="16"/>
                <w:szCs w:val="16"/>
              </w:rPr>
              <w:t>Dommages et</w:t>
            </w:r>
            <w:r w:rsidRPr="00F6500D">
              <w:rPr>
                <w:snapToGrid w:val="0"/>
                <w:sz w:val="16"/>
                <w:szCs w:val="16"/>
              </w:rPr>
              <w:t xml:space="preserve"> </w:t>
            </w:r>
            <w:r w:rsidR="004D0079" w:rsidRPr="00F6500D">
              <w:rPr>
                <w:snapToGrid w:val="0"/>
                <w:sz w:val="16"/>
                <w:szCs w:val="16"/>
              </w:rPr>
              <w:t>délits informatiques</w:t>
            </w:r>
            <w:r w:rsidR="00572260" w:rsidRPr="00F6500D">
              <w:rPr>
                <w:snapToGrid w:val="0"/>
                <w:sz w:val="16"/>
                <w:szCs w:val="16"/>
              </w:rPr>
              <w:t xml:space="preserve"> </w:t>
            </w:r>
            <w:r w:rsidRPr="00F6500D">
              <w:rPr>
                <w:snapToGrid w:val="0"/>
                <w:sz w:val="16"/>
                <w:szCs w:val="16"/>
              </w:rPr>
              <w:t>(2001)</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Délits informatiques</w:t>
            </w:r>
            <w:r w:rsidR="00572260" w:rsidRPr="00F6500D">
              <w:rPr>
                <w:snapToGrid w:val="0"/>
                <w:sz w:val="16"/>
                <w:szCs w:val="16"/>
              </w:rPr>
              <w:t xml:space="preserve"> </w:t>
            </w:r>
            <w:r w:rsidR="00D35BF6" w:rsidRPr="00F6500D">
              <w:rPr>
                <w:snapToGrid w:val="0"/>
                <w:sz w:val="16"/>
                <w:szCs w:val="16"/>
              </w:rPr>
              <w:t>(2002)</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ind w:left="-57" w:right="-57"/>
              <w:jc w:val="center"/>
              <w:rPr>
                <w:snapToGrid w:val="0"/>
                <w:sz w:val="16"/>
                <w:szCs w:val="16"/>
                <w:lang w:val="fr-FR"/>
              </w:rPr>
            </w:pPr>
            <w:r w:rsidRPr="00F6500D">
              <w:rPr>
                <w:snapToGrid w:val="0"/>
                <w:sz w:val="16"/>
                <w:szCs w:val="16"/>
                <w:lang w:val="fr-FR"/>
              </w:rPr>
              <w:t>Délits informatiques</w:t>
            </w:r>
            <w:r w:rsidR="00D35BF6" w:rsidRPr="00F6500D">
              <w:rPr>
                <w:snapToGrid w:val="0"/>
                <w:sz w:val="16"/>
                <w:szCs w:val="16"/>
                <w:lang w:val="fr-FR"/>
              </w:rPr>
              <w:t xml:space="preserve"> </w:t>
            </w:r>
            <w:r w:rsidRPr="00F6500D">
              <w:rPr>
                <w:snapToGrid w:val="0"/>
                <w:sz w:val="16"/>
                <w:szCs w:val="16"/>
                <w:lang w:val="fr-FR"/>
              </w:rPr>
              <w:t>sabotage feux de brousse</w:t>
            </w:r>
            <w:r w:rsidR="00572260" w:rsidRPr="00F6500D">
              <w:rPr>
                <w:snapToGrid w:val="0"/>
                <w:sz w:val="16"/>
                <w:szCs w:val="16"/>
                <w:lang w:val="fr-FR"/>
              </w:rPr>
              <w:t xml:space="preserve"> </w:t>
            </w:r>
            <w:r w:rsidR="00D35BF6" w:rsidRPr="00F6500D">
              <w:rPr>
                <w:snapToGrid w:val="0"/>
                <w:sz w:val="16"/>
                <w:szCs w:val="16"/>
                <w:lang w:val="fr-FR"/>
              </w:rPr>
              <w:br/>
              <w:t>(2001)</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ind w:left="-57" w:right="-57"/>
              <w:jc w:val="center"/>
              <w:rPr>
                <w:snapToGrid w:val="0"/>
                <w:sz w:val="16"/>
                <w:szCs w:val="16"/>
                <w:lang w:val="fr-FR"/>
              </w:rPr>
            </w:pPr>
            <w:r w:rsidRPr="00F6500D">
              <w:rPr>
                <w:snapToGrid w:val="0"/>
                <w:sz w:val="16"/>
                <w:szCs w:val="16"/>
                <w:lang w:val="fr-FR"/>
              </w:rPr>
              <w:t>Délits informatiques</w:t>
            </w:r>
            <w:r w:rsidR="000353FA" w:rsidRPr="00F6500D">
              <w:rPr>
                <w:snapToGrid w:val="0"/>
                <w:sz w:val="16"/>
                <w:szCs w:val="16"/>
                <w:lang w:val="fr-FR"/>
              </w:rPr>
              <w:t>,</w:t>
            </w:r>
            <w:r w:rsidR="00D35BF6" w:rsidRPr="00F6500D">
              <w:rPr>
                <w:snapToGrid w:val="0"/>
                <w:sz w:val="16"/>
                <w:szCs w:val="16"/>
                <w:lang w:val="fr-FR"/>
              </w:rPr>
              <w:t xml:space="preserve"> </w:t>
            </w:r>
            <w:r w:rsidRPr="00F6500D">
              <w:rPr>
                <w:snapToGrid w:val="0"/>
                <w:sz w:val="16"/>
                <w:szCs w:val="16"/>
                <w:lang w:val="fr-FR"/>
              </w:rPr>
              <w:t>sabotage</w:t>
            </w:r>
            <w:r w:rsidR="000353FA" w:rsidRPr="00F6500D">
              <w:rPr>
                <w:snapToGrid w:val="0"/>
                <w:sz w:val="16"/>
                <w:szCs w:val="16"/>
                <w:lang w:val="fr-FR"/>
              </w:rPr>
              <w:t>,</w:t>
            </w:r>
            <w:r w:rsidRPr="00F6500D">
              <w:rPr>
                <w:snapToGrid w:val="0"/>
                <w:sz w:val="16"/>
                <w:szCs w:val="16"/>
                <w:lang w:val="fr-FR"/>
              </w:rPr>
              <w:t xml:space="preserve"> feux de brousse</w:t>
            </w:r>
            <w:r w:rsidR="00D35BF6" w:rsidRPr="00F6500D">
              <w:rPr>
                <w:snapToGrid w:val="0"/>
                <w:sz w:val="16"/>
                <w:szCs w:val="16"/>
                <w:lang w:val="fr-FR"/>
              </w:rPr>
              <w:t xml:space="preserve"> (2003)</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62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Déjà</w:t>
            </w:r>
            <w:r w:rsidR="00D35BF6" w:rsidRPr="00F6500D">
              <w:rPr>
                <w:snapToGrid w:val="0"/>
                <w:sz w:val="16"/>
                <w:szCs w:val="16"/>
                <w:lang w:val="fr-FR"/>
              </w:rPr>
              <w:t xml:space="preserve"> simila</w:t>
            </w:r>
            <w:r w:rsidRPr="00F6500D">
              <w:rPr>
                <w:snapToGrid w:val="0"/>
                <w:sz w:val="16"/>
                <w:szCs w:val="16"/>
                <w:lang w:val="fr-FR"/>
              </w:rPr>
              <w:t>i</w:t>
            </w:r>
            <w:r w:rsidR="00D35BF6" w:rsidRPr="00F6500D">
              <w:rPr>
                <w:snapToGrid w:val="0"/>
                <w:sz w:val="16"/>
                <w:szCs w:val="16"/>
                <w:lang w:val="fr-FR"/>
              </w:rPr>
              <w:t>r</w:t>
            </w:r>
            <w:r w:rsidRPr="00F6500D">
              <w:rPr>
                <w:snapToGrid w:val="0"/>
                <w:sz w:val="16"/>
                <w:szCs w:val="16"/>
                <w:lang w:val="fr-FR"/>
              </w:rPr>
              <w:t>e feux de brousse</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ind w:left="-57" w:right="-57"/>
              <w:jc w:val="center"/>
              <w:rPr>
                <w:snapToGrid w:val="0"/>
                <w:sz w:val="16"/>
                <w:szCs w:val="16"/>
                <w:lang w:val="fr-FR"/>
              </w:rPr>
            </w:pPr>
            <w:r w:rsidRPr="00F6500D">
              <w:rPr>
                <w:snapToGrid w:val="0"/>
                <w:sz w:val="16"/>
                <w:szCs w:val="16"/>
                <w:lang w:val="fr-FR"/>
              </w:rPr>
              <w:t>Délits informatiques</w:t>
            </w:r>
            <w:r w:rsidR="000353FA" w:rsidRPr="00F6500D">
              <w:rPr>
                <w:snapToGrid w:val="0"/>
                <w:sz w:val="16"/>
                <w:szCs w:val="16"/>
                <w:lang w:val="fr-FR"/>
              </w:rPr>
              <w:t>,</w:t>
            </w:r>
            <w:r w:rsidR="00D35BF6" w:rsidRPr="00F6500D">
              <w:rPr>
                <w:snapToGrid w:val="0"/>
                <w:sz w:val="16"/>
                <w:szCs w:val="16"/>
                <w:lang w:val="fr-FR"/>
              </w:rPr>
              <w:t xml:space="preserve"> </w:t>
            </w:r>
            <w:r w:rsidRPr="00F6500D">
              <w:rPr>
                <w:snapToGrid w:val="0"/>
                <w:sz w:val="16"/>
                <w:szCs w:val="16"/>
                <w:lang w:val="fr-FR"/>
              </w:rPr>
              <w:t>sabotage</w:t>
            </w:r>
            <w:r w:rsidR="000353FA" w:rsidRPr="00F6500D">
              <w:rPr>
                <w:snapToGrid w:val="0"/>
                <w:sz w:val="16"/>
                <w:szCs w:val="16"/>
                <w:lang w:val="fr-FR"/>
              </w:rPr>
              <w:t>,</w:t>
            </w:r>
            <w:r w:rsidRPr="00F6500D">
              <w:rPr>
                <w:snapToGrid w:val="0"/>
                <w:sz w:val="16"/>
                <w:szCs w:val="16"/>
                <w:lang w:val="fr-FR"/>
              </w:rPr>
              <w:t xml:space="preserve"> feux de brousse</w:t>
            </w:r>
            <w:r w:rsidR="00D35BF6" w:rsidRPr="00F6500D">
              <w:rPr>
                <w:snapToGrid w:val="0"/>
                <w:sz w:val="16"/>
                <w:szCs w:val="16"/>
                <w:lang w:val="fr-FR"/>
              </w:rPr>
              <w:t xml:space="preserve"> </w:t>
            </w:r>
            <w:r w:rsidR="00D35BF6" w:rsidRPr="00F6500D">
              <w:rPr>
                <w:snapToGrid w:val="0"/>
                <w:sz w:val="16"/>
                <w:szCs w:val="16"/>
                <w:lang w:val="fr-FR"/>
              </w:rPr>
              <w:br/>
              <w:t>(2004)</w:t>
            </w:r>
          </w:p>
        </w:tc>
        <w:tc>
          <w:tcPr>
            <w:tcW w:w="1194"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157"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(2002)</w:t>
            </w:r>
          </w:p>
        </w:tc>
        <w:tc>
          <w:tcPr>
            <w:tcW w:w="1251"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Délits informatiques</w:t>
            </w:r>
          </w:p>
        </w:tc>
      </w:tr>
      <w:tr w:rsidR="00D35BF6" w:rsidRPr="00F6500D" w:rsidTr="00AB4C28">
        <w:tblPrEx>
          <w:tblCellMar>
            <w:top w:w="0" w:type="dxa"/>
            <w:bottom w:w="0" w:type="dxa"/>
          </w:tblCellMar>
        </w:tblPrEx>
        <w:trPr>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rPr>
            </w:pPr>
            <w:r w:rsidRPr="00F6500D">
              <w:rPr>
                <w:snapToGrid w:val="0"/>
                <w:sz w:val="16"/>
                <w:szCs w:val="16"/>
              </w:rPr>
              <w:t>5</w:t>
            </w:r>
            <w:r w:rsidR="00572260" w:rsidRPr="00F6500D">
              <w:rPr>
                <w:snapToGrid w:val="0"/>
                <w:sz w:val="16"/>
                <w:szCs w:val="16"/>
              </w:rPr>
              <w:t xml:space="preserve"> </w:t>
            </w:r>
            <w:r w:rsidR="004D0079" w:rsidRPr="00F6500D">
              <w:rPr>
                <w:snapToGrid w:val="0"/>
                <w:sz w:val="16"/>
                <w:szCs w:val="16"/>
              </w:rPr>
              <w:t>Contre les personnes</w:t>
            </w:r>
            <w:r w:rsidRPr="00F6500D">
              <w:rPr>
                <w:snapToGrid w:val="0"/>
                <w:sz w:val="16"/>
                <w:szCs w:val="16"/>
              </w:rPr>
              <w:t xml:space="preserve"> (1998/1999)</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ind w:left="-57" w:right="-57"/>
              <w:jc w:val="center"/>
              <w:rPr>
                <w:snapToGrid w:val="0"/>
                <w:sz w:val="16"/>
                <w:szCs w:val="16"/>
                <w:lang w:val="fr-FR"/>
              </w:rPr>
            </w:pPr>
            <w:r w:rsidRPr="00F6500D">
              <w:rPr>
                <w:snapToGrid w:val="0"/>
                <w:sz w:val="16"/>
                <w:szCs w:val="16"/>
                <w:lang w:val="fr-FR"/>
              </w:rPr>
              <w:t>Oui</w:t>
            </w:r>
            <w:r w:rsidR="00F6500D" w:rsidRPr="00F6500D">
              <w:rPr>
                <w:snapToGrid w:val="0"/>
                <w:sz w:val="16"/>
                <w:szCs w:val="16"/>
                <w:lang w:val="fr-FR"/>
              </w:rPr>
              <w:br/>
            </w:r>
            <w:r w:rsidR="00D35BF6" w:rsidRPr="00F6500D">
              <w:rPr>
                <w:snapToGrid w:val="0"/>
                <w:sz w:val="16"/>
                <w:szCs w:val="16"/>
                <w:lang w:val="fr-FR"/>
              </w:rPr>
              <w:t>(2000/2002)</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r w:rsidR="00D35BF6" w:rsidRPr="00F6500D">
              <w:rPr>
                <w:snapToGrid w:val="0"/>
                <w:sz w:val="16"/>
                <w:szCs w:val="16"/>
                <w:lang w:val="fr-FR"/>
              </w:rPr>
              <w:t>,</w:t>
            </w:r>
            <w:r w:rsidR="00D35BF6" w:rsidRPr="00F6500D">
              <w:rPr>
                <w:b/>
                <w:snapToGrid w:val="0"/>
                <w:sz w:val="16"/>
                <w:szCs w:val="16"/>
                <w:vertAlign w:val="superscript"/>
              </w:rPr>
              <w:footnoteReference w:id="13"/>
            </w:r>
            <w:r w:rsidR="00D35BF6" w:rsidRPr="00F6500D">
              <w:rPr>
                <w:b/>
                <w:snapToGrid w:val="0"/>
                <w:sz w:val="16"/>
                <w:szCs w:val="16"/>
                <w:lang w:val="fr-FR"/>
              </w:rPr>
              <w:t xml:space="preserve"> </w:t>
            </w:r>
            <w:r w:rsidRPr="00F6500D">
              <w:rPr>
                <w:snapToGrid w:val="0"/>
                <w:sz w:val="16"/>
                <w:szCs w:val="16"/>
                <w:lang w:val="fr-FR"/>
              </w:rPr>
              <w:t>violences sexuelles sur enfant</w:t>
            </w:r>
            <w:r w:rsidR="00D35BF6" w:rsidRPr="00F6500D">
              <w:rPr>
                <w:snapToGrid w:val="0"/>
                <w:sz w:val="16"/>
                <w:szCs w:val="16"/>
                <w:lang w:val="fr-FR"/>
              </w:rPr>
              <w:t xml:space="preserve"> (1994)</w:t>
            </w:r>
          </w:p>
        </w:tc>
        <w:tc>
          <w:tcPr>
            <w:tcW w:w="1440" w:type="dxa"/>
            <w:shd w:val="clear" w:color="auto" w:fill="auto"/>
          </w:tcPr>
          <w:p w:rsidR="00AB4C28"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p>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(1996)</w:t>
            </w:r>
          </w:p>
        </w:tc>
        <w:tc>
          <w:tcPr>
            <w:tcW w:w="900" w:type="dxa"/>
            <w:shd w:val="clear" w:color="auto" w:fill="auto"/>
          </w:tcPr>
          <w:p w:rsidR="00AB4C28"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p>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(2000)</w:t>
            </w:r>
          </w:p>
        </w:tc>
        <w:tc>
          <w:tcPr>
            <w:tcW w:w="1620" w:type="dxa"/>
            <w:shd w:val="clear" w:color="auto" w:fill="auto"/>
          </w:tcPr>
          <w:p w:rsidR="00AB4C28"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p>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(2004)</w:t>
            </w:r>
          </w:p>
        </w:tc>
        <w:tc>
          <w:tcPr>
            <w:tcW w:w="162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r w:rsidR="00D35BF6" w:rsidRPr="00F6500D">
              <w:rPr>
                <w:snapToGrid w:val="0"/>
                <w:sz w:val="16"/>
                <w:szCs w:val="16"/>
                <w:lang w:val="fr-FR"/>
              </w:rPr>
              <w:t xml:space="preserve"> (1995) </w:t>
            </w:r>
            <w:r w:rsidR="00D35BF6" w:rsidRPr="00F6500D">
              <w:rPr>
                <w:snapToGrid w:val="0"/>
                <w:sz w:val="16"/>
                <w:szCs w:val="16"/>
                <w:lang w:val="fr-FR"/>
              </w:rPr>
              <w:br/>
            </w:r>
            <w:r w:rsidR="00E8001D" w:rsidRPr="00F6500D">
              <w:rPr>
                <w:snapToGrid w:val="0"/>
                <w:sz w:val="16"/>
                <w:szCs w:val="16"/>
                <w:lang w:val="fr-FR"/>
              </w:rPr>
              <w:t>Autres</w:t>
            </w:r>
            <w:r w:rsidR="00D35BF6" w:rsidRPr="00F6500D">
              <w:rPr>
                <w:snapToGrid w:val="0"/>
                <w:sz w:val="16"/>
                <w:szCs w:val="16"/>
                <w:lang w:val="fr-FR"/>
              </w:rPr>
              <w:t xml:space="preserve"> aspects (2003)</w:t>
            </w:r>
          </w:p>
        </w:tc>
        <w:tc>
          <w:tcPr>
            <w:tcW w:w="1194" w:type="dxa"/>
            <w:shd w:val="clear" w:color="auto" w:fill="auto"/>
          </w:tcPr>
          <w:p w:rsidR="00D35BF6" w:rsidRPr="00F6500D" w:rsidRDefault="00675399" w:rsidP="00AB4C28">
            <w:pPr>
              <w:tabs>
                <w:tab w:val="left" w:pos="567"/>
                <w:tab w:val="left" w:pos="1134"/>
                <w:tab w:val="left" w:pos="1701"/>
                <w:tab w:val="left" w:pos="2268"/>
                <w:tab w:val="left" w:pos="2835"/>
              </w:tabs>
              <w:spacing w:after="0"/>
              <w:ind w:left="-57" w:right="-57"/>
              <w:jc w:val="center"/>
              <w:rPr>
                <w:snapToGrid w:val="0"/>
                <w:sz w:val="16"/>
                <w:szCs w:val="16"/>
                <w:lang w:val="fr-FR"/>
              </w:rPr>
            </w:pPr>
            <w:r w:rsidRPr="00F6500D">
              <w:rPr>
                <w:snapToGrid w:val="0"/>
                <w:sz w:val="16"/>
                <w:szCs w:val="16"/>
                <w:lang w:val="fr-FR"/>
              </w:rPr>
              <w:t>MGF</w:t>
            </w:r>
            <w:r w:rsidR="00D35BF6" w:rsidRPr="00F6500D">
              <w:rPr>
                <w:snapToGrid w:val="0"/>
                <w:sz w:val="16"/>
                <w:szCs w:val="16"/>
                <w:lang w:val="fr-FR"/>
              </w:rPr>
              <w:t xml:space="preserve"> (1995) </w:t>
            </w:r>
            <w:r w:rsidR="00E8001D" w:rsidRPr="00F6500D">
              <w:rPr>
                <w:snapToGrid w:val="0"/>
                <w:sz w:val="16"/>
                <w:szCs w:val="16"/>
                <w:lang w:val="fr-FR"/>
              </w:rPr>
              <w:t>Harcèlement</w:t>
            </w:r>
            <w:r w:rsidR="00F6500D" w:rsidRPr="00F6500D">
              <w:rPr>
                <w:snapToGrid w:val="0"/>
                <w:sz w:val="16"/>
                <w:szCs w:val="16"/>
                <w:lang w:val="fr-FR"/>
              </w:rPr>
              <w:t xml:space="preserve"> (1995/1999/</w:t>
            </w:r>
            <w:r w:rsidR="00D35BF6" w:rsidRPr="00F6500D">
              <w:rPr>
                <w:snapToGrid w:val="0"/>
                <w:sz w:val="16"/>
                <w:szCs w:val="16"/>
                <w:lang w:val="fr-FR"/>
              </w:rPr>
              <w:t>2004)</w:t>
            </w:r>
          </w:p>
        </w:tc>
        <w:tc>
          <w:tcPr>
            <w:tcW w:w="1157"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r w:rsidR="00E8001D" w:rsidRPr="00F6500D">
              <w:rPr>
                <w:snapToGrid w:val="0"/>
                <w:sz w:val="16"/>
                <w:szCs w:val="16"/>
                <w:lang w:val="fr-FR"/>
              </w:rPr>
              <w:t xml:space="preserve"> Harcèlement</w:t>
            </w:r>
            <w:r w:rsidR="00F6500D" w:rsidRPr="00F6500D">
              <w:rPr>
                <w:snapToGrid w:val="0"/>
                <w:sz w:val="16"/>
                <w:szCs w:val="16"/>
                <w:lang w:val="fr-FR"/>
              </w:rPr>
              <w:t xml:space="preserve"> </w:t>
            </w:r>
            <w:r w:rsidR="00D35BF6" w:rsidRPr="00F6500D">
              <w:rPr>
                <w:snapToGrid w:val="0"/>
                <w:sz w:val="16"/>
                <w:szCs w:val="16"/>
                <w:lang w:val="fr-FR"/>
              </w:rPr>
              <w:t>(1995)</w:t>
            </w:r>
          </w:p>
        </w:tc>
        <w:tc>
          <w:tcPr>
            <w:tcW w:w="1251"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MGF</w:t>
            </w:r>
            <w:r w:rsidR="00D35BF6" w:rsidRPr="00F6500D">
              <w:rPr>
                <w:snapToGrid w:val="0"/>
                <w:sz w:val="16"/>
                <w:szCs w:val="16"/>
                <w:lang w:val="fr-FR"/>
              </w:rPr>
              <w:t xml:space="preserve"> </w:t>
            </w:r>
            <w:r w:rsidR="00D35BF6" w:rsidRPr="00F6500D">
              <w:rPr>
                <w:snapToGrid w:val="0"/>
                <w:sz w:val="16"/>
                <w:szCs w:val="16"/>
                <w:lang w:val="fr-FR"/>
              </w:rPr>
              <w:br/>
              <w:t>(1995)</w:t>
            </w:r>
          </w:p>
        </w:tc>
      </w:tr>
      <w:tr w:rsidR="00D35BF6" w:rsidRPr="00F6500D" w:rsidTr="00AB4C28">
        <w:tblPrEx>
          <w:tblCellMar>
            <w:top w:w="0" w:type="dxa"/>
            <w:bottom w:w="0" w:type="dxa"/>
          </w:tblCellMar>
        </w:tblPrEx>
        <w:trPr>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lang w:val="fr-FR"/>
              </w:rPr>
            </w:pPr>
            <w:r w:rsidRPr="00F6500D">
              <w:rPr>
                <w:snapToGrid w:val="0"/>
                <w:sz w:val="16"/>
                <w:szCs w:val="16"/>
                <w:lang w:val="fr-FR"/>
              </w:rPr>
              <w:t>6</w:t>
            </w:r>
            <w:r w:rsidR="00572260" w:rsidRPr="00F6500D">
              <w:rPr>
                <w:snapToGrid w:val="0"/>
                <w:sz w:val="16"/>
                <w:szCs w:val="16"/>
                <w:lang w:val="fr-FR"/>
              </w:rPr>
              <w:t xml:space="preserve"> </w:t>
            </w:r>
            <w:r w:rsidR="004D0079" w:rsidRPr="00F6500D">
              <w:rPr>
                <w:snapToGrid w:val="0"/>
                <w:sz w:val="16"/>
                <w:szCs w:val="16"/>
                <w:lang w:val="fr-FR"/>
              </w:rPr>
              <w:t>Trafic de drogue</w:t>
            </w:r>
            <w:r w:rsidRPr="00F6500D">
              <w:rPr>
                <w:snapToGrid w:val="0"/>
                <w:sz w:val="16"/>
                <w:szCs w:val="16"/>
                <w:lang w:val="fr-FR"/>
              </w:rPr>
              <w:t xml:space="preserve"> (1998)</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(2005)</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Utilisation des enfants</w:t>
            </w:r>
            <w:r w:rsidR="00D35BF6" w:rsidRPr="00F6500D">
              <w:rPr>
                <w:snapToGrid w:val="0"/>
                <w:sz w:val="16"/>
                <w:szCs w:val="16"/>
                <w:lang w:val="fr-FR"/>
              </w:rPr>
              <w:t xml:space="preserve"> (1998)</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(1997)</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No</w:t>
            </w:r>
            <w:r w:rsidR="00E8001D" w:rsidRPr="00F6500D">
              <w:rPr>
                <w:snapToGrid w:val="0"/>
                <w:sz w:val="16"/>
                <w:szCs w:val="16"/>
                <w:lang w:val="fr-FR"/>
              </w:rPr>
              <w:t>n</w:t>
            </w:r>
          </w:p>
        </w:tc>
        <w:tc>
          <w:tcPr>
            <w:tcW w:w="162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No</w:t>
            </w:r>
            <w:r w:rsidR="00E8001D" w:rsidRPr="00F6500D">
              <w:rPr>
                <w:snapToGrid w:val="0"/>
                <w:sz w:val="16"/>
                <w:szCs w:val="16"/>
                <w:lang w:val="fr-FR"/>
              </w:rPr>
              <w:t>n</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r>
            <w:r w:rsidR="00D35BF6" w:rsidRPr="00F6500D">
              <w:rPr>
                <w:snapToGrid w:val="0"/>
                <w:sz w:val="16"/>
                <w:szCs w:val="16"/>
              </w:rPr>
              <w:t>(2005)</w:t>
            </w:r>
          </w:p>
        </w:tc>
        <w:tc>
          <w:tcPr>
            <w:tcW w:w="1194"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br/>
              <w:t>(2001)</w:t>
            </w:r>
          </w:p>
        </w:tc>
        <w:tc>
          <w:tcPr>
            <w:tcW w:w="1157"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(2005)</w:t>
            </w:r>
          </w:p>
        </w:tc>
        <w:tc>
          <w:tcPr>
            <w:tcW w:w="1251"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r>
      <w:tr w:rsidR="00D35BF6" w:rsidRPr="00F6500D" w:rsidTr="00AB4C28">
        <w:tblPrEx>
          <w:tblCellMar>
            <w:top w:w="0" w:type="dxa"/>
            <w:bottom w:w="0" w:type="dxa"/>
          </w:tblCellMar>
        </w:tblPrEx>
        <w:trPr>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rPr>
            </w:pPr>
            <w:r w:rsidRPr="00F6500D">
              <w:rPr>
                <w:snapToGrid w:val="0"/>
                <w:sz w:val="16"/>
                <w:szCs w:val="16"/>
              </w:rPr>
              <w:t>7</w:t>
            </w:r>
            <w:r w:rsidR="00572260" w:rsidRPr="00F6500D">
              <w:rPr>
                <w:snapToGrid w:val="0"/>
                <w:sz w:val="16"/>
                <w:szCs w:val="16"/>
              </w:rPr>
              <w:t xml:space="preserve"> </w:t>
            </w:r>
            <w:r w:rsidRPr="00F6500D">
              <w:rPr>
                <w:snapToGrid w:val="0"/>
                <w:sz w:val="16"/>
                <w:szCs w:val="16"/>
              </w:rPr>
              <w:t xml:space="preserve">Justice </w:t>
            </w:r>
            <w:r w:rsidRPr="00F6500D">
              <w:rPr>
                <w:snapToGrid w:val="0"/>
                <w:sz w:val="16"/>
                <w:szCs w:val="16"/>
              </w:rPr>
              <w:br/>
              <w:t>(1998)</w:t>
            </w:r>
          </w:p>
        </w:tc>
        <w:tc>
          <w:tcPr>
            <w:tcW w:w="126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4D0079" w:rsidRPr="00F6500D">
              <w:rPr>
                <w:snapToGrid w:val="0"/>
                <w:sz w:val="16"/>
                <w:szCs w:val="16"/>
              </w:rPr>
              <w:t>n</w:t>
            </w:r>
          </w:p>
        </w:tc>
        <w:tc>
          <w:tcPr>
            <w:tcW w:w="144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144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675399" w:rsidRPr="00F6500D">
              <w:rPr>
                <w:snapToGrid w:val="0"/>
                <w:sz w:val="16"/>
                <w:szCs w:val="16"/>
              </w:rPr>
              <w:t>n</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62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62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194"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157"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(2005)</w:t>
            </w:r>
          </w:p>
        </w:tc>
        <w:tc>
          <w:tcPr>
            <w:tcW w:w="1251"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r>
      <w:tr w:rsidR="00D35BF6" w:rsidRPr="00F6500D" w:rsidTr="00AB4C28">
        <w:tblPrEx>
          <w:tblCellMar>
            <w:top w:w="0" w:type="dxa"/>
            <w:bottom w:w="0" w:type="dxa"/>
          </w:tblCellMar>
        </w:tblPrEx>
        <w:trPr>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ind w:right="-108"/>
              <w:rPr>
                <w:snapToGrid w:val="0"/>
                <w:sz w:val="16"/>
                <w:szCs w:val="16"/>
              </w:rPr>
            </w:pPr>
            <w:r w:rsidRPr="00F6500D">
              <w:rPr>
                <w:snapToGrid w:val="0"/>
                <w:sz w:val="16"/>
                <w:szCs w:val="16"/>
              </w:rPr>
              <w:t>8</w:t>
            </w:r>
            <w:r w:rsidR="00572260" w:rsidRPr="00F6500D">
              <w:rPr>
                <w:snapToGrid w:val="0"/>
                <w:sz w:val="16"/>
                <w:szCs w:val="16"/>
              </w:rPr>
              <w:t xml:space="preserve"> </w:t>
            </w:r>
            <w:r w:rsidR="004D0079" w:rsidRPr="00F6500D">
              <w:rPr>
                <w:snapToGrid w:val="0"/>
                <w:sz w:val="16"/>
                <w:szCs w:val="16"/>
              </w:rPr>
              <w:t>Contamination de marchandises</w:t>
            </w:r>
            <w:r w:rsidRPr="00F6500D">
              <w:rPr>
                <w:snapToGrid w:val="0"/>
                <w:sz w:val="16"/>
                <w:szCs w:val="16"/>
              </w:rPr>
              <w:t xml:space="preserve"> </w:t>
            </w:r>
            <w:r w:rsidRPr="00F6500D">
              <w:rPr>
                <w:snapToGrid w:val="0"/>
                <w:sz w:val="16"/>
                <w:szCs w:val="16"/>
              </w:rPr>
              <w:br/>
              <w:t>(1998)</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(2004)</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(1997)</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(1998)</w:t>
            </w:r>
          </w:p>
        </w:tc>
        <w:tc>
          <w:tcPr>
            <w:tcW w:w="90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F6500D" w:rsidRPr="00F6500D">
              <w:rPr>
                <w:snapToGrid w:val="0"/>
                <w:sz w:val="16"/>
                <w:szCs w:val="16"/>
                <w:lang w:val="fr-FR"/>
              </w:rPr>
              <w:br/>
            </w:r>
            <w:r w:rsidR="00D35BF6" w:rsidRPr="00F6500D">
              <w:rPr>
                <w:snapToGrid w:val="0"/>
                <w:sz w:val="16"/>
                <w:szCs w:val="16"/>
                <w:lang w:val="fr-FR"/>
              </w:rPr>
              <w:t>(1997)</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(2004)</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br/>
              <w:t>(1999)</w:t>
            </w:r>
          </w:p>
        </w:tc>
        <w:tc>
          <w:tcPr>
            <w:tcW w:w="1194"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(1999)</w:t>
            </w:r>
          </w:p>
        </w:tc>
        <w:tc>
          <w:tcPr>
            <w:tcW w:w="1157"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(2000)</w:t>
            </w:r>
          </w:p>
        </w:tc>
        <w:tc>
          <w:tcPr>
            <w:tcW w:w="1251"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br/>
              <w:t>(1999)</w:t>
            </w:r>
          </w:p>
        </w:tc>
      </w:tr>
      <w:tr w:rsidR="00D35BF6" w:rsidRPr="00F6500D" w:rsidTr="00AB4C28">
        <w:tblPrEx>
          <w:tblCellMar>
            <w:top w:w="0" w:type="dxa"/>
            <w:bottom w:w="0" w:type="dxa"/>
          </w:tblCellMar>
        </w:tblPrEx>
        <w:trPr>
          <w:jc w:val="center"/>
        </w:trPr>
        <w:tc>
          <w:tcPr>
            <w:tcW w:w="1686" w:type="dxa"/>
            <w:shd w:val="clear" w:color="auto" w:fill="auto"/>
          </w:tcPr>
          <w:p w:rsidR="00D35BF6" w:rsidRPr="00F6500D" w:rsidRDefault="00D35BF6" w:rsidP="005D7B68">
            <w:pPr>
              <w:tabs>
                <w:tab w:val="left" w:pos="567"/>
                <w:tab w:val="left" w:pos="1134"/>
                <w:tab w:val="left" w:pos="1701"/>
                <w:tab w:val="left" w:pos="2268"/>
                <w:tab w:val="left" w:pos="2835"/>
              </w:tabs>
              <w:spacing w:after="0"/>
              <w:rPr>
                <w:snapToGrid w:val="0"/>
                <w:sz w:val="16"/>
                <w:szCs w:val="16"/>
                <w:lang w:val="fr-FR"/>
              </w:rPr>
            </w:pPr>
            <w:r w:rsidRPr="00F6500D">
              <w:rPr>
                <w:snapToGrid w:val="0"/>
                <w:sz w:val="16"/>
                <w:szCs w:val="16"/>
                <w:lang w:val="fr-FR"/>
              </w:rPr>
              <w:t>9</w:t>
            </w:r>
            <w:r w:rsidR="00572260" w:rsidRPr="00F6500D">
              <w:rPr>
                <w:snapToGrid w:val="0"/>
                <w:sz w:val="16"/>
                <w:szCs w:val="16"/>
                <w:lang w:val="fr-FR"/>
              </w:rPr>
              <w:t xml:space="preserve"> </w:t>
            </w:r>
            <w:r w:rsidR="004D0079" w:rsidRPr="00F6500D">
              <w:rPr>
                <w:snapToGrid w:val="0"/>
                <w:sz w:val="16"/>
                <w:szCs w:val="16"/>
                <w:lang w:val="fr-FR"/>
              </w:rPr>
              <w:t>Esclavage et servitude sexuels</w:t>
            </w:r>
            <w:r w:rsidRPr="00F6500D">
              <w:rPr>
                <w:snapToGrid w:val="0"/>
                <w:sz w:val="16"/>
                <w:szCs w:val="16"/>
                <w:lang w:val="fr-FR"/>
              </w:rPr>
              <w:t xml:space="preserve"> (1998)</w:t>
            </w:r>
          </w:p>
        </w:tc>
        <w:tc>
          <w:tcPr>
            <w:tcW w:w="1260" w:type="dxa"/>
            <w:shd w:val="clear" w:color="auto" w:fill="auto"/>
          </w:tcPr>
          <w:p w:rsidR="00D35BF6" w:rsidRPr="00F6500D" w:rsidRDefault="004D007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(1999)</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(2001)</w:t>
            </w:r>
          </w:p>
        </w:tc>
        <w:tc>
          <w:tcPr>
            <w:tcW w:w="1440" w:type="dxa"/>
            <w:shd w:val="clear" w:color="auto" w:fill="auto"/>
          </w:tcPr>
          <w:p w:rsidR="00D35BF6" w:rsidRPr="00F6500D" w:rsidRDefault="00675399"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r>
            <w:r w:rsidR="00D35BF6" w:rsidRPr="00F6500D">
              <w:rPr>
                <w:snapToGrid w:val="0"/>
                <w:sz w:val="16"/>
                <w:szCs w:val="16"/>
              </w:rPr>
              <w:t>(2004)</w:t>
            </w:r>
          </w:p>
        </w:tc>
        <w:tc>
          <w:tcPr>
            <w:tcW w:w="900"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No</w:t>
            </w:r>
            <w:r w:rsidR="00E8001D" w:rsidRPr="00F6500D">
              <w:rPr>
                <w:snapToGrid w:val="0"/>
                <w:sz w:val="16"/>
                <w:szCs w:val="16"/>
              </w:rPr>
              <w:t>n</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(2004)</w:t>
            </w:r>
          </w:p>
        </w:tc>
        <w:tc>
          <w:tcPr>
            <w:tcW w:w="1620"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Oui</w:t>
            </w:r>
            <w:r w:rsidR="00D35BF6" w:rsidRPr="00F6500D">
              <w:rPr>
                <w:snapToGrid w:val="0"/>
                <w:sz w:val="16"/>
                <w:szCs w:val="16"/>
              </w:rPr>
              <w:t xml:space="preserve"> </w:t>
            </w:r>
            <w:r w:rsidR="00D35BF6" w:rsidRPr="00F6500D">
              <w:rPr>
                <w:snapToGrid w:val="0"/>
                <w:sz w:val="16"/>
                <w:szCs w:val="16"/>
              </w:rPr>
              <w:br/>
              <w:t>(2000)</w:t>
            </w:r>
          </w:p>
        </w:tc>
        <w:tc>
          <w:tcPr>
            <w:tcW w:w="1194" w:type="dxa"/>
            <w:shd w:val="clear" w:color="auto" w:fill="auto"/>
          </w:tcPr>
          <w:p w:rsidR="00D35BF6" w:rsidRPr="00F6500D" w:rsidRDefault="00D35BF6" w:rsidP="00AB4C28">
            <w:pPr>
              <w:tabs>
                <w:tab w:val="left" w:pos="567"/>
                <w:tab w:val="left" w:pos="1134"/>
                <w:tab w:val="left" w:pos="1701"/>
                <w:tab w:val="left" w:pos="2268"/>
                <w:tab w:val="left" w:pos="2835"/>
              </w:tabs>
              <w:spacing w:after="0"/>
              <w:jc w:val="center"/>
              <w:rPr>
                <w:snapToGrid w:val="0"/>
                <w:sz w:val="16"/>
                <w:szCs w:val="16"/>
              </w:rPr>
            </w:pPr>
            <w:r w:rsidRPr="00F6500D">
              <w:rPr>
                <w:snapToGrid w:val="0"/>
                <w:sz w:val="16"/>
                <w:szCs w:val="16"/>
              </w:rPr>
              <w:t>N</w:t>
            </w:r>
            <w:r w:rsidR="00E8001D" w:rsidRPr="00F6500D">
              <w:rPr>
                <w:snapToGrid w:val="0"/>
                <w:sz w:val="16"/>
                <w:szCs w:val="16"/>
              </w:rPr>
              <w:t>on</w:t>
            </w:r>
          </w:p>
        </w:tc>
        <w:tc>
          <w:tcPr>
            <w:tcW w:w="1157"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F6500D" w:rsidRPr="00F6500D">
              <w:rPr>
                <w:snapToGrid w:val="0"/>
                <w:sz w:val="16"/>
                <w:szCs w:val="16"/>
                <w:lang w:val="fr-FR"/>
              </w:rPr>
              <w:br/>
            </w:r>
            <w:r w:rsidR="00D35BF6" w:rsidRPr="00F6500D">
              <w:rPr>
                <w:snapToGrid w:val="0"/>
                <w:sz w:val="16"/>
                <w:szCs w:val="16"/>
                <w:lang w:val="fr-FR"/>
              </w:rPr>
              <w:t>(2000)</w:t>
            </w:r>
          </w:p>
        </w:tc>
        <w:tc>
          <w:tcPr>
            <w:tcW w:w="1251" w:type="dxa"/>
            <w:shd w:val="clear" w:color="auto" w:fill="auto"/>
          </w:tcPr>
          <w:p w:rsidR="00D35BF6" w:rsidRPr="00F6500D" w:rsidRDefault="00E8001D" w:rsidP="00AB4C28">
            <w:pPr>
              <w:tabs>
                <w:tab w:val="left" w:pos="567"/>
                <w:tab w:val="left" w:pos="1134"/>
                <w:tab w:val="left" w:pos="1701"/>
                <w:tab w:val="left" w:pos="2268"/>
                <w:tab w:val="left" w:pos="2835"/>
              </w:tabs>
              <w:spacing w:after="0"/>
              <w:jc w:val="center"/>
              <w:rPr>
                <w:snapToGrid w:val="0"/>
                <w:sz w:val="16"/>
                <w:szCs w:val="16"/>
                <w:lang w:val="fr-FR"/>
              </w:rPr>
            </w:pPr>
            <w:r w:rsidRPr="00F6500D">
              <w:rPr>
                <w:snapToGrid w:val="0"/>
                <w:sz w:val="16"/>
                <w:szCs w:val="16"/>
                <w:lang w:val="fr-FR"/>
              </w:rPr>
              <w:t>Oui</w:t>
            </w:r>
            <w:r w:rsidR="00D35BF6" w:rsidRPr="00F6500D">
              <w:rPr>
                <w:snapToGrid w:val="0"/>
                <w:sz w:val="16"/>
                <w:szCs w:val="16"/>
                <w:lang w:val="fr-FR"/>
              </w:rPr>
              <w:t xml:space="preserve"> </w:t>
            </w:r>
            <w:r w:rsidR="00D35BF6" w:rsidRPr="00F6500D">
              <w:rPr>
                <w:snapToGrid w:val="0"/>
                <w:sz w:val="16"/>
                <w:szCs w:val="16"/>
                <w:lang w:val="fr-FR"/>
              </w:rPr>
              <w:br/>
              <w:t>(2001)</w:t>
            </w:r>
          </w:p>
        </w:tc>
      </w:tr>
    </w:tbl>
    <w:p w:rsidR="00B14847" w:rsidRDefault="00B14847" w:rsidP="005D7B68">
      <w:pPr>
        <w:tabs>
          <w:tab w:val="left" w:pos="375"/>
          <w:tab w:val="left" w:pos="567"/>
          <w:tab w:val="left" w:pos="1134"/>
          <w:tab w:val="left" w:pos="1701"/>
          <w:tab w:val="left" w:pos="2268"/>
          <w:tab w:val="left" w:pos="2835"/>
        </w:tabs>
        <w:jc w:val="center"/>
        <w:rPr>
          <w:b/>
          <w:bCs/>
          <w:lang w:val="fr-FR"/>
        </w:rPr>
        <w:sectPr w:rsidR="00B14847" w:rsidSect="00F6500D">
          <w:headerReference w:type="first" r:id="rId22"/>
          <w:footerReference w:type="first" r:id="rId23"/>
          <w:pgSz w:w="16838" w:h="11906" w:orient="landscape" w:code="9"/>
          <w:pgMar w:top="1701" w:right="1701" w:bottom="1701" w:left="1701" w:header="851" w:footer="1134" w:gutter="0"/>
          <w:cols w:space="708"/>
          <w:titlePg/>
          <w:docGrid w:linePitch="360"/>
        </w:sectPr>
      </w:pPr>
    </w:p>
    <w:p w:rsidR="0092483B" w:rsidRDefault="0092483B" w:rsidP="005D7B68">
      <w:pPr>
        <w:tabs>
          <w:tab w:val="left" w:pos="375"/>
          <w:tab w:val="left" w:pos="567"/>
          <w:tab w:val="left" w:pos="1134"/>
          <w:tab w:val="left" w:pos="1701"/>
          <w:tab w:val="left" w:pos="2268"/>
          <w:tab w:val="left" w:pos="2835"/>
        </w:tabs>
        <w:jc w:val="center"/>
        <w:rPr>
          <w:b/>
          <w:bCs/>
          <w:lang w:val="fr-FR"/>
        </w:rPr>
      </w:pPr>
      <w:r>
        <w:rPr>
          <w:b/>
          <w:bCs/>
          <w:lang w:val="fr-FR"/>
        </w:rPr>
        <w:t>ARTICLE 5</w:t>
      </w:r>
    </w:p>
    <w:p w:rsidR="0092483B" w:rsidRDefault="0092483B" w:rsidP="005D7B68">
      <w:pPr>
        <w:tabs>
          <w:tab w:val="left" w:pos="375"/>
          <w:tab w:val="left" w:pos="567"/>
          <w:tab w:val="left" w:pos="1134"/>
          <w:tab w:val="left" w:pos="1701"/>
          <w:tab w:val="left" w:pos="2268"/>
          <w:tab w:val="left" w:pos="2835"/>
        </w:tabs>
        <w:rPr>
          <w:b/>
          <w:bCs/>
          <w:lang w:val="fr-FR"/>
        </w:rPr>
      </w:pPr>
      <w:r>
        <w:rPr>
          <w:b/>
          <w:bCs/>
          <w:lang w:val="fr-FR"/>
        </w:rPr>
        <w:t>Question 15</w:t>
      </w:r>
    </w:p>
    <w:p w:rsidR="0092483B" w:rsidRPr="0092483B" w:rsidRDefault="0092483B" w:rsidP="005D7B68">
      <w:pPr>
        <w:tabs>
          <w:tab w:val="left" w:pos="567"/>
          <w:tab w:val="left" w:pos="1134"/>
          <w:tab w:val="left" w:pos="1701"/>
          <w:tab w:val="left" w:pos="2268"/>
          <w:tab w:val="left" w:pos="2835"/>
        </w:tabs>
        <w:rPr>
          <w:b/>
          <w:bCs/>
          <w:lang w:val="fr-FR"/>
        </w:rPr>
      </w:pPr>
      <w:r>
        <w:rPr>
          <w:b/>
          <w:bCs/>
          <w:lang w:val="fr-FR"/>
        </w:rPr>
        <w:tab/>
      </w:r>
      <w:r w:rsidRPr="0092483B">
        <w:rPr>
          <w:b/>
          <w:bCs/>
          <w:lang w:val="fr-FR"/>
        </w:rPr>
        <w:t>Indiquer si l’article VII de la loi de 1988 sur les infractions pénales (torture), qui habilite les tribunaux à poursuivre toute personne soupçonnée d’avoir commis des actes de torture à l’étranger si cette personne se trouve sur le territoire australien, a déjà été appliqué dans l’État partie.</w:t>
      </w:r>
    </w:p>
    <w:p w:rsidR="006E76BC" w:rsidRDefault="00C44B6D" w:rsidP="005D7B68">
      <w:pPr>
        <w:tabs>
          <w:tab w:val="left" w:pos="375"/>
          <w:tab w:val="left" w:pos="567"/>
          <w:tab w:val="left" w:pos="1134"/>
          <w:tab w:val="left" w:pos="1701"/>
          <w:tab w:val="left" w:pos="2268"/>
          <w:tab w:val="left" w:pos="2835"/>
        </w:tabs>
        <w:rPr>
          <w:lang w:val="fr-FR"/>
        </w:rPr>
      </w:pPr>
      <w:r>
        <w:rPr>
          <w:lang w:val="fr-FR"/>
        </w:rPr>
        <w:t>365.</w:t>
      </w:r>
      <w:r>
        <w:rPr>
          <w:lang w:val="fr-FR"/>
        </w:rPr>
        <w:tab/>
      </w:r>
      <w:r w:rsidR="006E76BC">
        <w:rPr>
          <w:lang w:val="fr-FR"/>
        </w:rPr>
        <w:t>Le Directeur du Parquet n’a jamais engagé de poursuites en application de la loi sur les infractions pénales (torture).</w:t>
      </w:r>
    </w:p>
    <w:p w:rsidR="006E76BC" w:rsidRDefault="006E76BC" w:rsidP="005D7B68">
      <w:pPr>
        <w:tabs>
          <w:tab w:val="left" w:pos="567"/>
          <w:tab w:val="left" w:pos="1134"/>
          <w:tab w:val="left" w:pos="1701"/>
          <w:tab w:val="left" w:pos="2268"/>
          <w:tab w:val="left" w:pos="2835"/>
        </w:tabs>
        <w:rPr>
          <w:b/>
          <w:bCs/>
          <w:lang w:val="fr-FR"/>
        </w:rPr>
      </w:pPr>
      <w:r>
        <w:rPr>
          <w:b/>
          <w:bCs/>
          <w:lang w:val="fr-FR"/>
        </w:rPr>
        <w:t>Question 16</w:t>
      </w:r>
    </w:p>
    <w:p w:rsidR="006E76BC" w:rsidRPr="006E76BC" w:rsidRDefault="006E76BC" w:rsidP="005D7B68">
      <w:pPr>
        <w:tabs>
          <w:tab w:val="left" w:pos="567"/>
          <w:tab w:val="left" w:pos="1134"/>
          <w:tab w:val="left" w:pos="1701"/>
          <w:tab w:val="left" w:pos="2268"/>
          <w:tab w:val="left" w:pos="2835"/>
        </w:tabs>
        <w:rPr>
          <w:b/>
          <w:bCs/>
          <w:lang w:val="fr-FR"/>
        </w:rPr>
      </w:pPr>
      <w:r>
        <w:rPr>
          <w:b/>
          <w:bCs/>
          <w:lang w:val="fr-FR"/>
        </w:rPr>
        <w:tab/>
      </w:r>
      <w:r w:rsidRPr="006E76BC">
        <w:rPr>
          <w:b/>
          <w:bCs/>
          <w:lang w:val="fr-FR"/>
        </w:rPr>
        <w:t xml:space="preserve">Préciser si l’État partie considère que la Convention s’applique aux personnes placées sous sa juridiction lorsque des soldats ou des agents de la police australiens sont en poste à l’étranger. </w:t>
      </w:r>
    </w:p>
    <w:p w:rsidR="006E76BC" w:rsidRDefault="00D05947" w:rsidP="005D7B68">
      <w:pPr>
        <w:tabs>
          <w:tab w:val="left" w:pos="567"/>
          <w:tab w:val="left" w:pos="1134"/>
          <w:tab w:val="left" w:pos="1701"/>
          <w:tab w:val="left" w:pos="2268"/>
          <w:tab w:val="left" w:pos="2835"/>
        </w:tabs>
        <w:rPr>
          <w:lang w:val="fr-FR"/>
        </w:rPr>
      </w:pPr>
      <w:r>
        <w:rPr>
          <w:lang w:val="fr-FR"/>
        </w:rPr>
        <w:t>36</w:t>
      </w:r>
      <w:r w:rsidR="00C44B6D">
        <w:rPr>
          <w:lang w:val="fr-FR"/>
        </w:rPr>
        <w:t>6</w:t>
      </w:r>
      <w:r>
        <w:rPr>
          <w:lang w:val="fr-FR"/>
        </w:rPr>
        <w:t>.</w:t>
      </w:r>
      <w:r>
        <w:rPr>
          <w:lang w:val="fr-FR"/>
        </w:rPr>
        <w:tab/>
      </w:r>
      <w:r w:rsidR="006E76BC">
        <w:rPr>
          <w:lang w:val="fr-FR"/>
        </w:rPr>
        <w:t xml:space="preserve">L’Australie a pleinement respecté les obligations qui </w:t>
      </w:r>
      <w:r w:rsidR="00D85A28">
        <w:rPr>
          <w:lang w:val="fr-FR"/>
        </w:rPr>
        <w:t xml:space="preserve">lui </w:t>
      </w:r>
      <w:r w:rsidR="006E76BC">
        <w:rPr>
          <w:lang w:val="fr-FR"/>
        </w:rPr>
        <w:t>sont imposées par l’article 5 de la Convention.</w:t>
      </w:r>
    </w:p>
    <w:p w:rsidR="006E76BC" w:rsidRDefault="00C44B6D" w:rsidP="005D7B68">
      <w:pPr>
        <w:tabs>
          <w:tab w:val="left" w:pos="567"/>
          <w:tab w:val="left" w:pos="1134"/>
          <w:tab w:val="left" w:pos="1701"/>
          <w:tab w:val="left" w:pos="2268"/>
          <w:tab w:val="left" w:pos="2835"/>
        </w:tabs>
        <w:rPr>
          <w:lang w:val="fr-FR"/>
        </w:rPr>
      </w:pPr>
      <w:r>
        <w:rPr>
          <w:lang w:val="fr-FR"/>
        </w:rPr>
        <w:t>367</w:t>
      </w:r>
      <w:r w:rsidR="00D05947">
        <w:rPr>
          <w:lang w:val="fr-FR"/>
        </w:rPr>
        <w:t>.</w:t>
      </w:r>
      <w:r w:rsidR="00D05947">
        <w:rPr>
          <w:lang w:val="fr-FR"/>
        </w:rPr>
        <w:tab/>
      </w:r>
      <w:r w:rsidR="00533689">
        <w:rPr>
          <w:lang w:val="fr-FR"/>
        </w:rPr>
        <w:t>Les actes de torture sont des délits sur tout le territoire australien en vertu du droit pénal australien.</w:t>
      </w:r>
    </w:p>
    <w:p w:rsidR="00533689" w:rsidRDefault="00C44B6D" w:rsidP="005D7B68">
      <w:pPr>
        <w:tabs>
          <w:tab w:val="left" w:pos="567"/>
          <w:tab w:val="left" w:pos="1134"/>
          <w:tab w:val="left" w:pos="1701"/>
          <w:tab w:val="left" w:pos="2268"/>
          <w:tab w:val="left" w:pos="2835"/>
        </w:tabs>
        <w:rPr>
          <w:lang w:val="fr-FR"/>
        </w:rPr>
      </w:pPr>
      <w:r>
        <w:rPr>
          <w:lang w:val="fr-FR"/>
        </w:rPr>
        <w:t>368</w:t>
      </w:r>
      <w:r w:rsidR="00533689">
        <w:rPr>
          <w:lang w:val="fr-FR"/>
        </w:rPr>
        <w:t>.</w:t>
      </w:r>
      <w:r w:rsidR="00533689">
        <w:rPr>
          <w:lang w:val="fr-FR"/>
        </w:rPr>
        <w:tab/>
        <w:t>Tout citoyen australien, y compris</w:t>
      </w:r>
      <w:r w:rsidR="009A5958">
        <w:rPr>
          <w:lang w:val="fr-FR"/>
        </w:rPr>
        <w:t xml:space="preserve"> les membres des </w:t>
      </w:r>
      <w:r w:rsidR="007761A4">
        <w:rPr>
          <w:lang w:val="fr-FR"/>
        </w:rPr>
        <w:t>forces</w:t>
      </w:r>
      <w:r w:rsidR="00F62988">
        <w:rPr>
          <w:lang w:val="fr-FR"/>
        </w:rPr>
        <w:t xml:space="preserve"> armées </w:t>
      </w:r>
      <w:r w:rsidR="00533689">
        <w:rPr>
          <w:lang w:val="fr-FR"/>
        </w:rPr>
        <w:t>et les fonctionnaires de police, qui commet un acte de torture où que ce soit dans le monde peut faire l’objet de poursuites judiciaires en application de la législation australienne.</w:t>
      </w:r>
    </w:p>
    <w:p w:rsidR="00533689" w:rsidRDefault="00C44B6D" w:rsidP="005D7B68">
      <w:pPr>
        <w:tabs>
          <w:tab w:val="left" w:pos="567"/>
          <w:tab w:val="left" w:pos="1134"/>
          <w:tab w:val="left" w:pos="1701"/>
          <w:tab w:val="left" w:pos="2268"/>
          <w:tab w:val="left" w:pos="2835"/>
        </w:tabs>
        <w:rPr>
          <w:lang w:val="fr-FR"/>
        </w:rPr>
      </w:pPr>
      <w:r>
        <w:rPr>
          <w:lang w:val="fr-FR"/>
        </w:rPr>
        <w:t>369</w:t>
      </w:r>
      <w:r w:rsidR="00533689">
        <w:rPr>
          <w:lang w:val="fr-FR"/>
        </w:rPr>
        <w:t>.</w:t>
      </w:r>
      <w:r w:rsidR="00533689">
        <w:rPr>
          <w:lang w:val="fr-FR"/>
        </w:rPr>
        <w:tab/>
        <w:t>Les lois concernées sont énumérées dans l’appendice 1 et le Tableau 1 du quatrième rapport de l’Australie en application de la Convention</w:t>
      </w:r>
      <w:r w:rsidR="008D6B80">
        <w:rPr>
          <w:lang w:val="fr-FR"/>
        </w:rPr>
        <w:t xml:space="preserve">. </w:t>
      </w:r>
      <w:r w:rsidR="00533689">
        <w:rPr>
          <w:lang w:val="fr-FR"/>
        </w:rPr>
        <w:t xml:space="preserve">En font partie la </w:t>
      </w:r>
      <w:r w:rsidR="00533689" w:rsidRPr="009A5958">
        <w:rPr>
          <w:lang w:val="fr-FR"/>
        </w:rPr>
        <w:t>loi de 1988 sur les infractions pénales (torture), la loi sur les infractions pénales (à l’étranger)</w:t>
      </w:r>
      <w:r w:rsidR="00533689">
        <w:rPr>
          <w:lang w:val="fr-FR"/>
        </w:rPr>
        <w:t>, la</w:t>
      </w:r>
      <w:r w:rsidR="00572260">
        <w:rPr>
          <w:lang w:val="fr-FR"/>
        </w:rPr>
        <w:t xml:space="preserve"> </w:t>
      </w:r>
      <w:r w:rsidR="00533689" w:rsidRPr="009A5958">
        <w:rPr>
          <w:lang w:val="fr-FR"/>
        </w:rPr>
        <w:t>loi de 1982 sur la d</w:t>
      </w:r>
      <w:r w:rsidR="00E60DC8" w:rsidRPr="009A5958">
        <w:rPr>
          <w:lang w:val="fr-FR"/>
        </w:rPr>
        <w:t>iscipline des forces armées</w:t>
      </w:r>
      <w:r w:rsidR="00533689" w:rsidRPr="009A5958">
        <w:rPr>
          <w:lang w:val="fr-FR"/>
        </w:rPr>
        <w:t xml:space="preserve"> </w:t>
      </w:r>
      <w:r w:rsidR="00533689">
        <w:rPr>
          <w:lang w:val="fr-FR"/>
        </w:rPr>
        <w:t>et la</w:t>
      </w:r>
      <w:r w:rsidR="00533689">
        <w:rPr>
          <w:i/>
          <w:iCs/>
          <w:lang w:val="fr-FR"/>
        </w:rPr>
        <w:t xml:space="preserve"> </w:t>
      </w:r>
      <w:r w:rsidR="00533689" w:rsidRPr="009A5958">
        <w:rPr>
          <w:lang w:val="fr-FR"/>
        </w:rPr>
        <w:t>loi de 1995 sur le Code pénal.</w:t>
      </w:r>
    </w:p>
    <w:p w:rsidR="00533689" w:rsidRDefault="00C44B6D" w:rsidP="005D7B68">
      <w:pPr>
        <w:tabs>
          <w:tab w:val="left" w:pos="567"/>
          <w:tab w:val="left" w:pos="1134"/>
          <w:tab w:val="left" w:pos="1701"/>
          <w:tab w:val="left" w:pos="2268"/>
          <w:tab w:val="left" w:pos="2835"/>
        </w:tabs>
        <w:rPr>
          <w:lang w:val="fr-FR"/>
        </w:rPr>
      </w:pPr>
      <w:r>
        <w:rPr>
          <w:lang w:val="fr-FR"/>
        </w:rPr>
        <w:t>370</w:t>
      </w:r>
      <w:r w:rsidR="00533689">
        <w:rPr>
          <w:lang w:val="fr-FR"/>
        </w:rPr>
        <w:t>.</w:t>
      </w:r>
      <w:r w:rsidR="00533689">
        <w:rPr>
          <w:lang w:val="fr-FR"/>
        </w:rPr>
        <w:tab/>
      </w:r>
      <w:r w:rsidR="00F43913">
        <w:rPr>
          <w:lang w:val="fr-FR"/>
        </w:rPr>
        <w:t>L’obligation d’établir une juridiction pour les actes de torture commis sur un navire ou dans un avion australien est exécutée dans le cadre de la loi fédérale de 2000 sur les infractions pénales en mer, la loi fédérale de 1991 sur les infractions pénales (aviation) et la législation correspondante des États et des Territoires.</w:t>
      </w:r>
    </w:p>
    <w:p w:rsidR="00A01710" w:rsidRDefault="00F43913" w:rsidP="005D7B68">
      <w:pPr>
        <w:tabs>
          <w:tab w:val="left" w:pos="567"/>
          <w:tab w:val="left" w:pos="1134"/>
          <w:tab w:val="left" w:pos="1701"/>
          <w:tab w:val="left" w:pos="2268"/>
          <w:tab w:val="left" w:pos="2835"/>
        </w:tabs>
        <w:rPr>
          <w:lang w:val="fr-FR"/>
        </w:rPr>
      </w:pPr>
      <w:r>
        <w:rPr>
          <w:lang w:val="fr-FR"/>
        </w:rPr>
        <w:t>37</w:t>
      </w:r>
      <w:r w:rsidR="00C44B6D">
        <w:rPr>
          <w:lang w:val="fr-FR"/>
        </w:rPr>
        <w:t>1</w:t>
      </w:r>
      <w:r>
        <w:rPr>
          <w:lang w:val="fr-FR"/>
        </w:rPr>
        <w:t>.</w:t>
      </w:r>
      <w:r>
        <w:rPr>
          <w:lang w:val="fr-FR"/>
        </w:rPr>
        <w:tab/>
      </w:r>
      <w:r w:rsidR="00A01710">
        <w:rPr>
          <w:lang w:val="fr-FR"/>
        </w:rPr>
        <w:t>Si des personnes sont placées en détention ou en garde à vue par de</w:t>
      </w:r>
      <w:r w:rsidR="00E60DC8">
        <w:rPr>
          <w:lang w:val="fr-FR"/>
        </w:rPr>
        <w:t xml:space="preserve">s membres des </w:t>
      </w:r>
      <w:r w:rsidR="007761A4">
        <w:rPr>
          <w:lang w:val="fr-FR"/>
        </w:rPr>
        <w:t>forces</w:t>
      </w:r>
      <w:r w:rsidR="00F62988">
        <w:rPr>
          <w:lang w:val="fr-FR"/>
        </w:rPr>
        <w:t xml:space="preserve"> armées </w:t>
      </w:r>
      <w:r w:rsidR="00A01710">
        <w:rPr>
          <w:lang w:val="fr-FR"/>
        </w:rPr>
        <w:t>australienne</w:t>
      </w:r>
      <w:r w:rsidR="00E60DC8">
        <w:rPr>
          <w:lang w:val="fr-FR"/>
        </w:rPr>
        <w:t>s</w:t>
      </w:r>
      <w:r w:rsidR="00A01710">
        <w:rPr>
          <w:lang w:val="fr-FR"/>
        </w:rPr>
        <w:t xml:space="preserve"> ou des fonctionnaires de police en poste à l’étranger, </w:t>
      </w:r>
      <w:r w:rsidR="00E60DC8">
        <w:rPr>
          <w:lang w:val="fr-FR"/>
        </w:rPr>
        <w:t>le personn</w:t>
      </w:r>
      <w:r w:rsidR="002A6559">
        <w:rPr>
          <w:lang w:val="fr-FR"/>
        </w:rPr>
        <w:t>el concerné</w:t>
      </w:r>
      <w:r w:rsidR="00B36C15">
        <w:rPr>
          <w:lang w:val="fr-FR"/>
        </w:rPr>
        <w:t xml:space="preserve"> est</w:t>
      </w:r>
      <w:r w:rsidR="00E60DC8">
        <w:rPr>
          <w:lang w:val="fr-FR"/>
        </w:rPr>
        <w:t xml:space="preserve"> assujetti à </w:t>
      </w:r>
      <w:r w:rsidR="00A01710">
        <w:rPr>
          <w:lang w:val="fr-FR"/>
        </w:rPr>
        <w:t>une ou plusieurs des lois susm</w:t>
      </w:r>
      <w:r w:rsidR="00E60DC8">
        <w:rPr>
          <w:lang w:val="fr-FR"/>
        </w:rPr>
        <w:t xml:space="preserve">entionnées. </w:t>
      </w:r>
    </w:p>
    <w:p w:rsidR="00F43913" w:rsidRPr="00533689" w:rsidRDefault="00A01710" w:rsidP="005D7B68">
      <w:pPr>
        <w:tabs>
          <w:tab w:val="left" w:pos="567"/>
          <w:tab w:val="left" w:pos="1134"/>
          <w:tab w:val="left" w:pos="1701"/>
          <w:tab w:val="left" w:pos="2268"/>
          <w:tab w:val="left" w:pos="2835"/>
        </w:tabs>
        <w:rPr>
          <w:lang w:val="fr-FR"/>
        </w:rPr>
      </w:pPr>
      <w:r>
        <w:rPr>
          <w:lang w:val="fr-FR"/>
        </w:rPr>
        <w:t>37</w:t>
      </w:r>
      <w:r w:rsidR="00C44B6D">
        <w:rPr>
          <w:lang w:val="fr-FR"/>
        </w:rPr>
        <w:t>2</w:t>
      </w:r>
      <w:r>
        <w:rPr>
          <w:lang w:val="fr-FR"/>
        </w:rPr>
        <w:t>.</w:t>
      </w:r>
      <w:r>
        <w:rPr>
          <w:lang w:val="fr-FR"/>
        </w:rPr>
        <w:tab/>
        <w:t>En outre, lorsque le p</w:t>
      </w:r>
      <w:r w:rsidR="00B36C15">
        <w:rPr>
          <w:lang w:val="fr-FR"/>
        </w:rPr>
        <w:t xml:space="preserve">ersonnel des </w:t>
      </w:r>
      <w:r w:rsidR="007761A4">
        <w:rPr>
          <w:lang w:val="fr-FR"/>
        </w:rPr>
        <w:t>forces</w:t>
      </w:r>
      <w:r w:rsidR="00F62988">
        <w:rPr>
          <w:lang w:val="fr-FR"/>
        </w:rPr>
        <w:t xml:space="preserve"> armées </w:t>
      </w:r>
      <w:r>
        <w:rPr>
          <w:lang w:val="fr-FR"/>
        </w:rPr>
        <w:t>australienne</w:t>
      </w:r>
      <w:r w:rsidR="00E60DC8">
        <w:rPr>
          <w:lang w:val="fr-FR"/>
        </w:rPr>
        <w:t>s</w:t>
      </w:r>
      <w:r>
        <w:rPr>
          <w:lang w:val="fr-FR"/>
        </w:rPr>
        <w:t xml:space="preserve"> ou les fonctionnaires de police sont en poste à l’étranger en situation de conflit armé international ou non, ces </w:t>
      </w:r>
      <w:r w:rsidR="00F671D6">
        <w:rPr>
          <w:lang w:val="fr-FR"/>
        </w:rPr>
        <w:t>troupes ou ces policiers</w:t>
      </w:r>
      <w:r>
        <w:rPr>
          <w:lang w:val="fr-FR"/>
        </w:rPr>
        <w:t xml:space="preserve"> sont tenus de respecter les obligations imposées par le droit </w:t>
      </w:r>
      <w:r w:rsidR="00F4778A">
        <w:rPr>
          <w:lang w:val="fr-FR"/>
        </w:rPr>
        <w:t xml:space="preserve">international </w:t>
      </w:r>
      <w:r>
        <w:rPr>
          <w:lang w:val="fr-FR"/>
        </w:rPr>
        <w:t xml:space="preserve">humanitaire. </w:t>
      </w:r>
    </w:p>
    <w:p w:rsidR="00F4778A" w:rsidRDefault="00F4778A" w:rsidP="005D7B68">
      <w:pPr>
        <w:keepNext/>
        <w:tabs>
          <w:tab w:val="left" w:pos="567"/>
          <w:tab w:val="left" w:pos="1134"/>
          <w:tab w:val="left" w:pos="1701"/>
          <w:tab w:val="left" w:pos="2268"/>
          <w:tab w:val="left" w:pos="2835"/>
        </w:tabs>
        <w:jc w:val="center"/>
        <w:rPr>
          <w:b/>
          <w:bCs/>
          <w:lang w:val="fr-FR"/>
        </w:rPr>
      </w:pPr>
      <w:r>
        <w:rPr>
          <w:b/>
          <w:bCs/>
          <w:lang w:val="fr-FR"/>
        </w:rPr>
        <w:t>ARTICLES 6, 7, 8, 9</w:t>
      </w:r>
    </w:p>
    <w:p w:rsidR="00F4778A" w:rsidRDefault="00F4778A" w:rsidP="005D7B68">
      <w:pPr>
        <w:keepNext/>
        <w:tabs>
          <w:tab w:val="left" w:pos="567"/>
          <w:tab w:val="left" w:pos="1134"/>
          <w:tab w:val="left" w:pos="1701"/>
          <w:tab w:val="left" w:pos="2268"/>
          <w:tab w:val="left" w:pos="2835"/>
        </w:tabs>
        <w:rPr>
          <w:b/>
          <w:bCs/>
          <w:lang w:val="fr-FR"/>
        </w:rPr>
      </w:pPr>
      <w:r>
        <w:rPr>
          <w:b/>
          <w:bCs/>
          <w:lang w:val="fr-FR"/>
        </w:rPr>
        <w:t>Question 17</w:t>
      </w:r>
    </w:p>
    <w:p w:rsidR="00F4778A" w:rsidRDefault="00F4778A" w:rsidP="005D7B68">
      <w:pPr>
        <w:tabs>
          <w:tab w:val="left" w:pos="567"/>
          <w:tab w:val="left" w:pos="1134"/>
          <w:tab w:val="left" w:pos="1701"/>
          <w:tab w:val="left" w:pos="2268"/>
          <w:tab w:val="left" w:pos="2835"/>
        </w:tabs>
        <w:rPr>
          <w:b/>
          <w:bCs/>
          <w:lang w:val="fr-FR"/>
        </w:rPr>
      </w:pPr>
      <w:r>
        <w:rPr>
          <w:b/>
          <w:bCs/>
          <w:lang w:val="fr-FR"/>
        </w:rPr>
        <w:tab/>
      </w:r>
      <w:r w:rsidRPr="00F4778A">
        <w:rPr>
          <w:b/>
          <w:bCs/>
          <w:lang w:val="fr-FR"/>
        </w:rPr>
        <w:t>Citer des cas éventuels dans lesquels l’État partie aurait rejeté une demande d’extradition présentée par un autre État concernant une personne soupçonnée d’actes de torture et aurait engagé lui</w:t>
      </w:r>
      <w:r w:rsidRPr="00F4778A">
        <w:rPr>
          <w:b/>
          <w:bCs/>
          <w:lang w:val="fr-FR"/>
        </w:rPr>
        <w:noBreakHyphen/>
        <w:t>même des poursuites contre l’intéressé pour ces actes.</w:t>
      </w:r>
    </w:p>
    <w:p w:rsidR="00F4778A" w:rsidRDefault="00F4778A" w:rsidP="005D7B68">
      <w:pPr>
        <w:tabs>
          <w:tab w:val="left" w:pos="567"/>
          <w:tab w:val="left" w:pos="1134"/>
          <w:tab w:val="left" w:pos="1701"/>
          <w:tab w:val="left" w:pos="2268"/>
          <w:tab w:val="left" w:pos="2835"/>
        </w:tabs>
        <w:rPr>
          <w:lang w:val="fr-FR"/>
        </w:rPr>
      </w:pPr>
      <w:r>
        <w:rPr>
          <w:lang w:val="fr-FR"/>
        </w:rPr>
        <w:t>37</w:t>
      </w:r>
      <w:r w:rsidR="00C44B6D">
        <w:rPr>
          <w:lang w:val="fr-FR"/>
        </w:rPr>
        <w:t>3</w:t>
      </w:r>
      <w:r>
        <w:rPr>
          <w:lang w:val="fr-FR"/>
        </w:rPr>
        <w:t>.</w:t>
      </w:r>
      <w:r>
        <w:rPr>
          <w:lang w:val="fr-FR"/>
        </w:rPr>
        <w:tab/>
        <w:t>Aucun cas de ce genre ne s’est présenté.</w:t>
      </w:r>
    </w:p>
    <w:p w:rsidR="00EF23F8" w:rsidRDefault="00EF23F8" w:rsidP="005D7B68">
      <w:pPr>
        <w:tabs>
          <w:tab w:val="left" w:pos="567"/>
          <w:tab w:val="left" w:pos="1134"/>
          <w:tab w:val="left" w:pos="1701"/>
          <w:tab w:val="left" w:pos="2268"/>
          <w:tab w:val="left" w:pos="2835"/>
        </w:tabs>
        <w:rPr>
          <w:b/>
          <w:bCs/>
          <w:lang w:val="fr-FR"/>
        </w:rPr>
      </w:pPr>
      <w:r>
        <w:rPr>
          <w:b/>
          <w:bCs/>
          <w:lang w:val="fr-FR"/>
        </w:rPr>
        <w:t>Question 18</w:t>
      </w:r>
    </w:p>
    <w:p w:rsidR="00EF23F8" w:rsidRPr="00EF23F8" w:rsidRDefault="00EF23F8" w:rsidP="005D7B68">
      <w:pPr>
        <w:tabs>
          <w:tab w:val="left" w:pos="567"/>
          <w:tab w:val="left" w:pos="1134"/>
          <w:tab w:val="left" w:pos="1701"/>
          <w:tab w:val="left" w:pos="2268"/>
          <w:tab w:val="left" w:pos="2835"/>
        </w:tabs>
        <w:rPr>
          <w:b/>
          <w:bCs/>
          <w:lang w:val="fr-FR"/>
        </w:rPr>
      </w:pPr>
      <w:r>
        <w:rPr>
          <w:b/>
          <w:bCs/>
          <w:lang w:val="fr-FR"/>
        </w:rPr>
        <w:tab/>
      </w:r>
      <w:r w:rsidRPr="00EF23F8">
        <w:rPr>
          <w:b/>
          <w:bCs/>
          <w:lang w:val="fr-FR"/>
        </w:rPr>
        <w:t>Commenter l’information selon laquelle il ne serait actuellement pas obligatoire, conformément à la loi de 1987 sur l’entraide judiciaire en matière pénale et à la loi de 1988 sur l’extradition, de rejeter une demande d’extradition ou d’aide judiciaire lorsqu’il y a des motifs sérieux de croire qu’accéder à une telle demande pourrait porter atteinte à des droits protégés par la Convention. À cet égard, indiquer quelle est l’opinion de l’État partie au sujet de la recommandation de la Commission des droits de l’homme et de l’égalité des chances tendant à ce que les accords d’extradition et d’entraide judiciaire conclus par lui prévoient des garanties plus solides contre le risque de torture ou d’autres traitements cruels, inhumains ou dégradants.</w:t>
      </w:r>
    </w:p>
    <w:p w:rsidR="001E091E" w:rsidRDefault="00183E4B" w:rsidP="005D7B68">
      <w:pPr>
        <w:tabs>
          <w:tab w:val="left" w:pos="567"/>
          <w:tab w:val="left" w:pos="1134"/>
          <w:tab w:val="left" w:pos="1701"/>
          <w:tab w:val="left" w:pos="2268"/>
          <w:tab w:val="left" w:pos="2835"/>
        </w:tabs>
        <w:rPr>
          <w:lang w:val="fr-FR"/>
        </w:rPr>
      </w:pPr>
      <w:r>
        <w:rPr>
          <w:lang w:val="fr-FR"/>
        </w:rPr>
        <w:t>37</w:t>
      </w:r>
      <w:r w:rsidR="00C44B6D">
        <w:rPr>
          <w:lang w:val="fr-FR"/>
        </w:rPr>
        <w:t>4</w:t>
      </w:r>
      <w:r>
        <w:rPr>
          <w:lang w:val="fr-FR"/>
        </w:rPr>
        <w:t>.</w:t>
      </w:r>
      <w:r>
        <w:rPr>
          <w:lang w:val="fr-FR"/>
        </w:rPr>
        <w:tab/>
        <w:t xml:space="preserve">La </w:t>
      </w:r>
      <w:r w:rsidRPr="00B36C15">
        <w:rPr>
          <w:lang w:val="fr-FR"/>
        </w:rPr>
        <w:t>loi de 1987 sur l’entraide judiciaire</w:t>
      </w:r>
      <w:r>
        <w:rPr>
          <w:i/>
          <w:iCs/>
          <w:lang w:val="fr-FR"/>
        </w:rPr>
        <w:t xml:space="preserve"> </w:t>
      </w:r>
      <w:r w:rsidRPr="00183E4B">
        <w:rPr>
          <w:lang w:val="fr-FR"/>
        </w:rPr>
        <w:t>comporte des motifs de refus</w:t>
      </w:r>
      <w:r>
        <w:rPr>
          <w:lang w:val="fr-FR"/>
        </w:rPr>
        <w:t xml:space="preserve"> laissés</w:t>
      </w:r>
      <w:r w:rsidR="00F62988">
        <w:rPr>
          <w:lang w:val="fr-FR"/>
        </w:rPr>
        <w:t xml:space="preserve"> à l’appréciation du responsable</w:t>
      </w:r>
      <w:r>
        <w:rPr>
          <w:lang w:val="fr-FR"/>
        </w:rPr>
        <w:t xml:space="preserve"> et qui lui permettent de rejeter une demande d’aide judiciaire lorsqu’il y a des motifs sérieux de croire qu’accéder à une telle demande pourrait porter atteinte à des droits protégés par la Convention</w:t>
      </w:r>
      <w:r w:rsidR="008D6B80">
        <w:rPr>
          <w:lang w:val="fr-FR"/>
        </w:rPr>
        <w:t xml:space="preserve">. </w:t>
      </w:r>
      <w:r>
        <w:rPr>
          <w:lang w:val="fr-FR"/>
        </w:rPr>
        <w:t>Les paragraphes 8 2) e) et g) prévoient respectivement qu’une demande peut être rejetée si l’octroi de cette aide est de nature à porter atteinte à la sécurité de quiconque, ou susceptible de le faire (à l’intérieur comme à l’extérieur de l’Australie)</w:t>
      </w:r>
      <w:r w:rsidR="001E091E">
        <w:rPr>
          <w:lang w:val="fr-FR"/>
        </w:rPr>
        <w:t xml:space="preserve"> et s’il est approprié, en tout état de cause, que l’aide demandée ne soit pas accordée</w:t>
      </w:r>
      <w:r w:rsidR="008D6B80">
        <w:rPr>
          <w:lang w:val="fr-FR"/>
        </w:rPr>
        <w:t xml:space="preserve">. </w:t>
      </w:r>
      <w:r w:rsidR="001E091E">
        <w:rPr>
          <w:lang w:val="fr-FR"/>
        </w:rPr>
        <w:t>Ces dispositions sont suffisantes pour garantir que l’aide judiciaire accordée par l’Australie ne conduira pas, dans les pays qui l’auront sollicitée, à des agissements contraires aux objectifs de la Convention.</w:t>
      </w:r>
    </w:p>
    <w:p w:rsidR="00E60DC8" w:rsidRDefault="001E091E" w:rsidP="005D7B68">
      <w:pPr>
        <w:tabs>
          <w:tab w:val="left" w:pos="567"/>
          <w:tab w:val="left" w:pos="1134"/>
          <w:tab w:val="left" w:pos="1701"/>
          <w:tab w:val="left" w:pos="2268"/>
          <w:tab w:val="left" w:pos="2835"/>
        </w:tabs>
        <w:rPr>
          <w:lang w:val="fr-FR"/>
        </w:rPr>
      </w:pPr>
      <w:r>
        <w:rPr>
          <w:lang w:val="fr-FR"/>
        </w:rPr>
        <w:t>37</w:t>
      </w:r>
      <w:r w:rsidR="00C44B6D">
        <w:rPr>
          <w:lang w:val="fr-FR"/>
        </w:rPr>
        <w:t>5</w:t>
      </w:r>
      <w:r>
        <w:rPr>
          <w:lang w:val="fr-FR"/>
        </w:rPr>
        <w:t>.</w:t>
      </w:r>
      <w:r>
        <w:rPr>
          <w:lang w:val="fr-FR"/>
        </w:rPr>
        <w:tab/>
        <w:t>Pour ce qui est</w:t>
      </w:r>
      <w:r w:rsidR="00B36C15">
        <w:rPr>
          <w:lang w:val="fr-FR"/>
        </w:rPr>
        <w:t xml:space="preserve"> de</w:t>
      </w:r>
      <w:r>
        <w:rPr>
          <w:lang w:val="fr-FR"/>
        </w:rPr>
        <w:t xml:space="preserve"> l’extradition, le paragraphe 22 3) </w:t>
      </w:r>
      <w:r w:rsidR="000353FA">
        <w:rPr>
          <w:lang w:val="fr-FR"/>
        </w:rPr>
        <w:t xml:space="preserve">b) </w:t>
      </w:r>
      <w:r>
        <w:rPr>
          <w:lang w:val="fr-FR"/>
        </w:rPr>
        <w:t xml:space="preserve">de la </w:t>
      </w:r>
      <w:r w:rsidRPr="00B36C15">
        <w:rPr>
          <w:lang w:val="fr-FR"/>
        </w:rPr>
        <w:t>loi de 1998 sur l’extradition</w:t>
      </w:r>
      <w:r>
        <w:rPr>
          <w:lang w:val="fr-FR"/>
        </w:rPr>
        <w:t xml:space="preserve"> </w:t>
      </w:r>
      <w:r w:rsidR="00E0125B">
        <w:rPr>
          <w:lang w:val="fr-FR"/>
        </w:rPr>
        <w:t>stipule expressément qu’une personne ne doit être extradée que si l’</w:t>
      </w:r>
      <w:r w:rsidR="008E1139" w:rsidRPr="008E1139">
        <w:rPr>
          <w:lang w:val="fr-FR"/>
        </w:rPr>
        <w:t>Attorney général</w:t>
      </w:r>
      <w:r w:rsidR="009C3370">
        <w:rPr>
          <w:lang w:val="fr-FR"/>
        </w:rPr>
        <w:t xml:space="preserve"> a acquis la</w:t>
      </w:r>
      <w:r w:rsidR="00572260">
        <w:rPr>
          <w:lang w:val="fr-FR"/>
        </w:rPr>
        <w:t xml:space="preserve"> </w:t>
      </w:r>
      <w:r w:rsidR="009C3370">
        <w:rPr>
          <w:lang w:val="fr-FR"/>
        </w:rPr>
        <w:t xml:space="preserve">conviction </w:t>
      </w:r>
      <w:r w:rsidR="00E0125B">
        <w:rPr>
          <w:lang w:val="fr-FR"/>
        </w:rPr>
        <w:t>qu’elle ne sera pas soumise à la torture dans le pays qui demande son extradition</w:t>
      </w:r>
      <w:r w:rsidR="008D6B80">
        <w:rPr>
          <w:lang w:val="fr-FR"/>
        </w:rPr>
        <w:t xml:space="preserve">. </w:t>
      </w:r>
      <w:r w:rsidR="004A3CE0">
        <w:rPr>
          <w:lang w:val="fr-FR"/>
        </w:rPr>
        <w:t>La </w:t>
      </w:r>
      <w:r w:rsidR="00E0125B">
        <w:rPr>
          <w:lang w:val="fr-FR"/>
        </w:rPr>
        <w:t>loi sur l’extradition prévoit donc un motif impératif de refuser de livrer une personne faisant l’objet d’une demande d’extradition</w:t>
      </w:r>
      <w:r w:rsidR="000353FA">
        <w:rPr>
          <w:lang w:val="fr-FR"/>
        </w:rPr>
        <w:t>,</w:t>
      </w:r>
      <w:r w:rsidR="00E0125B">
        <w:rPr>
          <w:lang w:val="fr-FR"/>
        </w:rPr>
        <w:t xml:space="preserve"> sauf à ce que l’</w:t>
      </w:r>
      <w:r w:rsidR="008E1139" w:rsidRPr="008E1139">
        <w:rPr>
          <w:lang w:val="fr-FR"/>
        </w:rPr>
        <w:t>Attorney général</w:t>
      </w:r>
      <w:r w:rsidR="00E0125B">
        <w:rPr>
          <w:lang w:val="fr-FR"/>
        </w:rPr>
        <w:t xml:space="preserve"> soit convaincu que le fait d’accéder à cette demande n’aura pas pour conséquence une atteinte aux droits de l’intéressé protégés par la Convention.</w:t>
      </w:r>
    </w:p>
    <w:p w:rsidR="00E60DC8" w:rsidRDefault="00E60DC8" w:rsidP="005D7B68">
      <w:pPr>
        <w:tabs>
          <w:tab w:val="left" w:pos="567"/>
          <w:tab w:val="left" w:pos="1134"/>
          <w:tab w:val="left" w:pos="1701"/>
          <w:tab w:val="left" w:pos="2268"/>
          <w:tab w:val="left" w:pos="2835"/>
        </w:tabs>
        <w:jc w:val="center"/>
        <w:rPr>
          <w:b/>
          <w:bCs/>
          <w:lang w:val="fr-FR"/>
        </w:rPr>
      </w:pPr>
      <w:r w:rsidRPr="00E60DC8">
        <w:rPr>
          <w:b/>
          <w:bCs/>
          <w:lang w:val="fr-FR"/>
        </w:rPr>
        <w:t>ARTICLE 10</w:t>
      </w:r>
    </w:p>
    <w:p w:rsidR="00E60DC8" w:rsidRDefault="00E60DC8" w:rsidP="005D7B68">
      <w:pPr>
        <w:tabs>
          <w:tab w:val="left" w:pos="567"/>
          <w:tab w:val="left" w:pos="1134"/>
          <w:tab w:val="left" w:pos="1701"/>
          <w:tab w:val="left" w:pos="2268"/>
          <w:tab w:val="left" w:pos="2835"/>
        </w:tabs>
        <w:rPr>
          <w:b/>
          <w:bCs/>
          <w:lang w:val="fr-FR"/>
        </w:rPr>
      </w:pPr>
      <w:r>
        <w:rPr>
          <w:b/>
          <w:bCs/>
          <w:lang w:val="fr-FR"/>
        </w:rPr>
        <w:t>Question 19</w:t>
      </w:r>
    </w:p>
    <w:p w:rsidR="00E60DC8" w:rsidRDefault="00E60DC8" w:rsidP="005D7B68">
      <w:pPr>
        <w:tabs>
          <w:tab w:val="left" w:pos="567"/>
          <w:tab w:val="left" w:pos="1134"/>
          <w:tab w:val="left" w:pos="1701"/>
          <w:tab w:val="left" w:pos="2268"/>
          <w:tab w:val="left" w:pos="2835"/>
        </w:tabs>
        <w:rPr>
          <w:b/>
          <w:bCs/>
          <w:lang w:val="fr-FR"/>
        </w:rPr>
      </w:pPr>
      <w:r>
        <w:rPr>
          <w:b/>
          <w:bCs/>
          <w:lang w:val="fr-FR"/>
        </w:rPr>
        <w:tab/>
      </w:r>
      <w:r w:rsidRPr="00E60DC8">
        <w:rPr>
          <w:b/>
          <w:bCs/>
          <w:lang w:val="fr-FR"/>
        </w:rPr>
        <w:t>D’après le rapport de l’État partie, les membres des forces armées australiennes sont assujettis au Code pénal tel que modifié à la suite de la ratification du Statut de la Cour pénale internationale, et ils reçoivent une formation sur les principes du droit humanitaire. Indiquer si les agents des forces armées et d’autres personnels, y compris les prestataires de services, sont informés des obligations qui leur incombent en vertu de la Convention et d’autres instruments internationaux relatifs aux droits de l’homme.</w:t>
      </w:r>
    </w:p>
    <w:p w:rsidR="004B5ED8" w:rsidRDefault="00E60DC8" w:rsidP="005D7B68">
      <w:pPr>
        <w:tabs>
          <w:tab w:val="left" w:pos="567"/>
          <w:tab w:val="left" w:pos="1134"/>
          <w:tab w:val="left" w:pos="1701"/>
          <w:tab w:val="left" w:pos="2268"/>
          <w:tab w:val="left" w:pos="2835"/>
        </w:tabs>
        <w:rPr>
          <w:lang w:val="fr-FR"/>
        </w:rPr>
      </w:pPr>
      <w:r>
        <w:rPr>
          <w:lang w:val="fr-FR"/>
        </w:rPr>
        <w:t>37</w:t>
      </w:r>
      <w:r w:rsidR="00C44B6D">
        <w:rPr>
          <w:lang w:val="fr-FR"/>
        </w:rPr>
        <w:t>6</w:t>
      </w:r>
      <w:r>
        <w:rPr>
          <w:lang w:val="fr-FR"/>
        </w:rPr>
        <w:t>.</w:t>
      </w:r>
      <w:r>
        <w:rPr>
          <w:lang w:val="fr-FR"/>
        </w:rPr>
        <w:tab/>
        <w:t>Tous les membres des forces armées australiennes, à plein temps comme à temps partiel, sont tenus de suivre une formation sur</w:t>
      </w:r>
      <w:r w:rsidR="00785D61">
        <w:rPr>
          <w:lang w:val="fr-FR"/>
        </w:rPr>
        <w:t xml:space="preserve"> les obligations que leurs impose le</w:t>
      </w:r>
      <w:r>
        <w:rPr>
          <w:lang w:val="fr-FR"/>
        </w:rPr>
        <w:t xml:space="preserve"> droit des conflits armés</w:t>
      </w:r>
      <w:r w:rsidR="00785D61">
        <w:rPr>
          <w:lang w:val="fr-FR"/>
        </w:rPr>
        <w:t xml:space="preserve"> et d’autres instruments internationaux, y compris la Convention contre la torture et les autres peines et traitements cruels, inhumains ou dégradants, conformément à la politique de défense</w:t>
      </w:r>
      <w:r w:rsidR="008D6B80">
        <w:rPr>
          <w:lang w:val="fr-FR"/>
        </w:rPr>
        <w:t xml:space="preserve">. </w:t>
      </w:r>
      <w:r w:rsidR="00785D61">
        <w:rPr>
          <w:lang w:val="fr-FR"/>
        </w:rPr>
        <w:t>Cette formation comporte quatre niveaux, du niveau élémentaire au niveau supérieur</w:t>
      </w:r>
      <w:r w:rsidR="008D6B80">
        <w:rPr>
          <w:lang w:val="fr-FR"/>
        </w:rPr>
        <w:t xml:space="preserve">. </w:t>
      </w:r>
      <w:r w:rsidR="00785D61">
        <w:rPr>
          <w:lang w:val="fr-FR"/>
        </w:rPr>
        <w:t>Elle est dispensée au cours de stages de perfectionnement initiaux et professionnels, de stages spécialisés et de stages de formation pr</w:t>
      </w:r>
      <w:r w:rsidR="00DB36B2">
        <w:rPr>
          <w:lang w:val="fr-FR"/>
        </w:rPr>
        <w:t>éalables au déploiement, et correspond pour chacun d’eux au niveau de compréhension adapté à ses obligations et responsabilités</w:t>
      </w:r>
      <w:r w:rsidR="008D6B80">
        <w:rPr>
          <w:lang w:val="fr-FR"/>
        </w:rPr>
        <w:t xml:space="preserve">. </w:t>
      </w:r>
      <w:r w:rsidR="00DB36B2">
        <w:rPr>
          <w:lang w:val="fr-FR"/>
        </w:rPr>
        <w:t>La formation théorique dispensée par des officiers et des sous-officiers comporte un élément spécifiquement consacré aux principes de la responsabilité de ceux à qui il est dû obéissance</w:t>
      </w:r>
      <w:r w:rsidR="008D6B80">
        <w:rPr>
          <w:lang w:val="fr-FR"/>
        </w:rPr>
        <w:t xml:space="preserve">. </w:t>
      </w:r>
      <w:r w:rsidR="00DB36B2">
        <w:rPr>
          <w:lang w:val="fr-FR"/>
        </w:rPr>
        <w:t xml:space="preserve">La politique de formation des forces armées australiennes est présentée en détail dans </w:t>
      </w:r>
      <w:r w:rsidR="00DB36B2">
        <w:rPr>
          <w:i/>
          <w:iCs/>
          <w:lang w:val="fr-FR"/>
        </w:rPr>
        <w:t>Defence Instruction (General) OPS 33-1</w:t>
      </w:r>
      <w:r w:rsidR="00DB36B2">
        <w:rPr>
          <w:lang w:val="fr-FR"/>
        </w:rPr>
        <w:t xml:space="preserve">, </w:t>
      </w:r>
      <w:r w:rsidR="004B5ED8">
        <w:rPr>
          <w:i/>
          <w:iCs/>
          <w:lang w:val="fr-FR"/>
        </w:rPr>
        <w:t>Australian Defence Force Law of Armed Conflict Training</w:t>
      </w:r>
      <w:r w:rsidR="007A433D">
        <w:rPr>
          <w:lang w:val="fr-FR"/>
        </w:rPr>
        <w:t xml:space="preserve"> (Instructions générales à l’u</w:t>
      </w:r>
      <w:r w:rsidR="00B36C15">
        <w:rPr>
          <w:lang w:val="fr-FR"/>
        </w:rPr>
        <w:t>sage des forces armées OPS 33-1.</w:t>
      </w:r>
      <w:r w:rsidR="007A433D">
        <w:rPr>
          <w:lang w:val="fr-FR"/>
        </w:rPr>
        <w:t xml:space="preserve"> Formation des forces armées australiennes au droit des conflits armés)</w:t>
      </w:r>
      <w:r w:rsidRPr="00E60DC8">
        <w:rPr>
          <w:b/>
          <w:bCs/>
          <w:lang w:val="fr-FR"/>
        </w:rPr>
        <w:t xml:space="preserve"> </w:t>
      </w:r>
      <w:r w:rsidR="004B5ED8" w:rsidRPr="004B5ED8">
        <w:rPr>
          <w:lang w:val="fr-FR"/>
        </w:rPr>
        <w:t>publié le 27 janvier 1994.</w:t>
      </w:r>
      <w:r w:rsidR="004B5ED8">
        <w:rPr>
          <w:b/>
          <w:bCs/>
          <w:lang w:val="fr-FR"/>
        </w:rPr>
        <w:t xml:space="preserve"> </w:t>
      </w:r>
      <w:r w:rsidR="004B5ED8" w:rsidRPr="004B5ED8">
        <w:rPr>
          <w:lang w:val="fr-FR"/>
        </w:rPr>
        <w:t>Cette politique est actuellement en cours d’examen pour</w:t>
      </w:r>
      <w:r w:rsidR="004B5ED8">
        <w:rPr>
          <w:b/>
          <w:bCs/>
          <w:lang w:val="fr-FR"/>
        </w:rPr>
        <w:t xml:space="preserve"> </w:t>
      </w:r>
      <w:r w:rsidR="004B5ED8">
        <w:rPr>
          <w:lang w:val="fr-FR"/>
        </w:rPr>
        <w:t>veiller à ce qu’elle soit conforme aux normes relatives aux meilleures pratiques.</w:t>
      </w:r>
    </w:p>
    <w:p w:rsidR="00FE418D" w:rsidRDefault="004B5ED8" w:rsidP="005D7B68">
      <w:pPr>
        <w:tabs>
          <w:tab w:val="left" w:pos="567"/>
          <w:tab w:val="left" w:pos="1134"/>
          <w:tab w:val="left" w:pos="1701"/>
          <w:tab w:val="left" w:pos="2268"/>
          <w:tab w:val="left" w:pos="2835"/>
        </w:tabs>
        <w:rPr>
          <w:lang w:val="fr-FR"/>
        </w:rPr>
      </w:pPr>
      <w:r>
        <w:rPr>
          <w:lang w:val="fr-FR"/>
        </w:rPr>
        <w:t>37</w:t>
      </w:r>
      <w:r w:rsidR="00C44B6D">
        <w:rPr>
          <w:lang w:val="fr-FR"/>
        </w:rPr>
        <w:t>7</w:t>
      </w:r>
      <w:r>
        <w:rPr>
          <w:lang w:val="fr-FR"/>
        </w:rPr>
        <w:t>.</w:t>
      </w:r>
      <w:r>
        <w:rPr>
          <w:lang w:val="fr-FR"/>
        </w:rPr>
        <w:tab/>
      </w:r>
      <w:r w:rsidR="007B6599">
        <w:rPr>
          <w:lang w:val="fr-FR"/>
        </w:rPr>
        <w:t>Au niveau de base, la formation</w:t>
      </w:r>
      <w:r w:rsidR="00230392">
        <w:rPr>
          <w:lang w:val="fr-FR"/>
        </w:rPr>
        <w:t xml:space="preserve"> est assurée au sein de chaque arme en concert</w:t>
      </w:r>
      <w:r w:rsidR="00F62988">
        <w:rPr>
          <w:lang w:val="fr-FR"/>
        </w:rPr>
        <w:t>ation avec les juristes faisant</w:t>
      </w:r>
      <w:r w:rsidR="00230392">
        <w:rPr>
          <w:lang w:val="fr-FR"/>
        </w:rPr>
        <w:t xml:space="preserve"> partie de son personnel d’appui</w:t>
      </w:r>
      <w:r w:rsidR="008D6B80">
        <w:rPr>
          <w:lang w:val="fr-FR"/>
        </w:rPr>
        <w:t xml:space="preserve">. </w:t>
      </w:r>
      <w:r w:rsidR="00230392" w:rsidRPr="002173CC">
        <w:rPr>
          <w:i/>
          <w:iCs/>
          <w:lang w:val="fr-FR"/>
        </w:rPr>
        <w:t>L’Australian Defence Force Warfare Centre</w:t>
      </w:r>
      <w:r w:rsidR="002173CC">
        <w:rPr>
          <w:lang w:val="fr-FR"/>
        </w:rPr>
        <w:t xml:space="preserve"> et </w:t>
      </w:r>
      <w:r w:rsidR="002173CC" w:rsidRPr="002173CC">
        <w:rPr>
          <w:i/>
          <w:iCs/>
          <w:lang w:val="fr-FR"/>
        </w:rPr>
        <w:t>Defence Legal</w:t>
      </w:r>
      <w:r w:rsidR="00FE418D">
        <w:rPr>
          <w:lang w:val="fr-FR"/>
        </w:rPr>
        <w:t xml:space="preserve"> assurent</w:t>
      </w:r>
      <w:r w:rsidR="002173CC">
        <w:rPr>
          <w:lang w:val="fr-FR"/>
        </w:rPr>
        <w:t xml:space="preserve"> habituellement une formation</w:t>
      </w:r>
      <w:r w:rsidR="00FE418D">
        <w:rPr>
          <w:lang w:val="fr-FR"/>
        </w:rPr>
        <w:t xml:space="preserve"> de pointe destinée aux officiers subalternes</w:t>
      </w:r>
      <w:r w:rsidR="002173CC">
        <w:rPr>
          <w:lang w:val="fr-FR"/>
        </w:rPr>
        <w:t xml:space="preserve"> et aux officiers supérieurs</w:t>
      </w:r>
      <w:r w:rsidR="00FE418D">
        <w:rPr>
          <w:lang w:val="fr-FR"/>
        </w:rPr>
        <w:t>.</w:t>
      </w:r>
    </w:p>
    <w:p w:rsidR="00A7114F" w:rsidRDefault="00FE418D" w:rsidP="005D7B68">
      <w:pPr>
        <w:tabs>
          <w:tab w:val="left" w:pos="567"/>
          <w:tab w:val="left" w:pos="1134"/>
          <w:tab w:val="left" w:pos="1701"/>
          <w:tab w:val="left" w:pos="2268"/>
          <w:tab w:val="left" w:pos="2835"/>
        </w:tabs>
        <w:rPr>
          <w:lang w:val="fr-FR"/>
        </w:rPr>
      </w:pPr>
      <w:r>
        <w:rPr>
          <w:lang w:val="fr-FR"/>
        </w:rPr>
        <w:t>37</w:t>
      </w:r>
      <w:r w:rsidR="00C44B6D">
        <w:rPr>
          <w:lang w:val="fr-FR"/>
        </w:rPr>
        <w:t>8</w:t>
      </w:r>
      <w:r>
        <w:rPr>
          <w:lang w:val="fr-FR"/>
        </w:rPr>
        <w:t>.</w:t>
      </w:r>
      <w:r>
        <w:rPr>
          <w:lang w:val="fr-FR"/>
        </w:rPr>
        <w:tab/>
      </w:r>
      <w:r w:rsidR="00386AE3">
        <w:rPr>
          <w:lang w:val="fr-FR"/>
        </w:rPr>
        <w:t>La formation professionnelle juridique des juristes des forces armées australiennes est assurée par des enseignants universitaires ainsi que par des experts gouvernementaux</w:t>
      </w:r>
      <w:r w:rsidR="008D6B80">
        <w:rPr>
          <w:lang w:val="fr-FR"/>
        </w:rPr>
        <w:t xml:space="preserve">. </w:t>
      </w:r>
      <w:r w:rsidR="00386AE3">
        <w:rPr>
          <w:lang w:val="fr-FR"/>
        </w:rPr>
        <w:t>Elle comporte un volet théorique et un volet pratique</w:t>
      </w:r>
      <w:r w:rsidR="008D6B80">
        <w:rPr>
          <w:lang w:val="fr-FR"/>
        </w:rPr>
        <w:t xml:space="preserve">. </w:t>
      </w:r>
      <w:r w:rsidR="00386AE3">
        <w:rPr>
          <w:lang w:val="fr-FR"/>
        </w:rPr>
        <w:t>La formation au droit des conflits armés fa</w:t>
      </w:r>
      <w:r w:rsidR="00B36C15">
        <w:rPr>
          <w:lang w:val="fr-FR"/>
        </w:rPr>
        <w:t>i</w:t>
      </w:r>
      <w:r w:rsidR="00386AE3">
        <w:rPr>
          <w:lang w:val="fr-FR"/>
        </w:rPr>
        <w:t xml:space="preserve">t appel à un ensemble de méthodes d’évaluation, avec des examens écrits, </w:t>
      </w:r>
      <w:r w:rsidR="00A7114F">
        <w:rPr>
          <w:lang w:val="fr-FR"/>
        </w:rPr>
        <w:t>un exposé sur un problème théorique et des cas d’espèce dans les exercices sur le terrain.</w:t>
      </w:r>
    </w:p>
    <w:p w:rsidR="00361E1B" w:rsidRDefault="00A7114F" w:rsidP="005D7B68">
      <w:pPr>
        <w:tabs>
          <w:tab w:val="left" w:pos="567"/>
          <w:tab w:val="left" w:pos="1134"/>
          <w:tab w:val="left" w:pos="1701"/>
          <w:tab w:val="left" w:pos="2268"/>
          <w:tab w:val="left" w:pos="2835"/>
        </w:tabs>
        <w:rPr>
          <w:lang w:val="fr-FR"/>
        </w:rPr>
      </w:pPr>
      <w:r>
        <w:rPr>
          <w:lang w:val="fr-FR"/>
        </w:rPr>
        <w:t>37</w:t>
      </w:r>
      <w:r w:rsidR="00C44B6D">
        <w:rPr>
          <w:lang w:val="fr-FR"/>
        </w:rPr>
        <w:t>9</w:t>
      </w:r>
      <w:r>
        <w:rPr>
          <w:lang w:val="fr-FR"/>
        </w:rPr>
        <w:t>.</w:t>
      </w:r>
      <w:r>
        <w:rPr>
          <w:lang w:val="fr-FR"/>
        </w:rPr>
        <w:tab/>
        <w:t>La formation d’avant déploiement, qui concerne spécifiquement les opérations à venir, est</w:t>
      </w:r>
      <w:r w:rsidR="00BB04DE">
        <w:rPr>
          <w:lang w:val="fr-FR"/>
        </w:rPr>
        <w:t>, elle aussi, assurée par des juristes du personnel d’appui</w:t>
      </w:r>
      <w:r w:rsidR="008D6B80">
        <w:rPr>
          <w:lang w:val="fr-FR"/>
        </w:rPr>
        <w:t xml:space="preserve">. </w:t>
      </w:r>
      <w:r w:rsidR="00BB04DE">
        <w:rPr>
          <w:lang w:val="fr-FR"/>
        </w:rPr>
        <w:t>Tout le personnel des forces armées australiennes bénéficie</w:t>
      </w:r>
      <w:r w:rsidR="00197CD9">
        <w:rPr>
          <w:lang w:val="fr-FR"/>
        </w:rPr>
        <w:t>,</w:t>
      </w:r>
      <w:r w:rsidR="00BB04DE">
        <w:rPr>
          <w:lang w:val="fr-FR"/>
        </w:rPr>
        <w:t xml:space="preserve"> </w:t>
      </w:r>
      <w:r w:rsidR="00197CD9">
        <w:rPr>
          <w:lang w:val="fr-FR"/>
        </w:rPr>
        <w:t xml:space="preserve">avant son déploiement, </w:t>
      </w:r>
      <w:r w:rsidR="00BB04DE">
        <w:rPr>
          <w:lang w:val="fr-FR"/>
        </w:rPr>
        <w:t>d’une formation continue sur les aspects qui le concerne des droits de l’homme et du droit des conflits armés</w:t>
      </w:r>
      <w:r w:rsidR="008D6B80">
        <w:rPr>
          <w:lang w:val="fr-FR"/>
        </w:rPr>
        <w:t xml:space="preserve">. </w:t>
      </w:r>
      <w:r w:rsidR="00BB04DE">
        <w:rPr>
          <w:lang w:val="fr-FR"/>
        </w:rPr>
        <w:t>On veille à ce qu’</w:t>
      </w:r>
      <w:r w:rsidR="008F36BB">
        <w:rPr>
          <w:lang w:val="fr-FR"/>
        </w:rPr>
        <w:t>il reçoive une instruction spécifique</w:t>
      </w:r>
      <w:r w:rsidR="00BB04DE">
        <w:rPr>
          <w:lang w:val="fr-FR"/>
        </w:rPr>
        <w:t xml:space="preserve"> sur </w:t>
      </w:r>
      <w:r w:rsidR="00197CD9">
        <w:rPr>
          <w:lang w:val="fr-FR"/>
        </w:rPr>
        <w:t>le traitement des personnes</w:t>
      </w:r>
      <w:r w:rsidR="00BB04DE">
        <w:rPr>
          <w:lang w:val="fr-FR"/>
        </w:rPr>
        <w:t xml:space="preserve"> placées en détention</w:t>
      </w:r>
      <w:r w:rsidR="008D6B80">
        <w:rPr>
          <w:lang w:val="fr-FR"/>
        </w:rPr>
        <w:t xml:space="preserve">. </w:t>
      </w:r>
      <w:r w:rsidR="008F36BB">
        <w:rPr>
          <w:lang w:val="fr-FR"/>
        </w:rPr>
        <w:t>Cette instruction est fondée sur le</w:t>
      </w:r>
      <w:r w:rsidR="002245BA">
        <w:rPr>
          <w:lang w:val="fr-FR"/>
        </w:rPr>
        <w:t>s procédures opérationnelles normalisé</w:t>
      </w:r>
      <w:r w:rsidR="008F36BB">
        <w:rPr>
          <w:lang w:val="fr-FR"/>
        </w:rPr>
        <w:t>es des forces armées</w:t>
      </w:r>
      <w:r w:rsidR="002245BA">
        <w:rPr>
          <w:lang w:val="fr-FR"/>
        </w:rPr>
        <w:t xml:space="preserve"> ou les instructions permanentes relatives à la détention, la fouille et le désarmement, qui comprennent des </w:t>
      </w:r>
      <w:r w:rsidR="00361E1B">
        <w:rPr>
          <w:lang w:val="fr-FR"/>
        </w:rPr>
        <w:t>ordres et des conseils tirés des prescriptions concernant les obligations juridiques et la politique nationales et internationales de l’Australie, et conformes à ces dernières.</w:t>
      </w:r>
    </w:p>
    <w:p w:rsidR="00A04839" w:rsidRDefault="00361E1B" w:rsidP="005D7B68">
      <w:pPr>
        <w:tabs>
          <w:tab w:val="left" w:pos="567"/>
          <w:tab w:val="left" w:pos="1134"/>
          <w:tab w:val="left" w:pos="1701"/>
          <w:tab w:val="left" w:pos="2268"/>
          <w:tab w:val="left" w:pos="2835"/>
        </w:tabs>
        <w:rPr>
          <w:lang w:val="fr-FR"/>
        </w:rPr>
      </w:pPr>
      <w:r>
        <w:rPr>
          <w:lang w:val="fr-FR"/>
        </w:rPr>
        <w:t>3</w:t>
      </w:r>
      <w:r w:rsidR="00C44B6D">
        <w:rPr>
          <w:lang w:val="fr-FR"/>
        </w:rPr>
        <w:t>80</w:t>
      </w:r>
      <w:r>
        <w:rPr>
          <w:lang w:val="fr-FR"/>
        </w:rPr>
        <w:t>.</w:t>
      </w:r>
      <w:r>
        <w:rPr>
          <w:lang w:val="fr-FR"/>
        </w:rPr>
        <w:tab/>
        <w:t>Le personnel des forces armées australiennes chargé de l’interrogatoire des déten</w:t>
      </w:r>
      <w:r w:rsidR="002834D6">
        <w:rPr>
          <w:lang w:val="fr-FR"/>
        </w:rPr>
        <w:t>us doit être compétent</w:t>
      </w:r>
      <w:r w:rsidR="008D6B80">
        <w:rPr>
          <w:lang w:val="fr-FR"/>
        </w:rPr>
        <w:t xml:space="preserve">. </w:t>
      </w:r>
      <w:r w:rsidR="002834D6">
        <w:rPr>
          <w:lang w:val="fr-FR"/>
        </w:rPr>
        <w:t>Il reçoit</w:t>
      </w:r>
      <w:r>
        <w:rPr>
          <w:lang w:val="fr-FR"/>
        </w:rPr>
        <w:t xml:space="preserve">, à cette fin, une formation spécialisée </w:t>
      </w:r>
      <w:r w:rsidR="00A04839">
        <w:rPr>
          <w:lang w:val="fr-FR"/>
        </w:rPr>
        <w:t xml:space="preserve">très </w:t>
      </w:r>
      <w:r>
        <w:rPr>
          <w:lang w:val="fr-FR"/>
        </w:rPr>
        <w:t>complète et</w:t>
      </w:r>
      <w:r w:rsidR="00A04839">
        <w:rPr>
          <w:lang w:val="fr-FR"/>
        </w:rPr>
        <w:t xml:space="preserve"> fait l’objet d’une surveillance technique</w:t>
      </w:r>
      <w:r w:rsidR="008D6B80">
        <w:rPr>
          <w:lang w:val="fr-FR"/>
        </w:rPr>
        <w:t xml:space="preserve">. </w:t>
      </w:r>
      <w:r w:rsidR="00A04839">
        <w:rPr>
          <w:lang w:val="fr-FR"/>
        </w:rPr>
        <w:t>Cette formation comprend un enseignement large sur les obligations humanitaires imposées par les Conventions de Genève et d’autres instruments internationaux, dont la Convention contre la torture.</w:t>
      </w:r>
    </w:p>
    <w:p w:rsidR="00E74C47" w:rsidRPr="00E60DC8" w:rsidRDefault="00A04839" w:rsidP="005D7B68">
      <w:pPr>
        <w:tabs>
          <w:tab w:val="left" w:pos="567"/>
          <w:tab w:val="left" w:pos="1134"/>
          <w:tab w:val="left" w:pos="1701"/>
          <w:tab w:val="left" w:pos="2268"/>
          <w:tab w:val="left" w:pos="2835"/>
        </w:tabs>
        <w:rPr>
          <w:b/>
          <w:bCs/>
          <w:lang w:val="fr-FR"/>
        </w:rPr>
      </w:pPr>
      <w:r>
        <w:rPr>
          <w:lang w:val="fr-FR"/>
        </w:rPr>
        <w:t>38</w:t>
      </w:r>
      <w:r w:rsidR="00C44B6D">
        <w:rPr>
          <w:lang w:val="fr-FR"/>
        </w:rPr>
        <w:t>1</w:t>
      </w:r>
      <w:r>
        <w:rPr>
          <w:lang w:val="fr-FR"/>
        </w:rPr>
        <w:t>.</w:t>
      </w:r>
      <w:r>
        <w:rPr>
          <w:lang w:val="fr-FR"/>
        </w:rPr>
        <w:tab/>
        <w:t xml:space="preserve">Tout le </w:t>
      </w:r>
      <w:r w:rsidRPr="00B36C15">
        <w:rPr>
          <w:lang w:val="fr-FR"/>
        </w:rPr>
        <w:t>personnel contractuel</w:t>
      </w:r>
      <w:r>
        <w:rPr>
          <w:b/>
          <w:bCs/>
          <w:lang w:val="fr-FR"/>
        </w:rPr>
        <w:t xml:space="preserve"> </w:t>
      </w:r>
      <w:r w:rsidR="00E74C47">
        <w:rPr>
          <w:lang w:val="fr-FR"/>
        </w:rPr>
        <w:t>déployé avec les forces armé</w:t>
      </w:r>
      <w:r w:rsidR="000E400D">
        <w:rPr>
          <w:lang w:val="fr-FR"/>
        </w:rPr>
        <w:t>es reçoit</w:t>
      </w:r>
      <w:r w:rsidR="00E74C47">
        <w:rPr>
          <w:lang w:val="fr-FR"/>
        </w:rPr>
        <w:t xml:space="preserve"> la même formation préalable au déploiement qu</w:t>
      </w:r>
      <w:r w:rsidR="00197CD9">
        <w:rPr>
          <w:lang w:val="fr-FR"/>
        </w:rPr>
        <w:t>e ces dernières, laquelle</w:t>
      </w:r>
      <w:r w:rsidR="00E74C47">
        <w:rPr>
          <w:lang w:val="fr-FR"/>
        </w:rPr>
        <w:t xml:space="preserve"> comporte une instruction sur le droit des conflits armés et la Convention contre la torture.</w:t>
      </w:r>
    </w:p>
    <w:p w:rsidR="00D23C7C" w:rsidRDefault="00E74C47" w:rsidP="005D7B68">
      <w:pPr>
        <w:tabs>
          <w:tab w:val="left" w:pos="567"/>
          <w:tab w:val="left" w:pos="1134"/>
          <w:tab w:val="left" w:pos="1701"/>
          <w:tab w:val="left" w:pos="2268"/>
          <w:tab w:val="left" w:pos="2835"/>
        </w:tabs>
        <w:rPr>
          <w:lang w:val="fr-FR"/>
        </w:rPr>
      </w:pPr>
      <w:r>
        <w:rPr>
          <w:lang w:val="fr-FR"/>
        </w:rPr>
        <w:t>38</w:t>
      </w:r>
      <w:r w:rsidR="00C44B6D">
        <w:rPr>
          <w:lang w:val="fr-FR"/>
        </w:rPr>
        <w:t>2</w:t>
      </w:r>
      <w:r>
        <w:rPr>
          <w:lang w:val="fr-FR"/>
        </w:rPr>
        <w:t>.</w:t>
      </w:r>
      <w:r>
        <w:rPr>
          <w:lang w:val="fr-FR"/>
        </w:rPr>
        <w:tab/>
        <w:t xml:space="preserve">Tous les membres de </w:t>
      </w:r>
      <w:r w:rsidR="00251C4C">
        <w:rPr>
          <w:lang w:val="fr-FR"/>
        </w:rPr>
        <w:t xml:space="preserve">la </w:t>
      </w:r>
      <w:r w:rsidR="00397763">
        <w:rPr>
          <w:lang w:val="fr-FR"/>
        </w:rPr>
        <w:t>police fédérale australienne</w:t>
      </w:r>
      <w:r>
        <w:rPr>
          <w:lang w:val="fr-FR"/>
        </w:rPr>
        <w:t xml:space="preserve"> bénéficient également d’une formation </w:t>
      </w:r>
      <w:r w:rsidR="001D0947">
        <w:rPr>
          <w:lang w:val="fr-FR"/>
        </w:rPr>
        <w:t xml:space="preserve">d’avant déploiement </w:t>
      </w:r>
      <w:r>
        <w:rPr>
          <w:lang w:val="fr-FR"/>
        </w:rPr>
        <w:t>en vue des missions internationales, qu’elles soient placées sous l’égide de l’ONU, multilatérales ou bilatérales, dans le cadre de laquelle ils entendent des exposés sur les droits de l’homme et le droit international.</w:t>
      </w:r>
    </w:p>
    <w:p w:rsidR="00D23C7C" w:rsidRPr="0025539C" w:rsidRDefault="00D23C7C" w:rsidP="005D7B68">
      <w:pPr>
        <w:tabs>
          <w:tab w:val="left" w:pos="567"/>
          <w:tab w:val="left" w:pos="1134"/>
          <w:tab w:val="left" w:pos="1701"/>
          <w:tab w:val="left" w:pos="2268"/>
          <w:tab w:val="left" w:pos="2835"/>
        </w:tabs>
        <w:rPr>
          <w:b/>
          <w:bCs/>
          <w:lang w:val="fr-FR"/>
        </w:rPr>
      </w:pPr>
      <w:r>
        <w:rPr>
          <w:b/>
          <w:bCs/>
          <w:lang w:val="fr-FR"/>
        </w:rPr>
        <w:t>Question 20</w:t>
      </w:r>
    </w:p>
    <w:p w:rsidR="00D23C7C" w:rsidRDefault="00D23C7C" w:rsidP="005D7B68">
      <w:pPr>
        <w:tabs>
          <w:tab w:val="left" w:pos="567"/>
          <w:tab w:val="left" w:pos="1134"/>
          <w:tab w:val="left" w:pos="1701"/>
          <w:tab w:val="left" w:pos="2268"/>
          <w:tab w:val="left" w:pos="2835"/>
        </w:tabs>
        <w:rPr>
          <w:b/>
          <w:bCs/>
          <w:lang w:val="fr-FR"/>
        </w:rPr>
      </w:pPr>
      <w:r>
        <w:rPr>
          <w:lang w:val="fr-FR"/>
        </w:rPr>
        <w:tab/>
      </w:r>
      <w:r w:rsidRPr="00D23C7C">
        <w:rPr>
          <w:b/>
          <w:bCs/>
          <w:lang w:val="fr-FR"/>
        </w:rPr>
        <w:t>Donner des détails sur le type de formation dispensé aux fonctionnaires chargés d’exécuter les mesures d’expulsion, de renvoi ou d’extradition des demandeurs d’asile.</w:t>
      </w:r>
    </w:p>
    <w:p w:rsidR="00624178" w:rsidRDefault="00D23C7C" w:rsidP="005D7B68">
      <w:pPr>
        <w:tabs>
          <w:tab w:val="left" w:pos="567"/>
          <w:tab w:val="left" w:pos="1134"/>
          <w:tab w:val="left" w:pos="1701"/>
          <w:tab w:val="left" w:pos="2268"/>
          <w:tab w:val="left" w:pos="2835"/>
        </w:tabs>
        <w:rPr>
          <w:lang w:val="fr-FR"/>
        </w:rPr>
      </w:pPr>
      <w:r>
        <w:rPr>
          <w:lang w:val="fr-FR"/>
        </w:rPr>
        <w:t>38</w:t>
      </w:r>
      <w:r w:rsidR="00C44B6D">
        <w:rPr>
          <w:lang w:val="fr-FR"/>
        </w:rPr>
        <w:t>3</w:t>
      </w:r>
      <w:r>
        <w:rPr>
          <w:lang w:val="fr-FR"/>
        </w:rPr>
        <w:t>.</w:t>
      </w:r>
      <w:r>
        <w:rPr>
          <w:lang w:val="fr-FR"/>
        </w:rPr>
        <w:tab/>
      </w:r>
      <w:r w:rsidR="0053535F">
        <w:rPr>
          <w:lang w:val="fr-FR"/>
        </w:rPr>
        <w:t>Le Ministère de l’immigration et de la citoyenneté effectue un contrôle préalable au refoulement de tous les demandeurs d’asile dont la demande a été refusée</w:t>
      </w:r>
      <w:r w:rsidR="008D6B80">
        <w:rPr>
          <w:lang w:val="fr-FR"/>
        </w:rPr>
        <w:t xml:space="preserve">. </w:t>
      </w:r>
      <w:r w:rsidR="0053535F">
        <w:rPr>
          <w:lang w:val="fr-FR"/>
        </w:rPr>
        <w:t>Une évaluation</w:t>
      </w:r>
      <w:r w:rsidR="00B56FB3">
        <w:rPr>
          <w:lang w:val="fr-FR"/>
        </w:rPr>
        <w:t xml:space="preserve"> de chaque cas est fa</w:t>
      </w:r>
      <w:r w:rsidR="00D1747C">
        <w:rPr>
          <w:lang w:val="fr-FR"/>
        </w:rPr>
        <w:t>ite par un personnel qui a reçu</w:t>
      </w:r>
      <w:r w:rsidR="00B56FB3">
        <w:rPr>
          <w:lang w:val="fr-FR"/>
        </w:rPr>
        <w:t xml:space="preserve"> une formation relative à la prise de décisions concernant les réfugiés et aux obligations internationales imposées par le Pacte international relatif aux droits civils e</w:t>
      </w:r>
      <w:r w:rsidR="00867977">
        <w:rPr>
          <w:lang w:val="fr-FR"/>
        </w:rPr>
        <w:t>t politiques, la Convention con</w:t>
      </w:r>
      <w:r w:rsidR="00B56FB3">
        <w:rPr>
          <w:lang w:val="fr-FR"/>
        </w:rPr>
        <w:t>tre la torture et</w:t>
      </w:r>
      <w:r w:rsidR="00DF1715">
        <w:rPr>
          <w:lang w:val="fr-FR"/>
        </w:rPr>
        <w:t xml:space="preserve"> la Convention relative aux droits de l’enfant</w:t>
      </w:r>
      <w:r w:rsidR="008D6B80">
        <w:rPr>
          <w:lang w:val="fr-FR"/>
        </w:rPr>
        <w:t xml:space="preserve">. </w:t>
      </w:r>
      <w:r w:rsidR="0077052A">
        <w:rPr>
          <w:lang w:val="fr-FR"/>
        </w:rPr>
        <w:t>Cette évaluation doit être homologuée par</w:t>
      </w:r>
      <w:r w:rsidR="005A0A5E">
        <w:rPr>
          <w:lang w:val="fr-FR"/>
        </w:rPr>
        <w:t xml:space="preserve"> le chef de service du programme de protection de l’Australie avant qu’il ne puisse être procédé à l’expulsion</w:t>
      </w:r>
      <w:r w:rsidR="008D6B80">
        <w:rPr>
          <w:lang w:val="fr-FR"/>
        </w:rPr>
        <w:t xml:space="preserve">. </w:t>
      </w:r>
      <w:r w:rsidR="005A0A5E">
        <w:rPr>
          <w:lang w:val="fr-FR"/>
        </w:rPr>
        <w:t>Bien que</w:t>
      </w:r>
      <w:r w:rsidR="009E21B7">
        <w:rPr>
          <w:lang w:val="fr-FR"/>
        </w:rPr>
        <w:t xml:space="preserve"> le contrôle préalable ne soit pas nécessaire dans le cas de l’éloignement volontaire de tous les demandeurs d’asile dont la demande a été refusée, les fonctionnaires chargés des expulsions ont l’ordre de transmettre les dossiers des personnes entrant dans l’une des caté</w:t>
      </w:r>
      <w:r w:rsidR="00B14847">
        <w:rPr>
          <w:lang w:val="fr-FR"/>
        </w:rPr>
        <w:t>gories de facteurs de risque ci</w:t>
      </w:r>
      <w:r w:rsidR="00B14847">
        <w:rPr>
          <w:lang w:val="fr-FR"/>
        </w:rPr>
        <w:noBreakHyphen/>
      </w:r>
      <w:r w:rsidR="009E21B7">
        <w:rPr>
          <w:lang w:val="fr-FR"/>
        </w:rPr>
        <w:t>après au service chargé des contrôle</w:t>
      </w:r>
      <w:r w:rsidR="00B36C15">
        <w:rPr>
          <w:lang w:val="fr-FR"/>
        </w:rPr>
        <w:t>s</w:t>
      </w:r>
      <w:r w:rsidR="009E21B7">
        <w:rPr>
          <w:lang w:val="fr-FR"/>
        </w:rPr>
        <w:t xml:space="preserve"> préalable</w:t>
      </w:r>
      <w:r w:rsidR="00B36C15">
        <w:rPr>
          <w:lang w:val="fr-FR"/>
        </w:rPr>
        <w:t>s</w:t>
      </w:r>
      <w:r w:rsidR="009E21B7">
        <w:rPr>
          <w:lang w:val="fr-FR"/>
        </w:rPr>
        <w:t xml:space="preserve"> au refoulement pour</w:t>
      </w:r>
      <w:r w:rsidR="00624178">
        <w:rPr>
          <w:lang w:val="fr-FR"/>
        </w:rPr>
        <w:t xml:space="preserve"> nouvel examen</w:t>
      </w:r>
      <w:r w:rsidR="00572260">
        <w:rPr>
          <w:lang w:val="fr-FR"/>
        </w:rPr>
        <w:t>:</w:t>
      </w:r>
    </w:p>
    <w:p w:rsidR="00D23C7C" w:rsidRDefault="00624178" w:rsidP="005D7B68">
      <w:pPr>
        <w:tabs>
          <w:tab w:val="left" w:pos="567"/>
          <w:tab w:val="left" w:pos="1134"/>
          <w:tab w:val="left" w:pos="1701"/>
          <w:tab w:val="left" w:pos="2268"/>
          <w:tab w:val="left" w:pos="2835"/>
        </w:tabs>
        <w:rPr>
          <w:lang w:val="fr-FR"/>
        </w:rPr>
      </w:pPr>
      <w:r>
        <w:rPr>
          <w:lang w:val="fr-FR"/>
        </w:rPr>
        <w:tab/>
        <w:t>a)</w:t>
      </w:r>
      <w:r>
        <w:rPr>
          <w:lang w:val="fr-FR"/>
        </w:rPr>
        <w:tab/>
        <w:t>Si la personne a exprimé la crainte</w:t>
      </w:r>
      <w:r w:rsidR="009E21B7">
        <w:rPr>
          <w:lang w:val="fr-FR"/>
        </w:rPr>
        <w:t xml:space="preserve"> </w:t>
      </w:r>
      <w:r>
        <w:rPr>
          <w:lang w:val="fr-FR"/>
        </w:rPr>
        <w:t>d’être exposée à la persécution, à la torture ou</w:t>
      </w:r>
      <w:r w:rsidR="00C60F16">
        <w:rPr>
          <w:lang w:val="fr-FR"/>
        </w:rPr>
        <w:t xml:space="preserve"> à des violations des droits de l’homme à son retour</w:t>
      </w:r>
      <w:r w:rsidR="00572260">
        <w:rPr>
          <w:lang w:val="fr-FR"/>
        </w:rPr>
        <w:t>;</w:t>
      </w:r>
      <w:r w:rsidR="00C60F16">
        <w:rPr>
          <w:lang w:val="fr-FR"/>
        </w:rPr>
        <w:t xml:space="preserve"> ou</w:t>
      </w:r>
    </w:p>
    <w:p w:rsidR="00C60F16" w:rsidRDefault="00C60F16" w:rsidP="005D7B68">
      <w:pPr>
        <w:tabs>
          <w:tab w:val="left" w:pos="567"/>
          <w:tab w:val="left" w:pos="1134"/>
          <w:tab w:val="left" w:pos="1701"/>
          <w:tab w:val="left" w:pos="2268"/>
          <w:tab w:val="left" w:pos="2835"/>
        </w:tabs>
        <w:rPr>
          <w:lang w:val="fr-FR"/>
        </w:rPr>
      </w:pPr>
      <w:r>
        <w:rPr>
          <w:lang w:val="fr-FR"/>
        </w:rPr>
        <w:tab/>
        <w:t>b)</w:t>
      </w:r>
      <w:r>
        <w:rPr>
          <w:lang w:val="fr-FR"/>
        </w:rPr>
        <w:tab/>
        <w:t xml:space="preserve">Si l’on sait que cette personne </w:t>
      </w:r>
      <w:r w:rsidR="00A746C5">
        <w:rPr>
          <w:lang w:val="fr-FR"/>
        </w:rPr>
        <w:t>peut faire l’objet d</w:t>
      </w:r>
      <w:r w:rsidR="00F4292C">
        <w:rPr>
          <w:lang w:val="fr-FR"/>
        </w:rPr>
        <w:t>e poursuites</w:t>
      </w:r>
      <w:r w:rsidR="00A746C5">
        <w:rPr>
          <w:lang w:val="fr-FR"/>
        </w:rPr>
        <w:t xml:space="preserve"> pénale</w:t>
      </w:r>
      <w:r w:rsidR="00251C4C">
        <w:rPr>
          <w:lang w:val="fr-FR"/>
        </w:rPr>
        <w:t>s susceptibles d’</w:t>
      </w:r>
      <w:r w:rsidR="00F4292C">
        <w:rPr>
          <w:lang w:val="fr-FR"/>
        </w:rPr>
        <w:t>entraîner un</w:t>
      </w:r>
      <w:r w:rsidR="00251C4C">
        <w:rPr>
          <w:lang w:val="fr-FR"/>
        </w:rPr>
        <w:t>e</w:t>
      </w:r>
      <w:r w:rsidR="00F4292C">
        <w:rPr>
          <w:lang w:val="fr-FR"/>
        </w:rPr>
        <w:t xml:space="preserve"> condamnation à la peine capitale</w:t>
      </w:r>
      <w:r w:rsidR="00572260">
        <w:rPr>
          <w:lang w:val="fr-FR"/>
        </w:rPr>
        <w:t>;</w:t>
      </w:r>
      <w:r w:rsidR="00F4292C">
        <w:rPr>
          <w:lang w:val="fr-FR"/>
        </w:rPr>
        <w:t xml:space="preserve"> ou</w:t>
      </w:r>
    </w:p>
    <w:p w:rsidR="00F4292C" w:rsidRDefault="00F4292C" w:rsidP="005D7B68">
      <w:pPr>
        <w:tabs>
          <w:tab w:val="left" w:pos="567"/>
          <w:tab w:val="left" w:pos="1134"/>
          <w:tab w:val="left" w:pos="1701"/>
          <w:tab w:val="left" w:pos="2268"/>
          <w:tab w:val="left" w:pos="2835"/>
        </w:tabs>
        <w:rPr>
          <w:lang w:val="fr-FR"/>
        </w:rPr>
      </w:pPr>
      <w:r>
        <w:rPr>
          <w:lang w:val="fr-FR"/>
        </w:rPr>
        <w:tab/>
        <w:t>c)</w:t>
      </w:r>
      <w:r>
        <w:rPr>
          <w:lang w:val="fr-FR"/>
        </w:rPr>
        <w:tab/>
        <w:t xml:space="preserve">Si le dossier indique que </w:t>
      </w:r>
      <w:r w:rsidR="003A7590">
        <w:rPr>
          <w:lang w:val="fr-FR"/>
        </w:rPr>
        <w:t>le Haut Commissariat des Nations Unies pour les réfugiés, le Comité des droits de l’homme ou le Comité des Nations Unies contre la torture s’intéresse à cette personne qu’il semble utile de protéger</w:t>
      </w:r>
      <w:r w:rsidR="00572260">
        <w:rPr>
          <w:lang w:val="fr-FR"/>
        </w:rPr>
        <w:t>;</w:t>
      </w:r>
      <w:r w:rsidR="003A7590">
        <w:rPr>
          <w:lang w:val="fr-FR"/>
        </w:rPr>
        <w:t xml:space="preserve"> ou</w:t>
      </w:r>
    </w:p>
    <w:p w:rsidR="003A7590" w:rsidRDefault="003A7590" w:rsidP="005D7B68">
      <w:pPr>
        <w:tabs>
          <w:tab w:val="left" w:pos="567"/>
          <w:tab w:val="left" w:pos="1134"/>
          <w:tab w:val="left" w:pos="1701"/>
          <w:tab w:val="left" w:pos="2268"/>
          <w:tab w:val="left" w:pos="2835"/>
        </w:tabs>
        <w:rPr>
          <w:lang w:val="fr-FR"/>
        </w:rPr>
      </w:pPr>
      <w:r>
        <w:rPr>
          <w:lang w:val="fr-FR"/>
        </w:rPr>
        <w:tab/>
        <w:t>d)</w:t>
      </w:r>
      <w:r>
        <w:rPr>
          <w:lang w:val="fr-FR"/>
        </w:rPr>
        <w:tab/>
        <w:t>S’il s’agit d’un retour en Iraq, en Iran ou en Afghanistan</w:t>
      </w:r>
      <w:r w:rsidR="00572260">
        <w:rPr>
          <w:lang w:val="fr-FR"/>
        </w:rPr>
        <w:t>;</w:t>
      </w:r>
      <w:r>
        <w:rPr>
          <w:lang w:val="fr-FR"/>
        </w:rPr>
        <w:t xml:space="preserve"> ou</w:t>
      </w:r>
    </w:p>
    <w:p w:rsidR="003A7590" w:rsidRDefault="003A7590" w:rsidP="005D7B68">
      <w:pPr>
        <w:tabs>
          <w:tab w:val="left" w:pos="567"/>
          <w:tab w:val="left" w:pos="1134"/>
          <w:tab w:val="left" w:pos="1701"/>
          <w:tab w:val="left" w:pos="2268"/>
          <w:tab w:val="left" w:pos="2835"/>
        </w:tabs>
        <w:rPr>
          <w:lang w:val="fr-FR"/>
        </w:rPr>
      </w:pPr>
      <w:r>
        <w:rPr>
          <w:lang w:val="fr-FR"/>
        </w:rPr>
        <w:tab/>
        <w:t>e)</w:t>
      </w:r>
      <w:r>
        <w:rPr>
          <w:lang w:val="fr-FR"/>
        </w:rPr>
        <w:tab/>
        <w:t>En toute autre circonstance conduisant un fonctionnaire à se demander s’il conviendrait d’envisager des mesures de protection</w:t>
      </w:r>
      <w:r w:rsidR="00A765DA">
        <w:rPr>
          <w:lang w:val="fr-FR"/>
        </w:rPr>
        <w:t xml:space="preserve"> en faveur de l’intéressé.</w:t>
      </w:r>
    </w:p>
    <w:p w:rsidR="00A765DA" w:rsidRDefault="00A765DA" w:rsidP="005D7B68">
      <w:pPr>
        <w:tabs>
          <w:tab w:val="left" w:pos="567"/>
          <w:tab w:val="left" w:pos="1134"/>
          <w:tab w:val="left" w:pos="1701"/>
          <w:tab w:val="left" w:pos="2268"/>
          <w:tab w:val="left" w:pos="2835"/>
        </w:tabs>
        <w:rPr>
          <w:lang w:val="fr-FR"/>
        </w:rPr>
      </w:pPr>
      <w:r>
        <w:rPr>
          <w:lang w:val="fr-FR"/>
        </w:rPr>
        <w:t>38</w:t>
      </w:r>
      <w:r w:rsidR="00C44B6D">
        <w:rPr>
          <w:lang w:val="fr-FR"/>
        </w:rPr>
        <w:t>4</w:t>
      </w:r>
      <w:r>
        <w:rPr>
          <w:lang w:val="fr-FR"/>
        </w:rPr>
        <w:t>.</w:t>
      </w:r>
      <w:r>
        <w:rPr>
          <w:lang w:val="fr-FR"/>
        </w:rPr>
        <w:tab/>
      </w:r>
      <w:r w:rsidR="00111F65">
        <w:rPr>
          <w:lang w:val="fr-FR"/>
        </w:rPr>
        <w:t>En plus de ces mesures, le Ministère de l’immigration et de la citoyenneté a mis en place une approche de prestation de services de prise en charge de cas pour s’occuper des bénéficiaires les plus v</w:t>
      </w:r>
      <w:r w:rsidR="00556152">
        <w:rPr>
          <w:lang w:val="fr-FR"/>
        </w:rPr>
        <w:t xml:space="preserve">ulnérables ou de ceux qui sont </w:t>
      </w:r>
      <w:r w:rsidR="00111F65">
        <w:rPr>
          <w:lang w:val="fr-FR"/>
        </w:rPr>
        <w:t>dans une situation complexe</w:t>
      </w:r>
      <w:r w:rsidR="008D6B80">
        <w:rPr>
          <w:lang w:val="fr-FR"/>
        </w:rPr>
        <w:t xml:space="preserve">. </w:t>
      </w:r>
      <w:r w:rsidR="00111F65">
        <w:rPr>
          <w:lang w:val="fr-FR"/>
        </w:rPr>
        <w:t>Il possède un réseau de gestionnaires de cas spécialisés dans chaque Bureau d’État et de Territoire.</w:t>
      </w:r>
    </w:p>
    <w:p w:rsidR="005202FF" w:rsidRDefault="00111F65" w:rsidP="005D7B68">
      <w:pPr>
        <w:tabs>
          <w:tab w:val="left" w:pos="567"/>
          <w:tab w:val="left" w:pos="1134"/>
          <w:tab w:val="left" w:pos="1701"/>
          <w:tab w:val="left" w:pos="2268"/>
          <w:tab w:val="left" w:pos="2835"/>
        </w:tabs>
        <w:rPr>
          <w:lang w:val="fr-FR"/>
        </w:rPr>
      </w:pPr>
      <w:r>
        <w:rPr>
          <w:lang w:val="fr-FR"/>
        </w:rPr>
        <w:t>38</w:t>
      </w:r>
      <w:r w:rsidR="00C44B6D">
        <w:rPr>
          <w:lang w:val="fr-FR"/>
        </w:rPr>
        <w:t>5</w:t>
      </w:r>
      <w:r>
        <w:rPr>
          <w:lang w:val="fr-FR"/>
        </w:rPr>
        <w:t>.</w:t>
      </w:r>
      <w:r>
        <w:rPr>
          <w:lang w:val="fr-FR"/>
        </w:rPr>
        <w:tab/>
      </w:r>
      <w:r w:rsidR="00883E08">
        <w:rPr>
          <w:lang w:val="fr-FR"/>
        </w:rPr>
        <w:t>La gestion des cas effectuée par le Ministère de l’immigration et de la citoyenneté se caractérise par une prestation de services individualisés et actifs auprès des</w:t>
      </w:r>
      <w:r w:rsidR="00BD6053">
        <w:rPr>
          <w:lang w:val="fr-FR"/>
        </w:rPr>
        <w:t xml:space="preserve"> utilisateurs</w:t>
      </w:r>
      <w:r w:rsidR="00883E08">
        <w:rPr>
          <w:lang w:val="fr-FR"/>
        </w:rPr>
        <w:t>, grâce à des renseignements figurant dans un plan</w:t>
      </w:r>
      <w:r w:rsidR="005202FF">
        <w:rPr>
          <w:lang w:val="fr-FR"/>
        </w:rPr>
        <w:t xml:space="preserve"> d’action</w:t>
      </w:r>
      <w:r w:rsidR="00883E08">
        <w:rPr>
          <w:lang w:val="fr-FR"/>
        </w:rPr>
        <w:t xml:space="preserve"> fondé sur une évaluation très complète des besoins de l’intéressé</w:t>
      </w:r>
      <w:r w:rsidR="008D6B80">
        <w:rPr>
          <w:lang w:val="fr-FR"/>
        </w:rPr>
        <w:t xml:space="preserve">. </w:t>
      </w:r>
      <w:r w:rsidR="005202FF">
        <w:rPr>
          <w:lang w:val="fr-FR"/>
        </w:rPr>
        <w:t>En coordonnant les services nécessaires en fonction de la situation de chaque bénéficiaire, les gestionnaires de cas font en sorte que ce</w:t>
      </w:r>
      <w:r w:rsidR="00B27A8F">
        <w:rPr>
          <w:lang w:val="fr-FR"/>
        </w:rPr>
        <w:t>s</w:t>
      </w:r>
      <w:r w:rsidR="005202FF">
        <w:rPr>
          <w:lang w:val="fr-FR"/>
        </w:rPr>
        <w:t xml:space="preserve"> dernier</w:t>
      </w:r>
      <w:r w:rsidR="00B27A8F">
        <w:rPr>
          <w:lang w:val="fr-FR"/>
        </w:rPr>
        <w:t>s</w:t>
      </w:r>
      <w:r w:rsidR="005202FF">
        <w:rPr>
          <w:lang w:val="fr-FR"/>
        </w:rPr>
        <w:t xml:space="preserve"> puisse</w:t>
      </w:r>
      <w:r w:rsidR="00B27A8F">
        <w:rPr>
          <w:lang w:val="fr-FR"/>
        </w:rPr>
        <w:t>nt</w:t>
      </w:r>
      <w:r w:rsidR="005202FF">
        <w:rPr>
          <w:lang w:val="fr-FR"/>
        </w:rPr>
        <w:t xml:space="preserve"> être acheminé</w:t>
      </w:r>
      <w:r w:rsidR="00B27A8F">
        <w:rPr>
          <w:lang w:val="fr-FR"/>
        </w:rPr>
        <w:t>s</w:t>
      </w:r>
      <w:r w:rsidR="005202FF">
        <w:rPr>
          <w:lang w:val="fr-FR"/>
        </w:rPr>
        <w:t xml:space="preserve"> rapidement vers un dénouement équitable, raisonnable et légal.</w:t>
      </w:r>
    </w:p>
    <w:p w:rsidR="00111F65" w:rsidRDefault="005202FF" w:rsidP="005D7B68">
      <w:pPr>
        <w:tabs>
          <w:tab w:val="left" w:pos="567"/>
          <w:tab w:val="left" w:pos="1134"/>
          <w:tab w:val="left" w:pos="1701"/>
          <w:tab w:val="left" w:pos="2268"/>
          <w:tab w:val="left" w:pos="2835"/>
        </w:tabs>
        <w:rPr>
          <w:lang w:val="fr-FR"/>
        </w:rPr>
      </w:pPr>
      <w:r>
        <w:rPr>
          <w:lang w:val="fr-FR"/>
        </w:rPr>
        <w:t>38</w:t>
      </w:r>
      <w:r w:rsidR="00C44B6D">
        <w:rPr>
          <w:lang w:val="fr-FR"/>
        </w:rPr>
        <w:t>6</w:t>
      </w:r>
      <w:r>
        <w:rPr>
          <w:lang w:val="fr-FR"/>
        </w:rPr>
        <w:t>.</w:t>
      </w:r>
      <w:r>
        <w:rPr>
          <w:lang w:val="fr-FR"/>
        </w:rPr>
        <w:tab/>
      </w:r>
      <w:r w:rsidR="00572260">
        <w:rPr>
          <w:lang w:val="fr-FR"/>
        </w:rPr>
        <w:t xml:space="preserve"> </w:t>
      </w:r>
      <w:r>
        <w:rPr>
          <w:lang w:val="fr-FR"/>
        </w:rPr>
        <w:t xml:space="preserve">La gestion des cas est conçue autour d’une </w:t>
      </w:r>
      <w:r w:rsidR="00A619D6">
        <w:rPr>
          <w:lang w:val="fr-FR"/>
        </w:rPr>
        <w:t>«</w:t>
      </w:r>
      <w:r>
        <w:rPr>
          <w:lang w:val="fr-FR"/>
        </w:rPr>
        <w:t>intervention précoce</w:t>
      </w:r>
      <w:r w:rsidR="00A619D6">
        <w:rPr>
          <w:lang w:val="fr-FR"/>
        </w:rPr>
        <w:t>»</w:t>
      </w:r>
      <w:r>
        <w:rPr>
          <w:lang w:val="fr-FR"/>
        </w:rPr>
        <w:t xml:space="preserve"> </w:t>
      </w:r>
      <w:r w:rsidR="00B14847">
        <w:rPr>
          <w:lang w:val="fr-FR"/>
        </w:rPr>
        <w:t xml:space="preserve">– </w:t>
      </w:r>
      <w:r>
        <w:rPr>
          <w:lang w:val="fr-FR"/>
        </w:rPr>
        <w:t xml:space="preserve">c’est-à-dire en travaillant auprès des bénéficiaires dès que possible pour veiller à ce qu’ils comprennent le fonctionnement du système et le rôle qu’ils peuvent jouer </w:t>
      </w:r>
      <w:r w:rsidR="00F4768D">
        <w:rPr>
          <w:lang w:val="fr-FR"/>
        </w:rPr>
        <w:t xml:space="preserve">pour </w:t>
      </w:r>
      <w:r w:rsidR="005D4A9D">
        <w:rPr>
          <w:lang w:val="fr-FR"/>
        </w:rPr>
        <w:t xml:space="preserve">que </w:t>
      </w:r>
      <w:r w:rsidR="00F4768D">
        <w:rPr>
          <w:lang w:val="fr-FR"/>
        </w:rPr>
        <w:t>leur situation soit réglée.</w:t>
      </w:r>
    </w:p>
    <w:p w:rsidR="00F4768D" w:rsidRDefault="00F4768D" w:rsidP="005D7B68">
      <w:pPr>
        <w:tabs>
          <w:tab w:val="left" w:pos="567"/>
          <w:tab w:val="left" w:pos="1134"/>
          <w:tab w:val="left" w:pos="1701"/>
          <w:tab w:val="left" w:pos="2268"/>
          <w:tab w:val="left" w:pos="2835"/>
        </w:tabs>
        <w:rPr>
          <w:b/>
          <w:bCs/>
          <w:lang w:val="fr-FR"/>
        </w:rPr>
      </w:pPr>
      <w:r>
        <w:rPr>
          <w:b/>
          <w:bCs/>
          <w:lang w:val="fr-FR"/>
        </w:rPr>
        <w:t>Question 21</w:t>
      </w:r>
    </w:p>
    <w:p w:rsidR="00F4768D" w:rsidRDefault="00FE50C7" w:rsidP="005D7B68">
      <w:pPr>
        <w:tabs>
          <w:tab w:val="left" w:pos="567"/>
          <w:tab w:val="left" w:pos="1134"/>
          <w:tab w:val="left" w:pos="1701"/>
          <w:tab w:val="left" w:pos="2268"/>
          <w:tab w:val="left" w:pos="2835"/>
        </w:tabs>
        <w:rPr>
          <w:b/>
          <w:bCs/>
          <w:lang w:val="fr-FR"/>
        </w:rPr>
      </w:pPr>
      <w:r>
        <w:rPr>
          <w:b/>
          <w:bCs/>
          <w:lang w:val="fr-FR"/>
        </w:rPr>
        <w:tab/>
      </w:r>
      <w:r w:rsidRPr="00FE50C7">
        <w:rPr>
          <w:b/>
          <w:bCs/>
          <w:lang w:val="fr-FR"/>
        </w:rPr>
        <w:t>Le Comité note que, depuis 1998, l’administration des centres de rétention d’immigrants est confiée à des sociétés privées. Indiquer si les employés de ces sociétés qui travaillent dans les centres de rétention sont instruits des obligations découlant de la Convention et d’autres instruments internationaux relatifs aux droits de l’homme qui leur sont applicables et qu’ils sont tenus de respecter dans l’exercice de leurs fonctions.</w:t>
      </w:r>
    </w:p>
    <w:p w:rsidR="00FE50C7" w:rsidRPr="00FE50C7" w:rsidRDefault="00C44B6D" w:rsidP="005D7B68">
      <w:pPr>
        <w:tabs>
          <w:tab w:val="left" w:pos="567"/>
          <w:tab w:val="left" w:pos="1134"/>
          <w:tab w:val="left" w:pos="1701"/>
          <w:tab w:val="left" w:pos="2268"/>
          <w:tab w:val="left" w:pos="2835"/>
        </w:tabs>
        <w:rPr>
          <w:lang w:val="fr-FR"/>
        </w:rPr>
      </w:pPr>
      <w:r>
        <w:rPr>
          <w:lang w:val="fr-FR"/>
        </w:rPr>
        <w:t>387.</w:t>
      </w:r>
      <w:r>
        <w:rPr>
          <w:lang w:val="fr-FR"/>
        </w:rPr>
        <w:tab/>
      </w:r>
      <w:r w:rsidR="00FE50C7">
        <w:rPr>
          <w:lang w:val="fr-FR"/>
        </w:rPr>
        <w:t>La formation</w:t>
      </w:r>
      <w:r w:rsidR="00F4254D">
        <w:rPr>
          <w:lang w:val="fr-FR"/>
        </w:rPr>
        <w:t xml:space="preserve"> organisée par les services de r</w:t>
      </w:r>
      <w:r w:rsidR="00FE50C7">
        <w:rPr>
          <w:lang w:val="fr-FR"/>
        </w:rPr>
        <w:t>étention pour leur pers</w:t>
      </w:r>
      <w:r w:rsidR="005855D3">
        <w:rPr>
          <w:lang w:val="fr-FR"/>
        </w:rPr>
        <w:t>onnel dans le cadre du contrat dont ils relèvent</w:t>
      </w:r>
      <w:r w:rsidR="00FE50C7">
        <w:rPr>
          <w:lang w:val="fr-FR"/>
        </w:rPr>
        <w:t xml:space="preserve"> comprend un module sur les conventions et traités internationaux, tels qu’ils s’appliquent au personnel concerné dans l’exercice de ses fonctions,</w:t>
      </w:r>
      <w:r w:rsidR="00CF38A6">
        <w:rPr>
          <w:lang w:val="fr-FR"/>
        </w:rPr>
        <w:t xml:space="preserve"> avec une insistance particul</w:t>
      </w:r>
      <w:r w:rsidR="00FE50C7">
        <w:rPr>
          <w:lang w:val="fr-FR"/>
        </w:rPr>
        <w:t>ière sur les droits</w:t>
      </w:r>
      <w:r w:rsidR="00CF38A6">
        <w:rPr>
          <w:lang w:val="fr-FR"/>
        </w:rPr>
        <w:t xml:space="preserve"> de l’homme des personnes</w:t>
      </w:r>
      <w:r w:rsidR="00FE50C7">
        <w:rPr>
          <w:lang w:val="fr-FR"/>
        </w:rPr>
        <w:t xml:space="preserve"> </w:t>
      </w:r>
      <w:r w:rsidR="00556152">
        <w:rPr>
          <w:lang w:val="fr-FR"/>
        </w:rPr>
        <w:t>placées en r</w:t>
      </w:r>
      <w:r w:rsidR="00CF38A6">
        <w:rPr>
          <w:lang w:val="fr-FR"/>
        </w:rPr>
        <w:t>étention sous leur responsabilité.</w:t>
      </w:r>
    </w:p>
    <w:p w:rsidR="00E74C47" w:rsidRDefault="00CF38A6" w:rsidP="005D7B68">
      <w:pPr>
        <w:tabs>
          <w:tab w:val="left" w:pos="567"/>
          <w:tab w:val="left" w:pos="1134"/>
          <w:tab w:val="left" w:pos="1701"/>
          <w:tab w:val="left" w:pos="2268"/>
          <w:tab w:val="left" w:pos="2835"/>
        </w:tabs>
        <w:jc w:val="center"/>
        <w:rPr>
          <w:b/>
          <w:bCs/>
          <w:lang w:val="fr-FR"/>
        </w:rPr>
      </w:pPr>
      <w:r>
        <w:rPr>
          <w:b/>
          <w:bCs/>
          <w:lang w:val="fr-FR"/>
        </w:rPr>
        <w:t>ARTICLE 11</w:t>
      </w:r>
    </w:p>
    <w:p w:rsidR="00CF38A6" w:rsidRDefault="00CF38A6" w:rsidP="005D7B68">
      <w:pPr>
        <w:tabs>
          <w:tab w:val="left" w:pos="567"/>
          <w:tab w:val="left" w:pos="1134"/>
          <w:tab w:val="left" w:pos="1701"/>
          <w:tab w:val="left" w:pos="2268"/>
          <w:tab w:val="left" w:pos="2835"/>
        </w:tabs>
        <w:rPr>
          <w:b/>
          <w:bCs/>
          <w:lang w:val="fr-FR"/>
        </w:rPr>
      </w:pPr>
      <w:r>
        <w:rPr>
          <w:b/>
          <w:bCs/>
          <w:lang w:val="fr-FR"/>
        </w:rPr>
        <w:t>Question 22</w:t>
      </w:r>
    </w:p>
    <w:p w:rsidR="00CF38A6" w:rsidRPr="00CF38A6" w:rsidRDefault="00CF38A6" w:rsidP="005D7B68">
      <w:pPr>
        <w:tabs>
          <w:tab w:val="left" w:pos="567"/>
          <w:tab w:val="left" w:pos="1134"/>
          <w:tab w:val="left" w:pos="1701"/>
          <w:tab w:val="left" w:pos="2268"/>
          <w:tab w:val="left" w:pos="2835"/>
        </w:tabs>
        <w:rPr>
          <w:b/>
          <w:bCs/>
          <w:lang w:val="fr-FR"/>
        </w:rPr>
      </w:pPr>
      <w:r>
        <w:rPr>
          <w:b/>
          <w:bCs/>
          <w:lang w:val="fr-FR"/>
        </w:rPr>
        <w:tab/>
      </w:r>
      <w:r w:rsidRPr="00CF38A6">
        <w:rPr>
          <w:b/>
          <w:bCs/>
          <w:lang w:val="fr-FR"/>
        </w:rPr>
        <w:t>Fournir des renseignements à jour sur le nombre de détenus et le taux d’occupation des lieux de détention du système de justice pénale.</w:t>
      </w:r>
    </w:p>
    <w:p w:rsidR="00CF38A6" w:rsidRDefault="00CF38A6" w:rsidP="005D7B68">
      <w:pPr>
        <w:tabs>
          <w:tab w:val="left" w:pos="567"/>
          <w:tab w:val="left" w:pos="1134"/>
          <w:tab w:val="left" w:pos="1701"/>
          <w:tab w:val="left" w:pos="2268"/>
          <w:tab w:val="left" w:pos="2835"/>
        </w:tabs>
        <w:rPr>
          <w:lang w:val="fr-FR"/>
        </w:rPr>
      </w:pPr>
      <w:r>
        <w:rPr>
          <w:lang w:val="fr-FR"/>
        </w:rPr>
        <w:t>38</w:t>
      </w:r>
      <w:r w:rsidR="00C44B6D">
        <w:rPr>
          <w:lang w:val="fr-FR"/>
        </w:rPr>
        <w:t>8</w:t>
      </w:r>
      <w:r>
        <w:rPr>
          <w:lang w:val="fr-FR"/>
        </w:rPr>
        <w:t>.</w:t>
      </w:r>
      <w:r>
        <w:rPr>
          <w:lang w:val="fr-FR"/>
        </w:rPr>
        <w:tab/>
        <w:t>En Aust</w:t>
      </w:r>
      <w:r w:rsidR="00C57FCE">
        <w:rPr>
          <w:lang w:val="fr-FR"/>
        </w:rPr>
        <w:t>ralie, les É</w:t>
      </w:r>
      <w:r>
        <w:rPr>
          <w:lang w:val="fr-FR"/>
        </w:rPr>
        <w:t>tats et Territoires sont responsables de l’emprisonnement de toutes les personnes condamnées à des peines privatives de liberté pour des infractions pénales dans chaque juridiction, ainsi que des personnes qui y sont condamnées pour des infractions pénales en application du droit pénal du Commonwealth</w:t>
      </w:r>
      <w:r w:rsidR="008D6B80">
        <w:rPr>
          <w:lang w:val="fr-FR"/>
        </w:rPr>
        <w:t xml:space="preserve">. </w:t>
      </w:r>
      <w:r>
        <w:rPr>
          <w:lang w:val="fr-FR"/>
        </w:rPr>
        <w:t>Les données relatives au nombre de détenus de diverses catégories sont recueillies par le Gouvernement du Commonwealth,</w:t>
      </w:r>
      <w:r w:rsidR="00084CB4">
        <w:rPr>
          <w:lang w:val="fr-FR"/>
        </w:rPr>
        <w:t xml:space="preserve"> ainsi que par celui de chaque É</w:t>
      </w:r>
      <w:r>
        <w:rPr>
          <w:lang w:val="fr-FR"/>
        </w:rPr>
        <w:t>tat et de ch</w:t>
      </w:r>
      <w:r w:rsidR="006E73D2">
        <w:rPr>
          <w:lang w:val="fr-FR"/>
        </w:rPr>
        <w:t>aque Territoire</w:t>
      </w:r>
      <w:r w:rsidR="000C2DE4">
        <w:rPr>
          <w:lang w:val="fr-FR"/>
        </w:rPr>
        <w:t>,</w:t>
      </w:r>
      <w:r w:rsidR="006E73D2">
        <w:rPr>
          <w:lang w:val="fr-FR"/>
        </w:rPr>
        <w:t xml:space="preserve"> et figurent ci-après dans cet ordre</w:t>
      </w:r>
      <w:r>
        <w:rPr>
          <w:lang w:val="fr-FR"/>
        </w:rPr>
        <w:t>.</w:t>
      </w:r>
    </w:p>
    <w:p w:rsidR="00CF38A6" w:rsidRDefault="00CF38A6" w:rsidP="005D7B68">
      <w:pPr>
        <w:tabs>
          <w:tab w:val="left" w:pos="567"/>
          <w:tab w:val="left" w:pos="1134"/>
          <w:tab w:val="left" w:pos="1701"/>
          <w:tab w:val="left" w:pos="2268"/>
          <w:tab w:val="left" w:pos="2835"/>
        </w:tabs>
        <w:rPr>
          <w:b/>
          <w:bCs/>
          <w:lang w:val="fr-FR"/>
        </w:rPr>
      </w:pPr>
      <w:r>
        <w:rPr>
          <w:b/>
          <w:bCs/>
          <w:lang w:val="fr-FR"/>
        </w:rPr>
        <w:t>Informations du Gouvernement du Commonwealth</w:t>
      </w:r>
    </w:p>
    <w:p w:rsidR="0074560F" w:rsidRPr="00E74C47" w:rsidRDefault="00CF38A6" w:rsidP="005D7B68">
      <w:pPr>
        <w:tabs>
          <w:tab w:val="left" w:pos="567"/>
          <w:tab w:val="left" w:pos="1134"/>
          <w:tab w:val="left" w:pos="1701"/>
          <w:tab w:val="left" w:pos="2268"/>
          <w:tab w:val="left" w:pos="2835"/>
        </w:tabs>
        <w:rPr>
          <w:lang w:val="fr-FR"/>
        </w:rPr>
      </w:pPr>
      <w:r>
        <w:rPr>
          <w:lang w:val="fr-FR"/>
        </w:rPr>
        <w:t>38</w:t>
      </w:r>
      <w:r w:rsidR="00C44B6D">
        <w:rPr>
          <w:lang w:val="fr-FR"/>
        </w:rPr>
        <w:t>9</w:t>
      </w:r>
      <w:r>
        <w:rPr>
          <w:lang w:val="fr-FR"/>
        </w:rPr>
        <w:t>.</w:t>
      </w:r>
      <w:r>
        <w:rPr>
          <w:lang w:val="fr-FR"/>
        </w:rPr>
        <w:tab/>
        <w:t>Le tableau 1 présente le nombre</w:t>
      </w:r>
      <w:r w:rsidR="003A4B80">
        <w:rPr>
          <w:lang w:val="fr-FR"/>
        </w:rPr>
        <w:t xml:space="preserve"> de détenus autochtones et non autochtones dans les établissements pénitentiaires</w:t>
      </w:r>
      <w:r w:rsidR="00B92D8B">
        <w:rPr>
          <w:lang w:val="fr-FR"/>
        </w:rPr>
        <w:t xml:space="preserve"> pour adultes,</w:t>
      </w:r>
      <w:r w:rsidR="003A4B80">
        <w:rPr>
          <w:lang w:val="fr-FR"/>
        </w:rPr>
        <w:t xml:space="preserve"> par juridiction et dans l’ensemble de l’Australie au soir du 30 juin 2006.</w:t>
      </w:r>
    </w:p>
    <w:p w:rsidR="0074560F" w:rsidRPr="0074560F" w:rsidRDefault="0074560F" w:rsidP="005D7B68">
      <w:pPr>
        <w:pStyle w:val="Heading2"/>
        <w:tabs>
          <w:tab w:val="left" w:pos="567"/>
          <w:tab w:val="left" w:pos="1134"/>
          <w:tab w:val="left" w:pos="1701"/>
          <w:tab w:val="left" w:pos="2268"/>
          <w:tab w:val="left" w:pos="2835"/>
        </w:tabs>
        <w:rPr>
          <w:snapToGrid w:val="0"/>
          <w:lang w:val="fr-FR"/>
        </w:rPr>
      </w:pPr>
      <w:bookmarkStart w:id="13" w:name="_Toc193614082"/>
      <w:r w:rsidRPr="0074560F">
        <w:rPr>
          <w:snapToGrid w:val="0"/>
          <w:lang w:val="fr-FR"/>
        </w:rPr>
        <w:t>Tableau 1</w:t>
      </w:r>
      <w:bookmarkEnd w:id="13"/>
    </w:p>
    <w:p w:rsidR="0074560F" w:rsidRPr="00DD7139" w:rsidRDefault="0074560F" w:rsidP="005D7B68">
      <w:pPr>
        <w:pStyle w:val="Heading2"/>
        <w:tabs>
          <w:tab w:val="left" w:pos="567"/>
          <w:tab w:val="left" w:pos="1134"/>
          <w:tab w:val="left" w:pos="1701"/>
          <w:tab w:val="left" w:pos="2268"/>
          <w:tab w:val="left" w:pos="2835"/>
        </w:tabs>
        <w:rPr>
          <w:lang w:val="fr-FR"/>
        </w:rPr>
      </w:pPr>
      <w:bookmarkStart w:id="14" w:name="_Toc193614083"/>
      <w:r w:rsidRPr="00DD7139">
        <w:rPr>
          <w:lang w:val="fr-FR"/>
        </w:rPr>
        <w:t>Nombre de détenus</w:t>
      </w:r>
      <w:r>
        <w:rPr>
          <w:lang w:val="fr-FR"/>
        </w:rPr>
        <w:t xml:space="preserve"> en Australie par</w:t>
      </w:r>
      <w:r w:rsidRPr="00DD7139">
        <w:rPr>
          <w:lang w:val="fr-FR"/>
        </w:rPr>
        <w:t xml:space="preserve"> jur</w:t>
      </w:r>
      <w:r>
        <w:rPr>
          <w:lang w:val="fr-FR"/>
        </w:rPr>
        <w:t>idiction au 30 juin</w:t>
      </w:r>
      <w:r w:rsidRPr="00DD7139">
        <w:rPr>
          <w:lang w:val="fr-FR"/>
        </w:rPr>
        <w:t xml:space="preserve"> 2006</w:t>
      </w:r>
      <w:bookmarkEnd w:id="14"/>
    </w:p>
    <w:tbl>
      <w:tblPr>
        <w:tblW w:w="9222" w:type="dxa"/>
        <w:jc w:val="center"/>
        <w:tblInd w:w="1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74"/>
        <w:gridCol w:w="1158"/>
        <w:gridCol w:w="1107"/>
        <w:gridCol w:w="1209"/>
        <w:gridCol w:w="1114"/>
        <w:gridCol w:w="1202"/>
        <w:gridCol w:w="1158"/>
      </w:tblGrid>
      <w:tr w:rsidR="0074560F" w:rsidRPr="00E90C44">
        <w:trPr>
          <w:jc w:val="center"/>
        </w:trPr>
        <w:tc>
          <w:tcPr>
            <w:tcW w:w="2274" w:type="dxa"/>
            <w:tcBorders>
              <w:top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L</w:t>
            </w:r>
            <w:r w:rsidR="00CC4A36" w:rsidRPr="00E90C44">
              <w:rPr>
                <w:sz w:val="20"/>
              </w:rPr>
              <w:t>ocalisation</w:t>
            </w:r>
          </w:p>
        </w:tc>
        <w:tc>
          <w:tcPr>
            <w:tcW w:w="2265" w:type="dxa"/>
            <w:gridSpan w:val="2"/>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Autochtones</w:t>
            </w:r>
          </w:p>
        </w:tc>
        <w:tc>
          <w:tcPr>
            <w:tcW w:w="2323" w:type="dxa"/>
            <w:gridSpan w:val="2"/>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Non autochtones</w:t>
            </w:r>
          </w:p>
        </w:tc>
        <w:tc>
          <w:tcPr>
            <w:tcW w:w="2360" w:type="dxa"/>
            <w:gridSpan w:val="2"/>
            <w:tcBorders>
              <w:top w:val="single" w:sz="4" w:space="0" w:color="auto"/>
              <w:left w:val="single" w:sz="4" w:space="0" w:color="auto"/>
              <w:bottom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Total</w:t>
            </w:r>
            <w:r w:rsidRPr="00E90C44">
              <w:rPr>
                <w:b/>
                <w:i/>
                <w:iCs/>
                <w:sz w:val="20"/>
                <w:vertAlign w:val="superscript"/>
              </w:rPr>
              <w:t>1</w:t>
            </w:r>
          </w:p>
        </w:tc>
      </w:tr>
      <w:tr w:rsidR="0074560F" w:rsidRPr="00E90C44">
        <w:trPr>
          <w:jc w:val="center"/>
        </w:trPr>
        <w:tc>
          <w:tcPr>
            <w:tcW w:w="2274" w:type="dxa"/>
            <w:tcBorders>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rPr>
                <w:sz w:val="20"/>
              </w:rPr>
            </w:pPr>
          </w:p>
        </w:tc>
        <w:tc>
          <w:tcPr>
            <w:tcW w:w="1158" w:type="dxa"/>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N</w:t>
            </w:r>
          </w:p>
        </w:tc>
        <w:tc>
          <w:tcPr>
            <w:tcW w:w="1107" w:type="dxa"/>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w:t>
            </w:r>
          </w:p>
        </w:tc>
        <w:tc>
          <w:tcPr>
            <w:tcW w:w="1209" w:type="dxa"/>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N</w:t>
            </w:r>
          </w:p>
        </w:tc>
        <w:tc>
          <w:tcPr>
            <w:tcW w:w="1114" w:type="dxa"/>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w:t>
            </w:r>
          </w:p>
        </w:tc>
        <w:tc>
          <w:tcPr>
            <w:tcW w:w="1202" w:type="dxa"/>
            <w:tcBorders>
              <w:top w:val="single" w:sz="4" w:space="0" w:color="auto"/>
              <w:left w:val="single" w:sz="4" w:space="0" w:color="auto"/>
              <w:bottom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N</w:t>
            </w:r>
          </w:p>
        </w:tc>
        <w:tc>
          <w:tcPr>
            <w:tcW w:w="1158" w:type="dxa"/>
            <w:tcBorders>
              <w:top w:val="single" w:sz="4" w:space="0" w:color="auto"/>
              <w:left w:val="single" w:sz="4" w:space="0" w:color="auto"/>
              <w:bottom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jc w:val="center"/>
              <w:rPr>
                <w:sz w:val="20"/>
              </w:rPr>
            </w:pPr>
            <w:r w:rsidRPr="00E90C44">
              <w:rPr>
                <w:sz w:val="20"/>
              </w:rPr>
              <w:t>%</w:t>
            </w:r>
          </w:p>
        </w:tc>
      </w:tr>
      <w:tr w:rsidR="0074560F" w:rsidRPr="00E90C44">
        <w:trPr>
          <w:jc w:val="center"/>
        </w:trPr>
        <w:tc>
          <w:tcPr>
            <w:tcW w:w="2274" w:type="dxa"/>
            <w:tcBorders>
              <w:top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rPr>
                <w:sz w:val="20"/>
              </w:rPr>
            </w:pPr>
            <w:r w:rsidRPr="00E90C44">
              <w:rPr>
                <w:sz w:val="20"/>
              </w:rPr>
              <w:t>Territoire de la capitale</w:t>
            </w:r>
            <w:r w:rsidRPr="00E90C44">
              <w:rPr>
                <w:b/>
                <w:i/>
                <w:iCs/>
                <w:sz w:val="20"/>
                <w:vertAlign w:val="superscript"/>
              </w:rPr>
              <w:t>2</w:t>
            </w:r>
          </w:p>
        </w:tc>
        <w:tc>
          <w:tcPr>
            <w:tcW w:w="1158" w:type="dxa"/>
            <w:tcBorders>
              <w:top w:val="single" w:sz="4" w:space="0" w:color="auto"/>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13</w:t>
            </w:r>
          </w:p>
        </w:tc>
        <w:tc>
          <w:tcPr>
            <w:tcW w:w="1107" w:type="dxa"/>
            <w:tcBorders>
              <w:top w:val="single" w:sz="4" w:space="0" w:color="auto"/>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13 </w:t>
            </w:r>
          </w:p>
        </w:tc>
        <w:tc>
          <w:tcPr>
            <w:tcW w:w="1209" w:type="dxa"/>
            <w:tcBorders>
              <w:top w:val="single" w:sz="4" w:space="0" w:color="auto"/>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89</w:t>
            </w:r>
          </w:p>
        </w:tc>
        <w:tc>
          <w:tcPr>
            <w:tcW w:w="1114" w:type="dxa"/>
            <w:tcBorders>
              <w:top w:val="single" w:sz="4" w:space="0" w:color="auto"/>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86 </w:t>
            </w:r>
          </w:p>
        </w:tc>
        <w:tc>
          <w:tcPr>
            <w:tcW w:w="1202" w:type="dxa"/>
            <w:tcBorders>
              <w:top w:val="single" w:sz="4" w:space="0" w:color="auto"/>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104</w:t>
            </w:r>
          </w:p>
        </w:tc>
        <w:tc>
          <w:tcPr>
            <w:tcW w:w="1158" w:type="dxa"/>
            <w:tcBorders>
              <w:top w:val="single" w:sz="4" w:space="0" w:color="auto"/>
              <w:lef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&lt;1</w:t>
            </w:r>
          </w:p>
        </w:tc>
      </w:tr>
      <w:tr w:rsidR="0074560F" w:rsidRPr="00E90C44">
        <w:trPr>
          <w:jc w:val="center"/>
        </w:trPr>
        <w:tc>
          <w:tcPr>
            <w:tcW w:w="2274" w:type="dxa"/>
            <w:tcBorders>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rPr>
                <w:sz w:val="20"/>
              </w:rPr>
            </w:pPr>
            <w:r w:rsidRPr="00E90C44">
              <w:rPr>
                <w:sz w:val="20"/>
              </w:rPr>
              <w:t>Nouvelle-Galles du Sud</w:t>
            </w:r>
          </w:p>
        </w:tc>
        <w:tc>
          <w:tcPr>
            <w:tcW w:w="1158"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1 951</w:t>
            </w:r>
          </w:p>
        </w:tc>
        <w:tc>
          <w:tcPr>
            <w:tcW w:w="1107"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20 </w:t>
            </w:r>
          </w:p>
        </w:tc>
        <w:tc>
          <w:tcPr>
            <w:tcW w:w="1209"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7 667</w:t>
            </w:r>
          </w:p>
        </w:tc>
        <w:tc>
          <w:tcPr>
            <w:tcW w:w="1114"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78 </w:t>
            </w:r>
          </w:p>
        </w:tc>
        <w:tc>
          <w:tcPr>
            <w:tcW w:w="1202"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9 822</w:t>
            </w:r>
          </w:p>
        </w:tc>
        <w:tc>
          <w:tcPr>
            <w:tcW w:w="1158" w:type="dxa"/>
            <w:tcBorders>
              <w:lef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38</w:t>
            </w:r>
          </w:p>
        </w:tc>
      </w:tr>
      <w:tr w:rsidR="0074560F" w:rsidRPr="00E90C44">
        <w:trPr>
          <w:jc w:val="center"/>
        </w:trPr>
        <w:tc>
          <w:tcPr>
            <w:tcW w:w="2274" w:type="dxa"/>
            <w:tcBorders>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State">
                <w:r w:rsidRPr="00E90C44">
                  <w:rPr>
                    <w:sz w:val="20"/>
                  </w:rPr>
                  <w:t>Queensland</w:t>
                </w:r>
              </w:smartTag>
            </w:smartTag>
          </w:p>
        </w:tc>
        <w:tc>
          <w:tcPr>
            <w:tcW w:w="1158"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1 506</w:t>
            </w:r>
          </w:p>
        </w:tc>
        <w:tc>
          <w:tcPr>
            <w:tcW w:w="1107"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27 </w:t>
            </w:r>
          </w:p>
        </w:tc>
        <w:tc>
          <w:tcPr>
            <w:tcW w:w="1209"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4 056</w:t>
            </w:r>
          </w:p>
        </w:tc>
        <w:tc>
          <w:tcPr>
            <w:tcW w:w="1114"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73 </w:t>
            </w:r>
          </w:p>
        </w:tc>
        <w:tc>
          <w:tcPr>
            <w:tcW w:w="1202" w:type="dxa"/>
            <w:tcBorders>
              <w:left w:val="single" w:sz="4" w:space="0" w:color="auto"/>
              <w:righ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139"/>
              <w:jc w:val="right"/>
              <w:rPr>
                <w:sz w:val="20"/>
              </w:rPr>
            </w:pPr>
            <w:r w:rsidRPr="00E90C44">
              <w:rPr>
                <w:sz w:val="20"/>
              </w:rPr>
              <w:t>5 562</w:t>
            </w:r>
          </w:p>
        </w:tc>
        <w:tc>
          <w:tcPr>
            <w:tcW w:w="1158" w:type="dxa"/>
            <w:tcBorders>
              <w:left w:val="single" w:sz="4" w:space="0" w:color="auto"/>
            </w:tcBorders>
          </w:tcPr>
          <w:p w:rsidR="0074560F" w:rsidRPr="00E90C44" w:rsidRDefault="0074560F" w:rsidP="005D7B68">
            <w:pPr>
              <w:keepNext/>
              <w:tabs>
                <w:tab w:val="left" w:pos="567"/>
                <w:tab w:val="left" w:pos="1134"/>
                <w:tab w:val="left" w:pos="1701"/>
                <w:tab w:val="left" w:pos="2268"/>
                <w:tab w:val="left" w:pos="2835"/>
              </w:tabs>
              <w:spacing w:before="20" w:after="20"/>
              <w:ind w:right="227"/>
              <w:jc w:val="right"/>
              <w:rPr>
                <w:sz w:val="20"/>
              </w:rPr>
            </w:pPr>
            <w:r w:rsidRPr="00E90C44">
              <w:rPr>
                <w:sz w:val="20"/>
              </w:rPr>
              <w:t>22</w:t>
            </w:r>
          </w:p>
        </w:tc>
      </w:tr>
      <w:tr w:rsidR="0074560F" w:rsidRPr="00E90C44">
        <w:trPr>
          <w:jc w:val="center"/>
        </w:trPr>
        <w:tc>
          <w:tcPr>
            <w:tcW w:w="2274" w:type="dxa"/>
            <w:tcBorders>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State">
                <w:r w:rsidRPr="00E90C44">
                  <w:rPr>
                    <w:sz w:val="20"/>
                  </w:rPr>
                  <w:t>Victoria</w:t>
                </w:r>
              </w:smartTag>
            </w:smartTag>
          </w:p>
        </w:tc>
        <w:tc>
          <w:tcPr>
            <w:tcW w:w="1158"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215</w:t>
            </w:r>
          </w:p>
        </w:tc>
        <w:tc>
          <w:tcPr>
            <w:tcW w:w="1107"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6 </w:t>
            </w:r>
          </w:p>
        </w:tc>
        <w:tc>
          <w:tcPr>
            <w:tcW w:w="1209"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3 690</w:t>
            </w:r>
          </w:p>
        </w:tc>
        <w:tc>
          <w:tcPr>
            <w:tcW w:w="1114"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95 </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3 905</w:t>
            </w:r>
          </w:p>
        </w:tc>
        <w:tc>
          <w:tcPr>
            <w:tcW w:w="1158" w:type="dxa"/>
            <w:tcBorders>
              <w:lef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15</w:t>
            </w:r>
          </w:p>
        </w:tc>
      </w:tr>
      <w:tr w:rsidR="0074560F" w:rsidRPr="00E90C44">
        <w:trPr>
          <w:jc w:val="center"/>
        </w:trPr>
        <w:tc>
          <w:tcPr>
            <w:tcW w:w="2274" w:type="dxa"/>
            <w:tcBorders>
              <w:right w:val="single" w:sz="4" w:space="0" w:color="auto"/>
            </w:tcBorders>
          </w:tcPr>
          <w:p w:rsidR="0074560F" w:rsidRPr="00E90C44" w:rsidRDefault="008E1139" w:rsidP="005D7B68">
            <w:pPr>
              <w:tabs>
                <w:tab w:val="left" w:pos="567"/>
                <w:tab w:val="left" w:pos="1134"/>
                <w:tab w:val="left" w:pos="1701"/>
                <w:tab w:val="left" w:pos="2268"/>
                <w:tab w:val="left" w:pos="2835"/>
              </w:tabs>
              <w:spacing w:before="20" w:after="20"/>
              <w:rPr>
                <w:sz w:val="20"/>
              </w:rPr>
            </w:pPr>
            <w:r w:rsidRPr="00E90C44">
              <w:rPr>
                <w:sz w:val="20"/>
              </w:rPr>
              <w:t>Australie méridionale</w:t>
            </w:r>
          </w:p>
        </w:tc>
        <w:tc>
          <w:tcPr>
            <w:tcW w:w="1158"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300</w:t>
            </w:r>
          </w:p>
        </w:tc>
        <w:tc>
          <w:tcPr>
            <w:tcW w:w="1107"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19 </w:t>
            </w:r>
          </w:p>
        </w:tc>
        <w:tc>
          <w:tcPr>
            <w:tcW w:w="1209"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1 244</w:t>
            </w:r>
          </w:p>
        </w:tc>
        <w:tc>
          <w:tcPr>
            <w:tcW w:w="1114"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79 </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1 567</w:t>
            </w:r>
          </w:p>
        </w:tc>
        <w:tc>
          <w:tcPr>
            <w:tcW w:w="1158" w:type="dxa"/>
            <w:tcBorders>
              <w:lef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6</w:t>
            </w:r>
          </w:p>
        </w:tc>
      </w:tr>
      <w:tr w:rsidR="0074560F" w:rsidRPr="00E90C44">
        <w:trPr>
          <w:jc w:val="center"/>
        </w:trPr>
        <w:tc>
          <w:tcPr>
            <w:tcW w:w="2274" w:type="dxa"/>
            <w:tcBorders>
              <w:right w:val="single" w:sz="4" w:space="0" w:color="auto"/>
            </w:tcBorders>
          </w:tcPr>
          <w:p w:rsidR="0074560F" w:rsidRPr="00E90C44" w:rsidRDefault="00EB140F" w:rsidP="005D7B68">
            <w:pPr>
              <w:tabs>
                <w:tab w:val="left" w:pos="567"/>
                <w:tab w:val="left" w:pos="1134"/>
                <w:tab w:val="left" w:pos="1701"/>
                <w:tab w:val="left" w:pos="2268"/>
                <w:tab w:val="left" w:pos="2835"/>
              </w:tabs>
              <w:spacing w:before="20" w:after="20"/>
              <w:rPr>
                <w:sz w:val="20"/>
              </w:rPr>
            </w:pPr>
            <w:r>
              <w:rPr>
                <w:sz w:val="20"/>
              </w:rPr>
              <w:t>Australie o</w:t>
            </w:r>
            <w:r w:rsidR="0074560F" w:rsidRPr="00E90C44">
              <w:rPr>
                <w:sz w:val="20"/>
              </w:rPr>
              <w:t>ccidentale</w:t>
            </w:r>
          </w:p>
        </w:tc>
        <w:tc>
          <w:tcPr>
            <w:tcW w:w="1158"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1 400</w:t>
            </w:r>
          </w:p>
        </w:tc>
        <w:tc>
          <w:tcPr>
            <w:tcW w:w="1107"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40 </w:t>
            </w:r>
          </w:p>
        </w:tc>
        <w:tc>
          <w:tcPr>
            <w:tcW w:w="1209"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2 126</w:t>
            </w:r>
          </w:p>
        </w:tc>
        <w:tc>
          <w:tcPr>
            <w:tcW w:w="1114"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60 </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3 526</w:t>
            </w:r>
          </w:p>
        </w:tc>
        <w:tc>
          <w:tcPr>
            <w:tcW w:w="1158" w:type="dxa"/>
            <w:tcBorders>
              <w:lef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14</w:t>
            </w:r>
          </w:p>
        </w:tc>
      </w:tr>
      <w:tr w:rsidR="0074560F" w:rsidRPr="00E90C44">
        <w:trPr>
          <w:jc w:val="center"/>
        </w:trPr>
        <w:tc>
          <w:tcPr>
            <w:tcW w:w="2274" w:type="dxa"/>
            <w:tcBorders>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rPr>
                <w:sz w:val="20"/>
              </w:rPr>
            </w:pPr>
            <w:r w:rsidRPr="00E90C44">
              <w:rPr>
                <w:sz w:val="20"/>
              </w:rPr>
              <w:t>Tasmanie</w:t>
            </w:r>
          </w:p>
        </w:tc>
        <w:tc>
          <w:tcPr>
            <w:tcW w:w="1158"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53</w:t>
            </w:r>
          </w:p>
        </w:tc>
        <w:tc>
          <w:tcPr>
            <w:tcW w:w="1107"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10 </w:t>
            </w:r>
          </w:p>
        </w:tc>
        <w:tc>
          <w:tcPr>
            <w:tcW w:w="1209"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459</w:t>
            </w:r>
          </w:p>
        </w:tc>
        <w:tc>
          <w:tcPr>
            <w:tcW w:w="1114"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90 </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512</w:t>
            </w:r>
          </w:p>
        </w:tc>
        <w:tc>
          <w:tcPr>
            <w:tcW w:w="1158" w:type="dxa"/>
            <w:tcBorders>
              <w:lef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2</w:t>
            </w:r>
          </w:p>
        </w:tc>
      </w:tr>
      <w:tr w:rsidR="0074560F" w:rsidRPr="00E90C44">
        <w:trPr>
          <w:jc w:val="center"/>
        </w:trPr>
        <w:tc>
          <w:tcPr>
            <w:tcW w:w="2274" w:type="dxa"/>
            <w:tcBorders>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rPr>
                <w:sz w:val="20"/>
              </w:rPr>
            </w:pPr>
            <w:r w:rsidRPr="00E90C44">
              <w:rPr>
                <w:sz w:val="20"/>
              </w:rPr>
              <w:t>Territoire du Nord</w:t>
            </w:r>
          </w:p>
        </w:tc>
        <w:tc>
          <w:tcPr>
            <w:tcW w:w="1158"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653</w:t>
            </w:r>
          </w:p>
        </w:tc>
        <w:tc>
          <w:tcPr>
            <w:tcW w:w="1107"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82 </w:t>
            </w:r>
          </w:p>
        </w:tc>
        <w:tc>
          <w:tcPr>
            <w:tcW w:w="1209"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139</w:t>
            </w:r>
          </w:p>
        </w:tc>
        <w:tc>
          <w:tcPr>
            <w:tcW w:w="1114"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18 </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792</w:t>
            </w:r>
          </w:p>
        </w:tc>
        <w:tc>
          <w:tcPr>
            <w:tcW w:w="1158" w:type="dxa"/>
            <w:tcBorders>
              <w:lef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3</w:t>
            </w:r>
          </w:p>
        </w:tc>
      </w:tr>
      <w:tr w:rsidR="0074560F" w:rsidRPr="00E90C44">
        <w:trPr>
          <w:jc w:val="center"/>
        </w:trPr>
        <w:tc>
          <w:tcPr>
            <w:tcW w:w="2274" w:type="dxa"/>
            <w:tcBorders>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rPr>
                <w:sz w:val="20"/>
              </w:rPr>
            </w:pPr>
            <w:r w:rsidRPr="00E90C44">
              <w:rPr>
                <w:sz w:val="20"/>
              </w:rPr>
              <w:t>Australie</w:t>
            </w:r>
          </w:p>
        </w:tc>
        <w:tc>
          <w:tcPr>
            <w:tcW w:w="1158" w:type="dxa"/>
            <w:tcBorders>
              <w:left w:val="single" w:sz="4" w:space="0" w:color="auto"/>
              <w:bottom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6 091</w:t>
            </w:r>
          </w:p>
        </w:tc>
        <w:tc>
          <w:tcPr>
            <w:tcW w:w="1107" w:type="dxa"/>
            <w:tcBorders>
              <w:left w:val="single" w:sz="4" w:space="0" w:color="auto"/>
              <w:bottom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(24)</w:t>
            </w:r>
          </w:p>
        </w:tc>
        <w:tc>
          <w:tcPr>
            <w:tcW w:w="1209" w:type="dxa"/>
            <w:tcBorders>
              <w:left w:val="single" w:sz="4" w:space="0" w:color="auto"/>
              <w:bottom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19 470</w:t>
            </w:r>
          </w:p>
        </w:tc>
        <w:tc>
          <w:tcPr>
            <w:tcW w:w="1114" w:type="dxa"/>
            <w:tcBorders>
              <w:left w:val="single" w:sz="4" w:space="0" w:color="auto"/>
              <w:bottom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(76)</w:t>
            </w:r>
          </w:p>
        </w:tc>
        <w:tc>
          <w:tcPr>
            <w:tcW w:w="1202" w:type="dxa"/>
            <w:tcBorders>
              <w:left w:val="single" w:sz="4" w:space="0" w:color="auto"/>
              <w:right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139"/>
              <w:jc w:val="right"/>
              <w:rPr>
                <w:sz w:val="20"/>
              </w:rPr>
            </w:pPr>
            <w:r w:rsidRPr="00E90C44">
              <w:rPr>
                <w:sz w:val="20"/>
              </w:rPr>
              <w:t>25 790</w:t>
            </w:r>
          </w:p>
        </w:tc>
        <w:tc>
          <w:tcPr>
            <w:tcW w:w="1158" w:type="dxa"/>
            <w:tcBorders>
              <w:left w:val="single" w:sz="4" w:space="0" w:color="auto"/>
              <w:bottom w:val="single" w:sz="4" w:space="0" w:color="auto"/>
            </w:tcBorders>
          </w:tcPr>
          <w:p w:rsidR="0074560F" w:rsidRPr="00E90C44" w:rsidRDefault="0074560F" w:rsidP="005D7B68">
            <w:pPr>
              <w:tabs>
                <w:tab w:val="left" w:pos="567"/>
                <w:tab w:val="left" w:pos="1134"/>
                <w:tab w:val="left" w:pos="1701"/>
                <w:tab w:val="left" w:pos="2268"/>
                <w:tab w:val="left" w:pos="2835"/>
              </w:tabs>
              <w:spacing w:before="20" w:after="20"/>
              <w:ind w:right="227"/>
              <w:jc w:val="right"/>
              <w:rPr>
                <w:sz w:val="20"/>
              </w:rPr>
            </w:pPr>
            <w:r w:rsidRPr="00E90C44">
              <w:rPr>
                <w:sz w:val="20"/>
              </w:rPr>
              <w:t>100</w:t>
            </w:r>
          </w:p>
        </w:tc>
      </w:tr>
    </w:tbl>
    <w:p w:rsidR="0074560F" w:rsidRPr="006736E0" w:rsidRDefault="0074560F" w:rsidP="005D7B68">
      <w:pPr>
        <w:tabs>
          <w:tab w:val="left" w:pos="567"/>
          <w:tab w:val="left" w:pos="1134"/>
          <w:tab w:val="left" w:pos="1701"/>
          <w:tab w:val="left" w:pos="2268"/>
          <w:tab w:val="left" w:pos="2835"/>
        </w:tabs>
        <w:spacing w:before="240"/>
        <w:rPr>
          <w:snapToGrid w:val="0"/>
          <w:sz w:val="22"/>
          <w:szCs w:val="22"/>
        </w:rPr>
      </w:pPr>
      <w:r w:rsidRPr="006736E0">
        <w:rPr>
          <w:snapToGrid w:val="0"/>
          <w:sz w:val="22"/>
          <w:szCs w:val="22"/>
        </w:rPr>
        <w:tab/>
      </w:r>
      <w:r w:rsidRPr="006736E0">
        <w:rPr>
          <w:i/>
          <w:snapToGrid w:val="0"/>
          <w:sz w:val="22"/>
          <w:szCs w:val="22"/>
        </w:rPr>
        <w:t>Source</w:t>
      </w:r>
      <w:r w:rsidRPr="006736E0">
        <w:rPr>
          <w:snapToGrid w:val="0"/>
          <w:sz w:val="22"/>
          <w:szCs w:val="22"/>
        </w:rPr>
        <w:t>:</w:t>
      </w:r>
      <w:r w:rsidR="00572260" w:rsidRPr="006736E0">
        <w:rPr>
          <w:snapToGrid w:val="0"/>
          <w:sz w:val="22"/>
          <w:szCs w:val="22"/>
        </w:rPr>
        <w:t xml:space="preserve"> </w:t>
      </w:r>
      <w:r w:rsidRPr="006736E0">
        <w:rPr>
          <w:snapToGrid w:val="0"/>
          <w:sz w:val="22"/>
          <w:szCs w:val="22"/>
        </w:rPr>
        <w:t>ABS Prisoners in Australia 2006.</w:t>
      </w:r>
    </w:p>
    <w:p w:rsidR="0074560F" w:rsidRPr="00E90C44" w:rsidRDefault="0074560F" w:rsidP="005D7B68">
      <w:pPr>
        <w:tabs>
          <w:tab w:val="left" w:pos="567"/>
          <w:tab w:val="left" w:pos="1134"/>
          <w:tab w:val="left" w:pos="1701"/>
          <w:tab w:val="left" w:pos="2268"/>
          <w:tab w:val="left" w:pos="2835"/>
        </w:tabs>
        <w:rPr>
          <w:snapToGrid w:val="0"/>
          <w:sz w:val="22"/>
          <w:szCs w:val="22"/>
          <w:lang w:val="fr-FR"/>
        </w:rPr>
      </w:pPr>
      <w:r w:rsidRPr="00E90C44">
        <w:rPr>
          <w:b/>
          <w:i/>
          <w:iCs/>
          <w:snapToGrid w:val="0"/>
          <w:vertAlign w:val="superscript"/>
          <w:lang w:val="fr-FR"/>
        </w:rPr>
        <w:t>1</w:t>
      </w:r>
      <w:r w:rsidR="00572260">
        <w:rPr>
          <w:snapToGrid w:val="0"/>
          <w:lang w:val="fr-FR"/>
        </w:rPr>
        <w:t xml:space="preserve"> </w:t>
      </w:r>
      <w:r w:rsidRPr="00E90C44">
        <w:rPr>
          <w:snapToGrid w:val="0"/>
          <w:sz w:val="22"/>
          <w:szCs w:val="22"/>
          <w:lang w:val="fr-FR"/>
        </w:rPr>
        <w:t>Dans la colonne ‘Total’ sont comprises les personnes dont on ne sait si elles sont autochtones ou non.</w:t>
      </w:r>
    </w:p>
    <w:p w:rsidR="0074560F" w:rsidRPr="00E90C44" w:rsidRDefault="0074560F" w:rsidP="005D7B68">
      <w:pPr>
        <w:tabs>
          <w:tab w:val="left" w:pos="567"/>
          <w:tab w:val="left" w:pos="1134"/>
          <w:tab w:val="left" w:pos="1701"/>
          <w:tab w:val="left" w:pos="2268"/>
          <w:tab w:val="left" w:pos="2835"/>
        </w:tabs>
        <w:rPr>
          <w:snapToGrid w:val="0"/>
          <w:sz w:val="22"/>
          <w:szCs w:val="22"/>
          <w:lang w:val="fr-FR"/>
        </w:rPr>
      </w:pPr>
      <w:r w:rsidRPr="00E90C44">
        <w:rPr>
          <w:b/>
          <w:i/>
          <w:iCs/>
          <w:snapToGrid w:val="0"/>
          <w:sz w:val="22"/>
          <w:szCs w:val="22"/>
          <w:vertAlign w:val="superscript"/>
          <w:lang w:val="fr-FR"/>
        </w:rPr>
        <w:t>2</w:t>
      </w:r>
      <w:r w:rsidR="00572260" w:rsidRPr="00E90C44">
        <w:rPr>
          <w:snapToGrid w:val="0"/>
          <w:sz w:val="22"/>
          <w:szCs w:val="22"/>
          <w:lang w:val="fr-FR"/>
        </w:rPr>
        <w:t xml:space="preserve"> </w:t>
      </w:r>
      <w:r w:rsidRPr="00E90C44">
        <w:rPr>
          <w:snapToGrid w:val="0"/>
          <w:sz w:val="22"/>
          <w:szCs w:val="22"/>
          <w:lang w:val="fr-FR"/>
        </w:rPr>
        <w:t>Dans cette ligne ne sont compris</w:t>
      </w:r>
      <w:r w:rsidR="00D06F87" w:rsidRPr="00E90C44">
        <w:rPr>
          <w:snapToGrid w:val="0"/>
          <w:sz w:val="22"/>
          <w:szCs w:val="22"/>
          <w:lang w:val="fr-FR"/>
        </w:rPr>
        <w:t>es</w:t>
      </w:r>
      <w:r w:rsidRPr="00E90C44">
        <w:rPr>
          <w:snapToGrid w:val="0"/>
          <w:sz w:val="22"/>
          <w:szCs w:val="22"/>
          <w:lang w:val="fr-FR"/>
        </w:rPr>
        <w:t xml:space="preserve"> que des personnes détenues sur le Territoire de la capitale</w:t>
      </w:r>
      <w:r w:rsidR="006E73D2" w:rsidRPr="00E90C44">
        <w:rPr>
          <w:snapToGrid w:val="0"/>
          <w:sz w:val="22"/>
          <w:szCs w:val="22"/>
          <w:lang w:val="fr-FR"/>
        </w:rPr>
        <w:t xml:space="preserve"> fédérale</w:t>
      </w:r>
      <w:r w:rsidRPr="00E90C44">
        <w:rPr>
          <w:snapToGrid w:val="0"/>
          <w:sz w:val="22"/>
          <w:szCs w:val="22"/>
          <w:lang w:val="fr-FR"/>
        </w:rPr>
        <w:t xml:space="preserve">; </w:t>
      </w:r>
      <w:r w:rsidR="00D06F87" w:rsidRPr="00E90C44">
        <w:rPr>
          <w:snapToGrid w:val="0"/>
          <w:sz w:val="22"/>
          <w:szCs w:val="22"/>
          <w:lang w:val="fr-FR"/>
        </w:rPr>
        <w:t>celles qui sont détenu</w:t>
      </w:r>
      <w:r w:rsidR="006736E0">
        <w:rPr>
          <w:snapToGrid w:val="0"/>
          <w:sz w:val="22"/>
          <w:szCs w:val="22"/>
          <w:lang w:val="fr-FR"/>
        </w:rPr>
        <w:t>es dans les prisons de Nouvelle</w:t>
      </w:r>
      <w:r w:rsidR="006736E0">
        <w:rPr>
          <w:snapToGrid w:val="0"/>
          <w:sz w:val="22"/>
          <w:szCs w:val="22"/>
          <w:lang w:val="fr-FR"/>
        </w:rPr>
        <w:noBreakHyphen/>
      </w:r>
      <w:r w:rsidR="00D06F87" w:rsidRPr="00E90C44">
        <w:rPr>
          <w:snapToGrid w:val="0"/>
          <w:sz w:val="22"/>
          <w:szCs w:val="22"/>
          <w:lang w:val="fr-FR"/>
        </w:rPr>
        <w:t>Galles du Sud après avoir été</w:t>
      </w:r>
      <w:r w:rsidRPr="00E90C44">
        <w:rPr>
          <w:snapToGrid w:val="0"/>
          <w:sz w:val="22"/>
          <w:szCs w:val="22"/>
          <w:lang w:val="fr-FR"/>
        </w:rPr>
        <w:t xml:space="preserve"> condamnées sur le Territoire de la capitale</w:t>
      </w:r>
      <w:r w:rsidR="006E73D2" w:rsidRPr="00E90C44">
        <w:rPr>
          <w:snapToGrid w:val="0"/>
          <w:sz w:val="22"/>
          <w:szCs w:val="22"/>
          <w:lang w:val="fr-FR"/>
        </w:rPr>
        <w:t xml:space="preserve"> fédérale</w:t>
      </w:r>
      <w:r w:rsidR="00D06F87" w:rsidRPr="00E90C44">
        <w:rPr>
          <w:snapToGrid w:val="0"/>
          <w:sz w:val="22"/>
          <w:szCs w:val="22"/>
          <w:lang w:val="fr-FR"/>
        </w:rPr>
        <w:t xml:space="preserve"> </w:t>
      </w:r>
      <w:r w:rsidRPr="00E90C44">
        <w:rPr>
          <w:snapToGrid w:val="0"/>
          <w:sz w:val="22"/>
          <w:szCs w:val="22"/>
          <w:lang w:val="fr-FR"/>
        </w:rPr>
        <w:t>sont prises en compte dans le total relatif à la Nouvelle</w:t>
      </w:r>
      <w:r w:rsidR="006736E0">
        <w:rPr>
          <w:snapToGrid w:val="0"/>
          <w:sz w:val="22"/>
          <w:szCs w:val="22"/>
          <w:lang w:val="fr-FR"/>
        </w:rPr>
        <w:noBreakHyphen/>
      </w:r>
      <w:r w:rsidRPr="00E90C44">
        <w:rPr>
          <w:snapToGrid w:val="0"/>
          <w:sz w:val="22"/>
          <w:szCs w:val="22"/>
          <w:lang w:val="fr-FR"/>
        </w:rPr>
        <w:t>Galles du Sud.</w:t>
      </w:r>
    </w:p>
    <w:p w:rsidR="0074560F" w:rsidRPr="0074560F" w:rsidRDefault="00866E99" w:rsidP="005D7B68">
      <w:pPr>
        <w:tabs>
          <w:tab w:val="left" w:pos="567"/>
          <w:tab w:val="left" w:pos="1134"/>
          <w:tab w:val="left" w:pos="1701"/>
          <w:tab w:val="left" w:pos="2268"/>
          <w:tab w:val="left" w:pos="2835"/>
        </w:tabs>
        <w:rPr>
          <w:lang w:val="fr-FR"/>
        </w:rPr>
      </w:pPr>
      <w:r>
        <w:rPr>
          <w:lang w:val="fr-FR"/>
        </w:rPr>
        <w:t>390</w:t>
      </w:r>
      <w:r w:rsidR="000D53BE">
        <w:rPr>
          <w:lang w:val="fr-FR"/>
        </w:rPr>
        <w:t>.</w:t>
      </w:r>
      <w:r w:rsidR="000D53BE">
        <w:rPr>
          <w:lang w:val="fr-FR"/>
        </w:rPr>
        <w:tab/>
        <w:t>Dans l</w:t>
      </w:r>
      <w:r w:rsidR="0074560F">
        <w:rPr>
          <w:lang w:val="fr-FR"/>
        </w:rPr>
        <w:t xml:space="preserve">e tableau 2 </w:t>
      </w:r>
      <w:r w:rsidR="000D53BE">
        <w:rPr>
          <w:lang w:val="fr-FR"/>
        </w:rPr>
        <w:t>sont présentés</w:t>
      </w:r>
      <w:r w:rsidR="0074560F">
        <w:rPr>
          <w:lang w:val="fr-FR"/>
        </w:rPr>
        <w:t xml:space="preserve"> les taux de détenus autochtones et non autochtones en Australie</w:t>
      </w:r>
      <w:r w:rsidR="00B92D8B">
        <w:rPr>
          <w:lang w:val="fr-FR"/>
        </w:rPr>
        <w:t>, pour 100 000 personnes, au 30 juin de chaque année depuis 2000.</w:t>
      </w:r>
    </w:p>
    <w:p w:rsidR="0074560F" w:rsidRPr="008D6B80" w:rsidRDefault="0074560F" w:rsidP="005D7B68">
      <w:pPr>
        <w:pStyle w:val="Heading2"/>
        <w:tabs>
          <w:tab w:val="left" w:pos="567"/>
          <w:tab w:val="left" w:pos="1134"/>
          <w:tab w:val="left" w:pos="1701"/>
          <w:tab w:val="left" w:pos="2268"/>
          <w:tab w:val="left" w:pos="2835"/>
        </w:tabs>
        <w:rPr>
          <w:snapToGrid w:val="0"/>
          <w:lang w:val="fr-FR"/>
        </w:rPr>
      </w:pPr>
      <w:bookmarkStart w:id="15" w:name="_Toc193614084"/>
      <w:r w:rsidRPr="008D6B80">
        <w:rPr>
          <w:snapToGrid w:val="0"/>
          <w:lang w:val="fr-FR"/>
        </w:rPr>
        <w:t>Tableau 2</w:t>
      </w:r>
      <w:bookmarkEnd w:id="15"/>
    </w:p>
    <w:p w:rsidR="0074560F" w:rsidRPr="00E67D8D" w:rsidRDefault="00E67D8D" w:rsidP="005D7B68">
      <w:pPr>
        <w:pStyle w:val="Heading2"/>
        <w:tabs>
          <w:tab w:val="left" w:pos="567"/>
          <w:tab w:val="left" w:pos="1134"/>
          <w:tab w:val="left" w:pos="1701"/>
          <w:tab w:val="left" w:pos="2268"/>
          <w:tab w:val="left" w:pos="2835"/>
        </w:tabs>
        <w:rPr>
          <w:snapToGrid w:val="0"/>
          <w:lang w:val="fr-FR"/>
        </w:rPr>
      </w:pPr>
      <w:bookmarkStart w:id="16" w:name="_Toc193614085"/>
      <w:r w:rsidRPr="00E67D8D">
        <w:rPr>
          <w:snapToGrid w:val="0"/>
          <w:lang w:val="fr-FR"/>
        </w:rPr>
        <w:t>Taux des détenus autochtones et non autochtones</w:t>
      </w:r>
      <w:r w:rsidR="0074560F" w:rsidRPr="00E67D8D">
        <w:rPr>
          <w:snapToGrid w:val="0"/>
          <w:lang w:val="fr-FR"/>
        </w:rPr>
        <w:t xml:space="preserve"> </w:t>
      </w:r>
      <w:r>
        <w:rPr>
          <w:snapToGrid w:val="0"/>
          <w:lang w:val="fr-FR"/>
        </w:rPr>
        <w:t>en</w:t>
      </w:r>
      <w:r w:rsidR="0074560F" w:rsidRPr="00E67D8D">
        <w:rPr>
          <w:snapToGrid w:val="0"/>
          <w:lang w:val="fr-FR"/>
        </w:rPr>
        <w:t xml:space="preserve"> Australi</w:t>
      </w:r>
      <w:r>
        <w:rPr>
          <w:snapToGrid w:val="0"/>
          <w:lang w:val="fr-FR"/>
        </w:rPr>
        <w:t>e</w:t>
      </w:r>
      <w:r w:rsidR="0074560F" w:rsidRPr="00E67D8D">
        <w:rPr>
          <w:snapToGrid w:val="0"/>
          <w:lang w:val="fr-FR"/>
        </w:rPr>
        <w:t xml:space="preserve"> (30 </w:t>
      </w:r>
      <w:r>
        <w:rPr>
          <w:snapToGrid w:val="0"/>
          <w:lang w:val="fr-FR"/>
        </w:rPr>
        <w:t>juin</w:t>
      </w:r>
      <w:r w:rsidR="0074560F" w:rsidRPr="00E67D8D">
        <w:rPr>
          <w:snapToGrid w:val="0"/>
          <w:lang w:val="fr-FR"/>
        </w:rPr>
        <w:t>)</w:t>
      </w:r>
      <w:bookmarkEnd w:id="16"/>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04"/>
        <w:gridCol w:w="2303"/>
        <w:gridCol w:w="2304"/>
      </w:tblGrid>
      <w:tr w:rsidR="0074560F" w:rsidRPr="003C5897">
        <w:trPr>
          <w:jc w:val="center"/>
        </w:trPr>
        <w:tc>
          <w:tcPr>
            <w:tcW w:w="2373" w:type="dxa"/>
            <w:tcBorders>
              <w:bottom w:val="single" w:sz="4" w:space="0" w:color="auto"/>
            </w:tcBorders>
            <w:shd w:val="clear" w:color="000000" w:fill="auto"/>
          </w:tcPr>
          <w:p w:rsidR="0074560F" w:rsidRPr="00E67D8D" w:rsidRDefault="0074560F" w:rsidP="005D7B68">
            <w:pPr>
              <w:tabs>
                <w:tab w:val="left" w:pos="567"/>
                <w:tab w:val="left" w:pos="1134"/>
                <w:tab w:val="left" w:pos="1701"/>
                <w:tab w:val="left" w:pos="2268"/>
                <w:tab w:val="left" w:pos="2835"/>
              </w:tabs>
              <w:spacing w:before="20" w:after="20"/>
              <w:jc w:val="center"/>
              <w:rPr>
                <w:snapToGrid w:val="0"/>
                <w:lang w:val="fr-FR"/>
              </w:rPr>
            </w:pPr>
          </w:p>
        </w:tc>
        <w:tc>
          <w:tcPr>
            <w:tcW w:w="2304" w:type="dxa"/>
            <w:tcBorders>
              <w:bottom w:val="single" w:sz="4" w:space="0" w:color="auto"/>
            </w:tcBorders>
            <w:shd w:val="clear" w:color="000000" w:fill="auto"/>
          </w:tcPr>
          <w:p w:rsidR="0074560F" w:rsidRPr="003C5897" w:rsidRDefault="00E67D8D" w:rsidP="005D7B68">
            <w:pPr>
              <w:tabs>
                <w:tab w:val="left" w:pos="567"/>
                <w:tab w:val="left" w:pos="1134"/>
                <w:tab w:val="left" w:pos="1701"/>
                <w:tab w:val="left" w:pos="2268"/>
                <w:tab w:val="left" w:pos="2835"/>
              </w:tabs>
              <w:spacing w:before="20" w:after="20"/>
              <w:jc w:val="center"/>
              <w:rPr>
                <w:snapToGrid w:val="0"/>
              </w:rPr>
            </w:pPr>
            <w:r>
              <w:rPr>
                <w:snapToGrid w:val="0"/>
              </w:rPr>
              <w:t>Autochtones</w:t>
            </w:r>
          </w:p>
        </w:tc>
        <w:tc>
          <w:tcPr>
            <w:tcW w:w="2303" w:type="dxa"/>
            <w:tcBorders>
              <w:bottom w:val="single" w:sz="4" w:space="0" w:color="auto"/>
            </w:tcBorders>
            <w:shd w:val="clear" w:color="000000" w:fill="auto"/>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Pr>
                <w:snapToGrid w:val="0"/>
              </w:rPr>
              <w:t>Non</w:t>
            </w:r>
            <w:r w:rsidR="00E67D8D">
              <w:rPr>
                <w:snapToGrid w:val="0"/>
              </w:rPr>
              <w:t xml:space="preserve"> autochtones</w:t>
            </w:r>
          </w:p>
        </w:tc>
        <w:tc>
          <w:tcPr>
            <w:tcW w:w="2304" w:type="dxa"/>
            <w:tcBorders>
              <w:bottom w:val="single" w:sz="4" w:space="0" w:color="auto"/>
            </w:tcBorders>
            <w:shd w:val="clear" w:color="000000" w:fill="auto"/>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Total</w:t>
            </w:r>
          </w:p>
        </w:tc>
      </w:tr>
      <w:tr w:rsidR="0074560F" w:rsidRPr="003C5897">
        <w:trPr>
          <w:jc w:val="center"/>
        </w:trPr>
        <w:tc>
          <w:tcPr>
            <w:tcW w:w="2373" w:type="dxa"/>
            <w:tcBorders>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2000</w:t>
            </w:r>
          </w:p>
        </w:tc>
        <w:tc>
          <w:tcPr>
            <w:tcW w:w="2304" w:type="dxa"/>
            <w:tcBorders>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w:t>
            </w:r>
            <w:r w:rsidR="00E67D8D">
              <w:rPr>
                <w:snapToGrid w:val="0"/>
              </w:rPr>
              <w:t> 653,</w:t>
            </w:r>
            <w:r w:rsidRPr="003C5897">
              <w:rPr>
                <w:snapToGrid w:val="0"/>
              </w:rPr>
              <w:t>2</w:t>
            </w:r>
          </w:p>
        </w:tc>
        <w:tc>
          <w:tcPr>
            <w:tcW w:w="2303" w:type="dxa"/>
            <w:tcBorders>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122</w:t>
            </w:r>
            <w:r w:rsidR="00E67D8D">
              <w:rPr>
                <w:snapToGrid w:val="0"/>
              </w:rPr>
              <w:t>,</w:t>
            </w:r>
            <w:r w:rsidRPr="003C5897">
              <w:rPr>
                <w:snapToGrid w:val="0"/>
              </w:rPr>
              <w:t>5</w:t>
            </w:r>
          </w:p>
        </w:tc>
        <w:tc>
          <w:tcPr>
            <w:tcW w:w="2304" w:type="dxa"/>
            <w:tcBorders>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149</w:t>
            </w:r>
            <w:r w:rsidR="00E67D8D">
              <w:rPr>
                <w:snapToGrid w:val="0"/>
              </w:rPr>
              <w:t>,</w:t>
            </w:r>
            <w:r w:rsidRPr="003C5897">
              <w:rPr>
                <w:snapToGrid w:val="0"/>
              </w:rPr>
              <w:t>7</w:t>
            </w:r>
          </w:p>
        </w:tc>
      </w:tr>
      <w:tr w:rsidR="0074560F" w:rsidRPr="003C5897">
        <w:trPr>
          <w:jc w:val="center"/>
        </w:trPr>
        <w:tc>
          <w:tcPr>
            <w:tcW w:w="237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2001</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w:t>
            </w:r>
            <w:r w:rsidR="00E67D8D">
              <w:rPr>
                <w:snapToGrid w:val="0"/>
              </w:rPr>
              <w:t> 753,</w:t>
            </w:r>
            <w:r w:rsidRPr="003C5897">
              <w:rPr>
                <w:snapToGrid w:val="0"/>
              </w:rPr>
              <w:t>5</w:t>
            </w:r>
          </w:p>
        </w:tc>
        <w:tc>
          <w:tcPr>
            <w:tcW w:w="230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122</w:t>
            </w:r>
            <w:r w:rsidR="00E67D8D">
              <w:rPr>
                <w:snapToGrid w:val="0"/>
              </w:rPr>
              <w:t>,</w:t>
            </w:r>
            <w:r w:rsidRPr="003C5897">
              <w:rPr>
                <w:snapToGrid w:val="0"/>
              </w:rPr>
              <w:t>8</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152</w:t>
            </w:r>
            <w:r w:rsidR="00E67D8D">
              <w:rPr>
                <w:snapToGrid w:val="0"/>
              </w:rPr>
              <w:t>,</w:t>
            </w:r>
            <w:r w:rsidRPr="003C5897">
              <w:rPr>
                <w:snapToGrid w:val="0"/>
              </w:rPr>
              <w:t>5</w:t>
            </w:r>
          </w:p>
        </w:tc>
      </w:tr>
      <w:tr w:rsidR="0074560F" w:rsidRPr="003C5897">
        <w:trPr>
          <w:jc w:val="center"/>
        </w:trPr>
        <w:tc>
          <w:tcPr>
            <w:tcW w:w="237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2002</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w:t>
            </w:r>
            <w:r>
              <w:rPr>
                <w:snapToGrid w:val="0"/>
              </w:rPr>
              <w:t xml:space="preserve"> </w:t>
            </w:r>
            <w:r w:rsidRPr="003C5897">
              <w:rPr>
                <w:snapToGrid w:val="0"/>
              </w:rPr>
              <w:t>732</w:t>
            </w:r>
            <w:r w:rsidR="00E67D8D">
              <w:rPr>
                <w:snapToGrid w:val="0"/>
              </w:rPr>
              <w:t>,</w:t>
            </w:r>
            <w:r w:rsidRPr="003C5897">
              <w:rPr>
                <w:snapToGrid w:val="0"/>
              </w:rPr>
              <w:t>0</w:t>
            </w:r>
          </w:p>
        </w:tc>
        <w:tc>
          <w:tcPr>
            <w:tcW w:w="230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120</w:t>
            </w:r>
            <w:r w:rsidR="00E67D8D">
              <w:rPr>
                <w:snapToGrid w:val="0"/>
              </w:rPr>
              <w:t>,</w:t>
            </w:r>
            <w:r w:rsidRPr="003C5897">
              <w:rPr>
                <w:snapToGrid w:val="0"/>
              </w:rPr>
              <w:t>4</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150</w:t>
            </w:r>
            <w:r w:rsidR="00E67D8D">
              <w:rPr>
                <w:snapToGrid w:val="0"/>
              </w:rPr>
              <w:t>,</w:t>
            </w:r>
            <w:r w:rsidRPr="003C5897">
              <w:rPr>
                <w:snapToGrid w:val="0"/>
              </w:rPr>
              <w:t>3</w:t>
            </w:r>
          </w:p>
        </w:tc>
      </w:tr>
      <w:tr w:rsidR="0074560F" w:rsidRPr="003C5897">
        <w:trPr>
          <w:jc w:val="center"/>
        </w:trPr>
        <w:tc>
          <w:tcPr>
            <w:tcW w:w="237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2003</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w:t>
            </w:r>
            <w:r>
              <w:rPr>
                <w:snapToGrid w:val="0"/>
              </w:rPr>
              <w:t xml:space="preserve"> </w:t>
            </w:r>
            <w:r w:rsidRPr="003C5897">
              <w:rPr>
                <w:snapToGrid w:val="0"/>
              </w:rPr>
              <w:t>818</w:t>
            </w:r>
            <w:r w:rsidR="00E67D8D">
              <w:rPr>
                <w:snapToGrid w:val="0"/>
              </w:rPr>
              <w:t>,</w:t>
            </w:r>
            <w:r w:rsidRPr="003C5897">
              <w:rPr>
                <w:snapToGrid w:val="0"/>
              </w:rPr>
              <w:t>0</w:t>
            </w:r>
          </w:p>
        </w:tc>
        <w:tc>
          <w:tcPr>
            <w:tcW w:w="230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122</w:t>
            </w:r>
            <w:r w:rsidR="00E67D8D">
              <w:rPr>
                <w:snapToGrid w:val="0"/>
              </w:rPr>
              <w:t>,</w:t>
            </w:r>
            <w:r w:rsidRPr="003C5897">
              <w:rPr>
                <w:snapToGrid w:val="0"/>
              </w:rPr>
              <w:t>8</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154</w:t>
            </w:r>
            <w:r w:rsidR="00E67D8D">
              <w:rPr>
                <w:snapToGrid w:val="0"/>
              </w:rPr>
              <w:t>,</w:t>
            </w:r>
            <w:r w:rsidRPr="003C5897">
              <w:rPr>
                <w:snapToGrid w:val="0"/>
              </w:rPr>
              <w:t>9</w:t>
            </w:r>
          </w:p>
        </w:tc>
      </w:tr>
      <w:tr w:rsidR="0074560F" w:rsidRPr="003C5897">
        <w:trPr>
          <w:jc w:val="center"/>
        </w:trPr>
        <w:tc>
          <w:tcPr>
            <w:tcW w:w="237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2004</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w:t>
            </w:r>
            <w:r>
              <w:rPr>
                <w:snapToGrid w:val="0"/>
              </w:rPr>
              <w:t xml:space="preserve"> </w:t>
            </w:r>
            <w:r w:rsidRPr="003C5897">
              <w:rPr>
                <w:snapToGrid w:val="0"/>
              </w:rPr>
              <w:t>851</w:t>
            </w:r>
            <w:r w:rsidR="00E67D8D">
              <w:rPr>
                <w:snapToGrid w:val="0"/>
              </w:rPr>
              <w:t>,</w:t>
            </w:r>
            <w:r w:rsidRPr="003C5897">
              <w:rPr>
                <w:snapToGrid w:val="0"/>
              </w:rPr>
              <w:t>9</w:t>
            </w:r>
          </w:p>
        </w:tc>
        <w:tc>
          <w:tcPr>
            <w:tcW w:w="230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124</w:t>
            </w:r>
            <w:r w:rsidR="00E67D8D">
              <w:rPr>
                <w:snapToGrid w:val="0"/>
              </w:rPr>
              <w:t>,</w:t>
            </w:r>
            <w:r w:rsidRPr="003C5897">
              <w:rPr>
                <w:snapToGrid w:val="0"/>
              </w:rPr>
              <w:t>3</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157</w:t>
            </w:r>
            <w:r w:rsidR="00E67D8D">
              <w:rPr>
                <w:snapToGrid w:val="0"/>
              </w:rPr>
              <w:t>,</w:t>
            </w:r>
            <w:r w:rsidRPr="003C5897">
              <w:rPr>
                <w:snapToGrid w:val="0"/>
              </w:rPr>
              <w:t>1</w:t>
            </w:r>
          </w:p>
        </w:tc>
      </w:tr>
      <w:tr w:rsidR="0074560F" w:rsidRPr="003C5897">
        <w:trPr>
          <w:jc w:val="center"/>
        </w:trPr>
        <w:tc>
          <w:tcPr>
            <w:tcW w:w="237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2005</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w:t>
            </w:r>
            <w:r>
              <w:rPr>
                <w:snapToGrid w:val="0"/>
              </w:rPr>
              <w:t xml:space="preserve"> </w:t>
            </w:r>
            <w:r w:rsidRPr="003C5897">
              <w:rPr>
                <w:snapToGrid w:val="0"/>
              </w:rPr>
              <w:t>021</w:t>
            </w:r>
            <w:r w:rsidR="00E67D8D">
              <w:rPr>
                <w:snapToGrid w:val="0"/>
              </w:rPr>
              <w:t>,</w:t>
            </w:r>
            <w:r w:rsidRPr="003C5897">
              <w:rPr>
                <w:snapToGrid w:val="0"/>
              </w:rPr>
              <w:t>2</w:t>
            </w:r>
          </w:p>
        </w:tc>
        <w:tc>
          <w:tcPr>
            <w:tcW w:w="2303"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125</w:t>
            </w:r>
            <w:r w:rsidR="00E67D8D">
              <w:rPr>
                <w:snapToGrid w:val="0"/>
              </w:rPr>
              <w:t>,</w:t>
            </w:r>
            <w:r w:rsidRPr="003C5897">
              <w:rPr>
                <w:snapToGrid w:val="0"/>
              </w:rPr>
              <w:t>3</w:t>
            </w:r>
          </w:p>
        </w:tc>
        <w:tc>
          <w:tcPr>
            <w:tcW w:w="2304" w:type="dxa"/>
            <w:tcBorders>
              <w:top w:val="nil"/>
              <w:bottom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162</w:t>
            </w:r>
            <w:r w:rsidR="00E67D8D">
              <w:rPr>
                <w:snapToGrid w:val="0"/>
              </w:rPr>
              <w:t>,</w:t>
            </w:r>
            <w:r w:rsidRPr="003C5897">
              <w:rPr>
                <w:snapToGrid w:val="0"/>
              </w:rPr>
              <w:t>5</w:t>
            </w:r>
          </w:p>
        </w:tc>
      </w:tr>
      <w:tr w:rsidR="0074560F" w:rsidRPr="003C5897">
        <w:trPr>
          <w:jc w:val="center"/>
        </w:trPr>
        <w:tc>
          <w:tcPr>
            <w:tcW w:w="2373" w:type="dxa"/>
            <w:tcBorders>
              <w:top w:val="nil"/>
            </w:tcBorders>
          </w:tcPr>
          <w:p w:rsidR="0074560F" w:rsidRPr="003C5897" w:rsidRDefault="0074560F" w:rsidP="005D7B68">
            <w:pPr>
              <w:tabs>
                <w:tab w:val="left" w:pos="567"/>
                <w:tab w:val="left" w:pos="1134"/>
                <w:tab w:val="left" w:pos="1701"/>
                <w:tab w:val="left" w:pos="2268"/>
                <w:tab w:val="left" w:pos="2835"/>
              </w:tabs>
              <w:spacing w:before="20" w:after="20"/>
              <w:jc w:val="center"/>
              <w:rPr>
                <w:snapToGrid w:val="0"/>
              </w:rPr>
            </w:pPr>
            <w:r w:rsidRPr="003C5897">
              <w:rPr>
                <w:snapToGrid w:val="0"/>
              </w:rPr>
              <w:t>2006</w:t>
            </w:r>
          </w:p>
        </w:tc>
        <w:tc>
          <w:tcPr>
            <w:tcW w:w="2304" w:type="dxa"/>
            <w:tcBorders>
              <w:top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w:t>
            </w:r>
            <w:r>
              <w:rPr>
                <w:snapToGrid w:val="0"/>
              </w:rPr>
              <w:t xml:space="preserve"> </w:t>
            </w:r>
            <w:r w:rsidRPr="003C5897">
              <w:rPr>
                <w:snapToGrid w:val="0"/>
              </w:rPr>
              <w:t>126</w:t>
            </w:r>
            <w:r w:rsidR="00E67D8D">
              <w:rPr>
                <w:snapToGrid w:val="0"/>
              </w:rPr>
              <w:t>,</w:t>
            </w:r>
            <w:r w:rsidRPr="003C5897">
              <w:rPr>
                <w:snapToGrid w:val="0"/>
              </w:rPr>
              <w:t>9</w:t>
            </w:r>
          </w:p>
        </w:tc>
        <w:tc>
          <w:tcPr>
            <w:tcW w:w="2303" w:type="dxa"/>
            <w:tcBorders>
              <w:top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125</w:t>
            </w:r>
            <w:r w:rsidR="00E67D8D">
              <w:rPr>
                <w:snapToGrid w:val="0"/>
              </w:rPr>
              <w:t>,</w:t>
            </w:r>
            <w:r w:rsidRPr="003C5897">
              <w:rPr>
                <w:snapToGrid w:val="0"/>
              </w:rPr>
              <w:t>6</w:t>
            </w:r>
          </w:p>
        </w:tc>
        <w:tc>
          <w:tcPr>
            <w:tcW w:w="2304" w:type="dxa"/>
            <w:tcBorders>
              <w:top w:val="nil"/>
            </w:tcBorders>
          </w:tcPr>
          <w:p w:rsidR="0074560F" w:rsidRPr="003C5897" w:rsidRDefault="0074560F"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163</w:t>
            </w:r>
            <w:r w:rsidR="00E67D8D">
              <w:rPr>
                <w:snapToGrid w:val="0"/>
              </w:rPr>
              <w:t>,</w:t>
            </w:r>
            <w:r w:rsidRPr="003C5897">
              <w:rPr>
                <w:snapToGrid w:val="0"/>
              </w:rPr>
              <w:t>4</w:t>
            </w:r>
          </w:p>
        </w:tc>
      </w:tr>
    </w:tbl>
    <w:p w:rsidR="0074560F" w:rsidRPr="003C5897" w:rsidRDefault="0074560F" w:rsidP="005D7B68">
      <w:pPr>
        <w:tabs>
          <w:tab w:val="left" w:pos="567"/>
          <w:tab w:val="left" w:pos="1134"/>
          <w:tab w:val="left" w:pos="1701"/>
          <w:tab w:val="left" w:pos="2268"/>
          <w:tab w:val="left" w:pos="2835"/>
        </w:tabs>
        <w:spacing w:before="240"/>
        <w:rPr>
          <w:snapToGrid w:val="0"/>
        </w:rPr>
      </w:pPr>
      <w:r>
        <w:rPr>
          <w:snapToGrid w:val="0"/>
        </w:rPr>
        <w:tab/>
      </w:r>
      <w:r w:rsidRPr="00FD5931">
        <w:rPr>
          <w:i/>
          <w:snapToGrid w:val="0"/>
        </w:rPr>
        <w:t>Source</w:t>
      </w:r>
      <w:r w:rsidRPr="003C5897">
        <w:rPr>
          <w:snapToGrid w:val="0"/>
        </w:rPr>
        <w:t>:</w:t>
      </w:r>
      <w:r w:rsidR="00572260">
        <w:rPr>
          <w:snapToGrid w:val="0"/>
        </w:rPr>
        <w:t xml:space="preserve"> </w:t>
      </w:r>
      <w:r w:rsidRPr="00E90C44">
        <w:rPr>
          <w:snapToGrid w:val="0"/>
        </w:rPr>
        <w:t>ABS Prisoners in Australia</w:t>
      </w:r>
      <w:r>
        <w:rPr>
          <w:snapToGrid w:val="0"/>
        </w:rPr>
        <w:t xml:space="preserve"> </w:t>
      </w:r>
      <w:r w:rsidRPr="003C5897">
        <w:rPr>
          <w:snapToGrid w:val="0"/>
        </w:rPr>
        <w:t>2006</w:t>
      </w:r>
      <w:r>
        <w:rPr>
          <w:snapToGrid w:val="0"/>
        </w:rPr>
        <w:t>.</w:t>
      </w:r>
    </w:p>
    <w:p w:rsidR="0074560F" w:rsidRPr="00E67D8D" w:rsidRDefault="0074560F" w:rsidP="005D7B68">
      <w:pPr>
        <w:tabs>
          <w:tab w:val="left" w:pos="567"/>
          <w:tab w:val="left" w:pos="1134"/>
          <w:tab w:val="left" w:pos="1701"/>
          <w:tab w:val="left" w:pos="2268"/>
          <w:tab w:val="left" w:pos="2835"/>
        </w:tabs>
        <w:rPr>
          <w:snapToGrid w:val="0"/>
          <w:lang w:val="fr-FR"/>
        </w:rPr>
      </w:pPr>
      <w:r>
        <w:rPr>
          <w:snapToGrid w:val="0"/>
        </w:rPr>
        <w:tab/>
      </w:r>
      <w:r w:rsidRPr="00E67D8D">
        <w:rPr>
          <w:i/>
          <w:snapToGrid w:val="0"/>
          <w:lang w:val="fr-FR"/>
        </w:rPr>
        <w:t>Note</w:t>
      </w:r>
      <w:r w:rsidRPr="00E67D8D">
        <w:rPr>
          <w:snapToGrid w:val="0"/>
          <w:lang w:val="fr-FR"/>
        </w:rPr>
        <w:t>:</w:t>
      </w:r>
      <w:r w:rsidR="00E67D8D">
        <w:rPr>
          <w:snapToGrid w:val="0"/>
          <w:lang w:val="fr-FR"/>
        </w:rPr>
        <w:t xml:space="preserve"> </w:t>
      </w:r>
      <w:r w:rsidR="00E90C44">
        <w:rPr>
          <w:snapToGrid w:val="0"/>
          <w:lang w:val="fr-FR"/>
        </w:rPr>
        <w:t>L</w:t>
      </w:r>
      <w:r w:rsidR="00E90C44" w:rsidRPr="00E67D8D">
        <w:rPr>
          <w:snapToGrid w:val="0"/>
          <w:lang w:val="fr-FR"/>
        </w:rPr>
        <w:t xml:space="preserve">es </w:t>
      </w:r>
      <w:r w:rsidR="00E67D8D" w:rsidRPr="00E67D8D">
        <w:rPr>
          <w:snapToGrid w:val="0"/>
          <w:lang w:val="fr-FR"/>
        </w:rPr>
        <w:t>taux bruts</w:t>
      </w:r>
      <w:r w:rsidR="00E67D8D">
        <w:rPr>
          <w:snapToGrid w:val="0"/>
          <w:lang w:val="fr-FR"/>
        </w:rPr>
        <w:t xml:space="preserve"> s’entendent</w:t>
      </w:r>
      <w:r w:rsidR="00E67D8D" w:rsidRPr="00E67D8D">
        <w:rPr>
          <w:snapToGrid w:val="0"/>
          <w:lang w:val="fr-FR"/>
        </w:rPr>
        <w:t xml:space="preserve"> pour</w:t>
      </w:r>
      <w:r w:rsidRPr="00E67D8D">
        <w:rPr>
          <w:snapToGrid w:val="0"/>
          <w:lang w:val="fr-FR"/>
        </w:rPr>
        <w:t xml:space="preserve"> </w:t>
      </w:r>
      <w:r w:rsidR="00E67D8D">
        <w:rPr>
          <w:snapToGrid w:val="0"/>
          <w:lang w:val="fr-FR"/>
        </w:rPr>
        <w:t xml:space="preserve">100 </w:t>
      </w:r>
      <w:r w:rsidRPr="00E67D8D">
        <w:rPr>
          <w:snapToGrid w:val="0"/>
          <w:lang w:val="fr-FR"/>
        </w:rPr>
        <w:t xml:space="preserve">000 </w:t>
      </w:r>
      <w:r w:rsidR="00E67D8D">
        <w:rPr>
          <w:snapToGrid w:val="0"/>
          <w:lang w:val="fr-FR"/>
        </w:rPr>
        <w:t>habitants</w:t>
      </w:r>
      <w:r w:rsidRPr="00E67D8D">
        <w:rPr>
          <w:snapToGrid w:val="0"/>
          <w:lang w:val="fr-FR"/>
        </w:rPr>
        <w:t>.</w:t>
      </w:r>
    </w:p>
    <w:p w:rsidR="00995DE8" w:rsidRPr="00E60DC8" w:rsidRDefault="00866E99" w:rsidP="005D7B68">
      <w:pPr>
        <w:tabs>
          <w:tab w:val="left" w:pos="567"/>
          <w:tab w:val="left" w:pos="1134"/>
          <w:tab w:val="left" w:pos="1701"/>
          <w:tab w:val="left" w:pos="2268"/>
          <w:tab w:val="left" w:pos="2835"/>
        </w:tabs>
        <w:rPr>
          <w:b/>
          <w:bCs/>
          <w:lang w:val="fr-FR"/>
        </w:rPr>
      </w:pPr>
      <w:r>
        <w:rPr>
          <w:lang w:val="fr-FR"/>
        </w:rPr>
        <w:t>391</w:t>
      </w:r>
      <w:r w:rsidR="000D53BE">
        <w:rPr>
          <w:lang w:val="fr-FR"/>
        </w:rPr>
        <w:t>.</w:t>
      </w:r>
      <w:r w:rsidR="000D53BE">
        <w:rPr>
          <w:lang w:val="fr-FR"/>
        </w:rPr>
        <w:tab/>
        <w:t>Dans le tableau 3 est présenté le nombre de personnes (de tous âges) détenues dans les établissements pénitentiaires pour mineurs en Australie par juridiction au 30 juin 2005.</w:t>
      </w:r>
    </w:p>
    <w:p w:rsidR="003B2EA3" w:rsidRPr="008D6B80" w:rsidRDefault="003B2EA3" w:rsidP="005D7B68">
      <w:pPr>
        <w:pStyle w:val="Heading2"/>
        <w:tabs>
          <w:tab w:val="left" w:pos="567"/>
          <w:tab w:val="left" w:pos="1134"/>
          <w:tab w:val="left" w:pos="1701"/>
          <w:tab w:val="left" w:pos="2268"/>
          <w:tab w:val="left" w:pos="2835"/>
        </w:tabs>
        <w:rPr>
          <w:snapToGrid w:val="0"/>
          <w:lang w:val="fr-FR"/>
        </w:rPr>
      </w:pPr>
      <w:bookmarkStart w:id="17" w:name="_Toc193614086"/>
      <w:r w:rsidRPr="008D6B80">
        <w:rPr>
          <w:snapToGrid w:val="0"/>
          <w:lang w:val="fr-FR"/>
        </w:rPr>
        <w:t>Tableau 3</w:t>
      </w:r>
      <w:bookmarkEnd w:id="17"/>
    </w:p>
    <w:p w:rsidR="003B2EA3" w:rsidRPr="003B2EA3" w:rsidRDefault="003B2EA3" w:rsidP="005D7B68">
      <w:pPr>
        <w:pStyle w:val="Heading2"/>
        <w:tabs>
          <w:tab w:val="left" w:pos="567"/>
          <w:tab w:val="left" w:pos="1134"/>
          <w:tab w:val="left" w:pos="1701"/>
          <w:tab w:val="left" w:pos="2268"/>
          <w:tab w:val="left" w:pos="2835"/>
        </w:tabs>
        <w:rPr>
          <w:snapToGrid w:val="0"/>
          <w:lang w:val="fr-FR"/>
        </w:rPr>
      </w:pPr>
      <w:bookmarkStart w:id="18" w:name="_Toc193614087"/>
      <w:r w:rsidRPr="003B2EA3">
        <w:rPr>
          <w:snapToGrid w:val="0"/>
          <w:lang w:val="fr-FR"/>
        </w:rPr>
        <w:t xml:space="preserve">Nombre de détenus dans les établissements </w:t>
      </w:r>
      <w:r>
        <w:rPr>
          <w:snapToGrid w:val="0"/>
          <w:lang w:val="fr-FR"/>
        </w:rPr>
        <w:t>pénitentiair</w:t>
      </w:r>
      <w:r w:rsidRPr="003B2EA3">
        <w:rPr>
          <w:snapToGrid w:val="0"/>
          <w:lang w:val="fr-FR"/>
        </w:rPr>
        <w:t xml:space="preserve">es pour mineurs </w:t>
      </w:r>
      <w:r>
        <w:rPr>
          <w:snapToGrid w:val="0"/>
          <w:lang w:val="fr-FR"/>
        </w:rPr>
        <w:t>en</w:t>
      </w:r>
      <w:r w:rsidRPr="003B2EA3">
        <w:rPr>
          <w:snapToGrid w:val="0"/>
          <w:lang w:val="fr-FR"/>
        </w:rPr>
        <w:t xml:space="preserve"> </w:t>
      </w:r>
      <w:r>
        <w:rPr>
          <w:snapToGrid w:val="0"/>
          <w:lang w:val="fr-FR"/>
        </w:rPr>
        <w:t>Australie</w:t>
      </w:r>
      <w:r w:rsidRPr="003B2EA3">
        <w:rPr>
          <w:snapToGrid w:val="0"/>
          <w:lang w:val="fr-FR"/>
        </w:rPr>
        <w:t xml:space="preserve"> </w:t>
      </w:r>
      <w:r>
        <w:rPr>
          <w:snapToGrid w:val="0"/>
          <w:lang w:val="fr-FR"/>
        </w:rPr>
        <w:t>par</w:t>
      </w:r>
      <w:r w:rsidRPr="003B2EA3">
        <w:rPr>
          <w:snapToGrid w:val="0"/>
          <w:lang w:val="fr-FR"/>
        </w:rPr>
        <w:t xml:space="preserve"> </w:t>
      </w:r>
      <w:r>
        <w:rPr>
          <w:snapToGrid w:val="0"/>
          <w:lang w:val="fr-FR"/>
        </w:rPr>
        <w:t>juri</w:t>
      </w:r>
      <w:r w:rsidRPr="003B2EA3">
        <w:rPr>
          <w:snapToGrid w:val="0"/>
          <w:lang w:val="fr-FR"/>
        </w:rPr>
        <w:t>diction</w:t>
      </w:r>
      <w:r w:rsidR="000905A1">
        <w:rPr>
          <w:snapToGrid w:val="0"/>
          <w:lang w:val="fr-FR"/>
        </w:rPr>
        <w:t xml:space="preserve"> </w:t>
      </w:r>
      <w:r>
        <w:rPr>
          <w:snapToGrid w:val="0"/>
          <w:lang w:val="fr-FR"/>
        </w:rPr>
        <w:t>au</w:t>
      </w:r>
      <w:r w:rsidRPr="003B2EA3">
        <w:rPr>
          <w:snapToGrid w:val="0"/>
          <w:lang w:val="fr-FR"/>
        </w:rPr>
        <w:t xml:space="preserve"> 30 </w:t>
      </w:r>
      <w:r>
        <w:rPr>
          <w:snapToGrid w:val="0"/>
          <w:lang w:val="fr-FR"/>
        </w:rPr>
        <w:t>juin</w:t>
      </w:r>
      <w:r w:rsidRPr="003B2EA3">
        <w:rPr>
          <w:snapToGrid w:val="0"/>
          <w:lang w:val="fr-FR"/>
        </w:rPr>
        <w:t xml:space="preserve"> 2005 </w:t>
      </w:r>
      <w:r>
        <w:rPr>
          <w:snapToGrid w:val="0"/>
          <w:lang w:val="fr-FR"/>
        </w:rPr>
        <w:t>(tous âges</w:t>
      </w:r>
      <w:r w:rsidRPr="003B2EA3">
        <w:rPr>
          <w:snapToGrid w:val="0"/>
          <w:lang w:val="fr-FR"/>
        </w:rPr>
        <w:t>)</w:t>
      </w:r>
      <w:bookmarkEnd w:id="18"/>
    </w:p>
    <w:tbl>
      <w:tblPr>
        <w:tblW w:w="9273" w:type="dxa"/>
        <w:jc w:val="center"/>
        <w:tblInd w:w="-1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76"/>
        <w:gridCol w:w="1081"/>
        <w:gridCol w:w="1082"/>
        <w:gridCol w:w="1082"/>
        <w:gridCol w:w="1078"/>
        <w:gridCol w:w="1088"/>
        <w:gridCol w:w="1086"/>
      </w:tblGrid>
      <w:tr w:rsidR="003B2EA3" w:rsidRPr="00E90C44">
        <w:trPr>
          <w:jc w:val="center"/>
        </w:trPr>
        <w:tc>
          <w:tcPr>
            <w:tcW w:w="2776" w:type="dxa"/>
            <w:tcBorders>
              <w:top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L</w:t>
            </w:r>
            <w:r w:rsidR="00CC4A36" w:rsidRPr="00E90C44">
              <w:rPr>
                <w:sz w:val="22"/>
                <w:szCs w:val="22"/>
              </w:rPr>
              <w:t>ocalisation</w:t>
            </w:r>
          </w:p>
        </w:tc>
        <w:tc>
          <w:tcPr>
            <w:tcW w:w="2163" w:type="dxa"/>
            <w:gridSpan w:val="2"/>
            <w:tcBorders>
              <w:top w:val="single" w:sz="4" w:space="0" w:color="auto"/>
              <w:left w:val="single" w:sz="4" w:space="0" w:color="auto"/>
              <w:bottom w:val="single" w:sz="4" w:space="0" w:color="auto"/>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jc w:val="center"/>
              <w:rPr>
                <w:sz w:val="22"/>
                <w:szCs w:val="22"/>
              </w:rPr>
            </w:pPr>
            <w:r w:rsidRPr="00E90C44">
              <w:rPr>
                <w:sz w:val="22"/>
                <w:szCs w:val="22"/>
              </w:rPr>
              <w:t>Autochtones</w:t>
            </w:r>
          </w:p>
        </w:tc>
        <w:tc>
          <w:tcPr>
            <w:tcW w:w="2160" w:type="dxa"/>
            <w:gridSpan w:val="2"/>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Non</w:t>
            </w:r>
            <w:r w:rsidR="000905A1" w:rsidRPr="00E90C44">
              <w:rPr>
                <w:sz w:val="22"/>
                <w:szCs w:val="22"/>
              </w:rPr>
              <w:t xml:space="preserve"> autochtones</w:t>
            </w:r>
          </w:p>
        </w:tc>
        <w:tc>
          <w:tcPr>
            <w:tcW w:w="2174" w:type="dxa"/>
            <w:gridSpan w:val="2"/>
            <w:tcBorders>
              <w:top w:val="single" w:sz="4" w:space="0" w:color="auto"/>
              <w:left w:val="single" w:sz="4" w:space="0" w:color="auto"/>
              <w:bottom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Total</w:t>
            </w:r>
          </w:p>
        </w:tc>
      </w:tr>
      <w:tr w:rsidR="003B2EA3" w:rsidRPr="00E90C44">
        <w:trPr>
          <w:jc w:val="center"/>
        </w:trPr>
        <w:tc>
          <w:tcPr>
            <w:tcW w:w="2776" w:type="dxa"/>
            <w:tcBorders>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rPr>
                <w:sz w:val="22"/>
                <w:szCs w:val="22"/>
              </w:rPr>
            </w:pPr>
          </w:p>
        </w:tc>
        <w:tc>
          <w:tcPr>
            <w:tcW w:w="1081" w:type="dxa"/>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N</w:t>
            </w:r>
          </w:p>
        </w:tc>
        <w:tc>
          <w:tcPr>
            <w:tcW w:w="1082" w:type="dxa"/>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w:t>
            </w:r>
          </w:p>
        </w:tc>
        <w:tc>
          <w:tcPr>
            <w:tcW w:w="1082" w:type="dxa"/>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N</w:t>
            </w:r>
          </w:p>
        </w:tc>
        <w:tc>
          <w:tcPr>
            <w:tcW w:w="1078" w:type="dxa"/>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w:t>
            </w:r>
          </w:p>
        </w:tc>
        <w:tc>
          <w:tcPr>
            <w:tcW w:w="1088" w:type="dxa"/>
            <w:tcBorders>
              <w:top w:val="single" w:sz="4" w:space="0" w:color="auto"/>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N</w:t>
            </w:r>
          </w:p>
        </w:tc>
        <w:tc>
          <w:tcPr>
            <w:tcW w:w="1086" w:type="dxa"/>
            <w:tcBorders>
              <w:top w:val="single" w:sz="4" w:space="0" w:color="auto"/>
              <w:left w:val="single" w:sz="4" w:space="0" w:color="auto"/>
              <w:bottom w:val="single" w:sz="4" w:space="0" w:color="auto"/>
            </w:tcBorders>
          </w:tcPr>
          <w:p w:rsidR="003B2EA3" w:rsidRPr="00E90C44" w:rsidRDefault="003B2EA3" w:rsidP="005D7B68">
            <w:pPr>
              <w:tabs>
                <w:tab w:val="left" w:pos="567"/>
                <w:tab w:val="left" w:pos="1134"/>
                <w:tab w:val="left" w:pos="1701"/>
                <w:tab w:val="left" w:pos="2268"/>
                <w:tab w:val="left" w:pos="2835"/>
              </w:tabs>
              <w:spacing w:after="0"/>
              <w:jc w:val="center"/>
              <w:rPr>
                <w:sz w:val="22"/>
                <w:szCs w:val="22"/>
              </w:rPr>
            </w:pPr>
            <w:r w:rsidRPr="00E90C44">
              <w:rPr>
                <w:sz w:val="22"/>
                <w:szCs w:val="22"/>
              </w:rPr>
              <w:t>%</w:t>
            </w:r>
          </w:p>
        </w:tc>
      </w:tr>
      <w:tr w:rsidR="003B2EA3" w:rsidRPr="00E90C44">
        <w:trPr>
          <w:jc w:val="center"/>
        </w:trPr>
        <w:tc>
          <w:tcPr>
            <w:tcW w:w="2776" w:type="dxa"/>
            <w:tcBorders>
              <w:top w:val="single" w:sz="4" w:space="0" w:color="auto"/>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rPr>
                <w:sz w:val="22"/>
                <w:szCs w:val="22"/>
              </w:rPr>
            </w:pPr>
            <w:r w:rsidRPr="00E90C44">
              <w:rPr>
                <w:sz w:val="22"/>
                <w:szCs w:val="22"/>
              </w:rPr>
              <w:t>Territoire de la capitale</w:t>
            </w:r>
          </w:p>
        </w:tc>
        <w:tc>
          <w:tcPr>
            <w:tcW w:w="1081" w:type="dxa"/>
            <w:tcBorders>
              <w:top w:val="single" w:sz="4" w:space="0" w:color="auto"/>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w:t>
            </w:r>
          </w:p>
        </w:tc>
        <w:tc>
          <w:tcPr>
            <w:tcW w:w="1082" w:type="dxa"/>
            <w:tcBorders>
              <w:top w:val="single" w:sz="4" w:space="0" w:color="auto"/>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&lt;1</w:t>
            </w:r>
          </w:p>
        </w:tc>
        <w:tc>
          <w:tcPr>
            <w:tcW w:w="1082" w:type="dxa"/>
            <w:tcBorders>
              <w:top w:val="single" w:sz="4" w:space="0" w:color="auto"/>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8</w:t>
            </w:r>
          </w:p>
        </w:tc>
        <w:tc>
          <w:tcPr>
            <w:tcW w:w="1078" w:type="dxa"/>
            <w:tcBorders>
              <w:top w:val="single" w:sz="4" w:space="0" w:color="auto"/>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w:t>
            </w:r>
          </w:p>
        </w:tc>
        <w:tc>
          <w:tcPr>
            <w:tcW w:w="1088" w:type="dxa"/>
            <w:tcBorders>
              <w:top w:val="single" w:sz="4" w:space="0" w:color="auto"/>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11</w:t>
            </w:r>
          </w:p>
        </w:tc>
        <w:tc>
          <w:tcPr>
            <w:tcW w:w="1086" w:type="dxa"/>
            <w:tcBorders>
              <w:top w:val="single" w:sz="4" w:space="0" w:color="auto"/>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w:t>
            </w:r>
          </w:p>
        </w:tc>
      </w:tr>
      <w:tr w:rsidR="003B2EA3" w:rsidRPr="00E90C44">
        <w:trPr>
          <w:jc w:val="center"/>
        </w:trPr>
        <w:tc>
          <w:tcPr>
            <w:tcW w:w="2776" w:type="dxa"/>
            <w:tcBorders>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rPr>
                <w:sz w:val="22"/>
                <w:szCs w:val="22"/>
              </w:rPr>
            </w:pPr>
            <w:r w:rsidRPr="00E90C44">
              <w:rPr>
                <w:sz w:val="22"/>
                <w:szCs w:val="22"/>
              </w:rPr>
              <w:t>Nouvelle-Galles du Sud</w:t>
            </w:r>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141</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39</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187</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40</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328</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39</w:t>
            </w:r>
          </w:p>
        </w:tc>
      </w:tr>
      <w:tr w:rsidR="003B2EA3" w:rsidRPr="00E90C44">
        <w:trPr>
          <w:jc w:val="center"/>
        </w:trPr>
        <w:tc>
          <w:tcPr>
            <w:tcW w:w="2776" w:type="dxa"/>
            <w:tcBorders>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rPr>
                <w:sz w:val="22"/>
                <w:szCs w:val="22"/>
              </w:rPr>
            </w:pPr>
            <w:smartTag w:uri="urn:schemas-microsoft-com:office:smarttags" w:element="place">
              <w:smartTag w:uri="urn:schemas-microsoft-com:office:smarttags" w:element="State">
                <w:r w:rsidRPr="00E90C44">
                  <w:rPr>
                    <w:sz w:val="22"/>
                    <w:szCs w:val="22"/>
                  </w:rPr>
                  <w:t>Queensland</w:t>
                </w:r>
              </w:smartTag>
            </w:smartTag>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55</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15</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46</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10</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101</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12</w:t>
            </w:r>
          </w:p>
        </w:tc>
      </w:tr>
      <w:tr w:rsidR="003B2EA3" w:rsidRPr="00E90C44">
        <w:trPr>
          <w:jc w:val="center"/>
        </w:trPr>
        <w:tc>
          <w:tcPr>
            <w:tcW w:w="2776" w:type="dxa"/>
            <w:tcBorders>
              <w:right w:val="single" w:sz="4" w:space="0" w:color="auto"/>
            </w:tcBorders>
          </w:tcPr>
          <w:p w:rsidR="003B2EA3" w:rsidRPr="00E90C44" w:rsidRDefault="003B2EA3" w:rsidP="005D7B68">
            <w:pPr>
              <w:tabs>
                <w:tab w:val="left" w:pos="567"/>
                <w:tab w:val="left" w:pos="1134"/>
                <w:tab w:val="left" w:pos="1701"/>
                <w:tab w:val="left" w:pos="2268"/>
                <w:tab w:val="left" w:pos="2835"/>
              </w:tabs>
              <w:spacing w:after="0"/>
              <w:rPr>
                <w:sz w:val="22"/>
                <w:szCs w:val="22"/>
              </w:rPr>
            </w:pPr>
            <w:smartTag w:uri="urn:schemas-microsoft-com:office:smarttags" w:element="place">
              <w:smartTag w:uri="urn:schemas-microsoft-com:office:smarttags" w:element="State">
                <w:r w:rsidRPr="00E90C44">
                  <w:rPr>
                    <w:sz w:val="22"/>
                    <w:szCs w:val="22"/>
                  </w:rPr>
                  <w:t>Victoria</w:t>
                </w:r>
              </w:smartTag>
            </w:smartTag>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26</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7</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126</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27</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152</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18</w:t>
            </w:r>
          </w:p>
        </w:tc>
      </w:tr>
      <w:tr w:rsidR="003B2EA3" w:rsidRPr="00E90C44">
        <w:trPr>
          <w:jc w:val="center"/>
        </w:trPr>
        <w:tc>
          <w:tcPr>
            <w:tcW w:w="2776" w:type="dxa"/>
            <w:tcBorders>
              <w:right w:val="single" w:sz="4" w:space="0" w:color="auto"/>
            </w:tcBorders>
          </w:tcPr>
          <w:p w:rsidR="003B2EA3" w:rsidRPr="00E90C44" w:rsidRDefault="008E1139" w:rsidP="005D7B68">
            <w:pPr>
              <w:tabs>
                <w:tab w:val="left" w:pos="567"/>
                <w:tab w:val="left" w:pos="1134"/>
                <w:tab w:val="left" w:pos="1701"/>
                <w:tab w:val="left" w:pos="2268"/>
                <w:tab w:val="left" w:pos="2835"/>
              </w:tabs>
              <w:spacing w:after="0"/>
              <w:rPr>
                <w:sz w:val="22"/>
                <w:szCs w:val="22"/>
              </w:rPr>
            </w:pPr>
            <w:r w:rsidRPr="00E90C44">
              <w:rPr>
                <w:sz w:val="22"/>
                <w:szCs w:val="22"/>
              </w:rPr>
              <w:t>Australie méridionale</w:t>
            </w:r>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27</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7</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40</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8</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67</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8</w:t>
            </w:r>
          </w:p>
        </w:tc>
      </w:tr>
      <w:tr w:rsidR="003B2EA3" w:rsidRPr="00E90C44">
        <w:trPr>
          <w:jc w:val="center"/>
        </w:trPr>
        <w:tc>
          <w:tcPr>
            <w:tcW w:w="2776" w:type="dxa"/>
            <w:tcBorders>
              <w:right w:val="single" w:sz="4" w:space="0" w:color="auto"/>
            </w:tcBorders>
          </w:tcPr>
          <w:p w:rsidR="003B2EA3" w:rsidRPr="00E90C44" w:rsidRDefault="008E1139" w:rsidP="005D7B68">
            <w:pPr>
              <w:tabs>
                <w:tab w:val="left" w:pos="567"/>
                <w:tab w:val="left" w:pos="1134"/>
                <w:tab w:val="left" w:pos="1701"/>
                <w:tab w:val="left" w:pos="2268"/>
                <w:tab w:val="left" w:pos="2835"/>
              </w:tabs>
              <w:spacing w:after="0"/>
              <w:rPr>
                <w:sz w:val="22"/>
                <w:szCs w:val="22"/>
              </w:rPr>
            </w:pPr>
            <w:r w:rsidRPr="00E90C44">
              <w:rPr>
                <w:sz w:val="22"/>
                <w:szCs w:val="22"/>
              </w:rPr>
              <w:t>Australie occidentale</w:t>
            </w:r>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88</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24</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30</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6</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118</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14</w:t>
            </w:r>
          </w:p>
        </w:tc>
      </w:tr>
      <w:tr w:rsidR="003B2EA3" w:rsidRPr="00E90C44">
        <w:trPr>
          <w:jc w:val="center"/>
        </w:trPr>
        <w:tc>
          <w:tcPr>
            <w:tcW w:w="2776" w:type="dxa"/>
            <w:tcBorders>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rPr>
                <w:sz w:val="22"/>
                <w:szCs w:val="22"/>
              </w:rPr>
            </w:pPr>
            <w:r w:rsidRPr="00E90C44">
              <w:rPr>
                <w:sz w:val="22"/>
                <w:szCs w:val="22"/>
              </w:rPr>
              <w:t>Tasmanie</w:t>
            </w:r>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9</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30</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6</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39</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5</w:t>
            </w:r>
          </w:p>
        </w:tc>
      </w:tr>
      <w:tr w:rsidR="003B2EA3" w:rsidRPr="00E90C44">
        <w:trPr>
          <w:jc w:val="center"/>
        </w:trPr>
        <w:tc>
          <w:tcPr>
            <w:tcW w:w="2776" w:type="dxa"/>
            <w:tcBorders>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rPr>
                <w:sz w:val="22"/>
                <w:szCs w:val="22"/>
              </w:rPr>
            </w:pPr>
            <w:r w:rsidRPr="00E90C44">
              <w:rPr>
                <w:sz w:val="22"/>
                <w:szCs w:val="22"/>
              </w:rPr>
              <w:t>Territoire du Nord</w:t>
            </w:r>
          </w:p>
        </w:tc>
        <w:tc>
          <w:tcPr>
            <w:tcW w:w="1081"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15</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4</w:t>
            </w:r>
          </w:p>
        </w:tc>
        <w:tc>
          <w:tcPr>
            <w:tcW w:w="1082"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w:t>
            </w:r>
          </w:p>
        </w:tc>
        <w:tc>
          <w:tcPr>
            <w:tcW w:w="107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&lt;1</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17</w:t>
            </w:r>
          </w:p>
        </w:tc>
        <w:tc>
          <w:tcPr>
            <w:tcW w:w="1086" w:type="dxa"/>
            <w:tcBorders>
              <w:lef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2</w:t>
            </w:r>
          </w:p>
        </w:tc>
      </w:tr>
      <w:tr w:rsidR="003B2EA3" w:rsidRPr="00E90C44">
        <w:trPr>
          <w:jc w:val="center"/>
        </w:trPr>
        <w:tc>
          <w:tcPr>
            <w:tcW w:w="2776" w:type="dxa"/>
            <w:tcBorders>
              <w:right w:val="single" w:sz="4" w:space="0" w:color="auto"/>
            </w:tcBorders>
          </w:tcPr>
          <w:p w:rsidR="003B2EA3" w:rsidRPr="00E90C44" w:rsidRDefault="000905A1" w:rsidP="005D7B68">
            <w:pPr>
              <w:tabs>
                <w:tab w:val="left" w:pos="567"/>
                <w:tab w:val="left" w:pos="1134"/>
                <w:tab w:val="left" w:pos="1701"/>
                <w:tab w:val="left" w:pos="2268"/>
                <w:tab w:val="left" w:pos="2835"/>
              </w:tabs>
              <w:spacing w:after="0"/>
              <w:rPr>
                <w:sz w:val="22"/>
                <w:szCs w:val="22"/>
              </w:rPr>
            </w:pPr>
            <w:r w:rsidRPr="00E90C44">
              <w:rPr>
                <w:sz w:val="22"/>
                <w:szCs w:val="22"/>
              </w:rPr>
              <w:t>Australie</w:t>
            </w:r>
          </w:p>
        </w:tc>
        <w:tc>
          <w:tcPr>
            <w:tcW w:w="1081" w:type="dxa"/>
            <w:tcBorders>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364</w:t>
            </w:r>
          </w:p>
        </w:tc>
        <w:tc>
          <w:tcPr>
            <w:tcW w:w="1082" w:type="dxa"/>
            <w:tcBorders>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100</w:t>
            </w:r>
          </w:p>
        </w:tc>
        <w:tc>
          <w:tcPr>
            <w:tcW w:w="1082" w:type="dxa"/>
            <w:tcBorders>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469</w:t>
            </w:r>
          </w:p>
        </w:tc>
        <w:tc>
          <w:tcPr>
            <w:tcW w:w="1078" w:type="dxa"/>
            <w:tcBorders>
              <w:left w:val="single" w:sz="4" w:space="0" w:color="auto"/>
              <w:bottom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100</w:t>
            </w:r>
          </w:p>
        </w:tc>
        <w:tc>
          <w:tcPr>
            <w:tcW w:w="1088" w:type="dxa"/>
            <w:tcBorders>
              <w:left w:val="single" w:sz="4" w:space="0" w:color="auto"/>
              <w:right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833</w:t>
            </w:r>
          </w:p>
        </w:tc>
        <w:tc>
          <w:tcPr>
            <w:tcW w:w="1086" w:type="dxa"/>
            <w:tcBorders>
              <w:left w:val="single" w:sz="4" w:space="0" w:color="auto"/>
              <w:bottom w:val="single" w:sz="4" w:space="0" w:color="auto"/>
            </w:tcBorders>
          </w:tcPr>
          <w:p w:rsidR="003B2EA3" w:rsidRPr="00E90C44" w:rsidRDefault="003B2EA3" w:rsidP="005D7B68">
            <w:pPr>
              <w:tabs>
                <w:tab w:val="left" w:pos="567"/>
                <w:tab w:val="left" w:pos="1134"/>
                <w:tab w:val="left" w:pos="1701"/>
                <w:tab w:val="left" w:pos="2268"/>
                <w:tab w:val="left" w:pos="2835"/>
              </w:tabs>
              <w:spacing w:before="20" w:after="20"/>
              <w:ind w:right="247"/>
              <w:jc w:val="right"/>
              <w:rPr>
                <w:snapToGrid w:val="0"/>
                <w:sz w:val="22"/>
                <w:szCs w:val="22"/>
              </w:rPr>
            </w:pPr>
            <w:r w:rsidRPr="00E90C44">
              <w:rPr>
                <w:snapToGrid w:val="0"/>
                <w:sz w:val="22"/>
                <w:szCs w:val="22"/>
              </w:rPr>
              <w:t>100</w:t>
            </w:r>
          </w:p>
        </w:tc>
      </w:tr>
    </w:tbl>
    <w:p w:rsidR="00995DE8" w:rsidRPr="003B2EA3" w:rsidRDefault="00E90C44" w:rsidP="005D7B68">
      <w:pPr>
        <w:tabs>
          <w:tab w:val="left" w:pos="567"/>
          <w:tab w:val="left" w:pos="1134"/>
          <w:tab w:val="left" w:pos="1701"/>
          <w:tab w:val="left" w:pos="2268"/>
          <w:tab w:val="left" w:pos="2835"/>
        </w:tabs>
        <w:spacing w:before="120"/>
      </w:pPr>
      <w:r>
        <w:tab/>
      </w:r>
      <w:r w:rsidR="003B2EA3" w:rsidRPr="00EC72D1">
        <w:rPr>
          <w:i/>
          <w:snapToGrid w:val="0"/>
          <w:lang w:val="en-AU"/>
        </w:rPr>
        <w:t>Source</w:t>
      </w:r>
      <w:r w:rsidR="003B2EA3" w:rsidRPr="003C5897">
        <w:rPr>
          <w:snapToGrid w:val="0"/>
          <w:lang w:val="en-AU"/>
        </w:rPr>
        <w:t>:</w:t>
      </w:r>
      <w:r w:rsidR="00572260">
        <w:rPr>
          <w:snapToGrid w:val="0"/>
          <w:lang w:val="en-AU"/>
        </w:rPr>
        <w:t xml:space="preserve"> </w:t>
      </w:r>
      <w:r w:rsidR="003B2EA3" w:rsidRPr="003C5897">
        <w:rPr>
          <w:snapToGrid w:val="0"/>
          <w:lang w:val="en-AU"/>
        </w:rPr>
        <w:t>AIC</w:t>
      </w:r>
      <w:r w:rsidR="003B2EA3">
        <w:rPr>
          <w:snapToGrid w:val="0"/>
          <w:lang w:val="en-AU"/>
        </w:rPr>
        <w:t xml:space="preserve"> </w:t>
      </w:r>
      <w:r w:rsidR="003B2EA3" w:rsidRPr="003C5897">
        <w:rPr>
          <w:snapToGrid w:val="0"/>
          <w:lang w:val="en-AU"/>
        </w:rPr>
        <w:t>Juveniles</w:t>
      </w:r>
      <w:r w:rsidR="003B2EA3">
        <w:rPr>
          <w:snapToGrid w:val="0"/>
          <w:lang w:val="en-AU"/>
        </w:rPr>
        <w:t xml:space="preserve"> </w:t>
      </w:r>
      <w:r w:rsidR="003B2EA3" w:rsidRPr="003C5897">
        <w:rPr>
          <w:snapToGrid w:val="0"/>
          <w:lang w:val="en-AU"/>
        </w:rPr>
        <w:t>in</w:t>
      </w:r>
      <w:r w:rsidR="003B2EA3">
        <w:rPr>
          <w:snapToGrid w:val="0"/>
          <w:lang w:val="en-AU"/>
        </w:rPr>
        <w:t xml:space="preserve"> </w:t>
      </w:r>
      <w:r w:rsidR="003B2EA3" w:rsidRPr="003C5897">
        <w:rPr>
          <w:snapToGrid w:val="0"/>
          <w:lang w:val="en-AU"/>
        </w:rPr>
        <w:t>Detention</w:t>
      </w:r>
      <w:r w:rsidR="003B2EA3">
        <w:rPr>
          <w:snapToGrid w:val="0"/>
          <w:lang w:val="en-AU"/>
        </w:rPr>
        <w:t xml:space="preserve"> </w:t>
      </w:r>
      <w:r w:rsidR="003B2EA3" w:rsidRPr="003C5897">
        <w:rPr>
          <w:snapToGrid w:val="0"/>
          <w:lang w:val="en-AU"/>
        </w:rPr>
        <w:t>1981-2005</w:t>
      </w:r>
      <w:r w:rsidR="003B2EA3">
        <w:rPr>
          <w:snapToGrid w:val="0"/>
          <w:lang w:val="en-AU"/>
        </w:rPr>
        <w:t xml:space="preserve"> </w:t>
      </w:r>
      <w:r w:rsidR="003B2EA3" w:rsidRPr="003C5897">
        <w:rPr>
          <w:snapToGrid w:val="0"/>
          <w:lang w:val="en-AU"/>
        </w:rPr>
        <w:t>(Taylor</w:t>
      </w:r>
      <w:r w:rsidR="003B2EA3">
        <w:rPr>
          <w:snapToGrid w:val="0"/>
          <w:lang w:val="en-AU"/>
        </w:rPr>
        <w:t xml:space="preserve"> </w:t>
      </w:r>
      <w:r w:rsidR="003B2EA3" w:rsidRPr="003C5897">
        <w:rPr>
          <w:snapToGrid w:val="0"/>
          <w:lang w:val="en-AU"/>
        </w:rPr>
        <w:t>2006</w:t>
      </w:r>
      <w:r w:rsidR="003B2EA3">
        <w:rPr>
          <w:snapToGrid w:val="0"/>
          <w:lang w:val="en-AU"/>
        </w:rPr>
        <w:t>)</w:t>
      </w:r>
    </w:p>
    <w:p w:rsidR="00E5632B" w:rsidRPr="000905A1" w:rsidRDefault="00866E99" w:rsidP="005D7B68">
      <w:pPr>
        <w:tabs>
          <w:tab w:val="left" w:pos="567"/>
          <w:tab w:val="left" w:pos="1134"/>
          <w:tab w:val="left" w:pos="1701"/>
          <w:tab w:val="left" w:pos="2268"/>
          <w:tab w:val="left" w:pos="2835"/>
        </w:tabs>
        <w:rPr>
          <w:lang w:val="fr-FR"/>
        </w:rPr>
      </w:pPr>
      <w:r>
        <w:rPr>
          <w:lang w:val="fr-FR"/>
        </w:rPr>
        <w:t>392</w:t>
      </w:r>
      <w:r w:rsidR="000905A1" w:rsidRPr="000905A1">
        <w:rPr>
          <w:lang w:val="fr-FR"/>
        </w:rPr>
        <w:t>.</w:t>
      </w:r>
      <w:r w:rsidR="000905A1" w:rsidRPr="000905A1">
        <w:rPr>
          <w:lang w:val="fr-FR"/>
        </w:rPr>
        <w:tab/>
      </w:r>
      <w:r w:rsidR="00C25E4E">
        <w:rPr>
          <w:lang w:val="fr-FR"/>
        </w:rPr>
        <w:t>Dans le tableau 4 figurent</w:t>
      </w:r>
      <w:r w:rsidR="000905A1" w:rsidRPr="000905A1">
        <w:rPr>
          <w:lang w:val="fr-FR"/>
        </w:rPr>
        <w:t xml:space="preserve"> les taux de </w:t>
      </w:r>
      <w:r w:rsidR="000905A1">
        <w:rPr>
          <w:lang w:val="fr-FR"/>
        </w:rPr>
        <w:t>dé</w:t>
      </w:r>
      <w:r w:rsidR="000905A1" w:rsidRPr="000905A1">
        <w:rPr>
          <w:lang w:val="fr-FR"/>
        </w:rPr>
        <w:t xml:space="preserve">tention des </w:t>
      </w:r>
      <w:r w:rsidR="000905A1">
        <w:rPr>
          <w:lang w:val="fr-FR"/>
        </w:rPr>
        <w:t xml:space="preserve">mineurs (âgés de 10 à 17 ans) </w:t>
      </w:r>
      <w:r w:rsidR="00B92D8B">
        <w:rPr>
          <w:lang w:val="fr-FR"/>
        </w:rPr>
        <w:t>autochtones et</w:t>
      </w:r>
      <w:r w:rsidR="000905A1" w:rsidRPr="000905A1">
        <w:rPr>
          <w:lang w:val="fr-FR"/>
        </w:rPr>
        <w:t xml:space="preserve"> non autochtones</w:t>
      </w:r>
      <w:r w:rsidR="000905A1">
        <w:rPr>
          <w:lang w:val="fr-FR"/>
        </w:rPr>
        <w:t xml:space="preserve"> en Australie depuis 2000.</w:t>
      </w:r>
    </w:p>
    <w:p w:rsidR="00176C08" w:rsidRPr="008D6B80" w:rsidRDefault="00176C08" w:rsidP="005D7B68">
      <w:pPr>
        <w:pStyle w:val="Heading2"/>
        <w:tabs>
          <w:tab w:val="left" w:pos="567"/>
          <w:tab w:val="left" w:pos="1134"/>
          <w:tab w:val="left" w:pos="1701"/>
          <w:tab w:val="left" w:pos="2268"/>
          <w:tab w:val="left" w:pos="2835"/>
        </w:tabs>
        <w:rPr>
          <w:snapToGrid w:val="0"/>
          <w:lang w:val="fr-FR"/>
        </w:rPr>
      </w:pPr>
      <w:bookmarkStart w:id="19" w:name="_Toc193614088"/>
      <w:r w:rsidRPr="008D6B80">
        <w:rPr>
          <w:snapToGrid w:val="0"/>
          <w:lang w:val="fr-FR"/>
        </w:rPr>
        <w:t>Tableau 4</w:t>
      </w:r>
      <w:bookmarkEnd w:id="19"/>
    </w:p>
    <w:p w:rsidR="00176C08" w:rsidRPr="00176C08" w:rsidRDefault="00176C08" w:rsidP="005D7B68">
      <w:pPr>
        <w:pStyle w:val="Heading2"/>
        <w:tabs>
          <w:tab w:val="left" w:pos="567"/>
          <w:tab w:val="left" w:pos="1134"/>
          <w:tab w:val="left" w:pos="1701"/>
          <w:tab w:val="left" w:pos="2268"/>
          <w:tab w:val="left" w:pos="2835"/>
        </w:tabs>
        <w:rPr>
          <w:snapToGrid w:val="0"/>
          <w:lang w:val="fr-FR"/>
        </w:rPr>
      </w:pPr>
      <w:bookmarkStart w:id="20" w:name="_Toc193614089"/>
      <w:r w:rsidRPr="00176C08">
        <w:rPr>
          <w:snapToGrid w:val="0"/>
          <w:lang w:val="fr-FR"/>
        </w:rPr>
        <w:t xml:space="preserve">Taux de détention des mineurs </w:t>
      </w:r>
      <w:r w:rsidR="006736E0">
        <w:rPr>
          <w:snapToGrid w:val="0"/>
          <w:lang w:val="fr-FR"/>
        </w:rPr>
        <w:t>âgés de 10 à 17 ans autochtones</w:t>
      </w:r>
      <w:r w:rsidR="006736E0">
        <w:rPr>
          <w:snapToGrid w:val="0"/>
          <w:lang w:val="fr-FR"/>
        </w:rPr>
        <w:br/>
      </w:r>
      <w:r w:rsidRPr="00176C08">
        <w:rPr>
          <w:snapToGrid w:val="0"/>
          <w:lang w:val="fr-FR"/>
        </w:rPr>
        <w:t>et non autochtones en</w:t>
      </w:r>
      <w:r w:rsidR="00572260">
        <w:rPr>
          <w:snapToGrid w:val="0"/>
          <w:lang w:val="fr-FR"/>
        </w:rPr>
        <w:t xml:space="preserve"> </w:t>
      </w:r>
      <w:r w:rsidRPr="00176C08">
        <w:rPr>
          <w:snapToGrid w:val="0"/>
          <w:lang w:val="fr-FR"/>
        </w:rPr>
        <w:t>Australi</w:t>
      </w:r>
      <w:r>
        <w:rPr>
          <w:snapToGrid w:val="0"/>
          <w:lang w:val="fr-FR"/>
        </w:rPr>
        <w:t>e</w:t>
      </w:r>
      <w:r w:rsidRPr="00176C08">
        <w:rPr>
          <w:snapToGrid w:val="0"/>
          <w:lang w:val="fr-FR"/>
        </w:rPr>
        <w:t xml:space="preserve"> </w:t>
      </w:r>
      <w:r>
        <w:rPr>
          <w:snapToGrid w:val="0"/>
          <w:lang w:val="fr-FR"/>
        </w:rPr>
        <w:t>(au</w:t>
      </w:r>
      <w:r w:rsidRPr="00176C08">
        <w:rPr>
          <w:snapToGrid w:val="0"/>
          <w:lang w:val="fr-FR"/>
        </w:rPr>
        <w:t xml:space="preserve"> 30 </w:t>
      </w:r>
      <w:r>
        <w:rPr>
          <w:snapToGrid w:val="0"/>
          <w:lang w:val="fr-FR"/>
        </w:rPr>
        <w:t>juin de</w:t>
      </w:r>
      <w:r w:rsidRPr="00176C08">
        <w:rPr>
          <w:snapToGrid w:val="0"/>
          <w:lang w:val="fr-FR"/>
        </w:rPr>
        <w:t xml:space="preserve"> </w:t>
      </w:r>
      <w:r>
        <w:rPr>
          <w:snapToGrid w:val="0"/>
          <w:lang w:val="fr-FR"/>
        </w:rPr>
        <w:t>chaque année</w:t>
      </w:r>
      <w:r w:rsidRPr="00176C08">
        <w:rPr>
          <w:snapToGrid w:val="0"/>
          <w:lang w:val="fr-FR"/>
        </w:rPr>
        <w:t>)</w:t>
      </w:r>
      <w:bookmarkEnd w:id="20"/>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04"/>
        <w:gridCol w:w="2303"/>
        <w:gridCol w:w="2304"/>
      </w:tblGrid>
      <w:tr w:rsidR="00176C08" w:rsidRPr="003C5897">
        <w:trPr>
          <w:jc w:val="center"/>
        </w:trPr>
        <w:tc>
          <w:tcPr>
            <w:tcW w:w="2373" w:type="dxa"/>
            <w:tcBorders>
              <w:bottom w:val="single" w:sz="4" w:space="0" w:color="auto"/>
            </w:tcBorders>
            <w:shd w:val="clear" w:color="000000" w:fill="auto"/>
          </w:tcPr>
          <w:p w:rsidR="00176C08" w:rsidRPr="00176C08" w:rsidRDefault="00176C08" w:rsidP="005D7B68">
            <w:pPr>
              <w:tabs>
                <w:tab w:val="left" w:pos="567"/>
                <w:tab w:val="left" w:pos="1134"/>
                <w:tab w:val="left" w:pos="1701"/>
                <w:tab w:val="left" w:pos="2268"/>
                <w:tab w:val="left" w:pos="2835"/>
              </w:tabs>
              <w:spacing w:after="0"/>
              <w:jc w:val="center"/>
              <w:rPr>
                <w:snapToGrid w:val="0"/>
                <w:lang w:val="fr-FR"/>
              </w:rPr>
            </w:pPr>
          </w:p>
        </w:tc>
        <w:tc>
          <w:tcPr>
            <w:tcW w:w="2304" w:type="dxa"/>
            <w:tcBorders>
              <w:bottom w:val="single" w:sz="4" w:space="0" w:color="auto"/>
            </w:tcBorders>
            <w:shd w:val="clear" w:color="000000" w:fill="auto"/>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Pr>
                <w:snapToGrid w:val="0"/>
              </w:rPr>
              <w:t>Autochtones</w:t>
            </w:r>
          </w:p>
        </w:tc>
        <w:tc>
          <w:tcPr>
            <w:tcW w:w="2303" w:type="dxa"/>
            <w:tcBorders>
              <w:bottom w:val="single" w:sz="4" w:space="0" w:color="auto"/>
            </w:tcBorders>
            <w:shd w:val="clear" w:color="000000" w:fill="auto"/>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Pr>
                <w:snapToGrid w:val="0"/>
              </w:rPr>
              <w:t>Non autochtones</w:t>
            </w:r>
          </w:p>
        </w:tc>
        <w:tc>
          <w:tcPr>
            <w:tcW w:w="2304" w:type="dxa"/>
            <w:tcBorders>
              <w:bottom w:val="single" w:sz="4" w:space="0" w:color="auto"/>
            </w:tcBorders>
            <w:shd w:val="clear" w:color="000000" w:fill="auto"/>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Total</w:t>
            </w:r>
          </w:p>
        </w:tc>
      </w:tr>
      <w:tr w:rsidR="00176C08" w:rsidRPr="003C5897">
        <w:trPr>
          <w:jc w:val="center"/>
        </w:trPr>
        <w:tc>
          <w:tcPr>
            <w:tcW w:w="2373" w:type="dxa"/>
            <w:tcBorders>
              <w:bottom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2000</w:t>
            </w:r>
          </w:p>
        </w:tc>
        <w:tc>
          <w:tcPr>
            <w:tcW w:w="2304" w:type="dxa"/>
            <w:tcBorders>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323</w:t>
            </w:r>
            <w:r>
              <w:rPr>
                <w:snapToGrid w:val="0"/>
              </w:rPr>
              <w:t>,</w:t>
            </w:r>
            <w:r w:rsidRPr="003C5897">
              <w:rPr>
                <w:snapToGrid w:val="0"/>
              </w:rPr>
              <w:t>9</w:t>
            </w:r>
          </w:p>
        </w:tc>
        <w:tc>
          <w:tcPr>
            <w:tcW w:w="2303" w:type="dxa"/>
            <w:tcBorders>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17</w:t>
            </w:r>
            <w:r>
              <w:rPr>
                <w:snapToGrid w:val="0"/>
              </w:rPr>
              <w:t>,</w:t>
            </w:r>
            <w:r w:rsidRPr="003C5897">
              <w:rPr>
                <w:snapToGrid w:val="0"/>
              </w:rPr>
              <w:t>8</w:t>
            </w:r>
          </w:p>
        </w:tc>
        <w:tc>
          <w:tcPr>
            <w:tcW w:w="2304" w:type="dxa"/>
            <w:tcBorders>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31</w:t>
            </w:r>
            <w:r>
              <w:rPr>
                <w:snapToGrid w:val="0"/>
              </w:rPr>
              <w:t>,</w:t>
            </w:r>
            <w:r w:rsidRPr="003C5897">
              <w:rPr>
                <w:snapToGrid w:val="0"/>
              </w:rPr>
              <w:t>3</w:t>
            </w:r>
          </w:p>
        </w:tc>
      </w:tr>
      <w:tr w:rsidR="00176C08" w:rsidRPr="003C5897">
        <w:trPr>
          <w:jc w:val="center"/>
        </w:trPr>
        <w:tc>
          <w:tcPr>
            <w:tcW w:w="237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2001</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318</w:t>
            </w:r>
            <w:r>
              <w:rPr>
                <w:snapToGrid w:val="0"/>
              </w:rPr>
              <w:t>,</w:t>
            </w:r>
            <w:r w:rsidRPr="003C5897">
              <w:rPr>
                <w:snapToGrid w:val="0"/>
              </w:rPr>
              <w:t>1</w:t>
            </w:r>
          </w:p>
        </w:tc>
        <w:tc>
          <w:tcPr>
            <w:tcW w:w="230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15</w:t>
            </w:r>
            <w:r>
              <w:rPr>
                <w:snapToGrid w:val="0"/>
              </w:rPr>
              <w:t>,</w:t>
            </w:r>
            <w:r w:rsidRPr="003C5897">
              <w:rPr>
                <w:snapToGrid w:val="0"/>
              </w:rPr>
              <w:t>1</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27</w:t>
            </w:r>
            <w:r>
              <w:rPr>
                <w:snapToGrid w:val="0"/>
              </w:rPr>
              <w:t>,</w:t>
            </w:r>
            <w:r w:rsidRPr="003C5897">
              <w:rPr>
                <w:snapToGrid w:val="0"/>
              </w:rPr>
              <w:t>9</w:t>
            </w:r>
          </w:p>
        </w:tc>
      </w:tr>
      <w:tr w:rsidR="00176C08" w:rsidRPr="003C5897">
        <w:trPr>
          <w:jc w:val="center"/>
        </w:trPr>
        <w:tc>
          <w:tcPr>
            <w:tcW w:w="237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2002</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281</w:t>
            </w:r>
            <w:r>
              <w:rPr>
                <w:snapToGrid w:val="0"/>
              </w:rPr>
              <w:t>,</w:t>
            </w:r>
            <w:r w:rsidRPr="003C5897">
              <w:rPr>
                <w:snapToGrid w:val="0"/>
              </w:rPr>
              <w:t>4</w:t>
            </w:r>
          </w:p>
        </w:tc>
        <w:tc>
          <w:tcPr>
            <w:tcW w:w="230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13</w:t>
            </w:r>
            <w:r>
              <w:rPr>
                <w:snapToGrid w:val="0"/>
              </w:rPr>
              <w:t>,</w:t>
            </w:r>
            <w:r w:rsidRPr="003C5897">
              <w:rPr>
                <w:snapToGrid w:val="0"/>
              </w:rPr>
              <w:t>5</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25</w:t>
            </w:r>
            <w:r>
              <w:rPr>
                <w:snapToGrid w:val="0"/>
              </w:rPr>
              <w:t>,</w:t>
            </w:r>
            <w:r w:rsidRPr="003C5897">
              <w:rPr>
                <w:snapToGrid w:val="0"/>
              </w:rPr>
              <w:t>0</w:t>
            </w:r>
          </w:p>
        </w:tc>
      </w:tr>
      <w:tr w:rsidR="00176C08" w:rsidRPr="003C5897">
        <w:trPr>
          <w:jc w:val="center"/>
        </w:trPr>
        <w:tc>
          <w:tcPr>
            <w:tcW w:w="237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2003</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320</w:t>
            </w:r>
            <w:r>
              <w:rPr>
                <w:snapToGrid w:val="0"/>
              </w:rPr>
              <w:t>,</w:t>
            </w:r>
            <w:r w:rsidRPr="003C5897">
              <w:rPr>
                <w:snapToGrid w:val="0"/>
              </w:rPr>
              <w:t>9</w:t>
            </w:r>
          </w:p>
        </w:tc>
        <w:tc>
          <w:tcPr>
            <w:tcW w:w="230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16</w:t>
            </w:r>
            <w:r>
              <w:rPr>
                <w:snapToGrid w:val="0"/>
              </w:rPr>
              <w:t>,</w:t>
            </w:r>
            <w:r w:rsidRPr="003C5897">
              <w:rPr>
                <w:snapToGrid w:val="0"/>
              </w:rPr>
              <w:t>1</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29</w:t>
            </w:r>
            <w:r>
              <w:rPr>
                <w:snapToGrid w:val="0"/>
              </w:rPr>
              <w:t>,</w:t>
            </w:r>
            <w:r w:rsidRPr="003C5897">
              <w:rPr>
                <w:snapToGrid w:val="0"/>
              </w:rPr>
              <w:t>1</w:t>
            </w:r>
          </w:p>
        </w:tc>
      </w:tr>
      <w:tr w:rsidR="00176C08" w:rsidRPr="003C5897">
        <w:trPr>
          <w:jc w:val="center"/>
        </w:trPr>
        <w:tc>
          <w:tcPr>
            <w:tcW w:w="237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2004</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312</w:t>
            </w:r>
            <w:r>
              <w:rPr>
                <w:snapToGrid w:val="0"/>
              </w:rPr>
              <w:t>,</w:t>
            </w:r>
            <w:r w:rsidRPr="003C5897">
              <w:rPr>
                <w:snapToGrid w:val="0"/>
              </w:rPr>
              <w:t>9</w:t>
            </w:r>
          </w:p>
        </w:tc>
        <w:tc>
          <w:tcPr>
            <w:tcW w:w="2303"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12</w:t>
            </w:r>
            <w:r>
              <w:rPr>
                <w:snapToGrid w:val="0"/>
              </w:rPr>
              <w:t>,</w:t>
            </w:r>
            <w:r w:rsidRPr="003C5897">
              <w:rPr>
                <w:snapToGrid w:val="0"/>
              </w:rPr>
              <w:t>2</w:t>
            </w:r>
          </w:p>
        </w:tc>
        <w:tc>
          <w:tcPr>
            <w:tcW w:w="2304" w:type="dxa"/>
            <w:tcBorders>
              <w:top w:val="nil"/>
              <w:bottom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25</w:t>
            </w:r>
            <w:r>
              <w:rPr>
                <w:snapToGrid w:val="0"/>
              </w:rPr>
              <w:t>,</w:t>
            </w:r>
            <w:r w:rsidRPr="003C5897">
              <w:rPr>
                <w:snapToGrid w:val="0"/>
              </w:rPr>
              <w:t>5</w:t>
            </w:r>
          </w:p>
        </w:tc>
      </w:tr>
      <w:tr w:rsidR="00176C08" w:rsidRPr="003C5897">
        <w:trPr>
          <w:jc w:val="center"/>
        </w:trPr>
        <w:tc>
          <w:tcPr>
            <w:tcW w:w="2373" w:type="dxa"/>
            <w:tcBorders>
              <w:top w:val="nil"/>
            </w:tcBorders>
          </w:tcPr>
          <w:p w:rsidR="00176C08" w:rsidRPr="003C5897" w:rsidRDefault="00176C08" w:rsidP="005D7B68">
            <w:pPr>
              <w:tabs>
                <w:tab w:val="left" w:pos="567"/>
                <w:tab w:val="left" w:pos="1134"/>
                <w:tab w:val="left" w:pos="1701"/>
                <w:tab w:val="left" w:pos="2268"/>
                <w:tab w:val="left" w:pos="2835"/>
              </w:tabs>
              <w:spacing w:after="0"/>
              <w:jc w:val="center"/>
              <w:rPr>
                <w:snapToGrid w:val="0"/>
              </w:rPr>
            </w:pPr>
            <w:r w:rsidRPr="003C5897">
              <w:rPr>
                <w:snapToGrid w:val="0"/>
              </w:rPr>
              <w:t>2005</w:t>
            </w:r>
          </w:p>
        </w:tc>
        <w:tc>
          <w:tcPr>
            <w:tcW w:w="2304" w:type="dxa"/>
            <w:tcBorders>
              <w:top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312</w:t>
            </w:r>
            <w:r>
              <w:rPr>
                <w:snapToGrid w:val="0"/>
              </w:rPr>
              <w:t>,</w:t>
            </w:r>
            <w:r w:rsidRPr="003C5897">
              <w:rPr>
                <w:snapToGrid w:val="0"/>
              </w:rPr>
              <w:t>3</w:t>
            </w:r>
          </w:p>
        </w:tc>
        <w:tc>
          <w:tcPr>
            <w:tcW w:w="2303" w:type="dxa"/>
            <w:tcBorders>
              <w:top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13</w:t>
            </w:r>
            <w:r>
              <w:rPr>
                <w:snapToGrid w:val="0"/>
              </w:rPr>
              <w:t>,</w:t>
            </w:r>
            <w:r w:rsidRPr="003C5897">
              <w:rPr>
                <w:snapToGrid w:val="0"/>
              </w:rPr>
              <w:t>6</w:t>
            </w:r>
          </w:p>
        </w:tc>
        <w:tc>
          <w:tcPr>
            <w:tcW w:w="2304" w:type="dxa"/>
            <w:tcBorders>
              <w:top w:val="nil"/>
            </w:tcBorders>
          </w:tcPr>
          <w:p w:rsidR="00176C08" w:rsidRPr="003C5897" w:rsidRDefault="00176C08" w:rsidP="005D7B68">
            <w:pPr>
              <w:tabs>
                <w:tab w:val="left" w:pos="567"/>
                <w:tab w:val="left" w:pos="1134"/>
                <w:tab w:val="left" w:pos="1701"/>
                <w:tab w:val="left" w:pos="2268"/>
                <w:tab w:val="left" w:pos="2835"/>
              </w:tabs>
              <w:spacing w:before="20" w:after="20"/>
              <w:ind w:right="247"/>
              <w:jc w:val="right"/>
              <w:rPr>
                <w:snapToGrid w:val="0"/>
              </w:rPr>
            </w:pPr>
            <w:r w:rsidRPr="003C5897">
              <w:rPr>
                <w:snapToGrid w:val="0"/>
              </w:rPr>
              <w:t>27</w:t>
            </w:r>
            <w:r>
              <w:rPr>
                <w:snapToGrid w:val="0"/>
              </w:rPr>
              <w:t>,</w:t>
            </w:r>
            <w:r w:rsidRPr="003C5897">
              <w:rPr>
                <w:snapToGrid w:val="0"/>
              </w:rPr>
              <w:t>2</w:t>
            </w:r>
          </w:p>
        </w:tc>
      </w:tr>
    </w:tbl>
    <w:p w:rsidR="00176C08" w:rsidRPr="003C5897" w:rsidRDefault="00176C08" w:rsidP="005D7B68">
      <w:pPr>
        <w:tabs>
          <w:tab w:val="left" w:pos="567"/>
          <w:tab w:val="left" w:pos="1134"/>
          <w:tab w:val="left" w:pos="1701"/>
          <w:tab w:val="left" w:pos="2268"/>
          <w:tab w:val="left" w:pos="2835"/>
        </w:tabs>
        <w:spacing w:before="240"/>
        <w:rPr>
          <w:snapToGrid w:val="0"/>
        </w:rPr>
      </w:pPr>
      <w:r>
        <w:rPr>
          <w:snapToGrid w:val="0"/>
        </w:rPr>
        <w:tab/>
      </w:r>
      <w:r w:rsidRPr="00987A12">
        <w:rPr>
          <w:i/>
          <w:snapToGrid w:val="0"/>
        </w:rPr>
        <w:t>Source</w:t>
      </w:r>
      <w:r w:rsidRPr="003C5897">
        <w:rPr>
          <w:snapToGrid w:val="0"/>
        </w:rPr>
        <w:t>:</w:t>
      </w:r>
      <w:r w:rsidR="00572260">
        <w:rPr>
          <w:snapToGrid w:val="0"/>
        </w:rPr>
        <w:t xml:space="preserve"> </w:t>
      </w:r>
      <w:r w:rsidRPr="003C5897">
        <w:rPr>
          <w:snapToGrid w:val="0"/>
        </w:rPr>
        <w:t>AIC</w:t>
      </w:r>
      <w:r>
        <w:rPr>
          <w:snapToGrid w:val="0"/>
        </w:rPr>
        <w:t xml:space="preserve"> </w:t>
      </w:r>
      <w:r w:rsidRPr="003C5897">
        <w:rPr>
          <w:snapToGrid w:val="0"/>
        </w:rPr>
        <w:t>Juveniles</w:t>
      </w:r>
      <w:r>
        <w:rPr>
          <w:snapToGrid w:val="0"/>
        </w:rPr>
        <w:t xml:space="preserve"> </w:t>
      </w:r>
      <w:r w:rsidRPr="003C5897">
        <w:rPr>
          <w:snapToGrid w:val="0"/>
        </w:rPr>
        <w:t>in</w:t>
      </w:r>
      <w:r>
        <w:rPr>
          <w:snapToGrid w:val="0"/>
        </w:rPr>
        <w:t xml:space="preserve"> </w:t>
      </w:r>
      <w:r w:rsidRPr="003C5897">
        <w:rPr>
          <w:snapToGrid w:val="0"/>
        </w:rPr>
        <w:t>Detention</w:t>
      </w:r>
      <w:r>
        <w:rPr>
          <w:snapToGrid w:val="0"/>
        </w:rPr>
        <w:t xml:space="preserve"> </w:t>
      </w:r>
      <w:r w:rsidRPr="003C5897">
        <w:rPr>
          <w:snapToGrid w:val="0"/>
        </w:rPr>
        <w:t>1981-2005</w:t>
      </w:r>
      <w:r>
        <w:rPr>
          <w:snapToGrid w:val="0"/>
        </w:rPr>
        <w:t xml:space="preserve"> </w:t>
      </w:r>
      <w:r w:rsidRPr="003C5897">
        <w:rPr>
          <w:snapToGrid w:val="0"/>
        </w:rPr>
        <w:t>(Taylor</w:t>
      </w:r>
      <w:r>
        <w:rPr>
          <w:snapToGrid w:val="0"/>
        </w:rPr>
        <w:t xml:space="preserve"> </w:t>
      </w:r>
      <w:r w:rsidRPr="003C5897">
        <w:rPr>
          <w:snapToGrid w:val="0"/>
        </w:rPr>
        <w:t>2006)</w:t>
      </w:r>
      <w:r>
        <w:rPr>
          <w:snapToGrid w:val="0"/>
        </w:rPr>
        <w:t>.</w:t>
      </w:r>
    </w:p>
    <w:p w:rsidR="00176C08" w:rsidRDefault="00176C08" w:rsidP="005D7B68">
      <w:pPr>
        <w:tabs>
          <w:tab w:val="left" w:pos="567"/>
          <w:tab w:val="left" w:pos="1134"/>
          <w:tab w:val="left" w:pos="1701"/>
          <w:tab w:val="left" w:pos="2268"/>
          <w:tab w:val="left" w:pos="2835"/>
        </w:tabs>
        <w:rPr>
          <w:snapToGrid w:val="0"/>
          <w:lang w:val="fr-FR"/>
        </w:rPr>
      </w:pPr>
      <w:r>
        <w:rPr>
          <w:snapToGrid w:val="0"/>
        </w:rPr>
        <w:tab/>
      </w:r>
      <w:r w:rsidRPr="00176C08">
        <w:rPr>
          <w:i/>
          <w:snapToGrid w:val="0"/>
          <w:lang w:val="fr-FR"/>
        </w:rPr>
        <w:t>Note</w:t>
      </w:r>
      <w:r w:rsidRPr="00176C08">
        <w:rPr>
          <w:snapToGrid w:val="0"/>
          <w:lang w:val="fr-FR"/>
        </w:rPr>
        <w:t>:</w:t>
      </w:r>
      <w:r>
        <w:rPr>
          <w:snapToGrid w:val="0"/>
          <w:lang w:val="fr-FR"/>
        </w:rPr>
        <w:t xml:space="preserve"> l</w:t>
      </w:r>
      <w:r w:rsidRPr="00176C08">
        <w:rPr>
          <w:snapToGrid w:val="0"/>
          <w:lang w:val="fr-FR"/>
        </w:rPr>
        <w:t>es taux s’entendent pour 100</w:t>
      </w:r>
      <w:r w:rsidR="00B92D8B">
        <w:rPr>
          <w:snapToGrid w:val="0"/>
          <w:lang w:val="fr-FR"/>
        </w:rPr>
        <w:t> </w:t>
      </w:r>
      <w:r w:rsidRPr="00176C08">
        <w:rPr>
          <w:snapToGrid w:val="0"/>
          <w:lang w:val="fr-FR"/>
        </w:rPr>
        <w:t>000</w:t>
      </w:r>
      <w:r w:rsidR="00B92D8B">
        <w:rPr>
          <w:snapToGrid w:val="0"/>
          <w:lang w:val="fr-FR"/>
        </w:rPr>
        <w:t xml:space="preserve"> habitants</w:t>
      </w:r>
      <w:r>
        <w:rPr>
          <w:snapToGrid w:val="0"/>
          <w:lang w:val="fr-FR"/>
        </w:rPr>
        <w:t>.</w:t>
      </w:r>
    </w:p>
    <w:p w:rsidR="00176C08" w:rsidRDefault="00176C08" w:rsidP="005D7B68">
      <w:pPr>
        <w:tabs>
          <w:tab w:val="left" w:pos="567"/>
          <w:tab w:val="left" w:pos="1134"/>
          <w:tab w:val="left" w:pos="1701"/>
          <w:tab w:val="left" w:pos="2268"/>
          <w:tab w:val="left" w:pos="2835"/>
        </w:tabs>
        <w:ind w:left="708" w:hanging="708"/>
        <w:rPr>
          <w:b/>
          <w:bCs/>
          <w:snapToGrid w:val="0"/>
          <w:lang w:val="fr-FR"/>
        </w:rPr>
      </w:pPr>
      <w:r>
        <w:rPr>
          <w:b/>
          <w:bCs/>
          <w:snapToGrid w:val="0"/>
          <w:lang w:val="fr-FR"/>
        </w:rPr>
        <w:t>Informations des États et Territoires</w:t>
      </w:r>
    </w:p>
    <w:p w:rsidR="00176C08" w:rsidRDefault="00176C08" w:rsidP="005D7B68">
      <w:pPr>
        <w:tabs>
          <w:tab w:val="left" w:pos="567"/>
          <w:tab w:val="left" w:pos="1134"/>
          <w:tab w:val="left" w:pos="1701"/>
          <w:tab w:val="left" w:pos="2268"/>
          <w:tab w:val="left" w:pos="2835"/>
        </w:tabs>
        <w:ind w:left="708" w:hanging="708"/>
        <w:rPr>
          <w:b/>
          <w:bCs/>
          <w:snapToGrid w:val="0"/>
          <w:lang w:val="fr-FR"/>
        </w:rPr>
      </w:pPr>
      <w:r>
        <w:rPr>
          <w:b/>
          <w:bCs/>
          <w:snapToGrid w:val="0"/>
          <w:lang w:val="fr-FR"/>
        </w:rPr>
        <w:t>Nouvelle-Galles du Sud</w:t>
      </w:r>
    </w:p>
    <w:p w:rsidR="00176C08" w:rsidRPr="00176C08" w:rsidRDefault="00866E99" w:rsidP="005D7B68">
      <w:pPr>
        <w:tabs>
          <w:tab w:val="left" w:pos="567"/>
          <w:tab w:val="left" w:pos="1134"/>
          <w:tab w:val="left" w:pos="1701"/>
          <w:tab w:val="left" w:pos="2268"/>
          <w:tab w:val="left" w:pos="2835"/>
        </w:tabs>
        <w:rPr>
          <w:snapToGrid w:val="0"/>
          <w:lang w:val="fr-FR"/>
        </w:rPr>
      </w:pPr>
      <w:r>
        <w:rPr>
          <w:snapToGrid w:val="0"/>
          <w:lang w:val="fr-FR"/>
        </w:rPr>
        <w:t>393</w:t>
      </w:r>
      <w:r w:rsidR="00176C08">
        <w:rPr>
          <w:snapToGrid w:val="0"/>
          <w:lang w:val="fr-FR"/>
        </w:rPr>
        <w:t>.</w:t>
      </w:r>
      <w:r w:rsidR="00176C08">
        <w:rPr>
          <w:snapToGrid w:val="0"/>
          <w:lang w:val="fr-FR"/>
        </w:rPr>
        <w:tab/>
        <w:t>Le recensement des détenus en Nouvelle-Galles du Sud en</w:t>
      </w:r>
      <w:r w:rsidR="00E90C44">
        <w:rPr>
          <w:snapToGrid w:val="0"/>
          <w:lang w:val="fr-FR"/>
        </w:rPr>
        <w:t xml:space="preserve"> 2006 indique qu’à minuit le 30 </w:t>
      </w:r>
      <w:r w:rsidR="00176C08">
        <w:rPr>
          <w:snapToGrid w:val="0"/>
          <w:lang w:val="fr-FR"/>
        </w:rPr>
        <w:t>juin 2006, on comptait 9 064 détenus de sexe masculin et 711 femmes détenues dans les centres de détention</w:t>
      </w:r>
      <w:r w:rsidR="00CC4A36">
        <w:rPr>
          <w:snapToGrid w:val="0"/>
          <w:lang w:val="fr-FR"/>
        </w:rPr>
        <w:t xml:space="preserve"> et les </w:t>
      </w:r>
      <w:r w:rsidR="006E73D2">
        <w:rPr>
          <w:snapToGrid w:val="0"/>
          <w:lang w:val="fr-FR"/>
        </w:rPr>
        <w:t>centres de détention périodique</w:t>
      </w:r>
      <w:r w:rsidR="00CC4A36">
        <w:rPr>
          <w:snapToGrid w:val="0"/>
          <w:lang w:val="fr-FR"/>
        </w:rPr>
        <w:t xml:space="preserve"> de Nouvelle-Galles du Sud</w:t>
      </w:r>
      <w:r w:rsidR="008D6B80">
        <w:rPr>
          <w:snapToGrid w:val="0"/>
          <w:lang w:val="fr-FR"/>
        </w:rPr>
        <w:t xml:space="preserve">. </w:t>
      </w:r>
      <w:r w:rsidR="00CC4A36">
        <w:rPr>
          <w:snapToGrid w:val="0"/>
          <w:lang w:val="fr-FR"/>
        </w:rPr>
        <w:t xml:space="preserve">Les taux d’occupation des centres de détention et des </w:t>
      </w:r>
      <w:r w:rsidR="006E73D2">
        <w:rPr>
          <w:snapToGrid w:val="0"/>
          <w:lang w:val="fr-FR"/>
        </w:rPr>
        <w:t>centres de détention périodique</w:t>
      </w:r>
      <w:r w:rsidR="00E90C44">
        <w:rPr>
          <w:snapToGrid w:val="0"/>
          <w:lang w:val="fr-FR"/>
        </w:rPr>
        <w:t xml:space="preserve"> figurent ci</w:t>
      </w:r>
      <w:r w:rsidR="00E90C44">
        <w:rPr>
          <w:snapToGrid w:val="0"/>
          <w:lang w:val="fr-FR"/>
        </w:rPr>
        <w:noBreakHyphen/>
      </w:r>
      <w:r w:rsidR="00CC4A36">
        <w:rPr>
          <w:snapToGrid w:val="0"/>
          <w:lang w:val="fr-FR"/>
        </w:rPr>
        <w:t>dessous dans le tableau 1</w:t>
      </w:r>
      <w:r w:rsidR="00572260">
        <w:rPr>
          <w:snapToGrid w:val="0"/>
          <w:lang w:val="fr-FR"/>
        </w:rPr>
        <w:t>:</w:t>
      </w:r>
      <w:r w:rsidR="00CC4A36">
        <w:rPr>
          <w:snapToGrid w:val="0"/>
          <w:lang w:val="fr-FR"/>
        </w:rPr>
        <w:t xml:space="preserve"> Localisation et classification sécuritaire des centres de détention </w:t>
      </w:r>
    </w:p>
    <w:p w:rsidR="00D52DB0" w:rsidRPr="008D6B80" w:rsidRDefault="00D52DB0" w:rsidP="005D7B68">
      <w:pPr>
        <w:pStyle w:val="Heading2"/>
        <w:keepNext w:val="0"/>
        <w:tabs>
          <w:tab w:val="left" w:pos="567"/>
          <w:tab w:val="left" w:pos="1134"/>
          <w:tab w:val="left" w:pos="1701"/>
          <w:tab w:val="left" w:pos="2268"/>
          <w:tab w:val="left" w:pos="2835"/>
        </w:tabs>
        <w:rPr>
          <w:snapToGrid w:val="0"/>
          <w:lang w:val="fr-FR"/>
        </w:rPr>
      </w:pPr>
      <w:bookmarkStart w:id="21" w:name="_Toc193614090"/>
      <w:r w:rsidRPr="008D6B80">
        <w:rPr>
          <w:snapToGrid w:val="0"/>
          <w:lang w:val="fr-FR"/>
        </w:rPr>
        <w:t>Table</w:t>
      </w:r>
      <w:r w:rsidR="00E82B93" w:rsidRPr="008D6B80">
        <w:rPr>
          <w:snapToGrid w:val="0"/>
          <w:lang w:val="fr-FR"/>
        </w:rPr>
        <w:t>au</w:t>
      </w:r>
      <w:r w:rsidRPr="008D6B80">
        <w:rPr>
          <w:snapToGrid w:val="0"/>
          <w:lang w:val="fr-FR"/>
        </w:rPr>
        <w:t xml:space="preserve"> 1</w:t>
      </w:r>
      <w:bookmarkEnd w:id="21"/>
    </w:p>
    <w:p w:rsidR="00D52DB0" w:rsidRPr="00E82B93" w:rsidRDefault="00E82B93" w:rsidP="005D7B68">
      <w:pPr>
        <w:pStyle w:val="Heading2"/>
        <w:tabs>
          <w:tab w:val="left" w:pos="567"/>
          <w:tab w:val="left" w:pos="1134"/>
          <w:tab w:val="left" w:pos="1701"/>
          <w:tab w:val="left" w:pos="2268"/>
          <w:tab w:val="left" w:pos="2835"/>
        </w:tabs>
        <w:rPr>
          <w:snapToGrid w:val="0"/>
          <w:lang w:val="fr-FR"/>
        </w:rPr>
      </w:pPr>
      <w:bookmarkStart w:id="22" w:name="_Toc193614091"/>
      <w:r w:rsidRPr="00E82B93">
        <w:rPr>
          <w:snapToGrid w:val="0"/>
          <w:lang w:val="fr-FR"/>
        </w:rPr>
        <w:t>Localisation et classification sécuritaire</w:t>
      </w:r>
      <w:r w:rsidR="00AC6505">
        <w:rPr>
          <w:snapToGrid w:val="0"/>
          <w:lang w:val="fr-FR"/>
        </w:rPr>
        <w:t xml:space="preserve"> des centres détention –Statistiques</w:t>
      </w:r>
      <w:r w:rsidR="00AC6505">
        <w:rPr>
          <w:snapToGrid w:val="0"/>
          <w:lang w:val="fr-FR"/>
        </w:rPr>
        <w:br/>
      </w:r>
      <w:r>
        <w:rPr>
          <w:snapToGrid w:val="0"/>
          <w:lang w:val="fr-FR"/>
        </w:rPr>
        <w:t>du recensement de 2006 du Dé</w:t>
      </w:r>
      <w:r w:rsidR="00D52DB0" w:rsidRPr="00E82B93">
        <w:rPr>
          <w:snapToGrid w:val="0"/>
          <w:lang w:val="fr-FR"/>
        </w:rPr>
        <w:t>part</w:t>
      </w:r>
      <w:r>
        <w:rPr>
          <w:snapToGrid w:val="0"/>
          <w:lang w:val="fr-FR"/>
        </w:rPr>
        <w:t xml:space="preserve">ement des </w:t>
      </w:r>
      <w:r w:rsidR="00D52DB0" w:rsidRPr="00E82B93">
        <w:rPr>
          <w:snapToGrid w:val="0"/>
          <w:lang w:val="fr-FR"/>
        </w:rPr>
        <w:t>Services</w:t>
      </w:r>
      <w:r>
        <w:rPr>
          <w:snapToGrid w:val="0"/>
          <w:lang w:val="fr-FR"/>
        </w:rPr>
        <w:t xml:space="preserve"> pénitentiaires</w:t>
      </w:r>
      <w:bookmarkEnd w:id="22"/>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3969"/>
        <w:gridCol w:w="993"/>
        <w:gridCol w:w="844"/>
        <w:gridCol w:w="6"/>
        <w:gridCol w:w="11"/>
        <w:gridCol w:w="848"/>
        <w:gridCol w:w="850"/>
        <w:gridCol w:w="851"/>
        <w:gridCol w:w="861"/>
      </w:tblGrid>
      <w:tr w:rsidR="007143BA" w:rsidRPr="00627AED">
        <w:trPr>
          <w:tblHeader/>
        </w:trPr>
        <w:tc>
          <w:tcPr>
            <w:tcW w:w="3969" w:type="dxa"/>
            <w:vMerge w:val="restart"/>
            <w:tcBorders>
              <w:top w:val="single" w:sz="4" w:space="0" w:color="000000"/>
              <w:right w:val="single" w:sz="4" w:space="0" w:color="000000"/>
            </w:tcBorders>
            <w:vAlign w:val="center"/>
          </w:tcPr>
          <w:p w:rsidR="007143BA" w:rsidRPr="00E82B93" w:rsidRDefault="007143BA" w:rsidP="005D7B68">
            <w:pPr>
              <w:tabs>
                <w:tab w:val="left" w:pos="567"/>
                <w:tab w:val="left" w:pos="1134"/>
                <w:tab w:val="left" w:pos="1701"/>
                <w:tab w:val="left" w:pos="2268"/>
                <w:tab w:val="left" w:pos="2835"/>
              </w:tabs>
              <w:spacing w:after="0"/>
              <w:jc w:val="center"/>
              <w:rPr>
                <w:snapToGrid w:val="0"/>
                <w:sz w:val="18"/>
                <w:szCs w:val="18"/>
                <w:lang w:val="fr-FR"/>
              </w:rPr>
            </w:pPr>
            <w:r w:rsidRPr="00E82B93">
              <w:rPr>
                <w:snapToGrid w:val="0"/>
                <w:sz w:val="18"/>
                <w:szCs w:val="18"/>
                <w:lang w:val="fr-FR"/>
              </w:rPr>
              <w:t>Centres de détention par classement sécuritaire</w:t>
            </w:r>
          </w:p>
        </w:tc>
        <w:tc>
          <w:tcPr>
            <w:tcW w:w="3552" w:type="dxa"/>
            <w:gridSpan w:val="6"/>
            <w:tcBorders>
              <w:top w:val="single" w:sz="4" w:space="0" w:color="000000"/>
              <w:left w:val="single" w:sz="4" w:space="0" w:color="000000"/>
              <w:bottom w:val="single" w:sz="4" w:space="0" w:color="000000"/>
              <w:right w:val="single" w:sz="4" w:space="0" w:color="000000"/>
            </w:tcBorders>
          </w:tcPr>
          <w:p w:rsidR="007143BA" w:rsidRPr="00627AED" w:rsidRDefault="007143BA" w:rsidP="005D7B68">
            <w:pPr>
              <w:tabs>
                <w:tab w:val="left" w:pos="567"/>
                <w:tab w:val="left" w:pos="1134"/>
                <w:tab w:val="left" w:pos="1701"/>
                <w:tab w:val="left" w:pos="2268"/>
                <w:tab w:val="left" w:pos="2835"/>
              </w:tabs>
              <w:spacing w:after="0"/>
              <w:jc w:val="center"/>
              <w:rPr>
                <w:snapToGrid w:val="0"/>
                <w:sz w:val="18"/>
                <w:szCs w:val="18"/>
              </w:rPr>
            </w:pPr>
            <w:r>
              <w:rPr>
                <w:snapToGrid w:val="0"/>
                <w:sz w:val="18"/>
                <w:szCs w:val="18"/>
              </w:rPr>
              <w:t>Détenus</w:t>
            </w:r>
          </w:p>
        </w:tc>
        <w:tc>
          <w:tcPr>
            <w:tcW w:w="1712" w:type="dxa"/>
            <w:gridSpan w:val="2"/>
            <w:vMerge w:val="restart"/>
            <w:tcBorders>
              <w:top w:val="single" w:sz="4" w:space="0" w:color="000000"/>
              <w:left w:val="single" w:sz="4" w:space="0" w:color="000000"/>
            </w:tcBorders>
            <w:vAlign w:val="center"/>
          </w:tcPr>
          <w:p w:rsidR="007143BA" w:rsidRPr="00627AED" w:rsidRDefault="007143BA" w:rsidP="005D7B68">
            <w:pPr>
              <w:tabs>
                <w:tab w:val="left" w:pos="567"/>
                <w:tab w:val="left" w:pos="1134"/>
                <w:tab w:val="left" w:pos="1701"/>
                <w:tab w:val="left" w:pos="2268"/>
                <w:tab w:val="left" w:pos="2835"/>
              </w:tabs>
              <w:spacing w:after="0"/>
              <w:jc w:val="center"/>
              <w:rPr>
                <w:snapToGrid w:val="0"/>
                <w:sz w:val="18"/>
                <w:szCs w:val="18"/>
              </w:rPr>
            </w:pPr>
            <w:r w:rsidRPr="00627AED">
              <w:rPr>
                <w:snapToGrid w:val="0"/>
                <w:sz w:val="18"/>
                <w:szCs w:val="18"/>
              </w:rPr>
              <w:t>Total</w:t>
            </w:r>
          </w:p>
        </w:tc>
      </w:tr>
      <w:tr w:rsidR="007143BA" w:rsidRPr="00627AED">
        <w:trPr>
          <w:tblHeader/>
        </w:trPr>
        <w:tc>
          <w:tcPr>
            <w:tcW w:w="3969" w:type="dxa"/>
            <w:vMerge/>
            <w:tcBorders>
              <w:bottom w:val="single" w:sz="4" w:space="0" w:color="000000"/>
              <w:right w:val="single" w:sz="4" w:space="0" w:color="000000"/>
            </w:tcBorders>
          </w:tcPr>
          <w:p w:rsidR="007143BA" w:rsidRPr="00627AED" w:rsidRDefault="007143BA" w:rsidP="005D7B68">
            <w:pPr>
              <w:tabs>
                <w:tab w:val="left" w:pos="567"/>
                <w:tab w:val="left" w:pos="1134"/>
                <w:tab w:val="left" w:pos="1701"/>
                <w:tab w:val="left" w:pos="2268"/>
                <w:tab w:val="left" w:pos="2835"/>
              </w:tabs>
              <w:spacing w:after="0"/>
              <w:rPr>
                <w:snapToGrid w:val="0"/>
                <w:sz w:val="18"/>
                <w:szCs w:val="18"/>
              </w:rPr>
            </w:pPr>
          </w:p>
        </w:tc>
        <w:tc>
          <w:tcPr>
            <w:tcW w:w="1843" w:type="dxa"/>
            <w:gridSpan w:val="3"/>
            <w:tcBorders>
              <w:top w:val="single" w:sz="4" w:space="0" w:color="000000"/>
              <w:left w:val="single" w:sz="4" w:space="0" w:color="000000"/>
              <w:bottom w:val="single" w:sz="4" w:space="0" w:color="000000"/>
              <w:right w:val="single" w:sz="4" w:space="0" w:color="000000"/>
            </w:tcBorders>
          </w:tcPr>
          <w:p w:rsidR="007143BA" w:rsidRPr="00627AED" w:rsidRDefault="007143BA" w:rsidP="005D7B68">
            <w:pPr>
              <w:tabs>
                <w:tab w:val="left" w:pos="567"/>
                <w:tab w:val="left" w:pos="1134"/>
                <w:tab w:val="left" w:pos="1701"/>
                <w:tab w:val="left" w:pos="2268"/>
                <w:tab w:val="left" w:pos="2835"/>
              </w:tabs>
              <w:spacing w:after="0"/>
              <w:jc w:val="center"/>
              <w:rPr>
                <w:snapToGrid w:val="0"/>
                <w:sz w:val="18"/>
                <w:szCs w:val="18"/>
              </w:rPr>
            </w:pPr>
            <w:r>
              <w:rPr>
                <w:snapToGrid w:val="0"/>
                <w:sz w:val="18"/>
                <w:szCs w:val="18"/>
              </w:rPr>
              <w:t>Hommes</w:t>
            </w:r>
          </w:p>
        </w:tc>
        <w:tc>
          <w:tcPr>
            <w:tcW w:w="1709" w:type="dxa"/>
            <w:gridSpan w:val="3"/>
            <w:tcBorders>
              <w:top w:val="single" w:sz="4" w:space="0" w:color="000000"/>
              <w:left w:val="single" w:sz="4" w:space="0" w:color="000000"/>
              <w:bottom w:val="single" w:sz="4" w:space="0" w:color="000000"/>
              <w:right w:val="single" w:sz="4" w:space="0" w:color="000000"/>
            </w:tcBorders>
          </w:tcPr>
          <w:p w:rsidR="007143BA" w:rsidRPr="00627AED" w:rsidRDefault="007143BA" w:rsidP="005D7B68">
            <w:pPr>
              <w:tabs>
                <w:tab w:val="left" w:pos="567"/>
                <w:tab w:val="left" w:pos="1134"/>
                <w:tab w:val="left" w:pos="1701"/>
                <w:tab w:val="left" w:pos="2268"/>
                <w:tab w:val="left" w:pos="2835"/>
              </w:tabs>
              <w:spacing w:after="0"/>
              <w:jc w:val="center"/>
              <w:rPr>
                <w:snapToGrid w:val="0"/>
                <w:sz w:val="18"/>
                <w:szCs w:val="18"/>
              </w:rPr>
            </w:pPr>
            <w:r>
              <w:rPr>
                <w:snapToGrid w:val="0"/>
                <w:sz w:val="18"/>
                <w:szCs w:val="18"/>
              </w:rPr>
              <w:t>Femmes</w:t>
            </w:r>
          </w:p>
        </w:tc>
        <w:tc>
          <w:tcPr>
            <w:tcW w:w="1712" w:type="dxa"/>
            <w:gridSpan w:val="2"/>
            <w:vMerge/>
            <w:tcBorders>
              <w:left w:val="single" w:sz="4" w:space="0" w:color="000000"/>
              <w:bottom w:val="single" w:sz="4" w:space="0" w:color="000000"/>
            </w:tcBorders>
          </w:tcPr>
          <w:p w:rsidR="007143BA" w:rsidRPr="00627AED" w:rsidRDefault="007143BA" w:rsidP="005D7B68">
            <w:pPr>
              <w:tabs>
                <w:tab w:val="left" w:pos="567"/>
                <w:tab w:val="left" w:pos="1134"/>
                <w:tab w:val="left" w:pos="1701"/>
                <w:tab w:val="left" w:pos="2268"/>
                <w:tab w:val="left" w:pos="2835"/>
              </w:tabs>
              <w:spacing w:after="0"/>
              <w:jc w:val="center"/>
              <w:rPr>
                <w:snapToGrid w:val="0"/>
                <w:sz w:val="18"/>
                <w:szCs w:val="18"/>
              </w:rPr>
            </w:pPr>
          </w:p>
        </w:tc>
      </w:tr>
      <w:tr w:rsidR="00D52DB0" w:rsidRPr="00627AED">
        <w:tc>
          <w:tcPr>
            <w:tcW w:w="9233" w:type="dxa"/>
            <w:gridSpan w:val="9"/>
            <w:tcBorders>
              <w:top w:val="single" w:sz="4" w:space="0" w:color="000000"/>
              <w:bottom w:val="single" w:sz="4" w:space="0" w:color="000000"/>
            </w:tcBorders>
          </w:tcPr>
          <w:p w:rsidR="00D52DB0" w:rsidRPr="008478BB" w:rsidRDefault="00E82B93" w:rsidP="005D7B68">
            <w:pPr>
              <w:tabs>
                <w:tab w:val="left" w:pos="567"/>
                <w:tab w:val="left" w:pos="1134"/>
                <w:tab w:val="left" w:pos="1701"/>
                <w:tab w:val="left" w:pos="2268"/>
                <w:tab w:val="left" w:pos="2835"/>
              </w:tabs>
              <w:spacing w:after="0"/>
              <w:rPr>
                <w:b/>
                <w:bCs/>
                <w:snapToGrid w:val="0"/>
                <w:sz w:val="18"/>
                <w:szCs w:val="18"/>
              </w:rPr>
            </w:pPr>
            <w:r w:rsidRPr="008478BB">
              <w:rPr>
                <w:b/>
                <w:bCs/>
                <w:snapToGrid w:val="0"/>
                <w:sz w:val="18"/>
                <w:szCs w:val="18"/>
              </w:rPr>
              <w:t>Sécurité maximale</w:t>
            </w:r>
          </w:p>
        </w:tc>
      </w:tr>
      <w:tr w:rsidR="00D52DB0" w:rsidRPr="00627AED">
        <w:trPr>
          <w:trHeight w:val="70"/>
        </w:trPr>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Cessnock (Maximum)</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108</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174"/>
              <w:jc w:val="right"/>
              <w:rPr>
                <w:snapToGrid w:val="0"/>
                <w:sz w:val="18"/>
                <w:szCs w:val="18"/>
              </w:rPr>
            </w:pPr>
            <w:r w:rsidRPr="00627AED">
              <w:rPr>
                <w:snapToGrid w:val="0"/>
                <w:sz w:val="18"/>
                <w:szCs w:val="18"/>
              </w:rPr>
              <w:t>1.2%</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108</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1.1%</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Goulburn (Maximum)</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419</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4</w:t>
            </w:r>
            <w:r w:rsidR="009C4971">
              <w:rPr>
                <w:snapToGrid w:val="0"/>
                <w:sz w:val="18"/>
                <w:szCs w:val="18"/>
              </w:rPr>
              <w:t>,</w:t>
            </w:r>
            <w:r w:rsidRPr="00627AED">
              <w:rPr>
                <w:snapToGrid w:val="0"/>
                <w:sz w:val="18"/>
                <w:szCs w:val="18"/>
              </w:rPr>
              <w:t>6%</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419</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4</w:t>
            </w:r>
            <w:r w:rsidR="009C4971">
              <w:rPr>
                <w:snapToGrid w:val="0"/>
                <w:sz w:val="18"/>
                <w:szCs w:val="18"/>
              </w:rPr>
              <w:t>,</w:t>
            </w:r>
            <w:r w:rsidRPr="00627AED">
              <w:rPr>
                <w:snapToGrid w:val="0"/>
                <w:sz w:val="18"/>
                <w:szCs w:val="18"/>
              </w:rPr>
              <w:t>3%</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Lithgow</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328</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w:t>
            </w:r>
            <w:r w:rsidR="009C4971">
              <w:rPr>
                <w:snapToGrid w:val="0"/>
                <w:sz w:val="18"/>
                <w:szCs w:val="18"/>
              </w:rPr>
              <w:t>,</w:t>
            </w:r>
            <w:r w:rsidRPr="00627AED">
              <w:rPr>
                <w:snapToGrid w:val="0"/>
                <w:sz w:val="18"/>
                <w:szCs w:val="18"/>
              </w:rPr>
              <w:t>6%</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328</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3</w:t>
            </w:r>
            <w:r w:rsidR="009C4971">
              <w:rPr>
                <w:snapToGrid w:val="0"/>
                <w:sz w:val="18"/>
                <w:szCs w:val="18"/>
              </w:rPr>
              <w:t>,</w:t>
            </w:r>
            <w:r w:rsidRPr="00627AED">
              <w:rPr>
                <w:snapToGrid w:val="0"/>
                <w:sz w:val="18"/>
                <w:szCs w:val="18"/>
              </w:rPr>
              <w:t>4%</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PlaceName">
                <w:r w:rsidRPr="00627AED">
                  <w:rPr>
                    <w:snapToGrid w:val="0"/>
                    <w:sz w:val="18"/>
                    <w:szCs w:val="18"/>
                  </w:rPr>
                  <w:t>Long</w:t>
                </w:r>
              </w:smartTag>
              <w:r w:rsidRPr="00627AED">
                <w:rPr>
                  <w:snapToGrid w:val="0"/>
                  <w:sz w:val="18"/>
                  <w:szCs w:val="18"/>
                </w:rPr>
                <w:t xml:space="preserve"> </w:t>
              </w:r>
              <w:smartTag w:uri="urn:schemas-microsoft-com:office:smarttags" w:element="PlaceType">
                <w:r w:rsidRPr="00627AED">
                  <w:rPr>
                    <w:snapToGrid w:val="0"/>
                    <w:sz w:val="18"/>
                    <w:szCs w:val="18"/>
                  </w:rPr>
                  <w:t>Bay</w:t>
                </w:r>
              </w:smartTag>
              <w:r w:rsidRPr="00627AED">
                <w:rPr>
                  <w:snapToGrid w:val="0"/>
                  <w:sz w:val="18"/>
                  <w:szCs w:val="18"/>
                </w:rPr>
                <w:t xml:space="preserve"> </w:t>
              </w:r>
              <w:smartTag w:uri="urn:schemas-microsoft-com:office:smarttags" w:element="PlaceType">
                <w:r w:rsidRPr="00627AED">
                  <w:rPr>
                    <w:snapToGrid w:val="0"/>
                    <w:sz w:val="18"/>
                    <w:szCs w:val="18"/>
                  </w:rPr>
                  <w:t>Hospital</w:t>
                </w:r>
              </w:smartTag>
            </w:smartTag>
            <w:r w:rsidRPr="00627AED">
              <w:rPr>
                <w:snapToGrid w:val="0"/>
                <w:sz w:val="18"/>
                <w:szCs w:val="18"/>
              </w:rPr>
              <w:t xml:space="preserve"> (Area 1)</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68</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8%</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9</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1</w:t>
            </w:r>
            <w:r w:rsidR="009C4971">
              <w:rPr>
                <w:snapToGrid w:val="0"/>
                <w:sz w:val="18"/>
                <w:szCs w:val="18"/>
              </w:rPr>
              <w:t>,</w:t>
            </w:r>
            <w:r w:rsidRPr="00627AED">
              <w:rPr>
                <w:snapToGrid w:val="0"/>
                <w:sz w:val="18"/>
                <w:szCs w:val="18"/>
              </w:rPr>
              <w:t>3%</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77</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8%</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 xml:space="preserve">Metro Special </w:t>
            </w:r>
            <w:r>
              <w:rPr>
                <w:snapToGrid w:val="0"/>
                <w:sz w:val="18"/>
                <w:szCs w:val="18"/>
              </w:rPr>
              <w:t>Programme</w:t>
            </w:r>
            <w:r w:rsidRPr="00627AED">
              <w:rPr>
                <w:snapToGrid w:val="0"/>
                <w:sz w:val="18"/>
                <w:szCs w:val="18"/>
              </w:rPr>
              <w:t>s Centre (Maximum)</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314</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w:t>
            </w:r>
            <w:r w:rsidR="009C4971">
              <w:rPr>
                <w:snapToGrid w:val="0"/>
                <w:sz w:val="18"/>
                <w:szCs w:val="18"/>
              </w:rPr>
              <w:t>,</w:t>
            </w:r>
            <w:r w:rsidRPr="00627AED">
              <w:rPr>
                <w:snapToGrid w:val="0"/>
                <w:sz w:val="18"/>
                <w:szCs w:val="18"/>
              </w:rPr>
              <w:t>5%</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314</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3</w:t>
            </w:r>
            <w:r w:rsidR="009C4971">
              <w:rPr>
                <w:snapToGrid w:val="0"/>
                <w:sz w:val="18"/>
                <w:szCs w:val="18"/>
              </w:rPr>
              <w:t>,</w:t>
            </w:r>
            <w:r w:rsidRPr="00627AED">
              <w:rPr>
                <w:snapToGrid w:val="0"/>
                <w:sz w:val="18"/>
                <w:szCs w:val="18"/>
              </w:rPr>
              <w:t>2%</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Metropolitan Remand and Reception Centre</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874</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9</w:t>
            </w:r>
            <w:r w:rsidR="009C4971">
              <w:rPr>
                <w:snapToGrid w:val="0"/>
                <w:sz w:val="18"/>
                <w:szCs w:val="18"/>
              </w:rPr>
              <w:t>,</w:t>
            </w:r>
            <w:r w:rsidRPr="00627AED">
              <w:rPr>
                <w:snapToGrid w:val="0"/>
                <w:sz w:val="18"/>
                <w:szCs w:val="18"/>
              </w:rPr>
              <w:t>6%</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874</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8</w:t>
            </w:r>
            <w:r w:rsidR="009C4971">
              <w:rPr>
                <w:snapToGrid w:val="0"/>
                <w:sz w:val="18"/>
                <w:szCs w:val="18"/>
              </w:rPr>
              <w:t>,</w:t>
            </w:r>
            <w:r w:rsidRPr="00627AED">
              <w:rPr>
                <w:snapToGrid w:val="0"/>
                <w:sz w:val="18"/>
                <w:szCs w:val="18"/>
              </w:rPr>
              <w:t>9%</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Mulawa</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155</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21</w:t>
            </w:r>
            <w:r w:rsidR="009C4971">
              <w:rPr>
                <w:snapToGrid w:val="0"/>
                <w:sz w:val="18"/>
                <w:szCs w:val="18"/>
              </w:rPr>
              <w:t>,</w:t>
            </w:r>
            <w:r w:rsidRPr="00627AED">
              <w:rPr>
                <w:snapToGrid w:val="0"/>
                <w:sz w:val="18"/>
                <w:szCs w:val="18"/>
              </w:rPr>
              <w:t>8%</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155</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1</w:t>
            </w:r>
            <w:r w:rsidR="009C4971">
              <w:rPr>
                <w:snapToGrid w:val="0"/>
                <w:sz w:val="18"/>
                <w:szCs w:val="18"/>
              </w:rPr>
              <w:t>,</w:t>
            </w:r>
            <w:r w:rsidRPr="00627AED">
              <w:rPr>
                <w:snapToGrid w:val="0"/>
                <w:sz w:val="18"/>
                <w:szCs w:val="18"/>
              </w:rPr>
              <w:t>6%</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Parklea (Maximum)</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714</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w:t>
            </w:r>
            <w:r w:rsidR="009C4971">
              <w:rPr>
                <w:snapToGrid w:val="0"/>
                <w:sz w:val="18"/>
                <w:szCs w:val="18"/>
              </w:rPr>
              <w:t>,</w:t>
            </w:r>
            <w:r w:rsidRPr="00627AED">
              <w:rPr>
                <w:snapToGrid w:val="0"/>
                <w:sz w:val="18"/>
                <w:szCs w:val="18"/>
              </w:rPr>
              <w:t>9%</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714</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7</w:t>
            </w:r>
            <w:r w:rsidR="009C4971">
              <w:rPr>
                <w:snapToGrid w:val="0"/>
                <w:sz w:val="18"/>
                <w:szCs w:val="18"/>
              </w:rPr>
              <w:t>,</w:t>
            </w:r>
            <w:r w:rsidRPr="00627AED">
              <w:rPr>
                <w:snapToGrid w:val="0"/>
                <w:sz w:val="18"/>
                <w:szCs w:val="18"/>
              </w:rPr>
              <w:t>3%</w:t>
            </w:r>
          </w:p>
        </w:tc>
      </w:tr>
      <w:tr w:rsidR="00D52DB0" w:rsidRPr="00627AED">
        <w:tc>
          <w:tcPr>
            <w:tcW w:w="3969" w:type="dxa"/>
            <w:tcBorders>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rPr>
                <w:snapToGrid w:val="0"/>
                <w:sz w:val="18"/>
                <w:szCs w:val="18"/>
              </w:rPr>
            </w:pPr>
            <w:r w:rsidRPr="00627AED">
              <w:rPr>
                <w:snapToGrid w:val="0"/>
                <w:sz w:val="18"/>
                <w:szCs w:val="18"/>
              </w:rPr>
              <w:t>Centre</w:t>
            </w:r>
            <w:r w:rsidR="00E82B93">
              <w:rPr>
                <w:snapToGrid w:val="0"/>
                <w:sz w:val="18"/>
                <w:szCs w:val="18"/>
              </w:rPr>
              <w:t xml:space="preserve"> à objectif spécifique</w:t>
            </w:r>
          </w:p>
        </w:tc>
        <w:tc>
          <w:tcPr>
            <w:tcW w:w="993"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48</w:t>
            </w:r>
          </w:p>
        </w:tc>
        <w:tc>
          <w:tcPr>
            <w:tcW w:w="850"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5%</w:t>
            </w:r>
          </w:p>
        </w:tc>
        <w:tc>
          <w:tcPr>
            <w:tcW w:w="859" w:type="dxa"/>
            <w:gridSpan w:val="2"/>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48</w:t>
            </w:r>
          </w:p>
        </w:tc>
        <w:tc>
          <w:tcPr>
            <w:tcW w:w="861" w:type="dxa"/>
            <w:tcBorders>
              <w:lef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5%</w:t>
            </w:r>
          </w:p>
        </w:tc>
      </w:tr>
      <w:tr w:rsidR="00D52DB0" w:rsidRPr="00627AED">
        <w:tc>
          <w:tcPr>
            <w:tcW w:w="3969" w:type="dxa"/>
            <w:tcBorders>
              <w:bottom w:val="single" w:sz="4" w:space="0" w:color="auto"/>
              <w:right w:val="single" w:sz="4" w:space="0" w:color="000000"/>
            </w:tcBorders>
          </w:tcPr>
          <w:p w:rsidR="00D52DB0" w:rsidRPr="009C4971" w:rsidRDefault="00572260" w:rsidP="005D7B68">
            <w:pPr>
              <w:tabs>
                <w:tab w:val="left" w:pos="567"/>
                <w:tab w:val="left" w:pos="1134"/>
                <w:tab w:val="left" w:pos="1701"/>
                <w:tab w:val="left" w:pos="2268"/>
                <w:tab w:val="left" w:pos="2835"/>
              </w:tabs>
              <w:spacing w:after="0"/>
              <w:rPr>
                <w:snapToGrid w:val="0"/>
                <w:sz w:val="18"/>
                <w:szCs w:val="18"/>
                <w:lang w:val="fr-FR"/>
              </w:rPr>
            </w:pPr>
            <w:r>
              <w:rPr>
                <w:snapToGrid w:val="0"/>
                <w:sz w:val="18"/>
                <w:szCs w:val="18"/>
                <w:lang w:val="fr-FR"/>
              </w:rPr>
              <w:t xml:space="preserve"> </w:t>
            </w:r>
            <w:r w:rsidR="00AF74F0">
              <w:rPr>
                <w:snapToGrid w:val="0"/>
                <w:sz w:val="18"/>
                <w:szCs w:val="18"/>
                <w:lang w:val="fr-FR"/>
              </w:rPr>
              <w:t>–</w:t>
            </w:r>
            <w:r w:rsidR="00D52DB0" w:rsidRPr="009C4971">
              <w:rPr>
                <w:snapToGrid w:val="0"/>
                <w:sz w:val="18"/>
                <w:szCs w:val="18"/>
                <w:lang w:val="fr-FR"/>
              </w:rPr>
              <w:t xml:space="preserve"> </w:t>
            </w:r>
            <w:r w:rsidR="009C4971" w:rsidRPr="009C4971">
              <w:rPr>
                <w:snapToGrid w:val="0"/>
                <w:sz w:val="18"/>
                <w:szCs w:val="18"/>
                <w:lang w:val="fr-FR"/>
              </w:rPr>
              <w:t>Unité pour détenus mentalement retardés</w:t>
            </w:r>
          </w:p>
        </w:tc>
        <w:tc>
          <w:tcPr>
            <w:tcW w:w="993" w:type="dxa"/>
            <w:tcBorders>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w:t>
            </w:r>
          </w:p>
        </w:tc>
        <w:tc>
          <w:tcPr>
            <w:tcW w:w="850" w:type="dxa"/>
            <w:gridSpan w:val="2"/>
            <w:tcBorders>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1%</w:t>
            </w:r>
          </w:p>
        </w:tc>
        <w:tc>
          <w:tcPr>
            <w:tcW w:w="859" w:type="dxa"/>
            <w:gridSpan w:val="2"/>
            <w:tcBorders>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w:t>
            </w:r>
          </w:p>
        </w:tc>
        <w:tc>
          <w:tcPr>
            <w:tcW w:w="850" w:type="dxa"/>
            <w:tcBorders>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w:t>
            </w:r>
          </w:p>
        </w:tc>
        <w:tc>
          <w:tcPr>
            <w:tcW w:w="851" w:type="dxa"/>
            <w:tcBorders>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7</w:t>
            </w:r>
          </w:p>
        </w:tc>
        <w:tc>
          <w:tcPr>
            <w:tcW w:w="861" w:type="dxa"/>
            <w:tcBorders>
              <w:left w:val="single" w:sz="4" w:space="0" w:color="000000"/>
              <w:bottom w:val="single" w:sz="4" w:space="0" w:color="auto"/>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0</w:t>
            </w:r>
            <w:r w:rsidR="009C4971">
              <w:rPr>
                <w:snapToGrid w:val="0"/>
                <w:sz w:val="18"/>
                <w:szCs w:val="18"/>
              </w:rPr>
              <w:t>,</w:t>
            </w:r>
            <w:r w:rsidRPr="00627AED">
              <w:rPr>
                <w:snapToGrid w:val="0"/>
                <w:sz w:val="18"/>
                <w:szCs w:val="18"/>
              </w:rPr>
              <w:t>1%</w:t>
            </w:r>
          </w:p>
        </w:tc>
      </w:tr>
      <w:tr w:rsidR="00D52DB0" w:rsidRPr="00627AED">
        <w:tc>
          <w:tcPr>
            <w:tcW w:w="3969" w:type="dxa"/>
            <w:tcBorders>
              <w:top w:val="single" w:sz="4" w:space="0" w:color="auto"/>
              <w:bottom w:val="single" w:sz="4" w:space="0" w:color="auto"/>
              <w:right w:val="single" w:sz="4" w:space="0" w:color="000000"/>
            </w:tcBorders>
          </w:tcPr>
          <w:p w:rsidR="00D52DB0" w:rsidRPr="009C4971" w:rsidRDefault="00AF74F0" w:rsidP="005D7B68">
            <w:pPr>
              <w:tabs>
                <w:tab w:val="left" w:pos="252"/>
                <w:tab w:val="left" w:pos="567"/>
                <w:tab w:val="left" w:pos="1134"/>
                <w:tab w:val="left" w:pos="1701"/>
                <w:tab w:val="left" w:pos="2268"/>
                <w:tab w:val="left" w:pos="2835"/>
              </w:tabs>
              <w:spacing w:after="0"/>
              <w:rPr>
                <w:snapToGrid w:val="0"/>
                <w:sz w:val="18"/>
                <w:szCs w:val="18"/>
                <w:lang w:val="fr-FR"/>
              </w:rPr>
            </w:pPr>
            <w:r>
              <w:rPr>
                <w:snapToGrid w:val="0"/>
                <w:sz w:val="18"/>
                <w:szCs w:val="18"/>
                <w:lang w:val="fr-FR"/>
              </w:rPr>
              <w:tab/>
            </w:r>
            <w:r w:rsidR="009C4971" w:rsidRPr="009C4971">
              <w:rPr>
                <w:snapToGrid w:val="0"/>
                <w:sz w:val="18"/>
                <w:szCs w:val="18"/>
                <w:lang w:val="fr-FR"/>
              </w:rPr>
              <w:t xml:space="preserve">Sous-total </w:t>
            </w:r>
            <w:r w:rsidR="009C4971" w:rsidRPr="00AF74F0">
              <w:rPr>
                <w:snapToGrid w:val="0"/>
                <w:sz w:val="18"/>
                <w:szCs w:val="18"/>
              </w:rPr>
              <w:t>sécurité</w:t>
            </w:r>
            <w:r w:rsidR="009C4971" w:rsidRPr="009C4971">
              <w:rPr>
                <w:snapToGrid w:val="0"/>
                <w:sz w:val="18"/>
                <w:szCs w:val="18"/>
                <w:lang w:val="fr-FR"/>
              </w:rPr>
              <w:t xml:space="preserve"> maximale </w:t>
            </w:r>
          </w:p>
        </w:tc>
        <w:tc>
          <w:tcPr>
            <w:tcW w:w="993" w:type="dxa"/>
            <w:tcBorders>
              <w:top w:val="single" w:sz="4" w:space="0" w:color="auto"/>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2 880</w:t>
            </w:r>
          </w:p>
        </w:tc>
        <w:tc>
          <w:tcPr>
            <w:tcW w:w="850" w:type="dxa"/>
            <w:gridSpan w:val="2"/>
            <w:tcBorders>
              <w:top w:val="single" w:sz="4" w:space="0" w:color="auto"/>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31</w:t>
            </w:r>
            <w:r w:rsidR="009C4971">
              <w:rPr>
                <w:snapToGrid w:val="0"/>
                <w:sz w:val="18"/>
                <w:szCs w:val="18"/>
              </w:rPr>
              <w:t>,</w:t>
            </w:r>
            <w:r w:rsidRPr="00627AED">
              <w:rPr>
                <w:snapToGrid w:val="0"/>
                <w:sz w:val="18"/>
                <w:szCs w:val="18"/>
              </w:rPr>
              <w:t>8%</w:t>
            </w:r>
          </w:p>
        </w:tc>
        <w:tc>
          <w:tcPr>
            <w:tcW w:w="859" w:type="dxa"/>
            <w:gridSpan w:val="2"/>
            <w:tcBorders>
              <w:top w:val="single" w:sz="4" w:space="0" w:color="auto"/>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164</w:t>
            </w:r>
          </w:p>
        </w:tc>
        <w:tc>
          <w:tcPr>
            <w:tcW w:w="850" w:type="dxa"/>
            <w:tcBorders>
              <w:top w:val="single" w:sz="4" w:space="0" w:color="auto"/>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23</w:t>
            </w:r>
            <w:r w:rsidR="009C4971">
              <w:rPr>
                <w:snapToGrid w:val="0"/>
                <w:sz w:val="18"/>
                <w:szCs w:val="18"/>
              </w:rPr>
              <w:t>,</w:t>
            </w:r>
            <w:r w:rsidRPr="00627AED">
              <w:rPr>
                <w:snapToGrid w:val="0"/>
                <w:sz w:val="18"/>
                <w:szCs w:val="18"/>
              </w:rPr>
              <w:t>1%</w:t>
            </w:r>
          </w:p>
        </w:tc>
        <w:tc>
          <w:tcPr>
            <w:tcW w:w="851" w:type="dxa"/>
            <w:tcBorders>
              <w:top w:val="single" w:sz="4" w:space="0" w:color="auto"/>
              <w:left w:val="single" w:sz="4" w:space="0" w:color="000000"/>
              <w:bottom w:val="single" w:sz="4" w:space="0" w:color="auto"/>
              <w:right w:val="single" w:sz="4" w:space="0" w:color="000000"/>
            </w:tcBorders>
          </w:tcPr>
          <w:p w:rsidR="00D52DB0" w:rsidRPr="00627AED"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627AED">
              <w:rPr>
                <w:snapToGrid w:val="0"/>
                <w:sz w:val="18"/>
                <w:szCs w:val="18"/>
              </w:rPr>
              <w:t>3 044</w:t>
            </w:r>
          </w:p>
        </w:tc>
        <w:tc>
          <w:tcPr>
            <w:tcW w:w="861" w:type="dxa"/>
            <w:tcBorders>
              <w:top w:val="single" w:sz="4" w:space="0" w:color="auto"/>
              <w:left w:val="single" w:sz="4" w:space="0" w:color="000000"/>
              <w:bottom w:val="single" w:sz="4" w:space="0" w:color="auto"/>
            </w:tcBorders>
          </w:tcPr>
          <w:p w:rsidR="00D52DB0" w:rsidRPr="00627AED"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627AED">
              <w:rPr>
                <w:snapToGrid w:val="0"/>
                <w:sz w:val="18"/>
                <w:szCs w:val="18"/>
              </w:rPr>
              <w:t>31</w:t>
            </w:r>
            <w:r w:rsidR="009C4971">
              <w:rPr>
                <w:snapToGrid w:val="0"/>
                <w:sz w:val="18"/>
                <w:szCs w:val="18"/>
              </w:rPr>
              <w:t>,</w:t>
            </w:r>
            <w:r w:rsidRPr="00627AED">
              <w:rPr>
                <w:snapToGrid w:val="0"/>
                <w:sz w:val="18"/>
                <w:szCs w:val="18"/>
              </w:rPr>
              <w:t>1%</w:t>
            </w:r>
          </w:p>
        </w:tc>
      </w:tr>
      <w:tr w:rsidR="00D52DB0" w:rsidRPr="008478BB">
        <w:tc>
          <w:tcPr>
            <w:tcW w:w="9233" w:type="dxa"/>
            <w:gridSpan w:val="9"/>
            <w:tcBorders>
              <w:top w:val="single" w:sz="4" w:space="0" w:color="auto"/>
              <w:bottom w:val="single" w:sz="4" w:space="0" w:color="auto"/>
            </w:tcBorders>
          </w:tcPr>
          <w:p w:rsidR="00D52DB0" w:rsidRPr="008478BB" w:rsidRDefault="009C4971" w:rsidP="005D7B68">
            <w:pPr>
              <w:tabs>
                <w:tab w:val="left" w:pos="567"/>
                <w:tab w:val="left" w:pos="1134"/>
                <w:tab w:val="left" w:pos="1701"/>
                <w:tab w:val="left" w:pos="2268"/>
                <w:tab w:val="left" w:pos="2835"/>
              </w:tabs>
              <w:spacing w:after="0"/>
              <w:rPr>
                <w:b/>
                <w:bCs/>
                <w:snapToGrid w:val="0"/>
                <w:sz w:val="18"/>
                <w:szCs w:val="18"/>
              </w:rPr>
            </w:pPr>
            <w:r w:rsidRPr="008478BB">
              <w:rPr>
                <w:b/>
                <w:bCs/>
                <w:snapToGrid w:val="0"/>
                <w:sz w:val="18"/>
                <w:szCs w:val="18"/>
              </w:rPr>
              <w:t>Sécurité moyenne</w:t>
            </w:r>
          </w:p>
        </w:tc>
      </w:tr>
      <w:tr w:rsidR="00D52DB0" w:rsidRPr="00563146">
        <w:tc>
          <w:tcPr>
            <w:tcW w:w="3969" w:type="dxa"/>
            <w:tcBorders>
              <w:top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City">
                <w:r w:rsidRPr="00563146">
                  <w:rPr>
                    <w:snapToGrid w:val="0"/>
                    <w:sz w:val="18"/>
                    <w:szCs w:val="18"/>
                  </w:rPr>
                  <w:t>Bathurst</w:t>
                </w:r>
              </w:smartTag>
            </w:smartTag>
            <w:r w:rsidRPr="00563146">
              <w:rPr>
                <w:snapToGrid w:val="0"/>
                <w:sz w:val="18"/>
                <w:szCs w:val="18"/>
              </w:rPr>
              <w:t xml:space="preserve"> (Medium)</w:t>
            </w:r>
          </w:p>
        </w:tc>
        <w:tc>
          <w:tcPr>
            <w:tcW w:w="993"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337</w:t>
            </w:r>
          </w:p>
        </w:tc>
        <w:tc>
          <w:tcPr>
            <w:tcW w:w="861" w:type="dxa"/>
            <w:gridSpan w:val="3"/>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7%</w:t>
            </w:r>
          </w:p>
        </w:tc>
        <w:tc>
          <w:tcPr>
            <w:tcW w:w="848"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jc w:val="right"/>
              <w:rPr>
                <w:snapToGrid w:val="0"/>
                <w:sz w:val="18"/>
                <w:szCs w:val="18"/>
              </w:rPr>
            </w:pPr>
            <w:r w:rsidRPr="00563146">
              <w:rPr>
                <w:snapToGrid w:val="0"/>
                <w:sz w:val="18"/>
                <w:szCs w:val="18"/>
              </w:rPr>
              <w:t>-</w:t>
            </w:r>
          </w:p>
        </w:tc>
        <w:tc>
          <w:tcPr>
            <w:tcW w:w="851"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jc w:val="right"/>
              <w:rPr>
                <w:snapToGrid w:val="0"/>
                <w:sz w:val="18"/>
                <w:szCs w:val="18"/>
              </w:rPr>
            </w:pPr>
            <w:r w:rsidRPr="00563146">
              <w:rPr>
                <w:snapToGrid w:val="0"/>
                <w:sz w:val="18"/>
                <w:szCs w:val="18"/>
              </w:rPr>
              <w:t>337</w:t>
            </w:r>
          </w:p>
        </w:tc>
        <w:tc>
          <w:tcPr>
            <w:tcW w:w="861" w:type="dxa"/>
            <w:tcBorders>
              <w:top w:val="single" w:sz="4" w:space="0" w:color="auto"/>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Berrima</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74</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10</w:t>
            </w:r>
            <w:r w:rsidR="0086089D">
              <w:rPr>
                <w:snapToGrid w:val="0"/>
                <w:sz w:val="18"/>
                <w:szCs w:val="18"/>
              </w:rPr>
              <w:t>,</w:t>
            </w:r>
            <w:r w:rsidRPr="00563146">
              <w:rPr>
                <w:snapToGrid w:val="0"/>
                <w:sz w:val="18"/>
                <w:szCs w:val="18"/>
              </w:rPr>
              <w:t>4</w:t>
            </w:r>
            <w:r>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74</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8%</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Broken Hill (Medium)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42</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Cooma</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128</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4%</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128</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Dillwynia</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170</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23</w:t>
            </w:r>
            <w:r w:rsidR="0086089D">
              <w:rPr>
                <w:snapToGrid w:val="0"/>
                <w:sz w:val="18"/>
                <w:szCs w:val="18"/>
              </w:rPr>
              <w:t>,</w:t>
            </w:r>
            <w:r w:rsidRPr="00563146">
              <w:rPr>
                <w:snapToGrid w:val="0"/>
                <w:sz w:val="18"/>
                <w:szCs w:val="18"/>
              </w:rPr>
              <w:t>9</w:t>
            </w:r>
            <w:r>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170</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7%</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Grafton (Medium)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127</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4%</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127</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John Morony (Medium)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227</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5%</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227</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Junee (Medium)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569</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6</w:t>
            </w:r>
            <w:r w:rsidR="0086089D">
              <w:rPr>
                <w:snapToGrid w:val="0"/>
                <w:sz w:val="18"/>
                <w:szCs w:val="18"/>
              </w:rPr>
              <w:t>,</w:t>
            </w:r>
            <w:r w:rsidRPr="00563146">
              <w:rPr>
                <w:snapToGrid w:val="0"/>
                <w:sz w:val="18"/>
                <w:szCs w:val="18"/>
              </w:rPr>
              <w:t>3%</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r>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570</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8%</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Kariong (Juvenile)</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32</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PlaceName">
                <w:r w:rsidRPr="00563146">
                  <w:rPr>
                    <w:snapToGrid w:val="0"/>
                    <w:sz w:val="18"/>
                    <w:szCs w:val="18"/>
                  </w:rPr>
                  <w:t>Mid-North</w:t>
                </w:r>
              </w:smartTag>
              <w:r w:rsidRPr="00563146">
                <w:rPr>
                  <w:snapToGrid w:val="0"/>
                  <w:sz w:val="18"/>
                  <w:szCs w:val="18"/>
                </w:rPr>
                <w:t xml:space="preserve"> </w:t>
              </w:r>
              <w:smartTag w:uri="urn:schemas-microsoft-com:office:smarttags" w:element="PlaceType">
                <w:r w:rsidRPr="00563146">
                  <w:rPr>
                    <w:snapToGrid w:val="0"/>
                    <w:sz w:val="18"/>
                    <w:szCs w:val="18"/>
                  </w:rPr>
                  <w:t>Coast</w:t>
                </w:r>
              </w:smartTag>
            </w:smartTag>
            <w:r w:rsidRPr="00563146">
              <w:rPr>
                <w:snapToGrid w:val="0"/>
                <w:sz w:val="18"/>
                <w:szCs w:val="18"/>
              </w:rPr>
              <w:t xml:space="preserve"> (Medium)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341</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8%</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r>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342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5%</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City">
                <w:r w:rsidRPr="00563146">
                  <w:rPr>
                    <w:snapToGrid w:val="0"/>
                    <w:sz w:val="18"/>
                    <w:szCs w:val="18"/>
                  </w:rPr>
                  <w:t>Parramatta</w:t>
                </w:r>
              </w:smartTag>
            </w:smartTag>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338</w:t>
            </w:r>
          </w:p>
        </w:tc>
        <w:tc>
          <w:tcPr>
            <w:tcW w:w="861"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7%</w:t>
            </w:r>
          </w:p>
        </w:tc>
        <w:tc>
          <w:tcPr>
            <w:tcW w:w="848"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338</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5%</w:t>
            </w:r>
          </w:p>
        </w:tc>
      </w:tr>
      <w:tr w:rsidR="00D52DB0" w:rsidRPr="00563146">
        <w:tc>
          <w:tcPr>
            <w:tcW w:w="3969" w:type="dxa"/>
            <w:tcBorders>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r w:rsidRPr="00563146">
                <w:rPr>
                  <w:snapToGrid w:val="0"/>
                  <w:sz w:val="18"/>
                  <w:szCs w:val="18"/>
                </w:rPr>
                <w:t>Tamworth</w:t>
              </w:r>
            </w:smartTag>
            <w:r w:rsidRPr="00563146">
              <w:rPr>
                <w:snapToGrid w:val="0"/>
                <w:sz w:val="18"/>
                <w:szCs w:val="18"/>
              </w:rPr>
              <w:t xml:space="preserve"> (Medium)</w:t>
            </w:r>
          </w:p>
        </w:tc>
        <w:tc>
          <w:tcPr>
            <w:tcW w:w="993"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59</w:t>
            </w:r>
          </w:p>
        </w:tc>
        <w:tc>
          <w:tcPr>
            <w:tcW w:w="861" w:type="dxa"/>
            <w:gridSpan w:val="3"/>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7%</w:t>
            </w:r>
          </w:p>
        </w:tc>
        <w:tc>
          <w:tcPr>
            <w:tcW w:w="848"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59</w:t>
            </w:r>
          </w:p>
        </w:tc>
        <w:tc>
          <w:tcPr>
            <w:tcW w:w="861" w:type="dxa"/>
            <w:tcBorders>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6%</w:t>
            </w:r>
          </w:p>
        </w:tc>
      </w:tr>
      <w:tr w:rsidR="00D52DB0" w:rsidRPr="00563146">
        <w:tc>
          <w:tcPr>
            <w:tcW w:w="3969" w:type="dxa"/>
            <w:tcBorders>
              <w:top w:val="single" w:sz="4" w:space="0" w:color="auto"/>
              <w:bottom w:val="single" w:sz="4" w:space="0" w:color="auto"/>
              <w:right w:val="single" w:sz="4" w:space="0" w:color="000000"/>
            </w:tcBorders>
          </w:tcPr>
          <w:p w:rsidR="00D52DB0" w:rsidRPr="00563146" w:rsidRDefault="00D52DB0" w:rsidP="005D7B68">
            <w:pPr>
              <w:tabs>
                <w:tab w:val="left" w:pos="252"/>
                <w:tab w:val="left" w:pos="567"/>
                <w:tab w:val="left" w:pos="1134"/>
                <w:tab w:val="left" w:pos="1701"/>
                <w:tab w:val="left" w:pos="2268"/>
                <w:tab w:val="left" w:pos="2835"/>
              </w:tabs>
              <w:spacing w:after="0"/>
              <w:rPr>
                <w:snapToGrid w:val="0"/>
                <w:sz w:val="18"/>
                <w:szCs w:val="18"/>
              </w:rPr>
            </w:pPr>
            <w:r w:rsidRPr="00563146">
              <w:rPr>
                <w:snapToGrid w:val="0"/>
                <w:sz w:val="18"/>
                <w:szCs w:val="18"/>
              </w:rPr>
              <w:tab/>
            </w:r>
            <w:r w:rsidR="009C4971" w:rsidRPr="00E90C44">
              <w:rPr>
                <w:snapToGrid w:val="0"/>
                <w:sz w:val="18"/>
                <w:szCs w:val="18"/>
                <w:lang w:val="fr-FR"/>
              </w:rPr>
              <w:t>Sous</w:t>
            </w:r>
            <w:r w:rsidR="009C4971">
              <w:rPr>
                <w:snapToGrid w:val="0"/>
                <w:sz w:val="18"/>
                <w:szCs w:val="18"/>
              </w:rPr>
              <w:t>-total sécurité moyenne</w:t>
            </w:r>
          </w:p>
        </w:tc>
        <w:tc>
          <w:tcPr>
            <w:tcW w:w="993"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2 200</w:t>
            </w:r>
          </w:p>
        </w:tc>
        <w:tc>
          <w:tcPr>
            <w:tcW w:w="861" w:type="dxa"/>
            <w:gridSpan w:val="3"/>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24</w:t>
            </w:r>
            <w:r w:rsidR="0086089D">
              <w:rPr>
                <w:snapToGrid w:val="0"/>
                <w:sz w:val="18"/>
                <w:szCs w:val="18"/>
              </w:rPr>
              <w:t>,</w:t>
            </w:r>
            <w:r w:rsidRPr="00563146">
              <w:rPr>
                <w:snapToGrid w:val="0"/>
                <w:sz w:val="18"/>
                <w:szCs w:val="18"/>
              </w:rPr>
              <w:t>3%</w:t>
            </w:r>
          </w:p>
        </w:tc>
        <w:tc>
          <w:tcPr>
            <w:tcW w:w="848"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246</w:t>
            </w:r>
          </w:p>
        </w:tc>
        <w:tc>
          <w:tcPr>
            <w:tcW w:w="850"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34</w:t>
            </w:r>
            <w:r w:rsidR="0086089D">
              <w:rPr>
                <w:snapToGrid w:val="0"/>
                <w:sz w:val="18"/>
                <w:szCs w:val="18"/>
              </w:rPr>
              <w:t>,</w:t>
            </w:r>
            <w:r w:rsidRPr="00563146">
              <w:rPr>
                <w:snapToGrid w:val="0"/>
                <w:sz w:val="18"/>
                <w:szCs w:val="18"/>
              </w:rPr>
              <w:t>6</w:t>
            </w:r>
            <w:r>
              <w:rPr>
                <w:snapToGrid w:val="0"/>
                <w:sz w:val="18"/>
                <w:szCs w:val="18"/>
              </w:rPr>
              <w:t>%</w:t>
            </w:r>
          </w:p>
        </w:tc>
        <w:tc>
          <w:tcPr>
            <w:tcW w:w="851"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2 446</w:t>
            </w:r>
          </w:p>
        </w:tc>
        <w:tc>
          <w:tcPr>
            <w:tcW w:w="861" w:type="dxa"/>
            <w:tcBorders>
              <w:top w:val="single" w:sz="4" w:space="0" w:color="auto"/>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25</w:t>
            </w:r>
            <w:r w:rsidR="0086089D">
              <w:rPr>
                <w:snapToGrid w:val="0"/>
                <w:sz w:val="18"/>
                <w:szCs w:val="18"/>
              </w:rPr>
              <w:t>,</w:t>
            </w:r>
            <w:r w:rsidRPr="00563146">
              <w:rPr>
                <w:snapToGrid w:val="0"/>
                <w:sz w:val="18"/>
                <w:szCs w:val="18"/>
              </w:rPr>
              <w:t>0%</w:t>
            </w:r>
          </w:p>
        </w:tc>
      </w:tr>
      <w:tr w:rsidR="00D52DB0" w:rsidRPr="00563146">
        <w:tc>
          <w:tcPr>
            <w:tcW w:w="9233" w:type="dxa"/>
            <w:gridSpan w:val="9"/>
            <w:tcBorders>
              <w:top w:val="single" w:sz="4" w:space="0" w:color="auto"/>
              <w:bottom w:val="single" w:sz="4" w:space="0" w:color="auto"/>
            </w:tcBorders>
          </w:tcPr>
          <w:p w:rsidR="00D52DB0" w:rsidRPr="00DA6349" w:rsidRDefault="009C4971" w:rsidP="005D7B68">
            <w:pPr>
              <w:tabs>
                <w:tab w:val="left" w:pos="567"/>
                <w:tab w:val="left" w:pos="1134"/>
                <w:tab w:val="left" w:pos="1701"/>
                <w:tab w:val="left" w:pos="2268"/>
                <w:tab w:val="left" w:pos="2835"/>
              </w:tabs>
              <w:spacing w:after="0"/>
              <w:rPr>
                <w:snapToGrid w:val="0"/>
                <w:sz w:val="18"/>
                <w:szCs w:val="18"/>
              </w:rPr>
            </w:pPr>
            <w:r w:rsidRPr="00F0105A">
              <w:rPr>
                <w:b/>
                <w:bCs/>
                <w:snapToGrid w:val="0"/>
                <w:sz w:val="18"/>
                <w:szCs w:val="18"/>
              </w:rPr>
              <w:t>Sécurité</w:t>
            </w:r>
            <w:r w:rsidRPr="00DA6349">
              <w:rPr>
                <w:snapToGrid w:val="0"/>
                <w:sz w:val="18"/>
                <w:szCs w:val="18"/>
              </w:rPr>
              <w:t xml:space="preserve"> </w:t>
            </w:r>
            <w:r w:rsidRPr="00F0105A">
              <w:rPr>
                <w:b/>
                <w:bCs/>
                <w:snapToGrid w:val="0"/>
                <w:sz w:val="18"/>
                <w:szCs w:val="18"/>
              </w:rPr>
              <w:t>minimale</w:t>
            </w:r>
          </w:p>
        </w:tc>
      </w:tr>
      <w:tr w:rsidR="00D52DB0" w:rsidRPr="00563146">
        <w:tc>
          <w:tcPr>
            <w:tcW w:w="3969" w:type="dxa"/>
            <w:tcBorders>
              <w:top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City">
                <w:r w:rsidRPr="00563146">
                  <w:rPr>
                    <w:snapToGrid w:val="0"/>
                    <w:sz w:val="18"/>
                    <w:szCs w:val="18"/>
                  </w:rPr>
                  <w:t>Bathurst</w:t>
                </w:r>
              </w:smartTag>
            </w:smartTag>
            <w:r w:rsidRPr="00563146">
              <w:rPr>
                <w:snapToGrid w:val="0"/>
                <w:sz w:val="18"/>
                <w:szCs w:val="18"/>
              </w:rPr>
              <w:t xml:space="preserve"> (Minimum)</w:t>
            </w:r>
          </w:p>
        </w:tc>
        <w:tc>
          <w:tcPr>
            <w:tcW w:w="993"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131</w:t>
            </w:r>
          </w:p>
        </w:tc>
        <w:tc>
          <w:tcPr>
            <w:tcW w:w="844"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4%</w:t>
            </w:r>
          </w:p>
        </w:tc>
        <w:tc>
          <w:tcPr>
            <w:tcW w:w="865" w:type="dxa"/>
            <w:gridSpan w:val="3"/>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firstLine="397"/>
              <w:jc w:val="right"/>
              <w:rPr>
                <w:snapToGrid w:val="0"/>
                <w:sz w:val="18"/>
                <w:szCs w:val="18"/>
              </w:rPr>
            </w:pPr>
            <w:r w:rsidRPr="00563146">
              <w:rPr>
                <w:snapToGrid w:val="0"/>
                <w:sz w:val="18"/>
                <w:szCs w:val="18"/>
              </w:rPr>
              <w:t>-</w:t>
            </w:r>
          </w:p>
        </w:tc>
        <w:tc>
          <w:tcPr>
            <w:tcW w:w="851" w:type="dxa"/>
            <w:tcBorders>
              <w:top w:val="single" w:sz="4" w:space="0" w:color="auto"/>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131</w:t>
            </w:r>
          </w:p>
        </w:tc>
        <w:tc>
          <w:tcPr>
            <w:tcW w:w="861" w:type="dxa"/>
            <w:tcBorders>
              <w:top w:val="single" w:sz="4" w:space="0" w:color="auto"/>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Brewarrina (Yetta Dhinnakkal)</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49</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49</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Broken Hill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25</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1</w:t>
            </w:r>
            <w:r w:rsidR="00CB05C1">
              <w:rPr>
                <w:snapToGrid w:val="0"/>
                <w:sz w:val="18"/>
                <w:szCs w:val="18"/>
              </w:rPr>
              <w:t xml:space="preserve"> %</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Cessnock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333</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7%</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Emu Plains</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173</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24</w:t>
            </w:r>
            <w:r w:rsidR="0086089D">
              <w:rPr>
                <w:snapToGrid w:val="0"/>
                <w:sz w:val="18"/>
                <w:szCs w:val="18"/>
              </w:rPr>
              <w:t>,</w:t>
            </w:r>
            <w:r w:rsidRPr="00563146">
              <w:rPr>
                <w:snapToGrid w:val="0"/>
                <w:sz w:val="18"/>
                <w:szCs w:val="18"/>
              </w:rPr>
              <w:t>3</w:t>
            </w:r>
            <w:r w:rsidR="00CB05C1">
              <w:rPr>
                <w:snapToGrid w:val="0"/>
                <w:sz w:val="18"/>
                <w:szCs w:val="18"/>
              </w:rPr>
              <w:t xml:space="preserve"> %</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173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8%</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Glen Innes</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129</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129</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Goulburn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116</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116</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2%</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Grafton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110</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2%</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19</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7</w:t>
            </w:r>
            <w:r w:rsidR="00CB05C1">
              <w:rPr>
                <w:snapToGrid w:val="0"/>
                <w:sz w:val="18"/>
                <w:szCs w:val="18"/>
              </w:rPr>
              <w:t xml:space="preserve"> %</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129</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Ivanhoe (Warakirri) Camp</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47</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47</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John Morony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292</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2%</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292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0%</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Junee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136</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5%</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136</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Kirkconnell</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222</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222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Mannus</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154</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7%</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154</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6%</w:t>
            </w:r>
          </w:p>
        </w:tc>
      </w:tr>
      <w:tr w:rsidR="00D52DB0" w:rsidRPr="00563146">
        <w:tc>
          <w:tcPr>
            <w:tcW w:w="3969" w:type="dxa"/>
            <w:tcBorders>
              <w:right w:val="single" w:sz="4" w:space="0" w:color="000000"/>
            </w:tcBorders>
          </w:tcPr>
          <w:p w:rsidR="00D52DB0" w:rsidRPr="001249DA" w:rsidRDefault="00D52DB0" w:rsidP="005D7B68">
            <w:pPr>
              <w:tabs>
                <w:tab w:val="left" w:pos="567"/>
                <w:tab w:val="left" w:pos="1134"/>
                <w:tab w:val="left" w:pos="1701"/>
                <w:tab w:val="left" w:pos="2268"/>
                <w:tab w:val="left" w:pos="2835"/>
              </w:tabs>
              <w:spacing w:after="0"/>
              <w:rPr>
                <w:snapToGrid w:val="0"/>
                <w:sz w:val="18"/>
                <w:szCs w:val="18"/>
                <w:lang w:val="fr-FR"/>
              </w:rPr>
            </w:pPr>
            <w:r w:rsidRPr="001249DA">
              <w:rPr>
                <w:snapToGrid w:val="0"/>
                <w:sz w:val="18"/>
                <w:szCs w:val="18"/>
                <w:lang w:val="fr-FR"/>
              </w:rPr>
              <w:t>Metro Special Programmes Centre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511</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6%</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511</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2%</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PlaceName">
                <w:r w:rsidRPr="00563146">
                  <w:rPr>
                    <w:snapToGrid w:val="0"/>
                    <w:sz w:val="18"/>
                    <w:szCs w:val="18"/>
                  </w:rPr>
                  <w:t>Mid-North</w:t>
                </w:r>
              </w:smartTag>
              <w:r w:rsidRPr="00563146">
                <w:rPr>
                  <w:snapToGrid w:val="0"/>
                  <w:sz w:val="18"/>
                  <w:szCs w:val="18"/>
                </w:rPr>
                <w:t xml:space="preserve"> </w:t>
              </w:r>
              <w:smartTag w:uri="urn:schemas-microsoft-com:office:smarttags" w:element="PlaceType">
                <w:r w:rsidRPr="00563146">
                  <w:rPr>
                    <w:snapToGrid w:val="0"/>
                    <w:sz w:val="18"/>
                    <w:szCs w:val="18"/>
                  </w:rPr>
                  <w:t>Coast</w:t>
                </w:r>
              </w:smartTag>
            </w:smartTag>
            <w:r w:rsidRPr="00563146">
              <w:rPr>
                <w:snapToGrid w:val="0"/>
                <w:sz w:val="18"/>
                <w:szCs w:val="18"/>
              </w:rPr>
              <w:t xml:space="preserve">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74</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8%</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41</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8</w:t>
            </w:r>
            <w:r w:rsidR="00CB05C1">
              <w:rPr>
                <w:snapToGrid w:val="0"/>
                <w:sz w:val="18"/>
                <w:szCs w:val="18"/>
              </w:rPr>
              <w:t xml:space="preserve"> %</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115</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2%</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Oberon</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106</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2%</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106</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1%</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Parklea (Minimum)</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72</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8%</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7%</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Silverwater</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487</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487</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5</w:t>
            </w:r>
            <w:r w:rsidR="0086089D">
              <w:rPr>
                <w:snapToGrid w:val="0"/>
                <w:sz w:val="18"/>
                <w:szCs w:val="18"/>
              </w:rPr>
              <w:t>,</w:t>
            </w:r>
            <w:r w:rsidRPr="00563146">
              <w:rPr>
                <w:snapToGrid w:val="0"/>
                <w:sz w:val="18"/>
                <w:szCs w:val="18"/>
              </w:rPr>
              <w:t>0%</w:t>
            </w:r>
          </w:p>
        </w:tc>
      </w:tr>
      <w:tr w:rsidR="00D52DB0" w:rsidRPr="00563146">
        <w:tc>
          <w:tcPr>
            <w:tcW w:w="3969" w:type="dxa"/>
            <w:tcBorders>
              <w:right w:val="single" w:sz="4" w:space="0" w:color="000000"/>
            </w:tcBorders>
          </w:tcPr>
          <w:p w:rsidR="00D52DB0" w:rsidRPr="009C4971" w:rsidRDefault="009C4971" w:rsidP="005D7B68">
            <w:pPr>
              <w:tabs>
                <w:tab w:val="left" w:pos="567"/>
                <w:tab w:val="left" w:pos="1134"/>
                <w:tab w:val="left" w:pos="1701"/>
                <w:tab w:val="left" w:pos="2268"/>
                <w:tab w:val="left" w:pos="2835"/>
              </w:tabs>
              <w:spacing w:after="0"/>
              <w:rPr>
                <w:snapToGrid w:val="0"/>
                <w:sz w:val="18"/>
                <w:szCs w:val="18"/>
                <w:lang w:val="fr-FR"/>
              </w:rPr>
            </w:pPr>
            <w:r w:rsidRPr="009C4971">
              <w:rPr>
                <w:snapToGrid w:val="0"/>
                <w:sz w:val="18"/>
                <w:szCs w:val="18"/>
                <w:lang w:val="fr-FR"/>
              </w:rPr>
              <w:t>Centre à objectif spécifique</w:t>
            </w:r>
            <w:r w:rsidR="00D52DB0" w:rsidRPr="009C4971">
              <w:rPr>
                <w:snapToGrid w:val="0"/>
                <w:sz w:val="18"/>
                <w:szCs w:val="18"/>
                <w:lang w:val="fr-FR"/>
              </w:rPr>
              <w:t xml:space="preserve"> - Dawn De Loas</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43</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5%</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St. Heliers</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255</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8%</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255</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6%</w:t>
            </w:r>
          </w:p>
        </w:tc>
      </w:tr>
      <w:tr w:rsidR="00D52DB0" w:rsidRPr="00563146">
        <w:tc>
          <w:tcPr>
            <w:tcW w:w="3969" w:type="dxa"/>
            <w:tcBorders>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r w:rsidRPr="00563146">
                <w:rPr>
                  <w:snapToGrid w:val="0"/>
                  <w:sz w:val="18"/>
                  <w:szCs w:val="18"/>
                </w:rPr>
                <w:t>Tamworth</w:t>
              </w:r>
            </w:smartTag>
            <w:r w:rsidRPr="00563146">
              <w:rPr>
                <w:snapToGrid w:val="0"/>
                <w:sz w:val="18"/>
                <w:szCs w:val="18"/>
              </w:rPr>
              <w:t xml:space="preserve"> (Minimum)</w:t>
            </w:r>
          </w:p>
        </w:tc>
        <w:tc>
          <w:tcPr>
            <w:tcW w:w="993"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28</w:t>
            </w:r>
          </w:p>
        </w:tc>
        <w:tc>
          <w:tcPr>
            <w:tcW w:w="844"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c>
          <w:tcPr>
            <w:tcW w:w="865" w:type="dxa"/>
            <w:gridSpan w:val="3"/>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28</w:t>
            </w:r>
          </w:p>
        </w:tc>
        <w:tc>
          <w:tcPr>
            <w:tcW w:w="861" w:type="dxa"/>
            <w:tcBorders>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r>
      <w:tr w:rsidR="00D52DB0" w:rsidRPr="00563146">
        <w:tc>
          <w:tcPr>
            <w:tcW w:w="3969" w:type="dxa"/>
            <w:tcBorders>
              <w:top w:val="single" w:sz="4" w:space="0" w:color="auto"/>
              <w:bottom w:val="single" w:sz="4" w:space="0" w:color="auto"/>
              <w:right w:val="single" w:sz="4" w:space="0" w:color="000000"/>
            </w:tcBorders>
          </w:tcPr>
          <w:p w:rsidR="00D52DB0" w:rsidRPr="00563146" w:rsidRDefault="00D52DB0" w:rsidP="005D7B68">
            <w:pPr>
              <w:tabs>
                <w:tab w:val="left" w:pos="252"/>
                <w:tab w:val="left" w:pos="567"/>
                <w:tab w:val="left" w:pos="1134"/>
                <w:tab w:val="left" w:pos="1701"/>
                <w:tab w:val="left" w:pos="2268"/>
                <w:tab w:val="left" w:pos="2835"/>
              </w:tabs>
              <w:spacing w:after="0"/>
              <w:rPr>
                <w:snapToGrid w:val="0"/>
                <w:sz w:val="18"/>
                <w:szCs w:val="18"/>
              </w:rPr>
            </w:pPr>
            <w:r w:rsidRPr="00563146">
              <w:rPr>
                <w:snapToGrid w:val="0"/>
                <w:sz w:val="18"/>
                <w:szCs w:val="18"/>
              </w:rPr>
              <w:tab/>
            </w:r>
            <w:r w:rsidR="009C4971">
              <w:rPr>
                <w:snapToGrid w:val="0"/>
                <w:sz w:val="18"/>
                <w:szCs w:val="18"/>
              </w:rPr>
              <w:t>Sous-total sécurité minimale</w:t>
            </w:r>
          </w:p>
        </w:tc>
        <w:tc>
          <w:tcPr>
            <w:tcW w:w="993"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3 320</w:t>
            </w:r>
          </w:p>
        </w:tc>
        <w:tc>
          <w:tcPr>
            <w:tcW w:w="844"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firstLine="33"/>
              <w:rPr>
                <w:snapToGrid w:val="0"/>
                <w:sz w:val="18"/>
                <w:szCs w:val="18"/>
              </w:rPr>
            </w:pPr>
            <w:r w:rsidRPr="00563146">
              <w:rPr>
                <w:snapToGrid w:val="0"/>
                <w:sz w:val="18"/>
                <w:szCs w:val="18"/>
              </w:rPr>
              <w:t>36</w:t>
            </w:r>
            <w:r w:rsidR="0086089D">
              <w:rPr>
                <w:snapToGrid w:val="0"/>
                <w:sz w:val="18"/>
                <w:szCs w:val="18"/>
              </w:rPr>
              <w:t>,</w:t>
            </w:r>
            <w:r w:rsidRPr="00563146">
              <w:rPr>
                <w:snapToGrid w:val="0"/>
                <w:sz w:val="18"/>
                <w:szCs w:val="18"/>
              </w:rPr>
              <w:t>6%</w:t>
            </w:r>
          </w:p>
        </w:tc>
        <w:tc>
          <w:tcPr>
            <w:tcW w:w="865" w:type="dxa"/>
            <w:gridSpan w:val="3"/>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241</w:t>
            </w:r>
          </w:p>
        </w:tc>
        <w:tc>
          <w:tcPr>
            <w:tcW w:w="850"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33</w:t>
            </w:r>
            <w:r w:rsidR="0086089D">
              <w:rPr>
                <w:snapToGrid w:val="0"/>
                <w:sz w:val="18"/>
                <w:szCs w:val="18"/>
              </w:rPr>
              <w:t>,</w:t>
            </w:r>
            <w:r w:rsidRPr="00563146">
              <w:rPr>
                <w:snapToGrid w:val="0"/>
                <w:sz w:val="18"/>
                <w:szCs w:val="18"/>
              </w:rPr>
              <w:t>9</w:t>
            </w:r>
            <w:r w:rsidR="00CB05C1">
              <w:rPr>
                <w:snapToGrid w:val="0"/>
                <w:sz w:val="18"/>
                <w:szCs w:val="18"/>
              </w:rPr>
              <w:t xml:space="preserve"> %</w:t>
            </w:r>
          </w:p>
        </w:tc>
        <w:tc>
          <w:tcPr>
            <w:tcW w:w="851"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3 561</w:t>
            </w:r>
          </w:p>
        </w:tc>
        <w:tc>
          <w:tcPr>
            <w:tcW w:w="861" w:type="dxa"/>
            <w:tcBorders>
              <w:top w:val="single" w:sz="4" w:space="0" w:color="auto"/>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36</w:t>
            </w:r>
            <w:r w:rsidR="0086089D">
              <w:rPr>
                <w:snapToGrid w:val="0"/>
                <w:sz w:val="18"/>
                <w:szCs w:val="18"/>
              </w:rPr>
              <w:t>,</w:t>
            </w:r>
            <w:r w:rsidRPr="00563146">
              <w:rPr>
                <w:snapToGrid w:val="0"/>
                <w:sz w:val="18"/>
                <w:szCs w:val="18"/>
              </w:rPr>
              <w:t>4%</w:t>
            </w:r>
          </w:p>
        </w:tc>
      </w:tr>
      <w:tr w:rsidR="00D52DB0" w:rsidRPr="00563146">
        <w:tc>
          <w:tcPr>
            <w:tcW w:w="3969" w:type="dxa"/>
            <w:tcBorders>
              <w:top w:val="single" w:sz="4" w:space="0" w:color="auto"/>
              <w:bottom w:val="single" w:sz="4" w:space="0" w:color="auto"/>
              <w:right w:val="single" w:sz="4" w:space="0" w:color="000000"/>
            </w:tcBorders>
          </w:tcPr>
          <w:p w:rsidR="00D52DB0" w:rsidRPr="009C4971" w:rsidRDefault="00D52DB0" w:rsidP="005D7B68">
            <w:pPr>
              <w:tabs>
                <w:tab w:val="left" w:pos="252"/>
                <w:tab w:val="left" w:pos="567"/>
                <w:tab w:val="left" w:pos="1134"/>
                <w:tab w:val="left" w:pos="1701"/>
                <w:tab w:val="left" w:pos="2268"/>
                <w:tab w:val="left" w:pos="2835"/>
              </w:tabs>
              <w:spacing w:after="0"/>
              <w:rPr>
                <w:snapToGrid w:val="0"/>
                <w:sz w:val="18"/>
                <w:szCs w:val="18"/>
                <w:lang w:val="fr-FR"/>
              </w:rPr>
            </w:pPr>
            <w:r w:rsidRPr="0086089D">
              <w:rPr>
                <w:snapToGrid w:val="0"/>
                <w:sz w:val="18"/>
                <w:szCs w:val="18"/>
                <w:lang w:val="fr-FR"/>
              </w:rPr>
              <w:tab/>
            </w:r>
            <w:r w:rsidR="009C4971" w:rsidRPr="009C4971">
              <w:rPr>
                <w:snapToGrid w:val="0"/>
                <w:sz w:val="18"/>
                <w:szCs w:val="18"/>
                <w:lang w:val="fr-FR"/>
              </w:rPr>
              <w:t xml:space="preserve">Sous-total </w:t>
            </w:r>
            <w:r w:rsidR="0086089D">
              <w:rPr>
                <w:snapToGrid w:val="0"/>
                <w:sz w:val="18"/>
                <w:szCs w:val="18"/>
                <w:lang w:val="fr-FR"/>
              </w:rPr>
              <w:t>dé</w:t>
            </w:r>
            <w:r w:rsidR="009C4971" w:rsidRPr="009C4971">
              <w:rPr>
                <w:snapToGrid w:val="0"/>
                <w:sz w:val="18"/>
                <w:szCs w:val="18"/>
                <w:lang w:val="fr-FR"/>
              </w:rPr>
              <w:t>tention à plein temps</w:t>
            </w:r>
          </w:p>
        </w:tc>
        <w:tc>
          <w:tcPr>
            <w:tcW w:w="993"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8 400</w:t>
            </w:r>
          </w:p>
        </w:tc>
        <w:tc>
          <w:tcPr>
            <w:tcW w:w="844"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firstLine="33"/>
              <w:rPr>
                <w:snapToGrid w:val="0"/>
                <w:sz w:val="18"/>
                <w:szCs w:val="18"/>
              </w:rPr>
            </w:pPr>
            <w:r w:rsidRPr="00563146">
              <w:rPr>
                <w:snapToGrid w:val="0"/>
                <w:sz w:val="18"/>
                <w:szCs w:val="18"/>
              </w:rPr>
              <w:t>92</w:t>
            </w:r>
            <w:r w:rsidR="0086089D">
              <w:rPr>
                <w:snapToGrid w:val="0"/>
                <w:sz w:val="18"/>
                <w:szCs w:val="18"/>
              </w:rPr>
              <w:t>,</w:t>
            </w:r>
            <w:r w:rsidRPr="00563146">
              <w:rPr>
                <w:snapToGrid w:val="0"/>
                <w:sz w:val="18"/>
                <w:szCs w:val="18"/>
              </w:rPr>
              <w:t>7%</w:t>
            </w:r>
          </w:p>
        </w:tc>
        <w:tc>
          <w:tcPr>
            <w:tcW w:w="865" w:type="dxa"/>
            <w:gridSpan w:val="3"/>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651</w:t>
            </w:r>
          </w:p>
        </w:tc>
        <w:tc>
          <w:tcPr>
            <w:tcW w:w="850"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91</w:t>
            </w:r>
            <w:r w:rsidR="0086089D">
              <w:rPr>
                <w:snapToGrid w:val="0"/>
                <w:sz w:val="18"/>
                <w:szCs w:val="18"/>
              </w:rPr>
              <w:t>,</w:t>
            </w:r>
            <w:r w:rsidRPr="00563146">
              <w:rPr>
                <w:snapToGrid w:val="0"/>
                <w:sz w:val="18"/>
                <w:szCs w:val="18"/>
              </w:rPr>
              <w:t>6</w:t>
            </w:r>
            <w:r w:rsidR="00CB05C1">
              <w:rPr>
                <w:snapToGrid w:val="0"/>
                <w:sz w:val="18"/>
                <w:szCs w:val="18"/>
              </w:rPr>
              <w:t xml:space="preserve"> %</w:t>
            </w:r>
          </w:p>
        </w:tc>
        <w:tc>
          <w:tcPr>
            <w:tcW w:w="851" w:type="dxa"/>
            <w:tcBorders>
              <w:top w:val="single" w:sz="4" w:space="0" w:color="auto"/>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9 051</w:t>
            </w:r>
          </w:p>
        </w:tc>
        <w:tc>
          <w:tcPr>
            <w:tcW w:w="861" w:type="dxa"/>
            <w:tcBorders>
              <w:top w:val="single" w:sz="4" w:space="0" w:color="auto"/>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92</w:t>
            </w:r>
            <w:r w:rsidR="0086089D">
              <w:rPr>
                <w:snapToGrid w:val="0"/>
                <w:sz w:val="18"/>
                <w:szCs w:val="18"/>
              </w:rPr>
              <w:t>,</w:t>
            </w:r>
            <w:r w:rsidRPr="00563146">
              <w:rPr>
                <w:snapToGrid w:val="0"/>
                <w:sz w:val="18"/>
                <w:szCs w:val="18"/>
              </w:rPr>
              <w:t>6%</w:t>
            </w:r>
          </w:p>
        </w:tc>
      </w:tr>
      <w:tr w:rsidR="00D52DB0" w:rsidRPr="00563146">
        <w:tc>
          <w:tcPr>
            <w:tcW w:w="3969" w:type="dxa"/>
            <w:tcBorders>
              <w:top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Administration</w:t>
            </w:r>
            <w:r w:rsidR="009C4971">
              <w:rPr>
                <w:snapToGrid w:val="0"/>
                <w:sz w:val="18"/>
                <w:szCs w:val="18"/>
              </w:rPr>
              <w:t xml:space="preserve"> de détention périodique</w:t>
            </w:r>
          </w:p>
        </w:tc>
        <w:tc>
          <w:tcPr>
            <w:tcW w:w="993" w:type="dxa"/>
            <w:tcBorders>
              <w:top w:val="single" w:sz="4" w:space="0" w:color="000000"/>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9</w:t>
            </w:r>
          </w:p>
        </w:tc>
        <w:tc>
          <w:tcPr>
            <w:tcW w:w="844" w:type="dxa"/>
            <w:tcBorders>
              <w:top w:val="single" w:sz="4" w:space="0" w:color="000000"/>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c>
          <w:tcPr>
            <w:tcW w:w="865" w:type="dxa"/>
            <w:gridSpan w:val="3"/>
            <w:tcBorders>
              <w:top w:val="single" w:sz="4" w:space="0" w:color="000000"/>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p>
        </w:tc>
        <w:tc>
          <w:tcPr>
            <w:tcW w:w="850" w:type="dxa"/>
            <w:tcBorders>
              <w:top w:val="single" w:sz="4" w:space="0" w:color="000000"/>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c>
          <w:tcPr>
            <w:tcW w:w="851" w:type="dxa"/>
            <w:tcBorders>
              <w:top w:val="single" w:sz="4" w:space="0" w:color="000000"/>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10</w:t>
            </w:r>
          </w:p>
        </w:tc>
        <w:tc>
          <w:tcPr>
            <w:tcW w:w="861" w:type="dxa"/>
            <w:tcBorders>
              <w:top w:val="single" w:sz="4" w:space="0" w:color="000000"/>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City">
                <w:r w:rsidRPr="00563146">
                  <w:rPr>
                    <w:snapToGrid w:val="0"/>
                    <w:sz w:val="18"/>
                    <w:szCs w:val="18"/>
                  </w:rPr>
                  <w:t>Bathurst</w:t>
                </w:r>
              </w:smartTag>
            </w:smartTag>
            <w:r w:rsidRPr="00563146">
              <w:rPr>
                <w:snapToGrid w:val="0"/>
                <w:sz w:val="18"/>
                <w:szCs w:val="18"/>
              </w:rPr>
              <w:t xml:space="preserve">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36</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38</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Grafton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32</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33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Mannus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15</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2%</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Metropolitan Mid-Week PDC (Stage 1)</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97</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1%</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97</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0%</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Metropolitan Weekend PDC (Stage 1)</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216</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4%</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216</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2%</w:t>
            </w:r>
          </w:p>
        </w:tc>
      </w:tr>
      <w:tr w:rsidR="00D52DB0" w:rsidRPr="00563146">
        <w:tc>
          <w:tcPr>
            <w:tcW w:w="3969" w:type="dxa"/>
            <w:tcBorders>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rPr>
                <w:snapToGrid w:val="0"/>
                <w:sz w:val="18"/>
                <w:szCs w:val="18"/>
              </w:rPr>
            </w:pPr>
            <w:r w:rsidRPr="00563146">
              <w:rPr>
                <w:snapToGrid w:val="0"/>
                <w:sz w:val="18"/>
                <w:szCs w:val="18"/>
              </w:rPr>
              <w:t>Metropolitan PDC (Stage 2)</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85</w:t>
            </w:r>
          </w:p>
        </w:tc>
        <w:tc>
          <w:tcPr>
            <w:tcW w:w="844" w:type="dxa"/>
            <w:tcBorders>
              <w:left w:val="single" w:sz="4" w:space="0" w:color="000000"/>
              <w:right w:val="single" w:sz="4" w:space="0" w:color="000000"/>
            </w:tcBorders>
          </w:tcPr>
          <w:p w:rsidR="00D52DB0" w:rsidRPr="00563146" w:rsidRDefault="00D52DB0" w:rsidP="005D7B68">
            <w:pPr>
              <w:keepNext/>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85</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Norma Parker Mid-Week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14</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2</w:t>
            </w:r>
            <w:r w:rsidR="0086089D">
              <w:rPr>
                <w:snapToGrid w:val="0"/>
                <w:sz w:val="18"/>
                <w:szCs w:val="18"/>
              </w:rPr>
              <w:t>,</w:t>
            </w:r>
            <w:r w:rsidRPr="00563146">
              <w:rPr>
                <w:snapToGrid w:val="0"/>
                <w:sz w:val="18"/>
                <w:szCs w:val="18"/>
              </w:rPr>
              <w:t>0%</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14</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Norma Parker Mid-Week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25</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3</w:t>
            </w:r>
            <w:r w:rsidR="0086089D">
              <w:rPr>
                <w:snapToGrid w:val="0"/>
                <w:sz w:val="18"/>
                <w:szCs w:val="18"/>
              </w:rPr>
              <w:t>,</w:t>
            </w:r>
            <w:r w:rsidRPr="00563146">
              <w:rPr>
                <w:snapToGrid w:val="0"/>
                <w:sz w:val="18"/>
                <w:szCs w:val="18"/>
              </w:rPr>
              <w:t>5%</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25</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3%</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r w:rsidRPr="00563146">
                <w:rPr>
                  <w:snapToGrid w:val="0"/>
                  <w:sz w:val="18"/>
                  <w:szCs w:val="18"/>
                </w:rPr>
                <w:t>Tamworth</w:t>
              </w:r>
            </w:smartTag>
            <w:r w:rsidRPr="00563146">
              <w:rPr>
                <w:snapToGrid w:val="0"/>
                <w:sz w:val="18"/>
                <w:szCs w:val="18"/>
              </w:rPr>
              <w:t xml:space="preserve">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13</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1%</w:t>
            </w:r>
          </w:p>
        </w:tc>
      </w:tr>
      <w:tr w:rsidR="00D52DB0" w:rsidRPr="00563146">
        <w:tc>
          <w:tcPr>
            <w:tcW w:w="3969" w:type="dxa"/>
            <w:tcBorders>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r w:rsidRPr="00563146">
              <w:rPr>
                <w:snapToGrid w:val="0"/>
                <w:sz w:val="18"/>
                <w:szCs w:val="18"/>
              </w:rPr>
              <w:t>Tomago PDC</w:t>
            </w:r>
          </w:p>
        </w:tc>
        <w:tc>
          <w:tcPr>
            <w:tcW w:w="993"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81</w:t>
            </w:r>
          </w:p>
        </w:tc>
        <w:tc>
          <w:tcPr>
            <w:tcW w:w="844"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c>
          <w:tcPr>
            <w:tcW w:w="865" w:type="dxa"/>
            <w:gridSpan w:val="3"/>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11</w:t>
            </w:r>
          </w:p>
        </w:tc>
        <w:tc>
          <w:tcPr>
            <w:tcW w:w="850"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1</w:t>
            </w:r>
            <w:r w:rsidR="0086089D">
              <w:rPr>
                <w:snapToGrid w:val="0"/>
                <w:sz w:val="18"/>
                <w:szCs w:val="18"/>
              </w:rPr>
              <w:t>,</w:t>
            </w:r>
            <w:r w:rsidRPr="00563146">
              <w:rPr>
                <w:snapToGrid w:val="0"/>
                <w:sz w:val="18"/>
                <w:szCs w:val="18"/>
              </w:rPr>
              <w:t>5%</w:t>
            </w:r>
          </w:p>
        </w:tc>
        <w:tc>
          <w:tcPr>
            <w:tcW w:w="851" w:type="dxa"/>
            <w:tcBorders>
              <w:left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92</w:t>
            </w:r>
          </w:p>
        </w:tc>
        <w:tc>
          <w:tcPr>
            <w:tcW w:w="861" w:type="dxa"/>
            <w:tcBorders>
              <w:lef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r>
      <w:tr w:rsidR="00D52DB0" w:rsidRPr="00563146">
        <w:tc>
          <w:tcPr>
            <w:tcW w:w="3969" w:type="dxa"/>
            <w:tcBorders>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rPr>
                <w:snapToGrid w:val="0"/>
                <w:sz w:val="18"/>
                <w:szCs w:val="18"/>
              </w:rPr>
            </w:pPr>
            <w:smartTag w:uri="urn:schemas-microsoft-com:office:smarttags" w:element="place">
              <w:smartTag w:uri="urn:schemas-microsoft-com:office:smarttags" w:element="City">
                <w:r w:rsidRPr="00563146">
                  <w:rPr>
                    <w:snapToGrid w:val="0"/>
                    <w:sz w:val="18"/>
                    <w:szCs w:val="18"/>
                  </w:rPr>
                  <w:t>Wollongong</w:t>
                </w:r>
              </w:smartTag>
            </w:smartTag>
            <w:r w:rsidRPr="00563146">
              <w:rPr>
                <w:snapToGrid w:val="0"/>
                <w:sz w:val="18"/>
                <w:szCs w:val="18"/>
              </w:rPr>
              <w:t xml:space="preserve"> PDC</w:t>
            </w:r>
          </w:p>
        </w:tc>
        <w:tc>
          <w:tcPr>
            <w:tcW w:w="993"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82</w:t>
            </w:r>
          </w:p>
        </w:tc>
        <w:tc>
          <w:tcPr>
            <w:tcW w:w="844"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c>
          <w:tcPr>
            <w:tcW w:w="865" w:type="dxa"/>
            <w:gridSpan w:val="3"/>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4</w:t>
            </w:r>
          </w:p>
        </w:tc>
        <w:tc>
          <w:tcPr>
            <w:tcW w:w="850"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6%</w:t>
            </w:r>
          </w:p>
        </w:tc>
        <w:tc>
          <w:tcPr>
            <w:tcW w:w="851" w:type="dxa"/>
            <w:tcBorders>
              <w:left w:val="single" w:sz="4" w:space="0" w:color="000000"/>
              <w:bottom w:val="single" w:sz="4" w:space="0" w:color="auto"/>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86</w:t>
            </w:r>
          </w:p>
        </w:tc>
        <w:tc>
          <w:tcPr>
            <w:tcW w:w="861" w:type="dxa"/>
            <w:tcBorders>
              <w:left w:val="single" w:sz="4" w:space="0" w:color="000000"/>
              <w:bottom w:val="single" w:sz="4" w:space="0" w:color="auto"/>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0</w:t>
            </w:r>
            <w:r w:rsidR="0086089D">
              <w:rPr>
                <w:snapToGrid w:val="0"/>
                <w:sz w:val="18"/>
                <w:szCs w:val="18"/>
              </w:rPr>
              <w:t>,</w:t>
            </w:r>
            <w:r w:rsidRPr="00563146">
              <w:rPr>
                <w:snapToGrid w:val="0"/>
                <w:sz w:val="18"/>
                <w:szCs w:val="18"/>
              </w:rPr>
              <w:t>9%</w:t>
            </w:r>
          </w:p>
        </w:tc>
      </w:tr>
      <w:tr w:rsidR="00D52DB0" w:rsidRPr="00563146">
        <w:tc>
          <w:tcPr>
            <w:tcW w:w="3969" w:type="dxa"/>
            <w:tcBorders>
              <w:top w:val="single" w:sz="4" w:space="0" w:color="auto"/>
              <w:bottom w:val="single" w:sz="4" w:space="0" w:color="000000"/>
              <w:right w:val="single" w:sz="4" w:space="0" w:color="000000"/>
            </w:tcBorders>
          </w:tcPr>
          <w:p w:rsidR="00D52DB0" w:rsidRPr="00563146" w:rsidRDefault="00D52DB0" w:rsidP="005D7B68">
            <w:pPr>
              <w:tabs>
                <w:tab w:val="left" w:pos="252"/>
                <w:tab w:val="left" w:pos="567"/>
                <w:tab w:val="left" w:pos="1134"/>
                <w:tab w:val="left" w:pos="1701"/>
                <w:tab w:val="left" w:pos="2268"/>
                <w:tab w:val="left" w:pos="2835"/>
              </w:tabs>
              <w:spacing w:after="0"/>
              <w:rPr>
                <w:snapToGrid w:val="0"/>
                <w:sz w:val="18"/>
                <w:szCs w:val="18"/>
              </w:rPr>
            </w:pPr>
            <w:r w:rsidRPr="00563146">
              <w:rPr>
                <w:snapToGrid w:val="0"/>
                <w:sz w:val="18"/>
                <w:szCs w:val="18"/>
              </w:rPr>
              <w:tab/>
            </w:r>
            <w:r w:rsidR="0086089D" w:rsidRPr="00AC6505">
              <w:rPr>
                <w:snapToGrid w:val="0"/>
                <w:sz w:val="18"/>
                <w:szCs w:val="18"/>
                <w:lang w:val="fr-FR"/>
              </w:rPr>
              <w:t>Sous</w:t>
            </w:r>
            <w:r w:rsidR="0086089D">
              <w:rPr>
                <w:snapToGrid w:val="0"/>
                <w:sz w:val="18"/>
                <w:szCs w:val="18"/>
              </w:rPr>
              <w:t>-total detention périodique</w:t>
            </w:r>
          </w:p>
        </w:tc>
        <w:tc>
          <w:tcPr>
            <w:tcW w:w="993" w:type="dxa"/>
            <w:tcBorders>
              <w:top w:val="single" w:sz="4" w:space="0" w:color="auto"/>
              <w:left w:val="single" w:sz="4" w:space="0" w:color="000000"/>
              <w:bottom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664</w:t>
            </w:r>
          </w:p>
        </w:tc>
        <w:tc>
          <w:tcPr>
            <w:tcW w:w="844" w:type="dxa"/>
            <w:tcBorders>
              <w:top w:val="single" w:sz="4" w:space="0" w:color="auto"/>
              <w:left w:val="single" w:sz="4" w:space="0" w:color="000000"/>
              <w:bottom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174"/>
              <w:rPr>
                <w:snapToGrid w:val="0"/>
                <w:sz w:val="18"/>
                <w:szCs w:val="18"/>
              </w:rPr>
            </w:pPr>
            <w:r w:rsidRPr="00563146">
              <w:rPr>
                <w:snapToGrid w:val="0"/>
                <w:sz w:val="18"/>
                <w:szCs w:val="18"/>
              </w:rPr>
              <w:t>7</w:t>
            </w:r>
            <w:r w:rsidR="0086089D">
              <w:rPr>
                <w:snapToGrid w:val="0"/>
                <w:sz w:val="18"/>
                <w:szCs w:val="18"/>
              </w:rPr>
              <w:t>,</w:t>
            </w:r>
            <w:r w:rsidRPr="00563146">
              <w:rPr>
                <w:snapToGrid w:val="0"/>
                <w:sz w:val="18"/>
                <w:szCs w:val="18"/>
              </w:rPr>
              <w:t>3%</w:t>
            </w:r>
          </w:p>
        </w:tc>
        <w:tc>
          <w:tcPr>
            <w:tcW w:w="865" w:type="dxa"/>
            <w:gridSpan w:val="3"/>
            <w:tcBorders>
              <w:top w:val="single" w:sz="4" w:space="0" w:color="auto"/>
              <w:left w:val="single" w:sz="4" w:space="0" w:color="000000"/>
              <w:bottom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60</w:t>
            </w:r>
          </w:p>
        </w:tc>
        <w:tc>
          <w:tcPr>
            <w:tcW w:w="850" w:type="dxa"/>
            <w:tcBorders>
              <w:top w:val="single" w:sz="4" w:space="0" w:color="auto"/>
              <w:left w:val="single" w:sz="4" w:space="0" w:color="000000"/>
              <w:bottom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8</w:t>
            </w:r>
            <w:r w:rsidR="0086089D">
              <w:rPr>
                <w:snapToGrid w:val="0"/>
                <w:sz w:val="18"/>
                <w:szCs w:val="18"/>
              </w:rPr>
              <w:t>,</w:t>
            </w:r>
            <w:r w:rsidRPr="00563146">
              <w:rPr>
                <w:snapToGrid w:val="0"/>
                <w:sz w:val="18"/>
                <w:szCs w:val="18"/>
              </w:rPr>
              <w:t>4%</w:t>
            </w:r>
          </w:p>
        </w:tc>
        <w:tc>
          <w:tcPr>
            <w:tcW w:w="851" w:type="dxa"/>
            <w:tcBorders>
              <w:top w:val="single" w:sz="4" w:space="0" w:color="auto"/>
              <w:left w:val="single" w:sz="4" w:space="0" w:color="000000"/>
              <w:bottom w:val="single" w:sz="4" w:space="0" w:color="000000"/>
              <w:right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right="80"/>
              <w:jc w:val="right"/>
              <w:rPr>
                <w:snapToGrid w:val="0"/>
                <w:sz w:val="18"/>
                <w:szCs w:val="18"/>
              </w:rPr>
            </w:pPr>
            <w:r w:rsidRPr="00563146">
              <w:rPr>
                <w:snapToGrid w:val="0"/>
                <w:sz w:val="18"/>
                <w:szCs w:val="18"/>
              </w:rPr>
              <w:t>724</w:t>
            </w:r>
          </w:p>
        </w:tc>
        <w:tc>
          <w:tcPr>
            <w:tcW w:w="861" w:type="dxa"/>
            <w:tcBorders>
              <w:top w:val="single" w:sz="4" w:space="0" w:color="auto"/>
              <w:left w:val="single" w:sz="4" w:space="0" w:color="000000"/>
              <w:bottom w:val="single" w:sz="4" w:space="0" w:color="000000"/>
            </w:tcBorders>
          </w:tcPr>
          <w:p w:rsidR="00D52DB0" w:rsidRPr="00563146" w:rsidRDefault="00D52DB0" w:rsidP="005D7B68">
            <w:pPr>
              <w:tabs>
                <w:tab w:val="left" w:pos="567"/>
                <w:tab w:val="left" w:pos="1134"/>
                <w:tab w:val="left" w:pos="1701"/>
                <w:tab w:val="left" w:pos="2268"/>
                <w:tab w:val="left" w:pos="2835"/>
              </w:tabs>
              <w:spacing w:after="0"/>
              <w:ind w:left="-3897"/>
              <w:jc w:val="right"/>
              <w:rPr>
                <w:snapToGrid w:val="0"/>
                <w:sz w:val="18"/>
                <w:szCs w:val="18"/>
              </w:rPr>
            </w:pPr>
            <w:r w:rsidRPr="00563146">
              <w:rPr>
                <w:snapToGrid w:val="0"/>
                <w:sz w:val="18"/>
                <w:szCs w:val="18"/>
              </w:rPr>
              <w:t>7</w:t>
            </w:r>
            <w:r w:rsidR="0086089D">
              <w:rPr>
                <w:snapToGrid w:val="0"/>
                <w:sz w:val="18"/>
                <w:szCs w:val="18"/>
              </w:rPr>
              <w:t>,</w:t>
            </w:r>
            <w:r w:rsidRPr="00563146">
              <w:rPr>
                <w:snapToGrid w:val="0"/>
                <w:sz w:val="18"/>
                <w:szCs w:val="18"/>
              </w:rPr>
              <w:t>4%</w:t>
            </w:r>
          </w:p>
        </w:tc>
      </w:tr>
      <w:tr w:rsidR="00D52DB0" w:rsidRPr="008478BB">
        <w:tc>
          <w:tcPr>
            <w:tcW w:w="3969" w:type="dxa"/>
            <w:tcBorders>
              <w:top w:val="single" w:sz="4" w:space="0" w:color="000000"/>
              <w:right w:val="single" w:sz="4" w:space="0" w:color="000000"/>
            </w:tcBorders>
          </w:tcPr>
          <w:p w:rsidR="00D52DB0" w:rsidRPr="008478BB" w:rsidRDefault="00D52DB0" w:rsidP="005D7B68">
            <w:pPr>
              <w:tabs>
                <w:tab w:val="left" w:pos="252"/>
                <w:tab w:val="left" w:pos="567"/>
                <w:tab w:val="left" w:pos="1134"/>
                <w:tab w:val="left" w:pos="1701"/>
                <w:tab w:val="left" w:pos="2268"/>
                <w:tab w:val="left" w:pos="2835"/>
              </w:tabs>
              <w:spacing w:after="0"/>
              <w:rPr>
                <w:b/>
                <w:bCs/>
                <w:snapToGrid w:val="0"/>
                <w:sz w:val="18"/>
                <w:szCs w:val="18"/>
              </w:rPr>
            </w:pPr>
            <w:r w:rsidRPr="008478BB">
              <w:rPr>
                <w:b/>
                <w:bCs/>
                <w:snapToGrid w:val="0"/>
                <w:sz w:val="18"/>
                <w:szCs w:val="18"/>
              </w:rPr>
              <w:tab/>
              <w:t>Total</w:t>
            </w:r>
          </w:p>
        </w:tc>
        <w:tc>
          <w:tcPr>
            <w:tcW w:w="993" w:type="dxa"/>
            <w:tcBorders>
              <w:top w:val="single" w:sz="4" w:space="0" w:color="000000"/>
              <w:left w:val="single" w:sz="4" w:space="0" w:color="000000"/>
              <w:bottom w:val="single" w:sz="4" w:space="0" w:color="000000"/>
              <w:right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right="80"/>
              <w:jc w:val="right"/>
              <w:rPr>
                <w:b/>
                <w:bCs/>
                <w:snapToGrid w:val="0"/>
                <w:sz w:val="18"/>
                <w:szCs w:val="18"/>
              </w:rPr>
            </w:pPr>
            <w:r w:rsidRPr="00F0105A">
              <w:rPr>
                <w:b/>
                <w:bCs/>
                <w:snapToGrid w:val="0"/>
                <w:sz w:val="18"/>
                <w:szCs w:val="18"/>
              </w:rPr>
              <w:t>9 064</w:t>
            </w:r>
          </w:p>
        </w:tc>
        <w:tc>
          <w:tcPr>
            <w:tcW w:w="844" w:type="dxa"/>
            <w:tcBorders>
              <w:top w:val="single" w:sz="4" w:space="0" w:color="000000"/>
              <w:left w:val="single" w:sz="4" w:space="0" w:color="000000"/>
              <w:bottom w:val="single" w:sz="4" w:space="0" w:color="000000"/>
              <w:right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right="174"/>
              <w:rPr>
                <w:b/>
                <w:bCs/>
                <w:snapToGrid w:val="0"/>
                <w:sz w:val="18"/>
                <w:szCs w:val="18"/>
              </w:rPr>
            </w:pPr>
            <w:r w:rsidRPr="00F0105A">
              <w:rPr>
                <w:b/>
                <w:bCs/>
                <w:snapToGrid w:val="0"/>
                <w:sz w:val="18"/>
                <w:szCs w:val="18"/>
              </w:rPr>
              <w:t>100</w:t>
            </w:r>
            <w:r w:rsidR="0086089D" w:rsidRPr="00F0105A">
              <w:rPr>
                <w:b/>
                <w:bCs/>
                <w:snapToGrid w:val="0"/>
                <w:sz w:val="18"/>
                <w:szCs w:val="18"/>
              </w:rPr>
              <w:t>,</w:t>
            </w:r>
            <w:r w:rsidRPr="00F0105A">
              <w:rPr>
                <w:b/>
                <w:bCs/>
                <w:snapToGrid w:val="0"/>
                <w:sz w:val="18"/>
                <w:szCs w:val="18"/>
              </w:rPr>
              <w:t>0%</w:t>
            </w:r>
          </w:p>
        </w:tc>
        <w:tc>
          <w:tcPr>
            <w:tcW w:w="865" w:type="dxa"/>
            <w:gridSpan w:val="3"/>
            <w:tcBorders>
              <w:top w:val="single" w:sz="4" w:space="0" w:color="000000"/>
              <w:left w:val="single" w:sz="4" w:space="0" w:color="000000"/>
              <w:bottom w:val="single" w:sz="4" w:space="0" w:color="000000"/>
              <w:right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right="80"/>
              <w:jc w:val="right"/>
              <w:rPr>
                <w:b/>
                <w:bCs/>
                <w:snapToGrid w:val="0"/>
                <w:sz w:val="18"/>
                <w:szCs w:val="18"/>
              </w:rPr>
            </w:pPr>
            <w:r w:rsidRPr="00F0105A">
              <w:rPr>
                <w:b/>
                <w:bCs/>
                <w:snapToGrid w:val="0"/>
                <w:sz w:val="18"/>
                <w:szCs w:val="18"/>
              </w:rPr>
              <w:t>711</w:t>
            </w:r>
          </w:p>
        </w:tc>
        <w:tc>
          <w:tcPr>
            <w:tcW w:w="850" w:type="dxa"/>
            <w:tcBorders>
              <w:top w:val="single" w:sz="4" w:space="0" w:color="000000"/>
              <w:left w:val="single" w:sz="4" w:space="0" w:color="000000"/>
              <w:bottom w:val="single" w:sz="4" w:space="0" w:color="000000"/>
              <w:right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jc w:val="right"/>
              <w:rPr>
                <w:b/>
                <w:bCs/>
                <w:snapToGrid w:val="0"/>
                <w:sz w:val="18"/>
                <w:szCs w:val="18"/>
              </w:rPr>
            </w:pPr>
            <w:r w:rsidRPr="00F0105A">
              <w:rPr>
                <w:b/>
                <w:bCs/>
                <w:snapToGrid w:val="0"/>
                <w:sz w:val="18"/>
                <w:szCs w:val="18"/>
              </w:rPr>
              <w:t>100</w:t>
            </w:r>
            <w:r w:rsidR="0086089D" w:rsidRPr="00F0105A">
              <w:rPr>
                <w:b/>
                <w:bCs/>
                <w:snapToGrid w:val="0"/>
                <w:sz w:val="18"/>
                <w:szCs w:val="18"/>
              </w:rPr>
              <w:t>,</w:t>
            </w:r>
            <w:r w:rsidRPr="00F0105A">
              <w:rPr>
                <w:b/>
                <w:bCs/>
                <w:snapToGrid w:val="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right="80"/>
              <w:jc w:val="right"/>
              <w:rPr>
                <w:b/>
                <w:bCs/>
                <w:snapToGrid w:val="0"/>
                <w:sz w:val="18"/>
                <w:szCs w:val="18"/>
              </w:rPr>
            </w:pPr>
            <w:r w:rsidRPr="00F0105A">
              <w:rPr>
                <w:b/>
                <w:bCs/>
                <w:snapToGrid w:val="0"/>
                <w:sz w:val="18"/>
                <w:szCs w:val="18"/>
              </w:rPr>
              <w:t>9 775</w:t>
            </w:r>
          </w:p>
        </w:tc>
        <w:tc>
          <w:tcPr>
            <w:tcW w:w="861" w:type="dxa"/>
            <w:tcBorders>
              <w:top w:val="single" w:sz="4" w:space="0" w:color="000000"/>
              <w:left w:val="single" w:sz="4" w:space="0" w:color="000000"/>
              <w:bottom w:val="single" w:sz="4" w:space="0" w:color="000000"/>
            </w:tcBorders>
          </w:tcPr>
          <w:p w:rsidR="00D52DB0" w:rsidRPr="00F0105A" w:rsidRDefault="00D52DB0" w:rsidP="005D7B68">
            <w:pPr>
              <w:tabs>
                <w:tab w:val="left" w:pos="567"/>
                <w:tab w:val="left" w:pos="1134"/>
                <w:tab w:val="left" w:pos="1701"/>
                <w:tab w:val="left" w:pos="2268"/>
                <w:tab w:val="left" w:pos="2835"/>
              </w:tabs>
              <w:spacing w:after="0"/>
              <w:ind w:left="-3897"/>
              <w:jc w:val="right"/>
              <w:rPr>
                <w:b/>
                <w:bCs/>
                <w:snapToGrid w:val="0"/>
                <w:sz w:val="18"/>
                <w:szCs w:val="18"/>
              </w:rPr>
            </w:pPr>
            <w:r w:rsidRPr="00F0105A">
              <w:rPr>
                <w:b/>
                <w:bCs/>
                <w:snapToGrid w:val="0"/>
                <w:sz w:val="18"/>
                <w:szCs w:val="18"/>
              </w:rPr>
              <w:t>100</w:t>
            </w:r>
            <w:r w:rsidR="0086089D" w:rsidRPr="00F0105A">
              <w:rPr>
                <w:b/>
                <w:bCs/>
                <w:snapToGrid w:val="0"/>
                <w:sz w:val="18"/>
                <w:szCs w:val="18"/>
              </w:rPr>
              <w:t>,</w:t>
            </w:r>
            <w:r w:rsidRPr="00F0105A">
              <w:rPr>
                <w:b/>
                <w:bCs/>
                <w:snapToGrid w:val="0"/>
                <w:sz w:val="18"/>
                <w:szCs w:val="18"/>
              </w:rPr>
              <w:t>0%</w:t>
            </w:r>
          </w:p>
        </w:tc>
      </w:tr>
    </w:tbl>
    <w:p w:rsidR="00D52DB0" w:rsidRPr="006736E0" w:rsidRDefault="0086089D" w:rsidP="005D7B68">
      <w:pPr>
        <w:tabs>
          <w:tab w:val="left" w:pos="284"/>
          <w:tab w:val="left" w:pos="567"/>
          <w:tab w:val="left" w:pos="1134"/>
          <w:tab w:val="left" w:pos="1701"/>
          <w:tab w:val="left" w:pos="2268"/>
          <w:tab w:val="left" w:pos="2835"/>
        </w:tabs>
        <w:spacing w:before="240"/>
        <w:rPr>
          <w:snapToGrid w:val="0"/>
          <w:sz w:val="22"/>
          <w:szCs w:val="22"/>
          <w:lang w:val="fr-FR"/>
        </w:rPr>
      </w:pPr>
      <w:r w:rsidRPr="006736E0">
        <w:rPr>
          <w:b/>
          <w:bCs/>
          <w:snapToGrid w:val="0"/>
          <w:sz w:val="22"/>
          <w:szCs w:val="22"/>
          <w:lang w:val="fr-FR"/>
        </w:rPr>
        <w:t>*</w:t>
      </w:r>
      <w:r w:rsidR="00572260" w:rsidRPr="006736E0">
        <w:rPr>
          <w:snapToGrid w:val="0"/>
          <w:sz w:val="22"/>
          <w:szCs w:val="22"/>
          <w:lang w:val="fr-FR"/>
        </w:rPr>
        <w:t xml:space="preserve"> </w:t>
      </w:r>
      <w:r w:rsidRPr="006736E0">
        <w:rPr>
          <w:snapToGrid w:val="0"/>
          <w:sz w:val="22"/>
          <w:szCs w:val="22"/>
          <w:lang w:val="fr-FR"/>
        </w:rPr>
        <w:t>Moins de 0,</w:t>
      </w:r>
      <w:r w:rsidR="00D52DB0" w:rsidRPr="006736E0">
        <w:rPr>
          <w:snapToGrid w:val="0"/>
          <w:sz w:val="22"/>
          <w:szCs w:val="22"/>
          <w:lang w:val="fr-FR"/>
        </w:rPr>
        <w:t>05</w:t>
      </w:r>
      <w:r w:rsidRPr="006736E0">
        <w:rPr>
          <w:snapToGrid w:val="0"/>
          <w:sz w:val="22"/>
          <w:szCs w:val="22"/>
          <w:lang w:val="fr-FR"/>
        </w:rPr>
        <w:t xml:space="preserve"> %</w:t>
      </w:r>
      <w:r w:rsidR="00D52DB0" w:rsidRPr="006736E0">
        <w:rPr>
          <w:snapToGrid w:val="0"/>
          <w:sz w:val="22"/>
          <w:szCs w:val="22"/>
          <w:lang w:val="fr-FR"/>
        </w:rPr>
        <w:t>.</w:t>
      </w:r>
    </w:p>
    <w:p w:rsidR="00BC5D10" w:rsidRPr="00BC5D10" w:rsidRDefault="00BC5D10" w:rsidP="005D7B68">
      <w:pPr>
        <w:tabs>
          <w:tab w:val="left" w:pos="284"/>
          <w:tab w:val="left" w:pos="567"/>
          <w:tab w:val="left" w:pos="1134"/>
          <w:tab w:val="left" w:pos="1701"/>
          <w:tab w:val="left" w:pos="2268"/>
          <w:tab w:val="left" w:pos="2835"/>
        </w:tabs>
        <w:spacing w:before="240"/>
        <w:rPr>
          <w:b/>
          <w:bCs/>
          <w:snapToGrid w:val="0"/>
          <w:lang w:val="fr-FR"/>
        </w:rPr>
      </w:pPr>
      <w:r w:rsidRPr="00BC5D10">
        <w:rPr>
          <w:b/>
          <w:bCs/>
          <w:snapToGrid w:val="0"/>
          <w:lang w:val="fr-FR"/>
        </w:rPr>
        <w:t>Victoria</w:t>
      </w:r>
    </w:p>
    <w:p w:rsidR="00BC5D10" w:rsidRDefault="00466F89"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394</w:t>
      </w:r>
      <w:r w:rsidR="00BC5D10" w:rsidRPr="00BC5D10">
        <w:rPr>
          <w:snapToGrid w:val="0"/>
          <w:lang w:val="fr-FR"/>
        </w:rPr>
        <w:t>.</w:t>
      </w:r>
      <w:r w:rsidR="00BC5D10" w:rsidRPr="00BC5D10">
        <w:rPr>
          <w:snapToGrid w:val="0"/>
          <w:lang w:val="fr-FR"/>
        </w:rPr>
        <w:tab/>
      </w:r>
      <w:r w:rsidR="00BC5D10">
        <w:rPr>
          <w:snapToGrid w:val="0"/>
          <w:lang w:val="fr-FR"/>
        </w:rPr>
        <w:t xml:space="preserve">Au 30 juin 2007, on comptait 4 184 détenus </w:t>
      </w:r>
      <w:r w:rsidR="008F47FA">
        <w:rPr>
          <w:snapToGrid w:val="0"/>
          <w:lang w:val="fr-FR"/>
        </w:rPr>
        <w:t>dans le système pénitentiaire du</w:t>
      </w:r>
      <w:r w:rsidR="00BC5D10">
        <w:rPr>
          <w:snapToGrid w:val="0"/>
          <w:lang w:val="fr-FR"/>
        </w:rPr>
        <w:t xml:space="preserve"> Victoria (3 926 hommes et 258 femmes)</w:t>
      </w:r>
      <w:r w:rsidR="008D6B80">
        <w:rPr>
          <w:snapToGrid w:val="0"/>
          <w:lang w:val="fr-FR"/>
        </w:rPr>
        <w:t xml:space="preserve">. </w:t>
      </w:r>
      <w:r w:rsidR="00BC5D10">
        <w:rPr>
          <w:snapToGrid w:val="0"/>
          <w:lang w:val="fr-FR"/>
        </w:rPr>
        <w:t xml:space="preserve">Le taux d’occupation des </w:t>
      </w:r>
      <w:r w:rsidR="006E73D2">
        <w:rPr>
          <w:snapToGrid w:val="0"/>
          <w:lang w:val="fr-FR"/>
        </w:rPr>
        <w:t>places</w:t>
      </w:r>
      <w:r w:rsidR="00BC5D10">
        <w:rPr>
          <w:snapToGrid w:val="0"/>
          <w:lang w:val="fr-FR"/>
        </w:rPr>
        <w:t xml:space="preserve"> disponibles y était de</w:t>
      </w:r>
      <w:r w:rsidR="00572260">
        <w:rPr>
          <w:snapToGrid w:val="0"/>
          <w:lang w:val="fr-FR"/>
        </w:rPr>
        <w:t xml:space="preserve"> </w:t>
      </w:r>
      <w:r w:rsidR="00BC5D10">
        <w:rPr>
          <w:snapToGrid w:val="0"/>
          <w:lang w:val="fr-FR"/>
        </w:rPr>
        <w:t>97,9 %.</w:t>
      </w:r>
    </w:p>
    <w:p w:rsidR="00BC5D10" w:rsidRDefault="00BC5D10" w:rsidP="005D7B68">
      <w:pPr>
        <w:tabs>
          <w:tab w:val="left" w:pos="284"/>
          <w:tab w:val="left" w:pos="567"/>
          <w:tab w:val="left" w:pos="1134"/>
          <w:tab w:val="left" w:pos="1701"/>
          <w:tab w:val="left" w:pos="2268"/>
          <w:tab w:val="left" w:pos="2835"/>
        </w:tabs>
        <w:spacing w:before="240"/>
        <w:rPr>
          <w:b/>
          <w:bCs/>
          <w:snapToGrid w:val="0"/>
          <w:lang w:val="fr-FR"/>
        </w:rPr>
      </w:pPr>
      <w:r>
        <w:rPr>
          <w:b/>
          <w:bCs/>
          <w:snapToGrid w:val="0"/>
          <w:lang w:val="fr-FR"/>
        </w:rPr>
        <w:t>Queensland</w:t>
      </w:r>
    </w:p>
    <w:p w:rsidR="00BC5D10" w:rsidRDefault="00BC5D10"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w:t>
      </w:r>
      <w:r w:rsidR="00466F89">
        <w:rPr>
          <w:snapToGrid w:val="0"/>
          <w:lang w:val="fr-FR"/>
        </w:rPr>
        <w:t>5</w:t>
      </w:r>
      <w:r>
        <w:rPr>
          <w:snapToGrid w:val="0"/>
          <w:lang w:val="fr-FR"/>
        </w:rPr>
        <w:t>.</w:t>
      </w:r>
      <w:r>
        <w:rPr>
          <w:snapToGrid w:val="0"/>
          <w:lang w:val="fr-FR"/>
        </w:rPr>
        <w:tab/>
      </w:r>
      <w:r w:rsidR="004D4C4B">
        <w:rPr>
          <w:snapToGrid w:val="0"/>
          <w:lang w:val="fr-FR"/>
        </w:rPr>
        <w:t>Au 16 juillet 2007</w:t>
      </w:r>
      <w:r w:rsidR="00F0112A">
        <w:rPr>
          <w:snapToGrid w:val="0"/>
          <w:lang w:val="fr-FR"/>
        </w:rPr>
        <w:t>, les établissements fermés</w:t>
      </w:r>
      <w:r w:rsidR="004D4C4B">
        <w:rPr>
          <w:snapToGrid w:val="0"/>
          <w:lang w:val="fr-FR"/>
        </w:rPr>
        <w:t xml:space="preserve"> des services pénitentiaires du Queensland fonctionnaient à 97 % de leur capacité</w:t>
      </w:r>
      <w:r w:rsidR="008D6B80">
        <w:rPr>
          <w:snapToGrid w:val="0"/>
          <w:lang w:val="fr-FR"/>
        </w:rPr>
        <w:t xml:space="preserve">. </w:t>
      </w:r>
      <w:r w:rsidR="00140531">
        <w:rPr>
          <w:snapToGrid w:val="0"/>
          <w:lang w:val="fr-FR"/>
        </w:rPr>
        <w:t>Au 30 juin 2006, on comptait 5 562 détenus dans ces établissements, dont 5 164 hommes et 398 femmes.</w:t>
      </w:r>
    </w:p>
    <w:p w:rsidR="00140531" w:rsidRDefault="0014053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w:t>
      </w:r>
      <w:r w:rsidR="00466F89">
        <w:rPr>
          <w:snapToGrid w:val="0"/>
          <w:lang w:val="fr-FR"/>
        </w:rPr>
        <w:t>6</w:t>
      </w:r>
      <w:r>
        <w:rPr>
          <w:snapToGrid w:val="0"/>
          <w:lang w:val="fr-FR"/>
        </w:rPr>
        <w:t>.</w:t>
      </w:r>
      <w:r>
        <w:rPr>
          <w:snapToGrid w:val="0"/>
          <w:lang w:val="fr-FR"/>
        </w:rPr>
        <w:tab/>
      </w:r>
      <w:r w:rsidR="00DD3105">
        <w:rPr>
          <w:snapToGrid w:val="0"/>
          <w:lang w:val="fr-FR"/>
        </w:rPr>
        <w:t>En ce qui concerne les centres de détention pour mineurs, qui ont une capacité d’accueil de 150 personnes, 146 mineurs y sont actuellement placés en détention.</w:t>
      </w:r>
    </w:p>
    <w:p w:rsidR="00DD3105" w:rsidRDefault="008E1139" w:rsidP="005D7B68">
      <w:pPr>
        <w:tabs>
          <w:tab w:val="left" w:pos="284"/>
          <w:tab w:val="left" w:pos="567"/>
          <w:tab w:val="left" w:pos="1134"/>
          <w:tab w:val="left" w:pos="1701"/>
          <w:tab w:val="left" w:pos="2268"/>
          <w:tab w:val="left" w:pos="2835"/>
        </w:tabs>
        <w:spacing w:before="240"/>
        <w:rPr>
          <w:b/>
          <w:bCs/>
          <w:snapToGrid w:val="0"/>
          <w:lang w:val="fr-FR"/>
        </w:rPr>
      </w:pPr>
      <w:r>
        <w:rPr>
          <w:b/>
          <w:bCs/>
          <w:snapToGrid w:val="0"/>
          <w:lang w:val="fr-FR"/>
        </w:rPr>
        <w:t>Australie occidentale</w:t>
      </w:r>
    </w:p>
    <w:p w:rsidR="00DD3105" w:rsidRDefault="00DD3105"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w:t>
      </w:r>
      <w:r w:rsidR="00466F89">
        <w:rPr>
          <w:snapToGrid w:val="0"/>
          <w:lang w:val="fr-FR"/>
        </w:rPr>
        <w:t>7</w:t>
      </w:r>
      <w:r>
        <w:rPr>
          <w:snapToGrid w:val="0"/>
          <w:lang w:val="fr-FR"/>
        </w:rPr>
        <w:t>.</w:t>
      </w:r>
      <w:r>
        <w:rPr>
          <w:snapToGrid w:val="0"/>
          <w:lang w:val="fr-FR"/>
        </w:rPr>
        <w:tab/>
        <w:t>Au 10 juin 2007, il y avait 3 726 détenus dans les prisons d’</w:t>
      </w:r>
      <w:r w:rsidR="008E1139">
        <w:rPr>
          <w:snapToGrid w:val="0"/>
          <w:lang w:val="fr-FR"/>
        </w:rPr>
        <w:t>Australie occidentale</w:t>
      </w:r>
      <w:r w:rsidR="008D6B80">
        <w:rPr>
          <w:snapToGrid w:val="0"/>
          <w:lang w:val="fr-FR"/>
        </w:rPr>
        <w:t xml:space="preserve">. </w:t>
      </w:r>
      <w:r>
        <w:rPr>
          <w:snapToGrid w:val="0"/>
          <w:lang w:val="fr-FR"/>
        </w:rPr>
        <w:t xml:space="preserve">Á la ferme-prison </w:t>
      </w:r>
      <w:r w:rsidR="0061435B">
        <w:rPr>
          <w:snapToGrid w:val="0"/>
          <w:lang w:val="fr-FR"/>
        </w:rPr>
        <w:t>de Wooroloo, des installations sont en cours de modernisat</w:t>
      </w:r>
      <w:r w:rsidR="002A4FBE">
        <w:rPr>
          <w:snapToGrid w:val="0"/>
          <w:lang w:val="fr-FR"/>
        </w:rPr>
        <w:t xml:space="preserve">ion, </w:t>
      </w:r>
      <w:r w:rsidR="008F47FA">
        <w:rPr>
          <w:snapToGrid w:val="0"/>
          <w:lang w:val="fr-FR"/>
        </w:rPr>
        <w:t>des transformations étant opérées dans certaines parties pour accroître leur</w:t>
      </w:r>
      <w:r w:rsidR="0061435B">
        <w:rPr>
          <w:snapToGrid w:val="0"/>
          <w:lang w:val="fr-FR"/>
        </w:rPr>
        <w:t xml:space="preserve"> capacité d’accueil</w:t>
      </w:r>
      <w:r w:rsidR="008D6B80">
        <w:rPr>
          <w:snapToGrid w:val="0"/>
          <w:lang w:val="fr-FR"/>
        </w:rPr>
        <w:t xml:space="preserve">. </w:t>
      </w:r>
      <w:r w:rsidR="0061435B">
        <w:rPr>
          <w:snapToGrid w:val="0"/>
          <w:lang w:val="fr-FR"/>
        </w:rPr>
        <w:t>Á Bandy</w:t>
      </w:r>
      <w:r w:rsidR="00C72AD6">
        <w:rPr>
          <w:snapToGrid w:val="0"/>
          <w:lang w:val="fr-FR"/>
        </w:rPr>
        <w:t>up</w:t>
      </w:r>
      <w:r w:rsidR="0061435B">
        <w:rPr>
          <w:snapToGrid w:val="0"/>
          <w:lang w:val="fr-FR"/>
        </w:rPr>
        <w:t xml:space="preserve"> aussi on améliore les unités résidentielles autonomes et l’on prévoit d’en créer de nouvelles</w:t>
      </w:r>
      <w:r w:rsidR="008D6B80">
        <w:rPr>
          <w:snapToGrid w:val="0"/>
          <w:lang w:val="fr-FR"/>
        </w:rPr>
        <w:t xml:space="preserve">. </w:t>
      </w:r>
      <w:r w:rsidR="00F0112A">
        <w:rPr>
          <w:snapToGrid w:val="0"/>
          <w:lang w:val="fr-FR"/>
        </w:rPr>
        <w:t>Dans la pris</w:t>
      </w:r>
      <w:r w:rsidR="006E73D2">
        <w:rPr>
          <w:snapToGrid w:val="0"/>
          <w:lang w:val="fr-FR"/>
        </w:rPr>
        <w:t>on de Bunbury, on ajoute 72 places</w:t>
      </w:r>
      <w:r w:rsidR="00F0112A">
        <w:rPr>
          <w:snapToGrid w:val="0"/>
          <w:lang w:val="fr-FR"/>
        </w:rPr>
        <w:t xml:space="preserve"> pour les</w:t>
      </w:r>
      <w:r w:rsidR="0061435B">
        <w:rPr>
          <w:snapToGrid w:val="0"/>
          <w:lang w:val="fr-FR"/>
        </w:rPr>
        <w:t xml:space="preserve"> </w:t>
      </w:r>
      <w:r w:rsidR="00F0112A">
        <w:rPr>
          <w:snapToGrid w:val="0"/>
          <w:lang w:val="fr-FR"/>
        </w:rPr>
        <w:t>détenus placés en détention à régime souple.</w:t>
      </w:r>
      <w:r w:rsidR="0061435B">
        <w:rPr>
          <w:snapToGrid w:val="0"/>
          <w:lang w:val="fr-FR"/>
        </w:rPr>
        <w:t xml:space="preserve"> </w:t>
      </w:r>
    </w:p>
    <w:p w:rsidR="00F0112A" w:rsidRDefault="00F0112A"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w:t>
      </w:r>
      <w:r w:rsidR="00466F89">
        <w:rPr>
          <w:snapToGrid w:val="0"/>
          <w:lang w:val="fr-FR"/>
        </w:rPr>
        <w:t>8</w:t>
      </w:r>
      <w:r>
        <w:rPr>
          <w:snapToGrid w:val="0"/>
          <w:lang w:val="fr-FR"/>
        </w:rPr>
        <w:t>.</w:t>
      </w:r>
      <w:r>
        <w:rPr>
          <w:snapToGrid w:val="0"/>
          <w:lang w:val="fr-FR"/>
        </w:rPr>
        <w:tab/>
        <w:t>La Direction</w:t>
      </w:r>
      <w:r w:rsidR="00572260">
        <w:rPr>
          <w:snapToGrid w:val="0"/>
          <w:lang w:val="fr-FR"/>
        </w:rPr>
        <w:t xml:space="preserve"> </w:t>
      </w:r>
      <w:r>
        <w:rPr>
          <w:snapToGrid w:val="0"/>
          <w:lang w:val="fr-FR"/>
        </w:rPr>
        <w:t>des établissements pénitentiaires pour adultes est en train d’élaborer un plan</w:t>
      </w:r>
      <w:r w:rsidR="00AA14A3">
        <w:rPr>
          <w:snapToGrid w:val="0"/>
          <w:lang w:val="fr-FR"/>
        </w:rPr>
        <w:t xml:space="preserve"> en vue de pouvoir héberger une population carcérale de 4 100 personnes</w:t>
      </w:r>
      <w:r w:rsidR="008D6B80">
        <w:rPr>
          <w:snapToGrid w:val="0"/>
          <w:lang w:val="fr-FR"/>
        </w:rPr>
        <w:t xml:space="preserve">. </w:t>
      </w:r>
      <w:r w:rsidR="00AA14A3">
        <w:rPr>
          <w:snapToGrid w:val="0"/>
          <w:lang w:val="fr-FR"/>
        </w:rPr>
        <w:t>Ce plan sera basé sur une évaluation des besoins en infrastructures, en personnel et autres.</w:t>
      </w:r>
    </w:p>
    <w:p w:rsidR="00AA14A3" w:rsidRDefault="00AA14A3"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39</w:t>
      </w:r>
      <w:r w:rsidR="00466F89">
        <w:rPr>
          <w:snapToGrid w:val="0"/>
          <w:lang w:val="fr-FR"/>
        </w:rPr>
        <w:t>9</w:t>
      </w:r>
      <w:r>
        <w:rPr>
          <w:snapToGrid w:val="0"/>
          <w:lang w:val="fr-FR"/>
        </w:rPr>
        <w:t>.</w:t>
      </w:r>
      <w:r>
        <w:rPr>
          <w:snapToGrid w:val="0"/>
          <w:lang w:val="fr-FR"/>
        </w:rPr>
        <w:tab/>
        <w:t xml:space="preserve">Le tableau ci-dessous fait apparaître le taux d’occupation des prisons pour adultes en </w:t>
      </w:r>
      <w:r w:rsidR="008E1139">
        <w:rPr>
          <w:snapToGrid w:val="0"/>
          <w:lang w:val="fr-FR"/>
        </w:rPr>
        <w:t>Australie occidentale</w:t>
      </w:r>
      <w:r>
        <w:rPr>
          <w:snapToGrid w:val="0"/>
          <w:lang w:val="fr-FR"/>
        </w:rPr>
        <w:t xml:space="preserve"> au 10 juin 2007.</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27"/>
        <w:gridCol w:w="1205"/>
        <w:gridCol w:w="1206"/>
        <w:gridCol w:w="1299"/>
        <w:gridCol w:w="1036"/>
        <w:gridCol w:w="1162"/>
        <w:gridCol w:w="1325"/>
      </w:tblGrid>
      <w:tr w:rsidR="008D5BAF" w:rsidRPr="00985370">
        <w:tblPrEx>
          <w:tblCellMar>
            <w:top w:w="0" w:type="dxa"/>
            <w:bottom w:w="0" w:type="dxa"/>
          </w:tblCellMar>
        </w:tblPrEx>
        <w:trPr>
          <w:cantSplit/>
          <w:trHeight w:val="340"/>
        </w:trPr>
        <w:tc>
          <w:tcPr>
            <w:tcW w:w="2127" w:type="dxa"/>
            <w:vMerge w:val="restart"/>
            <w:tcBorders>
              <w:top w:val="single" w:sz="4" w:space="0" w:color="auto"/>
              <w:left w:val="single" w:sz="4" w:space="0" w:color="auto"/>
              <w:bottom w:val="nil"/>
              <w:right w:val="single" w:sz="4" w:space="0" w:color="auto"/>
            </w:tcBorders>
            <w:shd w:val="clear" w:color="auto" w:fill="auto"/>
            <w:vAlign w:val="center"/>
          </w:tcPr>
          <w:p w:rsidR="008D5BAF" w:rsidRPr="00985370" w:rsidRDefault="008D5BAF" w:rsidP="005D7B68">
            <w:pPr>
              <w:keepNext/>
              <w:tabs>
                <w:tab w:val="left" w:pos="567"/>
                <w:tab w:val="left" w:pos="1134"/>
                <w:tab w:val="left" w:pos="1701"/>
                <w:tab w:val="left" w:pos="2268"/>
                <w:tab w:val="left" w:pos="2835"/>
              </w:tabs>
              <w:spacing w:before="20" w:after="20"/>
              <w:rPr>
                <w:rFonts w:cs="Arial"/>
                <w:b/>
                <w:bCs/>
                <w:sz w:val="22"/>
                <w:szCs w:val="22"/>
                <w:u w:val="single"/>
                <w:lang w:val="fr-FR"/>
              </w:rPr>
            </w:pP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Établissements fermés</w:t>
            </w: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C</w:t>
            </w:r>
            <w:r w:rsidR="008D5BAF" w:rsidRPr="00985370">
              <w:rPr>
                <w:rFonts w:cs="Arial"/>
                <w:bCs/>
                <w:sz w:val="22"/>
                <w:szCs w:val="22"/>
              </w:rPr>
              <w:t>amps</w:t>
            </w:r>
            <w:r w:rsidRPr="00985370">
              <w:rPr>
                <w:rFonts w:cs="Arial"/>
                <w:bCs/>
                <w:sz w:val="22"/>
                <w:szCs w:val="22"/>
              </w:rPr>
              <w:t xml:space="preserve"> de travail</w:t>
            </w:r>
          </w:p>
        </w:tc>
      </w:tr>
      <w:tr w:rsidR="008D5BAF" w:rsidRPr="00985370">
        <w:tblPrEx>
          <w:tblCellMar>
            <w:top w:w="0" w:type="dxa"/>
            <w:bottom w:w="0" w:type="dxa"/>
          </w:tblCellMar>
        </w:tblPrEx>
        <w:trPr>
          <w:cantSplit/>
          <w:trHeight w:val="425"/>
        </w:trPr>
        <w:tc>
          <w:tcPr>
            <w:tcW w:w="2127" w:type="dxa"/>
            <w:vMerge/>
            <w:tcBorders>
              <w:top w:val="nil"/>
              <w:left w:val="single" w:sz="4" w:space="0" w:color="auto"/>
              <w:bottom w:val="single" w:sz="4" w:space="0" w:color="auto"/>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rPr>
                <w:rFonts w:cs="Arial"/>
                <w:b/>
                <w:bCs/>
                <w:sz w:val="22"/>
                <w:szCs w:val="22"/>
                <w:u w:val="single"/>
              </w:rPr>
            </w:pPr>
          </w:p>
        </w:tc>
        <w:tc>
          <w:tcPr>
            <w:tcW w:w="1205"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Capacité</w:t>
            </w:r>
          </w:p>
        </w:tc>
        <w:tc>
          <w:tcPr>
            <w:tcW w:w="1206"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Nombre de détenus</w:t>
            </w:r>
          </w:p>
        </w:tc>
        <w:tc>
          <w:tcPr>
            <w:tcW w:w="1299"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 de remplissage</w:t>
            </w:r>
          </w:p>
        </w:tc>
        <w:tc>
          <w:tcPr>
            <w:tcW w:w="1036"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Capacité</w:t>
            </w:r>
          </w:p>
        </w:tc>
        <w:tc>
          <w:tcPr>
            <w:tcW w:w="1162"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Nombre de détenus</w:t>
            </w:r>
          </w:p>
        </w:tc>
        <w:tc>
          <w:tcPr>
            <w:tcW w:w="1325" w:type="dxa"/>
            <w:tcBorders>
              <w:top w:val="single" w:sz="4" w:space="0" w:color="auto"/>
              <w:left w:val="single" w:sz="4" w:space="0" w:color="auto"/>
              <w:bottom w:val="single" w:sz="4" w:space="0" w:color="auto"/>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jc w:val="center"/>
              <w:rPr>
                <w:rFonts w:cs="Arial"/>
                <w:bCs/>
                <w:sz w:val="22"/>
                <w:szCs w:val="22"/>
              </w:rPr>
            </w:pPr>
            <w:r w:rsidRPr="00985370">
              <w:rPr>
                <w:rFonts w:cs="Arial"/>
                <w:bCs/>
                <w:sz w:val="22"/>
                <w:szCs w:val="22"/>
              </w:rPr>
              <w:t>% de remplissage</w:t>
            </w:r>
          </w:p>
        </w:tc>
      </w:tr>
      <w:tr w:rsidR="008D5BAF" w:rsidRPr="00985370">
        <w:tblPrEx>
          <w:tblCellMar>
            <w:top w:w="0" w:type="dxa"/>
            <w:bottom w:w="0" w:type="dxa"/>
          </w:tblCellMar>
        </w:tblPrEx>
        <w:trPr>
          <w:trHeight w:val="276"/>
        </w:trPr>
        <w:tc>
          <w:tcPr>
            <w:tcW w:w="2127" w:type="dxa"/>
            <w:tcBorders>
              <w:top w:val="single" w:sz="4" w:space="0" w:color="auto"/>
              <w:left w:val="single" w:sz="4" w:space="0" w:color="auto"/>
              <w:bottom w:val="nil"/>
              <w:right w:val="single" w:sz="4" w:space="0" w:color="auto"/>
            </w:tcBorders>
            <w:vAlign w:val="center"/>
          </w:tcPr>
          <w:p w:rsidR="008D5BAF" w:rsidRPr="00985370" w:rsidRDefault="00B76303" w:rsidP="005D7B68">
            <w:pPr>
              <w:keepNext/>
              <w:tabs>
                <w:tab w:val="left" w:pos="567"/>
                <w:tab w:val="left" w:pos="1134"/>
                <w:tab w:val="left" w:pos="1701"/>
                <w:tab w:val="left" w:pos="2268"/>
                <w:tab w:val="left" w:pos="2835"/>
              </w:tabs>
              <w:spacing w:before="20" w:after="20"/>
              <w:rPr>
                <w:rFonts w:cs="Arial"/>
                <w:b/>
                <w:bCs/>
                <w:sz w:val="22"/>
                <w:szCs w:val="22"/>
              </w:rPr>
            </w:pPr>
            <w:r w:rsidRPr="00985370">
              <w:rPr>
                <w:rFonts w:cs="Arial"/>
                <w:b/>
                <w:bCs/>
                <w:sz w:val="22"/>
                <w:szCs w:val="22"/>
              </w:rPr>
              <w:t>Total pour l’État</w:t>
            </w:r>
            <w:r w:rsidR="008D5BAF" w:rsidRPr="00985370">
              <w:rPr>
                <w:rFonts w:cs="Arial"/>
                <w:b/>
                <w:bCs/>
                <w:i/>
                <w:iCs/>
                <w:sz w:val="22"/>
                <w:szCs w:val="22"/>
                <w:vertAlign w:val="superscript"/>
              </w:rPr>
              <w:t>1</w:t>
            </w:r>
          </w:p>
        </w:tc>
        <w:tc>
          <w:tcPr>
            <w:tcW w:w="1205" w:type="dxa"/>
            <w:tcBorders>
              <w:top w:val="single" w:sz="4" w:space="0" w:color="auto"/>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3 261</w:t>
            </w:r>
          </w:p>
        </w:tc>
        <w:tc>
          <w:tcPr>
            <w:tcW w:w="1206" w:type="dxa"/>
            <w:tcBorders>
              <w:top w:val="single" w:sz="4" w:space="0" w:color="auto"/>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bCs/>
                <w:sz w:val="22"/>
                <w:szCs w:val="22"/>
              </w:rPr>
            </w:pPr>
            <w:r w:rsidRPr="00985370">
              <w:rPr>
                <w:rFonts w:cs="Arial"/>
                <w:bCs/>
                <w:sz w:val="22"/>
                <w:szCs w:val="22"/>
              </w:rPr>
              <w:t>3 726</w:t>
            </w:r>
          </w:p>
        </w:tc>
        <w:tc>
          <w:tcPr>
            <w:tcW w:w="1299" w:type="dxa"/>
            <w:tcBorders>
              <w:top w:val="single" w:sz="4" w:space="0" w:color="auto"/>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13"/>
              <w:jc w:val="right"/>
              <w:rPr>
                <w:rFonts w:cs="Arial"/>
                <w:bCs/>
                <w:sz w:val="22"/>
                <w:szCs w:val="22"/>
              </w:rPr>
            </w:pPr>
            <w:r w:rsidRPr="00985370">
              <w:rPr>
                <w:rFonts w:cs="Arial"/>
                <w:bCs/>
                <w:sz w:val="22"/>
                <w:szCs w:val="22"/>
              </w:rPr>
              <w:t>114</w:t>
            </w:r>
            <w:r w:rsidR="00B76303" w:rsidRPr="00985370">
              <w:rPr>
                <w:rFonts w:cs="Arial"/>
                <w:bCs/>
                <w:sz w:val="22"/>
                <w:szCs w:val="22"/>
              </w:rPr>
              <w:t>,</w:t>
            </w:r>
            <w:r w:rsidRPr="00985370">
              <w:rPr>
                <w:rFonts w:cs="Arial"/>
                <w:bCs/>
                <w:sz w:val="22"/>
                <w:szCs w:val="22"/>
              </w:rPr>
              <w:t>3</w:t>
            </w:r>
          </w:p>
        </w:tc>
        <w:tc>
          <w:tcPr>
            <w:tcW w:w="1036" w:type="dxa"/>
            <w:tcBorders>
              <w:top w:val="single" w:sz="4" w:space="0" w:color="auto"/>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70"/>
              <w:jc w:val="right"/>
              <w:rPr>
                <w:rFonts w:cs="Arial"/>
                <w:bCs/>
                <w:sz w:val="22"/>
                <w:szCs w:val="22"/>
              </w:rPr>
            </w:pPr>
            <w:r w:rsidRPr="00985370">
              <w:rPr>
                <w:rFonts w:cs="Arial"/>
                <w:bCs/>
                <w:sz w:val="22"/>
                <w:szCs w:val="22"/>
              </w:rPr>
              <w:t>122</w:t>
            </w:r>
          </w:p>
        </w:tc>
        <w:tc>
          <w:tcPr>
            <w:tcW w:w="1162" w:type="dxa"/>
            <w:tcBorders>
              <w:top w:val="single" w:sz="4" w:space="0" w:color="auto"/>
              <w:left w:val="single" w:sz="4" w:space="0" w:color="auto"/>
              <w:bottom w:val="nil"/>
              <w:right w:val="single" w:sz="4" w:space="0" w:color="auto"/>
            </w:tcBorders>
            <w:vAlign w:val="center"/>
          </w:tcPr>
          <w:p w:rsidR="008D5BAF" w:rsidRPr="00985370" w:rsidRDefault="008D5BAF" w:rsidP="005D7B68">
            <w:pPr>
              <w:keepNext/>
              <w:tabs>
                <w:tab w:val="left" w:pos="567"/>
                <w:tab w:val="left" w:pos="852"/>
                <w:tab w:val="left" w:pos="1134"/>
                <w:tab w:val="left" w:pos="1701"/>
                <w:tab w:val="left" w:pos="2268"/>
                <w:tab w:val="left" w:pos="2835"/>
              </w:tabs>
              <w:spacing w:before="20" w:after="20"/>
              <w:ind w:right="163" w:firstLine="11"/>
              <w:jc w:val="right"/>
              <w:rPr>
                <w:rFonts w:cs="Arial"/>
                <w:bCs/>
                <w:sz w:val="22"/>
                <w:szCs w:val="22"/>
              </w:rPr>
            </w:pPr>
            <w:r w:rsidRPr="00985370">
              <w:rPr>
                <w:rFonts w:cs="Arial"/>
                <w:bCs/>
                <w:sz w:val="22"/>
                <w:szCs w:val="22"/>
              </w:rPr>
              <w:t>84</w:t>
            </w:r>
          </w:p>
        </w:tc>
        <w:tc>
          <w:tcPr>
            <w:tcW w:w="1325" w:type="dxa"/>
            <w:tcBorders>
              <w:top w:val="single" w:sz="4" w:space="0" w:color="auto"/>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70"/>
              <w:jc w:val="right"/>
              <w:rPr>
                <w:rFonts w:cs="Arial"/>
                <w:bCs/>
                <w:sz w:val="22"/>
                <w:szCs w:val="22"/>
              </w:rPr>
            </w:pPr>
            <w:r w:rsidRPr="00985370">
              <w:rPr>
                <w:rFonts w:cs="Arial"/>
                <w:bCs/>
                <w:sz w:val="22"/>
                <w:szCs w:val="22"/>
              </w:rPr>
              <w:t>68</w:t>
            </w:r>
            <w:r w:rsidR="00B76303" w:rsidRPr="00985370">
              <w:rPr>
                <w:rFonts w:cs="Arial"/>
                <w:bCs/>
                <w:sz w:val="22"/>
                <w:szCs w:val="22"/>
              </w:rPr>
              <w:t>,</w:t>
            </w:r>
            <w:r w:rsidRPr="00985370">
              <w:rPr>
                <w:rFonts w:cs="Arial"/>
                <w:bCs/>
                <w:sz w:val="22"/>
                <w:szCs w:val="22"/>
              </w:rPr>
              <w:t>9</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keepNext/>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Acacia</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750</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783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104</w:t>
            </w:r>
            <w:r w:rsidR="00B76303" w:rsidRPr="00985370">
              <w:rPr>
                <w:rFonts w:cs="Arial"/>
                <w:sz w:val="22"/>
                <w:szCs w:val="22"/>
              </w:rPr>
              <w:t>,</w:t>
            </w:r>
            <w:r w:rsidRPr="00985370">
              <w:rPr>
                <w:rFonts w:cs="Arial"/>
                <w:sz w:val="22"/>
                <w:szCs w:val="22"/>
              </w:rPr>
              <w:t>4</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keepNext/>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keepNext/>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smartTag w:uri="urn:schemas-microsoft-com:office:smarttags" w:element="place">
              <w:smartTag w:uri="urn:schemas-microsoft-com:office:smarttags" w:element="City">
                <w:r w:rsidR="008D5BAF" w:rsidRPr="00985370">
                  <w:rPr>
                    <w:rFonts w:cs="Arial"/>
                    <w:sz w:val="22"/>
                    <w:szCs w:val="22"/>
                  </w:rPr>
                  <w:t>Albany</w:t>
                </w:r>
              </w:smartTag>
            </w:smartTag>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186</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203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109</w:t>
            </w:r>
            <w:r w:rsidR="00B76303" w:rsidRPr="00985370">
              <w:rPr>
                <w:rFonts w:cs="Arial"/>
                <w:sz w:val="22"/>
                <w:szCs w:val="22"/>
              </w:rPr>
              <w:t>,</w:t>
            </w:r>
            <w:r w:rsidRPr="00985370">
              <w:rPr>
                <w:rFonts w:cs="Arial"/>
                <w:sz w:val="22"/>
                <w:szCs w:val="22"/>
              </w:rPr>
              <w:t>1</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284"/>
              <w:jc w:val="right"/>
              <w:rPr>
                <w:rFonts w:cs="Arial"/>
                <w:sz w:val="22"/>
                <w:szCs w:val="22"/>
              </w:rPr>
            </w:pPr>
            <w:r w:rsidRPr="00985370">
              <w:rPr>
                <w:rFonts w:cs="Arial"/>
                <w:sz w:val="22"/>
                <w:szCs w:val="22"/>
              </w:rPr>
              <w:t>32</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18</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56</w:t>
            </w:r>
            <w:r w:rsidR="00B76303" w:rsidRPr="00985370">
              <w:rPr>
                <w:rFonts w:cs="Arial"/>
                <w:sz w:val="22"/>
                <w:szCs w:val="22"/>
              </w:rPr>
              <w:t>,</w:t>
            </w:r>
            <w:r w:rsidRPr="00985370">
              <w:rPr>
                <w:rFonts w:cs="Arial"/>
                <w:sz w:val="22"/>
                <w:szCs w:val="22"/>
              </w:rPr>
              <w:t>3</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Bandyup</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147</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201</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136</w:t>
            </w:r>
            <w:r w:rsidR="00B76303" w:rsidRPr="00985370">
              <w:rPr>
                <w:rFonts w:cs="Arial"/>
                <w:sz w:val="22"/>
                <w:szCs w:val="22"/>
              </w:rPr>
              <w:t>,</w:t>
            </w:r>
            <w:r w:rsidRPr="00985370">
              <w:rPr>
                <w:rFonts w:cs="Arial"/>
                <w:sz w:val="22"/>
                <w:szCs w:val="22"/>
              </w:rPr>
              <w:t>7</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Boronia</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70</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54</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firstLine="340"/>
              <w:jc w:val="right"/>
              <w:rPr>
                <w:rFonts w:cs="Arial"/>
                <w:sz w:val="22"/>
                <w:szCs w:val="22"/>
              </w:rPr>
            </w:pPr>
            <w:r w:rsidRPr="00985370">
              <w:rPr>
                <w:rFonts w:cs="Arial"/>
                <w:sz w:val="22"/>
                <w:szCs w:val="22"/>
              </w:rPr>
              <w:t>77</w:t>
            </w:r>
            <w:r w:rsidR="00B76303" w:rsidRPr="00985370">
              <w:rPr>
                <w:rFonts w:cs="Arial"/>
                <w:sz w:val="22"/>
                <w:szCs w:val="22"/>
              </w:rPr>
              <w:t>,</w:t>
            </w:r>
            <w:r w:rsidRPr="00985370">
              <w:rPr>
                <w:rFonts w:cs="Arial"/>
                <w:sz w:val="22"/>
                <w:szCs w:val="22"/>
              </w:rPr>
              <w:t>1</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Broome</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66</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117</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177</w:t>
            </w:r>
            <w:r w:rsidR="00B76303" w:rsidRPr="00985370">
              <w:rPr>
                <w:rFonts w:cs="Arial"/>
                <w:sz w:val="22"/>
                <w:szCs w:val="22"/>
              </w:rPr>
              <w:t>,</w:t>
            </w:r>
            <w:r w:rsidRPr="00985370">
              <w:rPr>
                <w:rFonts w:cs="Arial"/>
                <w:sz w:val="22"/>
                <w:szCs w:val="22"/>
              </w:rPr>
              <w:t>3</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284"/>
              <w:jc w:val="right"/>
              <w:rPr>
                <w:rFonts w:cs="Arial"/>
                <w:sz w:val="22"/>
                <w:szCs w:val="22"/>
              </w:rPr>
            </w:pPr>
            <w:r w:rsidRPr="00985370">
              <w:rPr>
                <w:rFonts w:cs="Arial"/>
                <w:sz w:val="22"/>
                <w:szCs w:val="22"/>
              </w:rPr>
              <w:t>46</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36</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78</w:t>
            </w:r>
            <w:r w:rsidR="00B76303" w:rsidRPr="00985370">
              <w:rPr>
                <w:rFonts w:cs="Arial"/>
                <w:sz w:val="22"/>
                <w:szCs w:val="22"/>
              </w:rPr>
              <w:t>,</w:t>
            </w:r>
            <w:r w:rsidRPr="00985370">
              <w:rPr>
                <w:rFonts w:cs="Arial"/>
                <w:sz w:val="22"/>
                <w:szCs w:val="22"/>
              </w:rPr>
              <w:t>3</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Bunbury</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188</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203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108</w:t>
            </w:r>
            <w:r w:rsidR="00B76303" w:rsidRPr="00985370">
              <w:rPr>
                <w:rFonts w:cs="Arial"/>
                <w:sz w:val="22"/>
                <w:szCs w:val="22"/>
              </w:rPr>
              <w:t>,</w:t>
            </w:r>
            <w:r w:rsidRPr="00985370">
              <w:rPr>
                <w:rFonts w:cs="Arial"/>
                <w:sz w:val="22"/>
                <w:szCs w:val="22"/>
              </w:rPr>
              <w:t>0</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rPr>
          <w:trHeight w:val="197"/>
        </w:trPr>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Casuarina</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397</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563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141</w:t>
            </w:r>
            <w:r w:rsidR="00B76303" w:rsidRPr="00985370">
              <w:rPr>
                <w:rFonts w:cs="Arial"/>
                <w:sz w:val="22"/>
                <w:szCs w:val="22"/>
              </w:rPr>
              <w:t>,</w:t>
            </w:r>
            <w:r w:rsidRPr="00985370">
              <w:rPr>
                <w:rFonts w:cs="Arial"/>
                <w:sz w:val="22"/>
                <w:szCs w:val="22"/>
              </w:rPr>
              <w:t>8</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Eastern Goldfields</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100</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103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103</w:t>
            </w:r>
            <w:r w:rsidR="00B76303" w:rsidRPr="00985370">
              <w:rPr>
                <w:rFonts w:cs="Arial"/>
                <w:sz w:val="22"/>
                <w:szCs w:val="22"/>
              </w:rPr>
              <w:t>,</w:t>
            </w:r>
            <w:r w:rsidRPr="00985370">
              <w:rPr>
                <w:rFonts w:cs="Arial"/>
                <w:sz w:val="22"/>
                <w:szCs w:val="22"/>
              </w:rPr>
              <w:t>0</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284"/>
              <w:jc w:val="right"/>
              <w:rPr>
                <w:rFonts w:cs="Arial"/>
                <w:sz w:val="22"/>
                <w:szCs w:val="22"/>
              </w:rPr>
            </w:pPr>
            <w:r w:rsidRPr="00985370">
              <w:rPr>
                <w:rFonts w:cs="Arial"/>
                <w:sz w:val="22"/>
                <w:szCs w:val="22"/>
              </w:rPr>
              <w:t>24</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12</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50</w:t>
            </w:r>
            <w:r w:rsidR="00B76303" w:rsidRPr="00985370">
              <w:rPr>
                <w:rFonts w:cs="Arial"/>
                <w:sz w:val="22"/>
                <w:szCs w:val="22"/>
              </w:rPr>
              <w:t>,</w:t>
            </w:r>
            <w:r w:rsidRPr="00985370">
              <w:rPr>
                <w:rFonts w:cs="Arial"/>
                <w:sz w:val="22"/>
                <w:szCs w:val="22"/>
              </w:rPr>
              <w:t>0</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Greenough</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219</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233</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106</w:t>
            </w:r>
            <w:r w:rsidR="00B76303" w:rsidRPr="00985370">
              <w:rPr>
                <w:rFonts w:cs="Arial"/>
                <w:sz w:val="22"/>
                <w:szCs w:val="22"/>
              </w:rPr>
              <w:t>,</w:t>
            </w:r>
            <w:r w:rsidRPr="00985370">
              <w:rPr>
                <w:rFonts w:cs="Arial"/>
                <w:sz w:val="22"/>
                <w:szCs w:val="22"/>
              </w:rPr>
              <w:t>4</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Hakea</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617</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736</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119</w:t>
            </w:r>
            <w:r w:rsidR="00B76303" w:rsidRPr="00985370">
              <w:rPr>
                <w:rFonts w:cs="Arial"/>
                <w:sz w:val="22"/>
                <w:szCs w:val="22"/>
              </w:rPr>
              <w:t>,</w:t>
            </w:r>
            <w:r w:rsidRPr="00985370">
              <w:rPr>
                <w:rFonts w:cs="Arial"/>
                <w:sz w:val="22"/>
                <w:szCs w:val="22"/>
              </w:rPr>
              <w:t>3</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Karnet</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174</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174</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100</w:t>
            </w:r>
            <w:r w:rsidR="00B76303" w:rsidRPr="00985370">
              <w:rPr>
                <w:rFonts w:cs="Arial"/>
                <w:sz w:val="22"/>
                <w:szCs w:val="22"/>
              </w:rPr>
              <w:t>,</w:t>
            </w:r>
            <w:r w:rsidRPr="00985370">
              <w:rPr>
                <w:rFonts w:cs="Arial"/>
                <w:sz w:val="22"/>
                <w:szCs w:val="22"/>
              </w:rPr>
              <w:t>0</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w:t>
            </w:r>
          </w:p>
        </w:tc>
      </w:tr>
      <w:tr w:rsidR="008D5BAF" w:rsidRPr="00985370">
        <w:tblPrEx>
          <w:tblCellMar>
            <w:top w:w="0" w:type="dxa"/>
            <w:bottom w:w="0" w:type="dxa"/>
          </w:tblCellMar>
        </w:tblPrEx>
        <w:tc>
          <w:tcPr>
            <w:tcW w:w="2127" w:type="dxa"/>
            <w:tcBorders>
              <w:top w:val="nil"/>
              <w:left w:val="single" w:sz="4" w:space="0" w:color="auto"/>
              <w:bottom w:val="nil"/>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Roebourne</w:t>
            </w:r>
          </w:p>
        </w:tc>
        <w:tc>
          <w:tcPr>
            <w:tcW w:w="120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116</w:t>
            </w:r>
          </w:p>
        </w:tc>
        <w:tc>
          <w:tcPr>
            <w:tcW w:w="120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149</w:t>
            </w:r>
          </w:p>
        </w:tc>
        <w:tc>
          <w:tcPr>
            <w:tcW w:w="1299"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jc w:val="right"/>
              <w:rPr>
                <w:rFonts w:cs="Arial"/>
                <w:sz w:val="22"/>
                <w:szCs w:val="22"/>
              </w:rPr>
            </w:pPr>
            <w:r w:rsidRPr="00985370">
              <w:rPr>
                <w:rFonts w:cs="Arial"/>
                <w:sz w:val="22"/>
                <w:szCs w:val="22"/>
              </w:rPr>
              <w:t>128</w:t>
            </w:r>
            <w:r w:rsidR="00B76303" w:rsidRPr="00985370">
              <w:rPr>
                <w:rFonts w:cs="Arial"/>
                <w:sz w:val="22"/>
                <w:szCs w:val="22"/>
              </w:rPr>
              <w:t>,</w:t>
            </w:r>
            <w:r w:rsidRPr="00985370">
              <w:rPr>
                <w:rFonts w:cs="Arial"/>
                <w:sz w:val="22"/>
                <w:szCs w:val="22"/>
              </w:rPr>
              <w:t>4</w:t>
            </w:r>
          </w:p>
        </w:tc>
        <w:tc>
          <w:tcPr>
            <w:tcW w:w="1036"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394"/>
              <w:jc w:val="right"/>
              <w:rPr>
                <w:rFonts w:cs="Arial"/>
                <w:sz w:val="22"/>
                <w:szCs w:val="22"/>
              </w:rPr>
            </w:pPr>
            <w:r w:rsidRPr="00985370">
              <w:rPr>
                <w:rFonts w:cs="Arial"/>
                <w:sz w:val="22"/>
                <w:szCs w:val="22"/>
              </w:rPr>
              <w:t>8</w:t>
            </w:r>
          </w:p>
        </w:tc>
        <w:tc>
          <w:tcPr>
            <w:tcW w:w="1162"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8</w:t>
            </w:r>
          </w:p>
        </w:tc>
        <w:tc>
          <w:tcPr>
            <w:tcW w:w="1325" w:type="dxa"/>
            <w:tcBorders>
              <w:top w:val="nil"/>
              <w:left w:val="single" w:sz="4" w:space="0" w:color="auto"/>
              <w:bottom w:val="nil"/>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100</w:t>
            </w:r>
            <w:r w:rsidR="00B76303" w:rsidRPr="00985370">
              <w:rPr>
                <w:rFonts w:cs="Arial"/>
                <w:sz w:val="22"/>
                <w:szCs w:val="22"/>
              </w:rPr>
              <w:t>,</w:t>
            </w:r>
            <w:r w:rsidRPr="00985370">
              <w:rPr>
                <w:rFonts w:cs="Arial"/>
                <w:sz w:val="22"/>
                <w:szCs w:val="22"/>
              </w:rPr>
              <w:t>0</w:t>
            </w:r>
          </w:p>
        </w:tc>
      </w:tr>
      <w:tr w:rsidR="008D5BAF" w:rsidRPr="00985370">
        <w:tblPrEx>
          <w:tblCellMar>
            <w:top w:w="0" w:type="dxa"/>
            <w:bottom w:w="0" w:type="dxa"/>
          </w:tblCellMar>
        </w:tblPrEx>
        <w:tc>
          <w:tcPr>
            <w:tcW w:w="2127" w:type="dxa"/>
            <w:tcBorders>
              <w:top w:val="nil"/>
              <w:left w:val="single" w:sz="4" w:space="0" w:color="auto"/>
              <w:bottom w:val="single" w:sz="4" w:space="0" w:color="auto"/>
              <w:right w:val="single" w:sz="4" w:space="0" w:color="auto"/>
            </w:tcBorders>
            <w:vAlign w:val="center"/>
          </w:tcPr>
          <w:p w:rsidR="008D5BAF" w:rsidRPr="00985370" w:rsidRDefault="00572260" w:rsidP="005D7B68">
            <w:pPr>
              <w:tabs>
                <w:tab w:val="left" w:pos="567"/>
                <w:tab w:val="left" w:pos="1134"/>
                <w:tab w:val="left" w:pos="1701"/>
                <w:tab w:val="left" w:pos="2268"/>
                <w:tab w:val="left" w:pos="2835"/>
              </w:tabs>
              <w:spacing w:before="20" w:after="20"/>
              <w:rPr>
                <w:rFonts w:cs="Arial"/>
                <w:sz w:val="22"/>
                <w:szCs w:val="22"/>
              </w:rPr>
            </w:pPr>
            <w:r w:rsidRPr="00985370">
              <w:rPr>
                <w:rFonts w:cs="Arial"/>
                <w:sz w:val="22"/>
                <w:szCs w:val="22"/>
              </w:rPr>
              <w:t xml:space="preserve"> </w:t>
            </w:r>
            <w:r w:rsidR="008D5BAF" w:rsidRPr="00985370">
              <w:rPr>
                <w:rFonts w:cs="Arial"/>
                <w:sz w:val="22"/>
                <w:szCs w:val="22"/>
              </w:rPr>
              <w:t>Wooroloo</w:t>
            </w:r>
          </w:p>
        </w:tc>
        <w:tc>
          <w:tcPr>
            <w:tcW w:w="1205"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231</w:t>
            </w:r>
          </w:p>
        </w:tc>
        <w:tc>
          <w:tcPr>
            <w:tcW w:w="1206"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880"/>
                <w:tab w:val="left" w:pos="1134"/>
                <w:tab w:val="left" w:pos="1701"/>
                <w:tab w:val="left" w:pos="2268"/>
                <w:tab w:val="left" w:pos="2835"/>
              </w:tabs>
              <w:spacing w:before="20" w:after="20"/>
              <w:ind w:right="110" w:hanging="1460"/>
              <w:jc w:val="right"/>
              <w:rPr>
                <w:rFonts w:cs="Arial"/>
                <w:sz w:val="22"/>
                <w:szCs w:val="22"/>
              </w:rPr>
            </w:pPr>
            <w:r w:rsidRPr="00985370">
              <w:rPr>
                <w:rFonts w:cs="Arial"/>
                <w:sz w:val="22"/>
                <w:szCs w:val="22"/>
              </w:rPr>
              <w:t>207</w:t>
            </w:r>
          </w:p>
        </w:tc>
        <w:tc>
          <w:tcPr>
            <w:tcW w:w="1299"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13" w:firstLine="312"/>
              <w:jc w:val="right"/>
              <w:rPr>
                <w:rFonts w:cs="Arial"/>
                <w:sz w:val="22"/>
                <w:szCs w:val="22"/>
              </w:rPr>
            </w:pPr>
            <w:r w:rsidRPr="00985370">
              <w:rPr>
                <w:rFonts w:cs="Arial"/>
                <w:sz w:val="22"/>
                <w:szCs w:val="22"/>
              </w:rPr>
              <w:t>89</w:t>
            </w:r>
            <w:r w:rsidR="00B76303" w:rsidRPr="00985370">
              <w:rPr>
                <w:rFonts w:cs="Arial"/>
                <w:sz w:val="22"/>
                <w:szCs w:val="22"/>
              </w:rPr>
              <w:t>,</w:t>
            </w:r>
            <w:r w:rsidRPr="00985370">
              <w:rPr>
                <w:rFonts w:cs="Arial"/>
                <w:sz w:val="22"/>
                <w:szCs w:val="22"/>
              </w:rPr>
              <w:t>6</w:t>
            </w:r>
          </w:p>
        </w:tc>
        <w:tc>
          <w:tcPr>
            <w:tcW w:w="1036"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firstLine="284"/>
              <w:jc w:val="right"/>
              <w:rPr>
                <w:rFonts w:cs="Arial"/>
                <w:sz w:val="22"/>
                <w:szCs w:val="22"/>
              </w:rPr>
            </w:pPr>
            <w:r w:rsidRPr="00985370">
              <w:rPr>
                <w:rFonts w:cs="Arial"/>
                <w:sz w:val="22"/>
                <w:szCs w:val="22"/>
              </w:rPr>
              <w:t>12</w:t>
            </w:r>
          </w:p>
        </w:tc>
        <w:tc>
          <w:tcPr>
            <w:tcW w:w="1162"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852"/>
                <w:tab w:val="left" w:pos="1134"/>
                <w:tab w:val="left" w:pos="1701"/>
                <w:tab w:val="left" w:pos="2268"/>
                <w:tab w:val="left" w:pos="2835"/>
              </w:tabs>
              <w:spacing w:before="20" w:after="20"/>
              <w:ind w:right="163" w:firstLine="11"/>
              <w:jc w:val="right"/>
              <w:rPr>
                <w:rFonts w:cs="Arial"/>
                <w:sz w:val="22"/>
                <w:szCs w:val="22"/>
              </w:rPr>
            </w:pPr>
            <w:r w:rsidRPr="00985370">
              <w:rPr>
                <w:rFonts w:cs="Arial"/>
                <w:sz w:val="22"/>
                <w:szCs w:val="22"/>
              </w:rPr>
              <w:t>10</w:t>
            </w:r>
          </w:p>
        </w:tc>
        <w:tc>
          <w:tcPr>
            <w:tcW w:w="1325" w:type="dxa"/>
            <w:tcBorders>
              <w:top w:val="nil"/>
              <w:left w:val="single" w:sz="4" w:space="0" w:color="auto"/>
              <w:bottom w:val="single" w:sz="4" w:space="0" w:color="auto"/>
              <w:right w:val="single" w:sz="4" w:space="0" w:color="auto"/>
            </w:tcBorders>
            <w:vAlign w:val="center"/>
          </w:tcPr>
          <w:p w:rsidR="008D5BAF" w:rsidRPr="00985370" w:rsidRDefault="008D5BAF" w:rsidP="005D7B68">
            <w:pPr>
              <w:tabs>
                <w:tab w:val="left" w:pos="567"/>
                <w:tab w:val="left" w:pos="1134"/>
                <w:tab w:val="left" w:pos="1701"/>
                <w:tab w:val="left" w:pos="2268"/>
                <w:tab w:val="left" w:pos="2835"/>
              </w:tabs>
              <w:spacing w:before="20" w:after="20"/>
              <w:ind w:right="170"/>
              <w:jc w:val="right"/>
              <w:rPr>
                <w:rFonts w:cs="Arial"/>
                <w:sz w:val="22"/>
                <w:szCs w:val="22"/>
              </w:rPr>
            </w:pPr>
            <w:r w:rsidRPr="00985370">
              <w:rPr>
                <w:rFonts w:cs="Arial"/>
                <w:sz w:val="22"/>
                <w:szCs w:val="22"/>
              </w:rPr>
              <w:t>83</w:t>
            </w:r>
            <w:r w:rsidR="00B76303" w:rsidRPr="00985370">
              <w:rPr>
                <w:rFonts w:cs="Arial"/>
                <w:sz w:val="22"/>
                <w:szCs w:val="22"/>
              </w:rPr>
              <w:t>,</w:t>
            </w:r>
            <w:r w:rsidRPr="00985370">
              <w:rPr>
                <w:rFonts w:cs="Arial"/>
                <w:sz w:val="22"/>
                <w:szCs w:val="22"/>
              </w:rPr>
              <w:t>3</w:t>
            </w:r>
          </w:p>
        </w:tc>
      </w:tr>
    </w:tbl>
    <w:p w:rsidR="008D5BAF" w:rsidRDefault="008D5BAF" w:rsidP="005D7B68">
      <w:pPr>
        <w:tabs>
          <w:tab w:val="left" w:pos="567"/>
          <w:tab w:val="left" w:pos="1134"/>
          <w:tab w:val="left" w:pos="1701"/>
          <w:tab w:val="left" w:pos="2268"/>
          <w:tab w:val="left" w:pos="2835"/>
        </w:tabs>
        <w:spacing w:before="240"/>
        <w:rPr>
          <w:lang w:val="fr-FR"/>
        </w:rPr>
      </w:pPr>
      <w:r w:rsidRPr="00985370">
        <w:rPr>
          <w:b/>
          <w:i/>
          <w:iCs/>
          <w:vertAlign w:val="superscript"/>
          <w:lang w:val="fr-FR"/>
        </w:rPr>
        <w:t>1</w:t>
      </w:r>
      <w:r w:rsidR="00572260">
        <w:rPr>
          <w:lang w:val="fr-FR"/>
        </w:rPr>
        <w:t xml:space="preserve"> </w:t>
      </w:r>
      <w:r w:rsidR="00B76303" w:rsidRPr="00754489">
        <w:rPr>
          <w:lang w:val="fr-FR"/>
        </w:rPr>
        <w:t>Veuillez noter que</w:t>
      </w:r>
      <w:r w:rsidR="00754489" w:rsidRPr="00754489">
        <w:rPr>
          <w:lang w:val="fr-FR"/>
        </w:rPr>
        <w:t xml:space="preserve"> 20 personnes placées dans des locaux de garde vue </w:t>
      </w:r>
      <w:r w:rsidR="00754489">
        <w:rPr>
          <w:lang w:val="fr-FR"/>
        </w:rPr>
        <w:t>ou détenues en hôpital au moment du recensement ne sont pas prises en compte dans ces statistiques</w:t>
      </w:r>
      <w:r w:rsidRPr="00754489">
        <w:rPr>
          <w:lang w:val="fr-FR"/>
        </w:rPr>
        <w:t>.</w:t>
      </w:r>
    </w:p>
    <w:p w:rsidR="00754489" w:rsidRDefault="00754489" w:rsidP="005D7B68">
      <w:pPr>
        <w:tabs>
          <w:tab w:val="left" w:pos="567"/>
          <w:tab w:val="left" w:pos="1134"/>
          <w:tab w:val="left" w:pos="1701"/>
          <w:tab w:val="left" w:pos="2268"/>
          <w:tab w:val="left" w:pos="2835"/>
        </w:tabs>
        <w:spacing w:before="240"/>
        <w:rPr>
          <w:b/>
          <w:bCs/>
          <w:lang w:val="fr-FR"/>
        </w:rPr>
      </w:pPr>
      <w:r>
        <w:rPr>
          <w:b/>
          <w:bCs/>
          <w:lang w:val="fr-FR"/>
        </w:rPr>
        <w:t>Mineurs</w:t>
      </w:r>
    </w:p>
    <w:p w:rsidR="00754489" w:rsidRDefault="00466F89" w:rsidP="005D7B68">
      <w:pPr>
        <w:tabs>
          <w:tab w:val="left" w:pos="567"/>
          <w:tab w:val="left" w:pos="1134"/>
          <w:tab w:val="left" w:pos="1701"/>
          <w:tab w:val="left" w:pos="2268"/>
          <w:tab w:val="left" w:pos="2835"/>
        </w:tabs>
        <w:spacing w:before="240"/>
        <w:rPr>
          <w:lang w:val="fr-FR"/>
        </w:rPr>
      </w:pPr>
      <w:r>
        <w:rPr>
          <w:lang w:val="fr-FR"/>
        </w:rPr>
        <w:t>400</w:t>
      </w:r>
      <w:r w:rsidR="00754489">
        <w:rPr>
          <w:lang w:val="fr-FR"/>
        </w:rPr>
        <w:t>.</w:t>
      </w:r>
      <w:r w:rsidR="00754489">
        <w:rPr>
          <w:lang w:val="fr-FR"/>
        </w:rPr>
        <w:tab/>
        <w:t>Il y a deux centres de détention pour mineurs e</w:t>
      </w:r>
      <w:r w:rsidR="003A5B65">
        <w:rPr>
          <w:lang w:val="fr-FR"/>
        </w:rPr>
        <w:t xml:space="preserve">n </w:t>
      </w:r>
      <w:r w:rsidR="008E1139">
        <w:rPr>
          <w:lang w:val="fr-FR"/>
        </w:rPr>
        <w:t>Australie occidentale</w:t>
      </w:r>
      <w:r w:rsidR="003A5B65">
        <w:rPr>
          <w:lang w:val="fr-FR"/>
        </w:rPr>
        <w:t>. Celui</w:t>
      </w:r>
      <w:r w:rsidR="00754489">
        <w:rPr>
          <w:lang w:val="fr-FR"/>
        </w:rPr>
        <w:t xml:space="preserve"> de Banksia Hill est prévu pour accueillir 104 personnes</w:t>
      </w:r>
      <w:r w:rsidR="008D6B80">
        <w:rPr>
          <w:lang w:val="fr-FR"/>
        </w:rPr>
        <w:t xml:space="preserve">. </w:t>
      </w:r>
      <w:r w:rsidR="00754489">
        <w:rPr>
          <w:lang w:val="fr-FR"/>
        </w:rPr>
        <w:t>Au 7 juin 2007</w:t>
      </w:r>
      <w:r w:rsidR="00D31C54">
        <w:rPr>
          <w:lang w:val="fr-FR"/>
        </w:rPr>
        <w:t>,</w:t>
      </w:r>
      <w:r w:rsidR="00754489">
        <w:rPr>
          <w:lang w:val="fr-FR"/>
        </w:rPr>
        <w:t xml:space="preserve"> 100 mineurs y étaient détenus</w:t>
      </w:r>
      <w:r w:rsidR="008D6B80">
        <w:rPr>
          <w:lang w:val="fr-FR"/>
        </w:rPr>
        <w:t xml:space="preserve">. </w:t>
      </w:r>
      <w:r w:rsidR="00985370">
        <w:rPr>
          <w:lang w:val="fr-FR"/>
        </w:rPr>
        <w:t>La </w:t>
      </w:r>
      <w:r w:rsidR="00754489">
        <w:rPr>
          <w:lang w:val="fr-FR"/>
        </w:rPr>
        <w:t>maison de dépôt de Rangeview a une capacité d’accueil de 64 personnes</w:t>
      </w:r>
      <w:r w:rsidR="00572260">
        <w:rPr>
          <w:lang w:val="fr-FR"/>
        </w:rPr>
        <w:t>;</w:t>
      </w:r>
      <w:r w:rsidR="00985370">
        <w:rPr>
          <w:lang w:val="fr-FR"/>
        </w:rPr>
        <w:t xml:space="preserve"> on y comptait 47 </w:t>
      </w:r>
      <w:r w:rsidR="00754489">
        <w:rPr>
          <w:lang w:val="fr-FR"/>
        </w:rPr>
        <w:t>mineurs au 7 juin 2007.</w:t>
      </w:r>
    </w:p>
    <w:p w:rsidR="00754489" w:rsidRDefault="008E1139" w:rsidP="005D7B68">
      <w:pPr>
        <w:tabs>
          <w:tab w:val="left" w:pos="567"/>
          <w:tab w:val="left" w:pos="1134"/>
          <w:tab w:val="left" w:pos="1701"/>
          <w:tab w:val="left" w:pos="2268"/>
          <w:tab w:val="left" w:pos="2835"/>
        </w:tabs>
        <w:spacing w:before="240"/>
        <w:rPr>
          <w:b/>
          <w:bCs/>
          <w:lang w:val="fr-FR"/>
        </w:rPr>
      </w:pPr>
      <w:r>
        <w:rPr>
          <w:b/>
          <w:bCs/>
          <w:lang w:val="fr-FR"/>
        </w:rPr>
        <w:t>Australie méridionale</w:t>
      </w:r>
    </w:p>
    <w:p w:rsidR="00754489" w:rsidRDefault="00754489"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1</w:t>
      </w:r>
      <w:r>
        <w:rPr>
          <w:lang w:val="fr-FR"/>
        </w:rPr>
        <w:t>.</w:t>
      </w:r>
      <w:r>
        <w:rPr>
          <w:lang w:val="fr-FR"/>
        </w:rPr>
        <w:tab/>
        <w:t>Au 17 juin 2007, 1 773 personnes étaient détenues dans le cadre du système pénitentiaire d’</w:t>
      </w:r>
      <w:r w:rsidR="008E1139">
        <w:rPr>
          <w:lang w:val="fr-FR"/>
        </w:rPr>
        <w:t>Australie méridionale</w:t>
      </w:r>
      <w:r w:rsidR="00F231AC">
        <w:rPr>
          <w:lang w:val="fr-FR"/>
        </w:rPr>
        <w:t>, pour une capacité d’accueil homologuée de 1 795 personnes</w:t>
      </w:r>
      <w:r w:rsidR="00572260">
        <w:rPr>
          <w:lang w:val="fr-FR"/>
        </w:rPr>
        <w:t>;</w:t>
      </w:r>
      <w:r w:rsidR="00F231AC">
        <w:rPr>
          <w:lang w:val="fr-FR"/>
        </w:rPr>
        <w:t xml:space="preserve"> elle fonctionnait donc à 98,77 % de cette capacité</w:t>
      </w:r>
      <w:r w:rsidR="008D6B80">
        <w:rPr>
          <w:lang w:val="fr-FR"/>
        </w:rPr>
        <w:t xml:space="preserve">. </w:t>
      </w:r>
      <w:r w:rsidR="00F231AC">
        <w:rPr>
          <w:lang w:val="fr-FR"/>
        </w:rPr>
        <w:t>Au cours de l’année budgétaire 2006</w:t>
      </w:r>
      <w:r w:rsidR="00985370">
        <w:rPr>
          <w:lang w:val="fr-FR"/>
        </w:rPr>
        <w:t>/</w:t>
      </w:r>
      <w:r w:rsidR="00F231AC">
        <w:rPr>
          <w:lang w:val="fr-FR"/>
        </w:rPr>
        <w:t>07, le nombre de détenus a atteint son maximum avec 1 786 personnes le 6 juin 2007</w:t>
      </w:r>
      <w:r w:rsidR="008D6B80">
        <w:rPr>
          <w:lang w:val="fr-FR"/>
        </w:rPr>
        <w:t xml:space="preserve">. </w:t>
      </w:r>
      <w:r w:rsidR="00F231AC">
        <w:rPr>
          <w:lang w:val="fr-FR"/>
        </w:rPr>
        <w:t>Le chiffre relatif à la cap</w:t>
      </w:r>
      <w:r w:rsidR="00D31C54">
        <w:rPr>
          <w:lang w:val="fr-FR"/>
        </w:rPr>
        <w:t>acité d’accueil comprend 37 places</w:t>
      </w:r>
      <w:r w:rsidR="00F231AC">
        <w:rPr>
          <w:lang w:val="fr-FR"/>
        </w:rPr>
        <w:t xml:space="preserve"> d’urgence et un ensemble</w:t>
      </w:r>
      <w:r w:rsidR="00985370">
        <w:rPr>
          <w:lang w:val="fr-FR"/>
        </w:rPr>
        <w:t xml:space="preserve"> de cellules pour deux </w:t>
      </w:r>
      <w:r w:rsidR="0058027B">
        <w:rPr>
          <w:lang w:val="fr-FR"/>
        </w:rPr>
        <w:t>personnes.</w:t>
      </w:r>
    </w:p>
    <w:p w:rsidR="0058027B" w:rsidRDefault="00315AE9"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2</w:t>
      </w:r>
      <w:r>
        <w:rPr>
          <w:lang w:val="fr-FR"/>
        </w:rPr>
        <w:t>.</w:t>
      </w:r>
      <w:r>
        <w:rPr>
          <w:lang w:val="fr-FR"/>
        </w:rPr>
        <w:tab/>
        <w:t>L</w:t>
      </w:r>
      <w:r w:rsidR="0058027B">
        <w:rPr>
          <w:lang w:val="fr-FR"/>
        </w:rPr>
        <w:t>e</w:t>
      </w:r>
      <w:r>
        <w:rPr>
          <w:lang w:val="fr-FR"/>
        </w:rPr>
        <w:t xml:space="preserve"> budget de 2006</w:t>
      </w:r>
      <w:r w:rsidR="005C3C69">
        <w:rPr>
          <w:lang w:val="fr-FR"/>
        </w:rPr>
        <w:t>/</w:t>
      </w:r>
      <w:r>
        <w:rPr>
          <w:lang w:val="fr-FR"/>
        </w:rPr>
        <w:t>07, a donné au</w:t>
      </w:r>
      <w:r w:rsidR="0058027B">
        <w:rPr>
          <w:lang w:val="fr-FR"/>
        </w:rPr>
        <w:t xml:space="preserve"> Gouvernement d’</w:t>
      </w:r>
      <w:r w:rsidR="008E1139">
        <w:rPr>
          <w:lang w:val="fr-FR"/>
        </w:rPr>
        <w:t>Australie méridionale</w:t>
      </w:r>
      <w:r>
        <w:rPr>
          <w:lang w:val="fr-FR"/>
        </w:rPr>
        <w:t xml:space="preserve"> l’occasion d’approuver,</w:t>
      </w:r>
      <w:r w:rsidR="0058027B">
        <w:rPr>
          <w:lang w:val="fr-FR"/>
        </w:rPr>
        <w:t xml:space="preserve"> </w:t>
      </w:r>
      <w:r>
        <w:rPr>
          <w:lang w:val="fr-FR"/>
        </w:rPr>
        <w:t>dans le cadre d’un contrat de partenariat secteur public-secteur privé</w:t>
      </w:r>
      <w:r w:rsidR="00C13B3B">
        <w:rPr>
          <w:lang w:val="fr-FR"/>
        </w:rPr>
        <w:t>,</w:t>
      </w:r>
      <w:r>
        <w:rPr>
          <w:lang w:val="fr-FR"/>
        </w:rPr>
        <w:t xml:space="preserve"> </w:t>
      </w:r>
      <w:r w:rsidR="0058027B">
        <w:rPr>
          <w:lang w:val="fr-FR"/>
        </w:rPr>
        <w:t>la construction de trois nouvelles prisons</w:t>
      </w:r>
      <w:r>
        <w:rPr>
          <w:lang w:val="fr-FR"/>
        </w:rPr>
        <w:t xml:space="preserve"> qui doit commencer en 2009 pour s’achever en 2011.</w:t>
      </w:r>
    </w:p>
    <w:p w:rsidR="00315AE9" w:rsidRDefault="00315AE9"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3</w:t>
      </w:r>
      <w:r>
        <w:rPr>
          <w:lang w:val="fr-FR"/>
        </w:rPr>
        <w:t>.</w:t>
      </w:r>
      <w:r>
        <w:rPr>
          <w:lang w:val="fr-FR"/>
        </w:rPr>
        <w:tab/>
        <w:t>Ces nouveaux établissements comporteront</w:t>
      </w:r>
      <w:r w:rsidR="00572260">
        <w:rPr>
          <w:lang w:val="fr-FR"/>
        </w:rPr>
        <w:t>:</w:t>
      </w:r>
    </w:p>
    <w:p w:rsidR="00315AE9" w:rsidRDefault="00D31C54" w:rsidP="005D7B68">
      <w:pPr>
        <w:tabs>
          <w:tab w:val="left" w:pos="567"/>
          <w:tab w:val="left" w:pos="1134"/>
          <w:tab w:val="left" w:pos="1701"/>
          <w:tab w:val="left" w:pos="2268"/>
          <w:tab w:val="left" w:pos="2835"/>
        </w:tabs>
        <w:spacing w:before="240"/>
        <w:rPr>
          <w:lang w:val="fr-FR"/>
        </w:rPr>
      </w:pPr>
      <w:r>
        <w:rPr>
          <w:lang w:val="fr-FR"/>
        </w:rPr>
        <w:tab/>
        <w:t>a)</w:t>
      </w:r>
      <w:r>
        <w:rPr>
          <w:lang w:val="fr-FR"/>
        </w:rPr>
        <w:tab/>
        <w:t>U</w:t>
      </w:r>
      <w:r w:rsidR="00315AE9">
        <w:rPr>
          <w:lang w:val="fr-FR"/>
        </w:rPr>
        <w:t>ne nouvelle prison pour femmes de 150 cellules en remplacement de l’actuelle prison</w:t>
      </w:r>
      <w:r w:rsidR="00F2779B">
        <w:rPr>
          <w:lang w:val="fr-FR"/>
        </w:rPr>
        <w:t xml:space="preserve"> pour femmes d’Adélaïde (92 places</w:t>
      </w:r>
      <w:r w:rsidR="00315AE9">
        <w:rPr>
          <w:lang w:val="fr-FR"/>
        </w:rPr>
        <w:t>)</w:t>
      </w:r>
      <w:r w:rsidR="00572260">
        <w:rPr>
          <w:lang w:val="fr-FR"/>
        </w:rPr>
        <w:t>;</w:t>
      </w:r>
    </w:p>
    <w:p w:rsidR="00315AE9" w:rsidRDefault="00D31C54" w:rsidP="005D7B68">
      <w:pPr>
        <w:tabs>
          <w:tab w:val="left" w:pos="567"/>
          <w:tab w:val="left" w:pos="1134"/>
          <w:tab w:val="left" w:pos="1701"/>
          <w:tab w:val="left" w:pos="2268"/>
          <w:tab w:val="left" w:pos="2835"/>
        </w:tabs>
        <w:spacing w:before="240"/>
        <w:rPr>
          <w:lang w:val="fr-FR"/>
        </w:rPr>
      </w:pPr>
      <w:r>
        <w:rPr>
          <w:lang w:val="fr-FR"/>
        </w:rPr>
        <w:tab/>
        <w:t>b)</w:t>
      </w:r>
      <w:r>
        <w:rPr>
          <w:lang w:val="fr-FR"/>
        </w:rPr>
        <w:tab/>
        <w:t>U</w:t>
      </w:r>
      <w:r w:rsidR="00315AE9">
        <w:rPr>
          <w:lang w:val="fr-FR"/>
        </w:rPr>
        <w:t>ne nouvelle prison pour hommes de 760 cellules en remplacement de l’actuell</w:t>
      </w:r>
      <w:r w:rsidR="00F2779B">
        <w:rPr>
          <w:lang w:val="fr-FR"/>
        </w:rPr>
        <w:t>e Yatala Labour Prison (412 places</w:t>
      </w:r>
      <w:r w:rsidR="00315AE9">
        <w:rPr>
          <w:lang w:val="fr-FR"/>
        </w:rPr>
        <w:t>)</w:t>
      </w:r>
      <w:r w:rsidR="00572260">
        <w:rPr>
          <w:lang w:val="fr-FR"/>
        </w:rPr>
        <w:t>;</w:t>
      </w:r>
    </w:p>
    <w:p w:rsidR="00315AE9" w:rsidRDefault="00315AE9" w:rsidP="005D7B68">
      <w:pPr>
        <w:tabs>
          <w:tab w:val="left" w:pos="567"/>
          <w:tab w:val="left" w:pos="1134"/>
          <w:tab w:val="left" w:pos="1701"/>
          <w:tab w:val="left" w:pos="2268"/>
          <w:tab w:val="left" w:pos="2835"/>
        </w:tabs>
        <w:spacing w:before="240"/>
        <w:rPr>
          <w:lang w:val="fr-FR"/>
        </w:rPr>
      </w:pPr>
      <w:r>
        <w:rPr>
          <w:lang w:val="fr-FR"/>
        </w:rPr>
        <w:tab/>
        <w:t>c)</w:t>
      </w:r>
      <w:r>
        <w:rPr>
          <w:lang w:val="fr-FR"/>
        </w:rPr>
        <w:tab/>
      </w:r>
      <w:r w:rsidR="00D31C54">
        <w:rPr>
          <w:lang w:val="fr-FR"/>
        </w:rPr>
        <w:t>U</w:t>
      </w:r>
      <w:r w:rsidR="00D73D55">
        <w:rPr>
          <w:lang w:val="fr-FR"/>
        </w:rPr>
        <w:t>n nouveau centre de détention provisoire de 80 p</w:t>
      </w:r>
      <w:r w:rsidR="005C3C69">
        <w:rPr>
          <w:lang w:val="fr-FR"/>
        </w:rPr>
        <w:t>laces (60 pour les hommes et 20 </w:t>
      </w:r>
      <w:r w:rsidR="00D73D55">
        <w:rPr>
          <w:lang w:val="fr-FR"/>
        </w:rPr>
        <w:t>pour les femmes) en remplacement de l’actuel Centre de détentio</w:t>
      </w:r>
      <w:r w:rsidR="005C3C69">
        <w:rPr>
          <w:lang w:val="fr-FR"/>
        </w:rPr>
        <w:t>n provisoire d’Adélaïde (60 </w:t>
      </w:r>
      <w:r w:rsidR="00F2779B">
        <w:rPr>
          <w:lang w:val="fr-FR"/>
        </w:rPr>
        <w:t>places</w:t>
      </w:r>
      <w:r w:rsidR="00D73D55">
        <w:rPr>
          <w:lang w:val="fr-FR"/>
        </w:rPr>
        <w:t>, pour hommes uniquement).</w:t>
      </w:r>
    </w:p>
    <w:p w:rsidR="00D73D55" w:rsidRDefault="00D73D55"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4</w:t>
      </w:r>
      <w:r>
        <w:rPr>
          <w:lang w:val="fr-FR"/>
        </w:rPr>
        <w:t>.</w:t>
      </w:r>
      <w:r>
        <w:rPr>
          <w:lang w:val="fr-FR"/>
        </w:rPr>
        <w:tab/>
        <w:t>Les investissements opérés dans les nouvelles infrastructures donneront au Gouvernement d’</w:t>
      </w:r>
      <w:r w:rsidR="008E1139">
        <w:rPr>
          <w:lang w:val="fr-FR"/>
        </w:rPr>
        <w:t>Australie méridionale</w:t>
      </w:r>
      <w:r>
        <w:rPr>
          <w:lang w:val="fr-FR"/>
        </w:rPr>
        <w:t xml:space="preserve"> les possibilités suivantes</w:t>
      </w:r>
      <w:r w:rsidR="00572260">
        <w:rPr>
          <w:lang w:val="fr-FR"/>
        </w:rPr>
        <w:t>:</w:t>
      </w:r>
    </w:p>
    <w:p w:rsidR="00D73D55" w:rsidRDefault="00D31C54" w:rsidP="005D7B68">
      <w:pPr>
        <w:tabs>
          <w:tab w:val="left" w:pos="567"/>
          <w:tab w:val="left" w:pos="1134"/>
          <w:tab w:val="left" w:pos="1701"/>
          <w:tab w:val="left" w:pos="2268"/>
          <w:tab w:val="left" w:pos="2835"/>
        </w:tabs>
        <w:spacing w:before="240"/>
        <w:rPr>
          <w:lang w:val="fr-FR"/>
        </w:rPr>
      </w:pPr>
      <w:r>
        <w:rPr>
          <w:lang w:val="fr-FR"/>
        </w:rPr>
        <w:tab/>
        <w:t>a)</w:t>
      </w:r>
      <w:r>
        <w:rPr>
          <w:lang w:val="fr-FR"/>
        </w:rPr>
        <w:tab/>
        <w:t>A</w:t>
      </w:r>
      <w:r w:rsidR="00D73D55">
        <w:rPr>
          <w:lang w:val="fr-FR"/>
        </w:rPr>
        <w:t>ccroître la capacité d’accueil du Département des services pénitentiaires, en apportant une plus grande souplesse dans la gestion des détenus et le choix des peines</w:t>
      </w:r>
      <w:r w:rsidR="00572260">
        <w:rPr>
          <w:lang w:val="fr-FR"/>
        </w:rPr>
        <w:t>;</w:t>
      </w:r>
    </w:p>
    <w:p w:rsidR="00D73D55" w:rsidRDefault="00D31C54" w:rsidP="005D7B68">
      <w:pPr>
        <w:tabs>
          <w:tab w:val="left" w:pos="567"/>
          <w:tab w:val="left" w:pos="1134"/>
          <w:tab w:val="left" w:pos="1701"/>
          <w:tab w:val="left" w:pos="2268"/>
          <w:tab w:val="left" w:pos="2835"/>
        </w:tabs>
        <w:spacing w:before="240"/>
        <w:rPr>
          <w:lang w:val="fr-FR"/>
        </w:rPr>
      </w:pPr>
      <w:r>
        <w:rPr>
          <w:lang w:val="fr-FR"/>
        </w:rPr>
        <w:tab/>
        <w:t>b)</w:t>
      </w:r>
      <w:r>
        <w:rPr>
          <w:lang w:val="fr-FR"/>
        </w:rPr>
        <w:tab/>
        <w:t>R</w:t>
      </w:r>
      <w:r w:rsidR="00D73D55">
        <w:rPr>
          <w:lang w:val="fr-FR"/>
        </w:rPr>
        <w:t>emplacer la prison de Yatala et la prison pour femmes d’Adélaïde qui</w:t>
      </w:r>
      <w:r>
        <w:rPr>
          <w:lang w:val="fr-FR"/>
        </w:rPr>
        <w:t xml:space="preserve"> sont</w:t>
      </w:r>
      <w:r w:rsidR="00D73D55">
        <w:rPr>
          <w:lang w:val="fr-FR"/>
        </w:rPr>
        <w:t xml:space="preserve"> archa</w:t>
      </w:r>
      <w:r w:rsidR="00492BFC">
        <w:rPr>
          <w:lang w:val="fr-FR"/>
        </w:rPr>
        <w:t>ïque</w:t>
      </w:r>
      <w:r>
        <w:rPr>
          <w:lang w:val="fr-FR"/>
        </w:rPr>
        <w:t>s</w:t>
      </w:r>
      <w:r w:rsidR="00492BFC">
        <w:rPr>
          <w:lang w:val="fr-FR"/>
        </w:rPr>
        <w:t xml:space="preserve"> et mal organisées</w:t>
      </w:r>
      <w:r w:rsidR="00572260">
        <w:rPr>
          <w:lang w:val="fr-FR"/>
        </w:rPr>
        <w:t>;</w:t>
      </w:r>
    </w:p>
    <w:p w:rsidR="00D73D55" w:rsidRDefault="00D73D55" w:rsidP="005D7B68">
      <w:pPr>
        <w:tabs>
          <w:tab w:val="left" w:pos="567"/>
          <w:tab w:val="left" w:pos="1134"/>
          <w:tab w:val="left" w:pos="1701"/>
          <w:tab w:val="left" w:pos="2268"/>
          <w:tab w:val="left" w:pos="2835"/>
        </w:tabs>
        <w:spacing w:before="240"/>
        <w:rPr>
          <w:lang w:val="fr-FR"/>
        </w:rPr>
      </w:pPr>
      <w:r>
        <w:rPr>
          <w:lang w:val="fr-FR"/>
        </w:rPr>
        <w:tab/>
        <w:t>c)</w:t>
      </w:r>
      <w:r>
        <w:rPr>
          <w:lang w:val="fr-FR"/>
        </w:rPr>
        <w:tab/>
      </w:r>
      <w:r w:rsidR="00D31C54">
        <w:rPr>
          <w:lang w:val="fr-FR"/>
        </w:rPr>
        <w:t>R</w:t>
      </w:r>
      <w:r w:rsidR="00492BFC">
        <w:rPr>
          <w:lang w:val="fr-FR"/>
        </w:rPr>
        <w:t>éduire les coûts de fonctionnement liés à des infrastructures mal organisées</w:t>
      </w:r>
      <w:r w:rsidR="00572260">
        <w:rPr>
          <w:lang w:val="fr-FR"/>
        </w:rPr>
        <w:t>;</w:t>
      </w:r>
    </w:p>
    <w:p w:rsidR="00492BFC" w:rsidRDefault="00D31C54" w:rsidP="005D7B68">
      <w:pPr>
        <w:tabs>
          <w:tab w:val="left" w:pos="567"/>
          <w:tab w:val="left" w:pos="1134"/>
          <w:tab w:val="left" w:pos="1701"/>
          <w:tab w:val="left" w:pos="2268"/>
          <w:tab w:val="left" w:pos="2835"/>
        </w:tabs>
        <w:spacing w:before="240"/>
        <w:rPr>
          <w:lang w:val="fr-FR"/>
        </w:rPr>
      </w:pPr>
      <w:r>
        <w:rPr>
          <w:lang w:val="fr-FR"/>
        </w:rPr>
        <w:tab/>
        <w:t>d)</w:t>
      </w:r>
      <w:r>
        <w:rPr>
          <w:lang w:val="fr-FR"/>
        </w:rPr>
        <w:tab/>
        <w:t>F</w:t>
      </w:r>
      <w:r w:rsidR="00492BFC">
        <w:rPr>
          <w:lang w:val="fr-FR"/>
        </w:rPr>
        <w:t>aire bénéficier les détenus d’un traitem</w:t>
      </w:r>
      <w:r>
        <w:rPr>
          <w:lang w:val="fr-FR"/>
        </w:rPr>
        <w:t>ent et de conditions appropriés</w:t>
      </w:r>
      <w:r w:rsidR="00572260">
        <w:rPr>
          <w:lang w:val="fr-FR"/>
        </w:rPr>
        <w:t>;</w:t>
      </w:r>
      <w:r w:rsidR="00492BFC">
        <w:rPr>
          <w:lang w:val="fr-FR"/>
        </w:rPr>
        <w:t xml:space="preserve"> et</w:t>
      </w:r>
    </w:p>
    <w:p w:rsidR="00492BFC" w:rsidRDefault="00D31C54" w:rsidP="005D7B68">
      <w:pPr>
        <w:tabs>
          <w:tab w:val="left" w:pos="567"/>
          <w:tab w:val="left" w:pos="1134"/>
          <w:tab w:val="left" w:pos="1701"/>
          <w:tab w:val="left" w:pos="2268"/>
          <w:tab w:val="left" w:pos="2835"/>
        </w:tabs>
        <w:spacing w:before="240"/>
        <w:rPr>
          <w:lang w:val="fr-FR"/>
        </w:rPr>
      </w:pPr>
      <w:r>
        <w:rPr>
          <w:lang w:val="fr-FR"/>
        </w:rPr>
        <w:tab/>
        <w:t>e)</w:t>
      </w:r>
      <w:r>
        <w:rPr>
          <w:lang w:val="fr-FR"/>
        </w:rPr>
        <w:tab/>
        <w:t>D</w:t>
      </w:r>
      <w:r w:rsidR="00492BFC">
        <w:rPr>
          <w:lang w:val="fr-FR"/>
        </w:rPr>
        <w:t>onner de me</w:t>
      </w:r>
      <w:r>
        <w:rPr>
          <w:lang w:val="fr-FR"/>
        </w:rPr>
        <w:t>illeures possibilités de réadapta</w:t>
      </w:r>
      <w:r w:rsidR="00492BFC">
        <w:rPr>
          <w:lang w:val="fr-FR"/>
        </w:rPr>
        <w:t>tion aux détenus, et amél</w:t>
      </w:r>
      <w:r>
        <w:rPr>
          <w:lang w:val="fr-FR"/>
        </w:rPr>
        <w:t>iorer</w:t>
      </w:r>
      <w:r w:rsidR="00572260">
        <w:rPr>
          <w:lang w:val="fr-FR"/>
        </w:rPr>
        <w:t xml:space="preserve"> </w:t>
      </w:r>
      <w:r w:rsidR="005C3C69">
        <w:rPr>
          <w:lang w:val="fr-FR"/>
        </w:rPr>
        <w:t>par là</w:t>
      </w:r>
      <w:r w:rsidR="00657CCC">
        <w:rPr>
          <w:lang w:val="fr-FR"/>
        </w:rPr>
        <w:t> </w:t>
      </w:r>
      <w:r w:rsidR="00492BFC">
        <w:rPr>
          <w:lang w:val="fr-FR"/>
        </w:rPr>
        <w:t>même la sécurité des communautés grâce à la diminution du nombre de récidives.</w:t>
      </w:r>
    </w:p>
    <w:p w:rsidR="00492BFC" w:rsidRDefault="00492BFC"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5</w:t>
      </w:r>
      <w:r>
        <w:rPr>
          <w:lang w:val="fr-FR"/>
        </w:rPr>
        <w:t>.</w:t>
      </w:r>
      <w:r>
        <w:rPr>
          <w:lang w:val="fr-FR"/>
        </w:rPr>
        <w:tab/>
      </w:r>
      <w:r w:rsidR="00CE72DA">
        <w:rPr>
          <w:lang w:val="fr-FR"/>
        </w:rPr>
        <w:t>Dans le cadre du budget de 2007-08, le gouvernement a approuvé la création de 125 places supplémentaires dans les prisons existantes et alloué 24,5 millions de dollars pour permettre d’augmenter le nombre des places dans les prisons au cours des quatre années à venir.</w:t>
      </w:r>
    </w:p>
    <w:p w:rsidR="00CE72DA" w:rsidRDefault="00CE72DA" w:rsidP="005D7B68">
      <w:pPr>
        <w:tabs>
          <w:tab w:val="left" w:pos="567"/>
          <w:tab w:val="left" w:pos="1134"/>
          <w:tab w:val="left" w:pos="1701"/>
          <w:tab w:val="left" w:pos="2268"/>
          <w:tab w:val="left" w:pos="2835"/>
        </w:tabs>
        <w:spacing w:before="240"/>
        <w:rPr>
          <w:b/>
          <w:bCs/>
          <w:lang w:val="fr-FR"/>
        </w:rPr>
      </w:pPr>
      <w:r>
        <w:rPr>
          <w:b/>
          <w:bCs/>
          <w:lang w:val="fr-FR"/>
        </w:rPr>
        <w:t>Tasmanie</w:t>
      </w:r>
    </w:p>
    <w:p w:rsidR="00CE72DA" w:rsidRDefault="00CE72DA" w:rsidP="005D7B68">
      <w:pPr>
        <w:tabs>
          <w:tab w:val="left" w:pos="567"/>
          <w:tab w:val="left" w:pos="1134"/>
          <w:tab w:val="left" w:pos="1701"/>
          <w:tab w:val="left" w:pos="2268"/>
          <w:tab w:val="left" w:pos="2835"/>
        </w:tabs>
        <w:spacing w:before="240"/>
        <w:rPr>
          <w:b/>
          <w:bCs/>
          <w:lang w:val="fr-FR"/>
        </w:rPr>
      </w:pPr>
      <w:r>
        <w:rPr>
          <w:b/>
          <w:bCs/>
          <w:lang w:val="fr-FR"/>
        </w:rPr>
        <w:t>Population carcérale</w:t>
      </w:r>
    </w:p>
    <w:p w:rsidR="00CE72DA" w:rsidRDefault="00CE72DA"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6</w:t>
      </w:r>
      <w:r>
        <w:rPr>
          <w:lang w:val="fr-FR"/>
        </w:rPr>
        <w:t>.</w:t>
      </w:r>
      <w:r>
        <w:rPr>
          <w:lang w:val="fr-FR"/>
        </w:rPr>
        <w:tab/>
      </w:r>
      <w:r w:rsidR="00024120">
        <w:rPr>
          <w:lang w:val="fr-FR"/>
        </w:rPr>
        <w:t>La population carcérale quotidienne moyenne en 2006-07 a été 522 personnes</w:t>
      </w:r>
      <w:r w:rsidR="008D6B80">
        <w:rPr>
          <w:lang w:val="fr-FR"/>
        </w:rPr>
        <w:t xml:space="preserve">. </w:t>
      </w:r>
      <w:r w:rsidR="00024120">
        <w:rPr>
          <w:lang w:val="fr-FR"/>
        </w:rPr>
        <w:t>Au 30 juin 2007, on comptait 519 détenus, dont 31 femmes et 488 hommes.</w:t>
      </w:r>
    </w:p>
    <w:p w:rsidR="00A51628" w:rsidRDefault="00A51628" w:rsidP="005D7B68">
      <w:pPr>
        <w:tabs>
          <w:tab w:val="left" w:pos="567"/>
          <w:tab w:val="left" w:pos="1134"/>
          <w:tab w:val="left" w:pos="1701"/>
          <w:tab w:val="left" w:pos="2268"/>
          <w:tab w:val="left" w:pos="2835"/>
        </w:tabs>
        <w:spacing w:before="240"/>
        <w:rPr>
          <w:b/>
          <w:bCs/>
          <w:lang w:val="fr-FR"/>
        </w:rPr>
      </w:pPr>
      <w:r>
        <w:rPr>
          <w:b/>
          <w:bCs/>
          <w:lang w:val="fr-FR"/>
        </w:rPr>
        <w:t>Taux d’utilisation de la capacité des prisons</w:t>
      </w:r>
    </w:p>
    <w:p w:rsidR="00A51628" w:rsidRDefault="00A51628"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7</w:t>
      </w:r>
      <w:r>
        <w:rPr>
          <w:lang w:val="fr-FR"/>
        </w:rPr>
        <w:t>.</w:t>
      </w:r>
      <w:r>
        <w:rPr>
          <w:lang w:val="fr-FR"/>
        </w:rPr>
        <w:tab/>
        <w:t xml:space="preserve">Le taux d’occupation moyen en 2006-07 a été de 89 % </w:t>
      </w:r>
      <w:r w:rsidR="00657CCC">
        <w:rPr>
          <w:lang w:val="fr-FR"/>
        </w:rPr>
        <w:t>pour une capacité prévue de 586 </w:t>
      </w:r>
      <w:r>
        <w:rPr>
          <w:lang w:val="fr-FR"/>
        </w:rPr>
        <w:t>personnes.</w:t>
      </w:r>
    </w:p>
    <w:p w:rsidR="00A51628" w:rsidRDefault="00A51628" w:rsidP="005D7B68">
      <w:pPr>
        <w:tabs>
          <w:tab w:val="left" w:pos="567"/>
          <w:tab w:val="left" w:pos="1134"/>
          <w:tab w:val="left" w:pos="1701"/>
          <w:tab w:val="left" w:pos="2268"/>
          <w:tab w:val="left" w:pos="2835"/>
        </w:tabs>
        <w:spacing w:before="240"/>
        <w:rPr>
          <w:lang w:val="fr-FR"/>
        </w:rPr>
      </w:pPr>
      <w:r>
        <w:rPr>
          <w:lang w:val="fr-FR"/>
        </w:rPr>
        <w:t>40</w:t>
      </w:r>
      <w:r w:rsidR="00466F89">
        <w:rPr>
          <w:lang w:val="fr-FR"/>
        </w:rPr>
        <w:t>8</w:t>
      </w:r>
      <w:r>
        <w:rPr>
          <w:lang w:val="fr-FR"/>
        </w:rPr>
        <w:t>.</w:t>
      </w:r>
      <w:r>
        <w:rPr>
          <w:lang w:val="fr-FR"/>
        </w:rPr>
        <w:tab/>
        <w:t xml:space="preserve">Le Centre Wilfred Lopes est une unité </w:t>
      </w:r>
      <w:r w:rsidR="00786174">
        <w:rPr>
          <w:lang w:val="fr-FR"/>
        </w:rPr>
        <w:t>médico-légale spécialisée de soins psychiatriques</w:t>
      </w:r>
      <w:r>
        <w:rPr>
          <w:lang w:val="fr-FR"/>
        </w:rPr>
        <w:t xml:space="preserve"> </w:t>
      </w:r>
      <w:r w:rsidR="00786174">
        <w:rPr>
          <w:lang w:val="fr-FR"/>
        </w:rPr>
        <w:t xml:space="preserve">assurant la prise en charge et le traitement de </w:t>
      </w:r>
      <w:r w:rsidR="0016188C">
        <w:rPr>
          <w:lang w:val="fr-FR"/>
        </w:rPr>
        <w:t>personnes souffrant</w:t>
      </w:r>
      <w:r w:rsidR="00E1768A">
        <w:rPr>
          <w:lang w:val="fr-FR"/>
        </w:rPr>
        <w:t xml:space="preserve"> de troubles mentaux</w:t>
      </w:r>
      <w:r w:rsidR="003A5B65">
        <w:rPr>
          <w:lang w:val="fr-FR"/>
        </w:rPr>
        <w:t xml:space="preserve"> en conflit avec la</w:t>
      </w:r>
      <w:r w:rsidR="00786174">
        <w:rPr>
          <w:lang w:val="fr-FR"/>
        </w:rPr>
        <w:t xml:space="preserve"> justice pénale</w:t>
      </w:r>
      <w:r w:rsidR="008D6B80">
        <w:rPr>
          <w:lang w:val="fr-FR"/>
        </w:rPr>
        <w:t xml:space="preserve">. </w:t>
      </w:r>
      <w:r w:rsidR="00786174">
        <w:rPr>
          <w:lang w:val="fr-FR"/>
        </w:rPr>
        <w:t>Il a actuellement une capacité opérationnelle de 20 places et son taux d’occupation est de 100 %.</w:t>
      </w:r>
    </w:p>
    <w:p w:rsidR="00786174" w:rsidRDefault="00786174" w:rsidP="005D7B68">
      <w:pPr>
        <w:keepNext/>
        <w:tabs>
          <w:tab w:val="left" w:pos="567"/>
          <w:tab w:val="left" w:pos="1134"/>
          <w:tab w:val="left" w:pos="1701"/>
          <w:tab w:val="left" w:pos="2268"/>
          <w:tab w:val="left" w:pos="2835"/>
        </w:tabs>
        <w:spacing w:before="240"/>
        <w:rPr>
          <w:b/>
          <w:bCs/>
          <w:lang w:val="fr-FR"/>
        </w:rPr>
      </w:pPr>
      <w:r>
        <w:rPr>
          <w:b/>
          <w:bCs/>
          <w:lang w:val="fr-FR"/>
        </w:rPr>
        <w:t>Territoire de la capitale australienne</w:t>
      </w:r>
    </w:p>
    <w:p w:rsidR="00786174" w:rsidRDefault="00786174" w:rsidP="005D7B68">
      <w:pPr>
        <w:keepNext/>
        <w:tabs>
          <w:tab w:val="left" w:pos="567"/>
          <w:tab w:val="left" w:pos="1134"/>
          <w:tab w:val="left" w:pos="1701"/>
          <w:tab w:val="left" w:pos="2268"/>
          <w:tab w:val="left" w:pos="2835"/>
        </w:tabs>
        <w:spacing w:before="240"/>
        <w:rPr>
          <w:b/>
          <w:bCs/>
          <w:lang w:val="fr-FR"/>
        </w:rPr>
      </w:pPr>
      <w:r>
        <w:rPr>
          <w:b/>
          <w:bCs/>
          <w:lang w:val="fr-FR"/>
        </w:rPr>
        <w:t>Statistiques relatives aux établissements pénitentiaires</w:t>
      </w:r>
    </w:p>
    <w:p w:rsidR="00786174" w:rsidRDefault="00786174" w:rsidP="005D7B68">
      <w:pPr>
        <w:keepNext/>
        <w:tabs>
          <w:tab w:val="left" w:pos="567"/>
          <w:tab w:val="left" w:pos="1134"/>
          <w:tab w:val="left" w:pos="1701"/>
          <w:tab w:val="left" w:pos="2268"/>
          <w:tab w:val="left" w:pos="2835"/>
        </w:tabs>
        <w:spacing w:before="240"/>
        <w:rPr>
          <w:lang w:val="fr-FR"/>
        </w:rPr>
      </w:pPr>
      <w:r>
        <w:rPr>
          <w:lang w:val="fr-FR"/>
        </w:rPr>
        <w:t>40</w:t>
      </w:r>
      <w:r w:rsidR="00466F89">
        <w:rPr>
          <w:lang w:val="fr-FR"/>
        </w:rPr>
        <w:t>9</w:t>
      </w:r>
      <w:r>
        <w:rPr>
          <w:lang w:val="fr-FR"/>
        </w:rPr>
        <w:t>.</w:t>
      </w:r>
      <w:r>
        <w:rPr>
          <w:lang w:val="fr-FR"/>
        </w:rPr>
        <w:tab/>
        <w:t>Les établissements pénitentiaires du Territ</w:t>
      </w:r>
      <w:r w:rsidR="00D31C54">
        <w:rPr>
          <w:lang w:val="fr-FR"/>
        </w:rPr>
        <w:t>oire de la capitale fédérale</w:t>
      </w:r>
      <w:r>
        <w:rPr>
          <w:lang w:val="fr-FR"/>
        </w:rPr>
        <w:t xml:space="preserve"> n’accueillent actuellement que des personnes placées en détention provisoire</w:t>
      </w:r>
      <w:r w:rsidR="008D6B80">
        <w:rPr>
          <w:lang w:val="fr-FR"/>
        </w:rPr>
        <w:t xml:space="preserve">. </w:t>
      </w:r>
      <w:r>
        <w:rPr>
          <w:lang w:val="fr-FR"/>
        </w:rPr>
        <w:t xml:space="preserve">Cela va changer avec la mise en service </w:t>
      </w:r>
      <w:r w:rsidR="0088693A">
        <w:rPr>
          <w:lang w:val="fr-FR"/>
        </w:rPr>
        <w:t>du Centre Alexander Maconochie en 2008.</w:t>
      </w:r>
      <w:r>
        <w:rPr>
          <w:lang w:val="fr-FR"/>
        </w:rPr>
        <w:t xml:space="preserve"> </w:t>
      </w:r>
    </w:p>
    <w:p w:rsidR="0088693A" w:rsidRDefault="00466F89" w:rsidP="005D7B68">
      <w:pPr>
        <w:tabs>
          <w:tab w:val="left" w:pos="567"/>
          <w:tab w:val="left" w:pos="1134"/>
          <w:tab w:val="left" w:pos="1701"/>
          <w:tab w:val="left" w:pos="2268"/>
          <w:tab w:val="left" w:pos="2835"/>
        </w:tabs>
        <w:spacing w:before="240"/>
        <w:rPr>
          <w:lang w:val="fr-FR"/>
        </w:rPr>
      </w:pPr>
      <w:r>
        <w:rPr>
          <w:lang w:val="fr-FR"/>
        </w:rPr>
        <w:t>410</w:t>
      </w:r>
      <w:r w:rsidR="0088693A">
        <w:rPr>
          <w:lang w:val="fr-FR"/>
        </w:rPr>
        <w:t>.</w:t>
      </w:r>
      <w:r w:rsidR="0088693A">
        <w:rPr>
          <w:lang w:val="fr-FR"/>
        </w:rPr>
        <w:tab/>
        <w:t>Les personnes qui font l’objet d’un mandat de placement en détention provisoire, dans le Territoire de la capitale</w:t>
      </w:r>
      <w:r w:rsidR="00D31C54">
        <w:rPr>
          <w:lang w:val="fr-FR"/>
        </w:rPr>
        <w:t xml:space="preserve"> fédérale</w:t>
      </w:r>
      <w:r w:rsidR="0088693A">
        <w:rPr>
          <w:lang w:val="fr-FR"/>
        </w:rPr>
        <w:t>, sont placées en détention dans l</w:t>
      </w:r>
      <w:r w:rsidR="003A5B65">
        <w:rPr>
          <w:lang w:val="fr-FR"/>
        </w:rPr>
        <w:t>e Centre de détention provisoire</w:t>
      </w:r>
      <w:r w:rsidR="0088693A">
        <w:rPr>
          <w:lang w:val="fr-FR"/>
        </w:rPr>
        <w:t xml:space="preserve"> de Belconnen ou dans celui de Symonston</w:t>
      </w:r>
      <w:r w:rsidR="008D6B80">
        <w:rPr>
          <w:lang w:val="fr-FR"/>
        </w:rPr>
        <w:t xml:space="preserve">. </w:t>
      </w:r>
      <w:r w:rsidR="0088693A">
        <w:rPr>
          <w:lang w:val="fr-FR"/>
        </w:rPr>
        <w:t>Le nombre moyen de détenus dans ces deux centres pendant les années budgétaires 2004-2005, 2005-2006 et 2006-2007 fi</w:t>
      </w:r>
      <w:r w:rsidR="00482450">
        <w:rPr>
          <w:lang w:val="fr-FR"/>
        </w:rPr>
        <w:t>gure</w:t>
      </w:r>
      <w:r w:rsidR="0088693A">
        <w:rPr>
          <w:lang w:val="fr-FR"/>
        </w:rPr>
        <w:t xml:space="preserve"> dans le tableau ci</w:t>
      </w:r>
      <w:r w:rsidR="00657CCC">
        <w:rPr>
          <w:lang w:val="fr-FR"/>
        </w:rPr>
        <w:noBreakHyphen/>
      </w:r>
      <w:r w:rsidR="0088693A">
        <w:rPr>
          <w:lang w:val="fr-FR"/>
        </w:rPr>
        <w:t>dessous.</w:t>
      </w: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760"/>
        <w:gridCol w:w="2440"/>
      </w:tblGrid>
      <w:tr w:rsidR="00482450" w:rsidRPr="00657CCC">
        <w:tblPrEx>
          <w:tblCellMar>
            <w:top w:w="0" w:type="dxa"/>
            <w:bottom w:w="0" w:type="dxa"/>
          </w:tblCellMar>
        </w:tblPrEx>
        <w:trPr>
          <w:jc w:val="center"/>
        </w:trPr>
        <w:tc>
          <w:tcPr>
            <w:tcW w:w="1920" w:type="dxa"/>
            <w:tcBorders>
              <w:top w:val="single" w:sz="4" w:space="0" w:color="auto"/>
              <w:left w:val="single" w:sz="4" w:space="0" w:color="auto"/>
              <w:bottom w:val="single" w:sz="4" w:space="0" w:color="auto"/>
            </w:tcBorders>
            <w:shd w:val="clear" w:color="auto" w:fill="auto"/>
            <w:vAlign w:val="center"/>
          </w:tcPr>
          <w:p w:rsidR="00482450" w:rsidRPr="00657CCC" w:rsidRDefault="00767E69" w:rsidP="005D7B68">
            <w:pPr>
              <w:tabs>
                <w:tab w:val="left" w:pos="567"/>
                <w:tab w:val="left" w:pos="1134"/>
                <w:tab w:val="left" w:pos="1701"/>
                <w:tab w:val="left" w:pos="2268"/>
                <w:tab w:val="left" w:pos="2835"/>
              </w:tabs>
              <w:spacing w:before="20" w:after="20"/>
              <w:jc w:val="center"/>
              <w:rPr>
                <w:sz w:val="22"/>
                <w:szCs w:val="22"/>
              </w:rPr>
            </w:pPr>
            <w:r w:rsidRPr="00657CCC">
              <w:rPr>
                <w:sz w:val="22"/>
                <w:szCs w:val="22"/>
              </w:rPr>
              <w:t>Année budgétaire</w:t>
            </w:r>
          </w:p>
        </w:tc>
        <w:tc>
          <w:tcPr>
            <w:tcW w:w="2760" w:type="dxa"/>
            <w:tcBorders>
              <w:top w:val="single" w:sz="4" w:space="0" w:color="auto"/>
              <w:bottom w:val="single" w:sz="4" w:space="0" w:color="auto"/>
            </w:tcBorders>
            <w:shd w:val="clear" w:color="auto" w:fill="auto"/>
          </w:tcPr>
          <w:p w:rsidR="00482450" w:rsidRPr="00657CCC" w:rsidRDefault="00767E69" w:rsidP="005D7B68">
            <w:pPr>
              <w:tabs>
                <w:tab w:val="left" w:pos="567"/>
                <w:tab w:val="left" w:pos="1134"/>
                <w:tab w:val="left" w:pos="1701"/>
                <w:tab w:val="left" w:pos="2268"/>
                <w:tab w:val="left" w:pos="2835"/>
              </w:tabs>
              <w:spacing w:before="20" w:after="20"/>
              <w:jc w:val="center"/>
              <w:rPr>
                <w:bCs/>
                <w:sz w:val="22"/>
                <w:szCs w:val="22"/>
                <w:lang w:val="fr-FR"/>
              </w:rPr>
            </w:pPr>
            <w:r w:rsidRPr="00657CCC">
              <w:rPr>
                <w:bCs/>
                <w:sz w:val="22"/>
                <w:szCs w:val="22"/>
                <w:lang w:val="fr-FR"/>
              </w:rPr>
              <w:t>Nombre quotidien moyen de personnes placées en détention provisoire</w:t>
            </w:r>
          </w:p>
        </w:tc>
        <w:tc>
          <w:tcPr>
            <w:tcW w:w="2440" w:type="dxa"/>
            <w:tcBorders>
              <w:top w:val="single" w:sz="4" w:space="0" w:color="auto"/>
              <w:bottom w:val="single" w:sz="4" w:space="0" w:color="auto"/>
              <w:right w:val="single" w:sz="4" w:space="0" w:color="auto"/>
            </w:tcBorders>
            <w:shd w:val="clear" w:color="auto" w:fill="auto"/>
            <w:vAlign w:val="center"/>
          </w:tcPr>
          <w:p w:rsidR="00482450" w:rsidRPr="00657CCC" w:rsidRDefault="00767E69" w:rsidP="005D7B68">
            <w:pPr>
              <w:tabs>
                <w:tab w:val="left" w:pos="567"/>
                <w:tab w:val="left" w:pos="1134"/>
                <w:tab w:val="left" w:pos="1701"/>
                <w:tab w:val="left" w:pos="2268"/>
                <w:tab w:val="left" w:pos="2835"/>
              </w:tabs>
              <w:spacing w:before="20" w:after="20"/>
              <w:jc w:val="center"/>
              <w:rPr>
                <w:bCs/>
                <w:sz w:val="22"/>
                <w:szCs w:val="22"/>
                <w:lang w:val="fr-FR"/>
              </w:rPr>
            </w:pPr>
            <w:r w:rsidRPr="00657CCC">
              <w:rPr>
                <w:bCs/>
                <w:sz w:val="22"/>
                <w:szCs w:val="22"/>
                <w:lang w:val="fr-FR"/>
              </w:rPr>
              <w:t>Changement par rapport à l’année précédente</w:t>
            </w:r>
          </w:p>
        </w:tc>
      </w:tr>
      <w:tr w:rsidR="00482450" w:rsidRPr="00657CCC">
        <w:tblPrEx>
          <w:tblCellMar>
            <w:top w:w="0" w:type="dxa"/>
            <w:bottom w:w="0" w:type="dxa"/>
          </w:tblCellMar>
        </w:tblPrEx>
        <w:trPr>
          <w:jc w:val="center"/>
        </w:trPr>
        <w:tc>
          <w:tcPr>
            <w:tcW w:w="1920" w:type="dxa"/>
            <w:tcBorders>
              <w:top w:val="single" w:sz="4" w:space="0" w:color="auto"/>
              <w:bottom w:val="nil"/>
            </w:tcBorders>
          </w:tcPr>
          <w:p w:rsidR="00482450" w:rsidRPr="00657CCC" w:rsidRDefault="00482450" w:rsidP="005D7B68">
            <w:pPr>
              <w:tabs>
                <w:tab w:val="left" w:pos="567"/>
                <w:tab w:val="left" w:pos="1134"/>
                <w:tab w:val="left" w:pos="1701"/>
                <w:tab w:val="left" w:pos="2268"/>
                <w:tab w:val="left" w:pos="2835"/>
              </w:tabs>
              <w:spacing w:before="20" w:after="20"/>
              <w:rPr>
                <w:sz w:val="22"/>
                <w:szCs w:val="22"/>
              </w:rPr>
            </w:pPr>
            <w:r w:rsidRPr="00657CCC">
              <w:rPr>
                <w:sz w:val="22"/>
                <w:szCs w:val="22"/>
              </w:rPr>
              <w:t>2004/05</w:t>
            </w:r>
          </w:p>
        </w:tc>
        <w:tc>
          <w:tcPr>
            <w:tcW w:w="2760" w:type="dxa"/>
            <w:tcBorders>
              <w:top w:val="single" w:sz="4" w:space="0" w:color="auto"/>
              <w:bottom w:val="nil"/>
            </w:tcBorders>
          </w:tcPr>
          <w:p w:rsidR="00482450" w:rsidRPr="00657CCC" w:rsidRDefault="00482450" w:rsidP="005D7B68">
            <w:pPr>
              <w:tabs>
                <w:tab w:val="left" w:pos="567"/>
                <w:tab w:val="left" w:pos="1134"/>
                <w:tab w:val="left" w:pos="1701"/>
                <w:tab w:val="left" w:pos="2268"/>
                <w:tab w:val="left" w:pos="2835"/>
              </w:tabs>
              <w:spacing w:before="20" w:after="20"/>
              <w:ind w:right="492"/>
              <w:jc w:val="right"/>
              <w:rPr>
                <w:sz w:val="22"/>
                <w:szCs w:val="22"/>
              </w:rPr>
            </w:pPr>
            <w:r w:rsidRPr="00657CCC">
              <w:rPr>
                <w:sz w:val="22"/>
                <w:szCs w:val="22"/>
              </w:rPr>
              <w:t>68</w:t>
            </w:r>
            <w:r w:rsidR="00767E69" w:rsidRPr="00657CCC">
              <w:rPr>
                <w:sz w:val="22"/>
                <w:szCs w:val="22"/>
              </w:rPr>
              <w:t>,</w:t>
            </w:r>
            <w:r w:rsidRPr="00657CCC">
              <w:rPr>
                <w:sz w:val="22"/>
                <w:szCs w:val="22"/>
              </w:rPr>
              <w:t>5</w:t>
            </w:r>
            <w:r w:rsidR="00572260" w:rsidRPr="00657CCC">
              <w:rPr>
                <w:sz w:val="22"/>
                <w:szCs w:val="22"/>
              </w:rPr>
              <w:t xml:space="preserve"> </w:t>
            </w:r>
          </w:p>
        </w:tc>
        <w:tc>
          <w:tcPr>
            <w:tcW w:w="2440" w:type="dxa"/>
            <w:tcBorders>
              <w:top w:val="single" w:sz="4" w:space="0" w:color="auto"/>
              <w:bottom w:val="nil"/>
            </w:tcBorders>
          </w:tcPr>
          <w:p w:rsidR="00482450" w:rsidRPr="00657CCC" w:rsidRDefault="00482450" w:rsidP="005D7B68">
            <w:pPr>
              <w:tabs>
                <w:tab w:val="left" w:pos="567"/>
                <w:tab w:val="left" w:pos="1134"/>
                <w:tab w:val="left" w:pos="1701"/>
                <w:tab w:val="left" w:pos="2268"/>
                <w:tab w:val="left" w:pos="2835"/>
              </w:tabs>
              <w:spacing w:before="20" w:after="20"/>
              <w:ind w:right="492"/>
              <w:jc w:val="right"/>
              <w:rPr>
                <w:sz w:val="22"/>
                <w:szCs w:val="22"/>
              </w:rPr>
            </w:pPr>
            <w:r w:rsidRPr="00657CCC">
              <w:rPr>
                <w:sz w:val="22"/>
                <w:szCs w:val="22"/>
              </w:rPr>
              <w:t>+7</w:t>
            </w:r>
            <w:r w:rsidR="00767E69" w:rsidRPr="00657CCC">
              <w:rPr>
                <w:sz w:val="22"/>
                <w:szCs w:val="22"/>
              </w:rPr>
              <w:t>,</w:t>
            </w:r>
            <w:r w:rsidRPr="00657CCC">
              <w:rPr>
                <w:sz w:val="22"/>
                <w:szCs w:val="22"/>
              </w:rPr>
              <w:t>4%</w:t>
            </w:r>
          </w:p>
        </w:tc>
      </w:tr>
      <w:tr w:rsidR="00482450" w:rsidRPr="00657CCC">
        <w:tblPrEx>
          <w:tblCellMar>
            <w:top w:w="0" w:type="dxa"/>
            <w:bottom w:w="0" w:type="dxa"/>
          </w:tblCellMar>
        </w:tblPrEx>
        <w:trPr>
          <w:jc w:val="center"/>
        </w:trPr>
        <w:tc>
          <w:tcPr>
            <w:tcW w:w="1920" w:type="dxa"/>
            <w:tcBorders>
              <w:top w:val="nil"/>
              <w:bottom w:val="nil"/>
            </w:tcBorders>
          </w:tcPr>
          <w:p w:rsidR="00482450" w:rsidRPr="00657CCC" w:rsidRDefault="00482450" w:rsidP="005D7B68">
            <w:pPr>
              <w:tabs>
                <w:tab w:val="left" w:pos="567"/>
                <w:tab w:val="left" w:pos="1134"/>
                <w:tab w:val="left" w:pos="1701"/>
                <w:tab w:val="left" w:pos="2268"/>
                <w:tab w:val="left" w:pos="2835"/>
              </w:tabs>
              <w:spacing w:before="20" w:after="20"/>
              <w:rPr>
                <w:sz w:val="22"/>
                <w:szCs w:val="22"/>
              </w:rPr>
            </w:pPr>
            <w:r w:rsidRPr="00657CCC">
              <w:rPr>
                <w:sz w:val="22"/>
                <w:szCs w:val="22"/>
              </w:rPr>
              <w:t>2005/06</w:t>
            </w:r>
          </w:p>
        </w:tc>
        <w:tc>
          <w:tcPr>
            <w:tcW w:w="2760" w:type="dxa"/>
            <w:tcBorders>
              <w:top w:val="nil"/>
              <w:bottom w:val="nil"/>
            </w:tcBorders>
          </w:tcPr>
          <w:p w:rsidR="00482450" w:rsidRPr="00657CCC" w:rsidRDefault="00482450" w:rsidP="005D7B68">
            <w:pPr>
              <w:tabs>
                <w:tab w:val="left" w:pos="567"/>
                <w:tab w:val="left" w:pos="1134"/>
                <w:tab w:val="left" w:pos="1701"/>
                <w:tab w:val="left" w:pos="2268"/>
                <w:tab w:val="left" w:pos="2835"/>
              </w:tabs>
              <w:spacing w:before="20" w:after="20"/>
              <w:ind w:right="492"/>
              <w:jc w:val="right"/>
              <w:rPr>
                <w:sz w:val="22"/>
                <w:szCs w:val="22"/>
              </w:rPr>
            </w:pPr>
            <w:r w:rsidRPr="00657CCC">
              <w:rPr>
                <w:sz w:val="22"/>
                <w:szCs w:val="22"/>
              </w:rPr>
              <w:t>67</w:t>
            </w:r>
            <w:r w:rsidR="00767E69" w:rsidRPr="00657CCC">
              <w:rPr>
                <w:sz w:val="22"/>
                <w:szCs w:val="22"/>
              </w:rPr>
              <w:t>,</w:t>
            </w:r>
            <w:r w:rsidRPr="00657CCC">
              <w:rPr>
                <w:sz w:val="22"/>
                <w:szCs w:val="22"/>
              </w:rPr>
              <w:t>2</w:t>
            </w:r>
            <w:r w:rsidR="00572260" w:rsidRPr="00657CCC">
              <w:rPr>
                <w:sz w:val="22"/>
                <w:szCs w:val="22"/>
              </w:rPr>
              <w:t xml:space="preserve"> </w:t>
            </w:r>
          </w:p>
        </w:tc>
        <w:tc>
          <w:tcPr>
            <w:tcW w:w="2440" w:type="dxa"/>
            <w:tcBorders>
              <w:top w:val="nil"/>
              <w:bottom w:val="nil"/>
            </w:tcBorders>
          </w:tcPr>
          <w:p w:rsidR="00482450" w:rsidRPr="00657CCC" w:rsidRDefault="00F0105A" w:rsidP="005D7B68">
            <w:pPr>
              <w:tabs>
                <w:tab w:val="left" w:pos="567"/>
                <w:tab w:val="left" w:pos="1134"/>
                <w:tab w:val="left" w:pos="1701"/>
                <w:tab w:val="left" w:pos="2268"/>
                <w:tab w:val="left" w:pos="2835"/>
              </w:tabs>
              <w:spacing w:before="20" w:after="20"/>
              <w:ind w:right="492" w:firstLine="12"/>
              <w:jc w:val="right"/>
              <w:rPr>
                <w:sz w:val="22"/>
                <w:szCs w:val="22"/>
              </w:rPr>
            </w:pPr>
            <w:r>
              <w:rPr>
                <w:sz w:val="22"/>
                <w:szCs w:val="22"/>
              </w:rPr>
              <w:noBreakHyphen/>
            </w:r>
            <w:r w:rsidR="00482450" w:rsidRPr="00657CCC">
              <w:rPr>
                <w:sz w:val="22"/>
                <w:szCs w:val="22"/>
              </w:rPr>
              <w:t>1</w:t>
            </w:r>
            <w:r w:rsidR="00767E69" w:rsidRPr="00657CCC">
              <w:rPr>
                <w:sz w:val="22"/>
                <w:szCs w:val="22"/>
              </w:rPr>
              <w:t>,</w:t>
            </w:r>
            <w:r w:rsidR="00482450" w:rsidRPr="00657CCC">
              <w:rPr>
                <w:sz w:val="22"/>
                <w:szCs w:val="22"/>
              </w:rPr>
              <w:t>9%</w:t>
            </w:r>
          </w:p>
        </w:tc>
      </w:tr>
      <w:tr w:rsidR="00482450" w:rsidRPr="00657CCC">
        <w:tblPrEx>
          <w:tblCellMar>
            <w:top w:w="0" w:type="dxa"/>
            <w:bottom w:w="0" w:type="dxa"/>
          </w:tblCellMar>
        </w:tblPrEx>
        <w:trPr>
          <w:jc w:val="center"/>
        </w:trPr>
        <w:tc>
          <w:tcPr>
            <w:tcW w:w="1920" w:type="dxa"/>
            <w:tcBorders>
              <w:top w:val="nil"/>
            </w:tcBorders>
          </w:tcPr>
          <w:p w:rsidR="00482450" w:rsidRPr="00657CCC" w:rsidRDefault="00482450" w:rsidP="005D7B68">
            <w:pPr>
              <w:tabs>
                <w:tab w:val="left" w:pos="567"/>
                <w:tab w:val="left" w:pos="1134"/>
                <w:tab w:val="left" w:pos="1701"/>
                <w:tab w:val="left" w:pos="2268"/>
                <w:tab w:val="left" w:pos="2835"/>
              </w:tabs>
              <w:spacing w:before="20" w:after="20"/>
              <w:rPr>
                <w:sz w:val="22"/>
                <w:szCs w:val="22"/>
              </w:rPr>
            </w:pPr>
            <w:r w:rsidRPr="00657CCC">
              <w:rPr>
                <w:sz w:val="22"/>
                <w:szCs w:val="22"/>
              </w:rPr>
              <w:t>2006/07</w:t>
            </w:r>
          </w:p>
        </w:tc>
        <w:tc>
          <w:tcPr>
            <w:tcW w:w="2760" w:type="dxa"/>
            <w:tcBorders>
              <w:top w:val="nil"/>
            </w:tcBorders>
          </w:tcPr>
          <w:p w:rsidR="00482450" w:rsidRPr="00657CCC" w:rsidRDefault="00482450" w:rsidP="005D7B68">
            <w:pPr>
              <w:tabs>
                <w:tab w:val="left" w:pos="567"/>
                <w:tab w:val="left" w:pos="1134"/>
                <w:tab w:val="left" w:pos="1701"/>
                <w:tab w:val="left" w:pos="2268"/>
                <w:tab w:val="left" w:pos="2835"/>
              </w:tabs>
              <w:spacing w:before="20" w:after="20"/>
              <w:ind w:right="492"/>
              <w:jc w:val="right"/>
              <w:rPr>
                <w:sz w:val="22"/>
                <w:szCs w:val="22"/>
              </w:rPr>
            </w:pPr>
            <w:r w:rsidRPr="00657CCC">
              <w:rPr>
                <w:sz w:val="22"/>
                <w:szCs w:val="22"/>
              </w:rPr>
              <w:t>64</w:t>
            </w:r>
            <w:r w:rsidR="00767E69" w:rsidRPr="00657CCC">
              <w:rPr>
                <w:sz w:val="22"/>
                <w:szCs w:val="22"/>
              </w:rPr>
              <w:t>,</w:t>
            </w:r>
            <w:r w:rsidRPr="00657CCC">
              <w:rPr>
                <w:sz w:val="22"/>
                <w:szCs w:val="22"/>
              </w:rPr>
              <w:t>43</w:t>
            </w:r>
          </w:p>
        </w:tc>
        <w:tc>
          <w:tcPr>
            <w:tcW w:w="2440" w:type="dxa"/>
            <w:tcBorders>
              <w:top w:val="nil"/>
            </w:tcBorders>
          </w:tcPr>
          <w:p w:rsidR="00482450" w:rsidRPr="00657CCC" w:rsidRDefault="00F0105A" w:rsidP="005D7B68">
            <w:pPr>
              <w:tabs>
                <w:tab w:val="left" w:pos="567"/>
                <w:tab w:val="left" w:pos="1134"/>
                <w:tab w:val="left" w:pos="1701"/>
                <w:tab w:val="left" w:pos="2268"/>
                <w:tab w:val="left" w:pos="2835"/>
              </w:tabs>
              <w:spacing w:before="20" w:after="20"/>
              <w:ind w:right="492" w:firstLine="12"/>
              <w:jc w:val="right"/>
              <w:rPr>
                <w:sz w:val="22"/>
                <w:szCs w:val="22"/>
              </w:rPr>
            </w:pPr>
            <w:r>
              <w:rPr>
                <w:sz w:val="22"/>
                <w:szCs w:val="22"/>
              </w:rPr>
              <w:noBreakHyphen/>
            </w:r>
            <w:r w:rsidR="00482450" w:rsidRPr="00657CCC">
              <w:rPr>
                <w:sz w:val="22"/>
                <w:szCs w:val="22"/>
              </w:rPr>
              <w:t>2</w:t>
            </w:r>
            <w:r w:rsidR="00767E69" w:rsidRPr="00657CCC">
              <w:rPr>
                <w:sz w:val="22"/>
                <w:szCs w:val="22"/>
              </w:rPr>
              <w:t>,</w:t>
            </w:r>
            <w:r w:rsidR="00482450" w:rsidRPr="00657CCC">
              <w:rPr>
                <w:sz w:val="22"/>
                <w:szCs w:val="22"/>
              </w:rPr>
              <w:t>7%</w:t>
            </w:r>
          </w:p>
        </w:tc>
      </w:tr>
    </w:tbl>
    <w:p w:rsidR="0088693A" w:rsidRPr="00786174" w:rsidRDefault="00466F89" w:rsidP="005D7B68">
      <w:pPr>
        <w:tabs>
          <w:tab w:val="left" w:pos="567"/>
          <w:tab w:val="left" w:pos="1134"/>
          <w:tab w:val="left" w:pos="1701"/>
          <w:tab w:val="left" w:pos="2268"/>
          <w:tab w:val="left" w:pos="2835"/>
        </w:tabs>
        <w:spacing w:before="240"/>
        <w:rPr>
          <w:lang w:val="fr-FR"/>
        </w:rPr>
      </w:pPr>
      <w:r>
        <w:rPr>
          <w:lang w:val="fr-FR"/>
        </w:rPr>
        <w:t>411</w:t>
      </w:r>
      <w:r w:rsidR="000749F5">
        <w:rPr>
          <w:lang w:val="fr-FR"/>
        </w:rPr>
        <w:t>.</w:t>
      </w:r>
      <w:r w:rsidR="000749F5">
        <w:rPr>
          <w:lang w:val="fr-FR"/>
        </w:rPr>
        <w:tab/>
        <w:t>Le</w:t>
      </w:r>
      <w:r w:rsidR="00767E69">
        <w:rPr>
          <w:lang w:val="fr-FR"/>
        </w:rPr>
        <w:t xml:space="preserve"> nombre effectif de détenus dans le Territoire de la capitale</w:t>
      </w:r>
      <w:r w:rsidR="00D31C54">
        <w:rPr>
          <w:lang w:val="fr-FR"/>
        </w:rPr>
        <w:t xml:space="preserve"> fédérale</w:t>
      </w:r>
      <w:r w:rsidR="00767E69">
        <w:rPr>
          <w:lang w:val="fr-FR"/>
        </w:rPr>
        <w:t xml:space="preserve"> a beaucoup varié au cours de l’année</w:t>
      </w:r>
      <w:r w:rsidR="008D6B80">
        <w:rPr>
          <w:lang w:val="fr-FR"/>
        </w:rPr>
        <w:t xml:space="preserve">. </w:t>
      </w:r>
      <w:r w:rsidR="00767E69">
        <w:rPr>
          <w:lang w:val="fr-FR"/>
        </w:rPr>
        <w:t xml:space="preserve">Le tableau ci-dessous </w:t>
      </w:r>
      <w:r w:rsidR="000749F5">
        <w:rPr>
          <w:lang w:val="fr-FR"/>
        </w:rPr>
        <w:t xml:space="preserve">en </w:t>
      </w:r>
      <w:r w:rsidR="00767E69">
        <w:rPr>
          <w:lang w:val="fr-FR"/>
        </w:rPr>
        <w:t>indique les pointes et les creux</w:t>
      </w:r>
      <w:r w:rsidR="000749F5">
        <w:rPr>
          <w:lang w:val="fr-FR"/>
        </w:rPr>
        <w:t>.</w:t>
      </w:r>
    </w:p>
    <w:tbl>
      <w:tblPr>
        <w:tblW w:w="7120"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835"/>
        <w:gridCol w:w="2410"/>
      </w:tblGrid>
      <w:tr w:rsidR="00187E8F" w:rsidRPr="00657CCC">
        <w:tblPrEx>
          <w:tblCellMar>
            <w:top w:w="0" w:type="dxa"/>
            <w:bottom w:w="0" w:type="dxa"/>
          </w:tblCellMar>
        </w:tblPrEx>
        <w:trPr>
          <w:jc w:val="center"/>
        </w:trPr>
        <w:tc>
          <w:tcPr>
            <w:tcW w:w="1875" w:type="dxa"/>
            <w:tcBorders>
              <w:bottom w:val="single" w:sz="4" w:space="0" w:color="auto"/>
            </w:tcBorders>
            <w:shd w:val="clear" w:color="auto" w:fill="auto"/>
            <w:vAlign w:val="center"/>
          </w:tcPr>
          <w:p w:rsidR="00187E8F" w:rsidRPr="00657CCC" w:rsidRDefault="00187E8F" w:rsidP="005D7B68">
            <w:pPr>
              <w:tabs>
                <w:tab w:val="left" w:pos="567"/>
                <w:tab w:val="left" w:pos="1134"/>
                <w:tab w:val="left" w:pos="1701"/>
                <w:tab w:val="left" w:pos="2268"/>
                <w:tab w:val="left" w:pos="2835"/>
              </w:tabs>
              <w:spacing w:before="20" w:after="20"/>
              <w:jc w:val="center"/>
              <w:rPr>
                <w:sz w:val="22"/>
                <w:szCs w:val="22"/>
              </w:rPr>
            </w:pPr>
            <w:r w:rsidRPr="00657CCC">
              <w:rPr>
                <w:sz w:val="22"/>
                <w:szCs w:val="22"/>
              </w:rPr>
              <w:t>Année budgétaire</w:t>
            </w:r>
          </w:p>
        </w:tc>
        <w:tc>
          <w:tcPr>
            <w:tcW w:w="2835" w:type="dxa"/>
            <w:tcBorders>
              <w:bottom w:val="single" w:sz="4" w:space="0" w:color="auto"/>
            </w:tcBorders>
            <w:shd w:val="clear" w:color="auto" w:fill="auto"/>
            <w:vAlign w:val="center"/>
          </w:tcPr>
          <w:p w:rsidR="00187E8F" w:rsidRPr="00657CCC" w:rsidRDefault="00187E8F" w:rsidP="005D7B68">
            <w:pPr>
              <w:tabs>
                <w:tab w:val="left" w:pos="567"/>
                <w:tab w:val="left" w:pos="1134"/>
                <w:tab w:val="left" w:pos="1701"/>
                <w:tab w:val="left" w:pos="2268"/>
                <w:tab w:val="left" w:pos="2835"/>
              </w:tabs>
              <w:spacing w:before="20" w:after="20"/>
              <w:jc w:val="center"/>
              <w:rPr>
                <w:bCs/>
                <w:sz w:val="22"/>
                <w:szCs w:val="22"/>
                <w:lang w:val="fr-FR"/>
              </w:rPr>
            </w:pPr>
            <w:r w:rsidRPr="00657CCC">
              <w:rPr>
                <w:bCs/>
                <w:sz w:val="22"/>
                <w:szCs w:val="22"/>
                <w:lang w:val="fr-FR"/>
              </w:rPr>
              <w:t>Nombre maximum de personnes placées en détention provisoire (mois)</w:t>
            </w:r>
          </w:p>
        </w:tc>
        <w:tc>
          <w:tcPr>
            <w:tcW w:w="2410" w:type="dxa"/>
            <w:tcBorders>
              <w:bottom w:val="single" w:sz="4" w:space="0" w:color="auto"/>
            </w:tcBorders>
            <w:shd w:val="clear" w:color="auto" w:fill="auto"/>
          </w:tcPr>
          <w:p w:rsidR="00187E8F" w:rsidRPr="00657CCC" w:rsidRDefault="00187E8F" w:rsidP="005D7B68">
            <w:pPr>
              <w:tabs>
                <w:tab w:val="left" w:pos="567"/>
                <w:tab w:val="left" w:pos="1134"/>
                <w:tab w:val="left" w:pos="1701"/>
                <w:tab w:val="left" w:pos="2268"/>
                <w:tab w:val="left" w:pos="2835"/>
              </w:tabs>
              <w:spacing w:before="20" w:after="20"/>
              <w:jc w:val="center"/>
              <w:rPr>
                <w:bCs/>
                <w:sz w:val="22"/>
                <w:szCs w:val="22"/>
                <w:lang w:val="fr-FR"/>
              </w:rPr>
            </w:pPr>
            <w:r w:rsidRPr="00657CCC">
              <w:rPr>
                <w:bCs/>
                <w:sz w:val="22"/>
                <w:szCs w:val="22"/>
                <w:lang w:val="fr-FR"/>
              </w:rPr>
              <w:t>Nombre minimum de personnes placées en détention provisoire (mois)</w:t>
            </w:r>
          </w:p>
        </w:tc>
      </w:tr>
      <w:tr w:rsidR="00187E8F" w:rsidRPr="00657CCC">
        <w:tblPrEx>
          <w:tblCellMar>
            <w:top w:w="0" w:type="dxa"/>
            <w:bottom w:w="0" w:type="dxa"/>
          </w:tblCellMar>
        </w:tblPrEx>
        <w:trPr>
          <w:jc w:val="center"/>
        </w:trPr>
        <w:tc>
          <w:tcPr>
            <w:tcW w:w="1875" w:type="dxa"/>
            <w:tcBorders>
              <w:bottom w:val="nil"/>
            </w:tcBorders>
          </w:tcPr>
          <w:p w:rsidR="00187E8F" w:rsidRPr="00657CCC" w:rsidRDefault="00187E8F" w:rsidP="005D7B68">
            <w:pPr>
              <w:tabs>
                <w:tab w:val="left" w:pos="567"/>
                <w:tab w:val="left" w:pos="1134"/>
                <w:tab w:val="left" w:pos="1701"/>
                <w:tab w:val="left" w:pos="2268"/>
                <w:tab w:val="left" w:pos="2835"/>
              </w:tabs>
              <w:spacing w:before="20" w:after="20"/>
              <w:rPr>
                <w:sz w:val="22"/>
                <w:szCs w:val="22"/>
              </w:rPr>
            </w:pPr>
            <w:r w:rsidRPr="00657CCC">
              <w:rPr>
                <w:sz w:val="22"/>
                <w:szCs w:val="22"/>
              </w:rPr>
              <w:t>2004/05</w:t>
            </w:r>
          </w:p>
        </w:tc>
        <w:tc>
          <w:tcPr>
            <w:tcW w:w="2835" w:type="dxa"/>
            <w:tcBorders>
              <w:bottom w:val="nil"/>
            </w:tcBorders>
          </w:tcPr>
          <w:p w:rsidR="00187E8F" w:rsidRPr="00657CCC" w:rsidRDefault="00187E8F" w:rsidP="005D7B68">
            <w:pPr>
              <w:tabs>
                <w:tab w:val="left" w:pos="567"/>
                <w:tab w:val="left" w:pos="1134"/>
                <w:tab w:val="left" w:pos="1701"/>
                <w:tab w:val="left" w:pos="2268"/>
                <w:tab w:val="left" w:pos="2835"/>
              </w:tabs>
              <w:spacing w:before="20" w:after="20"/>
              <w:ind w:left="537"/>
              <w:rPr>
                <w:sz w:val="22"/>
                <w:szCs w:val="22"/>
              </w:rPr>
            </w:pPr>
            <w:r w:rsidRPr="00657CCC">
              <w:rPr>
                <w:sz w:val="22"/>
                <w:szCs w:val="22"/>
              </w:rPr>
              <w:t>84 en juin</w:t>
            </w:r>
          </w:p>
        </w:tc>
        <w:tc>
          <w:tcPr>
            <w:tcW w:w="2410" w:type="dxa"/>
            <w:tcBorders>
              <w:bottom w:val="nil"/>
            </w:tcBorders>
          </w:tcPr>
          <w:p w:rsidR="00187E8F" w:rsidRPr="00657CCC" w:rsidRDefault="00187E8F" w:rsidP="005D7B68">
            <w:pPr>
              <w:tabs>
                <w:tab w:val="left" w:pos="567"/>
                <w:tab w:val="left" w:pos="1134"/>
                <w:tab w:val="left" w:pos="1701"/>
                <w:tab w:val="left" w:pos="2268"/>
                <w:tab w:val="left" w:pos="2835"/>
              </w:tabs>
              <w:spacing w:before="20" w:after="20"/>
              <w:jc w:val="center"/>
              <w:rPr>
                <w:sz w:val="22"/>
                <w:szCs w:val="22"/>
              </w:rPr>
            </w:pPr>
            <w:r w:rsidRPr="00657CCC">
              <w:rPr>
                <w:sz w:val="22"/>
                <w:szCs w:val="22"/>
              </w:rPr>
              <w:t>53 en novembre</w:t>
            </w:r>
          </w:p>
        </w:tc>
      </w:tr>
      <w:tr w:rsidR="00187E8F" w:rsidRPr="00657CCC">
        <w:tblPrEx>
          <w:tblCellMar>
            <w:top w:w="0" w:type="dxa"/>
            <w:bottom w:w="0" w:type="dxa"/>
          </w:tblCellMar>
        </w:tblPrEx>
        <w:trPr>
          <w:jc w:val="center"/>
        </w:trPr>
        <w:tc>
          <w:tcPr>
            <w:tcW w:w="1875" w:type="dxa"/>
            <w:tcBorders>
              <w:top w:val="nil"/>
              <w:bottom w:val="nil"/>
            </w:tcBorders>
          </w:tcPr>
          <w:p w:rsidR="00187E8F" w:rsidRPr="00657CCC" w:rsidRDefault="00187E8F" w:rsidP="005D7B68">
            <w:pPr>
              <w:tabs>
                <w:tab w:val="left" w:pos="567"/>
                <w:tab w:val="left" w:pos="1134"/>
                <w:tab w:val="left" w:pos="1701"/>
                <w:tab w:val="left" w:pos="2268"/>
                <w:tab w:val="left" w:pos="2835"/>
              </w:tabs>
              <w:spacing w:before="20" w:after="20"/>
              <w:rPr>
                <w:sz w:val="22"/>
                <w:szCs w:val="22"/>
              </w:rPr>
            </w:pPr>
            <w:r w:rsidRPr="00657CCC">
              <w:rPr>
                <w:sz w:val="22"/>
                <w:szCs w:val="22"/>
              </w:rPr>
              <w:t>2005/06</w:t>
            </w:r>
          </w:p>
        </w:tc>
        <w:tc>
          <w:tcPr>
            <w:tcW w:w="2835" w:type="dxa"/>
            <w:tcBorders>
              <w:top w:val="nil"/>
              <w:bottom w:val="nil"/>
            </w:tcBorders>
          </w:tcPr>
          <w:p w:rsidR="00187E8F" w:rsidRPr="00657CCC" w:rsidRDefault="00187E8F" w:rsidP="005D7B68">
            <w:pPr>
              <w:tabs>
                <w:tab w:val="left" w:pos="567"/>
                <w:tab w:val="left" w:pos="1134"/>
                <w:tab w:val="left" w:pos="1701"/>
                <w:tab w:val="left" w:pos="2268"/>
                <w:tab w:val="left" w:pos="2835"/>
              </w:tabs>
              <w:spacing w:before="20" w:after="20"/>
              <w:ind w:left="537"/>
              <w:rPr>
                <w:sz w:val="22"/>
                <w:szCs w:val="22"/>
              </w:rPr>
            </w:pPr>
            <w:r w:rsidRPr="00657CCC">
              <w:rPr>
                <w:sz w:val="22"/>
                <w:szCs w:val="22"/>
              </w:rPr>
              <w:t>85 en septembre</w:t>
            </w:r>
          </w:p>
        </w:tc>
        <w:tc>
          <w:tcPr>
            <w:tcW w:w="2410" w:type="dxa"/>
            <w:tcBorders>
              <w:top w:val="nil"/>
              <w:bottom w:val="nil"/>
            </w:tcBorders>
          </w:tcPr>
          <w:p w:rsidR="00187E8F" w:rsidRPr="00657CCC" w:rsidRDefault="00187E8F" w:rsidP="005D7B68">
            <w:pPr>
              <w:tabs>
                <w:tab w:val="left" w:pos="567"/>
                <w:tab w:val="left" w:pos="1134"/>
                <w:tab w:val="left" w:pos="1701"/>
                <w:tab w:val="left" w:pos="2268"/>
                <w:tab w:val="left" w:pos="2835"/>
              </w:tabs>
              <w:spacing w:before="20" w:after="20"/>
              <w:jc w:val="center"/>
              <w:rPr>
                <w:sz w:val="22"/>
                <w:szCs w:val="22"/>
              </w:rPr>
            </w:pPr>
            <w:r w:rsidRPr="00657CCC">
              <w:rPr>
                <w:sz w:val="22"/>
                <w:szCs w:val="22"/>
              </w:rPr>
              <w:t>44 en décembre</w:t>
            </w:r>
          </w:p>
        </w:tc>
      </w:tr>
      <w:tr w:rsidR="00187E8F" w:rsidRPr="00657CCC">
        <w:tblPrEx>
          <w:tblCellMar>
            <w:top w:w="0" w:type="dxa"/>
            <w:bottom w:w="0" w:type="dxa"/>
          </w:tblCellMar>
        </w:tblPrEx>
        <w:trPr>
          <w:jc w:val="center"/>
        </w:trPr>
        <w:tc>
          <w:tcPr>
            <w:tcW w:w="1875" w:type="dxa"/>
            <w:tcBorders>
              <w:top w:val="nil"/>
            </w:tcBorders>
          </w:tcPr>
          <w:p w:rsidR="00187E8F" w:rsidRPr="00657CCC" w:rsidRDefault="00187E8F" w:rsidP="005D7B68">
            <w:pPr>
              <w:tabs>
                <w:tab w:val="left" w:pos="567"/>
                <w:tab w:val="left" w:pos="1134"/>
                <w:tab w:val="left" w:pos="1701"/>
                <w:tab w:val="left" w:pos="2268"/>
                <w:tab w:val="left" w:pos="2835"/>
              </w:tabs>
              <w:spacing w:before="20" w:after="20"/>
              <w:rPr>
                <w:sz w:val="22"/>
                <w:szCs w:val="22"/>
              </w:rPr>
            </w:pPr>
            <w:r w:rsidRPr="00657CCC">
              <w:rPr>
                <w:sz w:val="22"/>
                <w:szCs w:val="22"/>
              </w:rPr>
              <w:t>2006/07</w:t>
            </w:r>
          </w:p>
        </w:tc>
        <w:tc>
          <w:tcPr>
            <w:tcW w:w="2835" w:type="dxa"/>
            <w:tcBorders>
              <w:top w:val="nil"/>
            </w:tcBorders>
          </w:tcPr>
          <w:p w:rsidR="00187E8F" w:rsidRPr="00657CCC" w:rsidRDefault="00187E8F" w:rsidP="005D7B68">
            <w:pPr>
              <w:tabs>
                <w:tab w:val="left" w:pos="567"/>
                <w:tab w:val="left" w:pos="1134"/>
                <w:tab w:val="left" w:pos="1701"/>
                <w:tab w:val="left" w:pos="2268"/>
                <w:tab w:val="left" w:pos="2835"/>
              </w:tabs>
              <w:spacing w:before="20" w:after="20"/>
              <w:ind w:left="537"/>
              <w:rPr>
                <w:sz w:val="22"/>
                <w:szCs w:val="22"/>
              </w:rPr>
            </w:pPr>
            <w:r w:rsidRPr="00657CCC">
              <w:rPr>
                <w:sz w:val="22"/>
                <w:szCs w:val="22"/>
              </w:rPr>
              <w:t>86 en juin</w:t>
            </w:r>
          </w:p>
        </w:tc>
        <w:tc>
          <w:tcPr>
            <w:tcW w:w="2410" w:type="dxa"/>
            <w:tcBorders>
              <w:top w:val="nil"/>
            </w:tcBorders>
          </w:tcPr>
          <w:p w:rsidR="00187E8F" w:rsidRPr="00657CCC" w:rsidRDefault="00187E8F" w:rsidP="005D7B68">
            <w:pPr>
              <w:tabs>
                <w:tab w:val="left" w:pos="567"/>
                <w:tab w:val="left" w:pos="1134"/>
                <w:tab w:val="left" w:pos="1701"/>
                <w:tab w:val="left" w:pos="2268"/>
                <w:tab w:val="left" w:pos="2835"/>
              </w:tabs>
              <w:spacing w:before="20" w:after="20"/>
              <w:jc w:val="center"/>
              <w:rPr>
                <w:sz w:val="22"/>
                <w:szCs w:val="22"/>
              </w:rPr>
            </w:pPr>
            <w:r w:rsidRPr="00657CCC">
              <w:rPr>
                <w:sz w:val="22"/>
                <w:szCs w:val="22"/>
              </w:rPr>
              <w:t>44 en décembre</w:t>
            </w:r>
          </w:p>
        </w:tc>
      </w:tr>
    </w:tbl>
    <w:p w:rsidR="00786174" w:rsidRDefault="005F4AD3" w:rsidP="005D7B68">
      <w:pPr>
        <w:tabs>
          <w:tab w:val="left" w:pos="567"/>
          <w:tab w:val="left" w:pos="1134"/>
          <w:tab w:val="left" w:pos="1701"/>
          <w:tab w:val="left" w:pos="2268"/>
          <w:tab w:val="left" w:pos="2835"/>
        </w:tabs>
        <w:spacing w:before="240"/>
        <w:rPr>
          <w:lang w:val="fr-FR"/>
        </w:rPr>
      </w:pPr>
      <w:r>
        <w:rPr>
          <w:lang w:val="fr-FR"/>
        </w:rPr>
        <w:t>41</w:t>
      </w:r>
      <w:r w:rsidR="00466F89">
        <w:rPr>
          <w:lang w:val="fr-FR"/>
        </w:rPr>
        <w:t>2</w:t>
      </w:r>
      <w:r>
        <w:rPr>
          <w:lang w:val="fr-FR"/>
        </w:rPr>
        <w:t>.</w:t>
      </w:r>
      <w:r>
        <w:rPr>
          <w:lang w:val="fr-FR"/>
        </w:rPr>
        <w:tab/>
        <w:t>Au total, le nombre de détenu dans les centres de Belconnen et Symonston est de 99.</w:t>
      </w:r>
    </w:p>
    <w:p w:rsidR="005F4AD3" w:rsidRPr="005F4AD3" w:rsidRDefault="005F4AD3" w:rsidP="005D7B68">
      <w:pPr>
        <w:tabs>
          <w:tab w:val="left" w:pos="567"/>
          <w:tab w:val="left" w:pos="1134"/>
          <w:tab w:val="left" w:pos="1701"/>
          <w:tab w:val="left" w:pos="2268"/>
          <w:tab w:val="left" w:pos="2835"/>
        </w:tabs>
        <w:spacing w:before="240"/>
        <w:rPr>
          <w:b/>
          <w:bCs/>
          <w:lang w:val="fr-FR"/>
        </w:rPr>
      </w:pPr>
      <w:r>
        <w:rPr>
          <w:b/>
          <w:bCs/>
          <w:lang w:val="fr-FR"/>
        </w:rPr>
        <w:t>Statistiques relatives à la détention des mineurs</w:t>
      </w:r>
    </w:p>
    <w:p w:rsidR="0089002D" w:rsidRDefault="005F4AD3" w:rsidP="005D7B68">
      <w:pPr>
        <w:tabs>
          <w:tab w:val="left" w:pos="567"/>
          <w:tab w:val="left" w:pos="1134"/>
          <w:tab w:val="left" w:pos="1701"/>
          <w:tab w:val="left" w:pos="2268"/>
          <w:tab w:val="left" w:pos="2835"/>
        </w:tabs>
        <w:spacing w:before="240"/>
        <w:rPr>
          <w:lang w:val="fr-FR"/>
        </w:rPr>
      </w:pPr>
      <w:r w:rsidRPr="005F4AD3">
        <w:rPr>
          <w:lang w:val="fr-FR"/>
        </w:rPr>
        <w:t>41</w:t>
      </w:r>
      <w:r w:rsidR="00466F89">
        <w:rPr>
          <w:lang w:val="fr-FR"/>
        </w:rPr>
        <w:t>3</w:t>
      </w:r>
      <w:r w:rsidRPr="005F4AD3">
        <w:rPr>
          <w:lang w:val="fr-FR"/>
        </w:rPr>
        <w:t>.</w:t>
      </w:r>
      <w:r w:rsidRPr="005F4AD3">
        <w:rPr>
          <w:lang w:val="fr-FR"/>
        </w:rPr>
        <w:tab/>
        <w:t>L’</w:t>
      </w:r>
      <w:r w:rsidRPr="005F4AD3">
        <w:rPr>
          <w:i/>
          <w:iCs/>
          <w:lang w:val="fr-FR"/>
        </w:rPr>
        <w:t xml:space="preserve">Office for Children, Youth and Family Support </w:t>
      </w:r>
      <w:r w:rsidR="00411125">
        <w:rPr>
          <w:lang w:val="fr-FR"/>
        </w:rPr>
        <w:t>(Office d’aide</w:t>
      </w:r>
      <w:r w:rsidR="00657CCC">
        <w:rPr>
          <w:lang w:val="fr-FR"/>
        </w:rPr>
        <w:t xml:space="preserve"> aux enfants, aux jeunes et </w:t>
      </w:r>
      <w:r w:rsidRPr="005F4AD3">
        <w:rPr>
          <w:lang w:val="fr-FR"/>
        </w:rPr>
        <w:t>aux familles) fournit des données sur le nombre de jeunes et le taux d’occupation</w:t>
      </w:r>
      <w:r>
        <w:rPr>
          <w:lang w:val="fr-FR"/>
        </w:rPr>
        <w:t xml:space="preserve"> des établissements de détention du système de justice pénale</w:t>
      </w:r>
      <w:r w:rsidR="009252DE">
        <w:rPr>
          <w:lang w:val="fr-FR"/>
        </w:rPr>
        <w:t xml:space="preserve"> à deux publications annuelles</w:t>
      </w:r>
      <w:r w:rsidR="00572260">
        <w:rPr>
          <w:lang w:val="fr-FR"/>
        </w:rPr>
        <w:t>:</w:t>
      </w:r>
      <w:r w:rsidR="009252DE">
        <w:rPr>
          <w:lang w:val="fr-FR"/>
        </w:rPr>
        <w:t xml:space="preserve"> l’</w:t>
      </w:r>
      <w:r w:rsidR="009252DE" w:rsidRPr="009252DE">
        <w:rPr>
          <w:i/>
          <w:iCs/>
          <w:lang w:val="fr-FR"/>
        </w:rPr>
        <w:t>Australian Juvenile Justice Administrators</w:t>
      </w:r>
      <w:r w:rsidR="009252DE">
        <w:rPr>
          <w:i/>
          <w:iCs/>
          <w:lang w:val="fr-FR"/>
        </w:rPr>
        <w:t xml:space="preserve"> </w:t>
      </w:r>
      <w:r w:rsidR="009252DE">
        <w:rPr>
          <w:lang w:val="fr-FR"/>
        </w:rPr>
        <w:t>(administrateurs de la justice pour mineurs) et le rapport de l’</w:t>
      </w:r>
      <w:r w:rsidR="009252DE">
        <w:rPr>
          <w:i/>
          <w:iCs/>
          <w:lang w:val="fr-FR"/>
        </w:rPr>
        <w:t>Australian Institute for Health and Welfare</w:t>
      </w:r>
      <w:r w:rsidR="005E7191">
        <w:rPr>
          <w:i/>
          <w:iCs/>
          <w:lang w:val="fr-FR"/>
        </w:rPr>
        <w:t xml:space="preserve"> </w:t>
      </w:r>
      <w:r w:rsidR="005E7191">
        <w:rPr>
          <w:lang w:val="fr-FR"/>
        </w:rPr>
        <w:t xml:space="preserve">(Institut australien pour sa santé et la protection sociale) intitulé </w:t>
      </w:r>
      <w:r w:rsidR="005E7191">
        <w:rPr>
          <w:i/>
          <w:iCs/>
          <w:lang w:val="fr-FR"/>
        </w:rPr>
        <w:t>La justic</w:t>
      </w:r>
      <w:r w:rsidR="00546444">
        <w:rPr>
          <w:i/>
          <w:iCs/>
          <w:lang w:val="fr-FR"/>
        </w:rPr>
        <w:t>e pour mineurs en Australie 2005</w:t>
      </w:r>
      <w:r w:rsidR="005E7191">
        <w:rPr>
          <w:i/>
          <w:iCs/>
          <w:lang w:val="fr-FR"/>
        </w:rPr>
        <w:t>-06</w:t>
      </w:r>
      <w:r w:rsidR="005E7191">
        <w:rPr>
          <w:lang w:val="fr-FR"/>
        </w:rPr>
        <w:t>.</w:t>
      </w:r>
    </w:p>
    <w:p w:rsidR="005E7191" w:rsidRPr="005E7191" w:rsidRDefault="005E7191" w:rsidP="005D7B68">
      <w:pPr>
        <w:tabs>
          <w:tab w:val="left" w:pos="567"/>
          <w:tab w:val="left" w:pos="1134"/>
          <w:tab w:val="left" w:pos="1701"/>
          <w:tab w:val="left" w:pos="2268"/>
          <w:tab w:val="left" w:pos="2835"/>
        </w:tabs>
        <w:spacing w:before="240"/>
        <w:rPr>
          <w:lang w:val="fr-FR"/>
        </w:rPr>
      </w:pPr>
      <w:r>
        <w:rPr>
          <w:lang w:val="fr-FR"/>
        </w:rPr>
        <w:t>41</w:t>
      </w:r>
      <w:r w:rsidR="00466F89">
        <w:rPr>
          <w:lang w:val="fr-FR"/>
        </w:rPr>
        <w:t>4</w:t>
      </w:r>
      <w:r>
        <w:rPr>
          <w:lang w:val="fr-FR"/>
        </w:rPr>
        <w:t>.</w:t>
      </w:r>
      <w:r>
        <w:rPr>
          <w:lang w:val="fr-FR"/>
        </w:rPr>
        <w:tab/>
        <w:t>Les chiffres ci-après ont été communiqués à la Conférence des administrateurs de justice pour mineurs de mai 2007</w:t>
      </w:r>
      <w:r w:rsidR="008D6B80">
        <w:rPr>
          <w:lang w:val="fr-FR"/>
        </w:rPr>
        <w:t xml:space="preserve">. </w:t>
      </w:r>
      <w:r>
        <w:rPr>
          <w:lang w:val="fr-FR"/>
        </w:rPr>
        <w:t xml:space="preserve">Ils concernent la période allant </w:t>
      </w:r>
      <w:r w:rsidR="00546444">
        <w:rPr>
          <w:lang w:val="fr-FR"/>
        </w:rPr>
        <w:t>de 2002 à mars</w:t>
      </w:r>
      <w:r>
        <w:rPr>
          <w:lang w:val="fr-FR"/>
        </w:rPr>
        <w:t xml:space="preserve"> 2007</w:t>
      </w:r>
      <w:r w:rsidR="00F0105A">
        <w:rPr>
          <w:lang w:val="fr-FR"/>
        </w:rPr>
        <w:t>.</w:t>
      </w:r>
    </w:p>
    <w:p w:rsidR="008E0004" w:rsidRPr="008E0004" w:rsidRDefault="008E0004" w:rsidP="005D7B68">
      <w:pPr>
        <w:pStyle w:val="Heading2"/>
        <w:tabs>
          <w:tab w:val="left" w:pos="567"/>
          <w:tab w:val="left" w:pos="1134"/>
          <w:tab w:val="left" w:pos="1701"/>
          <w:tab w:val="left" w:pos="2268"/>
          <w:tab w:val="left" w:pos="2835"/>
        </w:tabs>
        <w:rPr>
          <w:lang w:val="fr-FR"/>
        </w:rPr>
      </w:pPr>
      <w:bookmarkStart w:id="23" w:name="_Toc193614093"/>
      <w:r>
        <w:rPr>
          <w:lang w:val="fr-FR"/>
        </w:rPr>
        <w:t>Population carcérale (a</w:t>
      </w:r>
      <w:r w:rsidRPr="008E0004">
        <w:rPr>
          <w:lang w:val="fr-FR"/>
        </w:rPr>
        <w:t>dmissions)</w:t>
      </w:r>
      <w:bookmarkEnd w:id="23"/>
    </w:p>
    <w:tbl>
      <w:tblPr>
        <w:tblW w:w="6660" w:type="dxa"/>
        <w:tblInd w:w="149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BF" w:firstRow="1" w:lastRow="0" w:firstColumn="1" w:lastColumn="0" w:noHBand="0" w:noVBand="0"/>
      </w:tblPr>
      <w:tblGrid>
        <w:gridCol w:w="2520"/>
        <w:gridCol w:w="1530"/>
        <w:gridCol w:w="1530"/>
        <w:gridCol w:w="1080"/>
      </w:tblGrid>
      <w:tr w:rsidR="008E0004" w:rsidRPr="00F0105A">
        <w:tblPrEx>
          <w:tblCellMar>
            <w:top w:w="0" w:type="dxa"/>
            <w:bottom w:w="0" w:type="dxa"/>
          </w:tblCellMar>
        </w:tblPrEx>
        <w:trPr>
          <w:trHeight w:val="469"/>
        </w:trPr>
        <w:tc>
          <w:tcPr>
            <w:tcW w:w="2520" w:type="dxa"/>
            <w:tcBorders>
              <w:bottom w:val="single" w:sz="6" w:space="0" w:color="000000"/>
            </w:tcBorders>
            <w:noWrap/>
            <w:vAlign w:val="center"/>
          </w:tcPr>
          <w:p w:rsidR="008E0004" w:rsidRPr="00F0105A" w:rsidRDefault="008E0004" w:rsidP="005D7B68">
            <w:pPr>
              <w:tabs>
                <w:tab w:val="left" w:pos="567"/>
                <w:tab w:val="left" w:pos="1134"/>
                <w:tab w:val="left" w:pos="1701"/>
                <w:tab w:val="left" w:pos="2268"/>
                <w:tab w:val="left" w:pos="2835"/>
              </w:tabs>
              <w:spacing w:before="20" w:after="20"/>
              <w:jc w:val="center"/>
              <w:rPr>
                <w:caps/>
                <w:sz w:val="22"/>
                <w:szCs w:val="22"/>
                <w:lang w:val="en-US"/>
              </w:rPr>
            </w:pPr>
            <w:r w:rsidRPr="00F0105A">
              <w:rPr>
                <w:sz w:val="22"/>
                <w:szCs w:val="22"/>
              </w:rPr>
              <w:t>Année budgétaire</w:t>
            </w:r>
          </w:p>
        </w:tc>
        <w:tc>
          <w:tcPr>
            <w:tcW w:w="1530" w:type="dxa"/>
            <w:tcBorders>
              <w:bottom w:val="single" w:sz="6" w:space="0" w:color="000000"/>
            </w:tcBorders>
            <w:noWrap/>
            <w:vAlign w:val="center"/>
          </w:tcPr>
          <w:p w:rsidR="008E0004" w:rsidRPr="00F0105A" w:rsidRDefault="008E0004" w:rsidP="005D7B68">
            <w:pPr>
              <w:tabs>
                <w:tab w:val="left" w:pos="567"/>
                <w:tab w:val="left" w:pos="1134"/>
                <w:tab w:val="left" w:pos="1701"/>
                <w:tab w:val="left" w:pos="2268"/>
                <w:tab w:val="left" w:pos="2835"/>
              </w:tabs>
              <w:spacing w:before="20" w:after="20"/>
              <w:jc w:val="center"/>
              <w:rPr>
                <w:caps/>
                <w:sz w:val="22"/>
                <w:szCs w:val="22"/>
                <w:lang w:val="en-US"/>
              </w:rPr>
            </w:pPr>
            <w:r w:rsidRPr="00F0105A">
              <w:rPr>
                <w:sz w:val="22"/>
                <w:szCs w:val="22"/>
              </w:rPr>
              <w:t>Placement en détention</w:t>
            </w:r>
          </w:p>
        </w:tc>
        <w:tc>
          <w:tcPr>
            <w:tcW w:w="1530" w:type="dxa"/>
            <w:tcBorders>
              <w:bottom w:val="single" w:sz="6" w:space="0" w:color="000000"/>
            </w:tcBorders>
            <w:noWrap/>
            <w:vAlign w:val="center"/>
          </w:tcPr>
          <w:p w:rsidR="008E0004" w:rsidRPr="00F0105A" w:rsidRDefault="008E0004" w:rsidP="005D7B68">
            <w:pPr>
              <w:tabs>
                <w:tab w:val="left" w:pos="567"/>
                <w:tab w:val="left" w:pos="1134"/>
                <w:tab w:val="left" w:pos="1701"/>
                <w:tab w:val="left" w:pos="2268"/>
                <w:tab w:val="left" w:pos="2835"/>
              </w:tabs>
              <w:spacing w:before="20" w:after="20"/>
              <w:jc w:val="center"/>
              <w:rPr>
                <w:caps/>
                <w:sz w:val="22"/>
                <w:szCs w:val="22"/>
                <w:lang w:val="en-US"/>
              </w:rPr>
            </w:pPr>
            <w:r w:rsidRPr="00F0105A">
              <w:rPr>
                <w:sz w:val="22"/>
                <w:szCs w:val="22"/>
              </w:rPr>
              <w:t>Détention provisoire</w:t>
            </w:r>
          </w:p>
        </w:tc>
        <w:tc>
          <w:tcPr>
            <w:tcW w:w="1080" w:type="dxa"/>
            <w:tcBorders>
              <w:bottom w:val="single" w:sz="6" w:space="0" w:color="000000"/>
            </w:tcBorders>
            <w:noWrap/>
            <w:vAlign w:val="center"/>
          </w:tcPr>
          <w:p w:rsidR="008E0004" w:rsidRPr="00F0105A" w:rsidRDefault="008E0004" w:rsidP="005D7B68">
            <w:pPr>
              <w:tabs>
                <w:tab w:val="left" w:pos="567"/>
                <w:tab w:val="left" w:pos="1134"/>
                <w:tab w:val="left" w:pos="1701"/>
                <w:tab w:val="left" w:pos="2268"/>
                <w:tab w:val="left" w:pos="2835"/>
              </w:tabs>
              <w:spacing w:before="20" w:after="20"/>
              <w:jc w:val="center"/>
              <w:rPr>
                <w:caps/>
                <w:sz w:val="22"/>
                <w:szCs w:val="22"/>
                <w:lang w:val="en-US"/>
              </w:rPr>
            </w:pPr>
            <w:r w:rsidRPr="00F0105A">
              <w:rPr>
                <w:sz w:val="22"/>
                <w:szCs w:val="22"/>
              </w:rPr>
              <w:t>Total</w:t>
            </w:r>
          </w:p>
        </w:tc>
      </w:tr>
      <w:tr w:rsidR="008E0004" w:rsidRPr="00F0105A">
        <w:tblPrEx>
          <w:tblCellMar>
            <w:top w:w="0" w:type="dxa"/>
            <w:bottom w:w="0" w:type="dxa"/>
          </w:tblCellMar>
        </w:tblPrEx>
        <w:trPr>
          <w:trHeight w:val="216"/>
        </w:trPr>
        <w:tc>
          <w:tcPr>
            <w:tcW w:w="2520" w:type="dxa"/>
            <w:tcBorders>
              <w:top w:val="single" w:sz="6" w:space="0" w:color="000000"/>
              <w:bottom w:val="nil"/>
            </w:tcBorders>
            <w:noWrap/>
          </w:tcPr>
          <w:p w:rsidR="008E0004" w:rsidRPr="00F0105A" w:rsidRDefault="008E0004" w:rsidP="005D7B68">
            <w:pPr>
              <w:tabs>
                <w:tab w:val="left" w:pos="567"/>
                <w:tab w:val="left" w:pos="1134"/>
                <w:tab w:val="left" w:pos="1701"/>
                <w:tab w:val="left" w:pos="2268"/>
                <w:tab w:val="left" w:pos="2835"/>
              </w:tabs>
              <w:spacing w:before="20" w:after="20"/>
              <w:rPr>
                <w:sz w:val="22"/>
                <w:szCs w:val="22"/>
                <w:lang w:val="en-US"/>
              </w:rPr>
            </w:pPr>
            <w:r w:rsidRPr="00F0105A">
              <w:rPr>
                <w:sz w:val="22"/>
                <w:szCs w:val="22"/>
                <w:lang w:val="en-US"/>
              </w:rPr>
              <w:t>2002/03</w:t>
            </w:r>
          </w:p>
        </w:tc>
        <w:tc>
          <w:tcPr>
            <w:tcW w:w="1530" w:type="dxa"/>
            <w:tcBorders>
              <w:top w:val="single" w:sz="6" w:space="0" w:color="000000"/>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26</w:t>
            </w:r>
          </w:p>
        </w:tc>
        <w:tc>
          <w:tcPr>
            <w:tcW w:w="1530" w:type="dxa"/>
            <w:tcBorders>
              <w:top w:val="single" w:sz="6" w:space="0" w:color="000000"/>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231</w:t>
            </w:r>
          </w:p>
        </w:tc>
        <w:tc>
          <w:tcPr>
            <w:tcW w:w="1080" w:type="dxa"/>
            <w:tcBorders>
              <w:top w:val="single" w:sz="6" w:space="0" w:color="000000"/>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257</w:t>
            </w:r>
          </w:p>
        </w:tc>
      </w:tr>
      <w:tr w:rsidR="008E0004" w:rsidRPr="00F0105A">
        <w:tblPrEx>
          <w:tblCellMar>
            <w:top w:w="0" w:type="dxa"/>
            <w:bottom w:w="0" w:type="dxa"/>
          </w:tblCellMar>
        </w:tblPrEx>
        <w:trPr>
          <w:trHeight w:val="222"/>
        </w:trPr>
        <w:tc>
          <w:tcPr>
            <w:tcW w:w="252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rPr>
                <w:sz w:val="22"/>
                <w:szCs w:val="22"/>
                <w:lang w:val="en-US"/>
              </w:rPr>
            </w:pPr>
            <w:r w:rsidRPr="00F0105A">
              <w:rPr>
                <w:sz w:val="22"/>
                <w:szCs w:val="22"/>
              </w:rPr>
              <w:t>2003/04</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25</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273</w:t>
            </w:r>
          </w:p>
        </w:tc>
        <w:tc>
          <w:tcPr>
            <w:tcW w:w="108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298</w:t>
            </w:r>
          </w:p>
        </w:tc>
      </w:tr>
      <w:tr w:rsidR="008E0004" w:rsidRPr="00F0105A">
        <w:tblPrEx>
          <w:tblCellMar>
            <w:top w:w="0" w:type="dxa"/>
            <w:bottom w:w="0" w:type="dxa"/>
          </w:tblCellMar>
        </w:tblPrEx>
        <w:trPr>
          <w:trHeight w:val="311"/>
        </w:trPr>
        <w:tc>
          <w:tcPr>
            <w:tcW w:w="252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rPr>
                <w:sz w:val="22"/>
                <w:szCs w:val="22"/>
              </w:rPr>
            </w:pPr>
            <w:r w:rsidRPr="00F0105A">
              <w:rPr>
                <w:sz w:val="22"/>
                <w:szCs w:val="22"/>
              </w:rPr>
              <w:t>2004/05</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17</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193</w:t>
            </w:r>
          </w:p>
        </w:tc>
        <w:tc>
          <w:tcPr>
            <w:tcW w:w="108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lang w:val="en-US"/>
              </w:rPr>
            </w:pPr>
            <w:r w:rsidRPr="00F0105A">
              <w:rPr>
                <w:sz w:val="22"/>
                <w:szCs w:val="22"/>
                <w:lang w:val="en-US"/>
              </w:rPr>
              <w:t>210</w:t>
            </w:r>
          </w:p>
        </w:tc>
      </w:tr>
      <w:tr w:rsidR="008E0004" w:rsidRPr="00F0105A">
        <w:tblPrEx>
          <w:tblCellMar>
            <w:top w:w="0" w:type="dxa"/>
            <w:bottom w:w="0" w:type="dxa"/>
          </w:tblCellMar>
        </w:tblPrEx>
        <w:trPr>
          <w:trHeight w:val="274"/>
        </w:trPr>
        <w:tc>
          <w:tcPr>
            <w:tcW w:w="252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rPr>
                <w:sz w:val="22"/>
                <w:szCs w:val="22"/>
              </w:rPr>
            </w:pPr>
            <w:r w:rsidRPr="00F0105A">
              <w:rPr>
                <w:sz w:val="22"/>
                <w:szCs w:val="22"/>
              </w:rPr>
              <w:t>2005/06</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rPr>
            </w:pPr>
            <w:r w:rsidRPr="00F0105A">
              <w:rPr>
                <w:sz w:val="22"/>
                <w:szCs w:val="22"/>
                <w:lang w:val="en-US"/>
              </w:rPr>
              <w:t>17</w:t>
            </w:r>
          </w:p>
        </w:tc>
        <w:tc>
          <w:tcPr>
            <w:tcW w:w="153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rPr>
            </w:pPr>
            <w:r w:rsidRPr="00F0105A">
              <w:rPr>
                <w:sz w:val="22"/>
                <w:szCs w:val="22"/>
                <w:lang w:val="en-US"/>
              </w:rPr>
              <w:t>250</w:t>
            </w:r>
          </w:p>
        </w:tc>
        <w:tc>
          <w:tcPr>
            <w:tcW w:w="1080" w:type="dxa"/>
            <w:tcBorders>
              <w:top w:val="nil"/>
              <w:bottom w:val="nil"/>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rPr>
            </w:pPr>
            <w:r w:rsidRPr="00F0105A">
              <w:rPr>
                <w:sz w:val="22"/>
                <w:szCs w:val="22"/>
                <w:lang w:val="en-US"/>
              </w:rPr>
              <w:t>267</w:t>
            </w:r>
          </w:p>
        </w:tc>
      </w:tr>
      <w:tr w:rsidR="008E0004" w:rsidRPr="00F0105A">
        <w:tblPrEx>
          <w:tblCellMar>
            <w:top w:w="0" w:type="dxa"/>
            <w:bottom w:w="0" w:type="dxa"/>
          </w:tblCellMar>
        </w:tblPrEx>
        <w:trPr>
          <w:trHeight w:val="291"/>
        </w:trPr>
        <w:tc>
          <w:tcPr>
            <w:tcW w:w="2520" w:type="dxa"/>
            <w:tcBorders>
              <w:top w:val="nil"/>
              <w:bottom w:val="single" w:sz="4" w:space="0" w:color="auto"/>
            </w:tcBorders>
            <w:noWrap/>
          </w:tcPr>
          <w:p w:rsidR="008E0004" w:rsidRPr="00F0105A" w:rsidRDefault="008E0004" w:rsidP="005D7B68">
            <w:pPr>
              <w:tabs>
                <w:tab w:val="left" w:pos="567"/>
                <w:tab w:val="left" w:pos="1134"/>
                <w:tab w:val="left" w:pos="1701"/>
                <w:tab w:val="left" w:pos="2268"/>
                <w:tab w:val="left" w:pos="2835"/>
              </w:tabs>
              <w:spacing w:before="20" w:after="20"/>
              <w:rPr>
                <w:sz w:val="22"/>
                <w:szCs w:val="22"/>
              </w:rPr>
            </w:pPr>
            <w:r w:rsidRPr="00F0105A">
              <w:rPr>
                <w:sz w:val="22"/>
                <w:szCs w:val="22"/>
              </w:rPr>
              <w:t>Juillet 2006/mars 2007</w:t>
            </w:r>
          </w:p>
        </w:tc>
        <w:tc>
          <w:tcPr>
            <w:tcW w:w="1530" w:type="dxa"/>
            <w:tcBorders>
              <w:top w:val="nil"/>
              <w:bottom w:val="single" w:sz="4" w:space="0" w:color="auto"/>
            </w:tcBorders>
            <w:noWrap/>
          </w:tcPr>
          <w:p w:rsidR="008E0004" w:rsidRPr="00F0105A" w:rsidRDefault="008E0004" w:rsidP="005D7B68">
            <w:pPr>
              <w:tabs>
                <w:tab w:val="left" w:pos="567"/>
                <w:tab w:val="left" w:pos="1134"/>
                <w:tab w:val="left" w:pos="1701"/>
                <w:tab w:val="left" w:pos="2268"/>
                <w:tab w:val="left" w:pos="2835"/>
              </w:tabs>
              <w:spacing w:before="20" w:after="20"/>
              <w:ind w:right="165" w:firstLine="510"/>
              <w:jc w:val="right"/>
              <w:rPr>
                <w:sz w:val="22"/>
                <w:szCs w:val="22"/>
              </w:rPr>
            </w:pPr>
            <w:r w:rsidRPr="00F0105A">
              <w:rPr>
                <w:sz w:val="22"/>
                <w:szCs w:val="22"/>
                <w:lang w:val="en-US"/>
              </w:rPr>
              <w:t>9</w:t>
            </w:r>
          </w:p>
        </w:tc>
        <w:tc>
          <w:tcPr>
            <w:tcW w:w="1530" w:type="dxa"/>
            <w:tcBorders>
              <w:top w:val="nil"/>
              <w:bottom w:val="single" w:sz="4" w:space="0" w:color="auto"/>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rPr>
            </w:pPr>
            <w:r w:rsidRPr="00F0105A">
              <w:rPr>
                <w:sz w:val="22"/>
                <w:szCs w:val="22"/>
                <w:lang w:val="en-US"/>
              </w:rPr>
              <w:t>213</w:t>
            </w:r>
          </w:p>
        </w:tc>
        <w:tc>
          <w:tcPr>
            <w:tcW w:w="1080" w:type="dxa"/>
            <w:tcBorders>
              <w:top w:val="nil"/>
              <w:bottom w:val="single" w:sz="4" w:space="0" w:color="auto"/>
            </w:tcBorders>
            <w:noWrap/>
          </w:tcPr>
          <w:p w:rsidR="008E0004" w:rsidRPr="00F0105A" w:rsidRDefault="008E0004" w:rsidP="005D7B68">
            <w:pPr>
              <w:tabs>
                <w:tab w:val="left" w:pos="567"/>
                <w:tab w:val="left" w:pos="1134"/>
                <w:tab w:val="left" w:pos="1701"/>
                <w:tab w:val="left" w:pos="2268"/>
                <w:tab w:val="left" w:pos="2835"/>
              </w:tabs>
              <w:spacing w:before="20" w:after="20"/>
              <w:ind w:right="165"/>
              <w:jc w:val="right"/>
              <w:rPr>
                <w:sz w:val="22"/>
                <w:szCs w:val="22"/>
              </w:rPr>
            </w:pPr>
            <w:r w:rsidRPr="00F0105A">
              <w:rPr>
                <w:sz w:val="22"/>
                <w:szCs w:val="22"/>
                <w:lang w:val="en-US"/>
              </w:rPr>
              <w:t>222</w:t>
            </w:r>
          </w:p>
        </w:tc>
      </w:tr>
    </w:tbl>
    <w:p w:rsidR="008E0004" w:rsidRPr="00276CC0" w:rsidRDefault="008E0004" w:rsidP="005D7B68">
      <w:pPr>
        <w:pStyle w:val="Heading2"/>
        <w:tabs>
          <w:tab w:val="left" w:pos="567"/>
          <w:tab w:val="left" w:pos="1134"/>
          <w:tab w:val="left" w:pos="1701"/>
          <w:tab w:val="left" w:pos="2268"/>
          <w:tab w:val="left" w:pos="2835"/>
        </w:tabs>
        <w:spacing w:before="240"/>
      </w:pPr>
      <w:bookmarkStart w:id="24" w:name="_Toc193614094"/>
      <w:r>
        <w:t>Nombre de jours de détention</w:t>
      </w:r>
      <w:bookmarkEnd w:id="24"/>
    </w:p>
    <w:tbl>
      <w:tblPr>
        <w:tblW w:w="4560" w:type="dxa"/>
        <w:tblInd w:w="238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BF" w:firstRow="1" w:lastRow="0" w:firstColumn="1" w:lastColumn="0" w:noHBand="0" w:noVBand="0"/>
      </w:tblPr>
      <w:tblGrid>
        <w:gridCol w:w="2530"/>
        <w:gridCol w:w="2030"/>
      </w:tblGrid>
      <w:tr w:rsidR="008E0004" w:rsidRPr="00B250DE">
        <w:tblPrEx>
          <w:tblCellMar>
            <w:top w:w="0" w:type="dxa"/>
            <w:bottom w:w="0" w:type="dxa"/>
          </w:tblCellMar>
        </w:tblPrEx>
        <w:tc>
          <w:tcPr>
            <w:tcW w:w="2530" w:type="dxa"/>
            <w:tcBorders>
              <w:bottom w:val="single" w:sz="6" w:space="0" w:color="000000"/>
            </w:tcBorders>
            <w:vAlign w:val="center"/>
          </w:tcPr>
          <w:p w:rsidR="008E0004" w:rsidRPr="00B250DE" w:rsidRDefault="008E0004" w:rsidP="005D7B68">
            <w:pPr>
              <w:tabs>
                <w:tab w:val="left" w:pos="567"/>
                <w:tab w:val="left" w:pos="1134"/>
                <w:tab w:val="left" w:pos="1701"/>
                <w:tab w:val="left" w:pos="2268"/>
                <w:tab w:val="left" w:pos="2835"/>
              </w:tabs>
              <w:spacing w:before="20" w:after="20"/>
              <w:jc w:val="center"/>
              <w:rPr>
                <w:caps/>
              </w:rPr>
            </w:pPr>
            <w:r>
              <w:t>Année</w:t>
            </w:r>
          </w:p>
        </w:tc>
        <w:tc>
          <w:tcPr>
            <w:tcW w:w="2030" w:type="dxa"/>
            <w:tcBorders>
              <w:bottom w:val="single" w:sz="6" w:space="0" w:color="000000"/>
            </w:tcBorders>
            <w:vAlign w:val="center"/>
          </w:tcPr>
          <w:p w:rsidR="008E0004" w:rsidRPr="00B250DE" w:rsidRDefault="008E0004" w:rsidP="005D7B68">
            <w:pPr>
              <w:tabs>
                <w:tab w:val="left" w:pos="567"/>
                <w:tab w:val="left" w:pos="1134"/>
                <w:tab w:val="left" w:pos="1701"/>
                <w:tab w:val="left" w:pos="2268"/>
                <w:tab w:val="left" w:pos="2835"/>
              </w:tabs>
              <w:spacing w:before="20" w:after="20"/>
              <w:jc w:val="center"/>
              <w:rPr>
                <w:caps/>
              </w:rPr>
            </w:pPr>
            <w:r>
              <w:t>Nombre de jours</w:t>
            </w:r>
            <w:r w:rsidRPr="00B250DE">
              <w:rPr>
                <w:rStyle w:val="FootnoteReference"/>
                <w:caps/>
              </w:rPr>
              <w:footnoteReference w:id="14"/>
            </w:r>
          </w:p>
        </w:tc>
      </w:tr>
      <w:tr w:rsidR="008E0004" w:rsidRPr="00B250DE">
        <w:tblPrEx>
          <w:tblCellMar>
            <w:top w:w="0" w:type="dxa"/>
            <w:bottom w:w="0" w:type="dxa"/>
          </w:tblCellMar>
        </w:tblPrEx>
        <w:tc>
          <w:tcPr>
            <w:tcW w:w="2530" w:type="dxa"/>
            <w:tcBorders>
              <w:top w:val="single" w:sz="6" w:space="0" w:color="000000"/>
              <w:bottom w:val="nil"/>
            </w:tcBorders>
          </w:tcPr>
          <w:p w:rsidR="008E0004" w:rsidRPr="00B250DE" w:rsidRDefault="008E0004" w:rsidP="005D7B68">
            <w:pPr>
              <w:tabs>
                <w:tab w:val="left" w:pos="567"/>
                <w:tab w:val="left" w:pos="1134"/>
                <w:tab w:val="left" w:pos="1701"/>
                <w:tab w:val="left" w:pos="2268"/>
                <w:tab w:val="left" w:pos="2835"/>
              </w:tabs>
              <w:spacing w:before="20" w:after="20"/>
            </w:pPr>
            <w:r>
              <w:t>2002/</w:t>
            </w:r>
            <w:r w:rsidRPr="00B250DE">
              <w:t>03</w:t>
            </w:r>
          </w:p>
        </w:tc>
        <w:tc>
          <w:tcPr>
            <w:tcW w:w="2030" w:type="dxa"/>
            <w:tcBorders>
              <w:top w:val="single" w:sz="6" w:space="0" w:color="000000"/>
              <w:bottom w:val="nil"/>
            </w:tcBorders>
          </w:tcPr>
          <w:p w:rsidR="008E0004" w:rsidRPr="001B5E26" w:rsidRDefault="008E0004" w:rsidP="005D7B68">
            <w:pPr>
              <w:tabs>
                <w:tab w:val="left" w:pos="567"/>
                <w:tab w:val="left" w:pos="1134"/>
                <w:tab w:val="left" w:pos="1701"/>
                <w:tab w:val="left" w:pos="2268"/>
                <w:tab w:val="left" w:pos="2835"/>
              </w:tabs>
              <w:spacing w:before="20" w:after="20"/>
              <w:ind w:right="165"/>
              <w:jc w:val="right"/>
              <w:rPr>
                <w:lang w:val="en-US"/>
              </w:rPr>
            </w:pPr>
            <w:r w:rsidRPr="001B5E26">
              <w:rPr>
                <w:lang w:val="en-US"/>
              </w:rPr>
              <w:t>5 756</w:t>
            </w:r>
          </w:p>
        </w:tc>
      </w:tr>
      <w:tr w:rsidR="008E0004" w:rsidRPr="00B250DE">
        <w:tblPrEx>
          <w:tblCellMar>
            <w:top w:w="0" w:type="dxa"/>
            <w:bottom w:w="0" w:type="dxa"/>
          </w:tblCellMar>
        </w:tblPrEx>
        <w:tc>
          <w:tcPr>
            <w:tcW w:w="2530" w:type="dxa"/>
            <w:tcBorders>
              <w:top w:val="nil"/>
              <w:bottom w:val="nil"/>
            </w:tcBorders>
          </w:tcPr>
          <w:p w:rsidR="008E0004" w:rsidRPr="00B250DE" w:rsidRDefault="008E0004" w:rsidP="005D7B68">
            <w:pPr>
              <w:tabs>
                <w:tab w:val="left" w:pos="567"/>
                <w:tab w:val="left" w:pos="1134"/>
                <w:tab w:val="left" w:pos="1701"/>
                <w:tab w:val="left" w:pos="2268"/>
                <w:tab w:val="left" w:pos="2835"/>
              </w:tabs>
              <w:spacing w:before="20" w:after="20"/>
            </w:pPr>
            <w:r>
              <w:t>2003/</w:t>
            </w:r>
            <w:r w:rsidRPr="00B250DE">
              <w:t>04</w:t>
            </w:r>
          </w:p>
        </w:tc>
        <w:tc>
          <w:tcPr>
            <w:tcW w:w="2030" w:type="dxa"/>
            <w:tcBorders>
              <w:top w:val="nil"/>
              <w:bottom w:val="nil"/>
            </w:tcBorders>
          </w:tcPr>
          <w:p w:rsidR="008E0004" w:rsidRPr="001B5E26" w:rsidRDefault="008E0004" w:rsidP="005D7B68">
            <w:pPr>
              <w:tabs>
                <w:tab w:val="left" w:pos="567"/>
                <w:tab w:val="left" w:pos="1134"/>
                <w:tab w:val="left" w:pos="1701"/>
                <w:tab w:val="left" w:pos="2268"/>
                <w:tab w:val="left" w:pos="2835"/>
              </w:tabs>
              <w:spacing w:before="20" w:after="20"/>
              <w:ind w:right="165"/>
              <w:jc w:val="right"/>
              <w:rPr>
                <w:lang w:val="en-US"/>
              </w:rPr>
            </w:pPr>
            <w:r w:rsidRPr="001B5E26">
              <w:rPr>
                <w:lang w:val="en-US"/>
              </w:rPr>
              <w:t>7 482</w:t>
            </w:r>
          </w:p>
        </w:tc>
      </w:tr>
      <w:tr w:rsidR="008E0004" w:rsidRPr="00B250DE">
        <w:tblPrEx>
          <w:tblCellMar>
            <w:top w:w="0" w:type="dxa"/>
            <w:bottom w:w="0" w:type="dxa"/>
          </w:tblCellMar>
        </w:tblPrEx>
        <w:tc>
          <w:tcPr>
            <w:tcW w:w="2530" w:type="dxa"/>
            <w:tcBorders>
              <w:top w:val="nil"/>
              <w:bottom w:val="nil"/>
            </w:tcBorders>
          </w:tcPr>
          <w:p w:rsidR="008E0004" w:rsidRPr="00B250DE" w:rsidRDefault="008E0004" w:rsidP="005D7B68">
            <w:pPr>
              <w:tabs>
                <w:tab w:val="left" w:pos="567"/>
                <w:tab w:val="left" w:pos="1134"/>
                <w:tab w:val="left" w:pos="1701"/>
                <w:tab w:val="left" w:pos="2268"/>
                <w:tab w:val="left" w:pos="2835"/>
              </w:tabs>
              <w:spacing w:before="20" w:after="20"/>
            </w:pPr>
            <w:r>
              <w:t>2004/</w:t>
            </w:r>
            <w:r w:rsidRPr="00B250DE">
              <w:t>05</w:t>
            </w:r>
          </w:p>
        </w:tc>
        <w:tc>
          <w:tcPr>
            <w:tcW w:w="2030" w:type="dxa"/>
            <w:tcBorders>
              <w:top w:val="nil"/>
              <w:bottom w:val="nil"/>
            </w:tcBorders>
          </w:tcPr>
          <w:p w:rsidR="008E0004" w:rsidRPr="001B5E26" w:rsidRDefault="008E0004" w:rsidP="005D7B68">
            <w:pPr>
              <w:tabs>
                <w:tab w:val="left" w:pos="567"/>
                <w:tab w:val="left" w:pos="1134"/>
                <w:tab w:val="left" w:pos="1701"/>
                <w:tab w:val="left" w:pos="2268"/>
                <w:tab w:val="left" w:pos="2835"/>
              </w:tabs>
              <w:spacing w:before="20" w:after="20"/>
              <w:ind w:right="165"/>
              <w:jc w:val="right"/>
              <w:rPr>
                <w:lang w:val="en-US"/>
              </w:rPr>
            </w:pPr>
            <w:r w:rsidRPr="001B5E26">
              <w:rPr>
                <w:lang w:val="en-US"/>
              </w:rPr>
              <w:t>6 014</w:t>
            </w:r>
          </w:p>
        </w:tc>
      </w:tr>
      <w:tr w:rsidR="008E0004" w:rsidRPr="00B250DE">
        <w:tblPrEx>
          <w:tblCellMar>
            <w:top w:w="0" w:type="dxa"/>
            <w:bottom w:w="0" w:type="dxa"/>
          </w:tblCellMar>
        </w:tblPrEx>
        <w:tc>
          <w:tcPr>
            <w:tcW w:w="2530" w:type="dxa"/>
            <w:tcBorders>
              <w:top w:val="nil"/>
              <w:bottom w:val="nil"/>
            </w:tcBorders>
          </w:tcPr>
          <w:p w:rsidR="008E0004" w:rsidRPr="00B250DE" w:rsidRDefault="008E0004" w:rsidP="005D7B68">
            <w:pPr>
              <w:tabs>
                <w:tab w:val="left" w:pos="567"/>
                <w:tab w:val="left" w:pos="1134"/>
                <w:tab w:val="left" w:pos="1701"/>
                <w:tab w:val="left" w:pos="2268"/>
                <w:tab w:val="left" w:pos="2835"/>
              </w:tabs>
              <w:spacing w:before="20" w:after="20"/>
            </w:pPr>
            <w:r>
              <w:t>2005/</w:t>
            </w:r>
            <w:r w:rsidRPr="00B250DE">
              <w:t>06</w:t>
            </w:r>
          </w:p>
        </w:tc>
        <w:tc>
          <w:tcPr>
            <w:tcW w:w="2030" w:type="dxa"/>
            <w:tcBorders>
              <w:top w:val="nil"/>
              <w:bottom w:val="nil"/>
            </w:tcBorders>
          </w:tcPr>
          <w:p w:rsidR="008E0004" w:rsidRPr="001B5E26" w:rsidRDefault="008E0004" w:rsidP="005D7B68">
            <w:pPr>
              <w:tabs>
                <w:tab w:val="left" w:pos="567"/>
                <w:tab w:val="left" w:pos="1134"/>
                <w:tab w:val="left" w:pos="1701"/>
                <w:tab w:val="left" w:pos="2268"/>
                <w:tab w:val="left" w:pos="2835"/>
              </w:tabs>
              <w:spacing w:before="20" w:after="20"/>
              <w:ind w:right="165"/>
              <w:jc w:val="right"/>
              <w:rPr>
                <w:lang w:val="en-US"/>
              </w:rPr>
            </w:pPr>
            <w:r w:rsidRPr="001B5E26">
              <w:rPr>
                <w:lang w:val="en-US"/>
              </w:rPr>
              <w:t>6 923</w:t>
            </w:r>
          </w:p>
        </w:tc>
      </w:tr>
      <w:tr w:rsidR="008E0004" w:rsidRPr="00B250DE">
        <w:tblPrEx>
          <w:tblCellMar>
            <w:top w:w="0" w:type="dxa"/>
            <w:bottom w:w="0" w:type="dxa"/>
          </w:tblCellMar>
        </w:tblPrEx>
        <w:tc>
          <w:tcPr>
            <w:tcW w:w="2530" w:type="dxa"/>
            <w:tcBorders>
              <w:top w:val="nil"/>
              <w:bottom w:val="single" w:sz="4" w:space="0" w:color="auto"/>
            </w:tcBorders>
          </w:tcPr>
          <w:p w:rsidR="008E0004" w:rsidRPr="00B250DE" w:rsidRDefault="00337A08" w:rsidP="005D7B68">
            <w:pPr>
              <w:tabs>
                <w:tab w:val="left" w:pos="567"/>
                <w:tab w:val="left" w:pos="1134"/>
                <w:tab w:val="left" w:pos="1701"/>
                <w:tab w:val="left" w:pos="2268"/>
                <w:tab w:val="left" w:pos="2835"/>
              </w:tabs>
              <w:spacing w:before="20" w:after="20"/>
            </w:pPr>
            <w:r>
              <w:t>Juillet</w:t>
            </w:r>
            <w:r w:rsidR="008E0004">
              <w:t xml:space="preserve"> 2006/</w:t>
            </w:r>
            <w:r>
              <w:t>mars</w:t>
            </w:r>
            <w:r w:rsidR="008E0004" w:rsidRPr="00B250DE">
              <w:t xml:space="preserve"> </w:t>
            </w:r>
            <w:r w:rsidR="008E0004">
              <w:t>20</w:t>
            </w:r>
            <w:r w:rsidR="008E0004" w:rsidRPr="00B250DE">
              <w:t>07</w:t>
            </w:r>
          </w:p>
        </w:tc>
        <w:tc>
          <w:tcPr>
            <w:tcW w:w="2030" w:type="dxa"/>
            <w:tcBorders>
              <w:top w:val="nil"/>
              <w:bottom w:val="single" w:sz="4" w:space="0" w:color="auto"/>
            </w:tcBorders>
          </w:tcPr>
          <w:p w:rsidR="008E0004" w:rsidRPr="001B5E26" w:rsidRDefault="008E0004" w:rsidP="005D7B68">
            <w:pPr>
              <w:tabs>
                <w:tab w:val="left" w:pos="567"/>
                <w:tab w:val="left" w:pos="1134"/>
                <w:tab w:val="left" w:pos="1701"/>
                <w:tab w:val="left" w:pos="2268"/>
                <w:tab w:val="left" w:pos="2835"/>
              </w:tabs>
              <w:spacing w:before="20" w:after="20"/>
              <w:ind w:right="165"/>
              <w:jc w:val="right"/>
              <w:rPr>
                <w:lang w:val="en-US"/>
              </w:rPr>
            </w:pPr>
            <w:r w:rsidRPr="001B5E26">
              <w:rPr>
                <w:lang w:val="en-US"/>
              </w:rPr>
              <w:t>4 900</w:t>
            </w:r>
          </w:p>
        </w:tc>
      </w:tr>
    </w:tbl>
    <w:p w:rsidR="00024120" w:rsidRDefault="00466F89" w:rsidP="005D7B68">
      <w:pPr>
        <w:tabs>
          <w:tab w:val="left" w:pos="567"/>
          <w:tab w:val="left" w:pos="1134"/>
          <w:tab w:val="left" w:pos="1701"/>
          <w:tab w:val="left" w:pos="2268"/>
          <w:tab w:val="left" w:pos="2835"/>
        </w:tabs>
        <w:spacing w:before="240"/>
        <w:rPr>
          <w:lang w:val="fr-FR"/>
        </w:rPr>
      </w:pPr>
      <w:r>
        <w:rPr>
          <w:lang w:val="fr-FR"/>
        </w:rPr>
        <w:t>415</w:t>
      </w:r>
      <w:r w:rsidR="00337A08">
        <w:rPr>
          <w:lang w:val="fr-FR"/>
        </w:rPr>
        <w:t>.</w:t>
      </w:r>
      <w:r w:rsidR="00337A08">
        <w:rPr>
          <w:lang w:val="fr-FR"/>
        </w:rPr>
        <w:tab/>
        <w:t xml:space="preserve">Le Territoire de la capitale </w:t>
      </w:r>
      <w:r w:rsidR="00D31C54">
        <w:rPr>
          <w:lang w:val="fr-FR"/>
        </w:rPr>
        <w:t xml:space="preserve">fédérale </w:t>
      </w:r>
      <w:r w:rsidR="00337A08">
        <w:rPr>
          <w:lang w:val="fr-FR"/>
        </w:rPr>
        <w:t>a les taux d’incarcération les plus bas du pays</w:t>
      </w:r>
      <w:r w:rsidR="008D6B80">
        <w:rPr>
          <w:lang w:val="fr-FR"/>
        </w:rPr>
        <w:t xml:space="preserve">. </w:t>
      </w:r>
      <w:r w:rsidR="00337A08">
        <w:rPr>
          <w:lang w:val="fr-FR"/>
        </w:rPr>
        <w:t>Selon le Bureau australien des statistiques, le nombre moyen de jours d’emprisonnement en mars 2007 a été de 70 pour 100 000 personnes, ce qui représente moins de la moitié de la moyenne nationale, qui est de 163.</w:t>
      </w:r>
    </w:p>
    <w:p w:rsidR="00337A08" w:rsidRDefault="00337A08" w:rsidP="005D7B68">
      <w:pPr>
        <w:tabs>
          <w:tab w:val="left" w:pos="567"/>
          <w:tab w:val="left" w:pos="1134"/>
          <w:tab w:val="left" w:pos="1701"/>
          <w:tab w:val="left" w:pos="2268"/>
          <w:tab w:val="left" w:pos="2835"/>
        </w:tabs>
        <w:spacing w:before="240"/>
        <w:rPr>
          <w:b/>
          <w:bCs/>
          <w:lang w:val="fr-FR"/>
        </w:rPr>
      </w:pPr>
      <w:r>
        <w:rPr>
          <w:b/>
          <w:bCs/>
          <w:lang w:val="fr-FR"/>
        </w:rPr>
        <w:t>Territoire du Nord</w:t>
      </w:r>
    </w:p>
    <w:p w:rsidR="00337A08" w:rsidRDefault="00466F89" w:rsidP="005D7B68">
      <w:pPr>
        <w:tabs>
          <w:tab w:val="left" w:pos="567"/>
          <w:tab w:val="left" w:pos="1134"/>
          <w:tab w:val="left" w:pos="1701"/>
          <w:tab w:val="left" w:pos="2268"/>
          <w:tab w:val="left" w:pos="2835"/>
        </w:tabs>
        <w:spacing w:before="240"/>
        <w:rPr>
          <w:lang w:val="fr-FR"/>
        </w:rPr>
      </w:pPr>
      <w:r>
        <w:rPr>
          <w:lang w:val="fr-FR"/>
        </w:rPr>
        <w:t>416.</w:t>
      </w:r>
      <w:r>
        <w:rPr>
          <w:lang w:val="fr-FR"/>
        </w:rPr>
        <w:tab/>
      </w:r>
      <w:r w:rsidR="00337A08">
        <w:rPr>
          <w:lang w:val="fr-FR"/>
        </w:rPr>
        <w:t>Les services pénitentiaires du Territoire du Nord ont été en mesure de répondre à cette question en donnant les détails de la moyenne journalière pendant le mois de juin 2007</w:t>
      </w:r>
      <w:r w:rsidR="008D6B80">
        <w:rPr>
          <w:lang w:val="fr-FR"/>
        </w:rPr>
        <w:t xml:space="preserve">. </w:t>
      </w:r>
      <w:r w:rsidR="00337A08">
        <w:rPr>
          <w:lang w:val="fr-FR"/>
        </w:rPr>
        <w:t xml:space="preserve">Ils n’ont pas eu le temps d’établir la moyenne pendant la totalité de la période couverte par </w:t>
      </w:r>
      <w:r w:rsidR="00D31C54">
        <w:rPr>
          <w:lang w:val="fr-FR"/>
        </w:rPr>
        <w:t>l</w:t>
      </w:r>
      <w:r w:rsidR="00337A08">
        <w:rPr>
          <w:lang w:val="fr-FR"/>
        </w:rPr>
        <w:t>e présent rapport.</w:t>
      </w:r>
    </w:p>
    <w:p w:rsidR="001070F9" w:rsidRDefault="00337A08" w:rsidP="005D7B68">
      <w:pPr>
        <w:tabs>
          <w:tab w:val="left" w:pos="567"/>
          <w:tab w:val="left" w:pos="1134"/>
          <w:tab w:val="left" w:pos="1701"/>
          <w:tab w:val="left" w:pos="2268"/>
          <w:tab w:val="left" w:pos="2835"/>
        </w:tabs>
        <w:spacing w:before="240"/>
        <w:rPr>
          <w:lang w:val="fr-FR"/>
        </w:rPr>
      </w:pPr>
      <w:r>
        <w:rPr>
          <w:lang w:val="fr-FR"/>
        </w:rPr>
        <w:t>41</w:t>
      </w:r>
      <w:r w:rsidR="00466F89">
        <w:rPr>
          <w:lang w:val="fr-FR"/>
        </w:rPr>
        <w:t>7</w:t>
      </w:r>
      <w:r>
        <w:rPr>
          <w:lang w:val="fr-FR"/>
        </w:rPr>
        <w:t>.</w:t>
      </w:r>
      <w:r>
        <w:rPr>
          <w:lang w:val="fr-FR"/>
        </w:rPr>
        <w:tab/>
        <w:t>Le tableau ci-dessous fait apparaître le nombre de personnes autochtones et non autochtones, par sexe, dans chacun des établissements pénitent</w:t>
      </w:r>
      <w:r w:rsidR="00B3518C">
        <w:rPr>
          <w:lang w:val="fr-FR"/>
        </w:rPr>
        <w:t>iaires du Territoire du Nord en </w:t>
      </w:r>
      <w:r>
        <w:rPr>
          <w:lang w:val="fr-FR"/>
        </w:rPr>
        <w:t>juin 2007.</w:t>
      </w:r>
    </w:p>
    <w:tbl>
      <w:tblPr>
        <w:tblStyle w:val="TableGrid"/>
        <w:tblW w:w="9207" w:type="dxa"/>
        <w:tblInd w:w="108" w:type="dxa"/>
        <w:tblLayout w:type="fixed"/>
        <w:tblLook w:val="01E0" w:firstRow="1" w:lastRow="1" w:firstColumn="1" w:lastColumn="1" w:noHBand="0" w:noVBand="0"/>
      </w:tblPr>
      <w:tblGrid>
        <w:gridCol w:w="2110"/>
        <w:gridCol w:w="812"/>
        <w:gridCol w:w="784"/>
        <w:gridCol w:w="658"/>
        <w:gridCol w:w="812"/>
        <w:gridCol w:w="840"/>
        <w:gridCol w:w="741"/>
        <w:gridCol w:w="686"/>
        <w:gridCol w:w="742"/>
        <w:gridCol w:w="1022"/>
      </w:tblGrid>
      <w:tr w:rsidR="001B5E26" w:rsidRPr="00B3518C">
        <w:trPr>
          <w:tblHeader/>
        </w:trPr>
        <w:tc>
          <w:tcPr>
            <w:tcW w:w="2110" w:type="dxa"/>
            <w:vMerge w:val="restart"/>
            <w:vAlign w:val="center"/>
          </w:tcPr>
          <w:p w:rsidR="001B5E26" w:rsidRPr="001B5E26" w:rsidRDefault="001B5E26" w:rsidP="005D7B68">
            <w:pPr>
              <w:tabs>
                <w:tab w:val="left" w:pos="567"/>
                <w:tab w:val="left" w:pos="1134"/>
                <w:tab w:val="left" w:pos="1701"/>
                <w:tab w:val="left" w:pos="2268"/>
                <w:tab w:val="left" w:pos="2835"/>
              </w:tabs>
              <w:spacing w:before="20" w:after="20"/>
              <w:jc w:val="center"/>
              <w:rPr>
                <w:sz w:val="16"/>
                <w:szCs w:val="16"/>
              </w:rPr>
            </w:pPr>
            <w:r w:rsidRPr="001B5E26">
              <w:rPr>
                <w:sz w:val="16"/>
                <w:szCs w:val="16"/>
              </w:rPr>
              <w:t>Établissement</w:t>
            </w:r>
          </w:p>
        </w:tc>
        <w:tc>
          <w:tcPr>
            <w:tcW w:w="5333" w:type="dxa"/>
            <w:gridSpan w:val="7"/>
          </w:tcPr>
          <w:p w:rsidR="001B5E26" w:rsidRPr="001B5E26" w:rsidRDefault="001B5E26" w:rsidP="005D7B68">
            <w:pPr>
              <w:tabs>
                <w:tab w:val="left" w:pos="567"/>
                <w:tab w:val="left" w:pos="1134"/>
                <w:tab w:val="left" w:pos="1701"/>
                <w:tab w:val="left" w:pos="2268"/>
                <w:tab w:val="left" w:pos="2835"/>
              </w:tabs>
              <w:spacing w:before="20" w:after="20"/>
              <w:jc w:val="center"/>
              <w:rPr>
                <w:sz w:val="16"/>
                <w:szCs w:val="16"/>
              </w:rPr>
            </w:pPr>
            <w:r w:rsidRPr="001B5E26">
              <w:rPr>
                <w:sz w:val="16"/>
                <w:szCs w:val="16"/>
              </w:rPr>
              <w:t>Moyenne journalière</w:t>
            </w:r>
          </w:p>
        </w:tc>
        <w:tc>
          <w:tcPr>
            <w:tcW w:w="742" w:type="dxa"/>
            <w:vMerge w:val="restart"/>
            <w:vAlign w:val="center"/>
          </w:tcPr>
          <w:p w:rsidR="001B5E26" w:rsidRPr="001B5E26" w:rsidRDefault="001B5E26" w:rsidP="005D7B68">
            <w:pPr>
              <w:tabs>
                <w:tab w:val="left" w:pos="567"/>
                <w:tab w:val="left" w:pos="1134"/>
                <w:tab w:val="left" w:pos="1701"/>
                <w:tab w:val="left" w:pos="2268"/>
                <w:tab w:val="left" w:pos="2835"/>
              </w:tabs>
              <w:spacing w:before="20" w:after="20"/>
              <w:ind w:right="-108"/>
              <w:jc w:val="center"/>
              <w:rPr>
                <w:sz w:val="16"/>
                <w:szCs w:val="16"/>
              </w:rPr>
            </w:pPr>
            <w:r w:rsidRPr="001B5E26">
              <w:rPr>
                <w:sz w:val="16"/>
                <w:szCs w:val="16"/>
              </w:rPr>
              <w:t>Capacité</w:t>
            </w:r>
          </w:p>
        </w:tc>
        <w:tc>
          <w:tcPr>
            <w:tcW w:w="1022" w:type="dxa"/>
            <w:vMerge w:val="restart"/>
            <w:vAlign w:val="center"/>
          </w:tcPr>
          <w:p w:rsidR="001B5E26" w:rsidRPr="00B3518C" w:rsidRDefault="00B3518C" w:rsidP="005D7B68">
            <w:pPr>
              <w:tabs>
                <w:tab w:val="left" w:pos="567"/>
                <w:tab w:val="left" w:pos="1134"/>
                <w:tab w:val="left" w:pos="1701"/>
                <w:tab w:val="left" w:pos="2268"/>
                <w:tab w:val="left" w:pos="2835"/>
              </w:tabs>
              <w:spacing w:before="20" w:after="20"/>
              <w:ind w:right="-112"/>
              <w:jc w:val="center"/>
              <w:rPr>
                <w:sz w:val="16"/>
                <w:szCs w:val="16"/>
                <w:lang w:val="fr-FR"/>
              </w:rPr>
            </w:pPr>
            <w:r w:rsidRPr="00B3518C">
              <w:rPr>
                <w:sz w:val="16"/>
                <w:szCs w:val="16"/>
                <w:lang w:val="fr-FR"/>
              </w:rPr>
              <w:t>Occupation</w:t>
            </w:r>
            <w:r w:rsidRPr="00B3518C">
              <w:rPr>
                <w:sz w:val="16"/>
                <w:szCs w:val="16"/>
                <w:lang w:val="fr-FR"/>
              </w:rPr>
              <w:br/>
            </w:r>
            <w:r w:rsidR="001B5E26" w:rsidRPr="00B3518C">
              <w:rPr>
                <w:sz w:val="16"/>
                <w:szCs w:val="16"/>
                <w:lang w:val="fr-FR"/>
              </w:rPr>
              <w:t>%</w:t>
            </w:r>
          </w:p>
        </w:tc>
      </w:tr>
      <w:tr w:rsidR="001B5E26" w:rsidRPr="00B3518C">
        <w:trPr>
          <w:trHeight w:val="219"/>
          <w:tblHeader/>
        </w:trPr>
        <w:tc>
          <w:tcPr>
            <w:tcW w:w="2110" w:type="dxa"/>
            <w:vMerge/>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c>
          <w:tcPr>
            <w:tcW w:w="2254" w:type="dxa"/>
            <w:gridSpan w:val="3"/>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Autochtones</w:t>
            </w:r>
          </w:p>
        </w:tc>
        <w:tc>
          <w:tcPr>
            <w:tcW w:w="2393" w:type="dxa"/>
            <w:gridSpan w:val="3"/>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Non autochtones</w:t>
            </w:r>
          </w:p>
        </w:tc>
        <w:tc>
          <w:tcPr>
            <w:tcW w:w="686" w:type="dxa"/>
            <w:vMerge w:val="restart"/>
            <w:vAlign w:val="center"/>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Total</w:t>
            </w:r>
          </w:p>
        </w:tc>
        <w:tc>
          <w:tcPr>
            <w:tcW w:w="742" w:type="dxa"/>
            <w:vMerge/>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c>
          <w:tcPr>
            <w:tcW w:w="1022" w:type="dxa"/>
            <w:vMerge/>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r>
      <w:tr w:rsidR="001B5E26" w:rsidRPr="00B3518C">
        <w:trPr>
          <w:tblHeader/>
        </w:trPr>
        <w:tc>
          <w:tcPr>
            <w:tcW w:w="2110" w:type="dxa"/>
            <w:vMerge/>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c>
          <w:tcPr>
            <w:tcW w:w="812"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Hommes</w:t>
            </w:r>
          </w:p>
        </w:tc>
        <w:tc>
          <w:tcPr>
            <w:tcW w:w="784"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Femmes</w:t>
            </w:r>
          </w:p>
        </w:tc>
        <w:tc>
          <w:tcPr>
            <w:tcW w:w="658"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Total</w:t>
            </w:r>
          </w:p>
        </w:tc>
        <w:tc>
          <w:tcPr>
            <w:tcW w:w="812"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Hommes</w:t>
            </w:r>
          </w:p>
        </w:tc>
        <w:tc>
          <w:tcPr>
            <w:tcW w:w="840"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Femmes</w:t>
            </w:r>
          </w:p>
        </w:tc>
        <w:tc>
          <w:tcPr>
            <w:tcW w:w="741" w:type="dxa"/>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r w:rsidRPr="00B3518C">
              <w:rPr>
                <w:sz w:val="16"/>
                <w:szCs w:val="16"/>
                <w:lang w:val="fr-FR"/>
              </w:rPr>
              <w:t>Total</w:t>
            </w:r>
          </w:p>
        </w:tc>
        <w:tc>
          <w:tcPr>
            <w:tcW w:w="686" w:type="dxa"/>
            <w:vMerge/>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c>
          <w:tcPr>
            <w:tcW w:w="742" w:type="dxa"/>
            <w:vMerge/>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c>
          <w:tcPr>
            <w:tcW w:w="1022" w:type="dxa"/>
            <w:vMerge/>
            <w:tcBorders>
              <w:bottom w:val="single" w:sz="4" w:space="0" w:color="auto"/>
            </w:tcBorders>
          </w:tcPr>
          <w:p w:rsidR="001B5E26" w:rsidRPr="00B3518C" w:rsidRDefault="001B5E26" w:rsidP="005D7B68">
            <w:pPr>
              <w:tabs>
                <w:tab w:val="left" w:pos="567"/>
                <w:tab w:val="left" w:pos="1134"/>
                <w:tab w:val="left" w:pos="1701"/>
                <w:tab w:val="left" w:pos="2268"/>
                <w:tab w:val="left" w:pos="2835"/>
              </w:tabs>
              <w:spacing w:before="20" w:after="20"/>
              <w:jc w:val="center"/>
              <w:rPr>
                <w:sz w:val="16"/>
                <w:szCs w:val="16"/>
                <w:lang w:val="fr-FR"/>
              </w:rPr>
            </w:pPr>
          </w:p>
        </w:tc>
      </w:tr>
      <w:tr w:rsidR="001B5E26" w:rsidRPr="00B3518C">
        <w:tc>
          <w:tcPr>
            <w:tcW w:w="2110"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rPr>
                <w:b/>
                <w:bCs/>
                <w:sz w:val="16"/>
                <w:szCs w:val="16"/>
                <w:lang w:val="fr-FR"/>
              </w:rPr>
            </w:pPr>
            <w:r w:rsidRPr="00B3518C">
              <w:rPr>
                <w:b/>
                <w:bCs/>
                <w:sz w:val="16"/>
                <w:szCs w:val="16"/>
                <w:lang w:val="fr-FR"/>
              </w:rPr>
              <w:t>Détenus adultes</w:t>
            </w:r>
          </w:p>
        </w:tc>
        <w:tc>
          <w:tcPr>
            <w:tcW w:w="812"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784"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658"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left="-108" w:right="102"/>
              <w:jc w:val="right"/>
              <w:rPr>
                <w:sz w:val="16"/>
                <w:szCs w:val="16"/>
                <w:lang w:val="fr-FR"/>
              </w:rPr>
            </w:pPr>
          </w:p>
        </w:tc>
        <w:tc>
          <w:tcPr>
            <w:tcW w:w="812"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840"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741"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686"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742" w:type="dxa"/>
            <w:tcBorders>
              <w:bottom w:val="nil"/>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c>
          <w:tcPr>
            <w:tcW w:w="1022" w:type="dxa"/>
            <w:tcBorders>
              <w:bottom w:val="nil"/>
              <w:right w:val="single" w:sz="4" w:space="0" w:color="auto"/>
            </w:tcBorders>
          </w:tcPr>
          <w:p w:rsidR="00214FEA" w:rsidRPr="00B3518C" w:rsidRDefault="00214FEA" w:rsidP="005D7B68">
            <w:pPr>
              <w:tabs>
                <w:tab w:val="left" w:pos="567"/>
                <w:tab w:val="left" w:pos="1134"/>
                <w:tab w:val="left" w:pos="1701"/>
                <w:tab w:val="left" w:pos="2268"/>
                <w:tab w:val="left" w:pos="2835"/>
              </w:tabs>
              <w:spacing w:before="20" w:after="20"/>
              <w:ind w:right="102"/>
              <w:jc w:val="right"/>
              <w:rPr>
                <w:sz w:val="16"/>
                <w:szCs w:val="16"/>
                <w:lang w:val="fr-FR"/>
              </w:rPr>
            </w:pPr>
          </w:p>
        </w:tc>
      </w:tr>
      <w:tr w:rsidR="001B5E26" w:rsidRPr="001B5E26">
        <w:tc>
          <w:tcPr>
            <w:tcW w:w="2110" w:type="dxa"/>
            <w:tcBorders>
              <w:top w:val="nil"/>
              <w:bottom w:val="nil"/>
            </w:tcBorders>
          </w:tcPr>
          <w:p w:rsidR="00214FEA" w:rsidRPr="001B5E26" w:rsidRDefault="00572260" w:rsidP="005D7B68">
            <w:pPr>
              <w:tabs>
                <w:tab w:val="left" w:pos="567"/>
                <w:tab w:val="left" w:pos="1134"/>
                <w:tab w:val="left" w:pos="1701"/>
                <w:tab w:val="left" w:pos="2268"/>
                <w:tab w:val="left" w:pos="2835"/>
              </w:tabs>
              <w:spacing w:before="20" w:after="20"/>
              <w:rPr>
                <w:sz w:val="16"/>
                <w:szCs w:val="16"/>
              </w:rPr>
            </w:pPr>
            <w:r w:rsidRPr="00B3518C">
              <w:rPr>
                <w:sz w:val="16"/>
                <w:szCs w:val="16"/>
                <w:lang w:val="fr-FR"/>
              </w:rPr>
              <w:t xml:space="preserve"> </w:t>
            </w:r>
            <w:r w:rsidR="00214FEA" w:rsidRPr="00B3518C">
              <w:rPr>
                <w:sz w:val="16"/>
                <w:szCs w:val="16"/>
                <w:lang w:val="fr-FR"/>
              </w:rPr>
              <w:t>Darwin Correctio</w:t>
            </w:r>
            <w:r w:rsidR="00214FEA" w:rsidRPr="001B5E26">
              <w:rPr>
                <w:sz w:val="16"/>
                <w:szCs w:val="16"/>
              </w:rPr>
              <w:t>nal Centre</w:t>
            </w: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318</w:t>
            </w:r>
          </w:p>
        </w:tc>
        <w:tc>
          <w:tcPr>
            <w:tcW w:w="784"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19</w:t>
            </w:r>
          </w:p>
        </w:tc>
        <w:tc>
          <w:tcPr>
            <w:tcW w:w="658"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338</w:t>
            </w: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124</w:t>
            </w:r>
          </w:p>
        </w:tc>
        <w:tc>
          <w:tcPr>
            <w:tcW w:w="840"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6</w:t>
            </w:r>
          </w:p>
        </w:tc>
        <w:tc>
          <w:tcPr>
            <w:tcW w:w="741"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129</w:t>
            </w:r>
          </w:p>
        </w:tc>
        <w:tc>
          <w:tcPr>
            <w:tcW w:w="686"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467</w:t>
            </w:r>
          </w:p>
        </w:tc>
        <w:tc>
          <w:tcPr>
            <w:tcW w:w="74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450</w:t>
            </w:r>
          </w:p>
        </w:tc>
        <w:tc>
          <w:tcPr>
            <w:tcW w:w="1022" w:type="dxa"/>
            <w:tcBorders>
              <w:top w:val="nil"/>
              <w:bottom w:val="nil"/>
              <w:right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104</w:t>
            </w:r>
          </w:p>
        </w:tc>
      </w:tr>
      <w:tr w:rsidR="001B5E26" w:rsidRPr="001B5E26">
        <w:tc>
          <w:tcPr>
            <w:tcW w:w="2110" w:type="dxa"/>
            <w:tcBorders>
              <w:top w:val="nil"/>
              <w:bottom w:val="single" w:sz="4" w:space="0" w:color="auto"/>
            </w:tcBorders>
          </w:tcPr>
          <w:p w:rsidR="00214FEA" w:rsidRPr="001B5E26" w:rsidRDefault="00572260" w:rsidP="005D7B68">
            <w:pPr>
              <w:tabs>
                <w:tab w:val="left" w:pos="567"/>
                <w:tab w:val="left" w:pos="1134"/>
                <w:tab w:val="left" w:pos="1701"/>
                <w:tab w:val="left" w:pos="2268"/>
                <w:tab w:val="left" w:pos="2835"/>
              </w:tabs>
              <w:spacing w:before="20" w:after="20"/>
              <w:rPr>
                <w:sz w:val="16"/>
                <w:szCs w:val="16"/>
              </w:rPr>
            </w:pPr>
            <w:r w:rsidRPr="001B5E26">
              <w:rPr>
                <w:sz w:val="16"/>
                <w:szCs w:val="16"/>
              </w:rPr>
              <w:t xml:space="preserve"> </w:t>
            </w:r>
            <w:smartTag w:uri="urn:schemas-microsoft-com:office:smarttags" w:element="place">
              <w:r w:rsidR="00214FEA" w:rsidRPr="001B5E26">
                <w:rPr>
                  <w:sz w:val="16"/>
                  <w:szCs w:val="16"/>
                </w:rPr>
                <w:t>Alice Springs</w:t>
              </w:r>
            </w:smartTag>
            <w:r w:rsidR="00214FEA" w:rsidRPr="001B5E26">
              <w:rPr>
                <w:sz w:val="16"/>
                <w:szCs w:val="16"/>
              </w:rPr>
              <w:t xml:space="preserve"> Correctional</w:t>
            </w:r>
            <w:r w:rsidR="00214FEA" w:rsidRPr="001B5E26">
              <w:rPr>
                <w:sz w:val="16"/>
                <w:szCs w:val="16"/>
              </w:rPr>
              <w:br/>
            </w:r>
            <w:r w:rsidRPr="001B5E26">
              <w:rPr>
                <w:sz w:val="16"/>
                <w:szCs w:val="16"/>
              </w:rPr>
              <w:t xml:space="preserve"> </w:t>
            </w:r>
            <w:r w:rsidR="00214FEA" w:rsidRPr="001B5E26">
              <w:rPr>
                <w:sz w:val="16"/>
                <w:szCs w:val="16"/>
              </w:rPr>
              <w:t>Centre</w:t>
            </w:r>
          </w:p>
        </w:tc>
        <w:tc>
          <w:tcPr>
            <w:tcW w:w="81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394</w:t>
            </w:r>
          </w:p>
        </w:tc>
        <w:tc>
          <w:tcPr>
            <w:tcW w:w="784"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13</w:t>
            </w:r>
          </w:p>
        </w:tc>
        <w:tc>
          <w:tcPr>
            <w:tcW w:w="658"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407</w:t>
            </w:r>
          </w:p>
        </w:tc>
        <w:tc>
          <w:tcPr>
            <w:tcW w:w="81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29</w:t>
            </w:r>
          </w:p>
        </w:tc>
        <w:tc>
          <w:tcPr>
            <w:tcW w:w="840"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741"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firstLine="176"/>
              <w:jc w:val="right"/>
              <w:rPr>
                <w:sz w:val="16"/>
                <w:szCs w:val="16"/>
                <w:lang w:val="en-US"/>
              </w:rPr>
            </w:pPr>
            <w:r w:rsidRPr="00C5313A">
              <w:rPr>
                <w:sz w:val="16"/>
                <w:szCs w:val="16"/>
                <w:lang w:val="en-US"/>
              </w:rPr>
              <w:t>29</w:t>
            </w:r>
          </w:p>
        </w:tc>
        <w:tc>
          <w:tcPr>
            <w:tcW w:w="686"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435</w:t>
            </w:r>
          </w:p>
        </w:tc>
        <w:tc>
          <w:tcPr>
            <w:tcW w:w="74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400</w:t>
            </w:r>
          </w:p>
        </w:tc>
        <w:tc>
          <w:tcPr>
            <w:tcW w:w="102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109</w:t>
            </w:r>
          </w:p>
        </w:tc>
      </w:tr>
      <w:tr w:rsidR="001B5E26" w:rsidRPr="001B5E26">
        <w:tc>
          <w:tcPr>
            <w:tcW w:w="2110" w:type="dxa"/>
            <w:tcBorders>
              <w:top w:val="single" w:sz="4" w:space="0" w:color="auto"/>
              <w:bottom w:val="single" w:sz="4" w:space="0" w:color="auto"/>
            </w:tcBorders>
          </w:tcPr>
          <w:p w:rsidR="00214FEA" w:rsidRPr="001B5E26" w:rsidRDefault="00214FEA" w:rsidP="005D7B68">
            <w:pPr>
              <w:tabs>
                <w:tab w:val="left" w:pos="175"/>
                <w:tab w:val="left" w:pos="567"/>
                <w:tab w:val="left" w:pos="1134"/>
                <w:tab w:val="left" w:pos="1701"/>
                <w:tab w:val="left" w:pos="2268"/>
                <w:tab w:val="left" w:pos="2835"/>
              </w:tabs>
              <w:spacing w:before="20" w:after="20"/>
              <w:rPr>
                <w:sz w:val="16"/>
                <w:szCs w:val="16"/>
              </w:rPr>
            </w:pPr>
            <w:r w:rsidRPr="001B5E26">
              <w:rPr>
                <w:sz w:val="16"/>
                <w:szCs w:val="16"/>
              </w:rPr>
              <w:tab/>
              <w:t>Total</w:t>
            </w:r>
          </w:p>
        </w:tc>
        <w:tc>
          <w:tcPr>
            <w:tcW w:w="812"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712</w:t>
            </w:r>
          </w:p>
        </w:tc>
        <w:tc>
          <w:tcPr>
            <w:tcW w:w="784"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32</w:t>
            </w:r>
          </w:p>
        </w:tc>
        <w:tc>
          <w:tcPr>
            <w:tcW w:w="658"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744</w:t>
            </w:r>
          </w:p>
        </w:tc>
        <w:tc>
          <w:tcPr>
            <w:tcW w:w="812"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152</w:t>
            </w:r>
          </w:p>
        </w:tc>
        <w:tc>
          <w:tcPr>
            <w:tcW w:w="840"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6</w:t>
            </w:r>
          </w:p>
        </w:tc>
        <w:tc>
          <w:tcPr>
            <w:tcW w:w="741"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158</w:t>
            </w:r>
          </w:p>
        </w:tc>
        <w:tc>
          <w:tcPr>
            <w:tcW w:w="686"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902</w:t>
            </w:r>
          </w:p>
        </w:tc>
        <w:tc>
          <w:tcPr>
            <w:tcW w:w="742"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850</w:t>
            </w:r>
          </w:p>
        </w:tc>
        <w:tc>
          <w:tcPr>
            <w:tcW w:w="1022"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106</w:t>
            </w:r>
          </w:p>
        </w:tc>
      </w:tr>
      <w:tr w:rsidR="001B5E26" w:rsidRPr="001B5E26">
        <w:tc>
          <w:tcPr>
            <w:tcW w:w="2110"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rPr>
                <w:b/>
                <w:bCs/>
                <w:sz w:val="16"/>
                <w:szCs w:val="16"/>
              </w:rPr>
            </w:pPr>
            <w:r w:rsidRPr="00C5313A">
              <w:rPr>
                <w:b/>
                <w:bCs/>
                <w:sz w:val="16"/>
                <w:szCs w:val="16"/>
              </w:rPr>
              <w:t>Détenus mineurs</w:t>
            </w: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p>
        </w:tc>
        <w:tc>
          <w:tcPr>
            <w:tcW w:w="784"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p>
        </w:tc>
        <w:tc>
          <w:tcPr>
            <w:tcW w:w="658"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left="-108" w:right="70"/>
              <w:jc w:val="right"/>
              <w:rPr>
                <w:sz w:val="16"/>
                <w:szCs w:val="16"/>
                <w:lang w:val="en-US"/>
              </w:rPr>
            </w:pP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rPr>
                <w:sz w:val="16"/>
                <w:szCs w:val="16"/>
                <w:lang w:val="en-US"/>
              </w:rPr>
            </w:pPr>
          </w:p>
        </w:tc>
        <w:tc>
          <w:tcPr>
            <w:tcW w:w="840"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center"/>
              <w:rPr>
                <w:sz w:val="16"/>
                <w:szCs w:val="16"/>
                <w:lang w:val="en-US"/>
              </w:rPr>
            </w:pPr>
          </w:p>
        </w:tc>
        <w:tc>
          <w:tcPr>
            <w:tcW w:w="741"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rPr>
                <w:sz w:val="16"/>
                <w:szCs w:val="16"/>
                <w:lang w:val="en-US"/>
              </w:rPr>
            </w:pPr>
          </w:p>
        </w:tc>
        <w:tc>
          <w:tcPr>
            <w:tcW w:w="686"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p>
        </w:tc>
        <w:tc>
          <w:tcPr>
            <w:tcW w:w="74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p>
        </w:tc>
        <w:tc>
          <w:tcPr>
            <w:tcW w:w="102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p>
        </w:tc>
      </w:tr>
      <w:tr w:rsidR="001B5E26" w:rsidRPr="001B5E26">
        <w:tc>
          <w:tcPr>
            <w:tcW w:w="2110" w:type="dxa"/>
            <w:tcBorders>
              <w:top w:val="nil"/>
              <w:bottom w:val="nil"/>
            </w:tcBorders>
          </w:tcPr>
          <w:p w:rsidR="00214FEA" w:rsidRPr="001B5E26" w:rsidRDefault="00572260" w:rsidP="005D7B68">
            <w:pPr>
              <w:tabs>
                <w:tab w:val="left" w:pos="567"/>
                <w:tab w:val="left" w:pos="1134"/>
                <w:tab w:val="left" w:pos="1701"/>
                <w:tab w:val="left" w:pos="2268"/>
                <w:tab w:val="left" w:pos="2835"/>
              </w:tabs>
              <w:spacing w:before="20" w:after="20"/>
              <w:rPr>
                <w:sz w:val="16"/>
                <w:szCs w:val="16"/>
              </w:rPr>
            </w:pPr>
            <w:r w:rsidRPr="001B5E26">
              <w:rPr>
                <w:sz w:val="16"/>
                <w:szCs w:val="16"/>
              </w:rPr>
              <w:t xml:space="preserve"> </w:t>
            </w:r>
            <w:r w:rsidR="00214FEA" w:rsidRPr="001B5E26">
              <w:rPr>
                <w:sz w:val="16"/>
                <w:szCs w:val="16"/>
              </w:rPr>
              <w:t>Don Dale Detention Centre</w:t>
            </w: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27</w:t>
            </w:r>
          </w:p>
        </w:tc>
        <w:tc>
          <w:tcPr>
            <w:tcW w:w="784"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w:t>
            </w:r>
          </w:p>
        </w:tc>
        <w:tc>
          <w:tcPr>
            <w:tcW w:w="658"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left="-108" w:right="70"/>
              <w:jc w:val="right"/>
              <w:rPr>
                <w:sz w:val="16"/>
                <w:szCs w:val="16"/>
                <w:lang w:val="en-US"/>
              </w:rPr>
            </w:pPr>
            <w:r w:rsidRPr="00C5313A">
              <w:rPr>
                <w:sz w:val="16"/>
                <w:szCs w:val="16"/>
                <w:lang w:val="en-US"/>
              </w:rPr>
              <w:t>28</w:t>
            </w:r>
          </w:p>
        </w:tc>
        <w:tc>
          <w:tcPr>
            <w:tcW w:w="81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5</w:t>
            </w:r>
          </w:p>
        </w:tc>
        <w:tc>
          <w:tcPr>
            <w:tcW w:w="840"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741"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5</w:t>
            </w:r>
          </w:p>
        </w:tc>
        <w:tc>
          <w:tcPr>
            <w:tcW w:w="686"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33</w:t>
            </w:r>
          </w:p>
        </w:tc>
        <w:tc>
          <w:tcPr>
            <w:tcW w:w="74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38</w:t>
            </w:r>
          </w:p>
        </w:tc>
        <w:tc>
          <w:tcPr>
            <w:tcW w:w="1022" w:type="dxa"/>
            <w:tcBorders>
              <w:top w:val="nil"/>
              <w:bottom w:val="nil"/>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87</w:t>
            </w:r>
          </w:p>
        </w:tc>
      </w:tr>
      <w:tr w:rsidR="001B5E26" w:rsidRPr="001B5E26">
        <w:tc>
          <w:tcPr>
            <w:tcW w:w="2110" w:type="dxa"/>
            <w:tcBorders>
              <w:top w:val="nil"/>
            </w:tcBorders>
          </w:tcPr>
          <w:p w:rsidR="00214FEA" w:rsidRPr="001B5E26" w:rsidRDefault="00572260" w:rsidP="005D7B68">
            <w:pPr>
              <w:tabs>
                <w:tab w:val="left" w:pos="567"/>
                <w:tab w:val="left" w:pos="1134"/>
                <w:tab w:val="left" w:pos="1701"/>
                <w:tab w:val="left" w:pos="2268"/>
                <w:tab w:val="left" w:pos="2835"/>
              </w:tabs>
              <w:spacing w:before="20" w:after="20"/>
              <w:rPr>
                <w:sz w:val="16"/>
                <w:szCs w:val="16"/>
              </w:rPr>
            </w:pPr>
            <w:r w:rsidRPr="001B5E26">
              <w:rPr>
                <w:sz w:val="16"/>
                <w:szCs w:val="16"/>
              </w:rPr>
              <w:t xml:space="preserve"> </w:t>
            </w:r>
            <w:r w:rsidR="00214FEA" w:rsidRPr="001B5E26">
              <w:rPr>
                <w:sz w:val="16"/>
                <w:szCs w:val="16"/>
              </w:rPr>
              <w:t xml:space="preserve">Aranda House Holding </w:t>
            </w:r>
            <w:r w:rsidR="00214FEA" w:rsidRPr="001B5E26">
              <w:rPr>
                <w:sz w:val="16"/>
                <w:szCs w:val="16"/>
              </w:rPr>
              <w:br/>
            </w:r>
            <w:r w:rsidRPr="001B5E26">
              <w:rPr>
                <w:sz w:val="16"/>
                <w:szCs w:val="16"/>
              </w:rPr>
              <w:t xml:space="preserve"> </w:t>
            </w:r>
            <w:r w:rsidR="00214FEA" w:rsidRPr="001B5E26">
              <w:rPr>
                <w:sz w:val="16"/>
                <w:szCs w:val="16"/>
              </w:rPr>
              <w:t>Facility</w:t>
            </w:r>
          </w:p>
        </w:tc>
        <w:tc>
          <w:tcPr>
            <w:tcW w:w="81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2</w:t>
            </w:r>
          </w:p>
        </w:tc>
        <w:tc>
          <w:tcPr>
            <w:tcW w:w="784"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658"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left="-108" w:right="70"/>
              <w:jc w:val="right"/>
              <w:rPr>
                <w:sz w:val="16"/>
                <w:szCs w:val="16"/>
                <w:lang w:val="en-US"/>
              </w:rPr>
            </w:pPr>
            <w:r w:rsidRPr="00C5313A">
              <w:rPr>
                <w:sz w:val="16"/>
                <w:szCs w:val="16"/>
                <w:lang w:val="en-US"/>
              </w:rPr>
              <w:t>2</w:t>
            </w:r>
          </w:p>
        </w:tc>
        <w:tc>
          <w:tcPr>
            <w:tcW w:w="81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840"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741"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0</w:t>
            </w:r>
          </w:p>
        </w:tc>
        <w:tc>
          <w:tcPr>
            <w:tcW w:w="686"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3</w:t>
            </w:r>
          </w:p>
        </w:tc>
        <w:tc>
          <w:tcPr>
            <w:tcW w:w="74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10</w:t>
            </w:r>
          </w:p>
        </w:tc>
        <w:tc>
          <w:tcPr>
            <w:tcW w:w="1022" w:type="dxa"/>
            <w:tcBorders>
              <w:top w:val="nil"/>
              <w:bottom w:val="single" w:sz="4" w:space="0" w:color="auto"/>
            </w:tcBorders>
            <w:vAlign w:val="bottom"/>
          </w:tcPr>
          <w:p w:rsidR="00214FEA" w:rsidRPr="00C5313A" w:rsidRDefault="00214FEA" w:rsidP="005D7B68">
            <w:pPr>
              <w:tabs>
                <w:tab w:val="left" w:pos="567"/>
                <w:tab w:val="left" w:pos="1134"/>
                <w:tab w:val="left" w:pos="1701"/>
                <w:tab w:val="left" w:pos="2268"/>
                <w:tab w:val="left" w:pos="2835"/>
              </w:tabs>
              <w:spacing w:before="20" w:after="20"/>
              <w:ind w:right="70"/>
              <w:jc w:val="right"/>
              <w:rPr>
                <w:sz w:val="16"/>
                <w:szCs w:val="16"/>
                <w:lang w:val="en-US"/>
              </w:rPr>
            </w:pPr>
            <w:r w:rsidRPr="00C5313A">
              <w:rPr>
                <w:sz w:val="16"/>
                <w:szCs w:val="16"/>
                <w:lang w:val="en-US"/>
              </w:rPr>
              <w:t>26</w:t>
            </w:r>
          </w:p>
        </w:tc>
      </w:tr>
      <w:tr w:rsidR="001B5E26" w:rsidRPr="001B5E26">
        <w:tc>
          <w:tcPr>
            <w:tcW w:w="2110" w:type="dxa"/>
          </w:tcPr>
          <w:p w:rsidR="00214FEA" w:rsidRPr="00C5313A" w:rsidRDefault="00214FEA" w:rsidP="005D7B68">
            <w:pPr>
              <w:tabs>
                <w:tab w:val="left" w:pos="175"/>
                <w:tab w:val="left" w:pos="567"/>
                <w:tab w:val="left" w:pos="1134"/>
                <w:tab w:val="left" w:pos="1701"/>
                <w:tab w:val="left" w:pos="2268"/>
                <w:tab w:val="left" w:pos="2835"/>
              </w:tabs>
              <w:spacing w:before="20" w:after="20"/>
              <w:rPr>
                <w:b/>
                <w:bCs/>
                <w:sz w:val="16"/>
                <w:szCs w:val="16"/>
              </w:rPr>
            </w:pPr>
            <w:r w:rsidRPr="00C5313A">
              <w:rPr>
                <w:b/>
                <w:bCs/>
                <w:sz w:val="16"/>
                <w:szCs w:val="16"/>
              </w:rPr>
              <w:tab/>
              <w:t>Total</w:t>
            </w:r>
          </w:p>
        </w:tc>
        <w:tc>
          <w:tcPr>
            <w:tcW w:w="812"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29</w:t>
            </w:r>
          </w:p>
        </w:tc>
        <w:tc>
          <w:tcPr>
            <w:tcW w:w="784" w:type="dxa"/>
            <w:tcBorders>
              <w:top w:val="single" w:sz="4" w:space="0" w:color="auto"/>
              <w:bottom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1</w:t>
            </w:r>
          </w:p>
        </w:tc>
        <w:tc>
          <w:tcPr>
            <w:tcW w:w="658"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left="-108" w:right="70"/>
              <w:jc w:val="right"/>
              <w:rPr>
                <w:b/>
                <w:bCs/>
                <w:sz w:val="16"/>
                <w:szCs w:val="16"/>
                <w:lang w:val="en-US"/>
              </w:rPr>
            </w:pPr>
            <w:r w:rsidRPr="00C5313A">
              <w:rPr>
                <w:b/>
                <w:bCs/>
                <w:sz w:val="16"/>
                <w:szCs w:val="16"/>
                <w:lang w:val="en-US"/>
              </w:rPr>
              <w:t>30</w:t>
            </w:r>
          </w:p>
        </w:tc>
        <w:tc>
          <w:tcPr>
            <w:tcW w:w="812"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5</w:t>
            </w:r>
          </w:p>
        </w:tc>
        <w:tc>
          <w:tcPr>
            <w:tcW w:w="840"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0</w:t>
            </w:r>
          </w:p>
        </w:tc>
        <w:tc>
          <w:tcPr>
            <w:tcW w:w="741"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5</w:t>
            </w:r>
          </w:p>
        </w:tc>
        <w:tc>
          <w:tcPr>
            <w:tcW w:w="686"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36</w:t>
            </w:r>
          </w:p>
        </w:tc>
        <w:tc>
          <w:tcPr>
            <w:tcW w:w="742"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48</w:t>
            </w:r>
          </w:p>
        </w:tc>
        <w:tc>
          <w:tcPr>
            <w:tcW w:w="1022" w:type="dxa"/>
            <w:tcBorders>
              <w:top w:val="single" w:sz="4" w:space="0" w:color="auto"/>
            </w:tcBorders>
          </w:tcPr>
          <w:p w:rsidR="00214FEA" w:rsidRPr="00C5313A" w:rsidRDefault="00214FEA" w:rsidP="005D7B68">
            <w:pPr>
              <w:tabs>
                <w:tab w:val="left" w:pos="567"/>
                <w:tab w:val="left" w:pos="1134"/>
                <w:tab w:val="left" w:pos="1701"/>
                <w:tab w:val="left" w:pos="2268"/>
                <w:tab w:val="left" w:pos="2835"/>
              </w:tabs>
              <w:spacing w:before="20" w:after="20"/>
              <w:ind w:right="70"/>
              <w:jc w:val="right"/>
              <w:rPr>
                <w:b/>
                <w:bCs/>
                <w:sz w:val="16"/>
                <w:szCs w:val="16"/>
                <w:lang w:val="en-US"/>
              </w:rPr>
            </w:pPr>
            <w:r w:rsidRPr="00C5313A">
              <w:rPr>
                <w:b/>
                <w:bCs/>
                <w:sz w:val="16"/>
                <w:szCs w:val="16"/>
                <w:lang w:val="en-US"/>
              </w:rPr>
              <w:t>74</w:t>
            </w:r>
          </w:p>
        </w:tc>
      </w:tr>
    </w:tbl>
    <w:p w:rsidR="001070F9" w:rsidRDefault="00585316" w:rsidP="005D7B68">
      <w:pPr>
        <w:tabs>
          <w:tab w:val="left" w:pos="567"/>
          <w:tab w:val="left" w:pos="1134"/>
          <w:tab w:val="left" w:pos="1701"/>
          <w:tab w:val="left" w:pos="2268"/>
          <w:tab w:val="left" w:pos="2835"/>
        </w:tabs>
        <w:spacing w:before="240"/>
        <w:rPr>
          <w:b/>
          <w:bCs/>
          <w:lang w:val="fr-FR"/>
        </w:rPr>
      </w:pPr>
      <w:r>
        <w:rPr>
          <w:b/>
          <w:bCs/>
          <w:lang w:val="fr-FR"/>
        </w:rPr>
        <w:t>Question 23</w:t>
      </w:r>
    </w:p>
    <w:p w:rsidR="00585316" w:rsidRDefault="00883440" w:rsidP="005D7B68">
      <w:pPr>
        <w:tabs>
          <w:tab w:val="left" w:pos="567"/>
          <w:tab w:val="left" w:pos="1134"/>
          <w:tab w:val="left" w:pos="1701"/>
          <w:tab w:val="left" w:pos="2268"/>
          <w:tab w:val="left" w:pos="2835"/>
        </w:tabs>
        <w:spacing w:before="240"/>
        <w:rPr>
          <w:b/>
          <w:bCs/>
          <w:lang w:val="fr-FR"/>
        </w:rPr>
      </w:pPr>
      <w:r>
        <w:rPr>
          <w:b/>
          <w:bCs/>
          <w:lang w:val="fr-FR"/>
        </w:rPr>
        <w:tab/>
      </w:r>
      <w:r w:rsidR="0016188C" w:rsidRPr="0016188C">
        <w:rPr>
          <w:b/>
          <w:bCs/>
          <w:lang w:val="fr-FR"/>
        </w:rPr>
        <w:t>Informer le Comité des mesures prises pour protéger et garantir les droits des personnes vulnérables privées de liberté, en particulier les femmes, les autochtones, les personnes souffrant de troubles mentaux et les enfants.</w:t>
      </w:r>
    </w:p>
    <w:p w:rsidR="0038016A" w:rsidRDefault="0038016A" w:rsidP="005D7B68">
      <w:pPr>
        <w:tabs>
          <w:tab w:val="left" w:pos="567"/>
          <w:tab w:val="left" w:pos="1134"/>
          <w:tab w:val="left" w:pos="1701"/>
          <w:tab w:val="left" w:pos="2268"/>
          <w:tab w:val="left" w:pos="2835"/>
        </w:tabs>
        <w:spacing w:before="240"/>
        <w:rPr>
          <w:lang w:val="fr-FR"/>
        </w:rPr>
      </w:pPr>
      <w:r>
        <w:rPr>
          <w:lang w:val="fr-FR"/>
        </w:rPr>
        <w:t>41</w:t>
      </w:r>
      <w:r w:rsidR="00466F89">
        <w:rPr>
          <w:lang w:val="fr-FR"/>
        </w:rPr>
        <w:t>8</w:t>
      </w:r>
      <w:r>
        <w:rPr>
          <w:lang w:val="fr-FR"/>
        </w:rPr>
        <w:t>.</w:t>
      </w:r>
      <w:r>
        <w:rPr>
          <w:lang w:val="fr-FR"/>
        </w:rPr>
        <w:tab/>
        <w:t>Toute une gamme de mesure</w:t>
      </w:r>
      <w:r w:rsidR="004D3F18">
        <w:rPr>
          <w:lang w:val="fr-FR"/>
        </w:rPr>
        <w:t>s de protection en faveur des détenus vulnérables</w:t>
      </w:r>
      <w:r>
        <w:rPr>
          <w:lang w:val="fr-FR"/>
        </w:rPr>
        <w:t xml:space="preserve"> a été</w:t>
      </w:r>
      <w:r w:rsidR="004D3F18">
        <w:rPr>
          <w:lang w:val="fr-FR"/>
        </w:rPr>
        <w:t xml:space="preserve"> mise en place</w:t>
      </w:r>
      <w:r>
        <w:rPr>
          <w:lang w:val="fr-FR"/>
        </w:rPr>
        <w:t xml:space="preserve"> par le Gouvernement du Commonwealth et les Gouvernements des États et des Ter</w:t>
      </w:r>
      <w:r w:rsidR="004D3F18">
        <w:rPr>
          <w:lang w:val="fr-FR"/>
        </w:rPr>
        <w:t>ritoires en Australie, comprenant</w:t>
      </w:r>
      <w:r>
        <w:rPr>
          <w:lang w:val="fr-FR"/>
        </w:rPr>
        <w:t xml:space="preserve"> des prescriptions législatives, des directives et des procédures de gestion des cas</w:t>
      </w:r>
      <w:r w:rsidR="008D6B80">
        <w:rPr>
          <w:lang w:val="fr-FR"/>
        </w:rPr>
        <w:t xml:space="preserve">. </w:t>
      </w:r>
      <w:r>
        <w:rPr>
          <w:lang w:val="fr-FR"/>
        </w:rPr>
        <w:t>La première partie de la réponse ci-après concerne les mesures prises afin de protéger et de garantir les droits des personnes vulnérables dans les centres de rétention d’immigrants du Commonwealth</w:t>
      </w:r>
      <w:r w:rsidR="008D6B80">
        <w:rPr>
          <w:lang w:val="fr-FR"/>
        </w:rPr>
        <w:t xml:space="preserve">. </w:t>
      </w:r>
      <w:r>
        <w:rPr>
          <w:lang w:val="fr-FR"/>
        </w:rPr>
        <w:t>Les informations sur les mesures prises dans d’autres lieux de détention, comme les prisons, figurent dans les réponses des États et des Territoires.</w:t>
      </w:r>
    </w:p>
    <w:p w:rsidR="0038016A" w:rsidRDefault="0038016A" w:rsidP="005D7B68">
      <w:pPr>
        <w:tabs>
          <w:tab w:val="left" w:pos="567"/>
          <w:tab w:val="left" w:pos="1134"/>
          <w:tab w:val="left" w:pos="1701"/>
          <w:tab w:val="left" w:pos="2268"/>
          <w:tab w:val="left" w:pos="2835"/>
        </w:tabs>
        <w:spacing w:before="240"/>
        <w:rPr>
          <w:b/>
          <w:bCs/>
          <w:lang w:val="fr-FR"/>
        </w:rPr>
      </w:pPr>
      <w:r>
        <w:rPr>
          <w:b/>
          <w:bCs/>
          <w:lang w:val="fr-FR"/>
        </w:rPr>
        <w:t>Informations du Gouvernement du Commonwealth</w:t>
      </w:r>
    </w:p>
    <w:p w:rsidR="00E374C5" w:rsidRDefault="00E374C5" w:rsidP="005D7B68">
      <w:pPr>
        <w:tabs>
          <w:tab w:val="left" w:pos="567"/>
          <w:tab w:val="left" w:pos="1134"/>
          <w:tab w:val="left" w:pos="1701"/>
          <w:tab w:val="left" w:pos="2268"/>
          <w:tab w:val="left" w:pos="2835"/>
        </w:tabs>
        <w:spacing w:before="240"/>
        <w:rPr>
          <w:b/>
          <w:bCs/>
          <w:lang w:val="fr-FR"/>
        </w:rPr>
      </w:pPr>
      <w:r>
        <w:rPr>
          <w:b/>
          <w:bCs/>
          <w:lang w:val="fr-FR"/>
        </w:rPr>
        <w:t>Rétention des immigrants</w:t>
      </w:r>
    </w:p>
    <w:p w:rsidR="00E374C5" w:rsidRDefault="00E374C5" w:rsidP="005D7B68">
      <w:pPr>
        <w:tabs>
          <w:tab w:val="left" w:pos="567"/>
          <w:tab w:val="left" w:pos="1134"/>
          <w:tab w:val="left" w:pos="1701"/>
          <w:tab w:val="left" w:pos="2268"/>
          <w:tab w:val="left" w:pos="2835"/>
        </w:tabs>
        <w:spacing w:before="240"/>
        <w:rPr>
          <w:lang w:val="fr-FR"/>
        </w:rPr>
      </w:pPr>
      <w:r>
        <w:rPr>
          <w:lang w:val="fr-FR"/>
        </w:rPr>
        <w:t>41</w:t>
      </w:r>
      <w:r w:rsidR="00466F89">
        <w:rPr>
          <w:lang w:val="fr-FR"/>
        </w:rPr>
        <w:t>9</w:t>
      </w:r>
      <w:r>
        <w:rPr>
          <w:lang w:val="fr-FR"/>
        </w:rPr>
        <w:t>.</w:t>
      </w:r>
      <w:r>
        <w:rPr>
          <w:lang w:val="fr-FR"/>
        </w:rPr>
        <w:tab/>
        <w:t xml:space="preserve">En 2006, le Ministère de l’immigration et de la citoyenneté a procédé à un examen de la stratégie de détention de longue durée et à une analyse des futurs </w:t>
      </w:r>
      <w:r w:rsidR="00662AE7">
        <w:rPr>
          <w:lang w:val="fr-FR"/>
        </w:rPr>
        <w:t xml:space="preserve">besoins </w:t>
      </w:r>
      <w:r>
        <w:rPr>
          <w:lang w:val="fr-FR"/>
        </w:rPr>
        <w:t>probables en établissements de rétention pour immigrants sur le territoire.</w:t>
      </w:r>
    </w:p>
    <w:p w:rsidR="0038016A" w:rsidRDefault="00E374C5" w:rsidP="005D7B68">
      <w:pPr>
        <w:tabs>
          <w:tab w:val="left" w:pos="567"/>
          <w:tab w:val="left" w:pos="1134"/>
          <w:tab w:val="left" w:pos="1701"/>
          <w:tab w:val="left" w:pos="2268"/>
          <w:tab w:val="left" w:pos="2835"/>
        </w:tabs>
        <w:spacing w:before="240"/>
        <w:rPr>
          <w:lang w:val="fr-FR"/>
        </w:rPr>
      </w:pPr>
      <w:r>
        <w:rPr>
          <w:lang w:val="fr-FR"/>
        </w:rPr>
        <w:t>4</w:t>
      </w:r>
      <w:r w:rsidR="00466F89">
        <w:rPr>
          <w:lang w:val="fr-FR"/>
        </w:rPr>
        <w:t>20</w:t>
      </w:r>
      <w:r>
        <w:rPr>
          <w:lang w:val="fr-FR"/>
        </w:rPr>
        <w:t>.</w:t>
      </w:r>
      <w:r>
        <w:rPr>
          <w:lang w:val="fr-FR"/>
        </w:rPr>
        <w:tab/>
        <w:t>Cet examen a permis de constater, entre autres, qu’il était néces</w:t>
      </w:r>
      <w:r w:rsidR="00457323">
        <w:rPr>
          <w:lang w:val="fr-FR"/>
        </w:rPr>
        <w:t>saire de définir clairement des</w:t>
      </w:r>
      <w:r>
        <w:rPr>
          <w:lang w:val="fr-FR"/>
        </w:rPr>
        <w:t xml:space="preserve"> principes opérationnels</w:t>
      </w:r>
      <w:r w:rsidR="0038016A">
        <w:rPr>
          <w:lang w:val="fr-FR"/>
        </w:rPr>
        <w:t xml:space="preserve"> </w:t>
      </w:r>
      <w:r w:rsidR="00457323">
        <w:rPr>
          <w:lang w:val="fr-FR"/>
        </w:rPr>
        <w:t xml:space="preserve">fondamentaux </w:t>
      </w:r>
      <w:r w:rsidR="00662AE7">
        <w:rPr>
          <w:lang w:val="fr-FR"/>
        </w:rPr>
        <w:t>pour présider à des</w:t>
      </w:r>
      <w:r>
        <w:rPr>
          <w:lang w:val="fr-FR"/>
        </w:rPr>
        <w:t xml:space="preserve"> arrangements de rétention</w:t>
      </w:r>
      <w:r w:rsidR="00457323">
        <w:rPr>
          <w:lang w:val="fr-FR"/>
        </w:rPr>
        <w:t xml:space="preserve"> des immigrants sur le territoire national conformes à la politique de l’Australie en la matière.</w:t>
      </w:r>
    </w:p>
    <w:p w:rsidR="00457323" w:rsidRDefault="00457323"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1</w:t>
      </w:r>
      <w:r>
        <w:rPr>
          <w:lang w:val="fr-FR"/>
        </w:rPr>
        <w:t>.</w:t>
      </w:r>
      <w:r>
        <w:rPr>
          <w:lang w:val="fr-FR"/>
        </w:rPr>
        <w:tab/>
        <w:t>Les prin</w:t>
      </w:r>
      <w:r w:rsidR="00520CAB">
        <w:rPr>
          <w:lang w:val="fr-FR"/>
        </w:rPr>
        <w:t>cipes ci-après préconisés par le</w:t>
      </w:r>
      <w:r>
        <w:rPr>
          <w:lang w:val="fr-FR"/>
        </w:rPr>
        <w:t xml:space="preserve"> Groupe cons</w:t>
      </w:r>
      <w:r w:rsidR="00520CAB">
        <w:rPr>
          <w:lang w:val="fr-FR"/>
        </w:rPr>
        <w:t>ultatif sur la rétention d’immigrants</w:t>
      </w:r>
      <w:r>
        <w:rPr>
          <w:lang w:val="fr-FR"/>
        </w:rPr>
        <w:t xml:space="preserve"> et le Comité directeur des services de détention sont appliqués aux fins de la</w:t>
      </w:r>
      <w:r w:rsidR="00520CAB">
        <w:rPr>
          <w:lang w:val="fr-FR"/>
        </w:rPr>
        <w:t xml:space="preserve"> gestion des établissements de r</w:t>
      </w:r>
      <w:r>
        <w:rPr>
          <w:lang w:val="fr-FR"/>
        </w:rPr>
        <w:t>étention des immigrants en Australie</w:t>
      </w:r>
      <w:r w:rsidR="00572260">
        <w:rPr>
          <w:lang w:val="fr-FR"/>
        </w:rPr>
        <w:t>:</w:t>
      </w:r>
    </w:p>
    <w:p w:rsidR="00457323" w:rsidRDefault="00457323" w:rsidP="005D7B68">
      <w:pPr>
        <w:tabs>
          <w:tab w:val="left" w:pos="567"/>
          <w:tab w:val="left" w:pos="1134"/>
          <w:tab w:val="left" w:pos="1701"/>
          <w:tab w:val="left" w:pos="2268"/>
          <w:tab w:val="left" w:pos="2835"/>
        </w:tabs>
        <w:spacing w:before="240"/>
        <w:rPr>
          <w:lang w:val="fr-FR"/>
        </w:rPr>
      </w:pPr>
      <w:r>
        <w:rPr>
          <w:lang w:val="fr-FR"/>
        </w:rPr>
        <w:tab/>
        <w:t>a)</w:t>
      </w:r>
      <w:r w:rsidR="00662AE7">
        <w:rPr>
          <w:lang w:val="fr-FR"/>
        </w:rPr>
        <w:tab/>
        <w:t>Il s’agit d’</w:t>
      </w:r>
      <w:r>
        <w:rPr>
          <w:lang w:val="fr-FR"/>
        </w:rPr>
        <w:t xml:space="preserve">une ‘détention administrative’ obligatoire, et non </w:t>
      </w:r>
      <w:r w:rsidR="00662AE7">
        <w:rPr>
          <w:lang w:val="fr-FR"/>
        </w:rPr>
        <w:t>d’</w:t>
      </w:r>
      <w:r>
        <w:rPr>
          <w:lang w:val="fr-FR"/>
        </w:rPr>
        <w:t>une détention</w:t>
      </w:r>
      <w:r w:rsidR="009E231B">
        <w:rPr>
          <w:lang w:val="fr-FR"/>
        </w:rPr>
        <w:t xml:space="preserve"> pour une pério</w:t>
      </w:r>
      <w:r w:rsidR="00662AE7">
        <w:rPr>
          <w:lang w:val="fr-FR"/>
        </w:rPr>
        <w:t>de indéterminée ou</w:t>
      </w:r>
      <w:r w:rsidR="00B177CD">
        <w:rPr>
          <w:lang w:val="fr-FR"/>
        </w:rPr>
        <w:t xml:space="preserve"> à caractère pénitentiaire;</w:t>
      </w:r>
    </w:p>
    <w:p w:rsidR="009E231B" w:rsidRDefault="009E231B" w:rsidP="005D7B68">
      <w:pPr>
        <w:tabs>
          <w:tab w:val="left" w:pos="567"/>
          <w:tab w:val="left" w:pos="1134"/>
          <w:tab w:val="left" w:pos="1701"/>
          <w:tab w:val="left" w:pos="2268"/>
          <w:tab w:val="left" w:pos="2835"/>
        </w:tabs>
        <w:spacing w:before="240"/>
        <w:rPr>
          <w:lang w:val="fr-FR"/>
        </w:rPr>
      </w:pPr>
      <w:r>
        <w:rPr>
          <w:lang w:val="fr-FR"/>
        </w:rPr>
        <w:tab/>
        <w:t>b)</w:t>
      </w:r>
      <w:r>
        <w:rPr>
          <w:lang w:val="fr-FR"/>
        </w:rPr>
        <w:tab/>
        <w:t>Les détenus doivent être traités avec équité et dans des conditions rais</w:t>
      </w:r>
      <w:r w:rsidR="00B177CD">
        <w:rPr>
          <w:lang w:val="fr-FR"/>
        </w:rPr>
        <w:t>onnables, conformément à la loi;</w:t>
      </w:r>
    </w:p>
    <w:p w:rsidR="009E231B" w:rsidRDefault="009E231B" w:rsidP="005D7B68">
      <w:pPr>
        <w:tabs>
          <w:tab w:val="left" w:pos="567"/>
          <w:tab w:val="left" w:pos="1134"/>
          <w:tab w:val="left" w:pos="1701"/>
          <w:tab w:val="left" w:pos="2268"/>
          <w:tab w:val="left" w:pos="2835"/>
        </w:tabs>
        <w:spacing w:before="240"/>
        <w:rPr>
          <w:lang w:val="fr-FR"/>
        </w:rPr>
      </w:pPr>
      <w:r>
        <w:rPr>
          <w:lang w:val="fr-FR"/>
        </w:rPr>
        <w:tab/>
        <w:t>c)</w:t>
      </w:r>
      <w:r>
        <w:rPr>
          <w:lang w:val="fr-FR"/>
        </w:rPr>
        <w:tab/>
        <w:t>Les politiques et</w:t>
      </w:r>
      <w:r w:rsidR="00520CAB">
        <w:rPr>
          <w:lang w:val="fr-FR"/>
        </w:rPr>
        <w:t xml:space="preserve"> les pratiques des services de r</w:t>
      </w:r>
      <w:r>
        <w:rPr>
          <w:lang w:val="fr-FR"/>
        </w:rPr>
        <w:t>étention reposent sur le princi</w:t>
      </w:r>
      <w:r w:rsidR="00B177CD">
        <w:rPr>
          <w:lang w:val="fr-FR"/>
        </w:rPr>
        <w:t>pe du devoir de prise en charge;</w:t>
      </w:r>
    </w:p>
    <w:p w:rsidR="009E231B" w:rsidRDefault="009E231B" w:rsidP="005D7B68">
      <w:pPr>
        <w:tabs>
          <w:tab w:val="left" w:pos="567"/>
          <w:tab w:val="left" w:pos="1134"/>
          <w:tab w:val="left" w:pos="1701"/>
          <w:tab w:val="left" w:pos="2268"/>
          <w:tab w:val="left" w:pos="2835"/>
        </w:tabs>
        <w:spacing w:before="240"/>
        <w:rPr>
          <w:lang w:val="fr-FR"/>
        </w:rPr>
      </w:pPr>
      <w:r>
        <w:rPr>
          <w:lang w:val="fr-FR"/>
        </w:rPr>
        <w:tab/>
        <w:t>d)</w:t>
      </w:r>
      <w:r>
        <w:rPr>
          <w:lang w:val="fr-FR"/>
        </w:rPr>
        <w:tab/>
        <w:t>Les famil</w:t>
      </w:r>
      <w:r w:rsidR="003B1E0E">
        <w:rPr>
          <w:lang w:val="fr-FR"/>
        </w:rPr>
        <w:t xml:space="preserve">les avec des enfants ne doivent </w:t>
      </w:r>
      <w:r>
        <w:rPr>
          <w:lang w:val="fr-FR"/>
        </w:rPr>
        <w:t xml:space="preserve">être placées dans des centres de </w:t>
      </w:r>
      <w:r w:rsidR="00B177CD">
        <w:rPr>
          <w:lang w:val="fr-FR"/>
        </w:rPr>
        <w:t>rétention qu’en dernier recours;</w:t>
      </w:r>
    </w:p>
    <w:p w:rsidR="009E231B" w:rsidRDefault="009E231B" w:rsidP="005D7B68">
      <w:pPr>
        <w:tabs>
          <w:tab w:val="left" w:pos="567"/>
          <w:tab w:val="left" w:pos="1134"/>
          <w:tab w:val="left" w:pos="1701"/>
          <w:tab w:val="left" w:pos="2268"/>
          <w:tab w:val="left" w:pos="2835"/>
        </w:tabs>
        <w:spacing w:before="240"/>
        <w:rPr>
          <w:lang w:val="fr-FR"/>
        </w:rPr>
      </w:pPr>
      <w:r>
        <w:rPr>
          <w:lang w:val="fr-FR"/>
        </w:rPr>
        <w:tab/>
        <w:t>e)</w:t>
      </w:r>
      <w:r>
        <w:rPr>
          <w:lang w:val="fr-FR"/>
        </w:rPr>
        <w:tab/>
        <w:t>Les personnes placées dans des centres de rétention doivent avoir accès dans les meilleurs délais</w:t>
      </w:r>
      <w:r w:rsidR="00214402">
        <w:rPr>
          <w:lang w:val="fr-FR"/>
        </w:rPr>
        <w:t xml:space="preserve"> à un logement, à des services de santé et de restauration, et</w:t>
      </w:r>
      <w:r w:rsidR="00B177CD">
        <w:rPr>
          <w:lang w:val="fr-FR"/>
        </w:rPr>
        <w:t xml:space="preserve"> à d’autres services de qualité;</w:t>
      </w:r>
    </w:p>
    <w:p w:rsidR="00214402" w:rsidRDefault="00214402" w:rsidP="005D7B68">
      <w:pPr>
        <w:tabs>
          <w:tab w:val="left" w:pos="567"/>
          <w:tab w:val="left" w:pos="1134"/>
          <w:tab w:val="left" w:pos="1701"/>
          <w:tab w:val="left" w:pos="2268"/>
          <w:tab w:val="left" w:pos="2835"/>
        </w:tabs>
        <w:spacing w:before="240"/>
        <w:rPr>
          <w:lang w:val="fr-FR"/>
        </w:rPr>
      </w:pPr>
      <w:r>
        <w:rPr>
          <w:lang w:val="fr-FR"/>
        </w:rPr>
        <w:tab/>
        <w:t>f)</w:t>
      </w:r>
      <w:r>
        <w:rPr>
          <w:lang w:val="fr-FR"/>
        </w:rPr>
        <w:tab/>
        <w:t xml:space="preserve">Les personnes concernées sont maintenues en rétention pendant le minimum de temps possible, notamment si elles se trouvent dans </w:t>
      </w:r>
      <w:r w:rsidR="00B177CD">
        <w:rPr>
          <w:lang w:val="fr-FR"/>
        </w:rPr>
        <w:t>des établissements de détention;</w:t>
      </w:r>
    </w:p>
    <w:p w:rsidR="00495ADA" w:rsidRDefault="00214402" w:rsidP="005D7B68">
      <w:pPr>
        <w:tabs>
          <w:tab w:val="left" w:pos="567"/>
          <w:tab w:val="left" w:pos="1134"/>
          <w:tab w:val="left" w:pos="1701"/>
          <w:tab w:val="left" w:pos="2268"/>
          <w:tab w:val="left" w:pos="2835"/>
        </w:tabs>
        <w:spacing w:before="240"/>
        <w:rPr>
          <w:lang w:val="fr-FR"/>
        </w:rPr>
      </w:pPr>
      <w:r>
        <w:rPr>
          <w:lang w:val="fr-FR"/>
        </w:rPr>
        <w:tab/>
        <w:t>g)</w:t>
      </w:r>
      <w:r>
        <w:rPr>
          <w:lang w:val="fr-FR"/>
        </w:rPr>
        <w:tab/>
      </w:r>
      <w:r w:rsidR="00495ADA">
        <w:rPr>
          <w:lang w:val="fr-FR"/>
        </w:rPr>
        <w:t>Dans le cadre de la gestion des cas de ces personnes, il est effectué un examen consciencieux et régulier concernant le lieu où elles doivent être placées dans le réseau de services de détention et les serv</w:t>
      </w:r>
      <w:r w:rsidR="00B177CD">
        <w:rPr>
          <w:lang w:val="fr-FR"/>
        </w:rPr>
        <w:t>ices dont elles ont besoin;</w:t>
      </w:r>
    </w:p>
    <w:p w:rsidR="00495ADA" w:rsidRDefault="00495ADA" w:rsidP="005D7B68">
      <w:pPr>
        <w:tabs>
          <w:tab w:val="left" w:pos="567"/>
          <w:tab w:val="left" w:pos="1134"/>
          <w:tab w:val="left" w:pos="1701"/>
          <w:tab w:val="left" w:pos="2268"/>
          <w:tab w:val="left" w:pos="2835"/>
        </w:tabs>
        <w:spacing w:before="240"/>
        <w:rPr>
          <w:lang w:val="fr-FR"/>
        </w:rPr>
      </w:pPr>
      <w:r>
        <w:rPr>
          <w:lang w:val="fr-FR"/>
        </w:rPr>
        <w:tab/>
        <w:t>h)</w:t>
      </w:r>
      <w:r>
        <w:rPr>
          <w:lang w:val="fr-FR"/>
        </w:rPr>
        <w:tab/>
        <w:t>La prise de décisions opérationnelles repose sur une év</w:t>
      </w:r>
      <w:r w:rsidR="00B177CD">
        <w:rPr>
          <w:lang w:val="fr-FR"/>
        </w:rPr>
        <w:t>aluation des facteurs de risque;</w:t>
      </w:r>
    </w:p>
    <w:p w:rsidR="00C924D0" w:rsidRDefault="00495ADA" w:rsidP="005D7B68">
      <w:pPr>
        <w:tabs>
          <w:tab w:val="left" w:pos="567"/>
          <w:tab w:val="left" w:pos="1134"/>
          <w:tab w:val="left" w:pos="1701"/>
          <w:tab w:val="left" w:pos="2268"/>
          <w:tab w:val="left" w:pos="2835"/>
        </w:tabs>
        <w:spacing w:before="240"/>
        <w:rPr>
          <w:lang w:val="fr-FR"/>
        </w:rPr>
      </w:pPr>
      <w:r>
        <w:rPr>
          <w:lang w:val="fr-FR"/>
        </w:rPr>
        <w:tab/>
        <w:t>i)</w:t>
      </w:r>
      <w:r>
        <w:rPr>
          <w:lang w:val="fr-FR"/>
        </w:rPr>
        <w:tab/>
      </w:r>
      <w:r w:rsidR="00C924D0">
        <w:rPr>
          <w:lang w:val="fr-FR"/>
        </w:rPr>
        <w:t xml:space="preserve">Le </w:t>
      </w:r>
      <w:r w:rsidR="00520CAB">
        <w:rPr>
          <w:lang w:val="fr-FR"/>
        </w:rPr>
        <w:t>fonctionnement des services de r</w:t>
      </w:r>
      <w:r w:rsidR="00C924D0">
        <w:rPr>
          <w:lang w:val="fr-FR"/>
        </w:rPr>
        <w:t>étention fait l’objet d’une amélioration constante et d’une très bonne gestion.</w:t>
      </w:r>
    </w:p>
    <w:p w:rsidR="00214402" w:rsidRDefault="00C924D0"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2</w:t>
      </w:r>
      <w:r w:rsidR="00520CAB">
        <w:rPr>
          <w:lang w:val="fr-FR"/>
        </w:rPr>
        <w:t>.</w:t>
      </w:r>
      <w:r w:rsidR="00520CAB">
        <w:rPr>
          <w:lang w:val="fr-FR"/>
        </w:rPr>
        <w:tab/>
        <w:t>Le groupe consultatif sur la rétention d’immigrants</w:t>
      </w:r>
      <w:r w:rsidR="00495ADA">
        <w:rPr>
          <w:lang w:val="fr-FR"/>
        </w:rPr>
        <w:t xml:space="preserve"> </w:t>
      </w:r>
      <w:r>
        <w:rPr>
          <w:lang w:val="fr-FR"/>
        </w:rPr>
        <w:t>est composé d’Australiens éminents et respectés choisis pour leur savoir-faire et l’intérêt particulier qu’ils ont manifesté pour les questions humanitaires et les problèmes liés à l’immigration.</w:t>
      </w:r>
    </w:p>
    <w:p w:rsidR="00C924D0" w:rsidRDefault="00C924D0"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3</w:t>
      </w:r>
      <w:r>
        <w:rPr>
          <w:lang w:val="fr-FR"/>
        </w:rPr>
        <w:t>.</w:t>
      </w:r>
      <w:r>
        <w:rPr>
          <w:lang w:val="fr-FR"/>
        </w:rPr>
        <w:tab/>
        <w:t>En 2006, le Ministre de l’immigratio</w:t>
      </w:r>
      <w:r w:rsidR="009546A3">
        <w:rPr>
          <w:lang w:val="fr-FR"/>
        </w:rPr>
        <w:t xml:space="preserve">n et des affaires multiculturelles de l’époque a revu les attributions du Groupe consultatif pour que soient reconnues ses contributions importantes au </w:t>
      </w:r>
      <w:r w:rsidR="00520CAB">
        <w:rPr>
          <w:lang w:val="fr-FR"/>
        </w:rPr>
        <w:t>calendrier de la réforme de la r</w:t>
      </w:r>
      <w:r w:rsidR="009546A3">
        <w:rPr>
          <w:lang w:val="fr-FR"/>
        </w:rPr>
        <w:t>étention.</w:t>
      </w:r>
    </w:p>
    <w:p w:rsidR="009546A3" w:rsidRDefault="009546A3"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4</w:t>
      </w:r>
      <w:r>
        <w:rPr>
          <w:lang w:val="fr-FR"/>
        </w:rPr>
        <w:t>.</w:t>
      </w:r>
      <w:r>
        <w:rPr>
          <w:lang w:val="fr-FR"/>
        </w:rPr>
        <w:tab/>
        <w:t>En particulier, le Groupe continue à dispenser ses conseils en ce qui concerne l’efficacité et</w:t>
      </w:r>
      <w:r w:rsidR="00D369AA">
        <w:rPr>
          <w:lang w:val="fr-FR"/>
        </w:rPr>
        <w:t xml:space="preserve"> la pertinence des services</w:t>
      </w:r>
      <w:r>
        <w:rPr>
          <w:lang w:val="fr-FR"/>
        </w:rPr>
        <w:t xml:space="preserve"> fournis aux détenus logés dans un établissement de rétention d’immigrants, leur confort et la qualité de vie qu’ils autorisent, et les arrangements relatifs à la détention au sein de la communauté</w:t>
      </w:r>
      <w:r w:rsidR="008D6B80">
        <w:rPr>
          <w:lang w:val="fr-FR"/>
        </w:rPr>
        <w:t xml:space="preserve">. </w:t>
      </w:r>
      <w:r>
        <w:rPr>
          <w:lang w:val="fr-FR"/>
        </w:rPr>
        <w:t>Il continue aussi à contribuer à l’amélioration des stratégies des programmes de rétention des immigrés et des processus</w:t>
      </w:r>
      <w:r w:rsidR="007C41AA">
        <w:rPr>
          <w:lang w:val="fr-FR"/>
        </w:rPr>
        <w:t xml:space="preserve"> de consultation du Ministère.</w:t>
      </w:r>
    </w:p>
    <w:p w:rsidR="007C41AA" w:rsidRDefault="00D31C54"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5</w:t>
      </w:r>
      <w:r>
        <w:rPr>
          <w:lang w:val="fr-FR"/>
        </w:rPr>
        <w:t>.</w:t>
      </w:r>
      <w:r>
        <w:rPr>
          <w:lang w:val="fr-FR"/>
        </w:rPr>
        <w:tab/>
        <w:t>Ce groupe accède librement</w:t>
      </w:r>
      <w:r w:rsidR="007C41AA">
        <w:rPr>
          <w:lang w:val="fr-FR"/>
        </w:rPr>
        <w:t xml:space="preserve"> aux établissements de rétention des immigrants et ses membres visitent individuellement ou collectivement chacun de ces</w:t>
      </w:r>
      <w:r w:rsidR="00B95F15">
        <w:rPr>
          <w:lang w:val="fr-FR"/>
        </w:rPr>
        <w:t xml:space="preserve"> établissements sur le continent au moins une fois par an</w:t>
      </w:r>
      <w:r w:rsidR="008D6B80">
        <w:rPr>
          <w:lang w:val="fr-FR"/>
        </w:rPr>
        <w:t xml:space="preserve">. </w:t>
      </w:r>
      <w:r w:rsidR="00B95F15">
        <w:rPr>
          <w:lang w:val="fr-FR"/>
        </w:rPr>
        <w:t>Ils peuvent ainsi s’entretenir avec le personnel, les détenus, les comités qui les représentent et un large éventail de parties prenantes extérieures pour obtenir des renseignements de première main sur le fonctionnement et l’environnement de tous les établissements, et prendre connaissance de leurs idées et de leurs opinions sur le programme de rétention des immigrants.</w:t>
      </w:r>
    </w:p>
    <w:p w:rsidR="00B95F15" w:rsidRDefault="00B95F15"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6</w:t>
      </w:r>
      <w:r>
        <w:rPr>
          <w:lang w:val="fr-FR"/>
        </w:rPr>
        <w:t>.</w:t>
      </w:r>
      <w:r>
        <w:rPr>
          <w:lang w:val="fr-FR"/>
        </w:rPr>
        <w:tab/>
        <w:t>Le Groupe consultatif a mis au point un programme de travail</w:t>
      </w:r>
      <w:r w:rsidR="00214AD3">
        <w:rPr>
          <w:lang w:val="fr-FR"/>
        </w:rPr>
        <w:t>, avec l’accord du Ministre, dans lequel sont recensés les problèmes prioritaires, étant entendu que, de temps en temps, le Ministre peut le charger d’examiner tel ou tel point</w:t>
      </w:r>
      <w:r w:rsidR="00EB0D03">
        <w:rPr>
          <w:lang w:val="fr-FR"/>
        </w:rPr>
        <w:t xml:space="preserve"> pour se faire conseiller.</w:t>
      </w:r>
    </w:p>
    <w:p w:rsidR="00EB0D03" w:rsidRDefault="00EB0D03"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7</w:t>
      </w:r>
      <w:r>
        <w:rPr>
          <w:lang w:val="fr-FR"/>
        </w:rPr>
        <w:t>.</w:t>
      </w:r>
      <w:r>
        <w:rPr>
          <w:lang w:val="fr-FR"/>
        </w:rPr>
        <w:tab/>
        <w:t>Les conditions de rétention des immigrants sont également régies</w:t>
      </w:r>
      <w:r w:rsidR="003C7EC1">
        <w:rPr>
          <w:lang w:val="fr-FR"/>
        </w:rPr>
        <w:t xml:space="preserve"> par un ensemble de normes</w:t>
      </w:r>
      <w:r>
        <w:rPr>
          <w:lang w:val="fr-FR"/>
        </w:rPr>
        <w:t xml:space="preserve"> qui ont été élaborées en concertation avec le Bureau du Médiateur fédéral et la Commission des droits de l’homme et de l’égalité des chances</w:t>
      </w:r>
      <w:r w:rsidR="008D6B80">
        <w:rPr>
          <w:lang w:val="fr-FR"/>
        </w:rPr>
        <w:t xml:space="preserve">. </w:t>
      </w:r>
      <w:r>
        <w:rPr>
          <w:lang w:val="fr-FR"/>
        </w:rPr>
        <w:t>Ces normes, qui font partie du contrat passé avec le prestataire des services de rétention qui gère les établissements de rétention, insistent beaucoup sur la nécessité de traiter les personnes qui y sont hébergées avec délicatesse et de manière appropriée</w:t>
      </w:r>
      <w:r w:rsidR="008D6B80">
        <w:rPr>
          <w:lang w:val="fr-FR"/>
        </w:rPr>
        <w:t xml:space="preserve">. </w:t>
      </w:r>
      <w:r w:rsidR="00400E3D">
        <w:rPr>
          <w:lang w:val="fr-FR"/>
        </w:rPr>
        <w:t>Elles</w:t>
      </w:r>
      <w:r w:rsidR="00E54BF4">
        <w:rPr>
          <w:lang w:val="fr-FR"/>
        </w:rPr>
        <w:t xml:space="preserve"> sont accessibles au public sur le site de l’Internet</w:t>
      </w:r>
      <w:r>
        <w:rPr>
          <w:lang w:val="fr-FR"/>
        </w:rPr>
        <w:t xml:space="preserve"> </w:t>
      </w:r>
      <w:hyperlink r:id="rId24" w:history="1">
        <w:r w:rsidR="00E54BF4" w:rsidRPr="00087046">
          <w:rPr>
            <w:rStyle w:val="Hyperlink"/>
            <w:lang w:val="fr-FR"/>
          </w:rPr>
          <w:t>www.immi.gov.au</w:t>
        </w:r>
      </w:hyperlink>
      <w:r w:rsidR="00E54BF4">
        <w:rPr>
          <w:lang w:val="fr-FR"/>
        </w:rPr>
        <w:t xml:space="preserve">. </w:t>
      </w:r>
    </w:p>
    <w:p w:rsidR="00E54BF4" w:rsidRDefault="00E54BF4"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8</w:t>
      </w:r>
      <w:r>
        <w:rPr>
          <w:lang w:val="fr-FR"/>
        </w:rPr>
        <w:t>.</w:t>
      </w:r>
      <w:r>
        <w:rPr>
          <w:lang w:val="fr-FR"/>
        </w:rPr>
        <w:tab/>
        <w:t>Les normes relat</w:t>
      </w:r>
      <w:r w:rsidR="003C7EC1">
        <w:rPr>
          <w:lang w:val="fr-FR"/>
        </w:rPr>
        <w:t>ives à la rétention des immigrants</w:t>
      </w:r>
      <w:r>
        <w:rPr>
          <w:lang w:val="fr-FR"/>
        </w:rPr>
        <w:t xml:space="preserve"> font partie </w:t>
      </w:r>
      <w:r w:rsidR="005E7BC2">
        <w:rPr>
          <w:lang w:val="fr-FR"/>
        </w:rPr>
        <w:t xml:space="preserve">des procédures d’exploitation de </w:t>
      </w:r>
      <w:r w:rsidR="005E7BC2" w:rsidRPr="005E7BC2">
        <w:rPr>
          <w:i/>
          <w:iCs/>
          <w:lang w:val="fr-FR"/>
        </w:rPr>
        <w:t>Global Solutions Limited</w:t>
      </w:r>
      <w:r w:rsidR="005E7BC2">
        <w:rPr>
          <w:lang w:val="fr-FR"/>
        </w:rPr>
        <w:t xml:space="preserve"> et de </w:t>
      </w:r>
      <w:r w:rsidR="005E7BC2" w:rsidRPr="005E7BC2">
        <w:rPr>
          <w:i/>
          <w:iCs/>
          <w:lang w:val="fr-FR"/>
        </w:rPr>
        <w:t>International Health and Medical Services</w:t>
      </w:r>
      <w:r w:rsidR="005E7BC2">
        <w:rPr>
          <w:lang w:val="fr-FR"/>
        </w:rPr>
        <w:t xml:space="preserve"> qui couvrent, sans que ce soit limitatif</w:t>
      </w:r>
      <w:r w:rsidR="00572260">
        <w:rPr>
          <w:lang w:val="fr-FR"/>
        </w:rPr>
        <w:t>:</w:t>
      </w:r>
    </w:p>
    <w:p w:rsidR="005E7BC2" w:rsidRDefault="005E7BC2" w:rsidP="005D7B68">
      <w:pPr>
        <w:tabs>
          <w:tab w:val="left" w:pos="567"/>
          <w:tab w:val="left" w:pos="1134"/>
          <w:tab w:val="left" w:pos="1701"/>
          <w:tab w:val="left" w:pos="2268"/>
          <w:tab w:val="left" w:pos="2835"/>
        </w:tabs>
        <w:spacing w:before="240"/>
        <w:rPr>
          <w:lang w:val="fr-FR"/>
        </w:rPr>
      </w:pPr>
      <w:r>
        <w:rPr>
          <w:lang w:val="fr-FR"/>
        </w:rPr>
        <w:tab/>
        <w:t>a)</w:t>
      </w:r>
      <w:r>
        <w:rPr>
          <w:lang w:val="fr-FR"/>
        </w:rPr>
        <w:tab/>
        <w:t>La prise en charge et l’encadrement des mineurs non accompagnés</w:t>
      </w:r>
      <w:r w:rsidR="00572260">
        <w:rPr>
          <w:lang w:val="fr-FR"/>
        </w:rPr>
        <w:t>;</w:t>
      </w:r>
    </w:p>
    <w:p w:rsidR="005E7BC2" w:rsidRDefault="005E7BC2" w:rsidP="005D7B68">
      <w:pPr>
        <w:tabs>
          <w:tab w:val="left" w:pos="567"/>
          <w:tab w:val="left" w:pos="1134"/>
          <w:tab w:val="left" w:pos="1701"/>
          <w:tab w:val="left" w:pos="2268"/>
          <w:tab w:val="left" w:pos="2835"/>
        </w:tabs>
        <w:spacing w:before="240"/>
        <w:rPr>
          <w:lang w:val="fr-FR"/>
        </w:rPr>
      </w:pPr>
      <w:r>
        <w:rPr>
          <w:lang w:val="fr-FR"/>
        </w:rPr>
        <w:tab/>
        <w:t>b)</w:t>
      </w:r>
      <w:r>
        <w:rPr>
          <w:lang w:val="fr-FR"/>
        </w:rPr>
        <w:tab/>
        <w:t>La prise en charge des enfants (procédures de protection des enfants)</w:t>
      </w:r>
      <w:r w:rsidR="00572260">
        <w:rPr>
          <w:lang w:val="fr-FR"/>
        </w:rPr>
        <w:t>;</w:t>
      </w:r>
    </w:p>
    <w:p w:rsidR="005E7BC2" w:rsidRDefault="00B177CD" w:rsidP="005D7B68">
      <w:pPr>
        <w:tabs>
          <w:tab w:val="left" w:pos="567"/>
          <w:tab w:val="left" w:pos="1134"/>
          <w:tab w:val="left" w:pos="1701"/>
          <w:tab w:val="left" w:pos="2268"/>
          <w:tab w:val="left" w:pos="2835"/>
        </w:tabs>
        <w:spacing w:before="240"/>
        <w:rPr>
          <w:lang w:val="fr-FR"/>
        </w:rPr>
      </w:pPr>
      <w:r>
        <w:rPr>
          <w:lang w:val="fr-FR"/>
        </w:rPr>
        <w:tab/>
      </w:r>
      <w:r w:rsidR="005E7BC2">
        <w:rPr>
          <w:lang w:val="fr-FR"/>
        </w:rPr>
        <w:t>c)</w:t>
      </w:r>
      <w:r w:rsidR="005E7BC2">
        <w:rPr>
          <w:lang w:val="fr-FR"/>
        </w:rPr>
        <w:tab/>
        <w:t>Les soins de santé pour les femmes placées en détention dans le cadre des contrôles d’immigration</w:t>
      </w:r>
      <w:r w:rsidR="00572260">
        <w:rPr>
          <w:lang w:val="fr-FR"/>
        </w:rPr>
        <w:t>;</w:t>
      </w:r>
    </w:p>
    <w:p w:rsidR="005E7BC2" w:rsidRDefault="00B177CD" w:rsidP="005D7B68">
      <w:pPr>
        <w:tabs>
          <w:tab w:val="left" w:pos="567"/>
          <w:tab w:val="left" w:pos="1134"/>
          <w:tab w:val="left" w:pos="1701"/>
          <w:tab w:val="left" w:pos="2268"/>
          <w:tab w:val="left" w:pos="2835"/>
        </w:tabs>
        <w:spacing w:before="240"/>
        <w:rPr>
          <w:lang w:val="fr-FR"/>
        </w:rPr>
      </w:pPr>
      <w:r>
        <w:rPr>
          <w:lang w:val="fr-FR"/>
        </w:rPr>
        <w:tab/>
      </w:r>
      <w:r w:rsidR="005E7BC2">
        <w:rPr>
          <w:lang w:val="fr-FR"/>
        </w:rPr>
        <w:t>d)</w:t>
      </w:r>
      <w:r w:rsidR="005E7BC2">
        <w:rPr>
          <w:lang w:val="fr-FR"/>
        </w:rPr>
        <w:tab/>
      </w:r>
      <w:r w:rsidR="00333F45">
        <w:rPr>
          <w:lang w:val="fr-FR"/>
        </w:rPr>
        <w:t>Les soins aux femmes enceintes dans les centres de rétention d’immigrants</w:t>
      </w:r>
      <w:r w:rsidR="00572260">
        <w:rPr>
          <w:lang w:val="fr-FR"/>
        </w:rPr>
        <w:t>;</w:t>
      </w:r>
    </w:p>
    <w:p w:rsidR="00333F45" w:rsidRDefault="00B177CD" w:rsidP="005D7B68">
      <w:pPr>
        <w:tabs>
          <w:tab w:val="left" w:pos="567"/>
          <w:tab w:val="left" w:pos="1134"/>
          <w:tab w:val="left" w:pos="1701"/>
          <w:tab w:val="left" w:pos="2268"/>
          <w:tab w:val="left" w:pos="2835"/>
        </w:tabs>
        <w:spacing w:before="240"/>
        <w:rPr>
          <w:lang w:val="fr-FR"/>
        </w:rPr>
      </w:pPr>
      <w:r>
        <w:rPr>
          <w:lang w:val="fr-FR"/>
        </w:rPr>
        <w:tab/>
      </w:r>
      <w:r w:rsidR="00333F45">
        <w:rPr>
          <w:lang w:val="fr-FR"/>
        </w:rPr>
        <w:t>e)</w:t>
      </w:r>
      <w:r w:rsidR="00333F45">
        <w:rPr>
          <w:lang w:val="fr-FR"/>
        </w:rPr>
        <w:tab/>
        <w:t>Les soins aux personnes handicapées physiquement et mentalement dans les centres de rétention d’immigrants</w:t>
      </w:r>
      <w:r w:rsidR="00572260">
        <w:rPr>
          <w:lang w:val="fr-FR"/>
        </w:rPr>
        <w:t>;</w:t>
      </w:r>
    </w:p>
    <w:p w:rsidR="00333F45" w:rsidRDefault="00B177CD" w:rsidP="005D7B68">
      <w:pPr>
        <w:tabs>
          <w:tab w:val="left" w:pos="567"/>
          <w:tab w:val="left" w:pos="1134"/>
          <w:tab w:val="left" w:pos="1701"/>
          <w:tab w:val="left" w:pos="2268"/>
          <w:tab w:val="left" w:pos="2835"/>
        </w:tabs>
        <w:spacing w:before="240"/>
        <w:rPr>
          <w:lang w:val="fr-FR"/>
        </w:rPr>
      </w:pPr>
      <w:r>
        <w:rPr>
          <w:lang w:val="fr-FR"/>
        </w:rPr>
        <w:tab/>
      </w:r>
      <w:r w:rsidR="00333F45">
        <w:rPr>
          <w:lang w:val="fr-FR"/>
        </w:rPr>
        <w:t>f)</w:t>
      </w:r>
      <w:r w:rsidR="00333F45">
        <w:rPr>
          <w:lang w:val="fr-FR"/>
        </w:rPr>
        <w:tab/>
        <w:t>Les personnes, dans les centres de rétention d’immigrants, souffrant de troubles mentaux</w:t>
      </w:r>
      <w:r w:rsidR="00572260">
        <w:rPr>
          <w:lang w:val="fr-FR"/>
        </w:rPr>
        <w:t>;</w:t>
      </w:r>
    </w:p>
    <w:p w:rsidR="00333F45" w:rsidRDefault="00B177CD" w:rsidP="005D7B68">
      <w:pPr>
        <w:tabs>
          <w:tab w:val="left" w:pos="567"/>
          <w:tab w:val="left" w:pos="1134"/>
          <w:tab w:val="left" w:pos="1701"/>
          <w:tab w:val="left" w:pos="2268"/>
          <w:tab w:val="left" w:pos="2835"/>
        </w:tabs>
        <w:spacing w:before="240"/>
        <w:rPr>
          <w:lang w:val="fr-FR"/>
        </w:rPr>
      </w:pPr>
      <w:r>
        <w:rPr>
          <w:lang w:val="fr-FR"/>
        </w:rPr>
        <w:tab/>
      </w:r>
      <w:r w:rsidR="00333F45">
        <w:rPr>
          <w:lang w:val="fr-FR"/>
        </w:rPr>
        <w:t>g)</w:t>
      </w:r>
      <w:r w:rsidR="00333F45">
        <w:rPr>
          <w:lang w:val="fr-FR"/>
        </w:rPr>
        <w:tab/>
        <w:t>Les soins aux personnes âgées dans les centres de rétention d’immigrants</w:t>
      </w:r>
      <w:r w:rsidR="00572260">
        <w:rPr>
          <w:lang w:val="fr-FR"/>
        </w:rPr>
        <w:t>;</w:t>
      </w:r>
    </w:p>
    <w:p w:rsidR="00333F45" w:rsidRDefault="00B177CD" w:rsidP="005D7B68">
      <w:pPr>
        <w:tabs>
          <w:tab w:val="left" w:pos="567"/>
          <w:tab w:val="left" w:pos="1134"/>
          <w:tab w:val="left" w:pos="1701"/>
          <w:tab w:val="left" w:pos="2268"/>
          <w:tab w:val="left" w:pos="2835"/>
        </w:tabs>
        <w:spacing w:before="240"/>
        <w:rPr>
          <w:lang w:val="fr-FR"/>
        </w:rPr>
      </w:pPr>
      <w:r>
        <w:rPr>
          <w:lang w:val="fr-FR"/>
        </w:rPr>
        <w:tab/>
      </w:r>
      <w:r w:rsidR="00333F45">
        <w:rPr>
          <w:lang w:val="fr-FR"/>
        </w:rPr>
        <w:t>h)</w:t>
      </w:r>
      <w:r w:rsidR="00333F45">
        <w:rPr>
          <w:lang w:val="fr-FR"/>
        </w:rPr>
        <w:tab/>
      </w:r>
      <w:r w:rsidR="00042C94">
        <w:rPr>
          <w:lang w:val="fr-FR"/>
        </w:rPr>
        <w:t>L</w:t>
      </w:r>
      <w:r w:rsidR="00400E3D">
        <w:rPr>
          <w:lang w:val="fr-FR"/>
        </w:rPr>
        <w:t>a prise en charge,</w:t>
      </w:r>
      <w:r w:rsidR="00042C94">
        <w:rPr>
          <w:lang w:val="fr-FR"/>
        </w:rPr>
        <w:t xml:space="preserve"> dans des centres de rétention, </w:t>
      </w:r>
      <w:r w:rsidR="00400E3D">
        <w:rPr>
          <w:lang w:val="fr-FR"/>
        </w:rPr>
        <w:t xml:space="preserve">des immigrants </w:t>
      </w:r>
      <w:r w:rsidR="00042C94">
        <w:rPr>
          <w:lang w:val="fr-FR"/>
        </w:rPr>
        <w:t>qui ont de graves problèmes de santé</w:t>
      </w:r>
      <w:r w:rsidR="00572260">
        <w:rPr>
          <w:lang w:val="fr-FR"/>
        </w:rPr>
        <w:t>;</w:t>
      </w:r>
    </w:p>
    <w:p w:rsidR="00042C94" w:rsidRDefault="00B177CD" w:rsidP="005D7B68">
      <w:pPr>
        <w:tabs>
          <w:tab w:val="left" w:pos="567"/>
          <w:tab w:val="left" w:pos="1134"/>
          <w:tab w:val="left" w:pos="1701"/>
          <w:tab w:val="left" w:pos="2268"/>
          <w:tab w:val="left" w:pos="2835"/>
        </w:tabs>
        <w:spacing w:before="240"/>
        <w:rPr>
          <w:lang w:val="fr-FR"/>
        </w:rPr>
      </w:pPr>
      <w:r>
        <w:rPr>
          <w:lang w:val="fr-FR"/>
        </w:rPr>
        <w:tab/>
      </w:r>
      <w:r w:rsidR="00042C94">
        <w:rPr>
          <w:lang w:val="fr-FR"/>
        </w:rPr>
        <w:t>i)</w:t>
      </w:r>
      <w:r w:rsidR="00042C94">
        <w:rPr>
          <w:lang w:val="fr-FR"/>
        </w:rPr>
        <w:tab/>
      </w:r>
      <w:r w:rsidR="009A11D2">
        <w:rPr>
          <w:lang w:val="fr-FR"/>
        </w:rPr>
        <w:t>Les victimes de la torture et les victimes de traumatismes</w:t>
      </w:r>
      <w:r w:rsidR="00572260">
        <w:rPr>
          <w:lang w:val="fr-FR"/>
        </w:rPr>
        <w:t>;</w:t>
      </w:r>
    </w:p>
    <w:p w:rsidR="009A11D2" w:rsidRDefault="00B177CD" w:rsidP="005D7B68">
      <w:pPr>
        <w:tabs>
          <w:tab w:val="left" w:pos="567"/>
          <w:tab w:val="left" w:pos="1134"/>
          <w:tab w:val="left" w:pos="1701"/>
          <w:tab w:val="left" w:pos="2268"/>
          <w:tab w:val="left" w:pos="2835"/>
        </w:tabs>
        <w:spacing w:before="240"/>
        <w:rPr>
          <w:lang w:val="fr-FR"/>
        </w:rPr>
      </w:pPr>
      <w:r>
        <w:rPr>
          <w:lang w:val="fr-FR"/>
        </w:rPr>
        <w:tab/>
      </w:r>
      <w:r w:rsidR="009A11D2">
        <w:rPr>
          <w:lang w:val="fr-FR"/>
        </w:rPr>
        <w:t>j)</w:t>
      </w:r>
      <w:r w:rsidR="009A11D2">
        <w:rPr>
          <w:lang w:val="fr-FR"/>
        </w:rPr>
        <w:tab/>
        <w:t>La prévention des suicid</w:t>
      </w:r>
      <w:r w:rsidR="00342941">
        <w:rPr>
          <w:lang w:val="fr-FR"/>
        </w:rPr>
        <w:t>es et de l’auto-agressivité</w:t>
      </w:r>
      <w:r w:rsidR="00572260">
        <w:rPr>
          <w:lang w:val="fr-FR"/>
        </w:rPr>
        <w:t>;</w:t>
      </w:r>
    </w:p>
    <w:p w:rsidR="009A11D2" w:rsidRDefault="00B177CD" w:rsidP="005D7B68">
      <w:pPr>
        <w:tabs>
          <w:tab w:val="left" w:pos="567"/>
          <w:tab w:val="left" w:pos="1134"/>
          <w:tab w:val="left" w:pos="1701"/>
          <w:tab w:val="left" w:pos="2268"/>
          <w:tab w:val="left" w:pos="2835"/>
        </w:tabs>
        <w:spacing w:before="240"/>
        <w:rPr>
          <w:lang w:val="fr-FR"/>
        </w:rPr>
      </w:pPr>
      <w:r>
        <w:rPr>
          <w:lang w:val="fr-FR"/>
        </w:rPr>
        <w:tab/>
      </w:r>
      <w:r w:rsidR="003C7EC1">
        <w:rPr>
          <w:lang w:val="fr-FR"/>
        </w:rPr>
        <w:t>k)</w:t>
      </w:r>
      <w:r w:rsidR="003C7EC1">
        <w:rPr>
          <w:lang w:val="fr-FR"/>
        </w:rPr>
        <w:tab/>
        <w:t>Les personnes en d</w:t>
      </w:r>
      <w:r w:rsidR="009A11D2">
        <w:rPr>
          <w:lang w:val="fr-FR"/>
        </w:rPr>
        <w:t>étention de longue durée dans le cadre des contrôles d’immigration.</w:t>
      </w:r>
    </w:p>
    <w:p w:rsidR="00890693" w:rsidRDefault="009A11D2" w:rsidP="005D7B68">
      <w:pPr>
        <w:tabs>
          <w:tab w:val="left" w:pos="567"/>
          <w:tab w:val="left" w:pos="1134"/>
          <w:tab w:val="left" w:pos="1701"/>
          <w:tab w:val="left" w:pos="2268"/>
          <w:tab w:val="left" w:pos="2835"/>
        </w:tabs>
        <w:spacing w:before="240"/>
        <w:rPr>
          <w:lang w:val="fr-FR"/>
        </w:rPr>
      </w:pPr>
      <w:r>
        <w:rPr>
          <w:lang w:val="fr-FR"/>
        </w:rPr>
        <w:t>42</w:t>
      </w:r>
      <w:r w:rsidR="00466F89">
        <w:rPr>
          <w:lang w:val="fr-FR"/>
        </w:rPr>
        <w:t>9</w:t>
      </w:r>
      <w:r>
        <w:rPr>
          <w:lang w:val="fr-FR"/>
        </w:rPr>
        <w:t>.</w:t>
      </w:r>
      <w:r>
        <w:rPr>
          <w:lang w:val="fr-FR"/>
        </w:rPr>
        <w:tab/>
      </w:r>
      <w:r w:rsidR="00E84AA0">
        <w:rPr>
          <w:lang w:val="fr-FR"/>
        </w:rPr>
        <w:t xml:space="preserve">La prise en charge des besoins de ces personnes placées en rétention en application de la </w:t>
      </w:r>
      <w:r w:rsidR="00E84AA0" w:rsidRPr="00CE5427">
        <w:rPr>
          <w:lang w:val="fr-FR"/>
        </w:rPr>
        <w:t>loi de 1958 sur l’immigration</w:t>
      </w:r>
      <w:r w:rsidR="00E84AA0">
        <w:rPr>
          <w:lang w:val="fr-FR"/>
        </w:rPr>
        <w:t xml:space="preserve"> exige une approche individuelle qui, au fond, reconnaît que chaque individu a ses propres besoins en matière de santé et de bien-être</w:t>
      </w:r>
      <w:r w:rsidR="008D6B80">
        <w:rPr>
          <w:lang w:val="fr-FR"/>
        </w:rPr>
        <w:t xml:space="preserve">. </w:t>
      </w:r>
      <w:r w:rsidR="00E84AA0">
        <w:rPr>
          <w:lang w:val="fr-FR"/>
        </w:rPr>
        <w:t>Chaque personne est prise en charge par un prestataire de services de san</w:t>
      </w:r>
      <w:r w:rsidR="00890693">
        <w:rPr>
          <w:lang w:val="fr-FR"/>
        </w:rPr>
        <w:t>té et ces services répondent à ses</w:t>
      </w:r>
      <w:r w:rsidR="00E84AA0">
        <w:rPr>
          <w:lang w:val="fr-FR"/>
        </w:rPr>
        <w:t xml:space="preserve"> besoins particuliers</w:t>
      </w:r>
      <w:r w:rsidR="00890693">
        <w:rPr>
          <w:lang w:val="fr-FR"/>
        </w:rPr>
        <w:t>.</w:t>
      </w:r>
    </w:p>
    <w:p w:rsidR="009A11D2" w:rsidRDefault="00890693" w:rsidP="005D7B68">
      <w:pPr>
        <w:tabs>
          <w:tab w:val="left" w:pos="567"/>
          <w:tab w:val="left" w:pos="1134"/>
          <w:tab w:val="left" w:pos="1701"/>
          <w:tab w:val="left" w:pos="2268"/>
          <w:tab w:val="left" w:pos="2835"/>
        </w:tabs>
        <w:spacing w:before="240"/>
        <w:rPr>
          <w:lang w:val="fr-FR"/>
        </w:rPr>
      </w:pPr>
      <w:r>
        <w:rPr>
          <w:lang w:val="fr-FR"/>
        </w:rPr>
        <w:t>4</w:t>
      </w:r>
      <w:r w:rsidR="00466F89">
        <w:rPr>
          <w:lang w:val="fr-FR"/>
        </w:rPr>
        <w:t>30</w:t>
      </w:r>
      <w:r>
        <w:rPr>
          <w:lang w:val="fr-FR"/>
        </w:rPr>
        <w:t>.</w:t>
      </w:r>
      <w:r>
        <w:rPr>
          <w:lang w:val="fr-FR"/>
        </w:rPr>
        <w:tab/>
      </w:r>
      <w:r w:rsidR="00CD64CC">
        <w:rPr>
          <w:lang w:val="fr-FR"/>
        </w:rPr>
        <w:t>Le Ministère veille à ce qu’une approche stratégique soit adoptée pour résoudre les problèmes repérés afin de fournir des soins de santé appropriés au</w:t>
      </w:r>
      <w:r w:rsidR="003C7EC1">
        <w:rPr>
          <w:lang w:val="fr-FR"/>
        </w:rPr>
        <w:t>x immigrants placés en r</w:t>
      </w:r>
      <w:r w:rsidR="00CD64CC">
        <w:rPr>
          <w:lang w:val="fr-FR"/>
        </w:rPr>
        <w:t>étention</w:t>
      </w:r>
      <w:r w:rsidR="008D6B80">
        <w:rPr>
          <w:lang w:val="fr-FR"/>
        </w:rPr>
        <w:t xml:space="preserve">. </w:t>
      </w:r>
      <w:r w:rsidR="00CD64CC">
        <w:rPr>
          <w:lang w:val="fr-FR"/>
        </w:rPr>
        <w:t>Ces derniers, au moment de ce placement, font tous l’objet, dans le cadre de leur bilan général de santé à leur arrivée, d’une évaluation</w:t>
      </w:r>
      <w:r w:rsidR="00C10F8D">
        <w:rPr>
          <w:lang w:val="fr-FR"/>
        </w:rPr>
        <w:t xml:space="preserve"> de leur santé mentale</w:t>
      </w:r>
      <w:r w:rsidR="008D6B80">
        <w:rPr>
          <w:lang w:val="fr-FR"/>
        </w:rPr>
        <w:t xml:space="preserve">. </w:t>
      </w:r>
      <w:r w:rsidR="00C10F8D">
        <w:rPr>
          <w:lang w:val="fr-FR"/>
        </w:rPr>
        <w:t>Un bilan de santé officiel est ensuite effectué périodiquement pour vérifier que l’on prend soin comme il convient de leur santé mentale et de leur bien être</w:t>
      </w:r>
      <w:r w:rsidR="008D6B80">
        <w:rPr>
          <w:lang w:val="fr-FR"/>
        </w:rPr>
        <w:t xml:space="preserve">. </w:t>
      </w:r>
      <w:r w:rsidR="00C10F8D">
        <w:rPr>
          <w:lang w:val="fr-FR"/>
        </w:rPr>
        <w:t>Lorsqu’une indication clinique f</w:t>
      </w:r>
      <w:r w:rsidR="00E5742F">
        <w:rPr>
          <w:lang w:val="fr-FR"/>
        </w:rPr>
        <w:t>ait apparaître qu’ils relèvent</w:t>
      </w:r>
      <w:r w:rsidR="00F33A9B">
        <w:rPr>
          <w:lang w:val="fr-FR"/>
        </w:rPr>
        <w:t xml:space="preserve"> de soins ne nécessitant pas une hospitalisation, ils sont aiguillés vers le service adéquat.</w:t>
      </w:r>
    </w:p>
    <w:p w:rsidR="00B177CD" w:rsidRDefault="00F33A9B" w:rsidP="005D7B68">
      <w:pPr>
        <w:keepNext/>
        <w:tabs>
          <w:tab w:val="left" w:pos="567"/>
          <w:tab w:val="left" w:pos="1134"/>
          <w:tab w:val="left" w:pos="1701"/>
          <w:tab w:val="left" w:pos="2268"/>
          <w:tab w:val="left" w:pos="2835"/>
        </w:tabs>
        <w:spacing w:before="240"/>
        <w:rPr>
          <w:b/>
          <w:bCs/>
          <w:lang w:val="fr-FR"/>
        </w:rPr>
      </w:pPr>
      <w:r w:rsidRPr="00F33A9B">
        <w:rPr>
          <w:b/>
          <w:bCs/>
          <w:lang w:val="fr-FR"/>
        </w:rPr>
        <w:t>Australiens autochtones</w:t>
      </w:r>
    </w:p>
    <w:p w:rsidR="00F33A9B" w:rsidRDefault="00A55761" w:rsidP="005D7B68">
      <w:pPr>
        <w:keepNext/>
        <w:tabs>
          <w:tab w:val="left" w:pos="567"/>
          <w:tab w:val="left" w:pos="1134"/>
          <w:tab w:val="left" w:pos="1701"/>
          <w:tab w:val="left" w:pos="2268"/>
          <w:tab w:val="left" w:pos="2835"/>
        </w:tabs>
        <w:spacing w:before="240"/>
        <w:rPr>
          <w:lang w:val="fr-FR"/>
        </w:rPr>
      </w:pPr>
      <w:r>
        <w:rPr>
          <w:lang w:val="fr-FR"/>
        </w:rPr>
        <w:t>431.</w:t>
      </w:r>
      <w:r w:rsidR="00B177CD">
        <w:rPr>
          <w:lang w:val="fr-FR"/>
        </w:rPr>
        <w:tab/>
      </w:r>
      <w:r w:rsidR="00F33A9B">
        <w:rPr>
          <w:lang w:val="fr-FR"/>
        </w:rPr>
        <w:t>Le Gouvernement australien reconnaît que les Australiens autochtones sont surreprésentés dans les systèmes de justice pénale et de justice pour mineurs</w:t>
      </w:r>
      <w:r w:rsidR="008D6B80">
        <w:rPr>
          <w:lang w:val="fr-FR"/>
        </w:rPr>
        <w:t xml:space="preserve">. </w:t>
      </w:r>
      <w:r w:rsidR="00F33A9B">
        <w:rPr>
          <w:lang w:val="fr-FR"/>
        </w:rPr>
        <w:t xml:space="preserve">En 2006, </w:t>
      </w:r>
      <w:r w:rsidR="007A3BE4">
        <w:rPr>
          <w:lang w:val="fr-FR"/>
        </w:rPr>
        <w:t>après neutralisation des effets des différences d’âge, les statistiques ont indiqué que les a</w:t>
      </w:r>
      <w:r w:rsidR="00B177CD">
        <w:rPr>
          <w:lang w:val="fr-FR"/>
        </w:rPr>
        <w:t>dultes autochtones avaient 12,9 </w:t>
      </w:r>
      <w:r w:rsidR="007A3BE4">
        <w:rPr>
          <w:lang w:val="fr-FR"/>
        </w:rPr>
        <w:t>fois plus de chances</w:t>
      </w:r>
      <w:r w:rsidR="00B177CD">
        <w:rPr>
          <w:lang w:val="fr-FR"/>
        </w:rPr>
        <w:t xml:space="preserve"> d’être emprisonnés que les non</w:t>
      </w:r>
      <w:r w:rsidR="00B177CD">
        <w:rPr>
          <w:lang w:val="fr-FR"/>
        </w:rPr>
        <w:noBreakHyphen/>
      </w:r>
      <w:r w:rsidR="007A3BE4">
        <w:rPr>
          <w:lang w:val="fr-FR"/>
        </w:rPr>
        <w:t>autochtones, le chiffre correspondant étant de 23 fois chez les mineurs.</w:t>
      </w:r>
    </w:p>
    <w:p w:rsidR="007A3BE4" w:rsidRPr="00E84AA0" w:rsidRDefault="00A55761" w:rsidP="005D7B68">
      <w:pPr>
        <w:tabs>
          <w:tab w:val="left" w:pos="567"/>
          <w:tab w:val="left" w:pos="1134"/>
          <w:tab w:val="left" w:pos="1701"/>
          <w:tab w:val="left" w:pos="2268"/>
          <w:tab w:val="left" w:pos="2835"/>
        </w:tabs>
        <w:spacing w:before="240"/>
        <w:rPr>
          <w:lang w:val="fr-FR"/>
        </w:rPr>
      </w:pPr>
      <w:r>
        <w:rPr>
          <w:lang w:val="fr-FR"/>
        </w:rPr>
        <w:t>432</w:t>
      </w:r>
      <w:r w:rsidR="00466F89">
        <w:rPr>
          <w:lang w:val="fr-FR"/>
        </w:rPr>
        <w:t>.</w:t>
      </w:r>
      <w:r w:rsidR="00466F89">
        <w:rPr>
          <w:lang w:val="fr-FR"/>
        </w:rPr>
        <w:tab/>
      </w:r>
      <w:r w:rsidR="007A3BE4">
        <w:rPr>
          <w:lang w:val="fr-FR"/>
        </w:rPr>
        <w:t xml:space="preserve">Bien que les questions de justice pénale et de justice pour mineurs, y compris </w:t>
      </w:r>
      <w:r w:rsidR="00CE5427">
        <w:rPr>
          <w:lang w:val="fr-FR"/>
        </w:rPr>
        <w:t xml:space="preserve">concernant </w:t>
      </w:r>
      <w:r w:rsidR="007A3BE4">
        <w:rPr>
          <w:lang w:val="fr-FR"/>
        </w:rPr>
        <w:t>les services pénitentiaires, relèvent</w:t>
      </w:r>
      <w:r w:rsidR="00572260">
        <w:rPr>
          <w:lang w:val="fr-FR"/>
        </w:rPr>
        <w:t xml:space="preserve"> </w:t>
      </w:r>
      <w:r w:rsidR="007A3BE4">
        <w:rPr>
          <w:lang w:val="fr-FR"/>
        </w:rPr>
        <w:t xml:space="preserve">avant tout de la responsabilité des gouvernements des États et des Territoires, le </w:t>
      </w:r>
      <w:r w:rsidR="00F143BD">
        <w:rPr>
          <w:lang w:val="fr-FR"/>
        </w:rPr>
        <w:t>Gouvernement australien poursuit un ensemble d’initiatives destinées à permettre de résoudre les problèmes liés à la justice pour les autochtones</w:t>
      </w:r>
      <w:r w:rsidR="008D6B80">
        <w:rPr>
          <w:lang w:val="fr-FR"/>
        </w:rPr>
        <w:t xml:space="preserve">. </w:t>
      </w:r>
      <w:r w:rsidR="00F143BD">
        <w:rPr>
          <w:lang w:val="fr-FR"/>
        </w:rPr>
        <w:t>Le détail de ces initiatives figure dans l’article 24 concernant les décès en garde à vue.</w:t>
      </w:r>
    </w:p>
    <w:p w:rsidR="00337A08" w:rsidRDefault="00A55761" w:rsidP="005D7B68">
      <w:pPr>
        <w:tabs>
          <w:tab w:val="left" w:pos="567"/>
          <w:tab w:val="left" w:pos="1134"/>
          <w:tab w:val="left" w:pos="1701"/>
          <w:tab w:val="left" w:pos="2268"/>
          <w:tab w:val="left" w:pos="2835"/>
        </w:tabs>
        <w:spacing w:before="240"/>
        <w:rPr>
          <w:lang w:val="fr-FR"/>
        </w:rPr>
      </w:pPr>
      <w:r>
        <w:rPr>
          <w:lang w:val="fr-FR"/>
        </w:rPr>
        <w:t>433</w:t>
      </w:r>
      <w:r w:rsidR="00F143BD">
        <w:rPr>
          <w:lang w:val="fr-FR"/>
        </w:rPr>
        <w:t>.</w:t>
      </w:r>
      <w:r w:rsidR="00F143BD">
        <w:rPr>
          <w:lang w:val="fr-FR"/>
        </w:rPr>
        <w:tab/>
        <w:t xml:space="preserve">Conformément au paragraphe 11 1) de la </w:t>
      </w:r>
      <w:r w:rsidR="00F143BD" w:rsidRPr="00CE5427">
        <w:rPr>
          <w:lang w:val="fr-FR"/>
        </w:rPr>
        <w:t>loi de 1986 sur les droits de l’homme et l’égalité des chances</w:t>
      </w:r>
      <w:r w:rsidR="00F143BD">
        <w:rPr>
          <w:lang w:val="fr-FR"/>
        </w:rPr>
        <w:t>, la Commission des droits de l’homme et de l’égalité des chances est habilitée à examiner les plaintes déposées par les détenus relevant de la justice fédérale</w:t>
      </w:r>
      <w:r w:rsidR="00343B70">
        <w:rPr>
          <w:lang w:val="fr-FR"/>
        </w:rPr>
        <w:t xml:space="preserve"> alléguant qu’un acte ou une pratique est contraire à l’un des droits de l’homme.</w:t>
      </w:r>
    </w:p>
    <w:p w:rsidR="00343B70" w:rsidRPr="00F143BD" w:rsidRDefault="00A55761" w:rsidP="005D7B68">
      <w:pPr>
        <w:tabs>
          <w:tab w:val="left" w:pos="567"/>
          <w:tab w:val="left" w:pos="1134"/>
          <w:tab w:val="left" w:pos="1701"/>
          <w:tab w:val="left" w:pos="2268"/>
          <w:tab w:val="left" w:pos="2835"/>
        </w:tabs>
        <w:spacing w:before="240"/>
        <w:rPr>
          <w:lang w:val="fr-FR"/>
        </w:rPr>
      </w:pPr>
      <w:r>
        <w:rPr>
          <w:lang w:val="fr-FR"/>
        </w:rPr>
        <w:t>434</w:t>
      </w:r>
      <w:r w:rsidR="00343B70">
        <w:rPr>
          <w:lang w:val="fr-FR"/>
        </w:rPr>
        <w:t>.</w:t>
      </w:r>
      <w:r w:rsidR="00343B70">
        <w:rPr>
          <w:lang w:val="fr-FR"/>
        </w:rPr>
        <w:tab/>
        <w:t xml:space="preserve">Veuillez vous reporter à la réponse à la question 2 dans laquelle sont décrites les </w:t>
      </w:r>
      <w:r w:rsidR="00CE5427">
        <w:rPr>
          <w:lang w:val="fr-FR"/>
        </w:rPr>
        <w:t>garanties fournies par le titre</w:t>
      </w:r>
      <w:r w:rsidR="003C7EC1">
        <w:rPr>
          <w:lang w:val="fr-FR"/>
        </w:rPr>
        <w:t xml:space="preserve"> 1</w:t>
      </w:r>
      <w:r w:rsidR="00343B70">
        <w:rPr>
          <w:lang w:val="fr-FR"/>
        </w:rPr>
        <w:t xml:space="preserve">C de la </w:t>
      </w:r>
      <w:r w:rsidR="00343B70" w:rsidRPr="00CE5427">
        <w:rPr>
          <w:lang w:val="fr-FR"/>
        </w:rPr>
        <w:t>loi sur les infractions pénales</w:t>
      </w:r>
      <w:r w:rsidR="00343B70">
        <w:rPr>
          <w:lang w:val="fr-FR"/>
        </w:rPr>
        <w:t xml:space="preserve">. </w:t>
      </w:r>
    </w:p>
    <w:p w:rsidR="00CE72DA" w:rsidRPr="00343B70" w:rsidRDefault="00343B70" w:rsidP="005D7B68">
      <w:pPr>
        <w:tabs>
          <w:tab w:val="left" w:pos="567"/>
          <w:tab w:val="left" w:pos="1134"/>
          <w:tab w:val="left" w:pos="1701"/>
          <w:tab w:val="left" w:pos="2268"/>
          <w:tab w:val="left" w:pos="2835"/>
        </w:tabs>
        <w:spacing w:before="240"/>
        <w:rPr>
          <w:b/>
          <w:bCs/>
          <w:lang w:val="fr-FR"/>
        </w:rPr>
      </w:pPr>
      <w:r>
        <w:rPr>
          <w:b/>
          <w:bCs/>
          <w:lang w:val="fr-FR"/>
        </w:rPr>
        <w:t>Informations des États et Territoires</w:t>
      </w:r>
    </w:p>
    <w:p w:rsidR="00315AE9" w:rsidRPr="00343B70" w:rsidRDefault="00343B70" w:rsidP="005D7B68">
      <w:pPr>
        <w:tabs>
          <w:tab w:val="left" w:pos="567"/>
          <w:tab w:val="left" w:pos="1134"/>
          <w:tab w:val="left" w:pos="1701"/>
          <w:tab w:val="left" w:pos="2268"/>
          <w:tab w:val="left" w:pos="2835"/>
        </w:tabs>
        <w:spacing w:before="240"/>
        <w:rPr>
          <w:b/>
          <w:bCs/>
          <w:lang w:val="fr-FR"/>
        </w:rPr>
      </w:pPr>
      <w:r w:rsidRPr="00343B70">
        <w:rPr>
          <w:b/>
          <w:bCs/>
          <w:lang w:val="fr-FR"/>
        </w:rPr>
        <w:t>Protection</w:t>
      </w:r>
      <w:r>
        <w:rPr>
          <w:b/>
          <w:bCs/>
          <w:lang w:val="fr-FR"/>
        </w:rPr>
        <w:t xml:space="preserve"> des droits </w:t>
      </w:r>
      <w:r w:rsidR="00CE5427">
        <w:rPr>
          <w:b/>
          <w:bCs/>
          <w:lang w:val="fr-FR"/>
        </w:rPr>
        <w:t xml:space="preserve">des </w:t>
      </w:r>
      <w:r>
        <w:rPr>
          <w:b/>
          <w:bCs/>
          <w:lang w:val="fr-FR"/>
        </w:rPr>
        <w:t>personnes souffrant de troubles mentaux en prison</w:t>
      </w:r>
    </w:p>
    <w:p w:rsidR="00AA14A3" w:rsidRDefault="00343B70"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43</w:t>
      </w:r>
      <w:r w:rsidR="00A55761">
        <w:rPr>
          <w:snapToGrid w:val="0"/>
          <w:lang w:val="fr-FR"/>
        </w:rPr>
        <w:t>5</w:t>
      </w:r>
      <w:r>
        <w:rPr>
          <w:snapToGrid w:val="0"/>
          <w:lang w:val="fr-FR"/>
        </w:rPr>
        <w:t>.</w:t>
      </w:r>
      <w:r>
        <w:rPr>
          <w:snapToGrid w:val="0"/>
          <w:lang w:val="fr-FR"/>
        </w:rPr>
        <w:tab/>
        <w:t xml:space="preserve">Á leur arrivée à la prison, tous les détenus sont examinés par le personnel des services pénitentiaires </w:t>
      </w:r>
      <w:r w:rsidR="00944770">
        <w:rPr>
          <w:snapToGrid w:val="0"/>
          <w:lang w:val="fr-FR"/>
        </w:rPr>
        <w:t>qui procède à une évaluation de leur état de santé physique, mentale et de leur état psychique</w:t>
      </w:r>
      <w:r w:rsidR="008D6B80">
        <w:rPr>
          <w:snapToGrid w:val="0"/>
          <w:lang w:val="fr-FR"/>
        </w:rPr>
        <w:t xml:space="preserve">. </w:t>
      </w:r>
      <w:r w:rsidR="00944770">
        <w:rPr>
          <w:snapToGrid w:val="0"/>
          <w:lang w:val="fr-FR"/>
        </w:rPr>
        <w:t xml:space="preserve">Si l’un d’entre eux présente un problème de santé mentale, </w:t>
      </w:r>
      <w:r w:rsidR="00B62AFA">
        <w:rPr>
          <w:snapToGrid w:val="0"/>
          <w:lang w:val="fr-FR"/>
        </w:rPr>
        <w:t>le responsable de l’examen remplit un formulaire</w:t>
      </w:r>
      <w:r w:rsidR="00741010">
        <w:rPr>
          <w:snapToGrid w:val="0"/>
          <w:lang w:val="fr-FR"/>
        </w:rPr>
        <w:t xml:space="preserve"> adéquat et des dispositions sont prises en vue d’un suivi médical.</w:t>
      </w:r>
    </w:p>
    <w:p w:rsidR="00741010"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436</w:t>
      </w:r>
      <w:r w:rsidR="00741010">
        <w:rPr>
          <w:snapToGrid w:val="0"/>
          <w:lang w:val="fr-FR"/>
        </w:rPr>
        <w:t>.</w:t>
      </w:r>
      <w:r w:rsidR="00741010">
        <w:rPr>
          <w:snapToGrid w:val="0"/>
          <w:lang w:val="fr-FR"/>
        </w:rPr>
        <w:tab/>
        <w:t>Les personnes qui relèvent officiellement d’un traitement médico-légal en Nouvelle-Galles du Sud sont les suivantes</w:t>
      </w:r>
      <w:r w:rsidR="00572260">
        <w:rPr>
          <w:snapToGrid w:val="0"/>
          <w:lang w:val="fr-FR"/>
        </w:rPr>
        <w:t>:</w:t>
      </w:r>
    </w:p>
    <w:p w:rsidR="00741010" w:rsidRDefault="00A55761" w:rsidP="005D7B68">
      <w:pPr>
        <w:tabs>
          <w:tab w:val="left" w:pos="567"/>
          <w:tab w:val="left" w:pos="1134"/>
          <w:tab w:val="left" w:pos="1701"/>
          <w:tab w:val="left" w:pos="2268"/>
          <w:tab w:val="left" w:pos="2835"/>
        </w:tabs>
        <w:spacing w:before="240"/>
        <w:rPr>
          <w:snapToGrid w:val="0"/>
          <w:lang w:val="fr-FR"/>
        </w:rPr>
      </w:pPr>
      <w:r>
        <w:rPr>
          <w:snapToGrid w:val="0"/>
          <w:lang w:val="fr-FR"/>
        </w:rPr>
        <w:tab/>
      </w:r>
      <w:r w:rsidR="00CE5427">
        <w:rPr>
          <w:snapToGrid w:val="0"/>
          <w:lang w:val="fr-FR"/>
        </w:rPr>
        <w:t>a)</w:t>
      </w:r>
      <w:r w:rsidR="00CE5427">
        <w:rPr>
          <w:snapToGrid w:val="0"/>
          <w:lang w:val="fr-FR"/>
        </w:rPr>
        <w:tab/>
        <w:t>C</w:t>
      </w:r>
      <w:r w:rsidR="00741010">
        <w:rPr>
          <w:snapToGrid w:val="0"/>
          <w:lang w:val="fr-FR"/>
        </w:rPr>
        <w:t xml:space="preserve">elles qui ont été jugées </w:t>
      </w:r>
      <w:r w:rsidR="00A619D6">
        <w:rPr>
          <w:snapToGrid w:val="0"/>
          <w:lang w:val="fr-FR"/>
        </w:rPr>
        <w:t>«</w:t>
      </w:r>
      <w:r w:rsidR="00741010">
        <w:rPr>
          <w:snapToGrid w:val="0"/>
          <w:lang w:val="fr-FR"/>
        </w:rPr>
        <w:t>non coupables pour raison de troubles psychiques</w:t>
      </w:r>
      <w:r w:rsidR="00A619D6">
        <w:rPr>
          <w:snapToGrid w:val="0"/>
          <w:lang w:val="fr-FR"/>
        </w:rPr>
        <w:t>»</w:t>
      </w:r>
      <w:r w:rsidR="001543F4">
        <w:rPr>
          <w:snapToGrid w:val="0"/>
          <w:lang w:val="fr-FR"/>
        </w:rPr>
        <w:t xml:space="preserve"> (</w:t>
      </w:r>
      <w:r w:rsidR="001543F4" w:rsidRPr="00CE5427">
        <w:rPr>
          <w:snapToGrid w:val="0"/>
          <w:lang w:val="fr-FR"/>
        </w:rPr>
        <w:t>loi de 1990 sur la santé mentale (procédure pénale)</w:t>
      </w:r>
      <w:r w:rsidR="001543F4">
        <w:rPr>
          <w:snapToGrid w:val="0"/>
          <w:lang w:val="fr-FR"/>
        </w:rPr>
        <w:t xml:space="preserve"> (Nouvelle</w:t>
      </w:r>
      <w:r w:rsidR="00B177CD">
        <w:rPr>
          <w:snapToGrid w:val="0"/>
          <w:lang w:val="fr-FR"/>
        </w:rPr>
        <w:noBreakHyphen/>
      </w:r>
      <w:r w:rsidR="001543F4">
        <w:rPr>
          <w:snapToGrid w:val="0"/>
          <w:lang w:val="fr-FR"/>
        </w:rPr>
        <w:t>Galles du Sud), art. 25)</w:t>
      </w:r>
      <w:r w:rsidR="00572260">
        <w:rPr>
          <w:snapToGrid w:val="0"/>
          <w:lang w:val="fr-FR"/>
        </w:rPr>
        <w:t>;</w:t>
      </w:r>
    </w:p>
    <w:p w:rsidR="001543F4" w:rsidRDefault="00CE5427" w:rsidP="005D7B68">
      <w:pPr>
        <w:tabs>
          <w:tab w:val="left" w:pos="567"/>
          <w:tab w:val="left" w:pos="1134"/>
          <w:tab w:val="left" w:pos="1701"/>
          <w:tab w:val="left" w:pos="2268"/>
          <w:tab w:val="left" w:pos="2835"/>
        </w:tabs>
        <w:spacing w:before="240"/>
        <w:rPr>
          <w:snapToGrid w:val="0"/>
          <w:lang w:val="fr-FR"/>
        </w:rPr>
      </w:pPr>
      <w:r>
        <w:rPr>
          <w:snapToGrid w:val="0"/>
          <w:lang w:val="fr-FR"/>
        </w:rPr>
        <w:tab/>
        <w:t>b)</w:t>
      </w:r>
      <w:r>
        <w:rPr>
          <w:snapToGrid w:val="0"/>
          <w:lang w:val="fr-FR"/>
        </w:rPr>
        <w:tab/>
        <w:t xml:space="preserve"> C</w:t>
      </w:r>
      <w:r w:rsidR="001543F4">
        <w:rPr>
          <w:snapToGrid w:val="0"/>
          <w:lang w:val="fr-FR"/>
        </w:rPr>
        <w:t>elles qui sont estimées n’être pas en état</w:t>
      </w:r>
      <w:r>
        <w:rPr>
          <w:snapToGrid w:val="0"/>
          <w:lang w:val="fr-FR"/>
        </w:rPr>
        <w:t xml:space="preserve"> d’être jugées (Ibid., art. 14)</w:t>
      </w:r>
      <w:r w:rsidR="00572260">
        <w:rPr>
          <w:snapToGrid w:val="0"/>
          <w:lang w:val="fr-FR"/>
        </w:rPr>
        <w:t>;</w:t>
      </w:r>
      <w:r w:rsidR="001543F4">
        <w:rPr>
          <w:snapToGrid w:val="0"/>
          <w:lang w:val="fr-FR"/>
        </w:rPr>
        <w:t xml:space="preserve"> ou</w:t>
      </w:r>
    </w:p>
    <w:p w:rsidR="001543F4" w:rsidRDefault="00CE5427" w:rsidP="005D7B68">
      <w:pPr>
        <w:tabs>
          <w:tab w:val="left" w:pos="567"/>
          <w:tab w:val="left" w:pos="1134"/>
          <w:tab w:val="left" w:pos="1701"/>
          <w:tab w:val="left" w:pos="2268"/>
          <w:tab w:val="left" w:pos="2835"/>
        </w:tabs>
        <w:spacing w:before="240"/>
        <w:rPr>
          <w:snapToGrid w:val="0"/>
          <w:lang w:val="fr-FR"/>
        </w:rPr>
      </w:pPr>
      <w:r>
        <w:rPr>
          <w:snapToGrid w:val="0"/>
          <w:lang w:val="fr-FR"/>
        </w:rPr>
        <w:tab/>
        <w:t>c)</w:t>
      </w:r>
      <w:r>
        <w:rPr>
          <w:snapToGrid w:val="0"/>
          <w:lang w:val="fr-FR"/>
        </w:rPr>
        <w:tab/>
        <w:t>C</w:t>
      </w:r>
      <w:r w:rsidR="001543F4">
        <w:rPr>
          <w:snapToGrid w:val="0"/>
          <w:lang w:val="fr-FR"/>
        </w:rPr>
        <w:t xml:space="preserve">elles qui ont commencé à souffrir de troubles mentaux en </w:t>
      </w:r>
      <w:r w:rsidR="001543F4" w:rsidRPr="003A440F">
        <w:rPr>
          <w:snapToGrid w:val="0"/>
          <w:lang w:val="fr-FR"/>
        </w:rPr>
        <w:t xml:space="preserve">détention </w:t>
      </w:r>
      <w:r w:rsidR="00F90151" w:rsidRPr="003A440F">
        <w:rPr>
          <w:snapToGrid w:val="0"/>
          <w:lang w:val="fr-FR"/>
        </w:rPr>
        <w:t xml:space="preserve">(qu’on appelle </w:t>
      </w:r>
      <w:r w:rsidR="00A619D6">
        <w:rPr>
          <w:snapToGrid w:val="0"/>
          <w:lang w:val="fr-FR"/>
        </w:rPr>
        <w:t>«</w:t>
      </w:r>
      <w:r w:rsidR="00F90151" w:rsidRPr="00A743D9">
        <w:rPr>
          <w:i/>
          <w:iCs/>
          <w:snapToGrid w:val="0"/>
          <w:lang w:val="fr-FR"/>
        </w:rPr>
        <w:t>transferees</w:t>
      </w:r>
      <w:r w:rsidR="00A619D6">
        <w:rPr>
          <w:snapToGrid w:val="0"/>
          <w:lang w:val="fr-FR"/>
        </w:rPr>
        <w:t>»</w:t>
      </w:r>
      <w:r w:rsidR="00F90151" w:rsidRPr="003A440F">
        <w:rPr>
          <w:snapToGrid w:val="0"/>
          <w:lang w:val="fr-FR"/>
        </w:rPr>
        <w:t xml:space="preserve">) </w:t>
      </w:r>
      <w:r w:rsidR="00F90151">
        <w:rPr>
          <w:snapToGrid w:val="0"/>
          <w:lang w:val="fr-FR"/>
        </w:rPr>
        <w:t>(</w:t>
      </w:r>
      <w:r w:rsidR="00F90151" w:rsidRPr="00CE5427">
        <w:rPr>
          <w:snapToGrid w:val="0"/>
          <w:lang w:val="fr-FR"/>
        </w:rPr>
        <w:t>loi de 1990 sur la santé mentale</w:t>
      </w:r>
      <w:r w:rsidR="00F90151">
        <w:rPr>
          <w:snapToGrid w:val="0"/>
          <w:lang w:val="fr-FR"/>
        </w:rPr>
        <w:t xml:space="preserve"> (Nouvelle</w:t>
      </w:r>
      <w:r w:rsidR="00B177CD">
        <w:rPr>
          <w:snapToGrid w:val="0"/>
          <w:lang w:val="fr-FR"/>
        </w:rPr>
        <w:noBreakHyphen/>
      </w:r>
      <w:r w:rsidR="00F90151">
        <w:rPr>
          <w:snapToGrid w:val="0"/>
          <w:lang w:val="fr-FR"/>
        </w:rPr>
        <w:t>Galles du Sud), art. 97, 98).</w:t>
      </w:r>
    </w:p>
    <w:p w:rsidR="00374730"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437</w:t>
      </w:r>
      <w:r w:rsidR="00374730">
        <w:rPr>
          <w:snapToGrid w:val="0"/>
          <w:lang w:val="fr-FR"/>
        </w:rPr>
        <w:t>.</w:t>
      </w:r>
      <w:r w:rsidR="00374730">
        <w:rPr>
          <w:snapToGrid w:val="0"/>
          <w:lang w:val="fr-FR"/>
        </w:rPr>
        <w:tab/>
        <w:t>Actuellement, les délinquants souffrant de troubles mentaux, en Nouvelle</w:t>
      </w:r>
      <w:r w:rsidR="00B177CD">
        <w:rPr>
          <w:snapToGrid w:val="0"/>
          <w:lang w:val="fr-FR"/>
        </w:rPr>
        <w:noBreakHyphen/>
      </w:r>
      <w:r w:rsidR="00374730">
        <w:rPr>
          <w:snapToGrid w:val="0"/>
          <w:lang w:val="fr-FR"/>
        </w:rPr>
        <w:t>Galles du Sud peuvent être détenus dans le Long Bay Pri</w:t>
      </w:r>
      <w:r w:rsidR="00CE5427">
        <w:rPr>
          <w:snapToGrid w:val="0"/>
          <w:lang w:val="fr-FR"/>
        </w:rPr>
        <w:t>son Hospital, qui est homologué</w:t>
      </w:r>
      <w:r w:rsidR="00374730">
        <w:rPr>
          <w:snapToGrid w:val="0"/>
          <w:lang w:val="fr-FR"/>
        </w:rPr>
        <w:t xml:space="preserve"> à la fois</w:t>
      </w:r>
      <w:r w:rsidR="00CE5427">
        <w:rPr>
          <w:snapToGrid w:val="0"/>
          <w:lang w:val="fr-FR"/>
        </w:rPr>
        <w:t xml:space="preserve"> comme</w:t>
      </w:r>
      <w:r w:rsidR="00374730">
        <w:rPr>
          <w:snapToGrid w:val="0"/>
          <w:lang w:val="fr-FR"/>
        </w:rPr>
        <w:t xml:space="preserve"> hôpital et centre pénitentiaire</w:t>
      </w:r>
      <w:r w:rsidR="008D6B80">
        <w:rPr>
          <w:snapToGrid w:val="0"/>
          <w:lang w:val="fr-FR"/>
        </w:rPr>
        <w:t xml:space="preserve">. </w:t>
      </w:r>
      <w:r w:rsidR="00374730">
        <w:rPr>
          <w:snapToGrid w:val="0"/>
          <w:lang w:val="fr-FR"/>
        </w:rPr>
        <w:t>Conformément à la meilleure pratique internationale en matière de traitement des délinquants</w:t>
      </w:r>
      <w:r w:rsidR="003A440F">
        <w:rPr>
          <w:snapToGrid w:val="0"/>
          <w:lang w:val="fr-FR"/>
        </w:rPr>
        <w:t xml:space="preserve"> souffrant de maladies mentales</w:t>
      </w:r>
      <w:r w:rsidR="00602F1D">
        <w:rPr>
          <w:snapToGrid w:val="0"/>
          <w:lang w:val="fr-FR"/>
        </w:rPr>
        <w:t>, le Gouvernement de Nouvelle</w:t>
      </w:r>
      <w:r w:rsidR="00B177CD">
        <w:rPr>
          <w:snapToGrid w:val="0"/>
          <w:lang w:val="fr-FR"/>
        </w:rPr>
        <w:noBreakHyphen/>
      </w:r>
      <w:r w:rsidR="00602F1D">
        <w:rPr>
          <w:snapToGrid w:val="0"/>
          <w:lang w:val="fr-FR"/>
        </w:rPr>
        <w:t>Galles du Sud est en tr</w:t>
      </w:r>
      <w:r w:rsidR="00B9576A">
        <w:rPr>
          <w:snapToGrid w:val="0"/>
          <w:lang w:val="fr-FR"/>
        </w:rPr>
        <w:t>a</w:t>
      </w:r>
      <w:r w:rsidR="00602F1D">
        <w:rPr>
          <w:snapToGrid w:val="0"/>
          <w:lang w:val="fr-FR"/>
        </w:rPr>
        <w:t>in de faire construire</w:t>
      </w:r>
      <w:r w:rsidR="003A440F">
        <w:rPr>
          <w:snapToGrid w:val="0"/>
          <w:lang w:val="fr-FR"/>
        </w:rPr>
        <w:t>, au Long Bay Complex,</w:t>
      </w:r>
      <w:r w:rsidR="00602F1D">
        <w:rPr>
          <w:snapToGrid w:val="0"/>
          <w:lang w:val="fr-FR"/>
        </w:rPr>
        <w:t xml:space="preserve"> un nouvel hôpital de médecine légale qui doit être géré par </w:t>
      </w:r>
      <w:r w:rsidR="00602F1D" w:rsidRPr="00602F1D">
        <w:rPr>
          <w:i/>
          <w:iCs/>
          <w:snapToGrid w:val="0"/>
          <w:lang w:val="fr-FR"/>
        </w:rPr>
        <w:t>Justice Health</w:t>
      </w:r>
      <w:r w:rsidR="00602F1D">
        <w:rPr>
          <w:i/>
          <w:iCs/>
          <w:snapToGrid w:val="0"/>
          <w:lang w:val="fr-FR"/>
        </w:rPr>
        <w:t xml:space="preserve"> </w:t>
      </w:r>
      <w:r w:rsidR="00564D22">
        <w:rPr>
          <w:snapToGrid w:val="0"/>
          <w:lang w:val="fr-FR"/>
        </w:rPr>
        <w:t>en tant</w:t>
      </w:r>
      <w:r w:rsidR="00602F1D">
        <w:rPr>
          <w:snapToGrid w:val="0"/>
          <w:lang w:val="fr-FR"/>
        </w:rPr>
        <w:t xml:space="preserve"> qu’hôpital indépendant de médecine légale fonctionnant selon le principe des meilleures pratiques internationales</w:t>
      </w:r>
      <w:r w:rsidR="008D6B80">
        <w:rPr>
          <w:snapToGrid w:val="0"/>
          <w:lang w:val="fr-FR"/>
        </w:rPr>
        <w:t xml:space="preserve">. </w:t>
      </w:r>
      <w:r w:rsidR="00602F1D">
        <w:rPr>
          <w:snapToGrid w:val="0"/>
          <w:lang w:val="fr-FR"/>
        </w:rPr>
        <w:t>Il permettra de traiter comme il convient les délinquants souffrant de troubles mentaux tout en assurant la sécurité de la collectivité, et doit ouvrir en 2008.</w:t>
      </w:r>
    </w:p>
    <w:p w:rsidR="00602F1D"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438</w:t>
      </w:r>
      <w:r w:rsidR="00602F1D">
        <w:rPr>
          <w:snapToGrid w:val="0"/>
          <w:lang w:val="fr-FR"/>
        </w:rPr>
        <w:t>.</w:t>
      </w:r>
      <w:r w:rsidR="00602F1D">
        <w:rPr>
          <w:snapToGrid w:val="0"/>
          <w:lang w:val="fr-FR"/>
        </w:rPr>
        <w:tab/>
        <w:t>Ce nouvel hôpital de médecine légale fait partie des engagements pris par le Gouvernement de Nouvelle-Galles du Sud dans le cadre</w:t>
      </w:r>
      <w:r w:rsidR="008F6450">
        <w:rPr>
          <w:snapToGrid w:val="0"/>
          <w:lang w:val="fr-FR"/>
        </w:rPr>
        <w:t xml:space="preserve"> du Plan d’action national pour la santé mentale</w:t>
      </w:r>
      <w:r w:rsidR="00B9576A">
        <w:rPr>
          <w:snapToGrid w:val="0"/>
          <w:lang w:val="fr-FR"/>
        </w:rPr>
        <w:t xml:space="preserve"> et fait l’objet d’un engagement de financement de 171,6 millions de dollars sur cinq ans.</w:t>
      </w:r>
    </w:p>
    <w:p w:rsidR="004E0093"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439</w:t>
      </w:r>
      <w:r w:rsidR="001769A7">
        <w:rPr>
          <w:snapToGrid w:val="0"/>
          <w:lang w:val="fr-FR"/>
        </w:rPr>
        <w:t>.</w:t>
      </w:r>
      <w:r w:rsidR="001769A7">
        <w:rPr>
          <w:snapToGrid w:val="0"/>
          <w:lang w:val="fr-FR"/>
        </w:rPr>
        <w:tab/>
        <w:t>Les détenus so</w:t>
      </w:r>
      <w:r w:rsidR="0009543D">
        <w:rPr>
          <w:snapToGrid w:val="0"/>
          <w:lang w:val="fr-FR"/>
        </w:rPr>
        <w:t>uffrant de graves maladies mentales</w:t>
      </w:r>
      <w:r w:rsidR="001769A7">
        <w:rPr>
          <w:snapToGrid w:val="0"/>
          <w:lang w:val="fr-FR"/>
        </w:rPr>
        <w:t xml:space="preserve"> sont orientés vers l’hôpital de Long Bay</w:t>
      </w:r>
      <w:r w:rsidR="008D6B80">
        <w:rPr>
          <w:snapToGrid w:val="0"/>
          <w:lang w:val="fr-FR"/>
        </w:rPr>
        <w:t xml:space="preserve">. </w:t>
      </w:r>
      <w:r w:rsidR="001769A7">
        <w:rPr>
          <w:snapToGrid w:val="0"/>
          <w:lang w:val="fr-FR"/>
        </w:rPr>
        <w:t>C</w:t>
      </w:r>
      <w:r w:rsidR="009F3E9D">
        <w:rPr>
          <w:snapToGrid w:val="0"/>
          <w:lang w:val="fr-FR"/>
        </w:rPr>
        <w:t xml:space="preserve">eux dont les facteurs de risque font craindre </w:t>
      </w:r>
      <w:r w:rsidR="00EC7B21">
        <w:rPr>
          <w:snapToGrid w:val="0"/>
          <w:lang w:val="fr-FR"/>
        </w:rPr>
        <w:t>le suicide ou l’auto-agressivité</w:t>
      </w:r>
      <w:r w:rsidR="00FA2153">
        <w:rPr>
          <w:snapToGrid w:val="0"/>
          <w:lang w:val="fr-FR"/>
        </w:rPr>
        <w:t>, ou bien qui sont en crise, sont aiguillés vers un service de traitement</w:t>
      </w:r>
      <w:r w:rsidR="003D3F72">
        <w:rPr>
          <w:snapToGrid w:val="0"/>
          <w:lang w:val="fr-FR"/>
        </w:rPr>
        <w:t xml:space="preserve"> d’urgence</w:t>
      </w:r>
      <w:r w:rsidR="00FA2153">
        <w:rPr>
          <w:snapToGrid w:val="0"/>
          <w:lang w:val="fr-FR"/>
        </w:rPr>
        <w:t xml:space="preserve"> des troubles graves</w:t>
      </w:r>
      <w:r w:rsidR="009F3E9D">
        <w:rPr>
          <w:snapToGrid w:val="0"/>
          <w:lang w:val="fr-FR"/>
        </w:rPr>
        <w:t xml:space="preserve"> (</w:t>
      </w:r>
      <w:r w:rsidR="009F3E9D" w:rsidRPr="00CE5427">
        <w:rPr>
          <w:i/>
          <w:iCs/>
          <w:snapToGrid w:val="0"/>
          <w:lang w:val="fr-FR"/>
        </w:rPr>
        <w:t>Acute Crisis Management Units</w:t>
      </w:r>
      <w:r w:rsidR="009F3E9D">
        <w:rPr>
          <w:snapToGrid w:val="0"/>
          <w:lang w:val="fr-FR"/>
        </w:rPr>
        <w:t>)</w:t>
      </w:r>
      <w:r w:rsidR="008D6B80">
        <w:rPr>
          <w:snapToGrid w:val="0"/>
          <w:lang w:val="fr-FR"/>
        </w:rPr>
        <w:t xml:space="preserve">. </w:t>
      </w:r>
      <w:r w:rsidR="00FA2153">
        <w:rPr>
          <w:i/>
          <w:iCs/>
          <w:snapToGrid w:val="0"/>
          <w:lang w:val="fr-FR"/>
        </w:rPr>
        <w:t>Justice Health</w:t>
      </w:r>
      <w:r w:rsidR="00FA2153">
        <w:rPr>
          <w:snapToGrid w:val="0"/>
          <w:lang w:val="fr-FR"/>
        </w:rPr>
        <w:t xml:space="preserve"> fournit des services d’appui clinique dans tous les domaines, y compris celui de la santé mentale, et un service</w:t>
      </w:r>
      <w:r w:rsidR="004E0093">
        <w:rPr>
          <w:snapToGrid w:val="0"/>
          <w:lang w:val="fr-FR"/>
        </w:rPr>
        <w:t xml:space="preserve"> de liaison permettant de consulter des spécialistes, avec des infirmiers psychiatriques et des psychiatres.</w:t>
      </w:r>
    </w:p>
    <w:p w:rsidR="005F13CB"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440</w:t>
      </w:r>
      <w:r w:rsidR="00CE5427">
        <w:rPr>
          <w:snapToGrid w:val="0"/>
          <w:lang w:val="fr-FR"/>
        </w:rPr>
        <w:t>.</w:t>
      </w:r>
      <w:r w:rsidR="00CE5427">
        <w:rPr>
          <w:snapToGrid w:val="0"/>
          <w:lang w:val="fr-FR"/>
        </w:rPr>
        <w:tab/>
        <w:t>Dans le</w:t>
      </w:r>
      <w:r w:rsidR="004E0093">
        <w:rPr>
          <w:snapToGrid w:val="0"/>
          <w:lang w:val="fr-FR"/>
        </w:rPr>
        <w:t xml:space="preserve"> cas où un détenu est considéré comme étant susceptib</w:t>
      </w:r>
      <w:r w:rsidR="00BA0E34">
        <w:rPr>
          <w:snapToGrid w:val="0"/>
          <w:lang w:val="fr-FR"/>
        </w:rPr>
        <w:t>le d’être victime d’au</w:t>
      </w:r>
      <w:r w:rsidR="009F39F2">
        <w:rPr>
          <w:snapToGrid w:val="0"/>
          <w:lang w:val="fr-FR"/>
        </w:rPr>
        <w:t>to</w:t>
      </w:r>
      <w:r w:rsidR="009F39F2">
        <w:rPr>
          <w:snapToGrid w:val="0"/>
          <w:lang w:val="fr-FR"/>
        </w:rPr>
        <w:noBreakHyphen/>
      </w:r>
      <w:r w:rsidR="00420085">
        <w:rPr>
          <w:snapToGrid w:val="0"/>
          <w:lang w:val="fr-FR"/>
        </w:rPr>
        <w:t>agressivi</w:t>
      </w:r>
      <w:r w:rsidR="009A7C33">
        <w:rPr>
          <w:snapToGrid w:val="0"/>
          <w:lang w:val="fr-FR"/>
        </w:rPr>
        <w:t>té</w:t>
      </w:r>
      <w:r w:rsidR="004E0093">
        <w:rPr>
          <w:snapToGrid w:val="0"/>
          <w:lang w:val="fr-FR"/>
        </w:rPr>
        <w:t>,</w:t>
      </w:r>
      <w:r w:rsidR="00572260">
        <w:rPr>
          <w:snapToGrid w:val="0"/>
          <w:lang w:val="fr-FR"/>
        </w:rPr>
        <w:t xml:space="preserve"> </w:t>
      </w:r>
      <w:r w:rsidR="005233AF">
        <w:rPr>
          <w:snapToGrid w:val="0"/>
          <w:lang w:val="fr-FR"/>
        </w:rPr>
        <w:t>il convient d’en informer le fonctionnaire chargé des affectations dans les meilleurs délais afin de faciliter le transfert de l’intéressé</w:t>
      </w:r>
      <w:r w:rsidR="00FA2153">
        <w:rPr>
          <w:snapToGrid w:val="0"/>
          <w:lang w:val="fr-FR"/>
        </w:rPr>
        <w:t xml:space="preserve"> </w:t>
      </w:r>
      <w:r w:rsidR="005233AF">
        <w:rPr>
          <w:snapToGrid w:val="0"/>
          <w:lang w:val="fr-FR"/>
        </w:rPr>
        <w:t>vers un centre de détention où une équipe d’intervention en matière d’évaluation des risques peut procéder à un examen de son cas</w:t>
      </w:r>
      <w:r w:rsidR="008D6B80">
        <w:rPr>
          <w:snapToGrid w:val="0"/>
          <w:lang w:val="fr-FR"/>
        </w:rPr>
        <w:t xml:space="preserve">. </w:t>
      </w:r>
      <w:r w:rsidR="005233AF">
        <w:rPr>
          <w:snapToGrid w:val="0"/>
          <w:lang w:val="fr-FR"/>
        </w:rPr>
        <w:t>Des mesures sont prises pour parer à de nouvelles tentatives</w:t>
      </w:r>
      <w:r w:rsidR="005F13CB">
        <w:rPr>
          <w:snapToGrid w:val="0"/>
          <w:lang w:val="fr-FR"/>
        </w:rPr>
        <w:t xml:space="preserve"> d’automutilation et l’on doit porter ce cas à l’attention du personnel de </w:t>
      </w:r>
      <w:r w:rsidR="005F13CB">
        <w:rPr>
          <w:i/>
          <w:iCs/>
          <w:snapToGrid w:val="0"/>
          <w:lang w:val="fr-FR"/>
        </w:rPr>
        <w:t>Justice Health</w:t>
      </w:r>
      <w:r w:rsidR="005F13CB">
        <w:rPr>
          <w:snapToGrid w:val="0"/>
          <w:lang w:val="fr-FR"/>
        </w:rPr>
        <w:t xml:space="preserve"> ou d’agents d’action sociale</w:t>
      </w:r>
      <w:r w:rsidR="008D6B80">
        <w:rPr>
          <w:snapToGrid w:val="0"/>
          <w:lang w:val="fr-FR"/>
        </w:rPr>
        <w:t xml:space="preserve">. </w:t>
      </w:r>
      <w:r w:rsidR="005F13CB">
        <w:rPr>
          <w:snapToGrid w:val="0"/>
          <w:lang w:val="fr-FR"/>
        </w:rPr>
        <w:t>Le d</w:t>
      </w:r>
      <w:r w:rsidR="00467203">
        <w:rPr>
          <w:snapToGrid w:val="0"/>
          <w:lang w:val="fr-FR"/>
        </w:rPr>
        <w:t>ossier médical de l’intéressé</w:t>
      </w:r>
      <w:r w:rsidR="005F13CB">
        <w:rPr>
          <w:snapToGrid w:val="0"/>
          <w:lang w:val="fr-FR"/>
        </w:rPr>
        <w:t xml:space="preserve"> doit être </w:t>
      </w:r>
      <w:r w:rsidR="00CE5427">
        <w:rPr>
          <w:snapToGrid w:val="0"/>
          <w:lang w:val="fr-FR"/>
        </w:rPr>
        <w:t xml:space="preserve">tenu </w:t>
      </w:r>
      <w:r w:rsidR="005F13CB">
        <w:rPr>
          <w:snapToGrid w:val="0"/>
          <w:lang w:val="fr-FR"/>
        </w:rPr>
        <w:t>soigneusement à jour et</w:t>
      </w:r>
      <w:r w:rsidR="006747B9">
        <w:rPr>
          <w:snapToGrid w:val="0"/>
          <w:lang w:val="fr-FR"/>
        </w:rPr>
        <w:t xml:space="preserve"> il faut informer</w:t>
      </w:r>
      <w:r w:rsidR="005F13CB">
        <w:rPr>
          <w:snapToGrid w:val="0"/>
          <w:lang w:val="fr-FR"/>
        </w:rPr>
        <w:t xml:space="preserve"> les fonctionnaires chargés de son</w:t>
      </w:r>
      <w:r w:rsidR="006747B9">
        <w:rPr>
          <w:snapToGrid w:val="0"/>
          <w:lang w:val="fr-FR"/>
        </w:rPr>
        <w:t xml:space="preserve"> transport</w:t>
      </w:r>
      <w:r w:rsidR="00F21FFF">
        <w:rPr>
          <w:snapToGrid w:val="0"/>
          <w:lang w:val="fr-FR"/>
        </w:rPr>
        <w:t xml:space="preserve"> de ces</w:t>
      </w:r>
      <w:r w:rsidR="005F13CB">
        <w:rPr>
          <w:snapToGrid w:val="0"/>
          <w:lang w:val="fr-FR"/>
        </w:rPr>
        <w:t xml:space="preserve"> ris</w:t>
      </w:r>
      <w:r w:rsidR="006747B9">
        <w:rPr>
          <w:snapToGrid w:val="0"/>
          <w:lang w:val="fr-FR"/>
        </w:rPr>
        <w:t xml:space="preserve">ques </w:t>
      </w:r>
      <w:r w:rsidR="00511B39">
        <w:rPr>
          <w:snapToGrid w:val="0"/>
          <w:lang w:val="fr-FR"/>
        </w:rPr>
        <w:t xml:space="preserve">avant </w:t>
      </w:r>
      <w:r w:rsidR="006747B9">
        <w:rPr>
          <w:snapToGrid w:val="0"/>
          <w:lang w:val="fr-FR"/>
        </w:rPr>
        <w:t>qu’ils ne l’escortent</w:t>
      </w:r>
      <w:r w:rsidR="005F13CB">
        <w:rPr>
          <w:snapToGrid w:val="0"/>
          <w:lang w:val="fr-FR"/>
        </w:rPr>
        <w:t>.</w:t>
      </w:r>
    </w:p>
    <w:p w:rsidR="001769A7"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441</w:t>
      </w:r>
      <w:r w:rsidR="005F13CB">
        <w:rPr>
          <w:snapToGrid w:val="0"/>
          <w:lang w:val="fr-FR"/>
        </w:rPr>
        <w:t>.</w:t>
      </w:r>
      <w:r w:rsidR="005F13CB">
        <w:rPr>
          <w:snapToGrid w:val="0"/>
          <w:lang w:val="fr-FR"/>
        </w:rPr>
        <w:tab/>
      </w:r>
      <w:r w:rsidR="009F3E9D">
        <w:rPr>
          <w:snapToGrid w:val="0"/>
          <w:lang w:val="fr-FR"/>
        </w:rPr>
        <w:t>Le réseau de services de traitement</w:t>
      </w:r>
      <w:r w:rsidR="003D3F72">
        <w:rPr>
          <w:snapToGrid w:val="0"/>
          <w:lang w:val="fr-FR"/>
        </w:rPr>
        <w:t xml:space="preserve"> d’urgence</w:t>
      </w:r>
      <w:r w:rsidR="009F3E9D">
        <w:rPr>
          <w:snapToGrid w:val="0"/>
          <w:lang w:val="fr-FR"/>
        </w:rPr>
        <w:t xml:space="preserve"> des troubles graves a été créé en Nouvelle</w:t>
      </w:r>
      <w:r w:rsidR="009F39F2">
        <w:rPr>
          <w:snapToGrid w:val="0"/>
          <w:lang w:val="fr-FR"/>
        </w:rPr>
        <w:noBreakHyphen/>
      </w:r>
      <w:r w:rsidR="00561109">
        <w:rPr>
          <w:snapToGrid w:val="0"/>
          <w:lang w:val="fr-FR"/>
        </w:rPr>
        <w:t>Galles du Sud à la fin de 1999 pour offrir aux équipes d’intervention en cas de risque et aux équipes d’évaluation des risques et d’intervention la possibilité d’une prise en charge d’urgence des personnes</w:t>
      </w:r>
      <w:r w:rsidR="005F13CB">
        <w:rPr>
          <w:snapToGrid w:val="0"/>
          <w:lang w:val="fr-FR"/>
        </w:rPr>
        <w:t xml:space="preserve"> </w:t>
      </w:r>
      <w:r w:rsidR="00561109">
        <w:rPr>
          <w:snapToGrid w:val="0"/>
          <w:lang w:val="fr-FR"/>
        </w:rPr>
        <w:t>que ces équipes jugent nécessaire de leur adresser lorsqu’il n’est pas possible de parer localement aux risques de suicide et d’automutilation.</w:t>
      </w:r>
    </w:p>
    <w:p w:rsidR="00561109" w:rsidRDefault="00561109"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w:t>
      </w:r>
      <w:r w:rsidR="00A55761">
        <w:rPr>
          <w:snapToGrid w:val="0"/>
          <w:lang w:val="fr-FR"/>
        </w:rPr>
        <w:t>2</w:t>
      </w:r>
      <w:r>
        <w:rPr>
          <w:snapToGrid w:val="0"/>
          <w:lang w:val="fr-FR"/>
        </w:rPr>
        <w:t>.</w:t>
      </w:r>
      <w:r>
        <w:rPr>
          <w:snapToGrid w:val="0"/>
          <w:lang w:val="fr-FR"/>
        </w:rPr>
        <w:tab/>
        <w:t xml:space="preserve">Le Ministère possède des services de traitement </w:t>
      </w:r>
      <w:r w:rsidR="003D3F72">
        <w:rPr>
          <w:snapToGrid w:val="0"/>
          <w:lang w:val="fr-FR"/>
        </w:rPr>
        <w:t xml:space="preserve">d’urgence </w:t>
      </w:r>
      <w:r>
        <w:rPr>
          <w:snapToGrid w:val="0"/>
          <w:lang w:val="fr-FR"/>
        </w:rPr>
        <w:t>des troubles graves</w:t>
      </w:r>
      <w:r w:rsidR="003D3F72">
        <w:rPr>
          <w:snapToGrid w:val="0"/>
          <w:lang w:val="fr-FR"/>
        </w:rPr>
        <w:t xml:space="preserve"> pour les détenus de sexe masculin au </w:t>
      </w:r>
      <w:r w:rsidR="003D3F72" w:rsidRPr="00CE5427">
        <w:rPr>
          <w:i/>
          <w:iCs/>
          <w:snapToGrid w:val="0"/>
          <w:lang w:val="fr-FR"/>
        </w:rPr>
        <w:t>Metropolitan Special Programs Centre</w:t>
      </w:r>
      <w:r w:rsidR="003D3F72">
        <w:rPr>
          <w:snapToGrid w:val="0"/>
          <w:lang w:val="fr-FR"/>
        </w:rPr>
        <w:t xml:space="preserve"> (long Bay) (Centre métropolitain des programmes spéciaux de long Bay) et au Centre de détention de Bathurst.</w:t>
      </w:r>
    </w:p>
    <w:p w:rsidR="00F54E1A"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443</w:t>
      </w:r>
      <w:r w:rsidR="003D3F72">
        <w:rPr>
          <w:snapToGrid w:val="0"/>
          <w:lang w:val="fr-FR"/>
        </w:rPr>
        <w:t>.</w:t>
      </w:r>
      <w:r w:rsidR="003D3F72">
        <w:rPr>
          <w:snapToGrid w:val="0"/>
          <w:lang w:val="fr-FR"/>
        </w:rPr>
        <w:tab/>
        <w:t>Le Service Kevin Waller met à disposition un programme en institution pour 15 détenus présentant un risqu</w:t>
      </w:r>
      <w:r w:rsidR="00420085">
        <w:rPr>
          <w:snapToGrid w:val="0"/>
          <w:lang w:val="fr-FR"/>
        </w:rPr>
        <w:t>e de suicide ou d’auto-agressivité</w:t>
      </w:r>
      <w:r w:rsidR="003D3F72">
        <w:rPr>
          <w:snapToGrid w:val="0"/>
          <w:lang w:val="fr-FR"/>
        </w:rPr>
        <w:t>,</w:t>
      </w:r>
      <w:r w:rsidR="009057E6">
        <w:rPr>
          <w:snapToGrid w:val="0"/>
          <w:lang w:val="fr-FR"/>
        </w:rPr>
        <w:t xml:space="preserve"> avec un passé dans ce domaine, lequel programme</w:t>
      </w:r>
      <w:r w:rsidR="003D3F72">
        <w:rPr>
          <w:snapToGrid w:val="0"/>
          <w:lang w:val="fr-FR"/>
        </w:rPr>
        <w:t xml:space="preserve"> vise à atténuer la gravité et la fréquence de ce type de comportement et à améliorer l’aptitude à lutter contre ces te</w:t>
      </w:r>
      <w:r w:rsidR="00F54E1A">
        <w:rPr>
          <w:snapToGrid w:val="0"/>
          <w:lang w:val="fr-FR"/>
        </w:rPr>
        <w:t>ndances, ainsi que les carences associées au comportement délictueux</w:t>
      </w:r>
      <w:r w:rsidR="008D6B80">
        <w:rPr>
          <w:snapToGrid w:val="0"/>
          <w:lang w:val="fr-FR"/>
        </w:rPr>
        <w:t xml:space="preserve">. </w:t>
      </w:r>
      <w:r w:rsidR="00F54E1A">
        <w:rPr>
          <w:snapToGrid w:val="0"/>
          <w:lang w:val="fr-FR"/>
        </w:rPr>
        <w:t>On y pratique la thérapie individuelle et la thérapie de groupe.</w:t>
      </w:r>
    </w:p>
    <w:p w:rsidR="00D66396"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444</w:t>
      </w:r>
      <w:r w:rsidR="00B76A81">
        <w:rPr>
          <w:snapToGrid w:val="0"/>
          <w:lang w:val="fr-FR"/>
        </w:rPr>
        <w:t>.</w:t>
      </w:r>
      <w:r w:rsidR="00B76A81">
        <w:rPr>
          <w:snapToGrid w:val="0"/>
          <w:lang w:val="fr-FR"/>
        </w:rPr>
        <w:tab/>
        <w:t>L’Unité des services des incapacités mentales</w:t>
      </w:r>
      <w:r w:rsidR="003D3F72">
        <w:rPr>
          <w:snapToGrid w:val="0"/>
          <w:lang w:val="fr-FR"/>
        </w:rPr>
        <w:t xml:space="preserve"> </w:t>
      </w:r>
      <w:r w:rsidR="00B76A81">
        <w:rPr>
          <w:snapToGrid w:val="0"/>
          <w:lang w:val="fr-FR"/>
        </w:rPr>
        <w:t>veille à</w:t>
      </w:r>
      <w:r w:rsidR="009017AA">
        <w:rPr>
          <w:snapToGrid w:val="0"/>
          <w:lang w:val="fr-FR"/>
        </w:rPr>
        <w:t xml:space="preserve"> ce que le Ministère remplisse</w:t>
      </w:r>
      <w:r w:rsidR="00B76A81">
        <w:rPr>
          <w:snapToGrid w:val="0"/>
          <w:lang w:val="fr-FR"/>
        </w:rPr>
        <w:t xml:space="preserve"> ses obligations en application de la loi de 1992 sur les s</w:t>
      </w:r>
      <w:r w:rsidR="00D66396">
        <w:rPr>
          <w:snapToGrid w:val="0"/>
          <w:lang w:val="fr-FR"/>
        </w:rPr>
        <w:t>ervices aux personnes handicapées</w:t>
      </w:r>
      <w:r w:rsidR="00B76A81">
        <w:rPr>
          <w:snapToGrid w:val="0"/>
          <w:lang w:val="fr-FR"/>
        </w:rPr>
        <w:t xml:space="preserve"> et</w:t>
      </w:r>
      <w:r w:rsidR="00D66396">
        <w:rPr>
          <w:snapToGrid w:val="0"/>
          <w:lang w:val="fr-FR"/>
        </w:rPr>
        <w:t xml:space="preserve"> de</w:t>
      </w:r>
      <w:r w:rsidR="00B76A81">
        <w:rPr>
          <w:snapToGrid w:val="0"/>
          <w:lang w:val="fr-FR"/>
        </w:rPr>
        <w:t xml:space="preserve"> la loi de 1992 sur la discrimination</w:t>
      </w:r>
      <w:r w:rsidR="00D66396">
        <w:rPr>
          <w:snapToGrid w:val="0"/>
          <w:lang w:val="fr-FR"/>
        </w:rPr>
        <w:t xml:space="preserve"> fondée sur le handicap</w:t>
      </w:r>
      <w:r w:rsidR="008D6B80">
        <w:rPr>
          <w:snapToGrid w:val="0"/>
          <w:lang w:val="fr-FR"/>
        </w:rPr>
        <w:t>.</w:t>
      </w:r>
      <w:r w:rsidR="00572260">
        <w:rPr>
          <w:snapToGrid w:val="0"/>
          <w:lang w:val="fr-FR"/>
        </w:rPr>
        <w:t xml:space="preserve"> </w:t>
      </w:r>
      <w:r w:rsidR="00D66396">
        <w:rPr>
          <w:snapToGrid w:val="0"/>
          <w:lang w:val="fr-FR"/>
        </w:rPr>
        <w:t>Dans ce contexte, le handicap concerne les détenus souffrant d’incapacité mentale, de troubles psychiatriques et de lésions au cerveau.</w:t>
      </w:r>
    </w:p>
    <w:p w:rsidR="003D3F72"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445</w:t>
      </w:r>
      <w:r w:rsidR="00D66396">
        <w:rPr>
          <w:snapToGrid w:val="0"/>
          <w:lang w:val="fr-FR"/>
        </w:rPr>
        <w:t>.</w:t>
      </w:r>
      <w:r w:rsidR="00D66396">
        <w:rPr>
          <w:snapToGrid w:val="0"/>
          <w:lang w:val="fr-FR"/>
        </w:rPr>
        <w:tab/>
        <w:t>C’est le Ministère de la santé qui a la responsabilité du traitement des patients relevant de la médecine médico-légale</w:t>
      </w:r>
      <w:r w:rsidR="0073403D">
        <w:rPr>
          <w:snapToGrid w:val="0"/>
          <w:lang w:val="fr-FR"/>
        </w:rPr>
        <w:t xml:space="preserve">. Le </w:t>
      </w:r>
      <w:r w:rsidR="0073403D" w:rsidRPr="0073403D">
        <w:rPr>
          <w:i/>
          <w:iCs/>
          <w:snapToGrid w:val="0"/>
          <w:lang w:val="fr-FR"/>
        </w:rPr>
        <w:t>Mental Health Review Tribunal</w:t>
      </w:r>
      <w:r w:rsidR="0073403D">
        <w:rPr>
          <w:snapToGrid w:val="0"/>
          <w:lang w:val="fr-FR"/>
        </w:rPr>
        <w:t xml:space="preserve"> (tribunal chargé</w:t>
      </w:r>
      <w:r w:rsidR="00B76A81">
        <w:rPr>
          <w:snapToGrid w:val="0"/>
          <w:lang w:val="fr-FR"/>
        </w:rPr>
        <w:t xml:space="preserve"> </w:t>
      </w:r>
      <w:r w:rsidR="0073403D">
        <w:rPr>
          <w:snapToGrid w:val="0"/>
          <w:lang w:val="fr-FR"/>
        </w:rPr>
        <w:t>des expertises psychiatriques) a pour mission d’effectuer un examen régulier des patients qui relèvent du médecin légiste, y com</w:t>
      </w:r>
      <w:r w:rsidR="00C634FF">
        <w:rPr>
          <w:snapToGrid w:val="0"/>
          <w:lang w:val="fr-FR"/>
        </w:rPr>
        <w:t>pris ceux qui sont</w:t>
      </w:r>
      <w:r w:rsidR="0073403D">
        <w:rPr>
          <w:snapToGrid w:val="0"/>
          <w:lang w:val="fr-FR"/>
        </w:rPr>
        <w:t xml:space="preserve"> détenus </w:t>
      </w:r>
      <w:r w:rsidR="00C634FF">
        <w:rPr>
          <w:snapToGrid w:val="0"/>
          <w:lang w:val="fr-FR"/>
        </w:rPr>
        <w:t xml:space="preserve">dans </w:t>
      </w:r>
      <w:r w:rsidR="0073403D">
        <w:rPr>
          <w:snapToGrid w:val="0"/>
          <w:lang w:val="fr-FR"/>
        </w:rPr>
        <w:t>des centres pénitentiaires.</w:t>
      </w:r>
    </w:p>
    <w:p w:rsidR="00C634FF" w:rsidRPr="005F13CB" w:rsidRDefault="00A55761" w:rsidP="005D7B68">
      <w:pPr>
        <w:tabs>
          <w:tab w:val="left" w:pos="284"/>
          <w:tab w:val="left" w:pos="567"/>
          <w:tab w:val="left" w:pos="1134"/>
          <w:tab w:val="left" w:pos="1701"/>
          <w:tab w:val="left" w:pos="2268"/>
          <w:tab w:val="left" w:pos="2835"/>
        </w:tabs>
        <w:spacing w:before="240"/>
        <w:rPr>
          <w:snapToGrid w:val="0"/>
          <w:lang w:val="fr-FR"/>
        </w:rPr>
      </w:pPr>
      <w:r>
        <w:rPr>
          <w:snapToGrid w:val="0"/>
          <w:lang w:val="fr-FR"/>
        </w:rPr>
        <w:t>446</w:t>
      </w:r>
      <w:r w:rsidR="00C634FF">
        <w:rPr>
          <w:snapToGrid w:val="0"/>
          <w:lang w:val="fr-FR"/>
        </w:rPr>
        <w:t>.</w:t>
      </w:r>
      <w:r w:rsidR="00C634FF">
        <w:rPr>
          <w:snapToGrid w:val="0"/>
          <w:lang w:val="fr-FR"/>
        </w:rPr>
        <w:tab/>
        <w:t xml:space="preserve">Le système </w:t>
      </w:r>
      <w:r w:rsidR="00D57BEC">
        <w:rPr>
          <w:snapToGrid w:val="0"/>
          <w:lang w:val="fr-FR"/>
        </w:rPr>
        <w:t xml:space="preserve">électronique </w:t>
      </w:r>
      <w:r w:rsidR="00C634FF">
        <w:rPr>
          <w:snapToGrid w:val="0"/>
          <w:lang w:val="fr-FR"/>
        </w:rPr>
        <w:t xml:space="preserve">de gestion </w:t>
      </w:r>
      <w:r w:rsidR="00D57BEC">
        <w:rPr>
          <w:snapToGrid w:val="0"/>
          <w:lang w:val="fr-FR"/>
        </w:rPr>
        <w:t>des informations relatives aux</w:t>
      </w:r>
      <w:r w:rsidR="00C634FF">
        <w:rPr>
          <w:snapToGrid w:val="0"/>
          <w:lang w:val="fr-FR"/>
        </w:rPr>
        <w:t xml:space="preserve"> délinquants</w:t>
      </w:r>
      <w:r w:rsidR="00D57BEC">
        <w:rPr>
          <w:snapToGrid w:val="0"/>
          <w:lang w:val="fr-FR"/>
        </w:rPr>
        <w:t xml:space="preserve"> permet d’enregistrer les renseignements sur les modifications de l’état mental ou psychologique des détenus et de leur situation en ce qui conce</w:t>
      </w:r>
      <w:r w:rsidR="006C6FD6">
        <w:rPr>
          <w:snapToGrid w:val="0"/>
          <w:lang w:val="fr-FR"/>
        </w:rPr>
        <w:t>rne les risques d’auto</w:t>
      </w:r>
      <w:r w:rsidR="009F39F2">
        <w:rPr>
          <w:snapToGrid w:val="0"/>
          <w:lang w:val="fr-FR"/>
        </w:rPr>
        <w:noBreakHyphen/>
      </w:r>
      <w:r w:rsidR="006C6FD6">
        <w:rPr>
          <w:snapToGrid w:val="0"/>
          <w:lang w:val="fr-FR"/>
        </w:rPr>
        <w:t>agressivité</w:t>
      </w:r>
      <w:r>
        <w:rPr>
          <w:snapToGrid w:val="0"/>
          <w:lang w:val="fr-FR"/>
        </w:rPr>
        <w:t xml:space="preserve"> par le biais d’«</w:t>
      </w:r>
      <w:r w:rsidR="00D57BEC">
        <w:rPr>
          <w:snapToGrid w:val="0"/>
          <w:lang w:val="fr-FR"/>
        </w:rPr>
        <w:t>alertes</w:t>
      </w:r>
      <w:r w:rsidR="00A619D6">
        <w:rPr>
          <w:snapToGrid w:val="0"/>
          <w:lang w:val="fr-FR"/>
        </w:rPr>
        <w:t>»</w:t>
      </w:r>
      <w:r w:rsidR="00D57BEC">
        <w:rPr>
          <w:snapToGrid w:val="0"/>
          <w:lang w:val="fr-FR"/>
        </w:rPr>
        <w:t xml:space="preserve"> des détenus et de renseignements en lig</w:t>
      </w:r>
      <w:r w:rsidR="00BC5A7F">
        <w:rPr>
          <w:snapToGrid w:val="0"/>
          <w:lang w:val="fr-FR"/>
        </w:rPr>
        <w:t>ne.</w:t>
      </w:r>
      <w:r w:rsidR="00D57BEC">
        <w:rPr>
          <w:snapToGrid w:val="0"/>
          <w:lang w:val="fr-FR"/>
        </w:rPr>
        <w:t xml:space="preserve"> </w:t>
      </w:r>
    </w:p>
    <w:p w:rsidR="00E5632B" w:rsidRDefault="00A55761" w:rsidP="005D7B68">
      <w:pPr>
        <w:tabs>
          <w:tab w:val="left" w:pos="567"/>
          <w:tab w:val="left" w:pos="1134"/>
          <w:tab w:val="left" w:pos="1701"/>
          <w:tab w:val="left" w:pos="2268"/>
          <w:tab w:val="left" w:pos="2835"/>
        </w:tabs>
        <w:rPr>
          <w:lang w:val="fr-FR"/>
        </w:rPr>
      </w:pPr>
      <w:r>
        <w:rPr>
          <w:lang w:val="fr-FR"/>
        </w:rPr>
        <w:t>447</w:t>
      </w:r>
      <w:r w:rsidR="00BC5A7F">
        <w:rPr>
          <w:lang w:val="fr-FR"/>
        </w:rPr>
        <w:t>.</w:t>
      </w:r>
      <w:r w:rsidR="00BC5A7F">
        <w:rPr>
          <w:lang w:val="fr-FR"/>
        </w:rPr>
        <w:tab/>
        <w:t xml:space="preserve">Le gouvernement est </w:t>
      </w:r>
      <w:r w:rsidR="009017AA">
        <w:rPr>
          <w:lang w:val="fr-FR"/>
        </w:rPr>
        <w:t xml:space="preserve">en </w:t>
      </w:r>
      <w:r w:rsidR="00BC5A7F">
        <w:rPr>
          <w:lang w:val="fr-FR"/>
        </w:rPr>
        <w:t>attente d’informations qui</w:t>
      </w:r>
      <w:r w:rsidR="009017AA">
        <w:rPr>
          <w:lang w:val="fr-FR"/>
        </w:rPr>
        <w:t xml:space="preserve"> doivent être communiquées par l</w:t>
      </w:r>
      <w:r w:rsidR="00BC5A7F">
        <w:rPr>
          <w:lang w:val="fr-FR"/>
        </w:rPr>
        <w:t>a Nouvelle-Galles du Sud sur les mesures prises pour protéger et garantir les droits des femmes et des populations autochtones en particulier.</w:t>
      </w:r>
    </w:p>
    <w:p w:rsidR="00BC5A7F" w:rsidRDefault="00BC5A7F" w:rsidP="005D7B68">
      <w:pPr>
        <w:tabs>
          <w:tab w:val="left" w:pos="567"/>
          <w:tab w:val="left" w:pos="1134"/>
          <w:tab w:val="left" w:pos="1701"/>
          <w:tab w:val="left" w:pos="2268"/>
          <w:tab w:val="left" w:pos="2835"/>
        </w:tabs>
        <w:rPr>
          <w:b/>
          <w:bCs/>
          <w:lang w:val="fr-FR"/>
        </w:rPr>
      </w:pPr>
      <w:r>
        <w:rPr>
          <w:b/>
          <w:bCs/>
          <w:lang w:val="fr-FR"/>
        </w:rPr>
        <w:t>Délinquantes ayant des problèmes de santé mentale</w:t>
      </w:r>
    </w:p>
    <w:p w:rsidR="00163204" w:rsidRDefault="00A55761" w:rsidP="005D7B68">
      <w:pPr>
        <w:tabs>
          <w:tab w:val="left" w:pos="567"/>
          <w:tab w:val="left" w:pos="1134"/>
          <w:tab w:val="left" w:pos="1701"/>
          <w:tab w:val="left" w:pos="2268"/>
          <w:tab w:val="left" w:pos="2835"/>
        </w:tabs>
        <w:rPr>
          <w:lang w:val="fr-FR"/>
        </w:rPr>
      </w:pPr>
      <w:r>
        <w:rPr>
          <w:lang w:val="fr-FR"/>
        </w:rPr>
        <w:t>448</w:t>
      </w:r>
      <w:r w:rsidR="00BC5A7F">
        <w:rPr>
          <w:lang w:val="fr-FR"/>
        </w:rPr>
        <w:t>.</w:t>
      </w:r>
      <w:r w:rsidR="00BC5A7F">
        <w:rPr>
          <w:lang w:val="fr-FR"/>
        </w:rPr>
        <w:tab/>
        <w:t>En 2006, le Ministère a achevé la mise en place, dans le Centre de détention pour fe</w:t>
      </w:r>
      <w:r w:rsidR="00675A28">
        <w:rPr>
          <w:lang w:val="fr-FR"/>
        </w:rPr>
        <w:t xml:space="preserve">mmes de Silverwater, </w:t>
      </w:r>
      <w:r w:rsidR="00BC5A7F">
        <w:rPr>
          <w:lang w:val="fr-FR"/>
        </w:rPr>
        <w:t>d’un centre médical et d’un service spécialisés pour les examens de santé mentale de 14 millions de dollars destinés à</w:t>
      </w:r>
      <w:r w:rsidR="00163204">
        <w:rPr>
          <w:lang w:val="fr-FR"/>
        </w:rPr>
        <w:t xml:space="preserve"> faire en sorte que, dans un environnement gardé mais normalisé, il soit plus facile de pratiquer un diagnostic et de traiter les femmes souffrant de graves problèmes de santé mentale.</w:t>
      </w:r>
    </w:p>
    <w:p w:rsidR="00747C2F" w:rsidRDefault="00163204" w:rsidP="005D7B68">
      <w:pPr>
        <w:tabs>
          <w:tab w:val="left" w:pos="567"/>
          <w:tab w:val="left" w:pos="1134"/>
          <w:tab w:val="left" w:pos="1701"/>
          <w:tab w:val="left" w:pos="2268"/>
          <w:tab w:val="left" w:pos="2835"/>
        </w:tabs>
        <w:rPr>
          <w:lang w:val="fr-FR"/>
        </w:rPr>
      </w:pPr>
      <w:r>
        <w:rPr>
          <w:lang w:val="fr-FR"/>
        </w:rPr>
        <w:t>449.</w:t>
      </w:r>
      <w:r>
        <w:rPr>
          <w:lang w:val="fr-FR"/>
        </w:rPr>
        <w:tab/>
        <w:t>Le Service Mum Shirl est mis à la disp</w:t>
      </w:r>
      <w:r w:rsidR="004B2FA5">
        <w:rPr>
          <w:lang w:val="fr-FR"/>
        </w:rPr>
        <w:t xml:space="preserve">osition des détenues du Centre </w:t>
      </w:r>
      <w:r>
        <w:rPr>
          <w:lang w:val="fr-FR"/>
        </w:rPr>
        <w:t>de détention pour femmes de Silverwater</w:t>
      </w:r>
      <w:r w:rsidR="008D6B80">
        <w:rPr>
          <w:lang w:val="fr-FR"/>
        </w:rPr>
        <w:t xml:space="preserve">. </w:t>
      </w:r>
      <w:r w:rsidR="00AF35E2">
        <w:rPr>
          <w:lang w:val="fr-FR"/>
        </w:rPr>
        <w:t>Avec le Service</w:t>
      </w:r>
      <w:r w:rsidR="004B2FA5">
        <w:rPr>
          <w:lang w:val="fr-FR"/>
        </w:rPr>
        <w:t xml:space="preserve"> de santé mentale qui lui est rattaché, il est géré en partenariat avec </w:t>
      </w:r>
      <w:r w:rsidR="004B2FA5" w:rsidRPr="004B2FA5">
        <w:rPr>
          <w:i/>
          <w:iCs/>
          <w:lang w:val="fr-FR"/>
        </w:rPr>
        <w:t>Justice Health</w:t>
      </w:r>
      <w:r w:rsidR="004B2FA5">
        <w:rPr>
          <w:lang w:val="fr-FR"/>
        </w:rPr>
        <w:t xml:space="preserve"> </w:t>
      </w:r>
      <w:r w:rsidR="00C86499">
        <w:rPr>
          <w:lang w:val="fr-FR"/>
        </w:rPr>
        <w:t>et procède à l’examen, à l’encadrement et au traitement des femmes atteintes de psychoses, de troubles mentaux chroniques, de troubles de l’humeur, de troubles de la personnalité, d’un handicap i</w:t>
      </w:r>
      <w:r w:rsidR="00747C2F">
        <w:rPr>
          <w:lang w:val="fr-FR"/>
        </w:rPr>
        <w:t xml:space="preserve">ntellectuel et de problèmes pouvant entraîner suicide ou </w:t>
      </w:r>
      <w:r w:rsidR="008D39B8">
        <w:rPr>
          <w:lang w:val="fr-FR"/>
        </w:rPr>
        <w:t>auto-agressivité</w:t>
      </w:r>
      <w:r w:rsidR="00C86499">
        <w:rPr>
          <w:lang w:val="fr-FR"/>
        </w:rPr>
        <w:t>.</w:t>
      </w:r>
    </w:p>
    <w:p w:rsidR="00747C2F" w:rsidRDefault="00747C2F" w:rsidP="005D7B68">
      <w:pPr>
        <w:tabs>
          <w:tab w:val="left" w:pos="567"/>
          <w:tab w:val="left" w:pos="1134"/>
          <w:tab w:val="left" w:pos="1701"/>
          <w:tab w:val="left" w:pos="2268"/>
          <w:tab w:val="left" w:pos="2835"/>
        </w:tabs>
        <w:rPr>
          <w:b/>
          <w:bCs/>
          <w:lang w:val="fr-FR"/>
        </w:rPr>
      </w:pPr>
      <w:r>
        <w:rPr>
          <w:b/>
          <w:bCs/>
          <w:lang w:val="fr-FR"/>
        </w:rPr>
        <w:t>Enfants</w:t>
      </w:r>
    </w:p>
    <w:p w:rsidR="00747C2F" w:rsidRPr="004464F7" w:rsidRDefault="00747C2F" w:rsidP="005D7B68">
      <w:pPr>
        <w:tabs>
          <w:tab w:val="left" w:pos="567"/>
          <w:tab w:val="left" w:pos="1134"/>
          <w:tab w:val="left" w:pos="1701"/>
          <w:tab w:val="left" w:pos="2268"/>
          <w:tab w:val="left" w:pos="2835"/>
        </w:tabs>
        <w:rPr>
          <w:i/>
          <w:iCs/>
          <w:lang w:val="fr-FR"/>
        </w:rPr>
      </w:pPr>
      <w:r>
        <w:rPr>
          <w:lang w:val="fr-FR"/>
        </w:rPr>
        <w:t>45</w:t>
      </w:r>
      <w:r w:rsidR="00CE3846">
        <w:rPr>
          <w:lang w:val="fr-FR"/>
        </w:rPr>
        <w:t>0</w:t>
      </w:r>
      <w:r>
        <w:rPr>
          <w:lang w:val="fr-FR"/>
        </w:rPr>
        <w:t>.</w:t>
      </w:r>
      <w:r>
        <w:rPr>
          <w:lang w:val="fr-FR"/>
        </w:rPr>
        <w:tab/>
      </w:r>
      <w:r w:rsidR="00D61F98">
        <w:rPr>
          <w:lang w:val="fr-FR"/>
        </w:rPr>
        <w:t xml:space="preserve">Il existe un certain nombre de mécanismes de supervision pour veiller à ce que le Département de justice pour mineurs respecte les obligations qui lui sont imposées par la </w:t>
      </w:r>
      <w:r w:rsidR="00D61F98" w:rsidRPr="009017AA">
        <w:rPr>
          <w:lang w:val="fr-FR"/>
        </w:rPr>
        <w:t xml:space="preserve">loi de 1987 sur l’enfance (centres de détention) </w:t>
      </w:r>
      <w:r w:rsidR="00D61F98">
        <w:rPr>
          <w:lang w:val="fr-FR"/>
        </w:rPr>
        <w:t>et les règles connexes</w:t>
      </w:r>
      <w:r w:rsidR="008D6B80">
        <w:rPr>
          <w:lang w:val="fr-FR"/>
        </w:rPr>
        <w:t xml:space="preserve">. </w:t>
      </w:r>
      <w:r w:rsidR="00D61F98">
        <w:rPr>
          <w:lang w:val="fr-FR"/>
        </w:rPr>
        <w:t xml:space="preserve">En vertu de l’article 8A de cette loi, </w:t>
      </w:r>
      <w:r w:rsidR="004464F7">
        <w:rPr>
          <w:lang w:val="fr-FR"/>
        </w:rPr>
        <w:t>le Programme des visiteurs officiels permet au Département de la justice pour mineurs d’effectuer un contrôle et une évaluation indépendants des centres de détention pour mineurs</w:t>
      </w:r>
      <w:r w:rsidR="008D6B80">
        <w:rPr>
          <w:lang w:val="fr-FR"/>
        </w:rPr>
        <w:t xml:space="preserve">. </w:t>
      </w:r>
      <w:r w:rsidR="004464F7">
        <w:rPr>
          <w:lang w:val="fr-FR"/>
        </w:rPr>
        <w:t xml:space="preserve">Les visiteurs officiels remettent tous les six mois un rapport sur le fonctionnement du centre par rapport aux normes fixées par les administrateurs de la justice pour mineurs en Australie dans </w:t>
      </w:r>
      <w:r w:rsidR="004464F7">
        <w:rPr>
          <w:i/>
          <w:iCs/>
          <w:lang w:val="fr-FR"/>
        </w:rPr>
        <w:t>Normes pour les établissements de détention des mineurs.</w:t>
      </w:r>
    </w:p>
    <w:p w:rsidR="00163204" w:rsidRDefault="004464F7" w:rsidP="005D7B68">
      <w:pPr>
        <w:tabs>
          <w:tab w:val="left" w:pos="567"/>
          <w:tab w:val="left" w:pos="1134"/>
          <w:tab w:val="left" w:pos="1701"/>
          <w:tab w:val="left" w:pos="2268"/>
          <w:tab w:val="left" w:pos="2835"/>
        </w:tabs>
        <w:rPr>
          <w:lang w:val="fr-FR"/>
        </w:rPr>
      </w:pPr>
      <w:r>
        <w:rPr>
          <w:lang w:val="fr-FR"/>
        </w:rPr>
        <w:t>451.</w:t>
      </w:r>
      <w:r>
        <w:rPr>
          <w:lang w:val="fr-FR"/>
        </w:rPr>
        <w:tab/>
        <w:t xml:space="preserve">La </w:t>
      </w:r>
      <w:r w:rsidRPr="009017AA">
        <w:rPr>
          <w:lang w:val="fr-FR"/>
        </w:rPr>
        <w:t>loi de 1998 sur la Commission de l’enfance et de la jeunesse</w:t>
      </w:r>
      <w:r>
        <w:rPr>
          <w:lang w:val="fr-FR"/>
        </w:rPr>
        <w:t xml:space="preserve"> dispose que le Département de la justice pour mineurs doit informer la Commission de l’enfance et de la jeunesse de toute procédure disciplinaire </w:t>
      </w:r>
      <w:r w:rsidR="00222EB4">
        <w:rPr>
          <w:lang w:val="fr-FR"/>
        </w:rPr>
        <w:t>qui a été menée à son terme pour violences à enfant, comportement sexuel abusif ou actes de violence commis par des membres du personnel dans l’exercice de leurs fonctions sur des enfants ou en présence d’enfants.</w:t>
      </w:r>
    </w:p>
    <w:p w:rsidR="00222EB4" w:rsidRDefault="00222EB4" w:rsidP="005D7B68">
      <w:pPr>
        <w:tabs>
          <w:tab w:val="left" w:pos="567"/>
          <w:tab w:val="left" w:pos="1134"/>
          <w:tab w:val="left" w:pos="1701"/>
          <w:tab w:val="left" w:pos="2268"/>
          <w:tab w:val="left" w:pos="2835"/>
        </w:tabs>
        <w:rPr>
          <w:b/>
          <w:bCs/>
          <w:lang w:val="fr-FR"/>
        </w:rPr>
      </w:pPr>
      <w:r>
        <w:rPr>
          <w:b/>
          <w:bCs/>
          <w:lang w:val="fr-FR"/>
        </w:rPr>
        <w:t>Femmes</w:t>
      </w:r>
    </w:p>
    <w:p w:rsidR="00222EB4" w:rsidRDefault="00A55761" w:rsidP="005D7B68">
      <w:pPr>
        <w:tabs>
          <w:tab w:val="left" w:pos="567"/>
          <w:tab w:val="left" w:pos="1134"/>
          <w:tab w:val="left" w:pos="1701"/>
          <w:tab w:val="left" w:pos="2268"/>
          <w:tab w:val="left" w:pos="2835"/>
        </w:tabs>
        <w:rPr>
          <w:lang w:val="fr-FR"/>
        </w:rPr>
      </w:pPr>
      <w:r>
        <w:rPr>
          <w:lang w:val="fr-FR"/>
        </w:rPr>
        <w:t>452</w:t>
      </w:r>
      <w:r w:rsidR="00222EB4">
        <w:rPr>
          <w:lang w:val="fr-FR"/>
        </w:rPr>
        <w:t>.</w:t>
      </w:r>
      <w:r w:rsidR="00222EB4">
        <w:rPr>
          <w:lang w:val="fr-FR"/>
        </w:rPr>
        <w:tab/>
        <w:t>D’une manière générale, des mesures similaires ont été prises en ce qui concerne les détenus des deux sexes pour protéger leur droit à un traitement médical, à une alimentation et à un logement adéquats, à l’accès aux mécanismes de dépôt de plainte et à une assistance juridique, etc</w:t>
      </w:r>
      <w:r w:rsidR="008D6B80">
        <w:rPr>
          <w:lang w:val="fr-FR"/>
        </w:rPr>
        <w:t xml:space="preserve">. </w:t>
      </w:r>
      <w:r w:rsidR="00222EB4">
        <w:rPr>
          <w:lang w:val="fr-FR"/>
        </w:rPr>
        <w:t>Cependant, le Ministère reconnaît que les femmes peuvent avoir des droits et des responsabilités supplémentaires en ce qui concerne l’éducation des enfants, ce dont tiennent compte à la fois la législation et la politique du Ministère.</w:t>
      </w:r>
    </w:p>
    <w:p w:rsidR="00222EB4" w:rsidRDefault="006D3AA3" w:rsidP="005D7B68">
      <w:pPr>
        <w:tabs>
          <w:tab w:val="left" w:pos="567"/>
          <w:tab w:val="left" w:pos="1134"/>
          <w:tab w:val="left" w:pos="1701"/>
          <w:tab w:val="left" w:pos="2268"/>
          <w:tab w:val="left" w:pos="2835"/>
        </w:tabs>
        <w:rPr>
          <w:b/>
          <w:bCs/>
          <w:lang w:val="fr-FR"/>
        </w:rPr>
      </w:pPr>
      <w:r>
        <w:rPr>
          <w:b/>
          <w:bCs/>
          <w:lang w:val="fr-FR"/>
        </w:rPr>
        <w:t>Programme pour les mères et les enfants</w:t>
      </w:r>
    </w:p>
    <w:p w:rsidR="006D3AA3" w:rsidRDefault="00A55761" w:rsidP="005D7B68">
      <w:pPr>
        <w:tabs>
          <w:tab w:val="left" w:pos="567"/>
          <w:tab w:val="left" w:pos="1134"/>
          <w:tab w:val="left" w:pos="1701"/>
          <w:tab w:val="left" w:pos="2268"/>
          <w:tab w:val="left" w:pos="2835"/>
        </w:tabs>
        <w:rPr>
          <w:lang w:val="fr-FR"/>
        </w:rPr>
      </w:pPr>
      <w:r>
        <w:rPr>
          <w:lang w:val="fr-FR"/>
        </w:rPr>
        <w:t>453</w:t>
      </w:r>
      <w:r w:rsidR="006D3AA3">
        <w:rPr>
          <w:lang w:val="fr-FR"/>
        </w:rPr>
        <w:t>.</w:t>
      </w:r>
      <w:r w:rsidR="006D3AA3">
        <w:rPr>
          <w:lang w:val="fr-FR"/>
        </w:rPr>
        <w:tab/>
        <w:t>Ce programme offre un ensemble d’options aux détenues remplissant les conditions pour en profiter et qui souhaitent exercer des responsabilités parentales importantes tout en purgeant une peine d’emprisonnement, à savoir</w:t>
      </w:r>
      <w:r w:rsidR="00572260">
        <w:rPr>
          <w:lang w:val="fr-FR"/>
        </w:rPr>
        <w:t>:</w:t>
      </w:r>
    </w:p>
    <w:p w:rsidR="006D3AA3" w:rsidRDefault="006D3AA3" w:rsidP="005D7B68">
      <w:pPr>
        <w:tabs>
          <w:tab w:val="left" w:pos="567"/>
          <w:tab w:val="left" w:pos="1134"/>
          <w:tab w:val="left" w:pos="1701"/>
          <w:tab w:val="left" w:pos="2268"/>
          <w:tab w:val="left" w:pos="2835"/>
        </w:tabs>
        <w:rPr>
          <w:lang w:val="fr-FR"/>
        </w:rPr>
      </w:pPr>
      <w:r>
        <w:rPr>
          <w:lang w:val="fr-FR"/>
        </w:rPr>
        <w:tab/>
        <w:t>a)</w:t>
      </w:r>
      <w:r>
        <w:rPr>
          <w:lang w:val="fr-FR"/>
        </w:rPr>
        <w:tab/>
        <w:t xml:space="preserve">Un programme d’autorisation d’absence en application de l’article 26 2) </w:t>
      </w:r>
      <w:r w:rsidRPr="006D3AA3">
        <w:rPr>
          <w:lang w:val="fr-FR"/>
        </w:rPr>
        <w:t>de</w:t>
      </w:r>
      <w:r>
        <w:rPr>
          <w:lang w:val="fr-FR"/>
        </w:rPr>
        <w:t xml:space="preserve"> la </w:t>
      </w:r>
      <w:r w:rsidRPr="009017AA">
        <w:rPr>
          <w:lang w:val="fr-FR"/>
        </w:rPr>
        <w:t>loi de 1999 sur les infractions pénales (</w:t>
      </w:r>
      <w:r w:rsidR="00A87766" w:rsidRPr="009017AA">
        <w:rPr>
          <w:lang w:val="fr-FR"/>
        </w:rPr>
        <w:t>administration des peines)</w:t>
      </w:r>
      <w:r w:rsidR="00A87766">
        <w:rPr>
          <w:lang w:val="fr-FR"/>
        </w:rPr>
        <w:t xml:space="preserve">, dans le cadre duquel une détenue peut être relâchée pour purger le reste de </w:t>
      </w:r>
      <w:r w:rsidR="009017AA">
        <w:rPr>
          <w:lang w:val="fr-FR"/>
        </w:rPr>
        <w:t>sa peine au sein de la communau</w:t>
      </w:r>
      <w:r w:rsidR="009F39F2">
        <w:rPr>
          <w:lang w:val="fr-FR"/>
        </w:rPr>
        <w:t>té en s’occupant de ses enfants;</w:t>
      </w:r>
    </w:p>
    <w:p w:rsidR="006856AF" w:rsidRDefault="00A87766" w:rsidP="005D7B68">
      <w:pPr>
        <w:tabs>
          <w:tab w:val="left" w:pos="567"/>
          <w:tab w:val="left" w:pos="1134"/>
          <w:tab w:val="left" w:pos="1701"/>
          <w:tab w:val="left" w:pos="2268"/>
          <w:tab w:val="left" w:pos="2835"/>
        </w:tabs>
        <w:rPr>
          <w:lang w:val="fr-FR"/>
        </w:rPr>
      </w:pPr>
      <w:r>
        <w:rPr>
          <w:lang w:val="fr-FR"/>
        </w:rPr>
        <w:tab/>
        <w:t>b)</w:t>
      </w:r>
      <w:r>
        <w:rPr>
          <w:lang w:val="fr-FR"/>
        </w:rPr>
        <w:tab/>
        <w:t>Programme en institution à plein temps</w:t>
      </w:r>
      <w:r w:rsidR="00572260">
        <w:rPr>
          <w:lang w:val="fr-FR"/>
        </w:rPr>
        <w:t>:</w:t>
      </w:r>
      <w:r>
        <w:rPr>
          <w:lang w:val="fr-FR"/>
        </w:rPr>
        <w:t xml:space="preserve"> </w:t>
      </w:r>
      <w:r w:rsidR="00A83945">
        <w:rPr>
          <w:lang w:val="fr-FR"/>
        </w:rPr>
        <w:t xml:space="preserve">cette option permet aux enfants de résider à plein temps avec </w:t>
      </w:r>
      <w:r w:rsidR="009017AA">
        <w:rPr>
          <w:lang w:val="fr-FR"/>
        </w:rPr>
        <w:t xml:space="preserve">la personne qui s’occupe d’eux </w:t>
      </w:r>
      <w:r w:rsidR="00A83945">
        <w:rPr>
          <w:lang w:val="fr-FR"/>
        </w:rPr>
        <w:t>dans le Centre de détention de Emu Plains, Jacaranda Cottages</w:t>
      </w:r>
      <w:r w:rsidR="008D6B80">
        <w:rPr>
          <w:lang w:val="fr-FR"/>
        </w:rPr>
        <w:t xml:space="preserve">. </w:t>
      </w:r>
      <w:r w:rsidR="00A83945">
        <w:rPr>
          <w:lang w:val="fr-FR"/>
        </w:rPr>
        <w:t xml:space="preserve">Les femmes qui participent à ce programme ont la possibilité d’aller ensuite au Centre </w:t>
      </w:r>
      <w:r w:rsidR="006856AF">
        <w:rPr>
          <w:lang w:val="fr-FR"/>
        </w:rPr>
        <w:t>de transition de Parramatta avec leurs enfants</w:t>
      </w:r>
      <w:r w:rsidR="008D6B80">
        <w:rPr>
          <w:lang w:val="fr-FR"/>
        </w:rPr>
        <w:t xml:space="preserve">. </w:t>
      </w:r>
      <w:r w:rsidR="006856AF">
        <w:rPr>
          <w:lang w:val="fr-FR"/>
        </w:rPr>
        <w:t>Les enf</w:t>
      </w:r>
      <w:r w:rsidR="009F39F2">
        <w:rPr>
          <w:lang w:val="fr-FR"/>
        </w:rPr>
        <w:t>ants doivent être âgés de 0 à 6 </w:t>
      </w:r>
      <w:r w:rsidR="006856AF">
        <w:rPr>
          <w:lang w:val="fr-FR"/>
        </w:rPr>
        <w:t xml:space="preserve">ans ou </w:t>
      </w:r>
      <w:r w:rsidR="009017AA">
        <w:rPr>
          <w:lang w:val="fr-FR"/>
        </w:rPr>
        <w:t xml:space="preserve">être </w:t>
      </w:r>
      <w:r w:rsidR="009F39F2">
        <w:rPr>
          <w:lang w:val="fr-FR"/>
        </w:rPr>
        <w:t>à l’âge scolaire;</w:t>
      </w:r>
    </w:p>
    <w:p w:rsidR="006856AF" w:rsidRDefault="006856AF" w:rsidP="005D7B68">
      <w:pPr>
        <w:tabs>
          <w:tab w:val="left" w:pos="567"/>
          <w:tab w:val="left" w:pos="1134"/>
          <w:tab w:val="left" w:pos="1701"/>
          <w:tab w:val="left" w:pos="2268"/>
          <w:tab w:val="left" w:pos="2835"/>
        </w:tabs>
        <w:rPr>
          <w:lang w:val="fr-FR"/>
        </w:rPr>
      </w:pPr>
      <w:r>
        <w:rPr>
          <w:lang w:val="fr-FR"/>
        </w:rPr>
        <w:tab/>
        <w:t>c)</w:t>
      </w:r>
      <w:r>
        <w:rPr>
          <w:lang w:val="fr-FR"/>
        </w:rPr>
        <w:tab/>
        <w:t>Programme de résidence intermittente</w:t>
      </w:r>
      <w:r w:rsidR="00572260">
        <w:rPr>
          <w:lang w:val="fr-FR"/>
        </w:rPr>
        <w:t>:</w:t>
      </w:r>
      <w:r>
        <w:rPr>
          <w:lang w:val="fr-FR"/>
        </w:rPr>
        <w:t xml:space="preserve"> les enfants peuvent résider à temps partiel avec la personne qui s’occupe d’eux soit en milieu de semaine, soit pendant les week-ends et pendant les vacances scolaires</w:t>
      </w:r>
      <w:r w:rsidR="008D6B80">
        <w:rPr>
          <w:lang w:val="fr-FR"/>
        </w:rPr>
        <w:t xml:space="preserve">. </w:t>
      </w:r>
      <w:r>
        <w:rPr>
          <w:lang w:val="fr-FR"/>
        </w:rPr>
        <w:t xml:space="preserve">Ils </w:t>
      </w:r>
      <w:r w:rsidR="009F39F2">
        <w:rPr>
          <w:lang w:val="fr-FR"/>
        </w:rPr>
        <w:t>doivent être âgés de 0 à 12 ans;</w:t>
      </w:r>
    </w:p>
    <w:p w:rsidR="00A87766" w:rsidRDefault="006856AF" w:rsidP="005D7B68">
      <w:pPr>
        <w:tabs>
          <w:tab w:val="left" w:pos="567"/>
          <w:tab w:val="left" w:pos="1134"/>
          <w:tab w:val="left" w:pos="1701"/>
          <w:tab w:val="left" w:pos="2268"/>
          <w:tab w:val="left" w:pos="2835"/>
        </w:tabs>
        <w:rPr>
          <w:lang w:val="fr-FR"/>
        </w:rPr>
      </w:pPr>
      <w:r>
        <w:rPr>
          <w:lang w:val="fr-FR"/>
        </w:rPr>
        <w:tab/>
        <w:t>d)</w:t>
      </w:r>
      <w:r>
        <w:rPr>
          <w:lang w:val="fr-FR"/>
        </w:rPr>
        <w:tab/>
        <w:t>Visites spécial</w:t>
      </w:r>
      <w:r w:rsidR="009017AA">
        <w:rPr>
          <w:lang w:val="fr-FR"/>
        </w:rPr>
        <w:t>es d’une journée</w:t>
      </w:r>
      <w:r w:rsidR="00572260">
        <w:rPr>
          <w:lang w:val="fr-FR"/>
        </w:rPr>
        <w:t>:</w:t>
      </w:r>
      <w:r w:rsidR="009017AA">
        <w:rPr>
          <w:lang w:val="fr-FR"/>
        </w:rPr>
        <w:t xml:space="preserve"> cette option</w:t>
      </w:r>
      <w:r>
        <w:rPr>
          <w:lang w:val="fr-FR"/>
        </w:rPr>
        <w:t xml:space="preserve"> permet aux enfants de rester du début de la matinée jusqu’à la fin de l’après-midi avec </w:t>
      </w:r>
      <w:r w:rsidR="007C1589">
        <w:rPr>
          <w:lang w:val="fr-FR"/>
        </w:rPr>
        <w:t xml:space="preserve">la personne qui s’occupe d’eux </w:t>
      </w:r>
      <w:r>
        <w:rPr>
          <w:lang w:val="fr-FR"/>
        </w:rPr>
        <w:t>dans n’importe quel centre de détention</w:t>
      </w:r>
      <w:r w:rsidR="00880A94">
        <w:rPr>
          <w:lang w:val="fr-FR"/>
        </w:rPr>
        <w:t xml:space="preserve"> où se trouvent des détenues</w:t>
      </w:r>
      <w:r w:rsidR="008D6B80">
        <w:rPr>
          <w:lang w:val="fr-FR"/>
        </w:rPr>
        <w:t xml:space="preserve">. </w:t>
      </w:r>
      <w:r w:rsidR="00880A94">
        <w:rPr>
          <w:lang w:val="fr-FR"/>
        </w:rPr>
        <w:t>L’âge limite est 12 ans</w:t>
      </w:r>
      <w:r w:rsidR="008D6B80">
        <w:rPr>
          <w:lang w:val="fr-FR"/>
        </w:rPr>
        <w:t xml:space="preserve">. </w:t>
      </w:r>
      <w:r w:rsidR="00880A94">
        <w:rPr>
          <w:lang w:val="fr-FR"/>
        </w:rPr>
        <w:t>Des visites à la journée sont autorisées tous les jours (par exemple si l’enfant doit être nourri au sein).</w:t>
      </w:r>
    </w:p>
    <w:p w:rsidR="005E1B58" w:rsidRDefault="005E1B58" w:rsidP="005D7B68">
      <w:pPr>
        <w:tabs>
          <w:tab w:val="left" w:pos="567"/>
          <w:tab w:val="left" w:pos="1134"/>
          <w:tab w:val="left" w:pos="1701"/>
          <w:tab w:val="left" w:pos="2268"/>
          <w:tab w:val="left" w:pos="2835"/>
        </w:tabs>
        <w:rPr>
          <w:b/>
          <w:bCs/>
          <w:lang w:val="fr-FR"/>
        </w:rPr>
      </w:pPr>
      <w:r>
        <w:rPr>
          <w:b/>
          <w:bCs/>
          <w:lang w:val="fr-FR"/>
        </w:rPr>
        <w:t>Autochtones</w:t>
      </w:r>
    </w:p>
    <w:p w:rsidR="005E1B58" w:rsidRDefault="005E1B58" w:rsidP="005D7B68">
      <w:pPr>
        <w:tabs>
          <w:tab w:val="left" w:pos="567"/>
          <w:tab w:val="left" w:pos="1134"/>
          <w:tab w:val="left" w:pos="1701"/>
          <w:tab w:val="left" w:pos="2268"/>
          <w:tab w:val="left" w:pos="2835"/>
        </w:tabs>
        <w:rPr>
          <w:b/>
          <w:bCs/>
          <w:lang w:val="fr-FR"/>
        </w:rPr>
      </w:pPr>
      <w:r>
        <w:rPr>
          <w:b/>
          <w:bCs/>
          <w:lang w:val="fr-FR"/>
        </w:rPr>
        <w:t>Comités de détenus aborigènes</w:t>
      </w:r>
      <w:r w:rsidR="003C6569">
        <w:rPr>
          <w:b/>
          <w:bCs/>
          <w:lang w:val="fr-FR"/>
        </w:rPr>
        <w:t xml:space="preserve"> (</w:t>
      </w:r>
      <w:r w:rsidR="003C6569">
        <w:rPr>
          <w:b/>
          <w:bCs/>
          <w:i/>
          <w:iCs/>
          <w:lang w:val="fr-FR"/>
        </w:rPr>
        <w:t>Aboriginal Inmate</w:t>
      </w:r>
      <w:r w:rsidR="003C6569" w:rsidRPr="003C6569">
        <w:rPr>
          <w:b/>
          <w:bCs/>
          <w:i/>
          <w:iCs/>
          <w:lang w:val="fr-FR"/>
        </w:rPr>
        <w:t xml:space="preserve"> Committees</w:t>
      </w:r>
      <w:r w:rsidR="003C6569">
        <w:rPr>
          <w:b/>
          <w:bCs/>
          <w:lang w:val="fr-FR"/>
        </w:rPr>
        <w:t xml:space="preserve"> </w:t>
      </w:r>
      <w:r w:rsidR="009F39F2">
        <w:rPr>
          <w:b/>
          <w:bCs/>
          <w:lang w:val="fr-FR"/>
        </w:rPr>
        <w:t>–</w:t>
      </w:r>
      <w:r w:rsidR="003C6569">
        <w:rPr>
          <w:b/>
          <w:bCs/>
          <w:lang w:val="fr-FR"/>
        </w:rPr>
        <w:t xml:space="preserve"> AIC)</w:t>
      </w:r>
    </w:p>
    <w:p w:rsidR="005E1B58" w:rsidRDefault="00A55761" w:rsidP="005D7B68">
      <w:pPr>
        <w:tabs>
          <w:tab w:val="left" w:pos="567"/>
          <w:tab w:val="left" w:pos="1134"/>
          <w:tab w:val="left" w:pos="1701"/>
          <w:tab w:val="left" w:pos="2268"/>
          <w:tab w:val="left" w:pos="2835"/>
        </w:tabs>
        <w:rPr>
          <w:lang w:val="fr-FR"/>
        </w:rPr>
      </w:pPr>
      <w:r>
        <w:rPr>
          <w:lang w:val="fr-FR"/>
        </w:rPr>
        <w:t>454</w:t>
      </w:r>
      <w:r w:rsidR="005E1B58">
        <w:rPr>
          <w:lang w:val="fr-FR"/>
        </w:rPr>
        <w:t>.</w:t>
      </w:r>
      <w:r w:rsidR="005E1B58">
        <w:rPr>
          <w:lang w:val="fr-FR"/>
        </w:rPr>
        <w:tab/>
        <w:t>Á la suite d’une recommandation de la</w:t>
      </w:r>
      <w:r w:rsidR="00726012">
        <w:rPr>
          <w:lang w:val="fr-FR"/>
        </w:rPr>
        <w:t xml:space="preserve"> Commission royale sur les décès d’aborigènes pendant leur</w:t>
      </w:r>
      <w:r w:rsidR="005E1B58">
        <w:rPr>
          <w:lang w:val="fr-FR"/>
        </w:rPr>
        <w:t xml:space="preserve"> détention, des comités de détenus aborigènes ont été créés dans les centres de détention</w:t>
      </w:r>
      <w:r w:rsidR="008D6B80">
        <w:rPr>
          <w:lang w:val="fr-FR"/>
        </w:rPr>
        <w:t xml:space="preserve">. </w:t>
      </w:r>
      <w:r w:rsidR="005E1B58">
        <w:rPr>
          <w:lang w:val="fr-FR"/>
        </w:rPr>
        <w:t xml:space="preserve">Il s’agit d’organismes élus de détenus qui font partie intégrante de l’administration de </w:t>
      </w:r>
      <w:r w:rsidR="007C1589">
        <w:rPr>
          <w:lang w:val="fr-FR"/>
        </w:rPr>
        <w:t>ces centres</w:t>
      </w:r>
      <w:r w:rsidR="008D6B80">
        <w:rPr>
          <w:lang w:val="fr-FR"/>
        </w:rPr>
        <w:t xml:space="preserve">. </w:t>
      </w:r>
      <w:r w:rsidR="007C1589">
        <w:rPr>
          <w:lang w:val="fr-FR"/>
        </w:rPr>
        <w:t>L’existence desdits</w:t>
      </w:r>
      <w:r w:rsidR="005E1B58">
        <w:rPr>
          <w:lang w:val="fr-FR"/>
        </w:rPr>
        <w:t xml:space="preserve"> comités témoigne de </w:t>
      </w:r>
      <w:r w:rsidR="00795E6D">
        <w:rPr>
          <w:lang w:val="fr-FR"/>
        </w:rPr>
        <w:t>la ferme volonté du Ministère</w:t>
      </w:r>
      <w:r w:rsidR="005E1B58">
        <w:rPr>
          <w:lang w:val="fr-FR"/>
        </w:rPr>
        <w:t xml:space="preserve"> d’appuyer et de préserver le droit des détenus aborigènes de discuter des problèmes relatifs à leur détention et de les résoudre avec la direction.</w:t>
      </w:r>
    </w:p>
    <w:p w:rsidR="00004890" w:rsidRDefault="00A55761" w:rsidP="005D7B68">
      <w:pPr>
        <w:tabs>
          <w:tab w:val="left" w:pos="567"/>
          <w:tab w:val="left" w:pos="1134"/>
          <w:tab w:val="left" w:pos="1701"/>
          <w:tab w:val="left" w:pos="2268"/>
          <w:tab w:val="left" w:pos="2835"/>
        </w:tabs>
        <w:rPr>
          <w:lang w:val="fr-FR"/>
        </w:rPr>
      </w:pPr>
      <w:r>
        <w:rPr>
          <w:lang w:val="fr-FR"/>
        </w:rPr>
        <w:t>455</w:t>
      </w:r>
      <w:r w:rsidR="00FC529B">
        <w:rPr>
          <w:lang w:val="fr-FR"/>
        </w:rPr>
        <w:t>.</w:t>
      </w:r>
      <w:r w:rsidR="00FC529B">
        <w:rPr>
          <w:lang w:val="fr-FR"/>
        </w:rPr>
        <w:tab/>
        <w:t>Les représentants des détenus, dans ces comités, facilitent la communication entre le personnel et les détenus aborigènes pour tout ce qui concerne les prescriptions, la politique et les procédures en matière de détention, les problèmes et les besoins culturels des aborigènes, et l’aide à leur apporter d’une manière générale</w:t>
      </w:r>
      <w:r w:rsidR="008D6B80">
        <w:rPr>
          <w:lang w:val="fr-FR"/>
        </w:rPr>
        <w:t xml:space="preserve">. </w:t>
      </w:r>
      <w:r w:rsidR="00FC529B">
        <w:rPr>
          <w:lang w:val="fr-FR"/>
        </w:rPr>
        <w:t>Ils peuvent communiquer avec les nouveaux détenus aborigènes et élaborer un programme d’accueil des aborigènes dont peuvent profiter tous les nouveaux arrivants dès leur entr</w:t>
      </w:r>
      <w:r w:rsidR="00675A28">
        <w:rPr>
          <w:lang w:val="fr-FR"/>
        </w:rPr>
        <w:t>ée</w:t>
      </w:r>
      <w:r w:rsidR="008D6B80">
        <w:rPr>
          <w:lang w:val="fr-FR"/>
        </w:rPr>
        <w:t xml:space="preserve">. </w:t>
      </w:r>
      <w:r w:rsidR="00675A28">
        <w:rPr>
          <w:lang w:val="fr-FR"/>
        </w:rPr>
        <w:t>Ils peuvent également formuler</w:t>
      </w:r>
      <w:r w:rsidR="00FC529B">
        <w:rPr>
          <w:lang w:val="fr-FR"/>
        </w:rPr>
        <w:t xml:space="preserve"> des recommandatio</w:t>
      </w:r>
      <w:r w:rsidR="00675A28">
        <w:rPr>
          <w:lang w:val="fr-FR"/>
        </w:rPr>
        <w:t>ns à l’intention des</w:t>
      </w:r>
      <w:r w:rsidR="00004890">
        <w:rPr>
          <w:lang w:val="fr-FR"/>
        </w:rPr>
        <w:t xml:space="preserve"> surveillants du quartier</w:t>
      </w:r>
      <w:r w:rsidR="00FC529B">
        <w:rPr>
          <w:lang w:val="fr-FR"/>
        </w:rPr>
        <w:t xml:space="preserve"> en question ou à d’autres surveillants concernant les besoins</w:t>
      </w:r>
      <w:r w:rsidR="008C4B98">
        <w:rPr>
          <w:lang w:val="fr-FR"/>
        </w:rPr>
        <w:t xml:space="preserve"> des nouveaux arrivants, surtout s’ils ont des problèmes de s</w:t>
      </w:r>
      <w:r w:rsidR="00004890">
        <w:rPr>
          <w:lang w:val="fr-FR"/>
        </w:rPr>
        <w:t>anté physique ou mentale, et</w:t>
      </w:r>
      <w:r w:rsidR="009F39F2">
        <w:rPr>
          <w:lang w:val="fr-FR"/>
        </w:rPr>
        <w:t> </w:t>
      </w:r>
      <w:r w:rsidR="00004890">
        <w:rPr>
          <w:lang w:val="fr-FR"/>
        </w:rPr>
        <w:t>au responsable du secteur au sujet d’autres aborigènes pouvant avoir des problèmes susceptible</w:t>
      </w:r>
      <w:r w:rsidR="009017AA">
        <w:rPr>
          <w:lang w:val="fr-FR"/>
        </w:rPr>
        <w:t>s</w:t>
      </w:r>
      <w:r w:rsidR="00004890">
        <w:rPr>
          <w:lang w:val="fr-FR"/>
        </w:rPr>
        <w:t xml:space="preserve"> de leur causer des troubles physiques ou mentaux.</w:t>
      </w:r>
    </w:p>
    <w:p w:rsidR="00FC529B" w:rsidRDefault="00A55761" w:rsidP="005D7B68">
      <w:pPr>
        <w:tabs>
          <w:tab w:val="left" w:pos="567"/>
          <w:tab w:val="left" w:pos="1134"/>
          <w:tab w:val="left" w:pos="1701"/>
          <w:tab w:val="left" w:pos="2268"/>
          <w:tab w:val="left" w:pos="2835"/>
        </w:tabs>
        <w:rPr>
          <w:lang w:val="fr-FR"/>
        </w:rPr>
      </w:pPr>
      <w:r>
        <w:rPr>
          <w:lang w:val="fr-FR"/>
        </w:rPr>
        <w:t>456</w:t>
      </w:r>
      <w:r w:rsidR="00004890">
        <w:rPr>
          <w:lang w:val="fr-FR"/>
        </w:rPr>
        <w:t>.</w:t>
      </w:r>
      <w:r w:rsidR="00004890">
        <w:rPr>
          <w:lang w:val="fr-FR"/>
        </w:rPr>
        <w:tab/>
        <w:t>Les représentants des détenus sont autorisés à partager la cellule de détenus aborigènes sou</w:t>
      </w:r>
      <w:r w:rsidR="009017AA">
        <w:rPr>
          <w:lang w:val="fr-FR"/>
        </w:rPr>
        <w:t>f</w:t>
      </w:r>
      <w:r w:rsidR="00004890">
        <w:rPr>
          <w:lang w:val="fr-FR"/>
        </w:rPr>
        <w:t>frant d’un traumatisme, d’une dépression, ou susceptibles de s’automutiler</w:t>
      </w:r>
      <w:r w:rsidR="00FC529B">
        <w:rPr>
          <w:lang w:val="fr-FR"/>
        </w:rPr>
        <w:t xml:space="preserve"> </w:t>
      </w:r>
      <w:r w:rsidR="00004890">
        <w:rPr>
          <w:lang w:val="fr-FR"/>
        </w:rPr>
        <w:t>jusqu’à ce que la crise soit passée ou qu’une autre intervention ait lieu.</w:t>
      </w:r>
    </w:p>
    <w:p w:rsidR="00004890" w:rsidRDefault="00A55761" w:rsidP="005D7B68">
      <w:pPr>
        <w:tabs>
          <w:tab w:val="left" w:pos="567"/>
          <w:tab w:val="left" w:pos="1134"/>
          <w:tab w:val="left" w:pos="1701"/>
          <w:tab w:val="left" w:pos="2268"/>
          <w:tab w:val="left" w:pos="2835"/>
        </w:tabs>
        <w:rPr>
          <w:lang w:val="fr-FR"/>
        </w:rPr>
      </w:pPr>
      <w:r>
        <w:rPr>
          <w:lang w:val="fr-FR"/>
        </w:rPr>
        <w:t>457</w:t>
      </w:r>
      <w:r w:rsidR="00004890">
        <w:rPr>
          <w:lang w:val="fr-FR"/>
        </w:rPr>
        <w:t>.</w:t>
      </w:r>
      <w:r w:rsidR="00004890">
        <w:rPr>
          <w:lang w:val="fr-FR"/>
        </w:rPr>
        <w:tab/>
        <w:t>Les comités de détenus aborigènes exercent les responsabilités ci-après</w:t>
      </w:r>
      <w:r w:rsidR="00572260">
        <w:rPr>
          <w:lang w:val="fr-FR"/>
        </w:rPr>
        <w:t>:</w:t>
      </w:r>
    </w:p>
    <w:p w:rsidR="00004890" w:rsidRDefault="009017AA" w:rsidP="005D7B68">
      <w:pPr>
        <w:tabs>
          <w:tab w:val="left" w:pos="567"/>
          <w:tab w:val="left" w:pos="1134"/>
          <w:tab w:val="left" w:pos="1701"/>
          <w:tab w:val="left" w:pos="2268"/>
          <w:tab w:val="left" w:pos="2835"/>
        </w:tabs>
        <w:rPr>
          <w:lang w:val="fr-FR"/>
        </w:rPr>
      </w:pPr>
      <w:r>
        <w:rPr>
          <w:lang w:val="fr-FR"/>
        </w:rPr>
        <w:tab/>
        <w:t>a)</w:t>
      </w:r>
      <w:r>
        <w:rPr>
          <w:lang w:val="fr-FR"/>
        </w:rPr>
        <w:tab/>
        <w:t>R</w:t>
      </w:r>
      <w:r w:rsidR="00004890">
        <w:rPr>
          <w:lang w:val="fr-FR"/>
        </w:rPr>
        <w:t xml:space="preserve">ecenser et porter à l’attention de la direction du centre de détention tous les problèmes liés à l’entretien </w:t>
      </w:r>
      <w:r w:rsidR="008317E1">
        <w:rPr>
          <w:lang w:val="fr-FR"/>
        </w:rPr>
        <w:t>des</w:t>
      </w:r>
      <w:r w:rsidR="00004890">
        <w:rPr>
          <w:lang w:val="fr-FR"/>
        </w:rPr>
        <w:t xml:space="preserve"> espaces d’activité</w:t>
      </w:r>
      <w:r w:rsidR="008317E1">
        <w:rPr>
          <w:lang w:val="fr-FR"/>
        </w:rPr>
        <w:t xml:space="preserve"> et aux services qui les concernent</w:t>
      </w:r>
      <w:r w:rsidR="00572260">
        <w:rPr>
          <w:lang w:val="fr-FR"/>
        </w:rPr>
        <w:t>;</w:t>
      </w:r>
    </w:p>
    <w:p w:rsidR="008317E1" w:rsidRDefault="009017AA" w:rsidP="005D7B68">
      <w:pPr>
        <w:tabs>
          <w:tab w:val="left" w:pos="567"/>
          <w:tab w:val="left" w:pos="1134"/>
          <w:tab w:val="left" w:pos="1701"/>
          <w:tab w:val="left" w:pos="2268"/>
          <w:tab w:val="left" w:pos="2835"/>
        </w:tabs>
        <w:rPr>
          <w:lang w:val="fr-FR"/>
        </w:rPr>
      </w:pPr>
      <w:r>
        <w:rPr>
          <w:lang w:val="fr-FR"/>
        </w:rPr>
        <w:tab/>
        <w:t>b)</w:t>
      </w:r>
      <w:r>
        <w:rPr>
          <w:lang w:val="fr-FR"/>
        </w:rPr>
        <w:tab/>
        <w:t>R</w:t>
      </w:r>
      <w:r w:rsidR="008317E1">
        <w:rPr>
          <w:lang w:val="fr-FR"/>
        </w:rPr>
        <w:t>ecenser et porte</w:t>
      </w:r>
      <w:r>
        <w:rPr>
          <w:lang w:val="fr-FR"/>
        </w:rPr>
        <w:t xml:space="preserve">r à l’attention </w:t>
      </w:r>
      <w:r w:rsidR="008317E1">
        <w:rPr>
          <w:lang w:val="fr-FR"/>
        </w:rPr>
        <w:t>de la direction du centre de détention les problèmes concernant l’emploi, l’éducation, les loisirs, les contacts avec la famille et les programmes de développement des détenus</w:t>
      </w:r>
      <w:r w:rsidR="00572260">
        <w:rPr>
          <w:lang w:val="fr-FR"/>
        </w:rPr>
        <w:t>;</w:t>
      </w:r>
    </w:p>
    <w:p w:rsidR="008317E1" w:rsidRDefault="009017AA" w:rsidP="005D7B68">
      <w:pPr>
        <w:tabs>
          <w:tab w:val="left" w:pos="567"/>
          <w:tab w:val="left" w:pos="1134"/>
          <w:tab w:val="left" w:pos="1701"/>
          <w:tab w:val="left" w:pos="2268"/>
          <w:tab w:val="left" w:pos="2835"/>
        </w:tabs>
        <w:rPr>
          <w:lang w:val="fr-FR"/>
        </w:rPr>
      </w:pPr>
      <w:r>
        <w:rPr>
          <w:lang w:val="fr-FR"/>
        </w:rPr>
        <w:tab/>
        <w:t>c)</w:t>
      </w:r>
      <w:r>
        <w:rPr>
          <w:lang w:val="fr-FR"/>
        </w:rPr>
        <w:tab/>
        <w:t>D</w:t>
      </w:r>
      <w:r w:rsidR="008317E1">
        <w:rPr>
          <w:lang w:val="fr-FR"/>
        </w:rPr>
        <w:t>onner des informations en retour aux détenus sur toutes les questions traitées au cours des réunions du comité</w:t>
      </w:r>
      <w:r w:rsidR="00572260">
        <w:rPr>
          <w:lang w:val="fr-FR"/>
        </w:rPr>
        <w:t>;</w:t>
      </w:r>
    </w:p>
    <w:p w:rsidR="008317E1" w:rsidRDefault="009017AA" w:rsidP="005D7B68">
      <w:pPr>
        <w:tabs>
          <w:tab w:val="left" w:pos="567"/>
          <w:tab w:val="left" w:pos="1134"/>
          <w:tab w:val="left" w:pos="1701"/>
          <w:tab w:val="left" w:pos="2268"/>
          <w:tab w:val="left" w:pos="2835"/>
        </w:tabs>
        <w:rPr>
          <w:lang w:val="fr-FR"/>
        </w:rPr>
      </w:pPr>
      <w:r>
        <w:rPr>
          <w:lang w:val="fr-FR"/>
        </w:rPr>
        <w:tab/>
        <w:t>d)</w:t>
      </w:r>
      <w:r>
        <w:rPr>
          <w:lang w:val="fr-FR"/>
        </w:rPr>
        <w:tab/>
        <w:t>Do</w:t>
      </w:r>
      <w:r w:rsidR="008317E1">
        <w:rPr>
          <w:lang w:val="fr-FR"/>
        </w:rPr>
        <w:t>nner des renseignements pertinents et intéressants sur des points spécifiques qui peuvent leur être demandés de temps à autre par le directeur</w:t>
      </w:r>
      <w:r w:rsidR="00572260">
        <w:rPr>
          <w:lang w:val="fr-FR"/>
        </w:rPr>
        <w:t>;</w:t>
      </w:r>
      <w:r w:rsidR="008317E1">
        <w:rPr>
          <w:lang w:val="fr-FR"/>
        </w:rPr>
        <w:t xml:space="preserve"> et</w:t>
      </w:r>
    </w:p>
    <w:p w:rsidR="008317E1" w:rsidRDefault="009017AA" w:rsidP="005D7B68">
      <w:pPr>
        <w:tabs>
          <w:tab w:val="left" w:pos="567"/>
          <w:tab w:val="left" w:pos="1134"/>
          <w:tab w:val="left" w:pos="1701"/>
          <w:tab w:val="left" w:pos="2268"/>
          <w:tab w:val="left" w:pos="2835"/>
        </w:tabs>
        <w:rPr>
          <w:lang w:val="fr-FR"/>
        </w:rPr>
      </w:pPr>
      <w:r>
        <w:rPr>
          <w:lang w:val="fr-FR"/>
        </w:rPr>
        <w:tab/>
        <w:t>e)</w:t>
      </w:r>
      <w:r>
        <w:rPr>
          <w:lang w:val="fr-FR"/>
        </w:rPr>
        <w:tab/>
        <w:t>F</w:t>
      </w:r>
      <w:r w:rsidR="008317E1">
        <w:rPr>
          <w:lang w:val="fr-FR"/>
        </w:rPr>
        <w:t>aire part des préoccupations ou des problèmes de tel ou tel détenu à l’interlocuteur compétent, à savoir les responsables ou les surveillants des quartiers ou tout autre membre approprié du personnel, le directeur, le visiteur officiel, le Médiateur ou le Ministre.</w:t>
      </w:r>
    </w:p>
    <w:p w:rsidR="008317E1" w:rsidRDefault="008317E1" w:rsidP="005D7B68">
      <w:pPr>
        <w:tabs>
          <w:tab w:val="left" w:pos="567"/>
          <w:tab w:val="left" w:pos="1134"/>
          <w:tab w:val="left" w:pos="1701"/>
          <w:tab w:val="left" w:pos="2268"/>
          <w:tab w:val="left" w:pos="2835"/>
        </w:tabs>
        <w:rPr>
          <w:b/>
          <w:bCs/>
          <w:lang w:val="fr-FR"/>
        </w:rPr>
      </w:pPr>
      <w:r>
        <w:rPr>
          <w:b/>
          <w:bCs/>
          <w:lang w:val="fr-FR"/>
        </w:rPr>
        <w:t>Autres mesures</w:t>
      </w:r>
    </w:p>
    <w:p w:rsidR="00E54A76" w:rsidRPr="00065483" w:rsidRDefault="00A55761" w:rsidP="005D7B68">
      <w:pPr>
        <w:tabs>
          <w:tab w:val="left" w:pos="567"/>
          <w:tab w:val="left" w:pos="1134"/>
          <w:tab w:val="left" w:pos="1701"/>
          <w:tab w:val="left" w:pos="2268"/>
          <w:tab w:val="left" w:pos="2835"/>
        </w:tabs>
        <w:rPr>
          <w:b/>
          <w:bCs/>
          <w:lang w:val="fr-FR"/>
        </w:rPr>
      </w:pPr>
      <w:r>
        <w:rPr>
          <w:lang w:val="fr-FR"/>
        </w:rPr>
        <w:t>458</w:t>
      </w:r>
      <w:r w:rsidR="008317E1">
        <w:rPr>
          <w:lang w:val="fr-FR"/>
        </w:rPr>
        <w:t>.</w:t>
      </w:r>
      <w:r w:rsidR="008317E1">
        <w:rPr>
          <w:lang w:val="fr-FR"/>
        </w:rPr>
        <w:tab/>
        <w:t xml:space="preserve">Au cours du processus d’accueil, </w:t>
      </w:r>
      <w:r w:rsidR="00E54A76">
        <w:rPr>
          <w:lang w:val="fr-FR"/>
        </w:rPr>
        <w:t>on demande aux</w:t>
      </w:r>
      <w:r w:rsidR="008317E1">
        <w:rPr>
          <w:lang w:val="fr-FR"/>
        </w:rPr>
        <w:t xml:space="preserve"> détenus</w:t>
      </w:r>
      <w:r w:rsidR="00E54A76">
        <w:rPr>
          <w:lang w:val="fr-FR"/>
        </w:rPr>
        <w:t xml:space="preserve"> d’indiquer, le cas échéant, qu’ils sont aborigènes, ce qui permettra à l’Unité des services pour les aborigènes d’effectuer une prise </w:t>
      </w:r>
      <w:r w:rsidR="00AC5BF3">
        <w:rPr>
          <w:lang w:val="fr-FR"/>
        </w:rPr>
        <w:t xml:space="preserve">en charge </w:t>
      </w:r>
      <w:r w:rsidR="00E54A76">
        <w:rPr>
          <w:lang w:val="fr-FR"/>
        </w:rPr>
        <w:t>appropriée de leur cas.</w:t>
      </w:r>
    </w:p>
    <w:p w:rsidR="00065483" w:rsidRDefault="00A55761" w:rsidP="005D7B68">
      <w:pPr>
        <w:tabs>
          <w:tab w:val="left" w:pos="567"/>
          <w:tab w:val="left" w:pos="1134"/>
          <w:tab w:val="left" w:pos="1701"/>
          <w:tab w:val="left" w:pos="2268"/>
          <w:tab w:val="left" w:pos="2835"/>
        </w:tabs>
        <w:rPr>
          <w:lang w:val="fr-FR"/>
        </w:rPr>
      </w:pPr>
      <w:r>
        <w:rPr>
          <w:lang w:val="fr-FR"/>
        </w:rPr>
        <w:t>459</w:t>
      </w:r>
      <w:r w:rsidR="00E54A76">
        <w:rPr>
          <w:lang w:val="fr-FR"/>
        </w:rPr>
        <w:t>.</w:t>
      </w:r>
      <w:r w:rsidR="00E54A76">
        <w:rPr>
          <w:lang w:val="fr-FR"/>
        </w:rPr>
        <w:tab/>
        <w:t>Outre les visites autorisées habituelles, les détenus aborigènes peuvent recevoir celle d’un fonctionnaire de terrain du Service juridique aborigène ou de toute autre organisation qui apporte une aide juridique ou autre au aborigènes, et est agréée par le Commi</w:t>
      </w:r>
      <w:r w:rsidR="00065483">
        <w:rPr>
          <w:lang w:val="fr-FR"/>
        </w:rPr>
        <w:t>ssaire</w:t>
      </w:r>
      <w:r w:rsidR="00572260">
        <w:rPr>
          <w:lang w:val="fr-FR"/>
        </w:rPr>
        <w:t>:</w:t>
      </w:r>
      <w:r w:rsidR="00065483">
        <w:rPr>
          <w:lang w:val="fr-FR"/>
        </w:rPr>
        <w:t xml:space="preserve"> clause 83 du règlement.</w:t>
      </w:r>
    </w:p>
    <w:p w:rsidR="008317E1" w:rsidRDefault="008317E1" w:rsidP="005D7B68">
      <w:pPr>
        <w:tabs>
          <w:tab w:val="left" w:pos="567"/>
          <w:tab w:val="left" w:pos="1134"/>
          <w:tab w:val="left" w:pos="1701"/>
          <w:tab w:val="left" w:pos="2268"/>
          <w:tab w:val="left" w:pos="2835"/>
        </w:tabs>
        <w:rPr>
          <w:b/>
          <w:bCs/>
          <w:lang w:val="fr-FR"/>
        </w:rPr>
      </w:pPr>
      <w:r>
        <w:rPr>
          <w:lang w:val="fr-FR"/>
        </w:rPr>
        <w:t xml:space="preserve"> </w:t>
      </w:r>
      <w:r w:rsidR="00065483">
        <w:rPr>
          <w:b/>
          <w:bCs/>
          <w:lang w:val="fr-FR"/>
        </w:rPr>
        <w:t>Service d’appui et de planification en faveur des aborigènes</w:t>
      </w:r>
    </w:p>
    <w:p w:rsidR="00065483" w:rsidRPr="00065483" w:rsidRDefault="00065483" w:rsidP="005D7B68">
      <w:pPr>
        <w:tabs>
          <w:tab w:val="left" w:pos="567"/>
          <w:tab w:val="left" w:pos="1134"/>
          <w:tab w:val="left" w:pos="1701"/>
          <w:tab w:val="left" w:pos="2268"/>
          <w:tab w:val="left" w:pos="2835"/>
        </w:tabs>
        <w:rPr>
          <w:lang w:val="fr-FR"/>
        </w:rPr>
      </w:pPr>
      <w:r>
        <w:rPr>
          <w:lang w:val="fr-FR"/>
        </w:rPr>
        <w:t>46</w:t>
      </w:r>
      <w:r w:rsidR="00A55761">
        <w:rPr>
          <w:lang w:val="fr-FR"/>
        </w:rPr>
        <w:t>0</w:t>
      </w:r>
      <w:r>
        <w:rPr>
          <w:lang w:val="fr-FR"/>
        </w:rPr>
        <w:t>.</w:t>
      </w:r>
      <w:r>
        <w:rPr>
          <w:lang w:val="fr-FR"/>
        </w:rPr>
        <w:tab/>
        <w:t>Il s’agi</w:t>
      </w:r>
      <w:r w:rsidR="00E97F01">
        <w:rPr>
          <w:lang w:val="fr-FR"/>
        </w:rPr>
        <w:t>t d’un service stratégique chargé de la consultation, de l’appui à la planification, des</w:t>
      </w:r>
      <w:r>
        <w:rPr>
          <w:lang w:val="fr-FR"/>
        </w:rPr>
        <w:t xml:space="preserve"> programmes et d</w:t>
      </w:r>
      <w:r w:rsidR="00B17F63">
        <w:rPr>
          <w:lang w:val="fr-FR"/>
        </w:rPr>
        <w:t xml:space="preserve">es politiques relatifs aux affaires aborigènes, notamment en ce qui concerne les condamnés aborigènes et </w:t>
      </w:r>
      <w:r w:rsidR="005773D4">
        <w:rPr>
          <w:lang w:val="fr-FR"/>
        </w:rPr>
        <w:t xml:space="preserve">les </w:t>
      </w:r>
      <w:r w:rsidR="00EE46A7">
        <w:rPr>
          <w:lang w:val="fr-FR"/>
        </w:rPr>
        <w:t>insulaires</w:t>
      </w:r>
      <w:r w:rsidR="005773D4">
        <w:rPr>
          <w:lang w:val="fr-FR"/>
        </w:rPr>
        <w:t xml:space="preserve"> du détroit de Torres placés dans des centres de détention et de ceux qui sont placés sous la supervision du Ministère au sein de la communauté.</w:t>
      </w:r>
    </w:p>
    <w:p w:rsidR="00EE0ACB" w:rsidRDefault="00A55761" w:rsidP="005D7B68">
      <w:pPr>
        <w:tabs>
          <w:tab w:val="left" w:pos="567"/>
          <w:tab w:val="left" w:pos="1134"/>
          <w:tab w:val="left" w:pos="1701"/>
          <w:tab w:val="left" w:pos="2268"/>
          <w:tab w:val="left" w:pos="2835"/>
        </w:tabs>
        <w:rPr>
          <w:lang w:val="fr-FR"/>
        </w:rPr>
      </w:pPr>
      <w:r>
        <w:rPr>
          <w:lang w:val="fr-FR"/>
        </w:rPr>
        <w:t>461</w:t>
      </w:r>
      <w:r w:rsidR="00E97F01">
        <w:rPr>
          <w:lang w:val="fr-FR"/>
        </w:rPr>
        <w:t>.</w:t>
      </w:r>
      <w:r w:rsidR="00E97F01">
        <w:rPr>
          <w:lang w:val="fr-FR"/>
        </w:rPr>
        <w:tab/>
        <w:t>Il fait des recherches et formule</w:t>
      </w:r>
      <w:r w:rsidR="00EE0ACB">
        <w:rPr>
          <w:lang w:val="fr-FR"/>
        </w:rPr>
        <w:t xml:space="preserve"> des recom</w:t>
      </w:r>
      <w:r w:rsidR="00E97F01">
        <w:rPr>
          <w:lang w:val="fr-FR"/>
        </w:rPr>
        <w:t>mandations pour l’élaboration</w:t>
      </w:r>
      <w:r w:rsidR="00EE0ACB">
        <w:rPr>
          <w:lang w:val="fr-FR"/>
        </w:rPr>
        <w:t xml:space="preserve"> de politiques, de programmes et de systèmes et de procédures opérationnels ministériels non discriminatoires afin de réduire autant que faire se pe</w:t>
      </w:r>
      <w:r w:rsidR="00E97F01">
        <w:rPr>
          <w:lang w:val="fr-FR"/>
        </w:rPr>
        <w:t>ut les probabilités de récidive</w:t>
      </w:r>
      <w:r w:rsidR="00EE0ACB">
        <w:rPr>
          <w:lang w:val="fr-FR"/>
        </w:rPr>
        <w:t xml:space="preserve"> et les risques de décès d’aborigènes en détention</w:t>
      </w:r>
      <w:r w:rsidR="008D6B80">
        <w:rPr>
          <w:lang w:val="fr-FR"/>
        </w:rPr>
        <w:t xml:space="preserve">. </w:t>
      </w:r>
      <w:r w:rsidR="00EE0ACB">
        <w:rPr>
          <w:lang w:val="fr-FR"/>
        </w:rPr>
        <w:t>Il contribue également à la conception et à la mise en œuvre de programmes d’appui et de stages professionnels qui apportent aux délinquants aborigènes et aux insulaires délinquants du détroit de Torres les connaissances et</w:t>
      </w:r>
      <w:r w:rsidR="00320ACD">
        <w:rPr>
          <w:lang w:val="fr-FR"/>
        </w:rPr>
        <w:t xml:space="preserve"> les aptitudes leur permettant </w:t>
      </w:r>
      <w:r w:rsidR="00EE0ACB">
        <w:rPr>
          <w:lang w:val="fr-FR"/>
        </w:rPr>
        <w:t>de contribuer à la vie en société</w:t>
      </w:r>
      <w:r w:rsidR="008D6B80">
        <w:rPr>
          <w:lang w:val="fr-FR"/>
        </w:rPr>
        <w:t xml:space="preserve">. </w:t>
      </w:r>
      <w:r w:rsidR="00EE0ACB">
        <w:rPr>
          <w:lang w:val="fr-FR"/>
        </w:rPr>
        <w:t>Ce service fait également en sorte que les délinquants aborigènes et ceux du détroit de Torres soient placé</w:t>
      </w:r>
      <w:r w:rsidR="00320ACD">
        <w:rPr>
          <w:lang w:val="fr-FR"/>
        </w:rPr>
        <w:t xml:space="preserve">s aussi près que possible de </w:t>
      </w:r>
      <w:r w:rsidR="00EE0ACB">
        <w:rPr>
          <w:lang w:val="fr-FR"/>
        </w:rPr>
        <w:t>leur famille et de leur communauté.</w:t>
      </w:r>
    </w:p>
    <w:p w:rsidR="00EE0ACB" w:rsidRDefault="00EE0ACB" w:rsidP="005D7B68">
      <w:pPr>
        <w:tabs>
          <w:tab w:val="left" w:pos="567"/>
          <w:tab w:val="left" w:pos="1134"/>
          <w:tab w:val="left" w:pos="1701"/>
          <w:tab w:val="left" w:pos="2268"/>
          <w:tab w:val="left" w:pos="2835"/>
        </w:tabs>
        <w:rPr>
          <w:b/>
          <w:bCs/>
          <w:lang w:val="fr-FR"/>
        </w:rPr>
      </w:pPr>
      <w:r>
        <w:rPr>
          <w:b/>
          <w:bCs/>
          <w:lang w:val="fr-FR"/>
        </w:rPr>
        <w:t>Victoria</w:t>
      </w:r>
    </w:p>
    <w:p w:rsidR="00EE0ACB" w:rsidRDefault="00B9311B" w:rsidP="005D7B68">
      <w:pPr>
        <w:tabs>
          <w:tab w:val="left" w:pos="567"/>
          <w:tab w:val="left" w:pos="1134"/>
          <w:tab w:val="left" w:pos="1701"/>
          <w:tab w:val="left" w:pos="2268"/>
          <w:tab w:val="left" w:pos="2835"/>
        </w:tabs>
        <w:rPr>
          <w:b/>
          <w:bCs/>
          <w:lang w:val="fr-FR"/>
        </w:rPr>
      </w:pPr>
      <w:r>
        <w:rPr>
          <w:b/>
          <w:bCs/>
          <w:lang w:val="fr-FR"/>
        </w:rPr>
        <w:t>Charte des droits de l’homme et des devoirs à cet égard</w:t>
      </w:r>
    </w:p>
    <w:p w:rsidR="00EE0ACB" w:rsidRDefault="00A55761" w:rsidP="005D7B68">
      <w:pPr>
        <w:tabs>
          <w:tab w:val="left" w:pos="567"/>
          <w:tab w:val="left" w:pos="1134"/>
          <w:tab w:val="left" w:pos="1701"/>
          <w:tab w:val="left" w:pos="2268"/>
          <w:tab w:val="left" w:pos="2835"/>
        </w:tabs>
        <w:rPr>
          <w:lang w:val="fr-FR"/>
        </w:rPr>
      </w:pPr>
      <w:r>
        <w:rPr>
          <w:lang w:val="fr-FR"/>
        </w:rPr>
        <w:t>462</w:t>
      </w:r>
      <w:r w:rsidR="00EE0ACB">
        <w:rPr>
          <w:lang w:val="fr-FR"/>
        </w:rPr>
        <w:t>.</w:t>
      </w:r>
      <w:r w:rsidR="00EE0ACB">
        <w:rPr>
          <w:lang w:val="fr-FR"/>
        </w:rPr>
        <w:tab/>
        <w:t>Cette charte est entrée en vigueur le 1</w:t>
      </w:r>
      <w:r w:rsidR="00EE0ACB" w:rsidRPr="00C35C93">
        <w:rPr>
          <w:vertAlign w:val="superscript"/>
          <w:lang w:val="fr-FR"/>
        </w:rPr>
        <w:t>er</w:t>
      </w:r>
      <w:r w:rsidR="00EE0ACB">
        <w:rPr>
          <w:lang w:val="fr-FR"/>
        </w:rPr>
        <w:t xml:space="preserve"> janvier 2007.Les droits qu’elle protège sont fondés sur la Convention internationale relative aux droits civils et politiques, y compris celui de ne pas être soumis à la torture ou à des peines ou traitements cruels, inhumains ou dégradants</w:t>
      </w:r>
      <w:r w:rsidR="008D6B80">
        <w:rPr>
          <w:lang w:val="fr-FR"/>
        </w:rPr>
        <w:t xml:space="preserve">. </w:t>
      </w:r>
      <w:r w:rsidR="00EE0ACB">
        <w:rPr>
          <w:lang w:val="fr-FR"/>
        </w:rPr>
        <w:t>E</w:t>
      </w:r>
      <w:r w:rsidR="00DF06CC">
        <w:rPr>
          <w:lang w:val="fr-FR"/>
        </w:rPr>
        <w:t>lle exige que le Gouvernement du</w:t>
      </w:r>
      <w:r w:rsidR="00EE0ACB">
        <w:rPr>
          <w:lang w:val="fr-FR"/>
        </w:rPr>
        <w:t xml:space="preserve"> Victoria tienne compte de ces droits dans l’élaboration de la législation</w:t>
      </w:r>
      <w:r w:rsidR="008D6B80">
        <w:rPr>
          <w:lang w:val="fr-FR"/>
        </w:rPr>
        <w:t xml:space="preserve">. </w:t>
      </w:r>
      <w:r w:rsidR="00EE0ACB">
        <w:rPr>
          <w:lang w:val="fr-FR"/>
        </w:rPr>
        <w:t>Les tribunaux doivent aussi adopter une interprétation des lois conforme a</w:t>
      </w:r>
      <w:r w:rsidR="00DF06CC">
        <w:rPr>
          <w:lang w:val="fr-FR"/>
        </w:rPr>
        <w:t>ux droits de l’homme et</w:t>
      </w:r>
      <w:r w:rsidR="00EE0ACB">
        <w:rPr>
          <w:lang w:val="fr-FR"/>
        </w:rPr>
        <w:t>, autant que possible, aux fins de ces lois</w:t>
      </w:r>
      <w:r w:rsidR="008D6B80">
        <w:rPr>
          <w:lang w:val="fr-FR"/>
        </w:rPr>
        <w:t xml:space="preserve">. </w:t>
      </w:r>
      <w:r w:rsidR="00EE0ACB">
        <w:rPr>
          <w:lang w:val="fr-FR"/>
        </w:rPr>
        <w:t>Á partir du 1</w:t>
      </w:r>
      <w:r w:rsidR="00EE0ACB" w:rsidRPr="00795A43">
        <w:rPr>
          <w:vertAlign w:val="superscript"/>
          <w:lang w:val="fr-FR"/>
        </w:rPr>
        <w:t>er</w:t>
      </w:r>
      <w:r w:rsidR="00EE0ACB">
        <w:rPr>
          <w:lang w:val="fr-FR"/>
        </w:rPr>
        <w:t xml:space="preserve"> janvier 2008, les pouvoirs publics seront tenus d’agir conformément aux droits de l’homme et de tenir compte des droits concernés dans leurs prises de décisions. </w:t>
      </w:r>
    </w:p>
    <w:p w:rsidR="00EE0ACB" w:rsidRDefault="00EE0ACB" w:rsidP="005D7B68">
      <w:pPr>
        <w:tabs>
          <w:tab w:val="left" w:pos="567"/>
          <w:tab w:val="left" w:pos="1134"/>
          <w:tab w:val="left" w:pos="1701"/>
          <w:tab w:val="left" w:pos="2268"/>
          <w:tab w:val="left" w:pos="2835"/>
        </w:tabs>
        <w:rPr>
          <w:b/>
          <w:bCs/>
          <w:lang w:val="fr-FR"/>
        </w:rPr>
      </w:pPr>
      <w:r>
        <w:rPr>
          <w:b/>
          <w:bCs/>
          <w:lang w:val="fr-FR"/>
        </w:rPr>
        <w:t>Les enfants et les jeunes</w:t>
      </w:r>
    </w:p>
    <w:p w:rsidR="00EE0ACB" w:rsidRDefault="00EE0ACB" w:rsidP="005D7B68">
      <w:pPr>
        <w:tabs>
          <w:tab w:val="left" w:pos="567"/>
          <w:tab w:val="left" w:pos="1134"/>
          <w:tab w:val="left" w:pos="1701"/>
          <w:tab w:val="left" w:pos="2268"/>
          <w:tab w:val="left" w:pos="2835"/>
        </w:tabs>
        <w:rPr>
          <w:b/>
          <w:bCs/>
          <w:lang w:val="fr-FR"/>
        </w:rPr>
      </w:pPr>
      <w:r>
        <w:rPr>
          <w:b/>
          <w:bCs/>
          <w:lang w:val="fr-FR"/>
        </w:rPr>
        <w:t>Protection de l’enfance</w:t>
      </w:r>
    </w:p>
    <w:p w:rsidR="00EE0ACB" w:rsidRPr="00D02866" w:rsidRDefault="00EE0ACB" w:rsidP="005D7B68">
      <w:pPr>
        <w:tabs>
          <w:tab w:val="left" w:pos="567"/>
          <w:tab w:val="left" w:pos="1134"/>
          <w:tab w:val="left" w:pos="1701"/>
          <w:tab w:val="left" w:pos="2268"/>
          <w:tab w:val="left" w:pos="2835"/>
        </w:tabs>
        <w:rPr>
          <w:lang w:val="fr-FR"/>
        </w:rPr>
      </w:pPr>
      <w:r>
        <w:rPr>
          <w:lang w:val="fr-FR"/>
        </w:rPr>
        <w:t>46</w:t>
      </w:r>
      <w:r w:rsidR="00A55761">
        <w:rPr>
          <w:lang w:val="fr-FR"/>
        </w:rPr>
        <w:t>3</w:t>
      </w:r>
      <w:r>
        <w:rPr>
          <w:lang w:val="fr-FR"/>
        </w:rPr>
        <w:t>.</w:t>
      </w:r>
      <w:r>
        <w:rPr>
          <w:lang w:val="fr-FR"/>
        </w:rPr>
        <w:tab/>
        <w:t>Les normes de comportement professionnel sont expliquées à l’ensemble du personnel</w:t>
      </w:r>
      <w:r w:rsidR="008D6B80">
        <w:rPr>
          <w:lang w:val="fr-FR"/>
        </w:rPr>
        <w:t xml:space="preserve">. </w:t>
      </w:r>
      <w:r w:rsidR="00F100B1">
        <w:rPr>
          <w:lang w:val="fr-FR"/>
        </w:rPr>
        <w:t>Les </w:t>
      </w:r>
      <w:r>
        <w:rPr>
          <w:lang w:val="fr-FR"/>
        </w:rPr>
        <w:t>enfants et les jeunes concernés sont informés (verbalement ou par écrit) sur leur droit de porter plainte et sur la manière de s’y prendre pour cela, ainsi que sur le rôle du Bureau du Médiateur et les coordonnées de ce dernier</w:t>
      </w:r>
      <w:r w:rsidR="008D6B80">
        <w:rPr>
          <w:lang w:val="fr-FR"/>
        </w:rPr>
        <w:t xml:space="preserve">. </w:t>
      </w:r>
      <w:r>
        <w:rPr>
          <w:lang w:val="fr-FR"/>
        </w:rPr>
        <w:t xml:space="preserve">Les représentants du Bureau du Médiateur font des visites de routine dans </w:t>
      </w:r>
      <w:r w:rsidRPr="00D02866">
        <w:rPr>
          <w:lang w:val="fr-FR"/>
        </w:rPr>
        <w:t xml:space="preserve">les </w:t>
      </w:r>
      <w:r w:rsidR="00E97F01" w:rsidRPr="00D02866">
        <w:rPr>
          <w:lang w:val="fr-FR"/>
        </w:rPr>
        <w:t>services d’action sociale en milieu fermé</w:t>
      </w:r>
      <w:r w:rsidRPr="00D02866">
        <w:rPr>
          <w:lang w:val="fr-FR"/>
        </w:rPr>
        <w:t xml:space="preserve"> </w:t>
      </w:r>
      <w:r w:rsidR="00D02866" w:rsidRPr="00D02866">
        <w:rPr>
          <w:lang w:val="fr-FR"/>
        </w:rPr>
        <w:t xml:space="preserve">(Secure Welfare Services) </w:t>
      </w:r>
      <w:r w:rsidRPr="00D02866">
        <w:rPr>
          <w:lang w:val="fr-FR"/>
        </w:rPr>
        <w:t>pour informer les personnes qui y sont placées sur leur rôle, etc.</w:t>
      </w:r>
    </w:p>
    <w:p w:rsidR="00EE0ACB" w:rsidRPr="00D02866" w:rsidRDefault="00A55761" w:rsidP="005D7B68">
      <w:pPr>
        <w:tabs>
          <w:tab w:val="left" w:pos="567"/>
          <w:tab w:val="left" w:pos="1134"/>
          <w:tab w:val="left" w:pos="1701"/>
          <w:tab w:val="left" w:pos="2268"/>
          <w:tab w:val="left" w:pos="2835"/>
        </w:tabs>
        <w:rPr>
          <w:lang w:val="fr-FR"/>
        </w:rPr>
      </w:pPr>
      <w:r>
        <w:rPr>
          <w:lang w:val="fr-FR"/>
        </w:rPr>
        <w:t>464</w:t>
      </w:r>
      <w:r w:rsidR="00EE0ACB" w:rsidRPr="00D02866">
        <w:rPr>
          <w:lang w:val="fr-FR"/>
        </w:rPr>
        <w:t>.</w:t>
      </w:r>
      <w:r w:rsidR="00EE0ACB" w:rsidRPr="00D02866">
        <w:rPr>
          <w:lang w:val="fr-FR"/>
        </w:rPr>
        <w:tab/>
        <w:t xml:space="preserve"> Les gestionnaires de cas font des visit</w:t>
      </w:r>
      <w:r w:rsidR="00BD6053" w:rsidRPr="00D02866">
        <w:rPr>
          <w:lang w:val="fr-FR"/>
        </w:rPr>
        <w:t xml:space="preserve">es de routine aux bénéficiaires </w:t>
      </w:r>
      <w:r w:rsidR="00EE0ACB" w:rsidRPr="00D02866">
        <w:rPr>
          <w:lang w:val="fr-FR"/>
        </w:rPr>
        <w:t xml:space="preserve">de leurs services, peuvent les observer et recevoir de leur part des renseignements en retour sur la manière dont ils ont été traités pendant qu’ils étaient dans les </w:t>
      </w:r>
      <w:r w:rsidR="00D02866" w:rsidRPr="00D02866">
        <w:rPr>
          <w:lang w:val="fr-FR"/>
        </w:rPr>
        <w:t>services d’action sociale en milieu fermé</w:t>
      </w:r>
    </w:p>
    <w:p w:rsidR="00EE0ACB" w:rsidRDefault="00A55761" w:rsidP="005D7B68">
      <w:pPr>
        <w:tabs>
          <w:tab w:val="left" w:pos="567"/>
          <w:tab w:val="left" w:pos="1134"/>
          <w:tab w:val="left" w:pos="1701"/>
          <w:tab w:val="left" w:pos="2268"/>
          <w:tab w:val="left" w:pos="2835"/>
        </w:tabs>
        <w:rPr>
          <w:lang w:val="fr-FR"/>
        </w:rPr>
      </w:pPr>
      <w:r>
        <w:rPr>
          <w:lang w:val="fr-FR"/>
        </w:rPr>
        <w:t>465</w:t>
      </w:r>
      <w:r w:rsidR="00EE0ACB">
        <w:rPr>
          <w:lang w:val="fr-FR"/>
        </w:rPr>
        <w:t>.</w:t>
      </w:r>
      <w:r w:rsidR="00EE0ACB">
        <w:rPr>
          <w:lang w:val="fr-FR"/>
        </w:rPr>
        <w:tab/>
        <w:t xml:space="preserve">La politique du Département des </w:t>
      </w:r>
      <w:r w:rsidR="00972E1C">
        <w:rPr>
          <w:lang w:val="fr-FR"/>
        </w:rPr>
        <w:t>services sociaux</w:t>
      </w:r>
      <w:r w:rsidR="00EE0ACB">
        <w:rPr>
          <w:lang w:val="fr-FR"/>
        </w:rPr>
        <w:t xml:space="preserve"> concernant l’établissement des rapports sur les violences physiques ou sexuelles s’applique aux </w:t>
      </w:r>
      <w:r w:rsidR="00D02866" w:rsidRPr="00D02866">
        <w:rPr>
          <w:color w:val="000000"/>
          <w:lang w:val="fr-FR"/>
        </w:rPr>
        <w:t>services d’action sociale en milieu fermé</w:t>
      </w:r>
      <w:r w:rsidR="008D6B80">
        <w:rPr>
          <w:color w:val="000000"/>
          <w:lang w:val="fr-FR"/>
        </w:rPr>
        <w:t xml:space="preserve">. </w:t>
      </w:r>
      <w:r w:rsidR="00EE0ACB" w:rsidRPr="00D02866">
        <w:rPr>
          <w:color w:val="000000"/>
          <w:lang w:val="fr-FR"/>
        </w:rPr>
        <w:t>Toutes les allégations des intéressés sont immédiatement</w:t>
      </w:r>
      <w:r w:rsidR="00EE0ACB">
        <w:rPr>
          <w:lang w:val="fr-FR"/>
        </w:rPr>
        <w:t xml:space="preserve"> portées à la connaissan</w:t>
      </w:r>
      <w:r w:rsidR="00D02866">
        <w:rPr>
          <w:lang w:val="fr-FR"/>
        </w:rPr>
        <w:t>ce du directeur de ce programme</w:t>
      </w:r>
      <w:r w:rsidR="00572260">
        <w:rPr>
          <w:lang w:val="fr-FR"/>
        </w:rPr>
        <w:t xml:space="preserve"> </w:t>
      </w:r>
      <w:r w:rsidR="00EE0ACB">
        <w:rPr>
          <w:lang w:val="fr-FR"/>
        </w:rPr>
        <w:t>et à la protection régionale de l’enfance par le biais d’un rapport critique sur l’incident</w:t>
      </w:r>
      <w:r w:rsidR="008D6B80">
        <w:rPr>
          <w:lang w:val="fr-FR"/>
        </w:rPr>
        <w:t xml:space="preserve">. </w:t>
      </w:r>
      <w:r w:rsidR="00EE0ACB">
        <w:rPr>
          <w:lang w:val="fr-FR"/>
        </w:rPr>
        <w:t>Ce rapport est également envoyé au directeur régional et au directeur concerné au bureau central</w:t>
      </w:r>
      <w:r w:rsidR="008D6B80">
        <w:rPr>
          <w:lang w:val="fr-FR"/>
        </w:rPr>
        <w:t xml:space="preserve">. </w:t>
      </w:r>
      <w:r w:rsidR="00EE0ACB">
        <w:rPr>
          <w:lang w:val="fr-FR"/>
        </w:rPr>
        <w:t>La plainte fait l’objet d’une enquête indépendante et des mesures de sécurité sont prises pour faire en sorte qu’on veille au bien-être de l’intéressé.</w:t>
      </w:r>
    </w:p>
    <w:p w:rsidR="00EE0ACB" w:rsidRDefault="00EE0ACB" w:rsidP="005D7B68">
      <w:pPr>
        <w:tabs>
          <w:tab w:val="left" w:pos="567"/>
          <w:tab w:val="left" w:pos="1134"/>
          <w:tab w:val="left" w:pos="1701"/>
          <w:tab w:val="left" w:pos="2268"/>
          <w:tab w:val="left" w:pos="2835"/>
        </w:tabs>
        <w:rPr>
          <w:b/>
          <w:bCs/>
          <w:lang w:val="fr-FR"/>
        </w:rPr>
      </w:pPr>
      <w:r>
        <w:rPr>
          <w:b/>
          <w:bCs/>
          <w:lang w:val="fr-FR"/>
        </w:rPr>
        <w:t>Services de détention de la justice pour mineurs</w:t>
      </w:r>
    </w:p>
    <w:p w:rsidR="00EE0ACB" w:rsidRDefault="00A55761" w:rsidP="005D7B68">
      <w:pPr>
        <w:tabs>
          <w:tab w:val="left" w:pos="567"/>
          <w:tab w:val="left" w:pos="1134"/>
          <w:tab w:val="left" w:pos="1701"/>
          <w:tab w:val="left" w:pos="2268"/>
          <w:tab w:val="left" w:pos="2835"/>
        </w:tabs>
        <w:rPr>
          <w:lang w:val="fr-FR"/>
        </w:rPr>
      </w:pPr>
      <w:r>
        <w:rPr>
          <w:lang w:val="fr-FR"/>
        </w:rPr>
        <w:t>466</w:t>
      </w:r>
      <w:r w:rsidR="00EE0ACB">
        <w:rPr>
          <w:lang w:val="fr-FR"/>
        </w:rPr>
        <w:t>.</w:t>
      </w:r>
      <w:r w:rsidR="00EE0ACB">
        <w:rPr>
          <w:lang w:val="fr-FR"/>
        </w:rPr>
        <w:tab/>
        <w:t xml:space="preserve">Les services de détention de la justice pour mineurs sont régis par la </w:t>
      </w:r>
      <w:r w:rsidR="00EE0ACB" w:rsidRPr="00910874">
        <w:rPr>
          <w:lang w:val="fr-FR"/>
        </w:rPr>
        <w:t>loi de 2005 sur les enfants, les jeunes</w:t>
      </w:r>
      <w:r w:rsidR="00170ECF">
        <w:rPr>
          <w:lang w:val="fr-FR"/>
        </w:rPr>
        <w:t xml:space="preserve"> et les</w:t>
      </w:r>
      <w:r w:rsidR="00EE0ACB" w:rsidRPr="00910874">
        <w:rPr>
          <w:lang w:val="fr-FR"/>
        </w:rPr>
        <w:t xml:space="preserve"> famille</w:t>
      </w:r>
      <w:r w:rsidR="00170ECF">
        <w:rPr>
          <w:lang w:val="fr-FR"/>
        </w:rPr>
        <w:t>s</w:t>
      </w:r>
      <w:r w:rsidR="00EE0ACB">
        <w:rPr>
          <w:i/>
          <w:iCs/>
          <w:lang w:val="fr-FR"/>
        </w:rPr>
        <w:t xml:space="preserve"> </w:t>
      </w:r>
      <w:r w:rsidR="00EE0ACB">
        <w:rPr>
          <w:lang w:val="fr-FR"/>
        </w:rPr>
        <w:t>(Victoria), qui comporte les dispositions relatives aux enfants inculpés ou reconnus coupables d’infractions, ainsi qu’au fonctionne</w:t>
      </w:r>
      <w:r w:rsidR="00AF62AB">
        <w:rPr>
          <w:lang w:val="fr-FR"/>
        </w:rPr>
        <w:t>ment du Tribunal pour enfants du</w:t>
      </w:r>
      <w:r w:rsidR="00EE0ACB">
        <w:rPr>
          <w:lang w:val="fr-FR"/>
        </w:rPr>
        <w:t xml:space="preserve"> Victoria, en tant que tribunal spécialisé.</w:t>
      </w:r>
    </w:p>
    <w:p w:rsidR="00EE0ACB" w:rsidRDefault="00A55761" w:rsidP="005D7B68">
      <w:pPr>
        <w:tabs>
          <w:tab w:val="left" w:pos="567"/>
          <w:tab w:val="left" w:pos="1134"/>
          <w:tab w:val="left" w:pos="1701"/>
          <w:tab w:val="left" w:pos="2268"/>
          <w:tab w:val="left" w:pos="2835"/>
        </w:tabs>
        <w:rPr>
          <w:lang w:val="fr-FR"/>
        </w:rPr>
      </w:pPr>
      <w:r>
        <w:rPr>
          <w:lang w:val="fr-FR"/>
        </w:rPr>
        <w:t>467</w:t>
      </w:r>
      <w:r w:rsidR="00EE0ACB">
        <w:rPr>
          <w:lang w:val="fr-FR"/>
        </w:rPr>
        <w:t>.</w:t>
      </w:r>
      <w:r w:rsidR="00EE0ACB">
        <w:rPr>
          <w:lang w:val="fr-FR"/>
        </w:rPr>
        <w:tab/>
        <w:t>Le chapitre 5 de la loi comprend des dispositions spécifiques relatives aux enf</w:t>
      </w:r>
      <w:r w:rsidR="00256399">
        <w:rPr>
          <w:lang w:val="fr-FR"/>
        </w:rPr>
        <w:t>ants et la législation pénale du</w:t>
      </w:r>
      <w:r w:rsidR="00EE0ACB">
        <w:rPr>
          <w:lang w:val="fr-FR"/>
        </w:rPr>
        <w:t xml:space="preserve"> Victoria porte création de services pénitentiaires pour les enfants</w:t>
      </w:r>
      <w:r w:rsidR="00572260">
        <w:rPr>
          <w:lang w:val="fr-FR"/>
        </w:rPr>
        <w:t>;</w:t>
      </w:r>
      <w:r w:rsidR="00DB637B">
        <w:rPr>
          <w:lang w:val="fr-FR"/>
        </w:rPr>
        <w:t xml:space="preserve"> elle</w:t>
      </w:r>
      <w:r w:rsidR="00EE0ACB">
        <w:rPr>
          <w:lang w:val="fr-FR"/>
        </w:rPr>
        <w:t xml:space="preserve"> régit</w:t>
      </w:r>
      <w:r w:rsidR="00DB637B">
        <w:rPr>
          <w:lang w:val="fr-FR"/>
        </w:rPr>
        <w:t xml:space="preserve"> aussi</w:t>
      </w:r>
      <w:r w:rsidR="00EE0ACB">
        <w:rPr>
          <w:lang w:val="fr-FR"/>
        </w:rPr>
        <w:t xml:space="preserve"> les conditions de détention conformément à ce chapitre.</w:t>
      </w:r>
    </w:p>
    <w:p w:rsidR="00EE0ACB" w:rsidRDefault="00A55761" w:rsidP="005D7B68">
      <w:pPr>
        <w:tabs>
          <w:tab w:val="left" w:pos="567"/>
          <w:tab w:val="left" w:pos="1134"/>
          <w:tab w:val="left" w:pos="1701"/>
          <w:tab w:val="left" w:pos="2268"/>
          <w:tab w:val="left" w:pos="2835"/>
        </w:tabs>
        <w:rPr>
          <w:lang w:val="fr-FR"/>
        </w:rPr>
      </w:pPr>
      <w:r>
        <w:rPr>
          <w:lang w:val="fr-FR"/>
        </w:rPr>
        <w:t>468</w:t>
      </w:r>
      <w:r w:rsidR="00910874">
        <w:rPr>
          <w:lang w:val="fr-FR"/>
        </w:rPr>
        <w:t>.</w:t>
      </w:r>
      <w:r w:rsidR="00910874">
        <w:rPr>
          <w:lang w:val="fr-FR"/>
        </w:rPr>
        <w:tab/>
        <w:t>En vertu dudit</w:t>
      </w:r>
      <w:r w:rsidR="00EE0ACB">
        <w:rPr>
          <w:lang w:val="fr-FR"/>
        </w:rPr>
        <w:t xml:space="preserve"> chapitre, le secrétaire du Département des </w:t>
      </w:r>
      <w:r w:rsidR="00972E1C">
        <w:rPr>
          <w:lang w:val="fr-FR"/>
        </w:rPr>
        <w:t>services sociaux</w:t>
      </w:r>
      <w:r w:rsidR="00EE0ACB">
        <w:rPr>
          <w:lang w:val="fr-FR"/>
        </w:rPr>
        <w:t xml:space="preserve"> est chargé de déterminer le type de soins, de détention ou de traitement qu’il considère être dans l’intérêt supérieur de chaque personne placée dans un centre de détention provisoire, un centre d’hébergement ou un centre pour jeunes délinquants.</w:t>
      </w:r>
    </w:p>
    <w:p w:rsidR="00EE0ACB" w:rsidRDefault="00A55761" w:rsidP="005D7B68">
      <w:pPr>
        <w:tabs>
          <w:tab w:val="left" w:pos="567"/>
          <w:tab w:val="left" w:pos="1134"/>
          <w:tab w:val="left" w:pos="1701"/>
          <w:tab w:val="left" w:pos="2268"/>
          <w:tab w:val="left" w:pos="2835"/>
        </w:tabs>
        <w:rPr>
          <w:lang w:val="fr-FR"/>
        </w:rPr>
      </w:pPr>
      <w:r>
        <w:rPr>
          <w:lang w:val="fr-FR"/>
        </w:rPr>
        <w:t>469</w:t>
      </w:r>
      <w:r w:rsidR="00EE0ACB">
        <w:rPr>
          <w:lang w:val="fr-FR"/>
        </w:rPr>
        <w:t>.</w:t>
      </w:r>
      <w:r w:rsidR="00EE0ACB">
        <w:rPr>
          <w:lang w:val="fr-FR"/>
        </w:rPr>
        <w:tab/>
        <w:t>L’article 482 de cette loi contient des dispositions visant à protéger et garantir les droits des personnes placées dans des centres de détention provisoire, des centres d’hébergement ou des centre</w:t>
      </w:r>
      <w:r w:rsidR="00910874">
        <w:rPr>
          <w:lang w:val="fr-FR"/>
        </w:rPr>
        <w:t xml:space="preserve">s pour jeunes délinquants, les </w:t>
      </w:r>
      <w:r w:rsidR="00EE0ACB">
        <w:rPr>
          <w:lang w:val="fr-FR"/>
        </w:rPr>
        <w:t>jeunes ayant les droits suivants</w:t>
      </w:r>
      <w:r w:rsidR="00572260">
        <w:rPr>
          <w:lang w:val="fr-FR"/>
        </w:rPr>
        <w:t>:</w:t>
      </w:r>
    </w:p>
    <w:p w:rsidR="00EE0ACB" w:rsidRDefault="00910874" w:rsidP="005D7B68">
      <w:pPr>
        <w:tabs>
          <w:tab w:val="left" w:pos="567"/>
          <w:tab w:val="left" w:pos="1134"/>
          <w:tab w:val="left" w:pos="1701"/>
          <w:tab w:val="left" w:pos="2268"/>
          <w:tab w:val="left" w:pos="2835"/>
        </w:tabs>
        <w:rPr>
          <w:lang w:val="fr-FR"/>
        </w:rPr>
      </w:pPr>
      <w:r>
        <w:rPr>
          <w:lang w:val="fr-FR"/>
        </w:rPr>
        <w:tab/>
        <w:t>a)</w:t>
      </w:r>
      <w:r>
        <w:rPr>
          <w:lang w:val="fr-FR"/>
        </w:rPr>
        <w:tab/>
        <w:t>L</w:t>
      </w:r>
      <w:r w:rsidR="00EE0ACB">
        <w:rPr>
          <w:lang w:val="fr-FR"/>
        </w:rPr>
        <w:t xml:space="preserve">e droit à ce qu’il soit répondu à leurs besoins </w:t>
      </w:r>
      <w:r w:rsidR="00D13E4E">
        <w:rPr>
          <w:lang w:val="fr-FR"/>
        </w:rPr>
        <w:t xml:space="preserve">en matière </w:t>
      </w:r>
      <w:r w:rsidR="00EE0ACB">
        <w:rPr>
          <w:lang w:val="fr-FR"/>
        </w:rPr>
        <w:t>de développement</w:t>
      </w:r>
      <w:r w:rsidR="00572260">
        <w:rPr>
          <w:lang w:val="fr-FR"/>
        </w:rPr>
        <w:t>;</w:t>
      </w:r>
    </w:p>
    <w:p w:rsidR="00EE0ACB" w:rsidRDefault="00910874" w:rsidP="005D7B68">
      <w:pPr>
        <w:tabs>
          <w:tab w:val="left" w:pos="567"/>
          <w:tab w:val="left" w:pos="1134"/>
          <w:tab w:val="left" w:pos="1701"/>
          <w:tab w:val="left" w:pos="2268"/>
          <w:tab w:val="left" w:pos="2835"/>
        </w:tabs>
        <w:rPr>
          <w:lang w:val="fr-FR"/>
        </w:rPr>
      </w:pPr>
      <w:r>
        <w:rPr>
          <w:lang w:val="fr-FR"/>
        </w:rPr>
        <w:tab/>
        <w:t>b)</w:t>
      </w:r>
      <w:r>
        <w:rPr>
          <w:lang w:val="fr-FR"/>
        </w:rPr>
        <w:tab/>
        <w:t>Le</w:t>
      </w:r>
      <w:r w:rsidR="00EE0ACB">
        <w:rPr>
          <w:lang w:val="fr-FR"/>
        </w:rPr>
        <w:t xml:space="preserve"> droit de recevoir des visites de leurs parents, de membres de leur famille, de juristes, de personnes agissant au nom de juristes et d’autres personnes</w:t>
      </w:r>
      <w:r w:rsidR="00572260">
        <w:rPr>
          <w:lang w:val="fr-FR"/>
        </w:rPr>
        <w:t>;</w:t>
      </w:r>
    </w:p>
    <w:p w:rsidR="00EE0ACB" w:rsidRDefault="00910874" w:rsidP="005D7B68">
      <w:pPr>
        <w:tabs>
          <w:tab w:val="left" w:pos="567"/>
          <w:tab w:val="left" w:pos="1134"/>
          <w:tab w:val="left" w:pos="1701"/>
          <w:tab w:val="left" w:pos="2268"/>
          <w:tab w:val="left" w:pos="2835"/>
        </w:tabs>
        <w:rPr>
          <w:lang w:val="fr-FR"/>
        </w:rPr>
      </w:pPr>
      <w:r>
        <w:rPr>
          <w:lang w:val="fr-FR"/>
        </w:rPr>
        <w:tab/>
        <w:t>c)</w:t>
      </w:r>
      <w:r>
        <w:rPr>
          <w:lang w:val="fr-FR"/>
        </w:rPr>
        <w:tab/>
        <w:t>L</w:t>
      </w:r>
      <w:r w:rsidR="00EE0ACB">
        <w:rPr>
          <w:lang w:val="fr-FR"/>
        </w:rPr>
        <w:t>e droit que des efforts raisonnables soient déployés pour qu’on réponde à leurs besoins médicaux, religieux et culturels, y compris, dans le cas des enfants aborigènes, leurs besoins en tant que membres de leur communauté</w:t>
      </w:r>
      <w:r w:rsidR="00572260">
        <w:rPr>
          <w:lang w:val="fr-FR"/>
        </w:rPr>
        <w:t>;</w:t>
      </w:r>
    </w:p>
    <w:p w:rsidR="00EE0ACB" w:rsidRDefault="00910874" w:rsidP="005D7B68">
      <w:pPr>
        <w:tabs>
          <w:tab w:val="left" w:pos="567"/>
          <w:tab w:val="left" w:pos="1134"/>
          <w:tab w:val="left" w:pos="1701"/>
          <w:tab w:val="left" w:pos="2268"/>
          <w:tab w:val="left" w:pos="2835"/>
        </w:tabs>
        <w:rPr>
          <w:lang w:val="fr-FR"/>
        </w:rPr>
      </w:pPr>
      <w:r>
        <w:rPr>
          <w:lang w:val="fr-FR"/>
        </w:rPr>
        <w:tab/>
        <w:t>d)</w:t>
      </w:r>
      <w:r>
        <w:rPr>
          <w:lang w:val="fr-FR"/>
        </w:rPr>
        <w:tab/>
        <w:t>L</w:t>
      </w:r>
      <w:r w:rsidR="00EE0ACB">
        <w:rPr>
          <w:lang w:val="fr-FR"/>
        </w:rPr>
        <w:t xml:space="preserve">e droit d’être informés sur les règles </w:t>
      </w:r>
      <w:r w:rsidR="00D13E4E">
        <w:rPr>
          <w:lang w:val="fr-FR"/>
        </w:rPr>
        <w:t xml:space="preserve">qui les concernent </w:t>
      </w:r>
      <w:r w:rsidR="00EE0ACB">
        <w:rPr>
          <w:lang w:val="fr-FR"/>
        </w:rPr>
        <w:t>du centre dans lequel ils sont détenus et sur leurs droits et responsabilités, ainsi que ceux du fonctionnaire responsable du centre et des autres membres du personnel</w:t>
      </w:r>
      <w:r w:rsidR="00572260">
        <w:rPr>
          <w:lang w:val="fr-FR"/>
        </w:rPr>
        <w:t>;</w:t>
      </w:r>
    </w:p>
    <w:p w:rsidR="00EE0ACB" w:rsidRDefault="00910874" w:rsidP="005D7B68">
      <w:pPr>
        <w:tabs>
          <w:tab w:val="left" w:pos="567"/>
          <w:tab w:val="left" w:pos="1134"/>
          <w:tab w:val="left" w:pos="1701"/>
          <w:tab w:val="left" w:pos="2268"/>
          <w:tab w:val="left" w:pos="2835"/>
        </w:tabs>
        <w:rPr>
          <w:lang w:val="fr-FR"/>
        </w:rPr>
      </w:pPr>
      <w:r>
        <w:rPr>
          <w:lang w:val="fr-FR"/>
        </w:rPr>
        <w:tab/>
        <w:t>e)</w:t>
      </w:r>
      <w:r>
        <w:rPr>
          <w:lang w:val="fr-FR"/>
        </w:rPr>
        <w:tab/>
        <w:t>L</w:t>
      </w:r>
      <w:r w:rsidR="00EE0ACB">
        <w:rPr>
          <w:lang w:val="fr-FR"/>
        </w:rPr>
        <w:t xml:space="preserve">e droit de porter plainte auprès du Secrétaire ou du Médiateur au sujet du niveau des soins, du logement ou du traitement </w:t>
      </w:r>
      <w:r>
        <w:rPr>
          <w:lang w:val="fr-FR"/>
        </w:rPr>
        <w:t>dont ils font l’objet au centre</w:t>
      </w:r>
      <w:r w:rsidR="00572260">
        <w:rPr>
          <w:lang w:val="fr-FR"/>
        </w:rPr>
        <w:t>;</w:t>
      </w:r>
      <w:r w:rsidR="00EE0ACB">
        <w:rPr>
          <w:lang w:val="fr-FR"/>
        </w:rPr>
        <w:t xml:space="preserve"> et</w:t>
      </w:r>
    </w:p>
    <w:p w:rsidR="00EE0ACB" w:rsidRDefault="00910874" w:rsidP="005D7B68">
      <w:pPr>
        <w:tabs>
          <w:tab w:val="left" w:pos="567"/>
          <w:tab w:val="left" w:pos="1134"/>
          <w:tab w:val="left" w:pos="1701"/>
          <w:tab w:val="left" w:pos="2268"/>
          <w:tab w:val="left" w:pos="2835"/>
        </w:tabs>
        <w:rPr>
          <w:lang w:val="fr-FR"/>
        </w:rPr>
      </w:pPr>
      <w:r>
        <w:rPr>
          <w:lang w:val="fr-FR"/>
        </w:rPr>
        <w:tab/>
        <w:t>f)</w:t>
      </w:r>
      <w:r>
        <w:rPr>
          <w:lang w:val="fr-FR"/>
        </w:rPr>
        <w:tab/>
        <w:t>L</w:t>
      </w:r>
      <w:r w:rsidR="00EE0ACB">
        <w:rPr>
          <w:lang w:val="fr-FR"/>
        </w:rPr>
        <w:t>e droit d’être informés sur ces droits.</w:t>
      </w:r>
    </w:p>
    <w:p w:rsidR="00EE0ACB" w:rsidRDefault="00FC2BB5" w:rsidP="005D7B68">
      <w:pPr>
        <w:tabs>
          <w:tab w:val="left" w:pos="567"/>
          <w:tab w:val="left" w:pos="1134"/>
          <w:tab w:val="left" w:pos="1701"/>
          <w:tab w:val="left" w:pos="2268"/>
          <w:tab w:val="left" w:pos="2835"/>
        </w:tabs>
        <w:rPr>
          <w:lang w:val="fr-FR"/>
        </w:rPr>
      </w:pPr>
      <w:r>
        <w:rPr>
          <w:lang w:val="fr-FR"/>
        </w:rPr>
        <w:t>47</w:t>
      </w:r>
      <w:r w:rsidR="00A55761">
        <w:rPr>
          <w:lang w:val="fr-FR"/>
        </w:rPr>
        <w:t>0</w:t>
      </w:r>
      <w:r w:rsidR="00EE0ACB">
        <w:rPr>
          <w:lang w:val="fr-FR"/>
        </w:rPr>
        <w:t>.</w:t>
      </w:r>
      <w:r w:rsidR="00EE0ACB">
        <w:rPr>
          <w:lang w:val="fr-FR"/>
        </w:rPr>
        <w:tab/>
        <w:t>En outre, l’article 487 de la loi spécifie des actions interdites à l’égard des personnes placées dans les centres de détention provisoire, les centres d’hébergement pour les jeunes et les centres pour jeunes délinquants</w:t>
      </w:r>
      <w:r w:rsidR="008D6B80">
        <w:rPr>
          <w:lang w:val="fr-FR"/>
        </w:rPr>
        <w:t xml:space="preserve">. </w:t>
      </w:r>
      <w:r w:rsidR="00EE0ACB">
        <w:rPr>
          <w:lang w:val="fr-FR"/>
        </w:rPr>
        <w:t>Il porte interdiction de faire usage de la force, sauf dans des conditions raisonnables, d’infliger des châtiments corporels, d’exercer quelque forme que ce soit de pression psychologique aux fins d’intimidation ou d’humiliation, du recours à quelque forme que ce soit de violence physique ou psychologique, et d’adopter un traitement discriminatoire, quel qu’il soit.</w:t>
      </w:r>
    </w:p>
    <w:p w:rsidR="007020F4" w:rsidRDefault="00FC2BB5" w:rsidP="005D7B68">
      <w:pPr>
        <w:tabs>
          <w:tab w:val="left" w:pos="567"/>
          <w:tab w:val="left" w:pos="1134"/>
          <w:tab w:val="left" w:pos="1701"/>
          <w:tab w:val="left" w:pos="2268"/>
          <w:tab w:val="left" w:pos="2835"/>
        </w:tabs>
        <w:rPr>
          <w:lang w:val="fr-FR"/>
        </w:rPr>
      </w:pPr>
      <w:r>
        <w:rPr>
          <w:lang w:val="fr-FR"/>
        </w:rPr>
        <w:t>47</w:t>
      </w:r>
      <w:r w:rsidR="00A55761">
        <w:rPr>
          <w:lang w:val="fr-FR"/>
        </w:rPr>
        <w:t>1</w:t>
      </w:r>
      <w:r w:rsidR="00EE0ACB">
        <w:rPr>
          <w:lang w:val="fr-FR"/>
        </w:rPr>
        <w:t>.</w:t>
      </w:r>
      <w:r w:rsidR="00983D92">
        <w:rPr>
          <w:lang w:val="fr-FR"/>
        </w:rPr>
        <w:tab/>
        <w:t>Les politiques et les procédures des services pénitentiaires de la justice pour le</w:t>
      </w:r>
      <w:r w:rsidR="00141DEC">
        <w:rPr>
          <w:lang w:val="fr-FR"/>
        </w:rPr>
        <w:t>s</w:t>
      </w:r>
      <w:r w:rsidR="00983D92">
        <w:rPr>
          <w:lang w:val="fr-FR"/>
        </w:rPr>
        <w:t xml:space="preserve"> jeunes ont été revu</w:t>
      </w:r>
      <w:r w:rsidR="00141DEC">
        <w:rPr>
          <w:lang w:val="fr-FR"/>
        </w:rPr>
        <w:t>es pour vérifier qu’elle</w:t>
      </w:r>
      <w:r w:rsidR="00983D92">
        <w:rPr>
          <w:lang w:val="fr-FR"/>
        </w:rPr>
        <w:t>s étaient conformes à la Charte des droits de l’homme</w:t>
      </w:r>
      <w:r w:rsidR="00D13E4E">
        <w:rPr>
          <w:lang w:val="fr-FR"/>
        </w:rPr>
        <w:t>,</w:t>
      </w:r>
      <w:r w:rsidR="00983D92">
        <w:rPr>
          <w:lang w:val="fr-FR"/>
        </w:rPr>
        <w:t xml:space="preserve"> et un programme de formation très complet est en cours d’exécution pour faire en sorte que tout le personnel soit au courant des prescriptions qu’elle comporte.</w:t>
      </w:r>
    </w:p>
    <w:p w:rsidR="00983D92" w:rsidRDefault="00A55761" w:rsidP="005D7B68">
      <w:pPr>
        <w:tabs>
          <w:tab w:val="left" w:pos="567"/>
          <w:tab w:val="left" w:pos="1134"/>
          <w:tab w:val="left" w:pos="1701"/>
          <w:tab w:val="left" w:pos="2268"/>
          <w:tab w:val="left" w:pos="2835"/>
        </w:tabs>
        <w:rPr>
          <w:lang w:val="fr-FR"/>
        </w:rPr>
      </w:pPr>
      <w:r>
        <w:rPr>
          <w:lang w:val="fr-FR"/>
        </w:rPr>
        <w:t>472</w:t>
      </w:r>
      <w:r w:rsidR="00983D92">
        <w:rPr>
          <w:lang w:val="fr-FR"/>
        </w:rPr>
        <w:t>.</w:t>
      </w:r>
      <w:r w:rsidR="00983D92">
        <w:rPr>
          <w:lang w:val="fr-FR"/>
        </w:rPr>
        <w:tab/>
        <w:t>Les groupes qui sont pris en charge dans les établissements pénitentiaires sont les garçons et les filles âgés de 10 à 18 ans, placés en détention provisoire ou condamnés à des peines privatives de liberté par le Tribunal pour enfants</w:t>
      </w:r>
      <w:r w:rsidR="008D6B80">
        <w:rPr>
          <w:lang w:val="fr-FR"/>
        </w:rPr>
        <w:t xml:space="preserve">. </w:t>
      </w:r>
      <w:r w:rsidR="00983D92">
        <w:rPr>
          <w:lang w:val="fr-FR"/>
        </w:rPr>
        <w:t>Le système pénitentiaire pour les jeunes accueille également les jeunes (garçons et filles) âgés de 18 à 21 ans</w:t>
      </w:r>
      <w:r w:rsidR="00412DDB">
        <w:rPr>
          <w:lang w:val="fr-FR"/>
        </w:rPr>
        <w:t xml:space="preserve"> faisant l’objet d’une ordonnance de placement dans un centre de formation pour jeunes délivrée par les tribunaux pour adultes</w:t>
      </w:r>
      <w:r w:rsidR="008D6B80">
        <w:rPr>
          <w:lang w:val="fr-FR"/>
        </w:rPr>
        <w:t xml:space="preserve">. </w:t>
      </w:r>
      <w:r w:rsidR="00412DDB">
        <w:rPr>
          <w:lang w:val="fr-FR"/>
        </w:rPr>
        <w:t>C’est ce qu’on appe</w:t>
      </w:r>
      <w:r w:rsidR="009F767E">
        <w:rPr>
          <w:lang w:val="fr-FR"/>
        </w:rPr>
        <w:t>lle un système à deux options</w:t>
      </w:r>
      <w:r w:rsidR="00DB74A3">
        <w:rPr>
          <w:lang w:val="fr-FR"/>
        </w:rPr>
        <w:t>, qui est appliqué quand un tribunal pour adultes juge qu’il existe une probabilité raisonnable de réinsertion pour l’intéressé, ou bien qu’il est trop vulnérable ou immature pour purger sa peine dans une prison pour adultes.</w:t>
      </w:r>
    </w:p>
    <w:p w:rsidR="00DB74A3" w:rsidRDefault="00FC2BB5" w:rsidP="005D7B68">
      <w:pPr>
        <w:tabs>
          <w:tab w:val="left" w:pos="567"/>
          <w:tab w:val="left" w:pos="1134"/>
          <w:tab w:val="left" w:pos="1701"/>
          <w:tab w:val="left" w:pos="2268"/>
          <w:tab w:val="left" w:pos="2835"/>
        </w:tabs>
        <w:rPr>
          <w:lang w:val="fr-FR"/>
        </w:rPr>
      </w:pPr>
      <w:r>
        <w:rPr>
          <w:lang w:val="fr-FR"/>
        </w:rPr>
        <w:t>47</w:t>
      </w:r>
      <w:r w:rsidR="00A55761">
        <w:rPr>
          <w:lang w:val="fr-FR"/>
        </w:rPr>
        <w:t>3</w:t>
      </w:r>
      <w:r w:rsidR="00DB74A3">
        <w:rPr>
          <w:lang w:val="fr-FR"/>
        </w:rPr>
        <w:t>.</w:t>
      </w:r>
      <w:r w:rsidR="003108B7">
        <w:rPr>
          <w:lang w:val="fr-FR"/>
        </w:rPr>
        <w:tab/>
        <w:t xml:space="preserve">Il </w:t>
      </w:r>
      <w:r w:rsidR="00CD3C40">
        <w:rPr>
          <w:lang w:val="fr-FR"/>
        </w:rPr>
        <w:t>y a trois centres de placement dans le</w:t>
      </w:r>
      <w:r w:rsidR="003108B7">
        <w:rPr>
          <w:lang w:val="fr-FR"/>
        </w:rPr>
        <w:t xml:space="preserve"> Victoria, qui accueillent 222 jeunes, à savoir</w:t>
      </w:r>
      <w:r w:rsidR="00572260">
        <w:rPr>
          <w:lang w:val="fr-FR"/>
        </w:rPr>
        <w:t>:</w:t>
      </w:r>
    </w:p>
    <w:p w:rsidR="003108B7" w:rsidRDefault="003108B7" w:rsidP="005D7B68">
      <w:pPr>
        <w:tabs>
          <w:tab w:val="left" w:pos="567"/>
          <w:tab w:val="left" w:pos="1134"/>
          <w:tab w:val="left" w:pos="1701"/>
          <w:tab w:val="left" w:pos="2268"/>
          <w:tab w:val="left" w:pos="2835"/>
        </w:tabs>
        <w:rPr>
          <w:lang w:val="fr-FR"/>
        </w:rPr>
      </w:pPr>
      <w:r>
        <w:rPr>
          <w:lang w:val="fr-FR"/>
        </w:rPr>
        <w:tab/>
        <w:t>a)</w:t>
      </w:r>
      <w:r>
        <w:rPr>
          <w:lang w:val="fr-FR"/>
        </w:rPr>
        <w:tab/>
        <w:t>Malmsbury Youth Justice Centre</w:t>
      </w:r>
      <w:r w:rsidR="00572260">
        <w:rPr>
          <w:lang w:val="fr-FR"/>
        </w:rPr>
        <w:t>:</w:t>
      </w:r>
      <w:r>
        <w:rPr>
          <w:lang w:val="fr-FR"/>
        </w:rPr>
        <w:t xml:space="preserve"> é</w:t>
      </w:r>
      <w:r w:rsidR="009F767E">
        <w:rPr>
          <w:lang w:val="fr-FR"/>
        </w:rPr>
        <w:t>tablissement de 90 places pour d</w:t>
      </w:r>
      <w:r>
        <w:rPr>
          <w:lang w:val="fr-FR"/>
        </w:rPr>
        <w:t>es jeunes de sexe masculin âgés de 18 à 21 ans condamnés</w:t>
      </w:r>
      <w:r w:rsidR="009F767E">
        <w:rPr>
          <w:lang w:val="fr-FR"/>
        </w:rPr>
        <w:t xml:space="preserve"> dans le cadre du système à deux options</w:t>
      </w:r>
      <w:r w:rsidR="00F100B1">
        <w:rPr>
          <w:lang w:val="fr-FR"/>
        </w:rPr>
        <w:t>;</w:t>
      </w:r>
    </w:p>
    <w:p w:rsidR="003108B7" w:rsidRDefault="003108B7" w:rsidP="005D7B68">
      <w:pPr>
        <w:tabs>
          <w:tab w:val="left" w:pos="567"/>
          <w:tab w:val="left" w:pos="1134"/>
          <w:tab w:val="left" w:pos="1701"/>
          <w:tab w:val="left" w:pos="2268"/>
          <w:tab w:val="left" w:pos="2835"/>
        </w:tabs>
        <w:rPr>
          <w:lang w:val="fr-FR"/>
        </w:rPr>
      </w:pPr>
      <w:r>
        <w:rPr>
          <w:lang w:val="fr-FR"/>
        </w:rPr>
        <w:tab/>
        <w:t>b)</w:t>
      </w:r>
      <w:r w:rsidR="00CD3C40">
        <w:rPr>
          <w:lang w:val="fr-FR"/>
        </w:rPr>
        <w:tab/>
        <w:t>Melbourne Youth Justice Centre</w:t>
      </w:r>
      <w:r w:rsidR="00572260">
        <w:rPr>
          <w:lang w:val="fr-FR"/>
        </w:rPr>
        <w:t>:</w:t>
      </w:r>
      <w:r>
        <w:rPr>
          <w:lang w:val="fr-FR"/>
        </w:rPr>
        <w:t xml:space="preserve"> établissement </w:t>
      </w:r>
      <w:r w:rsidR="009F767E">
        <w:rPr>
          <w:lang w:val="fr-FR"/>
        </w:rPr>
        <w:t>de 93 places pour des jeunes de sexe masculin âgés de 15 à 18 ans placés en détention provisoire ou condamnés par le Tribunal pour enfants</w:t>
      </w:r>
      <w:r w:rsidR="00BE00B4">
        <w:rPr>
          <w:lang w:val="fr-FR"/>
        </w:rPr>
        <w:t xml:space="preserve">, situé à Parkville, à cinq </w:t>
      </w:r>
      <w:r w:rsidR="00F100B1">
        <w:rPr>
          <w:lang w:val="fr-FR"/>
        </w:rPr>
        <w:t>kilomètres au nord de Melbourne;</w:t>
      </w:r>
      <w:r w:rsidR="00BE00B4">
        <w:rPr>
          <w:lang w:val="fr-FR"/>
        </w:rPr>
        <w:t xml:space="preserve"> et</w:t>
      </w:r>
    </w:p>
    <w:p w:rsidR="00864F9B" w:rsidRDefault="00864F9B" w:rsidP="005D7B68">
      <w:pPr>
        <w:tabs>
          <w:tab w:val="left" w:pos="567"/>
          <w:tab w:val="left" w:pos="1134"/>
          <w:tab w:val="left" w:pos="1701"/>
          <w:tab w:val="left" w:pos="2268"/>
          <w:tab w:val="left" w:pos="2835"/>
        </w:tabs>
        <w:rPr>
          <w:lang w:val="fr-FR"/>
        </w:rPr>
      </w:pPr>
      <w:r>
        <w:rPr>
          <w:lang w:val="fr-FR"/>
        </w:rPr>
        <w:tab/>
      </w:r>
      <w:r w:rsidRPr="00864F9B">
        <w:rPr>
          <w:lang w:val="fr-FR"/>
        </w:rPr>
        <w:t>c)</w:t>
      </w:r>
      <w:r w:rsidRPr="00864F9B">
        <w:rPr>
          <w:lang w:val="fr-FR"/>
        </w:rPr>
        <w:tab/>
        <w:t>Parkville Youth Residential Centre</w:t>
      </w:r>
      <w:r w:rsidR="00572260">
        <w:rPr>
          <w:lang w:val="fr-FR"/>
        </w:rPr>
        <w:t>:</w:t>
      </w:r>
      <w:r w:rsidRPr="00864F9B">
        <w:rPr>
          <w:lang w:val="fr-FR"/>
        </w:rPr>
        <w:t xml:space="preserve"> établissement de 39 places</w:t>
      </w:r>
      <w:r>
        <w:rPr>
          <w:lang w:val="fr-FR"/>
        </w:rPr>
        <w:t xml:space="preserve"> pour les garçons âgés de 10 à 14 ans et les jeunes filles âgées de 10 à 18 ans placés en détention pr</w:t>
      </w:r>
      <w:r w:rsidR="00AE557A">
        <w:rPr>
          <w:lang w:val="fr-FR"/>
        </w:rPr>
        <w:t>ovisoire ou condamnés</w:t>
      </w:r>
      <w:r>
        <w:rPr>
          <w:lang w:val="fr-FR"/>
        </w:rPr>
        <w:t xml:space="preserve"> par le Tribunal pour enfants, ainsi que les jeunes femmes de 18 à 21 ans condamnées dans le cadre du système à deux options</w:t>
      </w:r>
      <w:r w:rsidR="008D6B80">
        <w:rPr>
          <w:lang w:val="fr-FR"/>
        </w:rPr>
        <w:t xml:space="preserve">. </w:t>
      </w:r>
      <w:r>
        <w:rPr>
          <w:lang w:val="fr-FR"/>
        </w:rPr>
        <w:t>Les jeunes femmes sont détenues à l’écart des garçons.</w:t>
      </w:r>
    </w:p>
    <w:p w:rsidR="0093154B" w:rsidRDefault="00864F9B" w:rsidP="005D7B68">
      <w:pPr>
        <w:tabs>
          <w:tab w:val="left" w:pos="567"/>
          <w:tab w:val="left" w:pos="1134"/>
          <w:tab w:val="left" w:pos="1701"/>
          <w:tab w:val="left" w:pos="2268"/>
          <w:tab w:val="left" w:pos="2835"/>
        </w:tabs>
        <w:rPr>
          <w:b/>
          <w:bCs/>
          <w:lang w:val="fr-FR"/>
        </w:rPr>
      </w:pPr>
      <w:r>
        <w:rPr>
          <w:b/>
          <w:bCs/>
          <w:lang w:val="fr-FR"/>
        </w:rPr>
        <w:t xml:space="preserve">Politiques et procédures des services pénitentiaires de la justice pour </w:t>
      </w:r>
      <w:r w:rsidR="0093154B">
        <w:rPr>
          <w:b/>
          <w:bCs/>
          <w:lang w:val="fr-FR"/>
        </w:rPr>
        <w:t>mineurs</w:t>
      </w:r>
    </w:p>
    <w:p w:rsidR="000408C5" w:rsidRDefault="00A55761" w:rsidP="005D7B68">
      <w:pPr>
        <w:tabs>
          <w:tab w:val="left" w:pos="567"/>
          <w:tab w:val="left" w:pos="1134"/>
          <w:tab w:val="left" w:pos="1701"/>
          <w:tab w:val="left" w:pos="2268"/>
          <w:tab w:val="left" w:pos="2835"/>
        </w:tabs>
        <w:rPr>
          <w:lang w:val="fr-FR"/>
        </w:rPr>
      </w:pPr>
      <w:r>
        <w:rPr>
          <w:lang w:val="fr-FR"/>
        </w:rPr>
        <w:t>474</w:t>
      </w:r>
      <w:r w:rsidR="0093154B">
        <w:rPr>
          <w:lang w:val="fr-FR"/>
        </w:rPr>
        <w:t>.</w:t>
      </w:r>
      <w:r w:rsidR="0093154B">
        <w:rPr>
          <w:lang w:val="fr-FR"/>
        </w:rPr>
        <w:tab/>
        <w:t>Le manuel de fonctionnement du Centre de justice pour mineurs contient les modalités opératoires des trois centres</w:t>
      </w:r>
      <w:r w:rsidR="0033170C">
        <w:rPr>
          <w:lang w:val="fr-FR"/>
        </w:rPr>
        <w:t xml:space="preserve"> de</w:t>
      </w:r>
      <w:r w:rsidR="00350106">
        <w:rPr>
          <w:lang w:val="fr-FR"/>
        </w:rPr>
        <w:t xml:space="preserve"> la justice pour min</w:t>
      </w:r>
      <w:r w:rsidR="00BB297A">
        <w:rPr>
          <w:lang w:val="fr-FR"/>
        </w:rPr>
        <w:t>eurs du</w:t>
      </w:r>
      <w:r w:rsidR="00A336F1">
        <w:rPr>
          <w:lang w:val="fr-FR"/>
        </w:rPr>
        <w:t xml:space="preserve"> Victoria, qui</w:t>
      </w:r>
      <w:r w:rsidR="00350106">
        <w:rPr>
          <w:lang w:val="fr-FR"/>
        </w:rPr>
        <w:t xml:space="preserve"> ont été mis</w:t>
      </w:r>
      <w:r w:rsidR="00A336F1">
        <w:rPr>
          <w:lang w:val="fr-FR"/>
        </w:rPr>
        <w:t>es au point de façon à être</w:t>
      </w:r>
      <w:r w:rsidR="00350106">
        <w:rPr>
          <w:lang w:val="fr-FR"/>
        </w:rPr>
        <w:t xml:space="preserve"> conformes aux prescriptions législatives ainsi qu’aux normes nationales et internationales pour que le traitement des jeunes en détention repose sur de bonnes pratiques et donne de bons résultats</w:t>
      </w:r>
      <w:r w:rsidR="008D6B80">
        <w:rPr>
          <w:lang w:val="fr-FR"/>
        </w:rPr>
        <w:t xml:space="preserve">. </w:t>
      </w:r>
      <w:r w:rsidR="00350106">
        <w:rPr>
          <w:lang w:val="fr-FR"/>
        </w:rPr>
        <w:t>Elles comprennent les Normes australasiennes des administrateurs de la justice pour mineurs relatives aux établissements</w:t>
      </w:r>
      <w:r w:rsidR="00572260">
        <w:rPr>
          <w:lang w:val="fr-FR"/>
        </w:rPr>
        <w:t xml:space="preserve"> </w:t>
      </w:r>
      <w:r w:rsidR="00350106">
        <w:rPr>
          <w:lang w:val="fr-FR"/>
        </w:rPr>
        <w:t>pé</w:t>
      </w:r>
      <w:r w:rsidR="00B83F02">
        <w:rPr>
          <w:lang w:val="fr-FR"/>
        </w:rPr>
        <w:t>nitentiaires pour mineurs, l’Ensemble de r</w:t>
      </w:r>
      <w:r w:rsidR="00350106">
        <w:rPr>
          <w:lang w:val="fr-FR"/>
        </w:rPr>
        <w:t>ègles de</w:t>
      </w:r>
      <w:r w:rsidR="00B83F02">
        <w:rPr>
          <w:lang w:val="fr-FR"/>
        </w:rPr>
        <w:t>s</w:t>
      </w:r>
      <w:r w:rsidR="00350106">
        <w:rPr>
          <w:lang w:val="fr-FR"/>
        </w:rPr>
        <w:t xml:space="preserve"> Nations Unies pour la protec</w:t>
      </w:r>
      <w:r w:rsidR="00B83F02">
        <w:rPr>
          <w:lang w:val="fr-FR"/>
        </w:rPr>
        <w:t>tion des mineurs privés de</w:t>
      </w:r>
      <w:r w:rsidR="00350106">
        <w:rPr>
          <w:lang w:val="fr-FR"/>
        </w:rPr>
        <w:t xml:space="preserve"> liberté et</w:t>
      </w:r>
      <w:r w:rsidR="00B83F02">
        <w:rPr>
          <w:lang w:val="fr-FR"/>
        </w:rPr>
        <w:t xml:space="preserve"> l’Ensemble de règles minima des Nations Unies concernant l’administration de la justice pour mineurs</w:t>
      </w:r>
      <w:r w:rsidR="008D6B80">
        <w:rPr>
          <w:lang w:val="fr-FR"/>
        </w:rPr>
        <w:t xml:space="preserve">. </w:t>
      </w:r>
      <w:r w:rsidR="00B83F02">
        <w:rPr>
          <w:lang w:val="fr-FR"/>
        </w:rPr>
        <w:t xml:space="preserve">Ces procédures régissent la pratique dans les trois centres et assurent régulièrement aux jeunes détenus un haut niveau de prise en charge, </w:t>
      </w:r>
      <w:r w:rsidR="000408C5">
        <w:rPr>
          <w:lang w:val="fr-FR"/>
        </w:rPr>
        <w:t>de conditions de détention et de traitement.</w:t>
      </w:r>
    </w:p>
    <w:p w:rsidR="00864F9B" w:rsidRDefault="00A55761" w:rsidP="005D7B68">
      <w:pPr>
        <w:tabs>
          <w:tab w:val="left" w:pos="567"/>
          <w:tab w:val="left" w:pos="1134"/>
          <w:tab w:val="left" w:pos="1701"/>
          <w:tab w:val="left" w:pos="2268"/>
          <w:tab w:val="left" w:pos="2835"/>
        </w:tabs>
        <w:rPr>
          <w:lang w:val="fr-FR"/>
        </w:rPr>
      </w:pPr>
      <w:r>
        <w:rPr>
          <w:lang w:val="fr-FR"/>
        </w:rPr>
        <w:t>475</w:t>
      </w:r>
      <w:r w:rsidR="000408C5">
        <w:rPr>
          <w:lang w:val="fr-FR"/>
        </w:rPr>
        <w:t>.</w:t>
      </w:r>
      <w:r w:rsidR="000408C5">
        <w:rPr>
          <w:lang w:val="fr-FR"/>
        </w:rPr>
        <w:tab/>
        <w:t>Pour faire</w:t>
      </w:r>
      <w:r w:rsidR="00B83F02">
        <w:rPr>
          <w:lang w:val="fr-FR"/>
        </w:rPr>
        <w:t xml:space="preserve"> </w:t>
      </w:r>
      <w:r w:rsidR="000408C5">
        <w:rPr>
          <w:lang w:val="fr-FR"/>
        </w:rPr>
        <w:t>en sorte que ces services soient dispensés de manière à ce que les enfants et les jeunes placés en détention se sentent soutenus quels que soient leurs besoins, leur milieu culturel ou leur sexe, un cadre de réinsertion a été mis au point, qui est basé sur des évaluations individuelles poussées</w:t>
      </w:r>
      <w:r w:rsidR="008D6B80">
        <w:rPr>
          <w:lang w:val="fr-FR"/>
        </w:rPr>
        <w:t xml:space="preserve">. </w:t>
      </w:r>
      <w:r w:rsidR="000408C5">
        <w:rPr>
          <w:lang w:val="fr-FR"/>
        </w:rPr>
        <w:t>A partir de ces dernières, une gamme de programmes et de service</w:t>
      </w:r>
      <w:r w:rsidR="00A336F1">
        <w:rPr>
          <w:lang w:val="fr-FR"/>
        </w:rPr>
        <w:t>s</w:t>
      </w:r>
      <w:r w:rsidR="000408C5">
        <w:rPr>
          <w:lang w:val="fr-FR"/>
        </w:rPr>
        <w:t xml:space="preserve"> est mise à disposition, y compris des programmes spécifiques comme ceux qui sont destinés aux jeunes condamnés pour des délits sexuels ou </w:t>
      </w:r>
      <w:r w:rsidR="00A11120">
        <w:rPr>
          <w:lang w:val="fr-FR"/>
        </w:rPr>
        <w:t>des délits violents, ou bien des programmes d’éducation en matière de drogue ou d’alcool, de développement des aptitudes à résoudre les problèmes et de gestion de la colère, des services de santé très complets, des programmes à caractère éducatif, professionnel et récréatif, et des programmes de développement personnel appropriés à l’âge et au sexe.</w:t>
      </w:r>
    </w:p>
    <w:p w:rsidR="00A11120" w:rsidRDefault="00A55761" w:rsidP="005D7B68">
      <w:pPr>
        <w:tabs>
          <w:tab w:val="left" w:pos="567"/>
          <w:tab w:val="left" w:pos="1134"/>
          <w:tab w:val="left" w:pos="1701"/>
          <w:tab w:val="left" w:pos="2268"/>
          <w:tab w:val="left" w:pos="2835"/>
        </w:tabs>
        <w:rPr>
          <w:lang w:val="fr-FR"/>
        </w:rPr>
      </w:pPr>
      <w:r>
        <w:rPr>
          <w:lang w:val="fr-FR"/>
        </w:rPr>
        <w:t>476</w:t>
      </w:r>
      <w:r w:rsidR="00D646DC">
        <w:rPr>
          <w:lang w:val="fr-FR"/>
        </w:rPr>
        <w:t>.</w:t>
      </w:r>
      <w:r w:rsidR="00D646DC">
        <w:rPr>
          <w:lang w:val="fr-FR"/>
        </w:rPr>
        <w:tab/>
        <w:t xml:space="preserve">Un certain nombre </w:t>
      </w:r>
      <w:r w:rsidR="0037005D">
        <w:rPr>
          <w:lang w:val="fr-FR"/>
        </w:rPr>
        <w:t>de systèmes ont été instaurés</w:t>
      </w:r>
      <w:r w:rsidR="00D646DC">
        <w:rPr>
          <w:lang w:val="fr-FR"/>
        </w:rPr>
        <w:t xml:space="preserve"> pour veiller à ce que les centres</w:t>
      </w:r>
      <w:r w:rsidR="00B01047">
        <w:rPr>
          <w:lang w:val="fr-FR"/>
        </w:rPr>
        <w:t xml:space="preserve"> respectent la législation, la politique et les modalités opératoires prescrites</w:t>
      </w:r>
      <w:r w:rsidR="008D6B80">
        <w:rPr>
          <w:lang w:val="fr-FR"/>
        </w:rPr>
        <w:t xml:space="preserve">. </w:t>
      </w:r>
      <w:r w:rsidR="00B01047">
        <w:rPr>
          <w:lang w:val="fr-FR"/>
        </w:rPr>
        <w:t xml:space="preserve">Il s’agit, entre autres, </w:t>
      </w:r>
      <w:r w:rsidR="00A336F1">
        <w:rPr>
          <w:lang w:val="fr-FR"/>
        </w:rPr>
        <w:t>de vérifier</w:t>
      </w:r>
      <w:r w:rsidR="00E31B08">
        <w:rPr>
          <w:lang w:val="fr-FR"/>
        </w:rPr>
        <w:t xml:space="preserve"> que les procédures très importantes sont respectées, ainsi que les prescriptions législatives</w:t>
      </w:r>
      <w:r w:rsidR="008D6B80">
        <w:rPr>
          <w:lang w:val="fr-FR"/>
        </w:rPr>
        <w:t xml:space="preserve">. </w:t>
      </w:r>
      <w:r w:rsidR="00E31B08">
        <w:rPr>
          <w:lang w:val="fr-FR"/>
        </w:rPr>
        <w:t>Les services pénitenti</w:t>
      </w:r>
      <w:r w:rsidR="0011438C">
        <w:rPr>
          <w:lang w:val="fr-FR"/>
        </w:rPr>
        <w:t>aires ont également mis en œuvre</w:t>
      </w:r>
      <w:r w:rsidR="00E31B08">
        <w:rPr>
          <w:lang w:val="fr-FR"/>
        </w:rPr>
        <w:t xml:space="preserve"> un processus de gestion des plaintes pour traiter les problèmes soulevés par les détenus, les visiteurs et le personnel</w:t>
      </w:r>
      <w:r w:rsidR="008D6B80">
        <w:rPr>
          <w:lang w:val="fr-FR"/>
        </w:rPr>
        <w:t xml:space="preserve">. </w:t>
      </w:r>
      <w:r w:rsidR="00E31B08">
        <w:rPr>
          <w:lang w:val="fr-FR"/>
        </w:rPr>
        <w:t>Les centres reçoivent régulièrement la visite du</w:t>
      </w:r>
      <w:r w:rsidR="00BB297A">
        <w:rPr>
          <w:lang w:val="fr-FR"/>
        </w:rPr>
        <w:t xml:space="preserve"> Médiateur du</w:t>
      </w:r>
      <w:r w:rsidR="00A336F1">
        <w:rPr>
          <w:lang w:val="fr-FR"/>
        </w:rPr>
        <w:t xml:space="preserve"> Victoria, qui a</w:t>
      </w:r>
      <w:r w:rsidR="00E31B08">
        <w:rPr>
          <w:lang w:val="fr-FR"/>
        </w:rPr>
        <w:t xml:space="preserve"> plein</w:t>
      </w:r>
      <w:r w:rsidR="00A336F1">
        <w:rPr>
          <w:lang w:val="fr-FR"/>
        </w:rPr>
        <w:t>ement</w:t>
      </w:r>
      <w:r w:rsidR="00E31B08">
        <w:rPr>
          <w:lang w:val="fr-FR"/>
        </w:rPr>
        <w:t xml:space="preserve"> accès aux détenus et dont les pouvoirs ont récemment été étendus en vertu de la</w:t>
      </w:r>
      <w:r w:rsidR="00BB297A">
        <w:rPr>
          <w:lang w:val="fr-FR"/>
        </w:rPr>
        <w:t xml:space="preserve"> Charte des droits de l’homme du</w:t>
      </w:r>
      <w:r w:rsidR="00E31B08">
        <w:rPr>
          <w:lang w:val="fr-FR"/>
        </w:rPr>
        <w:t xml:space="preserve"> Victoria.</w:t>
      </w:r>
    </w:p>
    <w:p w:rsidR="00E31B08" w:rsidRDefault="00A55761" w:rsidP="005D7B68">
      <w:pPr>
        <w:tabs>
          <w:tab w:val="left" w:pos="567"/>
          <w:tab w:val="left" w:pos="1134"/>
          <w:tab w:val="left" w:pos="1701"/>
          <w:tab w:val="left" w:pos="2268"/>
          <w:tab w:val="left" w:pos="2835"/>
        </w:tabs>
        <w:rPr>
          <w:lang w:val="fr-FR"/>
        </w:rPr>
      </w:pPr>
      <w:r>
        <w:rPr>
          <w:lang w:val="fr-FR"/>
        </w:rPr>
        <w:t>477</w:t>
      </w:r>
      <w:r w:rsidR="002D7FA8">
        <w:rPr>
          <w:lang w:val="fr-FR"/>
        </w:rPr>
        <w:t>.</w:t>
      </w:r>
      <w:r w:rsidR="002D7FA8">
        <w:rPr>
          <w:lang w:val="fr-FR"/>
        </w:rPr>
        <w:tab/>
        <w:t>Le fonctionnement d</w:t>
      </w:r>
      <w:r w:rsidR="00E31B08">
        <w:rPr>
          <w:lang w:val="fr-FR"/>
        </w:rPr>
        <w:t>es services pénitentiaires de la justice pour mineurs</w:t>
      </w:r>
      <w:r w:rsidR="002D7FA8">
        <w:rPr>
          <w:lang w:val="fr-FR"/>
        </w:rPr>
        <w:t xml:space="preserve"> est régi par un cadre législatif qui définit et appuie les droits des personnes</w:t>
      </w:r>
      <w:r w:rsidR="0011438C">
        <w:rPr>
          <w:lang w:val="fr-FR"/>
        </w:rPr>
        <w:t>,</w:t>
      </w:r>
      <w:r w:rsidR="002D7FA8">
        <w:rPr>
          <w:lang w:val="fr-FR"/>
        </w:rPr>
        <w:t xml:space="preserve"> et assure un ensemble de protections aux jeunes et aux enfants privés de liberté</w:t>
      </w:r>
      <w:r w:rsidR="008D6B80">
        <w:rPr>
          <w:lang w:val="fr-FR"/>
        </w:rPr>
        <w:t xml:space="preserve">. </w:t>
      </w:r>
      <w:r w:rsidR="002D7FA8">
        <w:rPr>
          <w:lang w:val="fr-FR"/>
        </w:rPr>
        <w:t>Á partir de ce cadre, des politiques et des procédures ont été mises au point pour traduire ces protections en mesures con</w:t>
      </w:r>
      <w:r w:rsidR="00BC2CF3">
        <w:rPr>
          <w:lang w:val="fr-FR"/>
        </w:rPr>
        <w:t>crètes dans les trois centres du</w:t>
      </w:r>
      <w:r w:rsidR="002D7FA8">
        <w:rPr>
          <w:lang w:val="fr-FR"/>
        </w:rPr>
        <w:t xml:space="preserve"> Victoria.</w:t>
      </w:r>
    </w:p>
    <w:p w:rsidR="002D7FA8" w:rsidRDefault="00D84182" w:rsidP="005D7B68">
      <w:pPr>
        <w:tabs>
          <w:tab w:val="left" w:pos="567"/>
          <w:tab w:val="left" w:pos="1134"/>
          <w:tab w:val="left" w:pos="1701"/>
          <w:tab w:val="left" w:pos="2268"/>
          <w:tab w:val="left" w:pos="2835"/>
        </w:tabs>
        <w:rPr>
          <w:b/>
          <w:bCs/>
          <w:lang w:val="fr-FR"/>
        </w:rPr>
      </w:pPr>
      <w:r>
        <w:rPr>
          <w:b/>
          <w:bCs/>
          <w:lang w:val="fr-FR"/>
        </w:rPr>
        <w:t>Personnes vulnérables placées en garde à vue</w:t>
      </w:r>
    </w:p>
    <w:p w:rsidR="00D84182" w:rsidRDefault="00A55761" w:rsidP="005D7B68">
      <w:pPr>
        <w:tabs>
          <w:tab w:val="left" w:pos="567"/>
          <w:tab w:val="left" w:pos="1134"/>
          <w:tab w:val="left" w:pos="1701"/>
          <w:tab w:val="left" w:pos="2268"/>
          <w:tab w:val="left" w:pos="2835"/>
        </w:tabs>
        <w:rPr>
          <w:lang w:val="fr-FR"/>
        </w:rPr>
      </w:pPr>
      <w:r>
        <w:rPr>
          <w:lang w:val="fr-FR"/>
        </w:rPr>
        <w:t>478</w:t>
      </w:r>
      <w:r w:rsidR="000C6918">
        <w:rPr>
          <w:lang w:val="fr-FR"/>
        </w:rPr>
        <w:t>.</w:t>
      </w:r>
      <w:r w:rsidR="000C6918">
        <w:rPr>
          <w:lang w:val="fr-FR"/>
        </w:rPr>
        <w:tab/>
        <w:t>Le Manuel de la police du</w:t>
      </w:r>
      <w:r w:rsidR="00D84182">
        <w:rPr>
          <w:lang w:val="fr-FR"/>
        </w:rPr>
        <w:t xml:space="preserve"> Victoria est un guide opérationnel à l’intention des fonctionnaires et donne des instructions concernant la gestion et</w:t>
      </w:r>
      <w:r w:rsidR="003134A6">
        <w:rPr>
          <w:lang w:val="fr-FR"/>
        </w:rPr>
        <w:t xml:space="preserve"> le traitement des détenus</w:t>
      </w:r>
      <w:r w:rsidR="008D6B80">
        <w:rPr>
          <w:lang w:val="fr-FR"/>
        </w:rPr>
        <w:t xml:space="preserve">. </w:t>
      </w:r>
      <w:r w:rsidR="00F100B1">
        <w:rPr>
          <w:lang w:val="fr-FR"/>
        </w:rPr>
        <w:t>Il </w:t>
      </w:r>
      <w:r w:rsidR="003134A6">
        <w:rPr>
          <w:lang w:val="fr-FR"/>
        </w:rPr>
        <w:t xml:space="preserve">présente des politiques et des procédures applicables aux groupes vulnérables, comme les communautés autochtones et des communautés de cultures et </w:t>
      </w:r>
      <w:r w:rsidR="00A336F1">
        <w:rPr>
          <w:lang w:val="fr-FR"/>
        </w:rPr>
        <w:t>de langues diverses</w:t>
      </w:r>
      <w:r w:rsidR="008D6B80">
        <w:rPr>
          <w:lang w:val="fr-FR"/>
        </w:rPr>
        <w:t xml:space="preserve">. </w:t>
      </w:r>
      <w:r w:rsidR="00A336F1">
        <w:rPr>
          <w:lang w:val="fr-FR"/>
        </w:rPr>
        <w:t>I</w:t>
      </w:r>
      <w:r w:rsidR="003134A6">
        <w:rPr>
          <w:lang w:val="fr-FR"/>
        </w:rPr>
        <w:t xml:space="preserve">l propose </w:t>
      </w:r>
      <w:r w:rsidR="00A336F1">
        <w:rPr>
          <w:lang w:val="fr-FR"/>
        </w:rPr>
        <w:t xml:space="preserve">aussi </w:t>
      </w:r>
      <w:r w:rsidR="003134A6">
        <w:rPr>
          <w:lang w:val="fr-FR"/>
        </w:rPr>
        <w:t xml:space="preserve">des procédures particulières pour faire en sorte que les personnes souffrant de troubles mentaux, de lésions corporelles ou d’autres affections soient repérées et reçoivent </w:t>
      </w:r>
      <w:r w:rsidR="00A336F1">
        <w:rPr>
          <w:lang w:val="fr-FR"/>
        </w:rPr>
        <w:t xml:space="preserve">le </w:t>
      </w:r>
      <w:r w:rsidR="003134A6">
        <w:rPr>
          <w:lang w:val="fr-FR"/>
        </w:rPr>
        <w:t xml:space="preserve">traitement qui convient. </w:t>
      </w:r>
    </w:p>
    <w:p w:rsidR="003134A6" w:rsidRDefault="00A55761" w:rsidP="005D7B68">
      <w:pPr>
        <w:tabs>
          <w:tab w:val="left" w:pos="567"/>
          <w:tab w:val="left" w:pos="1134"/>
          <w:tab w:val="left" w:pos="1701"/>
          <w:tab w:val="left" w:pos="2268"/>
          <w:tab w:val="left" w:pos="2835"/>
        </w:tabs>
        <w:rPr>
          <w:lang w:val="fr-FR"/>
        </w:rPr>
      </w:pPr>
      <w:r>
        <w:rPr>
          <w:lang w:val="fr-FR"/>
        </w:rPr>
        <w:t>479</w:t>
      </w:r>
      <w:r w:rsidR="003134A6">
        <w:rPr>
          <w:lang w:val="fr-FR"/>
        </w:rPr>
        <w:t>.</w:t>
      </w:r>
      <w:r w:rsidR="003134A6">
        <w:rPr>
          <w:lang w:val="fr-FR"/>
        </w:rPr>
        <w:tab/>
      </w:r>
      <w:r w:rsidR="00FC2BB5">
        <w:rPr>
          <w:lang w:val="fr-FR"/>
        </w:rPr>
        <w:t xml:space="preserve">L’article 46E 1) de la </w:t>
      </w:r>
      <w:r w:rsidR="00A336F1" w:rsidRPr="00A336F1">
        <w:rPr>
          <w:lang w:val="fr-FR"/>
        </w:rPr>
        <w:t>l</w:t>
      </w:r>
      <w:r w:rsidR="00FC2BB5" w:rsidRPr="00A336F1">
        <w:rPr>
          <w:lang w:val="fr-FR"/>
        </w:rPr>
        <w:t>oi de 1958 sur les infractions pénales</w:t>
      </w:r>
      <w:r w:rsidR="00FC2BB5">
        <w:rPr>
          <w:i/>
          <w:iCs/>
          <w:lang w:val="fr-FR"/>
        </w:rPr>
        <w:t xml:space="preserve"> </w:t>
      </w:r>
      <w:r w:rsidR="00FC2BB5">
        <w:rPr>
          <w:lang w:val="fr-FR"/>
        </w:rPr>
        <w:t>(Victoria) dispose que, si la personne placée en garde à vue est âgée de moins de 18 ans, la présence d’un parent, d’un tuteur ou d’une personne indépendante est nécessaire avant tout interrogatoire et que cette personne doit avoir la possibilité de s’entretenir en privé avec l’enfant avant l’interrogatoire.</w:t>
      </w:r>
    </w:p>
    <w:p w:rsidR="0033170C" w:rsidRDefault="0033170C" w:rsidP="005D7B68">
      <w:pPr>
        <w:tabs>
          <w:tab w:val="left" w:pos="567"/>
          <w:tab w:val="left" w:pos="1134"/>
          <w:tab w:val="left" w:pos="1701"/>
          <w:tab w:val="left" w:pos="2268"/>
          <w:tab w:val="left" w:pos="2835"/>
        </w:tabs>
        <w:rPr>
          <w:b/>
          <w:bCs/>
          <w:lang w:val="fr-FR"/>
        </w:rPr>
      </w:pPr>
      <w:r>
        <w:rPr>
          <w:b/>
          <w:bCs/>
          <w:lang w:val="fr-FR"/>
        </w:rPr>
        <w:t>Personnes vulnérables dans les établissements pénitentiaires</w:t>
      </w:r>
    </w:p>
    <w:p w:rsidR="00E62574" w:rsidRDefault="00A55761" w:rsidP="005D7B68">
      <w:pPr>
        <w:tabs>
          <w:tab w:val="left" w:pos="567"/>
          <w:tab w:val="left" w:pos="1134"/>
          <w:tab w:val="left" w:pos="1701"/>
          <w:tab w:val="left" w:pos="2268"/>
          <w:tab w:val="left" w:pos="2835"/>
        </w:tabs>
        <w:rPr>
          <w:lang w:val="fr-FR"/>
        </w:rPr>
      </w:pPr>
      <w:r>
        <w:rPr>
          <w:lang w:val="fr-FR"/>
        </w:rPr>
        <w:t>480</w:t>
      </w:r>
      <w:r w:rsidR="00E62574">
        <w:rPr>
          <w:lang w:val="fr-FR"/>
        </w:rPr>
        <w:t>.</w:t>
      </w:r>
      <w:r w:rsidR="00E62574">
        <w:rPr>
          <w:lang w:val="fr-FR"/>
        </w:rPr>
        <w:tab/>
        <w:t xml:space="preserve">Les </w:t>
      </w:r>
      <w:r w:rsidR="00E62574">
        <w:rPr>
          <w:i/>
          <w:iCs/>
          <w:lang w:val="fr-FR"/>
        </w:rPr>
        <w:t xml:space="preserve">Correctional Management Standards for Men’s Prisons </w:t>
      </w:r>
      <w:r w:rsidR="00E62574">
        <w:rPr>
          <w:lang w:val="fr-FR"/>
        </w:rPr>
        <w:t xml:space="preserve">(2006) (normes relatives à la gestions pénitentiaire des prisons pour hommes) et les </w:t>
      </w:r>
      <w:r w:rsidR="00E62574">
        <w:rPr>
          <w:i/>
          <w:iCs/>
          <w:lang w:val="fr-FR"/>
        </w:rPr>
        <w:t xml:space="preserve">Standards for the Management of Women Prisoners in Victoria </w:t>
      </w:r>
      <w:r w:rsidR="00E62574">
        <w:rPr>
          <w:lang w:val="fr-FR"/>
        </w:rPr>
        <w:t>(2006) (normes relati</w:t>
      </w:r>
      <w:r w:rsidR="000C6918">
        <w:rPr>
          <w:lang w:val="fr-FR"/>
        </w:rPr>
        <w:t>ves au traitement des détenues dans l’État de</w:t>
      </w:r>
      <w:r w:rsidR="00E62574">
        <w:rPr>
          <w:lang w:val="fr-FR"/>
        </w:rPr>
        <w:t xml:space="preserve"> Victoria) </w:t>
      </w:r>
      <w:r w:rsidR="00BF72CE">
        <w:rPr>
          <w:lang w:val="fr-FR"/>
        </w:rPr>
        <w:t>établissent les règles minima que doivent respecter les services pénitentiaires et constituent la base des modalités opératoires des prisons</w:t>
      </w:r>
      <w:r w:rsidR="008D6B80">
        <w:rPr>
          <w:lang w:val="fr-FR"/>
        </w:rPr>
        <w:t xml:space="preserve">. </w:t>
      </w:r>
      <w:r w:rsidR="00BF72CE">
        <w:rPr>
          <w:lang w:val="fr-FR"/>
        </w:rPr>
        <w:t xml:space="preserve">Ces normes ont été élaborées à partir de l’Ensemble de règles minima pour le traitement des détenus (1977) et les </w:t>
      </w:r>
      <w:r w:rsidR="00BF72CE">
        <w:rPr>
          <w:i/>
          <w:iCs/>
          <w:lang w:val="fr-FR"/>
        </w:rPr>
        <w:t xml:space="preserve">National Standard Guidelines for Corrections in Australia </w:t>
      </w:r>
      <w:r w:rsidR="00BF72CE" w:rsidRPr="00BF72CE">
        <w:rPr>
          <w:lang w:val="fr-FR"/>
        </w:rPr>
        <w:t>(2004) (</w:t>
      </w:r>
      <w:r w:rsidR="00BF72CE">
        <w:rPr>
          <w:lang w:val="fr-FR"/>
        </w:rPr>
        <w:t>Ensemble national de principes directeurs pour les établissements pénitentiaires d’Australie)</w:t>
      </w:r>
      <w:r w:rsidR="008D6B80">
        <w:rPr>
          <w:lang w:val="fr-FR"/>
        </w:rPr>
        <w:t xml:space="preserve">. </w:t>
      </w:r>
      <w:r w:rsidR="00BF72CE">
        <w:rPr>
          <w:lang w:val="fr-FR"/>
        </w:rPr>
        <w:t>Elles comportent des prescriptions spécifiques relatives au traiteme</w:t>
      </w:r>
      <w:r w:rsidR="00102072">
        <w:rPr>
          <w:lang w:val="fr-FR"/>
        </w:rPr>
        <w:t>nt des détenus autochtones et</w:t>
      </w:r>
      <w:r w:rsidR="00BF72CE">
        <w:rPr>
          <w:lang w:val="fr-FR"/>
        </w:rPr>
        <w:t xml:space="preserve"> des détenus </w:t>
      </w:r>
      <w:r w:rsidR="00102072">
        <w:rPr>
          <w:lang w:val="fr-FR"/>
        </w:rPr>
        <w:t>souffrant de handicaps (y compris les troubles mentaux), ainsi que des détenus issus de communautés de</w:t>
      </w:r>
      <w:r w:rsidR="00572260">
        <w:rPr>
          <w:lang w:val="fr-FR"/>
        </w:rPr>
        <w:t xml:space="preserve"> </w:t>
      </w:r>
      <w:r w:rsidR="00102072">
        <w:rPr>
          <w:lang w:val="fr-FR"/>
        </w:rPr>
        <w:t>cultures et de langues diverses.</w:t>
      </w:r>
    </w:p>
    <w:p w:rsidR="00102072" w:rsidRDefault="00A55761" w:rsidP="005D7B68">
      <w:pPr>
        <w:tabs>
          <w:tab w:val="left" w:pos="567"/>
          <w:tab w:val="left" w:pos="1134"/>
          <w:tab w:val="left" w:pos="1701"/>
          <w:tab w:val="left" w:pos="2268"/>
          <w:tab w:val="left" w:pos="2835"/>
        </w:tabs>
        <w:rPr>
          <w:lang w:val="fr-FR"/>
        </w:rPr>
      </w:pPr>
      <w:r>
        <w:rPr>
          <w:lang w:val="fr-FR"/>
        </w:rPr>
        <w:t>481</w:t>
      </w:r>
      <w:r w:rsidR="00102072">
        <w:rPr>
          <w:lang w:val="fr-FR"/>
        </w:rPr>
        <w:t>.</w:t>
      </w:r>
      <w:r w:rsidR="00102072">
        <w:rPr>
          <w:lang w:val="fr-FR"/>
        </w:rPr>
        <w:tab/>
      </w:r>
      <w:r w:rsidR="00102072">
        <w:rPr>
          <w:i/>
          <w:iCs/>
          <w:lang w:val="fr-FR"/>
        </w:rPr>
        <w:t>Corrections Victoria</w:t>
      </w:r>
      <w:r w:rsidR="00102072">
        <w:rPr>
          <w:lang w:val="fr-FR"/>
        </w:rPr>
        <w:t xml:space="preserve"> examine actuellement toutes les lois, les politiques et les procédures concernées pour les mettre en conformité avec la loi sur la Charte des droits de l’homme et des devoirs à cet égard</w:t>
      </w:r>
      <w:r w:rsidR="00810D7F">
        <w:rPr>
          <w:lang w:val="fr-FR"/>
        </w:rPr>
        <w:t>, et mettra en œuvre un programme de formation à l’intention de tout le personnel concerné au deuxième semestre de 2007.</w:t>
      </w:r>
    </w:p>
    <w:p w:rsidR="00810D7F" w:rsidRDefault="00810D7F" w:rsidP="005D7B68">
      <w:pPr>
        <w:tabs>
          <w:tab w:val="left" w:pos="567"/>
          <w:tab w:val="left" w:pos="1134"/>
          <w:tab w:val="left" w:pos="1701"/>
          <w:tab w:val="left" w:pos="2268"/>
          <w:tab w:val="left" w:pos="2835"/>
        </w:tabs>
        <w:rPr>
          <w:b/>
          <w:bCs/>
          <w:lang w:val="fr-FR"/>
        </w:rPr>
      </w:pPr>
      <w:r>
        <w:rPr>
          <w:b/>
          <w:bCs/>
          <w:lang w:val="fr-FR"/>
        </w:rPr>
        <w:t>Détenues</w:t>
      </w:r>
    </w:p>
    <w:p w:rsidR="00810D7F" w:rsidRDefault="00A55761" w:rsidP="005D7B68">
      <w:pPr>
        <w:tabs>
          <w:tab w:val="left" w:pos="567"/>
          <w:tab w:val="left" w:pos="1134"/>
          <w:tab w:val="left" w:pos="1701"/>
          <w:tab w:val="left" w:pos="2268"/>
          <w:tab w:val="left" w:pos="2835"/>
        </w:tabs>
        <w:rPr>
          <w:lang w:val="fr-FR"/>
        </w:rPr>
      </w:pPr>
      <w:r>
        <w:rPr>
          <w:lang w:val="fr-FR"/>
        </w:rPr>
        <w:t>482</w:t>
      </w:r>
      <w:r w:rsidR="00810D7F">
        <w:rPr>
          <w:lang w:val="fr-FR"/>
        </w:rPr>
        <w:t>.</w:t>
      </w:r>
      <w:r w:rsidR="00810D7F">
        <w:rPr>
          <w:lang w:val="fr-FR"/>
        </w:rPr>
        <w:tab/>
        <w:t>Le lecteur est prié de se reporter à la réponse à la question 4 pour y trouver un résumé des processus et initiatives destinés à protéger les droits et le bien-être des détenues.</w:t>
      </w:r>
    </w:p>
    <w:p w:rsidR="00810D7F" w:rsidRDefault="00810D7F" w:rsidP="005D7B68">
      <w:pPr>
        <w:tabs>
          <w:tab w:val="left" w:pos="567"/>
          <w:tab w:val="left" w:pos="1134"/>
          <w:tab w:val="left" w:pos="1701"/>
          <w:tab w:val="left" w:pos="2268"/>
          <w:tab w:val="left" w:pos="2835"/>
        </w:tabs>
        <w:rPr>
          <w:b/>
          <w:bCs/>
          <w:lang w:val="fr-FR"/>
        </w:rPr>
      </w:pPr>
      <w:r>
        <w:rPr>
          <w:b/>
          <w:bCs/>
          <w:lang w:val="fr-FR"/>
        </w:rPr>
        <w:t>Détenus autochtones</w:t>
      </w:r>
    </w:p>
    <w:p w:rsidR="00810D7F" w:rsidRPr="00810D7F" w:rsidRDefault="00A55761" w:rsidP="005D7B68">
      <w:pPr>
        <w:tabs>
          <w:tab w:val="left" w:pos="567"/>
          <w:tab w:val="left" w:pos="1134"/>
          <w:tab w:val="left" w:pos="1701"/>
          <w:tab w:val="left" w:pos="2268"/>
          <w:tab w:val="left" w:pos="2835"/>
        </w:tabs>
        <w:rPr>
          <w:lang w:val="fr-FR"/>
        </w:rPr>
      </w:pPr>
      <w:r>
        <w:rPr>
          <w:lang w:val="fr-FR"/>
        </w:rPr>
        <w:t>483</w:t>
      </w:r>
      <w:r w:rsidR="00810D7F">
        <w:rPr>
          <w:lang w:val="fr-FR"/>
        </w:rPr>
        <w:t>.</w:t>
      </w:r>
      <w:r w:rsidR="00810D7F">
        <w:rPr>
          <w:lang w:val="fr-FR"/>
        </w:rPr>
        <w:tab/>
        <w:t xml:space="preserve">Le </w:t>
      </w:r>
      <w:r w:rsidR="00810D7F">
        <w:rPr>
          <w:i/>
          <w:iCs/>
          <w:lang w:val="fr-FR"/>
        </w:rPr>
        <w:t xml:space="preserve">Victorian Aboriginal Justice Agreement </w:t>
      </w:r>
      <w:r w:rsidR="00881484">
        <w:rPr>
          <w:lang w:val="fr-FR"/>
        </w:rPr>
        <w:t>(Accord du</w:t>
      </w:r>
      <w:r w:rsidR="00810D7F">
        <w:rPr>
          <w:lang w:val="fr-FR"/>
        </w:rPr>
        <w:t xml:space="preserve"> Victoria sur la justice pour les aborigènes) est une initi</w:t>
      </w:r>
      <w:r w:rsidR="00881484">
        <w:rPr>
          <w:lang w:val="fr-FR"/>
        </w:rPr>
        <w:t>ative commune du Gouvernement du</w:t>
      </w:r>
      <w:r w:rsidR="00810D7F">
        <w:rPr>
          <w:lang w:val="fr-FR"/>
        </w:rPr>
        <w:t xml:space="preserve"> Victoria et de la communauté Koori pour permettre de résoudre le problème de la surreprésentation des autochtones dans le système de justice pénale</w:t>
      </w:r>
      <w:r w:rsidR="008D6B80">
        <w:rPr>
          <w:lang w:val="fr-FR"/>
        </w:rPr>
        <w:t xml:space="preserve">. </w:t>
      </w:r>
      <w:r w:rsidR="00810D7F">
        <w:rPr>
          <w:lang w:val="fr-FR"/>
        </w:rPr>
        <w:t>Il établit un cadre de principes, d’approches et d’</w:t>
      </w:r>
      <w:r w:rsidR="0007127A">
        <w:rPr>
          <w:lang w:val="fr-FR"/>
        </w:rPr>
        <w:t xml:space="preserve">initiatives visant tous à faire diminuer </w:t>
      </w:r>
      <w:r w:rsidR="00810D7F">
        <w:rPr>
          <w:lang w:val="fr-FR"/>
        </w:rPr>
        <w:t>directement ou indirectement</w:t>
      </w:r>
      <w:r w:rsidR="0007127A">
        <w:rPr>
          <w:lang w:val="fr-FR"/>
        </w:rPr>
        <w:t xml:space="preserve"> les handicaps et l’iniquité dont souffrent les populations autochtones</w:t>
      </w:r>
      <w:r w:rsidR="008D6B80">
        <w:rPr>
          <w:lang w:val="fr-FR"/>
        </w:rPr>
        <w:t xml:space="preserve">. </w:t>
      </w:r>
      <w:r w:rsidR="0007127A">
        <w:rPr>
          <w:lang w:val="fr-FR"/>
        </w:rPr>
        <w:t>Les initiatives en faveur des détenus autochtones sont les suivantes</w:t>
      </w:r>
      <w:r w:rsidR="00572260">
        <w:rPr>
          <w:lang w:val="fr-FR"/>
        </w:rPr>
        <w:t>:</w:t>
      </w:r>
      <w:r w:rsidR="0007127A">
        <w:rPr>
          <w:lang w:val="fr-FR"/>
        </w:rPr>
        <w:t xml:space="preserve"> </w:t>
      </w:r>
    </w:p>
    <w:p w:rsidR="00D64FFB" w:rsidRDefault="00403C24" w:rsidP="005D7B68">
      <w:pPr>
        <w:tabs>
          <w:tab w:val="left" w:pos="567"/>
          <w:tab w:val="left" w:pos="1134"/>
          <w:tab w:val="left" w:pos="1701"/>
          <w:tab w:val="left" w:pos="2268"/>
          <w:tab w:val="left" w:pos="2835"/>
        </w:tabs>
        <w:rPr>
          <w:lang w:val="fr-FR"/>
        </w:rPr>
      </w:pPr>
      <w:r>
        <w:rPr>
          <w:lang w:val="fr-FR"/>
        </w:rPr>
        <w:tab/>
        <w:t>a)</w:t>
      </w:r>
      <w:r w:rsidR="00B52C1F">
        <w:rPr>
          <w:lang w:val="fr-FR"/>
        </w:rPr>
        <w:tab/>
        <w:t xml:space="preserve">L’Unité des politiques et des services en faveur des autochtones de </w:t>
      </w:r>
      <w:r w:rsidR="00B52C1F" w:rsidRPr="00A336F1">
        <w:rPr>
          <w:i/>
          <w:iCs/>
          <w:lang w:val="fr-FR"/>
        </w:rPr>
        <w:t xml:space="preserve">Corrections Victoria </w:t>
      </w:r>
      <w:r w:rsidR="00B52C1F">
        <w:rPr>
          <w:lang w:val="fr-FR"/>
        </w:rPr>
        <w:t>appuie une approche cohérente</w:t>
      </w:r>
      <w:r w:rsidR="004E37AF">
        <w:rPr>
          <w:lang w:val="fr-FR"/>
        </w:rPr>
        <w:t xml:space="preserve"> reposa</w:t>
      </w:r>
      <w:r w:rsidR="00D64FFB">
        <w:rPr>
          <w:lang w:val="fr-FR"/>
        </w:rPr>
        <w:t>nt sur la collaboration pour faire face aux problèmes liés aux autochtone</w:t>
      </w:r>
      <w:r w:rsidR="00F100B1">
        <w:rPr>
          <w:lang w:val="fr-FR"/>
        </w:rPr>
        <w:t>s dans le système pénitentiaire;</w:t>
      </w:r>
    </w:p>
    <w:p w:rsidR="000B4486" w:rsidRDefault="00D64FFB" w:rsidP="005D7B68">
      <w:pPr>
        <w:tabs>
          <w:tab w:val="left" w:pos="567"/>
          <w:tab w:val="left" w:pos="1134"/>
          <w:tab w:val="left" w:pos="1701"/>
          <w:tab w:val="left" w:pos="2268"/>
          <w:tab w:val="left" w:pos="2835"/>
        </w:tabs>
        <w:rPr>
          <w:lang w:val="fr-FR"/>
        </w:rPr>
      </w:pPr>
      <w:r>
        <w:rPr>
          <w:lang w:val="fr-FR"/>
        </w:rPr>
        <w:tab/>
        <w:t>b)</w:t>
      </w:r>
      <w:r>
        <w:rPr>
          <w:lang w:val="fr-FR"/>
        </w:rPr>
        <w:tab/>
        <w:t>Un réseau de sept</w:t>
      </w:r>
      <w:r w:rsidR="000B4486">
        <w:rPr>
          <w:lang w:val="fr-FR"/>
        </w:rPr>
        <w:t xml:space="preserve"> Aboriginal Wellb</w:t>
      </w:r>
      <w:r w:rsidR="00A336F1">
        <w:rPr>
          <w:lang w:val="fr-FR"/>
        </w:rPr>
        <w:t>eing Officers (fonctionnaires chargés</w:t>
      </w:r>
      <w:r w:rsidR="00F100B1">
        <w:rPr>
          <w:lang w:val="fr-FR"/>
        </w:rPr>
        <w:t xml:space="preserve"> du bien</w:t>
      </w:r>
      <w:r w:rsidR="00F100B1">
        <w:rPr>
          <w:lang w:val="fr-FR"/>
        </w:rPr>
        <w:noBreakHyphen/>
      </w:r>
      <w:r w:rsidR="00881484">
        <w:rPr>
          <w:lang w:val="fr-FR"/>
        </w:rPr>
        <w:t xml:space="preserve">être des autochtones) </w:t>
      </w:r>
      <w:r w:rsidR="000B4486">
        <w:rPr>
          <w:lang w:val="fr-FR"/>
        </w:rPr>
        <w:t xml:space="preserve">aide les détenus </w:t>
      </w:r>
      <w:r w:rsidR="00F100B1">
        <w:rPr>
          <w:lang w:val="fr-FR"/>
        </w:rPr>
        <w:t>aborigènes de diverses manières;</w:t>
      </w:r>
    </w:p>
    <w:p w:rsidR="00167BB4" w:rsidRDefault="000B4486" w:rsidP="005D7B68">
      <w:pPr>
        <w:tabs>
          <w:tab w:val="left" w:pos="567"/>
          <w:tab w:val="left" w:pos="1134"/>
          <w:tab w:val="left" w:pos="1701"/>
          <w:tab w:val="left" w:pos="2268"/>
          <w:tab w:val="left" w:pos="2835"/>
        </w:tabs>
        <w:rPr>
          <w:lang w:val="fr-FR"/>
        </w:rPr>
      </w:pPr>
      <w:r>
        <w:rPr>
          <w:lang w:val="fr-FR"/>
        </w:rPr>
        <w:tab/>
        <w:t>c)</w:t>
      </w:r>
      <w:r>
        <w:rPr>
          <w:lang w:val="fr-FR"/>
        </w:rPr>
        <w:tab/>
        <w:t>Cinq</w:t>
      </w:r>
      <w:r w:rsidR="00572260">
        <w:rPr>
          <w:lang w:val="fr-FR"/>
        </w:rPr>
        <w:t xml:space="preserve"> </w:t>
      </w:r>
      <w:r>
        <w:rPr>
          <w:lang w:val="fr-FR"/>
        </w:rPr>
        <w:t>visiteurs o</w:t>
      </w:r>
      <w:r w:rsidR="00167BB4">
        <w:rPr>
          <w:lang w:val="fr-FR"/>
        </w:rPr>
        <w:t>fficiels autochtones s’occupent des prisons et donnent leur avis, à titre indépendant, au Ministre chargé de l’administration pénitentiaire sur les problèmes liés à l’emprisonnement des autochtones</w:t>
      </w:r>
      <w:r w:rsidR="00F100B1">
        <w:rPr>
          <w:lang w:val="fr-FR"/>
        </w:rPr>
        <w:t>;</w:t>
      </w:r>
    </w:p>
    <w:p w:rsidR="002A3C12" w:rsidRDefault="00167BB4" w:rsidP="005D7B68">
      <w:pPr>
        <w:tabs>
          <w:tab w:val="left" w:pos="567"/>
          <w:tab w:val="left" w:pos="1134"/>
          <w:tab w:val="left" w:pos="1701"/>
          <w:tab w:val="left" w:pos="2268"/>
          <w:tab w:val="left" w:pos="2835"/>
        </w:tabs>
        <w:rPr>
          <w:lang w:val="fr-FR"/>
        </w:rPr>
      </w:pPr>
      <w:r>
        <w:rPr>
          <w:lang w:val="fr-FR"/>
        </w:rPr>
        <w:tab/>
        <w:t>d)</w:t>
      </w:r>
      <w:r>
        <w:rPr>
          <w:lang w:val="fr-FR"/>
        </w:rPr>
        <w:tab/>
        <w:t xml:space="preserve">Le Programme pour les visites des familles autochtones </w:t>
      </w:r>
      <w:r w:rsidR="002A3C12">
        <w:rPr>
          <w:lang w:val="fr-FR"/>
        </w:rPr>
        <w:t>aide les membres de la famille des détenus autochtones à se rendre dans le</w:t>
      </w:r>
      <w:r w:rsidR="00A336F1">
        <w:rPr>
          <w:lang w:val="fr-FR"/>
        </w:rPr>
        <w:t>s prisons</w:t>
      </w:r>
      <w:r w:rsidR="00F100B1">
        <w:rPr>
          <w:lang w:val="fr-FR"/>
        </w:rPr>
        <w:t>;</w:t>
      </w:r>
    </w:p>
    <w:p w:rsidR="002A3C12" w:rsidRDefault="002A3C12" w:rsidP="005D7B68">
      <w:pPr>
        <w:tabs>
          <w:tab w:val="left" w:pos="567"/>
          <w:tab w:val="left" w:pos="1134"/>
          <w:tab w:val="left" w:pos="1701"/>
          <w:tab w:val="left" w:pos="2268"/>
          <w:tab w:val="left" w:pos="2835"/>
        </w:tabs>
        <w:rPr>
          <w:lang w:val="fr-FR"/>
        </w:rPr>
      </w:pPr>
      <w:r>
        <w:rPr>
          <w:lang w:val="fr-FR"/>
        </w:rPr>
        <w:tab/>
        <w:t>e)</w:t>
      </w:r>
      <w:r>
        <w:rPr>
          <w:lang w:val="fr-FR"/>
        </w:rPr>
        <w:tab/>
        <w:t>Le Programme d</w:t>
      </w:r>
      <w:r w:rsidR="0011438C">
        <w:rPr>
          <w:lang w:val="fr-FR"/>
        </w:rPr>
        <w:t>’immersion culturelle pour les a</w:t>
      </w:r>
      <w:r>
        <w:rPr>
          <w:lang w:val="fr-FR"/>
        </w:rPr>
        <w:t>borigènes s’adresse aux détenus et aux délinquants afin de rétab</w:t>
      </w:r>
      <w:r w:rsidR="00F100B1">
        <w:rPr>
          <w:lang w:val="fr-FR"/>
        </w:rPr>
        <w:t>lir des liens avec leur culture:</w:t>
      </w:r>
    </w:p>
    <w:p w:rsidR="001E6CFE" w:rsidRDefault="002A3C12" w:rsidP="005D7B68">
      <w:pPr>
        <w:tabs>
          <w:tab w:val="left" w:pos="567"/>
          <w:tab w:val="left" w:pos="1134"/>
          <w:tab w:val="left" w:pos="1701"/>
          <w:tab w:val="left" w:pos="2268"/>
          <w:tab w:val="left" w:pos="2835"/>
        </w:tabs>
        <w:rPr>
          <w:lang w:val="fr-FR"/>
        </w:rPr>
      </w:pPr>
      <w:r>
        <w:rPr>
          <w:lang w:val="fr-FR"/>
        </w:rPr>
        <w:tab/>
        <w:t>f)</w:t>
      </w:r>
      <w:r>
        <w:rPr>
          <w:lang w:val="fr-FR"/>
        </w:rPr>
        <w:tab/>
        <w:t>Le Programme Maruma</w:t>
      </w:r>
      <w:r w:rsidR="00881484">
        <w:rPr>
          <w:lang w:val="fr-FR"/>
        </w:rPr>
        <w:t xml:space="preserve">li est un programme intensif de </w:t>
      </w:r>
      <w:r>
        <w:rPr>
          <w:lang w:val="fr-FR"/>
        </w:rPr>
        <w:t xml:space="preserve">cinq jours visant à lutter contre les effets préjudiciables </w:t>
      </w:r>
      <w:r w:rsidR="001E6CFE">
        <w:rPr>
          <w:lang w:val="fr-FR"/>
        </w:rPr>
        <w:t xml:space="preserve">des politiques relatives à la </w:t>
      </w:r>
      <w:r w:rsidR="00A619D6">
        <w:rPr>
          <w:lang w:val="fr-FR"/>
        </w:rPr>
        <w:t>«</w:t>
      </w:r>
      <w:r w:rsidR="001E6CFE">
        <w:rPr>
          <w:lang w:val="fr-FR"/>
        </w:rPr>
        <w:t>génération volée</w:t>
      </w:r>
      <w:r w:rsidR="00A619D6">
        <w:rPr>
          <w:lang w:val="fr-FR"/>
        </w:rPr>
        <w:t>»</w:t>
      </w:r>
      <w:r w:rsidR="00F100B1">
        <w:rPr>
          <w:lang w:val="fr-FR"/>
        </w:rPr>
        <w:t xml:space="preserve"> sur les détenus autochtones;</w:t>
      </w:r>
    </w:p>
    <w:p w:rsidR="00EE7EA0" w:rsidRDefault="001E6CFE" w:rsidP="005D7B68">
      <w:pPr>
        <w:tabs>
          <w:tab w:val="left" w:pos="567"/>
          <w:tab w:val="left" w:pos="1134"/>
          <w:tab w:val="left" w:pos="1701"/>
          <w:tab w:val="left" w:pos="2268"/>
          <w:tab w:val="left" w:pos="2835"/>
        </w:tabs>
        <w:rPr>
          <w:lang w:val="fr-FR"/>
        </w:rPr>
      </w:pPr>
      <w:r>
        <w:rPr>
          <w:lang w:val="fr-FR"/>
        </w:rPr>
        <w:tab/>
        <w:t>g)</w:t>
      </w:r>
      <w:r>
        <w:rPr>
          <w:lang w:val="fr-FR"/>
        </w:rPr>
        <w:tab/>
      </w:r>
      <w:r>
        <w:rPr>
          <w:i/>
          <w:iCs/>
          <w:lang w:val="fr-FR"/>
        </w:rPr>
        <w:t>Corrections Victoria</w:t>
      </w:r>
      <w:r>
        <w:rPr>
          <w:lang w:val="fr-FR"/>
        </w:rPr>
        <w:t xml:space="preserve"> subventionne diverses activités destinées à consacrer et à célébrer la semaine nationale des aborigènes dans les prisons et </w:t>
      </w:r>
      <w:r w:rsidR="00EE7EA0">
        <w:rPr>
          <w:lang w:val="fr-FR"/>
        </w:rPr>
        <w:t xml:space="preserve">les lieux de détention – dont des cérémonies à caractère culturel, des manifestations sportives, des journées de la famille, des expositions artistiques </w:t>
      </w:r>
      <w:r w:rsidR="00F100B1">
        <w:rPr>
          <w:lang w:val="fr-FR"/>
        </w:rPr>
        <w:t>et des émissions radiophoniques;</w:t>
      </w:r>
    </w:p>
    <w:p w:rsidR="00444AC8" w:rsidRDefault="00881484" w:rsidP="005D7B68">
      <w:pPr>
        <w:tabs>
          <w:tab w:val="left" w:pos="567"/>
          <w:tab w:val="left" w:pos="1134"/>
          <w:tab w:val="left" w:pos="1701"/>
          <w:tab w:val="left" w:pos="2268"/>
          <w:tab w:val="left" w:pos="2835"/>
        </w:tabs>
        <w:rPr>
          <w:lang w:val="fr-FR"/>
        </w:rPr>
      </w:pPr>
      <w:r>
        <w:rPr>
          <w:lang w:val="fr-FR"/>
        </w:rPr>
        <w:tab/>
        <w:t>h)</w:t>
      </w:r>
      <w:r>
        <w:rPr>
          <w:lang w:val="fr-FR"/>
        </w:rPr>
        <w:tab/>
        <w:t>La majorité des prisons du</w:t>
      </w:r>
      <w:r w:rsidR="00EE7EA0">
        <w:rPr>
          <w:lang w:val="fr-FR"/>
        </w:rPr>
        <w:t xml:space="preserve"> Victoria sont maintenant dotées d’espaces réservés aux autochtones </w:t>
      </w:r>
      <w:r w:rsidR="00265772">
        <w:rPr>
          <w:lang w:val="fr-FR"/>
        </w:rPr>
        <w:t>– y compris des salles pour les programmes polyvalents et</w:t>
      </w:r>
      <w:r w:rsidR="00444AC8">
        <w:rPr>
          <w:lang w:val="fr-FR"/>
        </w:rPr>
        <w:t xml:space="preserve"> des jardins de style autochtone spécialement aménagés</w:t>
      </w:r>
      <w:r w:rsidR="00F100B1">
        <w:rPr>
          <w:lang w:val="fr-FR"/>
        </w:rPr>
        <w:t>;</w:t>
      </w:r>
      <w:r w:rsidR="00D64FFB">
        <w:rPr>
          <w:lang w:val="fr-FR"/>
        </w:rPr>
        <w:t xml:space="preserve"> </w:t>
      </w:r>
    </w:p>
    <w:p w:rsidR="003D78C0" w:rsidRDefault="00444AC8" w:rsidP="005D7B68">
      <w:pPr>
        <w:tabs>
          <w:tab w:val="left" w:pos="567"/>
          <w:tab w:val="left" w:pos="1134"/>
          <w:tab w:val="left" w:pos="1701"/>
          <w:tab w:val="left" w:pos="2268"/>
          <w:tab w:val="left" w:pos="2835"/>
        </w:tabs>
        <w:rPr>
          <w:lang w:val="fr-FR"/>
        </w:rPr>
      </w:pPr>
      <w:r>
        <w:rPr>
          <w:lang w:val="fr-FR"/>
        </w:rPr>
        <w:tab/>
        <w:t>i)</w:t>
      </w:r>
      <w:r>
        <w:rPr>
          <w:lang w:val="fr-FR"/>
        </w:rPr>
        <w:tab/>
      </w:r>
      <w:r w:rsidR="00E756B8">
        <w:rPr>
          <w:lang w:val="fr-FR"/>
        </w:rPr>
        <w:t xml:space="preserve">Le Programme </w:t>
      </w:r>
      <w:r w:rsidR="00650CBA">
        <w:rPr>
          <w:lang w:val="fr-FR"/>
        </w:rPr>
        <w:t xml:space="preserve">Koori </w:t>
      </w:r>
      <w:r w:rsidR="00E756B8">
        <w:rPr>
          <w:lang w:val="fr-FR"/>
        </w:rPr>
        <w:t>de compétences cognitives est une adaptation</w:t>
      </w:r>
      <w:r w:rsidR="00B52C1F">
        <w:rPr>
          <w:lang w:val="fr-FR"/>
        </w:rPr>
        <w:t xml:space="preserve"> </w:t>
      </w:r>
      <w:r w:rsidR="00E756B8">
        <w:rPr>
          <w:lang w:val="fr-FR"/>
        </w:rPr>
        <w:t>pour les détenus autochtones du programme de compétences cognitives ordinaire</w:t>
      </w:r>
      <w:r w:rsidR="008D6B80">
        <w:rPr>
          <w:lang w:val="fr-FR"/>
        </w:rPr>
        <w:t xml:space="preserve">. </w:t>
      </w:r>
      <w:r w:rsidR="003D78C0">
        <w:rPr>
          <w:lang w:val="fr-FR"/>
        </w:rPr>
        <w:t>Il s’agit d’un programme basé sur la</w:t>
      </w:r>
      <w:r w:rsidR="00E756B8">
        <w:rPr>
          <w:lang w:val="fr-FR"/>
        </w:rPr>
        <w:t xml:space="preserve"> thérapie comportementale cognitive</w:t>
      </w:r>
      <w:r w:rsidR="003D78C0">
        <w:rPr>
          <w:lang w:val="fr-FR"/>
        </w:rPr>
        <w:t>, qui vise à aider à résoudre</w:t>
      </w:r>
      <w:r w:rsidR="00F100B1">
        <w:rPr>
          <w:lang w:val="fr-FR"/>
        </w:rPr>
        <w:t xml:space="preserve"> les problèmes;</w:t>
      </w:r>
    </w:p>
    <w:p w:rsidR="003D78C0" w:rsidRDefault="003D78C0" w:rsidP="005D7B68">
      <w:pPr>
        <w:tabs>
          <w:tab w:val="left" w:pos="567"/>
          <w:tab w:val="left" w:pos="1134"/>
          <w:tab w:val="left" w:pos="1701"/>
          <w:tab w:val="left" w:pos="2268"/>
          <w:tab w:val="left" w:pos="2835"/>
        </w:tabs>
        <w:rPr>
          <w:lang w:val="fr-FR"/>
        </w:rPr>
      </w:pPr>
      <w:r>
        <w:rPr>
          <w:lang w:val="fr-FR"/>
        </w:rPr>
        <w:tab/>
        <w:t>j)</w:t>
      </w:r>
      <w:r>
        <w:rPr>
          <w:lang w:val="fr-FR"/>
        </w:rPr>
        <w:tab/>
        <w:t>Le P</w:t>
      </w:r>
      <w:r w:rsidR="00650CBA">
        <w:rPr>
          <w:lang w:val="fr-FR"/>
        </w:rPr>
        <w:t>etit livre du détenu Koori</w:t>
      </w:r>
      <w:r>
        <w:rPr>
          <w:lang w:val="fr-FR"/>
        </w:rPr>
        <w:t xml:space="preserve"> est un guide facile à consulter qui explique les services</w:t>
      </w:r>
      <w:r w:rsidR="00B52C1F">
        <w:rPr>
          <w:lang w:val="fr-FR"/>
        </w:rPr>
        <w:t xml:space="preserve"> </w:t>
      </w:r>
      <w:r>
        <w:rPr>
          <w:lang w:val="fr-FR"/>
        </w:rPr>
        <w:t>auxquels les détenus peuvent avoir accès et donne des détails sur les programmes spécialement conç</w:t>
      </w:r>
      <w:r w:rsidR="00F100B1">
        <w:rPr>
          <w:lang w:val="fr-FR"/>
        </w:rPr>
        <w:t>us pour les détenus autochtones;</w:t>
      </w:r>
    </w:p>
    <w:p w:rsidR="00FC2BB5" w:rsidRDefault="003D78C0" w:rsidP="005D7B68">
      <w:pPr>
        <w:tabs>
          <w:tab w:val="left" w:pos="567"/>
          <w:tab w:val="left" w:pos="1134"/>
          <w:tab w:val="left" w:pos="1701"/>
          <w:tab w:val="left" w:pos="2268"/>
          <w:tab w:val="left" w:pos="2835"/>
        </w:tabs>
        <w:rPr>
          <w:lang w:val="fr-FR"/>
        </w:rPr>
      </w:pPr>
      <w:r>
        <w:rPr>
          <w:lang w:val="fr-FR"/>
        </w:rPr>
        <w:tab/>
        <w:t>k)</w:t>
      </w:r>
      <w:r>
        <w:rPr>
          <w:lang w:val="fr-FR"/>
        </w:rPr>
        <w:tab/>
        <w:t xml:space="preserve">Tout le personnel supérieur de </w:t>
      </w:r>
      <w:r w:rsidRPr="008F5A8D">
        <w:rPr>
          <w:i/>
          <w:iCs/>
          <w:lang w:val="fr-FR"/>
        </w:rPr>
        <w:t>Corrections Victoria</w:t>
      </w:r>
      <w:r>
        <w:rPr>
          <w:color w:val="FF0000"/>
          <w:lang w:val="fr-FR"/>
        </w:rPr>
        <w:t xml:space="preserve"> </w:t>
      </w:r>
      <w:r>
        <w:rPr>
          <w:lang w:val="fr-FR"/>
        </w:rPr>
        <w:t>est tenu de participer à un Programme</w:t>
      </w:r>
      <w:r w:rsidR="00F50AB8">
        <w:rPr>
          <w:lang w:val="fr-FR"/>
        </w:rPr>
        <w:t xml:space="preserve"> de</w:t>
      </w:r>
      <w:r w:rsidR="00650CBA">
        <w:rPr>
          <w:lang w:val="fr-FR"/>
        </w:rPr>
        <w:t xml:space="preserve"> sensibilisation</w:t>
      </w:r>
      <w:r w:rsidR="00F50AB8">
        <w:rPr>
          <w:lang w:val="fr-FR"/>
        </w:rPr>
        <w:t xml:space="preserve"> culturelle, après quoi</w:t>
      </w:r>
      <w:r w:rsidR="00403C24">
        <w:rPr>
          <w:lang w:val="fr-FR"/>
        </w:rPr>
        <w:tab/>
      </w:r>
      <w:r w:rsidR="00F50AB8">
        <w:rPr>
          <w:lang w:val="fr-FR"/>
        </w:rPr>
        <w:t xml:space="preserve"> il doit faire connaître au personnel toute l’importance que </w:t>
      </w:r>
      <w:r w:rsidR="00F50AB8" w:rsidRPr="00A40E94">
        <w:rPr>
          <w:i/>
          <w:iCs/>
          <w:lang w:val="fr-FR"/>
        </w:rPr>
        <w:t>Corrections Victoria</w:t>
      </w:r>
      <w:r w:rsidR="00CC5ABC">
        <w:rPr>
          <w:lang w:val="fr-FR"/>
        </w:rPr>
        <w:t xml:space="preserve"> attache à ce que l’adoption de son Plan d’action Koori</w:t>
      </w:r>
      <w:r w:rsidR="00F100B1">
        <w:rPr>
          <w:lang w:val="fr-FR"/>
        </w:rPr>
        <w:t xml:space="preserve"> donne des résultats;</w:t>
      </w:r>
    </w:p>
    <w:p w:rsidR="00CC5ABC" w:rsidRDefault="00CC5ABC" w:rsidP="005D7B68">
      <w:pPr>
        <w:tabs>
          <w:tab w:val="left" w:pos="567"/>
          <w:tab w:val="left" w:pos="1134"/>
          <w:tab w:val="left" w:pos="1701"/>
          <w:tab w:val="left" w:pos="2268"/>
          <w:tab w:val="left" w:pos="2835"/>
        </w:tabs>
        <w:rPr>
          <w:lang w:val="fr-FR"/>
        </w:rPr>
      </w:pPr>
      <w:r>
        <w:rPr>
          <w:lang w:val="fr-FR"/>
        </w:rPr>
        <w:tab/>
        <w:t>l)</w:t>
      </w:r>
      <w:r>
        <w:rPr>
          <w:lang w:val="fr-FR"/>
        </w:rPr>
        <w:tab/>
        <w:t>Un module de formation à la s</w:t>
      </w:r>
      <w:r w:rsidR="004377D8">
        <w:rPr>
          <w:lang w:val="fr-FR"/>
        </w:rPr>
        <w:t>ensibilisation culturelle est pr</w:t>
      </w:r>
      <w:r>
        <w:rPr>
          <w:lang w:val="fr-FR"/>
        </w:rPr>
        <w:t>évu pour tous les n</w:t>
      </w:r>
      <w:r w:rsidR="00E13909">
        <w:rPr>
          <w:lang w:val="fr-FR"/>
        </w:rPr>
        <w:t>ouveaux gardiens de prison</w:t>
      </w:r>
      <w:r>
        <w:rPr>
          <w:lang w:val="fr-FR"/>
        </w:rPr>
        <w:t xml:space="preserve"> et</w:t>
      </w:r>
      <w:r w:rsidR="005A1925">
        <w:rPr>
          <w:lang w:val="fr-FR"/>
        </w:rPr>
        <w:t xml:space="preserve"> l</w:t>
      </w:r>
      <w:r w:rsidR="00332C5B">
        <w:rPr>
          <w:lang w:val="fr-FR"/>
        </w:rPr>
        <w:t>es nouveaux agents des service</w:t>
      </w:r>
      <w:r w:rsidR="00F100B1">
        <w:rPr>
          <w:lang w:val="fr-FR"/>
        </w:rPr>
        <w:t>s correctionnels communautaires;</w:t>
      </w:r>
    </w:p>
    <w:p w:rsidR="00332C5B" w:rsidRDefault="00332C5B" w:rsidP="005D7B68">
      <w:pPr>
        <w:tabs>
          <w:tab w:val="left" w:pos="567"/>
          <w:tab w:val="left" w:pos="1134"/>
          <w:tab w:val="left" w:pos="1701"/>
          <w:tab w:val="left" w:pos="2268"/>
          <w:tab w:val="left" w:pos="2835"/>
        </w:tabs>
        <w:rPr>
          <w:lang w:val="fr-FR"/>
        </w:rPr>
      </w:pPr>
      <w:r>
        <w:rPr>
          <w:lang w:val="fr-FR"/>
        </w:rPr>
        <w:tab/>
        <w:t>m)</w:t>
      </w:r>
      <w:r>
        <w:rPr>
          <w:lang w:val="fr-FR"/>
        </w:rPr>
        <w:tab/>
        <w:t>Un Programme Koori d’appui à la transition est en cours d’élaboration pour être lancé en 2007-08</w:t>
      </w:r>
      <w:r w:rsidR="008D6B80">
        <w:rPr>
          <w:lang w:val="fr-FR"/>
        </w:rPr>
        <w:t xml:space="preserve">. </w:t>
      </w:r>
      <w:r>
        <w:rPr>
          <w:lang w:val="fr-FR"/>
        </w:rPr>
        <w:t>Il permettra d’apporter une aide très importante avant et après leur remise en liberté aux détenus autochtones (hommes et femmes) qui retour</w:t>
      </w:r>
      <w:r w:rsidR="00F100B1">
        <w:rPr>
          <w:lang w:val="fr-FR"/>
        </w:rPr>
        <w:t>neront au sein de la communauté;</w:t>
      </w:r>
    </w:p>
    <w:p w:rsidR="00332C5B" w:rsidRDefault="00F44326"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n)</w:t>
      </w:r>
      <w:r>
        <w:rPr>
          <w:lang w:val="fr-FR"/>
        </w:rPr>
        <w:tab/>
        <w:t>Des fonds on</w:t>
      </w:r>
      <w:r w:rsidR="00332C5B">
        <w:rPr>
          <w:lang w:val="fr-FR"/>
        </w:rPr>
        <w:t>t été alloués</w:t>
      </w:r>
      <w:r>
        <w:rPr>
          <w:lang w:val="fr-FR"/>
        </w:rPr>
        <w:t xml:space="preserve"> pour la création de deux </w:t>
      </w:r>
      <w:r w:rsidRPr="0011438C">
        <w:rPr>
          <w:lang w:val="fr-FR"/>
        </w:rPr>
        <w:t>établissements de transition</w:t>
      </w:r>
      <w:r w:rsidR="0011438C" w:rsidRPr="0011438C">
        <w:rPr>
          <w:lang w:val="fr-FR"/>
        </w:rPr>
        <w:t xml:space="preserve"> (</w:t>
      </w:r>
      <w:r w:rsidR="0011438C" w:rsidRPr="00881484">
        <w:rPr>
          <w:i/>
          <w:iCs/>
          <w:lang w:val="fr-FR"/>
        </w:rPr>
        <w:t>transitional properties</w:t>
      </w:r>
      <w:r w:rsidR="0011438C" w:rsidRPr="0011438C">
        <w:rPr>
          <w:lang w:val="fr-FR"/>
        </w:rPr>
        <w:t>)</w:t>
      </w:r>
      <w:r w:rsidRPr="0011438C">
        <w:rPr>
          <w:lang w:val="fr-FR"/>
        </w:rPr>
        <w:t xml:space="preserve"> pour les femmes autochtones </w:t>
      </w:r>
      <w:r w:rsidR="00332C5B" w:rsidRPr="0011438C">
        <w:rPr>
          <w:lang w:val="fr-FR"/>
        </w:rPr>
        <w:t>en liberté</w:t>
      </w:r>
      <w:r w:rsidR="00332C5B">
        <w:rPr>
          <w:lang w:val="fr-FR"/>
        </w:rPr>
        <w:t xml:space="preserve"> sous caution </w:t>
      </w:r>
      <w:r w:rsidR="00332C5B" w:rsidRPr="00F423AE">
        <w:rPr>
          <w:lang w:val="fr-FR"/>
        </w:rPr>
        <w:t>ou releva</w:t>
      </w:r>
      <w:r w:rsidR="00F423AE" w:rsidRPr="00F423AE">
        <w:rPr>
          <w:lang w:val="fr-FR"/>
        </w:rPr>
        <w:t>nt d’une manière plus générale</w:t>
      </w:r>
      <w:r w:rsidR="00332C5B" w:rsidRPr="00F423AE">
        <w:rPr>
          <w:lang w:val="fr-FR"/>
        </w:rPr>
        <w:t xml:space="preserve"> de</w:t>
      </w:r>
      <w:r w:rsidR="00F423AE" w:rsidRPr="00F423AE">
        <w:rPr>
          <w:lang w:val="fr-FR"/>
        </w:rPr>
        <w:t xml:space="preserve"> la</w:t>
      </w:r>
      <w:r w:rsidR="00332C5B" w:rsidRPr="00F423AE">
        <w:rPr>
          <w:lang w:val="fr-FR"/>
        </w:rPr>
        <w:t xml:space="preserve"> justice pénale</w:t>
      </w:r>
      <w:r w:rsidRPr="00F423AE">
        <w:rPr>
          <w:lang w:val="fr-FR"/>
        </w:rPr>
        <w:t xml:space="preserve"> (avec </w:t>
      </w:r>
      <w:r w:rsidR="007A6D6D" w:rsidRPr="00F423AE">
        <w:rPr>
          <w:lang w:val="fr-FR"/>
        </w:rPr>
        <w:t>une réservation en priorité pour</w:t>
      </w:r>
      <w:r w:rsidR="007A6D6D">
        <w:rPr>
          <w:lang w:val="fr-FR"/>
        </w:rPr>
        <w:t xml:space="preserve"> dix autres établissements de transition).</w:t>
      </w:r>
    </w:p>
    <w:p w:rsidR="007A6D6D" w:rsidRDefault="007A6D6D"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Santé mentale</w:t>
      </w:r>
    </w:p>
    <w:p w:rsidR="007A6D6D"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484</w:t>
      </w:r>
      <w:r w:rsidR="007A6D6D">
        <w:rPr>
          <w:lang w:val="fr-FR"/>
        </w:rPr>
        <w:t>.</w:t>
      </w:r>
      <w:r w:rsidR="007A6D6D">
        <w:rPr>
          <w:lang w:val="fr-FR"/>
        </w:rPr>
        <w:tab/>
        <w:t>L’obligation qui est faite par la Charte aux pouvoirs publics s’appliquera aux services publics de santé mentale</w:t>
      </w:r>
      <w:r w:rsidR="008D6B80">
        <w:rPr>
          <w:lang w:val="fr-FR"/>
        </w:rPr>
        <w:t xml:space="preserve">. </w:t>
      </w:r>
      <w:r w:rsidR="007A6D6D">
        <w:rPr>
          <w:lang w:val="fr-FR"/>
        </w:rPr>
        <w:t xml:space="preserve">Cela renforcera la disposition de la </w:t>
      </w:r>
      <w:r w:rsidR="007A6D6D" w:rsidRPr="005A1925">
        <w:rPr>
          <w:lang w:val="fr-FR"/>
        </w:rPr>
        <w:t>loi de 1986 sur la santé mentale</w:t>
      </w:r>
      <w:r w:rsidR="007A6D6D">
        <w:rPr>
          <w:lang w:val="fr-FR"/>
        </w:rPr>
        <w:t xml:space="preserve"> exigeant que les patients</w:t>
      </w:r>
      <w:r w:rsidR="00881484">
        <w:rPr>
          <w:lang w:val="fr-FR"/>
        </w:rPr>
        <w:t xml:space="preserve"> souffrant de troubles mentaux </w:t>
      </w:r>
      <w:r w:rsidR="007A6D6D">
        <w:rPr>
          <w:lang w:val="fr-FR"/>
        </w:rPr>
        <w:t>soient soignés et traités avec le maximum de discrétion et qu’il ne soit porté atteinte à leurs droits, à leur intimité, à leur dignité et au respect de leur personne que dans la mesure nécessaire eu égard aux circonstances.</w:t>
      </w:r>
    </w:p>
    <w:p w:rsidR="007A6D6D" w:rsidRDefault="007A6D6D"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Détenus souffrant de troubles mentaux</w:t>
      </w:r>
    </w:p>
    <w:p w:rsidR="00E85D42"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485</w:t>
      </w:r>
      <w:r w:rsidR="007A6D6D">
        <w:rPr>
          <w:lang w:val="fr-FR"/>
        </w:rPr>
        <w:t>.</w:t>
      </w:r>
      <w:r w:rsidR="007A6D6D">
        <w:rPr>
          <w:lang w:val="fr-FR"/>
        </w:rPr>
        <w:tab/>
      </w:r>
      <w:r w:rsidR="00E85D42">
        <w:rPr>
          <w:lang w:val="fr-FR"/>
        </w:rPr>
        <w:t xml:space="preserve">Les Normes de soins de santé de </w:t>
      </w:r>
      <w:r w:rsidR="00E85D42" w:rsidRPr="0011438C">
        <w:rPr>
          <w:i/>
          <w:iCs/>
          <w:lang w:val="fr-FR"/>
        </w:rPr>
        <w:t>Corrections Victoria</w:t>
      </w:r>
      <w:r w:rsidR="00E85D42">
        <w:rPr>
          <w:lang w:val="fr-FR"/>
        </w:rPr>
        <w:t>, qui font partie intégrante des contrats passés avec les prestataires de services de santé dans les prisons, exigent que les détenus aient accès aux services ci-après</w:t>
      </w:r>
      <w:r w:rsidR="00572260">
        <w:rPr>
          <w:lang w:val="fr-FR"/>
        </w:rPr>
        <w:t>:</w:t>
      </w:r>
    </w:p>
    <w:p w:rsidR="00E85D42" w:rsidRDefault="00E85D4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t xml:space="preserve">Un bilan de santé complet, y compris une évaluation psychiatrique de leur état mental et des risques </w:t>
      </w:r>
      <w:r w:rsidR="00CE3846">
        <w:rPr>
          <w:lang w:val="fr-FR"/>
        </w:rPr>
        <w:t>de suicide ou d’auto-agressivité</w:t>
      </w:r>
      <w:r w:rsidR="005A1925">
        <w:rPr>
          <w:lang w:val="fr-FR"/>
        </w:rPr>
        <w:t>,</w:t>
      </w:r>
      <w:r>
        <w:rPr>
          <w:lang w:val="fr-FR"/>
        </w:rPr>
        <w:t xml:space="preserve"> doit être effectué dans les </w:t>
      </w:r>
      <w:r w:rsidR="00F100B1">
        <w:rPr>
          <w:lang w:val="fr-FR"/>
        </w:rPr>
        <w:t>vingt</w:t>
      </w:r>
      <w:r w:rsidR="00F100B1">
        <w:rPr>
          <w:lang w:val="fr-FR"/>
        </w:rPr>
        <w:noBreakHyphen/>
        <w:t>quatre </w:t>
      </w:r>
      <w:r>
        <w:rPr>
          <w:lang w:val="fr-FR"/>
        </w:rPr>
        <w:t>heures qui suivent l’arrivée de tous les détenus. Il s’agit d’une obligation absolue.</w:t>
      </w:r>
    </w:p>
    <w:p w:rsidR="0009417A" w:rsidRDefault="00E85D4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sidR="0009417A">
        <w:rPr>
          <w:lang w:val="fr-FR"/>
        </w:rPr>
        <w:tab/>
        <w:t>Tous les détenus prése</w:t>
      </w:r>
      <w:r w:rsidR="00203575">
        <w:rPr>
          <w:lang w:val="fr-FR"/>
        </w:rPr>
        <w:t>ntant un risque d’auto-agressivité</w:t>
      </w:r>
      <w:r w:rsidR="0009417A">
        <w:rPr>
          <w:lang w:val="fr-FR"/>
        </w:rPr>
        <w:t xml:space="preserve"> ou de suicide doivent être examinés par un spécialiste de la santé mentale dans les deux heures</w:t>
      </w:r>
      <w:r w:rsidR="008D6B80">
        <w:rPr>
          <w:lang w:val="fr-FR"/>
        </w:rPr>
        <w:t xml:space="preserve">. </w:t>
      </w:r>
      <w:r w:rsidR="0009417A">
        <w:rPr>
          <w:lang w:val="fr-FR"/>
        </w:rPr>
        <w:t>Il s’agit d’une obligation absolue.</w:t>
      </w:r>
    </w:p>
    <w:p w:rsidR="00261651" w:rsidRDefault="0009417A"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c)</w:t>
      </w:r>
      <w:r>
        <w:rPr>
          <w:lang w:val="fr-FR"/>
        </w:rPr>
        <w:tab/>
        <w:t>Lors d’un transfert d’une prison à une autre, ou à leur r</w:t>
      </w:r>
      <w:r w:rsidR="00881484">
        <w:rPr>
          <w:lang w:val="fr-FR"/>
        </w:rPr>
        <w:t>etour du tribunal (y compris d</w:t>
      </w:r>
      <w:r w:rsidR="00F423AE">
        <w:rPr>
          <w:lang w:val="fr-FR"/>
        </w:rPr>
        <w:t>es audiences par téléconférence</w:t>
      </w:r>
      <w:r>
        <w:rPr>
          <w:lang w:val="fr-FR"/>
        </w:rPr>
        <w:t xml:space="preserve">), tous les détenus font l’objet </w:t>
      </w:r>
      <w:r w:rsidR="005A1925">
        <w:rPr>
          <w:lang w:val="fr-FR"/>
        </w:rPr>
        <w:t>d’un examen permettant de faire un diagnostic sur</w:t>
      </w:r>
      <w:r>
        <w:rPr>
          <w:lang w:val="fr-FR"/>
        </w:rPr>
        <w:t xml:space="preserve"> leurs besoins psychiatriques et </w:t>
      </w:r>
      <w:r w:rsidR="005A1925">
        <w:rPr>
          <w:lang w:val="fr-FR"/>
        </w:rPr>
        <w:t xml:space="preserve">sur </w:t>
      </w:r>
      <w:r>
        <w:rPr>
          <w:lang w:val="fr-FR"/>
        </w:rPr>
        <w:t>le risque qu’ils présentent de commettre un acte d’automutilation ou d’autodestruction.</w:t>
      </w:r>
    </w:p>
    <w:p w:rsidR="00261651" w:rsidRDefault="00261651"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Queensland</w:t>
      </w:r>
    </w:p>
    <w:p w:rsidR="00261651" w:rsidRDefault="00261651"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Autochtones</w:t>
      </w:r>
    </w:p>
    <w:p w:rsidR="00327216"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bCs/>
          <w:lang w:val="fr-FR"/>
        </w:rPr>
      </w:pPr>
      <w:r>
        <w:rPr>
          <w:bCs/>
          <w:lang w:val="fr-FR"/>
        </w:rPr>
        <w:t>486</w:t>
      </w:r>
      <w:r w:rsidR="00E111C5">
        <w:rPr>
          <w:bCs/>
          <w:lang w:val="fr-FR"/>
        </w:rPr>
        <w:t>.</w:t>
      </w:r>
      <w:r w:rsidR="00E111C5">
        <w:rPr>
          <w:bCs/>
          <w:lang w:val="fr-FR"/>
        </w:rPr>
        <w:tab/>
        <w:t xml:space="preserve">L’article 420 de </w:t>
      </w:r>
      <w:r w:rsidR="00E111C5" w:rsidRPr="0011438C">
        <w:rPr>
          <w:bCs/>
          <w:lang w:val="fr-FR"/>
        </w:rPr>
        <w:t>la</w:t>
      </w:r>
      <w:r w:rsidR="00E111C5" w:rsidRPr="005A1925">
        <w:rPr>
          <w:bCs/>
          <w:i/>
          <w:iCs/>
          <w:lang w:val="fr-FR"/>
        </w:rPr>
        <w:t xml:space="preserve"> </w:t>
      </w:r>
      <w:r w:rsidR="00E111C5" w:rsidRPr="005A1925">
        <w:rPr>
          <w:bCs/>
          <w:lang w:val="fr-FR"/>
        </w:rPr>
        <w:t>loi de 2000 sur les pouvoirs et responsabilités de la police</w:t>
      </w:r>
      <w:r w:rsidR="00E111C5">
        <w:rPr>
          <w:bCs/>
          <w:i/>
          <w:iCs/>
          <w:lang w:val="fr-FR"/>
        </w:rPr>
        <w:t xml:space="preserve"> </w:t>
      </w:r>
      <w:r w:rsidR="00E111C5">
        <w:rPr>
          <w:bCs/>
          <w:lang w:val="fr-FR"/>
        </w:rPr>
        <w:t>(Queensland) concerne l’interrogatoire des autochtones</w:t>
      </w:r>
      <w:r w:rsidR="008D6B80">
        <w:rPr>
          <w:bCs/>
          <w:lang w:val="fr-FR"/>
        </w:rPr>
        <w:t xml:space="preserve">. </w:t>
      </w:r>
      <w:r w:rsidR="00E111C5">
        <w:rPr>
          <w:bCs/>
          <w:lang w:val="fr-FR"/>
        </w:rPr>
        <w:t>Il dispose que, si l’intéressé n’a pas pris de dispositions pour que son propre avocat soit présent, un fonctionnaire doit f</w:t>
      </w:r>
      <w:r w:rsidR="005A1925">
        <w:rPr>
          <w:bCs/>
          <w:lang w:val="fr-FR"/>
        </w:rPr>
        <w:t>aire en sorte qu’il</w:t>
      </w:r>
      <w:r w:rsidR="00E111C5">
        <w:rPr>
          <w:bCs/>
          <w:lang w:val="fr-FR"/>
        </w:rPr>
        <w:t xml:space="preserve"> puisse disposer d’une assistance </w:t>
      </w:r>
      <w:r w:rsidR="00FA7881">
        <w:rPr>
          <w:bCs/>
          <w:lang w:val="fr-FR"/>
        </w:rPr>
        <w:t>j</w:t>
      </w:r>
      <w:r w:rsidR="00A03FDF">
        <w:rPr>
          <w:bCs/>
          <w:lang w:val="fr-FR"/>
        </w:rPr>
        <w:t>udiciaire</w:t>
      </w:r>
      <w:r w:rsidR="0011438C">
        <w:rPr>
          <w:bCs/>
          <w:lang w:val="fr-FR"/>
        </w:rPr>
        <w:t>, sauf à ce que, étant donné</w:t>
      </w:r>
      <w:r w:rsidR="00E111C5">
        <w:rPr>
          <w:bCs/>
          <w:lang w:val="fr-FR"/>
        </w:rPr>
        <w:t xml:space="preserve"> son niveau d’</w:t>
      </w:r>
      <w:r w:rsidR="00FA7881">
        <w:rPr>
          <w:bCs/>
          <w:lang w:val="fr-FR"/>
        </w:rPr>
        <w:t>éducation et d’</w:t>
      </w:r>
      <w:r w:rsidR="00E111C5">
        <w:rPr>
          <w:bCs/>
          <w:lang w:val="fr-FR"/>
        </w:rPr>
        <w:t>intelligence</w:t>
      </w:r>
      <w:r w:rsidR="005A1925">
        <w:rPr>
          <w:bCs/>
          <w:lang w:val="fr-FR"/>
        </w:rPr>
        <w:t>, il ne soit pas défavorisé</w:t>
      </w:r>
      <w:r w:rsidR="00FA7881">
        <w:rPr>
          <w:bCs/>
          <w:lang w:val="fr-FR"/>
        </w:rPr>
        <w:t xml:space="preserve"> par rapport à l’ensemble des membres de la communauté australienne</w:t>
      </w:r>
      <w:r w:rsidR="008D6B80">
        <w:rPr>
          <w:bCs/>
          <w:lang w:val="fr-FR"/>
        </w:rPr>
        <w:t xml:space="preserve">. </w:t>
      </w:r>
      <w:r w:rsidR="00FA7881">
        <w:rPr>
          <w:bCs/>
          <w:lang w:val="fr-FR"/>
        </w:rPr>
        <w:t xml:space="preserve">Les fonctionnaires de police n’ont pas le droit d’interroger un autochtone s’il n’a pas eu la possibilité de s’entretenir </w:t>
      </w:r>
      <w:r w:rsidR="00327216">
        <w:rPr>
          <w:bCs/>
          <w:lang w:val="fr-FR"/>
        </w:rPr>
        <w:t xml:space="preserve">en privé </w:t>
      </w:r>
      <w:r w:rsidR="00FA7881">
        <w:rPr>
          <w:bCs/>
          <w:lang w:val="fr-FR"/>
        </w:rPr>
        <w:t xml:space="preserve">avec </w:t>
      </w:r>
      <w:r w:rsidR="00667135">
        <w:rPr>
          <w:bCs/>
          <w:lang w:val="fr-FR"/>
        </w:rPr>
        <w:t>une personne de confiance qui l’assiste</w:t>
      </w:r>
      <w:r w:rsidR="00327216">
        <w:rPr>
          <w:bCs/>
          <w:lang w:val="fr-FR"/>
        </w:rPr>
        <w:t>, et si cette personne n’est pas présente, sauf si l’autochtone renonce à ce droit, ou si la personne qui l’assiste intervient dans l’interrogatoire d’une manière qui n’est pas raisonnable.</w:t>
      </w:r>
    </w:p>
    <w:p w:rsidR="00327216"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487</w:t>
      </w:r>
      <w:r w:rsidR="00327216">
        <w:rPr>
          <w:lang w:val="fr-FR"/>
        </w:rPr>
        <w:t>.</w:t>
      </w:r>
      <w:r w:rsidR="00327216">
        <w:rPr>
          <w:lang w:val="fr-FR"/>
        </w:rPr>
        <w:tab/>
        <w:t>Afin de protéger encore mieux les droits des autochtones privés de liberté, le Gouvernement du Queensland a pris un certain nombre d’initiatives que voici</w:t>
      </w:r>
      <w:r w:rsidR="00572260">
        <w:rPr>
          <w:lang w:val="fr-FR"/>
        </w:rPr>
        <w:t>:</w:t>
      </w:r>
    </w:p>
    <w:p w:rsidR="00884205" w:rsidRDefault="00327216"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t xml:space="preserve">Les </w:t>
      </w:r>
      <w:r>
        <w:rPr>
          <w:i/>
          <w:iCs/>
          <w:lang w:val="fr-FR"/>
        </w:rPr>
        <w:t xml:space="preserve">Murri Courts </w:t>
      </w:r>
      <w:r w:rsidRPr="00327216">
        <w:rPr>
          <w:lang w:val="fr-FR"/>
        </w:rPr>
        <w:t>opèrent actuellement</w:t>
      </w:r>
      <w:r>
        <w:rPr>
          <w:i/>
          <w:iCs/>
          <w:lang w:val="fr-FR"/>
        </w:rPr>
        <w:t xml:space="preserve"> </w:t>
      </w:r>
      <w:r w:rsidR="005D6AAD">
        <w:rPr>
          <w:lang w:val="fr-FR"/>
        </w:rPr>
        <w:t>dans la juridiction pénale des tribunaux de première instance</w:t>
      </w:r>
      <w:r>
        <w:rPr>
          <w:lang w:val="fr-FR"/>
        </w:rPr>
        <w:t xml:space="preserve"> pour adultes, et/ou </w:t>
      </w:r>
      <w:r w:rsidR="00884205">
        <w:rPr>
          <w:lang w:val="fr-FR"/>
        </w:rPr>
        <w:t xml:space="preserve">au Tribunal pour enfants en neuf endroits du Queensland, et ont réussi à éviter à des délinquants et à des jeunes autochtones d’être emprisonnés ou placés en détention en prononçant à leur égard des mesures de rééducation. Les anciens conseillent le </w:t>
      </w:r>
      <w:r w:rsidR="00884205">
        <w:rPr>
          <w:i/>
          <w:iCs/>
          <w:lang w:val="fr-FR"/>
        </w:rPr>
        <w:t>Magistrate</w:t>
      </w:r>
      <w:r w:rsidR="00884205">
        <w:rPr>
          <w:lang w:val="fr-FR"/>
        </w:rPr>
        <w:t xml:space="preserve"> du </w:t>
      </w:r>
      <w:r w:rsidR="00884205">
        <w:rPr>
          <w:i/>
          <w:iCs/>
          <w:lang w:val="fr-FR"/>
        </w:rPr>
        <w:t>Murri Court</w:t>
      </w:r>
      <w:r w:rsidR="00884205">
        <w:rPr>
          <w:lang w:val="fr-FR"/>
        </w:rPr>
        <w:t xml:space="preserve"> sur les questions culturelles quand un délinquant autochtone est reconnu coupable</w:t>
      </w:r>
      <w:r w:rsidR="00F100B1">
        <w:rPr>
          <w:lang w:val="fr-FR"/>
        </w:rPr>
        <w:t>;</w:t>
      </w:r>
    </w:p>
    <w:p w:rsidR="00072EFC" w:rsidRDefault="00884205"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Pr>
          <w:lang w:val="fr-FR"/>
        </w:rPr>
        <w:tab/>
      </w:r>
      <w:r w:rsidR="005D6AAD">
        <w:rPr>
          <w:lang w:val="fr-FR"/>
        </w:rPr>
        <w:t>Les tribunaux de première instance</w:t>
      </w:r>
      <w:r w:rsidR="00072EFC">
        <w:rPr>
          <w:lang w:val="fr-FR"/>
        </w:rPr>
        <w:t xml:space="preserve"> peuvent être composés de deux juges de paix autochtones pour juger les affaires pénales mineures et ces</w:t>
      </w:r>
      <w:r w:rsidR="00F100B1">
        <w:rPr>
          <w:lang w:val="fr-FR"/>
        </w:rPr>
        <w:t xml:space="preserve"> tribunaux fonctionnent dans 18 </w:t>
      </w:r>
      <w:r w:rsidR="00072EFC">
        <w:rPr>
          <w:lang w:val="fr-FR"/>
        </w:rPr>
        <w:t>communautés retirées de l’État</w:t>
      </w:r>
      <w:r w:rsidR="008D6B80">
        <w:rPr>
          <w:lang w:val="fr-FR"/>
        </w:rPr>
        <w:t xml:space="preserve">. </w:t>
      </w:r>
      <w:r w:rsidR="00072EFC">
        <w:rPr>
          <w:lang w:val="fr-FR"/>
        </w:rPr>
        <w:t>Ils permettent aux communautés locales de disposer de leur propre système de justice adapté à l</w:t>
      </w:r>
      <w:r w:rsidR="00F100B1">
        <w:rPr>
          <w:lang w:val="fr-FR"/>
        </w:rPr>
        <w:t>eur culture, et d’y avoir accès;</w:t>
      </w:r>
    </w:p>
    <w:p w:rsidR="009558C4" w:rsidRDefault="00072EFC"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c)</w:t>
      </w:r>
      <w:r>
        <w:rPr>
          <w:lang w:val="fr-FR"/>
        </w:rPr>
        <w:tab/>
        <w:t>Le programme de lutte contre l’alcoolisme des autochtones du Queensland, doté d’un financement de 36 millions de dollars, a été conçu en vue de la rééducation des personnes inculpées de certaines infractions pénales liées à l’alcoolisme et apporte un soutien très important aux parents alcooliques qui</w:t>
      </w:r>
      <w:r w:rsidR="00F13A1D">
        <w:rPr>
          <w:lang w:val="fr-FR"/>
        </w:rPr>
        <w:t xml:space="preserve"> ont affaire au sys</w:t>
      </w:r>
      <w:r w:rsidR="00F100B1">
        <w:rPr>
          <w:lang w:val="fr-FR"/>
        </w:rPr>
        <w:t>tème de protection de l’enfance;</w:t>
      </w:r>
    </w:p>
    <w:p w:rsidR="009558C4" w:rsidRDefault="009558C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d)</w:t>
      </w:r>
      <w:r>
        <w:rPr>
          <w:lang w:val="fr-FR"/>
        </w:rPr>
        <w:tab/>
        <w:t xml:space="preserve">Les </w:t>
      </w:r>
      <w:r>
        <w:rPr>
          <w:i/>
          <w:iCs/>
          <w:lang w:val="fr-FR"/>
        </w:rPr>
        <w:t>Community Justice Groups</w:t>
      </w:r>
      <w:r>
        <w:rPr>
          <w:lang w:val="fr-FR"/>
        </w:rPr>
        <w:t xml:space="preserve"> (groupes pour la justice communautaire) exercent une influence prépondérante pour faire régner une plus grande sécurité dans les communautés et font profiter tribunaux et délinquants de leur appui dans les systèmes de justice pénale pour mineurs et pour adultes</w:t>
      </w:r>
      <w:r w:rsidR="00F100B1">
        <w:rPr>
          <w:lang w:val="fr-FR"/>
        </w:rPr>
        <w:t>;</w:t>
      </w:r>
    </w:p>
    <w:p w:rsidR="00F37A37" w:rsidRDefault="009558C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e)</w:t>
      </w:r>
      <w:r>
        <w:rPr>
          <w:lang w:val="fr-FR"/>
        </w:rPr>
        <w:tab/>
      </w:r>
      <w:r w:rsidR="00F37A37">
        <w:rPr>
          <w:lang w:val="fr-FR"/>
        </w:rPr>
        <w:t>Des officiers de liaison de police et des agents de la police locale</w:t>
      </w:r>
      <w:r>
        <w:rPr>
          <w:lang w:val="fr-FR"/>
        </w:rPr>
        <w:t xml:space="preserve"> </w:t>
      </w:r>
      <w:r w:rsidR="00F37A37">
        <w:rPr>
          <w:lang w:val="fr-FR"/>
        </w:rPr>
        <w:t>travaillent avec les communautés et les groupes consultatifs des communautés afin de résoudre les problèmes de sécurité</w:t>
      </w:r>
      <w:r w:rsidR="00E85D42">
        <w:rPr>
          <w:lang w:val="fr-FR"/>
        </w:rPr>
        <w:tab/>
      </w:r>
      <w:r w:rsidR="00F100B1">
        <w:rPr>
          <w:lang w:val="fr-FR"/>
        </w:rPr>
        <w:t>desdites communautés;</w:t>
      </w:r>
    </w:p>
    <w:p w:rsidR="008914AD" w:rsidRDefault="00F37A37"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f)</w:t>
      </w:r>
      <w:r>
        <w:rPr>
          <w:lang w:val="fr-FR"/>
        </w:rPr>
        <w:tab/>
        <w:t>Un service de probatio</w:t>
      </w:r>
      <w:r w:rsidR="00BC3C99">
        <w:rPr>
          <w:lang w:val="fr-FR"/>
        </w:rPr>
        <w:t xml:space="preserve">n et de liberté conditionnelle </w:t>
      </w:r>
      <w:r>
        <w:rPr>
          <w:lang w:val="fr-FR"/>
        </w:rPr>
        <w:t>comprend des fonctionnaires en poste dans les communautés autochtones retirées, qui supervisent et surveillent les délinquants et exécutent des programmes au niveau local</w:t>
      </w:r>
      <w:r w:rsidR="008D6B80">
        <w:rPr>
          <w:lang w:val="fr-FR"/>
        </w:rPr>
        <w:t xml:space="preserve">. </w:t>
      </w:r>
      <w:r>
        <w:rPr>
          <w:lang w:val="fr-FR"/>
        </w:rPr>
        <w:t>Cette initiative constitue une amélioration significative des prestations de services dans ces zones et donnent la possibilité aux tribunaux de prendre, à l’encontre des délinquants autochtones, d’autr</w:t>
      </w:r>
      <w:r w:rsidR="00F100B1">
        <w:rPr>
          <w:lang w:val="fr-FR"/>
        </w:rPr>
        <w:t>es mesures que l’emprisonnement;</w:t>
      </w:r>
    </w:p>
    <w:p w:rsidR="008914AD" w:rsidRDefault="008914A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g)</w:t>
      </w:r>
      <w:r>
        <w:rPr>
          <w:lang w:val="fr-FR"/>
        </w:rPr>
        <w:tab/>
        <w:t>Le Programme d’aide à l’emploi après la remise en liberté vise à prévenir les récidives en aidant les détenus, avant et après leur libération, à se préparer à travailler</w:t>
      </w:r>
      <w:r w:rsidR="00F100B1">
        <w:rPr>
          <w:lang w:val="fr-FR"/>
        </w:rPr>
        <w:t xml:space="preserve"> et à trouver un emploi durable;</w:t>
      </w:r>
    </w:p>
    <w:p w:rsidR="008914AD" w:rsidRDefault="008914A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h)</w:t>
      </w:r>
      <w:r>
        <w:rPr>
          <w:lang w:val="fr-FR"/>
        </w:rPr>
        <w:tab/>
        <w:t>Des stratégies de lutte contre l’alcoolisme sont en place, y compris des restrictions concernant l’offre de boissons alcoolisées et des stratégies destinées réduire la demande de boissons alcoolisées et d’autres substances, ainsi que leurs effets.</w:t>
      </w:r>
    </w:p>
    <w:p w:rsidR="008914AD" w:rsidRDefault="008914AD"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Personnes souffrant de troubles mentaux et d’autres handicaps</w:t>
      </w:r>
    </w:p>
    <w:p w:rsidR="008914AD"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488</w:t>
      </w:r>
      <w:r w:rsidR="008914AD">
        <w:rPr>
          <w:lang w:val="fr-FR"/>
        </w:rPr>
        <w:t>.</w:t>
      </w:r>
      <w:r w:rsidR="008914AD">
        <w:rPr>
          <w:lang w:val="fr-FR"/>
        </w:rPr>
        <w:tab/>
        <w:t xml:space="preserve">Les articles 422 et 423 de la </w:t>
      </w:r>
      <w:r w:rsidR="008914AD" w:rsidRPr="00526579">
        <w:rPr>
          <w:lang w:val="fr-FR"/>
        </w:rPr>
        <w:t>loi sur les pouvoirs et responsabilités de la police</w:t>
      </w:r>
      <w:r w:rsidR="008914AD">
        <w:rPr>
          <w:i/>
          <w:iCs/>
          <w:lang w:val="fr-FR"/>
        </w:rPr>
        <w:t xml:space="preserve"> </w:t>
      </w:r>
      <w:r w:rsidR="008914AD">
        <w:rPr>
          <w:lang w:val="fr-FR"/>
        </w:rPr>
        <w:t>concernent l’interrogatoire des personnes handicapées</w:t>
      </w:r>
      <w:r w:rsidR="008D6B80">
        <w:rPr>
          <w:lang w:val="fr-FR"/>
        </w:rPr>
        <w:t xml:space="preserve">. </w:t>
      </w:r>
      <w:r w:rsidR="008914AD">
        <w:rPr>
          <w:lang w:val="fr-FR"/>
        </w:rPr>
        <w:t>Les fonctionnaires de police doivent permettre à toute personne soupçonnée d</w:t>
      </w:r>
      <w:r w:rsidR="00DD5DFC">
        <w:rPr>
          <w:lang w:val="fr-FR"/>
        </w:rPr>
        <w:t>e souffrir de troubles de la parole de s’entretenir en privé avec une personne de confiance qui l’assiste</w:t>
      </w:r>
      <w:r w:rsidR="008D6B80">
        <w:rPr>
          <w:lang w:val="fr-FR"/>
        </w:rPr>
        <w:t xml:space="preserve">. </w:t>
      </w:r>
      <w:r w:rsidR="00DD5DFC">
        <w:rPr>
          <w:lang w:val="fr-FR"/>
        </w:rPr>
        <w:t>Il est interdit de questionner une personne en état d’ivr</w:t>
      </w:r>
      <w:r w:rsidR="00526579">
        <w:rPr>
          <w:lang w:val="fr-FR"/>
        </w:rPr>
        <w:t>esse jusqu’à ce que le policier</w:t>
      </w:r>
      <w:r w:rsidR="00DD5DFC">
        <w:rPr>
          <w:lang w:val="fr-FR"/>
        </w:rPr>
        <w:t xml:space="preserve"> concerné soit raisonnablement assuré que l’alcool ou la drogue n’affecte plus sa capacité à comprendre ses droits et à décider de répondre ou non aux questions.</w:t>
      </w:r>
    </w:p>
    <w:p w:rsidR="00DD5DFC"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489</w:t>
      </w:r>
      <w:r w:rsidR="00DD5DFC">
        <w:rPr>
          <w:lang w:val="fr-FR"/>
        </w:rPr>
        <w:t>.</w:t>
      </w:r>
      <w:r w:rsidR="00DD5DFC">
        <w:rPr>
          <w:lang w:val="fr-FR"/>
        </w:rPr>
        <w:tab/>
        <w:t>Les enfants et les personnes handicapées bénéficient de gara</w:t>
      </w:r>
      <w:r w:rsidR="002D16CE">
        <w:rPr>
          <w:lang w:val="fr-FR"/>
        </w:rPr>
        <w:t>nties supplémentaires, dont</w:t>
      </w:r>
      <w:r w:rsidR="00DD5DFC">
        <w:rPr>
          <w:lang w:val="fr-FR"/>
        </w:rPr>
        <w:t xml:space="preserve"> de</w:t>
      </w:r>
      <w:r w:rsidR="002D16CE">
        <w:rPr>
          <w:lang w:val="fr-FR"/>
        </w:rPr>
        <w:t>s</w:t>
      </w:r>
      <w:r w:rsidR="003119D2">
        <w:rPr>
          <w:lang w:val="fr-FR"/>
        </w:rPr>
        <w:t xml:space="preserve"> dispositions additionnelles</w:t>
      </w:r>
      <w:r w:rsidR="00DD5DFC">
        <w:rPr>
          <w:lang w:val="fr-FR"/>
        </w:rPr>
        <w:t xml:space="preserve"> concernant les personnes qu’ils peuvent contacter en vertu de la </w:t>
      </w:r>
      <w:r w:rsidR="00DD5DFC" w:rsidRPr="00526579">
        <w:rPr>
          <w:lang w:val="fr-FR"/>
        </w:rPr>
        <w:t>loi sur le terrorisme (détention préventive)</w:t>
      </w:r>
      <w:r w:rsidR="00DD5DFC">
        <w:rPr>
          <w:lang w:val="fr-FR"/>
        </w:rPr>
        <w:t xml:space="preserve"> (Queensland)</w:t>
      </w:r>
      <w:r w:rsidR="008D6B80">
        <w:rPr>
          <w:lang w:val="fr-FR"/>
        </w:rPr>
        <w:t xml:space="preserve">. </w:t>
      </w:r>
      <w:r w:rsidR="00DD5DFC">
        <w:rPr>
          <w:lang w:val="fr-FR"/>
        </w:rPr>
        <w:t>Toutes les personnes placées en détention en application d’une ordonnance de placement en détention préventive doivent être trai</w:t>
      </w:r>
      <w:r w:rsidR="00526579">
        <w:rPr>
          <w:lang w:val="fr-FR"/>
        </w:rPr>
        <w:t>tées avec humanité et ne</w:t>
      </w:r>
      <w:r w:rsidR="00DD5DFC">
        <w:rPr>
          <w:lang w:val="fr-FR"/>
        </w:rPr>
        <w:t xml:space="preserve"> pas faire l’objet d’un traitement cruel, inhumain ou dégradant.</w:t>
      </w:r>
    </w:p>
    <w:p w:rsidR="00F67B7D" w:rsidRDefault="00F67B7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w:t>
      </w:r>
      <w:r w:rsidR="00A55761">
        <w:rPr>
          <w:lang w:val="fr-FR"/>
        </w:rPr>
        <w:t>0</w:t>
      </w:r>
      <w:r>
        <w:rPr>
          <w:lang w:val="fr-FR"/>
        </w:rPr>
        <w:t>.</w:t>
      </w:r>
      <w:r>
        <w:rPr>
          <w:lang w:val="fr-FR"/>
        </w:rPr>
        <w:tab/>
      </w:r>
      <w:r w:rsidR="002810E5">
        <w:rPr>
          <w:lang w:val="fr-FR"/>
        </w:rPr>
        <w:t>Le Bureau des tutelles pour adultes est un organe officiel chargé de protéger les droits et les intérêts des adultes (les personnes âgées de 18 ans au moins) atteint</w:t>
      </w:r>
      <w:r w:rsidR="00BC3C99">
        <w:rPr>
          <w:lang w:val="fr-FR"/>
        </w:rPr>
        <w:t>s</w:t>
      </w:r>
      <w:r w:rsidR="002810E5">
        <w:rPr>
          <w:lang w:val="fr-FR"/>
        </w:rPr>
        <w:t xml:space="preserve"> d’une déficience</w:t>
      </w:r>
      <w:r w:rsidR="008D6B80">
        <w:rPr>
          <w:lang w:val="fr-FR"/>
        </w:rPr>
        <w:t xml:space="preserve">. </w:t>
      </w:r>
      <w:r w:rsidR="002810E5">
        <w:rPr>
          <w:lang w:val="fr-FR"/>
        </w:rPr>
        <w:t>Le</w:t>
      </w:r>
      <w:r w:rsidR="002810E5">
        <w:rPr>
          <w:i/>
          <w:iCs/>
          <w:lang w:val="fr-FR"/>
        </w:rPr>
        <w:t xml:space="preserve"> Guardianship and Adm</w:t>
      </w:r>
      <w:r w:rsidR="00882C07">
        <w:rPr>
          <w:i/>
          <w:iCs/>
          <w:lang w:val="fr-FR"/>
        </w:rPr>
        <w:t>i</w:t>
      </w:r>
      <w:r w:rsidR="002810E5">
        <w:rPr>
          <w:i/>
          <w:iCs/>
          <w:lang w:val="fr-FR"/>
        </w:rPr>
        <w:t>nistration Tribunal</w:t>
      </w:r>
      <w:r w:rsidR="00882C07">
        <w:rPr>
          <w:lang w:val="fr-FR"/>
        </w:rPr>
        <w:t xml:space="preserve"> (Tribunal des tutelles) peut nommer un tuteu</w:t>
      </w:r>
      <w:r w:rsidR="00526579">
        <w:rPr>
          <w:lang w:val="fr-FR"/>
        </w:rPr>
        <w:t>r (membre de la famille, ami ou</w:t>
      </w:r>
      <w:r w:rsidR="00882C07">
        <w:rPr>
          <w:lang w:val="fr-FR"/>
        </w:rPr>
        <w:t xml:space="preserve"> Bureau de tutelles pour adultes en dernier recours) comme</w:t>
      </w:r>
      <w:r w:rsidR="00526579">
        <w:rPr>
          <w:lang w:val="fr-FR"/>
        </w:rPr>
        <w:t xml:space="preserve"> décisionnaire</w:t>
      </w:r>
      <w:r w:rsidR="008D6B80">
        <w:rPr>
          <w:lang w:val="fr-FR"/>
        </w:rPr>
        <w:t xml:space="preserve">. </w:t>
      </w:r>
      <w:r w:rsidR="00526579">
        <w:rPr>
          <w:lang w:val="fr-FR"/>
        </w:rPr>
        <w:t>Le tuteur peut être autorisé à</w:t>
      </w:r>
      <w:r w:rsidR="00882C07">
        <w:rPr>
          <w:lang w:val="fr-FR"/>
        </w:rPr>
        <w:t xml:space="preserve"> prendre</w:t>
      </w:r>
      <w:r w:rsidR="00526579">
        <w:rPr>
          <w:lang w:val="fr-FR"/>
        </w:rPr>
        <w:t xml:space="preserve"> certaines décisions relatives à</w:t>
      </w:r>
      <w:r w:rsidR="00882C07">
        <w:rPr>
          <w:lang w:val="fr-FR"/>
        </w:rPr>
        <w:t xml:space="preserve"> des questions jur</w:t>
      </w:r>
      <w:r w:rsidR="00815CD0">
        <w:rPr>
          <w:lang w:val="fr-FR"/>
        </w:rPr>
        <w:t>idiques (par exemple celle</w:t>
      </w:r>
      <w:r w:rsidR="00882C07">
        <w:rPr>
          <w:lang w:val="fr-FR"/>
        </w:rPr>
        <w:t xml:space="preserve"> de recourir à </w:t>
      </w:r>
      <w:r w:rsidR="00D270D6">
        <w:rPr>
          <w:lang w:val="fr-FR"/>
        </w:rPr>
        <w:t>une assistance</w:t>
      </w:r>
      <w:r w:rsidR="00882C07">
        <w:rPr>
          <w:lang w:val="fr-FR"/>
        </w:rPr>
        <w:t xml:space="preserve"> juridique pour telle ou telle question de cet ordre).</w:t>
      </w:r>
    </w:p>
    <w:p w:rsidR="00882C07" w:rsidRDefault="00882C07"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Les enfants et les jeunes</w:t>
      </w:r>
    </w:p>
    <w:p w:rsidR="00722A89" w:rsidRDefault="00882C07"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w:t>
      </w:r>
      <w:r w:rsidR="00A55761">
        <w:rPr>
          <w:lang w:val="fr-FR"/>
        </w:rPr>
        <w:t>1</w:t>
      </w:r>
      <w:r>
        <w:rPr>
          <w:lang w:val="fr-FR"/>
        </w:rPr>
        <w:t>.</w:t>
      </w:r>
      <w:r>
        <w:rPr>
          <w:lang w:val="fr-FR"/>
        </w:rPr>
        <w:tab/>
      </w:r>
      <w:r w:rsidR="00D270D6">
        <w:rPr>
          <w:lang w:val="fr-FR"/>
        </w:rPr>
        <w:t>Les mesures actuellement mises en œuvre pour protéger l</w:t>
      </w:r>
      <w:r w:rsidR="0052627F">
        <w:rPr>
          <w:lang w:val="fr-FR"/>
        </w:rPr>
        <w:t>es droits des jeunes</w:t>
      </w:r>
      <w:r w:rsidR="00D270D6">
        <w:rPr>
          <w:lang w:val="fr-FR"/>
        </w:rPr>
        <w:t xml:space="preserve"> placés en détention dans l’un des</w:t>
      </w:r>
      <w:r w:rsidR="00C408FC">
        <w:rPr>
          <w:lang w:val="fr-FR"/>
        </w:rPr>
        <w:t xml:space="preserve"> centres de détention pour mineurs</w:t>
      </w:r>
      <w:r w:rsidR="00D270D6">
        <w:rPr>
          <w:lang w:val="fr-FR"/>
        </w:rPr>
        <w:t xml:space="preserve"> de l’État c</w:t>
      </w:r>
      <w:r w:rsidR="00722A89">
        <w:rPr>
          <w:lang w:val="fr-FR"/>
        </w:rPr>
        <w:t>onsistent à pratiquer un</w:t>
      </w:r>
      <w:r w:rsidR="00D270D6">
        <w:rPr>
          <w:lang w:val="fr-FR"/>
        </w:rPr>
        <w:t xml:space="preserve"> </w:t>
      </w:r>
      <w:r w:rsidR="00722A89">
        <w:rPr>
          <w:lang w:val="fr-FR"/>
        </w:rPr>
        <w:t xml:space="preserve">examen </w:t>
      </w:r>
      <w:r w:rsidR="00D270D6">
        <w:rPr>
          <w:lang w:val="fr-FR"/>
        </w:rPr>
        <w:t>pour chacun permettant</w:t>
      </w:r>
      <w:r w:rsidR="00722A89">
        <w:rPr>
          <w:lang w:val="fr-FR"/>
        </w:rPr>
        <w:t xml:space="preserve"> d’évaluer la gravité potentielle d’un comportement à risque, de connaître son état de santé, ses besoins particuliers</w:t>
      </w:r>
      <w:r w:rsidR="00C408FC">
        <w:rPr>
          <w:lang w:val="fr-FR"/>
        </w:rPr>
        <w:t>,</w:t>
      </w:r>
      <w:r w:rsidR="00722A89">
        <w:rPr>
          <w:lang w:val="fr-FR"/>
        </w:rPr>
        <w:t xml:space="preserve"> et à lui donner une explication complète sur ses droits et ses responsabilités.</w:t>
      </w:r>
    </w:p>
    <w:p w:rsidR="000657FC" w:rsidRDefault="00722A89"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w:t>
      </w:r>
      <w:r w:rsidR="00A55761">
        <w:rPr>
          <w:lang w:val="fr-FR"/>
        </w:rPr>
        <w:t>2</w:t>
      </w:r>
      <w:r>
        <w:rPr>
          <w:lang w:val="fr-FR"/>
        </w:rPr>
        <w:t>.</w:t>
      </w:r>
      <w:r>
        <w:rPr>
          <w:lang w:val="fr-FR"/>
        </w:rPr>
        <w:tab/>
        <w:t>Pour s’assurer que les droits des jeunes</w:t>
      </w:r>
      <w:r w:rsidR="00BC3C99">
        <w:rPr>
          <w:lang w:val="fr-FR"/>
        </w:rPr>
        <w:t xml:space="preserve"> délinquants sont respectés, la</w:t>
      </w:r>
      <w:r>
        <w:rPr>
          <w:lang w:val="fr-FR"/>
        </w:rPr>
        <w:t xml:space="preserve"> Commi</w:t>
      </w:r>
      <w:r w:rsidR="00C408FC">
        <w:rPr>
          <w:lang w:val="fr-FR"/>
        </w:rPr>
        <w:t>ssion pour les enfants et les jeunes</w:t>
      </w:r>
      <w:r>
        <w:rPr>
          <w:lang w:val="fr-FR"/>
        </w:rPr>
        <w:t xml:space="preserve"> exerce un contrôle indépendant sur les opérations et veille à ce que les jeunes </w:t>
      </w:r>
      <w:r w:rsidR="000657FC">
        <w:rPr>
          <w:lang w:val="fr-FR"/>
        </w:rPr>
        <w:t>puissent disposer rapidement d’une assistance judiciaire et d’une représentation en justice.</w:t>
      </w:r>
    </w:p>
    <w:p w:rsidR="000657FC"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493</w:t>
      </w:r>
      <w:r w:rsidR="000657FC">
        <w:rPr>
          <w:lang w:val="fr-FR"/>
        </w:rPr>
        <w:t>.</w:t>
      </w:r>
      <w:r w:rsidR="000657FC">
        <w:rPr>
          <w:lang w:val="fr-FR"/>
        </w:rPr>
        <w:tab/>
        <w:t>Les jeunes qui aident la police du Queensland dans ses enquêtes sont assistés par une personne indépendante pendant l’entretien.</w:t>
      </w:r>
    </w:p>
    <w:p w:rsidR="000657FC" w:rsidRDefault="000657FC"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Personnes vulnérables</w:t>
      </w:r>
      <w:r w:rsidR="00774E59">
        <w:rPr>
          <w:b/>
          <w:bCs/>
          <w:lang w:val="fr-FR"/>
        </w:rPr>
        <w:t xml:space="preserve"> détenues dans les services pénitentiaires</w:t>
      </w:r>
    </w:p>
    <w:p w:rsidR="00774E59"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494</w:t>
      </w:r>
      <w:r w:rsidR="00C408FC">
        <w:rPr>
          <w:lang w:val="fr-FR"/>
        </w:rPr>
        <w:t>.</w:t>
      </w:r>
      <w:r w:rsidR="00C408FC">
        <w:rPr>
          <w:lang w:val="fr-FR"/>
        </w:rPr>
        <w:tab/>
        <w:t>Le S</w:t>
      </w:r>
      <w:r w:rsidR="00774E59">
        <w:rPr>
          <w:lang w:val="fr-FR"/>
        </w:rPr>
        <w:t>ervice pénitentiaire du Queensland applique un certain nombre de mesures pour protéger et garantir les droits des personnes vulnérables privées de liberté, y compris les femmes, les autochtones et les personnes souffrant de troubles mentaux.</w:t>
      </w:r>
    </w:p>
    <w:p w:rsidR="00882C07"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495</w:t>
      </w:r>
      <w:r w:rsidR="00B114E9" w:rsidRPr="00B114E9">
        <w:rPr>
          <w:lang w:val="fr-FR"/>
        </w:rPr>
        <w:t>.</w:t>
      </w:r>
      <w:r w:rsidR="00B114E9" w:rsidRPr="00B114E9">
        <w:rPr>
          <w:lang w:val="fr-FR"/>
        </w:rPr>
        <w:tab/>
        <w:t xml:space="preserve">Ce service </w:t>
      </w:r>
      <w:r w:rsidR="00B114E9">
        <w:rPr>
          <w:lang w:val="fr-FR"/>
        </w:rPr>
        <w:t>effectue, lors du placement en détention de</w:t>
      </w:r>
      <w:r w:rsidR="00C408FC">
        <w:rPr>
          <w:lang w:val="fr-FR"/>
        </w:rPr>
        <w:t xml:space="preserve"> la personne condamnée, un diagnostic</w:t>
      </w:r>
      <w:r w:rsidR="00B114E9">
        <w:rPr>
          <w:lang w:val="fr-FR"/>
        </w:rPr>
        <w:t xml:space="preserve"> rigoureux concernant des aspects tels que le potentiel d’aut</w:t>
      </w:r>
      <w:r w:rsidR="00A56165">
        <w:rPr>
          <w:lang w:val="fr-FR"/>
        </w:rPr>
        <w:t>o-agressivité</w:t>
      </w:r>
      <w:r w:rsidR="00B114E9">
        <w:rPr>
          <w:lang w:val="fr-FR"/>
        </w:rPr>
        <w:t>, la santé mentale et</w:t>
      </w:r>
      <w:r w:rsidR="00D270D6">
        <w:rPr>
          <w:lang w:val="fr-FR"/>
        </w:rPr>
        <w:t xml:space="preserve"> </w:t>
      </w:r>
      <w:r w:rsidR="00B114E9">
        <w:rPr>
          <w:lang w:val="fr-FR"/>
        </w:rPr>
        <w:t>la santé en général, et</w:t>
      </w:r>
      <w:r w:rsidR="00D270D6">
        <w:rPr>
          <w:lang w:val="fr-FR"/>
        </w:rPr>
        <w:t xml:space="preserve"> </w:t>
      </w:r>
      <w:r w:rsidR="00B114E9">
        <w:rPr>
          <w:lang w:val="fr-FR"/>
        </w:rPr>
        <w:t>tout ce qui peut préoccuper le détenu quant à sa sécurité</w:t>
      </w:r>
      <w:r w:rsidR="008D6B80">
        <w:rPr>
          <w:lang w:val="fr-FR"/>
        </w:rPr>
        <w:t xml:space="preserve">. </w:t>
      </w:r>
      <w:r w:rsidR="00F100B1">
        <w:rPr>
          <w:lang w:val="fr-FR"/>
        </w:rPr>
        <w:t>Le </w:t>
      </w:r>
      <w:r w:rsidR="00B114E9">
        <w:rPr>
          <w:lang w:val="fr-FR"/>
        </w:rPr>
        <w:t xml:space="preserve">placement du détenu et le niveau de surveillance sont déterminés en fonction de ces évaluations afin d’éviter qu’il </w:t>
      </w:r>
      <w:r w:rsidR="00815CD0">
        <w:rPr>
          <w:lang w:val="fr-FR"/>
        </w:rPr>
        <w:t xml:space="preserve">ne </w:t>
      </w:r>
      <w:r w:rsidR="00B114E9">
        <w:rPr>
          <w:lang w:val="fr-FR"/>
        </w:rPr>
        <w:t>fasse courir un danger à lui-même ou aux autres.</w:t>
      </w:r>
    </w:p>
    <w:p w:rsidR="00B114E9"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496</w:t>
      </w:r>
      <w:r w:rsidR="00B114E9">
        <w:rPr>
          <w:lang w:val="fr-FR"/>
        </w:rPr>
        <w:t>.</w:t>
      </w:r>
      <w:r w:rsidR="00B114E9">
        <w:rPr>
          <w:lang w:val="fr-FR"/>
        </w:rPr>
        <w:tab/>
      </w:r>
      <w:r w:rsidR="0094447B">
        <w:rPr>
          <w:lang w:val="fr-FR"/>
        </w:rPr>
        <w:t>Les personnes placées en détention dans les services pénitentiaires du Queensland disposent de toute une gamme de services couvrant informations et conseils, consultations psychologiques et psychiatriques, soins médicaux, un soutien culturellement approprié et la présence de visiteurs religieux.</w:t>
      </w:r>
    </w:p>
    <w:p w:rsidR="0094447B"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497</w:t>
      </w:r>
      <w:r w:rsidR="0094447B">
        <w:rPr>
          <w:lang w:val="fr-FR"/>
        </w:rPr>
        <w:t>.</w:t>
      </w:r>
      <w:r w:rsidR="0094447B">
        <w:rPr>
          <w:lang w:val="fr-FR"/>
        </w:rPr>
        <w:tab/>
        <w:t>Divers mécanismes permettent aux condamnés de soulever des questions concernant la surveillance dont ils font l’objet</w:t>
      </w:r>
      <w:r w:rsidR="008D6B80">
        <w:rPr>
          <w:lang w:val="fr-FR"/>
        </w:rPr>
        <w:t xml:space="preserve">. </w:t>
      </w:r>
      <w:r w:rsidR="0094447B">
        <w:rPr>
          <w:lang w:val="fr-FR"/>
        </w:rPr>
        <w:t>Tous les détenus ont le droit d’écrire directement au Directeur général de l’établissement pénitentiaire</w:t>
      </w:r>
      <w:r w:rsidR="008D6B80">
        <w:rPr>
          <w:lang w:val="fr-FR"/>
        </w:rPr>
        <w:t xml:space="preserve">. </w:t>
      </w:r>
      <w:r w:rsidR="00893F70">
        <w:rPr>
          <w:lang w:val="fr-FR"/>
        </w:rPr>
        <w:t xml:space="preserve">Ils ont tous l’autorisation de téléphoner et de communiquer à titre </w:t>
      </w:r>
      <w:r w:rsidR="00BC3C99">
        <w:rPr>
          <w:lang w:val="fr-FR"/>
        </w:rPr>
        <w:t xml:space="preserve">confidentiel avec le Bureau du </w:t>
      </w:r>
      <w:r w:rsidR="00893F70">
        <w:rPr>
          <w:lang w:val="fr-FR"/>
        </w:rPr>
        <w:t>Médiateur et</w:t>
      </w:r>
      <w:r w:rsidR="00EE490A">
        <w:rPr>
          <w:lang w:val="fr-FR"/>
        </w:rPr>
        <w:t xml:space="preserve"> avec</w:t>
      </w:r>
      <w:r w:rsidR="00B07820">
        <w:rPr>
          <w:lang w:val="fr-FR"/>
        </w:rPr>
        <w:t xml:space="preserve"> leur avocat</w:t>
      </w:r>
      <w:r w:rsidR="00636262">
        <w:rPr>
          <w:lang w:val="fr-FR"/>
        </w:rPr>
        <w:t>.</w:t>
      </w:r>
    </w:p>
    <w:p w:rsidR="00636262"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498</w:t>
      </w:r>
      <w:r w:rsidR="00636262">
        <w:rPr>
          <w:lang w:val="fr-FR"/>
        </w:rPr>
        <w:t>.</w:t>
      </w:r>
      <w:r w:rsidR="00636262">
        <w:rPr>
          <w:lang w:val="fr-FR"/>
        </w:rPr>
        <w:tab/>
        <w:t>Le système pénitentiaire du Queensland met e</w:t>
      </w:r>
      <w:r w:rsidR="00BC3C99">
        <w:rPr>
          <w:lang w:val="fr-FR"/>
        </w:rPr>
        <w:t>n œuvre un</w:t>
      </w:r>
      <w:r w:rsidR="00636262">
        <w:rPr>
          <w:lang w:val="fr-FR"/>
        </w:rPr>
        <w:t xml:space="preserve"> Programme de visiteurs officiels dans le cadr</w:t>
      </w:r>
      <w:r w:rsidR="00C408FC">
        <w:rPr>
          <w:lang w:val="fr-FR"/>
        </w:rPr>
        <w:t>e duquel ces derniers</w:t>
      </w:r>
      <w:r w:rsidR="00636262">
        <w:rPr>
          <w:lang w:val="fr-FR"/>
        </w:rPr>
        <w:t xml:space="preserve"> sont nommés dans les centres de détention pour aider les détenus à effectuer les démarches relatives à leurs doléances et à les faire aboutir</w:t>
      </w:r>
      <w:r w:rsidR="008D6B80">
        <w:rPr>
          <w:lang w:val="fr-FR"/>
        </w:rPr>
        <w:t xml:space="preserve">. </w:t>
      </w:r>
      <w:r w:rsidR="00636262">
        <w:rPr>
          <w:lang w:val="fr-FR"/>
        </w:rPr>
        <w:t xml:space="preserve">Les visiteurs officiels sont issus de la communauté et il y a, parmi eux, des </w:t>
      </w:r>
      <w:r w:rsidR="00636262" w:rsidRPr="00B0649A">
        <w:rPr>
          <w:lang w:val="fr-FR"/>
        </w:rPr>
        <w:t>visiteurs</w:t>
      </w:r>
      <w:r w:rsidR="00DB1E68" w:rsidRPr="00B0649A">
        <w:rPr>
          <w:lang w:val="fr-FR"/>
        </w:rPr>
        <w:t xml:space="preserve"> judiciaires et des visiteurs autoc</w:t>
      </w:r>
      <w:r w:rsidR="00BC3C99" w:rsidRPr="00B0649A">
        <w:rPr>
          <w:lang w:val="fr-FR"/>
        </w:rPr>
        <w:t>htones</w:t>
      </w:r>
      <w:r w:rsidR="008D6B80">
        <w:rPr>
          <w:lang w:val="fr-FR"/>
        </w:rPr>
        <w:t xml:space="preserve">. </w:t>
      </w:r>
      <w:r w:rsidR="00BC3C99" w:rsidRPr="00B0649A">
        <w:rPr>
          <w:lang w:val="fr-FR"/>
        </w:rPr>
        <w:t>Ils</w:t>
      </w:r>
      <w:r w:rsidR="00DB1E68" w:rsidRPr="00B0649A">
        <w:rPr>
          <w:lang w:val="fr-FR"/>
        </w:rPr>
        <w:t xml:space="preserve"> jouent un rôle important en ce qu’ils</w:t>
      </w:r>
      <w:r w:rsidR="00DB1E68">
        <w:rPr>
          <w:lang w:val="fr-FR"/>
        </w:rPr>
        <w:t xml:space="preserve"> veillent à ce que les responsables administratifs justifient leurs décisions. </w:t>
      </w:r>
    </w:p>
    <w:p w:rsidR="00B14FCC"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499</w:t>
      </w:r>
      <w:r w:rsidR="00B14FCC">
        <w:rPr>
          <w:lang w:val="fr-FR"/>
        </w:rPr>
        <w:t>.</w:t>
      </w:r>
      <w:r w:rsidR="00B14FCC">
        <w:rPr>
          <w:lang w:val="fr-FR"/>
        </w:rPr>
        <w:tab/>
        <w:t xml:space="preserve">En vertu de la loi sur le terrorisme (détention préventive), les enfants et les personnes qui ne jouissent </w:t>
      </w:r>
      <w:r w:rsidR="00BE4EEB">
        <w:rPr>
          <w:lang w:val="fr-FR"/>
        </w:rPr>
        <w:t xml:space="preserve">pas </w:t>
      </w:r>
      <w:r w:rsidR="00B14FCC">
        <w:rPr>
          <w:lang w:val="fr-FR"/>
        </w:rPr>
        <w:t>de toutes leurs facultés</w:t>
      </w:r>
      <w:r w:rsidR="00043303">
        <w:rPr>
          <w:lang w:val="fr-FR"/>
        </w:rPr>
        <w:t xml:space="preserve"> bénéficient de garanties supplémentaires dont font partie des dispositions additionnelles concernant les contacts avec l’extérieur</w:t>
      </w:r>
      <w:r w:rsidR="008D6B80">
        <w:rPr>
          <w:lang w:val="fr-FR"/>
        </w:rPr>
        <w:t xml:space="preserve">. </w:t>
      </w:r>
      <w:r w:rsidR="00043303">
        <w:rPr>
          <w:lang w:val="fr-FR"/>
        </w:rPr>
        <w:t xml:space="preserve">Toutes les personnes </w:t>
      </w:r>
      <w:r w:rsidR="00043303" w:rsidRPr="00B0649A">
        <w:rPr>
          <w:lang w:val="fr-FR"/>
        </w:rPr>
        <w:t>détenues en exécution d’une ordonnance de placement en détention préventive doivent être traitées avec humanité</w:t>
      </w:r>
      <w:r w:rsidR="00043303">
        <w:rPr>
          <w:lang w:val="fr-FR"/>
        </w:rPr>
        <w:t xml:space="preserve"> et ne doivent pas être soumise à un traitement cruel, inhumain ou dégradant.</w:t>
      </w:r>
    </w:p>
    <w:p w:rsidR="00043303" w:rsidRDefault="008E1139"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Australie occidentale</w:t>
      </w:r>
    </w:p>
    <w:p w:rsidR="001B090B"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500</w:t>
      </w:r>
      <w:r w:rsidR="00043303">
        <w:rPr>
          <w:lang w:val="fr-FR"/>
        </w:rPr>
        <w:t>.</w:t>
      </w:r>
      <w:r w:rsidR="00043303">
        <w:rPr>
          <w:lang w:val="fr-FR"/>
        </w:rPr>
        <w:tab/>
      </w:r>
      <w:r w:rsidR="001B090B">
        <w:rPr>
          <w:lang w:val="fr-FR"/>
        </w:rPr>
        <w:t>Le traitement de tous les</w:t>
      </w:r>
      <w:r w:rsidR="00043303">
        <w:rPr>
          <w:lang w:val="fr-FR"/>
        </w:rPr>
        <w:t xml:space="preserve"> délinquants dans les établissements pénitentiaires</w:t>
      </w:r>
      <w:r w:rsidR="001B090B">
        <w:rPr>
          <w:lang w:val="fr-FR"/>
        </w:rPr>
        <w:t xml:space="preserve"> repose sur quatre principes fondamentaux en </w:t>
      </w:r>
      <w:r w:rsidR="008E1139">
        <w:rPr>
          <w:lang w:val="fr-FR"/>
        </w:rPr>
        <w:t>Australie occidentale</w:t>
      </w:r>
      <w:r w:rsidR="00572260">
        <w:rPr>
          <w:lang w:val="fr-FR"/>
        </w:rPr>
        <w:t>:</w:t>
      </w:r>
    </w:p>
    <w:p w:rsidR="00043303" w:rsidRDefault="001B090B"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r>
      <w:r w:rsidR="004B5D6E">
        <w:rPr>
          <w:lang w:val="fr-FR"/>
        </w:rPr>
        <w:t>Détention – Les détenus doivent être maintenus en détention pendant la période prescrite par le tribunal</w:t>
      </w:r>
      <w:r w:rsidR="00043303">
        <w:rPr>
          <w:lang w:val="fr-FR"/>
        </w:rPr>
        <w:t xml:space="preserve"> </w:t>
      </w:r>
      <w:r w:rsidR="004B5D6E">
        <w:rPr>
          <w:lang w:val="fr-FR"/>
        </w:rPr>
        <w:t>au niveau de sécurité le plus bas qui soit néc</w:t>
      </w:r>
      <w:r w:rsidR="0058732F">
        <w:rPr>
          <w:lang w:val="fr-FR"/>
        </w:rPr>
        <w:t>essaire pour assurer ce maintien</w:t>
      </w:r>
      <w:r w:rsidR="004B5D6E">
        <w:rPr>
          <w:lang w:val="fr-FR"/>
        </w:rPr>
        <w:t>, le bon ordre et la sécurité de la prison, ainsi que la sécu</w:t>
      </w:r>
      <w:r w:rsidR="00F100B1">
        <w:rPr>
          <w:lang w:val="fr-FR"/>
        </w:rPr>
        <w:t>rité et la protection du public;</w:t>
      </w:r>
    </w:p>
    <w:p w:rsidR="004B5D6E" w:rsidRDefault="004B5D6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Pr>
          <w:lang w:val="fr-FR"/>
        </w:rPr>
        <w:tab/>
        <w:t>Prise en charge et bien-être – Il convient de tenir compte des besoins psychologiques, physiques, spirituels et culturels des déten</w:t>
      </w:r>
      <w:r w:rsidR="00F100B1">
        <w:rPr>
          <w:lang w:val="fr-FR"/>
        </w:rPr>
        <w:t>us et d’y répondre;</w:t>
      </w:r>
    </w:p>
    <w:p w:rsidR="004B5D6E" w:rsidRDefault="004B5D6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c)</w:t>
      </w:r>
      <w:r>
        <w:rPr>
          <w:lang w:val="fr-FR"/>
        </w:rPr>
        <w:tab/>
        <w:t>Réparation – Les détenus doivent continuer à contribuer positivement à la vie de la collectivité par leur tr</w:t>
      </w:r>
      <w:r w:rsidR="00F100B1">
        <w:rPr>
          <w:lang w:val="fr-FR"/>
        </w:rPr>
        <w:t>avail et par d’autres activités;</w:t>
      </w:r>
    </w:p>
    <w:p w:rsidR="004B5D6E" w:rsidRDefault="004B5D6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d)</w:t>
      </w:r>
      <w:r>
        <w:rPr>
          <w:lang w:val="fr-FR"/>
        </w:rPr>
        <w:tab/>
        <w:t>Rééducation et réinsertion – Les détenus doivent être encouragés</w:t>
      </w:r>
      <w:r w:rsidR="0042028C">
        <w:rPr>
          <w:lang w:val="fr-FR"/>
        </w:rPr>
        <w:t xml:space="preserve"> à participer à des programmes, dont des programmes éducatifs, et à des activités visant à réduire le risque de récidive et à accroître leur potentiel de réinsertion dans la société.</w:t>
      </w:r>
    </w:p>
    <w:p w:rsidR="00CF5C2A"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501</w:t>
      </w:r>
      <w:r w:rsidR="00CF5C2A">
        <w:rPr>
          <w:lang w:val="fr-FR"/>
        </w:rPr>
        <w:t>.</w:t>
      </w:r>
      <w:r w:rsidR="00CF5C2A">
        <w:rPr>
          <w:lang w:val="fr-FR"/>
        </w:rPr>
        <w:tab/>
        <w:t>En particulier</w:t>
      </w:r>
      <w:r w:rsidR="00572260">
        <w:rPr>
          <w:lang w:val="fr-FR"/>
        </w:rPr>
        <w:t>:</w:t>
      </w:r>
    </w:p>
    <w:p w:rsidR="00CF5C2A" w:rsidRDefault="00CF5C2A"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r>
      <w:r w:rsidR="007C26DE">
        <w:rPr>
          <w:lang w:val="fr-FR"/>
        </w:rPr>
        <w:t>Les centres de détention pour mineurs d’</w:t>
      </w:r>
      <w:r w:rsidR="008E1139">
        <w:rPr>
          <w:lang w:val="fr-FR"/>
        </w:rPr>
        <w:t>Australie occidentale</w:t>
      </w:r>
      <w:r w:rsidR="007C26DE">
        <w:rPr>
          <w:lang w:val="fr-FR"/>
        </w:rPr>
        <w:t xml:space="preserve"> ont été approuvés par les administrateurs de justice pour mineurs d’Australasie</w:t>
      </w:r>
      <w:r w:rsidR="008D6B80">
        <w:rPr>
          <w:lang w:val="fr-FR"/>
        </w:rPr>
        <w:t xml:space="preserve">. </w:t>
      </w:r>
      <w:r w:rsidR="007C26DE">
        <w:rPr>
          <w:lang w:val="fr-FR"/>
        </w:rPr>
        <w:t>Les normes des centres de détention pour mineurs d’</w:t>
      </w:r>
      <w:r w:rsidR="008E1139">
        <w:rPr>
          <w:lang w:val="fr-FR"/>
        </w:rPr>
        <w:t>Australie occidentale</w:t>
      </w:r>
      <w:r w:rsidR="007C26DE">
        <w:rPr>
          <w:lang w:val="fr-FR"/>
        </w:rPr>
        <w:t xml:space="preserve"> sont basées sur les Règles des Nations Unies pour la protection des mineurs privés de liberté, l’Ensemble de règles minima des Nations Unies concernant l’administration de la justice pour mineurs (Règles de Beijing) et la Convention relative aux droits de l’enfant</w:t>
      </w:r>
      <w:r w:rsidR="008D6B80">
        <w:rPr>
          <w:lang w:val="fr-FR"/>
        </w:rPr>
        <w:t xml:space="preserve">. </w:t>
      </w:r>
    </w:p>
    <w:p w:rsidR="00E14141" w:rsidRDefault="00E1414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Pr>
          <w:lang w:val="fr-FR"/>
        </w:rPr>
        <w:tab/>
        <w:t>Une proposition a été mise au point concernant le traitement des détenus ne jouissant pas de toutes leurs facultés mentales</w:t>
      </w:r>
      <w:r w:rsidR="008D6B80">
        <w:rPr>
          <w:lang w:val="fr-FR"/>
        </w:rPr>
        <w:t xml:space="preserve">. </w:t>
      </w:r>
      <w:r>
        <w:rPr>
          <w:lang w:val="fr-FR"/>
        </w:rPr>
        <w:t>Elle repose sur le principe selon lequel il convient de les transférer</w:t>
      </w:r>
      <w:r w:rsidR="00925474">
        <w:rPr>
          <w:lang w:val="fr-FR"/>
        </w:rPr>
        <w:t>,</w:t>
      </w:r>
      <w:r>
        <w:rPr>
          <w:lang w:val="fr-FR"/>
        </w:rPr>
        <w:t xml:space="preserve"> dans toute la mesure du possible</w:t>
      </w:r>
      <w:r w:rsidR="00925474">
        <w:rPr>
          <w:lang w:val="fr-FR"/>
        </w:rPr>
        <w:t>,</w:t>
      </w:r>
      <w:r>
        <w:rPr>
          <w:lang w:val="fr-FR"/>
        </w:rPr>
        <w:t xml:space="preserve"> d’un milieu carcéral dans un milieu communautaire, tout en maintenant un juste équilibre entre le droit de l’accusé à un traitement et </w:t>
      </w:r>
      <w:r w:rsidR="00157858">
        <w:rPr>
          <w:lang w:val="fr-FR"/>
        </w:rPr>
        <w:t xml:space="preserve">à </w:t>
      </w:r>
      <w:r>
        <w:rPr>
          <w:lang w:val="fr-FR"/>
        </w:rPr>
        <w:t>des services appropriés et le droit de la collectivité à la sécurité et à la protection</w:t>
      </w:r>
      <w:r w:rsidR="008D6B80">
        <w:rPr>
          <w:lang w:val="fr-FR"/>
        </w:rPr>
        <w:t xml:space="preserve">. </w:t>
      </w:r>
      <w:r w:rsidR="00AB697E">
        <w:rPr>
          <w:lang w:val="fr-FR"/>
        </w:rPr>
        <w:t>Cette proposition a été retenue par tous les organismes concernés et elle est en cours de préparation pour être présentée au Cabinet pour examen.</w:t>
      </w:r>
    </w:p>
    <w:p w:rsidR="003D0928" w:rsidRDefault="003D0928"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w:t>
      </w:r>
      <w:r w:rsidR="00A55761">
        <w:rPr>
          <w:lang w:val="fr-FR"/>
        </w:rPr>
        <w:t>2</w:t>
      </w:r>
      <w:r>
        <w:rPr>
          <w:lang w:val="fr-FR"/>
        </w:rPr>
        <w:t>.</w:t>
      </w:r>
      <w:r>
        <w:rPr>
          <w:lang w:val="fr-FR"/>
        </w:rPr>
        <w:tab/>
        <w:t>Le Ministère joue également un rôle essentiel dans l’élaboration des plans concernant la justice aborigène locale, dont la mise au point s’effectue sous les auspices de l’Accord relatif à la justice aborigène et qui mettent en évidence les priorités des commu</w:t>
      </w:r>
      <w:r w:rsidR="003F459F">
        <w:rPr>
          <w:lang w:val="fr-FR"/>
        </w:rPr>
        <w:t>nautés aborigènes en matière de justice locale</w:t>
      </w:r>
      <w:r w:rsidR="008D6B80">
        <w:rPr>
          <w:lang w:val="fr-FR"/>
        </w:rPr>
        <w:t xml:space="preserve">. </w:t>
      </w:r>
      <w:r w:rsidR="003F459F">
        <w:rPr>
          <w:lang w:val="fr-FR"/>
        </w:rPr>
        <w:t xml:space="preserve">Une fois que les problèmes </w:t>
      </w:r>
      <w:r w:rsidR="00F721A5">
        <w:rPr>
          <w:lang w:val="fr-FR"/>
        </w:rPr>
        <w:t>locaux auront été recensés, les Forums de justice locale négocieront avec les organismes gouvernementaux et non gouvernementaux pour mettre au point des plans d’action destinés à appliquer ces priorités.</w:t>
      </w:r>
    </w:p>
    <w:p w:rsidR="00F721A5" w:rsidRDefault="00F721A5"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w:t>
      </w:r>
      <w:r w:rsidR="00A55761">
        <w:rPr>
          <w:lang w:val="fr-FR"/>
        </w:rPr>
        <w:t>3</w:t>
      </w:r>
      <w:r>
        <w:rPr>
          <w:lang w:val="fr-FR"/>
        </w:rPr>
        <w:t>.</w:t>
      </w:r>
      <w:r>
        <w:rPr>
          <w:lang w:val="fr-FR"/>
        </w:rPr>
        <w:tab/>
        <w:t>Récemment, le Ministère a créé un poste de Sous-directeur de la justice aborigène qui a maintenant été pourvu</w:t>
      </w:r>
      <w:r w:rsidR="008D6B80">
        <w:rPr>
          <w:lang w:val="fr-FR"/>
        </w:rPr>
        <w:t xml:space="preserve">. </w:t>
      </w:r>
      <w:r w:rsidR="00AA676A">
        <w:rPr>
          <w:lang w:val="fr-FR"/>
        </w:rPr>
        <w:t>Il sera chargé de la</w:t>
      </w:r>
      <w:r w:rsidR="00C408FC">
        <w:rPr>
          <w:lang w:val="fr-FR"/>
        </w:rPr>
        <w:t xml:space="preserve"> mise en œuvre </w:t>
      </w:r>
      <w:r w:rsidR="00AA676A">
        <w:rPr>
          <w:lang w:val="fr-FR"/>
        </w:rPr>
        <w:t xml:space="preserve">de partenariats novateurs dont l’action sera centrée sur les détenus dans les </w:t>
      </w:r>
      <w:r w:rsidR="00C408FC">
        <w:rPr>
          <w:lang w:val="fr-FR"/>
        </w:rPr>
        <w:t xml:space="preserve">services pénitentiaires pour aborigènes, qui </w:t>
      </w:r>
      <w:r w:rsidR="00AA676A">
        <w:rPr>
          <w:lang w:val="fr-FR"/>
        </w:rPr>
        <w:t>seront mis au point en concertation avec les communautés aborigènes et viseront à améliorer la sécurité et la q</w:t>
      </w:r>
      <w:r w:rsidR="00C408FC">
        <w:rPr>
          <w:lang w:val="fr-FR"/>
        </w:rPr>
        <w:t>ualité de vie de ces dernières</w:t>
      </w:r>
      <w:r w:rsidR="00AA676A">
        <w:rPr>
          <w:lang w:val="fr-FR"/>
        </w:rPr>
        <w:t>.</w:t>
      </w:r>
    </w:p>
    <w:p w:rsidR="006A38CD" w:rsidRDefault="00AA676A"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w:t>
      </w:r>
      <w:r w:rsidR="00A55761">
        <w:rPr>
          <w:lang w:val="fr-FR"/>
        </w:rPr>
        <w:t>04</w:t>
      </w:r>
      <w:r>
        <w:rPr>
          <w:lang w:val="fr-FR"/>
        </w:rPr>
        <w:t>.</w:t>
      </w:r>
      <w:r>
        <w:rPr>
          <w:lang w:val="fr-FR"/>
        </w:rPr>
        <w:tab/>
        <w:t>Si un détenu considère que ses droits juridiques et autres ont été violés,</w:t>
      </w:r>
      <w:r w:rsidR="00B06696">
        <w:rPr>
          <w:lang w:val="fr-FR"/>
        </w:rPr>
        <w:t xml:space="preserve"> il a le droit de former un recours</w:t>
      </w:r>
      <w:r w:rsidR="008D6B80">
        <w:rPr>
          <w:lang w:val="fr-FR"/>
        </w:rPr>
        <w:t xml:space="preserve">. </w:t>
      </w:r>
      <w:r>
        <w:rPr>
          <w:lang w:val="fr-FR"/>
        </w:rPr>
        <w:t>Les détenus reçoivent une brochure sur les procédures de dépôt de plainte à leur</w:t>
      </w:r>
      <w:r w:rsidR="00B06696">
        <w:rPr>
          <w:lang w:val="fr-FR"/>
        </w:rPr>
        <w:t xml:space="preserve"> entrée en prison</w:t>
      </w:r>
      <w:r w:rsidR="008D6B80">
        <w:rPr>
          <w:lang w:val="fr-FR"/>
        </w:rPr>
        <w:t xml:space="preserve">. </w:t>
      </w:r>
      <w:r w:rsidR="00B06696">
        <w:rPr>
          <w:lang w:val="fr-FR"/>
        </w:rPr>
        <w:t>Les recours</w:t>
      </w:r>
      <w:r>
        <w:rPr>
          <w:lang w:val="fr-FR"/>
        </w:rPr>
        <w:t xml:space="preserve"> peuvent </w:t>
      </w:r>
      <w:r w:rsidR="00B06696">
        <w:rPr>
          <w:lang w:val="fr-FR"/>
        </w:rPr>
        <w:t>être formé</w:t>
      </w:r>
      <w:r w:rsidR="0010505F">
        <w:rPr>
          <w:lang w:val="fr-FR"/>
        </w:rPr>
        <w:t>s auprès du Directeu</w:t>
      </w:r>
      <w:r>
        <w:rPr>
          <w:lang w:val="fr-FR"/>
        </w:rPr>
        <w:t>r ou du Dir</w:t>
      </w:r>
      <w:r w:rsidR="0010505F">
        <w:rPr>
          <w:lang w:val="fr-FR"/>
        </w:rPr>
        <w:t>ecteur adjoint</w:t>
      </w:r>
      <w:r w:rsidR="008D6B80">
        <w:rPr>
          <w:lang w:val="fr-FR"/>
        </w:rPr>
        <w:t xml:space="preserve">. </w:t>
      </w:r>
      <w:r w:rsidR="0010505F">
        <w:rPr>
          <w:lang w:val="fr-FR"/>
        </w:rPr>
        <w:t xml:space="preserve">Dans le cas où le détenu ne se sent pas à l’aise s’il </w:t>
      </w:r>
      <w:r w:rsidR="00B06696">
        <w:rPr>
          <w:lang w:val="fr-FR"/>
        </w:rPr>
        <w:t>doit faire cette démarche</w:t>
      </w:r>
      <w:r w:rsidR="006A38CD">
        <w:rPr>
          <w:lang w:val="fr-FR"/>
        </w:rPr>
        <w:t xml:space="preserve"> auprès des membres du personnel </w:t>
      </w:r>
      <w:r w:rsidR="00C408FC">
        <w:rPr>
          <w:lang w:val="fr-FR"/>
        </w:rPr>
        <w:t>supérieur, il peut s’adresser a</w:t>
      </w:r>
      <w:r w:rsidR="00BC3C99">
        <w:rPr>
          <w:lang w:val="fr-FR"/>
        </w:rPr>
        <w:t>u Bureau du Médiateur, auquel l</w:t>
      </w:r>
      <w:r w:rsidR="006A38CD">
        <w:rPr>
          <w:lang w:val="fr-FR"/>
        </w:rPr>
        <w:t>e Ministère autorise à téléphoner gra</w:t>
      </w:r>
      <w:r w:rsidR="00BC3C99">
        <w:rPr>
          <w:lang w:val="fr-FR"/>
        </w:rPr>
        <w:t>tuitement</w:t>
      </w:r>
      <w:r w:rsidR="006A38CD">
        <w:rPr>
          <w:lang w:val="fr-FR"/>
        </w:rPr>
        <w:t>.</w:t>
      </w:r>
    </w:p>
    <w:p w:rsidR="006A38CD"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505</w:t>
      </w:r>
      <w:r w:rsidR="006A38CD">
        <w:rPr>
          <w:lang w:val="fr-FR"/>
        </w:rPr>
        <w:t>.</w:t>
      </w:r>
      <w:r w:rsidR="006A38CD">
        <w:rPr>
          <w:lang w:val="fr-FR"/>
        </w:rPr>
        <w:tab/>
        <w:t>Le Bureau de l’Inspecteur des services pénitentiaires d’</w:t>
      </w:r>
      <w:r w:rsidR="008E1139">
        <w:rPr>
          <w:lang w:val="fr-FR"/>
        </w:rPr>
        <w:t>Australie occidentale</w:t>
      </w:r>
      <w:r w:rsidR="006A38CD">
        <w:rPr>
          <w:lang w:val="fr-FR"/>
        </w:rPr>
        <w:t xml:space="preserve"> (le Bureau) est un organe officiel indépendant qui assure un contrôle externe des normes et des pratiques opérationnelles des services pénitentiaires de cet État.</w:t>
      </w:r>
    </w:p>
    <w:p w:rsidR="00AC60AF" w:rsidRDefault="006A38C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w:t>
      </w:r>
      <w:r w:rsidR="00A55761">
        <w:rPr>
          <w:lang w:val="fr-FR"/>
        </w:rPr>
        <w:t>6</w:t>
      </w:r>
      <w:r>
        <w:rPr>
          <w:lang w:val="fr-FR"/>
        </w:rPr>
        <w:t>.</w:t>
      </w:r>
      <w:r>
        <w:rPr>
          <w:lang w:val="fr-FR"/>
        </w:rPr>
        <w:tab/>
        <w:t>Ce type de fonctionnement a été conçu po</w:t>
      </w:r>
      <w:r w:rsidR="00AC60AF">
        <w:rPr>
          <w:lang w:val="fr-FR"/>
        </w:rPr>
        <w:t>ur que le Bureau du Médiateur continue à exercer ses activités de façon indépendan</w:t>
      </w:r>
      <w:r w:rsidR="00DD4935">
        <w:rPr>
          <w:lang w:val="fr-FR"/>
        </w:rPr>
        <w:t>te et que, dans l’intérêt général</w:t>
      </w:r>
      <w:r w:rsidR="00AC60AF">
        <w:rPr>
          <w:lang w:val="fr-FR"/>
        </w:rPr>
        <w:t xml:space="preserve">, les fonctionnaires chargés des opérations pénitentiaires en </w:t>
      </w:r>
      <w:r w:rsidR="008E1139">
        <w:rPr>
          <w:lang w:val="fr-FR"/>
        </w:rPr>
        <w:t>Australie occidentale</w:t>
      </w:r>
      <w:r w:rsidR="00AC60AF">
        <w:rPr>
          <w:lang w:val="fr-FR"/>
        </w:rPr>
        <w:t xml:space="preserve"> le fasse</w:t>
      </w:r>
      <w:r w:rsidR="00227B39">
        <w:rPr>
          <w:lang w:val="fr-FR"/>
        </w:rPr>
        <w:t>nt</w:t>
      </w:r>
      <w:r w:rsidR="00AC60AF">
        <w:rPr>
          <w:lang w:val="fr-FR"/>
        </w:rPr>
        <w:t xml:space="preserve"> dans la transparence, en</w:t>
      </w:r>
      <w:r w:rsidR="00F100B1">
        <w:rPr>
          <w:lang w:val="fr-FR"/>
        </w:rPr>
        <w:t> </w:t>
      </w:r>
      <w:r w:rsidR="00AC60AF">
        <w:rPr>
          <w:lang w:val="fr-FR"/>
        </w:rPr>
        <w:t>étant pleinement responsables et en devant en répondre</w:t>
      </w:r>
      <w:r w:rsidR="008D6B80">
        <w:rPr>
          <w:lang w:val="fr-FR"/>
        </w:rPr>
        <w:t xml:space="preserve">. </w:t>
      </w:r>
      <w:r w:rsidR="00AC60AF">
        <w:rPr>
          <w:lang w:val="fr-FR"/>
        </w:rPr>
        <w:t>Les principales responsabilités exercées par le Bureau sont les suivantes</w:t>
      </w:r>
      <w:r w:rsidR="00572260">
        <w:rPr>
          <w:lang w:val="fr-FR"/>
        </w:rPr>
        <w:t>:</w:t>
      </w:r>
    </w:p>
    <w:p w:rsidR="00AC60AF" w:rsidRDefault="00AC60AF"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t xml:space="preserve">Effectuer des inspections très complètes de tous les établissements de détention ne relevant pas de la police en </w:t>
      </w:r>
      <w:r w:rsidR="008E1139">
        <w:rPr>
          <w:lang w:val="fr-FR"/>
        </w:rPr>
        <w:t>Australie occidentale</w:t>
      </w:r>
      <w:r w:rsidR="00572260">
        <w:rPr>
          <w:lang w:val="fr-FR"/>
        </w:rPr>
        <w:t>;</w:t>
      </w:r>
    </w:p>
    <w:p w:rsidR="00AC60AF" w:rsidRDefault="00AC60AF"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Pr>
          <w:lang w:val="fr-FR"/>
        </w:rPr>
        <w:tab/>
        <w:t>Procéder à des examens thématiques et produire des documents de travail</w:t>
      </w:r>
      <w:r w:rsidR="00572260">
        <w:rPr>
          <w:lang w:val="fr-FR"/>
        </w:rPr>
        <w:t>;</w:t>
      </w:r>
    </w:p>
    <w:p w:rsidR="000B7484" w:rsidRDefault="000B748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c)</w:t>
      </w:r>
      <w:r>
        <w:rPr>
          <w:lang w:val="fr-FR"/>
        </w:rPr>
        <w:tab/>
        <w:t>Conseiller le Parlement et le Ministre chargé des services pénitentiaires sur la politique à mener en matière de justice pénale</w:t>
      </w:r>
      <w:r w:rsidR="00572260">
        <w:rPr>
          <w:lang w:val="fr-FR"/>
        </w:rPr>
        <w:t>;</w:t>
      </w:r>
    </w:p>
    <w:p w:rsidR="000B7484" w:rsidRDefault="000B748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d)</w:t>
      </w:r>
      <w:r>
        <w:rPr>
          <w:lang w:val="fr-FR"/>
        </w:rPr>
        <w:tab/>
        <w:t>Établir une coordination avec d’autres organes officiels concernés, comme le Bureau du Médiateur</w:t>
      </w:r>
      <w:r w:rsidR="00572260">
        <w:rPr>
          <w:lang w:val="fr-FR"/>
        </w:rPr>
        <w:t>;</w:t>
      </w:r>
    </w:p>
    <w:p w:rsidR="000B7484" w:rsidRDefault="000B748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e)</w:t>
      </w:r>
      <w:r>
        <w:rPr>
          <w:lang w:val="fr-FR"/>
        </w:rPr>
        <w:tab/>
        <w:t>Administrer les Programme des visiteurs indépendants.</w:t>
      </w:r>
    </w:p>
    <w:p w:rsidR="00560C5E" w:rsidRDefault="000B748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w:t>
      </w:r>
      <w:r w:rsidR="00A55761">
        <w:rPr>
          <w:lang w:val="fr-FR"/>
        </w:rPr>
        <w:t>7</w:t>
      </w:r>
      <w:r>
        <w:rPr>
          <w:lang w:val="fr-FR"/>
        </w:rPr>
        <w:t>.</w:t>
      </w:r>
      <w:r>
        <w:rPr>
          <w:lang w:val="fr-FR"/>
        </w:rPr>
        <w:tab/>
        <w:t>La compétenc</w:t>
      </w:r>
      <w:r w:rsidR="00D94F9B">
        <w:rPr>
          <w:lang w:val="fr-FR"/>
        </w:rPr>
        <w:t>e du Bureau en matière de contrôle,</w:t>
      </w:r>
      <w:r w:rsidR="003A40D7">
        <w:rPr>
          <w:lang w:val="fr-FR"/>
        </w:rPr>
        <w:t xml:space="preserve"> s’étend à tou</w:t>
      </w:r>
      <w:r>
        <w:rPr>
          <w:lang w:val="fr-FR"/>
        </w:rPr>
        <w:t xml:space="preserve">s les prisons et centres de détention pour mineurs, </w:t>
      </w:r>
      <w:r w:rsidR="00560C5E">
        <w:rPr>
          <w:lang w:val="fr-FR"/>
        </w:rPr>
        <w:t xml:space="preserve">les centres de détention provisoire, les divers lieux de détention préconisés, et les services de transport et d’appui pour les détenus du secteur public et du secteur privé en </w:t>
      </w:r>
      <w:r w:rsidR="008E1139">
        <w:rPr>
          <w:lang w:val="fr-FR"/>
        </w:rPr>
        <w:t>Australie occidentale</w:t>
      </w:r>
      <w:r w:rsidR="00560C5E">
        <w:rPr>
          <w:lang w:val="fr-FR"/>
        </w:rPr>
        <w:t>.</w:t>
      </w:r>
    </w:p>
    <w:p w:rsidR="00AA676A" w:rsidRDefault="00560C5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50</w:t>
      </w:r>
      <w:r w:rsidR="00A55761">
        <w:rPr>
          <w:lang w:val="fr-FR"/>
        </w:rPr>
        <w:t>8</w:t>
      </w:r>
      <w:r>
        <w:rPr>
          <w:lang w:val="fr-FR"/>
        </w:rPr>
        <w:t>.</w:t>
      </w:r>
      <w:r>
        <w:rPr>
          <w:lang w:val="fr-FR"/>
        </w:rPr>
        <w:tab/>
        <w:t>Les informations ci-après concernent spécifiquement les personnes s</w:t>
      </w:r>
      <w:r w:rsidR="00D94F9B">
        <w:rPr>
          <w:lang w:val="fr-FR"/>
        </w:rPr>
        <w:t>ouffrant de troubles mentaux internées d’office</w:t>
      </w:r>
      <w:r>
        <w:rPr>
          <w:lang w:val="fr-FR"/>
        </w:rPr>
        <w:t xml:space="preserve"> en application de la </w:t>
      </w:r>
      <w:r w:rsidR="00F30F0F" w:rsidRPr="00D94F9B">
        <w:rPr>
          <w:lang w:val="fr-FR"/>
        </w:rPr>
        <w:t xml:space="preserve">loi </w:t>
      </w:r>
      <w:r w:rsidRPr="00D94F9B">
        <w:rPr>
          <w:lang w:val="fr-FR"/>
        </w:rPr>
        <w:t>de 1996 sur la santé mentale</w:t>
      </w:r>
      <w:r w:rsidR="008D6B80">
        <w:rPr>
          <w:lang w:val="fr-FR"/>
        </w:rPr>
        <w:t xml:space="preserve">. </w:t>
      </w:r>
      <w:r w:rsidR="00F30F0F">
        <w:rPr>
          <w:lang w:val="fr-FR"/>
        </w:rPr>
        <w:t xml:space="preserve">Cette loi </w:t>
      </w:r>
      <w:r w:rsidR="00D94F9B">
        <w:rPr>
          <w:lang w:val="fr-FR"/>
        </w:rPr>
        <w:t>traite de l’internement</w:t>
      </w:r>
      <w:r w:rsidR="00F30F0F">
        <w:rPr>
          <w:lang w:val="fr-FR"/>
        </w:rPr>
        <w:t xml:space="preserve"> des personn</w:t>
      </w:r>
      <w:r w:rsidR="00D94F9B">
        <w:rPr>
          <w:lang w:val="fr-FR"/>
        </w:rPr>
        <w:t>es souffrant de maladies mentales</w:t>
      </w:r>
      <w:r w:rsidR="00F30F0F">
        <w:rPr>
          <w:lang w:val="fr-FR"/>
        </w:rPr>
        <w:t xml:space="preserve"> </w:t>
      </w:r>
      <w:r w:rsidR="00D94F9B">
        <w:rPr>
          <w:lang w:val="fr-FR"/>
        </w:rPr>
        <w:t>et répondant</w:t>
      </w:r>
      <w:r w:rsidR="00F30F0F">
        <w:rPr>
          <w:lang w:val="fr-FR"/>
        </w:rPr>
        <w:t xml:space="preserve"> aux critères prévus, y compris le fait qu’elles sont atteintes de troubles mentaux nécessitant un traitement et que ce traitement peut être </w:t>
      </w:r>
      <w:r w:rsidR="003519A9">
        <w:rPr>
          <w:lang w:val="fr-FR"/>
        </w:rPr>
        <w:t>dispensé d’office</w:t>
      </w:r>
      <w:r w:rsidR="00D94F9B">
        <w:rPr>
          <w:lang w:val="fr-FR"/>
        </w:rPr>
        <w:t xml:space="preserve"> afin de préserver leur santé ou leur sécurité</w:t>
      </w:r>
      <w:r w:rsidR="00F30F0F">
        <w:rPr>
          <w:lang w:val="fr-FR"/>
        </w:rPr>
        <w:t xml:space="preserve"> ou</w:t>
      </w:r>
      <w:r w:rsidR="00D94F9B">
        <w:rPr>
          <w:lang w:val="fr-FR"/>
        </w:rPr>
        <w:t xml:space="preserve"> celles</w:t>
      </w:r>
      <w:r w:rsidR="00F30F0F">
        <w:rPr>
          <w:lang w:val="fr-FR"/>
        </w:rPr>
        <w:t xml:space="preserve"> d’autrui ou de </w:t>
      </w:r>
      <w:r w:rsidR="00D94F9B">
        <w:rPr>
          <w:lang w:val="fr-FR"/>
        </w:rPr>
        <w:t>les protéger</w:t>
      </w:r>
      <w:r w:rsidR="00F30F0F">
        <w:rPr>
          <w:lang w:val="fr-FR"/>
        </w:rPr>
        <w:t xml:space="preserve"> contre les risques d’automutilation ou d’autodestruction</w:t>
      </w:r>
      <w:r w:rsidR="008D6B80">
        <w:rPr>
          <w:lang w:val="fr-FR"/>
        </w:rPr>
        <w:t xml:space="preserve">. </w:t>
      </w:r>
      <w:r w:rsidR="00F30F0F">
        <w:rPr>
          <w:lang w:val="fr-FR"/>
        </w:rPr>
        <w:t>Les autres critères</w:t>
      </w:r>
      <w:r w:rsidR="00D94F9B">
        <w:rPr>
          <w:lang w:val="fr-FR"/>
        </w:rPr>
        <w:t xml:space="preserve"> consistent en ce que l’intéressé</w:t>
      </w:r>
      <w:r w:rsidR="00F30F0F">
        <w:rPr>
          <w:lang w:val="fr-FR"/>
        </w:rPr>
        <w:t xml:space="preserve"> a refusé</w:t>
      </w:r>
      <w:r w:rsidR="00077C07">
        <w:rPr>
          <w:lang w:val="fr-FR"/>
        </w:rPr>
        <w:t xml:space="preserve"> le traitement ou, en raison de son état mental, n’est pas en mesure d’y consentir, et que ledit traitement ne peut pas être appliqué d’</w:t>
      </w:r>
      <w:r w:rsidR="00A2256D">
        <w:rPr>
          <w:lang w:val="fr-FR"/>
        </w:rPr>
        <w:t>une manière moins contraignante</w:t>
      </w:r>
      <w:r w:rsidR="00077C07">
        <w:rPr>
          <w:lang w:val="fr-FR"/>
        </w:rPr>
        <w:t>.</w:t>
      </w:r>
    </w:p>
    <w:p w:rsidR="00077C07" w:rsidRDefault="00077C07"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w:t>
      </w:r>
      <w:r w:rsidR="00A55761">
        <w:rPr>
          <w:lang w:val="fr-FR"/>
        </w:rPr>
        <w:t>09</w:t>
      </w:r>
      <w:r>
        <w:rPr>
          <w:lang w:val="fr-FR"/>
        </w:rPr>
        <w:t>.</w:t>
      </w:r>
      <w:r>
        <w:rPr>
          <w:lang w:val="fr-FR"/>
        </w:rPr>
        <w:tab/>
      </w:r>
      <w:r w:rsidR="00036886">
        <w:rPr>
          <w:lang w:val="fr-FR"/>
        </w:rPr>
        <w:t xml:space="preserve">Les objectifs de la loi sur la santé mentale consistent </w:t>
      </w:r>
      <w:r w:rsidR="00A619D6">
        <w:rPr>
          <w:lang w:val="fr-FR"/>
        </w:rPr>
        <w:t>«</w:t>
      </w:r>
      <w:r w:rsidR="00036886">
        <w:rPr>
          <w:lang w:val="fr-FR"/>
        </w:rPr>
        <w:t>à faire en sorte que les personnes souffrant de troubles mentaux reçoivent les meilleurs soins et le meilleur traitement avec le minimum de restrictions à leurs libertés et le moins d’atteintes possibles à leurs droits et à leur dignité</w:t>
      </w:r>
      <w:r w:rsidR="00A619D6">
        <w:rPr>
          <w:lang w:val="fr-FR"/>
        </w:rPr>
        <w:t>»</w:t>
      </w:r>
      <w:r w:rsidR="008D6B80">
        <w:rPr>
          <w:lang w:val="fr-FR"/>
        </w:rPr>
        <w:t xml:space="preserve">. </w:t>
      </w:r>
      <w:r w:rsidR="00036886">
        <w:rPr>
          <w:lang w:val="fr-FR"/>
        </w:rPr>
        <w:t>Elle énonce en dét</w:t>
      </w:r>
      <w:r w:rsidR="009A4E90">
        <w:rPr>
          <w:lang w:val="fr-FR"/>
        </w:rPr>
        <w:t>ail les droits des détenus internés d’office, à savoir</w:t>
      </w:r>
      <w:r w:rsidR="00572260">
        <w:rPr>
          <w:lang w:val="fr-FR"/>
        </w:rPr>
        <w:t>:</w:t>
      </w:r>
    </w:p>
    <w:p w:rsidR="00036886" w:rsidRDefault="00036886"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r>
      <w:r w:rsidR="009A4E90">
        <w:rPr>
          <w:b/>
          <w:bCs/>
          <w:lang w:val="fr-FR"/>
        </w:rPr>
        <w:t>a)</w:t>
      </w:r>
      <w:r w:rsidR="009A4E90">
        <w:rPr>
          <w:b/>
          <w:bCs/>
          <w:lang w:val="fr-FR"/>
        </w:rPr>
        <w:tab/>
        <w:t>Droit à u</w:t>
      </w:r>
      <w:r>
        <w:rPr>
          <w:b/>
          <w:bCs/>
          <w:lang w:val="fr-FR"/>
        </w:rPr>
        <w:t xml:space="preserve">ne </w:t>
      </w:r>
      <w:r w:rsidRPr="00036886">
        <w:rPr>
          <w:b/>
          <w:bCs/>
          <w:lang w:val="fr-FR"/>
        </w:rPr>
        <w:t>explication</w:t>
      </w:r>
      <w:r>
        <w:rPr>
          <w:b/>
          <w:bCs/>
          <w:lang w:val="fr-FR"/>
        </w:rPr>
        <w:t xml:space="preserve"> des droits</w:t>
      </w:r>
    </w:p>
    <w:p w:rsidR="00036886"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510</w:t>
      </w:r>
      <w:r w:rsidR="00036886">
        <w:rPr>
          <w:lang w:val="fr-FR"/>
        </w:rPr>
        <w:t>.</w:t>
      </w:r>
      <w:r w:rsidR="00036886">
        <w:rPr>
          <w:lang w:val="fr-FR"/>
        </w:rPr>
        <w:tab/>
        <w:t>Toute personne admise dans un hôpital</w:t>
      </w:r>
      <w:r w:rsidR="009A4E90">
        <w:rPr>
          <w:lang w:val="fr-FR"/>
        </w:rPr>
        <w:t xml:space="preserve"> agréé</w:t>
      </w:r>
      <w:r w:rsidR="00036886">
        <w:rPr>
          <w:lang w:val="fr-FR"/>
        </w:rPr>
        <w:t xml:space="preserve"> </w:t>
      </w:r>
      <w:r w:rsidR="003519A9">
        <w:rPr>
          <w:lang w:val="fr-FR"/>
        </w:rPr>
        <w:t>volontairement ou d’office</w:t>
      </w:r>
      <w:r w:rsidR="005A3050">
        <w:rPr>
          <w:lang w:val="fr-FR"/>
        </w:rPr>
        <w:t xml:space="preserve"> doit recevoir une explication, verbale ou écrite, sur ses droits (art. 156), laquelle doit être donnée dans la langue habituellement parlée par l’intéressé</w:t>
      </w:r>
      <w:r w:rsidR="008D6B80">
        <w:rPr>
          <w:lang w:val="fr-FR"/>
        </w:rPr>
        <w:t xml:space="preserve">. </w:t>
      </w:r>
      <w:r w:rsidR="005A3050">
        <w:rPr>
          <w:lang w:val="fr-FR"/>
        </w:rPr>
        <w:t>Des brochures explicatives en anglais et dans 15 autres langues communautaires sont mises à disposition dans les établissements de santé mentale</w:t>
      </w:r>
      <w:r w:rsidR="008D6B80">
        <w:rPr>
          <w:lang w:val="fr-FR"/>
        </w:rPr>
        <w:t xml:space="preserve">. </w:t>
      </w:r>
      <w:r w:rsidR="005A3050">
        <w:rPr>
          <w:lang w:val="fr-FR"/>
        </w:rPr>
        <w:t>Les praticiens savent aussi comment contacter des interprètes en langue normale et en langue des signes</w:t>
      </w:r>
      <w:r w:rsidR="008D6B80">
        <w:rPr>
          <w:lang w:val="fr-FR"/>
        </w:rPr>
        <w:t xml:space="preserve">. </w:t>
      </w:r>
      <w:r w:rsidR="00B84314">
        <w:rPr>
          <w:lang w:val="fr-FR"/>
        </w:rPr>
        <w:t xml:space="preserve">Des exemplaires </w:t>
      </w:r>
      <w:r w:rsidR="00B84314" w:rsidRPr="00B0649A">
        <w:rPr>
          <w:lang w:val="fr-FR"/>
        </w:rPr>
        <w:t xml:space="preserve">de formulaires juridiques sont également remis au patient et, </w:t>
      </w:r>
      <w:r w:rsidR="00E7483C" w:rsidRPr="00B0649A">
        <w:rPr>
          <w:lang w:val="fr-FR"/>
        </w:rPr>
        <w:t>si l’on a pu les identifier, aux proches qui s’occupent de lui</w:t>
      </w:r>
      <w:r w:rsidR="00E7483C">
        <w:rPr>
          <w:lang w:val="fr-FR"/>
        </w:rPr>
        <w:t>.</w:t>
      </w:r>
    </w:p>
    <w:p w:rsidR="00E7483C" w:rsidRDefault="00E7483C" w:rsidP="005D7B68">
      <w:pPr>
        <w:keepNext/>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Pr>
          <w:b/>
          <w:bCs/>
          <w:lang w:val="fr-FR"/>
        </w:rPr>
        <w:t>b)</w:t>
      </w:r>
      <w:r>
        <w:rPr>
          <w:b/>
          <w:bCs/>
          <w:lang w:val="fr-FR"/>
        </w:rPr>
        <w:tab/>
        <w:t>Droit de déposer une réclamation</w:t>
      </w:r>
    </w:p>
    <w:p w:rsidR="00E7483C" w:rsidRDefault="00E7483C" w:rsidP="005D7B68">
      <w:pPr>
        <w:keepNext/>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1</w:t>
      </w:r>
      <w:r>
        <w:rPr>
          <w:lang w:val="fr-FR"/>
        </w:rPr>
        <w:t>.</w:t>
      </w:r>
      <w:r>
        <w:rPr>
          <w:lang w:val="fr-FR"/>
        </w:rPr>
        <w:tab/>
        <w:t>Toute personne qui n’est pas satisfaite des soins reçus ou estime qu’elle a été traitée de manière inéquitable ou inappropriée a le droit de déposer une réclamation</w:t>
      </w:r>
      <w:r w:rsidR="008D6B80">
        <w:rPr>
          <w:lang w:val="fr-FR"/>
        </w:rPr>
        <w:t xml:space="preserve">. </w:t>
      </w:r>
      <w:r>
        <w:rPr>
          <w:lang w:val="fr-FR"/>
        </w:rPr>
        <w:t xml:space="preserve">Elle peut se plaindre auprès de membres du personnel, de la direction de l’hôpital ou de tout autre organisme extérieur, comme </w:t>
      </w:r>
      <w:r w:rsidR="000F4AE7">
        <w:rPr>
          <w:lang w:val="fr-FR"/>
        </w:rPr>
        <w:t>la Commission de recours en matière de santé mentale</w:t>
      </w:r>
      <w:r w:rsidR="009A4E90">
        <w:rPr>
          <w:lang w:val="fr-FR"/>
        </w:rPr>
        <w:t>,</w:t>
      </w:r>
      <w:r w:rsidR="000F4AE7">
        <w:rPr>
          <w:lang w:val="fr-FR"/>
        </w:rPr>
        <w:t xml:space="preserve"> concernant toute violation des droits consacrés par la loi sur la santé mentale (art. 146)</w:t>
      </w:r>
      <w:r w:rsidR="008D6B80">
        <w:rPr>
          <w:lang w:val="fr-FR"/>
        </w:rPr>
        <w:t xml:space="preserve">. </w:t>
      </w:r>
      <w:r w:rsidR="000F4AE7">
        <w:rPr>
          <w:lang w:val="fr-FR"/>
        </w:rPr>
        <w:t>Les réclamations peuvent également être déposées auprès du Conseil des visiteurs officiels (art. 188) ou du psychiatre principal (art. 9).</w:t>
      </w:r>
    </w:p>
    <w:p w:rsidR="000F4AE7" w:rsidRDefault="000F4AE7"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Pr>
          <w:b/>
          <w:bCs/>
          <w:lang w:val="fr-FR"/>
        </w:rPr>
        <w:t>c)</w:t>
      </w:r>
      <w:r w:rsidR="00900444">
        <w:rPr>
          <w:b/>
          <w:bCs/>
          <w:lang w:val="fr-FR"/>
        </w:rPr>
        <w:tab/>
      </w:r>
      <w:r w:rsidR="009A4E90">
        <w:rPr>
          <w:b/>
          <w:bCs/>
          <w:lang w:val="fr-FR"/>
        </w:rPr>
        <w:t xml:space="preserve"> Droit d’a</w:t>
      </w:r>
      <w:r>
        <w:rPr>
          <w:b/>
          <w:bCs/>
          <w:lang w:val="fr-FR"/>
        </w:rPr>
        <w:t>ccès aux dossiers personnels</w:t>
      </w:r>
    </w:p>
    <w:p w:rsidR="000F4AE7" w:rsidRDefault="007D0935"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2</w:t>
      </w:r>
      <w:r>
        <w:rPr>
          <w:lang w:val="fr-FR"/>
        </w:rPr>
        <w:t>.</w:t>
      </w:r>
      <w:r>
        <w:rPr>
          <w:lang w:val="fr-FR"/>
        </w:rPr>
        <w:tab/>
        <w:t>Toute personne faisant l’objet d’un t</w:t>
      </w:r>
      <w:r w:rsidR="003519A9">
        <w:rPr>
          <w:lang w:val="fr-FR"/>
        </w:rPr>
        <w:t>raitement médical d’office</w:t>
      </w:r>
      <w:r>
        <w:rPr>
          <w:lang w:val="fr-FR"/>
        </w:rPr>
        <w:t>, y compris les accusés ne jouissant pas de toutes leurs facul</w:t>
      </w:r>
      <w:r w:rsidR="009A4E90">
        <w:rPr>
          <w:lang w:val="fr-FR"/>
        </w:rPr>
        <w:t>tés mentales internés</w:t>
      </w:r>
      <w:r>
        <w:rPr>
          <w:lang w:val="fr-FR"/>
        </w:rPr>
        <w:t xml:space="preserve"> dans un hôpital agréé, a le droit de prendre connai</w:t>
      </w:r>
      <w:r w:rsidR="00900444">
        <w:rPr>
          <w:lang w:val="fr-FR"/>
        </w:rPr>
        <w:t>ssance</w:t>
      </w:r>
      <w:r>
        <w:rPr>
          <w:lang w:val="fr-FR"/>
        </w:rPr>
        <w:t xml:space="preserve"> de tous les documents la concernant</w:t>
      </w:r>
      <w:r w:rsidR="00900444">
        <w:rPr>
          <w:lang w:val="fr-FR"/>
        </w:rPr>
        <w:t xml:space="preserve"> et d’en recevoir des copies</w:t>
      </w:r>
      <w:r w:rsidR="008D6B80">
        <w:rPr>
          <w:lang w:val="fr-FR"/>
        </w:rPr>
        <w:t xml:space="preserve">. </w:t>
      </w:r>
      <w:r>
        <w:rPr>
          <w:lang w:val="fr-FR"/>
        </w:rPr>
        <w:t>Font l’objet de certaines restrictions les informations pouvant avoir un effet néfaste sur la santé ou la sécurité du patient ou de toute autre personne, ou bien révélant des renseignem</w:t>
      </w:r>
      <w:r w:rsidR="00FC0E1F">
        <w:rPr>
          <w:lang w:val="fr-FR"/>
        </w:rPr>
        <w:t>ents confidentiels sur une tierce</w:t>
      </w:r>
      <w:r>
        <w:rPr>
          <w:lang w:val="fr-FR"/>
        </w:rPr>
        <w:t xml:space="preserve"> personne (sans que cette dernière ait donné son autorisation auparavant), ou des renseignements obtenus en confidence (art. 160)</w:t>
      </w:r>
      <w:r w:rsidR="008D6B80">
        <w:rPr>
          <w:lang w:val="fr-FR"/>
        </w:rPr>
        <w:t xml:space="preserve">. </w:t>
      </w:r>
      <w:r>
        <w:rPr>
          <w:lang w:val="fr-FR"/>
        </w:rPr>
        <w:t>Dans ces circonstances, le patient peut nommer une personne qui convienne pour exercer son droit à prendre connaissance</w:t>
      </w:r>
      <w:r w:rsidR="00900444">
        <w:rPr>
          <w:lang w:val="fr-FR"/>
        </w:rPr>
        <w:t xml:space="preserve"> d’un document la concernant et à s’en faire remettre une copie (art. 161).</w:t>
      </w:r>
    </w:p>
    <w:p w:rsidR="00900444" w:rsidRDefault="00900444"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Pr>
          <w:b/>
          <w:bCs/>
          <w:lang w:val="fr-FR"/>
        </w:rPr>
        <w:t>d)</w:t>
      </w:r>
      <w:r>
        <w:rPr>
          <w:b/>
          <w:bCs/>
          <w:lang w:val="fr-FR"/>
        </w:rPr>
        <w:tab/>
        <w:t>Droit à ne pas être maltraité</w:t>
      </w:r>
    </w:p>
    <w:p w:rsidR="00900444" w:rsidRDefault="00D069D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3</w:t>
      </w:r>
      <w:r>
        <w:rPr>
          <w:lang w:val="fr-FR"/>
        </w:rPr>
        <w:t>.</w:t>
      </w:r>
      <w:r>
        <w:rPr>
          <w:lang w:val="fr-FR"/>
        </w:rPr>
        <w:tab/>
        <w:t>Toute personne qui, exerçant</w:t>
      </w:r>
      <w:r w:rsidR="00900444">
        <w:rPr>
          <w:lang w:val="fr-FR"/>
        </w:rPr>
        <w:t xml:space="preserve"> une responsabilité à l’égard d’un patient</w:t>
      </w:r>
      <w:r>
        <w:rPr>
          <w:lang w:val="fr-FR"/>
        </w:rPr>
        <w:t>,</w:t>
      </w:r>
      <w:r w:rsidR="00900444">
        <w:rPr>
          <w:lang w:val="fr-FR"/>
        </w:rPr>
        <w:t xml:space="preserve"> le maltraite ou le néglige délibérément se rend coupable d’une infraction passible d’une amende de 4 000 dollars ou d’une peine d’un an d’emprisonnement.</w:t>
      </w:r>
    </w:p>
    <w:p w:rsidR="00225B38" w:rsidRDefault="00900444"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r>
      <w:r>
        <w:rPr>
          <w:b/>
          <w:bCs/>
          <w:lang w:val="fr-FR"/>
        </w:rPr>
        <w:t>e)</w:t>
      </w:r>
      <w:r>
        <w:rPr>
          <w:b/>
          <w:bCs/>
          <w:lang w:val="fr-FR"/>
        </w:rPr>
        <w:tab/>
      </w:r>
      <w:r w:rsidR="009A4E90">
        <w:rPr>
          <w:b/>
          <w:bCs/>
          <w:lang w:val="fr-FR"/>
        </w:rPr>
        <w:t>Droit à un second</w:t>
      </w:r>
      <w:r w:rsidR="00225B38">
        <w:rPr>
          <w:b/>
          <w:bCs/>
          <w:lang w:val="fr-FR"/>
        </w:rPr>
        <w:t xml:space="preserve"> avis médical</w:t>
      </w:r>
    </w:p>
    <w:p w:rsidR="00225B38" w:rsidRDefault="00225B38"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4</w:t>
      </w:r>
      <w:r>
        <w:rPr>
          <w:lang w:val="fr-FR"/>
        </w:rPr>
        <w:t>.</w:t>
      </w:r>
      <w:r>
        <w:rPr>
          <w:lang w:val="fr-FR"/>
        </w:rPr>
        <w:tab/>
        <w:t>Outre le droit d’avoir un entretien avec un psychiatre à l’hôpital, tou</w:t>
      </w:r>
      <w:r w:rsidR="003519A9">
        <w:rPr>
          <w:lang w:val="fr-FR"/>
        </w:rPr>
        <w:t>t patient interné d’office a droit à un second</w:t>
      </w:r>
      <w:r>
        <w:rPr>
          <w:lang w:val="fr-FR"/>
        </w:rPr>
        <w:t xml:space="preserve"> avis d’un autre psychiatre</w:t>
      </w:r>
      <w:r w:rsidR="008D6B80">
        <w:rPr>
          <w:lang w:val="fr-FR"/>
        </w:rPr>
        <w:t xml:space="preserve">. </w:t>
      </w:r>
      <w:r>
        <w:rPr>
          <w:lang w:val="fr-FR"/>
        </w:rPr>
        <w:t>La demande peut en être faite verbalement ou par écrit au p</w:t>
      </w:r>
      <w:r w:rsidR="003519A9">
        <w:rPr>
          <w:lang w:val="fr-FR"/>
        </w:rPr>
        <w:t>sychiatre traitant</w:t>
      </w:r>
      <w:r w:rsidR="008D6B80">
        <w:rPr>
          <w:lang w:val="fr-FR"/>
        </w:rPr>
        <w:t xml:space="preserve">. </w:t>
      </w:r>
      <w:r w:rsidR="003519A9">
        <w:rPr>
          <w:lang w:val="fr-FR"/>
        </w:rPr>
        <w:t>Le second</w:t>
      </w:r>
      <w:r>
        <w:rPr>
          <w:lang w:val="fr-FR"/>
        </w:rPr>
        <w:t xml:space="preserve"> avis doit être donné dans les meilleurs délais et l’examen peut être fait par des moyens audio-visuels (art. 111 et 164).</w:t>
      </w:r>
    </w:p>
    <w:p w:rsidR="00304A09" w:rsidRDefault="00225B38"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5</w:t>
      </w:r>
      <w:r>
        <w:rPr>
          <w:lang w:val="fr-FR"/>
        </w:rPr>
        <w:t>.</w:t>
      </w:r>
      <w:r>
        <w:rPr>
          <w:lang w:val="fr-FR"/>
        </w:rPr>
        <w:tab/>
      </w:r>
      <w:r w:rsidR="00AF799D">
        <w:rPr>
          <w:lang w:val="fr-FR"/>
        </w:rPr>
        <w:t>Si le patient en traitement psychiatrique (art. 109) n’est pas satisfait</w:t>
      </w:r>
      <w:r w:rsidR="00900444">
        <w:rPr>
          <w:lang w:val="fr-FR"/>
        </w:rPr>
        <w:t xml:space="preserve"> </w:t>
      </w:r>
      <w:r w:rsidR="00AF799D">
        <w:rPr>
          <w:lang w:val="fr-FR"/>
        </w:rPr>
        <w:t>dudit traitemen</w:t>
      </w:r>
      <w:r w:rsidR="00286DB5">
        <w:rPr>
          <w:lang w:val="fr-FR"/>
        </w:rPr>
        <w:t>t, il peut demander qu’on sollicite</w:t>
      </w:r>
      <w:r w:rsidR="009A4E90">
        <w:rPr>
          <w:lang w:val="fr-FR"/>
        </w:rPr>
        <w:t xml:space="preserve"> l’avis d’un psychiatre n’ayant</w:t>
      </w:r>
      <w:r w:rsidR="00AF799D">
        <w:rPr>
          <w:lang w:val="fr-FR"/>
        </w:rPr>
        <w:t xml:space="preserve"> pas été consulté sur son cas auparavant sur le </w:t>
      </w:r>
      <w:r w:rsidR="00874394">
        <w:rPr>
          <w:lang w:val="fr-FR"/>
        </w:rPr>
        <w:t>point de savoir s’il</w:t>
      </w:r>
      <w:r w:rsidR="00AF799D">
        <w:rPr>
          <w:lang w:val="fr-FR"/>
        </w:rPr>
        <w:t xml:space="preserve"> est approprié</w:t>
      </w:r>
      <w:r w:rsidR="008D6B80">
        <w:rPr>
          <w:lang w:val="fr-FR"/>
        </w:rPr>
        <w:t xml:space="preserve">. </w:t>
      </w:r>
      <w:r w:rsidR="000E13EC">
        <w:rPr>
          <w:lang w:val="fr-FR"/>
        </w:rPr>
        <w:t xml:space="preserve">Il </w:t>
      </w:r>
      <w:r w:rsidR="00304A09">
        <w:rPr>
          <w:lang w:val="fr-FR"/>
        </w:rPr>
        <w:t xml:space="preserve">peut également demander que le </w:t>
      </w:r>
      <w:r w:rsidR="000E13EC">
        <w:rPr>
          <w:lang w:val="fr-FR"/>
        </w:rPr>
        <w:t xml:space="preserve">psychiatre </w:t>
      </w:r>
      <w:r w:rsidR="00304A09">
        <w:rPr>
          <w:lang w:val="fr-FR"/>
        </w:rPr>
        <w:t xml:space="preserve">principal </w:t>
      </w:r>
      <w:r w:rsidR="000E13EC">
        <w:rPr>
          <w:lang w:val="fr-FR"/>
        </w:rPr>
        <w:t>prenne lui-même les dispositions pour obtenir cet avis.</w:t>
      </w:r>
    </w:p>
    <w:p w:rsidR="00304A09" w:rsidRDefault="00304A09"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6</w:t>
      </w:r>
      <w:r>
        <w:rPr>
          <w:lang w:val="fr-FR"/>
        </w:rPr>
        <w:t>.</w:t>
      </w:r>
      <w:r>
        <w:rPr>
          <w:lang w:val="fr-FR"/>
        </w:rPr>
        <w:tab/>
        <w:t>Si, après avoir été informé que le second psychiatre recommande de modifier ou d’interrompre le traitement, le patient n’est toujours pas satisfait, la question peut être renvoyée devant le psychiatre principal</w:t>
      </w:r>
      <w:r w:rsidR="008D6B80">
        <w:rPr>
          <w:lang w:val="fr-FR"/>
        </w:rPr>
        <w:t xml:space="preserve">. </w:t>
      </w:r>
      <w:r>
        <w:rPr>
          <w:lang w:val="fr-FR"/>
        </w:rPr>
        <w:t>Ce dernier peut donner des instructions quant au traitement</w:t>
      </w:r>
      <w:r w:rsidR="00572260">
        <w:rPr>
          <w:lang w:val="fr-FR"/>
        </w:rPr>
        <w:t xml:space="preserve"> </w:t>
      </w:r>
      <w:r w:rsidR="00F100B1">
        <w:rPr>
          <w:lang w:val="fr-FR"/>
        </w:rPr>
        <w:t>(art. </w:t>
      </w:r>
      <w:r>
        <w:rPr>
          <w:lang w:val="fr-FR"/>
        </w:rPr>
        <w:t>12) ou renvoyer à nouveau l’affaire devant la Commission de recours en matière de santé mentale, ou charger un autre psychiatre du traitement de ce patient (art. 112).</w:t>
      </w:r>
    </w:p>
    <w:p w:rsidR="00304A09" w:rsidRDefault="00304A09" w:rsidP="005D7B68">
      <w:pPr>
        <w:keepNext/>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Pr>
          <w:b/>
          <w:bCs/>
          <w:lang w:val="fr-FR"/>
        </w:rPr>
        <w:t>f)</w:t>
      </w:r>
      <w:r>
        <w:rPr>
          <w:b/>
          <w:bCs/>
          <w:lang w:val="fr-FR"/>
        </w:rPr>
        <w:tab/>
        <w:t>Droit à la possession d’objets personnels</w:t>
      </w:r>
    </w:p>
    <w:p w:rsidR="00304A09" w:rsidRDefault="00304A09" w:rsidP="005D7B68">
      <w:pPr>
        <w:keepNext/>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7</w:t>
      </w:r>
      <w:r>
        <w:rPr>
          <w:lang w:val="fr-FR"/>
        </w:rPr>
        <w:t>.</w:t>
      </w:r>
      <w:r>
        <w:rPr>
          <w:lang w:val="fr-FR"/>
        </w:rPr>
        <w:tab/>
        <w:t>Les patients auront, autant que possible, la possibilité d’utiliser et de garder avec eux des articles</w:t>
      </w:r>
      <w:r w:rsidR="009A4E90">
        <w:rPr>
          <w:lang w:val="fr-FR"/>
        </w:rPr>
        <w:t xml:space="preserve"> servant à leur usage personnel</w:t>
      </w:r>
      <w:r w:rsidR="00C04F6B">
        <w:rPr>
          <w:lang w:val="fr-FR"/>
        </w:rPr>
        <w:t>, sauf à ce que le psychiatre estime que certains de ces articles sont inappropriés pour être utilisés ou gardés dans un hôpital (art. 165).</w:t>
      </w:r>
    </w:p>
    <w:p w:rsidR="00C04F6B" w:rsidRDefault="00C04F6B"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Pr>
          <w:b/>
          <w:bCs/>
          <w:lang w:val="fr-FR"/>
        </w:rPr>
        <w:t>g)</w:t>
      </w:r>
      <w:r>
        <w:rPr>
          <w:b/>
          <w:bCs/>
          <w:lang w:val="fr-FR"/>
        </w:rPr>
        <w:tab/>
        <w:t>Droit d’envoyer et de recevoir du courrier</w:t>
      </w:r>
    </w:p>
    <w:p w:rsidR="00C04F6B" w:rsidRPr="00C04F6B" w:rsidRDefault="00C04F6B"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51</w:t>
      </w:r>
      <w:r w:rsidR="00A55761">
        <w:rPr>
          <w:lang w:val="fr-FR"/>
        </w:rPr>
        <w:t>8.</w:t>
      </w:r>
      <w:r>
        <w:rPr>
          <w:lang w:val="fr-FR"/>
        </w:rPr>
        <w:tab/>
        <w:t>Les patients ont le droit d’envoyer et de recevoir du courrier librement et sans restriction imposée par le personnel de l’hôpital</w:t>
      </w:r>
      <w:r w:rsidR="008D6B80">
        <w:rPr>
          <w:lang w:val="fr-FR"/>
        </w:rPr>
        <w:t xml:space="preserve">. </w:t>
      </w:r>
      <w:r>
        <w:rPr>
          <w:lang w:val="fr-FR"/>
        </w:rPr>
        <w:t xml:space="preserve">Les membres du personnel auxquels du courrier a été confié pour être posté ou transmis à un autre patient n’ont pas </w:t>
      </w:r>
      <w:r w:rsidR="00BE0CB3">
        <w:rPr>
          <w:lang w:val="fr-FR"/>
        </w:rPr>
        <w:t>le droit de l’ouvrir ni</w:t>
      </w:r>
      <w:r>
        <w:rPr>
          <w:lang w:val="fr-FR"/>
        </w:rPr>
        <w:t xml:space="preserve"> de le retarder sans </w:t>
      </w:r>
      <w:r w:rsidR="00A619D6">
        <w:rPr>
          <w:lang w:val="fr-FR"/>
        </w:rPr>
        <w:t>«</w:t>
      </w:r>
      <w:r>
        <w:rPr>
          <w:lang w:val="fr-FR"/>
        </w:rPr>
        <w:t>excuse valable</w:t>
      </w:r>
      <w:r w:rsidR="00A619D6">
        <w:rPr>
          <w:lang w:val="fr-FR"/>
        </w:rPr>
        <w:t>»</w:t>
      </w:r>
      <w:r w:rsidR="008D6B80">
        <w:rPr>
          <w:lang w:val="fr-FR"/>
        </w:rPr>
        <w:t xml:space="preserve">. </w:t>
      </w:r>
      <w:r>
        <w:rPr>
          <w:lang w:val="fr-FR"/>
        </w:rPr>
        <w:t xml:space="preserve">La loi sur la santé mentale ne comporte pas de définition de ce qu’il faut entendre par </w:t>
      </w:r>
      <w:r w:rsidR="00A619D6">
        <w:rPr>
          <w:lang w:val="fr-FR"/>
        </w:rPr>
        <w:t>«</w:t>
      </w:r>
      <w:r>
        <w:rPr>
          <w:lang w:val="fr-FR"/>
        </w:rPr>
        <w:t>excuse valable</w:t>
      </w:r>
      <w:r w:rsidR="00A619D6">
        <w:rPr>
          <w:lang w:val="fr-FR"/>
        </w:rPr>
        <w:t>»</w:t>
      </w:r>
      <w:r>
        <w:rPr>
          <w:lang w:val="fr-FR"/>
        </w:rPr>
        <w:t>, mais les patients peuvent s’adresser à la C</w:t>
      </w:r>
      <w:r w:rsidR="009A4E90">
        <w:rPr>
          <w:lang w:val="fr-FR"/>
        </w:rPr>
        <w:t>ommission de recours en matière</w:t>
      </w:r>
      <w:r>
        <w:rPr>
          <w:lang w:val="fr-FR"/>
        </w:rPr>
        <w:t xml:space="preserve"> de santé mentale si on leur oppose un refus ou une restriction en rapport avec leur courrier</w:t>
      </w:r>
      <w:r w:rsidR="008D6B80">
        <w:rPr>
          <w:lang w:val="fr-FR"/>
        </w:rPr>
        <w:t xml:space="preserve">. </w:t>
      </w:r>
      <w:r>
        <w:rPr>
          <w:lang w:val="fr-FR"/>
        </w:rPr>
        <w:t>Si un membre du personnel est jugé coupable d’une infraction</w:t>
      </w:r>
      <w:r w:rsidR="005347C0">
        <w:rPr>
          <w:lang w:val="fr-FR"/>
        </w:rPr>
        <w:t xml:space="preserve"> à cet égard</w:t>
      </w:r>
      <w:r>
        <w:rPr>
          <w:lang w:val="fr-FR"/>
        </w:rPr>
        <w:t>, il est passible</w:t>
      </w:r>
      <w:r w:rsidR="005347C0">
        <w:rPr>
          <w:lang w:val="fr-FR"/>
        </w:rPr>
        <w:t xml:space="preserve"> d’une amende de 500 dollars.</w:t>
      </w:r>
    </w:p>
    <w:p w:rsidR="00900444" w:rsidRPr="00304A09" w:rsidRDefault="00EF03D3"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r>
      <w:r w:rsidR="001E4497">
        <w:rPr>
          <w:lang w:val="fr-FR"/>
        </w:rPr>
        <w:t>h</w:t>
      </w:r>
      <w:r>
        <w:rPr>
          <w:b/>
          <w:bCs/>
          <w:lang w:val="fr-FR"/>
        </w:rPr>
        <w:t>)</w:t>
      </w:r>
      <w:r>
        <w:rPr>
          <w:b/>
          <w:bCs/>
          <w:lang w:val="fr-FR"/>
        </w:rPr>
        <w:tab/>
      </w:r>
      <w:r w:rsidRPr="00EF03D3">
        <w:rPr>
          <w:b/>
          <w:bCs/>
          <w:lang w:val="fr-FR"/>
        </w:rPr>
        <w:t>Droit</w:t>
      </w:r>
      <w:r>
        <w:rPr>
          <w:lang w:val="fr-FR"/>
        </w:rPr>
        <w:t xml:space="preserve"> </w:t>
      </w:r>
      <w:r w:rsidRPr="00EF03D3">
        <w:rPr>
          <w:b/>
          <w:bCs/>
          <w:lang w:val="fr-FR"/>
        </w:rPr>
        <w:t>de recevoir e</w:t>
      </w:r>
      <w:r>
        <w:rPr>
          <w:b/>
          <w:bCs/>
          <w:lang w:val="fr-FR"/>
        </w:rPr>
        <w:t>t de passer des coups de téléph</w:t>
      </w:r>
      <w:r w:rsidRPr="00EF03D3">
        <w:rPr>
          <w:b/>
          <w:bCs/>
          <w:lang w:val="fr-FR"/>
        </w:rPr>
        <w:t>one</w:t>
      </w:r>
    </w:p>
    <w:p w:rsidR="007A6D6D" w:rsidRDefault="00EF03D3"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w:t>
      </w:r>
      <w:r w:rsidR="00A55761">
        <w:rPr>
          <w:lang w:val="fr-FR"/>
        </w:rPr>
        <w:t>19</w:t>
      </w:r>
      <w:r>
        <w:rPr>
          <w:lang w:val="fr-FR"/>
        </w:rPr>
        <w:t>.</w:t>
      </w:r>
      <w:r>
        <w:rPr>
          <w:lang w:val="fr-FR"/>
        </w:rPr>
        <w:tab/>
        <w:t>Tout patient doit avoir la possibilité de donner et de recevoir des coups de téléphones dans des conditions d’intimité raisonnables.</w:t>
      </w:r>
    </w:p>
    <w:p w:rsidR="00EF03D3" w:rsidRDefault="00EF03D3"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sidR="001E4497">
        <w:rPr>
          <w:b/>
          <w:bCs/>
          <w:lang w:val="fr-FR"/>
        </w:rPr>
        <w:t>i</w:t>
      </w:r>
      <w:r>
        <w:rPr>
          <w:b/>
          <w:bCs/>
          <w:lang w:val="fr-FR"/>
        </w:rPr>
        <w:t>)</w:t>
      </w:r>
      <w:r>
        <w:rPr>
          <w:b/>
          <w:bCs/>
          <w:lang w:val="fr-FR"/>
        </w:rPr>
        <w:tab/>
        <w:t>Droit de recevoir des visites</w:t>
      </w:r>
    </w:p>
    <w:p w:rsidR="00EF03D3"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520</w:t>
      </w:r>
      <w:r w:rsidR="00EF03D3">
        <w:rPr>
          <w:lang w:val="fr-FR"/>
        </w:rPr>
        <w:t>.</w:t>
      </w:r>
      <w:r w:rsidR="00EF03D3">
        <w:rPr>
          <w:lang w:val="fr-FR"/>
        </w:rPr>
        <w:tab/>
        <w:t xml:space="preserve"> Tout patient doit avoir la possibilité de recevoir des visiteurs de son choix dans des conditions d’intimité raisonnables.</w:t>
      </w:r>
    </w:p>
    <w:p w:rsidR="00EF03D3" w:rsidRDefault="00EF03D3"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sidR="001E4497">
        <w:rPr>
          <w:b/>
          <w:bCs/>
          <w:lang w:val="fr-FR"/>
        </w:rPr>
        <w:t>j</w:t>
      </w:r>
      <w:r>
        <w:rPr>
          <w:b/>
          <w:bCs/>
          <w:lang w:val="fr-FR"/>
        </w:rPr>
        <w:t>)</w:t>
      </w:r>
      <w:r>
        <w:rPr>
          <w:b/>
          <w:bCs/>
          <w:lang w:val="fr-FR"/>
        </w:rPr>
        <w:tab/>
        <w:t>Limitations ou refus des droits</w:t>
      </w:r>
    </w:p>
    <w:p w:rsidR="00EF03D3" w:rsidRDefault="00EF03D3"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1</w:t>
      </w:r>
      <w:r>
        <w:rPr>
          <w:lang w:val="fr-FR"/>
        </w:rPr>
        <w:t>.</w:t>
      </w:r>
      <w:r>
        <w:rPr>
          <w:lang w:val="fr-FR"/>
        </w:rPr>
        <w:tab/>
        <w:t xml:space="preserve">Un psychiatre peut limiter n’importe lequel des trois </w:t>
      </w:r>
      <w:r w:rsidR="009A4E90">
        <w:rPr>
          <w:lang w:val="fr-FR"/>
        </w:rPr>
        <w:t xml:space="preserve">derniers </w:t>
      </w:r>
      <w:r>
        <w:rPr>
          <w:lang w:val="fr-FR"/>
        </w:rPr>
        <w:t>droits susmenti</w:t>
      </w:r>
      <w:r w:rsidR="00AC4369">
        <w:rPr>
          <w:lang w:val="fr-FR"/>
        </w:rPr>
        <w:t>onnés s’il estime qu’il y va de</w:t>
      </w:r>
      <w:r>
        <w:rPr>
          <w:lang w:val="fr-FR"/>
        </w:rPr>
        <w:t xml:space="preserve"> l’intérêt supérieur du patient</w:t>
      </w:r>
      <w:r w:rsidR="008D6B80">
        <w:rPr>
          <w:lang w:val="fr-FR"/>
        </w:rPr>
        <w:t xml:space="preserve">. </w:t>
      </w:r>
      <w:r>
        <w:rPr>
          <w:lang w:val="fr-FR"/>
        </w:rPr>
        <w:t>Si l’un de ces droits est limité, le psychiatre doit revoir cet ordre chaque jour, sinon il devient caduc à la fin de la journée</w:t>
      </w:r>
      <w:r w:rsidR="008D6B80">
        <w:rPr>
          <w:lang w:val="fr-FR"/>
        </w:rPr>
        <w:t xml:space="preserve">. </w:t>
      </w:r>
      <w:r w:rsidR="006C3250">
        <w:rPr>
          <w:lang w:val="fr-FR"/>
        </w:rPr>
        <w:t>Une minute de cet ordre et de s</w:t>
      </w:r>
      <w:r w:rsidR="00445D1A">
        <w:rPr>
          <w:lang w:val="fr-FR"/>
        </w:rPr>
        <w:t>on réexamen doit être jointe</w:t>
      </w:r>
      <w:r w:rsidR="00572260">
        <w:rPr>
          <w:lang w:val="fr-FR"/>
        </w:rPr>
        <w:t xml:space="preserve"> </w:t>
      </w:r>
      <w:r w:rsidR="00A56EDF">
        <w:rPr>
          <w:lang w:val="fr-FR"/>
        </w:rPr>
        <w:t>au dossier du patient (art. 169)</w:t>
      </w:r>
      <w:r w:rsidR="008D6B80">
        <w:rPr>
          <w:lang w:val="fr-FR"/>
        </w:rPr>
        <w:t xml:space="preserve">. </w:t>
      </w:r>
      <w:r w:rsidR="00A56EDF">
        <w:rPr>
          <w:lang w:val="fr-FR"/>
        </w:rPr>
        <w:t>Les patient</w:t>
      </w:r>
      <w:r w:rsidR="00EC3E30">
        <w:rPr>
          <w:lang w:val="fr-FR"/>
        </w:rPr>
        <w:t>s</w:t>
      </w:r>
      <w:r w:rsidR="00A56EDF">
        <w:rPr>
          <w:lang w:val="fr-FR"/>
        </w:rPr>
        <w:t xml:space="preserve"> ou les autres personnes intéressées peuvent solliciter un réexamen auprès de la Commission de recours en matière de santé mentale, qui a le droit de confirmer, d’annuler ou de modifier l’ordre de limitation (art. 170)</w:t>
      </w:r>
      <w:r w:rsidR="008D6B80">
        <w:rPr>
          <w:lang w:val="fr-FR"/>
        </w:rPr>
        <w:t xml:space="preserve">. </w:t>
      </w:r>
      <w:r w:rsidR="00A56EDF">
        <w:rPr>
          <w:lang w:val="fr-FR"/>
        </w:rPr>
        <w:t>En outre, si les visites sont interdites ou limitées, le patient peut demander que la question soit soumise au psychiatre principal</w:t>
      </w:r>
      <w:r w:rsidR="00EC3E30">
        <w:rPr>
          <w:lang w:val="fr-FR"/>
        </w:rPr>
        <w:t>,</w:t>
      </w:r>
      <w:r w:rsidR="00A56EDF">
        <w:rPr>
          <w:lang w:val="fr-FR"/>
        </w:rPr>
        <w:t xml:space="preserve"> qui a la possibilité d’annuler la limitation ou l’interdiction.</w:t>
      </w:r>
    </w:p>
    <w:p w:rsidR="00A56EDF" w:rsidRDefault="00A56EDF"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sidR="001E4497">
        <w:rPr>
          <w:b/>
          <w:bCs/>
          <w:lang w:val="fr-FR"/>
        </w:rPr>
        <w:t>k</w:t>
      </w:r>
      <w:r w:rsidR="004C31AF">
        <w:rPr>
          <w:b/>
          <w:bCs/>
          <w:lang w:val="fr-FR"/>
        </w:rPr>
        <w:t>)</w:t>
      </w:r>
      <w:r w:rsidR="004C31AF">
        <w:rPr>
          <w:b/>
          <w:bCs/>
          <w:lang w:val="fr-FR"/>
        </w:rPr>
        <w:tab/>
        <w:t>D</w:t>
      </w:r>
      <w:r>
        <w:rPr>
          <w:b/>
          <w:bCs/>
          <w:lang w:val="fr-FR"/>
        </w:rPr>
        <w:t>roit de vote</w:t>
      </w:r>
    </w:p>
    <w:p w:rsidR="00A56EDF" w:rsidRDefault="00A56EDF"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2</w:t>
      </w:r>
      <w:r>
        <w:rPr>
          <w:lang w:val="fr-FR"/>
        </w:rPr>
        <w:t>.</w:t>
      </w:r>
      <w:r>
        <w:rPr>
          <w:lang w:val="fr-FR"/>
        </w:rPr>
        <w:tab/>
        <w:t>Toute personne inscrite sur les listes électorales a l’obligation de voter</w:t>
      </w:r>
      <w:r w:rsidR="008D6B80">
        <w:rPr>
          <w:lang w:val="fr-FR"/>
        </w:rPr>
        <w:t xml:space="preserve">. </w:t>
      </w:r>
      <w:r>
        <w:rPr>
          <w:lang w:val="fr-FR"/>
        </w:rPr>
        <w:t>Toutefois, dans le cas d’u</w:t>
      </w:r>
      <w:r w:rsidR="003519A9">
        <w:rPr>
          <w:lang w:val="fr-FR"/>
        </w:rPr>
        <w:t>n patient interné d’office</w:t>
      </w:r>
      <w:r>
        <w:rPr>
          <w:lang w:val="fr-FR"/>
        </w:rPr>
        <w:t>, un psychiatre devrait déterminer s’il est capable de voter</w:t>
      </w:r>
      <w:r w:rsidR="008D6B80">
        <w:rPr>
          <w:lang w:val="fr-FR"/>
        </w:rPr>
        <w:t xml:space="preserve">. </w:t>
      </w:r>
      <w:r>
        <w:rPr>
          <w:lang w:val="fr-FR"/>
        </w:rPr>
        <w:t xml:space="preserve">S’il ne l’est pas, le psychiatre doit en informer par écrit le psychiatre principal qui, à son tour en rend </w:t>
      </w:r>
      <w:r w:rsidR="00632FBD">
        <w:rPr>
          <w:lang w:val="fr-FR"/>
        </w:rPr>
        <w:t>compte au Commissaire électoral, à la suite de quoi le droit de vote du patient est suspendu (art. 201 et 202)</w:t>
      </w:r>
      <w:r w:rsidR="008D6B80">
        <w:rPr>
          <w:lang w:val="fr-FR"/>
        </w:rPr>
        <w:t xml:space="preserve">. </w:t>
      </w:r>
      <w:r w:rsidR="00632FBD">
        <w:rPr>
          <w:lang w:val="fr-FR"/>
        </w:rPr>
        <w:t>Le psychiatre peut annuler l’ordre n’importe quand, en en informant à nouveau le psychiatre principal par écrit</w:t>
      </w:r>
      <w:r w:rsidR="008D6B80">
        <w:rPr>
          <w:lang w:val="fr-FR"/>
        </w:rPr>
        <w:t xml:space="preserve">. </w:t>
      </w:r>
      <w:r w:rsidR="00632FBD">
        <w:rPr>
          <w:lang w:val="fr-FR"/>
        </w:rPr>
        <w:t>Le patient ou toute autre personne que la Commission de recours en matière de santé mentale estime être réellement concernée par l’affaire peut faire appel de la décision de suspendre le droit de vote du patient auprès de cette commission, qui peut alors la confirmer ou l’annuler.</w:t>
      </w:r>
    </w:p>
    <w:p w:rsidR="00947867" w:rsidRDefault="00947867"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lang w:val="fr-FR"/>
        </w:rPr>
        <w:tab/>
      </w:r>
      <w:r w:rsidR="000D3185">
        <w:rPr>
          <w:b/>
          <w:bCs/>
          <w:lang w:val="fr-FR"/>
        </w:rPr>
        <w:t>l</w:t>
      </w:r>
      <w:r>
        <w:rPr>
          <w:b/>
          <w:bCs/>
          <w:lang w:val="fr-FR"/>
        </w:rPr>
        <w:t>)</w:t>
      </w:r>
      <w:r>
        <w:rPr>
          <w:b/>
          <w:bCs/>
          <w:lang w:val="fr-FR"/>
        </w:rPr>
        <w:tab/>
        <w:t>Droit de consentir à certains traitements ou de les refuser</w:t>
      </w:r>
    </w:p>
    <w:p w:rsidR="00947867" w:rsidRDefault="00947867"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3</w:t>
      </w:r>
      <w:r>
        <w:rPr>
          <w:lang w:val="fr-FR"/>
        </w:rPr>
        <w:t>.</w:t>
      </w:r>
      <w:r>
        <w:rPr>
          <w:lang w:val="fr-FR"/>
        </w:rPr>
        <w:tab/>
        <w:t>Un patient volontaire</w:t>
      </w:r>
      <w:r w:rsidR="003519A9">
        <w:rPr>
          <w:lang w:val="fr-FR"/>
        </w:rPr>
        <w:t xml:space="preserve"> a les mêmes droits juridiques que n’importe quel autre patient dans un hôpital</w:t>
      </w:r>
      <w:r w:rsidR="008D6B80">
        <w:rPr>
          <w:lang w:val="fr-FR"/>
        </w:rPr>
        <w:t xml:space="preserve">. </w:t>
      </w:r>
      <w:r w:rsidR="003519A9">
        <w:rPr>
          <w:lang w:val="fr-FR"/>
        </w:rPr>
        <w:t>Il peut refuser n’importe quel traitement ou y consentir</w:t>
      </w:r>
      <w:r w:rsidR="008D6B80">
        <w:rPr>
          <w:lang w:val="fr-FR"/>
        </w:rPr>
        <w:t xml:space="preserve">. </w:t>
      </w:r>
      <w:r w:rsidR="003519A9">
        <w:rPr>
          <w:lang w:val="fr-FR"/>
        </w:rPr>
        <w:t>Les patients non volontaires devraient avoir leur mot à dire dans la mesure où la chose est acceptable dans le cadre d’une bonne pratique clinique</w:t>
      </w:r>
      <w:r w:rsidR="008D6B80">
        <w:rPr>
          <w:lang w:val="fr-FR"/>
        </w:rPr>
        <w:t xml:space="preserve">. </w:t>
      </w:r>
      <w:r w:rsidR="003519A9">
        <w:rPr>
          <w:lang w:val="fr-FR"/>
        </w:rPr>
        <w:t>Voici ce qu’implique ce consentement</w:t>
      </w:r>
      <w:r w:rsidR="00572260">
        <w:rPr>
          <w:lang w:val="fr-FR"/>
        </w:rPr>
        <w:t>:</w:t>
      </w:r>
    </w:p>
    <w:p w:rsidR="003519A9" w:rsidRDefault="000D3185" w:rsidP="005D7B68">
      <w:pPr>
        <w:tabs>
          <w:tab w:val="left" w:pos="567"/>
          <w:tab w:val="left" w:pos="1134"/>
          <w:tab w:val="left" w:pos="1701"/>
          <w:tab w:val="left" w:pos="2124"/>
          <w:tab w:val="left" w:pos="2268"/>
          <w:tab w:val="left" w:pos="2835"/>
          <w:tab w:val="left" w:pos="3540"/>
          <w:tab w:val="center" w:pos="4535"/>
        </w:tabs>
        <w:ind w:left="1134" w:hanging="1134"/>
        <w:rPr>
          <w:lang w:val="fr-FR"/>
        </w:rPr>
      </w:pPr>
      <w:r>
        <w:rPr>
          <w:lang w:val="fr-FR"/>
        </w:rPr>
        <w:tab/>
      </w:r>
      <w:r w:rsidR="003519A9">
        <w:rPr>
          <w:lang w:val="fr-FR"/>
        </w:rPr>
        <w:t>i)</w:t>
      </w:r>
      <w:r w:rsidR="003519A9">
        <w:rPr>
          <w:lang w:val="fr-FR"/>
        </w:rPr>
        <w:tab/>
      </w:r>
      <w:r w:rsidR="00445D1A">
        <w:rPr>
          <w:lang w:val="fr-FR"/>
        </w:rPr>
        <w:t>I</w:t>
      </w:r>
      <w:r w:rsidR="003519A9">
        <w:rPr>
          <w:lang w:val="fr-FR"/>
        </w:rPr>
        <w:t>l faut donner au patient des explications claires sur le traitement proposé, ainsi que des informations suffisantes pour lui permettre</w:t>
      </w:r>
      <w:r w:rsidR="00203D7E">
        <w:rPr>
          <w:lang w:val="fr-FR"/>
        </w:rPr>
        <w:t xml:space="preserve"> de se forger un jugement équilibré</w:t>
      </w:r>
      <w:r w:rsidR="00572260">
        <w:rPr>
          <w:lang w:val="fr-FR"/>
        </w:rPr>
        <w:t>;</w:t>
      </w:r>
    </w:p>
    <w:p w:rsidR="00203D7E" w:rsidRDefault="00445D1A" w:rsidP="005D7B68">
      <w:pPr>
        <w:tabs>
          <w:tab w:val="left" w:pos="567"/>
          <w:tab w:val="left" w:pos="1134"/>
          <w:tab w:val="left" w:pos="1701"/>
          <w:tab w:val="left" w:pos="2124"/>
          <w:tab w:val="left" w:pos="2268"/>
          <w:tab w:val="left" w:pos="2835"/>
          <w:tab w:val="left" w:pos="3540"/>
          <w:tab w:val="center" w:pos="4535"/>
        </w:tabs>
        <w:ind w:left="1134" w:hanging="1134"/>
        <w:rPr>
          <w:lang w:val="fr-FR"/>
        </w:rPr>
      </w:pPr>
      <w:r>
        <w:rPr>
          <w:lang w:val="fr-FR"/>
        </w:rPr>
        <w:tab/>
        <w:t>ii)</w:t>
      </w:r>
      <w:r>
        <w:rPr>
          <w:lang w:val="fr-FR"/>
        </w:rPr>
        <w:tab/>
        <w:t>L</w:t>
      </w:r>
      <w:r w:rsidR="00203D7E">
        <w:rPr>
          <w:lang w:val="fr-FR"/>
        </w:rPr>
        <w:t>es explications doivent être assorties d’une mise en garde contre tout risque inhérent au traitement</w:t>
      </w:r>
      <w:r w:rsidR="00572260">
        <w:rPr>
          <w:lang w:val="fr-FR"/>
        </w:rPr>
        <w:t>;</w:t>
      </w:r>
    </w:p>
    <w:p w:rsidR="00203D7E" w:rsidRDefault="000D3185" w:rsidP="005D7B68">
      <w:pPr>
        <w:tabs>
          <w:tab w:val="left" w:pos="567"/>
          <w:tab w:val="left" w:pos="1134"/>
          <w:tab w:val="left" w:pos="1701"/>
          <w:tab w:val="left" w:pos="2124"/>
          <w:tab w:val="left" w:pos="2268"/>
          <w:tab w:val="left" w:pos="2835"/>
          <w:tab w:val="left" w:pos="3540"/>
          <w:tab w:val="center" w:pos="4535"/>
        </w:tabs>
        <w:ind w:left="1134" w:hanging="1134"/>
        <w:rPr>
          <w:lang w:val="fr-FR"/>
        </w:rPr>
      </w:pPr>
      <w:r>
        <w:rPr>
          <w:lang w:val="fr-FR"/>
        </w:rPr>
        <w:tab/>
        <w:t>iii)</w:t>
      </w:r>
      <w:r>
        <w:rPr>
          <w:lang w:val="fr-FR"/>
        </w:rPr>
        <w:tab/>
      </w:r>
      <w:r w:rsidR="00445D1A">
        <w:rPr>
          <w:lang w:val="fr-FR"/>
        </w:rPr>
        <w:t>L</w:t>
      </w:r>
      <w:r w:rsidR="00203D7E">
        <w:rPr>
          <w:lang w:val="fr-FR"/>
        </w:rPr>
        <w:t>es informations doivent être données dans une langue que le patient comprend, avec l’aide d’interprètes le cas échéant, et la personne qui les donne doit tenir compte de ce qu’elle sait du patient au plan médical comme au plan social</w:t>
      </w:r>
      <w:r w:rsidR="00572260">
        <w:rPr>
          <w:lang w:val="fr-FR"/>
        </w:rPr>
        <w:t>;</w:t>
      </w:r>
    </w:p>
    <w:p w:rsidR="00203D7E" w:rsidRDefault="000D3185" w:rsidP="005D7B68">
      <w:pPr>
        <w:tabs>
          <w:tab w:val="left" w:pos="567"/>
          <w:tab w:val="left" w:pos="1134"/>
          <w:tab w:val="left" w:pos="1701"/>
          <w:tab w:val="left" w:pos="2124"/>
          <w:tab w:val="left" w:pos="2268"/>
          <w:tab w:val="left" w:pos="2835"/>
          <w:tab w:val="left" w:pos="3540"/>
          <w:tab w:val="center" w:pos="4535"/>
        </w:tabs>
        <w:ind w:left="1134" w:hanging="1134"/>
        <w:rPr>
          <w:lang w:val="fr-FR"/>
        </w:rPr>
      </w:pPr>
      <w:r>
        <w:rPr>
          <w:lang w:val="fr-FR"/>
        </w:rPr>
        <w:tab/>
        <w:t>iv)</w:t>
      </w:r>
      <w:r>
        <w:rPr>
          <w:lang w:val="fr-FR"/>
        </w:rPr>
        <w:tab/>
      </w:r>
      <w:r w:rsidR="00445D1A">
        <w:rPr>
          <w:lang w:val="fr-FR"/>
        </w:rPr>
        <w:t>L</w:t>
      </w:r>
      <w:r w:rsidR="00203D7E">
        <w:rPr>
          <w:lang w:val="fr-FR"/>
        </w:rPr>
        <w:t>e patient doit avoir le temps de réfléchir aux informations reçues, ce qui peut l’inciter à demander conseil auprès d’autres sources, telles que des groupes du secteur associatif</w:t>
      </w:r>
      <w:r w:rsidR="00572260">
        <w:rPr>
          <w:lang w:val="fr-FR"/>
        </w:rPr>
        <w:t>;</w:t>
      </w:r>
      <w:r w:rsidR="00203D7E">
        <w:rPr>
          <w:lang w:val="fr-FR"/>
        </w:rPr>
        <w:t xml:space="preserve"> et</w:t>
      </w:r>
    </w:p>
    <w:p w:rsidR="00203D7E" w:rsidRDefault="000D3185" w:rsidP="005D7B68">
      <w:pPr>
        <w:tabs>
          <w:tab w:val="left" w:pos="567"/>
          <w:tab w:val="left" w:pos="1134"/>
          <w:tab w:val="left" w:pos="1701"/>
          <w:tab w:val="left" w:pos="2124"/>
          <w:tab w:val="left" w:pos="2268"/>
          <w:tab w:val="left" w:pos="2835"/>
          <w:tab w:val="left" w:pos="3540"/>
          <w:tab w:val="center" w:pos="4535"/>
        </w:tabs>
        <w:ind w:left="1134" w:hanging="1134"/>
        <w:rPr>
          <w:lang w:val="fr-FR"/>
        </w:rPr>
      </w:pPr>
      <w:r>
        <w:rPr>
          <w:lang w:val="fr-FR"/>
        </w:rPr>
        <w:tab/>
        <w:t>v)</w:t>
      </w:r>
      <w:r>
        <w:rPr>
          <w:lang w:val="fr-FR"/>
        </w:rPr>
        <w:tab/>
      </w:r>
      <w:r w:rsidR="00445D1A">
        <w:rPr>
          <w:lang w:val="fr-FR"/>
        </w:rPr>
        <w:t>I</w:t>
      </w:r>
      <w:r w:rsidR="00203D7E">
        <w:rPr>
          <w:lang w:val="fr-FR"/>
        </w:rPr>
        <w:t>l faut admettre que le fait que le patient</w:t>
      </w:r>
      <w:r w:rsidR="00572260">
        <w:rPr>
          <w:lang w:val="fr-FR"/>
        </w:rPr>
        <w:t xml:space="preserve"> </w:t>
      </w:r>
      <w:r w:rsidR="00203D7E">
        <w:rPr>
          <w:lang w:val="fr-FR"/>
        </w:rPr>
        <w:t>ne s’oppose pas au traitement n’indique pas, en soi, qu’il y consent.</w:t>
      </w:r>
    </w:p>
    <w:p w:rsidR="00203D7E" w:rsidRDefault="00203D7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4</w:t>
      </w:r>
      <w:r>
        <w:rPr>
          <w:lang w:val="fr-FR"/>
        </w:rPr>
        <w:t>.</w:t>
      </w:r>
      <w:r>
        <w:rPr>
          <w:lang w:val="fr-FR"/>
        </w:rPr>
        <w:tab/>
      </w:r>
      <w:r w:rsidR="005C1456">
        <w:rPr>
          <w:lang w:val="fr-FR"/>
        </w:rPr>
        <w:t>Dans le cadre d’une bonne pratique clinique, le patient doit être pleinement impliqué dans le choix des options de traitement pour pouvoir donner son consentement</w:t>
      </w:r>
      <w:r w:rsidR="008D6B80">
        <w:rPr>
          <w:lang w:val="fr-FR"/>
        </w:rPr>
        <w:t xml:space="preserve">. </w:t>
      </w:r>
      <w:r w:rsidR="005C1456">
        <w:rPr>
          <w:lang w:val="fr-FR"/>
        </w:rPr>
        <w:t>Cependant, la loi sur la santé men</w:t>
      </w:r>
      <w:r w:rsidR="00771537">
        <w:rPr>
          <w:lang w:val="fr-FR"/>
        </w:rPr>
        <w:t>tale stipule bien qu’une personne internée d’office</w:t>
      </w:r>
      <w:r w:rsidR="005C1456">
        <w:rPr>
          <w:lang w:val="fr-FR"/>
        </w:rPr>
        <w:t xml:space="preserve">, ou un accusé ne jouissant pas de toutes ses facultés mentales, dans un hôpital agréé, peut se voir administrer un traitement psychiatrique, </w:t>
      </w:r>
      <w:r w:rsidR="002F60D5">
        <w:rPr>
          <w:lang w:val="fr-FR"/>
        </w:rPr>
        <w:t>à l’exception de la psychochirurgie, sans son consentement (art. 109).</w:t>
      </w:r>
    </w:p>
    <w:p w:rsidR="002F60D5" w:rsidRDefault="00C94D38"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Droit de</w:t>
      </w:r>
      <w:r w:rsidR="002F60D5">
        <w:rPr>
          <w:b/>
          <w:bCs/>
          <w:lang w:val="fr-FR"/>
        </w:rPr>
        <w:t xml:space="preserve"> recours auprès de la Commission de recours en matière de santé mentale</w:t>
      </w:r>
    </w:p>
    <w:p w:rsidR="002F60D5" w:rsidRDefault="002F60D5"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5</w:t>
      </w:r>
      <w:r>
        <w:rPr>
          <w:lang w:val="fr-FR"/>
        </w:rPr>
        <w:t>.</w:t>
      </w:r>
      <w:r>
        <w:rPr>
          <w:lang w:val="fr-FR"/>
        </w:rPr>
        <w:tab/>
        <w:t xml:space="preserve">Les patients internés d’office, les visiteurs officiels et toute autre personne que la Commission de recours en matière de santé mentale estime être vraiment concernée par le patient peut </w:t>
      </w:r>
      <w:r w:rsidR="00C94D38">
        <w:rPr>
          <w:lang w:val="fr-FR"/>
        </w:rPr>
        <w:t>demander à cette commission</w:t>
      </w:r>
      <w:r w:rsidR="00771537">
        <w:rPr>
          <w:lang w:val="fr-FR"/>
        </w:rPr>
        <w:t xml:space="preserve"> de procéder à un réexamen du cas</w:t>
      </w:r>
      <w:r w:rsidR="00572260">
        <w:rPr>
          <w:lang w:val="fr-FR"/>
        </w:rPr>
        <w:t>;</w:t>
      </w:r>
      <w:r w:rsidR="00C94D38">
        <w:rPr>
          <w:lang w:val="fr-FR"/>
        </w:rPr>
        <w:t xml:space="preserve"> si aucune demande en ce sens n’est faite, un nouvel examen obligatoire a lieu huit semaines plus tard au maximum, puis tous les six mois.</w:t>
      </w:r>
    </w:p>
    <w:p w:rsidR="00C94D38" w:rsidRDefault="00C94D38"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Droit de recours a</w:t>
      </w:r>
      <w:r w:rsidR="00771537">
        <w:rPr>
          <w:b/>
          <w:bCs/>
          <w:lang w:val="fr-FR"/>
        </w:rPr>
        <w:t>uprès de la Cour s</w:t>
      </w:r>
      <w:r>
        <w:rPr>
          <w:b/>
          <w:bCs/>
          <w:lang w:val="fr-FR"/>
        </w:rPr>
        <w:t>uprême</w:t>
      </w:r>
    </w:p>
    <w:p w:rsidR="00C94D38" w:rsidRDefault="00C94D38"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6</w:t>
      </w:r>
      <w:r>
        <w:rPr>
          <w:lang w:val="fr-FR"/>
        </w:rPr>
        <w:t>.</w:t>
      </w:r>
      <w:r>
        <w:rPr>
          <w:lang w:val="fr-FR"/>
        </w:rPr>
        <w:tab/>
        <w:t>Tout patient ou to</w:t>
      </w:r>
      <w:r w:rsidR="00771537">
        <w:rPr>
          <w:lang w:val="fr-FR"/>
        </w:rPr>
        <w:t>ute autre personne que la Cour s</w:t>
      </w:r>
      <w:r>
        <w:rPr>
          <w:lang w:val="fr-FR"/>
        </w:rPr>
        <w:t>uprême estime être assez concernée par cette affaire peut faire appel d’une décision ou d’un ordre de la Commission de recours en matière d</w:t>
      </w:r>
      <w:r w:rsidR="00156F7A">
        <w:rPr>
          <w:lang w:val="fr-FR"/>
        </w:rPr>
        <w:t>e santé mentale devant la Cour s</w:t>
      </w:r>
      <w:r>
        <w:rPr>
          <w:lang w:val="fr-FR"/>
        </w:rPr>
        <w:t>uprême.</w:t>
      </w:r>
    </w:p>
    <w:p w:rsidR="00C94D38" w:rsidRDefault="00C94D38" w:rsidP="005D7B68">
      <w:pPr>
        <w:keepNext/>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Protection des droits</w:t>
      </w:r>
    </w:p>
    <w:p w:rsidR="00E3634E" w:rsidRDefault="00C94D38" w:rsidP="005D7B68">
      <w:pPr>
        <w:keepNext/>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7</w:t>
      </w:r>
      <w:r>
        <w:rPr>
          <w:lang w:val="fr-FR"/>
        </w:rPr>
        <w:t>.</w:t>
      </w:r>
      <w:r>
        <w:rPr>
          <w:lang w:val="fr-FR"/>
        </w:rPr>
        <w:tab/>
      </w:r>
      <w:r w:rsidR="00771537">
        <w:rPr>
          <w:lang w:val="fr-FR"/>
        </w:rPr>
        <w:t>Accès à un membre du</w:t>
      </w:r>
      <w:r w:rsidR="00E3634E">
        <w:rPr>
          <w:lang w:val="fr-FR"/>
        </w:rPr>
        <w:t xml:space="preserve"> Conseil des visiteurs officiels, organisme qui est placé sous l’autorité directe du Ministre de la santé</w:t>
      </w:r>
      <w:r w:rsidR="008D6B80">
        <w:rPr>
          <w:lang w:val="fr-FR"/>
        </w:rPr>
        <w:t xml:space="preserve">. </w:t>
      </w:r>
      <w:r w:rsidR="00E3634E">
        <w:rPr>
          <w:lang w:val="fr-FR"/>
        </w:rPr>
        <w:t>Ce conseil veille à ce que les détenus soient informés de leurs droits, que les droits des personnes concernées soient respectés, que les plaintes soient entendues, fassent l’objet d’une enquête et qu’il y soit donné suite</w:t>
      </w:r>
      <w:r w:rsidR="008D6B80">
        <w:rPr>
          <w:lang w:val="fr-FR"/>
        </w:rPr>
        <w:t xml:space="preserve">. </w:t>
      </w:r>
      <w:r w:rsidR="00E3634E">
        <w:rPr>
          <w:lang w:val="fr-FR"/>
        </w:rPr>
        <w:t>Les visiteurs officiels effectuent régulièrement des visites de toutes les parties des hôpitaux agréés.</w:t>
      </w:r>
    </w:p>
    <w:p w:rsidR="00E3634E" w:rsidRDefault="00E3634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52</w:t>
      </w:r>
      <w:r w:rsidR="00A55761">
        <w:rPr>
          <w:lang w:val="fr-FR"/>
        </w:rPr>
        <w:t>8</w:t>
      </w:r>
      <w:r>
        <w:rPr>
          <w:lang w:val="fr-FR"/>
        </w:rPr>
        <w:t>.</w:t>
      </w:r>
      <w:r>
        <w:rPr>
          <w:lang w:val="fr-FR"/>
        </w:rPr>
        <w:tab/>
        <w:t>La</w:t>
      </w:r>
      <w:r w:rsidR="00572260">
        <w:rPr>
          <w:lang w:val="fr-FR"/>
        </w:rPr>
        <w:t xml:space="preserve"> </w:t>
      </w:r>
      <w:r>
        <w:rPr>
          <w:lang w:val="fr-FR"/>
        </w:rPr>
        <w:t>Commission doit examiner tous les problèmes qui sont portés à son</w:t>
      </w:r>
      <w:r w:rsidR="00572260">
        <w:rPr>
          <w:lang w:val="fr-FR"/>
        </w:rPr>
        <w:t xml:space="preserve"> </w:t>
      </w:r>
      <w:r>
        <w:rPr>
          <w:lang w:val="fr-FR"/>
        </w:rPr>
        <w:t>attention, y compris les réclamations.</w:t>
      </w:r>
    </w:p>
    <w:p w:rsidR="00F02938" w:rsidRDefault="00E3634E"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w:t>
      </w:r>
      <w:r w:rsidR="00A55761">
        <w:rPr>
          <w:lang w:val="fr-FR"/>
        </w:rPr>
        <w:t>29</w:t>
      </w:r>
      <w:r>
        <w:rPr>
          <w:lang w:val="fr-FR"/>
        </w:rPr>
        <w:t>.</w:t>
      </w:r>
      <w:r>
        <w:rPr>
          <w:lang w:val="fr-FR"/>
        </w:rPr>
        <w:tab/>
        <w:t>Le psychiatre principal contrôle</w:t>
      </w:r>
      <w:r w:rsidR="00F02938">
        <w:rPr>
          <w:lang w:val="fr-FR"/>
        </w:rPr>
        <w:t xml:space="preserve"> le niveau des soins psychiatriques dispensés dans toute l’</w:t>
      </w:r>
      <w:r w:rsidR="008E1139">
        <w:rPr>
          <w:lang w:val="fr-FR"/>
        </w:rPr>
        <w:t>Australie occidentale</w:t>
      </w:r>
      <w:r w:rsidR="00F02938">
        <w:rPr>
          <w:lang w:val="fr-FR"/>
        </w:rPr>
        <w:t>, reçoit les plaintes</w:t>
      </w:r>
      <w:r>
        <w:rPr>
          <w:lang w:val="fr-FR"/>
        </w:rPr>
        <w:t xml:space="preserve"> </w:t>
      </w:r>
      <w:r w:rsidR="00F02938">
        <w:rPr>
          <w:lang w:val="fr-FR"/>
        </w:rPr>
        <w:t>et agit en conséquence</w:t>
      </w:r>
      <w:r w:rsidR="008D6B80">
        <w:rPr>
          <w:lang w:val="fr-FR"/>
        </w:rPr>
        <w:t xml:space="preserve">. </w:t>
      </w:r>
      <w:r w:rsidR="00F02938">
        <w:rPr>
          <w:lang w:val="fr-FR"/>
        </w:rPr>
        <w:t>Il est placé sous l’autorité du Directeur général de la santé et travaille indépendamment des services de santé mentale.</w:t>
      </w:r>
    </w:p>
    <w:p w:rsidR="00F02938" w:rsidRDefault="008E1139"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Australie méridionale</w:t>
      </w:r>
    </w:p>
    <w:p w:rsidR="004A0DCD" w:rsidRDefault="004A0DCD" w:rsidP="005D7B68">
      <w:pPr>
        <w:tabs>
          <w:tab w:val="left" w:pos="567"/>
          <w:tab w:val="left" w:pos="708"/>
          <w:tab w:val="left" w:pos="1134"/>
          <w:tab w:val="left" w:pos="1416"/>
          <w:tab w:val="left" w:pos="1701"/>
          <w:tab w:val="left" w:pos="2124"/>
          <w:tab w:val="left" w:pos="2268"/>
          <w:tab w:val="left" w:pos="2835"/>
          <w:tab w:val="left" w:pos="3540"/>
          <w:tab w:val="center" w:pos="4535"/>
        </w:tabs>
        <w:rPr>
          <w:b/>
          <w:bCs/>
          <w:lang w:val="fr-FR"/>
        </w:rPr>
      </w:pPr>
      <w:r>
        <w:rPr>
          <w:b/>
          <w:bCs/>
          <w:lang w:val="fr-FR"/>
        </w:rPr>
        <w:t>Procédures pertinentes des services pénitentiaires</w:t>
      </w:r>
    </w:p>
    <w:p w:rsidR="007C75AD" w:rsidRDefault="004A0DC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0</w:t>
      </w:r>
      <w:r>
        <w:rPr>
          <w:lang w:val="fr-FR"/>
        </w:rPr>
        <w:t>.</w:t>
      </w:r>
      <w:r>
        <w:rPr>
          <w:lang w:val="fr-FR"/>
        </w:rPr>
        <w:tab/>
      </w:r>
      <w:r w:rsidR="00F069F4">
        <w:rPr>
          <w:lang w:val="fr-FR"/>
        </w:rPr>
        <w:t xml:space="preserve">En </w:t>
      </w:r>
      <w:r w:rsidR="008E1139">
        <w:rPr>
          <w:lang w:val="fr-FR"/>
        </w:rPr>
        <w:t>Australie méridionale</w:t>
      </w:r>
      <w:r w:rsidR="00F069F4">
        <w:rPr>
          <w:lang w:val="fr-FR"/>
        </w:rPr>
        <w:t xml:space="preserve">, </w:t>
      </w:r>
      <w:r w:rsidR="00771537">
        <w:rPr>
          <w:lang w:val="fr-FR"/>
        </w:rPr>
        <w:t>chaque détenu</w:t>
      </w:r>
      <w:r w:rsidR="00C7398B">
        <w:rPr>
          <w:lang w:val="fr-FR"/>
        </w:rPr>
        <w:t xml:space="preserve"> fait l’objet d’un examen de dépistage à son entrée en prison pour permettre de juger de son état de stress, puis d’un suivi pendant les sept premiers jours</w:t>
      </w:r>
      <w:r w:rsidR="008D6B80">
        <w:rPr>
          <w:lang w:val="fr-FR"/>
        </w:rPr>
        <w:t xml:space="preserve">. </w:t>
      </w:r>
      <w:r w:rsidR="007C75AD">
        <w:rPr>
          <w:lang w:val="fr-FR"/>
        </w:rPr>
        <w:t>On le soumet</w:t>
      </w:r>
      <w:r w:rsidR="00C7398B">
        <w:rPr>
          <w:lang w:val="fr-FR"/>
        </w:rPr>
        <w:t xml:space="preserve"> à d’</w:t>
      </w:r>
      <w:r w:rsidR="007C75AD">
        <w:rPr>
          <w:lang w:val="fr-FR"/>
        </w:rPr>
        <w:t>autres examens pour</w:t>
      </w:r>
      <w:r w:rsidR="00C7398B">
        <w:rPr>
          <w:lang w:val="fr-FR"/>
        </w:rPr>
        <w:t xml:space="preserve"> évaluer le risque de récidive et</w:t>
      </w:r>
      <w:r w:rsidR="00572260">
        <w:rPr>
          <w:lang w:val="fr-FR"/>
        </w:rPr>
        <w:t xml:space="preserve"> </w:t>
      </w:r>
      <w:r w:rsidR="00C7398B">
        <w:rPr>
          <w:lang w:val="fr-FR"/>
        </w:rPr>
        <w:t>repérer quels sont ses besoins criminogènes afin</w:t>
      </w:r>
      <w:r w:rsidR="007C75AD">
        <w:rPr>
          <w:lang w:val="fr-FR"/>
        </w:rPr>
        <w:t xml:space="preserve"> d’adapter les interventions ou procéder à d’autres examens spécialisés.</w:t>
      </w:r>
    </w:p>
    <w:p w:rsidR="00CA5733" w:rsidRDefault="007C75A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1</w:t>
      </w:r>
      <w:r>
        <w:rPr>
          <w:lang w:val="fr-FR"/>
        </w:rPr>
        <w:t>.</w:t>
      </w:r>
      <w:r>
        <w:rPr>
          <w:lang w:val="fr-FR"/>
        </w:rPr>
        <w:tab/>
        <w:t xml:space="preserve">Le Département des services pénitentiaires administre toute la population carcérale </w:t>
      </w:r>
      <w:r w:rsidR="00DC739D">
        <w:rPr>
          <w:lang w:val="fr-FR"/>
        </w:rPr>
        <w:t>à l’aide d’un modèle de gestion des cas, ce qui signifie que chaque détenu fait l’objet d’un traitement individuel et est doté d’un plan-programme ou d’un plan de développement individuel dans lequel sont décrits tous les programmes dont il a besoin, le régime et la catégorie de détention</w:t>
      </w:r>
      <w:r w:rsidR="00CA5733">
        <w:rPr>
          <w:lang w:val="fr-FR"/>
        </w:rPr>
        <w:t xml:space="preserve"> qui convient, ainsi que les travaux et les activités de détente qui lui seront ouverts.</w:t>
      </w:r>
    </w:p>
    <w:p w:rsidR="00CA5733" w:rsidRDefault="00CA5733"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2</w:t>
      </w:r>
      <w:r>
        <w:rPr>
          <w:lang w:val="fr-FR"/>
        </w:rPr>
        <w:t>.</w:t>
      </w:r>
      <w:r>
        <w:rPr>
          <w:lang w:val="fr-FR"/>
        </w:rPr>
        <w:tab/>
        <w:t>Les détenus ont accès au personnel médical, aux travailleurs sociaux et aux services psychologiques, et peuvent être transférés dans d’autres lieux pour pouvoir profiter de ces services, le cas échéant.</w:t>
      </w:r>
    </w:p>
    <w:p w:rsidR="00326D76" w:rsidRDefault="00CA5733"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3</w:t>
      </w:r>
      <w:r w:rsidR="006702BB">
        <w:rPr>
          <w:lang w:val="fr-FR"/>
        </w:rPr>
        <w:t>.</w:t>
      </w:r>
      <w:r w:rsidR="006702BB">
        <w:rPr>
          <w:lang w:val="fr-FR"/>
        </w:rPr>
        <w:tab/>
        <w:t>Tout détenu considéré</w:t>
      </w:r>
      <w:r>
        <w:rPr>
          <w:lang w:val="fr-FR"/>
        </w:rPr>
        <w:t xml:space="preserve"> comme étant à risque au terme d’un examen médical ou selon les observations du personnel pénitentiaire est pris en charge par</w:t>
      </w:r>
      <w:r w:rsidR="00E56047">
        <w:rPr>
          <w:lang w:val="fr-FR"/>
        </w:rPr>
        <w:t xml:space="preserve"> l’équipe de diagnostic pour les personnes à haut risque</w:t>
      </w:r>
      <w:r w:rsidR="008D6B80">
        <w:rPr>
          <w:lang w:val="fr-FR"/>
        </w:rPr>
        <w:t xml:space="preserve">. </w:t>
      </w:r>
      <w:r w:rsidR="00E56047">
        <w:rPr>
          <w:lang w:val="fr-FR"/>
        </w:rPr>
        <w:t>Il s’agit d’une procédure relevant du Département des services de sanitaires des prisons qui permet de mettre en œuvre, après évaluation, des stratégies de traitement pour les détenus ayant des besoins spéciaux, et d’en effectuer le suivi</w:t>
      </w:r>
      <w:r w:rsidR="008D6B80">
        <w:rPr>
          <w:lang w:val="fr-FR"/>
        </w:rPr>
        <w:t xml:space="preserve">. </w:t>
      </w:r>
      <w:r w:rsidR="00326D76">
        <w:rPr>
          <w:lang w:val="fr-FR"/>
        </w:rPr>
        <w:t>Cette procédure officielle impose l’échange de renseignements à la fois à caractère médical et à caractère pénitentiaire</w:t>
      </w:r>
      <w:r w:rsidR="008D6B80">
        <w:rPr>
          <w:lang w:val="fr-FR"/>
        </w:rPr>
        <w:t xml:space="preserve">. </w:t>
      </w:r>
      <w:r w:rsidR="00326D76">
        <w:rPr>
          <w:lang w:val="fr-FR"/>
        </w:rPr>
        <w:t>Cela permet de faire en sorte que les détenus</w:t>
      </w:r>
      <w:r w:rsidR="00EC3606">
        <w:rPr>
          <w:lang w:val="fr-FR"/>
        </w:rPr>
        <w:t xml:space="preserve"> </w:t>
      </w:r>
      <w:r w:rsidR="000D3185">
        <w:rPr>
          <w:lang w:val="fr-FR"/>
        </w:rPr>
        <w:t>risquant d’être victimes d’auto</w:t>
      </w:r>
      <w:r w:rsidR="000D3185">
        <w:rPr>
          <w:lang w:val="fr-FR"/>
        </w:rPr>
        <w:noBreakHyphen/>
      </w:r>
      <w:r w:rsidR="00EC3606">
        <w:rPr>
          <w:lang w:val="fr-FR"/>
        </w:rPr>
        <w:t>agressivité</w:t>
      </w:r>
      <w:r w:rsidR="00B4526C">
        <w:rPr>
          <w:lang w:val="fr-FR"/>
        </w:rPr>
        <w:t>, d’avoir des problèmes de santé mentale ou qui souffrent d’autres types de handicap, soient protégés pendant leur séjour en prison.</w:t>
      </w:r>
    </w:p>
    <w:p w:rsidR="00B4526C" w:rsidRDefault="008C63E0"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4</w:t>
      </w:r>
      <w:r>
        <w:rPr>
          <w:lang w:val="fr-FR"/>
        </w:rPr>
        <w:t>.</w:t>
      </w:r>
      <w:r>
        <w:rPr>
          <w:lang w:val="fr-FR"/>
        </w:rPr>
        <w:tab/>
        <w:t xml:space="preserve">Si la sécurité d’un détenu est menacée par les autres détenus, celui-ci peut être placé </w:t>
      </w:r>
      <w:r w:rsidR="00A619D6">
        <w:rPr>
          <w:lang w:val="fr-FR"/>
        </w:rPr>
        <w:t>«</w:t>
      </w:r>
      <w:r>
        <w:rPr>
          <w:lang w:val="fr-FR"/>
        </w:rPr>
        <w:t>sous protection</w:t>
      </w:r>
      <w:r w:rsidR="00A619D6">
        <w:rPr>
          <w:lang w:val="fr-FR"/>
        </w:rPr>
        <w:t>»</w:t>
      </w:r>
      <w:r>
        <w:rPr>
          <w:lang w:val="fr-FR"/>
        </w:rPr>
        <w:t xml:space="preserve">, ce qui implique qu’il soit logé dans un quartier spécialement conçu </w:t>
      </w:r>
      <w:r w:rsidR="006702BB">
        <w:rPr>
          <w:lang w:val="fr-FR"/>
        </w:rPr>
        <w:t>à cette fin</w:t>
      </w:r>
      <w:r w:rsidR="008D6B80">
        <w:rPr>
          <w:lang w:val="fr-FR"/>
        </w:rPr>
        <w:t xml:space="preserve">. </w:t>
      </w:r>
      <w:r w:rsidR="006702BB">
        <w:rPr>
          <w:lang w:val="fr-FR"/>
        </w:rPr>
        <w:t>L</w:t>
      </w:r>
      <w:r>
        <w:rPr>
          <w:lang w:val="fr-FR"/>
        </w:rPr>
        <w:t>es</w:t>
      </w:r>
      <w:r w:rsidR="006702BB">
        <w:rPr>
          <w:lang w:val="fr-FR"/>
        </w:rPr>
        <w:t xml:space="preserve"> détenus sous protection</w:t>
      </w:r>
      <w:r>
        <w:rPr>
          <w:lang w:val="fr-FR"/>
        </w:rPr>
        <w:t xml:space="preserve"> sont placés à l’écart du reste de la population carcérale et ne fréquentent que d’autres détenus qui sont dans la même situation.</w:t>
      </w:r>
    </w:p>
    <w:p w:rsidR="008C63E0" w:rsidRDefault="008C63E0"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5</w:t>
      </w:r>
      <w:r>
        <w:rPr>
          <w:lang w:val="fr-FR"/>
        </w:rPr>
        <w:t>.</w:t>
      </w:r>
      <w:r>
        <w:rPr>
          <w:lang w:val="fr-FR"/>
        </w:rPr>
        <w:tab/>
        <w:t>Les détenus autochtones ont la possibilité de rencontrer le Directeur général du Département au Forum pour la prévention des décès d’aborigènes en détention toutes les six</w:t>
      </w:r>
      <w:r w:rsidR="000D3185">
        <w:rPr>
          <w:lang w:val="fr-FR"/>
        </w:rPr>
        <w:t> </w:t>
      </w:r>
      <w:r>
        <w:rPr>
          <w:lang w:val="fr-FR"/>
        </w:rPr>
        <w:t>semaines dans différentes institutions</w:t>
      </w:r>
      <w:r w:rsidR="008D6B80">
        <w:rPr>
          <w:lang w:val="fr-FR"/>
        </w:rPr>
        <w:t xml:space="preserve">. </w:t>
      </w:r>
      <w:r w:rsidR="00995E62">
        <w:rPr>
          <w:lang w:val="fr-FR"/>
        </w:rPr>
        <w:t>Ce forum donne aux détenus aborigènes l’</w:t>
      </w:r>
      <w:r w:rsidR="00EF2E19">
        <w:rPr>
          <w:lang w:val="fr-FR"/>
        </w:rPr>
        <w:t>occasion de</w:t>
      </w:r>
      <w:r w:rsidR="00995E62">
        <w:rPr>
          <w:lang w:val="fr-FR"/>
        </w:rPr>
        <w:t xml:space="preserve"> soulever des questions ou</w:t>
      </w:r>
      <w:r w:rsidR="00EF2E19">
        <w:rPr>
          <w:lang w:val="fr-FR"/>
        </w:rPr>
        <w:t xml:space="preserve"> d’exprimer des préoccupations directement auprès du Directeur général</w:t>
      </w:r>
      <w:r w:rsidR="008D6B80">
        <w:rPr>
          <w:lang w:val="fr-FR"/>
        </w:rPr>
        <w:t xml:space="preserve">. </w:t>
      </w:r>
      <w:r w:rsidR="00EF2E19">
        <w:rPr>
          <w:lang w:val="fr-FR"/>
        </w:rPr>
        <w:t>L’Unité des services aux aborigènes du Département donne suite à toutes les questions soulevées de la part des prisonniers</w:t>
      </w:r>
      <w:r w:rsidR="008D6B80">
        <w:rPr>
          <w:lang w:val="fr-FR"/>
        </w:rPr>
        <w:t xml:space="preserve">. </w:t>
      </w:r>
      <w:r w:rsidR="00EF2E19">
        <w:rPr>
          <w:lang w:val="fr-FR"/>
        </w:rPr>
        <w:t>Les questions systémiques sont examinées et font l’objet d’une évaluation à la fin de chaque année pour vérifier qu’elles sont en cours de traitement.</w:t>
      </w:r>
    </w:p>
    <w:p w:rsidR="00EF2E19" w:rsidRDefault="00EF2E19"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w:t>
      </w:r>
      <w:r w:rsidR="00A55761">
        <w:rPr>
          <w:lang w:val="fr-FR"/>
        </w:rPr>
        <w:t>6</w:t>
      </w:r>
      <w:r>
        <w:rPr>
          <w:lang w:val="fr-FR"/>
        </w:rPr>
        <w:t>.</w:t>
      </w:r>
      <w:r>
        <w:rPr>
          <w:lang w:val="fr-FR"/>
        </w:rPr>
        <w:tab/>
        <w:t>De plus, il y a plusieurs organes et organismes, intérieurs et extérieurs au système pénitentiaire, qui reçoivent et examinent les plaintes des détenus, à savoir</w:t>
      </w:r>
      <w:r w:rsidR="00572260">
        <w:rPr>
          <w:lang w:val="fr-FR"/>
        </w:rPr>
        <w:t>:</w:t>
      </w:r>
    </w:p>
    <w:p w:rsidR="00EF2E19"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a)</w:t>
      </w:r>
      <w:r>
        <w:rPr>
          <w:lang w:val="fr-FR"/>
        </w:rPr>
        <w:tab/>
        <w:t>L</w:t>
      </w:r>
      <w:r w:rsidR="00EF2E19">
        <w:rPr>
          <w:lang w:val="fr-FR"/>
        </w:rPr>
        <w:t>’Unité et le Directeur général de chaque prison</w:t>
      </w:r>
      <w:r w:rsidR="00572260">
        <w:rPr>
          <w:lang w:val="fr-FR"/>
        </w:rPr>
        <w:t>;</w:t>
      </w:r>
    </w:p>
    <w:p w:rsidR="00EF2E19"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b)</w:t>
      </w:r>
      <w:r>
        <w:rPr>
          <w:lang w:val="fr-FR"/>
        </w:rPr>
        <w:tab/>
        <w:t>L</w:t>
      </w:r>
      <w:r w:rsidR="00EF2E19">
        <w:rPr>
          <w:lang w:val="fr-FR"/>
        </w:rPr>
        <w:t>es inspecteurs nommés par le Ministre qui visitent chaque prison et s’entretiennent avec les détenus chaque semaine</w:t>
      </w:r>
      <w:r w:rsidR="00572260">
        <w:rPr>
          <w:lang w:val="fr-FR"/>
        </w:rPr>
        <w:t>;</w:t>
      </w:r>
    </w:p>
    <w:p w:rsidR="00EF2E19"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c)</w:t>
      </w:r>
      <w:r>
        <w:rPr>
          <w:lang w:val="fr-FR"/>
        </w:rPr>
        <w:tab/>
        <w:t>L</w:t>
      </w:r>
      <w:r w:rsidR="00EF2E19">
        <w:rPr>
          <w:lang w:val="fr-FR"/>
        </w:rPr>
        <w:t>es agents de liaison aborigènes</w:t>
      </w:r>
      <w:r w:rsidR="00572260">
        <w:rPr>
          <w:lang w:val="fr-FR"/>
        </w:rPr>
        <w:t>;</w:t>
      </w:r>
    </w:p>
    <w:p w:rsidR="00EF2E19" w:rsidRDefault="00EF2E19"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d)</w:t>
      </w:r>
      <w:r>
        <w:rPr>
          <w:lang w:val="fr-FR"/>
        </w:rPr>
        <w:tab/>
      </w:r>
      <w:r w:rsidR="001904F2">
        <w:rPr>
          <w:lang w:val="fr-FR"/>
        </w:rPr>
        <w:t>L</w:t>
      </w:r>
      <w:r w:rsidR="006814C8">
        <w:rPr>
          <w:lang w:val="fr-FR"/>
        </w:rPr>
        <w:t>es services religieux œcuméniques et les aumôniers des prisons</w:t>
      </w:r>
      <w:r w:rsidR="00572260">
        <w:rPr>
          <w:lang w:val="fr-FR"/>
        </w:rPr>
        <w:t>;</w:t>
      </w:r>
    </w:p>
    <w:p w:rsidR="006814C8"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e)</w:t>
      </w:r>
      <w:r>
        <w:rPr>
          <w:lang w:val="fr-FR"/>
        </w:rPr>
        <w:tab/>
        <w:t>D</w:t>
      </w:r>
      <w:r w:rsidR="006814C8">
        <w:rPr>
          <w:lang w:val="fr-FR"/>
        </w:rPr>
        <w:t>ans chaque prison, il est possible d’avoir accès gratuitement à une permanence téléphonique qui accueille les plaintes des détenus</w:t>
      </w:r>
      <w:r>
        <w:rPr>
          <w:lang w:val="fr-FR"/>
        </w:rPr>
        <w:t>.</w:t>
      </w:r>
    </w:p>
    <w:p w:rsidR="006814C8"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f)</w:t>
      </w:r>
      <w:r>
        <w:rPr>
          <w:lang w:val="fr-FR"/>
        </w:rPr>
        <w:tab/>
        <w:t>L</w:t>
      </w:r>
      <w:r w:rsidR="006814C8">
        <w:rPr>
          <w:lang w:val="fr-FR"/>
        </w:rPr>
        <w:t>e Médiateur</w:t>
      </w:r>
      <w:r w:rsidR="00572260">
        <w:rPr>
          <w:lang w:val="fr-FR"/>
        </w:rPr>
        <w:t>;</w:t>
      </w:r>
    </w:p>
    <w:p w:rsidR="00FF75CF"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i/>
          <w:iCs/>
          <w:lang w:val="fr-FR"/>
        </w:rPr>
      </w:pPr>
      <w:r>
        <w:rPr>
          <w:lang w:val="fr-FR"/>
        </w:rPr>
        <w:tab/>
        <w:t>g)</w:t>
      </w:r>
      <w:r>
        <w:rPr>
          <w:lang w:val="fr-FR"/>
        </w:rPr>
        <w:tab/>
        <w:t>L</w:t>
      </w:r>
      <w:r w:rsidR="006814C8">
        <w:rPr>
          <w:lang w:val="fr-FR"/>
        </w:rPr>
        <w:t>e Conseil consultatif des services pénitentiaires, organe indépendant qui dé</w:t>
      </w:r>
      <w:r w:rsidR="00FF75CF">
        <w:rPr>
          <w:lang w:val="fr-FR"/>
        </w:rPr>
        <w:t>pend directement du Ministre po</w:t>
      </w:r>
      <w:r w:rsidR="006814C8">
        <w:rPr>
          <w:lang w:val="fr-FR"/>
        </w:rPr>
        <w:t>ur contrôler et évaluer</w:t>
      </w:r>
      <w:r w:rsidR="00FF75CF">
        <w:rPr>
          <w:lang w:val="fr-FR"/>
        </w:rPr>
        <w:t xml:space="preserve"> l’administration et le fonctionnement de la </w:t>
      </w:r>
      <w:r w:rsidR="00FF75CF" w:rsidRPr="001904F2">
        <w:rPr>
          <w:lang w:val="fr-FR"/>
        </w:rPr>
        <w:t>loi de1982 sur les services pénitentiaires</w:t>
      </w:r>
      <w:r w:rsidR="00572260">
        <w:rPr>
          <w:lang w:val="fr-FR"/>
        </w:rPr>
        <w:t>;</w:t>
      </w:r>
    </w:p>
    <w:p w:rsidR="00FF75CF" w:rsidRDefault="00FF75CF"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i/>
          <w:iCs/>
          <w:lang w:val="fr-FR"/>
        </w:rPr>
        <w:tab/>
      </w:r>
      <w:r w:rsidR="001904F2">
        <w:rPr>
          <w:lang w:val="fr-FR"/>
        </w:rPr>
        <w:t>h)</w:t>
      </w:r>
      <w:r w:rsidR="001904F2">
        <w:rPr>
          <w:lang w:val="fr-FR"/>
        </w:rPr>
        <w:tab/>
        <w:t>L</w:t>
      </w:r>
      <w:r>
        <w:rPr>
          <w:lang w:val="fr-FR"/>
        </w:rPr>
        <w:t>e Ministre</w:t>
      </w:r>
      <w:r w:rsidR="00572260">
        <w:rPr>
          <w:lang w:val="fr-FR"/>
        </w:rPr>
        <w:t>;</w:t>
      </w:r>
    </w:p>
    <w:p w:rsidR="0002631F"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i)</w:t>
      </w:r>
      <w:r>
        <w:rPr>
          <w:lang w:val="fr-FR"/>
        </w:rPr>
        <w:tab/>
        <w:t>L</w:t>
      </w:r>
      <w:r w:rsidR="00FF75CF">
        <w:rPr>
          <w:lang w:val="fr-FR"/>
        </w:rPr>
        <w:t>es services d’aide aux</w:t>
      </w:r>
      <w:r w:rsidR="0002631F">
        <w:rPr>
          <w:lang w:val="fr-FR"/>
        </w:rPr>
        <w:t xml:space="preserve"> détenus et aux délinquants aborigènes</w:t>
      </w:r>
      <w:r w:rsidR="00572260">
        <w:rPr>
          <w:lang w:val="fr-FR"/>
        </w:rPr>
        <w:t>;</w:t>
      </w:r>
    </w:p>
    <w:p w:rsidR="0002631F" w:rsidRDefault="0002631F"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j)</w:t>
      </w:r>
      <w:r>
        <w:rPr>
          <w:lang w:val="fr-FR"/>
        </w:rPr>
        <w:tab/>
      </w:r>
      <w:r w:rsidRPr="001904F2">
        <w:rPr>
          <w:i/>
          <w:iCs/>
          <w:lang w:val="fr-FR"/>
        </w:rPr>
        <w:t>Aboriginal Legal Aid</w:t>
      </w:r>
      <w:r>
        <w:rPr>
          <w:lang w:val="fr-FR"/>
        </w:rPr>
        <w:t xml:space="preserve"> (service d’assistance juridictionnelle au</w:t>
      </w:r>
      <w:r w:rsidR="001904F2">
        <w:rPr>
          <w:lang w:val="fr-FR"/>
        </w:rPr>
        <w:t>x</w:t>
      </w:r>
      <w:r>
        <w:rPr>
          <w:lang w:val="fr-FR"/>
        </w:rPr>
        <w:t xml:space="preserve"> aborigènes)</w:t>
      </w:r>
      <w:r w:rsidR="00572260">
        <w:rPr>
          <w:lang w:val="fr-FR"/>
        </w:rPr>
        <w:t>;</w:t>
      </w:r>
    </w:p>
    <w:p w:rsidR="0002631F"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k)</w:t>
      </w:r>
      <w:r>
        <w:rPr>
          <w:lang w:val="fr-FR"/>
        </w:rPr>
        <w:tab/>
        <w:t>L</w:t>
      </w:r>
      <w:r w:rsidR="0002631F">
        <w:rPr>
          <w:lang w:val="fr-FR"/>
        </w:rPr>
        <w:t>es services d’aide</w:t>
      </w:r>
      <w:r w:rsidR="001C10BB">
        <w:rPr>
          <w:lang w:val="fr-FR"/>
        </w:rPr>
        <w:t xml:space="preserve"> et de réadaptation</w:t>
      </w:r>
      <w:r w:rsidR="0002631F">
        <w:rPr>
          <w:lang w:val="fr-FR"/>
        </w:rPr>
        <w:t xml:space="preserve"> pour les délinquants</w:t>
      </w:r>
      <w:r w:rsidR="00572260">
        <w:rPr>
          <w:lang w:val="fr-FR"/>
        </w:rPr>
        <w:t>;</w:t>
      </w:r>
    </w:p>
    <w:p w:rsidR="0002631F"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l)</w:t>
      </w:r>
      <w:r>
        <w:rPr>
          <w:lang w:val="fr-FR"/>
        </w:rPr>
        <w:tab/>
        <w:t>U</w:t>
      </w:r>
      <w:r w:rsidR="0002631F">
        <w:rPr>
          <w:lang w:val="fr-FR"/>
        </w:rPr>
        <w:t>n accès gratuit au service d’assistance</w:t>
      </w:r>
      <w:r>
        <w:rPr>
          <w:lang w:val="fr-FR"/>
        </w:rPr>
        <w:t xml:space="preserve"> téléphonique pour l’hépatite C</w:t>
      </w:r>
      <w:r w:rsidR="00572260">
        <w:rPr>
          <w:lang w:val="fr-FR"/>
        </w:rPr>
        <w:t>;</w:t>
      </w:r>
      <w:r w:rsidR="0002631F">
        <w:rPr>
          <w:lang w:val="fr-FR"/>
        </w:rPr>
        <w:t xml:space="preserve"> et</w:t>
      </w:r>
    </w:p>
    <w:p w:rsidR="006814C8" w:rsidRDefault="001904F2"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ab/>
        <w:t>m)</w:t>
      </w:r>
      <w:r>
        <w:rPr>
          <w:lang w:val="fr-FR"/>
        </w:rPr>
        <w:tab/>
        <w:t>U</w:t>
      </w:r>
      <w:r w:rsidR="0002631F">
        <w:rPr>
          <w:lang w:val="fr-FR"/>
        </w:rPr>
        <w:t>n système d’assistance continue en liaison avec les services spécialisés de santé mentale.</w:t>
      </w:r>
      <w:r w:rsidR="006814C8">
        <w:rPr>
          <w:lang w:val="fr-FR"/>
        </w:rPr>
        <w:tab/>
      </w:r>
    </w:p>
    <w:p w:rsidR="00EF2E19" w:rsidRDefault="00432BFD"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b/>
          <w:bCs/>
          <w:lang w:val="fr-FR"/>
        </w:rPr>
        <w:t>Services spécialisés pour les aborigènes</w:t>
      </w:r>
    </w:p>
    <w:p w:rsidR="009A3F4B" w:rsidRDefault="00A55761" w:rsidP="005D7B68">
      <w:pPr>
        <w:tabs>
          <w:tab w:val="left" w:pos="567"/>
          <w:tab w:val="left" w:pos="708"/>
          <w:tab w:val="left" w:pos="1134"/>
          <w:tab w:val="left" w:pos="1416"/>
          <w:tab w:val="left" w:pos="1701"/>
          <w:tab w:val="left" w:pos="2124"/>
          <w:tab w:val="left" w:pos="2268"/>
          <w:tab w:val="left" w:pos="2835"/>
          <w:tab w:val="left" w:pos="3540"/>
          <w:tab w:val="center" w:pos="4535"/>
        </w:tabs>
        <w:rPr>
          <w:lang w:val="fr-FR"/>
        </w:rPr>
      </w:pPr>
      <w:r>
        <w:rPr>
          <w:lang w:val="fr-FR"/>
        </w:rPr>
        <w:t>537.</w:t>
      </w:r>
      <w:r>
        <w:rPr>
          <w:lang w:val="fr-FR"/>
        </w:rPr>
        <w:tab/>
      </w:r>
      <w:r w:rsidR="00275F5A">
        <w:rPr>
          <w:lang w:val="fr-FR"/>
        </w:rPr>
        <w:t xml:space="preserve">Les détenus aborigènes ont également accès au Programme de visiteurs aborigènes, créé en </w:t>
      </w:r>
      <w:r w:rsidR="008E1139">
        <w:rPr>
          <w:lang w:val="fr-FR"/>
        </w:rPr>
        <w:t>Australie méridionale</w:t>
      </w:r>
      <w:r w:rsidR="00275F5A">
        <w:rPr>
          <w:lang w:val="fr-FR"/>
        </w:rPr>
        <w:t xml:space="preserve"> en 1991 dans le cadre de l’action de la Commission royale</w:t>
      </w:r>
      <w:r w:rsidR="00726012">
        <w:rPr>
          <w:lang w:val="fr-FR"/>
        </w:rPr>
        <w:t xml:space="preserve"> </w:t>
      </w:r>
      <w:r w:rsidR="003F2925">
        <w:rPr>
          <w:lang w:val="fr-FR"/>
        </w:rPr>
        <w:t>sur les décès d’aborigènes pendant leur détention</w:t>
      </w:r>
      <w:r w:rsidR="008D6B80">
        <w:rPr>
          <w:lang w:val="fr-FR"/>
        </w:rPr>
        <w:t xml:space="preserve">. </w:t>
      </w:r>
      <w:r w:rsidR="003F2925">
        <w:rPr>
          <w:lang w:val="fr-FR"/>
        </w:rPr>
        <w:t>Le Département du Premier Ministre et du Cabinet</w:t>
      </w:r>
      <w:r w:rsidR="00275F5A">
        <w:rPr>
          <w:lang w:val="fr-FR"/>
        </w:rPr>
        <w:t xml:space="preserve"> </w:t>
      </w:r>
      <w:r w:rsidR="003F2925">
        <w:rPr>
          <w:lang w:val="fr-FR"/>
        </w:rPr>
        <w:t>administre le financement public du Programme national de visiteurs aborigènes</w:t>
      </w:r>
      <w:r w:rsidR="009A3F4B">
        <w:rPr>
          <w:lang w:val="fr-FR"/>
        </w:rPr>
        <w:t>, qui vise à assurer la protection</w:t>
      </w:r>
      <w:r w:rsidR="003F2925">
        <w:rPr>
          <w:lang w:val="fr-FR"/>
        </w:rPr>
        <w:t>, le réconfort, la sécurité et le bien-être</w:t>
      </w:r>
      <w:r w:rsidR="009A3F4B">
        <w:rPr>
          <w:lang w:val="fr-FR"/>
        </w:rPr>
        <w:t xml:space="preserve"> des aborigènes détenus dans des cellules de garde à vue</w:t>
      </w:r>
      <w:r w:rsidR="008D6B80">
        <w:rPr>
          <w:lang w:val="fr-FR"/>
        </w:rPr>
        <w:t xml:space="preserve">. </w:t>
      </w:r>
      <w:r w:rsidR="009A3F4B">
        <w:rPr>
          <w:lang w:val="fr-FR"/>
        </w:rPr>
        <w:t>Dans le cadre de ce programme, les besoins des détenus sont portés à l’attention de la police qui prendra alors des mesures appropriées, y compris concernant l’intervention d’un spécialiste si nécessaire.</w:t>
      </w:r>
    </w:p>
    <w:p w:rsidR="00C94D38" w:rsidRPr="00C94D38" w:rsidRDefault="009A3F4B" w:rsidP="00E0029F">
      <w:pPr>
        <w:numPr>
          <w:ilvl w:val="0"/>
          <w:numId w:val="2"/>
        </w:numPr>
        <w:tabs>
          <w:tab w:val="clear" w:pos="1065"/>
          <w:tab w:val="left" w:pos="567"/>
          <w:tab w:val="left" w:pos="708"/>
          <w:tab w:val="left" w:pos="1134"/>
          <w:tab w:val="left" w:pos="1416"/>
          <w:tab w:val="left" w:pos="1701"/>
          <w:tab w:val="left" w:pos="2124"/>
          <w:tab w:val="left" w:pos="2268"/>
          <w:tab w:val="left" w:pos="2835"/>
          <w:tab w:val="left" w:pos="3540"/>
          <w:tab w:val="center" w:pos="4535"/>
        </w:tabs>
        <w:ind w:left="0" w:firstLine="0"/>
        <w:rPr>
          <w:lang w:val="fr-FR"/>
        </w:rPr>
      </w:pPr>
      <w:r>
        <w:rPr>
          <w:lang w:val="fr-FR"/>
        </w:rPr>
        <w:t>En outre, le</w:t>
      </w:r>
      <w:r w:rsidR="001C10BB">
        <w:rPr>
          <w:lang w:val="fr-FR"/>
        </w:rPr>
        <w:t>s services d’aide et de réadaptation</w:t>
      </w:r>
      <w:r>
        <w:rPr>
          <w:lang w:val="fr-FR"/>
        </w:rPr>
        <w:t xml:space="preserve"> sont souvent consultés sur les affaires </w:t>
      </w:r>
      <w:r w:rsidR="008632AC">
        <w:rPr>
          <w:lang w:val="fr-FR"/>
        </w:rPr>
        <w:t>aborigènes par d</w:t>
      </w:r>
      <w:r>
        <w:rPr>
          <w:lang w:val="fr-FR"/>
        </w:rPr>
        <w:t>es organismes</w:t>
      </w:r>
      <w:r w:rsidR="00326D76">
        <w:rPr>
          <w:lang w:val="fr-FR"/>
        </w:rPr>
        <w:t xml:space="preserve"> </w:t>
      </w:r>
      <w:r w:rsidR="008632AC">
        <w:rPr>
          <w:lang w:val="fr-FR"/>
        </w:rPr>
        <w:t>interministériels qui, de par leur rôle, sont responsables de divers textes législatifs relatifs à la détention des aborigènes et chargés d’enquêter sur les décès d’aborigènes pendant leur détention.</w:t>
      </w:r>
    </w:p>
    <w:p w:rsidR="00780E8A" w:rsidRDefault="00780E8A" w:rsidP="005D7B68">
      <w:pPr>
        <w:tabs>
          <w:tab w:val="left" w:pos="567"/>
          <w:tab w:val="left" w:pos="1134"/>
          <w:tab w:val="left" w:pos="1701"/>
          <w:tab w:val="left" w:pos="2268"/>
          <w:tab w:val="left" w:pos="2835"/>
        </w:tabs>
        <w:rPr>
          <w:b/>
          <w:bCs/>
          <w:lang w:val="fr-FR"/>
        </w:rPr>
      </w:pPr>
      <w:r>
        <w:rPr>
          <w:b/>
          <w:bCs/>
          <w:lang w:val="fr-FR"/>
        </w:rPr>
        <w:t>Prestation des services de santé</w:t>
      </w:r>
    </w:p>
    <w:p w:rsidR="00780E8A" w:rsidRDefault="00780E8A" w:rsidP="00E0029F">
      <w:pPr>
        <w:numPr>
          <w:ilvl w:val="0"/>
          <w:numId w:val="2"/>
        </w:numPr>
        <w:tabs>
          <w:tab w:val="clear" w:pos="1065"/>
          <w:tab w:val="left" w:pos="567"/>
          <w:tab w:val="left" w:pos="1134"/>
          <w:tab w:val="left" w:pos="1701"/>
          <w:tab w:val="left" w:pos="2268"/>
          <w:tab w:val="left" w:pos="2835"/>
        </w:tabs>
        <w:ind w:left="0" w:firstLine="0"/>
        <w:rPr>
          <w:lang w:val="fr-FR"/>
        </w:rPr>
      </w:pPr>
      <w:r>
        <w:rPr>
          <w:lang w:val="fr-FR"/>
        </w:rPr>
        <w:t>Le Département des services pénitentiaires et le Ministère de la santé ont mis en œuvre les</w:t>
      </w:r>
      <w:r>
        <w:rPr>
          <w:color w:val="FF0000"/>
          <w:lang w:val="fr-FR"/>
        </w:rPr>
        <w:t xml:space="preserve"> </w:t>
      </w:r>
      <w:r w:rsidRPr="001C10BB">
        <w:rPr>
          <w:lang w:val="fr-FR"/>
        </w:rPr>
        <w:t>Joint Systems Protocols (protocoles relatifs aux systèmes mixtes)</w:t>
      </w:r>
      <w:r>
        <w:rPr>
          <w:lang w:val="fr-FR"/>
        </w:rPr>
        <w:t xml:space="preserve"> en avril 2007, qui visent à améliorer la santé et le bien-être des détenus.</w:t>
      </w:r>
    </w:p>
    <w:p w:rsidR="000E5653" w:rsidRDefault="004F479B" w:rsidP="005D7B68">
      <w:pPr>
        <w:tabs>
          <w:tab w:val="left" w:pos="567"/>
          <w:tab w:val="left" w:pos="1134"/>
          <w:tab w:val="left" w:pos="1701"/>
          <w:tab w:val="left" w:pos="2268"/>
          <w:tab w:val="left" w:pos="2835"/>
        </w:tabs>
        <w:rPr>
          <w:lang w:val="fr-FR"/>
        </w:rPr>
      </w:pPr>
      <w:r>
        <w:rPr>
          <w:lang w:val="fr-FR"/>
        </w:rPr>
        <w:t>540</w:t>
      </w:r>
      <w:r w:rsidR="00780E8A">
        <w:rPr>
          <w:lang w:val="fr-FR"/>
        </w:rPr>
        <w:t>.</w:t>
      </w:r>
      <w:r w:rsidR="00780E8A">
        <w:rPr>
          <w:lang w:val="fr-FR"/>
        </w:rPr>
        <w:tab/>
        <w:t xml:space="preserve">Tous les soins de santé primaires </w:t>
      </w:r>
      <w:r w:rsidR="000E5653">
        <w:rPr>
          <w:lang w:val="fr-FR"/>
        </w:rPr>
        <w:t xml:space="preserve">dans les prisons </w:t>
      </w:r>
      <w:r w:rsidR="00780E8A">
        <w:rPr>
          <w:lang w:val="fr-FR"/>
        </w:rPr>
        <w:t>sont assortis</w:t>
      </w:r>
      <w:r w:rsidR="000E5653">
        <w:rPr>
          <w:lang w:val="fr-FR"/>
        </w:rPr>
        <w:t xml:space="preserve"> de ce qui suit</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a)</w:t>
      </w:r>
      <w:r>
        <w:rPr>
          <w:lang w:val="fr-FR"/>
        </w:rPr>
        <w:tab/>
        <w:t>L</w:t>
      </w:r>
      <w:r w:rsidR="000E5653">
        <w:rPr>
          <w:lang w:val="fr-FR"/>
        </w:rPr>
        <w:t>e consentement du patient en toute connaissance de cause</w:t>
      </w:r>
      <w:r w:rsidR="00572260">
        <w:rPr>
          <w:lang w:val="fr-FR"/>
        </w:rPr>
        <w:t>;</w:t>
      </w:r>
    </w:p>
    <w:p w:rsidR="000E5653" w:rsidRDefault="000E5653" w:rsidP="005D7B68">
      <w:pPr>
        <w:tabs>
          <w:tab w:val="left" w:pos="567"/>
          <w:tab w:val="left" w:pos="1134"/>
          <w:tab w:val="left" w:pos="1701"/>
          <w:tab w:val="left" w:pos="2268"/>
          <w:tab w:val="left" w:pos="2835"/>
        </w:tabs>
        <w:rPr>
          <w:lang w:val="fr-FR"/>
        </w:rPr>
      </w:pPr>
      <w:r>
        <w:rPr>
          <w:lang w:val="fr-FR"/>
        </w:rPr>
        <w:tab/>
      </w:r>
      <w:r w:rsidR="001C10BB">
        <w:rPr>
          <w:lang w:val="fr-FR"/>
        </w:rPr>
        <w:t>b)</w:t>
      </w:r>
      <w:r w:rsidR="001C10BB">
        <w:rPr>
          <w:lang w:val="fr-FR"/>
        </w:rPr>
        <w:tab/>
        <w:t>L</w:t>
      </w:r>
      <w:r>
        <w:rPr>
          <w:lang w:val="fr-FR"/>
        </w:rPr>
        <w:t>es services d’un interprète, le cas échéant</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c)</w:t>
      </w:r>
      <w:r>
        <w:rPr>
          <w:lang w:val="fr-FR"/>
        </w:rPr>
        <w:tab/>
        <w:t>L</w:t>
      </w:r>
      <w:r w:rsidR="000E5653">
        <w:rPr>
          <w:lang w:val="fr-FR"/>
        </w:rPr>
        <w:t>’autonomie clinique du personnel médical et du personnel connexe</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d)</w:t>
      </w:r>
      <w:r>
        <w:rPr>
          <w:lang w:val="fr-FR"/>
        </w:rPr>
        <w:tab/>
        <w:t>L</w:t>
      </w:r>
      <w:r w:rsidR="000E5653">
        <w:rPr>
          <w:lang w:val="fr-FR"/>
        </w:rPr>
        <w:t>a continuité des soins après la mise en liberté</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e)</w:t>
      </w:r>
      <w:r>
        <w:rPr>
          <w:lang w:val="fr-FR"/>
        </w:rPr>
        <w:tab/>
        <w:t>D</w:t>
      </w:r>
      <w:r w:rsidR="000E5653">
        <w:rPr>
          <w:lang w:val="fr-FR"/>
        </w:rPr>
        <w:t>es relatio</w:t>
      </w:r>
      <w:r>
        <w:rPr>
          <w:lang w:val="fr-FR"/>
        </w:rPr>
        <w:t>ns thérapeutiques distinctes de celles</w:t>
      </w:r>
      <w:r w:rsidR="000E5653">
        <w:rPr>
          <w:lang w:val="fr-FR"/>
        </w:rPr>
        <w:t xml:space="preserve"> </w:t>
      </w:r>
      <w:r>
        <w:rPr>
          <w:lang w:val="fr-FR"/>
        </w:rPr>
        <w:t xml:space="preserve">imposées par les </w:t>
      </w:r>
      <w:r w:rsidR="000E5653">
        <w:rPr>
          <w:lang w:val="fr-FR"/>
        </w:rPr>
        <w:t>fonctions de sécurité</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f)</w:t>
      </w:r>
      <w:r>
        <w:rPr>
          <w:lang w:val="fr-FR"/>
        </w:rPr>
        <w:tab/>
        <w:t>L</w:t>
      </w:r>
      <w:r w:rsidR="000E5653">
        <w:rPr>
          <w:lang w:val="fr-FR"/>
        </w:rPr>
        <w:t>a participation d’autres services communautaires</w:t>
      </w:r>
      <w:r w:rsidR="00572260">
        <w:rPr>
          <w:lang w:val="fr-FR"/>
        </w:rPr>
        <w:t>;</w:t>
      </w:r>
      <w:r w:rsidR="00780E8A">
        <w:rPr>
          <w:lang w:val="fr-FR"/>
        </w:rPr>
        <w:t xml:space="preserve"> </w:t>
      </w:r>
    </w:p>
    <w:p w:rsidR="000E5653" w:rsidRDefault="001C10BB" w:rsidP="005D7B68">
      <w:pPr>
        <w:tabs>
          <w:tab w:val="left" w:pos="567"/>
          <w:tab w:val="left" w:pos="1134"/>
          <w:tab w:val="left" w:pos="1701"/>
          <w:tab w:val="left" w:pos="2268"/>
          <w:tab w:val="left" w:pos="2835"/>
        </w:tabs>
        <w:rPr>
          <w:lang w:val="fr-FR"/>
        </w:rPr>
      </w:pPr>
      <w:r>
        <w:rPr>
          <w:lang w:val="fr-FR"/>
        </w:rPr>
        <w:tab/>
        <w:t>g)</w:t>
      </w:r>
      <w:r>
        <w:rPr>
          <w:lang w:val="fr-FR"/>
        </w:rPr>
        <w:tab/>
        <w:t>U</w:t>
      </w:r>
      <w:r w:rsidR="000E5653">
        <w:rPr>
          <w:lang w:val="fr-FR"/>
        </w:rPr>
        <w:t>ne prise en charge respectueuse et culturellement appropriée</w:t>
      </w:r>
      <w:r w:rsidR="00572260">
        <w:rPr>
          <w:lang w:val="fr-FR"/>
        </w:rPr>
        <w:t>;</w:t>
      </w:r>
    </w:p>
    <w:p w:rsidR="000E5653" w:rsidRDefault="001C10BB" w:rsidP="005D7B68">
      <w:pPr>
        <w:tabs>
          <w:tab w:val="left" w:pos="567"/>
          <w:tab w:val="left" w:pos="1134"/>
          <w:tab w:val="left" w:pos="1701"/>
          <w:tab w:val="left" w:pos="2268"/>
          <w:tab w:val="left" w:pos="2835"/>
        </w:tabs>
        <w:rPr>
          <w:lang w:val="fr-FR"/>
        </w:rPr>
      </w:pPr>
      <w:r>
        <w:rPr>
          <w:lang w:val="fr-FR"/>
        </w:rPr>
        <w:tab/>
        <w:t>h)</w:t>
      </w:r>
      <w:r>
        <w:rPr>
          <w:lang w:val="fr-FR"/>
        </w:rPr>
        <w:tab/>
        <w:t>L</w:t>
      </w:r>
      <w:r w:rsidR="000E5653">
        <w:rPr>
          <w:lang w:val="fr-FR"/>
        </w:rPr>
        <w:t>a confidentialité des informations relatives à la santé</w:t>
      </w:r>
      <w:r w:rsidR="00572260">
        <w:rPr>
          <w:lang w:val="fr-FR"/>
        </w:rPr>
        <w:t>;</w:t>
      </w:r>
    </w:p>
    <w:p w:rsidR="009A022B" w:rsidRPr="004A65FA" w:rsidRDefault="000E5653" w:rsidP="005D7B68">
      <w:pPr>
        <w:tabs>
          <w:tab w:val="left" w:pos="567"/>
          <w:tab w:val="left" w:pos="1134"/>
          <w:tab w:val="left" w:pos="1701"/>
          <w:tab w:val="left" w:pos="2268"/>
          <w:tab w:val="left" w:pos="2835"/>
        </w:tabs>
        <w:rPr>
          <w:color w:val="FF0000"/>
          <w:lang w:val="fr-FR"/>
        </w:rPr>
      </w:pPr>
      <w:r>
        <w:rPr>
          <w:lang w:val="fr-FR"/>
        </w:rPr>
        <w:tab/>
      </w:r>
      <w:r w:rsidRPr="004A65FA">
        <w:rPr>
          <w:lang w:val="fr-FR"/>
        </w:rPr>
        <w:t>i)</w:t>
      </w:r>
      <w:r w:rsidRPr="004A65FA">
        <w:rPr>
          <w:lang w:val="fr-FR"/>
        </w:rPr>
        <w:tab/>
      </w:r>
      <w:r w:rsidR="001C10BB">
        <w:rPr>
          <w:lang w:val="fr-FR"/>
        </w:rPr>
        <w:t>L</w:t>
      </w:r>
      <w:r w:rsidR="004A65FA" w:rsidRPr="004A65FA">
        <w:rPr>
          <w:lang w:val="fr-FR"/>
        </w:rPr>
        <w:t>es informations relatives à la santé sont portées à un niveau conforme aux normes de la collectivité</w:t>
      </w:r>
      <w:r w:rsidR="004A65FA">
        <w:rPr>
          <w:lang w:val="fr-FR"/>
        </w:rPr>
        <w:t>.</w:t>
      </w:r>
    </w:p>
    <w:p w:rsidR="007B7ED5" w:rsidRDefault="004F479B" w:rsidP="005D7B68">
      <w:pPr>
        <w:tabs>
          <w:tab w:val="left" w:pos="567"/>
          <w:tab w:val="left" w:pos="1134"/>
          <w:tab w:val="left" w:pos="1701"/>
          <w:tab w:val="left" w:pos="2268"/>
          <w:tab w:val="left" w:pos="2835"/>
        </w:tabs>
        <w:rPr>
          <w:lang w:val="fr-FR"/>
        </w:rPr>
      </w:pPr>
      <w:r>
        <w:rPr>
          <w:lang w:val="fr-FR"/>
        </w:rPr>
        <w:t>541</w:t>
      </w:r>
      <w:r w:rsidR="009A022B" w:rsidRPr="009A022B">
        <w:rPr>
          <w:lang w:val="fr-FR"/>
        </w:rPr>
        <w:t>.</w:t>
      </w:r>
      <w:r w:rsidR="009A022B" w:rsidRPr="009A022B">
        <w:rPr>
          <w:lang w:val="fr-FR"/>
        </w:rPr>
        <w:tab/>
        <w:t>Toutes les personnes admises dans les prisons d’</w:t>
      </w:r>
      <w:r w:rsidR="008E1139">
        <w:rPr>
          <w:lang w:val="fr-FR"/>
        </w:rPr>
        <w:t>Australie méridionale</w:t>
      </w:r>
      <w:r w:rsidR="004925CF" w:rsidRPr="009A022B">
        <w:rPr>
          <w:lang w:val="fr-FR"/>
        </w:rPr>
        <w:t xml:space="preserve"> </w:t>
      </w:r>
      <w:r w:rsidR="009A022B">
        <w:rPr>
          <w:lang w:val="fr-FR"/>
        </w:rPr>
        <w:t>ont accès aux soins de santé et sont informées de la mise à disposition d</w:t>
      </w:r>
      <w:r w:rsidR="00E9561E">
        <w:rPr>
          <w:lang w:val="fr-FR"/>
        </w:rPr>
        <w:t xml:space="preserve">e services de soins de santé ainsi que </w:t>
      </w:r>
      <w:r w:rsidR="009A022B">
        <w:rPr>
          <w:lang w:val="fr-FR"/>
        </w:rPr>
        <w:t>de la manière de procéder pour y avoir recours</w:t>
      </w:r>
      <w:r w:rsidR="008D6B80">
        <w:rPr>
          <w:lang w:val="fr-FR"/>
        </w:rPr>
        <w:t xml:space="preserve">. </w:t>
      </w:r>
      <w:r w:rsidR="009A022B">
        <w:rPr>
          <w:lang w:val="fr-FR"/>
        </w:rPr>
        <w:t>Les déten</w:t>
      </w:r>
      <w:r w:rsidR="00772603">
        <w:rPr>
          <w:lang w:val="fr-FR"/>
        </w:rPr>
        <w:t>us non anglophones sont avisés</w:t>
      </w:r>
      <w:r w:rsidR="009A022B">
        <w:rPr>
          <w:lang w:val="fr-FR"/>
        </w:rPr>
        <w:t xml:space="preserve"> de la disponibilité de services d’interprétariat</w:t>
      </w:r>
      <w:r w:rsidR="008D6B80">
        <w:rPr>
          <w:lang w:val="fr-FR"/>
        </w:rPr>
        <w:t xml:space="preserve">. </w:t>
      </w:r>
      <w:r w:rsidR="003B495E">
        <w:rPr>
          <w:lang w:val="fr-FR"/>
        </w:rPr>
        <w:t>Les informations relatives à la santé sont communiquées aux détenus analphabètes de manière à ce qu’ils puissent les comprendre.</w:t>
      </w:r>
    </w:p>
    <w:p w:rsidR="00756D42" w:rsidRDefault="004F479B" w:rsidP="005D7B68">
      <w:pPr>
        <w:tabs>
          <w:tab w:val="left" w:pos="567"/>
          <w:tab w:val="left" w:pos="1134"/>
          <w:tab w:val="left" w:pos="1701"/>
          <w:tab w:val="left" w:pos="2268"/>
          <w:tab w:val="left" w:pos="2835"/>
        </w:tabs>
        <w:rPr>
          <w:lang w:val="fr-FR"/>
        </w:rPr>
      </w:pPr>
      <w:r>
        <w:rPr>
          <w:lang w:val="fr-FR"/>
        </w:rPr>
        <w:t>542</w:t>
      </w:r>
      <w:r w:rsidR="00756D42">
        <w:rPr>
          <w:lang w:val="fr-FR"/>
        </w:rPr>
        <w:t>.</w:t>
      </w:r>
      <w:r w:rsidR="00756D42">
        <w:rPr>
          <w:lang w:val="fr-FR"/>
        </w:rPr>
        <w:tab/>
        <w:t>Dans les heures qui suivent leur admission, tous les détenus font l’objet d’un examen sanitaire de dépistage effectué par un infirmier diplômé d’État qui a l’habitude de détecter</w:t>
      </w:r>
      <w:r w:rsidR="00572260">
        <w:rPr>
          <w:lang w:val="fr-FR"/>
        </w:rPr>
        <w:t>:</w:t>
      </w:r>
      <w:r w:rsidR="00756D42">
        <w:rPr>
          <w:lang w:val="fr-FR"/>
        </w:rPr>
        <w:t xml:space="preserve"> les problèmes de santé physique et mentale urgents et chroniques, les problèmes de toxicomanie et d’alcoolisme, les signes de traumatismes et de violences, et les maladies infectieuses</w:t>
      </w:r>
      <w:r w:rsidR="008D6B80">
        <w:rPr>
          <w:lang w:val="fr-FR"/>
        </w:rPr>
        <w:t xml:space="preserve">. </w:t>
      </w:r>
      <w:r w:rsidR="00756D42">
        <w:rPr>
          <w:lang w:val="fr-FR"/>
        </w:rPr>
        <w:t xml:space="preserve">Dans les </w:t>
      </w:r>
      <w:r w:rsidR="006A4D5D">
        <w:rPr>
          <w:lang w:val="fr-FR"/>
        </w:rPr>
        <w:t>vingt</w:t>
      </w:r>
      <w:r w:rsidR="006A4D5D">
        <w:rPr>
          <w:lang w:val="fr-FR"/>
        </w:rPr>
        <w:noBreakHyphen/>
        <w:t xml:space="preserve">quatre </w:t>
      </w:r>
      <w:r w:rsidR="00756D42">
        <w:rPr>
          <w:lang w:val="fr-FR"/>
        </w:rPr>
        <w:t xml:space="preserve">à </w:t>
      </w:r>
      <w:r w:rsidR="006A4D5D">
        <w:rPr>
          <w:lang w:val="fr-FR"/>
        </w:rPr>
        <w:t>trente</w:t>
      </w:r>
      <w:r w:rsidR="006A4D5D">
        <w:rPr>
          <w:lang w:val="fr-FR"/>
        </w:rPr>
        <w:noBreakHyphen/>
        <w:t>huit </w:t>
      </w:r>
      <w:r w:rsidR="00756D42">
        <w:rPr>
          <w:lang w:val="fr-FR"/>
        </w:rPr>
        <w:t>heures, les détenus sont examinés par un médecin</w:t>
      </w:r>
      <w:r w:rsidR="008D6B80">
        <w:rPr>
          <w:lang w:val="fr-FR"/>
        </w:rPr>
        <w:t xml:space="preserve">. </w:t>
      </w:r>
      <w:r w:rsidR="001236CB">
        <w:rPr>
          <w:lang w:val="fr-FR"/>
        </w:rPr>
        <w:t>Si des examens médicaux d’urgence sont nécessaires, ils sont effectués</w:t>
      </w:r>
      <w:r w:rsidR="008D6B80">
        <w:rPr>
          <w:lang w:val="fr-FR"/>
        </w:rPr>
        <w:t xml:space="preserve">. </w:t>
      </w:r>
      <w:r w:rsidR="001236CB">
        <w:rPr>
          <w:lang w:val="fr-FR"/>
        </w:rPr>
        <w:t>Le Département des services pénitentiaires emploie des agents de liaison, des travailleurs sociaux et des psychologues aborigènes dans toutes les prisons pour prêter leur concours à ces opérations.</w:t>
      </w:r>
    </w:p>
    <w:p w:rsidR="001236CB" w:rsidRPr="009A022B" w:rsidRDefault="004F479B" w:rsidP="005D7B68">
      <w:pPr>
        <w:tabs>
          <w:tab w:val="left" w:pos="567"/>
          <w:tab w:val="left" w:pos="1134"/>
          <w:tab w:val="left" w:pos="1701"/>
          <w:tab w:val="left" w:pos="2268"/>
          <w:tab w:val="left" w:pos="2835"/>
        </w:tabs>
        <w:rPr>
          <w:lang w:val="fr-FR"/>
        </w:rPr>
      </w:pPr>
      <w:r>
        <w:rPr>
          <w:lang w:val="fr-FR"/>
        </w:rPr>
        <w:t>543</w:t>
      </w:r>
      <w:r w:rsidR="004B404C">
        <w:rPr>
          <w:lang w:val="fr-FR"/>
        </w:rPr>
        <w:t>.</w:t>
      </w:r>
      <w:r w:rsidR="004B404C">
        <w:rPr>
          <w:lang w:val="fr-FR"/>
        </w:rPr>
        <w:tab/>
        <w:t>Les détenus ont le droit de donner leur consentement à tous ces traitements médicaux en toute connaissance de cause</w:t>
      </w:r>
      <w:r w:rsidR="008D6B80">
        <w:rPr>
          <w:lang w:val="fr-FR"/>
        </w:rPr>
        <w:t xml:space="preserve">. </w:t>
      </w:r>
      <w:r w:rsidR="004B404C">
        <w:rPr>
          <w:lang w:val="fr-FR"/>
        </w:rPr>
        <w:t>La promotion de la santé et les soins préventifs qui font partie des services de soins de santé primaires témoignent d’un niveau à peu près équivalent à celui que l’on constate dans l’ensemble de la collectivité</w:t>
      </w:r>
      <w:r w:rsidR="008D6B80">
        <w:rPr>
          <w:lang w:val="fr-FR"/>
        </w:rPr>
        <w:t xml:space="preserve">. </w:t>
      </w:r>
    </w:p>
    <w:p w:rsidR="00A57FA7" w:rsidRDefault="004F479B" w:rsidP="005D7B68">
      <w:pPr>
        <w:tabs>
          <w:tab w:val="left" w:pos="567"/>
          <w:tab w:val="left" w:pos="1134"/>
          <w:tab w:val="left" w:pos="1701"/>
          <w:tab w:val="left" w:pos="2268"/>
          <w:tab w:val="left" w:pos="2835"/>
        </w:tabs>
        <w:rPr>
          <w:lang w:val="fr-FR"/>
        </w:rPr>
      </w:pPr>
      <w:r>
        <w:rPr>
          <w:lang w:val="fr-FR"/>
        </w:rPr>
        <w:t>544</w:t>
      </w:r>
      <w:r w:rsidR="00484EFB">
        <w:rPr>
          <w:lang w:val="fr-FR"/>
        </w:rPr>
        <w:t>.</w:t>
      </w:r>
      <w:r w:rsidR="00484EFB">
        <w:rPr>
          <w:lang w:val="fr-FR"/>
        </w:rPr>
        <w:tab/>
        <w:t>Les prestataires de soins de santé employés dans les prisons sont autonomes dans l’exercice de leurs fonctions et</w:t>
      </w:r>
      <w:r w:rsidR="00B935C4">
        <w:rPr>
          <w:lang w:val="fr-FR"/>
        </w:rPr>
        <w:t xml:space="preserve"> les questions de sécurité n’influent</w:t>
      </w:r>
      <w:r w:rsidR="00484EFB">
        <w:rPr>
          <w:lang w:val="fr-FR"/>
        </w:rPr>
        <w:t xml:space="preserve"> pa</w:t>
      </w:r>
      <w:r w:rsidR="00B935C4">
        <w:rPr>
          <w:lang w:val="fr-FR"/>
        </w:rPr>
        <w:t xml:space="preserve">s </w:t>
      </w:r>
      <w:r w:rsidR="00484EFB">
        <w:rPr>
          <w:lang w:val="fr-FR"/>
        </w:rPr>
        <w:t>outre mesure</w:t>
      </w:r>
      <w:r w:rsidR="00B935C4">
        <w:rPr>
          <w:lang w:val="fr-FR"/>
        </w:rPr>
        <w:t xml:space="preserve"> sur leur comportement</w:t>
      </w:r>
      <w:r w:rsidR="008D6B80">
        <w:rPr>
          <w:lang w:val="fr-FR"/>
        </w:rPr>
        <w:t xml:space="preserve">. </w:t>
      </w:r>
      <w:r w:rsidR="00B935C4">
        <w:rPr>
          <w:lang w:val="fr-FR"/>
        </w:rPr>
        <w:t>Des relations s’</w:t>
      </w:r>
      <w:r w:rsidR="004A65FA">
        <w:rPr>
          <w:lang w:val="fr-FR"/>
        </w:rPr>
        <w:t>instaurent</w:t>
      </w:r>
      <w:r w:rsidR="00B935C4">
        <w:rPr>
          <w:lang w:val="fr-FR"/>
        </w:rPr>
        <w:t xml:space="preserve"> entre les détenus et les thérapeutes</w:t>
      </w:r>
      <w:r w:rsidR="00C90F04">
        <w:rPr>
          <w:lang w:val="fr-FR"/>
        </w:rPr>
        <w:t>,</w:t>
      </w:r>
      <w:r w:rsidR="00B935C4">
        <w:rPr>
          <w:lang w:val="fr-FR"/>
        </w:rPr>
        <w:t xml:space="preserve"> qui marquent clairement la séparation entre la prise en charge pénitentiaire et les soins de santé</w:t>
      </w:r>
      <w:r w:rsidR="008D6B80">
        <w:rPr>
          <w:lang w:val="fr-FR"/>
        </w:rPr>
        <w:t xml:space="preserve">. </w:t>
      </w:r>
      <w:r w:rsidR="00B935C4">
        <w:rPr>
          <w:lang w:val="fr-FR"/>
        </w:rPr>
        <w:t xml:space="preserve">Si l’intéressé donne son consentement en toute connaissance de cause, un plan de soins continus peut être mis en œuvre </w:t>
      </w:r>
      <w:r w:rsidR="00A57FA7">
        <w:rPr>
          <w:lang w:val="fr-FR"/>
        </w:rPr>
        <w:t>à la suite de sa libération</w:t>
      </w:r>
      <w:r w:rsidR="008D6B80">
        <w:rPr>
          <w:lang w:val="fr-FR"/>
        </w:rPr>
        <w:t xml:space="preserve">. </w:t>
      </w:r>
      <w:r w:rsidR="00A57FA7">
        <w:rPr>
          <w:lang w:val="fr-FR"/>
        </w:rPr>
        <w:t>Les services sanitaires en milieu carcéral collaborent avec les services communautaires et un système d’aiguillage fonctionne.</w:t>
      </w:r>
    </w:p>
    <w:p w:rsidR="00E5632B" w:rsidRPr="009A022B" w:rsidRDefault="00A57FA7" w:rsidP="005D7B68">
      <w:pPr>
        <w:tabs>
          <w:tab w:val="left" w:pos="567"/>
          <w:tab w:val="left" w:pos="1134"/>
          <w:tab w:val="left" w:pos="1701"/>
          <w:tab w:val="left" w:pos="2268"/>
          <w:tab w:val="left" w:pos="2835"/>
        </w:tabs>
        <w:rPr>
          <w:lang w:val="fr-FR"/>
        </w:rPr>
      </w:pPr>
      <w:r>
        <w:rPr>
          <w:lang w:val="fr-FR"/>
        </w:rPr>
        <w:t>54</w:t>
      </w:r>
      <w:r w:rsidR="004F479B">
        <w:rPr>
          <w:lang w:val="fr-FR"/>
        </w:rPr>
        <w:t>5</w:t>
      </w:r>
      <w:r>
        <w:rPr>
          <w:lang w:val="fr-FR"/>
        </w:rPr>
        <w:t>.</w:t>
      </w:r>
      <w:r>
        <w:rPr>
          <w:lang w:val="fr-FR"/>
        </w:rPr>
        <w:tab/>
        <w:t>Les droits et les besoins des patients (détenus) sont respectés et les soins sont dispensés d’une manière respectueuse et culturellement appropriée</w:t>
      </w:r>
      <w:r w:rsidR="008D6B80">
        <w:rPr>
          <w:lang w:val="fr-FR"/>
        </w:rPr>
        <w:t xml:space="preserve">. </w:t>
      </w:r>
      <w:r>
        <w:rPr>
          <w:lang w:val="fr-FR"/>
        </w:rPr>
        <w:t>Des enquêtes de satisfaction périodiques permettent d’obtenir des informations en retour de la part des patients</w:t>
      </w:r>
      <w:r w:rsidR="008D6B80">
        <w:rPr>
          <w:lang w:val="fr-FR"/>
        </w:rPr>
        <w:t xml:space="preserve">. </w:t>
      </w:r>
      <w:r>
        <w:rPr>
          <w:lang w:val="fr-FR"/>
        </w:rPr>
        <w:t>Quand des plaintes sont reçues, elles sont</w:t>
      </w:r>
      <w:r w:rsidR="00ED2509">
        <w:rPr>
          <w:lang w:val="fr-FR"/>
        </w:rPr>
        <w:t xml:space="preserve"> enregistrées et donnent lieu à enquête</w:t>
      </w:r>
      <w:r w:rsidR="008D6B80">
        <w:rPr>
          <w:lang w:val="fr-FR"/>
        </w:rPr>
        <w:t xml:space="preserve">. </w:t>
      </w:r>
      <w:r w:rsidR="00ED2509">
        <w:rPr>
          <w:lang w:val="fr-FR"/>
        </w:rPr>
        <w:t xml:space="preserve">Les intéressés sont informés de leur droit de s’adresser à d’autres institutions comme le </w:t>
      </w:r>
      <w:r w:rsidR="00ED2509" w:rsidRPr="00ED2509">
        <w:rPr>
          <w:i/>
          <w:iCs/>
          <w:lang w:val="fr-FR"/>
        </w:rPr>
        <w:t>Health and Community Complaints Service</w:t>
      </w:r>
      <w:r w:rsidR="00ED2509">
        <w:rPr>
          <w:lang w:val="fr-FR"/>
        </w:rPr>
        <w:t xml:space="preserve"> (Service des doléances en matière de santé et de communauté) et le Médiateur.</w:t>
      </w:r>
    </w:p>
    <w:p w:rsidR="003B7A56" w:rsidRDefault="00ED2509" w:rsidP="005D7B68">
      <w:pPr>
        <w:tabs>
          <w:tab w:val="left" w:pos="567"/>
          <w:tab w:val="left" w:pos="1134"/>
          <w:tab w:val="left" w:pos="1701"/>
          <w:tab w:val="left" w:pos="2268"/>
          <w:tab w:val="left" w:pos="2835"/>
        </w:tabs>
        <w:rPr>
          <w:lang w:val="fr-FR"/>
        </w:rPr>
      </w:pPr>
      <w:r>
        <w:rPr>
          <w:lang w:val="fr-FR"/>
        </w:rPr>
        <w:t>54</w:t>
      </w:r>
      <w:r w:rsidR="004F479B">
        <w:rPr>
          <w:lang w:val="fr-FR"/>
        </w:rPr>
        <w:t>6</w:t>
      </w:r>
      <w:r>
        <w:rPr>
          <w:lang w:val="fr-FR"/>
        </w:rPr>
        <w:t>.</w:t>
      </w:r>
      <w:r>
        <w:rPr>
          <w:lang w:val="fr-FR"/>
        </w:rPr>
        <w:tab/>
        <w:t>Les services</w:t>
      </w:r>
      <w:r w:rsidR="00F0528F">
        <w:rPr>
          <w:lang w:val="fr-FR"/>
        </w:rPr>
        <w:t xml:space="preserve"> sanitaires en milieu carcéral </w:t>
      </w:r>
      <w:r w:rsidR="003B7A56">
        <w:rPr>
          <w:lang w:val="fr-FR"/>
        </w:rPr>
        <w:t>d’</w:t>
      </w:r>
      <w:r w:rsidR="008E1139">
        <w:rPr>
          <w:lang w:val="fr-FR"/>
        </w:rPr>
        <w:t>Australie méridionale</w:t>
      </w:r>
      <w:r w:rsidR="00B23FFF">
        <w:rPr>
          <w:lang w:val="fr-FR"/>
        </w:rPr>
        <w:t xml:space="preserve"> mènent une action pour améliorer la sécurité et la qualité des soins</w:t>
      </w:r>
      <w:r w:rsidR="008D6B80">
        <w:rPr>
          <w:lang w:val="fr-FR"/>
        </w:rPr>
        <w:t xml:space="preserve">. </w:t>
      </w:r>
      <w:r w:rsidR="00B23FFF">
        <w:rPr>
          <w:lang w:val="fr-FR"/>
        </w:rPr>
        <w:t>Ils n’emploient que des agents de soins de santé qualifiés</w:t>
      </w:r>
      <w:r w:rsidR="008D6B80">
        <w:rPr>
          <w:lang w:val="fr-FR"/>
        </w:rPr>
        <w:t xml:space="preserve">. </w:t>
      </w:r>
      <w:r w:rsidR="00B23FFF">
        <w:rPr>
          <w:lang w:val="fr-FR"/>
        </w:rPr>
        <w:t>Des systèmes ont été mis en place pour gérer les risques cliniques</w:t>
      </w:r>
      <w:r w:rsidR="008D6B80">
        <w:rPr>
          <w:lang w:val="fr-FR"/>
        </w:rPr>
        <w:t xml:space="preserve">. </w:t>
      </w:r>
      <w:r w:rsidR="00B23FFF">
        <w:rPr>
          <w:lang w:val="fr-FR"/>
        </w:rPr>
        <w:t xml:space="preserve">L’ensemble du personnel de santé est </w:t>
      </w:r>
      <w:r w:rsidR="003B7A56">
        <w:rPr>
          <w:lang w:val="fr-FR"/>
        </w:rPr>
        <w:t xml:space="preserve">régulièrement </w:t>
      </w:r>
      <w:r w:rsidR="00B23FFF">
        <w:rPr>
          <w:lang w:val="fr-FR"/>
        </w:rPr>
        <w:t>te</w:t>
      </w:r>
      <w:r w:rsidR="003B7A56">
        <w:rPr>
          <w:lang w:val="fr-FR"/>
        </w:rPr>
        <w:t>nu au courant de l’évolution des connaissances dans son domaine d’activité.</w:t>
      </w:r>
    </w:p>
    <w:p w:rsidR="000312C5" w:rsidRDefault="003B7A56" w:rsidP="005D7B68">
      <w:pPr>
        <w:tabs>
          <w:tab w:val="left" w:pos="567"/>
          <w:tab w:val="left" w:pos="1134"/>
          <w:tab w:val="left" w:pos="1701"/>
          <w:tab w:val="left" w:pos="2268"/>
          <w:tab w:val="left" w:pos="2835"/>
        </w:tabs>
        <w:rPr>
          <w:lang w:val="fr-FR"/>
        </w:rPr>
      </w:pPr>
      <w:r>
        <w:rPr>
          <w:lang w:val="fr-FR"/>
        </w:rPr>
        <w:t>54</w:t>
      </w:r>
      <w:r w:rsidR="004F479B">
        <w:rPr>
          <w:lang w:val="fr-FR"/>
        </w:rPr>
        <w:t>7</w:t>
      </w:r>
      <w:r>
        <w:rPr>
          <w:lang w:val="fr-FR"/>
        </w:rPr>
        <w:t>.</w:t>
      </w:r>
      <w:r>
        <w:rPr>
          <w:lang w:val="fr-FR"/>
        </w:rPr>
        <w:tab/>
        <w:t>Les centres de soins de santé en milieu carcéral sont équipés pour permettre aux personnes handicapées d’y avoir accès</w:t>
      </w:r>
      <w:r w:rsidR="008D6B80">
        <w:rPr>
          <w:lang w:val="fr-FR"/>
        </w:rPr>
        <w:t xml:space="preserve">. </w:t>
      </w:r>
      <w:r>
        <w:rPr>
          <w:lang w:val="fr-FR"/>
        </w:rPr>
        <w:t>Chaque centre est doté d’installations</w:t>
      </w:r>
      <w:r w:rsidR="000312C5">
        <w:rPr>
          <w:lang w:val="fr-FR"/>
        </w:rPr>
        <w:t xml:space="preserve"> de soins complets d’un niveau équivalent à celles des centres extrahospitaliers de soins de santé primaires.</w:t>
      </w:r>
    </w:p>
    <w:p w:rsidR="00E5632B" w:rsidRDefault="000312C5" w:rsidP="005D7B68">
      <w:pPr>
        <w:tabs>
          <w:tab w:val="left" w:pos="567"/>
          <w:tab w:val="left" w:pos="1134"/>
          <w:tab w:val="left" w:pos="1701"/>
          <w:tab w:val="left" w:pos="2268"/>
          <w:tab w:val="left" w:pos="2835"/>
        </w:tabs>
        <w:rPr>
          <w:lang w:val="fr-FR"/>
        </w:rPr>
      </w:pPr>
      <w:r>
        <w:rPr>
          <w:lang w:val="fr-FR"/>
        </w:rPr>
        <w:t>54</w:t>
      </w:r>
      <w:r w:rsidR="004F479B">
        <w:rPr>
          <w:lang w:val="fr-FR"/>
        </w:rPr>
        <w:t>8</w:t>
      </w:r>
      <w:r>
        <w:rPr>
          <w:lang w:val="fr-FR"/>
        </w:rPr>
        <w:t>.</w:t>
      </w:r>
      <w:r>
        <w:rPr>
          <w:lang w:val="fr-FR"/>
        </w:rPr>
        <w:tab/>
      </w:r>
      <w:r w:rsidR="004A65FA">
        <w:rPr>
          <w:lang w:val="fr-FR"/>
        </w:rPr>
        <w:t>Les médicaments et les vaccins fournis gratuitement aux détenus sont conformes aux normes de la collectivité</w:t>
      </w:r>
      <w:r w:rsidR="008D6B80">
        <w:rPr>
          <w:lang w:val="fr-FR"/>
        </w:rPr>
        <w:t xml:space="preserve">. </w:t>
      </w:r>
      <w:r w:rsidR="00B10FBC">
        <w:rPr>
          <w:lang w:val="fr-FR"/>
        </w:rPr>
        <w:t>Les informations sur la</w:t>
      </w:r>
      <w:r w:rsidR="004A65FA">
        <w:rPr>
          <w:lang w:val="fr-FR"/>
        </w:rPr>
        <w:t xml:space="preserve"> prévention</w:t>
      </w:r>
      <w:r w:rsidR="00B10FBC">
        <w:rPr>
          <w:lang w:val="fr-FR"/>
        </w:rPr>
        <w:t xml:space="preserve"> et la lutte contre les maladies infectieuses peuvent être obtenues gratuitement.</w:t>
      </w:r>
    </w:p>
    <w:p w:rsidR="00B10FBC" w:rsidRDefault="00B10FBC" w:rsidP="005D7B68">
      <w:pPr>
        <w:tabs>
          <w:tab w:val="left" w:pos="567"/>
          <w:tab w:val="left" w:pos="1134"/>
          <w:tab w:val="left" w:pos="1701"/>
          <w:tab w:val="left" w:pos="2268"/>
          <w:tab w:val="left" w:pos="2835"/>
        </w:tabs>
        <w:rPr>
          <w:b/>
          <w:bCs/>
          <w:lang w:val="fr-FR"/>
        </w:rPr>
      </w:pPr>
      <w:r>
        <w:rPr>
          <w:b/>
          <w:bCs/>
          <w:lang w:val="fr-FR"/>
        </w:rPr>
        <w:t>Services de santé pour les immigrants placés en rétention, les réfugiés et autres personnes vulnérables</w:t>
      </w:r>
    </w:p>
    <w:p w:rsidR="001A615A" w:rsidRDefault="00B10FBC" w:rsidP="005D7B68">
      <w:pPr>
        <w:tabs>
          <w:tab w:val="left" w:pos="567"/>
          <w:tab w:val="left" w:pos="1134"/>
          <w:tab w:val="left" w:pos="1701"/>
          <w:tab w:val="left" w:pos="2268"/>
          <w:tab w:val="left" w:pos="2835"/>
        </w:tabs>
        <w:rPr>
          <w:lang w:val="fr-FR"/>
        </w:rPr>
      </w:pPr>
      <w:r>
        <w:rPr>
          <w:lang w:val="fr-FR"/>
        </w:rPr>
        <w:t>5</w:t>
      </w:r>
      <w:r w:rsidR="004F479B">
        <w:rPr>
          <w:lang w:val="fr-FR"/>
        </w:rPr>
        <w:t>49</w:t>
      </w:r>
      <w:r>
        <w:rPr>
          <w:lang w:val="fr-FR"/>
        </w:rPr>
        <w:t>.</w:t>
      </w:r>
      <w:r>
        <w:rPr>
          <w:lang w:val="fr-FR"/>
        </w:rPr>
        <w:tab/>
        <w:t>L’</w:t>
      </w:r>
      <w:r w:rsidR="008E1139">
        <w:rPr>
          <w:lang w:val="fr-FR"/>
        </w:rPr>
        <w:t>Australie méridionale</w:t>
      </w:r>
      <w:r>
        <w:rPr>
          <w:lang w:val="fr-FR"/>
        </w:rPr>
        <w:t xml:space="preserve"> a été la première juridiction à mettre au point des protocoles convenus avec</w:t>
      </w:r>
      <w:r w:rsidR="00C32966">
        <w:rPr>
          <w:lang w:val="fr-FR"/>
        </w:rPr>
        <w:t xml:space="preserve"> le Ministère de l’immigration et de la citoyenneté pour les immigrants pla</w:t>
      </w:r>
      <w:r w:rsidR="00300804">
        <w:rPr>
          <w:lang w:val="fr-FR"/>
        </w:rPr>
        <w:t>cés en rétention</w:t>
      </w:r>
      <w:r w:rsidR="008D6B80">
        <w:rPr>
          <w:lang w:val="fr-FR"/>
        </w:rPr>
        <w:t xml:space="preserve">. </w:t>
      </w:r>
      <w:r w:rsidR="00300804">
        <w:rPr>
          <w:lang w:val="fr-FR"/>
        </w:rPr>
        <w:t>Leur élaboration</w:t>
      </w:r>
      <w:r w:rsidR="00C32966">
        <w:rPr>
          <w:lang w:val="fr-FR"/>
        </w:rPr>
        <w:t xml:space="preserve"> a été achevée en avril 2005</w:t>
      </w:r>
      <w:r w:rsidR="008D6B80">
        <w:rPr>
          <w:lang w:val="fr-FR"/>
        </w:rPr>
        <w:t xml:space="preserve">. </w:t>
      </w:r>
      <w:r w:rsidR="00C32966">
        <w:rPr>
          <w:lang w:val="fr-FR"/>
        </w:rPr>
        <w:t>Un mémorandum d’accord pour la fourniture de services précis à l’intention des personnes placées en rétention en application de la loi de 1958 sur l’immigration a été signé par ledit Ministère et le Département de la santé d’</w:t>
      </w:r>
      <w:r w:rsidR="008E1139">
        <w:rPr>
          <w:lang w:val="fr-FR"/>
        </w:rPr>
        <w:t>Australie méridionale</w:t>
      </w:r>
      <w:r w:rsidR="00C32966">
        <w:rPr>
          <w:lang w:val="fr-FR"/>
        </w:rPr>
        <w:t xml:space="preserve"> à la fin de 2005 en vue de la fo</w:t>
      </w:r>
      <w:r w:rsidR="007F0F90">
        <w:rPr>
          <w:lang w:val="fr-FR"/>
        </w:rPr>
        <w:t>urniture de services de santé à</w:t>
      </w:r>
      <w:r w:rsidR="00C32966">
        <w:rPr>
          <w:lang w:val="fr-FR"/>
        </w:rPr>
        <w:t xml:space="preserve"> certains immigrants placés en rétention et envoyés par </w:t>
      </w:r>
      <w:r w:rsidR="00C77222">
        <w:rPr>
          <w:lang w:val="fr-FR"/>
        </w:rPr>
        <w:t>le prestataire de services de détention avec lequel le Ministère de l’immigration et de la citoyenneté a passé un contrat</w:t>
      </w:r>
      <w:r w:rsidR="008D6B80">
        <w:rPr>
          <w:lang w:val="fr-FR"/>
        </w:rPr>
        <w:t xml:space="preserve">. </w:t>
      </w:r>
      <w:r w:rsidR="00C77222">
        <w:rPr>
          <w:lang w:val="fr-FR"/>
        </w:rPr>
        <w:t>Ces protocoles prescri</w:t>
      </w:r>
      <w:r w:rsidR="005E54A6">
        <w:rPr>
          <w:lang w:val="fr-FR"/>
        </w:rPr>
        <w:t>vent que les services fournis à ces immigrants</w:t>
      </w:r>
      <w:r w:rsidR="00C77222">
        <w:rPr>
          <w:lang w:val="fr-FR"/>
        </w:rPr>
        <w:t xml:space="preserve"> devrai</w:t>
      </w:r>
      <w:r w:rsidR="001A615A">
        <w:rPr>
          <w:lang w:val="fr-FR"/>
        </w:rPr>
        <w:t>en</w:t>
      </w:r>
      <w:r w:rsidR="00C77222">
        <w:rPr>
          <w:lang w:val="fr-FR"/>
        </w:rPr>
        <w:t>t être de même qualité et de même niveau que ceux dont bénéficie l’ensemble de la collectivité,</w:t>
      </w:r>
      <w:r w:rsidR="001A615A">
        <w:rPr>
          <w:lang w:val="fr-FR"/>
        </w:rPr>
        <w:t xml:space="preserve"> et qu’il convient de mettre l’accent sur la prévention et l’intervention précoce.</w:t>
      </w:r>
    </w:p>
    <w:p w:rsidR="001A615A" w:rsidRDefault="001A615A" w:rsidP="005D7B68">
      <w:pPr>
        <w:tabs>
          <w:tab w:val="left" w:pos="567"/>
          <w:tab w:val="left" w:pos="1134"/>
          <w:tab w:val="left" w:pos="1701"/>
          <w:tab w:val="left" w:pos="2268"/>
          <w:tab w:val="left" w:pos="2835"/>
        </w:tabs>
        <w:rPr>
          <w:lang w:val="fr-FR"/>
        </w:rPr>
      </w:pPr>
      <w:r>
        <w:rPr>
          <w:lang w:val="fr-FR"/>
        </w:rPr>
        <w:t>55</w:t>
      </w:r>
      <w:r w:rsidR="004F479B">
        <w:rPr>
          <w:lang w:val="fr-FR"/>
        </w:rPr>
        <w:t>0</w:t>
      </w:r>
      <w:r>
        <w:rPr>
          <w:lang w:val="fr-FR"/>
        </w:rPr>
        <w:t>.</w:t>
      </w:r>
      <w:r>
        <w:rPr>
          <w:lang w:val="fr-FR"/>
        </w:rPr>
        <w:tab/>
      </w:r>
      <w:r w:rsidR="00C77222">
        <w:rPr>
          <w:lang w:val="fr-FR"/>
        </w:rPr>
        <w:t xml:space="preserve"> </w:t>
      </w:r>
      <w:r>
        <w:rPr>
          <w:lang w:val="fr-FR"/>
        </w:rPr>
        <w:t>Le projet de loi sur la santé mentale de 2007 comporte des dispositions spéciales relatives aux enfants, aux personnes âgées, aux personnes issues de divers milie</w:t>
      </w:r>
      <w:r w:rsidR="007F0F90">
        <w:rPr>
          <w:lang w:val="fr-FR"/>
        </w:rPr>
        <w:t>ux culturels et linguistiques,</w:t>
      </w:r>
      <w:r>
        <w:rPr>
          <w:lang w:val="fr-FR"/>
        </w:rPr>
        <w:t xml:space="preserve"> aux aborigènes et aux insulaires du détroit de Torres.</w:t>
      </w:r>
    </w:p>
    <w:p w:rsidR="00B10FBC" w:rsidRDefault="001A615A" w:rsidP="005D7B68">
      <w:pPr>
        <w:tabs>
          <w:tab w:val="left" w:pos="567"/>
          <w:tab w:val="left" w:pos="1134"/>
          <w:tab w:val="left" w:pos="1701"/>
          <w:tab w:val="left" w:pos="2268"/>
          <w:tab w:val="left" w:pos="2835"/>
        </w:tabs>
        <w:rPr>
          <w:lang w:val="fr-FR"/>
        </w:rPr>
      </w:pPr>
      <w:r>
        <w:rPr>
          <w:lang w:val="fr-FR"/>
        </w:rPr>
        <w:t>55</w:t>
      </w:r>
      <w:r w:rsidR="004F479B">
        <w:rPr>
          <w:lang w:val="fr-FR"/>
        </w:rPr>
        <w:t>1</w:t>
      </w:r>
      <w:r>
        <w:rPr>
          <w:lang w:val="fr-FR"/>
        </w:rPr>
        <w:t>.</w:t>
      </w:r>
      <w:r>
        <w:rPr>
          <w:lang w:val="fr-FR"/>
        </w:rPr>
        <w:tab/>
        <w:t xml:space="preserve">Ce projet de loi prévoit une protection supplémentaire pour </w:t>
      </w:r>
      <w:r w:rsidR="006A4D5D">
        <w:rPr>
          <w:lang w:val="fr-FR"/>
        </w:rPr>
        <w:t>les enfants âgés de moins de 18 </w:t>
      </w:r>
      <w:r>
        <w:rPr>
          <w:lang w:val="fr-FR"/>
        </w:rPr>
        <w:t>ans, comprenant des réexamens plus fréquents</w:t>
      </w:r>
      <w:r w:rsidR="00C77222">
        <w:rPr>
          <w:lang w:val="fr-FR"/>
        </w:rPr>
        <w:t xml:space="preserve"> </w:t>
      </w:r>
      <w:r>
        <w:rPr>
          <w:lang w:val="fr-FR"/>
        </w:rPr>
        <w:t>des ordonnances</w:t>
      </w:r>
      <w:r w:rsidR="00671F71">
        <w:rPr>
          <w:lang w:val="fr-FR"/>
        </w:rPr>
        <w:t>,</w:t>
      </w:r>
      <w:r>
        <w:rPr>
          <w:lang w:val="fr-FR"/>
        </w:rPr>
        <w:t xml:space="preserve"> et dispose que toute personne souffrant de troubles mentaux peut désigner un tuteur, un membre de sa famille, une personne de confiance qui s’occupe d’elle, un agent médical ou un ami pour l’assister</w:t>
      </w:r>
      <w:r w:rsidR="008D6B80">
        <w:rPr>
          <w:lang w:val="fr-FR"/>
        </w:rPr>
        <w:t xml:space="preserve">. </w:t>
      </w:r>
      <w:r>
        <w:rPr>
          <w:lang w:val="fr-FR"/>
        </w:rPr>
        <w:t>Tout patient qui introduit un recours contre</w:t>
      </w:r>
      <w:r w:rsidR="00CC6948">
        <w:rPr>
          <w:lang w:val="fr-FR"/>
        </w:rPr>
        <w:t xml:space="preserve"> une décision relative à sa santé mentale a droit</w:t>
      </w:r>
      <w:r w:rsidR="00671F71">
        <w:rPr>
          <w:lang w:val="fr-FR"/>
        </w:rPr>
        <w:t xml:space="preserve"> à une représentation judiciaire</w:t>
      </w:r>
      <w:r w:rsidR="00CC6948">
        <w:rPr>
          <w:lang w:val="fr-FR"/>
        </w:rPr>
        <w:t xml:space="preserve"> intégralement prise en charge au plan financier.</w:t>
      </w:r>
    </w:p>
    <w:p w:rsidR="00CC6948" w:rsidRPr="00CC6948" w:rsidRDefault="00CC6948" w:rsidP="005D7B68">
      <w:pPr>
        <w:tabs>
          <w:tab w:val="left" w:pos="567"/>
          <w:tab w:val="left" w:pos="1134"/>
          <w:tab w:val="left" w:pos="1701"/>
          <w:tab w:val="left" w:pos="2268"/>
          <w:tab w:val="left" w:pos="2835"/>
        </w:tabs>
        <w:rPr>
          <w:b/>
          <w:bCs/>
          <w:lang w:val="fr-FR"/>
        </w:rPr>
      </w:pPr>
      <w:r>
        <w:rPr>
          <w:b/>
          <w:bCs/>
          <w:lang w:val="fr-FR"/>
        </w:rPr>
        <w:t>L’éducation pour les jeunes placés en détention</w:t>
      </w:r>
    </w:p>
    <w:p w:rsidR="00B10FBC" w:rsidRDefault="004F479B" w:rsidP="005D7B68">
      <w:pPr>
        <w:tabs>
          <w:tab w:val="left" w:pos="567"/>
          <w:tab w:val="left" w:pos="1134"/>
          <w:tab w:val="left" w:pos="1701"/>
          <w:tab w:val="left" w:pos="2268"/>
          <w:tab w:val="left" w:pos="2835"/>
        </w:tabs>
        <w:rPr>
          <w:lang w:val="fr-FR"/>
        </w:rPr>
      </w:pPr>
      <w:r>
        <w:rPr>
          <w:lang w:val="fr-FR"/>
        </w:rPr>
        <w:t>552.</w:t>
      </w:r>
      <w:r>
        <w:rPr>
          <w:lang w:val="fr-FR"/>
        </w:rPr>
        <w:tab/>
      </w:r>
      <w:r w:rsidR="00577A09">
        <w:rPr>
          <w:lang w:val="fr-FR"/>
        </w:rPr>
        <w:t>Le Département de l’éducation et des services pour les enfants d’</w:t>
      </w:r>
      <w:r w:rsidR="008E1139">
        <w:rPr>
          <w:lang w:val="fr-FR"/>
        </w:rPr>
        <w:t>Australie méridionale</w:t>
      </w:r>
      <w:r w:rsidR="00577A09">
        <w:rPr>
          <w:lang w:val="fr-FR"/>
        </w:rPr>
        <w:t xml:space="preserve"> fournit des services d’éducation pour tous les jeunes placés en détention par la justice pour mineurs.</w:t>
      </w:r>
    </w:p>
    <w:p w:rsidR="00577A09" w:rsidRDefault="004F479B" w:rsidP="005D7B68">
      <w:pPr>
        <w:tabs>
          <w:tab w:val="left" w:pos="567"/>
          <w:tab w:val="left" w:pos="1134"/>
          <w:tab w:val="left" w:pos="1701"/>
          <w:tab w:val="left" w:pos="2268"/>
          <w:tab w:val="left" w:pos="2835"/>
        </w:tabs>
        <w:rPr>
          <w:lang w:val="fr-FR"/>
        </w:rPr>
      </w:pPr>
      <w:r>
        <w:rPr>
          <w:lang w:val="fr-FR"/>
        </w:rPr>
        <w:t>553</w:t>
      </w:r>
      <w:r w:rsidR="00577A09">
        <w:rPr>
          <w:lang w:val="fr-FR"/>
        </w:rPr>
        <w:t>.</w:t>
      </w:r>
      <w:r w:rsidR="00577A09">
        <w:rPr>
          <w:lang w:val="fr-FR"/>
        </w:rPr>
        <w:tab/>
        <w:t>Le Gouvernement d’</w:t>
      </w:r>
      <w:r w:rsidR="008E1139">
        <w:rPr>
          <w:lang w:val="fr-FR"/>
        </w:rPr>
        <w:t>Australie méridionale</w:t>
      </w:r>
      <w:r w:rsidR="00577A09">
        <w:rPr>
          <w:lang w:val="fr-FR"/>
        </w:rPr>
        <w:t xml:space="preserve"> a conscience que le taux d’incarcération des autochtones est élevé par rapport à celui de l’ensemble de la population.</w:t>
      </w:r>
    </w:p>
    <w:p w:rsidR="00577A09" w:rsidRDefault="00577A09" w:rsidP="005D7B68">
      <w:pPr>
        <w:tabs>
          <w:tab w:val="left" w:pos="567"/>
          <w:tab w:val="left" w:pos="1134"/>
          <w:tab w:val="left" w:pos="1701"/>
          <w:tab w:val="left" w:pos="2268"/>
          <w:tab w:val="left" w:pos="2835"/>
        </w:tabs>
        <w:rPr>
          <w:lang w:val="fr-FR"/>
        </w:rPr>
      </w:pPr>
      <w:r>
        <w:rPr>
          <w:lang w:val="fr-FR"/>
        </w:rPr>
        <w:t>55</w:t>
      </w:r>
      <w:r w:rsidR="004F479B">
        <w:rPr>
          <w:lang w:val="fr-FR"/>
        </w:rPr>
        <w:t>4</w:t>
      </w:r>
      <w:r>
        <w:rPr>
          <w:lang w:val="fr-FR"/>
        </w:rPr>
        <w:t>.</w:t>
      </w:r>
      <w:r>
        <w:rPr>
          <w:lang w:val="fr-FR"/>
        </w:rPr>
        <w:tab/>
        <w:t>Après avoir consulté la population autochtone et grâce à diverses mesures, dont des mesures législatives et des programmes de déjudiciarisation, le Gouvernement d’</w:t>
      </w:r>
      <w:r w:rsidR="008E1139">
        <w:rPr>
          <w:lang w:val="fr-FR"/>
        </w:rPr>
        <w:t>Australie méridionale</w:t>
      </w:r>
      <w:r>
        <w:rPr>
          <w:lang w:val="fr-FR"/>
        </w:rPr>
        <w:t xml:space="preserve"> s’est attaqué au problème de la surreprésentation des autochtones australiens dans les prisons.</w:t>
      </w:r>
    </w:p>
    <w:p w:rsidR="00577A09" w:rsidRDefault="00577A09" w:rsidP="005D7B68">
      <w:pPr>
        <w:tabs>
          <w:tab w:val="left" w:pos="567"/>
          <w:tab w:val="left" w:pos="1134"/>
          <w:tab w:val="left" w:pos="1701"/>
          <w:tab w:val="left" w:pos="2268"/>
          <w:tab w:val="left" w:pos="2835"/>
        </w:tabs>
        <w:rPr>
          <w:lang w:val="fr-FR"/>
        </w:rPr>
      </w:pPr>
      <w:r>
        <w:rPr>
          <w:lang w:val="fr-FR"/>
        </w:rPr>
        <w:t>55</w:t>
      </w:r>
      <w:r w:rsidR="004F479B">
        <w:rPr>
          <w:lang w:val="fr-FR"/>
        </w:rPr>
        <w:t>5</w:t>
      </w:r>
      <w:r>
        <w:rPr>
          <w:lang w:val="fr-FR"/>
        </w:rPr>
        <w:t>.</w:t>
      </w:r>
      <w:r>
        <w:rPr>
          <w:lang w:val="fr-FR"/>
        </w:rPr>
        <w:tab/>
        <w:t xml:space="preserve">En 2005, </w:t>
      </w:r>
      <w:r w:rsidRPr="007F0F90">
        <w:rPr>
          <w:lang w:val="fr-FR"/>
        </w:rPr>
        <w:t>la loi de 1988 sur le d</w:t>
      </w:r>
      <w:r w:rsidR="00E833B8" w:rsidRPr="007F0F90">
        <w:rPr>
          <w:lang w:val="fr-FR"/>
        </w:rPr>
        <w:t>roit pénal (prononcé de la sentence</w:t>
      </w:r>
      <w:r w:rsidRPr="007F0F90">
        <w:rPr>
          <w:lang w:val="fr-FR"/>
        </w:rPr>
        <w:t>)</w:t>
      </w:r>
      <w:r>
        <w:rPr>
          <w:lang w:val="fr-FR"/>
        </w:rPr>
        <w:t xml:space="preserve"> a été modifiée par la </w:t>
      </w:r>
      <w:r w:rsidRPr="007F0F90">
        <w:rPr>
          <w:lang w:val="fr-FR"/>
        </w:rPr>
        <w:t>loi de 2005 sur l’amendemen</w:t>
      </w:r>
      <w:r w:rsidR="00E833B8" w:rsidRPr="007F0F90">
        <w:rPr>
          <w:lang w:val="fr-FR"/>
        </w:rPr>
        <w:t xml:space="preserve">t des lois (programmes d’intervention et procédures du prononcé de la sentence) </w:t>
      </w:r>
      <w:r w:rsidR="00E833B8">
        <w:rPr>
          <w:lang w:val="fr-FR"/>
        </w:rPr>
        <w:t>afin d’apporter une caution réglementaire officielle à deux pratiques qui s’étaient développées au sein des tribunaux</w:t>
      </w:r>
      <w:r w:rsidR="008D6B80">
        <w:rPr>
          <w:lang w:val="fr-FR"/>
        </w:rPr>
        <w:t xml:space="preserve">. </w:t>
      </w:r>
      <w:r w:rsidR="00E833B8">
        <w:rPr>
          <w:lang w:val="fr-FR"/>
        </w:rPr>
        <w:t>L’une consiste à orienter les défendeurs vers des programmes d’intervention qui le</w:t>
      </w:r>
      <w:r w:rsidR="0009316A">
        <w:rPr>
          <w:lang w:val="fr-FR"/>
        </w:rPr>
        <w:t>s</w:t>
      </w:r>
      <w:r w:rsidR="00E833B8">
        <w:rPr>
          <w:lang w:val="fr-FR"/>
        </w:rPr>
        <w:t xml:space="preserve"> aident à</w:t>
      </w:r>
      <w:r w:rsidR="0009316A">
        <w:rPr>
          <w:lang w:val="fr-FR"/>
        </w:rPr>
        <w:t xml:space="preserve"> prendre en charge les causes profondes de leur comportement délictueux</w:t>
      </w:r>
      <w:r w:rsidR="008D6B80">
        <w:rPr>
          <w:lang w:val="fr-FR"/>
        </w:rPr>
        <w:t xml:space="preserve">. </w:t>
      </w:r>
      <w:r w:rsidR="0009316A">
        <w:rPr>
          <w:lang w:val="fr-FR"/>
        </w:rPr>
        <w:t xml:space="preserve">L’autre est le recours à des conférences de détermination de la peine </w:t>
      </w:r>
      <w:r w:rsidR="00B3799C">
        <w:rPr>
          <w:lang w:val="fr-FR"/>
        </w:rPr>
        <w:t>pour les accusés aborigènes les jours d’audience des tribunaux aborigènes (</w:t>
      </w:r>
      <w:r w:rsidR="00B3799C" w:rsidRPr="00C90F04">
        <w:rPr>
          <w:i/>
          <w:iCs/>
          <w:lang w:val="fr-FR"/>
        </w:rPr>
        <w:t>Nunga Courts</w:t>
      </w:r>
      <w:r w:rsidR="00B3799C">
        <w:rPr>
          <w:lang w:val="fr-FR"/>
        </w:rPr>
        <w:t>).</w:t>
      </w:r>
    </w:p>
    <w:p w:rsidR="00B3799C" w:rsidRDefault="00B3799C" w:rsidP="005D7B68">
      <w:pPr>
        <w:tabs>
          <w:tab w:val="left" w:pos="567"/>
          <w:tab w:val="left" w:pos="1134"/>
          <w:tab w:val="left" w:pos="1701"/>
          <w:tab w:val="left" w:pos="2268"/>
          <w:tab w:val="left" w:pos="2835"/>
        </w:tabs>
        <w:rPr>
          <w:lang w:val="fr-FR"/>
        </w:rPr>
      </w:pPr>
      <w:r>
        <w:rPr>
          <w:lang w:val="fr-FR"/>
        </w:rPr>
        <w:t>55</w:t>
      </w:r>
      <w:r w:rsidR="004F479B">
        <w:rPr>
          <w:lang w:val="fr-FR"/>
        </w:rPr>
        <w:t>6</w:t>
      </w:r>
      <w:r>
        <w:rPr>
          <w:lang w:val="fr-FR"/>
        </w:rPr>
        <w:t>.</w:t>
      </w:r>
      <w:r>
        <w:rPr>
          <w:lang w:val="fr-FR"/>
        </w:rPr>
        <w:tab/>
        <w:t xml:space="preserve">En vertu de l’article 9C de la </w:t>
      </w:r>
      <w:r w:rsidRPr="00CC76A7">
        <w:rPr>
          <w:lang w:val="fr-FR"/>
        </w:rPr>
        <w:t>loi sur le droit pénal (prononcé de la sentence)</w:t>
      </w:r>
      <w:r w:rsidR="00430240">
        <w:rPr>
          <w:lang w:val="fr-FR"/>
        </w:rPr>
        <w:t>, tout tribunal correctionnel peut, avec le consentement</w:t>
      </w:r>
      <w:r w:rsidR="006001F9">
        <w:rPr>
          <w:lang w:val="fr-FR"/>
        </w:rPr>
        <w:t xml:space="preserve"> de l’accusé, convoquer une conférence de détermination de la peine </w:t>
      </w:r>
      <w:r w:rsidR="00DE5D69">
        <w:rPr>
          <w:lang w:val="fr-FR"/>
        </w:rPr>
        <w:t>et prendre en considération les opinions qui se seront exprimées à cette conférence</w:t>
      </w:r>
      <w:r w:rsidR="008D6B80">
        <w:rPr>
          <w:lang w:val="fr-FR"/>
        </w:rPr>
        <w:t xml:space="preserve">. </w:t>
      </w:r>
      <w:r w:rsidR="00DE5D69">
        <w:rPr>
          <w:lang w:val="fr-FR"/>
        </w:rPr>
        <w:t xml:space="preserve">Un fonctionnaire de justice aborigène </w:t>
      </w:r>
      <w:r w:rsidR="001C3D5E">
        <w:rPr>
          <w:lang w:val="fr-FR"/>
        </w:rPr>
        <w:t xml:space="preserve">qui travaille pour la </w:t>
      </w:r>
      <w:r w:rsidR="001C3D5E" w:rsidRPr="001C3D5E">
        <w:rPr>
          <w:i/>
          <w:iCs/>
          <w:lang w:val="fr-FR"/>
        </w:rPr>
        <w:t>Courts Administration Authority</w:t>
      </w:r>
      <w:r w:rsidR="001C3D5E">
        <w:rPr>
          <w:i/>
          <w:iCs/>
          <w:lang w:val="fr-FR"/>
        </w:rPr>
        <w:t xml:space="preserve"> </w:t>
      </w:r>
      <w:r w:rsidR="001C3D5E">
        <w:rPr>
          <w:lang w:val="fr-FR"/>
        </w:rPr>
        <w:t>aide le tribunal à convoquer la conférence et renseigne cette dernière sur la société et la culture aborigènes</w:t>
      </w:r>
      <w:r w:rsidR="008D6B80">
        <w:rPr>
          <w:lang w:val="fr-FR"/>
        </w:rPr>
        <w:t xml:space="preserve">. </w:t>
      </w:r>
      <w:r w:rsidR="001C3D5E">
        <w:rPr>
          <w:lang w:val="fr-FR"/>
        </w:rPr>
        <w:t>Ce fonctionnaire aide également les aborigènes à comprendre les procédures de justice et les options en matière de peines et de sanctions</w:t>
      </w:r>
      <w:r w:rsidR="00C90F04">
        <w:rPr>
          <w:lang w:val="fr-FR"/>
        </w:rPr>
        <w:t>,</w:t>
      </w:r>
      <w:r w:rsidR="001C3D5E">
        <w:rPr>
          <w:lang w:val="fr-FR"/>
        </w:rPr>
        <w:t xml:space="preserve"> et les aide à se conformer aux ordonnances du tribunal</w:t>
      </w:r>
      <w:r w:rsidR="008D6B80">
        <w:rPr>
          <w:lang w:val="fr-FR"/>
        </w:rPr>
        <w:t xml:space="preserve">. </w:t>
      </w:r>
      <w:r w:rsidR="001C3D5E">
        <w:rPr>
          <w:lang w:val="fr-FR"/>
        </w:rPr>
        <w:t>La sentence prononcée à l’encontre d’un délinquant aborigène, qu’</w:t>
      </w:r>
      <w:r w:rsidR="001578E4">
        <w:rPr>
          <w:lang w:val="fr-FR"/>
        </w:rPr>
        <w:t>elle le soit</w:t>
      </w:r>
      <w:r w:rsidR="001C3D5E">
        <w:rPr>
          <w:lang w:val="fr-FR"/>
        </w:rPr>
        <w:t xml:space="preserve"> à l’issue d’une conférence de détermination de la peine</w:t>
      </w:r>
      <w:r w:rsidR="001578E4">
        <w:rPr>
          <w:lang w:val="fr-FR"/>
        </w:rPr>
        <w:t xml:space="preserve"> ou des procédures ordinaires, peut comporter l’obligation de pa</w:t>
      </w:r>
      <w:r w:rsidR="00C42990">
        <w:rPr>
          <w:lang w:val="fr-FR"/>
        </w:rPr>
        <w:t>rticiper o</w:t>
      </w:r>
      <w:r w:rsidR="001529AA">
        <w:rPr>
          <w:lang w:val="fr-FR"/>
        </w:rPr>
        <w:t>u de continuer à participer à un programme d’intervention.</w:t>
      </w:r>
    </w:p>
    <w:p w:rsidR="001529AA" w:rsidRDefault="001529AA" w:rsidP="005D7B68">
      <w:pPr>
        <w:tabs>
          <w:tab w:val="left" w:pos="567"/>
          <w:tab w:val="left" w:pos="1134"/>
          <w:tab w:val="left" w:pos="1701"/>
          <w:tab w:val="left" w:pos="2268"/>
          <w:tab w:val="left" w:pos="2835"/>
        </w:tabs>
        <w:rPr>
          <w:lang w:val="fr-FR"/>
        </w:rPr>
      </w:pPr>
      <w:r>
        <w:rPr>
          <w:lang w:val="fr-FR"/>
        </w:rPr>
        <w:t>55</w:t>
      </w:r>
      <w:r w:rsidR="004F479B">
        <w:rPr>
          <w:lang w:val="fr-FR"/>
        </w:rPr>
        <w:t>7</w:t>
      </w:r>
      <w:r>
        <w:rPr>
          <w:lang w:val="fr-FR"/>
        </w:rPr>
        <w:t>.</w:t>
      </w:r>
      <w:r>
        <w:rPr>
          <w:lang w:val="fr-FR"/>
        </w:rPr>
        <w:tab/>
        <w:t xml:space="preserve">Le </w:t>
      </w:r>
      <w:r>
        <w:rPr>
          <w:i/>
          <w:iCs/>
          <w:lang w:val="fr-FR"/>
        </w:rPr>
        <w:t xml:space="preserve">Drug Court </w:t>
      </w:r>
      <w:r>
        <w:rPr>
          <w:lang w:val="fr-FR"/>
        </w:rPr>
        <w:t xml:space="preserve">et le </w:t>
      </w:r>
      <w:r>
        <w:rPr>
          <w:i/>
          <w:iCs/>
          <w:lang w:val="fr-FR"/>
        </w:rPr>
        <w:t>Court Assessment and Referral Drug Scheme (CARDS)</w:t>
      </w:r>
      <w:r>
        <w:rPr>
          <w:lang w:val="fr-FR"/>
        </w:rPr>
        <w:t xml:space="preserve"> sont deux des programmes d’intervention visant à orienter les délinquants vers des systèmes qui s’attaquent aux causes profondes sanitaires et socioéconomi</w:t>
      </w:r>
      <w:r w:rsidR="00A163EB">
        <w:rPr>
          <w:lang w:val="fr-FR"/>
        </w:rPr>
        <w:t>ques du comportement délictueux, plutôt que vers le système carcéral.</w:t>
      </w:r>
    </w:p>
    <w:p w:rsidR="00382E5B" w:rsidRPr="00691227" w:rsidRDefault="001529AA" w:rsidP="005D7B68">
      <w:pPr>
        <w:tabs>
          <w:tab w:val="left" w:pos="567"/>
          <w:tab w:val="left" w:pos="1134"/>
          <w:tab w:val="left" w:pos="1701"/>
          <w:tab w:val="left" w:pos="2268"/>
          <w:tab w:val="left" w:pos="2835"/>
        </w:tabs>
        <w:rPr>
          <w:lang w:val="fr-FR"/>
        </w:rPr>
      </w:pPr>
      <w:r>
        <w:rPr>
          <w:lang w:val="fr-FR"/>
        </w:rPr>
        <w:t>55</w:t>
      </w:r>
      <w:r w:rsidR="004F479B">
        <w:rPr>
          <w:lang w:val="fr-FR"/>
        </w:rPr>
        <w:t>8</w:t>
      </w:r>
      <w:r>
        <w:rPr>
          <w:lang w:val="fr-FR"/>
        </w:rPr>
        <w:t>.</w:t>
      </w:r>
      <w:r>
        <w:rPr>
          <w:lang w:val="fr-FR"/>
        </w:rPr>
        <w:tab/>
      </w:r>
      <w:r w:rsidR="00382E5B">
        <w:rPr>
          <w:lang w:val="fr-FR"/>
        </w:rPr>
        <w:t xml:space="preserve">Le programme </w:t>
      </w:r>
      <w:r w:rsidR="00382E5B">
        <w:rPr>
          <w:i/>
          <w:iCs/>
          <w:lang w:val="fr-FR"/>
        </w:rPr>
        <w:t>Drug Court</w:t>
      </w:r>
      <w:r w:rsidR="00382E5B">
        <w:rPr>
          <w:lang w:val="fr-FR"/>
        </w:rPr>
        <w:t>,</w:t>
      </w:r>
      <w:r w:rsidR="00382E5B">
        <w:rPr>
          <w:i/>
          <w:iCs/>
          <w:lang w:val="fr-FR"/>
        </w:rPr>
        <w:t xml:space="preserve"> </w:t>
      </w:r>
      <w:r w:rsidR="00382E5B" w:rsidRPr="00382E5B">
        <w:rPr>
          <w:lang w:val="fr-FR"/>
        </w:rPr>
        <w:t xml:space="preserve">en </w:t>
      </w:r>
      <w:r w:rsidR="008E1139">
        <w:rPr>
          <w:lang w:val="fr-FR"/>
        </w:rPr>
        <w:t>Australie méridionale</w:t>
      </w:r>
      <w:r w:rsidR="00382E5B" w:rsidRPr="00382E5B">
        <w:rPr>
          <w:lang w:val="fr-FR"/>
        </w:rPr>
        <w:t>,</w:t>
      </w:r>
      <w:r w:rsidR="00382E5B">
        <w:rPr>
          <w:lang w:val="fr-FR"/>
        </w:rPr>
        <w:t xml:space="preserve"> offre aux délinquants toxicomanes une alternative à une condamnation immédiate à une peine d’emprisonnement pour les aider à rompre l’engrenage toxicomanie –criminalité</w:t>
      </w:r>
      <w:r w:rsidR="008D6B80">
        <w:rPr>
          <w:lang w:val="fr-FR"/>
        </w:rPr>
        <w:t xml:space="preserve">. </w:t>
      </w:r>
      <w:r w:rsidR="00382E5B">
        <w:rPr>
          <w:lang w:val="fr-FR"/>
        </w:rPr>
        <w:t>Les d</w:t>
      </w:r>
      <w:r w:rsidR="002D3978">
        <w:rPr>
          <w:lang w:val="fr-FR"/>
        </w:rPr>
        <w:t>élinquants admis à participer à ce</w:t>
      </w:r>
      <w:r w:rsidR="00382E5B">
        <w:rPr>
          <w:lang w:val="fr-FR"/>
        </w:rPr>
        <w:t xml:space="preserve"> programme sont soumis à une surveillance rigoureuse qui peut comporter une assignation à résidence sous caution</w:t>
      </w:r>
      <w:r w:rsidR="00691227">
        <w:rPr>
          <w:lang w:val="fr-FR"/>
        </w:rPr>
        <w:t xml:space="preserve"> et sous contrôle électronique, l’obligation de se présenter une fois </w:t>
      </w:r>
      <w:r w:rsidR="00A163EB">
        <w:rPr>
          <w:lang w:val="fr-FR"/>
        </w:rPr>
        <w:t xml:space="preserve">par semaine devant le tribunal </w:t>
      </w:r>
      <w:r w:rsidR="00691227">
        <w:rPr>
          <w:lang w:val="fr-FR"/>
        </w:rPr>
        <w:t>et de fréquents dépistages de drogue à l’improviste</w:t>
      </w:r>
      <w:r w:rsidR="008D6B80">
        <w:rPr>
          <w:lang w:val="fr-FR"/>
        </w:rPr>
        <w:t xml:space="preserve">. </w:t>
      </w:r>
      <w:r w:rsidR="00691227">
        <w:rPr>
          <w:lang w:val="fr-FR"/>
        </w:rPr>
        <w:t xml:space="preserve">Ils doivent aussi respecter un certain nombre de conditions comme, par exemple, </w:t>
      </w:r>
      <w:r w:rsidR="00300804">
        <w:rPr>
          <w:lang w:val="fr-FR"/>
        </w:rPr>
        <w:t>l’obligation</w:t>
      </w:r>
      <w:r w:rsidR="00572260">
        <w:rPr>
          <w:lang w:val="fr-FR"/>
        </w:rPr>
        <w:t xml:space="preserve"> </w:t>
      </w:r>
      <w:r w:rsidR="00691227">
        <w:rPr>
          <w:lang w:val="fr-FR"/>
        </w:rPr>
        <w:t>de participer à des programmes de traitement et de soutien</w:t>
      </w:r>
      <w:r w:rsidR="008D6B80">
        <w:rPr>
          <w:lang w:val="fr-FR"/>
        </w:rPr>
        <w:t xml:space="preserve">. </w:t>
      </w:r>
      <w:r w:rsidR="00691227">
        <w:rPr>
          <w:lang w:val="fr-FR"/>
        </w:rPr>
        <w:t>Il sera ensuite tenu compte du niveau de participation</w:t>
      </w:r>
      <w:r w:rsidR="00382E5B">
        <w:rPr>
          <w:lang w:val="fr-FR"/>
        </w:rPr>
        <w:t xml:space="preserve"> </w:t>
      </w:r>
      <w:r w:rsidR="00691227">
        <w:rPr>
          <w:lang w:val="fr-FR"/>
        </w:rPr>
        <w:t>des délinquants au programme au moment du prononcé de la peine</w:t>
      </w:r>
      <w:r w:rsidR="008D6B80">
        <w:rPr>
          <w:lang w:val="fr-FR"/>
        </w:rPr>
        <w:t xml:space="preserve">. </w:t>
      </w:r>
      <w:r w:rsidR="00691227">
        <w:rPr>
          <w:lang w:val="fr-FR"/>
        </w:rPr>
        <w:t xml:space="preserve">En veillant à ce que les délinquants aborigènes soient pris en charge par des services culturellement appropriés, le programme </w:t>
      </w:r>
      <w:r w:rsidR="00691227">
        <w:rPr>
          <w:i/>
          <w:iCs/>
          <w:lang w:val="fr-FR"/>
        </w:rPr>
        <w:t>Drug Court</w:t>
      </w:r>
      <w:r w:rsidR="00691227">
        <w:rPr>
          <w:lang w:val="fr-FR"/>
        </w:rPr>
        <w:t xml:space="preserve"> aide à traiter les cause profondes de la délinquance et contribue ainsi à faire diminuer le nombre d’aborigènes incarcérés.</w:t>
      </w:r>
    </w:p>
    <w:p w:rsidR="00691227" w:rsidRDefault="00691227" w:rsidP="005D7B68">
      <w:pPr>
        <w:tabs>
          <w:tab w:val="left" w:pos="567"/>
          <w:tab w:val="left" w:pos="1134"/>
          <w:tab w:val="left" w:pos="1701"/>
          <w:tab w:val="left" w:pos="2268"/>
          <w:tab w:val="left" w:pos="2835"/>
        </w:tabs>
        <w:rPr>
          <w:lang w:val="fr-FR"/>
        </w:rPr>
      </w:pPr>
      <w:r>
        <w:rPr>
          <w:lang w:val="fr-FR"/>
        </w:rPr>
        <w:t>5</w:t>
      </w:r>
      <w:r w:rsidR="004F479B">
        <w:rPr>
          <w:lang w:val="fr-FR"/>
        </w:rPr>
        <w:t>59</w:t>
      </w:r>
      <w:r>
        <w:rPr>
          <w:lang w:val="fr-FR"/>
        </w:rPr>
        <w:t>.</w:t>
      </w:r>
      <w:r>
        <w:rPr>
          <w:lang w:val="fr-FR"/>
        </w:rPr>
        <w:tab/>
        <w:t xml:space="preserve">Le programme </w:t>
      </w:r>
      <w:r w:rsidRPr="00691227">
        <w:rPr>
          <w:i/>
          <w:iCs/>
          <w:lang w:val="fr-FR"/>
        </w:rPr>
        <w:t>CARDS</w:t>
      </w:r>
      <w:r w:rsidR="000A55E8">
        <w:rPr>
          <w:lang w:val="fr-FR"/>
        </w:rPr>
        <w:t>, qui</w:t>
      </w:r>
      <w:r w:rsidR="00A163EB">
        <w:rPr>
          <w:lang w:val="fr-FR"/>
        </w:rPr>
        <w:t xml:space="preserve"> est utilisé par le tribunal de première instance</w:t>
      </w:r>
      <w:r>
        <w:rPr>
          <w:lang w:val="fr-FR"/>
        </w:rPr>
        <w:t xml:space="preserve"> d’</w:t>
      </w:r>
      <w:r w:rsidR="008E1139">
        <w:rPr>
          <w:lang w:val="fr-FR"/>
        </w:rPr>
        <w:t>Australie méridionale</w:t>
      </w:r>
      <w:r w:rsidR="000A55E8">
        <w:rPr>
          <w:lang w:val="fr-FR"/>
        </w:rPr>
        <w:t xml:space="preserve"> et le Tribunal pour mineurs, donne aux accusés toxicomanes la possibilité d’avoir accès à un traitement de désintoxication dans le cadre de l’acte judiciaire</w:t>
      </w:r>
      <w:r w:rsidR="008D6B80">
        <w:rPr>
          <w:lang w:val="fr-FR"/>
        </w:rPr>
        <w:t xml:space="preserve">. </w:t>
      </w:r>
      <w:r w:rsidR="000A55E8">
        <w:rPr>
          <w:lang w:val="fr-FR"/>
        </w:rPr>
        <w:t>Les accusés aborigènes peuvent choisir d’être pris en charge par des spécialistes aborigènes ou par tout autre thérapeute</w:t>
      </w:r>
      <w:r w:rsidR="008D6B80">
        <w:rPr>
          <w:lang w:val="fr-FR"/>
        </w:rPr>
        <w:t xml:space="preserve">. </w:t>
      </w:r>
      <w:r w:rsidR="000A55E8">
        <w:rPr>
          <w:lang w:val="fr-FR"/>
        </w:rPr>
        <w:t>Les fonctionnaires de justice aborigènes peuvent égalem</w:t>
      </w:r>
      <w:r w:rsidR="00CC76A7">
        <w:rPr>
          <w:lang w:val="fr-FR"/>
        </w:rPr>
        <w:t>ent les aider</w:t>
      </w:r>
      <w:r w:rsidR="000A55E8">
        <w:rPr>
          <w:lang w:val="fr-FR"/>
        </w:rPr>
        <w:t xml:space="preserve"> au cours du processus d’évaluation</w:t>
      </w:r>
      <w:r w:rsidR="008D6B80">
        <w:rPr>
          <w:lang w:val="fr-FR"/>
        </w:rPr>
        <w:t xml:space="preserve">. </w:t>
      </w:r>
      <w:r w:rsidR="0050795F">
        <w:rPr>
          <w:lang w:val="fr-FR"/>
        </w:rPr>
        <w:t>Le niveau de participation des aborigènes à ce programme est relativement élevé</w:t>
      </w:r>
      <w:r w:rsidR="008D6B80">
        <w:rPr>
          <w:lang w:val="fr-FR"/>
        </w:rPr>
        <w:t xml:space="preserve">. </w:t>
      </w:r>
      <w:r w:rsidR="0050795F">
        <w:rPr>
          <w:lang w:val="fr-FR"/>
        </w:rPr>
        <w:t xml:space="preserve">Comme dans le cas du programme </w:t>
      </w:r>
      <w:r w:rsidR="0050795F">
        <w:rPr>
          <w:i/>
          <w:iCs/>
          <w:lang w:val="fr-FR"/>
        </w:rPr>
        <w:t>Drug Court</w:t>
      </w:r>
      <w:r w:rsidR="0050795F">
        <w:rPr>
          <w:lang w:val="fr-FR"/>
        </w:rPr>
        <w:t>, l’accès au traitement dans le cadre de l’acte judiciaire permet de faire baisser le risque d’une récidive liée à la drogue.</w:t>
      </w:r>
    </w:p>
    <w:p w:rsidR="0050795F" w:rsidRDefault="0050795F" w:rsidP="005D7B68">
      <w:pPr>
        <w:tabs>
          <w:tab w:val="left" w:pos="567"/>
          <w:tab w:val="left" w:pos="1134"/>
          <w:tab w:val="left" w:pos="1701"/>
          <w:tab w:val="left" w:pos="2268"/>
          <w:tab w:val="left" w:pos="2835"/>
        </w:tabs>
        <w:rPr>
          <w:lang w:val="fr-FR"/>
        </w:rPr>
      </w:pPr>
      <w:r>
        <w:rPr>
          <w:lang w:val="fr-FR"/>
        </w:rPr>
        <w:t>56</w:t>
      </w:r>
      <w:r w:rsidR="004F479B">
        <w:rPr>
          <w:lang w:val="fr-FR"/>
        </w:rPr>
        <w:t>0</w:t>
      </w:r>
      <w:r>
        <w:rPr>
          <w:lang w:val="fr-FR"/>
        </w:rPr>
        <w:t>.</w:t>
      </w:r>
      <w:r>
        <w:rPr>
          <w:lang w:val="fr-FR"/>
        </w:rPr>
        <w:tab/>
        <w:t>Ces deux programmes ont f</w:t>
      </w:r>
      <w:r w:rsidR="00884C7A">
        <w:rPr>
          <w:lang w:val="fr-FR"/>
        </w:rPr>
        <w:t>ait l’objet d’une évaluation, laquelle</w:t>
      </w:r>
      <w:r>
        <w:rPr>
          <w:lang w:val="fr-FR"/>
        </w:rPr>
        <w:t xml:space="preserve"> a révélé une diminution de la délinquance chez les participants qui les ont suivis jusqu’au bout.</w:t>
      </w:r>
    </w:p>
    <w:p w:rsidR="0050795F" w:rsidRDefault="006D4C1F" w:rsidP="005D7B68">
      <w:pPr>
        <w:tabs>
          <w:tab w:val="left" w:pos="567"/>
          <w:tab w:val="left" w:pos="1134"/>
          <w:tab w:val="left" w:pos="1701"/>
          <w:tab w:val="left" w:pos="2268"/>
          <w:tab w:val="left" w:pos="2835"/>
        </w:tabs>
        <w:rPr>
          <w:lang w:val="fr-FR"/>
        </w:rPr>
      </w:pPr>
      <w:r>
        <w:rPr>
          <w:lang w:val="fr-FR"/>
        </w:rPr>
        <w:t>56</w:t>
      </w:r>
      <w:r w:rsidR="004F479B">
        <w:rPr>
          <w:lang w:val="fr-FR"/>
        </w:rPr>
        <w:t>1</w:t>
      </w:r>
      <w:r w:rsidR="00C42990">
        <w:rPr>
          <w:lang w:val="fr-FR"/>
        </w:rPr>
        <w:t>.</w:t>
      </w:r>
      <w:r w:rsidR="00C42990">
        <w:rPr>
          <w:lang w:val="fr-FR"/>
        </w:rPr>
        <w:tab/>
      </w:r>
      <w:r>
        <w:rPr>
          <w:lang w:val="fr-FR"/>
        </w:rPr>
        <w:t xml:space="preserve">En </w:t>
      </w:r>
      <w:r w:rsidR="008E1139">
        <w:rPr>
          <w:lang w:val="fr-FR"/>
        </w:rPr>
        <w:t>Australie méridionale</w:t>
      </w:r>
      <w:r>
        <w:rPr>
          <w:lang w:val="fr-FR"/>
        </w:rPr>
        <w:t>, on exécute également le Pr</w:t>
      </w:r>
      <w:r w:rsidR="00300804">
        <w:rPr>
          <w:lang w:val="fr-FR"/>
        </w:rPr>
        <w:t>ogramme de déjudiciarisation du</w:t>
      </w:r>
      <w:r w:rsidR="00300804">
        <w:rPr>
          <w:i/>
          <w:iCs/>
          <w:lang w:val="fr-FR"/>
        </w:rPr>
        <w:t xml:space="preserve"> </w:t>
      </w:r>
      <w:r w:rsidR="00300804" w:rsidRPr="00300804">
        <w:rPr>
          <w:lang w:val="fr-FR"/>
        </w:rPr>
        <w:t>tribunal de première instance</w:t>
      </w:r>
      <w:r>
        <w:rPr>
          <w:lang w:val="fr-FR"/>
        </w:rPr>
        <w:t xml:space="preserve"> qui prévoit l’orientation vers un traitement et une assistance pour les personnes souffrant de troubles mentaux</w:t>
      </w:r>
      <w:r w:rsidR="008D6B80">
        <w:rPr>
          <w:lang w:val="fr-FR"/>
        </w:rPr>
        <w:t xml:space="preserve">. </w:t>
      </w:r>
      <w:r w:rsidR="00A163EB">
        <w:rPr>
          <w:lang w:val="fr-FR"/>
        </w:rPr>
        <w:t>Une participation concluante au programme de traitement peut valoir à l’</w:t>
      </w:r>
      <w:r w:rsidR="00235D8C">
        <w:rPr>
          <w:lang w:val="fr-FR"/>
        </w:rPr>
        <w:t>intéressé l’abandon des poursuites.</w:t>
      </w:r>
      <w:r>
        <w:rPr>
          <w:lang w:val="fr-FR"/>
        </w:rPr>
        <w:t xml:space="preserve"> </w:t>
      </w:r>
    </w:p>
    <w:p w:rsidR="000860C6" w:rsidRDefault="00C42990" w:rsidP="005D7B68">
      <w:pPr>
        <w:tabs>
          <w:tab w:val="left" w:pos="567"/>
          <w:tab w:val="left" w:pos="1134"/>
          <w:tab w:val="left" w:pos="1701"/>
          <w:tab w:val="left" w:pos="2268"/>
          <w:tab w:val="left" w:pos="2835"/>
        </w:tabs>
        <w:rPr>
          <w:lang w:val="fr-FR"/>
        </w:rPr>
      </w:pPr>
      <w:r>
        <w:rPr>
          <w:lang w:val="fr-FR"/>
        </w:rPr>
        <w:t>56</w:t>
      </w:r>
      <w:r w:rsidR="004F479B">
        <w:rPr>
          <w:lang w:val="fr-FR"/>
        </w:rPr>
        <w:t>2</w:t>
      </w:r>
      <w:r w:rsidR="006D4C1F">
        <w:rPr>
          <w:lang w:val="fr-FR"/>
        </w:rPr>
        <w:t>.</w:t>
      </w:r>
      <w:r>
        <w:rPr>
          <w:lang w:val="fr-FR"/>
        </w:rPr>
        <w:tab/>
        <w:t xml:space="preserve">Depuis 1999, les </w:t>
      </w:r>
      <w:r w:rsidR="00300804">
        <w:rPr>
          <w:lang w:val="fr-FR"/>
        </w:rPr>
        <w:t xml:space="preserve">tribunaux de première instance </w:t>
      </w:r>
      <w:r>
        <w:rPr>
          <w:lang w:val="fr-FR"/>
        </w:rPr>
        <w:t>de Port Adélaïde, Port Augusta, Murray Bridge et Ceduna consacrent régulièrement des jours d’audience aux aborigènes pour les aider à comprendre les options de condamnation à des peines non privatives de liberté et à s’y conformer, et pour les encourager à partic</w:t>
      </w:r>
      <w:r w:rsidR="000860C6">
        <w:rPr>
          <w:lang w:val="fr-FR"/>
        </w:rPr>
        <w:t>i</w:t>
      </w:r>
      <w:r>
        <w:rPr>
          <w:lang w:val="fr-FR"/>
        </w:rPr>
        <w:t>per</w:t>
      </w:r>
      <w:r w:rsidR="000860C6">
        <w:rPr>
          <w:lang w:val="fr-FR"/>
        </w:rPr>
        <w:t xml:space="preserve"> à l’action judiciaire.</w:t>
      </w:r>
    </w:p>
    <w:p w:rsidR="006D4C1F" w:rsidRDefault="000860C6" w:rsidP="005D7B68">
      <w:pPr>
        <w:tabs>
          <w:tab w:val="left" w:pos="567"/>
          <w:tab w:val="left" w:pos="1134"/>
          <w:tab w:val="left" w:pos="1701"/>
          <w:tab w:val="left" w:pos="2268"/>
          <w:tab w:val="left" w:pos="2835"/>
        </w:tabs>
        <w:rPr>
          <w:lang w:val="fr-FR"/>
        </w:rPr>
      </w:pPr>
      <w:r>
        <w:rPr>
          <w:lang w:val="fr-FR"/>
        </w:rPr>
        <w:t>56</w:t>
      </w:r>
      <w:r w:rsidR="004F479B">
        <w:rPr>
          <w:lang w:val="fr-FR"/>
        </w:rPr>
        <w:t>3</w:t>
      </w:r>
      <w:r>
        <w:rPr>
          <w:lang w:val="fr-FR"/>
        </w:rPr>
        <w:t>.</w:t>
      </w:r>
      <w:r>
        <w:rPr>
          <w:lang w:val="fr-FR"/>
        </w:rPr>
        <w:tab/>
        <w:t>En t</w:t>
      </w:r>
      <w:r w:rsidR="00884C7A">
        <w:rPr>
          <w:lang w:val="fr-FR"/>
        </w:rPr>
        <w:t>ant que juridiction établie</w:t>
      </w:r>
      <w:r>
        <w:rPr>
          <w:lang w:val="fr-FR"/>
        </w:rPr>
        <w:t xml:space="preserve"> spécialement pour juger les délinquants aborigènes, le Tribunal aborigène (Nunga) a fait augmenter le taux de comparut</w:t>
      </w:r>
      <w:r w:rsidR="006A4D5D">
        <w:rPr>
          <w:lang w:val="fr-FR"/>
        </w:rPr>
        <w:t>ion des aborigènes, ce qui, par </w:t>
      </w:r>
      <w:r>
        <w:rPr>
          <w:lang w:val="fr-FR"/>
        </w:rPr>
        <w:t>voie de conséquence, a fait diminuer le nombre de mandats d’arr</w:t>
      </w:r>
      <w:r w:rsidR="006A4D5D">
        <w:rPr>
          <w:lang w:val="fr-FR"/>
        </w:rPr>
        <w:t>êt délivrés pour non</w:t>
      </w:r>
      <w:r w:rsidR="006A4D5D">
        <w:rPr>
          <w:lang w:val="fr-FR"/>
        </w:rPr>
        <w:noBreakHyphen/>
      </w:r>
      <w:r w:rsidR="008A1E90">
        <w:rPr>
          <w:lang w:val="fr-FR"/>
        </w:rPr>
        <w:t>com</w:t>
      </w:r>
      <w:r w:rsidR="00884C7A">
        <w:rPr>
          <w:lang w:val="fr-FR"/>
        </w:rPr>
        <w:t xml:space="preserve">parution et </w:t>
      </w:r>
      <w:r w:rsidR="0049323F">
        <w:rPr>
          <w:lang w:val="fr-FR"/>
        </w:rPr>
        <w:t>les peines d’emprisonnement y afférentes.</w:t>
      </w:r>
    </w:p>
    <w:p w:rsidR="00ED6AE4" w:rsidRDefault="00ED6AE4" w:rsidP="005D7B68">
      <w:pPr>
        <w:tabs>
          <w:tab w:val="left" w:pos="567"/>
          <w:tab w:val="left" w:pos="1134"/>
          <w:tab w:val="left" w:pos="1701"/>
          <w:tab w:val="left" w:pos="2268"/>
          <w:tab w:val="left" w:pos="2835"/>
        </w:tabs>
        <w:rPr>
          <w:b/>
          <w:bCs/>
          <w:lang w:val="fr-FR"/>
        </w:rPr>
      </w:pPr>
      <w:r>
        <w:rPr>
          <w:b/>
          <w:bCs/>
          <w:lang w:val="fr-FR"/>
        </w:rPr>
        <w:t>Tasmanie</w:t>
      </w:r>
    </w:p>
    <w:p w:rsidR="00ED6AE4" w:rsidRDefault="00ED6AE4" w:rsidP="005D7B68">
      <w:pPr>
        <w:tabs>
          <w:tab w:val="left" w:pos="567"/>
          <w:tab w:val="left" w:pos="1134"/>
          <w:tab w:val="left" w:pos="1701"/>
          <w:tab w:val="left" w:pos="2268"/>
          <w:tab w:val="left" w:pos="2835"/>
        </w:tabs>
        <w:rPr>
          <w:lang w:val="fr-FR"/>
        </w:rPr>
      </w:pPr>
      <w:r>
        <w:rPr>
          <w:lang w:val="fr-FR"/>
        </w:rPr>
        <w:t>56</w:t>
      </w:r>
      <w:r w:rsidR="004F479B">
        <w:rPr>
          <w:lang w:val="fr-FR"/>
        </w:rPr>
        <w:t>4</w:t>
      </w:r>
      <w:r>
        <w:rPr>
          <w:lang w:val="fr-FR"/>
        </w:rPr>
        <w:t>.</w:t>
      </w:r>
      <w:r>
        <w:rPr>
          <w:lang w:val="fr-FR"/>
        </w:rPr>
        <w:tab/>
        <w:t>Les fonctionnaires de police bénéficient d’une bonne formation en matière de droits des personnes privées de liberté et des obligations et procédures de prise en charge qui leur sont liées</w:t>
      </w:r>
      <w:r w:rsidR="008D6B80">
        <w:rPr>
          <w:lang w:val="fr-FR"/>
        </w:rPr>
        <w:t xml:space="preserve">. </w:t>
      </w:r>
      <w:r>
        <w:rPr>
          <w:lang w:val="fr-FR"/>
        </w:rPr>
        <w:t>La privation de liberté des personnes vulnérables est opérée sous surveillance.</w:t>
      </w:r>
    </w:p>
    <w:p w:rsidR="00ED6AE4" w:rsidRDefault="00ED6AE4" w:rsidP="005D7B68">
      <w:pPr>
        <w:tabs>
          <w:tab w:val="left" w:pos="567"/>
          <w:tab w:val="left" w:pos="1134"/>
          <w:tab w:val="left" w:pos="1701"/>
          <w:tab w:val="left" w:pos="2268"/>
          <w:tab w:val="left" w:pos="2835"/>
        </w:tabs>
        <w:rPr>
          <w:lang w:val="fr-FR"/>
        </w:rPr>
      </w:pPr>
      <w:r>
        <w:rPr>
          <w:lang w:val="fr-FR"/>
        </w:rPr>
        <w:t>56</w:t>
      </w:r>
      <w:r w:rsidR="004F479B">
        <w:rPr>
          <w:lang w:val="fr-FR"/>
        </w:rPr>
        <w:t>5</w:t>
      </w:r>
      <w:r>
        <w:rPr>
          <w:lang w:val="fr-FR"/>
        </w:rPr>
        <w:t>.</w:t>
      </w:r>
      <w:r>
        <w:rPr>
          <w:lang w:val="fr-FR"/>
        </w:rPr>
        <w:tab/>
      </w:r>
      <w:r w:rsidR="003E6546">
        <w:rPr>
          <w:lang w:val="fr-FR"/>
        </w:rPr>
        <w:t>Des procédures ont été mises en place pour imposer que les femmes ne soient fouillées que par des fonctionnaires de police de sexe féminin et, au cas où il ne s’en trouve pas sur place, qu’un agent féminin soit appelée à reprendre son service</w:t>
      </w:r>
      <w:r w:rsidR="008D6B80">
        <w:rPr>
          <w:lang w:val="fr-FR"/>
        </w:rPr>
        <w:t xml:space="preserve">. </w:t>
      </w:r>
      <w:r w:rsidR="003E6546">
        <w:rPr>
          <w:lang w:val="fr-FR"/>
        </w:rPr>
        <w:t>La procédure relative à la garde à vue</w:t>
      </w:r>
      <w:r w:rsidR="00362F16">
        <w:rPr>
          <w:lang w:val="fr-FR"/>
        </w:rPr>
        <w:t xml:space="preserve"> prévoit que les personnes qui sont dans cette situation doivent faire l’objet d’une surveillance indépendante,</w:t>
      </w:r>
      <w:r w:rsidR="00362F16">
        <w:rPr>
          <w:color w:val="0000FF"/>
          <w:lang w:val="fr-FR"/>
        </w:rPr>
        <w:t xml:space="preserve"> </w:t>
      </w:r>
      <w:r w:rsidR="00362F16" w:rsidRPr="00B0649A">
        <w:rPr>
          <w:lang w:val="fr-FR"/>
        </w:rPr>
        <w:t xml:space="preserve">y compris </w:t>
      </w:r>
      <w:r w:rsidR="00B0649A" w:rsidRPr="00B0649A">
        <w:rPr>
          <w:lang w:val="fr-FR"/>
        </w:rPr>
        <w:t>pendant la phase de validation de la mesure de détention provisoire</w:t>
      </w:r>
      <w:r w:rsidR="008D6B80">
        <w:rPr>
          <w:lang w:val="fr-FR"/>
        </w:rPr>
        <w:t xml:space="preserve">. </w:t>
      </w:r>
      <w:r w:rsidR="006A4D5D">
        <w:rPr>
          <w:lang w:val="fr-FR"/>
        </w:rPr>
        <w:t>Les </w:t>
      </w:r>
      <w:r w:rsidR="00362F16" w:rsidRPr="00B0649A">
        <w:rPr>
          <w:lang w:val="fr-FR"/>
        </w:rPr>
        <w:t>d</w:t>
      </w:r>
      <w:r w:rsidR="00362F16">
        <w:rPr>
          <w:lang w:val="fr-FR"/>
        </w:rPr>
        <w:t>étenus font l’objet d’une classi</w:t>
      </w:r>
      <w:r w:rsidR="00884C7A">
        <w:rPr>
          <w:lang w:val="fr-FR"/>
        </w:rPr>
        <w:t>fication adéquate en fonction</w:t>
      </w:r>
      <w:r w:rsidR="00362F16">
        <w:rPr>
          <w:lang w:val="fr-FR"/>
        </w:rPr>
        <w:t xml:space="preserve"> de laquelle il est pourvu à leur bien-être et répondu à leurs autres besoins en matière</w:t>
      </w:r>
      <w:r w:rsidR="00884C7A">
        <w:rPr>
          <w:lang w:val="fr-FR"/>
        </w:rPr>
        <w:t xml:space="preserve"> de vulnérabilité, de maladies et </w:t>
      </w:r>
      <w:r w:rsidR="00362F16">
        <w:rPr>
          <w:lang w:val="fr-FR"/>
        </w:rPr>
        <w:t>d’évaluation des risques</w:t>
      </w:r>
      <w:r w:rsidR="008D6B80">
        <w:rPr>
          <w:color w:val="0000FF"/>
          <w:lang w:val="fr-FR"/>
        </w:rPr>
        <w:t xml:space="preserve">. </w:t>
      </w:r>
      <w:r w:rsidR="00362F16" w:rsidRPr="00362F16">
        <w:rPr>
          <w:lang w:val="fr-FR"/>
        </w:rPr>
        <w:t xml:space="preserve">Ils peuvent être envoyés à l’hôpital ou dans d’autres établissements </w:t>
      </w:r>
      <w:r w:rsidR="00362F16">
        <w:rPr>
          <w:lang w:val="fr-FR"/>
        </w:rPr>
        <w:t>médicaux en cas de nécessité</w:t>
      </w:r>
      <w:r w:rsidR="008D6B80">
        <w:rPr>
          <w:lang w:val="fr-FR"/>
        </w:rPr>
        <w:t xml:space="preserve">. </w:t>
      </w:r>
      <w:r w:rsidR="00362F16">
        <w:rPr>
          <w:lang w:val="fr-FR"/>
        </w:rPr>
        <w:t>Les femmes sont détenues à l’écart des hommes</w:t>
      </w:r>
      <w:r w:rsidR="00735A38">
        <w:rPr>
          <w:lang w:val="fr-FR"/>
        </w:rPr>
        <w:t xml:space="preserve"> et la </w:t>
      </w:r>
      <w:r w:rsidR="00735A38" w:rsidRPr="00884C7A">
        <w:rPr>
          <w:lang w:val="fr-FR"/>
        </w:rPr>
        <w:t xml:space="preserve">loi de 1997 sur la justice pour mineurs </w:t>
      </w:r>
      <w:r w:rsidR="00735A38">
        <w:rPr>
          <w:lang w:val="fr-FR"/>
        </w:rPr>
        <w:t>(Tasmanie) dispose que les je</w:t>
      </w:r>
      <w:r w:rsidR="00841165">
        <w:rPr>
          <w:lang w:val="fr-FR"/>
        </w:rPr>
        <w:t xml:space="preserve">unes (âgés de moins de 18 ans) </w:t>
      </w:r>
      <w:r w:rsidR="00735A38">
        <w:rPr>
          <w:lang w:val="fr-FR"/>
        </w:rPr>
        <w:t>doivent être détenus à l’écart des adultes.</w:t>
      </w:r>
    </w:p>
    <w:p w:rsidR="00735A38" w:rsidRDefault="00735A38" w:rsidP="005D7B68">
      <w:pPr>
        <w:tabs>
          <w:tab w:val="left" w:pos="567"/>
          <w:tab w:val="left" w:pos="1134"/>
          <w:tab w:val="left" w:pos="1701"/>
          <w:tab w:val="left" w:pos="2268"/>
          <w:tab w:val="left" w:pos="2835"/>
        </w:tabs>
        <w:rPr>
          <w:lang w:val="fr-FR"/>
        </w:rPr>
      </w:pPr>
      <w:r>
        <w:rPr>
          <w:lang w:val="fr-FR"/>
        </w:rPr>
        <w:t>56</w:t>
      </w:r>
      <w:r w:rsidR="004F479B">
        <w:rPr>
          <w:lang w:val="fr-FR"/>
        </w:rPr>
        <w:t>6</w:t>
      </w:r>
      <w:r>
        <w:rPr>
          <w:lang w:val="fr-FR"/>
        </w:rPr>
        <w:t>.</w:t>
      </w:r>
      <w:r>
        <w:rPr>
          <w:lang w:val="fr-FR"/>
        </w:rPr>
        <w:tab/>
        <w:t>La police de Tasmanie a conclu un certain nombre de mémorandums d’accord et dispose d’agents de liaison pour faire en sorte que les personnes souffrant de troubles mentaux soient prises en charge selon des protocoles appropriés.</w:t>
      </w:r>
    </w:p>
    <w:p w:rsidR="00735A38" w:rsidRPr="00735A38" w:rsidRDefault="00735A38" w:rsidP="005D7B68">
      <w:pPr>
        <w:tabs>
          <w:tab w:val="left" w:pos="567"/>
          <w:tab w:val="left" w:pos="1134"/>
          <w:tab w:val="left" w:pos="1701"/>
          <w:tab w:val="left" w:pos="2268"/>
          <w:tab w:val="left" w:pos="2835"/>
        </w:tabs>
        <w:rPr>
          <w:lang w:val="fr-FR"/>
        </w:rPr>
      </w:pPr>
      <w:r>
        <w:rPr>
          <w:lang w:val="fr-FR"/>
        </w:rPr>
        <w:t>56</w:t>
      </w:r>
      <w:r w:rsidR="004F479B">
        <w:rPr>
          <w:lang w:val="fr-FR"/>
        </w:rPr>
        <w:t>7</w:t>
      </w:r>
      <w:r w:rsidR="00884C7A">
        <w:rPr>
          <w:lang w:val="fr-FR"/>
        </w:rPr>
        <w:t>.</w:t>
      </w:r>
      <w:r w:rsidR="00884C7A">
        <w:rPr>
          <w:lang w:val="fr-FR"/>
        </w:rPr>
        <w:tab/>
        <w:t>De même, elle</w:t>
      </w:r>
      <w:r>
        <w:rPr>
          <w:lang w:val="fr-FR"/>
        </w:rPr>
        <w:t xml:space="preserve"> a pour politique, sous réserve de circonstances exceptionnelles ou de prescriptions contraires imposées par la loi, de mettre les aborigènes en liberté sous caution dès que possible et non de les placer en garde à vue dans des cellules.</w:t>
      </w:r>
    </w:p>
    <w:p w:rsidR="00E5632B" w:rsidRDefault="00735A38" w:rsidP="005D7B68">
      <w:pPr>
        <w:tabs>
          <w:tab w:val="left" w:pos="567"/>
          <w:tab w:val="left" w:pos="1134"/>
          <w:tab w:val="left" w:pos="1701"/>
          <w:tab w:val="left" w:pos="2268"/>
          <w:tab w:val="left" w:pos="2835"/>
        </w:tabs>
        <w:rPr>
          <w:lang w:val="fr-FR"/>
        </w:rPr>
      </w:pPr>
      <w:r>
        <w:rPr>
          <w:lang w:val="fr-FR"/>
        </w:rPr>
        <w:t>56</w:t>
      </w:r>
      <w:r w:rsidR="004F479B">
        <w:rPr>
          <w:lang w:val="fr-FR"/>
        </w:rPr>
        <w:t>8</w:t>
      </w:r>
      <w:r>
        <w:rPr>
          <w:lang w:val="fr-FR"/>
        </w:rPr>
        <w:t>.</w:t>
      </w:r>
      <w:r>
        <w:rPr>
          <w:lang w:val="fr-FR"/>
        </w:rPr>
        <w:tab/>
        <w:t>Au cas où il soit nécessaire</w:t>
      </w:r>
      <w:r w:rsidR="0055060D">
        <w:rPr>
          <w:lang w:val="fr-FR"/>
        </w:rPr>
        <w:t xml:space="preserve"> de placer un aborigène en garde à vue et de l’interroger, le premier fonctionnaire de police </w:t>
      </w:r>
      <w:r w:rsidR="00B0649A" w:rsidRPr="00B0649A">
        <w:rPr>
          <w:lang w:val="fr-FR"/>
        </w:rPr>
        <w:t>en charge</w:t>
      </w:r>
      <w:r w:rsidR="0055060D">
        <w:rPr>
          <w:lang w:val="fr-FR"/>
        </w:rPr>
        <w:t xml:space="preserve"> de la garde à vue, ou le gradé qui procède à l’interrogatoire si cette personne n’est pas en garde à vue, est tenu de faire tout son possible aux fins suivantes</w:t>
      </w:r>
      <w:r w:rsidR="00572260">
        <w:rPr>
          <w:lang w:val="fr-FR"/>
        </w:rPr>
        <w:t>:</w:t>
      </w:r>
    </w:p>
    <w:p w:rsidR="0055060D" w:rsidRDefault="00884C7A" w:rsidP="005D7B68">
      <w:pPr>
        <w:tabs>
          <w:tab w:val="left" w:pos="567"/>
          <w:tab w:val="left" w:pos="1134"/>
          <w:tab w:val="left" w:pos="1701"/>
          <w:tab w:val="left" w:pos="2268"/>
          <w:tab w:val="left" w:pos="2835"/>
        </w:tabs>
        <w:rPr>
          <w:lang w:val="fr-FR"/>
        </w:rPr>
      </w:pPr>
      <w:r>
        <w:rPr>
          <w:lang w:val="fr-FR"/>
        </w:rPr>
        <w:tab/>
        <w:t>a)</w:t>
      </w:r>
      <w:r>
        <w:rPr>
          <w:lang w:val="fr-FR"/>
        </w:rPr>
        <w:tab/>
        <w:t>P</w:t>
      </w:r>
      <w:r w:rsidR="0055060D">
        <w:rPr>
          <w:lang w:val="fr-FR"/>
        </w:rPr>
        <w:t>révenir un membre de la famille ou un ami, ainsi que le Service juridique aborigène</w:t>
      </w:r>
      <w:r w:rsidR="00572260">
        <w:rPr>
          <w:lang w:val="fr-FR"/>
        </w:rPr>
        <w:t>;</w:t>
      </w:r>
    </w:p>
    <w:p w:rsidR="0055060D" w:rsidRDefault="00884C7A" w:rsidP="005D7B68">
      <w:pPr>
        <w:tabs>
          <w:tab w:val="left" w:pos="567"/>
          <w:tab w:val="left" w:pos="1134"/>
          <w:tab w:val="left" w:pos="1701"/>
          <w:tab w:val="left" w:pos="2268"/>
          <w:tab w:val="left" w:pos="2835"/>
        </w:tabs>
        <w:rPr>
          <w:lang w:val="fr-FR"/>
        </w:rPr>
      </w:pPr>
      <w:r>
        <w:rPr>
          <w:lang w:val="fr-FR"/>
        </w:rPr>
        <w:tab/>
        <w:t>b)</w:t>
      </w:r>
      <w:r>
        <w:rPr>
          <w:lang w:val="fr-FR"/>
        </w:rPr>
        <w:tab/>
        <w:t>S</w:t>
      </w:r>
      <w:r w:rsidR="0055060D">
        <w:rPr>
          <w:lang w:val="fr-FR"/>
        </w:rPr>
        <w:t>i la présence de l’une de ces personnes est requise, prendre toutes les mesures</w:t>
      </w:r>
      <w:r w:rsidR="00907F79">
        <w:rPr>
          <w:lang w:val="fr-FR"/>
        </w:rPr>
        <w:t xml:space="preserve"> possibles pour qu’elle puisse venir</w:t>
      </w:r>
      <w:r w:rsidR="00572260">
        <w:rPr>
          <w:lang w:val="fr-FR"/>
        </w:rPr>
        <w:t>;</w:t>
      </w:r>
      <w:r w:rsidR="00907F79">
        <w:rPr>
          <w:lang w:val="fr-FR"/>
        </w:rPr>
        <w:t xml:space="preserve"> et</w:t>
      </w:r>
    </w:p>
    <w:p w:rsidR="00907F79" w:rsidRDefault="00884C7A" w:rsidP="005D7B68">
      <w:pPr>
        <w:tabs>
          <w:tab w:val="left" w:pos="567"/>
          <w:tab w:val="left" w:pos="1134"/>
          <w:tab w:val="left" w:pos="1701"/>
          <w:tab w:val="left" w:pos="2268"/>
          <w:tab w:val="left" w:pos="2835"/>
        </w:tabs>
        <w:rPr>
          <w:lang w:val="fr-FR"/>
        </w:rPr>
      </w:pPr>
      <w:r>
        <w:rPr>
          <w:lang w:val="fr-FR"/>
        </w:rPr>
        <w:tab/>
        <w:t>c)</w:t>
      </w:r>
      <w:r>
        <w:rPr>
          <w:lang w:val="fr-FR"/>
        </w:rPr>
        <w:tab/>
        <w:t>I</w:t>
      </w:r>
      <w:r w:rsidR="00907F79">
        <w:rPr>
          <w:lang w:val="fr-FR"/>
        </w:rPr>
        <w:t>nformer l’agent de liaison aborigène de district ou le Coordinateur de liaison aborigène de la police de Tasmanie de tous les faits importants.</w:t>
      </w:r>
    </w:p>
    <w:p w:rsidR="00907F79" w:rsidRDefault="00907F79" w:rsidP="005D7B68">
      <w:pPr>
        <w:tabs>
          <w:tab w:val="left" w:pos="567"/>
          <w:tab w:val="left" w:pos="1134"/>
          <w:tab w:val="left" w:pos="1701"/>
          <w:tab w:val="left" w:pos="2268"/>
          <w:tab w:val="left" w:pos="2835"/>
        </w:tabs>
        <w:rPr>
          <w:lang w:val="fr-FR"/>
        </w:rPr>
      </w:pPr>
      <w:r>
        <w:rPr>
          <w:lang w:val="fr-FR"/>
        </w:rPr>
        <w:t>5</w:t>
      </w:r>
      <w:r w:rsidR="004F479B">
        <w:rPr>
          <w:lang w:val="fr-FR"/>
        </w:rPr>
        <w:t>69</w:t>
      </w:r>
      <w:r>
        <w:rPr>
          <w:lang w:val="fr-FR"/>
        </w:rPr>
        <w:t>.</w:t>
      </w:r>
      <w:r>
        <w:rPr>
          <w:lang w:val="fr-FR"/>
        </w:rPr>
        <w:tab/>
        <w:t>Les fonctionnaires de police sont soumis aux</w:t>
      </w:r>
      <w:r w:rsidR="001F2FB1">
        <w:rPr>
          <w:lang w:val="fr-FR"/>
        </w:rPr>
        <w:t xml:space="preserve"> dispositions du Code de conduite en vertu de la </w:t>
      </w:r>
      <w:r w:rsidR="001F2FB1" w:rsidRPr="00884C7A">
        <w:rPr>
          <w:lang w:val="fr-FR"/>
        </w:rPr>
        <w:t>loi de 2003 sur les services de police</w:t>
      </w:r>
      <w:r w:rsidR="001F2FB1">
        <w:rPr>
          <w:lang w:val="fr-FR"/>
        </w:rPr>
        <w:t xml:space="preserve"> (Tasmanie), qui prévoit d’importantes sanctions (amendes, </w:t>
      </w:r>
      <w:r w:rsidR="00FF617E">
        <w:rPr>
          <w:lang w:val="fr-FR"/>
        </w:rPr>
        <w:t>rétrogradation ou radiation) en cas d’infraction.</w:t>
      </w:r>
    </w:p>
    <w:p w:rsidR="00FF617E" w:rsidRDefault="00FF617E" w:rsidP="005D7B68">
      <w:pPr>
        <w:tabs>
          <w:tab w:val="left" w:pos="567"/>
          <w:tab w:val="left" w:pos="1134"/>
          <w:tab w:val="left" w:pos="1701"/>
          <w:tab w:val="left" w:pos="2268"/>
          <w:tab w:val="left" w:pos="2835"/>
        </w:tabs>
        <w:rPr>
          <w:lang w:val="fr-FR"/>
        </w:rPr>
      </w:pPr>
      <w:r>
        <w:rPr>
          <w:lang w:val="fr-FR"/>
        </w:rPr>
        <w:t>57</w:t>
      </w:r>
      <w:r w:rsidR="004F479B">
        <w:rPr>
          <w:lang w:val="fr-FR"/>
        </w:rPr>
        <w:t>0</w:t>
      </w:r>
      <w:r>
        <w:rPr>
          <w:lang w:val="fr-FR"/>
        </w:rPr>
        <w:t>.</w:t>
      </w:r>
      <w:r>
        <w:rPr>
          <w:lang w:val="fr-FR"/>
        </w:rPr>
        <w:tab/>
        <w:t xml:space="preserve">La </w:t>
      </w:r>
      <w:r w:rsidRPr="00884C7A">
        <w:rPr>
          <w:lang w:val="fr-FR"/>
        </w:rPr>
        <w:t>loi de 1996 sur la santé mentale</w:t>
      </w:r>
      <w:r>
        <w:rPr>
          <w:lang w:val="fr-FR"/>
        </w:rPr>
        <w:t xml:space="preserve"> (Tasmanie) régit la détention et la prise en charge des patients internés</w:t>
      </w:r>
      <w:r w:rsidR="00884C7A">
        <w:rPr>
          <w:lang w:val="fr-FR"/>
        </w:rPr>
        <w:t xml:space="preserve"> d’office et de ceux qui relève</w:t>
      </w:r>
      <w:r>
        <w:rPr>
          <w:lang w:val="fr-FR"/>
        </w:rPr>
        <w:t>nt de la médecine médico-légale</w:t>
      </w:r>
      <w:r w:rsidR="008D6B80">
        <w:rPr>
          <w:lang w:val="fr-FR"/>
        </w:rPr>
        <w:t xml:space="preserve">. </w:t>
      </w:r>
      <w:r>
        <w:rPr>
          <w:lang w:val="fr-FR"/>
        </w:rPr>
        <w:t>Elle tient compte des ob</w:t>
      </w:r>
      <w:r w:rsidR="00B6451B">
        <w:rPr>
          <w:lang w:val="fr-FR"/>
        </w:rPr>
        <w:t>ligations figura</w:t>
      </w:r>
      <w:r>
        <w:rPr>
          <w:lang w:val="fr-FR"/>
        </w:rPr>
        <w:t>nt dans les conventions internationales, vise à protéger les droits de l’homme fondamentaux et contient de nombreuses garanties</w:t>
      </w:r>
      <w:r w:rsidR="00572260">
        <w:rPr>
          <w:lang w:val="fr-FR"/>
        </w:rPr>
        <w:t>:</w:t>
      </w:r>
    </w:p>
    <w:p w:rsidR="00FF617E" w:rsidRDefault="00FF617E" w:rsidP="005D7B68">
      <w:pPr>
        <w:tabs>
          <w:tab w:val="left" w:pos="567"/>
          <w:tab w:val="left" w:pos="1134"/>
          <w:tab w:val="left" w:pos="1701"/>
          <w:tab w:val="left" w:pos="2268"/>
          <w:tab w:val="left" w:pos="2835"/>
        </w:tabs>
        <w:rPr>
          <w:lang w:val="fr-FR"/>
        </w:rPr>
      </w:pPr>
      <w:r>
        <w:rPr>
          <w:lang w:val="fr-FR"/>
        </w:rPr>
        <w:tab/>
        <w:t>a)</w:t>
      </w:r>
      <w:r>
        <w:rPr>
          <w:lang w:val="fr-FR"/>
        </w:rPr>
        <w:tab/>
        <w:t>Elle précise le rôle du psychiatre principal</w:t>
      </w:r>
      <w:r w:rsidR="00B6451B">
        <w:rPr>
          <w:lang w:val="fr-FR"/>
        </w:rPr>
        <w:t>, lequel</w:t>
      </w:r>
      <w:r w:rsidR="004F778E">
        <w:rPr>
          <w:lang w:val="fr-FR"/>
        </w:rPr>
        <w:t xml:space="preserve"> adresse un rapport au Secrétaire du Département de la santé et des </w:t>
      </w:r>
      <w:r w:rsidR="00972E1C">
        <w:rPr>
          <w:lang w:val="fr-FR"/>
        </w:rPr>
        <w:t>services sociaux</w:t>
      </w:r>
      <w:r w:rsidR="004F778E">
        <w:rPr>
          <w:lang w:val="fr-FR"/>
        </w:rPr>
        <w:t xml:space="preserve"> sur la prise en charge des patients qui relèvent de la médecine </w:t>
      </w:r>
      <w:r w:rsidR="00B6451B">
        <w:rPr>
          <w:lang w:val="fr-FR"/>
        </w:rPr>
        <w:t>légale et des personnes faisant</w:t>
      </w:r>
      <w:r w:rsidR="004F778E">
        <w:rPr>
          <w:lang w:val="fr-FR"/>
        </w:rPr>
        <w:t xml:space="preserve"> l’objet d’une mise sous contr</w:t>
      </w:r>
      <w:r w:rsidR="00C04F02">
        <w:rPr>
          <w:lang w:val="fr-FR"/>
        </w:rPr>
        <w:t>ôle judiciaire et indique si les dispositions de la loi sont respectées en ce qui concerne ces deux catégories de patients, ainsi que les s</w:t>
      </w:r>
      <w:r w:rsidR="006A4D5D">
        <w:rPr>
          <w:lang w:val="fr-FR"/>
        </w:rPr>
        <w:t>ervices de santé mentale fermés;</w:t>
      </w:r>
    </w:p>
    <w:p w:rsidR="006A4D5D" w:rsidRDefault="00C04F02" w:rsidP="005D7B68">
      <w:pPr>
        <w:tabs>
          <w:tab w:val="left" w:pos="567"/>
          <w:tab w:val="left" w:pos="1134"/>
          <w:tab w:val="left" w:pos="1701"/>
          <w:tab w:val="left" w:pos="2268"/>
          <w:tab w:val="left" w:pos="2835"/>
        </w:tabs>
        <w:rPr>
          <w:color w:val="0000FF"/>
          <w:lang w:val="fr-FR"/>
        </w:rPr>
      </w:pPr>
      <w:r>
        <w:rPr>
          <w:lang w:val="fr-FR"/>
        </w:rPr>
        <w:tab/>
        <w:t>b)</w:t>
      </w:r>
      <w:r>
        <w:rPr>
          <w:lang w:val="fr-FR"/>
        </w:rPr>
        <w:tab/>
        <w:t>Elle régit l’agr</w:t>
      </w:r>
      <w:r w:rsidR="00B0649A">
        <w:rPr>
          <w:lang w:val="fr-FR"/>
        </w:rPr>
        <w:t>ément et le fonctionnement d’une unité de santé mentale fermée</w:t>
      </w:r>
      <w:r w:rsidR="006A4D5D">
        <w:rPr>
          <w:color w:val="0000FF"/>
          <w:lang w:val="fr-FR"/>
        </w:rPr>
        <w:t>;</w:t>
      </w:r>
    </w:p>
    <w:p w:rsidR="00C04F02" w:rsidRDefault="00C04F02" w:rsidP="005D7B68">
      <w:pPr>
        <w:tabs>
          <w:tab w:val="left" w:pos="567"/>
          <w:tab w:val="left" w:pos="1134"/>
          <w:tab w:val="left" w:pos="1701"/>
          <w:tab w:val="left" w:pos="2268"/>
          <w:tab w:val="left" w:pos="2835"/>
        </w:tabs>
        <w:rPr>
          <w:color w:val="0000FF"/>
          <w:lang w:val="fr-FR"/>
        </w:rPr>
      </w:pPr>
      <w:r>
        <w:rPr>
          <w:color w:val="0000FF"/>
          <w:lang w:val="fr-FR"/>
        </w:rPr>
        <w:tab/>
      </w:r>
      <w:r>
        <w:rPr>
          <w:lang w:val="fr-FR"/>
        </w:rPr>
        <w:t>c)</w:t>
      </w:r>
      <w:r>
        <w:rPr>
          <w:lang w:val="fr-FR"/>
        </w:rPr>
        <w:tab/>
        <w:t xml:space="preserve"> Elle régit l</w:t>
      </w:r>
      <w:r w:rsidR="00B0649A">
        <w:rPr>
          <w:lang w:val="fr-FR"/>
        </w:rPr>
        <w:t>’admission des patients dans une unité de santé mentale fermée</w:t>
      </w:r>
      <w:r w:rsidR="00501E5E">
        <w:rPr>
          <w:lang w:val="fr-FR"/>
        </w:rPr>
        <w:t>, la prise en charge et le tr</w:t>
      </w:r>
      <w:r>
        <w:rPr>
          <w:lang w:val="fr-FR"/>
        </w:rPr>
        <w:t>aitement des patients qui s’y trouvent,</w:t>
      </w:r>
      <w:r w:rsidR="002F07DF">
        <w:rPr>
          <w:lang w:val="fr-FR"/>
        </w:rPr>
        <w:t xml:space="preserve"> l’autorisation de sortie temporaire des patients relevant de la médecine légale, la sortie et la libération des patients internés dans un</w:t>
      </w:r>
      <w:r w:rsidR="00B0649A">
        <w:rPr>
          <w:lang w:val="fr-FR"/>
        </w:rPr>
        <w:t>e unité de santé mentale fermée</w:t>
      </w:r>
      <w:r w:rsidR="006A4D5D">
        <w:rPr>
          <w:color w:val="0000FF"/>
          <w:lang w:val="fr-FR"/>
        </w:rPr>
        <w:t>;</w:t>
      </w:r>
    </w:p>
    <w:p w:rsidR="00BC2D0E" w:rsidRDefault="00BC2D0E" w:rsidP="005D7B68">
      <w:pPr>
        <w:tabs>
          <w:tab w:val="left" w:pos="567"/>
          <w:tab w:val="left" w:pos="1134"/>
          <w:tab w:val="left" w:pos="1701"/>
          <w:tab w:val="left" w:pos="2268"/>
          <w:tab w:val="left" w:pos="2835"/>
        </w:tabs>
        <w:rPr>
          <w:lang w:val="fr-FR"/>
        </w:rPr>
      </w:pPr>
      <w:r>
        <w:rPr>
          <w:color w:val="0000FF"/>
          <w:lang w:val="fr-FR"/>
        </w:rPr>
        <w:tab/>
      </w:r>
      <w:r>
        <w:rPr>
          <w:lang w:val="fr-FR"/>
        </w:rPr>
        <w:t>d)</w:t>
      </w:r>
      <w:r>
        <w:rPr>
          <w:lang w:val="fr-FR"/>
        </w:rPr>
        <w:tab/>
        <w:t>Elle régit l’application et l’administration des ordonnances de soins prolongés et de traitement en communauté</w:t>
      </w:r>
      <w:r w:rsidR="00FF6C21">
        <w:rPr>
          <w:lang w:val="fr-FR"/>
        </w:rPr>
        <w:t>.</w:t>
      </w:r>
    </w:p>
    <w:p w:rsidR="00FF6C21" w:rsidRDefault="00FF6C21" w:rsidP="005D7B68">
      <w:pPr>
        <w:tabs>
          <w:tab w:val="left" w:pos="567"/>
          <w:tab w:val="left" w:pos="1134"/>
          <w:tab w:val="left" w:pos="1701"/>
          <w:tab w:val="left" w:pos="2268"/>
          <w:tab w:val="left" w:pos="2835"/>
        </w:tabs>
        <w:rPr>
          <w:lang w:val="fr-FR"/>
        </w:rPr>
      </w:pPr>
      <w:r>
        <w:rPr>
          <w:lang w:val="fr-FR"/>
        </w:rPr>
        <w:tab/>
        <w:t>e)</w:t>
      </w:r>
      <w:r>
        <w:rPr>
          <w:lang w:val="fr-FR"/>
        </w:rPr>
        <w:tab/>
        <w:t xml:space="preserve">Elle régit le fonctionnement du </w:t>
      </w:r>
      <w:r>
        <w:rPr>
          <w:i/>
          <w:iCs/>
          <w:lang w:val="fr-FR"/>
        </w:rPr>
        <w:t xml:space="preserve">Mental Health Tribunal </w:t>
      </w:r>
      <w:r>
        <w:rPr>
          <w:lang w:val="fr-FR"/>
        </w:rPr>
        <w:t xml:space="preserve">(Tribunal ayant à connaître des affaires liées à la santé mentale) et du </w:t>
      </w:r>
      <w:r w:rsidRPr="00FF6C21">
        <w:rPr>
          <w:i/>
          <w:iCs/>
          <w:lang w:val="fr-FR"/>
        </w:rPr>
        <w:t>Forensic Tribunal</w:t>
      </w:r>
      <w:r>
        <w:rPr>
          <w:lang w:val="fr-FR"/>
        </w:rPr>
        <w:t xml:space="preserve"> (Tribunal ayant à connaître des affaires relevant de la médecine légale)</w:t>
      </w:r>
      <w:r w:rsidR="008D6B80">
        <w:rPr>
          <w:lang w:val="fr-FR"/>
        </w:rPr>
        <w:t xml:space="preserve">. </w:t>
      </w:r>
      <w:r>
        <w:rPr>
          <w:lang w:val="fr-FR"/>
        </w:rPr>
        <w:t>Le premier assure le contrôle des patients internés d’office</w:t>
      </w:r>
      <w:r w:rsidR="00B6451B">
        <w:rPr>
          <w:lang w:val="fr-FR"/>
        </w:rPr>
        <w:t>, le second celui</w:t>
      </w:r>
      <w:r w:rsidR="00D523E5">
        <w:rPr>
          <w:lang w:val="fr-FR"/>
        </w:rPr>
        <w:t xml:space="preserve"> des patients r</w:t>
      </w:r>
      <w:r w:rsidR="00B6451B">
        <w:rPr>
          <w:lang w:val="fr-FR"/>
        </w:rPr>
        <w:t>elevant de la médecine légale en exerçant</w:t>
      </w:r>
      <w:r w:rsidR="00D523E5">
        <w:rPr>
          <w:lang w:val="fr-FR"/>
        </w:rPr>
        <w:t xml:space="preserve"> des responsabilités particulières à leur égard.</w:t>
      </w:r>
    </w:p>
    <w:p w:rsidR="00D523E5" w:rsidRDefault="00D523E5" w:rsidP="005D7B68">
      <w:pPr>
        <w:tabs>
          <w:tab w:val="left" w:pos="567"/>
          <w:tab w:val="left" w:pos="1134"/>
          <w:tab w:val="left" w:pos="1701"/>
          <w:tab w:val="left" w:pos="2268"/>
          <w:tab w:val="left" w:pos="2835"/>
        </w:tabs>
        <w:rPr>
          <w:lang w:val="fr-FR"/>
        </w:rPr>
      </w:pPr>
      <w:r>
        <w:rPr>
          <w:lang w:val="fr-FR"/>
        </w:rPr>
        <w:t>57</w:t>
      </w:r>
      <w:r w:rsidR="004F479B">
        <w:rPr>
          <w:lang w:val="fr-FR"/>
        </w:rPr>
        <w:t>1</w:t>
      </w:r>
      <w:r>
        <w:rPr>
          <w:lang w:val="fr-FR"/>
        </w:rPr>
        <w:t>.</w:t>
      </w:r>
      <w:r>
        <w:rPr>
          <w:lang w:val="fr-FR"/>
        </w:rPr>
        <w:tab/>
        <w:t xml:space="preserve">Le Département de la santé et des </w:t>
      </w:r>
      <w:r w:rsidR="00972E1C">
        <w:rPr>
          <w:lang w:val="fr-FR"/>
        </w:rPr>
        <w:t>services sociaux</w:t>
      </w:r>
      <w:r>
        <w:rPr>
          <w:lang w:val="fr-FR"/>
        </w:rPr>
        <w:t xml:space="preserve"> est chargé d’intervenir, par l’intermédiaire de la </w:t>
      </w:r>
      <w:r>
        <w:rPr>
          <w:i/>
          <w:iCs/>
          <w:lang w:val="fr-FR"/>
        </w:rPr>
        <w:t>Child Protection Services Business Unit</w:t>
      </w:r>
      <w:r w:rsidR="005D6AAD">
        <w:rPr>
          <w:lang w:val="fr-FR"/>
        </w:rPr>
        <w:t>,</w:t>
      </w:r>
      <w:r>
        <w:rPr>
          <w:lang w:val="fr-FR"/>
        </w:rPr>
        <w:t xml:space="preserve"> dans le cas où des enfants risquent de subir des violences ou d’être délaissés en vertu de la </w:t>
      </w:r>
      <w:r w:rsidRPr="00B6451B">
        <w:rPr>
          <w:lang w:val="fr-FR"/>
        </w:rPr>
        <w:t>loi de 1997 sur les enfants, les jeun</w:t>
      </w:r>
      <w:r w:rsidR="00CF6A77">
        <w:rPr>
          <w:lang w:val="fr-FR"/>
        </w:rPr>
        <w:t>es et les</w:t>
      </w:r>
      <w:r w:rsidRPr="00B6451B">
        <w:rPr>
          <w:lang w:val="fr-FR"/>
        </w:rPr>
        <w:t xml:space="preserve"> famille</w:t>
      </w:r>
      <w:r w:rsidR="00CF6A77">
        <w:rPr>
          <w:lang w:val="fr-FR"/>
        </w:rPr>
        <w:t>s</w:t>
      </w:r>
      <w:r>
        <w:rPr>
          <w:lang w:val="fr-FR"/>
        </w:rPr>
        <w:t>.</w:t>
      </w:r>
    </w:p>
    <w:p w:rsidR="00D523E5" w:rsidRDefault="00D523E5" w:rsidP="005D7B68">
      <w:pPr>
        <w:tabs>
          <w:tab w:val="left" w:pos="567"/>
          <w:tab w:val="left" w:pos="1134"/>
          <w:tab w:val="left" w:pos="1701"/>
          <w:tab w:val="left" w:pos="2268"/>
          <w:tab w:val="left" w:pos="2835"/>
        </w:tabs>
        <w:rPr>
          <w:b/>
          <w:bCs/>
          <w:lang w:val="fr-FR"/>
        </w:rPr>
      </w:pPr>
      <w:r>
        <w:rPr>
          <w:b/>
          <w:bCs/>
          <w:lang w:val="fr-FR"/>
        </w:rPr>
        <w:t>Territoire de la capitale australienne</w:t>
      </w:r>
    </w:p>
    <w:p w:rsidR="00D523E5" w:rsidRPr="00D523E5" w:rsidRDefault="00D523E5" w:rsidP="005D7B68">
      <w:pPr>
        <w:tabs>
          <w:tab w:val="left" w:pos="567"/>
          <w:tab w:val="left" w:pos="1134"/>
          <w:tab w:val="left" w:pos="1701"/>
          <w:tab w:val="left" w:pos="2268"/>
          <w:tab w:val="left" w:pos="2835"/>
        </w:tabs>
        <w:rPr>
          <w:lang w:val="fr-FR"/>
        </w:rPr>
      </w:pPr>
      <w:r w:rsidRPr="00D523E5">
        <w:rPr>
          <w:lang w:val="fr-FR"/>
        </w:rPr>
        <w:t>57</w:t>
      </w:r>
      <w:r w:rsidR="004F479B">
        <w:rPr>
          <w:lang w:val="fr-FR"/>
        </w:rPr>
        <w:t>2</w:t>
      </w:r>
      <w:r w:rsidRPr="00D523E5">
        <w:rPr>
          <w:lang w:val="fr-FR"/>
        </w:rPr>
        <w:t>.</w:t>
      </w:r>
      <w:r w:rsidRPr="00D523E5">
        <w:rPr>
          <w:lang w:val="fr-FR"/>
        </w:rPr>
        <w:tab/>
        <w:t>Les personnes placées en</w:t>
      </w:r>
      <w:r>
        <w:rPr>
          <w:lang w:val="fr-FR"/>
        </w:rPr>
        <w:t xml:space="preserve"> détention dans le Territ</w:t>
      </w:r>
      <w:r w:rsidR="00B6451B">
        <w:rPr>
          <w:lang w:val="fr-FR"/>
        </w:rPr>
        <w:t>oire de la capitale fédérale</w:t>
      </w:r>
      <w:r>
        <w:rPr>
          <w:lang w:val="fr-FR"/>
        </w:rPr>
        <w:t xml:space="preserve"> ont accès à diverses personnes et divers organismes publics</w:t>
      </w:r>
      <w:r w:rsidR="00535B57">
        <w:rPr>
          <w:lang w:val="fr-FR"/>
        </w:rPr>
        <w:t xml:space="preserve"> dont la fonction est de défendre leur intérêt supérieur et d’effectuer des enquêtes consécutives aux plaintes</w:t>
      </w:r>
      <w:r w:rsidR="008D6B80">
        <w:rPr>
          <w:lang w:val="fr-FR"/>
        </w:rPr>
        <w:t xml:space="preserve">. </w:t>
      </w:r>
      <w:r w:rsidR="00535B57">
        <w:rPr>
          <w:lang w:val="fr-FR"/>
        </w:rPr>
        <w:t>Il s’agit du Commissaire aux droits de l’homme, du Médiateur, du Visiteur officiel, des services d’assistance judiciaire, du Service d’aide aux victimes, et du travailleur social du Centre de détention provisoire de Belconnen et du Centre de détention provisoire de Symonston</w:t>
      </w:r>
      <w:r w:rsidR="008D6B80">
        <w:rPr>
          <w:lang w:val="fr-FR"/>
        </w:rPr>
        <w:t xml:space="preserve">. </w:t>
      </w:r>
      <w:r w:rsidR="00535B57">
        <w:rPr>
          <w:lang w:val="fr-FR"/>
        </w:rPr>
        <w:t>Par exemple</w:t>
      </w:r>
      <w:r w:rsidR="00121894">
        <w:rPr>
          <w:lang w:val="fr-FR"/>
        </w:rPr>
        <w:t>, le Bureau du Visiteur officiel peut inspecter les établissements pénitentiaires, s’entretenir avec les déten</w:t>
      </w:r>
      <w:r w:rsidR="00B6451B">
        <w:rPr>
          <w:lang w:val="fr-FR"/>
        </w:rPr>
        <w:t>us et instruire</w:t>
      </w:r>
      <w:r w:rsidR="00121894">
        <w:rPr>
          <w:lang w:val="fr-FR"/>
        </w:rPr>
        <w:t xml:space="preserve"> les plaintes</w:t>
      </w:r>
      <w:r w:rsidR="008D6B80">
        <w:rPr>
          <w:lang w:val="fr-FR"/>
        </w:rPr>
        <w:t xml:space="preserve">. </w:t>
      </w:r>
      <w:r w:rsidR="00121894">
        <w:rPr>
          <w:lang w:val="fr-FR"/>
        </w:rPr>
        <w:t>De même, le Médiateur peut examiner les actions de la police et des a</w:t>
      </w:r>
      <w:r w:rsidR="001E2A6B">
        <w:rPr>
          <w:lang w:val="fr-FR"/>
        </w:rPr>
        <w:t>utorités pénitentiaires et formuler</w:t>
      </w:r>
      <w:r w:rsidR="00121894">
        <w:rPr>
          <w:lang w:val="fr-FR"/>
        </w:rPr>
        <w:t xml:space="preserve"> des recommandations.</w:t>
      </w:r>
    </w:p>
    <w:p w:rsidR="0055060D" w:rsidRDefault="00121894" w:rsidP="005D7B68">
      <w:pPr>
        <w:tabs>
          <w:tab w:val="left" w:pos="567"/>
          <w:tab w:val="left" w:pos="1134"/>
          <w:tab w:val="left" w:pos="1701"/>
          <w:tab w:val="left" w:pos="2268"/>
          <w:tab w:val="left" w:pos="2835"/>
        </w:tabs>
        <w:rPr>
          <w:lang w:val="fr-FR"/>
        </w:rPr>
      </w:pPr>
      <w:r>
        <w:rPr>
          <w:lang w:val="fr-FR"/>
        </w:rPr>
        <w:t>57</w:t>
      </w:r>
      <w:r w:rsidR="004F479B">
        <w:rPr>
          <w:lang w:val="fr-FR"/>
        </w:rPr>
        <w:t>3</w:t>
      </w:r>
      <w:r>
        <w:rPr>
          <w:lang w:val="fr-FR"/>
        </w:rPr>
        <w:t>.</w:t>
      </w:r>
      <w:r>
        <w:rPr>
          <w:lang w:val="fr-FR"/>
        </w:rPr>
        <w:tab/>
        <w:t xml:space="preserve">L’article 13 de la </w:t>
      </w:r>
      <w:r w:rsidRPr="001E2A6B">
        <w:rPr>
          <w:lang w:val="fr-FR"/>
        </w:rPr>
        <w:t>loi de 2007 sur l’administration des établissements pénitentiaires</w:t>
      </w:r>
      <w:r>
        <w:rPr>
          <w:lang w:val="fr-FR"/>
        </w:rPr>
        <w:t xml:space="preserve"> dispose que le Ministre peut donner des instructions écrites concernant la manière dont les fonctions qui font l’objet de la loi doivent être exercées</w:t>
      </w:r>
      <w:r w:rsidR="008D6B80">
        <w:rPr>
          <w:lang w:val="fr-FR"/>
        </w:rPr>
        <w:t xml:space="preserve">. </w:t>
      </w:r>
      <w:r>
        <w:rPr>
          <w:lang w:val="fr-FR"/>
        </w:rPr>
        <w:t xml:space="preserve">Cette disposition vise à permettre d’instaurer des procédures et des protocoles </w:t>
      </w:r>
      <w:r w:rsidR="001929B8">
        <w:rPr>
          <w:lang w:val="fr-FR"/>
        </w:rPr>
        <w:t xml:space="preserve">destinés à donner suite aux conclusions des enquêtes, des rapports, des Commissions royales, etc. concernant la protection de </w:t>
      </w:r>
      <w:r w:rsidR="001929B8" w:rsidRPr="001929B8">
        <w:rPr>
          <w:lang w:val="fr-FR"/>
        </w:rPr>
        <w:t>certaines</w:t>
      </w:r>
      <w:r w:rsidR="001929B8">
        <w:rPr>
          <w:lang w:val="fr-FR"/>
        </w:rPr>
        <w:t xml:space="preserve"> catégories de détenus.</w:t>
      </w:r>
    </w:p>
    <w:p w:rsidR="001929B8" w:rsidRDefault="001929B8" w:rsidP="005D7B68">
      <w:pPr>
        <w:keepNext/>
        <w:tabs>
          <w:tab w:val="left" w:pos="567"/>
          <w:tab w:val="left" w:pos="1134"/>
          <w:tab w:val="left" w:pos="1701"/>
          <w:tab w:val="left" w:pos="2268"/>
          <w:tab w:val="left" w:pos="2835"/>
        </w:tabs>
        <w:rPr>
          <w:b/>
          <w:bCs/>
          <w:lang w:val="fr-FR"/>
        </w:rPr>
      </w:pPr>
      <w:r>
        <w:rPr>
          <w:b/>
          <w:bCs/>
          <w:lang w:val="fr-FR"/>
        </w:rPr>
        <w:t>Les femmes</w:t>
      </w:r>
    </w:p>
    <w:p w:rsidR="001929B8" w:rsidRDefault="001929B8" w:rsidP="005D7B68">
      <w:pPr>
        <w:keepNext/>
        <w:tabs>
          <w:tab w:val="left" w:pos="567"/>
          <w:tab w:val="left" w:pos="1134"/>
          <w:tab w:val="left" w:pos="1701"/>
          <w:tab w:val="left" w:pos="2268"/>
          <w:tab w:val="left" w:pos="2835"/>
        </w:tabs>
        <w:rPr>
          <w:lang w:val="fr-FR"/>
        </w:rPr>
      </w:pPr>
      <w:r>
        <w:rPr>
          <w:lang w:val="fr-FR"/>
        </w:rPr>
        <w:t>57</w:t>
      </w:r>
      <w:r w:rsidR="004F479B">
        <w:rPr>
          <w:lang w:val="fr-FR"/>
        </w:rPr>
        <w:t>4</w:t>
      </w:r>
      <w:r>
        <w:rPr>
          <w:lang w:val="fr-FR"/>
        </w:rPr>
        <w:t>.</w:t>
      </w:r>
      <w:r>
        <w:rPr>
          <w:lang w:val="fr-FR"/>
        </w:rPr>
        <w:tab/>
        <w:t>Le lecteur est prié de se reporter à la réponse à la question 4 pour ce qui est des mesures relatives à la protection des détenues.</w:t>
      </w:r>
    </w:p>
    <w:p w:rsidR="001929B8" w:rsidRDefault="001929B8" w:rsidP="005D7B68">
      <w:pPr>
        <w:tabs>
          <w:tab w:val="left" w:pos="567"/>
          <w:tab w:val="left" w:pos="1134"/>
          <w:tab w:val="left" w:pos="1701"/>
          <w:tab w:val="left" w:pos="2268"/>
          <w:tab w:val="left" w:pos="2835"/>
        </w:tabs>
        <w:rPr>
          <w:b/>
          <w:bCs/>
          <w:lang w:val="fr-FR"/>
        </w:rPr>
      </w:pPr>
      <w:r>
        <w:rPr>
          <w:b/>
          <w:bCs/>
          <w:lang w:val="fr-FR"/>
        </w:rPr>
        <w:t>Les autochtones</w:t>
      </w:r>
    </w:p>
    <w:p w:rsidR="001929B8" w:rsidRDefault="004F479B" w:rsidP="005D7B68">
      <w:pPr>
        <w:tabs>
          <w:tab w:val="left" w:pos="567"/>
          <w:tab w:val="left" w:pos="1134"/>
          <w:tab w:val="left" w:pos="1701"/>
          <w:tab w:val="left" w:pos="2268"/>
          <w:tab w:val="left" w:pos="2835"/>
        </w:tabs>
        <w:rPr>
          <w:lang w:val="fr-FR"/>
        </w:rPr>
      </w:pPr>
      <w:r>
        <w:rPr>
          <w:lang w:val="fr-FR"/>
        </w:rPr>
        <w:t>575.</w:t>
      </w:r>
      <w:r>
        <w:rPr>
          <w:lang w:val="fr-FR"/>
        </w:rPr>
        <w:tab/>
      </w:r>
      <w:r w:rsidR="001929B8">
        <w:rPr>
          <w:lang w:val="fr-FR"/>
        </w:rPr>
        <w:t>Les Australiens autochtones ont accès à des services spécialisés tels que le Centre de justice aborigène, le Service de santé aborigène de Winnunga, l’agent de liaison autochtone, et le Service juridique aborigène du Sud-Est</w:t>
      </w:r>
      <w:r w:rsidR="008D6B80">
        <w:rPr>
          <w:lang w:val="fr-FR"/>
        </w:rPr>
        <w:t xml:space="preserve">. </w:t>
      </w:r>
      <w:r w:rsidR="001929B8">
        <w:rPr>
          <w:lang w:val="fr-FR"/>
        </w:rPr>
        <w:t>Des investigations sont en cours pour savoir s’il convient d’installer un Visiteur officiel autochtone.</w:t>
      </w:r>
    </w:p>
    <w:p w:rsidR="001929B8" w:rsidRDefault="001929B8" w:rsidP="005D7B68">
      <w:pPr>
        <w:tabs>
          <w:tab w:val="left" w:pos="567"/>
          <w:tab w:val="left" w:pos="1134"/>
          <w:tab w:val="left" w:pos="1701"/>
          <w:tab w:val="left" w:pos="2268"/>
          <w:tab w:val="left" w:pos="2835"/>
        </w:tabs>
        <w:rPr>
          <w:lang w:val="fr-FR"/>
        </w:rPr>
      </w:pPr>
      <w:r>
        <w:rPr>
          <w:lang w:val="fr-FR"/>
        </w:rPr>
        <w:t>57</w:t>
      </w:r>
      <w:r w:rsidR="004F479B">
        <w:rPr>
          <w:lang w:val="fr-FR"/>
        </w:rPr>
        <w:t>6</w:t>
      </w:r>
      <w:r>
        <w:rPr>
          <w:lang w:val="fr-FR"/>
        </w:rPr>
        <w:t>.</w:t>
      </w:r>
      <w:r>
        <w:rPr>
          <w:lang w:val="fr-FR"/>
        </w:rPr>
        <w:tab/>
        <w:t>L’article 55 de la</w:t>
      </w:r>
      <w:r w:rsidR="00B91FC1">
        <w:rPr>
          <w:lang w:val="fr-FR"/>
        </w:rPr>
        <w:t xml:space="preserve"> </w:t>
      </w:r>
      <w:r w:rsidR="00B91FC1" w:rsidRPr="00616849">
        <w:rPr>
          <w:lang w:val="fr-FR"/>
        </w:rPr>
        <w:t>loi de 2007 sur l’administration des établissements pénitentiaires</w:t>
      </w:r>
      <w:r w:rsidR="00B91FC1">
        <w:rPr>
          <w:lang w:val="fr-FR"/>
        </w:rPr>
        <w:t xml:space="preserve"> dispose que les autorités pénitentiaires veillent à ce que des mesures soient prises, dans la mesure du possible, pour qu’il puisse être répondu, dans les établissements pénitentiaires, aux besoins</w:t>
      </w:r>
      <w:r>
        <w:rPr>
          <w:lang w:val="fr-FR"/>
        </w:rPr>
        <w:t xml:space="preserve"> </w:t>
      </w:r>
      <w:r w:rsidR="00B91FC1">
        <w:rPr>
          <w:lang w:val="fr-FR"/>
        </w:rPr>
        <w:t>religieux, spirituels et culturels des détenus.</w:t>
      </w:r>
    </w:p>
    <w:p w:rsidR="00B9776E" w:rsidRDefault="00B9776E" w:rsidP="005D7B68">
      <w:pPr>
        <w:tabs>
          <w:tab w:val="left" w:pos="567"/>
          <w:tab w:val="left" w:pos="1134"/>
          <w:tab w:val="left" w:pos="1701"/>
          <w:tab w:val="left" w:pos="2268"/>
          <w:tab w:val="left" w:pos="2835"/>
        </w:tabs>
        <w:rPr>
          <w:b/>
          <w:bCs/>
          <w:lang w:val="fr-FR"/>
        </w:rPr>
      </w:pPr>
      <w:r>
        <w:rPr>
          <w:b/>
          <w:bCs/>
          <w:lang w:val="fr-FR"/>
        </w:rPr>
        <w:t>Personnes souffrant de troubles mentaux</w:t>
      </w:r>
    </w:p>
    <w:p w:rsidR="008A164F" w:rsidRDefault="008A164F" w:rsidP="005D7B68">
      <w:pPr>
        <w:tabs>
          <w:tab w:val="left" w:pos="567"/>
          <w:tab w:val="left" w:pos="1134"/>
          <w:tab w:val="left" w:pos="1701"/>
          <w:tab w:val="left" w:pos="2268"/>
          <w:tab w:val="left" w:pos="2835"/>
        </w:tabs>
        <w:rPr>
          <w:lang w:val="fr-FR"/>
        </w:rPr>
      </w:pPr>
      <w:r>
        <w:rPr>
          <w:lang w:val="fr-FR"/>
        </w:rPr>
        <w:t>57</w:t>
      </w:r>
      <w:r w:rsidR="004F479B">
        <w:rPr>
          <w:lang w:val="fr-FR"/>
        </w:rPr>
        <w:t>7</w:t>
      </w:r>
      <w:r>
        <w:rPr>
          <w:lang w:val="fr-FR"/>
        </w:rPr>
        <w:t>.</w:t>
      </w:r>
      <w:r>
        <w:rPr>
          <w:lang w:val="fr-FR"/>
        </w:rPr>
        <w:tab/>
        <w:t xml:space="preserve">Les personnes qui ont des problèmes de santé mentale ont accès au </w:t>
      </w:r>
      <w:r w:rsidRPr="008A164F">
        <w:rPr>
          <w:i/>
          <w:iCs/>
          <w:lang w:val="fr-FR"/>
        </w:rPr>
        <w:t>Guardianship and Mental Health Tribunal</w:t>
      </w:r>
      <w:r>
        <w:rPr>
          <w:lang w:val="fr-FR"/>
        </w:rPr>
        <w:t xml:space="preserve"> (Tribunal des tutelles et de la santé mentale), au </w:t>
      </w:r>
      <w:r>
        <w:rPr>
          <w:i/>
          <w:iCs/>
          <w:lang w:val="fr-FR"/>
        </w:rPr>
        <w:t>Forensic Mental Health</w:t>
      </w:r>
      <w:r>
        <w:rPr>
          <w:lang w:val="fr-FR"/>
        </w:rPr>
        <w:t xml:space="preserve"> (Tribunal de la santé mentale relevant de la médecine légale), à </w:t>
      </w:r>
      <w:r>
        <w:rPr>
          <w:i/>
          <w:iCs/>
          <w:lang w:val="fr-FR"/>
        </w:rPr>
        <w:t>Mental Health ACT</w:t>
      </w:r>
      <w:r>
        <w:rPr>
          <w:lang w:val="fr-FR"/>
        </w:rPr>
        <w:t xml:space="preserve">, </w:t>
      </w:r>
      <w:r w:rsidR="00AD79C7">
        <w:rPr>
          <w:lang w:val="fr-FR"/>
        </w:rPr>
        <w:t xml:space="preserve">au Bureau du Défenseur communautaire, au Service juridique de la discrimination liée au handicap, au </w:t>
      </w:r>
      <w:r w:rsidR="00AD79C7">
        <w:rPr>
          <w:i/>
          <w:iCs/>
          <w:lang w:val="fr-FR"/>
        </w:rPr>
        <w:t xml:space="preserve">Mental Health Forensic Unit </w:t>
      </w:r>
      <w:r w:rsidR="00AD79C7">
        <w:rPr>
          <w:lang w:val="fr-FR"/>
        </w:rPr>
        <w:t>(Service de médecine légale en matière de santé mentale)</w:t>
      </w:r>
      <w:r w:rsidR="00E93FFF">
        <w:rPr>
          <w:lang w:val="fr-FR"/>
        </w:rPr>
        <w:t xml:space="preserve">, au </w:t>
      </w:r>
      <w:r w:rsidR="00E93FFF" w:rsidRPr="00616849">
        <w:rPr>
          <w:lang w:val="fr-FR"/>
        </w:rPr>
        <w:t>Bureau des</w:t>
      </w:r>
      <w:r w:rsidR="00E93FFF" w:rsidRPr="00E93FFF">
        <w:rPr>
          <w:i/>
          <w:iCs/>
          <w:lang w:val="fr-FR"/>
        </w:rPr>
        <w:t xml:space="preserve"> Public Trustees</w:t>
      </w:r>
      <w:r w:rsidR="00E93FFF">
        <w:rPr>
          <w:lang w:val="fr-FR"/>
        </w:rPr>
        <w:t>.</w:t>
      </w:r>
    </w:p>
    <w:p w:rsidR="00E93FFF" w:rsidRDefault="00E93FFF" w:rsidP="005D7B68">
      <w:pPr>
        <w:tabs>
          <w:tab w:val="left" w:pos="567"/>
          <w:tab w:val="left" w:pos="1134"/>
          <w:tab w:val="left" w:pos="1701"/>
          <w:tab w:val="left" w:pos="2268"/>
          <w:tab w:val="left" w:pos="2835"/>
        </w:tabs>
        <w:rPr>
          <w:lang w:val="fr-FR"/>
        </w:rPr>
      </w:pPr>
      <w:r>
        <w:rPr>
          <w:lang w:val="fr-FR"/>
        </w:rPr>
        <w:t>57</w:t>
      </w:r>
      <w:r w:rsidR="004F479B">
        <w:rPr>
          <w:lang w:val="fr-FR"/>
        </w:rPr>
        <w:t>8</w:t>
      </w:r>
      <w:r>
        <w:rPr>
          <w:lang w:val="fr-FR"/>
        </w:rPr>
        <w:t>.</w:t>
      </w:r>
      <w:r>
        <w:rPr>
          <w:lang w:val="fr-FR"/>
        </w:rPr>
        <w:tab/>
        <w:t xml:space="preserve">Les articles 66 et 67 de la </w:t>
      </w:r>
      <w:r w:rsidRPr="00616849">
        <w:rPr>
          <w:lang w:val="fr-FR"/>
        </w:rPr>
        <w:t>loi de</w:t>
      </w:r>
      <w:r w:rsidR="00F4360C">
        <w:rPr>
          <w:lang w:val="fr-FR"/>
        </w:rPr>
        <w:t xml:space="preserve"> </w:t>
      </w:r>
      <w:r w:rsidRPr="00616849">
        <w:rPr>
          <w:lang w:val="fr-FR"/>
        </w:rPr>
        <w:t xml:space="preserve">2007 sur l’administration des établissements pénitentiaires </w:t>
      </w:r>
      <w:r w:rsidRPr="00E93FFF">
        <w:rPr>
          <w:lang w:val="fr-FR"/>
        </w:rPr>
        <w:t>disposent que lors de son admission</w:t>
      </w:r>
      <w:r w:rsidR="00616849">
        <w:rPr>
          <w:lang w:val="fr-FR"/>
        </w:rPr>
        <w:t>,</w:t>
      </w:r>
      <w:r>
        <w:rPr>
          <w:lang w:val="fr-FR"/>
        </w:rPr>
        <w:t xml:space="preserve"> tout détenu doit être examiné pour savoir s’il risque de connaître des problèmes de santé physique ou mentale, e</w:t>
      </w:r>
      <w:r w:rsidR="000C5342">
        <w:rPr>
          <w:lang w:val="fr-FR"/>
        </w:rPr>
        <w:t>t quels sont ses besoins dans ces domaines</w:t>
      </w:r>
      <w:r>
        <w:rPr>
          <w:lang w:val="fr-FR"/>
        </w:rPr>
        <w:t xml:space="preserve"> (le cas échéant).</w:t>
      </w:r>
    </w:p>
    <w:p w:rsidR="00E93FFF" w:rsidRDefault="004F479B" w:rsidP="005D7B68">
      <w:pPr>
        <w:tabs>
          <w:tab w:val="left" w:pos="567"/>
          <w:tab w:val="left" w:pos="1134"/>
          <w:tab w:val="left" w:pos="1701"/>
          <w:tab w:val="left" w:pos="2268"/>
          <w:tab w:val="left" w:pos="2835"/>
        </w:tabs>
        <w:rPr>
          <w:lang w:val="fr-FR"/>
        </w:rPr>
      </w:pPr>
      <w:r>
        <w:rPr>
          <w:lang w:val="fr-FR"/>
        </w:rPr>
        <w:t>579</w:t>
      </w:r>
      <w:r w:rsidR="00E93FFF">
        <w:rPr>
          <w:lang w:val="fr-FR"/>
        </w:rPr>
        <w:t>.</w:t>
      </w:r>
      <w:r w:rsidR="00E93FFF">
        <w:rPr>
          <w:lang w:val="fr-FR"/>
        </w:rPr>
        <w:tab/>
        <w:t xml:space="preserve">L’article 54 de la loi sur l’administration des établissements pénitentiaires prévoit que les détenus peuvent être transférés dans une structure médicale ou </w:t>
      </w:r>
      <w:r w:rsidR="00E966BF">
        <w:rPr>
          <w:lang w:val="fr-FR"/>
        </w:rPr>
        <w:t>un établissement de santé mentale si les autorités ont de bonnes raisons de penser que ce transfert est nécessaire ou souhaitable</w:t>
      </w:r>
      <w:r w:rsidR="008D6B80">
        <w:rPr>
          <w:lang w:val="fr-FR"/>
        </w:rPr>
        <w:t xml:space="preserve">. </w:t>
      </w:r>
      <w:r w:rsidR="006A4D5D">
        <w:rPr>
          <w:lang w:val="fr-FR"/>
        </w:rPr>
        <w:t>En </w:t>
      </w:r>
      <w:r w:rsidR="00E966BF">
        <w:rPr>
          <w:lang w:val="fr-FR"/>
        </w:rPr>
        <w:t xml:space="preserve">outre, la </w:t>
      </w:r>
      <w:r w:rsidR="00E966BF" w:rsidRPr="00616849">
        <w:rPr>
          <w:lang w:val="fr-FR"/>
        </w:rPr>
        <w:t>loi de 1994 sur les traitements et les soins en matière de santé mentale</w:t>
      </w:r>
      <w:r w:rsidR="00E966BF">
        <w:rPr>
          <w:lang w:val="fr-FR"/>
        </w:rPr>
        <w:t>, qui comporte des dispositions relatives aux ordonnances de traitement pour les personnes souffrant de troubles mentaux, s’applique également aux personnes placées en détention dans un établissement pénitentiaire.</w:t>
      </w:r>
    </w:p>
    <w:p w:rsidR="00E966BF" w:rsidRDefault="001251CE" w:rsidP="005D7B68">
      <w:pPr>
        <w:tabs>
          <w:tab w:val="left" w:pos="567"/>
          <w:tab w:val="left" w:pos="1134"/>
          <w:tab w:val="left" w:pos="1701"/>
          <w:tab w:val="left" w:pos="2268"/>
          <w:tab w:val="left" w:pos="2835"/>
        </w:tabs>
        <w:rPr>
          <w:b/>
          <w:bCs/>
          <w:lang w:val="fr-FR"/>
        </w:rPr>
      </w:pPr>
      <w:r>
        <w:rPr>
          <w:b/>
          <w:bCs/>
          <w:lang w:val="fr-FR"/>
        </w:rPr>
        <w:t>Les enfants</w:t>
      </w:r>
    </w:p>
    <w:p w:rsidR="001251CE" w:rsidRDefault="001251CE" w:rsidP="005D7B68">
      <w:pPr>
        <w:tabs>
          <w:tab w:val="left" w:pos="567"/>
          <w:tab w:val="left" w:pos="1134"/>
          <w:tab w:val="left" w:pos="1701"/>
          <w:tab w:val="left" w:pos="2268"/>
          <w:tab w:val="left" w:pos="2835"/>
        </w:tabs>
        <w:rPr>
          <w:lang w:val="fr-FR"/>
        </w:rPr>
      </w:pPr>
      <w:r>
        <w:rPr>
          <w:lang w:val="fr-FR"/>
        </w:rPr>
        <w:t>58</w:t>
      </w:r>
      <w:r w:rsidR="004F479B">
        <w:rPr>
          <w:lang w:val="fr-FR"/>
        </w:rPr>
        <w:t>0</w:t>
      </w:r>
      <w:r>
        <w:rPr>
          <w:lang w:val="fr-FR"/>
        </w:rPr>
        <w:t>.</w:t>
      </w:r>
      <w:r>
        <w:rPr>
          <w:lang w:val="fr-FR"/>
        </w:rPr>
        <w:tab/>
        <w:t>En juillet 2005, le Commissaire aux droits de l’homme du Territoire de la capitale</w:t>
      </w:r>
      <w:r w:rsidR="00616849">
        <w:rPr>
          <w:lang w:val="fr-FR"/>
        </w:rPr>
        <w:t xml:space="preserve"> fédérale</w:t>
      </w:r>
      <w:r>
        <w:rPr>
          <w:lang w:val="fr-FR"/>
        </w:rPr>
        <w:t xml:space="preserve"> a présenté au Gouvernement dudit Territoire son rapport intitulé </w:t>
      </w:r>
      <w:r w:rsidR="00A619D6">
        <w:rPr>
          <w:lang w:val="fr-FR"/>
        </w:rPr>
        <w:t>«</w:t>
      </w:r>
      <w:r>
        <w:rPr>
          <w:lang w:val="fr-FR"/>
        </w:rPr>
        <w:t>Audit sur les droits de l’homme réalisé au Centre pénitentiaire pour mineurs de Quamby</w:t>
      </w:r>
      <w:r w:rsidR="00A619D6">
        <w:rPr>
          <w:lang w:val="fr-FR"/>
        </w:rPr>
        <w:t>»</w:t>
      </w:r>
      <w:r w:rsidR="008D6B80">
        <w:rPr>
          <w:lang w:val="fr-FR"/>
        </w:rPr>
        <w:t xml:space="preserve">. </w:t>
      </w:r>
      <w:r w:rsidR="001B2CD3">
        <w:rPr>
          <w:lang w:val="fr-FR"/>
        </w:rPr>
        <w:t>Le Gouvernement a répondu aux 52 recommandations en marquant</w:t>
      </w:r>
      <w:r>
        <w:rPr>
          <w:lang w:val="fr-FR"/>
        </w:rPr>
        <w:t xml:space="preserve"> </w:t>
      </w:r>
      <w:r w:rsidR="001B2CD3">
        <w:rPr>
          <w:lang w:val="fr-FR"/>
        </w:rPr>
        <w:t>son accord concernant 25 d’entre elles et un accord de principe pour les 27 autres</w:t>
      </w:r>
      <w:r w:rsidR="008D6B80">
        <w:rPr>
          <w:lang w:val="fr-FR"/>
        </w:rPr>
        <w:t xml:space="preserve">. </w:t>
      </w:r>
      <w:r w:rsidR="001B2CD3">
        <w:rPr>
          <w:lang w:val="fr-FR"/>
        </w:rPr>
        <w:t>Il a été donné suite à beaucoup de ces recommandations</w:t>
      </w:r>
      <w:r w:rsidR="008D6B80">
        <w:rPr>
          <w:lang w:val="fr-FR"/>
        </w:rPr>
        <w:t xml:space="preserve">. </w:t>
      </w:r>
      <w:r w:rsidR="001B2CD3">
        <w:rPr>
          <w:lang w:val="fr-FR"/>
        </w:rPr>
        <w:t xml:space="preserve">Après consultation, 11 nouvelles consignes permanentes ont été notifiées en décembre 2006 conformément à la </w:t>
      </w:r>
      <w:r w:rsidR="001B2CD3" w:rsidRPr="00616849">
        <w:rPr>
          <w:lang w:val="fr-FR"/>
        </w:rPr>
        <w:t>loi de 1999 sur les enfants</w:t>
      </w:r>
      <w:r w:rsidR="007F1786" w:rsidRPr="00616849">
        <w:rPr>
          <w:lang w:val="fr-FR"/>
        </w:rPr>
        <w:t xml:space="preserve"> et les jeunes </w:t>
      </w:r>
      <w:r w:rsidR="007F1786">
        <w:rPr>
          <w:lang w:val="fr-FR"/>
        </w:rPr>
        <w:t>et aux prescriptions relatives aux droits de l’homme</w:t>
      </w:r>
      <w:r w:rsidR="008D6B80">
        <w:rPr>
          <w:lang w:val="fr-FR"/>
        </w:rPr>
        <w:t xml:space="preserve">. </w:t>
      </w:r>
      <w:r w:rsidR="007F1786">
        <w:rPr>
          <w:lang w:val="fr-FR"/>
        </w:rPr>
        <w:t>Les nouvelles consignes ont été suggérées par les recommandations du Commissaire aux droits de l’homme.</w:t>
      </w:r>
    </w:p>
    <w:p w:rsidR="007F1786" w:rsidRDefault="007F1786" w:rsidP="005D7B68">
      <w:pPr>
        <w:tabs>
          <w:tab w:val="left" w:pos="567"/>
          <w:tab w:val="left" w:pos="1134"/>
          <w:tab w:val="left" w:pos="1701"/>
          <w:tab w:val="left" w:pos="2268"/>
          <w:tab w:val="left" w:pos="2835"/>
        </w:tabs>
        <w:rPr>
          <w:lang w:val="fr-FR"/>
        </w:rPr>
      </w:pPr>
      <w:r>
        <w:rPr>
          <w:lang w:val="fr-FR"/>
        </w:rPr>
        <w:t>58</w:t>
      </w:r>
      <w:r w:rsidR="004F479B">
        <w:rPr>
          <w:lang w:val="fr-FR"/>
        </w:rPr>
        <w:t>1</w:t>
      </w:r>
      <w:r>
        <w:rPr>
          <w:lang w:val="fr-FR"/>
        </w:rPr>
        <w:t>.</w:t>
      </w:r>
      <w:r>
        <w:rPr>
          <w:lang w:val="fr-FR"/>
        </w:rPr>
        <w:tab/>
        <w:t xml:space="preserve">Ces nouvelles consignes permanentes comportent des instructions spécifiques pour permettre au personnel d’appliquer les dispositions de la </w:t>
      </w:r>
      <w:r w:rsidRPr="003B7E37">
        <w:rPr>
          <w:lang w:val="fr-FR"/>
        </w:rPr>
        <w:t xml:space="preserve">loi </w:t>
      </w:r>
      <w:r w:rsidRPr="00616849">
        <w:rPr>
          <w:lang w:val="fr-FR"/>
        </w:rPr>
        <w:t xml:space="preserve">de 1999 sur les enfants et les jeunes </w:t>
      </w:r>
      <w:r>
        <w:rPr>
          <w:lang w:val="fr-FR"/>
        </w:rPr>
        <w:t>et toutes les lois pertinentes en ce qui concerne le trai</w:t>
      </w:r>
      <w:r w:rsidR="00F53EB0">
        <w:rPr>
          <w:lang w:val="fr-FR"/>
        </w:rPr>
        <w:t>tement de ceux qui sont</w:t>
      </w:r>
      <w:r>
        <w:rPr>
          <w:lang w:val="fr-FR"/>
        </w:rPr>
        <w:t xml:space="preserve"> placés en détention</w:t>
      </w:r>
      <w:r w:rsidR="008D6B80">
        <w:rPr>
          <w:lang w:val="fr-FR"/>
        </w:rPr>
        <w:t xml:space="preserve">. </w:t>
      </w:r>
      <w:r>
        <w:rPr>
          <w:lang w:val="fr-FR"/>
        </w:rPr>
        <w:t>Elles visent à faire mettre en œuvre les meilleures pratiques, elles sont modernes et de grande portée, et constituent un bon appui pour le personnel des centres de détention.</w:t>
      </w:r>
    </w:p>
    <w:p w:rsidR="007F1786" w:rsidRDefault="007F1786" w:rsidP="005D7B68">
      <w:pPr>
        <w:tabs>
          <w:tab w:val="left" w:pos="567"/>
          <w:tab w:val="left" w:pos="1134"/>
          <w:tab w:val="left" w:pos="1701"/>
          <w:tab w:val="left" w:pos="2268"/>
          <w:tab w:val="left" w:pos="2835"/>
        </w:tabs>
        <w:rPr>
          <w:lang w:val="fr-FR"/>
        </w:rPr>
      </w:pPr>
      <w:r>
        <w:rPr>
          <w:lang w:val="fr-FR"/>
        </w:rPr>
        <w:t>58</w:t>
      </w:r>
      <w:r w:rsidR="004F479B">
        <w:rPr>
          <w:lang w:val="fr-FR"/>
        </w:rPr>
        <w:t>2</w:t>
      </w:r>
      <w:r>
        <w:rPr>
          <w:lang w:val="fr-FR"/>
        </w:rPr>
        <w:t>.</w:t>
      </w:r>
      <w:r>
        <w:rPr>
          <w:lang w:val="fr-FR"/>
        </w:rPr>
        <w:tab/>
        <w:t>Tout cela est renforcé si l’on veille à ce que chaque détenu soit dans un milieu sûr</w:t>
      </w:r>
      <w:r w:rsidR="00AD72BF">
        <w:rPr>
          <w:lang w:val="fr-FR"/>
        </w:rPr>
        <w:t>, avec des conditions de vie qui répondent aux exigences minimales énoncées dans les consignes en matière d’intimité et de dignité</w:t>
      </w:r>
      <w:r w:rsidR="008D6B80">
        <w:rPr>
          <w:lang w:val="fr-FR"/>
        </w:rPr>
        <w:t xml:space="preserve">. </w:t>
      </w:r>
      <w:r w:rsidR="00AD72BF">
        <w:rPr>
          <w:lang w:val="fr-FR"/>
        </w:rPr>
        <w:t>Ces consignes concernent également des programmes et des services éducatifs, professionnels et sanitaires, lesquels tiennent compte des caractéristiques propres à chaque détenu, à savoir, par exemple, sa vulnérabilité en tant qu’enfant ou que jeune, sa maturité apparente, le sexe, les aptitudes, les forces et l’identité culturelle.</w:t>
      </w:r>
    </w:p>
    <w:p w:rsidR="00AD72BF" w:rsidRDefault="00AD72BF" w:rsidP="005D7B68">
      <w:pPr>
        <w:tabs>
          <w:tab w:val="left" w:pos="567"/>
          <w:tab w:val="left" w:pos="1134"/>
          <w:tab w:val="left" w:pos="1701"/>
          <w:tab w:val="left" w:pos="2268"/>
          <w:tab w:val="left" w:pos="2835"/>
        </w:tabs>
        <w:rPr>
          <w:lang w:val="fr-FR"/>
        </w:rPr>
      </w:pPr>
      <w:r>
        <w:rPr>
          <w:lang w:val="fr-FR"/>
        </w:rPr>
        <w:t>58</w:t>
      </w:r>
      <w:r w:rsidR="004F479B">
        <w:rPr>
          <w:lang w:val="fr-FR"/>
        </w:rPr>
        <w:t>3</w:t>
      </w:r>
      <w:r>
        <w:rPr>
          <w:lang w:val="fr-FR"/>
        </w:rPr>
        <w:t>.</w:t>
      </w:r>
      <w:r>
        <w:rPr>
          <w:lang w:val="fr-FR"/>
        </w:rPr>
        <w:tab/>
        <w:t>Il n’est pas perdu de vue, dans ces consignes permanentes, que les enfants et les jeune</w:t>
      </w:r>
      <w:r w:rsidR="00972C89">
        <w:rPr>
          <w:lang w:val="fr-FR"/>
        </w:rPr>
        <w:t>s délinquants</w:t>
      </w:r>
      <w:r>
        <w:rPr>
          <w:lang w:val="fr-FR"/>
        </w:rPr>
        <w:t xml:space="preserve"> peuvent être particulièrement vulnérables en raison d’un vaste ensemble de facteurs de risque et qu’ils ont peut-être déjà subi </w:t>
      </w:r>
      <w:r w:rsidR="002110A4">
        <w:rPr>
          <w:lang w:val="fr-FR"/>
        </w:rPr>
        <w:t>très tôt de graves traumatismes ou connu des épreuves douloureuses</w:t>
      </w:r>
      <w:r w:rsidR="008D6B80">
        <w:rPr>
          <w:lang w:val="fr-FR"/>
        </w:rPr>
        <w:t xml:space="preserve">. </w:t>
      </w:r>
      <w:r w:rsidR="002110A4">
        <w:rPr>
          <w:lang w:val="fr-FR"/>
        </w:rPr>
        <w:t>Elles visent à atténuer toute atteinte psychologique supplémentaire pendant que l’enfant ou le jeune est dans le centre de détention, et elles insistent sur le rôle que doit jouer le personnel du centre en matière de rééducation et de thérapie.</w:t>
      </w:r>
      <w:r>
        <w:rPr>
          <w:lang w:val="fr-FR"/>
        </w:rPr>
        <w:t xml:space="preserve"> </w:t>
      </w:r>
    </w:p>
    <w:p w:rsidR="00C57445" w:rsidRDefault="00C57445" w:rsidP="005D7B68">
      <w:pPr>
        <w:tabs>
          <w:tab w:val="left" w:pos="567"/>
          <w:tab w:val="left" w:pos="1134"/>
          <w:tab w:val="left" w:pos="1701"/>
          <w:tab w:val="left" w:pos="2268"/>
          <w:tab w:val="left" w:pos="2835"/>
        </w:tabs>
        <w:rPr>
          <w:b/>
          <w:bCs/>
          <w:lang w:val="fr-FR"/>
        </w:rPr>
      </w:pPr>
      <w:r>
        <w:rPr>
          <w:b/>
          <w:bCs/>
          <w:lang w:val="fr-FR"/>
        </w:rPr>
        <w:t>La r</w:t>
      </w:r>
      <w:r w:rsidR="00616849">
        <w:rPr>
          <w:b/>
          <w:bCs/>
          <w:lang w:val="fr-FR"/>
        </w:rPr>
        <w:t>écente consigne permanente (D</w:t>
      </w:r>
      <w:r>
        <w:rPr>
          <w:b/>
          <w:bCs/>
          <w:lang w:val="fr-FR"/>
        </w:rPr>
        <w:t>ispositions relatives aux informations, à la révision des décisions et aux plaintes</w:t>
      </w:r>
      <w:r w:rsidR="00616849">
        <w:rPr>
          <w:b/>
          <w:bCs/>
          <w:lang w:val="fr-FR"/>
        </w:rPr>
        <w:t>) a été notifiée par</w:t>
      </w:r>
      <w:r w:rsidR="000A7D77">
        <w:rPr>
          <w:b/>
          <w:bCs/>
          <w:lang w:val="fr-FR"/>
        </w:rPr>
        <w:t xml:space="preserve"> écrit pour faire en sorte que les enfants, les jeunes et d’autres aient un moyen de faire connaître les violations alléguées des droits de l’homme et d’autres problèmes.</w:t>
      </w:r>
    </w:p>
    <w:p w:rsidR="000A7D77" w:rsidRPr="000A7D77" w:rsidRDefault="000A7D77" w:rsidP="005D7B68">
      <w:pPr>
        <w:tabs>
          <w:tab w:val="left" w:pos="567"/>
          <w:tab w:val="left" w:pos="1134"/>
          <w:tab w:val="left" w:pos="1701"/>
          <w:tab w:val="left" w:pos="2268"/>
          <w:tab w:val="left" w:pos="2835"/>
        </w:tabs>
        <w:rPr>
          <w:lang w:val="fr-FR"/>
        </w:rPr>
      </w:pPr>
      <w:r>
        <w:rPr>
          <w:lang w:val="fr-FR"/>
        </w:rPr>
        <w:t>58</w:t>
      </w:r>
      <w:r w:rsidR="004F479B">
        <w:rPr>
          <w:lang w:val="fr-FR"/>
        </w:rPr>
        <w:t>4</w:t>
      </w:r>
      <w:r>
        <w:rPr>
          <w:lang w:val="fr-FR"/>
        </w:rPr>
        <w:t>.</w:t>
      </w:r>
      <w:r>
        <w:rPr>
          <w:lang w:val="fr-FR"/>
        </w:rPr>
        <w:tab/>
        <w:t>En vue d’appuyer les principes des nouvelles c</w:t>
      </w:r>
      <w:r w:rsidR="003B7E37">
        <w:rPr>
          <w:lang w:val="fr-FR"/>
        </w:rPr>
        <w:t>onsignes permanentes, on procède actuellement à la révision et à la mise à jour d</w:t>
      </w:r>
      <w:r>
        <w:rPr>
          <w:lang w:val="fr-FR"/>
        </w:rPr>
        <w:t>es manuels destinés aux détenus,</w:t>
      </w:r>
      <w:r w:rsidR="00616849">
        <w:rPr>
          <w:lang w:val="fr-FR"/>
        </w:rPr>
        <w:t xml:space="preserve"> au personnel et aux</w:t>
      </w:r>
      <w:r w:rsidR="003B7E37">
        <w:rPr>
          <w:lang w:val="fr-FR"/>
        </w:rPr>
        <w:t xml:space="preserve"> familles, qui </w:t>
      </w:r>
      <w:r>
        <w:rPr>
          <w:lang w:val="fr-FR"/>
        </w:rPr>
        <w:t>contiennent d’importantes informations sur le</w:t>
      </w:r>
      <w:r w:rsidR="005D30AB">
        <w:rPr>
          <w:lang w:val="fr-FR"/>
        </w:rPr>
        <w:t xml:space="preserve"> fonctionnement du Centre de dét</w:t>
      </w:r>
      <w:r>
        <w:rPr>
          <w:lang w:val="fr-FR"/>
        </w:rPr>
        <w:t>ention</w:t>
      </w:r>
      <w:r w:rsidR="005D30AB">
        <w:rPr>
          <w:lang w:val="fr-FR"/>
        </w:rPr>
        <w:t xml:space="preserve"> juvénile</w:t>
      </w:r>
      <w:r w:rsidR="008D6B80">
        <w:rPr>
          <w:lang w:val="fr-FR"/>
        </w:rPr>
        <w:t xml:space="preserve">. </w:t>
      </w:r>
      <w:r w:rsidR="005D30AB">
        <w:rPr>
          <w:lang w:val="fr-FR"/>
        </w:rPr>
        <w:t>Ils donneront aux enfants, aux jeunes et à leur famille des informations sur leurs droits, les programmes et les services disponibles pendant leur détention et les moyens dont disposent les détenus et les membres de leur famille pour faire valoir leurs doléances.</w:t>
      </w:r>
    </w:p>
    <w:p w:rsidR="001929B8" w:rsidRDefault="005D30AB" w:rsidP="005D7B68">
      <w:pPr>
        <w:tabs>
          <w:tab w:val="left" w:pos="567"/>
          <w:tab w:val="left" w:pos="1134"/>
          <w:tab w:val="left" w:pos="1701"/>
          <w:tab w:val="left" w:pos="2268"/>
          <w:tab w:val="left" w:pos="2835"/>
        </w:tabs>
        <w:rPr>
          <w:lang w:val="fr-FR"/>
        </w:rPr>
      </w:pPr>
      <w:r w:rsidRPr="005D30AB">
        <w:rPr>
          <w:lang w:val="fr-FR"/>
        </w:rPr>
        <w:t>58</w:t>
      </w:r>
      <w:r w:rsidR="004F479B">
        <w:rPr>
          <w:lang w:val="fr-FR"/>
        </w:rPr>
        <w:t>5</w:t>
      </w:r>
      <w:r w:rsidRPr="005D30AB">
        <w:rPr>
          <w:lang w:val="fr-FR"/>
        </w:rPr>
        <w:t>.</w:t>
      </w:r>
      <w:r w:rsidRPr="005D30AB">
        <w:rPr>
          <w:lang w:val="fr-FR"/>
        </w:rPr>
        <w:tab/>
        <w:t>Les services pénitentiaires du Territoire</w:t>
      </w:r>
      <w:r w:rsidR="00616849">
        <w:rPr>
          <w:lang w:val="fr-FR"/>
        </w:rPr>
        <w:t xml:space="preserve"> de la capitale fédérale</w:t>
      </w:r>
      <w:r>
        <w:rPr>
          <w:lang w:val="fr-FR"/>
        </w:rPr>
        <w:t xml:space="preserve"> ne s’occupent pas du placement en détention à plein temps des jeunes</w:t>
      </w:r>
      <w:r w:rsidR="008D6B80">
        <w:rPr>
          <w:lang w:val="fr-FR"/>
        </w:rPr>
        <w:t xml:space="preserve">. </w:t>
      </w:r>
      <w:r>
        <w:rPr>
          <w:lang w:val="fr-FR"/>
        </w:rPr>
        <w:t>Cependant, les jeunes cités en justice sont placés sous la surveillance du personnel de ces services</w:t>
      </w:r>
      <w:r w:rsidR="008D6B80">
        <w:rPr>
          <w:lang w:val="fr-FR"/>
        </w:rPr>
        <w:t xml:space="preserve">. </w:t>
      </w:r>
      <w:r>
        <w:rPr>
          <w:lang w:val="fr-FR"/>
        </w:rPr>
        <w:t>Un mémorandum d’accord a été établi avec le Défenseur public pour permettre de répondre aux besoins de ces jeunes</w:t>
      </w:r>
      <w:r w:rsidR="00FD20FC">
        <w:rPr>
          <w:lang w:val="fr-FR"/>
        </w:rPr>
        <w:t xml:space="preserve"> placés en détention</w:t>
      </w:r>
      <w:r w:rsidR="008D6B80">
        <w:rPr>
          <w:lang w:val="fr-FR"/>
        </w:rPr>
        <w:t xml:space="preserve">. </w:t>
      </w:r>
      <w:r w:rsidR="00FD20FC">
        <w:rPr>
          <w:lang w:val="fr-FR"/>
        </w:rPr>
        <w:t>Récemment, le personnel desdits services a mis au point une procédure de dépôt de plainte à l’intention des jeune</w:t>
      </w:r>
      <w:r w:rsidR="003B7E37">
        <w:rPr>
          <w:lang w:val="fr-FR"/>
        </w:rPr>
        <w:t>s qui y sont détenus</w:t>
      </w:r>
      <w:r w:rsidR="008D6B80">
        <w:rPr>
          <w:lang w:val="fr-FR"/>
        </w:rPr>
        <w:t xml:space="preserve">. </w:t>
      </w:r>
      <w:r w:rsidR="00FD20FC">
        <w:rPr>
          <w:lang w:val="fr-FR"/>
        </w:rPr>
        <w:t>Cette procédure indique clairement quelles sont les attentes des fonctionnaires et des délinquants, ainsi que</w:t>
      </w:r>
      <w:r>
        <w:rPr>
          <w:lang w:val="fr-FR"/>
        </w:rPr>
        <w:t xml:space="preserve"> </w:t>
      </w:r>
      <w:r w:rsidR="00FD20FC">
        <w:rPr>
          <w:lang w:val="fr-FR"/>
        </w:rPr>
        <w:t xml:space="preserve">les manières dont les jeunes peuvent </w:t>
      </w:r>
      <w:r w:rsidR="00113AD6">
        <w:rPr>
          <w:lang w:val="fr-FR"/>
        </w:rPr>
        <w:t>trouver des solutions réponda</w:t>
      </w:r>
      <w:r w:rsidR="00F20DA9">
        <w:rPr>
          <w:lang w:val="fr-FR"/>
        </w:rPr>
        <w:t>nt à leurs préoccupations</w:t>
      </w:r>
      <w:r w:rsidR="008D6B80">
        <w:rPr>
          <w:lang w:val="fr-FR"/>
        </w:rPr>
        <w:t xml:space="preserve">. </w:t>
      </w:r>
      <w:r w:rsidR="00F20DA9">
        <w:rPr>
          <w:lang w:val="fr-FR"/>
        </w:rPr>
        <w:t>Ces informations sont mises à la disposition de tous les jeunes qui relèvent des services pénitentiaires du Territoire de la capitale</w:t>
      </w:r>
      <w:r w:rsidR="0055475B">
        <w:rPr>
          <w:lang w:val="fr-FR"/>
        </w:rPr>
        <w:t xml:space="preserve"> fédérale</w:t>
      </w:r>
      <w:r w:rsidR="00F20DA9">
        <w:rPr>
          <w:lang w:val="fr-FR"/>
        </w:rPr>
        <w:t>.</w:t>
      </w:r>
    </w:p>
    <w:p w:rsidR="00F20DA9" w:rsidRDefault="00762CF4" w:rsidP="005D7B68">
      <w:pPr>
        <w:tabs>
          <w:tab w:val="left" w:pos="567"/>
          <w:tab w:val="left" w:pos="1134"/>
          <w:tab w:val="left" w:pos="1701"/>
          <w:tab w:val="left" w:pos="2268"/>
          <w:tab w:val="left" w:pos="2835"/>
        </w:tabs>
        <w:rPr>
          <w:lang w:val="fr-FR"/>
        </w:rPr>
      </w:pPr>
      <w:r>
        <w:rPr>
          <w:lang w:val="fr-FR"/>
        </w:rPr>
        <w:t>58</w:t>
      </w:r>
      <w:r w:rsidR="004F479B">
        <w:rPr>
          <w:lang w:val="fr-FR"/>
        </w:rPr>
        <w:t>6</w:t>
      </w:r>
      <w:r>
        <w:rPr>
          <w:lang w:val="fr-FR"/>
        </w:rPr>
        <w:t>.</w:t>
      </w:r>
      <w:r>
        <w:rPr>
          <w:lang w:val="fr-FR"/>
        </w:rPr>
        <w:tab/>
        <w:t>En 2006/</w:t>
      </w:r>
      <w:r w:rsidR="00F20DA9">
        <w:rPr>
          <w:lang w:val="fr-FR"/>
        </w:rPr>
        <w:t>07, la Commission des droits de l’homme du Territoire a effectué un audit sur le fonctionnement des établi</w:t>
      </w:r>
      <w:r w:rsidR="0055475B">
        <w:rPr>
          <w:lang w:val="fr-FR"/>
        </w:rPr>
        <w:t>ssements pénitentiaires qui s’y trouvent, incluant</w:t>
      </w:r>
      <w:r w:rsidR="00F20DA9">
        <w:rPr>
          <w:lang w:val="fr-FR"/>
        </w:rPr>
        <w:t xml:space="preserve"> la situation des personnes placées en détention provisoire souffrant de troubles mentaux</w:t>
      </w:r>
      <w:r w:rsidR="008D6B80">
        <w:rPr>
          <w:lang w:val="fr-FR"/>
        </w:rPr>
        <w:t xml:space="preserve">. </w:t>
      </w:r>
      <w:r w:rsidR="00F20DA9">
        <w:rPr>
          <w:lang w:val="fr-FR"/>
        </w:rPr>
        <w:t>Pour 2007</w:t>
      </w:r>
      <w:r>
        <w:rPr>
          <w:lang w:val="fr-FR"/>
        </w:rPr>
        <w:t>/</w:t>
      </w:r>
      <w:r w:rsidR="00F20DA9">
        <w:rPr>
          <w:lang w:val="fr-FR"/>
        </w:rPr>
        <w:t>08, le Gouvernement du Territoire</w:t>
      </w:r>
      <w:r w:rsidR="0055475B">
        <w:rPr>
          <w:lang w:val="fr-FR"/>
        </w:rPr>
        <w:t xml:space="preserve"> de la capitale fédérale</w:t>
      </w:r>
      <w:r w:rsidR="00F20DA9">
        <w:rPr>
          <w:lang w:val="fr-FR"/>
        </w:rPr>
        <w:t xml:space="preserve"> s’est engagé à faire avancer le projet de services de haute sécurité et de services pour malades hospitalisés souffrant de graves troubles mentaux à l’h</w:t>
      </w:r>
      <w:r w:rsidR="00317857">
        <w:rPr>
          <w:lang w:val="fr-FR"/>
        </w:rPr>
        <w:t>ô</w:t>
      </w:r>
      <w:r w:rsidR="00F20DA9">
        <w:rPr>
          <w:lang w:val="fr-FR"/>
        </w:rPr>
        <w:t>pital de Canberra</w:t>
      </w:r>
      <w:r w:rsidR="00317857">
        <w:rPr>
          <w:lang w:val="fr-FR"/>
        </w:rPr>
        <w:t xml:space="preserve"> à l’intention de tous les déte</w:t>
      </w:r>
      <w:r w:rsidR="0055475B">
        <w:rPr>
          <w:lang w:val="fr-FR"/>
        </w:rPr>
        <w:t>nus dont l’état de santé mental</w:t>
      </w:r>
      <w:r w:rsidR="00317857">
        <w:rPr>
          <w:lang w:val="fr-FR"/>
        </w:rPr>
        <w:t xml:space="preserve"> exige qu’ils y soient traités et placés.</w:t>
      </w:r>
    </w:p>
    <w:p w:rsidR="00102CEE" w:rsidRDefault="00686A7C" w:rsidP="005D7B68">
      <w:pPr>
        <w:tabs>
          <w:tab w:val="left" w:pos="567"/>
          <w:tab w:val="left" w:pos="1134"/>
          <w:tab w:val="left" w:pos="1701"/>
          <w:tab w:val="left" w:pos="2268"/>
          <w:tab w:val="left" w:pos="2835"/>
        </w:tabs>
        <w:rPr>
          <w:lang w:val="fr-FR"/>
        </w:rPr>
      </w:pPr>
      <w:r>
        <w:rPr>
          <w:lang w:val="fr-FR"/>
        </w:rPr>
        <w:t>58</w:t>
      </w:r>
      <w:r w:rsidR="004F479B">
        <w:rPr>
          <w:lang w:val="fr-FR"/>
        </w:rPr>
        <w:t>7</w:t>
      </w:r>
      <w:r>
        <w:rPr>
          <w:lang w:val="fr-FR"/>
        </w:rPr>
        <w:t>.</w:t>
      </w:r>
      <w:r>
        <w:rPr>
          <w:lang w:val="fr-FR"/>
        </w:rPr>
        <w:tab/>
      </w:r>
      <w:r w:rsidR="00102CEE">
        <w:rPr>
          <w:lang w:val="fr-FR"/>
        </w:rPr>
        <w:t>Il a déjà été question des recommandations de la Commission des droits de l’homme du Territoire de la capitale</w:t>
      </w:r>
      <w:r w:rsidR="00A06F70">
        <w:rPr>
          <w:lang w:val="fr-FR"/>
        </w:rPr>
        <w:t xml:space="preserve"> fédérale</w:t>
      </w:r>
      <w:r w:rsidR="00102CEE">
        <w:rPr>
          <w:lang w:val="fr-FR"/>
        </w:rPr>
        <w:t xml:space="preserve"> concernant les femmes</w:t>
      </w:r>
      <w:r w:rsidR="008D6B80">
        <w:rPr>
          <w:lang w:val="fr-FR"/>
        </w:rPr>
        <w:t xml:space="preserve">. </w:t>
      </w:r>
      <w:r w:rsidR="00102CEE">
        <w:rPr>
          <w:lang w:val="fr-FR"/>
        </w:rPr>
        <w:t>Non contente de recommander que les détenues ne soient pas gardées par des hommes la nuit, elle ajoute ceci</w:t>
      </w:r>
      <w:r w:rsidR="00572260">
        <w:rPr>
          <w:lang w:val="fr-FR"/>
        </w:rPr>
        <w:t>:</w:t>
      </w:r>
    </w:p>
    <w:p w:rsidR="00686A7C" w:rsidRDefault="00A06F70" w:rsidP="005D7B68">
      <w:pPr>
        <w:tabs>
          <w:tab w:val="left" w:pos="567"/>
          <w:tab w:val="left" w:pos="1134"/>
          <w:tab w:val="left" w:pos="1701"/>
          <w:tab w:val="left" w:pos="2268"/>
          <w:tab w:val="left" w:pos="2835"/>
        </w:tabs>
        <w:rPr>
          <w:lang w:val="fr-FR"/>
        </w:rPr>
      </w:pPr>
      <w:r>
        <w:rPr>
          <w:lang w:val="fr-FR"/>
        </w:rPr>
        <w:tab/>
        <w:t>a)</w:t>
      </w:r>
      <w:r>
        <w:rPr>
          <w:lang w:val="fr-FR"/>
        </w:rPr>
        <w:tab/>
        <w:t>I</w:t>
      </w:r>
      <w:r w:rsidR="00102CEE">
        <w:rPr>
          <w:lang w:val="fr-FR"/>
        </w:rPr>
        <w:t>l faut poursuivre les efforts pour recruter des fonctionnaires des services pénitentiaires de sexe féminin</w:t>
      </w:r>
      <w:r w:rsidR="00572260">
        <w:rPr>
          <w:lang w:val="fr-FR"/>
        </w:rPr>
        <w:t>;</w:t>
      </w:r>
    </w:p>
    <w:p w:rsidR="00102CEE" w:rsidRDefault="00A06F70" w:rsidP="005D7B68">
      <w:pPr>
        <w:tabs>
          <w:tab w:val="left" w:pos="567"/>
          <w:tab w:val="left" w:pos="1134"/>
          <w:tab w:val="left" w:pos="1701"/>
          <w:tab w:val="left" w:pos="2268"/>
          <w:tab w:val="left" w:pos="2835"/>
        </w:tabs>
        <w:rPr>
          <w:lang w:val="fr-FR"/>
        </w:rPr>
      </w:pPr>
      <w:r>
        <w:rPr>
          <w:lang w:val="fr-FR"/>
        </w:rPr>
        <w:tab/>
        <w:t>b)</w:t>
      </w:r>
      <w:r>
        <w:rPr>
          <w:lang w:val="fr-FR"/>
        </w:rPr>
        <w:tab/>
        <w:t>T</w:t>
      </w:r>
      <w:r w:rsidR="00102CEE">
        <w:rPr>
          <w:lang w:val="fr-FR"/>
        </w:rPr>
        <w:t>ous les agents des services pénitentiaires devraient être astreints à une formation approfondie sur les problè</w:t>
      </w:r>
      <w:r w:rsidR="00525EC3">
        <w:rPr>
          <w:lang w:val="fr-FR"/>
        </w:rPr>
        <w:t>mes des femmes emprisonnées leur permettant</w:t>
      </w:r>
      <w:r w:rsidR="00102CEE">
        <w:rPr>
          <w:lang w:val="fr-FR"/>
        </w:rPr>
        <w:t xml:space="preserve"> d’acquérir le doigté qui convient à leur égard</w:t>
      </w:r>
      <w:r w:rsidR="00572260">
        <w:rPr>
          <w:lang w:val="fr-FR"/>
        </w:rPr>
        <w:t>;</w:t>
      </w:r>
    </w:p>
    <w:p w:rsidR="00102CEE" w:rsidRDefault="00102CEE" w:rsidP="005D7B68">
      <w:pPr>
        <w:tabs>
          <w:tab w:val="left" w:pos="567"/>
          <w:tab w:val="left" w:pos="1134"/>
          <w:tab w:val="left" w:pos="1701"/>
          <w:tab w:val="left" w:pos="2268"/>
          <w:tab w:val="left" w:pos="2835"/>
        </w:tabs>
        <w:rPr>
          <w:lang w:val="fr-FR"/>
        </w:rPr>
      </w:pPr>
      <w:r>
        <w:rPr>
          <w:lang w:val="fr-FR"/>
        </w:rPr>
        <w:tab/>
        <w:t>c)</w:t>
      </w:r>
      <w:r>
        <w:rPr>
          <w:lang w:val="fr-FR"/>
        </w:rPr>
        <w:tab/>
      </w:r>
      <w:r w:rsidR="00A06F70">
        <w:rPr>
          <w:lang w:val="fr-FR"/>
        </w:rPr>
        <w:t>L</w:t>
      </w:r>
      <w:r w:rsidR="006E57D8">
        <w:rPr>
          <w:lang w:val="fr-FR"/>
        </w:rPr>
        <w:t>es centres de détention provisoire devraient répondre aux besoins particuliers des détenues, par exemple en installant un distributeur de serviettes hygiéniques et de tampons périodiques, et</w:t>
      </w:r>
    </w:p>
    <w:p w:rsidR="006E57D8" w:rsidRDefault="00A06F70" w:rsidP="005D7B68">
      <w:pPr>
        <w:tabs>
          <w:tab w:val="left" w:pos="567"/>
          <w:tab w:val="left" w:pos="1134"/>
          <w:tab w:val="left" w:pos="1701"/>
          <w:tab w:val="left" w:pos="2268"/>
          <w:tab w:val="left" w:pos="2835"/>
        </w:tabs>
        <w:rPr>
          <w:lang w:val="fr-FR"/>
        </w:rPr>
      </w:pPr>
      <w:r>
        <w:rPr>
          <w:lang w:val="fr-FR"/>
        </w:rPr>
        <w:tab/>
        <w:t>d)</w:t>
      </w:r>
      <w:r>
        <w:rPr>
          <w:lang w:val="fr-FR"/>
        </w:rPr>
        <w:tab/>
        <w:t>L</w:t>
      </w:r>
      <w:r w:rsidR="006E57D8">
        <w:rPr>
          <w:lang w:val="fr-FR"/>
        </w:rPr>
        <w:t>es détenues dev</w:t>
      </w:r>
      <w:r w:rsidR="00EE47BF">
        <w:rPr>
          <w:lang w:val="fr-FR"/>
        </w:rPr>
        <w:t xml:space="preserve">raient disposer d’informations </w:t>
      </w:r>
      <w:r w:rsidR="006E57D8">
        <w:rPr>
          <w:lang w:val="fr-FR"/>
        </w:rPr>
        <w:t>et de moyens relatifs à une sexualité sans danger.</w:t>
      </w:r>
    </w:p>
    <w:p w:rsidR="006E57D8" w:rsidRDefault="006E57D8" w:rsidP="005D7B68">
      <w:pPr>
        <w:tabs>
          <w:tab w:val="left" w:pos="567"/>
          <w:tab w:val="left" w:pos="1134"/>
          <w:tab w:val="left" w:pos="1701"/>
          <w:tab w:val="left" w:pos="2268"/>
          <w:tab w:val="left" w:pos="2835"/>
        </w:tabs>
        <w:rPr>
          <w:lang w:val="fr-FR"/>
        </w:rPr>
      </w:pPr>
      <w:r>
        <w:rPr>
          <w:lang w:val="fr-FR"/>
        </w:rPr>
        <w:t>58</w:t>
      </w:r>
      <w:r w:rsidR="004F479B">
        <w:rPr>
          <w:lang w:val="fr-FR"/>
        </w:rPr>
        <w:t>8</w:t>
      </w:r>
      <w:r>
        <w:rPr>
          <w:lang w:val="fr-FR"/>
        </w:rPr>
        <w:t>.</w:t>
      </w:r>
      <w:r>
        <w:rPr>
          <w:lang w:val="fr-FR"/>
        </w:rPr>
        <w:tab/>
        <w:t>Les droits des autochtones sont raisonnablement bien respectés par l’agent de liaison autochtone dans les centres de détention provisoire du Territoire</w:t>
      </w:r>
      <w:r w:rsidR="008D6B80">
        <w:rPr>
          <w:lang w:val="fr-FR"/>
        </w:rPr>
        <w:t xml:space="preserve">. </w:t>
      </w:r>
      <w:r w:rsidR="00A06F70">
        <w:rPr>
          <w:lang w:val="fr-FR"/>
        </w:rPr>
        <w:t>Cependant, la Commission formule</w:t>
      </w:r>
      <w:r>
        <w:rPr>
          <w:lang w:val="fr-FR"/>
        </w:rPr>
        <w:t>, entre autres, les</w:t>
      </w:r>
      <w:r w:rsidR="00572260">
        <w:rPr>
          <w:lang w:val="fr-FR"/>
        </w:rPr>
        <w:t xml:space="preserve"> </w:t>
      </w:r>
      <w:r>
        <w:rPr>
          <w:lang w:val="fr-FR"/>
        </w:rPr>
        <w:t>recommandations ci-après</w:t>
      </w:r>
      <w:r w:rsidR="00572260">
        <w:rPr>
          <w:lang w:val="fr-FR"/>
        </w:rPr>
        <w:t>:</w:t>
      </w:r>
    </w:p>
    <w:p w:rsidR="006E57D8" w:rsidRDefault="006E57D8" w:rsidP="005D7B68">
      <w:pPr>
        <w:tabs>
          <w:tab w:val="left" w:pos="567"/>
          <w:tab w:val="left" w:pos="1134"/>
          <w:tab w:val="left" w:pos="1701"/>
          <w:tab w:val="left" w:pos="2268"/>
          <w:tab w:val="left" w:pos="2835"/>
        </w:tabs>
        <w:rPr>
          <w:lang w:val="fr-FR"/>
        </w:rPr>
      </w:pPr>
      <w:r>
        <w:rPr>
          <w:lang w:val="fr-FR"/>
        </w:rPr>
        <w:tab/>
        <w:t>a)</w:t>
      </w:r>
      <w:r>
        <w:rPr>
          <w:lang w:val="fr-FR"/>
        </w:rPr>
        <w:tab/>
        <w:t>Les fonctionnaires non autochtones des services pénitentiaires devraient êt</w:t>
      </w:r>
      <w:r w:rsidR="00977608">
        <w:rPr>
          <w:lang w:val="fr-FR"/>
        </w:rPr>
        <w:t>re astreints à suivre des stages de sensibilisation aux cultures</w:t>
      </w:r>
      <w:r w:rsidR="00572260">
        <w:rPr>
          <w:lang w:val="fr-FR"/>
        </w:rPr>
        <w:t>;</w:t>
      </w:r>
    </w:p>
    <w:p w:rsidR="00977608" w:rsidRDefault="00977608" w:rsidP="005D7B68">
      <w:pPr>
        <w:tabs>
          <w:tab w:val="left" w:pos="567"/>
          <w:tab w:val="left" w:pos="1134"/>
          <w:tab w:val="left" w:pos="1701"/>
          <w:tab w:val="left" w:pos="2268"/>
          <w:tab w:val="left" w:pos="2835"/>
        </w:tabs>
        <w:rPr>
          <w:lang w:val="fr-FR"/>
        </w:rPr>
      </w:pPr>
      <w:r>
        <w:rPr>
          <w:lang w:val="fr-FR"/>
        </w:rPr>
        <w:tab/>
        <w:t>b)</w:t>
      </w:r>
      <w:r>
        <w:rPr>
          <w:lang w:val="fr-FR"/>
        </w:rPr>
        <w:tab/>
        <w:t>Ils devraient faire l’objet d’évaluations sur leurs aptitudes particulières aux échanges avec des personnes issues de divers milieux culturels et linguistiques</w:t>
      </w:r>
      <w:r w:rsidR="00572260">
        <w:rPr>
          <w:lang w:val="fr-FR"/>
        </w:rPr>
        <w:t>;</w:t>
      </w:r>
    </w:p>
    <w:p w:rsidR="00977608" w:rsidRDefault="00977608" w:rsidP="005D7B68">
      <w:pPr>
        <w:tabs>
          <w:tab w:val="left" w:pos="567"/>
          <w:tab w:val="left" w:pos="1134"/>
          <w:tab w:val="left" w:pos="1701"/>
          <w:tab w:val="left" w:pos="2268"/>
          <w:tab w:val="left" w:pos="2835"/>
        </w:tabs>
        <w:rPr>
          <w:lang w:val="fr-FR"/>
        </w:rPr>
      </w:pPr>
      <w:r>
        <w:rPr>
          <w:lang w:val="fr-FR"/>
        </w:rPr>
        <w:tab/>
        <w:t>c)</w:t>
      </w:r>
      <w:r>
        <w:rPr>
          <w:lang w:val="fr-FR"/>
        </w:rPr>
        <w:tab/>
        <w:t>Les mesures relatives à l’examen de la performance devraient comprendre une évaluation de la capacité des fonctionnaires à entretenir des relations effectives avec les détenus issus de divers milieux culturels et linguistiques</w:t>
      </w:r>
      <w:r w:rsidR="00572260">
        <w:rPr>
          <w:lang w:val="fr-FR"/>
        </w:rPr>
        <w:t>;</w:t>
      </w:r>
      <w:r>
        <w:rPr>
          <w:lang w:val="fr-FR"/>
        </w:rPr>
        <w:t xml:space="preserve"> et</w:t>
      </w:r>
    </w:p>
    <w:p w:rsidR="00977608" w:rsidRDefault="00977608" w:rsidP="005D7B68">
      <w:pPr>
        <w:tabs>
          <w:tab w:val="left" w:pos="567"/>
          <w:tab w:val="left" w:pos="1134"/>
          <w:tab w:val="left" w:pos="1701"/>
          <w:tab w:val="left" w:pos="2268"/>
          <w:tab w:val="left" w:pos="2835"/>
        </w:tabs>
        <w:rPr>
          <w:lang w:val="fr-FR"/>
        </w:rPr>
      </w:pPr>
      <w:r>
        <w:rPr>
          <w:lang w:val="fr-FR"/>
        </w:rPr>
        <w:tab/>
        <w:t>d)</w:t>
      </w:r>
      <w:r>
        <w:rPr>
          <w:lang w:val="fr-FR"/>
        </w:rPr>
        <w:tab/>
        <w:t>L’agent de liaison autochtone devrait bénéficier d’un surcroît d’appui et de ressources</w:t>
      </w:r>
      <w:r w:rsidR="002807BC">
        <w:rPr>
          <w:lang w:val="fr-FR"/>
        </w:rPr>
        <w:t xml:space="preserve"> pour permettre aux détenus autochtones d’avoir des activités culturelles plus importantes.</w:t>
      </w:r>
    </w:p>
    <w:p w:rsidR="002807BC" w:rsidRDefault="002807BC" w:rsidP="005D7B68">
      <w:pPr>
        <w:tabs>
          <w:tab w:val="left" w:pos="567"/>
          <w:tab w:val="left" w:pos="1134"/>
          <w:tab w:val="left" w:pos="1701"/>
          <w:tab w:val="left" w:pos="2268"/>
          <w:tab w:val="left" w:pos="2835"/>
        </w:tabs>
        <w:rPr>
          <w:lang w:val="fr-FR"/>
        </w:rPr>
      </w:pPr>
      <w:r>
        <w:rPr>
          <w:lang w:val="fr-FR"/>
        </w:rPr>
        <w:t>5</w:t>
      </w:r>
      <w:r w:rsidR="004F479B">
        <w:rPr>
          <w:lang w:val="fr-FR"/>
        </w:rPr>
        <w:t>8</w:t>
      </w:r>
      <w:r>
        <w:rPr>
          <w:lang w:val="fr-FR"/>
        </w:rPr>
        <w:t>9.</w:t>
      </w:r>
      <w:r>
        <w:rPr>
          <w:lang w:val="fr-FR"/>
        </w:rPr>
        <w:tab/>
        <w:t>Pour ce qui est des enfants, à la suite de l’audit sur le centre de détention juvénile de Quamby effectué par la Commission des droits de l’homme du Territoire de la capitale</w:t>
      </w:r>
      <w:r w:rsidR="00A06F70">
        <w:rPr>
          <w:lang w:val="fr-FR"/>
        </w:rPr>
        <w:t xml:space="preserve"> fédérale</w:t>
      </w:r>
      <w:r>
        <w:rPr>
          <w:lang w:val="fr-FR"/>
        </w:rPr>
        <w:t>, toutes les recommandations de la Commission ont été acceptées, en principe, par le gouvernement</w:t>
      </w:r>
      <w:r w:rsidR="008D6B80">
        <w:rPr>
          <w:lang w:val="fr-FR"/>
        </w:rPr>
        <w:t xml:space="preserve">. </w:t>
      </w:r>
      <w:r>
        <w:rPr>
          <w:lang w:val="fr-FR"/>
        </w:rPr>
        <w:t xml:space="preserve">Un nouveau centre de détention, </w:t>
      </w:r>
      <w:r w:rsidRPr="002807BC">
        <w:rPr>
          <w:i/>
          <w:iCs/>
          <w:lang w:val="fr-FR"/>
        </w:rPr>
        <w:t>Bimberi Youth Justice Centre</w:t>
      </w:r>
      <w:r>
        <w:rPr>
          <w:lang w:val="fr-FR"/>
        </w:rPr>
        <w:t>, est en cours de construction et la Commission est satisfaite, d’une manière générale, des nouvelles consignes permanentes et du projet du centre de détention.</w:t>
      </w:r>
    </w:p>
    <w:p w:rsidR="002807BC" w:rsidRDefault="002807BC" w:rsidP="005D7B68">
      <w:pPr>
        <w:tabs>
          <w:tab w:val="left" w:pos="567"/>
          <w:tab w:val="left" w:pos="1134"/>
          <w:tab w:val="left" w:pos="1701"/>
          <w:tab w:val="left" w:pos="2268"/>
          <w:tab w:val="left" w:pos="2835"/>
        </w:tabs>
        <w:rPr>
          <w:b/>
          <w:bCs/>
          <w:lang w:val="fr-FR"/>
        </w:rPr>
      </w:pPr>
      <w:r>
        <w:rPr>
          <w:b/>
          <w:bCs/>
          <w:lang w:val="fr-FR"/>
        </w:rPr>
        <w:t>Territoire du Nord</w:t>
      </w:r>
    </w:p>
    <w:p w:rsidR="002807BC" w:rsidRPr="003D18D4" w:rsidRDefault="002807BC" w:rsidP="005D7B68">
      <w:pPr>
        <w:tabs>
          <w:tab w:val="left" w:pos="567"/>
          <w:tab w:val="left" w:pos="1134"/>
          <w:tab w:val="left" w:pos="1701"/>
          <w:tab w:val="left" w:pos="2268"/>
          <w:tab w:val="left" w:pos="2835"/>
        </w:tabs>
        <w:rPr>
          <w:lang w:val="fr-FR"/>
        </w:rPr>
      </w:pPr>
      <w:r>
        <w:rPr>
          <w:lang w:val="fr-FR"/>
        </w:rPr>
        <w:t>59</w:t>
      </w:r>
      <w:r w:rsidR="004F479B">
        <w:rPr>
          <w:lang w:val="fr-FR"/>
        </w:rPr>
        <w:t>0</w:t>
      </w:r>
      <w:r>
        <w:rPr>
          <w:lang w:val="fr-FR"/>
        </w:rPr>
        <w:t>.</w:t>
      </w:r>
      <w:r>
        <w:rPr>
          <w:lang w:val="fr-FR"/>
        </w:rPr>
        <w:tab/>
      </w:r>
      <w:r w:rsidR="006C4AE0">
        <w:rPr>
          <w:lang w:val="fr-FR"/>
        </w:rPr>
        <w:t>La</w:t>
      </w:r>
      <w:r w:rsidR="006C4AE0">
        <w:rPr>
          <w:i/>
          <w:iCs/>
          <w:lang w:val="fr-FR"/>
        </w:rPr>
        <w:t xml:space="preserve"> </w:t>
      </w:r>
      <w:r w:rsidR="006C4AE0" w:rsidRPr="00A06F70">
        <w:rPr>
          <w:lang w:val="fr-FR"/>
        </w:rPr>
        <w:t>loi sur les prisons (services pénitentiaires)</w:t>
      </w:r>
      <w:r w:rsidR="006C4AE0">
        <w:rPr>
          <w:lang w:val="fr-FR"/>
        </w:rPr>
        <w:t xml:space="preserve"> énonce des principes directeurs concernant l’accès des détenus au Programme des visiteurs officiels et la </w:t>
      </w:r>
      <w:r w:rsidR="006C4AE0" w:rsidRPr="00A06F70">
        <w:rPr>
          <w:lang w:val="fr-FR"/>
        </w:rPr>
        <w:t>loi sur le Médiateur</w:t>
      </w:r>
      <w:r w:rsidR="00572260">
        <w:rPr>
          <w:lang w:val="fr-FR"/>
        </w:rPr>
        <w:t xml:space="preserve"> </w:t>
      </w:r>
      <w:r w:rsidR="006C4AE0">
        <w:rPr>
          <w:lang w:val="fr-FR"/>
        </w:rPr>
        <w:t>fa</w:t>
      </w:r>
      <w:r w:rsidR="009F75BB">
        <w:rPr>
          <w:lang w:val="fr-FR"/>
        </w:rPr>
        <w:t>it de même pour ce qui est des</w:t>
      </w:r>
      <w:r w:rsidR="006C4AE0">
        <w:rPr>
          <w:lang w:val="fr-FR"/>
        </w:rPr>
        <w:t xml:space="preserve"> lieux de détention</w:t>
      </w:r>
      <w:r w:rsidR="008D6B80">
        <w:rPr>
          <w:lang w:val="fr-FR"/>
        </w:rPr>
        <w:t xml:space="preserve">. </w:t>
      </w:r>
      <w:r w:rsidR="006C4AE0">
        <w:rPr>
          <w:lang w:val="fr-FR"/>
        </w:rPr>
        <w:t>Les détenus peuvent avoir accès à une organisation comme la Commission des plaintes concernant la santé par l’intermédiaire du Centre médical ou des services pénitentiaires</w:t>
      </w:r>
      <w:r w:rsidR="008D6B80">
        <w:rPr>
          <w:lang w:val="fr-FR"/>
        </w:rPr>
        <w:t xml:space="preserve">. </w:t>
      </w:r>
      <w:r w:rsidR="00555879">
        <w:rPr>
          <w:lang w:val="fr-FR"/>
        </w:rPr>
        <w:t>L</w:t>
      </w:r>
      <w:r w:rsidR="003D18D4">
        <w:rPr>
          <w:lang w:val="fr-FR"/>
        </w:rPr>
        <w:t>es lettres confidentielles des Directeurs généraux au Ministre sont à la disposition de tous les détenus pour protéger leurs droits</w:t>
      </w:r>
      <w:r w:rsidR="008D6B80">
        <w:rPr>
          <w:lang w:val="fr-FR"/>
        </w:rPr>
        <w:t xml:space="preserve">. </w:t>
      </w:r>
      <w:r w:rsidR="003D18D4">
        <w:rPr>
          <w:lang w:val="fr-FR"/>
        </w:rPr>
        <w:t>Á cette fin, ils peuvent également s’adresser à la Commission anti-discrimination, à la Commission des droits de l’homme et de l’égalité des chances e</w:t>
      </w:r>
      <w:r w:rsidR="00F80DD5">
        <w:rPr>
          <w:lang w:val="fr-FR"/>
        </w:rPr>
        <w:t>t à leur conseil.</w:t>
      </w:r>
    </w:p>
    <w:p w:rsidR="00640C9E" w:rsidRDefault="003D18D4" w:rsidP="005D7B68">
      <w:pPr>
        <w:tabs>
          <w:tab w:val="left" w:pos="567"/>
          <w:tab w:val="left" w:pos="1134"/>
          <w:tab w:val="left" w:pos="1701"/>
          <w:tab w:val="left" w:pos="2268"/>
          <w:tab w:val="left" w:pos="2835"/>
        </w:tabs>
        <w:rPr>
          <w:lang w:val="fr-FR"/>
        </w:rPr>
      </w:pPr>
      <w:r>
        <w:rPr>
          <w:lang w:val="fr-FR"/>
        </w:rPr>
        <w:t>59</w:t>
      </w:r>
      <w:r w:rsidR="004F479B">
        <w:rPr>
          <w:lang w:val="fr-FR"/>
        </w:rPr>
        <w:t>1</w:t>
      </w:r>
      <w:r>
        <w:rPr>
          <w:lang w:val="fr-FR"/>
        </w:rPr>
        <w:t>.</w:t>
      </w:r>
      <w:r>
        <w:rPr>
          <w:lang w:val="fr-FR"/>
        </w:rPr>
        <w:tab/>
        <w:t>Le Département de la justice exécute un Programme des visiteurs officiels dans tous les établissements de détention pour adultes et pour mineurs</w:t>
      </w:r>
      <w:r w:rsidR="008D6B80">
        <w:rPr>
          <w:lang w:val="fr-FR"/>
        </w:rPr>
        <w:t xml:space="preserve">. </w:t>
      </w:r>
      <w:r>
        <w:rPr>
          <w:lang w:val="fr-FR"/>
        </w:rPr>
        <w:t>Á la suite d</w:t>
      </w:r>
      <w:r w:rsidR="00640C9E">
        <w:rPr>
          <w:lang w:val="fr-FR"/>
        </w:rPr>
        <w:t>’une enquête effectuée par le Médiateur du Territoire du Nord sur ce programme, les modifications ci-après ont été apportées à son administration</w:t>
      </w:r>
      <w:r w:rsidR="00572260">
        <w:rPr>
          <w:lang w:val="fr-FR"/>
        </w:rPr>
        <w:t>:</w:t>
      </w:r>
    </w:p>
    <w:p w:rsidR="002807BC" w:rsidRDefault="00555879" w:rsidP="005D7B68">
      <w:pPr>
        <w:tabs>
          <w:tab w:val="left" w:pos="567"/>
          <w:tab w:val="left" w:pos="1134"/>
          <w:tab w:val="left" w:pos="1701"/>
          <w:tab w:val="left" w:pos="2268"/>
          <w:tab w:val="left" w:pos="2835"/>
        </w:tabs>
        <w:rPr>
          <w:lang w:val="fr-FR"/>
        </w:rPr>
      </w:pPr>
      <w:r>
        <w:rPr>
          <w:lang w:val="fr-FR"/>
        </w:rPr>
        <w:tab/>
        <w:t>a)</w:t>
      </w:r>
      <w:r>
        <w:rPr>
          <w:lang w:val="fr-FR"/>
        </w:rPr>
        <w:tab/>
        <w:t>U</w:t>
      </w:r>
      <w:r w:rsidR="00640C9E">
        <w:rPr>
          <w:lang w:val="fr-FR"/>
        </w:rPr>
        <w:t>n secrétariat</w:t>
      </w:r>
      <w:r w:rsidR="002807BC">
        <w:rPr>
          <w:lang w:val="fr-FR"/>
        </w:rPr>
        <w:t xml:space="preserve"> </w:t>
      </w:r>
      <w:r w:rsidR="00640C9E">
        <w:rPr>
          <w:lang w:val="fr-FR"/>
        </w:rPr>
        <w:t>a été créé pour faire disparaître tout conflit d’intérêt</w:t>
      </w:r>
      <w:r w:rsidR="00572260">
        <w:rPr>
          <w:lang w:val="fr-FR"/>
        </w:rPr>
        <w:t xml:space="preserve"> </w:t>
      </w:r>
      <w:r w:rsidR="00640C9E">
        <w:rPr>
          <w:lang w:val="fr-FR"/>
        </w:rPr>
        <w:t>réel ou imaginaire suscité par les réponses aux questions soulevées dans les rapports des visiteurs officiels</w:t>
      </w:r>
      <w:r w:rsidR="008D6B80">
        <w:rPr>
          <w:lang w:val="fr-FR"/>
        </w:rPr>
        <w:t xml:space="preserve">. </w:t>
      </w:r>
      <w:r w:rsidR="00640C9E">
        <w:rPr>
          <w:lang w:val="fr-FR"/>
        </w:rPr>
        <w:t>Cette tâche est maintenant supervisée par un secteur du Département de la justice qui</w:t>
      </w:r>
      <w:r w:rsidR="00121EAB">
        <w:rPr>
          <w:lang w:val="fr-FR"/>
        </w:rPr>
        <w:t xml:space="preserve"> est distinct</w:t>
      </w:r>
      <w:r w:rsidR="0099722C">
        <w:rPr>
          <w:lang w:val="fr-FR"/>
        </w:rPr>
        <w:t xml:space="preserve"> des services pénitentiaires;</w:t>
      </w:r>
    </w:p>
    <w:p w:rsidR="00640C9E" w:rsidRDefault="00555879" w:rsidP="005D7B68">
      <w:pPr>
        <w:tabs>
          <w:tab w:val="left" w:pos="567"/>
          <w:tab w:val="left" w:pos="1134"/>
          <w:tab w:val="left" w:pos="1701"/>
          <w:tab w:val="left" w:pos="2268"/>
          <w:tab w:val="left" w:pos="2835"/>
        </w:tabs>
        <w:rPr>
          <w:lang w:val="fr-FR"/>
        </w:rPr>
      </w:pPr>
      <w:r>
        <w:rPr>
          <w:lang w:val="fr-FR"/>
        </w:rPr>
        <w:tab/>
        <w:t>b)</w:t>
      </w:r>
      <w:r>
        <w:rPr>
          <w:lang w:val="fr-FR"/>
        </w:rPr>
        <w:tab/>
        <w:t>O</w:t>
      </w:r>
      <w:r w:rsidR="00640C9E">
        <w:rPr>
          <w:lang w:val="fr-FR"/>
        </w:rPr>
        <w:t xml:space="preserve">n a mis en place des procédures de recrutement et d’entrée en service afin d’avoir un système plus transparent </w:t>
      </w:r>
      <w:r w:rsidR="00F905A6">
        <w:rPr>
          <w:lang w:val="fr-FR"/>
        </w:rPr>
        <w:t>pour attirer des candidats aux postes de visiteurs officiels</w:t>
      </w:r>
      <w:r w:rsidR="00572260">
        <w:rPr>
          <w:lang w:val="fr-FR"/>
        </w:rPr>
        <w:t>;</w:t>
      </w:r>
      <w:r w:rsidR="00F905A6">
        <w:rPr>
          <w:lang w:val="fr-FR"/>
        </w:rPr>
        <w:t xml:space="preserve"> il existe maintenant un processus d’entrée en service des visiteurs officiels (ce qui est nouveau) et les documents nécessaires (par exemple les textes législatifs, les principes directeurs, les modèles de présentation des rapports, etc.) sont maintenant disponibles pour aider les visiteurs officiels à exercer leurs fonctions</w:t>
      </w:r>
      <w:r w:rsidR="0099722C">
        <w:rPr>
          <w:lang w:val="fr-FR"/>
        </w:rPr>
        <w:t>;</w:t>
      </w:r>
      <w:r w:rsidR="00F905A6">
        <w:rPr>
          <w:lang w:val="fr-FR"/>
        </w:rPr>
        <w:t xml:space="preserve"> et</w:t>
      </w:r>
    </w:p>
    <w:p w:rsidR="00F905A6" w:rsidRDefault="00555879" w:rsidP="005D7B68">
      <w:pPr>
        <w:tabs>
          <w:tab w:val="left" w:pos="567"/>
          <w:tab w:val="left" w:pos="1134"/>
          <w:tab w:val="left" w:pos="1701"/>
          <w:tab w:val="left" w:pos="2268"/>
          <w:tab w:val="left" w:pos="2835"/>
        </w:tabs>
        <w:rPr>
          <w:lang w:val="fr-FR"/>
        </w:rPr>
      </w:pPr>
      <w:r>
        <w:rPr>
          <w:lang w:val="fr-FR"/>
        </w:rPr>
        <w:tab/>
        <w:t>c)</w:t>
      </w:r>
      <w:r>
        <w:rPr>
          <w:lang w:val="fr-FR"/>
        </w:rPr>
        <w:tab/>
        <w:t>U</w:t>
      </w:r>
      <w:r w:rsidR="00F905A6">
        <w:rPr>
          <w:lang w:val="fr-FR"/>
        </w:rPr>
        <w:t>n système de suivi a été instauré pour veiller à ce que les prescriptions soient respectées, avec des visi</w:t>
      </w:r>
      <w:r>
        <w:rPr>
          <w:lang w:val="fr-FR"/>
        </w:rPr>
        <w:t xml:space="preserve">tes mensuelles, </w:t>
      </w:r>
      <w:r w:rsidR="00F905A6">
        <w:rPr>
          <w:lang w:val="fr-FR"/>
        </w:rPr>
        <w:t>de</w:t>
      </w:r>
      <w:r>
        <w:rPr>
          <w:lang w:val="fr-FR"/>
        </w:rPr>
        <w:t>s</w:t>
      </w:r>
      <w:r w:rsidR="00F905A6">
        <w:rPr>
          <w:lang w:val="fr-FR"/>
        </w:rPr>
        <w:t xml:space="preserve"> rapports et une correspondance ministérielle.</w:t>
      </w:r>
    </w:p>
    <w:p w:rsidR="0013466E" w:rsidRDefault="00F905A6" w:rsidP="005D7B68">
      <w:pPr>
        <w:tabs>
          <w:tab w:val="left" w:pos="567"/>
          <w:tab w:val="left" w:pos="1134"/>
          <w:tab w:val="left" w:pos="1701"/>
          <w:tab w:val="left" w:pos="2268"/>
          <w:tab w:val="left" w:pos="2835"/>
        </w:tabs>
        <w:rPr>
          <w:lang w:val="fr-FR"/>
        </w:rPr>
      </w:pPr>
      <w:r>
        <w:rPr>
          <w:lang w:val="fr-FR"/>
        </w:rPr>
        <w:t>59</w:t>
      </w:r>
      <w:r w:rsidR="004F479B">
        <w:rPr>
          <w:lang w:val="fr-FR"/>
        </w:rPr>
        <w:t>2</w:t>
      </w:r>
      <w:r>
        <w:rPr>
          <w:lang w:val="fr-FR"/>
        </w:rPr>
        <w:t>.</w:t>
      </w:r>
      <w:r>
        <w:rPr>
          <w:lang w:val="fr-FR"/>
        </w:rPr>
        <w:tab/>
      </w:r>
      <w:r w:rsidR="0013466E">
        <w:rPr>
          <w:lang w:val="fr-FR"/>
        </w:rPr>
        <w:t>Il existe également des mécanismes de révision indépendants par le biais du Bureau du Médiateur du Territoire du Nord et de l</w:t>
      </w:r>
      <w:r w:rsidR="007037D7">
        <w:rPr>
          <w:lang w:val="fr-FR"/>
        </w:rPr>
        <w:t xml:space="preserve">a Commission des plaintes </w:t>
      </w:r>
      <w:r w:rsidR="0013466E">
        <w:rPr>
          <w:lang w:val="fr-FR"/>
        </w:rPr>
        <w:t>contre des services de santé et des services communautaires.</w:t>
      </w:r>
    </w:p>
    <w:p w:rsidR="00F905A6" w:rsidRDefault="0013466E" w:rsidP="005D7B68">
      <w:pPr>
        <w:tabs>
          <w:tab w:val="left" w:pos="567"/>
          <w:tab w:val="left" w:pos="1134"/>
          <w:tab w:val="left" w:pos="1701"/>
          <w:tab w:val="left" w:pos="2268"/>
          <w:tab w:val="left" w:pos="2835"/>
        </w:tabs>
        <w:rPr>
          <w:lang w:val="fr-FR"/>
        </w:rPr>
      </w:pPr>
      <w:r>
        <w:rPr>
          <w:lang w:val="fr-FR"/>
        </w:rPr>
        <w:t>59</w:t>
      </w:r>
      <w:r w:rsidR="004F479B">
        <w:rPr>
          <w:lang w:val="fr-FR"/>
        </w:rPr>
        <w:t>3</w:t>
      </w:r>
      <w:r>
        <w:rPr>
          <w:lang w:val="fr-FR"/>
        </w:rPr>
        <w:t>.</w:t>
      </w:r>
      <w:r>
        <w:rPr>
          <w:lang w:val="fr-FR"/>
        </w:rPr>
        <w:tab/>
        <w:t xml:space="preserve">Le Médiateur du Territoire du Nord est </w:t>
      </w:r>
      <w:r w:rsidR="000828FC">
        <w:rPr>
          <w:lang w:val="fr-FR"/>
        </w:rPr>
        <w:t>à la tête d’un organisme statutaire indépendant qui relève du Parlement</w:t>
      </w:r>
      <w:r w:rsidR="008D6B80">
        <w:rPr>
          <w:lang w:val="fr-FR"/>
        </w:rPr>
        <w:t xml:space="preserve">. </w:t>
      </w:r>
      <w:r w:rsidR="000828FC">
        <w:rPr>
          <w:lang w:val="fr-FR"/>
        </w:rPr>
        <w:t>Les citoyens, y compris ceux qui sont placés en détention, peuvent déposer des pla</w:t>
      </w:r>
      <w:r w:rsidR="00556EDA">
        <w:rPr>
          <w:lang w:val="fr-FR"/>
        </w:rPr>
        <w:t>intes auprès de lui concernant</w:t>
      </w:r>
      <w:r w:rsidR="000828FC">
        <w:rPr>
          <w:lang w:val="fr-FR"/>
        </w:rPr>
        <w:t xml:space="preserve"> toute mesure administrative prise par les organismes publics, à savoir la police, les services pénitentiaires et tous les autres organismes gouvernementaux.</w:t>
      </w:r>
    </w:p>
    <w:p w:rsidR="000828FC" w:rsidRDefault="000828FC" w:rsidP="005D7B68">
      <w:pPr>
        <w:tabs>
          <w:tab w:val="left" w:pos="567"/>
          <w:tab w:val="left" w:pos="1134"/>
          <w:tab w:val="left" w:pos="1701"/>
          <w:tab w:val="left" w:pos="2268"/>
          <w:tab w:val="left" w:pos="2835"/>
        </w:tabs>
        <w:rPr>
          <w:lang w:val="fr-FR"/>
        </w:rPr>
      </w:pPr>
      <w:r>
        <w:rPr>
          <w:lang w:val="fr-FR"/>
        </w:rPr>
        <w:t>59</w:t>
      </w:r>
      <w:r w:rsidR="004F479B">
        <w:rPr>
          <w:lang w:val="fr-FR"/>
        </w:rPr>
        <w:t>4</w:t>
      </w:r>
      <w:r>
        <w:rPr>
          <w:lang w:val="fr-FR"/>
        </w:rPr>
        <w:t>.</w:t>
      </w:r>
      <w:r>
        <w:rPr>
          <w:lang w:val="fr-FR"/>
        </w:rPr>
        <w:tab/>
        <w:t>C’est e</w:t>
      </w:r>
      <w:r w:rsidR="00555879">
        <w:rPr>
          <w:lang w:val="fr-FR"/>
        </w:rPr>
        <w:t>n partie grâce au Médiateur qu’</w:t>
      </w:r>
      <w:r>
        <w:rPr>
          <w:lang w:val="fr-FR"/>
        </w:rPr>
        <w:t>a été créé le système téléphonique pour les d</w:t>
      </w:r>
      <w:r w:rsidR="00555879">
        <w:rPr>
          <w:lang w:val="fr-FR"/>
        </w:rPr>
        <w:t>étenus, lequel permet, entre autres,</w:t>
      </w:r>
      <w:r>
        <w:rPr>
          <w:lang w:val="fr-FR"/>
        </w:rPr>
        <w:t xml:space="preserve"> à ces derniers</w:t>
      </w:r>
      <w:r w:rsidR="00923723">
        <w:rPr>
          <w:lang w:val="fr-FR"/>
        </w:rPr>
        <w:t xml:space="preserve"> de téléphoner gratuitement et de disposer d’une ligne directe spéciale pour porter leurs doléances à l’attention du Médiateur, de la Commission contre la discrimination, de la Commission des droits de l’homme et de l’égalité des chances et de la Commission des plaintes relatives à la santé en appelant des numéros communs programmés dans le système téléphonique en question</w:t>
      </w:r>
      <w:r w:rsidR="008D6B80">
        <w:rPr>
          <w:lang w:val="fr-FR"/>
        </w:rPr>
        <w:t xml:space="preserve">. </w:t>
      </w:r>
      <w:r w:rsidR="00923723">
        <w:rPr>
          <w:lang w:val="fr-FR"/>
        </w:rPr>
        <w:t>Tous le</w:t>
      </w:r>
      <w:r w:rsidR="00FA5E3D">
        <w:rPr>
          <w:lang w:val="fr-FR"/>
        </w:rPr>
        <w:t>s détenus peuvent appeler leur avocat</w:t>
      </w:r>
      <w:r w:rsidR="00923723">
        <w:rPr>
          <w:lang w:val="fr-FR"/>
        </w:rPr>
        <w:t xml:space="preserve"> au prix d’une commu</w:t>
      </w:r>
      <w:r w:rsidR="002B6D49">
        <w:rPr>
          <w:lang w:val="fr-FR"/>
        </w:rPr>
        <w:t>nication ordinaire</w:t>
      </w:r>
      <w:r w:rsidR="008D6B80">
        <w:rPr>
          <w:lang w:val="fr-FR"/>
        </w:rPr>
        <w:t xml:space="preserve">. </w:t>
      </w:r>
      <w:r w:rsidR="002B6D49">
        <w:rPr>
          <w:lang w:val="fr-FR"/>
        </w:rPr>
        <w:t>Ils</w:t>
      </w:r>
      <w:r w:rsidR="00923723">
        <w:rPr>
          <w:lang w:val="fr-FR"/>
        </w:rPr>
        <w:t xml:space="preserve"> peuvent également contacter ces organes par courrier non censuré.</w:t>
      </w:r>
    </w:p>
    <w:p w:rsidR="00B60675" w:rsidRDefault="00B60675" w:rsidP="005D7B68">
      <w:pPr>
        <w:tabs>
          <w:tab w:val="left" w:pos="567"/>
          <w:tab w:val="left" w:pos="1134"/>
          <w:tab w:val="left" w:pos="1701"/>
          <w:tab w:val="left" w:pos="2268"/>
          <w:tab w:val="left" w:pos="2835"/>
        </w:tabs>
        <w:rPr>
          <w:lang w:val="fr-FR"/>
        </w:rPr>
      </w:pPr>
      <w:r>
        <w:rPr>
          <w:lang w:val="fr-FR"/>
        </w:rPr>
        <w:t>59</w:t>
      </w:r>
      <w:r w:rsidR="004F479B">
        <w:rPr>
          <w:lang w:val="fr-FR"/>
        </w:rPr>
        <w:t>5</w:t>
      </w:r>
      <w:r>
        <w:rPr>
          <w:lang w:val="fr-FR"/>
        </w:rPr>
        <w:t>.</w:t>
      </w:r>
      <w:r>
        <w:rPr>
          <w:lang w:val="fr-FR"/>
        </w:rPr>
        <w:tab/>
        <w:t xml:space="preserve">La </w:t>
      </w:r>
      <w:r w:rsidRPr="00555879">
        <w:rPr>
          <w:lang w:val="fr-FR"/>
        </w:rPr>
        <w:t>loi sur la santé mentale et les mécanismes connexes</w:t>
      </w:r>
      <w:r>
        <w:rPr>
          <w:lang w:val="fr-FR"/>
        </w:rPr>
        <w:t xml:space="preserve"> (Territoire du Nord) comporte également des mécanismes relatifs aux plaintes</w:t>
      </w:r>
      <w:r w:rsidR="00572260">
        <w:rPr>
          <w:lang w:val="fr-FR"/>
        </w:rPr>
        <w:t>:</w:t>
      </w:r>
    </w:p>
    <w:p w:rsidR="00B60675" w:rsidRDefault="00B60675" w:rsidP="005D7B68">
      <w:pPr>
        <w:tabs>
          <w:tab w:val="left" w:pos="567"/>
          <w:tab w:val="left" w:pos="1134"/>
          <w:tab w:val="left" w:pos="1701"/>
          <w:tab w:val="left" w:pos="2268"/>
          <w:tab w:val="left" w:pos="2835"/>
        </w:tabs>
        <w:rPr>
          <w:lang w:val="fr-FR"/>
        </w:rPr>
      </w:pPr>
      <w:r>
        <w:rPr>
          <w:lang w:val="fr-FR"/>
        </w:rPr>
        <w:tab/>
        <w:t>a)</w:t>
      </w:r>
      <w:r>
        <w:rPr>
          <w:lang w:val="fr-FR"/>
        </w:rPr>
        <w:tab/>
        <w:t>L’article 100 prévoit les procédures de recours internes</w:t>
      </w:r>
      <w:r w:rsidR="00572260">
        <w:rPr>
          <w:lang w:val="fr-FR"/>
        </w:rPr>
        <w:t>;</w:t>
      </w:r>
    </w:p>
    <w:p w:rsidR="001A2AA3" w:rsidRDefault="009C0F84" w:rsidP="005D7B68">
      <w:pPr>
        <w:tabs>
          <w:tab w:val="left" w:pos="567"/>
          <w:tab w:val="left" w:pos="1134"/>
          <w:tab w:val="left" w:pos="1701"/>
          <w:tab w:val="left" w:pos="2268"/>
          <w:tab w:val="left" w:pos="2835"/>
        </w:tabs>
        <w:rPr>
          <w:lang w:val="fr-FR"/>
        </w:rPr>
      </w:pPr>
      <w:r>
        <w:rPr>
          <w:lang w:val="fr-FR"/>
        </w:rPr>
        <w:tab/>
        <w:t>b)</w:t>
      </w:r>
      <w:r>
        <w:rPr>
          <w:lang w:val="fr-FR"/>
        </w:rPr>
        <w:tab/>
        <w:t>L’article 105 traite d</w:t>
      </w:r>
      <w:r w:rsidR="001A2AA3">
        <w:rPr>
          <w:lang w:val="fr-FR"/>
        </w:rPr>
        <w:t>es pouvoirs du programme des visiteurs communautaires (organe indépendant du Département) pour mener des enquêtes sur les plaintes.</w:t>
      </w:r>
    </w:p>
    <w:p w:rsidR="000C1EBF" w:rsidRDefault="000C1EBF" w:rsidP="005D7B68">
      <w:pPr>
        <w:tabs>
          <w:tab w:val="left" w:pos="567"/>
          <w:tab w:val="left" w:pos="1134"/>
          <w:tab w:val="left" w:pos="1701"/>
          <w:tab w:val="left" w:pos="2268"/>
          <w:tab w:val="left" w:pos="2835"/>
        </w:tabs>
        <w:rPr>
          <w:lang w:val="fr-FR"/>
        </w:rPr>
      </w:pPr>
      <w:r>
        <w:rPr>
          <w:lang w:val="fr-FR"/>
        </w:rPr>
        <w:t>59</w:t>
      </w:r>
      <w:r w:rsidR="004F479B">
        <w:rPr>
          <w:lang w:val="fr-FR"/>
        </w:rPr>
        <w:t>6</w:t>
      </w:r>
      <w:r>
        <w:rPr>
          <w:lang w:val="fr-FR"/>
        </w:rPr>
        <w:t>.</w:t>
      </w:r>
      <w:r w:rsidR="00553A37">
        <w:rPr>
          <w:lang w:val="fr-FR"/>
        </w:rPr>
        <w:tab/>
        <w:t>Les droits des détenus souffrant de troubles mentaux sont pris en charge par les équipes des programmes de santé mentale chargées des détenus ayant des problèmes de ce type</w:t>
      </w:r>
      <w:r w:rsidR="008D6B80">
        <w:rPr>
          <w:lang w:val="fr-FR"/>
        </w:rPr>
        <w:t xml:space="preserve">. </w:t>
      </w:r>
      <w:r w:rsidR="00553A37">
        <w:rPr>
          <w:lang w:val="fr-FR"/>
        </w:rPr>
        <w:t>Leurs services consistent en des visites et des conseils aux détenus, et elles</w:t>
      </w:r>
      <w:r w:rsidR="00555879">
        <w:rPr>
          <w:lang w:val="fr-FR"/>
        </w:rPr>
        <w:t xml:space="preserve"> orientent également ceux qui souffre</w:t>
      </w:r>
      <w:r w:rsidR="00553A37">
        <w:rPr>
          <w:lang w:val="fr-FR"/>
        </w:rPr>
        <w:t>nt de troubles mentaux</w:t>
      </w:r>
      <w:r w:rsidR="009F5A22">
        <w:rPr>
          <w:lang w:val="fr-FR"/>
        </w:rPr>
        <w:t xml:space="preserve"> dans les services médicaux pénitentiaires vers d’autres institutions</w:t>
      </w:r>
      <w:r w:rsidR="008D6B80">
        <w:rPr>
          <w:lang w:val="fr-FR"/>
        </w:rPr>
        <w:t xml:space="preserve">. </w:t>
      </w:r>
      <w:r w:rsidR="009F5A22">
        <w:rPr>
          <w:lang w:val="fr-FR"/>
        </w:rPr>
        <w:t>Il existe aussi, dans la loi sur la santé mentale et les services connexes, des dispositions relatives à l’admission des détenus dans un établissement de traitement agréé si la chose est nécessaire et appropriée.</w:t>
      </w:r>
    </w:p>
    <w:p w:rsidR="009F5A22" w:rsidRDefault="009F5A22" w:rsidP="005D7B68">
      <w:pPr>
        <w:tabs>
          <w:tab w:val="left" w:pos="567"/>
          <w:tab w:val="left" w:pos="1134"/>
          <w:tab w:val="left" w:pos="1701"/>
          <w:tab w:val="left" w:pos="2268"/>
          <w:tab w:val="left" w:pos="2835"/>
        </w:tabs>
        <w:rPr>
          <w:lang w:val="fr-FR"/>
        </w:rPr>
      </w:pPr>
      <w:r>
        <w:rPr>
          <w:lang w:val="fr-FR"/>
        </w:rPr>
        <w:t>59</w:t>
      </w:r>
      <w:r w:rsidR="004F479B">
        <w:rPr>
          <w:lang w:val="fr-FR"/>
        </w:rPr>
        <w:t>7</w:t>
      </w:r>
      <w:r>
        <w:rPr>
          <w:lang w:val="fr-FR"/>
        </w:rPr>
        <w:t>.</w:t>
      </w:r>
      <w:r>
        <w:rPr>
          <w:lang w:val="fr-FR"/>
        </w:rPr>
        <w:tab/>
        <w:t>La Commission des plaintes à l’encontre des services de santé et des services commun</w:t>
      </w:r>
      <w:r w:rsidR="003572CB">
        <w:rPr>
          <w:lang w:val="fr-FR"/>
        </w:rPr>
        <w:t>autaires est également habilitée</w:t>
      </w:r>
      <w:r w:rsidR="00635495">
        <w:rPr>
          <w:lang w:val="fr-FR"/>
        </w:rPr>
        <w:t>, comme le Médiateur,</w:t>
      </w:r>
      <w:r w:rsidR="003572CB">
        <w:rPr>
          <w:lang w:val="fr-FR"/>
        </w:rPr>
        <w:t xml:space="preserve"> à </w:t>
      </w:r>
      <w:r w:rsidR="00C630E2">
        <w:rPr>
          <w:lang w:val="fr-FR"/>
        </w:rPr>
        <w:t>instruire les plaintes et constitue un autre mécanisme de recours externe et indépendant</w:t>
      </w:r>
      <w:r w:rsidR="008D6B80">
        <w:rPr>
          <w:lang w:val="fr-FR"/>
        </w:rPr>
        <w:t xml:space="preserve">. </w:t>
      </w:r>
      <w:r w:rsidR="00C630E2">
        <w:rPr>
          <w:lang w:val="fr-FR"/>
        </w:rPr>
        <w:t>Elle est entrée en fonction le 1</w:t>
      </w:r>
      <w:r w:rsidR="00C630E2" w:rsidRPr="00C630E2">
        <w:rPr>
          <w:vertAlign w:val="superscript"/>
          <w:lang w:val="fr-FR"/>
        </w:rPr>
        <w:t>er</w:t>
      </w:r>
      <w:r w:rsidR="00C630E2">
        <w:rPr>
          <w:lang w:val="fr-FR"/>
        </w:rPr>
        <w:t xml:space="preserve"> juillet 1998, en </w:t>
      </w:r>
      <w:r w:rsidR="00C630E2" w:rsidRPr="00C630E2">
        <w:rPr>
          <w:lang w:val="fr-FR"/>
        </w:rPr>
        <w:t>application</w:t>
      </w:r>
      <w:r w:rsidR="00C630E2">
        <w:rPr>
          <w:lang w:val="fr-FR"/>
        </w:rPr>
        <w:t xml:space="preserve"> de la </w:t>
      </w:r>
      <w:r w:rsidR="00C630E2" w:rsidRPr="00555879">
        <w:rPr>
          <w:lang w:val="fr-FR"/>
        </w:rPr>
        <w:t xml:space="preserve">loi sur les plaintes concernant les services </w:t>
      </w:r>
      <w:r w:rsidR="004D65E2">
        <w:rPr>
          <w:lang w:val="fr-FR"/>
        </w:rPr>
        <w:t xml:space="preserve">sanitaires </w:t>
      </w:r>
      <w:r w:rsidR="00C630E2" w:rsidRPr="00555879">
        <w:rPr>
          <w:lang w:val="fr-FR"/>
        </w:rPr>
        <w:t>et communautaires</w:t>
      </w:r>
      <w:r w:rsidR="00C630E2">
        <w:rPr>
          <w:lang w:val="fr-FR"/>
        </w:rPr>
        <w:t xml:space="preserve"> (Territoire du Nord)</w:t>
      </w:r>
      <w:r w:rsidR="008D6B80">
        <w:rPr>
          <w:lang w:val="fr-FR"/>
        </w:rPr>
        <w:t xml:space="preserve">. </w:t>
      </w:r>
      <w:r w:rsidR="00C630E2">
        <w:rPr>
          <w:lang w:val="fr-FR"/>
        </w:rPr>
        <w:t xml:space="preserve">Elle a pour rôle de recevoir les plaintes concernant la </w:t>
      </w:r>
      <w:r w:rsidR="0014330A">
        <w:rPr>
          <w:lang w:val="fr-FR"/>
        </w:rPr>
        <w:t>prestation des services sanitaires</w:t>
      </w:r>
      <w:r w:rsidR="00C630E2">
        <w:rPr>
          <w:lang w:val="fr-FR"/>
        </w:rPr>
        <w:t xml:space="preserve"> et communautaires du Territoire du Nord (y compris ceux qui sont fournis dans les prisons par le personnel médical) et d’y donner suite</w:t>
      </w:r>
      <w:r w:rsidR="008D6B80">
        <w:rPr>
          <w:lang w:val="fr-FR"/>
        </w:rPr>
        <w:t xml:space="preserve">. </w:t>
      </w:r>
      <w:r w:rsidR="00C630E2">
        <w:rPr>
          <w:lang w:val="fr-FR"/>
        </w:rPr>
        <w:t xml:space="preserve">Comme le Médiateur, cette commission a qualité à </w:t>
      </w:r>
      <w:r w:rsidR="003C7203">
        <w:rPr>
          <w:lang w:val="fr-FR"/>
        </w:rPr>
        <w:t>remettre ses rapports directement au Parlement du Territo</w:t>
      </w:r>
      <w:r w:rsidR="00160B4F">
        <w:rPr>
          <w:lang w:val="fr-FR"/>
        </w:rPr>
        <w:t>ire du </w:t>
      </w:r>
      <w:r w:rsidR="003C7203">
        <w:rPr>
          <w:lang w:val="fr-FR"/>
        </w:rPr>
        <w:t>Nord.</w:t>
      </w:r>
    </w:p>
    <w:p w:rsidR="003C7203" w:rsidRDefault="003C7203" w:rsidP="005D7B68">
      <w:pPr>
        <w:tabs>
          <w:tab w:val="left" w:pos="567"/>
          <w:tab w:val="left" w:pos="1134"/>
          <w:tab w:val="left" w:pos="1701"/>
          <w:tab w:val="left" w:pos="2268"/>
          <w:tab w:val="left" w:pos="2835"/>
        </w:tabs>
        <w:rPr>
          <w:lang w:val="fr-FR"/>
        </w:rPr>
      </w:pPr>
      <w:r>
        <w:rPr>
          <w:lang w:val="fr-FR"/>
        </w:rPr>
        <w:t>59</w:t>
      </w:r>
      <w:r w:rsidR="004F479B">
        <w:rPr>
          <w:lang w:val="fr-FR"/>
        </w:rPr>
        <w:t>8</w:t>
      </w:r>
      <w:r>
        <w:rPr>
          <w:lang w:val="fr-FR"/>
        </w:rPr>
        <w:t>.</w:t>
      </w:r>
      <w:r>
        <w:rPr>
          <w:lang w:val="fr-FR"/>
        </w:rPr>
        <w:tab/>
        <w:t>En ce qui concerne les mécanismes d’examen de</w:t>
      </w:r>
      <w:r w:rsidR="00555879">
        <w:rPr>
          <w:lang w:val="fr-FR"/>
        </w:rPr>
        <w:t>s</w:t>
      </w:r>
      <w:r>
        <w:rPr>
          <w:lang w:val="fr-FR"/>
        </w:rPr>
        <w:t xml:space="preserve"> plaintes, la loi relative à la Commission des plaintes à l’encon</w:t>
      </w:r>
      <w:r w:rsidR="00602F99">
        <w:rPr>
          <w:lang w:val="fr-FR"/>
        </w:rPr>
        <w:t>tre des services sanitaires</w:t>
      </w:r>
      <w:r>
        <w:rPr>
          <w:lang w:val="fr-FR"/>
        </w:rPr>
        <w:t xml:space="preserve"> et communautaires érige en infraction le fait de pratiquer l’intimidation ou de prendre des mesures contre tout</w:t>
      </w:r>
      <w:r w:rsidR="00572260">
        <w:rPr>
          <w:lang w:val="fr-FR"/>
        </w:rPr>
        <w:t xml:space="preserve"> </w:t>
      </w:r>
      <w:r>
        <w:rPr>
          <w:lang w:val="fr-FR"/>
        </w:rPr>
        <w:t xml:space="preserve">plaignant à la suite d’un dépôt de plainte (passible d’une amende de 10 000 dollars au maximum ou d’une peine pouvant aller jusqu’à </w:t>
      </w:r>
      <w:r w:rsidR="00160B4F">
        <w:rPr>
          <w:lang w:val="fr-FR"/>
        </w:rPr>
        <w:t>douze</w:t>
      </w:r>
      <w:r>
        <w:rPr>
          <w:lang w:val="fr-FR"/>
        </w:rPr>
        <w:t xml:space="preserve"> mois d’emprisonnement)</w:t>
      </w:r>
      <w:r w:rsidR="008D6B80">
        <w:rPr>
          <w:lang w:val="fr-FR"/>
        </w:rPr>
        <w:t xml:space="preserve">. </w:t>
      </w:r>
      <w:r w:rsidR="00E14E46">
        <w:rPr>
          <w:lang w:val="fr-FR"/>
        </w:rPr>
        <w:t xml:space="preserve">Le Médiateur et le Commissaire aux plaintes à </w:t>
      </w:r>
      <w:r w:rsidR="0087434A">
        <w:rPr>
          <w:lang w:val="fr-FR"/>
        </w:rPr>
        <w:t>l’encontre des services sanitaires</w:t>
      </w:r>
      <w:r w:rsidR="00E14E46">
        <w:rPr>
          <w:lang w:val="fr-FR"/>
        </w:rPr>
        <w:t xml:space="preserve"> et communautaires peuvent aussi instruire toute plainte concernant le harcèlement, l’intimid</w:t>
      </w:r>
      <w:r w:rsidR="00555879">
        <w:rPr>
          <w:lang w:val="fr-FR"/>
        </w:rPr>
        <w:t>ation ou le harcèlement</w:t>
      </w:r>
      <w:r w:rsidR="00E14E46">
        <w:rPr>
          <w:lang w:val="fr-FR"/>
        </w:rPr>
        <w:t xml:space="preserve"> d’un plaignant à la suite d</w:t>
      </w:r>
      <w:r w:rsidR="00F60DBB">
        <w:rPr>
          <w:lang w:val="fr-FR"/>
        </w:rPr>
        <w:t>e son</w:t>
      </w:r>
      <w:r w:rsidR="00E14E46">
        <w:rPr>
          <w:lang w:val="fr-FR"/>
        </w:rPr>
        <w:t xml:space="preserve"> dépôt de plainte.</w:t>
      </w:r>
    </w:p>
    <w:p w:rsidR="00F60DBB" w:rsidRPr="00C630E2" w:rsidRDefault="004F479B" w:rsidP="005D7B68">
      <w:pPr>
        <w:tabs>
          <w:tab w:val="left" w:pos="567"/>
          <w:tab w:val="left" w:pos="1134"/>
          <w:tab w:val="left" w:pos="1701"/>
          <w:tab w:val="left" w:pos="2268"/>
          <w:tab w:val="left" w:pos="2835"/>
        </w:tabs>
        <w:rPr>
          <w:lang w:val="fr-FR"/>
        </w:rPr>
      </w:pPr>
      <w:r>
        <w:rPr>
          <w:lang w:val="fr-FR"/>
        </w:rPr>
        <w:t>599</w:t>
      </w:r>
      <w:r w:rsidR="00F60DBB">
        <w:rPr>
          <w:lang w:val="fr-FR"/>
        </w:rPr>
        <w:t>.</w:t>
      </w:r>
      <w:r w:rsidR="00F60DBB">
        <w:rPr>
          <w:lang w:val="fr-FR"/>
        </w:rPr>
        <w:tab/>
        <w:t xml:space="preserve">Pour ce qui est des prisons, </w:t>
      </w:r>
      <w:r w:rsidR="00A36320">
        <w:rPr>
          <w:lang w:val="fr-FR"/>
        </w:rPr>
        <w:t>les directives des commissaires interdisent expressément toute mesure de rétorsion de la part d’un membre du personnel à l’égard d’un détenu qui a déposé ou retiré une plainte</w:t>
      </w:r>
      <w:r w:rsidR="008D6B80">
        <w:rPr>
          <w:lang w:val="fr-FR"/>
        </w:rPr>
        <w:t xml:space="preserve">. </w:t>
      </w:r>
      <w:r w:rsidR="00A36320">
        <w:rPr>
          <w:lang w:val="fr-FR"/>
        </w:rPr>
        <w:t xml:space="preserve">Cela constituerait un manquement à la discipline et entraînerait une sanction disciplinaire. </w:t>
      </w:r>
    </w:p>
    <w:p w:rsidR="00E5632B" w:rsidRDefault="00F3192F" w:rsidP="005D7B68">
      <w:pPr>
        <w:tabs>
          <w:tab w:val="left" w:pos="567"/>
          <w:tab w:val="left" w:pos="1134"/>
          <w:tab w:val="left" w:pos="1701"/>
          <w:tab w:val="left" w:pos="2268"/>
          <w:tab w:val="left" w:pos="2835"/>
        </w:tabs>
        <w:rPr>
          <w:b/>
          <w:bCs/>
          <w:lang w:val="fr-FR"/>
        </w:rPr>
      </w:pPr>
      <w:r>
        <w:rPr>
          <w:b/>
          <w:bCs/>
          <w:lang w:val="fr-FR"/>
        </w:rPr>
        <w:t>Enfants placés</w:t>
      </w:r>
      <w:r w:rsidR="00E513BE">
        <w:rPr>
          <w:b/>
          <w:bCs/>
          <w:lang w:val="fr-FR"/>
        </w:rPr>
        <w:t xml:space="preserve"> hors de leur foyer</w:t>
      </w:r>
    </w:p>
    <w:p w:rsidR="00F3192F" w:rsidRDefault="004F479B" w:rsidP="005D7B68">
      <w:pPr>
        <w:tabs>
          <w:tab w:val="left" w:pos="567"/>
          <w:tab w:val="left" w:pos="1134"/>
          <w:tab w:val="left" w:pos="1701"/>
          <w:tab w:val="left" w:pos="2268"/>
          <w:tab w:val="left" w:pos="2835"/>
        </w:tabs>
        <w:rPr>
          <w:lang w:val="fr-FR"/>
        </w:rPr>
      </w:pPr>
      <w:r>
        <w:rPr>
          <w:lang w:val="fr-FR"/>
        </w:rPr>
        <w:t>600.</w:t>
      </w:r>
      <w:r>
        <w:rPr>
          <w:lang w:val="fr-FR"/>
        </w:rPr>
        <w:tab/>
      </w:r>
      <w:r w:rsidR="00F3192F">
        <w:rPr>
          <w:lang w:val="fr-FR"/>
        </w:rPr>
        <w:t xml:space="preserve">La </w:t>
      </w:r>
      <w:r w:rsidR="00F3192F" w:rsidRPr="00555879">
        <w:rPr>
          <w:lang w:val="fr-FR"/>
        </w:rPr>
        <w:t>loi sur la protection sociale communautaire</w:t>
      </w:r>
      <w:r w:rsidR="00F3192F">
        <w:rPr>
          <w:i/>
          <w:iCs/>
          <w:lang w:val="fr-FR"/>
        </w:rPr>
        <w:t xml:space="preserve"> </w:t>
      </w:r>
      <w:r w:rsidR="00F3192F">
        <w:rPr>
          <w:lang w:val="fr-FR"/>
        </w:rPr>
        <w:t>(Territoire du Nord) fournit</w:t>
      </w:r>
      <w:r w:rsidR="00665797">
        <w:rPr>
          <w:lang w:val="fr-FR"/>
        </w:rPr>
        <w:t xml:space="preserve"> </w:t>
      </w:r>
      <w:r w:rsidR="00F3192F">
        <w:rPr>
          <w:lang w:val="fr-FR"/>
        </w:rPr>
        <w:t xml:space="preserve">le cadre juridique </w:t>
      </w:r>
      <w:r w:rsidR="00665797">
        <w:rPr>
          <w:lang w:val="fr-FR"/>
        </w:rPr>
        <w:t>pour le placement des enfants (c’est-à-dire pour les enlever à la garde de leurs parents) lorsqu’ils sont en danger (habituellem</w:t>
      </w:r>
      <w:r w:rsidR="00104A9F">
        <w:rPr>
          <w:lang w:val="fr-FR"/>
        </w:rPr>
        <w:t>ent quand on craint qu’ils ne</w:t>
      </w:r>
      <w:r w:rsidR="00665797">
        <w:rPr>
          <w:lang w:val="fr-FR"/>
        </w:rPr>
        <w:t xml:space="preserve"> soi</w:t>
      </w:r>
      <w:r w:rsidR="00104A9F">
        <w:rPr>
          <w:lang w:val="fr-FR"/>
        </w:rPr>
        <w:t>en</w:t>
      </w:r>
      <w:r w:rsidR="00665797">
        <w:rPr>
          <w:lang w:val="fr-FR"/>
        </w:rPr>
        <w:t>t délaissé</w:t>
      </w:r>
      <w:r w:rsidR="00104A9F">
        <w:rPr>
          <w:lang w:val="fr-FR"/>
        </w:rPr>
        <w:t>s</w:t>
      </w:r>
      <w:r w:rsidR="00665797">
        <w:rPr>
          <w:lang w:val="fr-FR"/>
        </w:rPr>
        <w:t xml:space="preserve"> ou soumis à des violences, abandonné</w:t>
      </w:r>
      <w:r w:rsidR="00104A9F">
        <w:rPr>
          <w:lang w:val="fr-FR"/>
        </w:rPr>
        <w:t>s</w:t>
      </w:r>
      <w:r w:rsidR="00635495">
        <w:rPr>
          <w:lang w:val="fr-FR"/>
        </w:rPr>
        <w:t>, ou si leurs</w:t>
      </w:r>
      <w:r w:rsidR="00665797">
        <w:rPr>
          <w:lang w:val="fr-FR"/>
        </w:rPr>
        <w:t xml:space="preserve"> parents sont invalides ou décédés).</w:t>
      </w:r>
    </w:p>
    <w:p w:rsidR="00665797" w:rsidRDefault="007F5237" w:rsidP="00E0029F">
      <w:pPr>
        <w:numPr>
          <w:ilvl w:val="0"/>
          <w:numId w:val="3"/>
        </w:numPr>
        <w:tabs>
          <w:tab w:val="clear" w:pos="1065"/>
          <w:tab w:val="left" w:pos="567"/>
          <w:tab w:val="left" w:pos="1134"/>
          <w:tab w:val="left" w:pos="1701"/>
          <w:tab w:val="left" w:pos="2268"/>
          <w:tab w:val="left" w:pos="2835"/>
        </w:tabs>
        <w:ind w:left="0" w:firstLine="0"/>
        <w:rPr>
          <w:lang w:val="fr-FR"/>
        </w:rPr>
      </w:pPr>
      <w:r>
        <w:rPr>
          <w:lang w:val="fr-FR"/>
        </w:rPr>
        <w:t>Cette loi</w:t>
      </w:r>
      <w:r w:rsidR="00665797">
        <w:rPr>
          <w:lang w:val="fr-FR"/>
        </w:rPr>
        <w:t xml:space="preserve"> énonce les responsabilités et obligations du Ministre, qui doit assurer la sécurité et le bien-être de l’enfant</w:t>
      </w:r>
      <w:r w:rsidR="00572260">
        <w:rPr>
          <w:lang w:val="fr-FR"/>
        </w:rPr>
        <w:t xml:space="preserve"> </w:t>
      </w:r>
      <w:r w:rsidR="00665797">
        <w:rPr>
          <w:lang w:val="fr-FR"/>
        </w:rPr>
        <w:t>placé ou au sein de sa famille</w:t>
      </w:r>
      <w:r w:rsidR="000550CA">
        <w:rPr>
          <w:lang w:val="fr-FR"/>
        </w:rPr>
        <w:t xml:space="preserve">, et les types d’ordonnances légales qui peuvent </w:t>
      </w:r>
      <w:r w:rsidR="000550CA" w:rsidRPr="00B74DAC">
        <w:rPr>
          <w:lang w:val="fr-FR"/>
        </w:rPr>
        <w:t>être délivrées par</w:t>
      </w:r>
      <w:r w:rsidR="000550CA">
        <w:rPr>
          <w:lang w:val="fr-FR"/>
        </w:rPr>
        <w:t xml:space="preserve"> le tribunal pour qu’un enfant fasse l’objet d’un placement temporaire ou jusqu’à ce qu’il atteigne l’âge de 18 ans</w:t>
      </w:r>
      <w:r w:rsidR="008D6B80">
        <w:rPr>
          <w:lang w:val="fr-FR"/>
        </w:rPr>
        <w:t xml:space="preserve">. </w:t>
      </w:r>
      <w:r w:rsidR="005F7FE3">
        <w:rPr>
          <w:lang w:val="fr-FR"/>
        </w:rPr>
        <w:t>Elle</w:t>
      </w:r>
      <w:r w:rsidR="000550CA">
        <w:rPr>
          <w:lang w:val="fr-FR"/>
        </w:rPr>
        <w:t xml:space="preserve"> définit également une hiérarchie des options de placement</w:t>
      </w:r>
      <w:r>
        <w:rPr>
          <w:lang w:val="fr-FR"/>
        </w:rPr>
        <w:t xml:space="preserve"> con</w:t>
      </w:r>
      <w:r w:rsidR="00A2220F">
        <w:rPr>
          <w:lang w:val="fr-FR"/>
        </w:rPr>
        <w:t xml:space="preserve">cernant les aborigènes ou les insulaires du détroit de Torres – connue sous la dénomination </w:t>
      </w:r>
      <w:r w:rsidR="00A619D6">
        <w:rPr>
          <w:lang w:val="fr-FR"/>
        </w:rPr>
        <w:t>«</w:t>
      </w:r>
      <w:r w:rsidR="00A2220F">
        <w:rPr>
          <w:lang w:val="fr-FR"/>
        </w:rPr>
        <w:t>Principe de placement des enfants aborigènes</w:t>
      </w:r>
      <w:r w:rsidR="00A619D6">
        <w:rPr>
          <w:lang w:val="fr-FR"/>
        </w:rPr>
        <w:t>»</w:t>
      </w:r>
      <w:r w:rsidR="008D6B80">
        <w:rPr>
          <w:lang w:val="fr-FR"/>
        </w:rPr>
        <w:t>.</w:t>
      </w:r>
      <w:r w:rsidR="00572260">
        <w:rPr>
          <w:lang w:val="fr-FR"/>
        </w:rPr>
        <w:t xml:space="preserve"> </w:t>
      </w:r>
      <w:r w:rsidR="00A2220F">
        <w:rPr>
          <w:lang w:val="fr-FR"/>
        </w:rPr>
        <w:t xml:space="preserve">Selon ce principe, les placements hors du foyer des enfants aborigènes devraient être ordonnés </w:t>
      </w:r>
      <w:r w:rsidR="0087370C">
        <w:rPr>
          <w:lang w:val="fr-FR"/>
        </w:rPr>
        <w:t>en fonction de la hiérarchie ci</w:t>
      </w:r>
      <w:r w:rsidR="0087370C">
        <w:rPr>
          <w:lang w:val="fr-FR"/>
        </w:rPr>
        <w:noBreakHyphen/>
      </w:r>
      <w:r w:rsidR="00A2220F">
        <w:rPr>
          <w:lang w:val="fr-FR"/>
        </w:rPr>
        <w:t>après pour protéger la famille, la communauté et les liens culturels (le cas échéant)</w:t>
      </w:r>
      <w:r w:rsidR="00572260">
        <w:rPr>
          <w:lang w:val="fr-FR"/>
        </w:rPr>
        <w:t>:</w:t>
      </w:r>
    </w:p>
    <w:p w:rsidR="00A2220F" w:rsidRDefault="0087370C" w:rsidP="005D7B68">
      <w:pPr>
        <w:tabs>
          <w:tab w:val="left" w:pos="567"/>
          <w:tab w:val="left" w:pos="1134"/>
          <w:tab w:val="left" w:pos="1701"/>
          <w:tab w:val="left" w:pos="2268"/>
          <w:tab w:val="left" w:pos="2835"/>
        </w:tabs>
        <w:rPr>
          <w:lang w:val="fr-FR"/>
        </w:rPr>
      </w:pPr>
      <w:r>
        <w:rPr>
          <w:lang w:val="fr-FR"/>
        </w:rPr>
        <w:tab/>
        <w:t>a)</w:t>
      </w:r>
      <w:r>
        <w:rPr>
          <w:lang w:val="fr-FR"/>
        </w:rPr>
        <w:tab/>
      </w:r>
      <w:r w:rsidR="00A2220F">
        <w:rPr>
          <w:lang w:val="fr-FR"/>
        </w:rPr>
        <w:t>La famille élargie</w:t>
      </w:r>
      <w:r w:rsidR="00572260">
        <w:rPr>
          <w:lang w:val="fr-FR"/>
        </w:rPr>
        <w:t>;</w:t>
      </w:r>
    </w:p>
    <w:p w:rsidR="00A2220F" w:rsidRDefault="0087370C" w:rsidP="005D7B68">
      <w:pPr>
        <w:tabs>
          <w:tab w:val="left" w:pos="567"/>
          <w:tab w:val="left" w:pos="1134"/>
          <w:tab w:val="left" w:pos="1701"/>
          <w:tab w:val="left" w:pos="2268"/>
          <w:tab w:val="left" w:pos="2835"/>
        </w:tabs>
        <w:rPr>
          <w:lang w:val="fr-FR"/>
        </w:rPr>
      </w:pPr>
      <w:r>
        <w:rPr>
          <w:lang w:val="fr-FR"/>
        </w:rPr>
        <w:tab/>
        <w:t>b)</w:t>
      </w:r>
      <w:r>
        <w:rPr>
          <w:lang w:val="fr-FR"/>
        </w:rPr>
        <w:tab/>
      </w:r>
      <w:r w:rsidR="006C0D21">
        <w:rPr>
          <w:lang w:val="fr-FR"/>
        </w:rPr>
        <w:t>L</w:t>
      </w:r>
      <w:r w:rsidR="00A2220F">
        <w:rPr>
          <w:lang w:val="fr-FR"/>
        </w:rPr>
        <w:t>es familles aborigènes ou insulaires du détroit de Torres appartenant à la communauté de l’enfant</w:t>
      </w:r>
      <w:r w:rsidR="00572260">
        <w:rPr>
          <w:lang w:val="fr-FR"/>
        </w:rPr>
        <w:t>;</w:t>
      </w:r>
    </w:p>
    <w:p w:rsidR="00A2220F" w:rsidRDefault="0087370C" w:rsidP="005D7B68">
      <w:pPr>
        <w:tabs>
          <w:tab w:val="left" w:pos="567"/>
          <w:tab w:val="left" w:pos="1134"/>
          <w:tab w:val="left" w:pos="1701"/>
          <w:tab w:val="left" w:pos="2268"/>
          <w:tab w:val="left" w:pos="2835"/>
        </w:tabs>
        <w:rPr>
          <w:lang w:val="fr-FR"/>
        </w:rPr>
      </w:pPr>
      <w:r>
        <w:rPr>
          <w:lang w:val="fr-FR"/>
        </w:rPr>
        <w:tab/>
        <w:t>c)</w:t>
      </w:r>
      <w:r>
        <w:rPr>
          <w:lang w:val="fr-FR"/>
        </w:rPr>
        <w:tab/>
      </w:r>
      <w:r w:rsidR="007F5237">
        <w:rPr>
          <w:lang w:val="fr-FR"/>
        </w:rPr>
        <w:t>D</w:t>
      </w:r>
      <w:r w:rsidR="006C0D21">
        <w:rPr>
          <w:lang w:val="fr-FR"/>
        </w:rPr>
        <w:t>es</w:t>
      </w:r>
      <w:r w:rsidR="00A2220F">
        <w:rPr>
          <w:lang w:val="fr-FR"/>
        </w:rPr>
        <w:t xml:space="preserve"> familles aborigènes ou i</w:t>
      </w:r>
      <w:r w:rsidR="006C0D21">
        <w:rPr>
          <w:lang w:val="fr-FR"/>
        </w:rPr>
        <w:t>nsulaires du détroit de Torres appartenant à d’autres communautés</w:t>
      </w:r>
      <w:r w:rsidR="00572260">
        <w:rPr>
          <w:lang w:val="fr-FR"/>
        </w:rPr>
        <w:t>;</w:t>
      </w:r>
    </w:p>
    <w:p w:rsidR="00A2220F" w:rsidRDefault="0087370C" w:rsidP="005D7B68">
      <w:pPr>
        <w:tabs>
          <w:tab w:val="left" w:pos="567"/>
          <w:tab w:val="left" w:pos="1134"/>
          <w:tab w:val="left" w:pos="1701"/>
          <w:tab w:val="left" w:pos="2268"/>
          <w:tab w:val="left" w:pos="2835"/>
        </w:tabs>
        <w:rPr>
          <w:lang w:val="fr-FR"/>
        </w:rPr>
      </w:pPr>
      <w:r>
        <w:rPr>
          <w:lang w:val="fr-FR"/>
        </w:rPr>
        <w:tab/>
        <w:t>d)</w:t>
      </w:r>
      <w:r>
        <w:rPr>
          <w:lang w:val="fr-FR"/>
        </w:rPr>
        <w:tab/>
      </w:r>
      <w:r w:rsidR="007F5237">
        <w:rPr>
          <w:lang w:val="fr-FR"/>
        </w:rPr>
        <w:t>D</w:t>
      </w:r>
      <w:r w:rsidR="00A2220F">
        <w:rPr>
          <w:lang w:val="fr-FR"/>
        </w:rPr>
        <w:t>es</w:t>
      </w:r>
      <w:r w:rsidR="00C11C23">
        <w:rPr>
          <w:lang w:val="fr-FR"/>
        </w:rPr>
        <w:t xml:space="preserve"> personnes non autochtones.</w:t>
      </w:r>
    </w:p>
    <w:p w:rsidR="00C11C23" w:rsidRDefault="004F479B" w:rsidP="005D7B68">
      <w:pPr>
        <w:tabs>
          <w:tab w:val="left" w:pos="567"/>
          <w:tab w:val="left" w:pos="1134"/>
          <w:tab w:val="left" w:pos="1701"/>
          <w:tab w:val="left" w:pos="2268"/>
          <w:tab w:val="left" w:pos="2835"/>
        </w:tabs>
        <w:rPr>
          <w:lang w:val="fr-FR"/>
        </w:rPr>
      </w:pPr>
      <w:r>
        <w:rPr>
          <w:lang w:val="fr-FR"/>
        </w:rPr>
        <w:t>602</w:t>
      </w:r>
      <w:r w:rsidR="00C11C23">
        <w:rPr>
          <w:lang w:val="fr-FR"/>
        </w:rPr>
        <w:t>.</w:t>
      </w:r>
      <w:r w:rsidR="00C11C23">
        <w:rPr>
          <w:lang w:val="fr-FR"/>
        </w:rPr>
        <w:tab/>
        <w:t>La prise en charge des enfants placés sous la responsabilité du Ministre fait l’objet d’un suivi de la part</w:t>
      </w:r>
      <w:r w:rsidR="006C0D21">
        <w:rPr>
          <w:lang w:val="fr-FR"/>
        </w:rPr>
        <w:t xml:space="preserve"> de la Division des services pour les familles et les</w:t>
      </w:r>
      <w:r w:rsidR="00C11C23">
        <w:rPr>
          <w:lang w:val="fr-FR"/>
        </w:rPr>
        <w:t xml:space="preserve"> enfants du Département de la santé et des services communautaires du Territoire du Nord</w:t>
      </w:r>
      <w:r w:rsidR="008D6B80">
        <w:rPr>
          <w:lang w:val="fr-FR"/>
        </w:rPr>
        <w:t xml:space="preserve">. </w:t>
      </w:r>
      <w:r w:rsidR="00C11C23">
        <w:rPr>
          <w:lang w:val="fr-FR"/>
        </w:rPr>
        <w:t>En cas d’allégation ou de constatatio</w:t>
      </w:r>
      <w:r w:rsidR="007F5237">
        <w:rPr>
          <w:lang w:val="fr-FR"/>
        </w:rPr>
        <w:t>n qu’un enfant a été victime de</w:t>
      </w:r>
      <w:r w:rsidR="00C11C23">
        <w:rPr>
          <w:lang w:val="fr-FR"/>
        </w:rPr>
        <w:t xml:space="preserve"> sévices, ladite division ou la police du Territoire du Nord (ou les deux) effectue une enquête et prend des mesures appropriées en matière de protection (c’est-à-dire qu’elle apporte une aide dans le</w:t>
      </w:r>
      <w:r w:rsidR="006C0D21">
        <w:rPr>
          <w:lang w:val="fr-FR"/>
        </w:rPr>
        <w:t>s</w:t>
      </w:r>
      <w:r w:rsidR="00C11C23">
        <w:rPr>
          <w:lang w:val="fr-FR"/>
        </w:rPr>
        <w:t xml:space="preserve"> domaines des soins de santé et autres, modifie le placement de l’enfant s’il n’était pas en sécurité ou s’il a été victime des sévices) et d’action en justice (c’est-à-dire qu’elle</w:t>
      </w:r>
      <w:r w:rsidR="00456CE4">
        <w:rPr>
          <w:lang w:val="fr-FR"/>
        </w:rPr>
        <w:t xml:space="preserve"> porte plainte pour engager des poursuites).</w:t>
      </w:r>
    </w:p>
    <w:p w:rsidR="00456CE4" w:rsidRDefault="004F479B" w:rsidP="005D7B68">
      <w:pPr>
        <w:tabs>
          <w:tab w:val="left" w:pos="567"/>
          <w:tab w:val="left" w:pos="1134"/>
          <w:tab w:val="left" w:pos="1701"/>
          <w:tab w:val="left" w:pos="2268"/>
          <w:tab w:val="left" w:pos="2835"/>
        </w:tabs>
        <w:rPr>
          <w:lang w:val="fr-FR"/>
        </w:rPr>
      </w:pPr>
      <w:r>
        <w:rPr>
          <w:lang w:val="fr-FR"/>
        </w:rPr>
        <w:t>603</w:t>
      </w:r>
      <w:r w:rsidR="00456CE4">
        <w:rPr>
          <w:lang w:val="fr-FR"/>
        </w:rPr>
        <w:t>.</w:t>
      </w:r>
      <w:r w:rsidR="00456CE4">
        <w:rPr>
          <w:lang w:val="fr-FR"/>
        </w:rPr>
        <w:tab/>
      </w:r>
      <w:r w:rsidR="006C0D21">
        <w:rPr>
          <w:lang w:val="fr-FR"/>
        </w:rPr>
        <w:t>Les plaintes concernant</w:t>
      </w:r>
      <w:r w:rsidR="005F7FE3">
        <w:rPr>
          <w:lang w:val="fr-FR"/>
        </w:rPr>
        <w:t xml:space="preserve"> le système de prote</w:t>
      </w:r>
      <w:r w:rsidR="006C0D21">
        <w:rPr>
          <w:lang w:val="fr-FR"/>
        </w:rPr>
        <w:t>ction de l’enfant, ou</w:t>
      </w:r>
      <w:r w:rsidR="005F7FE3">
        <w:rPr>
          <w:lang w:val="fr-FR"/>
        </w:rPr>
        <w:t xml:space="preserve"> sa situation dans son lieu de placem</w:t>
      </w:r>
      <w:r w:rsidR="00752407">
        <w:rPr>
          <w:lang w:val="fr-FR"/>
        </w:rPr>
        <w:t>ent hors de sa famille</w:t>
      </w:r>
      <w:r w:rsidR="005F7FE3">
        <w:rPr>
          <w:lang w:val="fr-FR"/>
        </w:rPr>
        <w:t>, peuvent être déposées par l’enfant lui-même, une personne qui s’occupe de lui, un père ou une mère biologique ou tout autre partie concernée</w:t>
      </w:r>
      <w:r w:rsidR="007F5237">
        <w:rPr>
          <w:lang w:val="fr-FR"/>
        </w:rPr>
        <w:t>,</w:t>
      </w:r>
      <w:r w:rsidR="005F7FE3">
        <w:rPr>
          <w:lang w:val="fr-FR"/>
        </w:rPr>
        <w:t xml:space="preserve"> auprès de la Commission des plaintes</w:t>
      </w:r>
      <w:r w:rsidR="008718AD">
        <w:rPr>
          <w:lang w:val="fr-FR"/>
        </w:rPr>
        <w:t xml:space="preserve"> </w:t>
      </w:r>
      <w:r w:rsidR="007F5237">
        <w:rPr>
          <w:lang w:val="fr-FR"/>
        </w:rPr>
        <w:t>contre des</w:t>
      </w:r>
      <w:r w:rsidR="003229DE">
        <w:rPr>
          <w:lang w:val="fr-FR"/>
        </w:rPr>
        <w:t xml:space="preserve"> service</w:t>
      </w:r>
      <w:r w:rsidR="007F5237">
        <w:rPr>
          <w:lang w:val="fr-FR"/>
        </w:rPr>
        <w:t>s</w:t>
      </w:r>
      <w:r w:rsidR="003229DE">
        <w:rPr>
          <w:lang w:val="fr-FR"/>
        </w:rPr>
        <w:t xml:space="preserve"> de santé ou communautaire</w:t>
      </w:r>
      <w:r w:rsidR="007F5237">
        <w:rPr>
          <w:lang w:val="fr-FR"/>
        </w:rPr>
        <w:t>s</w:t>
      </w:r>
      <w:r w:rsidR="003229DE">
        <w:rPr>
          <w:lang w:val="fr-FR"/>
        </w:rPr>
        <w:t xml:space="preserve"> </w:t>
      </w:r>
      <w:r w:rsidR="008718AD">
        <w:rPr>
          <w:lang w:val="fr-FR"/>
        </w:rPr>
        <w:t>ou le</w:t>
      </w:r>
      <w:r w:rsidR="003229DE">
        <w:rPr>
          <w:lang w:val="fr-FR"/>
        </w:rPr>
        <w:t xml:space="preserve"> Médiateur.</w:t>
      </w:r>
    </w:p>
    <w:p w:rsidR="003229DE" w:rsidRDefault="003229DE" w:rsidP="005D7B68">
      <w:pPr>
        <w:tabs>
          <w:tab w:val="left" w:pos="567"/>
          <w:tab w:val="left" w:pos="1134"/>
          <w:tab w:val="left" w:pos="1701"/>
          <w:tab w:val="left" w:pos="2268"/>
          <w:tab w:val="left" w:pos="2835"/>
        </w:tabs>
        <w:rPr>
          <w:b/>
          <w:bCs/>
          <w:lang w:val="fr-FR"/>
        </w:rPr>
      </w:pPr>
      <w:r>
        <w:rPr>
          <w:b/>
          <w:bCs/>
          <w:lang w:val="fr-FR"/>
        </w:rPr>
        <w:t>Question 24</w:t>
      </w:r>
    </w:p>
    <w:p w:rsidR="00E77386" w:rsidRDefault="003229DE" w:rsidP="005D7B68">
      <w:pPr>
        <w:tabs>
          <w:tab w:val="left" w:pos="567"/>
          <w:tab w:val="left" w:pos="1134"/>
          <w:tab w:val="left" w:pos="1701"/>
          <w:tab w:val="left" w:pos="2268"/>
          <w:tab w:val="left" w:pos="2835"/>
        </w:tabs>
        <w:rPr>
          <w:b/>
          <w:bCs/>
          <w:lang w:val="fr-FR"/>
        </w:rPr>
      </w:pPr>
      <w:r>
        <w:rPr>
          <w:b/>
          <w:bCs/>
          <w:lang w:val="fr-FR"/>
        </w:rPr>
        <w:tab/>
      </w:r>
      <w:r w:rsidR="00E77386" w:rsidRPr="00E77386">
        <w:rPr>
          <w:b/>
          <w:bCs/>
          <w:lang w:val="fr-FR"/>
        </w:rPr>
        <w:t>Fournir des statistiques sur les décès en détention qui ont été signalés, ventilés par lieu de détention, sexe, âge, appartenance ethnique et cause du décès</w:t>
      </w:r>
      <w:r w:rsidR="008D6B80">
        <w:rPr>
          <w:b/>
          <w:bCs/>
          <w:lang w:val="fr-FR"/>
        </w:rPr>
        <w:t xml:space="preserve">. </w:t>
      </w:r>
      <w:r w:rsidR="00E77386" w:rsidRPr="00E77386">
        <w:rPr>
          <w:b/>
          <w:bCs/>
          <w:lang w:val="fr-FR"/>
        </w:rPr>
        <w:t>Donner des informations détaillées sur le résultat des enquêtes menées sur ces décès et sur les mesures prises pour empêcher que des violations de ce type ne se reproduisent. En particulier, fournir au Comité des renseignements à jour au sujet de l’enquête ouverte sur le décès en garde à vue de M. Mulrunji, survenu en 2004.</w:t>
      </w:r>
    </w:p>
    <w:p w:rsidR="00E77386" w:rsidRDefault="004F479B" w:rsidP="005D7B68">
      <w:pPr>
        <w:tabs>
          <w:tab w:val="left" w:pos="567"/>
          <w:tab w:val="left" w:pos="1134"/>
          <w:tab w:val="left" w:pos="1701"/>
          <w:tab w:val="left" w:pos="2268"/>
          <w:tab w:val="left" w:pos="2835"/>
        </w:tabs>
        <w:rPr>
          <w:lang w:val="fr-FR"/>
        </w:rPr>
      </w:pPr>
      <w:r>
        <w:rPr>
          <w:lang w:val="fr-FR"/>
        </w:rPr>
        <w:t>604</w:t>
      </w:r>
      <w:r w:rsidR="00E77386">
        <w:rPr>
          <w:lang w:val="fr-FR"/>
        </w:rPr>
        <w:t>.</w:t>
      </w:r>
      <w:r w:rsidR="00E77386">
        <w:rPr>
          <w:lang w:val="fr-FR"/>
        </w:rPr>
        <w:tab/>
        <w:t>La première partie de la réponse présente des statistiques ventilées du Commonwealth sur les décès en détention</w:t>
      </w:r>
      <w:r w:rsidR="008D6B80">
        <w:rPr>
          <w:lang w:val="fr-FR"/>
        </w:rPr>
        <w:t xml:space="preserve">. </w:t>
      </w:r>
      <w:r w:rsidR="00E77386">
        <w:rPr>
          <w:lang w:val="fr-FR"/>
        </w:rPr>
        <w:t>Les enquêtes menées</w:t>
      </w:r>
      <w:r w:rsidR="00716A1E">
        <w:rPr>
          <w:lang w:val="fr-FR"/>
        </w:rPr>
        <w:t xml:space="preserve"> sur ces derniers</w:t>
      </w:r>
      <w:r w:rsidR="00E77386">
        <w:rPr>
          <w:lang w:val="fr-FR"/>
        </w:rPr>
        <w:t xml:space="preserve"> relèvent de la responsabilité des gouvernements des États et des Territoires, en raison de quoi on trouvera dans la seconde partie de la réponse les informations relatives à ces enquêtes communiquées par lesdits gouvernements, ainsi que les statistiques concernant les décès en détention qui ont été signalés</w:t>
      </w:r>
      <w:r w:rsidR="008D6B80">
        <w:rPr>
          <w:lang w:val="fr-FR"/>
        </w:rPr>
        <w:t xml:space="preserve">. </w:t>
      </w:r>
      <w:r w:rsidR="00503E13">
        <w:rPr>
          <w:lang w:val="fr-FR"/>
        </w:rPr>
        <w:t>Les informations actualisées concernant le décès de Mulrunji sont données par le Gouvernement du Queensland.</w:t>
      </w:r>
    </w:p>
    <w:p w:rsidR="00503E13" w:rsidRDefault="00503E13" w:rsidP="005D7B68">
      <w:pPr>
        <w:tabs>
          <w:tab w:val="left" w:pos="567"/>
          <w:tab w:val="left" w:pos="1134"/>
          <w:tab w:val="left" w:pos="1701"/>
          <w:tab w:val="left" w:pos="2268"/>
          <w:tab w:val="left" w:pos="2835"/>
        </w:tabs>
        <w:rPr>
          <w:b/>
          <w:bCs/>
          <w:lang w:val="fr-FR"/>
        </w:rPr>
      </w:pPr>
      <w:r>
        <w:rPr>
          <w:b/>
          <w:bCs/>
          <w:lang w:val="fr-FR"/>
        </w:rPr>
        <w:t>Informations du Gouvernement du Commonwealth</w:t>
      </w:r>
    </w:p>
    <w:p w:rsidR="00503E13" w:rsidRDefault="00503E13" w:rsidP="005D7B68">
      <w:pPr>
        <w:tabs>
          <w:tab w:val="left" w:pos="567"/>
          <w:tab w:val="left" w:pos="1134"/>
          <w:tab w:val="left" w:pos="1701"/>
          <w:tab w:val="left" w:pos="2268"/>
          <w:tab w:val="left" w:pos="2835"/>
        </w:tabs>
        <w:rPr>
          <w:b/>
          <w:bCs/>
          <w:lang w:val="fr-FR"/>
        </w:rPr>
      </w:pPr>
      <w:r>
        <w:rPr>
          <w:b/>
          <w:bCs/>
          <w:lang w:val="fr-FR"/>
        </w:rPr>
        <w:t>Décès en détention</w:t>
      </w:r>
    </w:p>
    <w:p w:rsidR="00503E13" w:rsidRDefault="004F479B" w:rsidP="005D7B68">
      <w:pPr>
        <w:tabs>
          <w:tab w:val="left" w:pos="567"/>
          <w:tab w:val="left" w:pos="1134"/>
          <w:tab w:val="left" w:pos="1701"/>
          <w:tab w:val="left" w:pos="2268"/>
          <w:tab w:val="left" w:pos="2835"/>
        </w:tabs>
        <w:rPr>
          <w:lang w:val="fr-FR"/>
        </w:rPr>
      </w:pPr>
      <w:r>
        <w:rPr>
          <w:lang w:val="fr-FR"/>
        </w:rPr>
        <w:t>605</w:t>
      </w:r>
      <w:r w:rsidR="00503E13">
        <w:rPr>
          <w:lang w:val="fr-FR"/>
        </w:rPr>
        <w:t>.</w:t>
      </w:r>
      <w:r w:rsidR="00503E13">
        <w:rPr>
          <w:lang w:val="fr-FR"/>
        </w:rPr>
        <w:tab/>
        <w:t xml:space="preserve">Le Programme national relatif aux décès </w:t>
      </w:r>
      <w:r w:rsidR="00037B21">
        <w:rPr>
          <w:lang w:val="fr-FR"/>
        </w:rPr>
        <w:t xml:space="preserve">survenus </w:t>
      </w:r>
      <w:r w:rsidR="00503E13">
        <w:rPr>
          <w:lang w:val="fr-FR"/>
        </w:rPr>
        <w:t>en détention a été établi en 1992 à l’Institut australien de criminologie conformément à une recommandation de la Commission royale chargée d’enquêter sur les</w:t>
      </w:r>
      <w:r w:rsidR="00C26967">
        <w:rPr>
          <w:lang w:val="fr-FR"/>
        </w:rPr>
        <w:t xml:space="preserve"> décès de détenus aborigènes</w:t>
      </w:r>
      <w:r w:rsidR="008D6B80">
        <w:rPr>
          <w:lang w:val="fr-FR"/>
        </w:rPr>
        <w:t xml:space="preserve">. </w:t>
      </w:r>
      <w:r w:rsidR="00F65298">
        <w:rPr>
          <w:lang w:val="fr-FR"/>
        </w:rPr>
        <w:t>Il fournit en temps utile des données complètes et fiables sur tous les décès qui surviennent en détention et au cours d’opérations de police liées à la détention</w:t>
      </w:r>
    </w:p>
    <w:p w:rsidR="00F65298" w:rsidRDefault="00C243BF" w:rsidP="005D7B68">
      <w:pPr>
        <w:tabs>
          <w:tab w:val="left" w:pos="567"/>
          <w:tab w:val="left" w:pos="1134"/>
          <w:tab w:val="left" w:pos="1701"/>
          <w:tab w:val="left" w:pos="2268"/>
          <w:tab w:val="left" w:pos="2835"/>
        </w:tabs>
        <w:rPr>
          <w:lang w:val="fr-FR"/>
        </w:rPr>
      </w:pPr>
      <w:r>
        <w:rPr>
          <w:lang w:val="fr-FR"/>
        </w:rPr>
        <w:t>60</w:t>
      </w:r>
      <w:r w:rsidR="004F479B">
        <w:rPr>
          <w:lang w:val="fr-FR"/>
        </w:rPr>
        <w:t>6</w:t>
      </w:r>
      <w:r w:rsidR="00F65298">
        <w:rPr>
          <w:lang w:val="fr-FR"/>
        </w:rPr>
        <w:t>.</w:t>
      </w:r>
      <w:r w:rsidR="00F65298">
        <w:rPr>
          <w:lang w:val="fr-FR"/>
        </w:rPr>
        <w:tab/>
        <w:t>Les taux de décès en détention</w:t>
      </w:r>
      <w:r>
        <w:rPr>
          <w:lang w:val="fr-FR"/>
        </w:rPr>
        <w:t xml:space="preserve"> préventive</w:t>
      </w:r>
      <w:r w:rsidR="00F65298">
        <w:rPr>
          <w:lang w:val="fr-FR"/>
        </w:rPr>
        <w:t xml:space="preserve"> d’autochtones et de non autochtones varient entre un et six pour 1 000 dét</w:t>
      </w:r>
      <w:r w:rsidR="00B03E31">
        <w:rPr>
          <w:lang w:val="fr-FR"/>
        </w:rPr>
        <w:t>enus depuis 1982</w:t>
      </w:r>
      <w:r w:rsidR="008D6B80">
        <w:rPr>
          <w:lang w:val="fr-FR"/>
        </w:rPr>
        <w:t xml:space="preserve">. </w:t>
      </w:r>
      <w:r w:rsidR="00B03E31">
        <w:rPr>
          <w:lang w:val="fr-FR"/>
        </w:rPr>
        <w:t>Depuis 1999, ces taux, concernant les autochtones et les</w:t>
      </w:r>
      <w:r w:rsidR="00F65298">
        <w:rPr>
          <w:lang w:val="fr-FR"/>
        </w:rPr>
        <w:t xml:space="preserve"> non autochtones se sont rapprochés et ils ont tendance à diminuer.</w:t>
      </w:r>
      <w:r w:rsidR="00F65298">
        <w:rPr>
          <w:rStyle w:val="FootnoteReference"/>
          <w:lang w:val="fr-FR"/>
        </w:rPr>
        <w:footnoteReference w:id="15"/>
      </w:r>
      <w:r w:rsidR="00572260">
        <w:rPr>
          <w:lang w:val="fr-FR"/>
        </w:rPr>
        <w:t xml:space="preserve"> </w:t>
      </w:r>
      <w:r w:rsidR="006C5CB9">
        <w:rPr>
          <w:lang w:val="fr-FR"/>
        </w:rPr>
        <w:t>En 2005, le taux de décès d’autochtones en détention</w:t>
      </w:r>
      <w:r>
        <w:rPr>
          <w:lang w:val="fr-FR"/>
        </w:rPr>
        <w:t xml:space="preserve"> préventive a été de 1,2 pour 1 000 détenus</w:t>
      </w:r>
      <w:r w:rsidR="00F65298">
        <w:rPr>
          <w:lang w:val="fr-FR"/>
        </w:rPr>
        <w:t xml:space="preserve"> </w:t>
      </w:r>
      <w:r>
        <w:rPr>
          <w:lang w:val="fr-FR"/>
        </w:rPr>
        <w:t>autochtones, contre 1,4 pour 1 000 détenus non autochtones.</w:t>
      </w:r>
      <w:r>
        <w:rPr>
          <w:rStyle w:val="FootnoteReference"/>
          <w:lang w:val="fr-FR"/>
        </w:rPr>
        <w:footnoteReference w:id="16"/>
      </w:r>
    </w:p>
    <w:p w:rsidR="00C243BF" w:rsidRDefault="004F479B" w:rsidP="005D7B68">
      <w:pPr>
        <w:tabs>
          <w:tab w:val="left" w:pos="567"/>
          <w:tab w:val="left" w:pos="1134"/>
          <w:tab w:val="left" w:pos="1701"/>
          <w:tab w:val="left" w:pos="2268"/>
          <w:tab w:val="left" w:pos="2835"/>
        </w:tabs>
        <w:rPr>
          <w:lang w:val="fr-FR"/>
        </w:rPr>
      </w:pPr>
      <w:r>
        <w:rPr>
          <w:lang w:val="fr-FR"/>
        </w:rPr>
        <w:t>607</w:t>
      </w:r>
      <w:r w:rsidR="00C243BF">
        <w:rPr>
          <w:lang w:val="fr-FR"/>
        </w:rPr>
        <w:t>.</w:t>
      </w:r>
      <w:r w:rsidR="00C243BF">
        <w:rPr>
          <w:lang w:val="fr-FR"/>
        </w:rPr>
        <w:tab/>
        <w:t>Sur 54 décès en détention préventive en Australie en 2005, 15 concernaient des autochtones, ce qui est le chiffre le plus bas enregistré par l’Institut australien de criminologie depuis 1996</w:t>
      </w:r>
      <w:r w:rsidR="008D6B80">
        <w:rPr>
          <w:lang w:val="fr-FR"/>
        </w:rPr>
        <w:t xml:space="preserve">. </w:t>
      </w:r>
      <w:r w:rsidR="00C243BF">
        <w:rPr>
          <w:lang w:val="fr-FR"/>
        </w:rPr>
        <w:t>La majorité de ces décès a été due à des causes naturelles (trois), suivie de la pendaison (un) et de la drogue ou de l’alcool (un)</w:t>
      </w:r>
      <w:r w:rsidR="008D6B80">
        <w:rPr>
          <w:lang w:val="fr-FR"/>
        </w:rPr>
        <w:t xml:space="preserve">. </w:t>
      </w:r>
      <w:r w:rsidR="00C243BF">
        <w:rPr>
          <w:lang w:val="fr-FR"/>
        </w:rPr>
        <w:t>Sur les huit dé</w:t>
      </w:r>
      <w:r w:rsidR="0087370C">
        <w:rPr>
          <w:lang w:val="fr-FR"/>
        </w:rPr>
        <w:t>cès survenus en garde à vue, la </w:t>
      </w:r>
      <w:r w:rsidR="00C243BF">
        <w:rPr>
          <w:lang w:val="fr-FR"/>
        </w:rPr>
        <w:t>moitié a été due à des traumatismes externes ou multiples (quatre)</w:t>
      </w:r>
      <w:r w:rsidR="001158E1">
        <w:rPr>
          <w:lang w:val="fr-FR"/>
        </w:rPr>
        <w:t xml:space="preserve"> et deux à la pendaison</w:t>
      </w:r>
      <w:r w:rsidR="008D6B80">
        <w:rPr>
          <w:lang w:val="fr-FR"/>
        </w:rPr>
        <w:t xml:space="preserve">. </w:t>
      </w:r>
      <w:r w:rsidR="0087370C">
        <w:rPr>
          <w:lang w:val="fr-FR"/>
        </w:rPr>
        <w:t>La </w:t>
      </w:r>
      <w:r w:rsidR="001158E1">
        <w:rPr>
          <w:lang w:val="fr-FR"/>
        </w:rPr>
        <w:t>cause la plus fréquente des décès en garde à vue a été accidentelle (cinq) ou de l’ordre du suicide (deux).</w:t>
      </w:r>
    </w:p>
    <w:p w:rsidR="002F2A05" w:rsidRDefault="004F479B" w:rsidP="005D7B68">
      <w:pPr>
        <w:tabs>
          <w:tab w:val="left" w:pos="567"/>
          <w:tab w:val="left" w:pos="1134"/>
          <w:tab w:val="left" w:pos="1701"/>
          <w:tab w:val="left" w:pos="2268"/>
          <w:tab w:val="left" w:pos="2835"/>
        </w:tabs>
        <w:rPr>
          <w:lang w:val="fr-FR"/>
        </w:rPr>
      </w:pPr>
      <w:r>
        <w:rPr>
          <w:lang w:val="fr-FR"/>
        </w:rPr>
        <w:t>608</w:t>
      </w:r>
      <w:r w:rsidR="001158E1">
        <w:rPr>
          <w:lang w:val="fr-FR"/>
        </w:rPr>
        <w:t>.</w:t>
      </w:r>
      <w:r w:rsidR="001158E1">
        <w:rPr>
          <w:lang w:val="fr-FR"/>
        </w:rPr>
        <w:tab/>
        <w:t xml:space="preserve">Selon les statistiques récentes communiquées par la </w:t>
      </w:r>
      <w:r w:rsidR="001158E1">
        <w:rPr>
          <w:i/>
          <w:iCs/>
          <w:lang w:val="fr-FR"/>
        </w:rPr>
        <w:t xml:space="preserve">Review of Government Services </w:t>
      </w:r>
      <w:r w:rsidR="001158E1">
        <w:rPr>
          <w:lang w:val="fr-FR"/>
        </w:rPr>
        <w:t>de 2007</w:t>
      </w:r>
      <w:r w:rsidR="007436F4">
        <w:rPr>
          <w:rStyle w:val="FootnoteReference"/>
          <w:lang w:val="fr-FR"/>
        </w:rPr>
        <w:footnoteReference w:id="17"/>
      </w:r>
      <w:r w:rsidR="001158E1">
        <w:rPr>
          <w:lang w:val="fr-FR"/>
        </w:rPr>
        <w:t>, on n’a constaté aucun décès de détenu autochtone de c</w:t>
      </w:r>
      <w:r w:rsidR="002F2A05">
        <w:rPr>
          <w:lang w:val="fr-FR"/>
        </w:rPr>
        <w:t>ause</w:t>
      </w:r>
      <w:r w:rsidR="00674F50">
        <w:rPr>
          <w:lang w:val="fr-FR"/>
        </w:rPr>
        <w:t>s</w:t>
      </w:r>
      <w:r w:rsidR="002F2A05">
        <w:rPr>
          <w:lang w:val="fr-FR"/>
        </w:rPr>
        <w:t xml:space="preserve"> apparem</w:t>
      </w:r>
      <w:r w:rsidR="00037B21">
        <w:rPr>
          <w:lang w:val="fr-FR"/>
        </w:rPr>
        <w:t>ment non naturelles dans aucun T</w:t>
      </w:r>
      <w:r w:rsidR="00B026E6">
        <w:rPr>
          <w:lang w:val="fr-FR"/>
        </w:rPr>
        <w:t>erritoire ou État en 2005-06.</w:t>
      </w:r>
      <w:r w:rsidR="001158E1">
        <w:rPr>
          <w:i/>
          <w:iCs/>
          <w:lang w:val="fr-FR"/>
        </w:rPr>
        <w:t xml:space="preserve"> </w:t>
      </w:r>
    </w:p>
    <w:p w:rsidR="002F2A05" w:rsidRDefault="004F479B" w:rsidP="00044608">
      <w:pPr>
        <w:keepNext/>
        <w:keepLines/>
        <w:tabs>
          <w:tab w:val="left" w:pos="567"/>
          <w:tab w:val="left" w:pos="1134"/>
          <w:tab w:val="left" w:pos="1701"/>
          <w:tab w:val="left" w:pos="2268"/>
          <w:tab w:val="left" w:pos="2835"/>
        </w:tabs>
        <w:rPr>
          <w:lang w:val="fr-FR"/>
        </w:rPr>
      </w:pPr>
      <w:r>
        <w:rPr>
          <w:lang w:val="fr-FR"/>
        </w:rPr>
        <w:t>609</w:t>
      </w:r>
      <w:r w:rsidR="002F2A05">
        <w:rPr>
          <w:lang w:val="fr-FR"/>
        </w:rPr>
        <w:t>.</w:t>
      </w:r>
      <w:r w:rsidR="002F2A05">
        <w:rPr>
          <w:lang w:val="fr-FR"/>
        </w:rPr>
        <w:tab/>
        <w:t>L’évolution des décès en détention est présentée dans le tableau ci-dessous</w:t>
      </w:r>
      <w:r w:rsidR="00572260">
        <w:rPr>
          <w:lang w:val="fr-FR"/>
        </w:rPr>
        <w:t>:</w:t>
      </w:r>
    </w:p>
    <w:tbl>
      <w:tblPr>
        <w:tblW w:w="9293" w:type="dxa"/>
        <w:jc w:val="center"/>
        <w:tblInd w:w="-712" w:type="dxa"/>
        <w:tblLayout w:type="fixed"/>
        <w:tblCellMar>
          <w:left w:w="0" w:type="dxa"/>
          <w:right w:w="0" w:type="dxa"/>
        </w:tblCellMar>
        <w:tblLook w:val="0000" w:firstRow="0" w:lastRow="0" w:firstColumn="0" w:lastColumn="0" w:noHBand="0" w:noVBand="0"/>
      </w:tblPr>
      <w:tblGrid>
        <w:gridCol w:w="1522"/>
        <w:gridCol w:w="518"/>
        <w:gridCol w:w="518"/>
        <w:gridCol w:w="518"/>
        <w:gridCol w:w="518"/>
        <w:gridCol w:w="518"/>
        <w:gridCol w:w="518"/>
        <w:gridCol w:w="518"/>
        <w:gridCol w:w="518"/>
        <w:gridCol w:w="518"/>
        <w:gridCol w:w="518"/>
        <w:gridCol w:w="518"/>
        <w:gridCol w:w="518"/>
        <w:gridCol w:w="518"/>
        <w:gridCol w:w="518"/>
        <w:gridCol w:w="519"/>
      </w:tblGrid>
      <w:tr w:rsidR="002F2A05" w:rsidRPr="002F2A05">
        <w:tblPrEx>
          <w:tblCellMar>
            <w:top w:w="0" w:type="dxa"/>
            <w:left w:w="0" w:type="dxa"/>
            <w:bottom w:w="0" w:type="dxa"/>
            <w:right w:w="0" w:type="dxa"/>
          </w:tblCellMar>
        </w:tblPrEx>
        <w:trPr>
          <w:cantSplit/>
          <w:jc w:val="center"/>
        </w:trPr>
        <w:tc>
          <w:tcPr>
            <w:tcW w:w="9293" w:type="dxa"/>
            <w:gridSpan w:val="16"/>
            <w:tcBorders>
              <w:top w:val="single" w:sz="4" w:space="0" w:color="000000"/>
              <w:left w:val="single" w:sz="4" w:space="0" w:color="000000"/>
              <w:bottom w:val="single" w:sz="4" w:space="0" w:color="000000"/>
              <w:right w:val="single" w:sz="4" w:space="0" w:color="000000"/>
            </w:tcBorders>
            <w:shd w:val="clear" w:color="auto" w:fill="auto"/>
          </w:tcPr>
          <w:p w:rsidR="002F2A05" w:rsidRPr="002F2A05" w:rsidRDefault="002F2A05" w:rsidP="00044608">
            <w:pPr>
              <w:keepNext/>
              <w:keepLines/>
              <w:tabs>
                <w:tab w:val="left" w:pos="567"/>
                <w:tab w:val="left" w:pos="1134"/>
                <w:tab w:val="left" w:pos="1701"/>
                <w:tab w:val="left" w:pos="2268"/>
                <w:tab w:val="left" w:pos="2835"/>
              </w:tabs>
              <w:spacing w:after="0"/>
              <w:jc w:val="center"/>
              <w:rPr>
                <w:bCs/>
                <w:color w:val="000000"/>
                <w:sz w:val="18"/>
                <w:szCs w:val="18"/>
                <w:lang w:val="fr-FR"/>
              </w:rPr>
            </w:pPr>
            <w:r w:rsidRPr="002F2A05">
              <w:rPr>
                <w:bCs/>
                <w:color w:val="000000"/>
                <w:sz w:val="18"/>
                <w:szCs w:val="18"/>
                <w:lang w:val="fr-FR"/>
              </w:rPr>
              <w:t>Evolution des décès en détention en Australie</w:t>
            </w:r>
            <w:r>
              <w:rPr>
                <w:bCs/>
                <w:color w:val="000000"/>
                <w:sz w:val="18"/>
                <w:szCs w:val="18"/>
                <w:lang w:val="fr-FR"/>
              </w:rPr>
              <w:t xml:space="preserve"> (détention provisoire et garde à vue</w:t>
            </w:r>
            <w:r w:rsidR="007436F4">
              <w:rPr>
                <w:bCs/>
                <w:color w:val="000000"/>
                <w:sz w:val="18"/>
                <w:szCs w:val="18"/>
                <w:lang w:val="fr-FR"/>
              </w:rPr>
              <w:t>) par statut autochtone</w:t>
            </w:r>
          </w:p>
        </w:tc>
      </w:tr>
      <w:tr w:rsidR="002F2A05" w:rsidRPr="00DF3746">
        <w:tblPrEx>
          <w:tblCellMar>
            <w:top w:w="0" w:type="dxa"/>
            <w:left w:w="0" w:type="dxa"/>
            <w:bottom w:w="0" w:type="dxa"/>
            <w:right w:w="0" w:type="dxa"/>
          </w:tblCellMar>
        </w:tblPrEx>
        <w:trPr>
          <w:cantSplit/>
          <w:jc w:val="center"/>
        </w:trPr>
        <w:tc>
          <w:tcPr>
            <w:tcW w:w="1522" w:type="dxa"/>
            <w:tcBorders>
              <w:top w:val="single" w:sz="4" w:space="0" w:color="000000"/>
              <w:left w:val="single" w:sz="4" w:space="0" w:color="000000"/>
              <w:bottom w:val="single" w:sz="4" w:space="0" w:color="000000"/>
              <w:right w:val="single" w:sz="4" w:space="0" w:color="000000"/>
            </w:tcBorders>
          </w:tcPr>
          <w:p w:rsidR="002F2A05" w:rsidRPr="002F2A05" w:rsidRDefault="002F2A05" w:rsidP="005D7B68">
            <w:pPr>
              <w:keepNext/>
              <w:tabs>
                <w:tab w:val="left" w:pos="567"/>
                <w:tab w:val="left" w:pos="1134"/>
                <w:tab w:val="left" w:pos="1701"/>
                <w:tab w:val="left" w:pos="2268"/>
                <w:tab w:val="left" w:pos="2835"/>
              </w:tabs>
              <w:spacing w:after="0"/>
              <w:rPr>
                <w:bCs/>
                <w:color w:val="000000"/>
                <w:sz w:val="18"/>
                <w:szCs w:val="18"/>
                <w:lang w:val="fr-FR"/>
              </w:rPr>
            </w:pP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1991</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1993</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1994</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1995</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1996</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1997</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1998</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1999</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2000</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2001</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2003</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2004</w:t>
            </w:r>
          </w:p>
        </w:tc>
        <w:tc>
          <w:tcPr>
            <w:tcW w:w="519"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bCs/>
                <w:color w:val="000000"/>
                <w:sz w:val="18"/>
                <w:szCs w:val="18"/>
              </w:rPr>
            </w:pPr>
            <w:r w:rsidRPr="001059F6">
              <w:rPr>
                <w:bCs/>
                <w:color w:val="000000"/>
                <w:sz w:val="18"/>
                <w:szCs w:val="18"/>
              </w:rPr>
              <w:t>2005</w:t>
            </w:r>
          </w:p>
        </w:tc>
      </w:tr>
      <w:tr w:rsidR="002F2A05" w:rsidRPr="00DF3746">
        <w:tblPrEx>
          <w:tblCellMar>
            <w:top w:w="0" w:type="dxa"/>
            <w:left w:w="0" w:type="dxa"/>
            <w:bottom w:w="0" w:type="dxa"/>
            <w:right w:w="0" w:type="dxa"/>
          </w:tblCellMar>
        </w:tblPrEx>
        <w:trPr>
          <w:cantSplit/>
          <w:jc w:val="center"/>
        </w:trPr>
        <w:tc>
          <w:tcPr>
            <w:tcW w:w="1522" w:type="dxa"/>
            <w:tcBorders>
              <w:top w:val="single" w:sz="4" w:space="0" w:color="000000"/>
              <w:left w:val="single" w:sz="4" w:space="0" w:color="000000"/>
              <w:right w:val="single" w:sz="4" w:space="0" w:color="000000"/>
            </w:tcBorders>
          </w:tcPr>
          <w:p w:rsidR="002F2A05" w:rsidRPr="001059F6" w:rsidRDefault="007436F4" w:rsidP="005D7B68">
            <w:pPr>
              <w:keepNext/>
              <w:tabs>
                <w:tab w:val="left" w:pos="567"/>
                <w:tab w:val="left" w:pos="1134"/>
                <w:tab w:val="left" w:pos="1701"/>
                <w:tab w:val="left" w:pos="2268"/>
                <w:tab w:val="left" w:pos="2835"/>
              </w:tabs>
              <w:spacing w:after="0"/>
              <w:rPr>
                <w:color w:val="000000"/>
                <w:sz w:val="18"/>
                <w:szCs w:val="18"/>
              </w:rPr>
            </w:pPr>
            <w:r>
              <w:rPr>
                <w:color w:val="000000"/>
                <w:sz w:val="18"/>
                <w:szCs w:val="18"/>
              </w:rPr>
              <w:t>Aborigènes</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13</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ind w:firstLine="255"/>
              <w:rPr>
                <w:color w:val="000000"/>
                <w:sz w:val="18"/>
                <w:szCs w:val="18"/>
              </w:rPr>
            </w:pPr>
            <w:r w:rsidRPr="001059F6">
              <w:rPr>
                <w:color w:val="000000"/>
                <w:sz w:val="18"/>
                <w:szCs w:val="18"/>
              </w:rPr>
              <w:t>9</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10</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14</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22</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18</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ind w:firstLine="218"/>
              <w:rPr>
                <w:color w:val="000000"/>
                <w:sz w:val="18"/>
                <w:szCs w:val="18"/>
              </w:rPr>
            </w:pPr>
            <w:r w:rsidRPr="001059F6">
              <w:rPr>
                <w:color w:val="000000"/>
                <w:sz w:val="18"/>
                <w:szCs w:val="18"/>
              </w:rPr>
              <w:t>15</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17</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19</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17</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18</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19</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18</w:t>
            </w:r>
          </w:p>
        </w:tc>
        <w:tc>
          <w:tcPr>
            <w:tcW w:w="518"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15</w:t>
            </w:r>
          </w:p>
        </w:tc>
        <w:tc>
          <w:tcPr>
            <w:tcW w:w="519" w:type="dxa"/>
            <w:tcBorders>
              <w:top w:val="single" w:sz="4" w:space="0" w:color="000000"/>
              <w:left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15</w:t>
            </w:r>
          </w:p>
        </w:tc>
      </w:tr>
      <w:tr w:rsidR="002F2A05" w:rsidRPr="00DF3746">
        <w:tblPrEx>
          <w:tblCellMar>
            <w:top w:w="0" w:type="dxa"/>
            <w:left w:w="0" w:type="dxa"/>
            <w:bottom w:w="0" w:type="dxa"/>
            <w:right w:w="0" w:type="dxa"/>
          </w:tblCellMar>
        </w:tblPrEx>
        <w:trPr>
          <w:cantSplit/>
          <w:jc w:val="center"/>
        </w:trPr>
        <w:tc>
          <w:tcPr>
            <w:tcW w:w="1522" w:type="dxa"/>
            <w:tcBorders>
              <w:left w:val="single" w:sz="4" w:space="0" w:color="000000"/>
              <w:bottom w:val="single" w:sz="4" w:space="0" w:color="000000"/>
              <w:right w:val="single" w:sz="4" w:space="0" w:color="000000"/>
            </w:tcBorders>
          </w:tcPr>
          <w:p w:rsidR="002F2A05" w:rsidRPr="001059F6" w:rsidRDefault="007436F4" w:rsidP="005D7B68">
            <w:pPr>
              <w:keepNext/>
              <w:tabs>
                <w:tab w:val="left" w:pos="567"/>
                <w:tab w:val="left" w:pos="1134"/>
                <w:tab w:val="left" w:pos="1701"/>
                <w:tab w:val="left" w:pos="2268"/>
                <w:tab w:val="left" w:pos="2835"/>
              </w:tabs>
              <w:spacing w:after="0"/>
              <w:rPr>
                <w:color w:val="000000"/>
                <w:sz w:val="18"/>
                <w:szCs w:val="18"/>
              </w:rPr>
            </w:pPr>
            <w:r>
              <w:rPr>
                <w:color w:val="000000"/>
                <w:sz w:val="18"/>
                <w:szCs w:val="18"/>
              </w:rPr>
              <w:t>Non aborigènes</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57</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58</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73</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68</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65</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64</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ind w:firstLine="218"/>
              <w:rPr>
                <w:color w:val="000000"/>
                <w:sz w:val="18"/>
                <w:szCs w:val="18"/>
              </w:rPr>
            </w:pPr>
            <w:r w:rsidRPr="001059F6">
              <w:rPr>
                <w:color w:val="000000"/>
                <w:sz w:val="18"/>
                <w:szCs w:val="18"/>
              </w:rPr>
              <w:t>90</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80</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67</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75</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74</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68</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58</w:t>
            </w:r>
          </w:p>
        </w:tc>
        <w:tc>
          <w:tcPr>
            <w:tcW w:w="518"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54</w:t>
            </w:r>
          </w:p>
        </w:tc>
        <w:tc>
          <w:tcPr>
            <w:tcW w:w="519" w:type="dxa"/>
            <w:tcBorders>
              <w:left w:val="single" w:sz="4" w:space="0" w:color="000000"/>
              <w:bottom w:val="single" w:sz="4" w:space="0" w:color="000000"/>
              <w:right w:val="single" w:sz="4" w:space="0" w:color="000000"/>
            </w:tcBorders>
          </w:tcPr>
          <w:p w:rsidR="002F2A05" w:rsidRPr="001059F6" w:rsidRDefault="002F2A05" w:rsidP="005D7B68">
            <w:pPr>
              <w:keepNext/>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39</w:t>
            </w:r>
          </w:p>
        </w:tc>
      </w:tr>
      <w:tr w:rsidR="002F2A05" w:rsidRPr="00DF3746">
        <w:tblPrEx>
          <w:tblCellMar>
            <w:top w:w="0" w:type="dxa"/>
            <w:left w:w="0" w:type="dxa"/>
            <w:bottom w:w="0" w:type="dxa"/>
            <w:right w:w="0" w:type="dxa"/>
          </w:tblCellMar>
        </w:tblPrEx>
        <w:trPr>
          <w:cantSplit/>
          <w:jc w:val="center"/>
        </w:trPr>
        <w:tc>
          <w:tcPr>
            <w:tcW w:w="1522" w:type="dxa"/>
            <w:tcBorders>
              <w:top w:val="single" w:sz="4" w:space="0" w:color="000000"/>
              <w:left w:val="single" w:sz="4" w:space="0" w:color="000000"/>
              <w:bottom w:val="single" w:sz="4" w:space="0" w:color="000000"/>
              <w:right w:val="single" w:sz="4" w:space="0" w:color="000000"/>
            </w:tcBorders>
          </w:tcPr>
          <w:p w:rsidR="002F2A05" w:rsidRPr="001059F6" w:rsidRDefault="0087370C" w:rsidP="005D7B68">
            <w:pPr>
              <w:tabs>
                <w:tab w:val="left" w:pos="284"/>
                <w:tab w:val="left" w:pos="567"/>
                <w:tab w:val="left" w:pos="1134"/>
                <w:tab w:val="left" w:pos="1701"/>
                <w:tab w:val="left" w:pos="2268"/>
                <w:tab w:val="left" w:pos="2835"/>
              </w:tabs>
              <w:spacing w:after="0"/>
              <w:rPr>
                <w:color w:val="000000"/>
                <w:sz w:val="18"/>
                <w:szCs w:val="18"/>
              </w:rPr>
            </w:pPr>
            <w:r>
              <w:rPr>
                <w:color w:val="000000"/>
                <w:sz w:val="18"/>
                <w:szCs w:val="18"/>
              </w:rPr>
              <w:tab/>
            </w:r>
            <w:r w:rsidR="002F2A05" w:rsidRPr="001059F6">
              <w:rPr>
                <w:color w:val="000000"/>
                <w:sz w:val="18"/>
                <w:szCs w:val="18"/>
              </w:rPr>
              <w:t>Total</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70</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67</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83</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87</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105</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97</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86</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92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92</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87</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76</w:t>
            </w:r>
          </w:p>
        </w:tc>
        <w:tc>
          <w:tcPr>
            <w:tcW w:w="518"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69</w:t>
            </w:r>
          </w:p>
        </w:tc>
        <w:tc>
          <w:tcPr>
            <w:tcW w:w="519" w:type="dxa"/>
            <w:tcBorders>
              <w:top w:val="single" w:sz="4" w:space="0" w:color="000000"/>
              <w:left w:val="single" w:sz="4" w:space="0" w:color="000000"/>
              <w:bottom w:val="single" w:sz="4" w:space="0" w:color="000000"/>
              <w:right w:val="single" w:sz="4" w:space="0" w:color="000000"/>
            </w:tcBorders>
          </w:tcPr>
          <w:p w:rsidR="002F2A05" w:rsidRPr="001059F6" w:rsidRDefault="002F2A05" w:rsidP="005D7B68">
            <w:pPr>
              <w:tabs>
                <w:tab w:val="left" w:pos="567"/>
                <w:tab w:val="left" w:pos="1134"/>
                <w:tab w:val="left" w:pos="1701"/>
                <w:tab w:val="left" w:pos="2268"/>
                <w:tab w:val="left" w:pos="2835"/>
              </w:tabs>
              <w:spacing w:after="0"/>
              <w:jc w:val="center"/>
              <w:rPr>
                <w:color w:val="000000"/>
                <w:sz w:val="18"/>
                <w:szCs w:val="18"/>
              </w:rPr>
            </w:pPr>
            <w:r w:rsidRPr="001059F6">
              <w:rPr>
                <w:color w:val="000000"/>
                <w:sz w:val="18"/>
                <w:szCs w:val="18"/>
              </w:rPr>
              <w:t>54</w:t>
            </w:r>
          </w:p>
        </w:tc>
      </w:tr>
    </w:tbl>
    <w:p w:rsidR="002F2A05" w:rsidRPr="00C243BF" w:rsidRDefault="002F2A05" w:rsidP="005D7B68">
      <w:pPr>
        <w:pStyle w:val="FootnoteText"/>
        <w:tabs>
          <w:tab w:val="left" w:pos="567"/>
          <w:tab w:val="left" w:pos="1134"/>
          <w:tab w:val="left" w:pos="1701"/>
          <w:tab w:val="left" w:pos="2268"/>
          <w:tab w:val="left" w:pos="2835"/>
        </w:tabs>
        <w:spacing w:before="120"/>
        <w:rPr>
          <w:lang w:val="fr-FR"/>
        </w:rPr>
      </w:pPr>
      <w:r w:rsidRPr="008D6B80">
        <w:rPr>
          <w:color w:val="000000"/>
          <w:lang w:val="fr-FR"/>
        </w:rPr>
        <w:tab/>
      </w:r>
      <w:r w:rsidRPr="002F2A05">
        <w:rPr>
          <w:i/>
          <w:color w:val="000000"/>
          <w:lang w:val="fr-FR"/>
        </w:rPr>
        <w:t>Source</w:t>
      </w:r>
      <w:r w:rsidRPr="002F2A05">
        <w:rPr>
          <w:color w:val="000000"/>
          <w:lang w:val="fr-FR"/>
        </w:rPr>
        <w:t xml:space="preserve">: </w:t>
      </w:r>
      <w:r w:rsidRPr="002F2A05">
        <w:rPr>
          <w:lang w:val="fr-FR"/>
        </w:rPr>
        <w:t xml:space="preserve">J. Joudo, </w:t>
      </w:r>
      <w:r>
        <w:rPr>
          <w:lang w:val="fr-FR"/>
        </w:rPr>
        <w:t>Décès en détention préventive en Australie</w:t>
      </w:r>
      <w:r w:rsidR="00572260">
        <w:rPr>
          <w:lang w:val="fr-FR"/>
        </w:rPr>
        <w:t>:</w:t>
      </w:r>
      <w:r>
        <w:rPr>
          <w:lang w:val="fr-FR"/>
        </w:rPr>
        <w:t xml:space="preserve"> rapport annuel de 2005 sur le Programme national relatif aux décès en détention, collection de documents techniques et de synthèse N° 21 (AIC).</w:t>
      </w:r>
    </w:p>
    <w:p w:rsidR="002F2A05" w:rsidRDefault="007436F4" w:rsidP="005D7B68">
      <w:pPr>
        <w:tabs>
          <w:tab w:val="left" w:pos="567"/>
          <w:tab w:val="left" w:pos="1134"/>
          <w:tab w:val="left" w:pos="1701"/>
          <w:tab w:val="left" w:pos="2268"/>
          <w:tab w:val="left" w:pos="2835"/>
        </w:tabs>
        <w:spacing w:before="240"/>
        <w:rPr>
          <w:lang w:val="fr-FR"/>
        </w:rPr>
      </w:pPr>
      <w:r>
        <w:rPr>
          <w:lang w:val="fr-FR"/>
        </w:rPr>
        <w:t>61</w:t>
      </w:r>
      <w:r w:rsidR="004F479B">
        <w:rPr>
          <w:lang w:val="fr-FR"/>
        </w:rPr>
        <w:t>0</w:t>
      </w:r>
      <w:r>
        <w:rPr>
          <w:lang w:val="fr-FR"/>
        </w:rPr>
        <w:t>.</w:t>
      </w:r>
      <w:r>
        <w:rPr>
          <w:lang w:val="fr-FR"/>
        </w:rPr>
        <w:tab/>
        <w:t xml:space="preserve">Les principales conclusions de </w:t>
      </w:r>
      <w:r>
        <w:rPr>
          <w:i/>
          <w:iCs/>
          <w:lang w:val="fr-FR"/>
        </w:rPr>
        <w:t>Décès en détention provisoire en Australie</w:t>
      </w:r>
      <w:r w:rsidRPr="007436F4">
        <w:rPr>
          <w:rStyle w:val="FootnoteReference"/>
          <w:lang w:val="fr-FR"/>
        </w:rPr>
        <w:footnoteReference w:id="18"/>
      </w:r>
      <w:r>
        <w:rPr>
          <w:lang w:val="fr-FR"/>
        </w:rPr>
        <w:t xml:space="preserve"> (2005) peuvent être résumées comme suit</w:t>
      </w:r>
      <w:r w:rsidR="00572260">
        <w:rPr>
          <w:lang w:val="fr-FR"/>
        </w:rPr>
        <w:t>:</w:t>
      </w:r>
    </w:p>
    <w:p w:rsidR="007436F4" w:rsidRDefault="007436F4" w:rsidP="005D7B68">
      <w:pPr>
        <w:tabs>
          <w:tab w:val="left" w:pos="567"/>
          <w:tab w:val="left" w:pos="1134"/>
          <w:tab w:val="left" w:pos="1701"/>
          <w:tab w:val="left" w:pos="2268"/>
          <w:tab w:val="left" w:pos="2835"/>
        </w:tabs>
        <w:spacing w:before="240"/>
        <w:rPr>
          <w:lang w:val="fr-FR"/>
        </w:rPr>
      </w:pPr>
      <w:r>
        <w:rPr>
          <w:lang w:val="fr-FR"/>
        </w:rPr>
        <w:tab/>
        <w:t>a)</w:t>
      </w:r>
      <w:r>
        <w:rPr>
          <w:lang w:val="fr-FR"/>
        </w:rPr>
        <w:tab/>
        <w:t>Quelque 54 décès sont survenus en détention en 2005 (34 en détention provisoire et 20 en garde à vue et au cours d’o</w:t>
      </w:r>
      <w:r w:rsidR="00CC2723">
        <w:rPr>
          <w:lang w:val="fr-FR"/>
        </w:rPr>
        <w:t>pérations connexes</w:t>
      </w:r>
      <w:r w:rsidR="006D0AFA">
        <w:rPr>
          <w:lang w:val="fr-FR"/>
        </w:rPr>
        <w:t>)</w:t>
      </w:r>
      <w:r w:rsidR="0087370C">
        <w:rPr>
          <w:lang w:val="fr-FR"/>
        </w:rPr>
        <w:t>;</w:t>
      </w:r>
    </w:p>
    <w:p w:rsidR="007436F4" w:rsidRDefault="007436F4" w:rsidP="005D7B68">
      <w:pPr>
        <w:tabs>
          <w:tab w:val="left" w:pos="567"/>
          <w:tab w:val="left" w:pos="1134"/>
          <w:tab w:val="left" w:pos="1701"/>
          <w:tab w:val="left" w:pos="2268"/>
          <w:tab w:val="left" w:pos="2835"/>
        </w:tabs>
        <w:spacing w:before="240"/>
        <w:rPr>
          <w:lang w:val="fr-FR"/>
        </w:rPr>
      </w:pPr>
      <w:r>
        <w:rPr>
          <w:lang w:val="fr-FR"/>
        </w:rPr>
        <w:tab/>
        <w:t>b)</w:t>
      </w:r>
      <w:r>
        <w:rPr>
          <w:lang w:val="fr-FR"/>
        </w:rPr>
        <w:tab/>
      </w:r>
      <w:r w:rsidR="00CC2723">
        <w:rPr>
          <w:lang w:val="fr-FR"/>
        </w:rPr>
        <w:t>Parmi eux, 15 concernaient des autochtones (sept en détention provisoire et huit en garde à vue et au cours d’opérations connexes)</w:t>
      </w:r>
      <w:r w:rsidR="0087370C">
        <w:rPr>
          <w:lang w:val="fr-FR"/>
        </w:rPr>
        <w:t>;</w:t>
      </w:r>
    </w:p>
    <w:p w:rsidR="00CC2723" w:rsidRDefault="00CC2723" w:rsidP="005D7B68">
      <w:pPr>
        <w:tabs>
          <w:tab w:val="left" w:pos="567"/>
          <w:tab w:val="left" w:pos="1134"/>
          <w:tab w:val="left" w:pos="1701"/>
          <w:tab w:val="left" w:pos="2268"/>
          <w:tab w:val="left" w:pos="2835"/>
        </w:tabs>
        <w:spacing w:before="240"/>
        <w:rPr>
          <w:lang w:val="fr-FR"/>
        </w:rPr>
      </w:pPr>
      <w:r>
        <w:rPr>
          <w:lang w:val="fr-FR"/>
        </w:rPr>
        <w:tab/>
        <w:t>c)</w:t>
      </w:r>
      <w:r>
        <w:rPr>
          <w:lang w:val="fr-FR"/>
        </w:rPr>
        <w:tab/>
        <w:t>Quelque 47 hommes et 7 femmes sont décédés en prison ou en garde à vue et au cours d’opérations connexes (31 hommes et 3 femmes en détenti</w:t>
      </w:r>
      <w:r w:rsidR="0087370C">
        <w:rPr>
          <w:lang w:val="fr-FR"/>
        </w:rPr>
        <w:t>on provisoire et 16 hommes et 4 </w:t>
      </w:r>
      <w:r>
        <w:rPr>
          <w:lang w:val="fr-FR"/>
        </w:rPr>
        <w:t>femmes en garde à vue et au cours d’opérations connexes)</w:t>
      </w:r>
      <w:r w:rsidR="0087370C">
        <w:rPr>
          <w:lang w:val="fr-FR"/>
        </w:rPr>
        <w:t>;</w:t>
      </w:r>
    </w:p>
    <w:p w:rsidR="00CC2723" w:rsidRDefault="00CC2723" w:rsidP="005D7B68">
      <w:pPr>
        <w:tabs>
          <w:tab w:val="left" w:pos="567"/>
          <w:tab w:val="left" w:pos="1134"/>
          <w:tab w:val="left" w:pos="1701"/>
          <w:tab w:val="left" w:pos="2268"/>
          <w:tab w:val="left" w:pos="2835"/>
        </w:tabs>
        <w:spacing w:before="240"/>
        <w:rPr>
          <w:lang w:val="fr-FR"/>
        </w:rPr>
      </w:pPr>
      <w:r>
        <w:rPr>
          <w:lang w:val="fr-FR"/>
        </w:rPr>
        <w:tab/>
        <w:t>d)</w:t>
      </w:r>
      <w:r>
        <w:rPr>
          <w:lang w:val="fr-FR"/>
        </w:rPr>
        <w:tab/>
        <w:t>L’âge moyen des personnes qui sont décédées en détention provisoire était de 46 ans, la plupart des décès étant survenus entre 40 et 54 ans</w:t>
      </w:r>
      <w:r w:rsidR="008D6B80">
        <w:rPr>
          <w:lang w:val="fr-FR"/>
        </w:rPr>
        <w:t xml:space="preserve">. </w:t>
      </w:r>
      <w:r>
        <w:rPr>
          <w:lang w:val="fr-FR"/>
        </w:rPr>
        <w:t>Concernant la garde à vue et les opérations</w:t>
      </w:r>
      <w:r w:rsidR="00545CE4">
        <w:rPr>
          <w:lang w:val="fr-FR"/>
        </w:rPr>
        <w:t xml:space="preserve"> connexes, l’âge moyen</w:t>
      </w:r>
      <w:r>
        <w:rPr>
          <w:lang w:val="fr-FR"/>
        </w:rPr>
        <w:t xml:space="preserve"> était de 31 ans, la plupart des personnes concernées étant âgées de 25 à 39 ans</w:t>
      </w:r>
      <w:r w:rsidR="0087370C">
        <w:rPr>
          <w:lang w:val="fr-FR"/>
        </w:rPr>
        <w:t>;</w:t>
      </w:r>
    </w:p>
    <w:p w:rsidR="00CC2723" w:rsidRDefault="00CC2723" w:rsidP="005D7B68">
      <w:pPr>
        <w:tabs>
          <w:tab w:val="left" w:pos="567"/>
          <w:tab w:val="left" w:pos="1134"/>
          <w:tab w:val="left" w:pos="1701"/>
          <w:tab w:val="left" w:pos="2268"/>
          <w:tab w:val="left" w:pos="2835"/>
        </w:tabs>
        <w:spacing w:before="240"/>
        <w:rPr>
          <w:lang w:val="fr-FR"/>
        </w:rPr>
      </w:pPr>
      <w:r>
        <w:rPr>
          <w:lang w:val="fr-FR"/>
        </w:rPr>
        <w:tab/>
        <w:t>e)</w:t>
      </w:r>
      <w:r>
        <w:rPr>
          <w:lang w:val="fr-FR"/>
        </w:rPr>
        <w:tab/>
        <w:t>On a compté 11 décès par pendaison (dont un autochtone) en prison et 3 décès par pendaison (dont 2 autochtones) en garde à vue et au cours d’opérations connexes</w:t>
      </w:r>
      <w:r w:rsidR="0087370C">
        <w:rPr>
          <w:lang w:val="fr-FR"/>
        </w:rPr>
        <w:t>;</w:t>
      </w:r>
    </w:p>
    <w:p w:rsidR="00CC2723" w:rsidRDefault="00CC2723" w:rsidP="005D7B68">
      <w:pPr>
        <w:tabs>
          <w:tab w:val="left" w:pos="567"/>
          <w:tab w:val="left" w:pos="1134"/>
          <w:tab w:val="left" w:pos="1701"/>
          <w:tab w:val="left" w:pos="2268"/>
          <w:tab w:val="left" w:pos="2835"/>
        </w:tabs>
        <w:spacing w:before="240"/>
        <w:rPr>
          <w:lang w:val="fr-FR"/>
        </w:rPr>
      </w:pPr>
      <w:r>
        <w:rPr>
          <w:lang w:val="fr-FR"/>
        </w:rPr>
        <w:tab/>
        <w:t>f)</w:t>
      </w:r>
      <w:r>
        <w:rPr>
          <w:lang w:val="fr-FR"/>
        </w:rPr>
        <w:tab/>
        <w:t>Huit décès ont eu lieu au cours de poursuites en véhicules à moteur (quatre autochtones) et quatre à la suite de coups de feu tirés par la police (tous non autochtones)</w:t>
      </w:r>
      <w:r w:rsidR="0087370C">
        <w:rPr>
          <w:lang w:val="fr-FR"/>
        </w:rPr>
        <w:t>;</w:t>
      </w:r>
    </w:p>
    <w:p w:rsidR="00CC2723" w:rsidRPr="007436F4" w:rsidRDefault="00CC2723" w:rsidP="005D7B68">
      <w:pPr>
        <w:tabs>
          <w:tab w:val="left" w:pos="567"/>
          <w:tab w:val="left" w:pos="1134"/>
          <w:tab w:val="left" w:pos="1701"/>
          <w:tab w:val="left" w:pos="2268"/>
          <w:tab w:val="left" w:pos="2835"/>
        </w:tabs>
        <w:spacing w:before="240"/>
        <w:rPr>
          <w:lang w:val="fr-FR"/>
        </w:rPr>
      </w:pPr>
      <w:r>
        <w:rPr>
          <w:lang w:val="fr-FR"/>
        </w:rPr>
        <w:tab/>
        <w:t>g)</w:t>
      </w:r>
      <w:r>
        <w:rPr>
          <w:lang w:val="fr-FR"/>
        </w:rPr>
        <w:tab/>
      </w:r>
      <w:r w:rsidR="007202D9">
        <w:rPr>
          <w:lang w:val="fr-FR"/>
        </w:rPr>
        <w:t>D’une manière générale, les infractions violentes ont été les infractions les plus nombreuses commises immédiatement avant</w:t>
      </w:r>
      <w:r w:rsidR="00572260">
        <w:rPr>
          <w:lang w:val="fr-FR"/>
        </w:rPr>
        <w:t xml:space="preserve"> </w:t>
      </w:r>
      <w:r w:rsidR="007202D9">
        <w:rPr>
          <w:lang w:val="fr-FR"/>
        </w:rPr>
        <w:t>la dernière période de détention à la fois dans les prisons et en garde à vue ou au cours d’opérations connexes.</w:t>
      </w:r>
    </w:p>
    <w:p w:rsidR="007202D9" w:rsidRDefault="004F479B" w:rsidP="00044608">
      <w:pPr>
        <w:keepNext/>
        <w:tabs>
          <w:tab w:val="left" w:pos="567"/>
          <w:tab w:val="left" w:pos="1134"/>
          <w:tab w:val="left" w:pos="1701"/>
          <w:tab w:val="left" w:pos="2268"/>
          <w:tab w:val="left" w:pos="2835"/>
        </w:tabs>
        <w:rPr>
          <w:lang w:val="fr-FR"/>
        </w:rPr>
      </w:pPr>
      <w:r>
        <w:rPr>
          <w:lang w:val="fr-FR"/>
        </w:rPr>
        <w:t>611</w:t>
      </w:r>
      <w:r w:rsidR="007202D9">
        <w:rPr>
          <w:lang w:val="fr-FR"/>
        </w:rPr>
        <w:t>.</w:t>
      </w:r>
      <w:r w:rsidR="007202D9">
        <w:rPr>
          <w:lang w:val="fr-FR"/>
        </w:rPr>
        <w:tab/>
        <w:t>Des statistiques supplémentaires su</w:t>
      </w:r>
      <w:r w:rsidR="00E47018">
        <w:rPr>
          <w:lang w:val="fr-FR"/>
        </w:rPr>
        <w:t>r les décès en détention provis</w:t>
      </w:r>
      <w:r w:rsidR="007202D9">
        <w:rPr>
          <w:lang w:val="fr-FR"/>
        </w:rPr>
        <w:t>oire figurent dans les tableaux ci-après</w:t>
      </w:r>
      <w:r w:rsidR="00044608">
        <w:rPr>
          <w:lang w:val="fr-FR"/>
        </w:rPr>
        <w:t>:</w:t>
      </w:r>
    </w:p>
    <w:p w:rsidR="007202D9" w:rsidRPr="00753CE8" w:rsidRDefault="007202D9" w:rsidP="00044608">
      <w:pPr>
        <w:pStyle w:val="Heading2"/>
        <w:tabs>
          <w:tab w:val="left" w:pos="567"/>
          <w:tab w:val="left" w:pos="1134"/>
          <w:tab w:val="left" w:pos="1701"/>
          <w:tab w:val="left" w:pos="2268"/>
          <w:tab w:val="left" w:pos="2835"/>
        </w:tabs>
      </w:pPr>
      <w:bookmarkStart w:id="25" w:name="_Toc193614095"/>
      <w:r>
        <w:t>Annexe A</w:t>
      </w:r>
      <w:bookmarkEnd w:id="25"/>
    </w:p>
    <w:tbl>
      <w:tblPr>
        <w:tblStyle w:val="TableGrid"/>
        <w:tblW w:w="0" w:type="auto"/>
        <w:tblInd w:w="108" w:type="dxa"/>
        <w:tblLayout w:type="fixed"/>
        <w:tblLook w:val="01E0" w:firstRow="1" w:lastRow="1" w:firstColumn="1" w:lastColumn="1" w:noHBand="0" w:noVBand="0"/>
      </w:tblPr>
      <w:tblGrid>
        <w:gridCol w:w="2340"/>
        <w:gridCol w:w="1374"/>
        <w:gridCol w:w="1368"/>
        <w:gridCol w:w="7"/>
        <w:gridCol w:w="1375"/>
        <w:gridCol w:w="1375"/>
        <w:gridCol w:w="1375"/>
      </w:tblGrid>
      <w:tr w:rsidR="007202D9" w:rsidRPr="00B853AA">
        <w:tc>
          <w:tcPr>
            <w:tcW w:w="9214" w:type="dxa"/>
            <w:gridSpan w:val="7"/>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lang w:val="fr-FR"/>
              </w:rPr>
            </w:pPr>
            <w:r w:rsidRPr="00B853AA">
              <w:rPr>
                <w:color w:val="231F20"/>
                <w:sz w:val="22"/>
                <w:szCs w:val="22"/>
                <w:lang w:val="fr-FR"/>
              </w:rPr>
              <w:t>Décès en prison par statut autochtone, 1980-2005</w:t>
            </w:r>
          </w:p>
        </w:tc>
      </w:tr>
      <w:tr w:rsidR="007202D9" w:rsidRPr="00B853AA">
        <w:tc>
          <w:tcPr>
            <w:tcW w:w="2340" w:type="dxa"/>
            <w:vMerge w:val="restart"/>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lang w:val="fr-FR"/>
              </w:rPr>
            </w:pPr>
          </w:p>
        </w:tc>
        <w:tc>
          <w:tcPr>
            <w:tcW w:w="2742" w:type="dxa"/>
            <w:gridSpan w:val="2"/>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Aborigènes</w:t>
            </w:r>
          </w:p>
        </w:tc>
        <w:tc>
          <w:tcPr>
            <w:tcW w:w="2757" w:type="dxa"/>
            <w:gridSpan w:val="3"/>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Non aborigènes</w:t>
            </w:r>
          </w:p>
        </w:tc>
        <w:tc>
          <w:tcPr>
            <w:tcW w:w="1375" w:type="dxa"/>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Personnes</w:t>
            </w:r>
          </w:p>
        </w:tc>
      </w:tr>
      <w:tr w:rsidR="007202D9" w:rsidRPr="00B853AA">
        <w:tc>
          <w:tcPr>
            <w:tcW w:w="2340" w:type="dxa"/>
            <w:vMerge/>
            <w:tcBorders>
              <w:bottom w:val="single" w:sz="4" w:space="0" w:color="auto"/>
            </w:tcBorders>
          </w:tcPr>
          <w:p w:rsidR="007202D9" w:rsidRPr="00B853AA" w:rsidRDefault="007202D9" w:rsidP="00044608">
            <w:pPr>
              <w:keepNext/>
              <w:tabs>
                <w:tab w:val="left" w:pos="567"/>
                <w:tab w:val="left" w:pos="1134"/>
                <w:tab w:val="left" w:pos="1701"/>
                <w:tab w:val="left" w:pos="2268"/>
                <w:tab w:val="left" w:pos="2835"/>
              </w:tabs>
              <w:spacing w:before="20" w:after="20"/>
              <w:rPr>
                <w:color w:val="231F20"/>
                <w:sz w:val="22"/>
                <w:szCs w:val="22"/>
              </w:rPr>
            </w:pPr>
          </w:p>
        </w:tc>
        <w:tc>
          <w:tcPr>
            <w:tcW w:w="1374" w:type="dxa"/>
            <w:tcBorders>
              <w:top w:val="nil"/>
              <w:bottom w:val="single" w:sz="4" w:space="0" w:color="000000"/>
            </w:tcBorders>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N</w:t>
            </w:r>
          </w:p>
        </w:tc>
        <w:tc>
          <w:tcPr>
            <w:tcW w:w="1375" w:type="dxa"/>
            <w:gridSpan w:val="2"/>
            <w:tcBorders>
              <w:bottom w:val="single" w:sz="4" w:space="0" w:color="auto"/>
            </w:tcBorders>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w:t>
            </w:r>
          </w:p>
        </w:tc>
        <w:tc>
          <w:tcPr>
            <w:tcW w:w="1375" w:type="dxa"/>
            <w:tcBorders>
              <w:bottom w:val="single" w:sz="4" w:space="0" w:color="auto"/>
            </w:tcBorders>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N</w:t>
            </w:r>
          </w:p>
        </w:tc>
        <w:tc>
          <w:tcPr>
            <w:tcW w:w="1375" w:type="dxa"/>
            <w:tcBorders>
              <w:bottom w:val="single" w:sz="4" w:space="0" w:color="auto"/>
            </w:tcBorders>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w:t>
            </w:r>
          </w:p>
        </w:tc>
        <w:tc>
          <w:tcPr>
            <w:tcW w:w="1375" w:type="dxa"/>
            <w:tcBorders>
              <w:bottom w:val="single" w:sz="4" w:space="0" w:color="auto"/>
            </w:tcBorders>
          </w:tcPr>
          <w:p w:rsidR="007202D9" w:rsidRPr="00B853AA" w:rsidRDefault="007202D9" w:rsidP="00044608">
            <w:pPr>
              <w:keepNext/>
              <w:tabs>
                <w:tab w:val="left" w:pos="567"/>
                <w:tab w:val="left" w:pos="1134"/>
                <w:tab w:val="left" w:pos="1701"/>
                <w:tab w:val="left" w:pos="2268"/>
                <w:tab w:val="left" w:pos="2835"/>
              </w:tabs>
              <w:spacing w:before="20" w:after="20"/>
              <w:jc w:val="center"/>
              <w:rPr>
                <w:color w:val="231F20"/>
                <w:sz w:val="22"/>
                <w:szCs w:val="22"/>
              </w:rPr>
            </w:pPr>
            <w:r w:rsidRPr="00B853AA">
              <w:rPr>
                <w:color w:val="231F20"/>
                <w:sz w:val="22"/>
                <w:szCs w:val="22"/>
              </w:rPr>
              <w:t>Total N</w:t>
            </w:r>
          </w:p>
        </w:tc>
      </w:tr>
      <w:tr w:rsidR="007202D9" w:rsidRPr="00B853AA">
        <w:tc>
          <w:tcPr>
            <w:tcW w:w="2340" w:type="dxa"/>
            <w:tcBorders>
              <w:bottom w:val="nil"/>
            </w:tcBorders>
          </w:tcPr>
          <w:p w:rsidR="007202D9" w:rsidRPr="00B853AA" w:rsidRDefault="00045122" w:rsidP="00044608">
            <w:pPr>
              <w:keepNext/>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Nouvelle-Galles du Sud</w:t>
            </w:r>
          </w:p>
        </w:tc>
        <w:tc>
          <w:tcPr>
            <w:tcW w:w="1374" w:type="dxa"/>
            <w:tcBorders>
              <w:top w:val="single" w:sz="4" w:space="0" w:color="000000"/>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59</w:t>
            </w:r>
          </w:p>
        </w:tc>
        <w:tc>
          <w:tcPr>
            <w:tcW w:w="1375" w:type="dxa"/>
            <w:gridSpan w:val="2"/>
            <w:tcBorders>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13,9</w:t>
            </w:r>
          </w:p>
        </w:tc>
        <w:tc>
          <w:tcPr>
            <w:tcW w:w="1375" w:type="dxa"/>
            <w:tcBorders>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365</w:t>
            </w:r>
          </w:p>
        </w:tc>
        <w:tc>
          <w:tcPr>
            <w:tcW w:w="1375" w:type="dxa"/>
            <w:tcBorders>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563"/>
              <w:jc w:val="right"/>
              <w:rPr>
                <w:color w:val="231F20"/>
                <w:sz w:val="22"/>
                <w:szCs w:val="22"/>
              </w:rPr>
            </w:pPr>
            <w:r w:rsidRPr="00B853AA">
              <w:rPr>
                <w:color w:val="231F20"/>
                <w:sz w:val="22"/>
                <w:szCs w:val="22"/>
              </w:rPr>
              <w:t>86,1</w:t>
            </w:r>
          </w:p>
        </w:tc>
        <w:tc>
          <w:tcPr>
            <w:tcW w:w="1375" w:type="dxa"/>
            <w:tcBorders>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454"/>
              <w:jc w:val="right"/>
              <w:rPr>
                <w:color w:val="231F20"/>
                <w:sz w:val="22"/>
                <w:szCs w:val="22"/>
              </w:rPr>
            </w:pPr>
            <w:r w:rsidRPr="00B853AA">
              <w:rPr>
                <w:color w:val="231F20"/>
                <w:sz w:val="22"/>
                <w:szCs w:val="22"/>
              </w:rPr>
              <w:t>424</w:t>
            </w:r>
          </w:p>
        </w:tc>
      </w:tr>
      <w:tr w:rsidR="007202D9" w:rsidRPr="00B853AA">
        <w:tc>
          <w:tcPr>
            <w:tcW w:w="2340"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rPr>
                <w:color w:val="231F20"/>
                <w:sz w:val="22"/>
                <w:szCs w:val="22"/>
              </w:rPr>
            </w:pPr>
            <w:smartTag w:uri="urn:schemas-microsoft-com:office:smarttags" w:element="place">
              <w:smartTag w:uri="urn:schemas-microsoft-com:office:smarttags" w:element="State">
                <w:r w:rsidRPr="00B853AA">
                  <w:rPr>
                    <w:color w:val="231F20"/>
                    <w:sz w:val="22"/>
                    <w:szCs w:val="22"/>
                  </w:rPr>
                  <w:t>Victoria</w:t>
                </w:r>
              </w:smartTag>
            </w:smartTag>
          </w:p>
        </w:tc>
        <w:tc>
          <w:tcPr>
            <w:tcW w:w="1374"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5</w:t>
            </w:r>
          </w:p>
        </w:tc>
        <w:tc>
          <w:tcPr>
            <w:tcW w:w="1375" w:type="dxa"/>
            <w:gridSpan w:val="2"/>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2,9</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165</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97,1</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454"/>
              <w:jc w:val="right"/>
              <w:rPr>
                <w:color w:val="231F20"/>
                <w:sz w:val="22"/>
                <w:szCs w:val="22"/>
              </w:rPr>
            </w:pPr>
            <w:r w:rsidRPr="00B853AA">
              <w:rPr>
                <w:color w:val="231F20"/>
                <w:sz w:val="22"/>
                <w:szCs w:val="22"/>
              </w:rPr>
              <w:t>170</w:t>
            </w:r>
          </w:p>
        </w:tc>
      </w:tr>
      <w:tr w:rsidR="007202D9" w:rsidRPr="00B853AA">
        <w:tc>
          <w:tcPr>
            <w:tcW w:w="2340"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rPr>
                <w:color w:val="231F20"/>
                <w:sz w:val="22"/>
                <w:szCs w:val="22"/>
              </w:rPr>
            </w:pPr>
            <w:smartTag w:uri="urn:schemas-microsoft-com:office:smarttags" w:element="place">
              <w:smartTag w:uri="urn:schemas-microsoft-com:office:smarttags" w:element="State">
                <w:r w:rsidRPr="00B853AA">
                  <w:rPr>
                    <w:color w:val="231F20"/>
                    <w:sz w:val="22"/>
                    <w:szCs w:val="22"/>
                  </w:rPr>
                  <w:t>Que</w:t>
                </w:r>
                <w:r w:rsidR="007D5D18" w:rsidRPr="00B853AA">
                  <w:rPr>
                    <w:color w:val="231F20"/>
                    <w:sz w:val="22"/>
                    <w:szCs w:val="22"/>
                  </w:rPr>
                  <w:t>e</w:t>
                </w:r>
                <w:r w:rsidRPr="00B853AA">
                  <w:rPr>
                    <w:color w:val="231F20"/>
                    <w:sz w:val="22"/>
                    <w:szCs w:val="22"/>
                  </w:rPr>
                  <w:t>nsland</w:t>
                </w:r>
              </w:smartTag>
            </w:smartTag>
          </w:p>
        </w:tc>
        <w:tc>
          <w:tcPr>
            <w:tcW w:w="1374"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46</w:t>
            </w:r>
          </w:p>
        </w:tc>
        <w:tc>
          <w:tcPr>
            <w:tcW w:w="1375" w:type="dxa"/>
            <w:gridSpan w:val="2"/>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jc w:val="right"/>
              <w:rPr>
                <w:color w:val="231F20"/>
                <w:sz w:val="22"/>
                <w:szCs w:val="22"/>
              </w:rPr>
            </w:pPr>
            <w:r w:rsidRPr="00B853AA">
              <w:rPr>
                <w:color w:val="231F20"/>
                <w:sz w:val="22"/>
                <w:szCs w:val="22"/>
              </w:rPr>
              <w:t>19,9</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185</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80,1</w:t>
            </w:r>
          </w:p>
        </w:tc>
        <w:tc>
          <w:tcPr>
            <w:tcW w:w="1375" w:type="dxa"/>
            <w:tcBorders>
              <w:top w:val="nil"/>
              <w:bottom w:val="nil"/>
            </w:tcBorders>
          </w:tcPr>
          <w:p w:rsidR="007202D9" w:rsidRPr="00B853AA" w:rsidRDefault="007202D9" w:rsidP="00044608">
            <w:pPr>
              <w:keepNext/>
              <w:tabs>
                <w:tab w:val="left" w:pos="567"/>
                <w:tab w:val="left" w:pos="1134"/>
                <w:tab w:val="left" w:pos="1701"/>
                <w:tab w:val="left" w:pos="2268"/>
                <w:tab w:val="left" w:pos="2835"/>
              </w:tabs>
              <w:spacing w:before="20" w:after="20"/>
              <w:ind w:right="186" w:firstLine="454"/>
              <w:jc w:val="right"/>
              <w:rPr>
                <w:color w:val="231F20"/>
                <w:sz w:val="22"/>
                <w:szCs w:val="22"/>
              </w:rPr>
            </w:pPr>
            <w:r w:rsidRPr="00B853AA">
              <w:rPr>
                <w:color w:val="231F20"/>
                <w:sz w:val="22"/>
                <w:szCs w:val="22"/>
              </w:rPr>
              <w:t>231</w:t>
            </w:r>
          </w:p>
        </w:tc>
      </w:tr>
      <w:tr w:rsidR="007202D9" w:rsidRPr="00B853AA">
        <w:tc>
          <w:tcPr>
            <w:tcW w:w="2340" w:type="dxa"/>
            <w:tcBorders>
              <w:top w:val="nil"/>
              <w:bottom w:val="nil"/>
            </w:tcBorders>
          </w:tcPr>
          <w:p w:rsidR="007202D9" w:rsidRPr="00B853AA" w:rsidRDefault="008E1139" w:rsidP="005D7B68">
            <w:pPr>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Australie occidentale</w:t>
            </w:r>
          </w:p>
        </w:tc>
        <w:tc>
          <w:tcPr>
            <w:tcW w:w="1374"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45</w:t>
            </w:r>
          </w:p>
        </w:tc>
        <w:tc>
          <w:tcPr>
            <w:tcW w:w="1375" w:type="dxa"/>
            <w:gridSpan w:val="2"/>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jc w:val="right"/>
              <w:rPr>
                <w:color w:val="231F20"/>
                <w:sz w:val="22"/>
                <w:szCs w:val="22"/>
              </w:rPr>
            </w:pPr>
            <w:r w:rsidRPr="00B853AA">
              <w:rPr>
                <w:color w:val="231F20"/>
                <w:sz w:val="22"/>
                <w:szCs w:val="22"/>
              </w:rPr>
              <w:t>29,6</w:t>
            </w:r>
          </w:p>
        </w:tc>
        <w:tc>
          <w:tcPr>
            <w:tcW w:w="1375"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107</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70,4</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454"/>
              <w:jc w:val="right"/>
              <w:rPr>
                <w:color w:val="231F20"/>
                <w:sz w:val="22"/>
                <w:szCs w:val="22"/>
              </w:rPr>
            </w:pPr>
            <w:r w:rsidRPr="00B853AA">
              <w:rPr>
                <w:color w:val="231F20"/>
                <w:sz w:val="22"/>
                <w:szCs w:val="22"/>
              </w:rPr>
              <w:t>152</w:t>
            </w:r>
          </w:p>
        </w:tc>
      </w:tr>
      <w:tr w:rsidR="007202D9" w:rsidRPr="00B853AA">
        <w:tc>
          <w:tcPr>
            <w:tcW w:w="2340" w:type="dxa"/>
            <w:tcBorders>
              <w:top w:val="nil"/>
              <w:bottom w:val="nil"/>
            </w:tcBorders>
          </w:tcPr>
          <w:p w:rsidR="007202D9" w:rsidRPr="00B853AA" w:rsidRDefault="008E1139" w:rsidP="005D7B68">
            <w:pPr>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Australie méridionale</w:t>
            </w:r>
          </w:p>
        </w:tc>
        <w:tc>
          <w:tcPr>
            <w:tcW w:w="1374"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18</w:t>
            </w:r>
          </w:p>
        </w:tc>
        <w:tc>
          <w:tcPr>
            <w:tcW w:w="1375" w:type="dxa"/>
            <w:gridSpan w:val="2"/>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jc w:val="right"/>
              <w:rPr>
                <w:color w:val="231F20"/>
                <w:sz w:val="22"/>
                <w:szCs w:val="22"/>
              </w:rPr>
            </w:pPr>
            <w:r w:rsidRPr="00B853AA">
              <w:rPr>
                <w:color w:val="231F20"/>
                <w:sz w:val="22"/>
                <w:szCs w:val="22"/>
              </w:rPr>
              <w:t>18,4</w:t>
            </w:r>
          </w:p>
        </w:tc>
        <w:tc>
          <w:tcPr>
            <w:tcW w:w="1375"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80</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81,6</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7"/>
              <w:jc w:val="right"/>
              <w:rPr>
                <w:color w:val="231F20"/>
                <w:sz w:val="22"/>
                <w:szCs w:val="22"/>
              </w:rPr>
            </w:pPr>
            <w:r w:rsidRPr="00B853AA">
              <w:rPr>
                <w:color w:val="231F20"/>
                <w:sz w:val="22"/>
                <w:szCs w:val="22"/>
              </w:rPr>
              <w:t>98</w:t>
            </w:r>
          </w:p>
        </w:tc>
      </w:tr>
      <w:tr w:rsidR="007202D9" w:rsidRPr="00B853AA">
        <w:tc>
          <w:tcPr>
            <w:tcW w:w="2340"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Tasmanie</w:t>
            </w:r>
          </w:p>
        </w:tc>
        <w:tc>
          <w:tcPr>
            <w:tcW w:w="1374"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w:t>
            </w:r>
          </w:p>
        </w:tc>
        <w:tc>
          <w:tcPr>
            <w:tcW w:w="1375" w:type="dxa"/>
            <w:gridSpan w:val="2"/>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3,4</w:t>
            </w:r>
          </w:p>
        </w:tc>
        <w:tc>
          <w:tcPr>
            <w:tcW w:w="1375"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28</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96,6</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7"/>
              <w:jc w:val="right"/>
              <w:rPr>
                <w:color w:val="231F20"/>
                <w:sz w:val="22"/>
                <w:szCs w:val="22"/>
              </w:rPr>
            </w:pPr>
            <w:r w:rsidRPr="00B853AA">
              <w:rPr>
                <w:color w:val="231F20"/>
                <w:sz w:val="22"/>
                <w:szCs w:val="22"/>
              </w:rPr>
              <w:t>29</w:t>
            </w:r>
          </w:p>
        </w:tc>
      </w:tr>
      <w:tr w:rsidR="007202D9" w:rsidRPr="00B853AA">
        <w:tc>
          <w:tcPr>
            <w:tcW w:w="2340"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Territoire du Nord</w:t>
            </w:r>
          </w:p>
        </w:tc>
        <w:tc>
          <w:tcPr>
            <w:tcW w:w="1374"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17</w:t>
            </w:r>
          </w:p>
        </w:tc>
        <w:tc>
          <w:tcPr>
            <w:tcW w:w="1375" w:type="dxa"/>
            <w:gridSpan w:val="2"/>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jc w:val="right"/>
              <w:rPr>
                <w:color w:val="231F20"/>
                <w:sz w:val="22"/>
                <w:szCs w:val="22"/>
              </w:rPr>
            </w:pPr>
            <w:r w:rsidRPr="00B853AA">
              <w:rPr>
                <w:color w:val="231F20"/>
                <w:sz w:val="22"/>
                <w:szCs w:val="22"/>
              </w:rPr>
              <w:t>73,9</w:t>
            </w:r>
          </w:p>
        </w:tc>
        <w:tc>
          <w:tcPr>
            <w:tcW w:w="1375"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6</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3"/>
              <w:jc w:val="right"/>
              <w:rPr>
                <w:bCs/>
                <w:color w:val="231F20"/>
                <w:sz w:val="22"/>
                <w:szCs w:val="22"/>
              </w:rPr>
            </w:pPr>
            <w:r w:rsidRPr="00B853AA">
              <w:rPr>
                <w:bCs/>
                <w:color w:val="231F20"/>
                <w:sz w:val="22"/>
                <w:szCs w:val="22"/>
              </w:rPr>
              <w:t>26,1</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567"/>
              <w:jc w:val="right"/>
              <w:rPr>
                <w:color w:val="231F20"/>
                <w:sz w:val="22"/>
                <w:szCs w:val="22"/>
              </w:rPr>
            </w:pPr>
            <w:r w:rsidRPr="00B853AA">
              <w:rPr>
                <w:color w:val="231F20"/>
                <w:sz w:val="22"/>
                <w:szCs w:val="22"/>
              </w:rPr>
              <w:t>23</w:t>
            </w:r>
          </w:p>
        </w:tc>
      </w:tr>
      <w:tr w:rsidR="007202D9" w:rsidRPr="00B853AA">
        <w:tc>
          <w:tcPr>
            <w:tcW w:w="2340"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rPr>
                <w:color w:val="231F20"/>
                <w:sz w:val="22"/>
                <w:szCs w:val="22"/>
              </w:rPr>
            </w:pPr>
            <w:r w:rsidRPr="00B853AA">
              <w:rPr>
                <w:color w:val="231F20"/>
                <w:sz w:val="22"/>
                <w:szCs w:val="22"/>
              </w:rPr>
              <w:t>Territoire de la capitale</w:t>
            </w:r>
          </w:p>
        </w:tc>
        <w:tc>
          <w:tcPr>
            <w:tcW w:w="1374"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0</w:t>
            </w:r>
          </w:p>
        </w:tc>
        <w:tc>
          <w:tcPr>
            <w:tcW w:w="1375" w:type="dxa"/>
            <w:gridSpan w:val="2"/>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0,0</w:t>
            </w:r>
          </w:p>
        </w:tc>
        <w:tc>
          <w:tcPr>
            <w:tcW w:w="1375" w:type="dxa"/>
            <w:tcBorders>
              <w:top w:val="nil"/>
              <w:bottom w:val="nil"/>
            </w:tcBorders>
          </w:tcPr>
          <w:p w:rsidR="007202D9" w:rsidRPr="00B853AA" w:rsidRDefault="007202D9" w:rsidP="005D7B68">
            <w:pPr>
              <w:keepNext/>
              <w:tabs>
                <w:tab w:val="left" w:pos="567"/>
                <w:tab w:val="left" w:pos="1134"/>
                <w:tab w:val="left" w:pos="1701"/>
                <w:tab w:val="left" w:pos="2268"/>
                <w:tab w:val="left" w:pos="2835"/>
              </w:tabs>
              <w:spacing w:before="20" w:after="20"/>
              <w:ind w:left="-2268" w:right="186"/>
              <w:jc w:val="right"/>
              <w:rPr>
                <w:color w:val="231F20"/>
                <w:sz w:val="22"/>
                <w:szCs w:val="22"/>
              </w:rPr>
            </w:pPr>
            <w:r w:rsidRPr="00B853AA">
              <w:rPr>
                <w:color w:val="231F20"/>
                <w:sz w:val="22"/>
                <w:szCs w:val="22"/>
              </w:rPr>
              <w:t>3</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jc w:val="right"/>
              <w:rPr>
                <w:color w:val="231F20"/>
                <w:sz w:val="22"/>
                <w:szCs w:val="22"/>
              </w:rPr>
            </w:pPr>
            <w:r w:rsidRPr="00B853AA">
              <w:rPr>
                <w:color w:val="231F20"/>
                <w:sz w:val="22"/>
                <w:szCs w:val="22"/>
              </w:rPr>
              <w:t>100,0</w:t>
            </w:r>
          </w:p>
        </w:tc>
        <w:tc>
          <w:tcPr>
            <w:tcW w:w="1375" w:type="dxa"/>
            <w:tcBorders>
              <w:top w:val="nil"/>
              <w:bottom w:val="nil"/>
            </w:tcBorders>
          </w:tcPr>
          <w:p w:rsidR="007202D9" w:rsidRPr="00B853AA" w:rsidRDefault="007202D9" w:rsidP="005D7B68">
            <w:pPr>
              <w:tabs>
                <w:tab w:val="left" w:pos="567"/>
                <w:tab w:val="left" w:pos="1134"/>
                <w:tab w:val="left" w:pos="1701"/>
                <w:tab w:val="left" w:pos="2268"/>
                <w:tab w:val="left" w:pos="2835"/>
              </w:tabs>
              <w:spacing w:before="20" w:after="20"/>
              <w:ind w:right="186" w:firstLine="672"/>
              <w:jc w:val="right"/>
              <w:rPr>
                <w:color w:val="231F20"/>
                <w:sz w:val="22"/>
                <w:szCs w:val="22"/>
              </w:rPr>
            </w:pPr>
            <w:r w:rsidRPr="00B853AA">
              <w:rPr>
                <w:color w:val="231F20"/>
                <w:sz w:val="22"/>
                <w:szCs w:val="22"/>
              </w:rPr>
              <w:t>3</w:t>
            </w:r>
          </w:p>
        </w:tc>
      </w:tr>
      <w:tr w:rsidR="007202D9" w:rsidRPr="00A8191D">
        <w:tc>
          <w:tcPr>
            <w:tcW w:w="2340" w:type="dxa"/>
            <w:tcBorders>
              <w:top w:val="nil"/>
            </w:tcBorders>
          </w:tcPr>
          <w:p w:rsidR="007202D9" w:rsidRPr="00A8191D" w:rsidRDefault="007202D9" w:rsidP="005D7B68">
            <w:pPr>
              <w:tabs>
                <w:tab w:val="left" w:pos="567"/>
                <w:tab w:val="left" w:pos="1134"/>
                <w:tab w:val="left" w:pos="1701"/>
                <w:tab w:val="left" w:pos="2268"/>
                <w:tab w:val="left" w:pos="2835"/>
              </w:tabs>
              <w:spacing w:before="20" w:after="20"/>
              <w:rPr>
                <w:b/>
                <w:color w:val="231F20"/>
                <w:sz w:val="22"/>
                <w:szCs w:val="22"/>
              </w:rPr>
            </w:pPr>
            <w:r w:rsidRPr="00A8191D">
              <w:rPr>
                <w:b/>
                <w:color w:val="231F20"/>
                <w:sz w:val="22"/>
                <w:szCs w:val="22"/>
              </w:rPr>
              <w:t>Australie</w:t>
            </w:r>
          </w:p>
        </w:tc>
        <w:tc>
          <w:tcPr>
            <w:tcW w:w="1374" w:type="dxa"/>
            <w:tcBorders>
              <w:top w:val="nil"/>
            </w:tcBorders>
          </w:tcPr>
          <w:p w:rsidR="007202D9" w:rsidRPr="00A8191D" w:rsidRDefault="007202D9" w:rsidP="005D7B68">
            <w:pPr>
              <w:keepNext/>
              <w:tabs>
                <w:tab w:val="left" w:pos="567"/>
                <w:tab w:val="left" w:pos="1134"/>
                <w:tab w:val="left" w:pos="1701"/>
                <w:tab w:val="left" w:pos="2268"/>
                <w:tab w:val="left" w:pos="2835"/>
              </w:tabs>
              <w:spacing w:before="20" w:after="20"/>
              <w:ind w:left="-2268" w:right="186"/>
              <w:jc w:val="right"/>
              <w:rPr>
                <w:b/>
                <w:color w:val="231F20"/>
                <w:sz w:val="22"/>
                <w:szCs w:val="22"/>
              </w:rPr>
            </w:pPr>
            <w:r w:rsidRPr="00A8191D">
              <w:rPr>
                <w:b/>
                <w:color w:val="231F20"/>
                <w:sz w:val="22"/>
                <w:szCs w:val="22"/>
              </w:rPr>
              <w:t>191</w:t>
            </w:r>
          </w:p>
        </w:tc>
        <w:tc>
          <w:tcPr>
            <w:tcW w:w="1375" w:type="dxa"/>
            <w:gridSpan w:val="2"/>
            <w:tcBorders>
              <w:top w:val="nil"/>
            </w:tcBorders>
          </w:tcPr>
          <w:p w:rsidR="007202D9" w:rsidRPr="00A8191D" w:rsidRDefault="007202D9" w:rsidP="005D7B68">
            <w:pPr>
              <w:tabs>
                <w:tab w:val="left" w:pos="567"/>
                <w:tab w:val="left" w:pos="1134"/>
                <w:tab w:val="left" w:pos="1701"/>
                <w:tab w:val="left" w:pos="2268"/>
                <w:tab w:val="left" w:pos="2835"/>
              </w:tabs>
              <w:spacing w:before="20" w:after="20"/>
              <w:ind w:right="186"/>
              <w:jc w:val="right"/>
              <w:rPr>
                <w:b/>
                <w:color w:val="231F20"/>
                <w:sz w:val="22"/>
                <w:szCs w:val="22"/>
              </w:rPr>
            </w:pPr>
            <w:r w:rsidRPr="00A8191D">
              <w:rPr>
                <w:b/>
                <w:color w:val="231F20"/>
                <w:sz w:val="22"/>
                <w:szCs w:val="22"/>
              </w:rPr>
              <w:t>16,9</w:t>
            </w:r>
          </w:p>
        </w:tc>
        <w:tc>
          <w:tcPr>
            <w:tcW w:w="1375" w:type="dxa"/>
            <w:tcBorders>
              <w:top w:val="nil"/>
            </w:tcBorders>
          </w:tcPr>
          <w:p w:rsidR="007202D9" w:rsidRPr="00A8191D" w:rsidRDefault="007202D9" w:rsidP="005D7B68">
            <w:pPr>
              <w:tabs>
                <w:tab w:val="left" w:pos="567"/>
                <w:tab w:val="left" w:pos="1134"/>
                <w:tab w:val="left" w:pos="1701"/>
                <w:tab w:val="left" w:pos="2268"/>
                <w:tab w:val="left" w:pos="2835"/>
              </w:tabs>
              <w:spacing w:before="20" w:after="20"/>
              <w:ind w:right="186"/>
              <w:jc w:val="right"/>
              <w:rPr>
                <w:b/>
                <w:color w:val="231F20"/>
                <w:sz w:val="22"/>
                <w:szCs w:val="22"/>
              </w:rPr>
            </w:pPr>
            <w:r w:rsidRPr="00A8191D">
              <w:rPr>
                <w:b/>
                <w:color w:val="231F20"/>
                <w:sz w:val="22"/>
                <w:szCs w:val="22"/>
              </w:rPr>
              <w:t>939</w:t>
            </w:r>
          </w:p>
        </w:tc>
        <w:tc>
          <w:tcPr>
            <w:tcW w:w="1375" w:type="dxa"/>
            <w:tcBorders>
              <w:top w:val="nil"/>
            </w:tcBorders>
          </w:tcPr>
          <w:p w:rsidR="007202D9" w:rsidRPr="00A8191D" w:rsidRDefault="007202D9" w:rsidP="005D7B68">
            <w:pPr>
              <w:keepNext/>
              <w:tabs>
                <w:tab w:val="left" w:pos="567"/>
                <w:tab w:val="left" w:pos="1134"/>
                <w:tab w:val="left" w:pos="1701"/>
                <w:tab w:val="left" w:pos="2268"/>
                <w:tab w:val="left" w:pos="2835"/>
              </w:tabs>
              <w:spacing w:before="20" w:after="20"/>
              <w:ind w:left="-2268" w:right="186"/>
              <w:jc w:val="right"/>
              <w:rPr>
                <w:b/>
                <w:color w:val="231F20"/>
                <w:sz w:val="22"/>
                <w:szCs w:val="22"/>
              </w:rPr>
            </w:pPr>
            <w:r w:rsidRPr="00A8191D">
              <w:rPr>
                <w:b/>
                <w:color w:val="231F20"/>
                <w:sz w:val="22"/>
                <w:szCs w:val="22"/>
              </w:rPr>
              <w:t>83,1</w:t>
            </w:r>
          </w:p>
        </w:tc>
        <w:tc>
          <w:tcPr>
            <w:tcW w:w="1375" w:type="dxa"/>
            <w:tcBorders>
              <w:top w:val="nil"/>
            </w:tcBorders>
          </w:tcPr>
          <w:p w:rsidR="007202D9" w:rsidRPr="00A8191D" w:rsidRDefault="007202D9" w:rsidP="005D7B68">
            <w:pPr>
              <w:tabs>
                <w:tab w:val="left" w:pos="567"/>
                <w:tab w:val="left" w:pos="1134"/>
                <w:tab w:val="left" w:pos="1701"/>
                <w:tab w:val="left" w:pos="2268"/>
                <w:tab w:val="left" w:pos="2835"/>
              </w:tabs>
              <w:spacing w:before="20" w:after="20"/>
              <w:ind w:right="186"/>
              <w:jc w:val="right"/>
              <w:rPr>
                <w:b/>
                <w:color w:val="231F20"/>
                <w:sz w:val="22"/>
                <w:szCs w:val="22"/>
              </w:rPr>
            </w:pPr>
            <w:r w:rsidRPr="00A8191D">
              <w:rPr>
                <w:b/>
                <w:color w:val="231F20"/>
                <w:sz w:val="22"/>
                <w:szCs w:val="22"/>
              </w:rPr>
              <w:t>(1 130)</w:t>
            </w:r>
          </w:p>
        </w:tc>
      </w:tr>
    </w:tbl>
    <w:p w:rsidR="007202D9" w:rsidRDefault="007202D9" w:rsidP="005D7B68">
      <w:pPr>
        <w:pStyle w:val="FootnoteText"/>
        <w:tabs>
          <w:tab w:val="left" w:pos="567"/>
          <w:tab w:val="left" w:pos="1134"/>
          <w:tab w:val="left" w:pos="1701"/>
          <w:tab w:val="left" w:pos="2268"/>
          <w:tab w:val="left" w:pos="2835"/>
        </w:tabs>
        <w:spacing w:before="120"/>
        <w:rPr>
          <w:lang w:val="fr-FR"/>
        </w:rPr>
      </w:pPr>
      <w:r w:rsidRPr="008D6B80">
        <w:rPr>
          <w:color w:val="000000"/>
          <w:lang w:val="fr-FR"/>
        </w:rPr>
        <w:tab/>
      </w:r>
      <w:r w:rsidRPr="007202D9">
        <w:rPr>
          <w:i/>
          <w:color w:val="000000"/>
          <w:lang w:val="fr-FR"/>
        </w:rPr>
        <w:t>Source</w:t>
      </w:r>
      <w:r w:rsidRPr="007202D9">
        <w:rPr>
          <w:color w:val="000000"/>
          <w:lang w:val="fr-FR"/>
        </w:rPr>
        <w:t xml:space="preserve">: </w:t>
      </w:r>
      <w:r>
        <w:rPr>
          <w:lang w:val="fr-FR"/>
        </w:rPr>
        <w:t>J. Joudo, Décès en détention préventive en Australie</w:t>
      </w:r>
      <w:r w:rsidR="00572260">
        <w:rPr>
          <w:lang w:val="fr-FR"/>
        </w:rPr>
        <w:t>:</w:t>
      </w:r>
      <w:r>
        <w:rPr>
          <w:lang w:val="fr-FR"/>
        </w:rPr>
        <w:t xml:space="preserve"> rapport annuel de 2005 sur le Programme national relatif aux décès en détention, collection de documents techniques et de synthèse N° 21 (AIC).</w:t>
      </w:r>
    </w:p>
    <w:tbl>
      <w:tblPr>
        <w:tblStyle w:val="TableGrid"/>
        <w:tblW w:w="0" w:type="auto"/>
        <w:tblInd w:w="108" w:type="dxa"/>
        <w:tblLayout w:type="fixed"/>
        <w:tblLook w:val="01E0" w:firstRow="1" w:lastRow="1" w:firstColumn="1" w:lastColumn="1" w:noHBand="0" w:noVBand="0"/>
      </w:tblPr>
      <w:tblGrid>
        <w:gridCol w:w="2338"/>
        <w:gridCol w:w="1386"/>
        <w:gridCol w:w="1358"/>
        <w:gridCol w:w="1385"/>
        <w:gridCol w:w="1372"/>
        <w:gridCol w:w="1339"/>
      </w:tblGrid>
      <w:tr w:rsidR="00045122" w:rsidRPr="00045122">
        <w:tc>
          <w:tcPr>
            <w:tcW w:w="9178" w:type="dxa"/>
            <w:gridSpan w:val="6"/>
          </w:tcPr>
          <w:p w:rsidR="00045122" w:rsidRPr="00045122" w:rsidRDefault="00045122" w:rsidP="005D7B68">
            <w:pPr>
              <w:tabs>
                <w:tab w:val="left" w:pos="567"/>
                <w:tab w:val="left" w:pos="1134"/>
                <w:tab w:val="left" w:pos="1701"/>
                <w:tab w:val="left" w:pos="2268"/>
                <w:tab w:val="left" w:pos="2835"/>
              </w:tabs>
              <w:spacing w:before="20" w:after="20"/>
              <w:jc w:val="center"/>
              <w:rPr>
                <w:sz w:val="22"/>
                <w:szCs w:val="22"/>
                <w:lang w:val="fr-FR"/>
              </w:rPr>
            </w:pPr>
            <w:r w:rsidRPr="00045122">
              <w:rPr>
                <w:sz w:val="22"/>
                <w:szCs w:val="22"/>
                <w:lang w:val="fr-FR"/>
              </w:rPr>
              <w:br w:type="page"/>
              <w:t>Décès en détention provisoire</w:t>
            </w:r>
            <w:r>
              <w:rPr>
                <w:sz w:val="22"/>
                <w:szCs w:val="22"/>
                <w:lang w:val="fr-FR"/>
              </w:rPr>
              <w:t xml:space="preserve"> par statut autochtone et territoire</w:t>
            </w:r>
            <w:r w:rsidRPr="00045122">
              <w:rPr>
                <w:sz w:val="22"/>
                <w:szCs w:val="22"/>
                <w:lang w:val="fr-FR"/>
              </w:rPr>
              <w:t>, 1990-2005</w:t>
            </w:r>
          </w:p>
        </w:tc>
      </w:tr>
      <w:tr w:rsidR="00045122" w:rsidRPr="004450F5">
        <w:tc>
          <w:tcPr>
            <w:tcW w:w="2338" w:type="dxa"/>
            <w:vMerge w:val="restart"/>
          </w:tcPr>
          <w:p w:rsidR="00045122" w:rsidRPr="00045122" w:rsidRDefault="00045122" w:rsidP="005D7B68">
            <w:pPr>
              <w:tabs>
                <w:tab w:val="left" w:pos="567"/>
                <w:tab w:val="left" w:pos="1134"/>
                <w:tab w:val="left" w:pos="1701"/>
                <w:tab w:val="left" w:pos="2268"/>
                <w:tab w:val="left" w:pos="2835"/>
              </w:tabs>
              <w:spacing w:before="20" w:after="20"/>
              <w:jc w:val="center"/>
              <w:rPr>
                <w:color w:val="231F20"/>
                <w:sz w:val="22"/>
                <w:szCs w:val="22"/>
                <w:lang w:val="fr-FR"/>
              </w:rPr>
            </w:pPr>
          </w:p>
        </w:tc>
        <w:tc>
          <w:tcPr>
            <w:tcW w:w="2744" w:type="dxa"/>
            <w:gridSpan w:val="2"/>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Pr>
                <w:color w:val="231F20"/>
                <w:sz w:val="22"/>
                <w:szCs w:val="22"/>
              </w:rPr>
              <w:t>Aborigènes</w:t>
            </w:r>
          </w:p>
        </w:tc>
        <w:tc>
          <w:tcPr>
            <w:tcW w:w="2757" w:type="dxa"/>
            <w:gridSpan w:val="2"/>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Pr>
                <w:color w:val="231F20"/>
                <w:sz w:val="22"/>
                <w:szCs w:val="22"/>
              </w:rPr>
              <w:t>Non aborigènes</w:t>
            </w:r>
          </w:p>
        </w:tc>
        <w:tc>
          <w:tcPr>
            <w:tcW w:w="1339" w:type="dxa"/>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sidRPr="004450F5">
              <w:rPr>
                <w:color w:val="231F20"/>
                <w:sz w:val="22"/>
                <w:szCs w:val="22"/>
              </w:rPr>
              <w:t>Person</w:t>
            </w:r>
            <w:r>
              <w:rPr>
                <w:color w:val="231F20"/>
                <w:sz w:val="22"/>
                <w:szCs w:val="22"/>
              </w:rPr>
              <w:t>ne</w:t>
            </w:r>
            <w:r w:rsidRPr="004450F5">
              <w:rPr>
                <w:color w:val="231F20"/>
                <w:sz w:val="22"/>
                <w:szCs w:val="22"/>
              </w:rPr>
              <w:t>s</w:t>
            </w:r>
          </w:p>
        </w:tc>
      </w:tr>
      <w:tr w:rsidR="00045122" w:rsidRPr="004450F5">
        <w:tc>
          <w:tcPr>
            <w:tcW w:w="2338" w:type="dxa"/>
            <w:vMerge/>
            <w:tcBorders>
              <w:bottom w:val="single" w:sz="4" w:space="0" w:color="auto"/>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p>
        </w:tc>
        <w:tc>
          <w:tcPr>
            <w:tcW w:w="1386" w:type="dxa"/>
            <w:tcBorders>
              <w:top w:val="nil"/>
              <w:bottom w:val="single" w:sz="4" w:space="0" w:color="000000"/>
            </w:tcBorders>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Pr>
                <w:color w:val="231F20"/>
                <w:sz w:val="22"/>
                <w:szCs w:val="22"/>
              </w:rPr>
              <w:t>N</w:t>
            </w:r>
          </w:p>
        </w:tc>
        <w:tc>
          <w:tcPr>
            <w:tcW w:w="1358" w:type="dxa"/>
            <w:tcBorders>
              <w:bottom w:val="single" w:sz="4" w:space="0" w:color="auto"/>
            </w:tcBorders>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sidRPr="004450F5">
              <w:rPr>
                <w:color w:val="231F20"/>
                <w:sz w:val="22"/>
                <w:szCs w:val="22"/>
              </w:rPr>
              <w:t>%</w:t>
            </w:r>
          </w:p>
        </w:tc>
        <w:tc>
          <w:tcPr>
            <w:tcW w:w="1385" w:type="dxa"/>
            <w:tcBorders>
              <w:bottom w:val="single" w:sz="4" w:space="0" w:color="auto"/>
            </w:tcBorders>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sidRPr="004450F5">
              <w:rPr>
                <w:color w:val="231F20"/>
                <w:sz w:val="22"/>
                <w:szCs w:val="22"/>
              </w:rPr>
              <w:t>N</w:t>
            </w:r>
          </w:p>
        </w:tc>
        <w:tc>
          <w:tcPr>
            <w:tcW w:w="1372" w:type="dxa"/>
            <w:tcBorders>
              <w:bottom w:val="single" w:sz="4" w:space="0" w:color="auto"/>
            </w:tcBorders>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sidRPr="004450F5">
              <w:rPr>
                <w:color w:val="231F20"/>
                <w:sz w:val="22"/>
                <w:szCs w:val="22"/>
              </w:rPr>
              <w:t>%</w:t>
            </w:r>
          </w:p>
        </w:tc>
        <w:tc>
          <w:tcPr>
            <w:tcW w:w="1339" w:type="dxa"/>
            <w:tcBorders>
              <w:bottom w:val="single" w:sz="4" w:space="0" w:color="auto"/>
            </w:tcBorders>
          </w:tcPr>
          <w:p w:rsidR="00045122" w:rsidRPr="004450F5" w:rsidRDefault="00045122" w:rsidP="005D7B68">
            <w:pPr>
              <w:tabs>
                <w:tab w:val="left" w:pos="567"/>
                <w:tab w:val="left" w:pos="1134"/>
                <w:tab w:val="left" w:pos="1701"/>
                <w:tab w:val="left" w:pos="2268"/>
                <w:tab w:val="left" w:pos="2835"/>
              </w:tabs>
              <w:spacing w:before="20" w:after="20"/>
              <w:jc w:val="center"/>
              <w:rPr>
                <w:color w:val="231F20"/>
                <w:sz w:val="22"/>
                <w:szCs w:val="22"/>
              </w:rPr>
            </w:pPr>
            <w:r>
              <w:rPr>
                <w:color w:val="231F20"/>
                <w:sz w:val="22"/>
                <w:szCs w:val="22"/>
              </w:rPr>
              <w:t>Total N</w:t>
            </w:r>
          </w:p>
        </w:tc>
      </w:tr>
      <w:tr w:rsidR="00045122" w:rsidRPr="004450F5">
        <w:tc>
          <w:tcPr>
            <w:tcW w:w="2338" w:type="dxa"/>
            <w:tcBorders>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Nouvelle-Galles du Sud</w:t>
            </w:r>
          </w:p>
        </w:tc>
        <w:tc>
          <w:tcPr>
            <w:tcW w:w="1386" w:type="dxa"/>
            <w:tcBorders>
              <w:top w:val="single" w:sz="4" w:space="0" w:color="000000"/>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21</w:t>
            </w:r>
          </w:p>
        </w:tc>
        <w:tc>
          <w:tcPr>
            <w:tcW w:w="1358" w:type="dxa"/>
            <w:tcBorders>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13</w:t>
            </w:r>
            <w:r>
              <w:rPr>
                <w:color w:val="231F20"/>
                <w:sz w:val="22"/>
                <w:szCs w:val="22"/>
              </w:rPr>
              <w:t>,</w:t>
            </w:r>
            <w:r w:rsidRPr="004450F5">
              <w:rPr>
                <w:color w:val="231F20"/>
                <w:sz w:val="22"/>
                <w:szCs w:val="22"/>
              </w:rPr>
              <w:t>4</w:t>
            </w:r>
          </w:p>
        </w:tc>
        <w:tc>
          <w:tcPr>
            <w:tcW w:w="1385" w:type="dxa"/>
            <w:tcBorders>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136</w:t>
            </w:r>
          </w:p>
        </w:tc>
        <w:tc>
          <w:tcPr>
            <w:tcW w:w="1372" w:type="dxa"/>
            <w:tcBorders>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86,6</w:t>
            </w:r>
          </w:p>
        </w:tc>
        <w:tc>
          <w:tcPr>
            <w:tcW w:w="1339" w:type="dxa"/>
            <w:tcBorders>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157</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smartTag w:uri="urn:schemas-microsoft-com:office:smarttags" w:element="place">
              <w:smartTag w:uri="urn:schemas-microsoft-com:office:smarttags" w:element="State">
                <w:r w:rsidRPr="004450F5">
                  <w:rPr>
                    <w:color w:val="231F20"/>
                    <w:sz w:val="22"/>
                    <w:szCs w:val="22"/>
                  </w:rPr>
                  <w:t>Vic</w:t>
                </w:r>
                <w:r>
                  <w:rPr>
                    <w:color w:val="231F20"/>
                    <w:sz w:val="22"/>
                    <w:szCs w:val="22"/>
                  </w:rPr>
                  <w:t>toria</w:t>
                </w:r>
              </w:smartTag>
            </w:smartTag>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4</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3</w:t>
            </w:r>
            <w:r>
              <w:rPr>
                <w:color w:val="231F20"/>
                <w:sz w:val="22"/>
                <w:szCs w:val="22"/>
              </w:rPr>
              <w:t>,</w:t>
            </w:r>
            <w:r w:rsidRPr="004450F5">
              <w:rPr>
                <w:color w:val="231F20"/>
                <w:sz w:val="22"/>
                <w:szCs w:val="22"/>
              </w:rPr>
              <w:t>8</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102</w:t>
            </w:r>
          </w:p>
        </w:tc>
        <w:tc>
          <w:tcPr>
            <w:tcW w:w="1372" w:type="dxa"/>
            <w:tcBorders>
              <w:top w:val="nil"/>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96,2</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106</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smartTag w:uri="urn:schemas-microsoft-com:office:smarttags" w:element="place">
              <w:smartTag w:uri="urn:schemas-microsoft-com:office:smarttags" w:element="State">
                <w:r>
                  <w:rPr>
                    <w:color w:val="231F20"/>
                    <w:sz w:val="22"/>
                    <w:szCs w:val="22"/>
                  </w:rPr>
                  <w:t>Queensland</w:t>
                </w:r>
              </w:smartTag>
            </w:smartTag>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15</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19</w:t>
            </w:r>
            <w:r>
              <w:rPr>
                <w:color w:val="231F20"/>
                <w:sz w:val="22"/>
                <w:szCs w:val="22"/>
              </w:rPr>
              <w:t>,</w:t>
            </w:r>
            <w:r w:rsidRPr="004450F5">
              <w:rPr>
                <w:color w:val="231F20"/>
                <w:sz w:val="22"/>
                <w:szCs w:val="22"/>
              </w:rPr>
              <w:t>5</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602"/>
              <w:jc w:val="right"/>
              <w:rPr>
                <w:color w:val="231F20"/>
                <w:sz w:val="22"/>
                <w:szCs w:val="22"/>
              </w:rPr>
            </w:pPr>
            <w:r w:rsidRPr="004450F5">
              <w:rPr>
                <w:color w:val="231F20"/>
                <w:sz w:val="22"/>
                <w:szCs w:val="22"/>
              </w:rPr>
              <w:t>62</w:t>
            </w:r>
          </w:p>
        </w:tc>
        <w:tc>
          <w:tcPr>
            <w:tcW w:w="1372" w:type="dxa"/>
            <w:tcBorders>
              <w:top w:val="nil"/>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80,5</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77</w:t>
            </w:r>
          </w:p>
        </w:tc>
      </w:tr>
      <w:tr w:rsidR="00045122" w:rsidRPr="004450F5">
        <w:tc>
          <w:tcPr>
            <w:tcW w:w="2338" w:type="dxa"/>
            <w:tcBorders>
              <w:top w:val="nil"/>
              <w:bottom w:val="nil"/>
            </w:tcBorders>
          </w:tcPr>
          <w:p w:rsidR="00045122" w:rsidRPr="004450F5" w:rsidRDefault="008E1139"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Australie occidentale</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31</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56</w:t>
            </w:r>
            <w:r>
              <w:rPr>
                <w:color w:val="231F20"/>
                <w:sz w:val="22"/>
                <w:szCs w:val="22"/>
              </w:rPr>
              <w:t>,</w:t>
            </w:r>
            <w:r w:rsidRPr="004450F5">
              <w:rPr>
                <w:color w:val="231F20"/>
                <w:sz w:val="22"/>
                <w:szCs w:val="22"/>
              </w:rPr>
              <w:t>4</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602"/>
              <w:jc w:val="right"/>
              <w:rPr>
                <w:color w:val="231F20"/>
                <w:sz w:val="22"/>
                <w:szCs w:val="22"/>
              </w:rPr>
            </w:pPr>
            <w:r w:rsidRPr="004450F5">
              <w:rPr>
                <w:color w:val="231F20"/>
                <w:sz w:val="22"/>
                <w:szCs w:val="22"/>
              </w:rPr>
              <w:t>24</w:t>
            </w:r>
          </w:p>
        </w:tc>
        <w:tc>
          <w:tcPr>
            <w:tcW w:w="1372"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3</w:t>
            </w:r>
            <w:r>
              <w:rPr>
                <w:color w:val="231F20"/>
                <w:sz w:val="22"/>
                <w:szCs w:val="22"/>
              </w:rPr>
              <w:t>,</w:t>
            </w:r>
            <w:r w:rsidRPr="004450F5">
              <w:rPr>
                <w:color w:val="231F20"/>
                <w:sz w:val="22"/>
                <w:szCs w:val="22"/>
              </w:rPr>
              <w:t>6</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55</w:t>
            </w:r>
          </w:p>
        </w:tc>
      </w:tr>
      <w:tr w:rsidR="00045122" w:rsidRPr="004450F5">
        <w:tc>
          <w:tcPr>
            <w:tcW w:w="2338" w:type="dxa"/>
            <w:tcBorders>
              <w:top w:val="nil"/>
              <w:bottom w:val="nil"/>
            </w:tcBorders>
          </w:tcPr>
          <w:p w:rsidR="00045122" w:rsidRPr="004450F5" w:rsidRDefault="008E1139"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Australie méridionale</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6</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18</w:t>
            </w:r>
            <w:r>
              <w:rPr>
                <w:color w:val="231F20"/>
                <w:sz w:val="22"/>
                <w:szCs w:val="22"/>
              </w:rPr>
              <w:t>,</w:t>
            </w:r>
            <w:r w:rsidRPr="004450F5">
              <w:rPr>
                <w:color w:val="231F20"/>
                <w:sz w:val="22"/>
                <w:szCs w:val="22"/>
              </w:rPr>
              <w:t>8</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602"/>
              <w:jc w:val="right"/>
              <w:rPr>
                <w:color w:val="231F20"/>
                <w:sz w:val="22"/>
                <w:szCs w:val="22"/>
              </w:rPr>
            </w:pPr>
            <w:r w:rsidRPr="004450F5">
              <w:rPr>
                <w:color w:val="231F20"/>
                <w:sz w:val="22"/>
                <w:szCs w:val="22"/>
              </w:rPr>
              <w:t>26</w:t>
            </w:r>
          </w:p>
        </w:tc>
        <w:tc>
          <w:tcPr>
            <w:tcW w:w="1372" w:type="dxa"/>
            <w:tcBorders>
              <w:top w:val="nil"/>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81,3</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32</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r w:rsidRPr="004450F5">
              <w:rPr>
                <w:color w:val="231F20"/>
                <w:sz w:val="22"/>
                <w:szCs w:val="22"/>
              </w:rPr>
              <w:t>Tas</w:t>
            </w:r>
            <w:r>
              <w:rPr>
                <w:color w:val="231F20"/>
                <w:sz w:val="22"/>
                <w:szCs w:val="22"/>
              </w:rPr>
              <w:t>manie</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2</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16</w:t>
            </w:r>
            <w:r>
              <w:rPr>
                <w:color w:val="231F20"/>
                <w:sz w:val="22"/>
                <w:szCs w:val="22"/>
              </w:rPr>
              <w:t>,</w:t>
            </w:r>
            <w:r w:rsidRPr="004450F5">
              <w:rPr>
                <w:color w:val="231F20"/>
                <w:sz w:val="22"/>
                <w:szCs w:val="22"/>
              </w:rPr>
              <w:t>7</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602"/>
              <w:jc w:val="right"/>
              <w:rPr>
                <w:color w:val="231F20"/>
                <w:sz w:val="22"/>
                <w:szCs w:val="22"/>
              </w:rPr>
            </w:pPr>
            <w:r w:rsidRPr="004450F5">
              <w:rPr>
                <w:color w:val="231F20"/>
                <w:sz w:val="22"/>
                <w:szCs w:val="22"/>
              </w:rPr>
              <w:t>10</w:t>
            </w:r>
          </w:p>
        </w:tc>
        <w:tc>
          <w:tcPr>
            <w:tcW w:w="1372" w:type="dxa"/>
            <w:tcBorders>
              <w:top w:val="nil"/>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83,3</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12</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Territoire du Nord</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16</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55</w:t>
            </w:r>
            <w:r>
              <w:rPr>
                <w:color w:val="231F20"/>
                <w:sz w:val="22"/>
                <w:szCs w:val="22"/>
              </w:rPr>
              <w:t>,</w:t>
            </w:r>
            <w:r w:rsidRPr="004450F5">
              <w:rPr>
                <w:color w:val="231F20"/>
                <w:sz w:val="22"/>
                <w:szCs w:val="22"/>
              </w:rPr>
              <w:t>2</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602"/>
              <w:jc w:val="right"/>
              <w:rPr>
                <w:color w:val="231F20"/>
                <w:sz w:val="22"/>
                <w:szCs w:val="22"/>
              </w:rPr>
            </w:pPr>
            <w:r w:rsidRPr="004450F5">
              <w:rPr>
                <w:color w:val="231F20"/>
                <w:sz w:val="22"/>
                <w:szCs w:val="22"/>
              </w:rPr>
              <w:t>13</w:t>
            </w:r>
          </w:p>
        </w:tc>
        <w:tc>
          <w:tcPr>
            <w:tcW w:w="1372" w:type="dxa"/>
            <w:tcBorders>
              <w:top w:val="nil"/>
              <w:bottom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44,8</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29</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Territoire de la capitale</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0</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0</w:t>
            </w:r>
            <w:r>
              <w:rPr>
                <w:color w:val="231F20"/>
                <w:sz w:val="22"/>
                <w:szCs w:val="22"/>
              </w:rPr>
              <w:t>,</w:t>
            </w:r>
            <w:r w:rsidRPr="004450F5">
              <w:rPr>
                <w:color w:val="231F20"/>
                <w:sz w:val="22"/>
                <w:szCs w:val="22"/>
              </w:rPr>
              <w:t>0</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714"/>
              <w:jc w:val="right"/>
              <w:rPr>
                <w:color w:val="231F20"/>
                <w:sz w:val="22"/>
                <w:szCs w:val="22"/>
              </w:rPr>
            </w:pPr>
            <w:r w:rsidRPr="004450F5">
              <w:rPr>
                <w:color w:val="231F20"/>
                <w:sz w:val="22"/>
                <w:szCs w:val="22"/>
              </w:rPr>
              <w:t>6</w:t>
            </w:r>
          </w:p>
        </w:tc>
        <w:tc>
          <w:tcPr>
            <w:tcW w:w="1372"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100</w:t>
            </w:r>
            <w:r>
              <w:rPr>
                <w:color w:val="231F20"/>
                <w:sz w:val="22"/>
                <w:szCs w:val="22"/>
              </w:rPr>
              <w:t>,</w:t>
            </w:r>
            <w:r w:rsidRPr="004450F5">
              <w:rPr>
                <w:color w:val="231F20"/>
                <w:sz w:val="22"/>
                <w:szCs w:val="22"/>
              </w:rPr>
              <w:t>0</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6</w:t>
            </w:r>
          </w:p>
        </w:tc>
      </w:tr>
      <w:tr w:rsidR="00045122" w:rsidRPr="004450F5">
        <w:tc>
          <w:tcPr>
            <w:tcW w:w="2338" w:type="dxa"/>
            <w:tcBorders>
              <w:top w:val="nil"/>
              <w:bottom w:val="nil"/>
            </w:tcBorders>
          </w:tcPr>
          <w:p w:rsidR="00045122" w:rsidRPr="004450F5" w:rsidRDefault="00045122" w:rsidP="005D7B68">
            <w:pPr>
              <w:tabs>
                <w:tab w:val="left" w:pos="567"/>
                <w:tab w:val="left" w:pos="1134"/>
                <w:tab w:val="left" w:pos="1701"/>
                <w:tab w:val="left" w:pos="2268"/>
                <w:tab w:val="left" w:pos="2835"/>
              </w:tabs>
              <w:spacing w:before="20" w:after="20"/>
              <w:rPr>
                <w:color w:val="231F20"/>
                <w:sz w:val="22"/>
                <w:szCs w:val="22"/>
              </w:rPr>
            </w:pPr>
            <w:r>
              <w:rPr>
                <w:color w:val="231F20"/>
                <w:sz w:val="22"/>
                <w:szCs w:val="22"/>
              </w:rPr>
              <w:t>Commonwealth</w:t>
            </w:r>
          </w:p>
        </w:tc>
        <w:tc>
          <w:tcPr>
            <w:tcW w:w="1386"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0</w:t>
            </w:r>
          </w:p>
        </w:tc>
        <w:tc>
          <w:tcPr>
            <w:tcW w:w="1358"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4450F5">
              <w:rPr>
                <w:color w:val="231F20"/>
                <w:sz w:val="22"/>
                <w:szCs w:val="22"/>
              </w:rPr>
              <w:t>0</w:t>
            </w:r>
            <w:r>
              <w:rPr>
                <w:color w:val="231F20"/>
                <w:sz w:val="22"/>
                <w:szCs w:val="22"/>
              </w:rPr>
              <w:t>,</w:t>
            </w:r>
            <w:r w:rsidRPr="004450F5">
              <w:rPr>
                <w:color w:val="231F20"/>
                <w:sz w:val="22"/>
                <w:szCs w:val="22"/>
              </w:rPr>
              <w:t>0</w:t>
            </w:r>
          </w:p>
        </w:tc>
        <w:tc>
          <w:tcPr>
            <w:tcW w:w="1385"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firstLine="714"/>
              <w:jc w:val="right"/>
              <w:rPr>
                <w:color w:val="231F20"/>
                <w:sz w:val="22"/>
                <w:szCs w:val="22"/>
              </w:rPr>
            </w:pPr>
            <w:r w:rsidRPr="004450F5">
              <w:rPr>
                <w:bCs/>
                <w:color w:val="231F20"/>
                <w:sz w:val="22"/>
                <w:szCs w:val="22"/>
              </w:rPr>
              <w:t>2</w:t>
            </w:r>
          </w:p>
        </w:tc>
        <w:tc>
          <w:tcPr>
            <w:tcW w:w="1372"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100,0</w:t>
            </w:r>
          </w:p>
        </w:tc>
        <w:tc>
          <w:tcPr>
            <w:tcW w:w="1339" w:type="dxa"/>
            <w:tcBorders>
              <w:top w:val="nil"/>
              <w:bottom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2</w:t>
            </w:r>
          </w:p>
        </w:tc>
      </w:tr>
      <w:tr w:rsidR="00045122" w:rsidRPr="004450F5">
        <w:tc>
          <w:tcPr>
            <w:tcW w:w="2338" w:type="dxa"/>
            <w:tcBorders>
              <w:top w:val="nil"/>
            </w:tcBorders>
          </w:tcPr>
          <w:p w:rsidR="00045122" w:rsidRPr="004450F5" w:rsidRDefault="00045122" w:rsidP="005D7B68">
            <w:pPr>
              <w:tabs>
                <w:tab w:val="left" w:pos="567"/>
                <w:tab w:val="left" w:pos="1134"/>
                <w:tab w:val="left" w:pos="1701"/>
                <w:tab w:val="left" w:pos="2268"/>
                <w:tab w:val="left" w:pos="2835"/>
              </w:tabs>
              <w:spacing w:before="20" w:after="20"/>
              <w:rPr>
                <w:bCs/>
                <w:color w:val="231F20"/>
                <w:sz w:val="22"/>
                <w:szCs w:val="22"/>
              </w:rPr>
            </w:pPr>
            <w:r>
              <w:rPr>
                <w:bCs/>
                <w:color w:val="231F20"/>
                <w:sz w:val="22"/>
                <w:szCs w:val="22"/>
              </w:rPr>
              <w:t>Australie</w:t>
            </w:r>
          </w:p>
        </w:tc>
        <w:tc>
          <w:tcPr>
            <w:tcW w:w="1386" w:type="dxa"/>
            <w:tcBorders>
              <w:top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95</w:t>
            </w:r>
          </w:p>
        </w:tc>
        <w:tc>
          <w:tcPr>
            <w:tcW w:w="1358" w:type="dxa"/>
            <w:tcBorders>
              <w:top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20,0</w:t>
            </w:r>
          </w:p>
        </w:tc>
        <w:tc>
          <w:tcPr>
            <w:tcW w:w="1385" w:type="dxa"/>
            <w:tcBorders>
              <w:top w:val="nil"/>
            </w:tcBorders>
          </w:tcPr>
          <w:p w:rsidR="00045122" w:rsidRPr="004450F5" w:rsidRDefault="00045122" w:rsidP="005D7B68">
            <w:pPr>
              <w:tabs>
                <w:tab w:val="left" w:pos="567"/>
                <w:tab w:val="left" w:pos="974"/>
                <w:tab w:val="left" w:pos="1134"/>
                <w:tab w:val="left" w:pos="1701"/>
                <w:tab w:val="left" w:pos="2268"/>
                <w:tab w:val="left" w:pos="2835"/>
              </w:tabs>
              <w:spacing w:before="20" w:after="20"/>
              <w:ind w:right="214"/>
              <w:jc w:val="right"/>
              <w:rPr>
                <w:bCs/>
                <w:color w:val="231F20"/>
                <w:sz w:val="22"/>
                <w:szCs w:val="22"/>
              </w:rPr>
            </w:pPr>
            <w:r w:rsidRPr="004450F5">
              <w:rPr>
                <w:bCs/>
                <w:color w:val="231F20"/>
                <w:sz w:val="22"/>
                <w:szCs w:val="22"/>
              </w:rPr>
              <w:t>381</w:t>
            </w:r>
          </w:p>
        </w:tc>
        <w:tc>
          <w:tcPr>
            <w:tcW w:w="1372" w:type="dxa"/>
            <w:tcBorders>
              <w:top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80,0</w:t>
            </w:r>
          </w:p>
        </w:tc>
        <w:tc>
          <w:tcPr>
            <w:tcW w:w="1339" w:type="dxa"/>
            <w:tcBorders>
              <w:top w:val="nil"/>
            </w:tcBorders>
          </w:tcPr>
          <w:p w:rsidR="00045122" w:rsidRPr="00A8191D" w:rsidRDefault="00045122" w:rsidP="005D7B68">
            <w:pPr>
              <w:tabs>
                <w:tab w:val="left" w:pos="567"/>
                <w:tab w:val="left" w:pos="974"/>
                <w:tab w:val="left" w:pos="1134"/>
                <w:tab w:val="left" w:pos="1701"/>
                <w:tab w:val="left" w:pos="2268"/>
                <w:tab w:val="left" w:pos="2835"/>
              </w:tabs>
              <w:spacing w:before="20" w:after="20"/>
              <w:ind w:right="214"/>
              <w:jc w:val="right"/>
              <w:rPr>
                <w:color w:val="231F20"/>
                <w:sz w:val="22"/>
                <w:szCs w:val="22"/>
              </w:rPr>
            </w:pPr>
            <w:r w:rsidRPr="00A8191D">
              <w:rPr>
                <w:color w:val="231F20"/>
                <w:sz w:val="22"/>
                <w:szCs w:val="22"/>
              </w:rPr>
              <w:t>476</w:t>
            </w:r>
          </w:p>
        </w:tc>
      </w:tr>
    </w:tbl>
    <w:p w:rsidR="00355D86" w:rsidRDefault="00A8191D" w:rsidP="005D7B68">
      <w:pPr>
        <w:pStyle w:val="FootnoteText"/>
        <w:tabs>
          <w:tab w:val="left" w:pos="567"/>
          <w:tab w:val="left" w:pos="1134"/>
          <w:tab w:val="left" w:pos="1701"/>
          <w:tab w:val="left" w:pos="2268"/>
          <w:tab w:val="left" w:pos="2835"/>
        </w:tabs>
        <w:spacing w:before="120"/>
        <w:rPr>
          <w:lang w:val="fr-FR"/>
        </w:rPr>
      </w:pPr>
      <w:r>
        <w:rPr>
          <w:i/>
          <w:color w:val="000000"/>
          <w:lang w:val="fr-FR"/>
        </w:rPr>
        <w:tab/>
      </w:r>
      <w:r w:rsidR="00355D86" w:rsidRPr="007202D9">
        <w:rPr>
          <w:i/>
          <w:color w:val="000000"/>
          <w:lang w:val="fr-FR"/>
        </w:rPr>
        <w:t>Source</w:t>
      </w:r>
      <w:r w:rsidR="00355D86" w:rsidRPr="007202D9">
        <w:rPr>
          <w:color w:val="000000"/>
          <w:lang w:val="fr-FR"/>
        </w:rPr>
        <w:t xml:space="preserve">: </w:t>
      </w:r>
      <w:r w:rsidR="00355D86">
        <w:rPr>
          <w:lang w:val="fr-FR"/>
        </w:rPr>
        <w:t>J. Joudo, Décès en détention préventive en Australie</w:t>
      </w:r>
      <w:r w:rsidR="00572260">
        <w:rPr>
          <w:lang w:val="fr-FR"/>
        </w:rPr>
        <w:t>:</w:t>
      </w:r>
      <w:r w:rsidR="00355D86">
        <w:rPr>
          <w:lang w:val="fr-FR"/>
        </w:rPr>
        <w:t xml:space="preserve"> rapport annuel de 2005 sur le Programme national relatif aux décès en détention, collection de documents techniques et de synthèse </w:t>
      </w:r>
      <w:r>
        <w:rPr>
          <w:lang w:val="fr-FR"/>
        </w:rPr>
        <w:t>n</w:t>
      </w:r>
      <w:r w:rsidRPr="00A8191D">
        <w:rPr>
          <w:vertAlign w:val="superscript"/>
          <w:lang w:val="fr-FR"/>
        </w:rPr>
        <w:t>o</w:t>
      </w:r>
      <w:r>
        <w:rPr>
          <w:lang w:val="fr-FR"/>
        </w:rPr>
        <w:t> </w:t>
      </w:r>
      <w:r w:rsidR="00355D86">
        <w:rPr>
          <w:lang w:val="fr-FR"/>
        </w:rPr>
        <w:t xml:space="preserve"> 21 (AIC).</w:t>
      </w:r>
    </w:p>
    <w:tbl>
      <w:tblPr>
        <w:tblStyle w:val="TableGrid"/>
        <w:tblW w:w="0" w:type="auto"/>
        <w:tblInd w:w="108" w:type="dxa"/>
        <w:tblLook w:val="01E0" w:firstRow="1" w:lastRow="1" w:firstColumn="1" w:lastColumn="1" w:noHBand="0" w:noVBand="0"/>
      </w:tblPr>
      <w:tblGrid>
        <w:gridCol w:w="2310"/>
        <w:gridCol w:w="2310"/>
        <w:gridCol w:w="2310"/>
        <w:gridCol w:w="2250"/>
      </w:tblGrid>
      <w:tr w:rsidR="00B82E3A" w:rsidRPr="00B82E3A">
        <w:trPr>
          <w:tblHeader/>
        </w:trPr>
        <w:tc>
          <w:tcPr>
            <w:tcW w:w="9180" w:type="dxa"/>
            <w:gridSpan w:val="4"/>
          </w:tcPr>
          <w:p w:rsidR="00B82E3A" w:rsidRPr="00B82E3A" w:rsidRDefault="00B82E3A" w:rsidP="005D7B68">
            <w:pPr>
              <w:tabs>
                <w:tab w:val="left" w:pos="567"/>
                <w:tab w:val="left" w:pos="1134"/>
                <w:tab w:val="left" w:pos="1701"/>
                <w:tab w:val="left" w:pos="2268"/>
                <w:tab w:val="left" w:pos="2835"/>
              </w:tabs>
              <w:spacing w:after="0"/>
              <w:jc w:val="center"/>
              <w:rPr>
                <w:sz w:val="22"/>
                <w:szCs w:val="22"/>
                <w:lang w:val="fr-FR"/>
              </w:rPr>
            </w:pPr>
            <w:r w:rsidRPr="00B82E3A">
              <w:rPr>
                <w:sz w:val="22"/>
                <w:szCs w:val="22"/>
                <w:lang w:val="fr-FR"/>
              </w:rPr>
              <w:t>Décès par statut autochtone, 1980-2005 (nombre)</w:t>
            </w:r>
          </w:p>
        </w:tc>
      </w:tr>
      <w:tr w:rsidR="00B82E3A" w:rsidRPr="004450F5">
        <w:trPr>
          <w:tblHeader/>
        </w:trPr>
        <w:tc>
          <w:tcPr>
            <w:tcW w:w="2310" w:type="dxa"/>
            <w:tcBorders>
              <w:bottom w:val="single" w:sz="4" w:space="0" w:color="auto"/>
            </w:tcBorders>
          </w:tcPr>
          <w:p w:rsidR="00B82E3A" w:rsidRPr="00B82E3A" w:rsidRDefault="00B82E3A" w:rsidP="005D7B68">
            <w:pPr>
              <w:tabs>
                <w:tab w:val="left" w:pos="567"/>
                <w:tab w:val="left" w:pos="1134"/>
                <w:tab w:val="left" w:pos="1701"/>
                <w:tab w:val="left" w:pos="2268"/>
                <w:tab w:val="left" w:pos="2835"/>
              </w:tabs>
              <w:spacing w:after="0"/>
              <w:jc w:val="center"/>
              <w:rPr>
                <w:color w:val="231F20"/>
                <w:sz w:val="22"/>
                <w:szCs w:val="22"/>
                <w:lang w:val="fr-FR"/>
              </w:rPr>
            </w:pPr>
          </w:p>
        </w:tc>
        <w:tc>
          <w:tcPr>
            <w:tcW w:w="2310" w:type="dxa"/>
            <w:tcBorders>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Pr>
                <w:bCs/>
                <w:color w:val="000000"/>
                <w:sz w:val="22"/>
                <w:szCs w:val="22"/>
              </w:rPr>
              <w:t>Aborigènes</w:t>
            </w:r>
          </w:p>
        </w:tc>
        <w:tc>
          <w:tcPr>
            <w:tcW w:w="2310" w:type="dxa"/>
            <w:tcBorders>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bCs/>
                <w:color w:val="000000"/>
                <w:sz w:val="22"/>
                <w:szCs w:val="22"/>
              </w:rPr>
              <w:t>Non</w:t>
            </w:r>
            <w:r>
              <w:rPr>
                <w:bCs/>
                <w:color w:val="000000"/>
                <w:sz w:val="22"/>
                <w:szCs w:val="22"/>
              </w:rPr>
              <w:t xml:space="preserve"> aborigènes</w:t>
            </w:r>
          </w:p>
        </w:tc>
        <w:tc>
          <w:tcPr>
            <w:tcW w:w="2250" w:type="dxa"/>
            <w:tcBorders>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bCs/>
                <w:color w:val="000000"/>
                <w:sz w:val="22"/>
                <w:szCs w:val="22"/>
              </w:rPr>
              <w:t xml:space="preserve">Total </w:t>
            </w:r>
            <w:r>
              <w:rPr>
                <w:bCs/>
                <w:color w:val="000000"/>
                <w:sz w:val="22"/>
                <w:szCs w:val="22"/>
              </w:rPr>
              <w:t>N</w:t>
            </w:r>
          </w:p>
        </w:tc>
      </w:tr>
      <w:tr w:rsidR="00B82E3A" w:rsidRPr="004450F5">
        <w:tc>
          <w:tcPr>
            <w:tcW w:w="2310" w:type="dxa"/>
            <w:tcBorders>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1980</w:t>
            </w:r>
          </w:p>
        </w:tc>
        <w:tc>
          <w:tcPr>
            <w:tcW w:w="2310" w:type="dxa"/>
            <w:tcBorders>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w:t>
            </w:r>
          </w:p>
        </w:tc>
        <w:tc>
          <w:tcPr>
            <w:tcW w:w="2310" w:type="dxa"/>
            <w:tcBorders>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25</w:t>
            </w:r>
          </w:p>
        </w:tc>
        <w:tc>
          <w:tcPr>
            <w:tcW w:w="2250" w:type="dxa"/>
            <w:tcBorders>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30</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27</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28</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1982</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21</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25</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1983</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26</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31</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27</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31</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1985</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22</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26</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1986</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16</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17</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1987</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48</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53</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1988</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6</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36</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42</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1989</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36</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40</w:t>
            </w:r>
          </w:p>
        </w:tc>
      </w:tr>
      <w:tr w:rsidR="00B82E3A" w:rsidRPr="004450F5">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1990</w:t>
            </w:r>
          </w:p>
        </w:tc>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w:t>
            </w:r>
          </w:p>
        </w:tc>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28</w:t>
            </w:r>
          </w:p>
        </w:tc>
        <w:tc>
          <w:tcPr>
            <w:tcW w:w="225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33</w:t>
            </w:r>
          </w:p>
        </w:tc>
      </w:tr>
      <w:tr w:rsidR="00B82E3A" w:rsidRPr="004450F5">
        <w:tc>
          <w:tcPr>
            <w:tcW w:w="2310" w:type="dxa"/>
            <w:tcBorders>
              <w:top w:val="single" w:sz="4" w:space="0" w:color="auto"/>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1991</w:t>
            </w:r>
          </w:p>
        </w:tc>
        <w:tc>
          <w:tcPr>
            <w:tcW w:w="2310" w:type="dxa"/>
            <w:tcBorders>
              <w:top w:val="single" w:sz="4" w:space="0" w:color="auto"/>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8</w:t>
            </w:r>
          </w:p>
        </w:tc>
        <w:tc>
          <w:tcPr>
            <w:tcW w:w="2310" w:type="dxa"/>
            <w:tcBorders>
              <w:top w:val="single" w:sz="4" w:space="0" w:color="auto"/>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31</w:t>
            </w:r>
          </w:p>
        </w:tc>
        <w:tc>
          <w:tcPr>
            <w:tcW w:w="2250" w:type="dxa"/>
            <w:tcBorders>
              <w:top w:val="single" w:sz="4" w:space="0" w:color="auto"/>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39</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1992</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34</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36</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1993</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7</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42</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49</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42</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53</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1995</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18</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41</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59</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1996</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12</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40</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52</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1997</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9</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67</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76</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1998</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10</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59</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69</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1999</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13</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46</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59</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2000</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51</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62</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2001</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43</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57</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2002</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8</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42</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50</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2003</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10</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30</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40</w:t>
            </w:r>
          </w:p>
        </w:tc>
      </w:tr>
      <w:tr w:rsidR="00B82E3A" w:rsidRPr="004450F5">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2004</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7</w:t>
            </w:r>
          </w:p>
        </w:tc>
        <w:tc>
          <w:tcPr>
            <w:tcW w:w="231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32</w:t>
            </w:r>
          </w:p>
        </w:tc>
        <w:tc>
          <w:tcPr>
            <w:tcW w:w="2250" w:type="dxa"/>
            <w:tcBorders>
              <w:top w:val="nil"/>
              <w:bottom w:val="nil"/>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39</w:t>
            </w:r>
          </w:p>
        </w:tc>
      </w:tr>
      <w:tr w:rsidR="00B82E3A" w:rsidRPr="004450F5">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jc w:val="center"/>
              <w:rPr>
                <w:color w:val="231F20"/>
                <w:sz w:val="22"/>
                <w:szCs w:val="22"/>
              </w:rPr>
            </w:pPr>
            <w:r w:rsidRPr="004450F5">
              <w:rPr>
                <w:color w:val="231F20"/>
                <w:sz w:val="22"/>
                <w:szCs w:val="22"/>
              </w:rPr>
              <w:t>2005</w:t>
            </w:r>
          </w:p>
        </w:tc>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7</w:t>
            </w:r>
          </w:p>
        </w:tc>
        <w:tc>
          <w:tcPr>
            <w:tcW w:w="231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852"/>
              <w:jc w:val="right"/>
              <w:rPr>
                <w:color w:val="231F20"/>
                <w:sz w:val="22"/>
                <w:szCs w:val="22"/>
              </w:rPr>
            </w:pPr>
            <w:r w:rsidRPr="004450F5">
              <w:rPr>
                <w:color w:val="231F20"/>
                <w:sz w:val="22"/>
                <w:szCs w:val="22"/>
              </w:rPr>
              <w:t>27</w:t>
            </w:r>
          </w:p>
        </w:tc>
        <w:tc>
          <w:tcPr>
            <w:tcW w:w="2250" w:type="dxa"/>
            <w:tcBorders>
              <w:top w:val="nil"/>
              <w:bottom w:val="single" w:sz="4" w:space="0" w:color="auto"/>
            </w:tcBorders>
          </w:tcPr>
          <w:p w:rsidR="00B82E3A" w:rsidRPr="004450F5" w:rsidRDefault="00B82E3A" w:rsidP="005D7B68">
            <w:pPr>
              <w:tabs>
                <w:tab w:val="left" w:pos="567"/>
                <w:tab w:val="left" w:pos="1134"/>
                <w:tab w:val="left" w:pos="1701"/>
                <w:tab w:val="left" w:pos="2268"/>
                <w:tab w:val="left" w:pos="2835"/>
              </w:tabs>
              <w:spacing w:after="0"/>
              <w:ind w:right="732"/>
              <w:jc w:val="right"/>
              <w:rPr>
                <w:color w:val="231F20"/>
                <w:sz w:val="22"/>
                <w:szCs w:val="22"/>
              </w:rPr>
            </w:pPr>
            <w:r w:rsidRPr="004450F5">
              <w:rPr>
                <w:color w:val="231F20"/>
                <w:sz w:val="22"/>
                <w:szCs w:val="22"/>
              </w:rPr>
              <w:t>34</w:t>
            </w:r>
          </w:p>
        </w:tc>
      </w:tr>
      <w:tr w:rsidR="00B82E3A" w:rsidRPr="00A8191D">
        <w:tc>
          <w:tcPr>
            <w:tcW w:w="2310" w:type="dxa"/>
            <w:tcBorders>
              <w:top w:val="single" w:sz="4" w:space="0" w:color="auto"/>
            </w:tcBorders>
          </w:tcPr>
          <w:p w:rsidR="00B82E3A" w:rsidRPr="00A8191D" w:rsidRDefault="00B82E3A" w:rsidP="005D7B68">
            <w:pPr>
              <w:tabs>
                <w:tab w:val="left" w:pos="175"/>
                <w:tab w:val="left" w:pos="567"/>
                <w:tab w:val="left" w:pos="1134"/>
                <w:tab w:val="left" w:pos="1701"/>
                <w:tab w:val="left" w:pos="2268"/>
                <w:tab w:val="left" w:pos="2835"/>
              </w:tabs>
              <w:spacing w:after="0"/>
              <w:jc w:val="center"/>
              <w:rPr>
                <w:b/>
                <w:color w:val="231F20"/>
                <w:sz w:val="22"/>
                <w:szCs w:val="22"/>
              </w:rPr>
            </w:pPr>
            <w:r w:rsidRPr="00A8191D">
              <w:rPr>
                <w:b/>
                <w:color w:val="231F20"/>
                <w:sz w:val="22"/>
                <w:szCs w:val="22"/>
              </w:rPr>
              <w:t>(Total)</w:t>
            </w:r>
          </w:p>
        </w:tc>
        <w:tc>
          <w:tcPr>
            <w:tcW w:w="2310" w:type="dxa"/>
            <w:tcBorders>
              <w:top w:val="single" w:sz="4" w:space="0" w:color="auto"/>
            </w:tcBorders>
          </w:tcPr>
          <w:p w:rsidR="00B82E3A" w:rsidRPr="00A8191D" w:rsidRDefault="00B82E3A" w:rsidP="005D7B68">
            <w:pPr>
              <w:tabs>
                <w:tab w:val="left" w:pos="567"/>
                <w:tab w:val="left" w:pos="1134"/>
                <w:tab w:val="left" w:pos="1701"/>
                <w:tab w:val="left" w:pos="2268"/>
                <w:tab w:val="left" w:pos="2835"/>
              </w:tabs>
              <w:spacing w:after="0"/>
              <w:ind w:right="794"/>
              <w:jc w:val="right"/>
              <w:rPr>
                <w:b/>
                <w:color w:val="231F20"/>
                <w:sz w:val="22"/>
                <w:szCs w:val="22"/>
              </w:rPr>
            </w:pPr>
            <w:r w:rsidRPr="00A8191D">
              <w:rPr>
                <w:b/>
                <w:color w:val="231F20"/>
                <w:sz w:val="22"/>
                <w:szCs w:val="22"/>
              </w:rPr>
              <w:t>(191)</w:t>
            </w:r>
          </w:p>
        </w:tc>
        <w:tc>
          <w:tcPr>
            <w:tcW w:w="2310" w:type="dxa"/>
            <w:tcBorders>
              <w:top w:val="single" w:sz="4" w:space="0" w:color="auto"/>
            </w:tcBorders>
          </w:tcPr>
          <w:p w:rsidR="00B82E3A" w:rsidRPr="00A8191D" w:rsidRDefault="00B82E3A" w:rsidP="005D7B68">
            <w:pPr>
              <w:tabs>
                <w:tab w:val="left" w:pos="567"/>
                <w:tab w:val="left" w:pos="1134"/>
                <w:tab w:val="left" w:pos="1701"/>
                <w:tab w:val="left" w:pos="2268"/>
                <w:tab w:val="left" w:pos="2835"/>
              </w:tabs>
              <w:spacing w:after="0"/>
              <w:ind w:right="794"/>
              <w:jc w:val="right"/>
              <w:rPr>
                <w:b/>
                <w:color w:val="000000"/>
                <w:sz w:val="22"/>
                <w:szCs w:val="22"/>
              </w:rPr>
            </w:pPr>
            <w:r w:rsidRPr="00A8191D">
              <w:rPr>
                <w:b/>
                <w:color w:val="231F20"/>
                <w:sz w:val="22"/>
                <w:szCs w:val="22"/>
              </w:rPr>
              <w:t>(939)</w:t>
            </w:r>
          </w:p>
        </w:tc>
        <w:tc>
          <w:tcPr>
            <w:tcW w:w="2250" w:type="dxa"/>
            <w:tcBorders>
              <w:top w:val="single" w:sz="4" w:space="0" w:color="auto"/>
            </w:tcBorders>
          </w:tcPr>
          <w:p w:rsidR="00B82E3A" w:rsidRPr="00A8191D" w:rsidRDefault="00B82E3A" w:rsidP="005D7B68">
            <w:pPr>
              <w:tabs>
                <w:tab w:val="left" w:pos="567"/>
                <w:tab w:val="left" w:pos="1134"/>
                <w:tab w:val="left" w:pos="1701"/>
                <w:tab w:val="left" w:pos="2268"/>
                <w:tab w:val="left" w:pos="2835"/>
              </w:tabs>
              <w:spacing w:after="0"/>
              <w:ind w:right="624"/>
              <w:jc w:val="right"/>
              <w:rPr>
                <w:b/>
                <w:color w:val="000000"/>
                <w:sz w:val="22"/>
                <w:szCs w:val="22"/>
              </w:rPr>
            </w:pPr>
            <w:r w:rsidRPr="00A8191D">
              <w:rPr>
                <w:b/>
                <w:color w:val="231F20"/>
                <w:sz w:val="22"/>
                <w:szCs w:val="22"/>
              </w:rPr>
              <w:t>(1 130)</w:t>
            </w:r>
          </w:p>
        </w:tc>
      </w:tr>
    </w:tbl>
    <w:p w:rsidR="00B82E3A" w:rsidRDefault="00A8191D" w:rsidP="005D7B68">
      <w:pPr>
        <w:pStyle w:val="FootnoteText"/>
        <w:tabs>
          <w:tab w:val="left" w:pos="567"/>
          <w:tab w:val="left" w:pos="1134"/>
          <w:tab w:val="left" w:pos="1701"/>
          <w:tab w:val="left" w:pos="2268"/>
          <w:tab w:val="left" w:pos="2835"/>
        </w:tabs>
        <w:spacing w:before="120"/>
        <w:rPr>
          <w:lang w:val="fr-FR"/>
        </w:rPr>
      </w:pPr>
      <w:r>
        <w:rPr>
          <w:i/>
          <w:iCs/>
          <w:lang w:val="fr-FR"/>
        </w:rPr>
        <w:tab/>
      </w:r>
      <w:r w:rsidR="00B82E3A" w:rsidRPr="007202D9">
        <w:rPr>
          <w:i/>
          <w:color w:val="000000"/>
          <w:lang w:val="fr-FR"/>
        </w:rPr>
        <w:t>Source</w:t>
      </w:r>
      <w:r w:rsidR="00B82E3A" w:rsidRPr="007202D9">
        <w:rPr>
          <w:color w:val="000000"/>
          <w:lang w:val="fr-FR"/>
        </w:rPr>
        <w:t xml:space="preserve">: </w:t>
      </w:r>
      <w:r w:rsidR="00B82E3A">
        <w:rPr>
          <w:lang w:val="fr-FR"/>
        </w:rPr>
        <w:t>J. Joudo, Décès en détention préventive en Australie</w:t>
      </w:r>
      <w:r w:rsidR="00572260">
        <w:rPr>
          <w:lang w:val="fr-FR"/>
        </w:rPr>
        <w:t>:</w:t>
      </w:r>
      <w:r w:rsidR="00B82E3A">
        <w:rPr>
          <w:lang w:val="fr-FR"/>
        </w:rPr>
        <w:t xml:space="preserve"> rapport annuel de 2005 sur le Programme national relatif aux décès en détention, collection de documents techniques et de synthèse </w:t>
      </w:r>
      <w:r>
        <w:rPr>
          <w:lang w:val="fr-FR"/>
        </w:rPr>
        <w:t>n</w:t>
      </w:r>
      <w:r w:rsidRPr="00A8191D">
        <w:rPr>
          <w:vertAlign w:val="superscript"/>
          <w:lang w:val="fr-FR"/>
        </w:rPr>
        <w:t>o</w:t>
      </w:r>
      <w:r>
        <w:rPr>
          <w:lang w:val="fr-FR"/>
        </w:rPr>
        <w:t> </w:t>
      </w:r>
      <w:r w:rsidR="00B82E3A">
        <w:rPr>
          <w:lang w:val="fr-FR"/>
        </w:rPr>
        <w:t xml:space="preserve"> 21 (AIC).</w:t>
      </w:r>
    </w:p>
    <w:tbl>
      <w:tblPr>
        <w:tblStyle w:val="TableGrid"/>
        <w:tblW w:w="9356" w:type="dxa"/>
        <w:tblInd w:w="108" w:type="dxa"/>
        <w:tblLayout w:type="fixed"/>
        <w:tblLook w:val="01E0" w:firstRow="1" w:lastRow="1" w:firstColumn="1" w:lastColumn="1" w:noHBand="0" w:noVBand="0"/>
      </w:tblPr>
      <w:tblGrid>
        <w:gridCol w:w="850"/>
        <w:gridCol w:w="900"/>
        <w:gridCol w:w="850"/>
        <w:gridCol w:w="1022"/>
        <w:gridCol w:w="952"/>
        <w:gridCol w:w="1008"/>
        <w:gridCol w:w="868"/>
        <w:gridCol w:w="1163"/>
        <w:gridCol w:w="852"/>
        <w:gridCol w:w="891"/>
      </w:tblGrid>
      <w:tr w:rsidR="00CB5CC4" w:rsidRPr="006E45BC">
        <w:tc>
          <w:tcPr>
            <w:tcW w:w="9356" w:type="dxa"/>
            <w:gridSpan w:val="10"/>
          </w:tcPr>
          <w:p w:rsidR="00CB5CC4" w:rsidRPr="006E45BC" w:rsidRDefault="00CB5CC4" w:rsidP="005D7B68">
            <w:pPr>
              <w:tabs>
                <w:tab w:val="left" w:pos="567"/>
                <w:tab w:val="left" w:pos="1134"/>
                <w:tab w:val="left" w:pos="1701"/>
                <w:tab w:val="left" w:pos="2268"/>
                <w:tab w:val="left" w:pos="2835"/>
              </w:tabs>
              <w:spacing w:after="0"/>
              <w:jc w:val="center"/>
              <w:rPr>
                <w:sz w:val="16"/>
                <w:szCs w:val="16"/>
                <w:lang w:val="fr-FR"/>
              </w:rPr>
            </w:pPr>
            <w:r w:rsidRPr="006E45BC">
              <w:rPr>
                <w:sz w:val="16"/>
                <w:szCs w:val="16"/>
                <w:lang w:val="fr-FR"/>
              </w:rPr>
              <w:br w:type="page"/>
              <w:t>Décès en prison par année et territoire, 1980-2005 (nombre)</w:t>
            </w:r>
          </w:p>
        </w:tc>
      </w:tr>
      <w:tr w:rsidR="00CB5CC4" w:rsidRPr="006E45BC">
        <w:tc>
          <w:tcPr>
            <w:tcW w:w="850"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lang w:val="fr-FR"/>
              </w:rPr>
            </w:pPr>
          </w:p>
        </w:tc>
        <w:tc>
          <w:tcPr>
            <w:tcW w:w="900" w:type="dxa"/>
            <w:tcBorders>
              <w:bottom w:val="single" w:sz="4" w:space="0" w:color="auto"/>
            </w:tcBorders>
            <w:vAlign w:val="center"/>
          </w:tcPr>
          <w:p w:rsidR="00CB5CC4" w:rsidRPr="006E45BC" w:rsidRDefault="00A8191D"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Nouvelle</w:t>
            </w:r>
            <w:r w:rsidRPr="006E45BC">
              <w:rPr>
                <w:bCs/>
                <w:sz w:val="16"/>
                <w:szCs w:val="16"/>
              </w:rPr>
              <w:noBreakHyphen/>
              <w:t>G</w:t>
            </w:r>
            <w:r w:rsidR="00CB5CC4" w:rsidRPr="006E45BC">
              <w:rPr>
                <w:bCs/>
                <w:sz w:val="16"/>
                <w:szCs w:val="16"/>
              </w:rPr>
              <w:t>alles du Sud</w:t>
            </w:r>
          </w:p>
        </w:tc>
        <w:tc>
          <w:tcPr>
            <w:tcW w:w="850"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smartTag w:uri="urn:schemas-microsoft-com:office:smarttags" w:element="place">
              <w:smartTag w:uri="urn:schemas-microsoft-com:office:smarttags" w:element="State">
                <w:r w:rsidRPr="006E45BC">
                  <w:rPr>
                    <w:bCs/>
                    <w:sz w:val="16"/>
                    <w:szCs w:val="16"/>
                  </w:rPr>
                  <w:t>Victoria</w:t>
                </w:r>
              </w:smartTag>
            </w:smartTag>
          </w:p>
        </w:tc>
        <w:tc>
          <w:tcPr>
            <w:tcW w:w="1022"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smartTag w:uri="urn:schemas-microsoft-com:office:smarttags" w:element="place">
              <w:smartTag w:uri="urn:schemas-microsoft-com:office:smarttags" w:element="State">
                <w:r w:rsidRPr="006E45BC">
                  <w:rPr>
                    <w:bCs/>
                    <w:sz w:val="16"/>
                    <w:szCs w:val="16"/>
                  </w:rPr>
                  <w:t>Queensland</w:t>
                </w:r>
              </w:smartTag>
            </w:smartTag>
          </w:p>
        </w:tc>
        <w:tc>
          <w:tcPr>
            <w:tcW w:w="952"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 xml:space="preserve">Australie </w:t>
            </w:r>
            <w:r w:rsidR="006E45BC" w:rsidRPr="006E45BC">
              <w:rPr>
                <w:bCs/>
                <w:sz w:val="16"/>
                <w:szCs w:val="16"/>
              </w:rPr>
              <w:t>o</w:t>
            </w:r>
            <w:r w:rsidRPr="006E45BC">
              <w:rPr>
                <w:bCs/>
                <w:sz w:val="16"/>
                <w:szCs w:val="16"/>
              </w:rPr>
              <w:t>ccidentale</w:t>
            </w:r>
          </w:p>
        </w:tc>
        <w:tc>
          <w:tcPr>
            <w:tcW w:w="1008"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Australie</w:t>
            </w:r>
            <w:r w:rsidR="006B2BD8">
              <w:rPr>
                <w:bCs/>
                <w:sz w:val="16"/>
                <w:szCs w:val="16"/>
              </w:rPr>
              <w:t xml:space="preserve"> </w:t>
            </w:r>
            <w:r w:rsidR="00A8191D" w:rsidRPr="006E45BC">
              <w:rPr>
                <w:bCs/>
                <w:sz w:val="16"/>
                <w:szCs w:val="16"/>
              </w:rPr>
              <w:t>m</w:t>
            </w:r>
            <w:r w:rsidRPr="006E45BC">
              <w:rPr>
                <w:bCs/>
                <w:sz w:val="16"/>
                <w:szCs w:val="16"/>
              </w:rPr>
              <w:t>éridionale</w:t>
            </w:r>
          </w:p>
        </w:tc>
        <w:tc>
          <w:tcPr>
            <w:tcW w:w="868"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Tasmanie</w:t>
            </w:r>
          </w:p>
        </w:tc>
        <w:tc>
          <w:tcPr>
            <w:tcW w:w="1163"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Territoire du Nord</w:t>
            </w:r>
          </w:p>
        </w:tc>
        <w:tc>
          <w:tcPr>
            <w:tcW w:w="852"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color w:val="231F20"/>
                <w:sz w:val="16"/>
                <w:szCs w:val="16"/>
              </w:rPr>
            </w:pPr>
            <w:r w:rsidRPr="006E45BC">
              <w:rPr>
                <w:bCs/>
                <w:sz w:val="16"/>
                <w:szCs w:val="16"/>
              </w:rPr>
              <w:t>Territoire de la capitale</w:t>
            </w:r>
          </w:p>
        </w:tc>
        <w:tc>
          <w:tcPr>
            <w:tcW w:w="891" w:type="dxa"/>
            <w:tcBorders>
              <w:bottom w:val="single" w:sz="4" w:space="0" w:color="auto"/>
            </w:tcBorders>
            <w:vAlign w:val="center"/>
          </w:tcPr>
          <w:p w:rsidR="00CB5CC4" w:rsidRPr="006E45BC" w:rsidRDefault="00CB5CC4" w:rsidP="005D7B68">
            <w:pPr>
              <w:tabs>
                <w:tab w:val="left" w:pos="567"/>
                <w:tab w:val="left" w:pos="1134"/>
                <w:tab w:val="left" w:pos="1701"/>
                <w:tab w:val="left" w:pos="2268"/>
                <w:tab w:val="left" w:pos="2835"/>
              </w:tabs>
              <w:spacing w:after="0"/>
              <w:jc w:val="center"/>
              <w:rPr>
                <w:bCs/>
                <w:sz w:val="16"/>
                <w:szCs w:val="16"/>
              </w:rPr>
            </w:pPr>
            <w:r w:rsidRPr="006E45BC">
              <w:rPr>
                <w:bCs/>
                <w:sz w:val="16"/>
                <w:szCs w:val="16"/>
              </w:rPr>
              <w:t>Total</w:t>
            </w:r>
          </w:p>
        </w:tc>
      </w:tr>
      <w:tr w:rsidR="00CB5CC4" w:rsidRPr="006E45BC">
        <w:tc>
          <w:tcPr>
            <w:tcW w:w="850" w:type="dxa"/>
            <w:tcBorders>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1980</w:t>
            </w:r>
          </w:p>
        </w:tc>
        <w:tc>
          <w:tcPr>
            <w:tcW w:w="900"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w:t>
            </w:r>
          </w:p>
        </w:tc>
        <w:tc>
          <w:tcPr>
            <w:tcW w:w="850"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1022"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952"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3</w:t>
            </w:r>
          </w:p>
        </w:tc>
        <w:tc>
          <w:tcPr>
            <w:tcW w:w="1008"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w:t>
            </w:r>
          </w:p>
        </w:tc>
        <w:tc>
          <w:tcPr>
            <w:tcW w:w="868"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30</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1981</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2</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28</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1982</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6</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25</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1983</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12</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31</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1984</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11</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31</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1985</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9</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1</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26</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1986</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6</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0</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17</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1987</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18</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19</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4</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53</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1988</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15</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7</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42</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1989</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7</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4</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40</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1990</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15</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3</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33</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1991</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15</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6</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39</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1992</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13</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10</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3</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36</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1993</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23</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3</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6</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49</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1994</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27</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11</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6</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53</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1995</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22</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6</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13</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5</w:t>
            </w:r>
          </w:p>
        </w:tc>
        <w:tc>
          <w:tcPr>
            <w:tcW w:w="1008" w:type="dxa"/>
            <w:tcBorders>
              <w:top w:val="nil"/>
              <w:bottom w:val="nil"/>
            </w:tcBorders>
          </w:tcPr>
          <w:p w:rsidR="00CB5CC4" w:rsidRPr="006E45BC" w:rsidRDefault="00776446" w:rsidP="005D7B68">
            <w:pPr>
              <w:tabs>
                <w:tab w:val="left" w:pos="567"/>
                <w:tab w:val="left" w:pos="1134"/>
                <w:tab w:val="left" w:pos="1701"/>
                <w:tab w:val="left" w:pos="2268"/>
                <w:tab w:val="left" w:pos="2835"/>
              </w:tabs>
              <w:spacing w:after="0"/>
              <w:ind w:right="170"/>
              <w:jc w:val="right"/>
              <w:rPr>
                <w:color w:val="231F20"/>
                <w:sz w:val="16"/>
                <w:szCs w:val="16"/>
              </w:rPr>
            </w:pPr>
            <w:r>
              <w:rPr>
                <w:color w:val="231F20"/>
                <w:sz w:val="16"/>
                <w:szCs w:val="16"/>
              </w:rPr>
              <w:t>11</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59</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1996</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11</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6</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52</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1997</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36</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12</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11</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76</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1998</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22</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13</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13</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69</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1999</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26</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14</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59</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2000</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17</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8</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14</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7</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62</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2001</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15</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10</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57</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2002</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20</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10</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7</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50</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2003</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15</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340"/>
              <w:jc w:val="right"/>
              <w:rPr>
                <w:color w:val="231F20"/>
                <w:sz w:val="16"/>
                <w:szCs w:val="16"/>
              </w:rPr>
            </w:pPr>
            <w:r w:rsidRPr="006E45BC">
              <w:rPr>
                <w:color w:val="231F20"/>
                <w:sz w:val="16"/>
                <w:szCs w:val="16"/>
              </w:rPr>
              <w:t>12</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7</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40</w:t>
            </w:r>
          </w:p>
        </w:tc>
      </w:tr>
      <w:tr w:rsidR="00CB5CC4" w:rsidRPr="006E45B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2004</w:t>
            </w:r>
          </w:p>
        </w:tc>
        <w:tc>
          <w:tcPr>
            <w:tcW w:w="90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14</w:t>
            </w:r>
          </w:p>
        </w:tc>
        <w:tc>
          <w:tcPr>
            <w:tcW w:w="850"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102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7</w:t>
            </w:r>
          </w:p>
        </w:tc>
        <w:tc>
          <w:tcPr>
            <w:tcW w:w="9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8</w:t>
            </w:r>
          </w:p>
        </w:tc>
        <w:tc>
          <w:tcPr>
            <w:tcW w:w="100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4</w:t>
            </w:r>
          </w:p>
        </w:tc>
        <w:tc>
          <w:tcPr>
            <w:tcW w:w="868"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852"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bottom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39</w:t>
            </w:r>
          </w:p>
        </w:tc>
      </w:tr>
      <w:tr w:rsidR="00CB5CC4" w:rsidRPr="006E45BC">
        <w:tc>
          <w:tcPr>
            <w:tcW w:w="850" w:type="dxa"/>
            <w:tcBorders>
              <w:top w:val="nil"/>
            </w:tcBorders>
          </w:tcPr>
          <w:p w:rsidR="00CB5CC4" w:rsidRPr="006E45BC" w:rsidRDefault="00CB5CC4" w:rsidP="005D7B68">
            <w:pPr>
              <w:tabs>
                <w:tab w:val="left" w:pos="567"/>
                <w:tab w:val="left" w:pos="1134"/>
                <w:tab w:val="left" w:pos="1701"/>
                <w:tab w:val="left" w:pos="2268"/>
                <w:tab w:val="left" w:pos="2835"/>
              </w:tabs>
              <w:spacing w:after="0"/>
              <w:rPr>
                <w:color w:val="231F20"/>
                <w:sz w:val="16"/>
                <w:szCs w:val="16"/>
              </w:rPr>
            </w:pPr>
            <w:r w:rsidRPr="006E45BC">
              <w:rPr>
                <w:color w:val="231F20"/>
                <w:sz w:val="16"/>
                <w:szCs w:val="16"/>
              </w:rPr>
              <w:t>2005</w:t>
            </w:r>
          </w:p>
        </w:tc>
        <w:tc>
          <w:tcPr>
            <w:tcW w:w="900" w:type="dxa"/>
            <w:tcBorders>
              <w:top w:val="nil"/>
              <w:bottom w:val="single" w:sz="4" w:space="0" w:color="000000"/>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13</w:t>
            </w:r>
          </w:p>
        </w:tc>
        <w:tc>
          <w:tcPr>
            <w:tcW w:w="850"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bCs/>
                <w:color w:val="231F20"/>
                <w:sz w:val="16"/>
                <w:szCs w:val="16"/>
              </w:rPr>
            </w:pPr>
            <w:r w:rsidRPr="006E45BC">
              <w:rPr>
                <w:bCs/>
                <w:color w:val="231F20"/>
                <w:sz w:val="16"/>
                <w:szCs w:val="16"/>
              </w:rPr>
              <w:t>5</w:t>
            </w:r>
          </w:p>
        </w:tc>
        <w:tc>
          <w:tcPr>
            <w:tcW w:w="1022"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bCs/>
                <w:color w:val="231F20"/>
                <w:sz w:val="16"/>
                <w:szCs w:val="16"/>
              </w:rPr>
            </w:pPr>
            <w:r w:rsidRPr="006E45BC">
              <w:rPr>
                <w:bCs/>
                <w:color w:val="231F20"/>
                <w:sz w:val="16"/>
                <w:szCs w:val="16"/>
              </w:rPr>
              <w:t>3</w:t>
            </w:r>
          </w:p>
        </w:tc>
        <w:tc>
          <w:tcPr>
            <w:tcW w:w="952"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firstLine="431"/>
              <w:jc w:val="right"/>
              <w:rPr>
                <w:color w:val="231F20"/>
                <w:sz w:val="16"/>
                <w:szCs w:val="16"/>
              </w:rPr>
            </w:pPr>
            <w:r w:rsidRPr="006E45BC">
              <w:rPr>
                <w:color w:val="231F20"/>
                <w:sz w:val="16"/>
                <w:szCs w:val="16"/>
              </w:rPr>
              <w:t>4</w:t>
            </w:r>
          </w:p>
        </w:tc>
        <w:tc>
          <w:tcPr>
            <w:tcW w:w="1008"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6</w:t>
            </w:r>
          </w:p>
        </w:tc>
        <w:tc>
          <w:tcPr>
            <w:tcW w:w="868"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1</w:t>
            </w:r>
          </w:p>
        </w:tc>
        <w:tc>
          <w:tcPr>
            <w:tcW w:w="1163"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2</w:t>
            </w:r>
          </w:p>
        </w:tc>
        <w:tc>
          <w:tcPr>
            <w:tcW w:w="852"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0</w:t>
            </w:r>
          </w:p>
        </w:tc>
        <w:tc>
          <w:tcPr>
            <w:tcW w:w="891" w:type="dxa"/>
            <w:tcBorders>
              <w:top w:val="nil"/>
            </w:tcBorders>
          </w:tcPr>
          <w:p w:rsidR="00CB5CC4" w:rsidRPr="006E45BC" w:rsidRDefault="00CB5CC4" w:rsidP="005D7B68">
            <w:pPr>
              <w:tabs>
                <w:tab w:val="left" w:pos="567"/>
                <w:tab w:val="left" w:pos="1134"/>
                <w:tab w:val="left" w:pos="1701"/>
                <w:tab w:val="left" w:pos="2268"/>
                <w:tab w:val="left" w:pos="2835"/>
              </w:tabs>
              <w:spacing w:after="0"/>
              <w:ind w:right="170"/>
              <w:jc w:val="right"/>
              <w:rPr>
                <w:color w:val="231F20"/>
                <w:sz w:val="16"/>
                <w:szCs w:val="16"/>
              </w:rPr>
            </w:pPr>
            <w:r w:rsidRPr="006E45BC">
              <w:rPr>
                <w:color w:val="231F20"/>
                <w:sz w:val="16"/>
                <w:szCs w:val="16"/>
              </w:rPr>
              <w:t>34</w:t>
            </w:r>
          </w:p>
        </w:tc>
      </w:tr>
      <w:tr w:rsidR="00CB5CC4" w:rsidRPr="006E45BC">
        <w:tc>
          <w:tcPr>
            <w:tcW w:w="850" w:type="dxa"/>
          </w:tcPr>
          <w:p w:rsidR="00CB5CC4" w:rsidRPr="006E45BC" w:rsidRDefault="00572260" w:rsidP="005D7B68">
            <w:pPr>
              <w:tabs>
                <w:tab w:val="left" w:pos="-1243"/>
                <w:tab w:val="left" w:pos="567"/>
                <w:tab w:val="left" w:pos="1134"/>
                <w:tab w:val="left" w:pos="1701"/>
                <w:tab w:val="left" w:pos="2268"/>
                <w:tab w:val="left" w:pos="2835"/>
              </w:tabs>
              <w:spacing w:after="0"/>
              <w:rPr>
                <w:b/>
                <w:color w:val="231F20"/>
                <w:sz w:val="16"/>
                <w:szCs w:val="16"/>
              </w:rPr>
            </w:pPr>
            <w:r w:rsidRPr="006E45BC">
              <w:rPr>
                <w:b/>
                <w:color w:val="231F20"/>
                <w:sz w:val="16"/>
                <w:szCs w:val="16"/>
              </w:rPr>
              <w:t xml:space="preserve"> </w:t>
            </w:r>
            <w:r w:rsidR="00CB5CC4" w:rsidRPr="006E45BC">
              <w:rPr>
                <w:b/>
                <w:color w:val="231F20"/>
                <w:sz w:val="16"/>
                <w:szCs w:val="16"/>
              </w:rPr>
              <w:t>(Total)</w:t>
            </w:r>
          </w:p>
        </w:tc>
        <w:tc>
          <w:tcPr>
            <w:tcW w:w="900" w:type="dxa"/>
            <w:tcBorders>
              <w:top w:val="single" w:sz="4" w:space="0" w:color="000000"/>
            </w:tcBorders>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(424)</w:t>
            </w:r>
          </w:p>
        </w:tc>
        <w:tc>
          <w:tcPr>
            <w:tcW w:w="850" w:type="dxa"/>
          </w:tcPr>
          <w:p w:rsidR="00CB5CC4" w:rsidRPr="006E45BC" w:rsidRDefault="00CB5CC4" w:rsidP="005D7B68">
            <w:pPr>
              <w:tabs>
                <w:tab w:val="left" w:pos="567"/>
                <w:tab w:val="left" w:pos="1134"/>
                <w:tab w:val="left" w:pos="1701"/>
                <w:tab w:val="left" w:pos="2268"/>
                <w:tab w:val="left" w:pos="2835"/>
              </w:tabs>
              <w:spacing w:after="0"/>
              <w:ind w:right="113"/>
              <w:jc w:val="right"/>
              <w:rPr>
                <w:b/>
                <w:color w:val="231F20"/>
                <w:sz w:val="16"/>
                <w:szCs w:val="16"/>
              </w:rPr>
            </w:pPr>
            <w:r w:rsidRPr="006E45BC">
              <w:rPr>
                <w:b/>
                <w:color w:val="231F20"/>
                <w:sz w:val="16"/>
                <w:szCs w:val="16"/>
              </w:rPr>
              <w:t>(170)</w:t>
            </w:r>
          </w:p>
        </w:tc>
        <w:tc>
          <w:tcPr>
            <w:tcW w:w="1022" w:type="dxa"/>
          </w:tcPr>
          <w:p w:rsidR="00CB5CC4" w:rsidRPr="006E45BC" w:rsidRDefault="00CB5CC4" w:rsidP="005D7B68">
            <w:pPr>
              <w:tabs>
                <w:tab w:val="left" w:pos="567"/>
                <w:tab w:val="left" w:pos="1134"/>
                <w:tab w:val="left" w:pos="1701"/>
                <w:tab w:val="left" w:pos="2268"/>
                <w:tab w:val="left" w:pos="2835"/>
              </w:tabs>
              <w:spacing w:after="0"/>
              <w:ind w:right="113"/>
              <w:jc w:val="right"/>
              <w:rPr>
                <w:b/>
                <w:color w:val="231F20"/>
                <w:sz w:val="16"/>
                <w:szCs w:val="16"/>
              </w:rPr>
            </w:pPr>
            <w:r w:rsidRPr="006E45BC">
              <w:rPr>
                <w:b/>
                <w:color w:val="231F20"/>
                <w:sz w:val="16"/>
                <w:szCs w:val="16"/>
              </w:rPr>
              <w:t>(231)</w:t>
            </w:r>
          </w:p>
        </w:tc>
        <w:tc>
          <w:tcPr>
            <w:tcW w:w="952" w:type="dxa"/>
          </w:tcPr>
          <w:p w:rsidR="00CB5CC4" w:rsidRPr="006E45BC" w:rsidRDefault="00CB5CC4" w:rsidP="005D7B68">
            <w:pPr>
              <w:tabs>
                <w:tab w:val="left" w:pos="567"/>
                <w:tab w:val="left" w:pos="1134"/>
                <w:tab w:val="left" w:pos="1701"/>
                <w:tab w:val="left" w:pos="2268"/>
                <w:tab w:val="left" w:pos="2835"/>
              </w:tabs>
              <w:spacing w:after="0"/>
              <w:ind w:right="113"/>
              <w:jc w:val="right"/>
              <w:rPr>
                <w:b/>
                <w:color w:val="231F20"/>
                <w:sz w:val="16"/>
                <w:szCs w:val="16"/>
              </w:rPr>
            </w:pPr>
            <w:r w:rsidRPr="006E45BC">
              <w:rPr>
                <w:b/>
                <w:color w:val="231F20"/>
                <w:sz w:val="16"/>
                <w:szCs w:val="16"/>
              </w:rPr>
              <w:t>(152)</w:t>
            </w:r>
          </w:p>
        </w:tc>
        <w:tc>
          <w:tcPr>
            <w:tcW w:w="1008" w:type="dxa"/>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(98)</w:t>
            </w:r>
          </w:p>
        </w:tc>
        <w:tc>
          <w:tcPr>
            <w:tcW w:w="868" w:type="dxa"/>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(29)</w:t>
            </w:r>
          </w:p>
        </w:tc>
        <w:tc>
          <w:tcPr>
            <w:tcW w:w="1163" w:type="dxa"/>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(23)</w:t>
            </w:r>
          </w:p>
        </w:tc>
        <w:tc>
          <w:tcPr>
            <w:tcW w:w="852" w:type="dxa"/>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(3)</w:t>
            </w:r>
          </w:p>
        </w:tc>
        <w:tc>
          <w:tcPr>
            <w:tcW w:w="891" w:type="dxa"/>
          </w:tcPr>
          <w:p w:rsidR="00CB5CC4" w:rsidRPr="006E45BC" w:rsidRDefault="00CB5CC4" w:rsidP="005D7B68">
            <w:pPr>
              <w:tabs>
                <w:tab w:val="left" w:pos="567"/>
                <w:tab w:val="left" w:pos="1134"/>
                <w:tab w:val="left" w:pos="1701"/>
                <w:tab w:val="left" w:pos="2268"/>
                <w:tab w:val="left" w:pos="2835"/>
              </w:tabs>
              <w:spacing w:after="0"/>
              <w:ind w:right="170"/>
              <w:jc w:val="right"/>
              <w:rPr>
                <w:b/>
                <w:color w:val="231F20"/>
                <w:sz w:val="16"/>
                <w:szCs w:val="16"/>
              </w:rPr>
            </w:pPr>
            <w:r w:rsidRPr="006E45BC">
              <w:rPr>
                <w:b/>
                <w:color w:val="231F20"/>
                <w:sz w:val="16"/>
                <w:szCs w:val="16"/>
              </w:rPr>
              <w:t>(1 130)</w:t>
            </w:r>
          </w:p>
        </w:tc>
      </w:tr>
    </w:tbl>
    <w:p w:rsidR="00CB5CC4" w:rsidRDefault="00E2044C" w:rsidP="005D7B68">
      <w:pPr>
        <w:pStyle w:val="FootnoteText"/>
        <w:tabs>
          <w:tab w:val="left" w:pos="567"/>
          <w:tab w:val="left" w:pos="1134"/>
          <w:tab w:val="left" w:pos="1701"/>
          <w:tab w:val="left" w:pos="2268"/>
          <w:tab w:val="left" w:pos="2835"/>
        </w:tabs>
        <w:spacing w:before="120"/>
        <w:rPr>
          <w:lang w:val="fr-FR"/>
        </w:rPr>
      </w:pPr>
      <w:r>
        <w:rPr>
          <w:i/>
          <w:color w:val="000000"/>
          <w:lang w:val="fr-FR"/>
        </w:rPr>
        <w:tab/>
      </w:r>
      <w:r w:rsidR="00CB5CC4" w:rsidRPr="007202D9">
        <w:rPr>
          <w:i/>
          <w:color w:val="000000"/>
          <w:lang w:val="fr-FR"/>
        </w:rPr>
        <w:t>Source</w:t>
      </w:r>
      <w:r w:rsidR="00CB5CC4" w:rsidRPr="007202D9">
        <w:rPr>
          <w:color w:val="000000"/>
          <w:lang w:val="fr-FR"/>
        </w:rPr>
        <w:t xml:space="preserve">: </w:t>
      </w:r>
      <w:r w:rsidR="00CB5CC4">
        <w:rPr>
          <w:lang w:val="fr-FR"/>
        </w:rPr>
        <w:t>J. Joudo, Décès en détention préventive en Australie</w:t>
      </w:r>
      <w:r w:rsidR="00572260">
        <w:rPr>
          <w:lang w:val="fr-FR"/>
        </w:rPr>
        <w:t>:</w:t>
      </w:r>
      <w:r w:rsidR="00CB5CC4">
        <w:rPr>
          <w:lang w:val="fr-FR"/>
        </w:rPr>
        <w:t xml:space="preserve"> rapport annuel de 2005 sur le Programme national relatif aux décès en détention, collection de documents tech</w:t>
      </w:r>
      <w:r w:rsidR="00C007EE">
        <w:rPr>
          <w:lang w:val="fr-FR"/>
        </w:rPr>
        <w:t>niques et de synthèse N° 2</w:t>
      </w:r>
      <w:r w:rsidR="003C6569">
        <w:rPr>
          <w:lang w:val="fr-FR"/>
        </w:rPr>
        <w:t>1 (AIC)</w:t>
      </w:r>
      <w:r w:rsidR="00CB5CC4">
        <w:rPr>
          <w:lang w:val="fr-FR"/>
        </w:rPr>
        <w:t>).</w:t>
      </w:r>
    </w:p>
    <w:p w:rsidR="001158E1" w:rsidRDefault="00CB5CC4" w:rsidP="00044608">
      <w:pPr>
        <w:keepNext/>
        <w:tabs>
          <w:tab w:val="left" w:pos="567"/>
          <w:tab w:val="left" w:pos="1134"/>
          <w:tab w:val="left" w:pos="1701"/>
          <w:tab w:val="left" w:pos="2268"/>
          <w:tab w:val="left" w:pos="2835"/>
        </w:tabs>
        <w:rPr>
          <w:b/>
          <w:bCs/>
          <w:lang w:val="fr-FR"/>
        </w:rPr>
      </w:pPr>
      <w:r>
        <w:rPr>
          <w:b/>
          <w:bCs/>
          <w:lang w:val="fr-FR"/>
        </w:rPr>
        <w:t>Informations concernant le décès de Mulrunji en détention provisoire</w:t>
      </w:r>
    </w:p>
    <w:p w:rsidR="00CB5CC4" w:rsidRDefault="004F479B" w:rsidP="00044608">
      <w:pPr>
        <w:keepNext/>
        <w:tabs>
          <w:tab w:val="left" w:pos="567"/>
          <w:tab w:val="left" w:pos="1134"/>
          <w:tab w:val="left" w:pos="1701"/>
          <w:tab w:val="left" w:pos="2268"/>
          <w:tab w:val="left" w:pos="2835"/>
        </w:tabs>
        <w:rPr>
          <w:lang w:val="fr-FR"/>
        </w:rPr>
      </w:pPr>
      <w:r>
        <w:rPr>
          <w:lang w:val="fr-FR"/>
        </w:rPr>
        <w:t>612</w:t>
      </w:r>
      <w:r w:rsidR="00CB5CC4">
        <w:rPr>
          <w:lang w:val="fr-FR"/>
        </w:rPr>
        <w:t>.</w:t>
      </w:r>
      <w:r w:rsidR="00CB5CC4">
        <w:rPr>
          <w:lang w:val="fr-FR"/>
        </w:rPr>
        <w:tab/>
        <w:t>La réponse à la question concernant le décès de Mulrunji en détention provisoire relève du Gouvernement du Queensland</w:t>
      </w:r>
      <w:r w:rsidR="008D6B80">
        <w:rPr>
          <w:lang w:val="fr-FR"/>
        </w:rPr>
        <w:t xml:space="preserve">. </w:t>
      </w:r>
      <w:r w:rsidR="00CB5CC4">
        <w:rPr>
          <w:lang w:val="fr-FR"/>
        </w:rPr>
        <w:t>Veuillez voir cette réponse plus bas.</w:t>
      </w:r>
    </w:p>
    <w:p w:rsidR="00CB5CC4" w:rsidRDefault="00DE4C66" w:rsidP="005D7B68">
      <w:pPr>
        <w:tabs>
          <w:tab w:val="left" w:pos="567"/>
          <w:tab w:val="left" w:pos="1134"/>
          <w:tab w:val="left" w:pos="1701"/>
          <w:tab w:val="left" w:pos="2268"/>
          <w:tab w:val="left" w:pos="2835"/>
        </w:tabs>
        <w:rPr>
          <w:b/>
          <w:bCs/>
          <w:lang w:val="fr-FR"/>
        </w:rPr>
      </w:pPr>
      <w:r>
        <w:rPr>
          <w:b/>
          <w:bCs/>
          <w:lang w:val="fr-FR"/>
        </w:rPr>
        <w:t>Informations des États et Territoires</w:t>
      </w:r>
    </w:p>
    <w:p w:rsidR="00DE4C66" w:rsidRDefault="00DE4C66" w:rsidP="005D7B68">
      <w:pPr>
        <w:tabs>
          <w:tab w:val="left" w:pos="567"/>
          <w:tab w:val="left" w:pos="1134"/>
          <w:tab w:val="left" w:pos="1701"/>
          <w:tab w:val="left" w:pos="2268"/>
          <w:tab w:val="left" w:pos="2835"/>
        </w:tabs>
        <w:rPr>
          <w:b/>
          <w:bCs/>
          <w:lang w:val="fr-FR"/>
        </w:rPr>
      </w:pPr>
      <w:r>
        <w:rPr>
          <w:b/>
          <w:bCs/>
          <w:lang w:val="fr-FR"/>
        </w:rPr>
        <w:t>N</w:t>
      </w:r>
      <w:r w:rsidR="006E45BC">
        <w:rPr>
          <w:b/>
          <w:bCs/>
          <w:lang w:val="fr-FR"/>
        </w:rPr>
        <w:t>ouvelle</w:t>
      </w:r>
      <w:r w:rsidR="006E45BC">
        <w:rPr>
          <w:b/>
          <w:bCs/>
          <w:lang w:val="fr-FR"/>
        </w:rPr>
        <w:noBreakHyphen/>
      </w:r>
      <w:r>
        <w:rPr>
          <w:b/>
          <w:bCs/>
          <w:lang w:val="fr-FR"/>
        </w:rPr>
        <w:t>Galles du Sud</w:t>
      </w:r>
    </w:p>
    <w:p w:rsidR="00DE4C66" w:rsidRDefault="004F479B" w:rsidP="005D7B68">
      <w:pPr>
        <w:tabs>
          <w:tab w:val="left" w:pos="567"/>
          <w:tab w:val="left" w:pos="1134"/>
          <w:tab w:val="left" w:pos="1701"/>
          <w:tab w:val="left" w:pos="2268"/>
          <w:tab w:val="left" w:pos="2835"/>
        </w:tabs>
        <w:rPr>
          <w:lang w:val="fr-FR"/>
        </w:rPr>
      </w:pPr>
      <w:r>
        <w:rPr>
          <w:lang w:val="fr-FR"/>
        </w:rPr>
        <w:t>613</w:t>
      </w:r>
      <w:r w:rsidR="00DE4C66">
        <w:rPr>
          <w:lang w:val="fr-FR"/>
        </w:rPr>
        <w:t>.</w:t>
      </w:r>
      <w:r w:rsidR="00DE4C66">
        <w:rPr>
          <w:lang w:val="fr-FR"/>
        </w:rPr>
        <w:tab/>
        <w:t>Au c</w:t>
      </w:r>
      <w:r w:rsidR="00FC278D">
        <w:rPr>
          <w:lang w:val="fr-FR"/>
        </w:rPr>
        <w:t>ours de l’année budgétaire 2005</w:t>
      </w:r>
      <w:r w:rsidR="00FC278D">
        <w:rPr>
          <w:lang w:val="fr-FR"/>
        </w:rPr>
        <w:noBreakHyphen/>
      </w:r>
      <w:r w:rsidR="00DE4C66">
        <w:rPr>
          <w:lang w:val="fr-FR"/>
        </w:rPr>
        <w:t>2006, on a compté cinq décès de causes apparemment non naturelles en détention provisoire (aucun ne concernant un autochtone</w:t>
      </w:r>
      <w:r w:rsidR="00CC1F54">
        <w:rPr>
          <w:lang w:val="fr-FR"/>
        </w:rPr>
        <w:t>), contre huit en 2004</w:t>
      </w:r>
      <w:r w:rsidR="00FC278D">
        <w:rPr>
          <w:lang w:val="fr-FR"/>
        </w:rPr>
        <w:noBreakHyphen/>
      </w:r>
      <w:r w:rsidR="00CC1F54">
        <w:rPr>
          <w:lang w:val="fr-FR"/>
        </w:rPr>
        <w:t>2005</w:t>
      </w:r>
      <w:r w:rsidR="00DE4C66">
        <w:rPr>
          <w:lang w:val="fr-FR"/>
        </w:rPr>
        <w:t>, soit la poursuite d’une diminution</w:t>
      </w:r>
      <w:r w:rsidR="00A72B04">
        <w:rPr>
          <w:lang w:val="fr-FR"/>
        </w:rPr>
        <w:t xml:space="preserve"> continue</w:t>
      </w:r>
      <w:r w:rsidR="00DE4C66">
        <w:rPr>
          <w:lang w:val="fr-FR"/>
        </w:rPr>
        <w:t>, le taux pour 100 détenus en 2005</w:t>
      </w:r>
      <w:r w:rsidR="00FC278D">
        <w:rPr>
          <w:lang w:val="fr-FR"/>
        </w:rPr>
        <w:noBreakHyphen/>
      </w:r>
      <w:r w:rsidR="00DE4C66">
        <w:rPr>
          <w:lang w:val="fr-FR"/>
        </w:rPr>
        <w:t>2006 tombant au-dessous de la moyenne nationale de l’année précédente</w:t>
      </w:r>
      <w:r w:rsidR="008D6B80">
        <w:rPr>
          <w:lang w:val="fr-FR"/>
        </w:rPr>
        <w:t xml:space="preserve">. </w:t>
      </w:r>
      <w:r w:rsidR="006E45BC">
        <w:rPr>
          <w:lang w:val="fr-FR"/>
        </w:rPr>
        <w:t>La Nouvelle</w:t>
      </w:r>
      <w:r w:rsidR="006E45BC">
        <w:rPr>
          <w:lang w:val="fr-FR"/>
        </w:rPr>
        <w:noBreakHyphen/>
      </w:r>
      <w:r w:rsidR="00DE4C66">
        <w:rPr>
          <w:lang w:val="fr-FR"/>
        </w:rPr>
        <w:t>Galles du Sud n’a pas encore fourni les informations ventilées par sexe</w:t>
      </w:r>
      <w:r w:rsidR="00CC1F54">
        <w:rPr>
          <w:lang w:val="fr-FR"/>
        </w:rPr>
        <w:t>,</w:t>
      </w:r>
      <w:r w:rsidR="00DE4C66">
        <w:rPr>
          <w:lang w:val="fr-FR"/>
        </w:rPr>
        <w:t xml:space="preserve"> âge, </w:t>
      </w:r>
      <w:r w:rsidR="002060B5">
        <w:rPr>
          <w:lang w:val="fr-FR"/>
        </w:rPr>
        <w:t>appartenance ethnique</w:t>
      </w:r>
      <w:r w:rsidR="00DE4C66">
        <w:rPr>
          <w:lang w:val="fr-FR"/>
        </w:rPr>
        <w:t xml:space="preserve"> et cause du décès.</w:t>
      </w:r>
    </w:p>
    <w:p w:rsidR="00B603A1" w:rsidRDefault="00DE4C66" w:rsidP="005D7B68">
      <w:pPr>
        <w:tabs>
          <w:tab w:val="left" w:pos="567"/>
          <w:tab w:val="left" w:pos="1134"/>
          <w:tab w:val="left" w:pos="1701"/>
          <w:tab w:val="left" w:pos="2268"/>
          <w:tab w:val="left" w:pos="2835"/>
        </w:tabs>
        <w:rPr>
          <w:lang w:val="fr-FR"/>
        </w:rPr>
      </w:pPr>
      <w:r>
        <w:rPr>
          <w:lang w:val="fr-FR"/>
        </w:rPr>
        <w:t>61</w:t>
      </w:r>
      <w:r w:rsidR="004F479B">
        <w:rPr>
          <w:lang w:val="fr-FR"/>
        </w:rPr>
        <w:t>4</w:t>
      </w:r>
      <w:r>
        <w:rPr>
          <w:lang w:val="fr-FR"/>
        </w:rPr>
        <w:t>.</w:t>
      </w:r>
      <w:r>
        <w:rPr>
          <w:lang w:val="fr-FR"/>
        </w:rPr>
        <w:tab/>
        <w:t>Cette diminution du taux est due aux important efforts déployés par le personnel des services et des programmes pénitentiaires</w:t>
      </w:r>
      <w:r w:rsidR="000B23BE">
        <w:rPr>
          <w:lang w:val="fr-FR"/>
        </w:rPr>
        <w:t xml:space="preserve"> et à destination des</w:t>
      </w:r>
      <w:r w:rsidR="006A1C1E">
        <w:rPr>
          <w:lang w:val="fr-FR"/>
        </w:rPr>
        <w:t xml:space="preserve"> délinquants</w:t>
      </w:r>
      <w:r w:rsidR="000B23BE">
        <w:rPr>
          <w:lang w:val="fr-FR"/>
        </w:rPr>
        <w:t>,</w:t>
      </w:r>
      <w:r w:rsidR="006A1C1E">
        <w:rPr>
          <w:lang w:val="fr-FR"/>
        </w:rPr>
        <w:t xml:space="preserve"> et du personnel de </w:t>
      </w:r>
      <w:r w:rsidR="006A1C1E">
        <w:rPr>
          <w:i/>
          <w:iCs/>
          <w:lang w:val="fr-FR"/>
        </w:rPr>
        <w:t>Justice Health</w:t>
      </w:r>
      <w:r w:rsidR="008D6B80">
        <w:rPr>
          <w:lang w:val="fr-FR"/>
        </w:rPr>
        <w:t xml:space="preserve">. </w:t>
      </w:r>
      <w:r w:rsidR="006A1C1E">
        <w:rPr>
          <w:lang w:val="fr-FR"/>
        </w:rPr>
        <w:t>Le protocole relatif aux Équipes d’intervention en cas de risque (</w:t>
      </w:r>
      <w:r w:rsidR="006A1C1E">
        <w:rPr>
          <w:i/>
          <w:iCs/>
          <w:lang w:val="fr-FR"/>
        </w:rPr>
        <w:t>Risk Intervention Team Protocol</w:t>
      </w:r>
      <w:r w:rsidR="006A1C1E">
        <w:rPr>
          <w:lang w:val="fr-FR"/>
        </w:rPr>
        <w:t>) fait partie intégrante du processus qui l’a entraînée</w:t>
      </w:r>
      <w:r w:rsidR="008D6B80">
        <w:rPr>
          <w:lang w:val="fr-FR"/>
        </w:rPr>
        <w:t xml:space="preserve">. </w:t>
      </w:r>
      <w:r w:rsidR="006A1C1E">
        <w:rPr>
          <w:lang w:val="fr-FR"/>
        </w:rPr>
        <w:t>On fait appel aux équipes d’intervention en cas de risque dans chaque centre pénitentiaire toutes les fois que le personnel pense qu’un détenu peut être en danger et</w:t>
      </w:r>
      <w:r w:rsidR="00B603A1">
        <w:rPr>
          <w:lang w:val="fr-FR"/>
        </w:rPr>
        <w:t xml:space="preserve"> sur notification obligatoire</w:t>
      </w:r>
      <w:r w:rsidR="008D6B80">
        <w:rPr>
          <w:lang w:val="fr-FR"/>
        </w:rPr>
        <w:t xml:space="preserve">. </w:t>
      </w:r>
      <w:r w:rsidR="00B603A1">
        <w:rPr>
          <w:lang w:val="fr-FR"/>
        </w:rPr>
        <w:t>En 2005</w:t>
      </w:r>
      <w:r w:rsidR="00FC278D">
        <w:rPr>
          <w:lang w:val="fr-FR"/>
        </w:rPr>
        <w:noBreakHyphen/>
      </w:r>
      <w:r w:rsidR="00B603A1">
        <w:rPr>
          <w:lang w:val="fr-FR"/>
        </w:rPr>
        <w:t>2006, près de 400 membres du personnel de différentes disciplines ont suivi une formation pour pouvoir faire partie d’une équipe d’intervention en cas de risque</w:t>
      </w:r>
      <w:r w:rsidR="008D6B80">
        <w:rPr>
          <w:lang w:val="fr-FR"/>
        </w:rPr>
        <w:t xml:space="preserve">. </w:t>
      </w:r>
      <w:r w:rsidR="00B603A1">
        <w:rPr>
          <w:lang w:val="fr-FR"/>
        </w:rPr>
        <w:t>Un stage de formation aux premiers secours en matière de santé mentale a également été mis sur pied pour renforcer la capacité de tous les membres du personnel à repérer les condamnés souffrant de troubles mentaux, à réagir et à les aiguiller vers des services appropriés.</w:t>
      </w:r>
    </w:p>
    <w:p w:rsidR="00DE4C66" w:rsidRDefault="004F479B" w:rsidP="005D7B68">
      <w:pPr>
        <w:tabs>
          <w:tab w:val="left" w:pos="567"/>
          <w:tab w:val="left" w:pos="1134"/>
          <w:tab w:val="left" w:pos="1701"/>
          <w:tab w:val="left" w:pos="2268"/>
          <w:tab w:val="left" w:pos="2835"/>
        </w:tabs>
        <w:rPr>
          <w:lang w:val="fr-FR"/>
        </w:rPr>
      </w:pPr>
      <w:r>
        <w:rPr>
          <w:lang w:val="fr-FR"/>
        </w:rPr>
        <w:t>615</w:t>
      </w:r>
      <w:r w:rsidR="00B603A1">
        <w:rPr>
          <w:lang w:val="fr-FR"/>
        </w:rPr>
        <w:t>.</w:t>
      </w:r>
      <w:r w:rsidR="00B603A1">
        <w:rPr>
          <w:lang w:val="fr-FR"/>
        </w:rPr>
        <w:tab/>
      </w:r>
      <w:r w:rsidR="003C549F">
        <w:rPr>
          <w:lang w:val="fr-FR"/>
        </w:rPr>
        <w:t>Scott Simpson, détenu atteint de schizophrénie paranoïde, s’est suicidé au Centre pénitentiaire de Long Bay en 2004, à la suite de quoi sa mère a récemment</w:t>
      </w:r>
      <w:r w:rsidR="006A1C1E">
        <w:rPr>
          <w:lang w:val="fr-FR"/>
        </w:rPr>
        <w:t xml:space="preserve"> </w:t>
      </w:r>
      <w:r w:rsidR="003C549F">
        <w:rPr>
          <w:lang w:val="fr-FR"/>
        </w:rPr>
        <w:t>engagé des poursuites auprès du tribunal de district de Nouvelle-Galles du Sud contre le Département des services pénitentiaires</w:t>
      </w:r>
      <w:r w:rsidR="008D6B80">
        <w:rPr>
          <w:lang w:val="fr-FR"/>
        </w:rPr>
        <w:t xml:space="preserve">. </w:t>
      </w:r>
      <w:r w:rsidR="003C549F">
        <w:rPr>
          <w:lang w:val="fr-FR"/>
        </w:rPr>
        <w:t>Il ne convient donc pas que ledit département commente cette affaire.</w:t>
      </w:r>
    </w:p>
    <w:p w:rsidR="00E5632B" w:rsidRPr="007202D9" w:rsidRDefault="00E5632B" w:rsidP="005D7B68">
      <w:pPr>
        <w:tabs>
          <w:tab w:val="left" w:pos="567"/>
          <w:tab w:val="left" w:pos="1134"/>
          <w:tab w:val="left" w:pos="1701"/>
          <w:tab w:val="left" w:pos="2268"/>
          <w:tab w:val="left" w:pos="2835"/>
        </w:tabs>
        <w:jc w:val="center"/>
        <w:rPr>
          <w:lang w:val="fr-FR"/>
        </w:rPr>
      </w:pPr>
    </w:p>
    <w:p w:rsidR="003C549F" w:rsidRDefault="003C549F" w:rsidP="005D7B68">
      <w:pPr>
        <w:tabs>
          <w:tab w:val="left" w:pos="567"/>
          <w:tab w:val="left" w:pos="1134"/>
          <w:tab w:val="left" w:pos="1701"/>
          <w:tab w:val="left" w:pos="2268"/>
          <w:tab w:val="left" w:pos="2835"/>
        </w:tabs>
        <w:ind w:left="-3897"/>
        <w:jc w:val="center"/>
        <w:rPr>
          <w:lang w:val="fr-FR"/>
        </w:rPr>
        <w:sectPr w:rsidR="003C549F" w:rsidSect="0038700B">
          <w:headerReference w:type="first" r:id="rId25"/>
          <w:pgSz w:w="11906" w:h="16838"/>
          <w:pgMar w:top="1701" w:right="851" w:bottom="1985" w:left="1701" w:header="851" w:footer="1701" w:gutter="0"/>
          <w:cols w:space="708"/>
          <w:titlePg/>
          <w:docGrid w:linePitch="360"/>
        </w:sectPr>
      </w:pPr>
    </w:p>
    <w:p w:rsidR="0007558C" w:rsidRPr="00FC278D" w:rsidRDefault="0007558C" w:rsidP="005D7B68">
      <w:pPr>
        <w:pStyle w:val="Heading2"/>
        <w:tabs>
          <w:tab w:val="left" w:pos="567"/>
          <w:tab w:val="left" w:pos="1134"/>
          <w:tab w:val="left" w:pos="1701"/>
          <w:tab w:val="left" w:pos="2268"/>
          <w:tab w:val="left" w:pos="2835"/>
        </w:tabs>
        <w:rPr>
          <w:sz w:val="20"/>
          <w:lang w:val="fr-FR"/>
        </w:rPr>
      </w:pPr>
      <w:bookmarkStart w:id="26" w:name="_Toc193614096"/>
      <w:r w:rsidRPr="00FC278D">
        <w:rPr>
          <w:sz w:val="20"/>
          <w:lang w:val="fr-FR"/>
        </w:rPr>
        <w:t>Territoire du Nord – Décès en détention provisoire2004-2007</w:t>
      </w:r>
      <w:bookmarkEnd w:id="26"/>
    </w:p>
    <w:tbl>
      <w:tblPr>
        <w:tblW w:w="13320" w:type="dxa"/>
        <w:tblInd w:w="108" w:type="dxa"/>
        <w:tblLayout w:type="fixed"/>
        <w:tblLook w:val="01E0" w:firstRow="1" w:lastRow="1" w:firstColumn="1" w:lastColumn="1" w:noHBand="0" w:noVBand="0"/>
      </w:tblPr>
      <w:tblGrid>
        <w:gridCol w:w="1078"/>
        <w:gridCol w:w="797"/>
        <w:gridCol w:w="1813"/>
        <w:gridCol w:w="567"/>
        <w:gridCol w:w="567"/>
        <w:gridCol w:w="1255"/>
        <w:gridCol w:w="1582"/>
        <w:gridCol w:w="2975"/>
        <w:gridCol w:w="2686"/>
      </w:tblGrid>
      <w:tr w:rsidR="003C549F" w:rsidRPr="00E7307A" w:rsidTr="00141915">
        <w:trPr>
          <w:cantSplit/>
          <w:tblHeader/>
        </w:trPr>
        <w:tc>
          <w:tcPr>
            <w:tcW w:w="1078"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Nom</w:t>
            </w:r>
          </w:p>
        </w:tc>
        <w:tc>
          <w:tcPr>
            <w:tcW w:w="797"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Date</w:t>
            </w:r>
          </w:p>
        </w:tc>
        <w:tc>
          <w:tcPr>
            <w:tcW w:w="1813"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Lieu de la dé</w:t>
            </w:r>
            <w:r w:rsidR="003C549F" w:rsidRPr="00E7307A">
              <w:rPr>
                <w:sz w:val="18"/>
                <w:szCs w:val="18"/>
              </w:rPr>
              <w:t>tention</w:t>
            </w:r>
          </w:p>
        </w:tc>
        <w:tc>
          <w:tcPr>
            <w:tcW w:w="567"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3C549F"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Sex</w:t>
            </w:r>
            <w:r w:rsidR="00D07E34" w:rsidRPr="00E7307A">
              <w:rPr>
                <w:sz w:val="18"/>
                <w:szCs w:val="18"/>
              </w:rPr>
              <w:t>e</w:t>
            </w:r>
          </w:p>
        </w:tc>
        <w:tc>
          <w:tcPr>
            <w:tcW w:w="567"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Â</w:t>
            </w:r>
            <w:r w:rsidR="003C549F" w:rsidRPr="00E7307A">
              <w:rPr>
                <w:sz w:val="18"/>
                <w:szCs w:val="18"/>
              </w:rPr>
              <w:t>ge</w:t>
            </w:r>
          </w:p>
        </w:tc>
        <w:tc>
          <w:tcPr>
            <w:tcW w:w="1255"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2060B5"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Appartenance ethnique</w:t>
            </w:r>
          </w:p>
        </w:tc>
        <w:tc>
          <w:tcPr>
            <w:tcW w:w="1582"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Cause du décès</w:t>
            </w:r>
          </w:p>
        </w:tc>
        <w:tc>
          <w:tcPr>
            <w:tcW w:w="2975"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rPr>
            </w:pPr>
            <w:r w:rsidRPr="00E7307A">
              <w:rPr>
                <w:sz w:val="18"/>
                <w:szCs w:val="18"/>
              </w:rPr>
              <w:t>Ré</w:t>
            </w:r>
            <w:r w:rsidR="003C549F" w:rsidRPr="00E7307A">
              <w:rPr>
                <w:sz w:val="18"/>
                <w:szCs w:val="18"/>
              </w:rPr>
              <w:t>sul</w:t>
            </w:r>
            <w:r w:rsidRPr="00E7307A">
              <w:rPr>
                <w:sz w:val="18"/>
                <w:szCs w:val="18"/>
              </w:rPr>
              <w:t>tats de l’enquête</w:t>
            </w:r>
          </w:p>
        </w:tc>
        <w:tc>
          <w:tcPr>
            <w:tcW w:w="2686" w:type="dxa"/>
            <w:tcBorders>
              <w:top w:val="single" w:sz="4" w:space="0" w:color="000000"/>
              <w:left w:val="single" w:sz="4" w:space="0" w:color="000000"/>
              <w:bottom w:val="single" w:sz="4" w:space="0" w:color="000000"/>
              <w:right w:val="single" w:sz="4" w:space="0" w:color="000000"/>
            </w:tcBorders>
            <w:vAlign w:val="center"/>
          </w:tcPr>
          <w:p w:rsidR="003C549F" w:rsidRPr="00E7307A" w:rsidRDefault="00D07E34" w:rsidP="005D7B68">
            <w:pPr>
              <w:tabs>
                <w:tab w:val="left" w:pos="567"/>
                <w:tab w:val="left" w:pos="1134"/>
                <w:tab w:val="left" w:pos="1701"/>
                <w:tab w:val="left" w:pos="2268"/>
                <w:tab w:val="left" w:pos="2835"/>
              </w:tabs>
              <w:spacing w:before="20" w:after="20"/>
              <w:jc w:val="center"/>
              <w:rPr>
                <w:sz w:val="18"/>
                <w:szCs w:val="18"/>
                <w:lang w:val="fr-FR"/>
              </w:rPr>
            </w:pPr>
            <w:r w:rsidRPr="00E7307A">
              <w:rPr>
                <w:sz w:val="18"/>
                <w:szCs w:val="18"/>
                <w:lang w:val="fr-FR"/>
              </w:rPr>
              <w:t>Me</w:t>
            </w:r>
            <w:r w:rsidR="003C549F" w:rsidRPr="00E7307A">
              <w:rPr>
                <w:sz w:val="18"/>
                <w:szCs w:val="18"/>
                <w:lang w:val="fr-FR"/>
              </w:rPr>
              <w:t>sures</w:t>
            </w:r>
            <w:r w:rsidRPr="00E7307A">
              <w:rPr>
                <w:sz w:val="18"/>
                <w:szCs w:val="18"/>
                <w:lang w:val="fr-FR"/>
              </w:rPr>
              <w:t xml:space="preserve"> prises pour éviter que</w:t>
            </w:r>
            <w:r w:rsidR="003C549F" w:rsidRPr="00E7307A">
              <w:rPr>
                <w:sz w:val="18"/>
                <w:szCs w:val="18"/>
                <w:lang w:val="fr-FR"/>
              </w:rPr>
              <w:t xml:space="preserve"> </w:t>
            </w:r>
            <w:r w:rsidRPr="00E7307A">
              <w:rPr>
                <w:sz w:val="18"/>
                <w:szCs w:val="18"/>
                <w:lang w:val="fr-FR"/>
              </w:rPr>
              <w:t>cela ne se reproduise</w:t>
            </w:r>
          </w:p>
        </w:tc>
      </w:tr>
      <w:tr w:rsidR="003C549F" w:rsidRPr="00E7307A" w:rsidTr="00141915">
        <w:tc>
          <w:tcPr>
            <w:tcW w:w="1078" w:type="dxa"/>
            <w:tcBorders>
              <w:top w:val="single" w:sz="4" w:space="0" w:color="000000"/>
              <w:left w:val="single" w:sz="4" w:space="0" w:color="000000"/>
              <w:bottom w:val="single" w:sz="4" w:space="0" w:color="auto"/>
              <w:right w:val="single" w:sz="4" w:space="0" w:color="000000"/>
            </w:tcBorders>
          </w:tcPr>
          <w:p w:rsidR="003C549F" w:rsidRPr="00E7307A" w:rsidRDefault="003C549F"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D</w:t>
            </w:r>
            <w:r w:rsidR="000B23BE" w:rsidRPr="00E7307A">
              <w:rPr>
                <w:sz w:val="18"/>
                <w:szCs w:val="18"/>
                <w:lang w:val="fr-FR"/>
              </w:rPr>
              <w:t>.</w:t>
            </w:r>
            <w:r w:rsidRPr="00E7307A">
              <w:rPr>
                <w:sz w:val="18"/>
                <w:szCs w:val="18"/>
                <w:lang w:val="fr-FR"/>
              </w:rPr>
              <w:t xml:space="preserve"> Wayne</w:t>
            </w:r>
          </w:p>
        </w:tc>
        <w:tc>
          <w:tcPr>
            <w:tcW w:w="797" w:type="dxa"/>
            <w:tcBorders>
              <w:top w:val="single" w:sz="4" w:space="0" w:color="000000"/>
              <w:left w:val="single" w:sz="4" w:space="0" w:color="000000"/>
              <w:bottom w:val="single" w:sz="4" w:space="0" w:color="auto"/>
              <w:right w:val="single" w:sz="4" w:space="0" w:color="000000"/>
            </w:tcBorders>
          </w:tcPr>
          <w:p w:rsidR="003C549F" w:rsidRPr="00E7307A" w:rsidRDefault="003C549F"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18/5/04</w:t>
            </w:r>
          </w:p>
        </w:tc>
        <w:tc>
          <w:tcPr>
            <w:tcW w:w="1813" w:type="dxa"/>
            <w:tcBorders>
              <w:top w:val="single" w:sz="4" w:space="0" w:color="000000"/>
              <w:left w:val="single" w:sz="4" w:space="0" w:color="000000"/>
              <w:bottom w:val="single" w:sz="4" w:space="0" w:color="auto"/>
              <w:right w:val="single" w:sz="4" w:space="0" w:color="000000"/>
            </w:tcBorders>
          </w:tcPr>
          <w:p w:rsidR="003C549F" w:rsidRPr="00E7307A" w:rsidRDefault="000B23B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Public place</w:t>
            </w:r>
            <w:r w:rsidR="003C549F" w:rsidRPr="00E7307A">
              <w:rPr>
                <w:sz w:val="18"/>
                <w:szCs w:val="18"/>
                <w:lang w:val="fr-FR"/>
              </w:rPr>
              <w:t xml:space="preserve">, Alice Springs. </w:t>
            </w:r>
            <w:r w:rsidR="005B1CED" w:rsidRPr="00E7307A">
              <w:rPr>
                <w:sz w:val="18"/>
                <w:szCs w:val="18"/>
                <w:lang w:val="fr-FR"/>
              </w:rPr>
              <w:t>A p</w:t>
            </w:r>
            <w:r w:rsidR="00D07E34" w:rsidRPr="00E7307A">
              <w:rPr>
                <w:sz w:val="18"/>
                <w:szCs w:val="18"/>
                <w:lang w:val="fr-FR"/>
              </w:rPr>
              <w:t>erdu</w:t>
            </w:r>
            <w:r w:rsidR="005B1CED" w:rsidRPr="00E7307A">
              <w:rPr>
                <w:sz w:val="18"/>
                <w:szCs w:val="18"/>
                <w:lang w:val="fr-FR"/>
              </w:rPr>
              <w:t xml:space="preserve"> le</w:t>
            </w:r>
            <w:r w:rsidR="00D07E34" w:rsidRPr="00E7307A">
              <w:rPr>
                <w:sz w:val="18"/>
                <w:szCs w:val="18"/>
                <w:lang w:val="fr-FR"/>
              </w:rPr>
              <w:t xml:space="preserve"> contrô</w:t>
            </w:r>
            <w:r w:rsidR="003C549F" w:rsidRPr="00E7307A">
              <w:rPr>
                <w:sz w:val="18"/>
                <w:szCs w:val="18"/>
                <w:lang w:val="fr-FR"/>
              </w:rPr>
              <w:t>l</w:t>
            </w:r>
            <w:r w:rsidR="00D07E34" w:rsidRPr="00E7307A">
              <w:rPr>
                <w:sz w:val="18"/>
                <w:szCs w:val="18"/>
                <w:lang w:val="fr-FR"/>
              </w:rPr>
              <w:t>e du véhicule alors qu’il était poursuivi par la police.</w:t>
            </w:r>
            <w:r w:rsidR="003C549F" w:rsidRPr="00E7307A">
              <w:rPr>
                <w:sz w:val="18"/>
                <w:szCs w:val="18"/>
                <w:lang w:val="fr-FR"/>
              </w:rPr>
              <w:t xml:space="preserve"> </w:t>
            </w:r>
          </w:p>
        </w:tc>
        <w:tc>
          <w:tcPr>
            <w:tcW w:w="567" w:type="dxa"/>
            <w:tcBorders>
              <w:top w:val="single" w:sz="4" w:space="0" w:color="000000"/>
              <w:left w:val="single" w:sz="4" w:space="0" w:color="000000"/>
              <w:bottom w:val="single" w:sz="4" w:space="0" w:color="auto"/>
              <w:right w:val="single" w:sz="4" w:space="0" w:color="000000"/>
            </w:tcBorders>
          </w:tcPr>
          <w:p w:rsidR="003C549F" w:rsidRPr="00E7307A" w:rsidRDefault="003C549F"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M</w:t>
            </w:r>
          </w:p>
        </w:tc>
        <w:tc>
          <w:tcPr>
            <w:tcW w:w="567" w:type="dxa"/>
            <w:tcBorders>
              <w:top w:val="single" w:sz="4" w:space="0" w:color="000000"/>
              <w:left w:val="single" w:sz="4" w:space="0" w:color="000000"/>
              <w:bottom w:val="single" w:sz="4" w:space="0" w:color="auto"/>
              <w:right w:val="single" w:sz="4" w:space="0" w:color="000000"/>
            </w:tcBorders>
          </w:tcPr>
          <w:p w:rsidR="003C549F" w:rsidRPr="00E7307A" w:rsidRDefault="003C549F" w:rsidP="005D7B68">
            <w:pPr>
              <w:tabs>
                <w:tab w:val="left" w:pos="567"/>
                <w:tab w:val="left" w:pos="1134"/>
                <w:tab w:val="left" w:pos="1701"/>
                <w:tab w:val="left" w:pos="2268"/>
                <w:tab w:val="left" w:pos="2835"/>
              </w:tabs>
              <w:spacing w:before="20" w:after="20"/>
              <w:jc w:val="right"/>
              <w:rPr>
                <w:sz w:val="18"/>
                <w:szCs w:val="18"/>
                <w:lang w:val="fr-FR"/>
              </w:rPr>
            </w:pPr>
            <w:r w:rsidRPr="00E7307A">
              <w:rPr>
                <w:sz w:val="18"/>
                <w:szCs w:val="18"/>
                <w:lang w:val="fr-FR"/>
              </w:rPr>
              <w:t>25</w:t>
            </w:r>
          </w:p>
        </w:tc>
        <w:tc>
          <w:tcPr>
            <w:tcW w:w="1255" w:type="dxa"/>
            <w:tcBorders>
              <w:top w:val="single" w:sz="4" w:space="0" w:color="000000"/>
              <w:left w:val="single" w:sz="4" w:space="0" w:color="000000"/>
              <w:bottom w:val="single" w:sz="4" w:space="0" w:color="auto"/>
              <w:right w:val="single" w:sz="4" w:space="0" w:color="000000"/>
            </w:tcBorders>
          </w:tcPr>
          <w:p w:rsidR="003C549F" w:rsidRPr="00E7307A" w:rsidRDefault="00D07E34" w:rsidP="005D7B68">
            <w:pPr>
              <w:tabs>
                <w:tab w:val="left" w:pos="567"/>
                <w:tab w:val="left" w:pos="1134"/>
                <w:tab w:val="left" w:pos="1701"/>
                <w:tab w:val="left" w:pos="2268"/>
                <w:tab w:val="left" w:pos="2835"/>
              </w:tabs>
              <w:spacing w:before="20" w:after="20"/>
              <w:rPr>
                <w:sz w:val="18"/>
                <w:szCs w:val="18"/>
              </w:rPr>
            </w:pPr>
            <w:r w:rsidRPr="00E7307A">
              <w:rPr>
                <w:sz w:val="18"/>
                <w:szCs w:val="18"/>
                <w:lang w:val="fr-FR"/>
              </w:rPr>
              <w:t>Australi</w:t>
            </w:r>
            <w:r w:rsidRPr="00E7307A">
              <w:rPr>
                <w:sz w:val="18"/>
                <w:szCs w:val="18"/>
              </w:rPr>
              <w:t>e</w:t>
            </w:r>
            <w:r w:rsidR="003C549F" w:rsidRPr="00E7307A">
              <w:rPr>
                <w:sz w:val="18"/>
                <w:szCs w:val="18"/>
              </w:rPr>
              <w:t>n</w:t>
            </w:r>
            <w:r w:rsidRPr="00E7307A">
              <w:rPr>
                <w:sz w:val="18"/>
                <w:szCs w:val="18"/>
              </w:rPr>
              <w:t xml:space="preserve"> aborigène</w:t>
            </w:r>
          </w:p>
        </w:tc>
        <w:tc>
          <w:tcPr>
            <w:tcW w:w="1582" w:type="dxa"/>
            <w:tcBorders>
              <w:top w:val="single" w:sz="4" w:space="0" w:color="000000"/>
              <w:left w:val="single" w:sz="4" w:space="0" w:color="000000"/>
              <w:bottom w:val="single" w:sz="4" w:space="0" w:color="auto"/>
              <w:right w:val="single" w:sz="4" w:space="0" w:color="000000"/>
            </w:tcBorders>
          </w:tcPr>
          <w:p w:rsidR="003C549F" w:rsidRPr="00E7307A" w:rsidRDefault="00DD06D7"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Lésions crâniennes</w:t>
            </w:r>
            <w:r w:rsidR="003C549F" w:rsidRPr="00E7307A">
              <w:rPr>
                <w:sz w:val="18"/>
                <w:szCs w:val="18"/>
                <w:lang w:val="fr-FR"/>
              </w:rPr>
              <w:t xml:space="preserve">: </w:t>
            </w:r>
            <w:r w:rsidRPr="00E7307A">
              <w:rPr>
                <w:sz w:val="18"/>
                <w:szCs w:val="18"/>
                <w:lang w:val="fr-FR"/>
              </w:rPr>
              <w:t>défunt éjecté du véhicule à moteur qu’il conduisait.</w:t>
            </w:r>
          </w:p>
        </w:tc>
        <w:tc>
          <w:tcPr>
            <w:tcW w:w="2975" w:type="dxa"/>
            <w:tcBorders>
              <w:top w:val="single" w:sz="4" w:space="0" w:color="000000"/>
              <w:left w:val="single" w:sz="4" w:space="0" w:color="000000"/>
              <w:bottom w:val="single" w:sz="4" w:space="0" w:color="auto"/>
              <w:right w:val="single" w:sz="4" w:space="0" w:color="000000"/>
            </w:tcBorders>
          </w:tcPr>
          <w:p w:rsidR="003C549F" w:rsidRPr="00E7307A" w:rsidRDefault="00DD06D7"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Le défunt a perdu le contrôle du véhicule; son taux d’alcoolémie était de</w:t>
            </w:r>
            <w:r w:rsidR="000B23BE" w:rsidRPr="00E7307A">
              <w:rPr>
                <w:sz w:val="18"/>
                <w:szCs w:val="18"/>
                <w:lang w:val="fr-FR"/>
              </w:rPr>
              <w:t xml:space="preserve"> 0,</w:t>
            </w:r>
            <w:r w:rsidR="003C549F" w:rsidRPr="00E7307A">
              <w:rPr>
                <w:sz w:val="18"/>
                <w:szCs w:val="18"/>
                <w:lang w:val="fr-FR"/>
              </w:rPr>
              <w:t>385</w:t>
            </w:r>
            <w:r w:rsidR="000B23BE" w:rsidRPr="00E7307A">
              <w:rPr>
                <w:sz w:val="18"/>
                <w:szCs w:val="18"/>
                <w:lang w:val="fr-FR"/>
              </w:rPr>
              <w:t xml:space="preserve"> </w:t>
            </w:r>
            <w:r w:rsidRPr="00E7307A">
              <w:rPr>
                <w:sz w:val="18"/>
                <w:szCs w:val="18"/>
                <w:lang w:val="fr-FR"/>
              </w:rPr>
              <w:t>%; il n’avait pas de ceinture de sécurité; il a été éjecté du vé</w:t>
            </w:r>
            <w:r w:rsidR="003C549F" w:rsidRPr="00E7307A">
              <w:rPr>
                <w:sz w:val="18"/>
                <w:szCs w:val="18"/>
                <w:lang w:val="fr-FR"/>
              </w:rPr>
              <w:t>hic</w:t>
            </w:r>
            <w:r w:rsidRPr="00E7307A">
              <w:rPr>
                <w:sz w:val="18"/>
                <w:szCs w:val="18"/>
                <w:lang w:val="fr-FR"/>
              </w:rPr>
              <w:t>ule, et a été tué sur le coup</w:t>
            </w:r>
            <w:r w:rsidR="003C549F" w:rsidRPr="00E7307A">
              <w:rPr>
                <w:sz w:val="18"/>
                <w:szCs w:val="18"/>
                <w:lang w:val="fr-FR"/>
              </w:rPr>
              <w:t>.</w:t>
            </w:r>
          </w:p>
          <w:p w:rsidR="003C549F" w:rsidRPr="00E7307A" w:rsidRDefault="00DD06D7"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La</w:t>
            </w:r>
            <w:r w:rsidR="003C549F" w:rsidRPr="00E7307A">
              <w:rPr>
                <w:sz w:val="18"/>
                <w:szCs w:val="18"/>
                <w:lang w:val="fr-FR"/>
              </w:rPr>
              <w:t xml:space="preserve"> p</w:t>
            </w:r>
            <w:r w:rsidRPr="00E7307A">
              <w:rPr>
                <w:sz w:val="18"/>
                <w:szCs w:val="18"/>
                <w:lang w:val="fr-FR"/>
              </w:rPr>
              <w:t>o</w:t>
            </w:r>
            <w:r w:rsidR="003C549F" w:rsidRPr="00E7307A">
              <w:rPr>
                <w:sz w:val="18"/>
                <w:szCs w:val="18"/>
                <w:lang w:val="fr-FR"/>
              </w:rPr>
              <w:t>ursuit</w:t>
            </w:r>
            <w:r w:rsidRPr="00E7307A">
              <w:rPr>
                <w:sz w:val="18"/>
                <w:szCs w:val="18"/>
                <w:lang w:val="fr-FR"/>
              </w:rPr>
              <w:t>e a commencé parce que le défunt avait refusé d’obéir à la police qui lui ordonnait de s’arrêter</w:t>
            </w:r>
            <w:r w:rsidR="003C549F" w:rsidRPr="00E7307A">
              <w:rPr>
                <w:sz w:val="18"/>
                <w:szCs w:val="18"/>
                <w:lang w:val="fr-FR"/>
              </w:rPr>
              <w:t xml:space="preserve">. </w:t>
            </w:r>
            <w:r w:rsidRPr="00E7307A">
              <w:rPr>
                <w:sz w:val="18"/>
                <w:szCs w:val="18"/>
                <w:lang w:val="fr-FR"/>
              </w:rPr>
              <w:t>La première partie de la poursuite s’est déroulée normalement, conformément</w:t>
            </w:r>
            <w:r w:rsidR="001B4CBA" w:rsidRPr="00E7307A">
              <w:rPr>
                <w:sz w:val="18"/>
                <w:szCs w:val="18"/>
                <w:lang w:val="fr-FR"/>
              </w:rPr>
              <w:t xml:space="preserve"> aux règles applicables en l’occurence</w:t>
            </w:r>
            <w:r w:rsidR="003C549F" w:rsidRPr="00E7307A">
              <w:rPr>
                <w:sz w:val="18"/>
                <w:szCs w:val="18"/>
                <w:lang w:val="fr-FR"/>
              </w:rPr>
              <w:t>.</w:t>
            </w:r>
          </w:p>
          <w:p w:rsidR="003C549F" w:rsidRPr="00E7307A" w:rsidRDefault="001B4CB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Il aurait fallu envisager d’arrêter la poursuite pendant la deuxième part</w:t>
            </w:r>
            <w:r w:rsidR="005B1CED" w:rsidRPr="00E7307A">
              <w:rPr>
                <w:sz w:val="18"/>
                <w:szCs w:val="18"/>
                <w:lang w:val="fr-FR"/>
              </w:rPr>
              <w:t>ie, lorsque le défunt a commencé</w:t>
            </w:r>
            <w:r w:rsidRPr="00E7307A">
              <w:rPr>
                <w:sz w:val="18"/>
                <w:szCs w:val="18"/>
                <w:lang w:val="fr-FR"/>
              </w:rPr>
              <w:t xml:space="preserve"> à conduire très vite, mais il est hautement improbable qu’une telle décision, à ce moment, eût modifié l’issue</w:t>
            </w:r>
            <w:r w:rsidR="003C549F" w:rsidRPr="00E7307A">
              <w:rPr>
                <w:sz w:val="18"/>
                <w:szCs w:val="18"/>
                <w:lang w:val="fr-FR"/>
              </w:rPr>
              <w:t>.</w:t>
            </w:r>
          </w:p>
          <w:p w:rsidR="003C549F" w:rsidRPr="00E7307A" w:rsidRDefault="001B4CBA" w:rsidP="005D7B68">
            <w:pPr>
              <w:tabs>
                <w:tab w:val="left" w:pos="567"/>
                <w:tab w:val="left" w:pos="1134"/>
                <w:tab w:val="left" w:pos="1701"/>
                <w:tab w:val="left" w:pos="2268"/>
                <w:tab w:val="left" w:pos="2835"/>
              </w:tabs>
              <w:spacing w:before="20" w:after="20"/>
              <w:rPr>
                <w:sz w:val="18"/>
                <w:szCs w:val="18"/>
                <w:lang w:val="fr-FR"/>
              </w:rPr>
            </w:pPr>
            <w:r w:rsidRPr="00E7307A">
              <w:rPr>
                <w:bCs/>
                <w:sz w:val="18"/>
                <w:szCs w:val="18"/>
                <w:lang w:val="fr-FR"/>
              </w:rPr>
              <w:t>Le</w:t>
            </w:r>
            <w:r w:rsidR="003C549F" w:rsidRPr="00E7307A">
              <w:rPr>
                <w:bCs/>
                <w:sz w:val="18"/>
                <w:szCs w:val="18"/>
                <w:lang w:val="fr-FR"/>
              </w:rPr>
              <w:t xml:space="preserve"> </w:t>
            </w:r>
            <w:r w:rsidR="003C549F" w:rsidRPr="00E7307A">
              <w:rPr>
                <w:bCs/>
                <w:i/>
                <w:iCs/>
                <w:sz w:val="18"/>
                <w:szCs w:val="18"/>
                <w:lang w:val="fr-FR"/>
              </w:rPr>
              <w:t>Coroner</w:t>
            </w:r>
            <w:r w:rsidRPr="00E7307A">
              <w:rPr>
                <w:bCs/>
                <w:sz w:val="18"/>
                <w:szCs w:val="18"/>
                <w:lang w:val="fr-FR"/>
              </w:rPr>
              <w:t xml:space="preserve"> </w:t>
            </w:r>
            <w:r w:rsidR="005B1CED" w:rsidRPr="00E7307A">
              <w:rPr>
                <w:bCs/>
                <w:sz w:val="18"/>
                <w:szCs w:val="18"/>
                <w:lang w:val="fr-FR"/>
              </w:rPr>
              <w:t xml:space="preserve">a </w:t>
            </w:r>
            <w:r w:rsidRPr="00E7307A">
              <w:rPr>
                <w:bCs/>
                <w:sz w:val="18"/>
                <w:szCs w:val="18"/>
                <w:lang w:val="fr-FR"/>
              </w:rPr>
              <w:t>recommandé</w:t>
            </w:r>
            <w:r w:rsidR="003C549F" w:rsidRPr="00E7307A">
              <w:rPr>
                <w:bCs/>
                <w:sz w:val="18"/>
                <w:szCs w:val="18"/>
                <w:lang w:val="fr-FR"/>
              </w:rPr>
              <w:t xml:space="preserve"> </w:t>
            </w:r>
            <w:r w:rsidRPr="00E7307A">
              <w:rPr>
                <w:sz w:val="18"/>
                <w:szCs w:val="18"/>
                <w:lang w:val="fr-FR"/>
              </w:rPr>
              <w:t>qu’on réinstaure l’entraînement pratique à la poursuite d</w:t>
            </w:r>
            <w:r w:rsidR="00FB14E9" w:rsidRPr="00E7307A">
              <w:rPr>
                <w:sz w:val="18"/>
                <w:szCs w:val="18"/>
                <w:lang w:val="fr-FR"/>
              </w:rPr>
              <w:t xml:space="preserve">ans le cadre du </w:t>
            </w:r>
            <w:r w:rsidRPr="00E7307A">
              <w:rPr>
                <w:sz w:val="18"/>
                <w:szCs w:val="18"/>
                <w:lang w:val="fr-FR"/>
              </w:rPr>
              <w:t>module de formation à la conduite</w:t>
            </w:r>
            <w:r w:rsidR="00FB14E9" w:rsidRPr="00E7307A">
              <w:rPr>
                <w:sz w:val="18"/>
                <w:szCs w:val="18"/>
                <w:lang w:val="fr-FR"/>
              </w:rPr>
              <w:t xml:space="preserve"> pour toutes les recrues</w:t>
            </w:r>
            <w:r w:rsidR="006D3788" w:rsidRPr="00E7307A">
              <w:rPr>
                <w:sz w:val="18"/>
                <w:szCs w:val="18"/>
                <w:lang w:val="fr-FR"/>
              </w:rPr>
              <w:t>, ou bien que cela fasse l’objet d’un enseignement dans un module</w:t>
            </w:r>
            <w:r w:rsidR="003C549F" w:rsidRPr="00E7307A">
              <w:rPr>
                <w:sz w:val="18"/>
                <w:szCs w:val="18"/>
                <w:lang w:val="fr-FR"/>
              </w:rPr>
              <w:t xml:space="preserve"> </w:t>
            </w:r>
            <w:r w:rsidR="006945C4" w:rsidRPr="00E7307A">
              <w:rPr>
                <w:sz w:val="18"/>
                <w:szCs w:val="18"/>
                <w:lang w:val="fr-FR"/>
              </w:rPr>
              <w:t>de formation de niveau supérieur régulièrement accessible aux membre</w:t>
            </w:r>
            <w:r w:rsidR="003C549F" w:rsidRPr="00E7307A">
              <w:rPr>
                <w:sz w:val="18"/>
                <w:szCs w:val="18"/>
                <w:lang w:val="fr-FR"/>
              </w:rPr>
              <w:t xml:space="preserve">s </w:t>
            </w:r>
            <w:r w:rsidR="006945C4" w:rsidRPr="00E7307A">
              <w:rPr>
                <w:sz w:val="18"/>
                <w:szCs w:val="18"/>
                <w:lang w:val="fr-FR"/>
              </w:rPr>
              <w:t>susceptibles de devoir conduire</w:t>
            </w:r>
            <w:r w:rsidR="00572260" w:rsidRPr="00E7307A">
              <w:rPr>
                <w:sz w:val="18"/>
                <w:szCs w:val="18"/>
                <w:lang w:val="fr-FR"/>
              </w:rPr>
              <w:t xml:space="preserve"> </w:t>
            </w:r>
            <w:r w:rsidR="006945C4" w:rsidRPr="00E7307A">
              <w:rPr>
                <w:sz w:val="18"/>
                <w:szCs w:val="18"/>
                <w:lang w:val="fr-FR"/>
              </w:rPr>
              <w:t>dans l’exercice de leurs fonctions</w:t>
            </w:r>
            <w:r w:rsidR="003C549F" w:rsidRPr="00E7307A">
              <w:rPr>
                <w:sz w:val="18"/>
                <w:szCs w:val="18"/>
                <w:lang w:val="fr-FR"/>
              </w:rPr>
              <w:t>.</w:t>
            </w:r>
          </w:p>
        </w:tc>
        <w:tc>
          <w:tcPr>
            <w:tcW w:w="2686" w:type="dxa"/>
            <w:tcBorders>
              <w:top w:val="single" w:sz="4" w:space="0" w:color="000000"/>
              <w:left w:val="single" w:sz="4" w:space="0" w:color="000000"/>
              <w:bottom w:val="single" w:sz="4" w:space="0" w:color="auto"/>
              <w:right w:val="single" w:sz="4" w:space="0" w:color="000000"/>
            </w:tcBorders>
          </w:tcPr>
          <w:p w:rsidR="003C549F" w:rsidRPr="00E7307A" w:rsidRDefault="00A32645"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Inclusion des règles relatives aux poursuites dans le programme du stage de recyclage biennal de tous les membres de la police en matière de tactiques de défense.</w:t>
            </w:r>
          </w:p>
        </w:tc>
      </w:tr>
      <w:tr w:rsidR="0092664D" w:rsidRPr="00E7307A" w:rsidTr="00141915">
        <w:tc>
          <w:tcPr>
            <w:tcW w:w="1078"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M</w:t>
            </w:r>
            <w:r w:rsidR="008D6B80" w:rsidRPr="00E7307A">
              <w:rPr>
                <w:sz w:val="18"/>
                <w:szCs w:val="18"/>
                <w:lang w:val="fr-FR"/>
              </w:rPr>
              <w:t xml:space="preserve">. </w:t>
            </w:r>
            <w:r w:rsidRPr="00E7307A">
              <w:rPr>
                <w:sz w:val="18"/>
                <w:szCs w:val="18"/>
                <w:lang w:val="fr-FR"/>
              </w:rPr>
              <w:t>Heri</w:t>
            </w:r>
          </w:p>
        </w:tc>
        <w:tc>
          <w:tcPr>
            <w:tcW w:w="797"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28/4/05</w:t>
            </w:r>
          </w:p>
        </w:tc>
        <w:tc>
          <w:tcPr>
            <w:tcW w:w="1813"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 xml:space="preserve">Darwin Harbour </w:t>
            </w:r>
            <w:r w:rsidR="008457DD" w:rsidRPr="00E7307A">
              <w:rPr>
                <w:sz w:val="18"/>
                <w:szCs w:val="18"/>
                <w:lang w:val="fr-FR"/>
              </w:rPr>
              <w:t>à bord du bateau de pêche</w:t>
            </w:r>
            <w:r w:rsidRPr="00E7307A">
              <w:rPr>
                <w:sz w:val="18"/>
                <w:szCs w:val="18"/>
                <w:lang w:val="fr-FR"/>
              </w:rPr>
              <w:t xml:space="preserve"> “Gunung Mas Baru”. </w:t>
            </w:r>
            <w:r w:rsidR="008457DD" w:rsidRPr="00E7307A">
              <w:rPr>
                <w:sz w:val="18"/>
                <w:szCs w:val="18"/>
                <w:lang w:val="fr-FR"/>
              </w:rPr>
              <w:t>Placé en détention</w:t>
            </w:r>
            <w:r w:rsidRPr="00E7307A">
              <w:rPr>
                <w:sz w:val="18"/>
                <w:szCs w:val="18"/>
                <w:lang w:val="fr-FR"/>
              </w:rPr>
              <w:t xml:space="preserve"> </w:t>
            </w:r>
            <w:r w:rsidR="008457DD" w:rsidRPr="00E7307A">
              <w:rPr>
                <w:sz w:val="18"/>
                <w:szCs w:val="18"/>
                <w:lang w:val="fr-FR"/>
              </w:rPr>
              <w:t>en tant que pêcheur en situation irrégulière par la</w:t>
            </w:r>
            <w:r w:rsidRPr="00E7307A">
              <w:rPr>
                <w:sz w:val="18"/>
                <w:szCs w:val="18"/>
                <w:lang w:val="fr-FR"/>
              </w:rPr>
              <w:t xml:space="preserve"> </w:t>
            </w:r>
            <w:r w:rsidRPr="00E7307A">
              <w:rPr>
                <w:i/>
                <w:iCs/>
                <w:sz w:val="18"/>
                <w:szCs w:val="18"/>
                <w:lang w:val="fr-FR"/>
              </w:rPr>
              <w:t>Aust Fisheries Management Authority</w:t>
            </w:r>
            <w:r w:rsidR="00572260" w:rsidRPr="00E7307A">
              <w:rPr>
                <w:i/>
                <w:iCs/>
                <w:sz w:val="18"/>
                <w:szCs w:val="18"/>
                <w:lang w:val="fr-FR"/>
              </w:rPr>
              <w:t xml:space="preserve"> </w:t>
            </w:r>
            <w:r w:rsidR="008457DD" w:rsidRPr="00E7307A">
              <w:rPr>
                <w:sz w:val="18"/>
                <w:szCs w:val="18"/>
                <w:lang w:val="fr-FR"/>
              </w:rPr>
              <w:t>(AFMA) et le Département de l’immigration et des affaires multiculturelles et autochtones</w:t>
            </w:r>
            <w:r w:rsidRPr="00E7307A">
              <w:rPr>
                <w:sz w:val="18"/>
                <w:szCs w:val="18"/>
                <w:lang w:val="fr-FR"/>
              </w:rPr>
              <w:t xml:space="preserve"> (DIMIA)</w:t>
            </w:r>
          </w:p>
        </w:tc>
        <w:tc>
          <w:tcPr>
            <w:tcW w:w="567"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rPr>
            </w:pPr>
            <w:r w:rsidRPr="00E7307A">
              <w:rPr>
                <w:sz w:val="18"/>
                <w:szCs w:val="18"/>
              </w:rPr>
              <w:t>M</w:t>
            </w:r>
          </w:p>
        </w:tc>
        <w:tc>
          <w:tcPr>
            <w:tcW w:w="567"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rPr>
            </w:pPr>
            <w:r w:rsidRPr="00E7307A">
              <w:rPr>
                <w:sz w:val="18"/>
                <w:szCs w:val="18"/>
              </w:rPr>
              <w:t>37</w:t>
            </w:r>
          </w:p>
        </w:tc>
        <w:tc>
          <w:tcPr>
            <w:tcW w:w="1255" w:type="dxa"/>
            <w:tcBorders>
              <w:top w:val="single" w:sz="4" w:space="0" w:color="auto"/>
              <w:left w:val="single" w:sz="4" w:space="0" w:color="auto"/>
              <w:bottom w:val="single" w:sz="4" w:space="0" w:color="auto"/>
              <w:right w:val="single" w:sz="4" w:space="0" w:color="auto"/>
            </w:tcBorders>
          </w:tcPr>
          <w:p w:rsidR="0092664D" w:rsidRPr="00E7307A" w:rsidRDefault="0092664D" w:rsidP="005D7B68">
            <w:pPr>
              <w:keepNext/>
              <w:tabs>
                <w:tab w:val="left" w:pos="567"/>
                <w:tab w:val="left" w:pos="1134"/>
                <w:tab w:val="left" w:pos="1701"/>
                <w:tab w:val="left" w:pos="2268"/>
                <w:tab w:val="left" w:pos="2835"/>
              </w:tabs>
              <w:spacing w:before="20" w:after="20"/>
              <w:rPr>
                <w:sz w:val="18"/>
                <w:szCs w:val="18"/>
              </w:rPr>
            </w:pPr>
            <w:r w:rsidRPr="00E7307A">
              <w:rPr>
                <w:sz w:val="18"/>
                <w:szCs w:val="18"/>
              </w:rPr>
              <w:t>Ind</w:t>
            </w:r>
            <w:r w:rsidR="008457DD" w:rsidRPr="00E7307A">
              <w:rPr>
                <w:sz w:val="18"/>
                <w:szCs w:val="18"/>
              </w:rPr>
              <w:t>onésien</w:t>
            </w:r>
          </w:p>
        </w:tc>
        <w:tc>
          <w:tcPr>
            <w:tcW w:w="1582" w:type="dxa"/>
            <w:tcBorders>
              <w:top w:val="single" w:sz="4" w:space="0" w:color="auto"/>
              <w:left w:val="single" w:sz="4" w:space="0" w:color="auto"/>
              <w:bottom w:val="single" w:sz="4" w:space="0" w:color="auto"/>
              <w:right w:val="single" w:sz="4" w:space="0" w:color="auto"/>
            </w:tcBorders>
          </w:tcPr>
          <w:p w:rsidR="0092664D" w:rsidRPr="00E7307A" w:rsidRDefault="008457DD" w:rsidP="005D7B68">
            <w:pPr>
              <w:keepNext/>
              <w:tabs>
                <w:tab w:val="left" w:pos="567"/>
                <w:tab w:val="left" w:pos="1134"/>
                <w:tab w:val="left" w:pos="1701"/>
                <w:tab w:val="left" w:pos="2268"/>
                <w:tab w:val="left" w:pos="2835"/>
              </w:tabs>
              <w:spacing w:before="20" w:after="20"/>
              <w:rPr>
                <w:sz w:val="18"/>
                <w:szCs w:val="18"/>
              </w:rPr>
            </w:pPr>
            <w:r w:rsidRPr="00E7307A">
              <w:rPr>
                <w:sz w:val="18"/>
                <w:szCs w:val="18"/>
              </w:rPr>
              <w:t>Athérosclérose</w:t>
            </w:r>
            <w:r w:rsidR="009F5FC8" w:rsidRPr="00E7307A">
              <w:rPr>
                <w:sz w:val="18"/>
                <w:szCs w:val="18"/>
              </w:rPr>
              <w:t xml:space="preserve"> coronarienne</w:t>
            </w:r>
            <w:r w:rsidR="0092664D" w:rsidRPr="00E7307A">
              <w:rPr>
                <w:sz w:val="18"/>
                <w:szCs w:val="18"/>
              </w:rPr>
              <w:t>.</w:t>
            </w:r>
          </w:p>
        </w:tc>
        <w:tc>
          <w:tcPr>
            <w:tcW w:w="2975" w:type="dxa"/>
            <w:tcBorders>
              <w:top w:val="single" w:sz="4" w:space="0" w:color="auto"/>
              <w:left w:val="single" w:sz="4" w:space="0" w:color="auto"/>
              <w:bottom w:val="single" w:sz="4" w:space="0" w:color="auto"/>
              <w:right w:val="single" w:sz="4" w:space="0" w:color="auto"/>
            </w:tcBorders>
          </w:tcPr>
          <w:p w:rsidR="0092664D" w:rsidRPr="00E7307A" w:rsidRDefault="00865665" w:rsidP="005D7B68">
            <w:pPr>
              <w:keepNext/>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Décès du à des causes naturelles</w:t>
            </w:r>
            <w:r w:rsidR="0092664D" w:rsidRPr="00E7307A">
              <w:rPr>
                <w:sz w:val="18"/>
                <w:szCs w:val="18"/>
                <w:lang w:val="fr-FR"/>
              </w:rPr>
              <w:t xml:space="preserve">. </w:t>
            </w:r>
            <w:r w:rsidRPr="00E7307A">
              <w:rPr>
                <w:sz w:val="18"/>
                <w:szCs w:val="18"/>
                <w:lang w:val="fr-FR"/>
              </w:rPr>
              <w:t>Les directives du DIMIA stipulaient que tout l’équipage fasse l’objet d’un examen médical, de préférence dans les 24 heures</w:t>
            </w:r>
            <w:r w:rsidR="0092664D" w:rsidRPr="00E7307A">
              <w:rPr>
                <w:sz w:val="18"/>
                <w:szCs w:val="18"/>
                <w:lang w:val="fr-FR"/>
              </w:rPr>
              <w:t xml:space="preserve">. </w:t>
            </w:r>
            <w:r w:rsidRPr="00E7307A">
              <w:rPr>
                <w:sz w:val="18"/>
                <w:szCs w:val="18"/>
                <w:lang w:val="fr-FR"/>
              </w:rPr>
              <w:t>Le défunt n’avait pas subi d’examen médical</w:t>
            </w:r>
            <w:r w:rsidR="0092664D" w:rsidRPr="00E7307A">
              <w:rPr>
                <w:sz w:val="18"/>
                <w:szCs w:val="18"/>
                <w:lang w:val="fr-FR"/>
              </w:rPr>
              <w:t xml:space="preserve">. </w:t>
            </w:r>
            <w:r w:rsidRPr="00E7307A">
              <w:rPr>
                <w:sz w:val="18"/>
                <w:szCs w:val="18"/>
                <w:lang w:val="fr-FR"/>
              </w:rPr>
              <w:t>Le</w:t>
            </w:r>
            <w:r w:rsidR="0092664D" w:rsidRPr="00E7307A">
              <w:rPr>
                <w:sz w:val="18"/>
                <w:szCs w:val="18"/>
                <w:lang w:val="fr-FR"/>
              </w:rPr>
              <w:t xml:space="preserve"> </w:t>
            </w:r>
            <w:r w:rsidR="0092664D" w:rsidRPr="00E7307A">
              <w:rPr>
                <w:i/>
                <w:iCs/>
                <w:sz w:val="18"/>
                <w:szCs w:val="18"/>
                <w:lang w:val="fr-FR"/>
              </w:rPr>
              <w:t>Coroner</w:t>
            </w:r>
            <w:r w:rsidRPr="00E7307A">
              <w:rPr>
                <w:sz w:val="18"/>
                <w:szCs w:val="18"/>
                <w:lang w:val="fr-FR"/>
              </w:rPr>
              <w:t xml:space="preserve"> était d’avis qu’une visite médicale ordinaire n’aurait pas permis de déceler la pathologie cardiaque</w:t>
            </w:r>
            <w:r w:rsidR="0092664D" w:rsidRPr="00E7307A">
              <w:rPr>
                <w:sz w:val="18"/>
                <w:szCs w:val="18"/>
                <w:lang w:val="fr-FR"/>
              </w:rPr>
              <w:t xml:space="preserve"> </w:t>
            </w:r>
            <w:r w:rsidRPr="00E7307A">
              <w:rPr>
                <w:sz w:val="18"/>
                <w:szCs w:val="18"/>
                <w:lang w:val="fr-FR"/>
              </w:rPr>
              <w:t>du défunt.</w:t>
            </w:r>
          </w:p>
        </w:tc>
        <w:tc>
          <w:tcPr>
            <w:tcW w:w="2686" w:type="dxa"/>
            <w:tcBorders>
              <w:top w:val="single" w:sz="4" w:space="0" w:color="auto"/>
              <w:left w:val="single" w:sz="4" w:space="0" w:color="auto"/>
              <w:bottom w:val="single" w:sz="4" w:space="0" w:color="auto"/>
              <w:right w:val="single" w:sz="4" w:space="0" w:color="auto"/>
            </w:tcBorders>
          </w:tcPr>
          <w:p w:rsidR="0092664D" w:rsidRPr="00E7307A" w:rsidRDefault="000F7143" w:rsidP="005D7B68">
            <w:pPr>
              <w:keepNext/>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Tous les pêcheurs placés en détention devant l’être dans l’établissement à terre de Darwin, le</w:t>
            </w:r>
            <w:r w:rsidR="0092664D" w:rsidRPr="00E7307A">
              <w:rPr>
                <w:sz w:val="18"/>
                <w:szCs w:val="18"/>
                <w:lang w:val="fr-FR"/>
              </w:rPr>
              <w:t xml:space="preserve"> </w:t>
            </w:r>
            <w:r w:rsidR="0092664D" w:rsidRPr="00E7307A">
              <w:rPr>
                <w:i/>
                <w:iCs/>
                <w:sz w:val="18"/>
                <w:szCs w:val="18"/>
                <w:lang w:val="fr-FR"/>
              </w:rPr>
              <w:t>Coron</w:t>
            </w:r>
            <w:r w:rsidRPr="00E7307A">
              <w:rPr>
                <w:i/>
                <w:iCs/>
                <w:sz w:val="18"/>
                <w:szCs w:val="18"/>
                <w:lang w:val="fr-FR"/>
              </w:rPr>
              <w:t>er</w:t>
            </w:r>
            <w:r w:rsidRPr="00E7307A">
              <w:rPr>
                <w:sz w:val="18"/>
                <w:szCs w:val="18"/>
                <w:lang w:val="fr-FR"/>
              </w:rPr>
              <w:t xml:space="preserve"> avait recommandé que les intéressés</w:t>
            </w:r>
            <w:r w:rsidR="0092664D" w:rsidRPr="00E7307A">
              <w:rPr>
                <w:sz w:val="18"/>
                <w:szCs w:val="18"/>
                <w:lang w:val="fr-FR"/>
              </w:rPr>
              <w:t xml:space="preserve"> </w:t>
            </w:r>
            <w:r w:rsidRPr="00E7307A">
              <w:rPr>
                <w:sz w:val="18"/>
                <w:szCs w:val="18"/>
                <w:lang w:val="fr-FR"/>
              </w:rPr>
              <w:t>fassent l’objet d’une visite médicale complète</w:t>
            </w:r>
            <w:r w:rsidR="0092664D" w:rsidRPr="00E7307A">
              <w:rPr>
                <w:sz w:val="18"/>
                <w:szCs w:val="18"/>
                <w:lang w:val="fr-FR"/>
              </w:rPr>
              <w:t xml:space="preserve"> </w:t>
            </w:r>
            <w:r w:rsidRPr="00E7307A">
              <w:rPr>
                <w:sz w:val="18"/>
                <w:szCs w:val="18"/>
                <w:lang w:val="fr-FR"/>
              </w:rPr>
              <w:t>dans les</w:t>
            </w:r>
            <w:r w:rsidR="00572260" w:rsidRPr="00E7307A">
              <w:rPr>
                <w:sz w:val="18"/>
                <w:szCs w:val="18"/>
                <w:lang w:val="fr-FR"/>
              </w:rPr>
              <w:t xml:space="preserve"> </w:t>
            </w:r>
            <w:r w:rsidR="0092664D" w:rsidRPr="00E7307A">
              <w:rPr>
                <w:sz w:val="18"/>
                <w:szCs w:val="18"/>
                <w:lang w:val="fr-FR"/>
              </w:rPr>
              <w:t>24 </w:t>
            </w:r>
            <w:r w:rsidRPr="00E7307A">
              <w:rPr>
                <w:sz w:val="18"/>
                <w:szCs w:val="18"/>
                <w:lang w:val="fr-FR"/>
              </w:rPr>
              <w:t>heures suivant leur entrée dans cet établissement</w:t>
            </w:r>
            <w:r w:rsidR="0092664D" w:rsidRPr="00E7307A">
              <w:rPr>
                <w:sz w:val="18"/>
                <w:szCs w:val="18"/>
                <w:lang w:val="fr-FR"/>
              </w:rPr>
              <w:t>.</w:t>
            </w:r>
          </w:p>
          <w:p w:rsidR="0092664D" w:rsidRPr="00E7307A" w:rsidRDefault="00A8628C" w:rsidP="005D7B68">
            <w:pPr>
              <w:keepNext/>
              <w:tabs>
                <w:tab w:val="left" w:pos="567"/>
                <w:tab w:val="left" w:pos="1134"/>
                <w:tab w:val="left" w:pos="1701"/>
                <w:tab w:val="left" w:pos="2268"/>
                <w:tab w:val="left" w:pos="2835"/>
              </w:tabs>
              <w:spacing w:before="20" w:after="20"/>
              <w:rPr>
                <w:color w:val="FF0000"/>
                <w:sz w:val="18"/>
                <w:szCs w:val="18"/>
                <w:lang w:val="fr-FR"/>
              </w:rPr>
            </w:pPr>
            <w:r>
              <w:rPr>
                <w:noProof/>
                <w:sz w:val="18"/>
                <w:szCs w:val="18"/>
                <w:lang w:val="en-US" w:eastAsia="zh-CN"/>
              </w:rPr>
              <w:pict>
                <v:rect id="_x0000_s1118" style="position:absolute;margin-left:146.9pt;margin-top:-99.5pt;width:47.55pt;height:135.75pt;z-index:22" stroked="f">
                  <v:textbox style="layout-flow:vertical;mso-next-textbox:#_x0000_s1118">
                    <w:txbxContent>
                      <w:p w:rsidR="00A8628C" w:rsidRPr="006267E8" w:rsidRDefault="00A8628C" w:rsidP="00A8628C">
                        <w:pPr>
                          <w:pStyle w:val="Header"/>
                          <w:rPr>
                            <w:sz w:val="22"/>
                            <w:szCs w:val="22"/>
                            <w:lang w:val="fr-FR"/>
                          </w:rPr>
                        </w:pPr>
                        <w:r w:rsidRPr="006267E8">
                          <w:rPr>
                            <w:sz w:val="22"/>
                            <w:szCs w:val="22"/>
                            <w:lang w:val="fr-FR"/>
                          </w:rPr>
                          <w:t>CAT/C/AUS/Q/4/Add.1</w:t>
                        </w:r>
                        <w:r w:rsidRPr="006267E8">
                          <w:rPr>
                            <w:sz w:val="22"/>
                            <w:szCs w:val="22"/>
                            <w:lang w:val="fr-FR"/>
                          </w:rPr>
                          <w:br/>
                          <w:t xml:space="preserve">page </w:t>
                        </w:r>
                        <w:r w:rsidRPr="006267E8">
                          <w:rPr>
                            <w:rStyle w:val="PageNumber"/>
                            <w:sz w:val="22"/>
                            <w:szCs w:val="22"/>
                          </w:rPr>
                          <w:fldChar w:fldCharType="begin"/>
                        </w:r>
                        <w:r w:rsidRPr="006267E8">
                          <w:rPr>
                            <w:rStyle w:val="PageNumber"/>
                            <w:sz w:val="22"/>
                            <w:szCs w:val="22"/>
                            <w:lang w:val="fr-FR"/>
                          </w:rPr>
                          <w:instrText xml:space="preserve"> PAGE </w:instrText>
                        </w:r>
                        <w:r w:rsidRPr="006267E8">
                          <w:rPr>
                            <w:rStyle w:val="PageNumber"/>
                            <w:sz w:val="22"/>
                            <w:szCs w:val="22"/>
                          </w:rPr>
                          <w:fldChar w:fldCharType="separate"/>
                        </w:r>
                        <w:r>
                          <w:rPr>
                            <w:rStyle w:val="PageNumber"/>
                            <w:noProof/>
                            <w:sz w:val="22"/>
                            <w:szCs w:val="22"/>
                            <w:lang w:val="fr-FR"/>
                          </w:rPr>
                          <w:t>146</w:t>
                        </w:r>
                        <w:r w:rsidRPr="006267E8">
                          <w:rPr>
                            <w:rStyle w:val="PageNumber"/>
                            <w:sz w:val="22"/>
                            <w:szCs w:val="22"/>
                          </w:rPr>
                          <w:fldChar w:fldCharType="end"/>
                        </w:r>
                      </w:p>
                      <w:p w:rsidR="00A8628C" w:rsidRPr="006267E8" w:rsidRDefault="00A8628C" w:rsidP="00A8628C">
                        <w:pPr>
                          <w:rPr>
                            <w:sz w:val="22"/>
                            <w:szCs w:val="22"/>
                            <w:lang w:val="fr-FR"/>
                          </w:rPr>
                        </w:pPr>
                      </w:p>
                    </w:txbxContent>
                  </v:textbox>
                </v:rect>
              </w:pict>
            </w:r>
            <w:r w:rsidR="000F7143" w:rsidRPr="00E7307A">
              <w:rPr>
                <w:sz w:val="18"/>
                <w:szCs w:val="18"/>
                <w:lang w:val="fr-FR"/>
              </w:rPr>
              <w:t>Le Département de l’immigration et de la citoyenneté a reçu confirmation de l’application de cette mesure.</w:t>
            </w:r>
            <w:r w:rsidR="0092664D" w:rsidRPr="00E7307A">
              <w:rPr>
                <w:sz w:val="18"/>
                <w:szCs w:val="18"/>
                <w:lang w:val="fr-FR"/>
              </w:rPr>
              <w:t xml:space="preserve"> </w:t>
            </w:r>
            <w:r w:rsidR="000F7143" w:rsidRPr="00E7307A">
              <w:rPr>
                <w:sz w:val="18"/>
                <w:szCs w:val="18"/>
                <w:lang w:val="fr-FR"/>
              </w:rPr>
              <w:t>Il a été confirmé que les pêcheurs font l’objet d’examens de dépistage ordonnés par la Direction des douanes et de la pêche d’Australie avant leur transfert vers le Centre de rétention des immigrants du Nord</w:t>
            </w:r>
            <w:r w:rsidR="0092664D" w:rsidRPr="00E7307A">
              <w:rPr>
                <w:sz w:val="18"/>
                <w:szCs w:val="18"/>
                <w:lang w:val="fr-FR"/>
              </w:rPr>
              <w:t xml:space="preserve"> (NIDC). </w:t>
            </w:r>
            <w:r w:rsidR="000F7143" w:rsidRPr="00E7307A">
              <w:rPr>
                <w:sz w:val="18"/>
                <w:szCs w:val="18"/>
                <w:lang w:val="fr-FR"/>
              </w:rPr>
              <w:t>Á l’arrivée dans ce centre, des examens médicaux sont pratiqués</w:t>
            </w:r>
            <w:r w:rsidR="0092664D" w:rsidRPr="00E7307A">
              <w:rPr>
                <w:sz w:val="18"/>
                <w:szCs w:val="18"/>
                <w:lang w:val="fr-FR"/>
              </w:rPr>
              <w:t xml:space="preserve"> </w:t>
            </w:r>
            <w:r w:rsidR="008208FA" w:rsidRPr="00E7307A">
              <w:rPr>
                <w:sz w:val="18"/>
                <w:szCs w:val="18"/>
                <w:lang w:val="fr-FR"/>
              </w:rPr>
              <w:t>par le service</w:t>
            </w:r>
            <w:r w:rsidR="000F7143" w:rsidRPr="00E7307A">
              <w:rPr>
                <w:sz w:val="18"/>
                <w:szCs w:val="18"/>
                <w:lang w:val="fr-FR"/>
              </w:rPr>
              <w:t xml:space="preserve"> de santé</w:t>
            </w:r>
            <w:r w:rsidR="008208FA" w:rsidRPr="00E7307A">
              <w:rPr>
                <w:sz w:val="18"/>
                <w:szCs w:val="18"/>
                <w:lang w:val="fr-FR"/>
              </w:rPr>
              <w:t xml:space="preserve"> dans les 24 heures</w:t>
            </w:r>
            <w:r w:rsidR="0092664D" w:rsidRPr="00E7307A">
              <w:rPr>
                <w:sz w:val="18"/>
                <w:szCs w:val="18"/>
                <w:lang w:val="fr-FR"/>
              </w:rPr>
              <w:t xml:space="preserve">. </w:t>
            </w:r>
            <w:r w:rsidR="008208FA" w:rsidRPr="00E7307A">
              <w:rPr>
                <w:sz w:val="18"/>
                <w:szCs w:val="18"/>
                <w:lang w:val="fr-FR"/>
              </w:rPr>
              <w:t>Cela a été confirmé par les Services sanitaires et médicaux internationaux.</w:t>
            </w:r>
          </w:p>
        </w:tc>
      </w:tr>
      <w:tr w:rsidR="00C5375E" w:rsidRPr="00E7307A" w:rsidTr="00141915">
        <w:tc>
          <w:tcPr>
            <w:tcW w:w="1078" w:type="dxa"/>
            <w:tcBorders>
              <w:top w:val="single" w:sz="4" w:space="0" w:color="auto"/>
              <w:left w:val="single" w:sz="4" w:space="0" w:color="000000"/>
              <w:bottom w:val="single" w:sz="4" w:space="0" w:color="auto"/>
              <w:right w:val="single" w:sz="4" w:space="0" w:color="000000"/>
            </w:tcBorders>
          </w:tcPr>
          <w:p w:rsidR="00C5375E" w:rsidRPr="00E7307A" w:rsidRDefault="00C5375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H</w:t>
            </w:r>
            <w:r w:rsidR="008D6B80" w:rsidRPr="00E7307A">
              <w:rPr>
                <w:sz w:val="18"/>
                <w:szCs w:val="18"/>
                <w:lang w:val="fr-FR"/>
              </w:rPr>
              <w:t xml:space="preserve">. </w:t>
            </w:r>
            <w:r w:rsidRPr="00E7307A">
              <w:rPr>
                <w:sz w:val="18"/>
                <w:szCs w:val="18"/>
                <w:lang w:val="fr-FR"/>
              </w:rPr>
              <w:t>Martin</w:t>
            </w:r>
          </w:p>
        </w:tc>
        <w:tc>
          <w:tcPr>
            <w:tcW w:w="797" w:type="dxa"/>
            <w:tcBorders>
              <w:top w:val="single" w:sz="4" w:space="0" w:color="auto"/>
              <w:left w:val="single" w:sz="4" w:space="0" w:color="000000"/>
              <w:bottom w:val="single" w:sz="4" w:space="0" w:color="auto"/>
              <w:right w:val="single" w:sz="4" w:space="0" w:color="000000"/>
            </w:tcBorders>
          </w:tcPr>
          <w:p w:rsidR="00C5375E" w:rsidRPr="00E7307A" w:rsidRDefault="00C5375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13/3/05</w:t>
            </w:r>
          </w:p>
        </w:tc>
        <w:tc>
          <w:tcPr>
            <w:tcW w:w="1813" w:type="dxa"/>
            <w:tcBorders>
              <w:top w:val="single" w:sz="4" w:space="0" w:color="auto"/>
              <w:left w:val="single" w:sz="4" w:space="0" w:color="000000"/>
              <w:bottom w:val="single" w:sz="4" w:space="0" w:color="auto"/>
              <w:right w:val="single" w:sz="4" w:space="0" w:color="000000"/>
            </w:tcBorders>
          </w:tcPr>
          <w:p w:rsidR="00C5375E" w:rsidRPr="00E7307A" w:rsidRDefault="00C5375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Darwin Prison, Berrimah</w:t>
            </w:r>
          </w:p>
        </w:tc>
        <w:tc>
          <w:tcPr>
            <w:tcW w:w="567" w:type="dxa"/>
            <w:tcBorders>
              <w:top w:val="single" w:sz="4" w:space="0" w:color="auto"/>
              <w:left w:val="single" w:sz="4" w:space="0" w:color="000000"/>
              <w:bottom w:val="single" w:sz="4" w:space="0" w:color="auto"/>
              <w:right w:val="single" w:sz="4" w:space="0" w:color="000000"/>
            </w:tcBorders>
          </w:tcPr>
          <w:p w:rsidR="00C5375E" w:rsidRPr="00E7307A" w:rsidRDefault="00C5375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M</w:t>
            </w:r>
          </w:p>
        </w:tc>
        <w:tc>
          <w:tcPr>
            <w:tcW w:w="567" w:type="dxa"/>
            <w:tcBorders>
              <w:top w:val="single" w:sz="4" w:space="0" w:color="auto"/>
              <w:left w:val="single" w:sz="4" w:space="0" w:color="000000"/>
              <w:bottom w:val="single" w:sz="4" w:space="0" w:color="auto"/>
              <w:right w:val="single" w:sz="4" w:space="0" w:color="000000"/>
            </w:tcBorders>
          </w:tcPr>
          <w:p w:rsidR="00C5375E" w:rsidRPr="00E7307A" w:rsidRDefault="00C5375E" w:rsidP="005D7B68">
            <w:pPr>
              <w:tabs>
                <w:tab w:val="left" w:pos="567"/>
                <w:tab w:val="left" w:pos="1134"/>
                <w:tab w:val="left" w:pos="1701"/>
                <w:tab w:val="left" w:pos="2268"/>
                <w:tab w:val="left" w:pos="2835"/>
              </w:tabs>
              <w:spacing w:before="20" w:after="20"/>
              <w:jc w:val="center"/>
              <w:rPr>
                <w:sz w:val="18"/>
                <w:szCs w:val="18"/>
                <w:lang w:val="fr-FR"/>
              </w:rPr>
            </w:pPr>
            <w:r w:rsidRPr="00E7307A">
              <w:rPr>
                <w:sz w:val="18"/>
                <w:szCs w:val="18"/>
                <w:lang w:val="fr-FR"/>
              </w:rPr>
              <w:t>37</w:t>
            </w:r>
            <w:r w:rsidR="00D92D61" w:rsidRPr="00E7307A">
              <w:rPr>
                <w:sz w:val="18"/>
                <w:szCs w:val="18"/>
                <w:lang w:val="fr-FR"/>
              </w:rPr>
              <w:t xml:space="preserve"> ans</w:t>
            </w:r>
          </w:p>
        </w:tc>
        <w:tc>
          <w:tcPr>
            <w:tcW w:w="1255" w:type="dxa"/>
            <w:tcBorders>
              <w:top w:val="single" w:sz="4" w:space="0" w:color="auto"/>
              <w:left w:val="single" w:sz="4" w:space="0" w:color="000000"/>
              <w:bottom w:val="single" w:sz="4" w:space="0" w:color="auto"/>
              <w:right w:val="single" w:sz="4" w:space="0" w:color="000000"/>
            </w:tcBorders>
          </w:tcPr>
          <w:p w:rsidR="00C5375E" w:rsidRPr="00E7307A" w:rsidRDefault="00D92D61"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Australien aborigène</w:t>
            </w:r>
          </w:p>
        </w:tc>
        <w:tc>
          <w:tcPr>
            <w:tcW w:w="1582" w:type="dxa"/>
            <w:tcBorders>
              <w:top w:val="single" w:sz="4" w:space="0" w:color="auto"/>
              <w:left w:val="single" w:sz="4" w:space="0" w:color="000000"/>
              <w:bottom w:val="single" w:sz="4" w:space="0" w:color="auto"/>
              <w:right w:val="single" w:sz="4" w:space="0" w:color="000000"/>
            </w:tcBorders>
          </w:tcPr>
          <w:p w:rsidR="00C5375E" w:rsidRPr="00E7307A" w:rsidRDefault="00D92D61"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 xml:space="preserve"> A</w:t>
            </w:r>
            <w:r w:rsidR="00C5375E" w:rsidRPr="00E7307A">
              <w:rPr>
                <w:sz w:val="18"/>
                <w:szCs w:val="18"/>
                <w:lang w:val="fr-FR"/>
              </w:rPr>
              <w:t>ccident</w:t>
            </w:r>
            <w:r w:rsidR="0042277E" w:rsidRPr="00E7307A">
              <w:rPr>
                <w:sz w:val="18"/>
                <w:szCs w:val="18"/>
                <w:lang w:val="fr-FR"/>
              </w:rPr>
              <w:t xml:space="preserve"> </w:t>
            </w:r>
            <w:r w:rsidRPr="00E7307A">
              <w:rPr>
                <w:sz w:val="18"/>
                <w:szCs w:val="18"/>
                <w:lang w:val="fr-FR"/>
              </w:rPr>
              <w:t>vasculaire</w:t>
            </w:r>
            <w:r w:rsidR="0042277E" w:rsidRPr="00E7307A">
              <w:rPr>
                <w:sz w:val="18"/>
                <w:szCs w:val="18"/>
                <w:lang w:val="fr-FR"/>
              </w:rPr>
              <w:t xml:space="preserve"> cérébral</w:t>
            </w:r>
            <w:r w:rsidRPr="00E7307A">
              <w:rPr>
                <w:sz w:val="18"/>
                <w:szCs w:val="18"/>
                <w:lang w:val="fr-FR"/>
              </w:rPr>
              <w:t xml:space="preserve"> (</w:t>
            </w:r>
            <w:r w:rsidR="0042277E" w:rsidRPr="00E7307A">
              <w:rPr>
                <w:sz w:val="18"/>
                <w:szCs w:val="18"/>
                <w:lang w:val="fr-FR"/>
              </w:rPr>
              <w:t>a.v.c. associé à cirrhose du foie</w:t>
            </w:r>
            <w:r w:rsidR="00C5375E" w:rsidRPr="00E7307A">
              <w:rPr>
                <w:sz w:val="18"/>
                <w:szCs w:val="18"/>
                <w:lang w:val="fr-FR"/>
              </w:rPr>
              <w:t xml:space="preserve"> </w:t>
            </w:r>
            <w:r w:rsidR="0042277E" w:rsidRPr="00E7307A">
              <w:rPr>
                <w:sz w:val="18"/>
                <w:szCs w:val="18"/>
                <w:lang w:val="fr-FR"/>
              </w:rPr>
              <w:t>et alcoolisme chronique)</w:t>
            </w:r>
          </w:p>
        </w:tc>
        <w:tc>
          <w:tcPr>
            <w:tcW w:w="2975" w:type="dxa"/>
            <w:tcBorders>
              <w:top w:val="single" w:sz="4" w:space="0" w:color="auto"/>
              <w:left w:val="single" w:sz="4" w:space="0" w:color="000000"/>
              <w:bottom w:val="single" w:sz="4" w:space="0" w:color="auto"/>
              <w:right w:val="single" w:sz="4" w:space="0" w:color="000000"/>
            </w:tcBorders>
          </w:tcPr>
          <w:p w:rsidR="00C5375E" w:rsidRPr="00E7307A" w:rsidRDefault="0042277E"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Á son arrivée à la prison de Darwin le</w:t>
            </w:r>
            <w:r w:rsidR="00C5375E" w:rsidRPr="00E7307A">
              <w:rPr>
                <w:sz w:val="18"/>
                <w:szCs w:val="18"/>
                <w:lang w:val="fr-FR"/>
              </w:rPr>
              <w:t xml:space="preserve"> 4/3/05</w:t>
            </w:r>
            <w:r w:rsidRPr="00E7307A">
              <w:rPr>
                <w:sz w:val="18"/>
                <w:szCs w:val="18"/>
                <w:lang w:val="fr-FR"/>
              </w:rPr>
              <w:t xml:space="preserve"> le défunt a subi une visite médicale qui a révélé des troubles dus à la privation d’alcool</w:t>
            </w:r>
            <w:r w:rsidR="00C5375E" w:rsidRPr="00E7307A">
              <w:rPr>
                <w:sz w:val="18"/>
                <w:szCs w:val="18"/>
                <w:lang w:val="fr-FR"/>
              </w:rPr>
              <w:t xml:space="preserve">. </w:t>
            </w:r>
            <w:r w:rsidRPr="00E7307A">
              <w:rPr>
                <w:sz w:val="18"/>
                <w:szCs w:val="18"/>
                <w:lang w:val="fr-FR"/>
              </w:rPr>
              <w:t>Il a été traité le 7/3/05 par le médecin de la prison, qui a</w:t>
            </w:r>
            <w:r w:rsidR="00572260" w:rsidRPr="00E7307A">
              <w:rPr>
                <w:sz w:val="18"/>
                <w:szCs w:val="18"/>
                <w:lang w:val="fr-FR"/>
              </w:rPr>
              <w:t xml:space="preserve"> </w:t>
            </w:r>
            <w:r w:rsidR="00A270F1" w:rsidRPr="00E7307A">
              <w:rPr>
                <w:sz w:val="18"/>
                <w:szCs w:val="18"/>
                <w:lang w:val="fr-FR"/>
              </w:rPr>
              <w:t>souhaité le revoir une semaine plus tard</w:t>
            </w:r>
            <w:r w:rsidR="00C5375E" w:rsidRPr="00E7307A">
              <w:rPr>
                <w:sz w:val="18"/>
                <w:szCs w:val="18"/>
                <w:lang w:val="fr-FR"/>
              </w:rPr>
              <w:t xml:space="preserve">. </w:t>
            </w:r>
            <w:r w:rsidR="00A270F1" w:rsidRPr="00E7307A">
              <w:rPr>
                <w:sz w:val="18"/>
                <w:szCs w:val="18"/>
                <w:lang w:val="fr-FR"/>
              </w:rPr>
              <w:t>Le</w:t>
            </w:r>
            <w:r w:rsidR="00C5375E" w:rsidRPr="00E7307A">
              <w:rPr>
                <w:sz w:val="18"/>
                <w:szCs w:val="18"/>
                <w:lang w:val="fr-FR"/>
              </w:rPr>
              <w:t xml:space="preserve"> 9/3/05</w:t>
            </w:r>
            <w:r w:rsidR="000B23BE" w:rsidRPr="00E7307A">
              <w:rPr>
                <w:sz w:val="18"/>
                <w:szCs w:val="18"/>
                <w:lang w:val="fr-FR"/>
              </w:rPr>
              <w:t xml:space="preserve"> le médecin</w:t>
            </w:r>
            <w:r w:rsidR="00A270F1" w:rsidRPr="00E7307A">
              <w:rPr>
                <w:sz w:val="18"/>
                <w:szCs w:val="18"/>
                <w:lang w:val="fr-FR"/>
              </w:rPr>
              <w:t xml:space="preserve"> l’a revu à la suite de vomissements, a diagnostiqué une poursuite des symptômes de privation d’alcool et l’a mis en observation</w:t>
            </w:r>
            <w:r w:rsidR="00C5375E" w:rsidRPr="00E7307A">
              <w:rPr>
                <w:sz w:val="18"/>
                <w:szCs w:val="18"/>
                <w:lang w:val="fr-FR"/>
              </w:rPr>
              <w:t xml:space="preserve">. </w:t>
            </w:r>
            <w:r w:rsidR="00A270F1" w:rsidRPr="00E7307A">
              <w:rPr>
                <w:sz w:val="18"/>
                <w:szCs w:val="18"/>
                <w:lang w:val="fr-FR"/>
              </w:rPr>
              <w:t>Le détenu a été placé seul dans une cellule équipée d’une caméra</w:t>
            </w:r>
            <w:r w:rsidR="00C5375E" w:rsidRPr="00E7307A">
              <w:rPr>
                <w:sz w:val="18"/>
                <w:szCs w:val="18"/>
                <w:lang w:val="fr-FR"/>
              </w:rPr>
              <w:t xml:space="preserve"> </w:t>
            </w:r>
            <w:r w:rsidR="00A270F1" w:rsidRPr="00E7307A">
              <w:rPr>
                <w:sz w:val="18"/>
                <w:szCs w:val="18"/>
                <w:lang w:val="fr-FR"/>
              </w:rPr>
              <w:t>d’observation</w:t>
            </w:r>
            <w:r w:rsidR="00C5375E" w:rsidRPr="00E7307A">
              <w:rPr>
                <w:sz w:val="18"/>
                <w:szCs w:val="18"/>
                <w:lang w:val="fr-FR"/>
              </w:rPr>
              <w:t xml:space="preserve">. </w:t>
            </w:r>
            <w:r w:rsidR="00A270F1" w:rsidRPr="00E7307A">
              <w:rPr>
                <w:sz w:val="18"/>
                <w:szCs w:val="18"/>
                <w:lang w:val="fr-FR"/>
              </w:rPr>
              <w:t>Il était observé</w:t>
            </w:r>
            <w:r w:rsidR="00A74381" w:rsidRPr="00E7307A">
              <w:rPr>
                <w:sz w:val="18"/>
                <w:szCs w:val="18"/>
                <w:lang w:val="fr-FR"/>
              </w:rPr>
              <w:t xml:space="preserve"> toutes les 15 minutes</w:t>
            </w:r>
            <w:r w:rsidR="00A270F1" w:rsidRPr="00E7307A">
              <w:rPr>
                <w:sz w:val="18"/>
                <w:szCs w:val="18"/>
                <w:lang w:val="fr-FR"/>
              </w:rPr>
              <w:t xml:space="preserve"> par un gardien à partir d’</w:t>
            </w:r>
            <w:r w:rsidR="00A74381" w:rsidRPr="00E7307A">
              <w:rPr>
                <w:sz w:val="18"/>
                <w:szCs w:val="18"/>
                <w:lang w:val="fr-FR"/>
              </w:rPr>
              <w:t>une salle de surveillance</w:t>
            </w:r>
            <w:r w:rsidR="00C5375E" w:rsidRPr="00E7307A">
              <w:rPr>
                <w:sz w:val="18"/>
                <w:szCs w:val="18"/>
                <w:lang w:val="fr-FR"/>
              </w:rPr>
              <w:t xml:space="preserve">. </w:t>
            </w:r>
            <w:r w:rsidR="00A74381" w:rsidRPr="00E7307A">
              <w:rPr>
                <w:sz w:val="18"/>
                <w:szCs w:val="18"/>
                <w:lang w:val="fr-FR"/>
              </w:rPr>
              <w:t>Le médecin a revu le détenu à la suite d’un appel d’urgence le 10/3/05</w:t>
            </w:r>
            <w:r w:rsidR="00572260" w:rsidRPr="00E7307A">
              <w:rPr>
                <w:sz w:val="18"/>
                <w:szCs w:val="18"/>
                <w:lang w:val="fr-FR"/>
              </w:rPr>
              <w:t>;</w:t>
            </w:r>
            <w:r w:rsidR="00A74381" w:rsidRPr="00E7307A">
              <w:rPr>
                <w:sz w:val="18"/>
                <w:szCs w:val="18"/>
                <w:lang w:val="fr-FR"/>
              </w:rPr>
              <w:t xml:space="preserve"> le détenu était inerte. Il a été admis dans le service de soins intensifs du</w:t>
            </w:r>
            <w:r w:rsidR="00C5375E" w:rsidRPr="00E7307A">
              <w:rPr>
                <w:sz w:val="18"/>
                <w:szCs w:val="18"/>
                <w:lang w:val="fr-FR"/>
              </w:rPr>
              <w:t xml:space="preserve"> </w:t>
            </w:r>
            <w:r w:rsidR="00C5375E" w:rsidRPr="00E7307A">
              <w:rPr>
                <w:i/>
                <w:iCs/>
                <w:sz w:val="18"/>
                <w:szCs w:val="18"/>
                <w:lang w:val="fr-FR"/>
              </w:rPr>
              <w:t>Royal Darwin Hospital</w:t>
            </w:r>
            <w:r w:rsidR="00A74381" w:rsidRPr="00E7307A">
              <w:rPr>
                <w:sz w:val="18"/>
                <w:szCs w:val="18"/>
                <w:lang w:val="fr-FR"/>
              </w:rPr>
              <w:t xml:space="preserve"> où il est décédé</w:t>
            </w:r>
            <w:r w:rsidR="00C5375E" w:rsidRPr="00E7307A">
              <w:rPr>
                <w:sz w:val="18"/>
                <w:szCs w:val="18"/>
                <w:lang w:val="fr-FR"/>
              </w:rPr>
              <w:t xml:space="preserve">. </w:t>
            </w:r>
            <w:r w:rsidR="00A74381" w:rsidRPr="00E7307A">
              <w:rPr>
                <w:sz w:val="18"/>
                <w:szCs w:val="18"/>
                <w:lang w:val="fr-FR"/>
              </w:rPr>
              <w:t>Le</w:t>
            </w:r>
            <w:r w:rsidR="00C5375E" w:rsidRPr="00E7307A">
              <w:rPr>
                <w:sz w:val="18"/>
                <w:szCs w:val="18"/>
                <w:lang w:val="fr-FR"/>
              </w:rPr>
              <w:t xml:space="preserve"> </w:t>
            </w:r>
            <w:r w:rsidR="00C5375E" w:rsidRPr="00E7307A">
              <w:rPr>
                <w:i/>
                <w:iCs/>
                <w:sz w:val="18"/>
                <w:szCs w:val="18"/>
                <w:lang w:val="fr-FR"/>
              </w:rPr>
              <w:t>Coroner</w:t>
            </w:r>
            <w:r w:rsidR="00A74381" w:rsidRPr="00E7307A">
              <w:rPr>
                <w:sz w:val="18"/>
                <w:szCs w:val="18"/>
                <w:lang w:val="fr-FR"/>
              </w:rPr>
              <w:t xml:space="preserve"> a constaté que le défunt avait été correctement soigné d’un bout à l’autre par le personnel médical</w:t>
            </w:r>
            <w:r w:rsidR="00C5375E" w:rsidRPr="00E7307A">
              <w:rPr>
                <w:sz w:val="18"/>
                <w:szCs w:val="18"/>
                <w:lang w:val="fr-FR"/>
              </w:rPr>
              <w:t>.</w:t>
            </w:r>
          </w:p>
          <w:p w:rsidR="00C5375E" w:rsidRPr="00E7307A" w:rsidRDefault="00A74381"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Le</w:t>
            </w:r>
            <w:r w:rsidR="00C5375E" w:rsidRPr="00E7307A">
              <w:rPr>
                <w:sz w:val="18"/>
                <w:szCs w:val="18"/>
                <w:lang w:val="fr-FR"/>
              </w:rPr>
              <w:t xml:space="preserve"> </w:t>
            </w:r>
            <w:r w:rsidR="00C5375E" w:rsidRPr="00E7307A">
              <w:rPr>
                <w:i/>
                <w:iCs/>
                <w:sz w:val="18"/>
                <w:szCs w:val="18"/>
                <w:lang w:val="fr-FR"/>
              </w:rPr>
              <w:t xml:space="preserve">Coroner </w:t>
            </w:r>
            <w:r w:rsidR="00682A00" w:rsidRPr="00E7307A">
              <w:rPr>
                <w:sz w:val="18"/>
                <w:szCs w:val="18"/>
                <w:lang w:val="fr-FR"/>
              </w:rPr>
              <w:t>a constaté que le système de vidéosurveillance utilisé par les gardiens chargés des observations médicales n’était pas satisfaisant, n’ayant pas permis de venir en aide au défunt en l’occurence</w:t>
            </w:r>
            <w:r w:rsidR="00C5375E" w:rsidRPr="00E7307A">
              <w:rPr>
                <w:sz w:val="18"/>
                <w:szCs w:val="18"/>
                <w:lang w:val="fr-FR"/>
              </w:rPr>
              <w:t>.</w:t>
            </w:r>
          </w:p>
        </w:tc>
        <w:tc>
          <w:tcPr>
            <w:tcW w:w="2686" w:type="dxa"/>
            <w:tcBorders>
              <w:top w:val="single" w:sz="4" w:space="0" w:color="auto"/>
              <w:left w:val="single" w:sz="4" w:space="0" w:color="000000"/>
              <w:bottom w:val="single" w:sz="4" w:space="0" w:color="auto"/>
              <w:right w:val="single" w:sz="4" w:space="0" w:color="000000"/>
            </w:tcBorders>
          </w:tcPr>
          <w:p w:rsidR="00C5375E" w:rsidRPr="00E7307A" w:rsidRDefault="00EA408C"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Le système d’</w:t>
            </w:r>
            <w:r w:rsidR="00C5375E" w:rsidRPr="00E7307A">
              <w:rPr>
                <w:sz w:val="18"/>
                <w:szCs w:val="18"/>
                <w:lang w:val="fr-FR"/>
              </w:rPr>
              <w:t>observation</w:t>
            </w:r>
            <w:r w:rsidRPr="00E7307A">
              <w:rPr>
                <w:sz w:val="18"/>
                <w:szCs w:val="18"/>
                <w:lang w:val="fr-FR"/>
              </w:rPr>
              <w:t xml:space="preserve"> médicale des détenus a été modifié peu après ce décès</w:t>
            </w:r>
            <w:r w:rsidR="00C5375E" w:rsidRPr="00E7307A">
              <w:rPr>
                <w:sz w:val="18"/>
                <w:szCs w:val="18"/>
                <w:lang w:val="fr-FR"/>
              </w:rPr>
              <w:t xml:space="preserve">. </w:t>
            </w:r>
            <w:r w:rsidRPr="00E7307A">
              <w:rPr>
                <w:sz w:val="18"/>
                <w:szCs w:val="18"/>
                <w:lang w:val="fr-FR"/>
              </w:rPr>
              <w:t>En</w:t>
            </w:r>
            <w:r w:rsidR="00C5375E" w:rsidRPr="00E7307A">
              <w:rPr>
                <w:sz w:val="18"/>
                <w:szCs w:val="18"/>
                <w:lang w:val="fr-FR"/>
              </w:rPr>
              <w:t xml:space="preserve"> </w:t>
            </w:r>
            <w:r w:rsidRPr="00E7307A">
              <w:rPr>
                <w:sz w:val="18"/>
                <w:szCs w:val="18"/>
                <w:lang w:val="fr-FR"/>
              </w:rPr>
              <w:t>décembre</w:t>
            </w:r>
            <w:r w:rsidR="00C5375E" w:rsidRPr="00E7307A">
              <w:rPr>
                <w:sz w:val="18"/>
                <w:szCs w:val="18"/>
                <w:lang w:val="fr-FR"/>
              </w:rPr>
              <w:t xml:space="preserve"> 2</w:t>
            </w:r>
            <w:r w:rsidRPr="00E7307A">
              <w:rPr>
                <w:sz w:val="18"/>
                <w:szCs w:val="18"/>
                <w:lang w:val="fr-FR"/>
              </w:rPr>
              <w:t>005, une procédure a été mise en place, dans le cadre de laquelle</w:t>
            </w:r>
            <w:r w:rsidR="00C5375E" w:rsidRPr="00E7307A">
              <w:rPr>
                <w:sz w:val="18"/>
                <w:szCs w:val="18"/>
                <w:lang w:val="fr-FR"/>
              </w:rPr>
              <w:t xml:space="preserve"> “</w:t>
            </w:r>
            <w:r w:rsidRPr="00E7307A">
              <w:rPr>
                <w:sz w:val="18"/>
                <w:szCs w:val="18"/>
                <w:lang w:val="fr-FR"/>
              </w:rPr>
              <w:t>l’</w:t>
            </w:r>
            <w:r w:rsidR="00C5375E" w:rsidRPr="00E7307A">
              <w:rPr>
                <w:sz w:val="18"/>
                <w:szCs w:val="18"/>
                <w:lang w:val="fr-FR"/>
              </w:rPr>
              <w:t>observation</w:t>
            </w:r>
            <w:r w:rsidRPr="00E7307A">
              <w:rPr>
                <w:sz w:val="18"/>
                <w:szCs w:val="18"/>
                <w:lang w:val="fr-FR"/>
              </w:rPr>
              <w:t xml:space="preserve"> médicale</w:t>
            </w:r>
            <w:r w:rsidR="00C5375E" w:rsidRPr="00E7307A">
              <w:rPr>
                <w:sz w:val="18"/>
                <w:szCs w:val="18"/>
                <w:lang w:val="fr-FR"/>
              </w:rPr>
              <w:t>”</w:t>
            </w:r>
            <w:r w:rsidRPr="00E7307A">
              <w:rPr>
                <w:sz w:val="18"/>
                <w:szCs w:val="18"/>
                <w:lang w:val="fr-FR"/>
              </w:rPr>
              <w:t xml:space="preserve"> est effectuée par un infirmier dans </w:t>
            </w:r>
            <w:r w:rsidR="005B1CED" w:rsidRPr="00E7307A">
              <w:rPr>
                <w:sz w:val="18"/>
                <w:szCs w:val="18"/>
                <w:lang w:val="fr-FR"/>
              </w:rPr>
              <w:t>le centre de soins de la prison</w:t>
            </w:r>
            <w:r w:rsidR="00C5375E" w:rsidRPr="00E7307A">
              <w:rPr>
                <w:sz w:val="18"/>
                <w:szCs w:val="18"/>
                <w:lang w:val="fr-FR"/>
              </w:rPr>
              <w:t>.</w:t>
            </w:r>
          </w:p>
        </w:tc>
      </w:tr>
      <w:tr w:rsidR="00116C8A" w:rsidRPr="00E7307A" w:rsidTr="00141915">
        <w:tc>
          <w:tcPr>
            <w:tcW w:w="1078" w:type="dxa"/>
            <w:tcBorders>
              <w:top w:val="single" w:sz="4" w:space="0" w:color="auto"/>
              <w:left w:val="single" w:sz="4" w:space="0" w:color="auto"/>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F</w:t>
            </w:r>
            <w:r w:rsidR="00D75952">
              <w:rPr>
                <w:sz w:val="18"/>
                <w:szCs w:val="18"/>
                <w:lang w:val="fr-FR"/>
              </w:rPr>
              <w:t>.</w:t>
            </w:r>
            <w:r w:rsidR="00FF6ABB" w:rsidRPr="00E7307A">
              <w:rPr>
                <w:sz w:val="18"/>
                <w:szCs w:val="18"/>
                <w:lang w:val="fr-FR"/>
              </w:rPr>
              <w:t xml:space="preserve"> </w:t>
            </w:r>
            <w:r w:rsidRPr="00E7307A">
              <w:rPr>
                <w:sz w:val="18"/>
                <w:szCs w:val="18"/>
                <w:lang w:val="fr-FR"/>
              </w:rPr>
              <w:t>Peterson</w:t>
            </w:r>
          </w:p>
        </w:tc>
        <w:tc>
          <w:tcPr>
            <w:tcW w:w="79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24/7/05</w:t>
            </w:r>
          </w:p>
        </w:tc>
        <w:tc>
          <w:tcPr>
            <w:tcW w:w="1813"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Alice Springs Correctional Centre</w:t>
            </w:r>
          </w:p>
        </w:tc>
        <w:tc>
          <w:tcPr>
            <w:tcW w:w="56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M</w:t>
            </w:r>
          </w:p>
        </w:tc>
        <w:tc>
          <w:tcPr>
            <w:tcW w:w="56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30</w:t>
            </w:r>
          </w:p>
        </w:tc>
        <w:tc>
          <w:tcPr>
            <w:tcW w:w="1255" w:type="dxa"/>
            <w:tcBorders>
              <w:top w:val="single" w:sz="4" w:space="0" w:color="auto"/>
              <w:left w:val="single" w:sz="4" w:space="0" w:color="000000"/>
              <w:bottom w:val="single" w:sz="4" w:space="0" w:color="auto"/>
              <w:right w:val="single" w:sz="4" w:space="0" w:color="000000"/>
            </w:tcBorders>
          </w:tcPr>
          <w:p w:rsidR="00116C8A" w:rsidRPr="00E7307A" w:rsidRDefault="009F5FC8"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Australie</w:t>
            </w:r>
            <w:r w:rsidR="00116C8A" w:rsidRPr="00E7307A">
              <w:rPr>
                <w:sz w:val="18"/>
                <w:szCs w:val="18"/>
                <w:lang w:val="fr-FR"/>
              </w:rPr>
              <w:t>n</w:t>
            </w:r>
            <w:r w:rsidRPr="00E7307A">
              <w:rPr>
                <w:sz w:val="18"/>
                <w:szCs w:val="18"/>
                <w:lang w:val="fr-FR"/>
              </w:rPr>
              <w:t xml:space="preserve"> aborigène</w:t>
            </w:r>
          </w:p>
        </w:tc>
        <w:tc>
          <w:tcPr>
            <w:tcW w:w="1582" w:type="dxa"/>
            <w:tcBorders>
              <w:top w:val="single" w:sz="4" w:space="0" w:color="auto"/>
              <w:left w:val="single" w:sz="4" w:space="0" w:color="000000"/>
              <w:bottom w:val="single" w:sz="4" w:space="0" w:color="auto"/>
              <w:right w:val="single" w:sz="4" w:space="0" w:color="000000"/>
            </w:tcBorders>
          </w:tcPr>
          <w:p w:rsidR="00116C8A" w:rsidRPr="00E7307A" w:rsidRDefault="009F5FC8"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Lésion alvéolaire diffuse</w:t>
            </w:r>
            <w:r w:rsidR="00572260" w:rsidRPr="00E7307A">
              <w:rPr>
                <w:sz w:val="18"/>
                <w:szCs w:val="18"/>
                <w:lang w:val="fr-FR"/>
              </w:rPr>
              <w:t>:</w:t>
            </w:r>
            <w:r w:rsidR="00116C8A" w:rsidRPr="00E7307A">
              <w:rPr>
                <w:sz w:val="18"/>
                <w:szCs w:val="18"/>
                <w:lang w:val="fr-FR"/>
              </w:rPr>
              <w:t xml:space="preserve"> complic</w:t>
            </w:r>
            <w:r w:rsidRPr="00E7307A">
              <w:rPr>
                <w:sz w:val="18"/>
                <w:szCs w:val="18"/>
                <w:lang w:val="fr-FR"/>
              </w:rPr>
              <w:t>ation à la suite d’une endocardite bactérienne</w:t>
            </w:r>
            <w:r w:rsidR="00116C8A" w:rsidRPr="00E7307A">
              <w:rPr>
                <w:sz w:val="18"/>
                <w:szCs w:val="18"/>
                <w:lang w:val="fr-FR"/>
              </w:rPr>
              <w:t>.</w:t>
            </w:r>
          </w:p>
        </w:tc>
        <w:tc>
          <w:tcPr>
            <w:tcW w:w="2975" w:type="dxa"/>
            <w:tcBorders>
              <w:top w:val="single" w:sz="4" w:space="0" w:color="auto"/>
              <w:left w:val="single" w:sz="4" w:space="0" w:color="000000"/>
              <w:bottom w:val="single" w:sz="4" w:space="0" w:color="auto"/>
              <w:right w:val="single" w:sz="4" w:space="0" w:color="000000"/>
            </w:tcBorders>
          </w:tcPr>
          <w:p w:rsidR="00116C8A" w:rsidRPr="00E7307A" w:rsidRDefault="009F5FC8"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Les soins, la surveillance et le traitement ont été adéquats</w:t>
            </w:r>
            <w:r w:rsidR="00116C8A" w:rsidRPr="00E7307A">
              <w:rPr>
                <w:sz w:val="18"/>
                <w:szCs w:val="18"/>
                <w:lang w:val="fr-FR"/>
              </w:rPr>
              <w:t xml:space="preserve">. </w:t>
            </w:r>
            <w:r w:rsidRPr="00E7307A">
              <w:rPr>
                <w:sz w:val="18"/>
                <w:szCs w:val="18"/>
                <w:lang w:val="fr-FR"/>
              </w:rPr>
              <w:t>L’intéressé est décédé de causes naturelles.</w:t>
            </w:r>
          </w:p>
        </w:tc>
        <w:tc>
          <w:tcPr>
            <w:tcW w:w="2686" w:type="dxa"/>
            <w:tcBorders>
              <w:top w:val="single" w:sz="4" w:space="0" w:color="auto"/>
              <w:left w:val="single" w:sz="4" w:space="0" w:color="000000"/>
              <w:bottom w:val="single" w:sz="4" w:space="0" w:color="auto"/>
              <w:right w:val="single" w:sz="4" w:space="0" w:color="auto"/>
            </w:tcBorders>
          </w:tcPr>
          <w:p w:rsidR="00116C8A" w:rsidRPr="00E7307A" w:rsidRDefault="009F5FC8" w:rsidP="005D7B68">
            <w:pPr>
              <w:tabs>
                <w:tab w:val="left" w:pos="567"/>
                <w:tab w:val="left" w:pos="1134"/>
                <w:tab w:val="left" w:pos="1701"/>
                <w:tab w:val="left" w:pos="2268"/>
                <w:tab w:val="left" w:pos="2835"/>
              </w:tabs>
              <w:spacing w:before="20" w:after="20"/>
              <w:rPr>
                <w:sz w:val="18"/>
                <w:szCs w:val="18"/>
              </w:rPr>
            </w:pPr>
            <w:r w:rsidRPr="00E7307A">
              <w:rPr>
                <w:sz w:val="18"/>
                <w:szCs w:val="18"/>
              </w:rPr>
              <w:t>Aucune recommandation</w:t>
            </w:r>
          </w:p>
        </w:tc>
      </w:tr>
      <w:tr w:rsidR="00116C8A" w:rsidRPr="00E7307A" w:rsidTr="00141915">
        <w:tc>
          <w:tcPr>
            <w:tcW w:w="1078" w:type="dxa"/>
            <w:tcBorders>
              <w:top w:val="single" w:sz="4" w:space="0" w:color="auto"/>
              <w:left w:val="single" w:sz="4" w:space="0" w:color="auto"/>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P</w:t>
            </w:r>
            <w:r w:rsidR="00FF6ABB" w:rsidRPr="00E7307A">
              <w:rPr>
                <w:sz w:val="18"/>
                <w:szCs w:val="18"/>
                <w:lang w:val="fr-FR"/>
              </w:rPr>
              <w:t>.</w:t>
            </w:r>
            <w:r w:rsidRPr="00E7307A">
              <w:rPr>
                <w:sz w:val="18"/>
                <w:szCs w:val="18"/>
                <w:lang w:val="fr-FR"/>
              </w:rPr>
              <w:t xml:space="preserve"> Heenan</w:t>
            </w:r>
          </w:p>
        </w:tc>
        <w:tc>
          <w:tcPr>
            <w:tcW w:w="79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16/9/06</w:t>
            </w:r>
          </w:p>
        </w:tc>
        <w:tc>
          <w:tcPr>
            <w:tcW w:w="1813"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Darwin Prison, Berrimah</w:t>
            </w:r>
          </w:p>
        </w:tc>
        <w:tc>
          <w:tcPr>
            <w:tcW w:w="56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M</w:t>
            </w:r>
          </w:p>
        </w:tc>
        <w:tc>
          <w:tcPr>
            <w:tcW w:w="567" w:type="dxa"/>
            <w:tcBorders>
              <w:top w:val="single" w:sz="4" w:space="0" w:color="auto"/>
              <w:left w:val="single" w:sz="4" w:space="0" w:color="000000"/>
              <w:bottom w:val="single" w:sz="4" w:space="0" w:color="auto"/>
              <w:right w:val="single" w:sz="4" w:space="0" w:color="000000"/>
            </w:tcBorders>
          </w:tcPr>
          <w:p w:rsidR="00116C8A" w:rsidRPr="00E7307A" w:rsidRDefault="00116C8A"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50</w:t>
            </w:r>
          </w:p>
        </w:tc>
        <w:tc>
          <w:tcPr>
            <w:tcW w:w="1255" w:type="dxa"/>
            <w:tcBorders>
              <w:top w:val="single" w:sz="4" w:space="0" w:color="auto"/>
              <w:left w:val="single" w:sz="4" w:space="0" w:color="000000"/>
              <w:bottom w:val="single" w:sz="4" w:space="0" w:color="auto"/>
              <w:right w:val="single" w:sz="4" w:space="0" w:color="000000"/>
            </w:tcBorders>
          </w:tcPr>
          <w:p w:rsidR="00116C8A" w:rsidRPr="00E7307A" w:rsidRDefault="00FF6ABB"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Australie</w:t>
            </w:r>
            <w:r w:rsidR="00116C8A" w:rsidRPr="00E7307A">
              <w:rPr>
                <w:sz w:val="18"/>
                <w:szCs w:val="18"/>
                <w:lang w:val="fr-FR"/>
              </w:rPr>
              <w:t>n</w:t>
            </w:r>
            <w:r w:rsidR="009F5FC8" w:rsidRPr="00E7307A">
              <w:rPr>
                <w:sz w:val="18"/>
                <w:szCs w:val="18"/>
                <w:lang w:val="fr-FR"/>
              </w:rPr>
              <w:t xml:space="preserve"> aborigène</w:t>
            </w:r>
          </w:p>
        </w:tc>
        <w:tc>
          <w:tcPr>
            <w:tcW w:w="1582" w:type="dxa"/>
            <w:tcBorders>
              <w:top w:val="single" w:sz="4" w:space="0" w:color="auto"/>
              <w:left w:val="single" w:sz="4" w:space="0" w:color="000000"/>
              <w:bottom w:val="single" w:sz="4" w:space="0" w:color="000000"/>
              <w:right w:val="single" w:sz="4" w:space="0" w:color="000000"/>
            </w:tcBorders>
          </w:tcPr>
          <w:p w:rsidR="00116C8A" w:rsidRPr="00E7307A" w:rsidRDefault="009F5FC8"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Athérosclérose coronarienne: due en partie à un diabète sucré associé à de</w:t>
            </w:r>
            <w:r w:rsidR="00116C8A" w:rsidRPr="00E7307A">
              <w:rPr>
                <w:sz w:val="18"/>
                <w:szCs w:val="18"/>
                <w:lang w:val="fr-FR"/>
              </w:rPr>
              <w:t xml:space="preserve"> </w:t>
            </w:r>
            <w:r w:rsidRPr="00E7307A">
              <w:rPr>
                <w:sz w:val="18"/>
                <w:szCs w:val="18"/>
                <w:lang w:val="fr-FR"/>
              </w:rPr>
              <w:t>l’</w:t>
            </w:r>
            <w:r w:rsidR="00116C8A" w:rsidRPr="00E7307A">
              <w:rPr>
                <w:sz w:val="18"/>
                <w:szCs w:val="18"/>
                <w:lang w:val="fr-FR"/>
              </w:rPr>
              <w:t>hy</w:t>
            </w:r>
            <w:r w:rsidRPr="00E7307A">
              <w:rPr>
                <w:sz w:val="18"/>
                <w:szCs w:val="18"/>
                <w:lang w:val="fr-FR"/>
              </w:rPr>
              <w:t>pertension et à une hépatite</w:t>
            </w:r>
            <w:r w:rsidR="00572260" w:rsidRPr="00E7307A">
              <w:rPr>
                <w:sz w:val="18"/>
                <w:szCs w:val="18"/>
                <w:lang w:val="fr-FR"/>
              </w:rPr>
              <w:t xml:space="preserve"> </w:t>
            </w:r>
            <w:r w:rsidRPr="00E7307A">
              <w:rPr>
                <w:sz w:val="18"/>
                <w:szCs w:val="18"/>
                <w:lang w:val="fr-FR"/>
              </w:rPr>
              <w:t>chronique</w:t>
            </w:r>
            <w:r w:rsidR="00116C8A" w:rsidRPr="00E7307A">
              <w:rPr>
                <w:sz w:val="18"/>
                <w:szCs w:val="18"/>
                <w:lang w:val="fr-FR"/>
              </w:rPr>
              <w:t>.</w:t>
            </w:r>
          </w:p>
        </w:tc>
        <w:tc>
          <w:tcPr>
            <w:tcW w:w="2975" w:type="dxa"/>
            <w:tcBorders>
              <w:top w:val="single" w:sz="4" w:space="0" w:color="auto"/>
              <w:left w:val="single" w:sz="4" w:space="0" w:color="000000"/>
              <w:bottom w:val="single" w:sz="4" w:space="0" w:color="000000"/>
              <w:right w:val="single" w:sz="4" w:space="0" w:color="000000"/>
            </w:tcBorders>
          </w:tcPr>
          <w:p w:rsidR="00116C8A" w:rsidRPr="00E7307A" w:rsidRDefault="002B420F" w:rsidP="005D7B68">
            <w:pPr>
              <w:tabs>
                <w:tab w:val="left" w:pos="567"/>
                <w:tab w:val="left" w:pos="1134"/>
                <w:tab w:val="left" w:pos="1701"/>
                <w:tab w:val="left" w:pos="2268"/>
                <w:tab w:val="left" w:pos="2835"/>
              </w:tabs>
              <w:spacing w:before="20" w:after="20"/>
              <w:rPr>
                <w:sz w:val="18"/>
                <w:szCs w:val="18"/>
                <w:lang w:val="fr-FR"/>
              </w:rPr>
            </w:pPr>
            <w:r w:rsidRPr="00E7307A">
              <w:rPr>
                <w:sz w:val="18"/>
                <w:szCs w:val="18"/>
                <w:lang w:val="fr-FR"/>
              </w:rPr>
              <w:t>Les soins, la surveillance et le traitement ont été adéquats. L’intéressé est décédé de causes naturelles.</w:t>
            </w:r>
          </w:p>
        </w:tc>
        <w:tc>
          <w:tcPr>
            <w:tcW w:w="2686" w:type="dxa"/>
            <w:tcBorders>
              <w:top w:val="single" w:sz="4" w:space="0" w:color="auto"/>
              <w:left w:val="single" w:sz="4" w:space="0" w:color="000000"/>
              <w:bottom w:val="single" w:sz="4" w:space="0" w:color="000000"/>
              <w:right w:val="single" w:sz="4" w:space="0" w:color="auto"/>
            </w:tcBorders>
          </w:tcPr>
          <w:p w:rsidR="00116C8A" w:rsidRPr="00E7307A" w:rsidRDefault="009F5FC8" w:rsidP="005D7B68">
            <w:pPr>
              <w:tabs>
                <w:tab w:val="left" w:pos="567"/>
                <w:tab w:val="left" w:pos="1134"/>
                <w:tab w:val="left" w:pos="1701"/>
                <w:tab w:val="left" w:pos="2268"/>
                <w:tab w:val="left" w:pos="2835"/>
              </w:tabs>
              <w:spacing w:before="20" w:after="20"/>
              <w:rPr>
                <w:sz w:val="18"/>
                <w:szCs w:val="18"/>
              </w:rPr>
            </w:pPr>
            <w:r w:rsidRPr="00E7307A">
              <w:rPr>
                <w:sz w:val="18"/>
                <w:szCs w:val="18"/>
              </w:rPr>
              <w:t>Aucune recommandation</w:t>
            </w:r>
          </w:p>
        </w:tc>
      </w:tr>
    </w:tbl>
    <w:p w:rsidR="00BB522A" w:rsidRPr="00EA408C" w:rsidRDefault="00BB522A" w:rsidP="005D7B68">
      <w:pPr>
        <w:tabs>
          <w:tab w:val="left" w:pos="567"/>
          <w:tab w:val="left" w:pos="1134"/>
          <w:tab w:val="left" w:pos="1701"/>
          <w:tab w:val="left" w:pos="2268"/>
          <w:tab w:val="left" w:pos="2835"/>
        </w:tabs>
        <w:rPr>
          <w:lang w:val="fr-FR"/>
        </w:rPr>
      </w:pPr>
    </w:p>
    <w:p w:rsidR="009A7F42" w:rsidRPr="00542DCF" w:rsidRDefault="009A7F42" w:rsidP="005D7B68">
      <w:pPr>
        <w:pStyle w:val="Heading3"/>
        <w:tabs>
          <w:tab w:val="left" w:pos="567"/>
          <w:tab w:val="left" w:pos="1134"/>
          <w:tab w:val="left" w:pos="1701"/>
          <w:tab w:val="left" w:pos="2268"/>
          <w:tab w:val="left" w:pos="2835"/>
        </w:tabs>
        <w:rPr>
          <w:rFonts w:ascii="Times New Roman" w:hAnsi="Times New Roman" w:cs="Times New Roman"/>
          <w:sz w:val="24"/>
          <w:szCs w:val="24"/>
          <w:lang w:val="fr-FR"/>
        </w:rPr>
      </w:pPr>
      <w:bookmarkStart w:id="27" w:name="_Toc193614097"/>
      <w:r w:rsidRPr="00542DCF">
        <w:rPr>
          <w:rFonts w:ascii="Times New Roman" w:hAnsi="Times New Roman" w:cs="Times New Roman"/>
          <w:sz w:val="24"/>
          <w:szCs w:val="24"/>
          <w:lang w:val="fr-FR"/>
        </w:rPr>
        <w:t>Victoria</w:t>
      </w:r>
      <w:bookmarkEnd w:id="27"/>
    </w:p>
    <w:p w:rsidR="009A7F42" w:rsidRPr="00A03523" w:rsidRDefault="00542DCF" w:rsidP="005D7B68">
      <w:pPr>
        <w:tabs>
          <w:tab w:val="left" w:pos="567"/>
          <w:tab w:val="left" w:pos="1134"/>
          <w:tab w:val="left" w:pos="1701"/>
          <w:tab w:val="left" w:pos="2268"/>
          <w:tab w:val="left" w:pos="2835"/>
        </w:tabs>
        <w:rPr>
          <w:i/>
          <w:iCs/>
          <w:lang w:val="fr-FR"/>
        </w:rPr>
      </w:pPr>
      <w:r>
        <w:rPr>
          <w:lang w:val="fr-FR"/>
        </w:rPr>
        <w:t>616</w:t>
      </w:r>
      <w:r w:rsidR="009A7F42" w:rsidRPr="009A7F42">
        <w:rPr>
          <w:lang w:val="fr-FR"/>
        </w:rPr>
        <w:t>.</w:t>
      </w:r>
      <w:r w:rsidR="009A7F42" w:rsidRPr="009A7F42">
        <w:rPr>
          <w:lang w:val="fr-FR"/>
        </w:rPr>
        <w:tab/>
        <w:t>Prière de voir le tab</w:t>
      </w:r>
      <w:r w:rsidR="006712AC">
        <w:rPr>
          <w:lang w:val="fr-FR"/>
        </w:rPr>
        <w:t>leau ci-après dans lequel figure</w:t>
      </w:r>
      <w:r w:rsidR="009A7F42" w:rsidRPr="009A7F42">
        <w:rPr>
          <w:lang w:val="fr-FR"/>
        </w:rPr>
        <w:t xml:space="preserve">nt </w:t>
      </w:r>
      <w:r w:rsidR="009A7F42">
        <w:rPr>
          <w:lang w:val="fr-FR"/>
        </w:rPr>
        <w:t>les statistiques de ces dix de</w:t>
      </w:r>
      <w:r w:rsidR="009A7F42" w:rsidRPr="009A7F42">
        <w:rPr>
          <w:lang w:val="fr-FR"/>
        </w:rPr>
        <w:t>rnières années</w:t>
      </w:r>
      <w:r w:rsidR="009A7F42">
        <w:rPr>
          <w:lang w:val="fr-FR"/>
        </w:rPr>
        <w:t>, avec le</w:t>
      </w:r>
      <w:r w:rsidR="004A34AD">
        <w:rPr>
          <w:lang w:val="fr-FR"/>
        </w:rPr>
        <w:t>s recommandations formulées</w:t>
      </w:r>
      <w:r w:rsidR="00A03523">
        <w:rPr>
          <w:lang w:val="fr-FR"/>
        </w:rPr>
        <w:t xml:space="preserve"> à la </w:t>
      </w:r>
      <w:r w:rsidR="009A7F42">
        <w:rPr>
          <w:lang w:val="fr-FR"/>
        </w:rPr>
        <w:t>suite</w:t>
      </w:r>
      <w:r w:rsidR="00A03523">
        <w:rPr>
          <w:lang w:val="fr-FR"/>
        </w:rPr>
        <w:t xml:space="preserve"> des enquêtes</w:t>
      </w:r>
      <w:r w:rsidR="00EB684E">
        <w:rPr>
          <w:lang w:val="fr-FR"/>
        </w:rPr>
        <w:t xml:space="preserve"> judiciaires menées par le</w:t>
      </w:r>
      <w:r w:rsidR="00A03523">
        <w:rPr>
          <w:lang w:val="fr-FR"/>
        </w:rPr>
        <w:t xml:space="preserve"> </w:t>
      </w:r>
      <w:r w:rsidR="00A03523">
        <w:rPr>
          <w:i/>
          <w:iCs/>
          <w:lang w:val="fr-FR"/>
        </w:rPr>
        <w:t>Coroner.</w:t>
      </w:r>
    </w:p>
    <w:p w:rsidR="009A7F42" w:rsidRPr="00A03523" w:rsidRDefault="009A7F42" w:rsidP="005D7B68">
      <w:pPr>
        <w:pStyle w:val="Heading2"/>
        <w:tabs>
          <w:tab w:val="left" w:pos="567"/>
          <w:tab w:val="left" w:pos="1134"/>
          <w:tab w:val="left" w:pos="1701"/>
          <w:tab w:val="left" w:pos="2268"/>
          <w:tab w:val="left" w:pos="2835"/>
        </w:tabs>
        <w:rPr>
          <w:lang w:val="fr-FR"/>
        </w:rPr>
      </w:pPr>
      <w:bookmarkStart w:id="28" w:name="_Toc193614098"/>
      <w:r w:rsidRPr="00A03523">
        <w:rPr>
          <w:lang w:val="fr-FR"/>
        </w:rPr>
        <w:t>Victoria</w:t>
      </w:r>
      <w:r w:rsidR="00A03523" w:rsidRPr="00A03523">
        <w:rPr>
          <w:lang w:val="fr-FR"/>
        </w:rPr>
        <w:t xml:space="preserve"> – Décès en détention provisoire</w:t>
      </w:r>
      <w:bookmarkEnd w:id="28"/>
    </w:p>
    <w:p w:rsidR="009A7F42" w:rsidRPr="00122FD1" w:rsidRDefault="00A03523" w:rsidP="005D7B68">
      <w:pPr>
        <w:tabs>
          <w:tab w:val="left" w:pos="567"/>
          <w:tab w:val="left" w:pos="1134"/>
          <w:tab w:val="left" w:pos="1701"/>
          <w:tab w:val="left" w:pos="2268"/>
          <w:tab w:val="left" w:pos="2835"/>
        </w:tabs>
        <w:spacing w:after="0"/>
        <w:rPr>
          <w:b/>
          <w:sz w:val="22"/>
          <w:szCs w:val="22"/>
          <w:lang w:val="fr-FR"/>
        </w:rPr>
      </w:pPr>
      <w:r w:rsidRPr="00122FD1">
        <w:rPr>
          <w:b/>
          <w:sz w:val="22"/>
          <w:szCs w:val="22"/>
          <w:lang w:val="fr-FR"/>
        </w:rPr>
        <w:t>LISTE DES ABRÉVIATIONS</w:t>
      </w:r>
      <w:r w:rsidR="009A7F42" w:rsidRPr="00122FD1">
        <w:rPr>
          <w:b/>
          <w:sz w:val="22"/>
          <w:szCs w:val="22"/>
          <w:lang w:val="fr-FR"/>
        </w:rPr>
        <w:t xml:space="preserve">: </w:t>
      </w:r>
    </w:p>
    <w:p w:rsidR="009A7F42" w:rsidRPr="00122FD1" w:rsidRDefault="00A03523" w:rsidP="005D7B68">
      <w:pPr>
        <w:tabs>
          <w:tab w:val="left" w:pos="567"/>
          <w:tab w:val="left" w:pos="1134"/>
          <w:tab w:val="left" w:pos="1701"/>
          <w:tab w:val="left" w:pos="2268"/>
          <w:tab w:val="left" w:pos="2835"/>
        </w:tabs>
        <w:spacing w:after="0"/>
        <w:rPr>
          <w:b/>
          <w:i/>
          <w:sz w:val="22"/>
          <w:szCs w:val="22"/>
          <w:lang w:val="fr-FR"/>
        </w:rPr>
      </w:pPr>
      <w:r w:rsidRPr="00122FD1">
        <w:rPr>
          <w:b/>
          <w:i/>
          <w:sz w:val="22"/>
          <w:szCs w:val="22"/>
          <w:lang w:val="fr-FR"/>
        </w:rPr>
        <w:t>Établissements de détention</w:t>
      </w:r>
      <w:r w:rsidR="009A7F42" w:rsidRPr="00122FD1">
        <w:rPr>
          <w:b/>
          <w:i/>
          <w:sz w:val="22"/>
          <w:szCs w:val="22"/>
          <w:lang w:val="fr-FR"/>
        </w:rPr>
        <w:t>:</w:t>
      </w:r>
    </w:p>
    <w:p w:rsidR="009A7F42" w:rsidRPr="00122FD1" w:rsidRDefault="009A7F42" w:rsidP="005D7B68">
      <w:pPr>
        <w:tabs>
          <w:tab w:val="left" w:pos="567"/>
          <w:tab w:val="left" w:pos="900"/>
          <w:tab w:val="left" w:pos="1134"/>
          <w:tab w:val="left" w:pos="1701"/>
          <w:tab w:val="left" w:pos="2268"/>
          <w:tab w:val="left" w:pos="2835"/>
        </w:tabs>
        <w:spacing w:after="0"/>
        <w:rPr>
          <w:sz w:val="22"/>
          <w:szCs w:val="22"/>
          <w:lang w:val="fr-FR"/>
        </w:rPr>
      </w:pPr>
      <w:r w:rsidRPr="00122FD1">
        <w:rPr>
          <w:sz w:val="22"/>
          <w:szCs w:val="22"/>
          <w:lang w:val="fr-FR"/>
        </w:rPr>
        <w:t>PPP:</w:t>
      </w:r>
      <w:r w:rsidR="00E7307A" w:rsidRPr="00122FD1">
        <w:rPr>
          <w:sz w:val="22"/>
          <w:szCs w:val="22"/>
          <w:lang w:val="fr-FR"/>
        </w:rPr>
        <w:tab/>
      </w:r>
      <w:r w:rsidR="00E7307A" w:rsidRPr="00122FD1">
        <w:rPr>
          <w:sz w:val="22"/>
          <w:szCs w:val="22"/>
          <w:lang w:val="fr-FR"/>
        </w:rPr>
        <w:tab/>
      </w:r>
      <w:r w:rsidRPr="00122FD1">
        <w:rPr>
          <w:sz w:val="22"/>
          <w:szCs w:val="22"/>
          <w:lang w:val="fr-FR"/>
        </w:rPr>
        <w:t>Port Phillip Prison</w:t>
      </w:r>
    </w:p>
    <w:p w:rsidR="009A7F42" w:rsidRPr="00122FD1" w:rsidRDefault="00E7307A" w:rsidP="005D7B68">
      <w:pPr>
        <w:tabs>
          <w:tab w:val="left" w:pos="567"/>
          <w:tab w:val="left" w:pos="900"/>
          <w:tab w:val="left" w:pos="1134"/>
          <w:tab w:val="left" w:pos="1701"/>
          <w:tab w:val="left" w:pos="2268"/>
          <w:tab w:val="left" w:pos="2835"/>
        </w:tabs>
        <w:spacing w:after="0"/>
        <w:rPr>
          <w:sz w:val="22"/>
          <w:szCs w:val="22"/>
          <w:lang w:val="fr-FR"/>
        </w:rPr>
      </w:pPr>
      <w:r w:rsidRPr="00122FD1">
        <w:rPr>
          <w:sz w:val="22"/>
          <w:szCs w:val="22"/>
          <w:lang w:val="fr-FR"/>
        </w:rPr>
        <w:t>MAP:</w:t>
      </w:r>
      <w:r w:rsidRPr="00122FD1">
        <w:rPr>
          <w:sz w:val="22"/>
          <w:szCs w:val="22"/>
          <w:lang w:val="fr-FR"/>
        </w:rPr>
        <w:tab/>
      </w:r>
      <w:r w:rsidR="009A7F42" w:rsidRPr="00122FD1">
        <w:rPr>
          <w:sz w:val="22"/>
          <w:szCs w:val="22"/>
          <w:lang w:val="fr-FR"/>
        </w:rPr>
        <w:t>Melbourne Assessment Prison</w:t>
      </w:r>
    </w:p>
    <w:p w:rsidR="009A7F42" w:rsidRPr="00122FD1" w:rsidRDefault="009A7F42" w:rsidP="005D7B68">
      <w:pPr>
        <w:tabs>
          <w:tab w:val="left" w:pos="567"/>
          <w:tab w:val="left" w:pos="900"/>
          <w:tab w:val="left" w:pos="1134"/>
          <w:tab w:val="left" w:pos="1701"/>
          <w:tab w:val="left" w:pos="2268"/>
          <w:tab w:val="left" w:pos="2835"/>
        </w:tabs>
        <w:spacing w:after="0"/>
        <w:rPr>
          <w:sz w:val="22"/>
          <w:szCs w:val="22"/>
          <w:lang w:val="fr-FR"/>
        </w:rPr>
      </w:pPr>
      <w:r w:rsidRPr="00122FD1">
        <w:rPr>
          <w:sz w:val="22"/>
          <w:szCs w:val="22"/>
          <w:lang w:val="fr-FR"/>
        </w:rPr>
        <w:t xml:space="preserve">FCC: </w:t>
      </w:r>
      <w:r w:rsidR="00E7307A" w:rsidRPr="00122FD1">
        <w:rPr>
          <w:sz w:val="22"/>
          <w:szCs w:val="22"/>
          <w:lang w:val="fr-FR"/>
        </w:rPr>
        <w:tab/>
      </w:r>
      <w:r w:rsidRPr="00122FD1">
        <w:rPr>
          <w:sz w:val="22"/>
          <w:szCs w:val="22"/>
          <w:lang w:val="fr-FR"/>
        </w:rPr>
        <w:t>Fulham Correctional Centre</w:t>
      </w:r>
    </w:p>
    <w:p w:rsidR="009A7F42" w:rsidRPr="00122FD1" w:rsidRDefault="009A7F42" w:rsidP="005D7B68">
      <w:pPr>
        <w:tabs>
          <w:tab w:val="left" w:pos="567"/>
          <w:tab w:val="left" w:pos="900"/>
          <w:tab w:val="left" w:pos="1134"/>
          <w:tab w:val="left" w:pos="1701"/>
          <w:tab w:val="left" w:pos="2268"/>
          <w:tab w:val="left" w:pos="2835"/>
        </w:tabs>
        <w:spacing w:after="0"/>
        <w:rPr>
          <w:sz w:val="22"/>
          <w:szCs w:val="22"/>
          <w:lang w:val="fr-FR"/>
        </w:rPr>
      </w:pPr>
      <w:r w:rsidRPr="00122FD1">
        <w:rPr>
          <w:sz w:val="22"/>
          <w:szCs w:val="22"/>
          <w:lang w:val="fr-FR"/>
        </w:rPr>
        <w:t>MWCC:</w:t>
      </w:r>
      <w:r w:rsidR="00E7307A" w:rsidRPr="00122FD1">
        <w:rPr>
          <w:sz w:val="22"/>
          <w:szCs w:val="22"/>
          <w:lang w:val="fr-FR"/>
        </w:rPr>
        <w:tab/>
      </w:r>
      <w:r w:rsidRPr="00122FD1">
        <w:rPr>
          <w:sz w:val="22"/>
          <w:szCs w:val="22"/>
          <w:lang w:val="fr-FR"/>
        </w:rPr>
        <w:t>Metropolitan Women’s Correctional Centre</w:t>
      </w:r>
    </w:p>
    <w:p w:rsidR="009A7F42" w:rsidRPr="00122FD1" w:rsidRDefault="009A7F42" w:rsidP="005D7B68">
      <w:pPr>
        <w:tabs>
          <w:tab w:val="left" w:pos="567"/>
          <w:tab w:val="left" w:pos="900"/>
          <w:tab w:val="left" w:pos="1134"/>
          <w:tab w:val="left" w:pos="1701"/>
          <w:tab w:val="left" w:pos="2268"/>
          <w:tab w:val="left" w:pos="2835"/>
        </w:tabs>
        <w:spacing w:after="0"/>
        <w:rPr>
          <w:sz w:val="22"/>
          <w:szCs w:val="22"/>
          <w:lang w:val="fr-FR"/>
        </w:rPr>
      </w:pPr>
      <w:r w:rsidRPr="00122FD1">
        <w:rPr>
          <w:sz w:val="22"/>
          <w:szCs w:val="22"/>
          <w:lang w:val="fr-FR"/>
        </w:rPr>
        <w:t xml:space="preserve">DPFC: </w:t>
      </w:r>
      <w:r w:rsidR="00E7307A" w:rsidRPr="00122FD1">
        <w:rPr>
          <w:sz w:val="22"/>
          <w:szCs w:val="22"/>
          <w:lang w:val="fr-FR"/>
        </w:rPr>
        <w:tab/>
      </w:r>
      <w:r w:rsidRPr="00122FD1">
        <w:rPr>
          <w:sz w:val="22"/>
          <w:szCs w:val="22"/>
          <w:lang w:val="fr-FR"/>
        </w:rPr>
        <w:t>Dame Phyllis Frost Centre</w:t>
      </w:r>
    </w:p>
    <w:p w:rsidR="009A7F42" w:rsidRPr="00122FD1" w:rsidRDefault="00656450" w:rsidP="005D7B68">
      <w:pPr>
        <w:tabs>
          <w:tab w:val="left" w:pos="567"/>
          <w:tab w:val="left" w:pos="1134"/>
          <w:tab w:val="left" w:pos="1701"/>
          <w:tab w:val="left" w:pos="2268"/>
          <w:tab w:val="left" w:pos="2835"/>
        </w:tabs>
        <w:spacing w:after="0"/>
        <w:rPr>
          <w:i/>
          <w:sz w:val="22"/>
          <w:szCs w:val="22"/>
          <w:lang w:val="fr-FR"/>
        </w:rPr>
      </w:pPr>
      <w:r w:rsidRPr="00122FD1">
        <w:rPr>
          <w:i/>
          <w:sz w:val="22"/>
          <w:szCs w:val="22"/>
          <w:lang w:val="fr-FR"/>
        </w:rPr>
        <w:t>Autre</w:t>
      </w:r>
      <w:r w:rsidR="009A7F42" w:rsidRPr="00122FD1">
        <w:rPr>
          <w:i/>
          <w:sz w:val="22"/>
          <w:szCs w:val="22"/>
          <w:lang w:val="fr-FR"/>
        </w:rPr>
        <w:t>:</w:t>
      </w:r>
    </w:p>
    <w:p w:rsidR="009A7F42" w:rsidRPr="00122FD1" w:rsidRDefault="00E7307A" w:rsidP="005D7B68">
      <w:pPr>
        <w:tabs>
          <w:tab w:val="left" w:pos="567"/>
          <w:tab w:val="left" w:pos="900"/>
          <w:tab w:val="left" w:pos="1134"/>
          <w:tab w:val="left" w:pos="1701"/>
          <w:tab w:val="left" w:pos="2268"/>
          <w:tab w:val="left" w:pos="2835"/>
        </w:tabs>
        <w:spacing w:after="120"/>
        <w:rPr>
          <w:sz w:val="22"/>
          <w:szCs w:val="22"/>
          <w:lang w:val="fr-FR"/>
        </w:rPr>
      </w:pPr>
      <w:r w:rsidRPr="00122FD1">
        <w:rPr>
          <w:sz w:val="22"/>
          <w:szCs w:val="22"/>
          <w:lang w:val="fr-FR"/>
        </w:rPr>
        <w:t>ATSI:</w:t>
      </w:r>
      <w:r w:rsidRPr="00122FD1">
        <w:rPr>
          <w:sz w:val="22"/>
          <w:szCs w:val="22"/>
          <w:lang w:val="fr-FR"/>
        </w:rPr>
        <w:tab/>
      </w:r>
      <w:r w:rsidR="009A7F42" w:rsidRPr="00122FD1">
        <w:rPr>
          <w:sz w:val="22"/>
          <w:szCs w:val="22"/>
          <w:lang w:val="fr-FR"/>
        </w:rPr>
        <w:t>Aboriginal and Torres Strait Islander</w:t>
      </w:r>
      <w:r w:rsidR="00A03523" w:rsidRPr="00122FD1">
        <w:rPr>
          <w:sz w:val="22"/>
          <w:szCs w:val="22"/>
          <w:lang w:val="fr-FR"/>
        </w:rPr>
        <w:t xml:space="preserve"> (Aborigène et insulaire du détroit de Torres)</w:t>
      </w:r>
    </w:p>
    <w:p w:rsidR="009A7F42" w:rsidRPr="00122FD1" w:rsidRDefault="00A03523" w:rsidP="005D7B68">
      <w:pPr>
        <w:pStyle w:val="Heading2"/>
        <w:tabs>
          <w:tab w:val="left" w:pos="567"/>
          <w:tab w:val="left" w:pos="1134"/>
          <w:tab w:val="left" w:pos="1701"/>
          <w:tab w:val="left" w:pos="2268"/>
          <w:tab w:val="left" w:pos="2835"/>
        </w:tabs>
        <w:spacing w:after="120"/>
        <w:rPr>
          <w:sz w:val="22"/>
          <w:szCs w:val="22"/>
          <w:lang w:val="fr-FR"/>
        </w:rPr>
      </w:pPr>
      <w:bookmarkStart w:id="29" w:name="_Toc193614099"/>
      <w:r w:rsidRPr="00122FD1">
        <w:rPr>
          <w:sz w:val="22"/>
          <w:szCs w:val="22"/>
          <w:lang w:val="fr-FR"/>
        </w:rPr>
        <w:t>Résumé des données par année budgétaire</w:t>
      </w:r>
      <w:r w:rsidR="009A7F42" w:rsidRPr="00122FD1">
        <w:rPr>
          <w:sz w:val="22"/>
          <w:szCs w:val="22"/>
          <w:lang w:val="fr-FR"/>
        </w:rPr>
        <w:t xml:space="preserve"> –</w:t>
      </w:r>
      <w:r w:rsidRPr="00122FD1">
        <w:rPr>
          <w:sz w:val="22"/>
          <w:szCs w:val="22"/>
          <w:lang w:val="fr-FR"/>
        </w:rPr>
        <w:t xml:space="preserve"> Comité des Nations Unies contre la torture (en juillet</w:t>
      </w:r>
      <w:r w:rsidR="009A7F42" w:rsidRPr="00122FD1">
        <w:rPr>
          <w:sz w:val="22"/>
          <w:szCs w:val="22"/>
          <w:lang w:val="fr-FR"/>
        </w:rPr>
        <w:t xml:space="preserve"> 2007)</w:t>
      </w:r>
      <w:bookmarkEnd w:id="29"/>
    </w:p>
    <w:tbl>
      <w:tblPr>
        <w:tblW w:w="13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701"/>
        <w:gridCol w:w="1276"/>
        <w:gridCol w:w="1701"/>
        <w:gridCol w:w="1847"/>
        <w:gridCol w:w="2122"/>
        <w:gridCol w:w="1970"/>
      </w:tblGrid>
      <w:tr w:rsidR="009A7F42" w:rsidRPr="00122FD1">
        <w:trPr>
          <w:tblHeader/>
        </w:trPr>
        <w:tc>
          <w:tcPr>
            <w:tcW w:w="1560" w:type="dxa"/>
            <w:tcBorders>
              <w:bottom w:val="single" w:sz="4" w:space="0" w:color="auto"/>
            </w:tcBorders>
            <w:vAlign w:val="center"/>
          </w:tcPr>
          <w:p w:rsidR="00122FD1" w:rsidRPr="00122FD1" w:rsidRDefault="00122FD1" w:rsidP="005D7B68">
            <w:pPr>
              <w:tabs>
                <w:tab w:val="left" w:pos="567"/>
                <w:tab w:val="left" w:pos="1134"/>
                <w:tab w:val="left" w:pos="1701"/>
                <w:tab w:val="left" w:pos="2268"/>
                <w:tab w:val="left" w:pos="2835"/>
              </w:tabs>
              <w:spacing w:before="20" w:after="20"/>
              <w:jc w:val="center"/>
              <w:rPr>
                <w:sz w:val="18"/>
                <w:szCs w:val="18"/>
                <w:lang w:val="fr-FR"/>
              </w:rPr>
            </w:pPr>
          </w:p>
        </w:tc>
        <w:tc>
          <w:tcPr>
            <w:tcW w:w="1275" w:type="dxa"/>
            <w:tcBorders>
              <w:bottom w:val="single" w:sz="4" w:space="0" w:color="auto"/>
            </w:tcBorders>
            <w:vAlign w:val="center"/>
          </w:tcPr>
          <w:p w:rsidR="009A7F42" w:rsidRPr="00122FD1" w:rsidRDefault="00656450"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Nombre de décès</w:t>
            </w:r>
          </w:p>
        </w:tc>
        <w:tc>
          <w:tcPr>
            <w:tcW w:w="1701" w:type="dxa"/>
            <w:tcBorders>
              <w:bottom w:val="single" w:sz="4" w:space="0" w:color="auto"/>
            </w:tcBorders>
            <w:vAlign w:val="center"/>
          </w:tcPr>
          <w:p w:rsidR="009A7F42" w:rsidRPr="00122FD1" w:rsidRDefault="009A7F42"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Prison</w:t>
            </w:r>
          </w:p>
        </w:tc>
        <w:tc>
          <w:tcPr>
            <w:tcW w:w="1276" w:type="dxa"/>
            <w:tcBorders>
              <w:bottom w:val="single" w:sz="4" w:space="0" w:color="auto"/>
            </w:tcBorders>
            <w:vAlign w:val="center"/>
          </w:tcPr>
          <w:p w:rsidR="009A7F42" w:rsidRPr="00122FD1" w:rsidRDefault="009A7F42"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Sex</w:t>
            </w:r>
            <w:r w:rsidR="00656450" w:rsidRPr="00122FD1">
              <w:rPr>
                <w:sz w:val="18"/>
                <w:szCs w:val="18"/>
              </w:rPr>
              <w:t>e</w:t>
            </w:r>
          </w:p>
        </w:tc>
        <w:tc>
          <w:tcPr>
            <w:tcW w:w="1701" w:type="dxa"/>
            <w:tcBorders>
              <w:bottom w:val="single" w:sz="4" w:space="0" w:color="auto"/>
            </w:tcBorders>
            <w:vAlign w:val="center"/>
          </w:tcPr>
          <w:p w:rsidR="009A7F42" w:rsidRPr="00122FD1" w:rsidRDefault="002060B5"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Appartenance ethnique</w:t>
            </w:r>
          </w:p>
        </w:tc>
        <w:tc>
          <w:tcPr>
            <w:tcW w:w="1847" w:type="dxa"/>
            <w:tcBorders>
              <w:bottom w:val="single" w:sz="4" w:space="0" w:color="auto"/>
            </w:tcBorders>
            <w:vAlign w:val="center"/>
          </w:tcPr>
          <w:p w:rsidR="009A7F42" w:rsidRPr="00122FD1" w:rsidRDefault="00656450" w:rsidP="005D7B68">
            <w:pPr>
              <w:tabs>
                <w:tab w:val="left" w:pos="567"/>
                <w:tab w:val="left" w:pos="1134"/>
                <w:tab w:val="left" w:pos="1701"/>
                <w:tab w:val="left" w:pos="2268"/>
                <w:tab w:val="left" w:pos="2835"/>
              </w:tabs>
              <w:spacing w:before="20" w:after="20"/>
              <w:jc w:val="center"/>
              <w:rPr>
                <w:i/>
                <w:iCs/>
                <w:sz w:val="18"/>
                <w:szCs w:val="18"/>
              </w:rPr>
            </w:pPr>
            <w:r w:rsidRPr="00122FD1">
              <w:rPr>
                <w:sz w:val="18"/>
                <w:szCs w:val="18"/>
              </w:rPr>
              <w:t>Recomma</w:t>
            </w:r>
            <w:r w:rsidR="009A7F42" w:rsidRPr="00122FD1">
              <w:rPr>
                <w:sz w:val="18"/>
                <w:szCs w:val="18"/>
              </w:rPr>
              <w:t>ndations</w:t>
            </w:r>
            <w:r w:rsidRPr="00122FD1">
              <w:rPr>
                <w:sz w:val="18"/>
                <w:szCs w:val="18"/>
              </w:rPr>
              <w:t xml:space="preserve"> du </w:t>
            </w:r>
            <w:r w:rsidRPr="00122FD1">
              <w:rPr>
                <w:i/>
                <w:iCs/>
                <w:sz w:val="18"/>
                <w:szCs w:val="18"/>
              </w:rPr>
              <w:t>Coroner</w:t>
            </w:r>
          </w:p>
        </w:tc>
        <w:tc>
          <w:tcPr>
            <w:tcW w:w="2122" w:type="dxa"/>
            <w:tcBorders>
              <w:bottom w:val="single" w:sz="4" w:space="0" w:color="auto"/>
            </w:tcBorders>
            <w:vAlign w:val="center"/>
          </w:tcPr>
          <w:p w:rsidR="009A7F42" w:rsidRPr="00122FD1" w:rsidRDefault="00656450"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Cause du décès</w:t>
            </w:r>
          </w:p>
        </w:tc>
        <w:tc>
          <w:tcPr>
            <w:tcW w:w="1970" w:type="dxa"/>
            <w:tcBorders>
              <w:bottom w:val="single" w:sz="4" w:space="0" w:color="auto"/>
            </w:tcBorders>
            <w:vAlign w:val="center"/>
          </w:tcPr>
          <w:p w:rsidR="009A7F42" w:rsidRPr="00122FD1" w:rsidRDefault="00656450"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Observations</w:t>
            </w:r>
          </w:p>
        </w:tc>
      </w:tr>
      <w:tr w:rsidR="009A7F42" w:rsidRPr="00122FD1">
        <w:tc>
          <w:tcPr>
            <w:tcW w:w="1560" w:type="dxa"/>
            <w:tcBorders>
              <w:bottom w:val="single" w:sz="4" w:space="0" w:color="auto"/>
            </w:tcBorders>
          </w:tcPr>
          <w:p w:rsidR="009A7F42" w:rsidRPr="00122FD1" w:rsidRDefault="009A7F42" w:rsidP="005D7B68">
            <w:pPr>
              <w:tabs>
                <w:tab w:val="left" w:pos="567"/>
                <w:tab w:val="left" w:pos="1134"/>
                <w:tab w:val="left" w:pos="1701"/>
                <w:tab w:val="left" w:pos="2268"/>
                <w:tab w:val="left" w:pos="2835"/>
              </w:tabs>
              <w:spacing w:before="20" w:after="20"/>
              <w:rPr>
                <w:sz w:val="18"/>
                <w:szCs w:val="18"/>
              </w:rPr>
            </w:pPr>
            <w:r w:rsidRPr="00122FD1">
              <w:rPr>
                <w:sz w:val="18"/>
                <w:szCs w:val="18"/>
              </w:rPr>
              <w:t>1997/98</w:t>
            </w:r>
          </w:p>
        </w:tc>
        <w:tc>
          <w:tcPr>
            <w:tcW w:w="1275" w:type="dxa"/>
            <w:tcBorders>
              <w:bottom w:val="single" w:sz="4" w:space="0" w:color="auto"/>
            </w:tcBorders>
          </w:tcPr>
          <w:p w:rsidR="009A7F42" w:rsidRPr="00122FD1" w:rsidRDefault="009A7F42"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13</w:t>
            </w:r>
          </w:p>
        </w:tc>
        <w:tc>
          <w:tcPr>
            <w:tcW w:w="1701" w:type="dxa"/>
            <w:tcBorders>
              <w:bottom w:val="single" w:sz="4" w:space="0" w:color="auto"/>
            </w:tcBorders>
          </w:tcPr>
          <w:p w:rsidR="009A7F42" w:rsidRPr="00122FD1" w:rsidRDefault="009A7F42" w:rsidP="005D7B68">
            <w:pPr>
              <w:tabs>
                <w:tab w:val="left" w:pos="567"/>
                <w:tab w:val="left" w:pos="1134"/>
                <w:tab w:val="left" w:pos="1701"/>
                <w:tab w:val="left" w:pos="2268"/>
                <w:tab w:val="left" w:pos="2835"/>
              </w:tabs>
              <w:spacing w:before="20" w:after="20"/>
              <w:rPr>
                <w:sz w:val="18"/>
                <w:szCs w:val="18"/>
              </w:rPr>
            </w:pPr>
            <w:r w:rsidRPr="00122FD1">
              <w:rPr>
                <w:sz w:val="18"/>
                <w:szCs w:val="18"/>
              </w:rPr>
              <w:t>8 x PPP</w:t>
            </w:r>
            <w:r w:rsidR="00122FD1">
              <w:rPr>
                <w:sz w:val="18"/>
                <w:szCs w:val="18"/>
              </w:rPr>
              <w:br/>
            </w:r>
            <w:r w:rsidRPr="00122FD1">
              <w:rPr>
                <w:sz w:val="18"/>
                <w:szCs w:val="18"/>
              </w:rPr>
              <w:t>2 x Beechworth</w:t>
            </w:r>
            <w:r w:rsidR="00122FD1">
              <w:rPr>
                <w:sz w:val="18"/>
                <w:szCs w:val="18"/>
              </w:rPr>
              <w:br/>
            </w:r>
            <w:r w:rsidRPr="00122FD1">
              <w:rPr>
                <w:sz w:val="18"/>
                <w:szCs w:val="18"/>
              </w:rPr>
              <w:t>1 x Barwon</w:t>
            </w:r>
            <w:r w:rsidR="00122FD1">
              <w:rPr>
                <w:sz w:val="18"/>
                <w:szCs w:val="18"/>
              </w:rPr>
              <w:br/>
            </w:r>
            <w:r w:rsidRPr="00122FD1">
              <w:rPr>
                <w:sz w:val="18"/>
                <w:szCs w:val="18"/>
              </w:rPr>
              <w:t>1 x Loddon</w:t>
            </w:r>
            <w:r w:rsidR="00122FD1">
              <w:rPr>
                <w:sz w:val="18"/>
                <w:szCs w:val="18"/>
              </w:rPr>
              <w:br/>
            </w:r>
            <w:r w:rsidRPr="00122FD1">
              <w:rPr>
                <w:sz w:val="18"/>
                <w:szCs w:val="18"/>
              </w:rPr>
              <w:t>1 x MAP</w:t>
            </w:r>
          </w:p>
        </w:tc>
        <w:tc>
          <w:tcPr>
            <w:tcW w:w="1276" w:type="dxa"/>
            <w:tcBorders>
              <w:bottom w:val="single" w:sz="4" w:space="0" w:color="auto"/>
            </w:tcBorders>
          </w:tcPr>
          <w:p w:rsidR="009A7F42" w:rsidRPr="00122FD1" w:rsidRDefault="00B86B47" w:rsidP="005D7B68">
            <w:pPr>
              <w:tabs>
                <w:tab w:val="left" w:pos="567"/>
                <w:tab w:val="left" w:pos="1134"/>
                <w:tab w:val="left" w:pos="1701"/>
                <w:tab w:val="left" w:pos="2268"/>
                <w:tab w:val="left" w:pos="2835"/>
              </w:tabs>
              <w:spacing w:before="20" w:after="20"/>
              <w:rPr>
                <w:sz w:val="18"/>
                <w:szCs w:val="18"/>
              </w:rPr>
            </w:pPr>
            <w:r w:rsidRPr="00122FD1">
              <w:rPr>
                <w:sz w:val="18"/>
                <w:szCs w:val="18"/>
              </w:rPr>
              <w:t xml:space="preserve">13 x </w:t>
            </w:r>
            <w:r w:rsidR="00A32C94" w:rsidRPr="00122FD1">
              <w:rPr>
                <w:sz w:val="18"/>
                <w:szCs w:val="18"/>
              </w:rPr>
              <w:t>hommes</w:t>
            </w:r>
          </w:p>
        </w:tc>
        <w:tc>
          <w:tcPr>
            <w:tcW w:w="1701" w:type="dxa"/>
            <w:tcBorders>
              <w:bottom w:val="single" w:sz="4" w:space="0" w:color="auto"/>
            </w:tcBorders>
          </w:tcPr>
          <w:p w:rsidR="009A7F42" w:rsidRPr="00122FD1" w:rsidRDefault="00B86B47"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8 x Australien</w:t>
            </w:r>
            <w:r w:rsidR="00122FD1" w:rsidRPr="00122FD1">
              <w:rPr>
                <w:sz w:val="18"/>
                <w:szCs w:val="18"/>
                <w:lang w:val="fr-FR"/>
              </w:rPr>
              <w:br/>
            </w:r>
            <w:r w:rsidR="009A7F42" w:rsidRPr="00122FD1">
              <w:rPr>
                <w:sz w:val="18"/>
                <w:szCs w:val="18"/>
                <w:lang w:val="fr-FR"/>
              </w:rPr>
              <w:t>1 x Y</w:t>
            </w:r>
            <w:r w:rsidRPr="00122FD1">
              <w:rPr>
                <w:sz w:val="18"/>
                <w:szCs w:val="18"/>
                <w:lang w:val="fr-FR"/>
              </w:rPr>
              <w:t>o</w:t>
            </w:r>
            <w:r w:rsidR="009A7F42" w:rsidRPr="00122FD1">
              <w:rPr>
                <w:sz w:val="18"/>
                <w:szCs w:val="18"/>
                <w:lang w:val="fr-FR"/>
              </w:rPr>
              <w:t>ugoslav</w:t>
            </w:r>
            <w:r w:rsidRPr="00122FD1">
              <w:rPr>
                <w:sz w:val="18"/>
                <w:szCs w:val="18"/>
                <w:lang w:val="fr-FR"/>
              </w:rPr>
              <w:t>e</w:t>
            </w:r>
            <w:r w:rsidR="00122FD1" w:rsidRPr="00122FD1">
              <w:rPr>
                <w:sz w:val="18"/>
                <w:szCs w:val="18"/>
                <w:lang w:val="fr-FR"/>
              </w:rPr>
              <w:br/>
            </w:r>
            <w:r w:rsidRPr="00122FD1">
              <w:rPr>
                <w:sz w:val="18"/>
                <w:szCs w:val="18"/>
                <w:lang w:val="fr-FR"/>
              </w:rPr>
              <w:t>1 x Vietnamien</w:t>
            </w:r>
            <w:r w:rsidR="00122FD1">
              <w:rPr>
                <w:sz w:val="18"/>
                <w:szCs w:val="18"/>
                <w:lang w:val="fr-FR"/>
              </w:rPr>
              <w:br/>
            </w:r>
            <w:r w:rsidRPr="00122FD1">
              <w:rPr>
                <w:sz w:val="18"/>
                <w:szCs w:val="18"/>
                <w:lang w:val="fr-FR"/>
              </w:rPr>
              <w:t>1 x Grec</w:t>
            </w:r>
            <w:r w:rsidR="00122FD1">
              <w:rPr>
                <w:sz w:val="18"/>
                <w:szCs w:val="18"/>
                <w:lang w:val="fr-FR"/>
              </w:rPr>
              <w:br/>
            </w:r>
            <w:r w:rsidR="009A7F42" w:rsidRPr="00122FD1">
              <w:rPr>
                <w:sz w:val="18"/>
                <w:szCs w:val="18"/>
                <w:lang w:val="fr-FR"/>
              </w:rPr>
              <w:t>1 x Ital</w:t>
            </w:r>
            <w:r w:rsidRPr="00122FD1">
              <w:rPr>
                <w:sz w:val="18"/>
                <w:szCs w:val="18"/>
                <w:lang w:val="fr-FR"/>
              </w:rPr>
              <w:t>ie</w:t>
            </w:r>
            <w:r w:rsidR="009A7F42" w:rsidRPr="00122FD1">
              <w:rPr>
                <w:sz w:val="18"/>
                <w:szCs w:val="18"/>
                <w:lang w:val="fr-FR"/>
              </w:rPr>
              <w:t>n</w:t>
            </w:r>
            <w:r w:rsidR="00122FD1">
              <w:rPr>
                <w:sz w:val="18"/>
                <w:szCs w:val="18"/>
                <w:lang w:val="fr-FR"/>
              </w:rPr>
              <w:br/>
            </w:r>
            <w:r w:rsidRPr="00122FD1">
              <w:rPr>
                <w:sz w:val="18"/>
                <w:szCs w:val="18"/>
                <w:lang w:val="fr-FR"/>
              </w:rPr>
              <w:t>1 x Anglais</w:t>
            </w:r>
          </w:p>
        </w:tc>
        <w:tc>
          <w:tcPr>
            <w:tcW w:w="1847" w:type="dxa"/>
            <w:tcBorders>
              <w:bottom w:val="single" w:sz="4" w:space="0" w:color="auto"/>
            </w:tcBorders>
          </w:tcPr>
          <w:p w:rsidR="009A7F42" w:rsidRPr="00122FD1" w:rsidRDefault="009A7F42" w:rsidP="005D7B68">
            <w:pPr>
              <w:tabs>
                <w:tab w:val="left" w:pos="567"/>
                <w:tab w:val="left" w:pos="1134"/>
                <w:tab w:val="left" w:pos="1701"/>
                <w:tab w:val="left" w:pos="2268"/>
                <w:tab w:val="left" w:pos="2835"/>
              </w:tabs>
              <w:spacing w:before="20" w:after="20"/>
              <w:rPr>
                <w:sz w:val="18"/>
                <w:szCs w:val="18"/>
              </w:rPr>
            </w:pPr>
            <w:r w:rsidRPr="00122FD1">
              <w:rPr>
                <w:sz w:val="18"/>
                <w:szCs w:val="18"/>
              </w:rPr>
              <w:t>x 4</w:t>
            </w:r>
          </w:p>
          <w:p w:rsidR="009A7F42" w:rsidRPr="00122FD1" w:rsidRDefault="009A7F42" w:rsidP="005D7B68">
            <w:pPr>
              <w:tabs>
                <w:tab w:val="left" w:pos="567"/>
                <w:tab w:val="left" w:pos="1134"/>
                <w:tab w:val="left" w:pos="1701"/>
                <w:tab w:val="left" w:pos="2268"/>
                <w:tab w:val="left" w:pos="2835"/>
              </w:tabs>
              <w:spacing w:before="20" w:after="20"/>
              <w:rPr>
                <w:sz w:val="18"/>
                <w:szCs w:val="18"/>
              </w:rPr>
            </w:pPr>
          </w:p>
          <w:p w:rsidR="009A7F42" w:rsidRPr="00122FD1" w:rsidRDefault="009A7F42" w:rsidP="005D7B68">
            <w:pPr>
              <w:tabs>
                <w:tab w:val="left" w:pos="567"/>
                <w:tab w:val="left" w:pos="1134"/>
                <w:tab w:val="left" w:pos="1701"/>
                <w:tab w:val="left" w:pos="2268"/>
                <w:tab w:val="left" w:pos="2835"/>
              </w:tabs>
              <w:spacing w:before="20" w:after="20"/>
              <w:rPr>
                <w:sz w:val="18"/>
                <w:szCs w:val="18"/>
              </w:rPr>
            </w:pPr>
            <w:r w:rsidRPr="00122FD1">
              <w:rPr>
                <w:sz w:val="18"/>
                <w:szCs w:val="18"/>
              </w:rPr>
              <w:t>One matter part heard</w:t>
            </w:r>
          </w:p>
        </w:tc>
        <w:tc>
          <w:tcPr>
            <w:tcW w:w="2122" w:type="dxa"/>
            <w:tcBorders>
              <w:bottom w:val="single" w:sz="4" w:space="0" w:color="auto"/>
            </w:tcBorders>
          </w:tcPr>
          <w:p w:rsidR="009A7F42" w:rsidRPr="00122FD1" w:rsidRDefault="009A7F4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rPr>
              <w:t>6 x suicid</w:t>
            </w:r>
            <w:r w:rsidRPr="00122FD1">
              <w:rPr>
                <w:sz w:val="18"/>
                <w:szCs w:val="18"/>
                <w:lang w:val="fr-FR"/>
              </w:rPr>
              <w:t xml:space="preserve">e </w:t>
            </w:r>
          </w:p>
          <w:p w:rsidR="009A7F42" w:rsidRPr="00122FD1" w:rsidRDefault="00656450"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naturelle</w:t>
            </w:r>
          </w:p>
          <w:p w:rsidR="009A7F42" w:rsidRPr="00122FD1" w:rsidRDefault="00656450"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accident</w:t>
            </w:r>
          </w:p>
          <w:p w:rsidR="009A7F42" w:rsidRPr="00122FD1" w:rsidRDefault="00656450"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meurtre</w:t>
            </w:r>
          </w:p>
        </w:tc>
        <w:tc>
          <w:tcPr>
            <w:tcW w:w="1970" w:type="dxa"/>
            <w:tcBorders>
              <w:bottom w:val="single" w:sz="4" w:space="0" w:color="auto"/>
            </w:tcBorders>
          </w:tcPr>
          <w:p w:rsidR="009A7F42" w:rsidRPr="00122FD1" w:rsidRDefault="00656450"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Voir ci-dessous les recommandations du </w:t>
            </w:r>
            <w:r w:rsidRPr="00122FD1">
              <w:rPr>
                <w:i/>
                <w:iCs/>
                <w:sz w:val="18"/>
                <w:szCs w:val="18"/>
                <w:lang w:val="fr-FR"/>
              </w:rPr>
              <w:t>Coroner</w:t>
            </w:r>
            <w:r w:rsidRPr="00122FD1">
              <w:rPr>
                <w:sz w:val="18"/>
                <w:szCs w:val="18"/>
                <w:lang w:val="fr-FR"/>
              </w:rPr>
              <w:t xml:space="preserve"> pour</w:t>
            </w:r>
            <w:r w:rsidR="009A7F42" w:rsidRPr="00122FD1">
              <w:rPr>
                <w:sz w:val="18"/>
                <w:szCs w:val="18"/>
                <w:lang w:val="fr-FR"/>
              </w:rPr>
              <w:t xml:space="preserve"> x 1</w:t>
            </w:r>
          </w:p>
          <w:p w:rsidR="009A7F42" w:rsidRPr="00122FD1" w:rsidRDefault="00B86B47"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Les recommandations pour x 3 n’ont pu être obtenues dans les délais prévus</w:t>
            </w:r>
            <w:r w:rsidR="009A7F42" w:rsidRPr="00122FD1">
              <w:rPr>
                <w:sz w:val="18"/>
                <w:szCs w:val="18"/>
                <w:lang w:val="fr-FR"/>
              </w:rPr>
              <w:t>.</w:t>
            </w:r>
          </w:p>
        </w:tc>
      </w:tr>
      <w:tr w:rsidR="00683A3D" w:rsidRPr="00122FD1">
        <w:tc>
          <w:tcPr>
            <w:tcW w:w="1560"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1275"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lang w:val="fr-FR"/>
              </w:rPr>
            </w:pPr>
          </w:p>
        </w:tc>
        <w:tc>
          <w:tcPr>
            <w:tcW w:w="1701"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1276"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1701"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1847"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2122" w:type="dxa"/>
            <w:tcBorders>
              <w:top w:val="nil"/>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p>
        </w:tc>
        <w:tc>
          <w:tcPr>
            <w:tcW w:w="1970" w:type="dxa"/>
            <w:tcBorders>
              <w:top w:val="nil"/>
            </w:tcBorders>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affaire renvoyée à une date ultérieure, les agresseurs allégués ayant fait appel de la condamnation</w:t>
            </w:r>
            <w:r w:rsidR="00683A3D" w:rsidRPr="00122FD1">
              <w:rPr>
                <w:sz w:val="18"/>
                <w:szCs w:val="18"/>
                <w:lang w:val="fr-FR"/>
              </w:rPr>
              <w:t>.</w:t>
            </w:r>
          </w:p>
        </w:tc>
      </w:tr>
      <w:tr w:rsidR="00683A3D" w:rsidRPr="00122FD1">
        <w:tc>
          <w:tcPr>
            <w:tcW w:w="1560"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1998/99</w:t>
            </w:r>
          </w:p>
        </w:tc>
        <w:tc>
          <w:tcPr>
            <w:tcW w:w="1275" w:type="dxa"/>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9</w:t>
            </w:r>
          </w:p>
        </w:tc>
        <w:tc>
          <w:tcPr>
            <w:tcW w:w="1701"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4 x PPP</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 x MAP</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Beechworth</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 xml:space="preserve">1x </w:t>
            </w:r>
            <w:smartTag w:uri="urn:schemas-microsoft-com:office:smarttags" w:element="place">
              <w:smartTag w:uri="urn:schemas-microsoft-com:office:smarttags" w:element="City">
                <w:r w:rsidRPr="00122FD1">
                  <w:rPr>
                    <w:sz w:val="18"/>
                    <w:szCs w:val="18"/>
                  </w:rPr>
                  <w:t>Bendigo</w:t>
                </w:r>
              </w:smartTag>
            </w:smartTag>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MWCC</w:t>
            </w:r>
          </w:p>
        </w:tc>
        <w:tc>
          <w:tcPr>
            <w:tcW w:w="1276" w:type="dxa"/>
          </w:tcPr>
          <w:p w:rsidR="00683A3D" w:rsidRPr="00AA1ED6" w:rsidRDefault="00A32C94" w:rsidP="005D7B68">
            <w:pPr>
              <w:tabs>
                <w:tab w:val="left" w:pos="567"/>
                <w:tab w:val="left" w:pos="1134"/>
                <w:tab w:val="left" w:pos="1701"/>
                <w:tab w:val="left" w:pos="2268"/>
                <w:tab w:val="left" w:pos="2835"/>
              </w:tabs>
              <w:spacing w:before="20" w:after="20"/>
              <w:rPr>
                <w:sz w:val="18"/>
                <w:szCs w:val="18"/>
                <w:lang w:val="fr-FR"/>
              </w:rPr>
            </w:pPr>
            <w:r w:rsidRPr="00AA1ED6">
              <w:rPr>
                <w:sz w:val="18"/>
                <w:szCs w:val="18"/>
                <w:lang w:val="fr-FR"/>
              </w:rPr>
              <w:t xml:space="preserve">8 x </w:t>
            </w:r>
            <w:r w:rsidR="00AA1ED6" w:rsidRPr="00AA1ED6">
              <w:rPr>
                <w:sz w:val="18"/>
                <w:szCs w:val="18"/>
                <w:lang w:val="fr-FR"/>
              </w:rPr>
              <w:t>homes</w:t>
            </w:r>
            <w:r w:rsidR="00AA1ED6" w:rsidRPr="00AA1ED6">
              <w:rPr>
                <w:sz w:val="18"/>
                <w:szCs w:val="18"/>
                <w:lang w:val="fr-FR"/>
              </w:rPr>
              <w:br/>
            </w:r>
            <w:r w:rsidRPr="00AA1ED6">
              <w:rPr>
                <w:sz w:val="18"/>
                <w:szCs w:val="18"/>
                <w:lang w:val="fr-FR"/>
              </w:rPr>
              <w:t>1 x femme</w:t>
            </w:r>
          </w:p>
        </w:tc>
        <w:tc>
          <w:tcPr>
            <w:tcW w:w="1701" w:type="dxa"/>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6 x Australiens</w:t>
            </w:r>
            <w:r w:rsidR="00122FD1">
              <w:rPr>
                <w:sz w:val="18"/>
                <w:szCs w:val="18"/>
                <w:lang w:val="fr-FR"/>
              </w:rPr>
              <w:br/>
            </w:r>
            <w:r w:rsidR="00683A3D" w:rsidRPr="00122FD1">
              <w:rPr>
                <w:sz w:val="18"/>
                <w:szCs w:val="18"/>
                <w:lang w:val="fr-FR"/>
              </w:rPr>
              <w:t>1 x ATSI</w:t>
            </w:r>
            <w:r w:rsidR="00122FD1">
              <w:rPr>
                <w:sz w:val="18"/>
                <w:szCs w:val="18"/>
                <w:lang w:val="fr-FR"/>
              </w:rPr>
              <w:br/>
            </w:r>
            <w:r w:rsidRPr="00122FD1">
              <w:rPr>
                <w:sz w:val="18"/>
                <w:szCs w:val="18"/>
                <w:lang w:val="fr-FR"/>
              </w:rPr>
              <w:t>1 x Libanais</w:t>
            </w:r>
            <w:r w:rsidR="00122FD1">
              <w:rPr>
                <w:sz w:val="18"/>
                <w:szCs w:val="18"/>
                <w:lang w:val="fr-FR"/>
              </w:rPr>
              <w:br/>
            </w:r>
          </w:p>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Vietnamien</w:t>
            </w:r>
          </w:p>
        </w:tc>
        <w:tc>
          <w:tcPr>
            <w:tcW w:w="1847" w:type="dxa"/>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x 5</w:t>
            </w:r>
          </w:p>
        </w:tc>
        <w:tc>
          <w:tcPr>
            <w:tcW w:w="2122" w:type="dxa"/>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4 x suicide </w:t>
            </w:r>
            <w:r w:rsidR="00122FD1">
              <w:rPr>
                <w:sz w:val="18"/>
                <w:szCs w:val="18"/>
                <w:lang w:val="fr-FR"/>
              </w:rPr>
              <w:br/>
            </w:r>
            <w:r w:rsidR="00311A74" w:rsidRPr="00122FD1">
              <w:rPr>
                <w:sz w:val="18"/>
                <w:szCs w:val="18"/>
                <w:lang w:val="fr-FR"/>
              </w:rPr>
              <w:t>3 x accident</w:t>
            </w:r>
            <w:r w:rsidR="00122FD1">
              <w:rPr>
                <w:sz w:val="18"/>
                <w:szCs w:val="18"/>
                <w:lang w:val="fr-FR"/>
              </w:rPr>
              <w:br/>
            </w:r>
            <w:r w:rsidRPr="00122FD1">
              <w:rPr>
                <w:sz w:val="18"/>
                <w:szCs w:val="18"/>
                <w:lang w:val="fr-FR"/>
              </w:rPr>
              <w:t xml:space="preserve">1 x </w:t>
            </w:r>
            <w:r w:rsidR="00311A74" w:rsidRPr="00122FD1">
              <w:rPr>
                <w:sz w:val="18"/>
                <w:szCs w:val="18"/>
                <w:lang w:val="fr-FR"/>
              </w:rPr>
              <w:t>naturel</w:t>
            </w:r>
            <w:r w:rsidRPr="00122FD1">
              <w:rPr>
                <w:sz w:val="18"/>
                <w:szCs w:val="18"/>
                <w:lang w:val="fr-FR"/>
              </w:rPr>
              <w:t>l</w:t>
            </w:r>
            <w:r w:rsidR="00311A74" w:rsidRPr="00122FD1">
              <w:rPr>
                <w:sz w:val="18"/>
                <w:szCs w:val="18"/>
                <w:lang w:val="fr-FR"/>
              </w:rPr>
              <w:t>e</w:t>
            </w:r>
          </w:p>
          <w:p w:rsidR="00683A3D" w:rsidRPr="00122FD1" w:rsidRDefault="00311A7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accidentelle</w:t>
            </w:r>
          </w:p>
        </w:tc>
        <w:tc>
          <w:tcPr>
            <w:tcW w:w="1970" w:type="dxa"/>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Les r</w:t>
            </w:r>
            <w:r w:rsidR="00683A3D" w:rsidRPr="00122FD1">
              <w:rPr>
                <w:sz w:val="18"/>
                <w:szCs w:val="18"/>
                <w:lang w:val="fr-FR"/>
              </w:rPr>
              <w:t>ecom</w:t>
            </w:r>
            <w:r w:rsidR="005B1CED" w:rsidRPr="00122FD1">
              <w:rPr>
                <w:sz w:val="18"/>
                <w:szCs w:val="18"/>
                <w:lang w:val="fr-FR"/>
              </w:rPr>
              <w:t>ma</w:t>
            </w:r>
            <w:r w:rsidRPr="00122FD1">
              <w:rPr>
                <w:sz w:val="18"/>
                <w:szCs w:val="18"/>
                <w:lang w:val="fr-FR"/>
              </w:rPr>
              <w:t>ndations n’ont pas pu être obtenues dans les délais prévus</w:t>
            </w:r>
            <w:r w:rsidR="00683A3D" w:rsidRPr="00122FD1">
              <w:rPr>
                <w:sz w:val="18"/>
                <w:szCs w:val="18"/>
                <w:lang w:val="fr-FR"/>
              </w:rPr>
              <w:t>.</w:t>
            </w:r>
          </w:p>
        </w:tc>
      </w:tr>
      <w:tr w:rsidR="00683A3D" w:rsidRPr="00122FD1">
        <w:tc>
          <w:tcPr>
            <w:tcW w:w="1560" w:type="dxa"/>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1999/2000</w:t>
            </w:r>
          </w:p>
        </w:tc>
        <w:tc>
          <w:tcPr>
            <w:tcW w:w="1275" w:type="dxa"/>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lang w:val="fr-FR"/>
              </w:rPr>
            </w:pPr>
            <w:r w:rsidRPr="00122FD1">
              <w:rPr>
                <w:sz w:val="18"/>
                <w:szCs w:val="18"/>
                <w:lang w:val="fr-FR"/>
              </w:rPr>
              <w:t>3</w:t>
            </w:r>
          </w:p>
        </w:tc>
        <w:tc>
          <w:tcPr>
            <w:tcW w:w="1701" w:type="dxa"/>
          </w:tcPr>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PPP</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FCC</w:t>
            </w:r>
          </w:p>
        </w:tc>
        <w:tc>
          <w:tcPr>
            <w:tcW w:w="1276" w:type="dxa"/>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hommes</w:t>
            </w:r>
          </w:p>
        </w:tc>
        <w:tc>
          <w:tcPr>
            <w:tcW w:w="1701" w:type="dxa"/>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Australiens</w:t>
            </w:r>
          </w:p>
        </w:tc>
        <w:tc>
          <w:tcPr>
            <w:tcW w:w="1847"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x 2</w:t>
            </w:r>
          </w:p>
        </w:tc>
        <w:tc>
          <w:tcPr>
            <w:tcW w:w="2122" w:type="dxa"/>
          </w:tcPr>
          <w:p w:rsidR="00683A3D" w:rsidRPr="00122FD1" w:rsidRDefault="00311A7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naturelle</w:t>
            </w:r>
          </w:p>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meurtre</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suicide</w:t>
            </w:r>
          </w:p>
        </w:tc>
        <w:tc>
          <w:tcPr>
            <w:tcW w:w="1970" w:type="dxa"/>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Voir ci-dessous les recommandations du </w:t>
            </w:r>
            <w:r w:rsidRPr="00122FD1">
              <w:rPr>
                <w:i/>
                <w:iCs/>
                <w:sz w:val="18"/>
                <w:szCs w:val="18"/>
                <w:lang w:val="fr-FR"/>
              </w:rPr>
              <w:t>Coroner</w:t>
            </w:r>
            <w:r w:rsidR="00683A3D" w:rsidRPr="00122FD1">
              <w:rPr>
                <w:sz w:val="18"/>
                <w:szCs w:val="18"/>
                <w:lang w:val="fr-FR"/>
              </w:rPr>
              <w:t>.</w:t>
            </w:r>
          </w:p>
        </w:tc>
      </w:tr>
      <w:tr w:rsidR="00683A3D" w:rsidRPr="00122FD1">
        <w:tc>
          <w:tcPr>
            <w:tcW w:w="1560"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2000/01</w:t>
            </w:r>
          </w:p>
        </w:tc>
        <w:tc>
          <w:tcPr>
            <w:tcW w:w="1275" w:type="dxa"/>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11</w:t>
            </w:r>
          </w:p>
        </w:tc>
        <w:tc>
          <w:tcPr>
            <w:tcW w:w="1701"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6 x PPP</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 x Barwon</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Beechworth</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MAP</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MWCC</w:t>
            </w:r>
          </w:p>
        </w:tc>
        <w:tc>
          <w:tcPr>
            <w:tcW w:w="1276" w:type="dxa"/>
          </w:tcPr>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 xml:space="preserve">10 x </w:t>
            </w:r>
          </w:p>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1 x femme</w:t>
            </w:r>
          </w:p>
        </w:tc>
        <w:tc>
          <w:tcPr>
            <w:tcW w:w="1701" w:type="dxa"/>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6 x Australiens</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ATSI</w:t>
            </w:r>
          </w:p>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Vietnamiens</w:t>
            </w:r>
          </w:p>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1 x Italie</w:t>
            </w:r>
            <w:r w:rsidR="00683A3D" w:rsidRPr="00122FD1">
              <w:rPr>
                <w:sz w:val="18"/>
                <w:szCs w:val="18"/>
              </w:rPr>
              <w:t>n</w:t>
            </w:r>
          </w:p>
        </w:tc>
        <w:tc>
          <w:tcPr>
            <w:tcW w:w="1847" w:type="dxa"/>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x 2</w:t>
            </w:r>
          </w:p>
        </w:tc>
        <w:tc>
          <w:tcPr>
            <w:tcW w:w="2122" w:type="dxa"/>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6 x naturel</w:t>
            </w:r>
            <w:r w:rsidR="00683A3D" w:rsidRPr="00122FD1">
              <w:rPr>
                <w:sz w:val="18"/>
                <w:szCs w:val="18"/>
                <w:lang w:val="fr-FR"/>
              </w:rPr>
              <w:t>l</w:t>
            </w:r>
            <w:r w:rsidRPr="00122FD1">
              <w:rPr>
                <w:sz w:val="18"/>
                <w:szCs w:val="18"/>
                <w:lang w:val="fr-FR"/>
              </w:rPr>
              <w:t>e</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suicide</w:t>
            </w:r>
          </w:p>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accident</w:t>
            </w:r>
          </w:p>
        </w:tc>
        <w:tc>
          <w:tcPr>
            <w:tcW w:w="1970" w:type="dxa"/>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Voir ci-dessous les recommandations du </w:t>
            </w:r>
            <w:r w:rsidRPr="00122FD1">
              <w:rPr>
                <w:i/>
                <w:iCs/>
                <w:sz w:val="18"/>
                <w:szCs w:val="18"/>
                <w:lang w:val="fr-FR"/>
              </w:rPr>
              <w:t>Coroner</w:t>
            </w:r>
            <w:r w:rsidRPr="00122FD1">
              <w:rPr>
                <w:sz w:val="18"/>
                <w:szCs w:val="18"/>
                <w:lang w:val="fr-FR"/>
              </w:rPr>
              <w:t>.</w:t>
            </w:r>
          </w:p>
        </w:tc>
      </w:tr>
      <w:tr w:rsidR="00683A3D" w:rsidRPr="00122FD1">
        <w:tc>
          <w:tcPr>
            <w:tcW w:w="1560"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2001/02</w:t>
            </w:r>
          </w:p>
        </w:tc>
        <w:tc>
          <w:tcPr>
            <w:tcW w:w="1275"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6</w:t>
            </w:r>
          </w:p>
        </w:tc>
        <w:tc>
          <w:tcPr>
            <w:tcW w:w="1701"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lang w:val="nl-NL"/>
              </w:rPr>
            </w:pPr>
            <w:r w:rsidRPr="00122FD1">
              <w:rPr>
                <w:sz w:val="18"/>
                <w:szCs w:val="18"/>
                <w:lang w:val="nl-NL"/>
              </w:rPr>
              <w:t>2 x Ararat</w:t>
            </w:r>
          </w:p>
          <w:p w:rsidR="00683A3D" w:rsidRPr="00122FD1" w:rsidRDefault="00683A3D" w:rsidP="005D7B68">
            <w:pPr>
              <w:tabs>
                <w:tab w:val="left" w:pos="567"/>
                <w:tab w:val="left" w:pos="1134"/>
                <w:tab w:val="left" w:pos="1701"/>
                <w:tab w:val="left" w:pos="2268"/>
                <w:tab w:val="left" w:pos="2835"/>
              </w:tabs>
              <w:spacing w:before="20" w:after="20"/>
              <w:rPr>
                <w:sz w:val="18"/>
                <w:szCs w:val="18"/>
                <w:lang w:val="nl-NL"/>
              </w:rPr>
            </w:pPr>
            <w:r w:rsidRPr="00122FD1">
              <w:rPr>
                <w:sz w:val="18"/>
                <w:szCs w:val="18"/>
                <w:lang w:val="nl-NL"/>
              </w:rPr>
              <w:t>2 x MAP</w:t>
            </w:r>
          </w:p>
          <w:p w:rsidR="00683A3D" w:rsidRPr="00122FD1" w:rsidRDefault="00683A3D" w:rsidP="005D7B68">
            <w:pPr>
              <w:tabs>
                <w:tab w:val="left" w:pos="567"/>
                <w:tab w:val="left" w:pos="1134"/>
                <w:tab w:val="left" w:pos="1701"/>
                <w:tab w:val="left" w:pos="2268"/>
                <w:tab w:val="left" w:pos="2835"/>
              </w:tabs>
              <w:spacing w:before="20" w:after="20"/>
              <w:rPr>
                <w:sz w:val="18"/>
                <w:szCs w:val="18"/>
                <w:lang w:val="nl-NL"/>
              </w:rPr>
            </w:pPr>
            <w:r w:rsidRPr="00122FD1">
              <w:rPr>
                <w:sz w:val="18"/>
                <w:szCs w:val="18"/>
                <w:lang w:val="nl-NL"/>
              </w:rPr>
              <w:t>1 x Barwon</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PPP</w:t>
            </w:r>
          </w:p>
        </w:tc>
        <w:tc>
          <w:tcPr>
            <w:tcW w:w="1276" w:type="dxa"/>
            <w:tcBorders>
              <w:bottom w:val="single" w:sz="4" w:space="0" w:color="auto"/>
            </w:tcBorders>
          </w:tcPr>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6 x hommes</w:t>
            </w:r>
          </w:p>
        </w:tc>
        <w:tc>
          <w:tcPr>
            <w:tcW w:w="1701" w:type="dxa"/>
            <w:tcBorders>
              <w:bottom w:val="single" w:sz="4" w:space="0" w:color="auto"/>
            </w:tcBorders>
          </w:tcPr>
          <w:p w:rsidR="00683A3D" w:rsidRPr="00122FD1" w:rsidRDefault="00A32C9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4 x Australiens</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1 x </w:t>
            </w:r>
            <w:r w:rsidR="00A32C94" w:rsidRPr="00122FD1">
              <w:rPr>
                <w:sz w:val="18"/>
                <w:szCs w:val="18"/>
                <w:lang w:val="fr-FR"/>
              </w:rPr>
              <w:t>Anglais</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Iraq</w:t>
            </w:r>
            <w:r w:rsidR="00311A74" w:rsidRPr="00122FD1">
              <w:rPr>
                <w:sz w:val="18"/>
                <w:szCs w:val="18"/>
                <w:lang w:val="fr-FR"/>
              </w:rPr>
              <w:t>u</w:t>
            </w:r>
            <w:r w:rsidRPr="00122FD1">
              <w:rPr>
                <w:sz w:val="18"/>
                <w:szCs w:val="18"/>
                <w:lang w:val="fr-FR"/>
              </w:rPr>
              <w:t>i</w:t>
            </w:r>
            <w:r w:rsidR="00A32C94" w:rsidRPr="00122FD1">
              <w:rPr>
                <w:sz w:val="18"/>
                <w:szCs w:val="18"/>
                <w:lang w:val="fr-FR"/>
              </w:rPr>
              <w:t>en</w:t>
            </w:r>
          </w:p>
        </w:tc>
        <w:tc>
          <w:tcPr>
            <w:tcW w:w="1847"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x 1</w:t>
            </w:r>
          </w:p>
        </w:tc>
        <w:tc>
          <w:tcPr>
            <w:tcW w:w="2122" w:type="dxa"/>
            <w:tcBorders>
              <w:bottom w:val="single" w:sz="4" w:space="0" w:color="auto"/>
            </w:tcBorders>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4 x naturel</w:t>
            </w:r>
            <w:r w:rsidR="00683A3D" w:rsidRPr="00122FD1">
              <w:rPr>
                <w:sz w:val="18"/>
                <w:szCs w:val="18"/>
                <w:lang w:val="fr-FR"/>
              </w:rPr>
              <w:t>l</w:t>
            </w:r>
            <w:r w:rsidRPr="00122FD1">
              <w:rPr>
                <w:sz w:val="18"/>
                <w:szCs w:val="18"/>
                <w:lang w:val="fr-FR"/>
              </w:rPr>
              <w:t>e</w:t>
            </w:r>
          </w:p>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meurtre</w:t>
            </w:r>
          </w:p>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1 x </w:t>
            </w:r>
            <w:r w:rsidR="00683A3D" w:rsidRPr="00122FD1">
              <w:rPr>
                <w:sz w:val="18"/>
                <w:szCs w:val="18"/>
                <w:lang w:val="fr-FR"/>
              </w:rPr>
              <w:t>force</w:t>
            </w:r>
            <w:r w:rsidRPr="00122FD1">
              <w:rPr>
                <w:sz w:val="18"/>
                <w:szCs w:val="18"/>
                <w:lang w:val="fr-FR"/>
              </w:rPr>
              <w:t xml:space="preserve"> létale</w:t>
            </w:r>
          </w:p>
        </w:tc>
        <w:tc>
          <w:tcPr>
            <w:tcW w:w="1970" w:type="dxa"/>
            <w:tcBorders>
              <w:bottom w:val="single" w:sz="4" w:space="0" w:color="auto"/>
            </w:tcBorders>
          </w:tcPr>
          <w:p w:rsidR="00683A3D" w:rsidRPr="00122FD1" w:rsidRDefault="00B45083"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Voir ci-dessous les recommandations du </w:t>
            </w:r>
            <w:r w:rsidRPr="00122FD1">
              <w:rPr>
                <w:i/>
                <w:iCs/>
                <w:sz w:val="18"/>
                <w:szCs w:val="18"/>
                <w:lang w:val="fr-FR"/>
              </w:rPr>
              <w:t>Coroner</w:t>
            </w:r>
            <w:r w:rsidRPr="00122FD1">
              <w:rPr>
                <w:sz w:val="18"/>
                <w:szCs w:val="18"/>
                <w:lang w:val="fr-FR"/>
              </w:rPr>
              <w:t>.</w:t>
            </w:r>
          </w:p>
        </w:tc>
      </w:tr>
      <w:tr w:rsidR="00683A3D" w:rsidRPr="00122FD1">
        <w:tc>
          <w:tcPr>
            <w:tcW w:w="1560"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2002/03</w:t>
            </w:r>
          </w:p>
        </w:tc>
        <w:tc>
          <w:tcPr>
            <w:tcW w:w="1275"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jc w:val="center"/>
              <w:rPr>
                <w:sz w:val="18"/>
                <w:szCs w:val="18"/>
              </w:rPr>
            </w:pPr>
            <w:r w:rsidRPr="00122FD1">
              <w:rPr>
                <w:sz w:val="18"/>
                <w:szCs w:val="18"/>
              </w:rPr>
              <w:t>5</w:t>
            </w:r>
          </w:p>
        </w:tc>
        <w:tc>
          <w:tcPr>
            <w:tcW w:w="1701"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2 x PPP</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Beechworth</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Loddon</w:t>
            </w:r>
          </w:p>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1 x Tarrengower</w:t>
            </w:r>
          </w:p>
        </w:tc>
        <w:tc>
          <w:tcPr>
            <w:tcW w:w="1276" w:type="dxa"/>
            <w:tcBorders>
              <w:bottom w:val="single" w:sz="4" w:space="0" w:color="auto"/>
            </w:tcBorders>
          </w:tcPr>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4 x hommes</w:t>
            </w:r>
          </w:p>
          <w:p w:rsidR="00683A3D" w:rsidRPr="00122FD1" w:rsidRDefault="00A32C94" w:rsidP="005D7B68">
            <w:pPr>
              <w:tabs>
                <w:tab w:val="left" w:pos="567"/>
                <w:tab w:val="left" w:pos="1134"/>
                <w:tab w:val="left" w:pos="1701"/>
                <w:tab w:val="left" w:pos="2268"/>
                <w:tab w:val="left" w:pos="2835"/>
              </w:tabs>
              <w:spacing w:before="20" w:after="20"/>
              <w:rPr>
                <w:sz w:val="18"/>
                <w:szCs w:val="18"/>
              </w:rPr>
            </w:pPr>
            <w:r w:rsidRPr="00122FD1">
              <w:rPr>
                <w:sz w:val="18"/>
                <w:szCs w:val="18"/>
              </w:rPr>
              <w:t>1 x femme</w:t>
            </w:r>
          </w:p>
        </w:tc>
        <w:tc>
          <w:tcPr>
            <w:tcW w:w="1701" w:type="dxa"/>
            <w:tcBorders>
              <w:bottom w:val="single" w:sz="4" w:space="0" w:color="auto"/>
            </w:tcBorders>
          </w:tcPr>
          <w:p w:rsidR="00683A3D" w:rsidRPr="00122FD1" w:rsidRDefault="00311A7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Australiens</w:t>
            </w:r>
          </w:p>
          <w:p w:rsidR="00683A3D" w:rsidRPr="004A56EB" w:rsidRDefault="00122FD1" w:rsidP="005D7B68">
            <w:pPr>
              <w:tabs>
                <w:tab w:val="left" w:pos="567"/>
                <w:tab w:val="left" w:pos="1134"/>
                <w:tab w:val="left" w:pos="1701"/>
                <w:tab w:val="left" w:pos="2268"/>
                <w:tab w:val="left" w:pos="2835"/>
              </w:tabs>
              <w:spacing w:before="20" w:after="20"/>
              <w:rPr>
                <w:sz w:val="18"/>
                <w:szCs w:val="18"/>
                <w:lang w:val="fr-FR"/>
              </w:rPr>
            </w:pPr>
            <w:r>
              <w:rPr>
                <w:sz w:val="18"/>
                <w:szCs w:val="18"/>
                <w:lang w:val="fr-FR"/>
              </w:rPr>
              <w:t>1 x Nouvelle-</w:t>
            </w:r>
            <w:r w:rsidR="00311A74" w:rsidRPr="00122FD1">
              <w:rPr>
                <w:sz w:val="18"/>
                <w:szCs w:val="18"/>
                <w:lang w:val="fr-FR"/>
              </w:rPr>
              <w:t>Guinée</w:t>
            </w:r>
            <w:r w:rsidR="00683A3D" w:rsidRPr="00122FD1">
              <w:rPr>
                <w:sz w:val="18"/>
                <w:szCs w:val="18"/>
                <w:lang w:val="fr-FR"/>
              </w:rPr>
              <w:t xml:space="preserve"> </w:t>
            </w:r>
            <w:r>
              <w:rPr>
                <w:sz w:val="18"/>
                <w:szCs w:val="18"/>
                <w:lang w:val="fr-FR"/>
              </w:rPr>
              <w:br/>
            </w:r>
            <w:r w:rsidR="00311A74" w:rsidRPr="004A56EB">
              <w:rPr>
                <w:sz w:val="18"/>
                <w:szCs w:val="18"/>
                <w:lang w:val="fr-FR"/>
              </w:rPr>
              <w:t>1 x Espagnol</w:t>
            </w:r>
          </w:p>
        </w:tc>
        <w:tc>
          <w:tcPr>
            <w:tcW w:w="1847" w:type="dxa"/>
            <w:tcBorders>
              <w:bottom w:val="single" w:sz="4" w:space="0" w:color="auto"/>
            </w:tcBorders>
          </w:tcPr>
          <w:p w:rsidR="00683A3D" w:rsidRPr="00122FD1" w:rsidRDefault="00683A3D" w:rsidP="005D7B68">
            <w:pPr>
              <w:tabs>
                <w:tab w:val="left" w:pos="567"/>
                <w:tab w:val="left" w:pos="1134"/>
                <w:tab w:val="left" w:pos="1701"/>
                <w:tab w:val="left" w:pos="2268"/>
                <w:tab w:val="left" w:pos="2835"/>
              </w:tabs>
              <w:spacing w:before="20" w:after="20"/>
              <w:rPr>
                <w:sz w:val="18"/>
                <w:szCs w:val="18"/>
              </w:rPr>
            </w:pPr>
            <w:r w:rsidRPr="00122FD1">
              <w:rPr>
                <w:sz w:val="18"/>
                <w:szCs w:val="18"/>
              </w:rPr>
              <w:t>x 1</w:t>
            </w:r>
          </w:p>
        </w:tc>
        <w:tc>
          <w:tcPr>
            <w:tcW w:w="2122" w:type="dxa"/>
            <w:tcBorders>
              <w:bottom w:val="single" w:sz="4" w:space="0" w:color="auto"/>
            </w:tcBorders>
          </w:tcPr>
          <w:p w:rsidR="00683A3D" w:rsidRPr="00122FD1" w:rsidRDefault="00055C54"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natur</w:t>
            </w:r>
            <w:r w:rsidR="004D753E" w:rsidRPr="00122FD1">
              <w:rPr>
                <w:sz w:val="18"/>
                <w:szCs w:val="18"/>
                <w:lang w:val="fr-FR"/>
              </w:rPr>
              <w:t>elle</w:t>
            </w:r>
          </w:p>
          <w:p w:rsidR="00683A3D" w:rsidRPr="00122FD1" w:rsidRDefault="00683A3D"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suicide</w:t>
            </w:r>
          </w:p>
        </w:tc>
        <w:tc>
          <w:tcPr>
            <w:tcW w:w="1970" w:type="dxa"/>
            <w:tcBorders>
              <w:bottom w:val="single" w:sz="4" w:space="0" w:color="auto"/>
            </w:tcBorders>
          </w:tcPr>
          <w:p w:rsidR="00683A3D" w:rsidRPr="00122FD1" w:rsidRDefault="004D753E"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Voir ci-dessous les recommandations du </w:t>
            </w:r>
            <w:r w:rsidRPr="00122FD1">
              <w:rPr>
                <w:i/>
                <w:iCs/>
                <w:sz w:val="18"/>
                <w:szCs w:val="18"/>
                <w:lang w:val="fr-FR"/>
              </w:rPr>
              <w:t>Coroner</w:t>
            </w:r>
            <w:r w:rsidRPr="00122FD1">
              <w:rPr>
                <w:sz w:val="18"/>
                <w:szCs w:val="18"/>
                <w:lang w:val="fr-FR"/>
              </w:rPr>
              <w:t>.</w:t>
            </w:r>
          </w:p>
        </w:tc>
      </w:tr>
      <w:tr w:rsidR="00024552" w:rsidRPr="00122FD1">
        <w:tc>
          <w:tcPr>
            <w:tcW w:w="156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2003/04</w:t>
            </w:r>
          </w:p>
        </w:tc>
        <w:tc>
          <w:tcPr>
            <w:tcW w:w="1275"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r w:rsidRPr="00122FD1">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3 x PPP</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Barwon</w:t>
            </w:r>
          </w:p>
        </w:tc>
        <w:tc>
          <w:tcPr>
            <w:tcW w:w="1276"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hommes</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Australiens</w:t>
            </w:r>
          </w:p>
        </w:tc>
        <w:tc>
          <w:tcPr>
            <w:tcW w:w="1847"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Aucune</w:t>
            </w:r>
          </w:p>
          <w:p w:rsidR="00024552" w:rsidRPr="00122FD1" w:rsidRDefault="00D81FE6"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Une seule partie entendue</w:t>
            </w:r>
          </w:p>
        </w:tc>
        <w:tc>
          <w:tcPr>
            <w:tcW w:w="2122"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 x naturelle</w:t>
            </w:r>
          </w:p>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suicide</w:t>
            </w:r>
          </w:p>
          <w:p w:rsidR="00024552" w:rsidRPr="00122FD1" w:rsidRDefault="002E36D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pas arrêtée (</w:t>
            </w:r>
            <w:r w:rsidR="00024552" w:rsidRPr="00122FD1">
              <w:rPr>
                <w:sz w:val="18"/>
                <w:szCs w:val="18"/>
                <w:lang w:val="fr-FR"/>
              </w:rPr>
              <w:t>cause</w:t>
            </w:r>
            <w:r w:rsidRPr="00122FD1">
              <w:rPr>
                <w:sz w:val="18"/>
                <w:szCs w:val="18"/>
                <w:lang w:val="fr-FR"/>
              </w:rPr>
              <w:t xml:space="preserve"> apparente</w:t>
            </w:r>
            <w:r w:rsidR="00572260" w:rsidRPr="00122FD1">
              <w:rPr>
                <w:sz w:val="18"/>
                <w:szCs w:val="18"/>
                <w:lang w:val="fr-FR"/>
              </w:rPr>
              <w:t>:</w:t>
            </w:r>
            <w:r w:rsidR="00024552" w:rsidRPr="00122FD1">
              <w:rPr>
                <w:sz w:val="18"/>
                <w:szCs w:val="18"/>
                <w:lang w:val="fr-FR"/>
              </w:rPr>
              <w:t xml:space="preserve"> suicide)</w:t>
            </w:r>
          </w:p>
        </w:tc>
        <w:tc>
          <w:tcPr>
            <w:tcW w:w="197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w:t>
            </w:r>
            <w:r w:rsidR="001E498A" w:rsidRPr="00122FD1">
              <w:rPr>
                <w:sz w:val="18"/>
                <w:szCs w:val="18"/>
                <w:lang w:val="fr-FR"/>
              </w:rPr>
              <w:t xml:space="preserve"> cause pas arrêtée définitivement</w:t>
            </w:r>
            <w:r w:rsidRPr="00122FD1">
              <w:rPr>
                <w:sz w:val="18"/>
                <w:szCs w:val="18"/>
                <w:lang w:val="fr-FR"/>
              </w:rPr>
              <w:t>.</w:t>
            </w:r>
          </w:p>
        </w:tc>
      </w:tr>
      <w:tr w:rsidR="00024552" w:rsidRPr="00122FD1">
        <w:tc>
          <w:tcPr>
            <w:tcW w:w="156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2004/05</w:t>
            </w:r>
          </w:p>
        </w:tc>
        <w:tc>
          <w:tcPr>
            <w:tcW w:w="1275"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r w:rsidRPr="00122FD1">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PPP</w:t>
            </w:r>
          </w:p>
        </w:tc>
        <w:tc>
          <w:tcPr>
            <w:tcW w:w="1276"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homme</w:t>
            </w:r>
            <w:r w:rsidR="001E498A" w:rsidRPr="00122FD1">
              <w:rPr>
                <w:sz w:val="18"/>
                <w:szCs w:val="18"/>
              </w:rPr>
              <w:t>s</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Australiens</w:t>
            </w:r>
          </w:p>
        </w:tc>
        <w:tc>
          <w:tcPr>
            <w:tcW w:w="1847"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after="0"/>
              <w:rPr>
                <w:sz w:val="18"/>
                <w:szCs w:val="18"/>
              </w:rPr>
            </w:pPr>
            <w:r w:rsidRPr="00122FD1">
              <w:rPr>
                <w:sz w:val="18"/>
                <w:szCs w:val="18"/>
              </w:rPr>
              <w:t>Aucune</w:t>
            </w:r>
            <w:r w:rsidR="00024552" w:rsidRPr="00122FD1">
              <w:rPr>
                <w:sz w:val="18"/>
                <w:szCs w:val="18"/>
              </w:rPr>
              <w:t xml:space="preserve"> </w:t>
            </w:r>
          </w:p>
        </w:tc>
        <w:tc>
          <w:tcPr>
            <w:tcW w:w="2122"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4 x natural causes</w:t>
            </w:r>
          </w:p>
        </w:tc>
        <w:tc>
          <w:tcPr>
            <w:tcW w:w="197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p>
        </w:tc>
      </w:tr>
      <w:tr w:rsidR="00024552" w:rsidRPr="00122FD1">
        <w:tc>
          <w:tcPr>
            <w:tcW w:w="156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2005/06</w:t>
            </w:r>
          </w:p>
        </w:tc>
        <w:tc>
          <w:tcPr>
            <w:tcW w:w="1275"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r w:rsidRPr="00122FD1">
              <w:rPr>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3 x PPP</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DPFC</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Dhurringile</w:t>
            </w:r>
          </w:p>
        </w:tc>
        <w:tc>
          <w:tcPr>
            <w:tcW w:w="1276"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hommes</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femme</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Australiens</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ATSI</w:t>
            </w:r>
          </w:p>
        </w:tc>
        <w:tc>
          <w:tcPr>
            <w:tcW w:w="1847"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Aucune</w:t>
            </w:r>
          </w:p>
          <w:p w:rsidR="00024552" w:rsidRPr="00122FD1" w:rsidRDefault="00D81FE6"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Une seule partie entendue</w:t>
            </w:r>
          </w:p>
        </w:tc>
        <w:tc>
          <w:tcPr>
            <w:tcW w:w="2122"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3 x </w:t>
            </w:r>
            <w:r w:rsidR="00AA1ED6">
              <w:rPr>
                <w:sz w:val="18"/>
                <w:szCs w:val="18"/>
                <w:lang w:val="fr-FR"/>
              </w:rPr>
              <w:t>naturelle</w:t>
            </w:r>
          </w:p>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1 x </w:t>
            </w:r>
            <w:r w:rsidR="00AA1ED6">
              <w:rPr>
                <w:sz w:val="18"/>
                <w:szCs w:val="18"/>
                <w:lang w:val="fr-FR"/>
              </w:rPr>
              <w:t>meurtre</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pas arrêtée (cause apparente: crise d’asthme</w:t>
            </w:r>
            <w:r w:rsidR="00024552" w:rsidRPr="00122FD1">
              <w:rPr>
                <w:sz w:val="18"/>
                <w:szCs w:val="18"/>
                <w:lang w:val="fr-FR"/>
              </w:rPr>
              <w:t>)</w:t>
            </w:r>
          </w:p>
        </w:tc>
        <w:tc>
          <w:tcPr>
            <w:tcW w:w="197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1 x </w:t>
            </w:r>
            <w:r w:rsidR="001E498A" w:rsidRPr="00122FD1">
              <w:rPr>
                <w:sz w:val="18"/>
                <w:szCs w:val="18"/>
                <w:lang w:val="fr-FR"/>
              </w:rPr>
              <w:t>cause pas arrêtée définitivement</w:t>
            </w:r>
          </w:p>
        </w:tc>
      </w:tr>
      <w:tr w:rsidR="00024552" w:rsidRPr="00122FD1">
        <w:tc>
          <w:tcPr>
            <w:tcW w:w="156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2006/07</w:t>
            </w:r>
          </w:p>
        </w:tc>
        <w:tc>
          <w:tcPr>
            <w:tcW w:w="1275"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r w:rsidRPr="00122FD1">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PPP</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Ararat</w:t>
            </w:r>
          </w:p>
        </w:tc>
        <w:tc>
          <w:tcPr>
            <w:tcW w:w="1276"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 x hommes</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 x Australiens</w:t>
            </w:r>
          </w:p>
        </w:tc>
        <w:tc>
          <w:tcPr>
            <w:tcW w:w="1847"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after="0"/>
              <w:rPr>
                <w:sz w:val="18"/>
                <w:szCs w:val="18"/>
              </w:rPr>
            </w:pPr>
            <w:r w:rsidRPr="00122FD1">
              <w:rPr>
                <w:sz w:val="18"/>
                <w:szCs w:val="18"/>
              </w:rPr>
              <w:t>Aucune</w:t>
            </w:r>
          </w:p>
        </w:tc>
        <w:tc>
          <w:tcPr>
            <w:tcW w:w="2122"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naturelle</w:t>
            </w:r>
          </w:p>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 xml:space="preserve">1 x </w:t>
            </w:r>
            <w:r w:rsidR="001E498A" w:rsidRPr="00122FD1">
              <w:rPr>
                <w:sz w:val="18"/>
                <w:szCs w:val="18"/>
                <w:lang w:val="fr-FR"/>
              </w:rPr>
              <w:t>pas arrêtée (cause apparente: crise cardiaque)</w:t>
            </w:r>
          </w:p>
        </w:tc>
        <w:tc>
          <w:tcPr>
            <w:tcW w:w="197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w:t>
            </w:r>
            <w:r w:rsidR="001E498A" w:rsidRPr="00122FD1">
              <w:rPr>
                <w:sz w:val="18"/>
                <w:szCs w:val="18"/>
                <w:lang w:val="fr-FR"/>
              </w:rPr>
              <w:t xml:space="preserve"> cause pas arrêtée définitivement</w:t>
            </w:r>
            <w:r w:rsidRPr="00122FD1">
              <w:rPr>
                <w:sz w:val="18"/>
                <w:szCs w:val="18"/>
                <w:lang w:val="fr-FR"/>
              </w:rPr>
              <w:t>.</w:t>
            </w:r>
          </w:p>
        </w:tc>
      </w:tr>
      <w:tr w:rsidR="00024552" w:rsidRPr="00122FD1">
        <w:tc>
          <w:tcPr>
            <w:tcW w:w="1560" w:type="dxa"/>
            <w:tcBorders>
              <w:top w:val="single" w:sz="4" w:space="0" w:color="auto"/>
              <w:left w:val="single" w:sz="4" w:space="0" w:color="auto"/>
              <w:bottom w:val="single" w:sz="4" w:space="0" w:color="auto"/>
              <w:right w:val="single" w:sz="4" w:space="0" w:color="auto"/>
            </w:tcBorders>
          </w:tcPr>
          <w:p w:rsidR="00024552" w:rsidRPr="00122FD1" w:rsidRDefault="00AA1ED6" w:rsidP="005D7B68">
            <w:pPr>
              <w:tabs>
                <w:tab w:val="left" w:pos="567"/>
                <w:tab w:val="left" w:pos="1134"/>
                <w:tab w:val="left" w:pos="1701"/>
                <w:tab w:val="left" w:pos="2268"/>
                <w:tab w:val="left" w:pos="2835"/>
              </w:tabs>
              <w:spacing w:after="0"/>
              <w:rPr>
                <w:sz w:val="18"/>
                <w:szCs w:val="18"/>
              </w:rPr>
            </w:pPr>
            <w:r>
              <w:rPr>
                <w:sz w:val="18"/>
                <w:szCs w:val="18"/>
              </w:rPr>
              <w:t>Résumé</w:t>
            </w:r>
          </w:p>
        </w:tc>
        <w:tc>
          <w:tcPr>
            <w:tcW w:w="1275"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r w:rsidRPr="00122FD1">
              <w:rPr>
                <w:sz w:val="18"/>
                <w:szCs w:val="18"/>
              </w:rPr>
              <w:t>62</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lang w:val="nl-NL"/>
              </w:rPr>
            </w:pPr>
            <w:r w:rsidRPr="00122FD1">
              <w:rPr>
                <w:sz w:val="18"/>
                <w:szCs w:val="18"/>
                <w:lang w:val="nl-NL"/>
              </w:rPr>
              <w:t>34 x PPP</w:t>
            </w:r>
          </w:p>
          <w:p w:rsidR="00024552" w:rsidRPr="00122FD1" w:rsidRDefault="00024552" w:rsidP="005D7B68">
            <w:pPr>
              <w:tabs>
                <w:tab w:val="left" w:pos="567"/>
                <w:tab w:val="left" w:pos="1134"/>
                <w:tab w:val="left" w:pos="1701"/>
                <w:tab w:val="left" w:pos="2268"/>
                <w:tab w:val="left" w:pos="2835"/>
              </w:tabs>
              <w:spacing w:after="0"/>
              <w:rPr>
                <w:sz w:val="18"/>
                <w:szCs w:val="18"/>
                <w:lang w:val="nl-NL"/>
              </w:rPr>
            </w:pPr>
            <w:r w:rsidRPr="00122FD1">
              <w:rPr>
                <w:sz w:val="18"/>
                <w:szCs w:val="18"/>
                <w:lang w:val="nl-NL"/>
              </w:rPr>
              <w:t>6 x MAP</w:t>
            </w:r>
          </w:p>
          <w:p w:rsidR="00024552" w:rsidRPr="00122FD1" w:rsidRDefault="00024552" w:rsidP="005D7B68">
            <w:pPr>
              <w:tabs>
                <w:tab w:val="left" w:pos="567"/>
                <w:tab w:val="left" w:pos="1134"/>
                <w:tab w:val="left" w:pos="1701"/>
                <w:tab w:val="left" w:pos="2268"/>
                <w:tab w:val="left" w:pos="2835"/>
              </w:tabs>
              <w:spacing w:after="0"/>
              <w:rPr>
                <w:sz w:val="18"/>
                <w:szCs w:val="18"/>
                <w:lang w:val="nl-NL"/>
              </w:rPr>
            </w:pPr>
            <w:r w:rsidRPr="00122FD1">
              <w:rPr>
                <w:sz w:val="18"/>
                <w:szCs w:val="18"/>
                <w:lang w:val="nl-NL"/>
              </w:rPr>
              <w:t>5 x Barwon</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5 x Beechworth</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3 x Ararat</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 x Loddon</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2 x MWCC</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Dhurringile</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DPFC</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 xml:space="preserve">1 x </w:t>
            </w:r>
            <w:smartTag w:uri="urn:schemas-microsoft-com:office:smarttags" w:element="place">
              <w:smartTag w:uri="urn:schemas-microsoft-com:office:smarttags" w:element="City">
                <w:r w:rsidRPr="00122FD1">
                  <w:rPr>
                    <w:sz w:val="18"/>
                    <w:szCs w:val="18"/>
                  </w:rPr>
                  <w:t>Bendigo</w:t>
                </w:r>
              </w:smartTag>
            </w:smartTag>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FCC</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Tarrengower</w:t>
            </w:r>
          </w:p>
        </w:tc>
        <w:tc>
          <w:tcPr>
            <w:tcW w:w="1276"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58x hommes</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4 x femmes</w:t>
            </w:r>
          </w:p>
        </w:tc>
        <w:tc>
          <w:tcPr>
            <w:tcW w:w="1701"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44 x Australiens</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4 x ATSI</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4 x Vietnamiens</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2 x Italiens</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2 x Anglais</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1 x Iraquien</w:t>
            </w:r>
          </w:p>
          <w:p w:rsidR="00024552" w:rsidRPr="00122FD1" w:rsidRDefault="00024552"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1 x Espagnol</w:t>
            </w:r>
          </w:p>
          <w:p w:rsidR="00024552" w:rsidRPr="00122FD1" w:rsidRDefault="001E498A"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1 x Nouvelle-Guinée</w:t>
            </w:r>
          </w:p>
          <w:p w:rsidR="00024552" w:rsidRPr="00122FD1" w:rsidRDefault="001E498A"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1 x Grec</w:t>
            </w:r>
          </w:p>
          <w:p w:rsidR="00024552" w:rsidRPr="00122FD1" w:rsidRDefault="001E498A" w:rsidP="005D7B68">
            <w:pPr>
              <w:tabs>
                <w:tab w:val="left" w:pos="567"/>
                <w:tab w:val="left" w:pos="1134"/>
                <w:tab w:val="left" w:pos="1701"/>
                <w:tab w:val="left" w:pos="2268"/>
                <w:tab w:val="left" w:pos="2835"/>
              </w:tabs>
              <w:spacing w:after="0"/>
              <w:rPr>
                <w:sz w:val="18"/>
                <w:szCs w:val="18"/>
                <w:lang w:val="fr-FR"/>
              </w:rPr>
            </w:pPr>
            <w:r w:rsidRPr="00122FD1">
              <w:rPr>
                <w:sz w:val="18"/>
                <w:szCs w:val="18"/>
                <w:lang w:val="fr-FR"/>
              </w:rPr>
              <w:t>1 x Libanais</w:t>
            </w:r>
          </w:p>
          <w:p w:rsidR="00024552" w:rsidRPr="00122FD1" w:rsidRDefault="00024552" w:rsidP="005D7B68">
            <w:pPr>
              <w:tabs>
                <w:tab w:val="left" w:pos="567"/>
                <w:tab w:val="left" w:pos="1134"/>
                <w:tab w:val="left" w:pos="1701"/>
                <w:tab w:val="left" w:pos="2268"/>
                <w:tab w:val="left" w:pos="2835"/>
              </w:tabs>
              <w:spacing w:after="0"/>
              <w:rPr>
                <w:sz w:val="18"/>
                <w:szCs w:val="18"/>
              </w:rPr>
            </w:pPr>
            <w:r w:rsidRPr="00122FD1">
              <w:rPr>
                <w:sz w:val="18"/>
                <w:szCs w:val="18"/>
              </w:rPr>
              <w:t>1 x Y</w:t>
            </w:r>
            <w:r w:rsidR="001E498A" w:rsidRPr="00122FD1">
              <w:rPr>
                <w:sz w:val="18"/>
                <w:szCs w:val="18"/>
              </w:rPr>
              <w:t>o</w:t>
            </w:r>
            <w:r w:rsidRPr="00122FD1">
              <w:rPr>
                <w:sz w:val="18"/>
                <w:szCs w:val="18"/>
              </w:rPr>
              <w:t>ugoslav</w:t>
            </w:r>
            <w:r w:rsidR="001E498A" w:rsidRPr="00122FD1">
              <w:rPr>
                <w:sz w:val="18"/>
                <w:szCs w:val="18"/>
              </w:rPr>
              <w:t>e</w:t>
            </w:r>
          </w:p>
        </w:tc>
        <w:tc>
          <w:tcPr>
            <w:tcW w:w="1847"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rPr>
            </w:pPr>
          </w:p>
        </w:tc>
        <w:tc>
          <w:tcPr>
            <w:tcW w:w="2122" w:type="dxa"/>
            <w:tcBorders>
              <w:top w:val="single" w:sz="4" w:space="0" w:color="auto"/>
              <w:left w:val="single" w:sz="4" w:space="0" w:color="auto"/>
              <w:bottom w:val="single" w:sz="4" w:space="0" w:color="auto"/>
              <w:right w:val="single" w:sz="4" w:space="0" w:color="auto"/>
            </w:tcBorders>
          </w:tcPr>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28 x naturelle</w:t>
            </w:r>
          </w:p>
          <w:p w:rsidR="00024552" w:rsidRPr="00122FD1" w:rsidRDefault="00024552"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17 x suicide</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4 x pas arrêtée</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8 x accident</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3 x meurtre</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accidentelle</w:t>
            </w:r>
          </w:p>
          <w:p w:rsidR="00024552" w:rsidRPr="00122FD1" w:rsidRDefault="001E498A" w:rsidP="005D7B68">
            <w:pPr>
              <w:tabs>
                <w:tab w:val="left" w:pos="567"/>
                <w:tab w:val="left" w:pos="1134"/>
                <w:tab w:val="left" w:pos="1701"/>
                <w:tab w:val="left" w:pos="2268"/>
                <w:tab w:val="left" w:pos="2835"/>
              </w:tabs>
              <w:spacing w:before="20" w:after="20"/>
              <w:rPr>
                <w:sz w:val="18"/>
                <w:szCs w:val="18"/>
                <w:lang w:val="fr-FR"/>
              </w:rPr>
            </w:pPr>
            <w:r w:rsidRPr="00122FD1">
              <w:rPr>
                <w:sz w:val="18"/>
                <w:szCs w:val="18"/>
                <w:lang w:val="fr-FR"/>
              </w:rPr>
              <w:t>1 x force létale</w:t>
            </w:r>
          </w:p>
        </w:tc>
        <w:tc>
          <w:tcPr>
            <w:tcW w:w="1970" w:type="dxa"/>
            <w:tcBorders>
              <w:top w:val="single" w:sz="4" w:space="0" w:color="auto"/>
              <w:left w:val="single" w:sz="4" w:space="0" w:color="auto"/>
              <w:bottom w:val="single" w:sz="4" w:space="0" w:color="auto"/>
              <w:right w:val="single" w:sz="4" w:space="0" w:color="auto"/>
            </w:tcBorders>
          </w:tcPr>
          <w:p w:rsidR="00024552" w:rsidRPr="00122FD1" w:rsidRDefault="00024552" w:rsidP="005D7B68">
            <w:pPr>
              <w:tabs>
                <w:tab w:val="left" w:pos="567"/>
                <w:tab w:val="left" w:pos="1134"/>
                <w:tab w:val="left" w:pos="1701"/>
                <w:tab w:val="left" w:pos="2268"/>
                <w:tab w:val="left" w:pos="2835"/>
              </w:tabs>
              <w:spacing w:after="0"/>
              <w:jc w:val="center"/>
              <w:rPr>
                <w:sz w:val="18"/>
                <w:szCs w:val="18"/>
                <w:lang w:val="fr-FR"/>
              </w:rPr>
            </w:pPr>
          </w:p>
        </w:tc>
      </w:tr>
    </w:tbl>
    <w:p w:rsidR="00246E29" w:rsidRPr="008A7ABC" w:rsidRDefault="008A7ABC" w:rsidP="005D7B68">
      <w:pPr>
        <w:pStyle w:val="Heading2"/>
        <w:tabs>
          <w:tab w:val="left" w:pos="567"/>
          <w:tab w:val="left" w:pos="1134"/>
          <w:tab w:val="left" w:pos="1701"/>
          <w:tab w:val="left" w:pos="2268"/>
          <w:tab w:val="left" w:pos="2835"/>
        </w:tabs>
        <w:spacing w:before="120" w:after="120"/>
        <w:rPr>
          <w:i/>
          <w:iCs/>
          <w:lang w:val="fr-FR"/>
        </w:rPr>
      </w:pPr>
      <w:bookmarkStart w:id="30" w:name="_Toc193614100"/>
      <w:r w:rsidRPr="008A7ABC">
        <w:rPr>
          <w:lang w:val="fr-FR"/>
        </w:rPr>
        <w:t>Résumé des recommandations</w:t>
      </w:r>
      <w:r>
        <w:rPr>
          <w:lang w:val="fr-FR"/>
        </w:rPr>
        <w:t xml:space="preserve"> du </w:t>
      </w:r>
      <w:r w:rsidRPr="008A7ABC">
        <w:rPr>
          <w:i/>
          <w:iCs/>
          <w:lang w:val="fr-FR"/>
        </w:rPr>
        <w:t>Coroner</w:t>
      </w:r>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279"/>
        <w:gridCol w:w="1736"/>
        <w:gridCol w:w="2437"/>
        <w:gridCol w:w="6465"/>
      </w:tblGrid>
      <w:tr w:rsidR="00246E29" w:rsidRPr="00B85273">
        <w:trPr>
          <w:tblHeader/>
        </w:trPr>
        <w:tc>
          <w:tcPr>
            <w:tcW w:w="1568" w:type="dxa"/>
            <w:vAlign w:val="center"/>
          </w:tcPr>
          <w:p w:rsidR="00246E29" w:rsidRPr="00B85273" w:rsidRDefault="00F50847" w:rsidP="005D7B68">
            <w:pPr>
              <w:tabs>
                <w:tab w:val="left" w:pos="567"/>
                <w:tab w:val="left" w:pos="1134"/>
                <w:tab w:val="left" w:pos="1701"/>
                <w:tab w:val="left" w:pos="2268"/>
                <w:tab w:val="left" w:pos="2835"/>
              </w:tabs>
              <w:spacing w:before="40" w:after="40"/>
              <w:jc w:val="center"/>
              <w:rPr>
                <w:sz w:val="18"/>
                <w:szCs w:val="18"/>
              </w:rPr>
            </w:pPr>
            <w:r w:rsidRPr="00B85273">
              <w:rPr>
                <w:sz w:val="18"/>
                <w:szCs w:val="18"/>
              </w:rPr>
              <w:t>Date du décès</w:t>
            </w:r>
          </w:p>
        </w:tc>
        <w:tc>
          <w:tcPr>
            <w:tcW w:w="1279" w:type="dxa"/>
            <w:vAlign w:val="center"/>
          </w:tcPr>
          <w:p w:rsidR="00246E29" w:rsidRPr="00B85273" w:rsidRDefault="00246E29" w:rsidP="005D7B68">
            <w:pPr>
              <w:tabs>
                <w:tab w:val="left" w:pos="567"/>
                <w:tab w:val="left" w:pos="1134"/>
                <w:tab w:val="left" w:pos="1701"/>
                <w:tab w:val="left" w:pos="2268"/>
                <w:tab w:val="left" w:pos="2835"/>
              </w:tabs>
              <w:spacing w:before="40" w:after="40"/>
              <w:jc w:val="center"/>
              <w:rPr>
                <w:sz w:val="18"/>
                <w:szCs w:val="18"/>
              </w:rPr>
            </w:pPr>
            <w:r w:rsidRPr="00B85273">
              <w:rPr>
                <w:sz w:val="18"/>
                <w:szCs w:val="18"/>
              </w:rPr>
              <w:t>Prison</w:t>
            </w:r>
          </w:p>
        </w:tc>
        <w:tc>
          <w:tcPr>
            <w:tcW w:w="1736" w:type="dxa"/>
            <w:vAlign w:val="center"/>
          </w:tcPr>
          <w:p w:rsidR="00246E29" w:rsidRPr="00B85273" w:rsidRDefault="00F50847" w:rsidP="005D7B68">
            <w:pPr>
              <w:tabs>
                <w:tab w:val="left" w:pos="567"/>
                <w:tab w:val="left" w:pos="1134"/>
                <w:tab w:val="left" w:pos="1701"/>
                <w:tab w:val="left" w:pos="2268"/>
                <w:tab w:val="left" w:pos="2835"/>
              </w:tabs>
              <w:spacing w:before="40" w:after="40"/>
              <w:jc w:val="center"/>
              <w:rPr>
                <w:sz w:val="18"/>
                <w:szCs w:val="18"/>
              </w:rPr>
            </w:pPr>
            <w:r w:rsidRPr="00B85273">
              <w:rPr>
                <w:sz w:val="18"/>
                <w:szCs w:val="18"/>
              </w:rPr>
              <w:t>Date de l’enquête</w:t>
            </w:r>
          </w:p>
        </w:tc>
        <w:tc>
          <w:tcPr>
            <w:tcW w:w="2437" w:type="dxa"/>
            <w:vAlign w:val="center"/>
          </w:tcPr>
          <w:p w:rsidR="00246E29" w:rsidRPr="00B85273" w:rsidRDefault="00F50847" w:rsidP="005D7B68">
            <w:pPr>
              <w:tabs>
                <w:tab w:val="left" w:pos="567"/>
                <w:tab w:val="left" w:pos="1134"/>
                <w:tab w:val="left" w:pos="1701"/>
                <w:tab w:val="left" w:pos="2268"/>
                <w:tab w:val="left" w:pos="2835"/>
              </w:tabs>
              <w:spacing w:before="40" w:after="40"/>
              <w:jc w:val="center"/>
              <w:rPr>
                <w:sz w:val="18"/>
                <w:szCs w:val="18"/>
              </w:rPr>
            </w:pPr>
            <w:r w:rsidRPr="00B85273">
              <w:rPr>
                <w:sz w:val="18"/>
                <w:szCs w:val="18"/>
              </w:rPr>
              <w:t>Cause du décès</w:t>
            </w:r>
          </w:p>
        </w:tc>
        <w:tc>
          <w:tcPr>
            <w:tcW w:w="6465" w:type="dxa"/>
            <w:vAlign w:val="center"/>
          </w:tcPr>
          <w:p w:rsidR="00246E29" w:rsidRPr="00B85273" w:rsidRDefault="00F50847" w:rsidP="005D7B68">
            <w:pPr>
              <w:tabs>
                <w:tab w:val="left" w:pos="323"/>
                <w:tab w:val="left" w:pos="567"/>
                <w:tab w:val="left" w:pos="1134"/>
                <w:tab w:val="left" w:pos="1701"/>
                <w:tab w:val="left" w:pos="2268"/>
                <w:tab w:val="left" w:pos="2835"/>
              </w:tabs>
              <w:spacing w:before="40" w:after="40"/>
              <w:jc w:val="center"/>
              <w:rPr>
                <w:sz w:val="18"/>
                <w:szCs w:val="18"/>
              </w:rPr>
            </w:pPr>
            <w:r w:rsidRPr="00B85273">
              <w:rPr>
                <w:sz w:val="18"/>
                <w:szCs w:val="18"/>
              </w:rPr>
              <w:t>Recomma</w:t>
            </w:r>
            <w:r w:rsidR="00246E29" w:rsidRPr="00B85273">
              <w:rPr>
                <w:sz w:val="18"/>
                <w:szCs w:val="18"/>
              </w:rPr>
              <w:t>ndations</w:t>
            </w:r>
          </w:p>
        </w:tc>
      </w:tr>
      <w:tr w:rsidR="00246E29" w:rsidRPr="00B85273">
        <w:tc>
          <w:tcPr>
            <w:tcW w:w="1568" w:type="dxa"/>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16.5.1998</w:t>
            </w:r>
          </w:p>
        </w:tc>
        <w:tc>
          <w:tcPr>
            <w:tcW w:w="1279" w:type="dxa"/>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MAP</w:t>
            </w:r>
          </w:p>
        </w:tc>
        <w:tc>
          <w:tcPr>
            <w:tcW w:w="1736" w:type="dxa"/>
          </w:tcPr>
          <w:p w:rsidR="00246E29" w:rsidRPr="00B85273" w:rsidRDefault="00246E29" w:rsidP="005D7B68">
            <w:pPr>
              <w:tabs>
                <w:tab w:val="left" w:pos="567"/>
                <w:tab w:val="left" w:pos="1134"/>
                <w:tab w:val="left" w:pos="1701"/>
                <w:tab w:val="left" w:pos="2268"/>
                <w:tab w:val="left" w:pos="2835"/>
              </w:tabs>
              <w:spacing w:before="40" w:after="40"/>
              <w:rPr>
                <w:i/>
                <w:iCs/>
                <w:sz w:val="18"/>
                <w:szCs w:val="18"/>
              </w:rPr>
            </w:pPr>
            <w:r w:rsidRPr="00B85273">
              <w:rPr>
                <w:sz w:val="18"/>
                <w:szCs w:val="18"/>
              </w:rPr>
              <w:t>5.5.1999</w:t>
            </w:r>
          </w:p>
        </w:tc>
        <w:tc>
          <w:tcPr>
            <w:tcW w:w="2437" w:type="dxa"/>
          </w:tcPr>
          <w:p w:rsidR="00246E29" w:rsidRPr="00B85273" w:rsidRDefault="00F50847" w:rsidP="005D7B68">
            <w:pPr>
              <w:tabs>
                <w:tab w:val="left" w:pos="567"/>
                <w:tab w:val="left" w:pos="1134"/>
                <w:tab w:val="left" w:pos="1701"/>
                <w:tab w:val="left" w:pos="2268"/>
                <w:tab w:val="left" w:pos="2835"/>
              </w:tabs>
              <w:spacing w:before="40" w:after="40"/>
              <w:rPr>
                <w:sz w:val="18"/>
                <w:szCs w:val="18"/>
              </w:rPr>
            </w:pPr>
            <w:r w:rsidRPr="00B85273">
              <w:rPr>
                <w:sz w:val="18"/>
                <w:szCs w:val="18"/>
              </w:rPr>
              <w:t>Abus d’héroïne</w:t>
            </w:r>
          </w:p>
        </w:tc>
        <w:tc>
          <w:tcPr>
            <w:tcW w:w="6465" w:type="dxa"/>
          </w:tcPr>
          <w:p w:rsidR="00246E29" w:rsidRPr="00B85273" w:rsidRDefault="005E648C"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Utiliser des chiens formés à la détection passive pour contrôl</w:t>
            </w:r>
            <w:r w:rsidR="00AA1ED6" w:rsidRPr="00B85273">
              <w:rPr>
                <w:sz w:val="18"/>
                <w:szCs w:val="18"/>
                <w:lang w:val="fr-FR"/>
              </w:rPr>
              <w:t xml:space="preserve">er tous </w:t>
            </w:r>
            <w:r w:rsidRPr="00B85273">
              <w:rPr>
                <w:sz w:val="18"/>
                <w:szCs w:val="18"/>
                <w:lang w:val="fr-FR"/>
              </w:rPr>
              <w:t>les visiteurs</w:t>
            </w:r>
            <w:r w:rsidR="00246E29" w:rsidRPr="00B85273">
              <w:rPr>
                <w:sz w:val="18"/>
                <w:szCs w:val="18"/>
                <w:lang w:val="fr-FR"/>
              </w:rPr>
              <w:t>;</w:t>
            </w:r>
          </w:p>
          <w:p w:rsidR="00246E29" w:rsidRPr="00B85273" w:rsidRDefault="005E648C"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2.</w:t>
            </w:r>
            <w:r w:rsidRPr="00B85273">
              <w:rPr>
                <w:sz w:val="18"/>
                <w:szCs w:val="18"/>
                <w:lang w:val="fr-FR"/>
              </w:rPr>
              <w:tab/>
              <w:t>Envisager d’utiliser c</w:t>
            </w:r>
            <w:r w:rsidR="005B1CED" w:rsidRPr="00B85273">
              <w:rPr>
                <w:sz w:val="18"/>
                <w:szCs w:val="18"/>
                <w:lang w:val="fr-FR"/>
              </w:rPr>
              <w:t>e type de contrôle pour toutes l</w:t>
            </w:r>
            <w:r w:rsidRPr="00B85273">
              <w:rPr>
                <w:sz w:val="18"/>
                <w:szCs w:val="18"/>
                <w:lang w:val="fr-FR"/>
              </w:rPr>
              <w:t>es personnes qui pénètrent dans une prison, y compris les membres du personnel</w:t>
            </w:r>
            <w:r w:rsidR="00246E29" w:rsidRPr="00B85273">
              <w:rPr>
                <w:sz w:val="18"/>
                <w:szCs w:val="18"/>
                <w:lang w:val="fr-FR"/>
              </w:rPr>
              <w:t>.</w:t>
            </w:r>
          </w:p>
        </w:tc>
      </w:tr>
      <w:tr w:rsidR="00246E29" w:rsidRPr="00B85273">
        <w:tc>
          <w:tcPr>
            <w:tcW w:w="1568" w:type="dxa"/>
            <w:tcBorders>
              <w:bottom w:val="single" w:sz="4" w:space="0" w:color="auto"/>
            </w:tcBorders>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11.11.1999</w:t>
            </w:r>
          </w:p>
        </w:tc>
        <w:tc>
          <w:tcPr>
            <w:tcW w:w="1279" w:type="dxa"/>
            <w:tcBorders>
              <w:bottom w:val="single" w:sz="4" w:space="0" w:color="auto"/>
            </w:tcBorders>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FCC</w:t>
            </w:r>
          </w:p>
        </w:tc>
        <w:tc>
          <w:tcPr>
            <w:tcW w:w="1736" w:type="dxa"/>
            <w:tcBorders>
              <w:bottom w:val="single" w:sz="4" w:space="0" w:color="auto"/>
            </w:tcBorders>
          </w:tcPr>
          <w:p w:rsidR="00246E29" w:rsidRPr="00B85273" w:rsidRDefault="006712AC" w:rsidP="005D7B68">
            <w:pPr>
              <w:tabs>
                <w:tab w:val="left" w:pos="567"/>
                <w:tab w:val="left" w:pos="1134"/>
                <w:tab w:val="left" w:pos="1701"/>
                <w:tab w:val="left" w:pos="2268"/>
                <w:tab w:val="left" w:pos="2835"/>
              </w:tabs>
              <w:spacing w:before="40" w:after="40"/>
              <w:rPr>
                <w:sz w:val="18"/>
                <w:szCs w:val="18"/>
              </w:rPr>
            </w:pPr>
            <w:r w:rsidRPr="00B85273">
              <w:rPr>
                <w:sz w:val="18"/>
                <w:szCs w:val="18"/>
              </w:rPr>
              <w:t>7.8.2002 et</w:t>
            </w:r>
            <w:r w:rsidR="00246E29" w:rsidRPr="00B85273">
              <w:rPr>
                <w:sz w:val="18"/>
                <w:szCs w:val="18"/>
              </w:rPr>
              <w:t xml:space="preserve"> </w:t>
            </w:r>
            <w:r w:rsidR="00246E29" w:rsidRPr="00B85273">
              <w:rPr>
                <w:sz w:val="18"/>
                <w:szCs w:val="18"/>
              </w:rPr>
              <w:br/>
              <w:t>4</w:t>
            </w:r>
            <w:r w:rsidR="00246E29" w:rsidRPr="00B85273">
              <w:rPr>
                <w:sz w:val="18"/>
                <w:szCs w:val="18"/>
              </w:rPr>
              <w:noBreakHyphen/>
              <w:t>11.7.2005</w:t>
            </w:r>
          </w:p>
        </w:tc>
        <w:tc>
          <w:tcPr>
            <w:tcW w:w="2437" w:type="dxa"/>
            <w:tcBorders>
              <w:bottom w:val="single" w:sz="4" w:space="0" w:color="auto"/>
            </w:tcBorders>
          </w:tcPr>
          <w:p w:rsidR="00246E29" w:rsidRPr="00B85273" w:rsidRDefault="00F50847" w:rsidP="005D7B68">
            <w:pPr>
              <w:tabs>
                <w:tab w:val="left" w:pos="567"/>
                <w:tab w:val="left" w:pos="1134"/>
                <w:tab w:val="left" w:pos="1701"/>
                <w:tab w:val="left" w:pos="2268"/>
                <w:tab w:val="left" w:pos="2835"/>
              </w:tabs>
              <w:spacing w:before="40" w:after="40"/>
              <w:rPr>
                <w:sz w:val="18"/>
                <w:szCs w:val="18"/>
                <w:lang w:val="fr-FR"/>
              </w:rPr>
            </w:pPr>
            <w:r w:rsidRPr="00B85273">
              <w:rPr>
                <w:sz w:val="18"/>
                <w:szCs w:val="18"/>
                <w:lang w:val="fr-FR"/>
              </w:rPr>
              <w:t>Plaies ouvertes à la poitrine et à l’abdomen</w:t>
            </w:r>
          </w:p>
        </w:tc>
        <w:tc>
          <w:tcPr>
            <w:tcW w:w="6465" w:type="dxa"/>
            <w:tcBorders>
              <w:bottom w:val="single" w:sz="4" w:space="0" w:color="auto"/>
            </w:tcBorders>
          </w:tcPr>
          <w:p w:rsidR="00246E29" w:rsidRPr="00B85273" w:rsidRDefault="005E648C"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L’inspection de</w:t>
            </w:r>
            <w:r w:rsidR="006712AC" w:rsidRPr="00B85273">
              <w:rPr>
                <w:sz w:val="18"/>
                <w:szCs w:val="18"/>
                <w:lang w:val="fr-FR"/>
              </w:rPr>
              <w:t>s établissements pénitentiaires</w:t>
            </w:r>
            <w:r w:rsidRPr="00B85273">
              <w:rPr>
                <w:sz w:val="18"/>
                <w:szCs w:val="18"/>
                <w:lang w:val="fr-FR"/>
              </w:rPr>
              <w:t xml:space="preserve"> devrait entreprendre de toute urgence une évaluation pour savoir si l’affinement des pratiques et des systèmes censé</w:t>
            </w:r>
            <w:r w:rsidR="006712AC" w:rsidRPr="00B85273">
              <w:rPr>
                <w:sz w:val="18"/>
                <w:szCs w:val="18"/>
                <w:lang w:val="fr-FR"/>
              </w:rPr>
              <w:t>s</w:t>
            </w:r>
            <w:r w:rsidRPr="00B85273">
              <w:rPr>
                <w:sz w:val="18"/>
                <w:szCs w:val="18"/>
                <w:lang w:val="fr-FR"/>
              </w:rPr>
              <w:t xml:space="preserve"> avoir r</w:t>
            </w:r>
            <w:r w:rsidR="005B1CED" w:rsidRPr="00B85273">
              <w:rPr>
                <w:sz w:val="18"/>
                <w:szCs w:val="18"/>
                <w:lang w:val="fr-FR"/>
              </w:rPr>
              <w:t>ésolu les problèmes recensés</w:t>
            </w:r>
            <w:r w:rsidRPr="00B85273">
              <w:rPr>
                <w:sz w:val="18"/>
                <w:szCs w:val="18"/>
                <w:lang w:val="fr-FR"/>
              </w:rPr>
              <w:t xml:space="preserve"> est adéquat</w:t>
            </w:r>
            <w:r w:rsidR="00246E29" w:rsidRPr="00B85273">
              <w:rPr>
                <w:sz w:val="18"/>
                <w:szCs w:val="18"/>
                <w:lang w:val="fr-FR"/>
              </w:rPr>
              <w:t>.</w:t>
            </w:r>
          </w:p>
        </w:tc>
      </w:tr>
      <w:tr w:rsidR="00246E29" w:rsidRPr="00B85273">
        <w:tc>
          <w:tcPr>
            <w:tcW w:w="1568" w:type="dxa"/>
            <w:tcBorders>
              <w:bottom w:val="nil"/>
            </w:tcBorders>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29.3.2000</w:t>
            </w:r>
          </w:p>
        </w:tc>
        <w:tc>
          <w:tcPr>
            <w:tcW w:w="1279" w:type="dxa"/>
            <w:tcBorders>
              <w:bottom w:val="nil"/>
            </w:tcBorders>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PPP</w:t>
            </w:r>
          </w:p>
        </w:tc>
        <w:tc>
          <w:tcPr>
            <w:tcW w:w="1736" w:type="dxa"/>
            <w:tcBorders>
              <w:bottom w:val="nil"/>
            </w:tcBorders>
          </w:tcPr>
          <w:p w:rsidR="00246E29" w:rsidRPr="00B85273" w:rsidRDefault="00246E29" w:rsidP="005D7B68">
            <w:pPr>
              <w:tabs>
                <w:tab w:val="left" w:pos="567"/>
                <w:tab w:val="left" w:pos="1134"/>
                <w:tab w:val="left" w:pos="1701"/>
                <w:tab w:val="left" w:pos="2268"/>
                <w:tab w:val="left" w:pos="2835"/>
              </w:tabs>
              <w:spacing w:before="40" w:after="40"/>
              <w:rPr>
                <w:sz w:val="18"/>
                <w:szCs w:val="18"/>
              </w:rPr>
            </w:pPr>
            <w:r w:rsidRPr="00B85273">
              <w:rPr>
                <w:sz w:val="18"/>
                <w:szCs w:val="18"/>
              </w:rPr>
              <w:t>30.8.2002</w:t>
            </w:r>
          </w:p>
        </w:tc>
        <w:tc>
          <w:tcPr>
            <w:tcW w:w="2437" w:type="dxa"/>
            <w:tcBorders>
              <w:bottom w:val="nil"/>
            </w:tcBorders>
          </w:tcPr>
          <w:p w:rsidR="00246E29" w:rsidRPr="00B85273" w:rsidRDefault="00F50847" w:rsidP="005D7B68">
            <w:pPr>
              <w:tabs>
                <w:tab w:val="left" w:pos="567"/>
                <w:tab w:val="left" w:pos="1134"/>
                <w:tab w:val="left" w:pos="1701"/>
                <w:tab w:val="left" w:pos="2268"/>
                <w:tab w:val="left" w:pos="2835"/>
              </w:tabs>
              <w:spacing w:before="40" w:after="40"/>
              <w:rPr>
                <w:sz w:val="18"/>
                <w:szCs w:val="18"/>
                <w:lang w:val="fr-FR"/>
              </w:rPr>
            </w:pPr>
            <w:r w:rsidRPr="00B85273">
              <w:rPr>
                <w:sz w:val="18"/>
                <w:szCs w:val="18"/>
                <w:lang w:val="fr-FR"/>
              </w:rPr>
              <w:t>Lésion auto</w:t>
            </w:r>
            <w:r w:rsidR="00CB3DBB">
              <w:rPr>
                <w:sz w:val="18"/>
                <w:szCs w:val="18"/>
                <w:lang w:val="fr-FR"/>
              </w:rPr>
              <w:noBreakHyphen/>
            </w:r>
            <w:r w:rsidRPr="00B85273">
              <w:rPr>
                <w:sz w:val="18"/>
                <w:szCs w:val="18"/>
                <w:lang w:val="fr-FR"/>
              </w:rPr>
              <w:t>infligée au bras</w:t>
            </w:r>
            <w:r w:rsidR="00B85273">
              <w:rPr>
                <w:sz w:val="18"/>
                <w:szCs w:val="18"/>
                <w:lang w:val="fr-FR"/>
              </w:rPr>
              <w:t xml:space="preserve"> –</w:t>
            </w:r>
            <w:r w:rsidR="00246E29" w:rsidRPr="00B85273">
              <w:rPr>
                <w:sz w:val="18"/>
                <w:szCs w:val="18"/>
                <w:lang w:val="fr-FR"/>
              </w:rPr>
              <w:t xml:space="preserve"> suicide</w:t>
            </w:r>
          </w:p>
        </w:tc>
        <w:tc>
          <w:tcPr>
            <w:tcW w:w="6465" w:type="dxa"/>
            <w:tcBorders>
              <w:bottom w:val="nil"/>
            </w:tcBorders>
          </w:tcPr>
          <w:p w:rsidR="00246E29" w:rsidRPr="00B85273" w:rsidRDefault="00652BA7" w:rsidP="005D7B68">
            <w:pPr>
              <w:tabs>
                <w:tab w:val="left" w:pos="323"/>
                <w:tab w:val="left" w:pos="567"/>
                <w:tab w:val="left" w:pos="1134"/>
                <w:tab w:val="left" w:pos="1701"/>
                <w:tab w:val="left" w:pos="2268"/>
                <w:tab w:val="left" w:pos="2835"/>
              </w:tabs>
              <w:spacing w:before="40" w:after="40"/>
              <w:rPr>
                <w:sz w:val="18"/>
                <w:szCs w:val="18"/>
                <w:lang w:val="fr-FR"/>
              </w:rPr>
            </w:pPr>
            <w:r w:rsidRPr="00B85273">
              <w:rPr>
                <w:sz w:val="18"/>
                <w:szCs w:val="18"/>
                <w:lang w:val="fr-FR"/>
              </w:rPr>
              <w:t xml:space="preserve">Pas de </w:t>
            </w:r>
            <w:r w:rsidRPr="000C66F3">
              <w:rPr>
                <w:b/>
                <w:bCs/>
                <w:sz w:val="18"/>
                <w:szCs w:val="18"/>
                <w:lang w:val="fr-FR"/>
              </w:rPr>
              <w:t>recomma</w:t>
            </w:r>
            <w:r w:rsidR="00246E29" w:rsidRPr="000C66F3">
              <w:rPr>
                <w:b/>
                <w:bCs/>
                <w:sz w:val="18"/>
                <w:szCs w:val="18"/>
                <w:lang w:val="fr-FR"/>
              </w:rPr>
              <w:t xml:space="preserve">ndations </w:t>
            </w:r>
            <w:r w:rsidRPr="000C66F3">
              <w:rPr>
                <w:b/>
                <w:bCs/>
                <w:sz w:val="18"/>
                <w:szCs w:val="18"/>
                <w:lang w:val="fr-FR"/>
              </w:rPr>
              <w:t>officielles</w:t>
            </w:r>
            <w:r w:rsidRPr="00B85273">
              <w:rPr>
                <w:sz w:val="18"/>
                <w:szCs w:val="18"/>
                <w:lang w:val="fr-FR"/>
              </w:rPr>
              <w:t xml:space="preserve"> bien que le</w:t>
            </w:r>
            <w:r w:rsidR="00246E29" w:rsidRPr="00B85273">
              <w:rPr>
                <w:sz w:val="18"/>
                <w:szCs w:val="18"/>
                <w:lang w:val="fr-FR"/>
              </w:rPr>
              <w:t xml:space="preserve"> </w:t>
            </w:r>
            <w:r w:rsidR="00246E29" w:rsidRPr="00B85273">
              <w:rPr>
                <w:i/>
                <w:iCs/>
                <w:sz w:val="18"/>
                <w:szCs w:val="18"/>
                <w:lang w:val="fr-FR"/>
              </w:rPr>
              <w:t>Coroner</w:t>
            </w:r>
            <w:r w:rsidRPr="00B85273">
              <w:rPr>
                <w:sz w:val="18"/>
                <w:szCs w:val="18"/>
                <w:lang w:val="fr-FR"/>
              </w:rPr>
              <w:t xml:space="preserve"> ait détecté les problèmes principaux suivants</w:t>
            </w:r>
            <w:r w:rsidR="00246E29" w:rsidRPr="00B85273">
              <w:rPr>
                <w:sz w:val="18"/>
                <w:szCs w:val="18"/>
                <w:lang w:val="fr-FR"/>
              </w:rPr>
              <w:t>:</w:t>
            </w:r>
          </w:p>
          <w:p w:rsidR="00246E29" w:rsidRPr="00B85273" w:rsidRDefault="00652BA7"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L’échange des informations entre tous les organismes</w:t>
            </w:r>
            <w:r w:rsidR="00FC6E96" w:rsidRPr="00B85273">
              <w:rPr>
                <w:sz w:val="18"/>
                <w:szCs w:val="18"/>
                <w:lang w:val="fr-FR"/>
              </w:rPr>
              <w:t xml:space="preserve"> pénitentiaires (y compris la</w:t>
            </w:r>
            <w:r w:rsidR="00246E29" w:rsidRPr="00B85273">
              <w:rPr>
                <w:sz w:val="18"/>
                <w:szCs w:val="18"/>
                <w:lang w:val="fr-FR"/>
              </w:rPr>
              <w:t xml:space="preserve"> pol</w:t>
            </w:r>
            <w:r w:rsidR="00FC6E96" w:rsidRPr="00B85273">
              <w:rPr>
                <w:sz w:val="18"/>
                <w:szCs w:val="18"/>
                <w:lang w:val="fr-FR"/>
              </w:rPr>
              <w:t>ice) et les organismes</w:t>
            </w:r>
            <w:r w:rsidR="00853A3D" w:rsidRPr="00B85273">
              <w:rPr>
                <w:sz w:val="18"/>
                <w:szCs w:val="18"/>
                <w:lang w:val="fr-FR"/>
              </w:rPr>
              <w:t xml:space="preserve"> san</w:t>
            </w:r>
            <w:r w:rsidR="006712AC" w:rsidRPr="00B85273">
              <w:rPr>
                <w:sz w:val="18"/>
                <w:szCs w:val="18"/>
                <w:lang w:val="fr-FR"/>
              </w:rPr>
              <w:t>itaires</w:t>
            </w:r>
            <w:r w:rsidR="00FC6E96" w:rsidRPr="00B85273">
              <w:rPr>
                <w:sz w:val="18"/>
                <w:szCs w:val="18"/>
                <w:lang w:val="fr-FR"/>
              </w:rPr>
              <w:t xml:space="preserve"> connexes devrait être aussi complet, rapide et régulier que</w:t>
            </w:r>
            <w:r w:rsidR="00246E29" w:rsidRPr="00B85273">
              <w:rPr>
                <w:sz w:val="18"/>
                <w:szCs w:val="18"/>
                <w:lang w:val="fr-FR"/>
              </w:rPr>
              <w:t xml:space="preserve"> possible;</w:t>
            </w:r>
          </w:p>
          <w:p w:rsidR="00246E29" w:rsidRPr="00B85273" w:rsidRDefault="00FC6E96" w:rsidP="005D7B68">
            <w:pPr>
              <w:keepNext/>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2.</w:t>
            </w:r>
            <w:r w:rsidRPr="00B85273">
              <w:rPr>
                <w:sz w:val="18"/>
                <w:szCs w:val="18"/>
                <w:lang w:val="fr-FR"/>
              </w:rPr>
              <w:tab/>
              <w:t>Des problèmes de santé physique continus</w:t>
            </w:r>
            <w:r w:rsidR="00246E29" w:rsidRPr="00B85273">
              <w:rPr>
                <w:sz w:val="18"/>
                <w:szCs w:val="18"/>
                <w:lang w:val="fr-FR"/>
              </w:rPr>
              <w:t xml:space="preserve"> </w:t>
            </w:r>
            <w:r w:rsidRPr="00B85273">
              <w:rPr>
                <w:sz w:val="18"/>
                <w:szCs w:val="18"/>
                <w:lang w:val="fr-FR"/>
              </w:rPr>
              <w:t>sont susceptibles d’affecter l’état mental et doivent être traités avec prudence par les institutions sanitaires et le personnel médical qui travaillent au sein du système pénitentiaire</w:t>
            </w:r>
            <w:r w:rsidR="00246E29" w:rsidRPr="00B85273">
              <w:rPr>
                <w:sz w:val="18"/>
                <w:szCs w:val="18"/>
                <w:lang w:val="fr-FR"/>
              </w:rPr>
              <w:t>;</w:t>
            </w:r>
          </w:p>
          <w:p w:rsidR="00246E29" w:rsidRPr="00B85273" w:rsidRDefault="00C97A02" w:rsidP="005D7B68">
            <w:pPr>
              <w:keepNext/>
              <w:keepLines/>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3.</w:t>
            </w:r>
            <w:r w:rsidRPr="00B85273">
              <w:rPr>
                <w:sz w:val="18"/>
                <w:szCs w:val="18"/>
                <w:lang w:val="fr-FR"/>
              </w:rPr>
              <w:tab/>
              <w:t xml:space="preserve">Les avertissements de la police et des magistrats concernant des préoccupations sanitaires doivent être </w:t>
            </w:r>
            <w:r w:rsidR="00487964" w:rsidRPr="00B85273">
              <w:rPr>
                <w:sz w:val="18"/>
                <w:szCs w:val="18"/>
                <w:lang w:val="fr-FR"/>
              </w:rPr>
              <w:t>enregistrés avec précision, transmis au personnel du système pénitentiaire (agences de santé et personnel connexe</w:t>
            </w:r>
            <w:r w:rsidR="00CF2CB8" w:rsidRPr="00B85273">
              <w:rPr>
                <w:sz w:val="18"/>
                <w:szCs w:val="18"/>
                <w:lang w:val="fr-FR"/>
              </w:rPr>
              <w:t>) et utilisés pour aider à repérer et résoudre les problèmes de santé</w:t>
            </w:r>
            <w:r w:rsidR="00246E29" w:rsidRPr="00B85273">
              <w:rPr>
                <w:sz w:val="18"/>
                <w:szCs w:val="18"/>
                <w:lang w:val="fr-FR"/>
              </w:rPr>
              <w:t>;</w:t>
            </w:r>
          </w:p>
        </w:tc>
      </w:tr>
      <w:tr w:rsidR="00602E71" w:rsidRPr="00B85273">
        <w:tc>
          <w:tcPr>
            <w:tcW w:w="1568" w:type="dxa"/>
            <w:tcBorders>
              <w:top w:val="nil"/>
              <w:left w:val="single" w:sz="4" w:space="0" w:color="auto"/>
              <w:bottom w:val="nil"/>
              <w:right w:val="single" w:sz="4" w:space="0" w:color="auto"/>
            </w:tcBorders>
          </w:tcPr>
          <w:p w:rsidR="00602E71" w:rsidRPr="00B85273" w:rsidRDefault="00602E71" w:rsidP="005D7B68">
            <w:pPr>
              <w:tabs>
                <w:tab w:val="left" w:pos="567"/>
                <w:tab w:val="left" w:pos="1134"/>
                <w:tab w:val="left" w:pos="1701"/>
                <w:tab w:val="left" w:pos="2268"/>
                <w:tab w:val="left" w:pos="2835"/>
              </w:tabs>
              <w:spacing w:before="40" w:after="40"/>
              <w:rPr>
                <w:sz w:val="18"/>
                <w:szCs w:val="18"/>
                <w:lang w:val="fr-FR"/>
              </w:rPr>
            </w:pPr>
          </w:p>
        </w:tc>
        <w:tc>
          <w:tcPr>
            <w:tcW w:w="1279" w:type="dxa"/>
            <w:tcBorders>
              <w:top w:val="nil"/>
              <w:left w:val="single" w:sz="4" w:space="0" w:color="auto"/>
              <w:bottom w:val="nil"/>
              <w:right w:val="single" w:sz="4" w:space="0" w:color="auto"/>
            </w:tcBorders>
          </w:tcPr>
          <w:p w:rsidR="00602E71" w:rsidRPr="00B85273" w:rsidRDefault="00602E71"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nil"/>
              <w:right w:val="single" w:sz="4" w:space="0" w:color="auto"/>
            </w:tcBorders>
          </w:tcPr>
          <w:p w:rsidR="00602E71" w:rsidRPr="00B85273" w:rsidRDefault="00602E71" w:rsidP="005D7B68">
            <w:pPr>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nil"/>
              <w:right w:val="single" w:sz="4" w:space="0" w:color="auto"/>
            </w:tcBorders>
          </w:tcPr>
          <w:p w:rsidR="00602E71" w:rsidRPr="00B85273" w:rsidRDefault="00602E71" w:rsidP="005D7B68">
            <w:pPr>
              <w:tabs>
                <w:tab w:val="left" w:pos="567"/>
                <w:tab w:val="left" w:pos="1134"/>
                <w:tab w:val="left" w:pos="1701"/>
                <w:tab w:val="left" w:pos="2268"/>
                <w:tab w:val="left" w:pos="2835"/>
              </w:tabs>
              <w:spacing w:before="40" w:after="40"/>
              <w:rPr>
                <w:sz w:val="18"/>
                <w:szCs w:val="18"/>
                <w:lang w:val="fr-FR"/>
              </w:rPr>
            </w:pPr>
          </w:p>
        </w:tc>
        <w:tc>
          <w:tcPr>
            <w:tcW w:w="6465" w:type="dxa"/>
            <w:tcBorders>
              <w:top w:val="nil"/>
              <w:left w:val="single" w:sz="4" w:space="0" w:color="auto"/>
              <w:bottom w:val="nil"/>
              <w:right w:val="single" w:sz="4" w:space="0" w:color="auto"/>
            </w:tcBorders>
          </w:tcPr>
          <w:p w:rsidR="00602E71" w:rsidRPr="00B85273" w:rsidRDefault="00602E71"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4.</w:t>
            </w:r>
            <w:r w:rsidRPr="00B85273">
              <w:rPr>
                <w:sz w:val="18"/>
                <w:szCs w:val="18"/>
                <w:lang w:val="fr-FR"/>
              </w:rPr>
              <w:tab/>
            </w:r>
            <w:r w:rsidRPr="000B4FFD">
              <w:rPr>
                <w:sz w:val="18"/>
                <w:szCs w:val="18"/>
                <w:lang w:val="fr-FR"/>
              </w:rPr>
              <w:t>Les préoccupations de la famille et des amis (ou des avocats) doivent être enregistrées et il faut en tenir compte dans tous les secteurs de la prise en charge du détenu (profil de risque et bien-être). Les médecins et assimilés et le personnel connexe doivent veiller à ce que les préoccupations de la famille et des avocats soient sérieusement prises en compte à titre préventif dans le processus d’évaluation;</w:t>
            </w:r>
          </w:p>
        </w:tc>
      </w:tr>
      <w:tr w:rsidR="00573402" w:rsidRPr="00B85273">
        <w:tc>
          <w:tcPr>
            <w:tcW w:w="1568"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1279"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6465" w:type="dxa"/>
            <w:tcBorders>
              <w:top w:val="nil"/>
              <w:left w:val="single" w:sz="4" w:space="0" w:color="auto"/>
              <w:bottom w:val="single" w:sz="4" w:space="0" w:color="auto"/>
              <w:right w:val="single" w:sz="4" w:space="0" w:color="auto"/>
            </w:tcBorders>
          </w:tcPr>
          <w:p w:rsidR="00573402" w:rsidRPr="00B85273" w:rsidRDefault="00573402" w:rsidP="005D7B68">
            <w:pPr>
              <w:keepNext/>
              <w:keepLines/>
              <w:tabs>
                <w:tab w:val="left" w:pos="323"/>
                <w:tab w:val="left" w:pos="567"/>
                <w:tab w:val="left" w:pos="1134"/>
                <w:tab w:val="left" w:pos="1701"/>
                <w:tab w:val="left" w:pos="2268"/>
                <w:tab w:val="left" w:pos="2835"/>
              </w:tabs>
              <w:spacing w:after="40"/>
              <w:ind w:left="323" w:hanging="323"/>
              <w:rPr>
                <w:sz w:val="18"/>
                <w:szCs w:val="18"/>
                <w:lang w:val="fr-FR"/>
              </w:rPr>
            </w:pPr>
            <w:r w:rsidRPr="00B85273">
              <w:rPr>
                <w:sz w:val="18"/>
                <w:szCs w:val="18"/>
                <w:lang w:val="fr-FR"/>
              </w:rPr>
              <w:t>5.</w:t>
            </w:r>
            <w:r w:rsidRPr="00B85273">
              <w:rPr>
                <w:sz w:val="18"/>
                <w:szCs w:val="18"/>
                <w:lang w:val="fr-FR"/>
              </w:rPr>
              <w:tab/>
              <w:t>Les convocations des juges et les rendez-vous médicaux connexes doivent être bien organisés pour ne pas créer d’incompatibilité inutile ni obliger à modifier sans arrêt les dates des rendez-vous;</w:t>
            </w:r>
          </w:p>
        </w:tc>
      </w:tr>
      <w:tr w:rsidR="00573402" w:rsidRPr="00B85273">
        <w:tc>
          <w:tcPr>
            <w:tcW w:w="1568" w:type="dxa"/>
            <w:tcBorders>
              <w:top w:val="single" w:sz="4" w:space="0" w:color="auto"/>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1279" w:type="dxa"/>
            <w:tcBorders>
              <w:top w:val="single" w:sz="4" w:space="0" w:color="auto"/>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1736" w:type="dxa"/>
            <w:tcBorders>
              <w:top w:val="single" w:sz="4" w:space="0" w:color="auto"/>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2437" w:type="dxa"/>
            <w:tcBorders>
              <w:top w:val="single" w:sz="4" w:space="0" w:color="auto"/>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6465" w:type="dxa"/>
            <w:tcBorders>
              <w:top w:val="single" w:sz="4" w:space="0" w:color="auto"/>
              <w:left w:val="single" w:sz="4" w:space="0" w:color="auto"/>
              <w:bottom w:val="nil"/>
              <w:right w:val="single" w:sz="4" w:space="0" w:color="auto"/>
            </w:tcBorders>
          </w:tcPr>
          <w:p w:rsidR="00573402" w:rsidRPr="00B85273" w:rsidRDefault="00573402" w:rsidP="005D7B68">
            <w:pPr>
              <w:keepNext/>
              <w:keepLines/>
              <w:tabs>
                <w:tab w:val="left" w:pos="323"/>
                <w:tab w:val="left" w:pos="567"/>
                <w:tab w:val="left" w:pos="1134"/>
                <w:tab w:val="left" w:pos="1701"/>
                <w:tab w:val="left" w:pos="2268"/>
                <w:tab w:val="left" w:pos="2835"/>
              </w:tabs>
              <w:spacing w:before="40" w:after="0"/>
              <w:ind w:left="323" w:hanging="323"/>
              <w:rPr>
                <w:sz w:val="18"/>
                <w:szCs w:val="18"/>
                <w:lang w:val="fr-FR"/>
              </w:rPr>
            </w:pPr>
            <w:r w:rsidRPr="00B85273">
              <w:rPr>
                <w:sz w:val="18"/>
                <w:szCs w:val="18"/>
                <w:lang w:val="fr-FR"/>
              </w:rPr>
              <w:t>6.</w:t>
            </w:r>
            <w:r w:rsidRPr="00B85273">
              <w:rPr>
                <w:sz w:val="18"/>
                <w:szCs w:val="18"/>
                <w:lang w:val="fr-FR"/>
              </w:rPr>
              <w:tab/>
              <w:t>Tout ce que les médecins et assimilés ont appris sur les facteurs de risques de tel ou tel détenu (ou leur évolution) devrait être communiqué comme il se doit au personnel du système pénitentiaire (qui est chargé, en dernier ressort, de la gestion de ces risques);</w:t>
            </w:r>
          </w:p>
        </w:tc>
      </w:tr>
      <w:tr w:rsidR="00573402" w:rsidRPr="00B85273">
        <w:tc>
          <w:tcPr>
            <w:tcW w:w="1568" w:type="dxa"/>
            <w:tcBorders>
              <w:top w:val="nil"/>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1279" w:type="dxa"/>
            <w:tcBorders>
              <w:top w:val="nil"/>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nil"/>
              <w:right w:val="single" w:sz="4" w:space="0" w:color="auto"/>
            </w:tcBorders>
          </w:tcPr>
          <w:p w:rsidR="00573402" w:rsidRPr="00B85273" w:rsidRDefault="00573402" w:rsidP="005D7B68">
            <w:pPr>
              <w:keepNext/>
              <w:keepLines/>
              <w:tabs>
                <w:tab w:val="left" w:pos="567"/>
                <w:tab w:val="left" w:pos="1134"/>
                <w:tab w:val="left" w:pos="1701"/>
                <w:tab w:val="left" w:pos="2268"/>
                <w:tab w:val="left" w:pos="2835"/>
              </w:tabs>
              <w:spacing w:before="40" w:after="40"/>
              <w:rPr>
                <w:sz w:val="18"/>
                <w:szCs w:val="18"/>
                <w:lang w:val="fr-FR"/>
              </w:rPr>
            </w:pPr>
          </w:p>
        </w:tc>
        <w:tc>
          <w:tcPr>
            <w:tcW w:w="6465" w:type="dxa"/>
            <w:tcBorders>
              <w:top w:val="nil"/>
              <w:left w:val="single" w:sz="4" w:space="0" w:color="auto"/>
              <w:bottom w:val="nil"/>
              <w:right w:val="single" w:sz="4" w:space="0" w:color="auto"/>
            </w:tcBorders>
          </w:tcPr>
          <w:p w:rsidR="00573402" w:rsidRPr="00B85273" w:rsidRDefault="00573402" w:rsidP="005D7B68">
            <w:pPr>
              <w:keepNext/>
              <w:keepLines/>
              <w:tabs>
                <w:tab w:val="left" w:pos="323"/>
                <w:tab w:val="left" w:pos="567"/>
                <w:tab w:val="left" w:pos="1134"/>
                <w:tab w:val="left" w:pos="1701"/>
                <w:tab w:val="left" w:pos="2268"/>
                <w:tab w:val="left" w:pos="2835"/>
              </w:tabs>
              <w:spacing w:before="40" w:after="0"/>
              <w:ind w:left="323" w:hanging="323"/>
              <w:rPr>
                <w:sz w:val="18"/>
                <w:szCs w:val="18"/>
                <w:lang w:val="fr-FR"/>
              </w:rPr>
            </w:pPr>
            <w:r w:rsidRPr="00B85273">
              <w:rPr>
                <w:sz w:val="18"/>
                <w:szCs w:val="18"/>
                <w:lang w:val="fr-FR"/>
              </w:rPr>
              <w:t>7.</w:t>
            </w:r>
            <w:r w:rsidRPr="00B85273">
              <w:rPr>
                <w:sz w:val="18"/>
                <w:szCs w:val="18"/>
                <w:lang w:val="fr-FR"/>
              </w:rPr>
              <w:tab/>
              <w:t xml:space="preserve">Le système </w:t>
            </w:r>
            <w:r w:rsidRPr="00B85273">
              <w:rPr>
                <w:i/>
                <w:iCs/>
                <w:sz w:val="18"/>
                <w:szCs w:val="18"/>
                <w:lang w:val="fr-FR"/>
              </w:rPr>
              <w:t>Telecourt</w:t>
            </w:r>
            <w:r w:rsidRPr="00B85273">
              <w:rPr>
                <w:sz w:val="18"/>
                <w:szCs w:val="18"/>
                <w:lang w:val="fr-FR"/>
              </w:rPr>
              <w:t xml:space="preserve"> (téléconférence) doit être revu afin de faire en sorte que les détenus aient la possibilité et le temps nécessaires pour pouvoir bénéficier de conseils et de soutien avant et après l’audience. Les tribunaux, le personnel pénitentiaire, sanitaire et le personnel connexe doivent être très attentif aux réactions et au bien-être des détenus à la suite de l’audience;</w:t>
            </w:r>
          </w:p>
        </w:tc>
      </w:tr>
      <w:tr w:rsidR="00573402" w:rsidRPr="00B85273">
        <w:trPr>
          <w:tblHeader/>
        </w:trPr>
        <w:tc>
          <w:tcPr>
            <w:tcW w:w="1568" w:type="dxa"/>
            <w:tcBorders>
              <w:top w:val="nil"/>
              <w:left w:val="single" w:sz="4" w:space="0" w:color="auto"/>
              <w:bottom w:val="nil"/>
              <w:right w:val="single" w:sz="4" w:space="0" w:color="auto"/>
            </w:tcBorders>
          </w:tcPr>
          <w:p w:rsidR="00573402" w:rsidRPr="00573402" w:rsidRDefault="00573402" w:rsidP="005D7B68">
            <w:pPr>
              <w:tabs>
                <w:tab w:val="left" w:pos="567"/>
                <w:tab w:val="left" w:pos="1134"/>
                <w:tab w:val="left" w:pos="1701"/>
                <w:tab w:val="left" w:pos="2268"/>
                <w:tab w:val="left" w:pos="2835"/>
              </w:tabs>
              <w:spacing w:before="40" w:after="40"/>
              <w:rPr>
                <w:sz w:val="18"/>
                <w:szCs w:val="18"/>
                <w:lang w:val="fr-FR"/>
              </w:rPr>
            </w:pPr>
          </w:p>
        </w:tc>
        <w:tc>
          <w:tcPr>
            <w:tcW w:w="1279" w:type="dxa"/>
            <w:tcBorders>
              <w:top w:val="nil"/>
              <w:left w:val="single" w:sz="4" w:space="0" w:color="auto"/>
              <w:bottom w:val="nil"/>
              <w:right w:val="single" w:sz="4" w:space="0" w:color="auto"/>
            </w:tcBorders>
          </w:tcPr>
          <w:p w:rsidR="00573402" w:rsidRPr="00573402" w:rsidRDefault="00573402"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nil"/>
              <w:right w:val="single" w:sz="4" w:space="0" w:color="auto"/>
            </w:tcBorders>
          </w:tcPr>
          <w:p w:rsidR="00573402" w:rsidRPr="00573402" w:rsidRDefault="00573402" w:rsidP="005D7B68">
            <w:pPr>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nil"/>
              <w:right w:val="single" w:sz="4" w:space="0" w:color="auto"/>
            </w:tcBorders>
          </w:tcPr>
          <w:p w:rsidR="00573402" w:rsidRPr="00573402" w:rsidRDefault="00573402" w:rsidP="005D7B68">
            <w:pPr>
              <w:tabs>
                <w:tab w:val="left" w:pos="567"/>
                <w:tab w:val="left" w:pos="1134"/>
                <w:tab w:val="left" w:pos="1701"/>
                <w:tab w:val="left" w:pos="2268"/>
                <w:tab w:val="left" w:pos="2835"/>
              </w:tabs>
              <w:spacing w:before="40" w:after="40"/>
              <w:rPr>
                <w:sz w:val="18"/>
                <w:szCs w:val="18"/>
                <w:lang w:val="fr-FR"/>
              </w:rPr>
            </w:pPr>
          </w:p>
        </w:tc>
        <w:tc>
          <w:tcPr>
            <w:tcW w:w="6465" w:type="dxa"/>
            <w:tcBorders>
              <w:top w:val="nil"/>
              <w:left w:val="single" w:sz="4" w:space="0" w:color="auto"/>
              <w:bottom w:val="nil"/>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after="40"/>
              <w:ind w:left="323" w:hanging="323"/>
              <w:rPr>
                <w:sz w:val="18"/>
                <w:szCs w:val="18"/>
                <w:lang w:val="fr-FR"/>
              </w:rPr>
            </w:pPr>
            <w:r w:rsidRPr="00B85273">
              <w:rPr>
                <w:sz w:val="18"/>
                <w:szCs w:val="18"/>
                <w:lang w:val="fr-FR"/>
              </w:rPr>
              <w:t>8.</w:t>
            </w:r>
            <w:r w:rsidRPr="00B85273">
              <w:rPr>
                <w:sz w:val="18"/>
                <w:szCs w:val="18"/>
                <w:lang w:val="fr-FR"/>
              </w:rPr>
              <w:tab/>
              <w:t xml:space="preserve">Les bonnes relations entre compagnons de cellule sont fondamentales pour le bien-être et la sécurité des détenus (voir également les conclusions et les recommandations relatives au cas de </w:t>
            </w:r>
            <w:r>
              <w:rPr>
                <w:sz w:val="18"/>
                <w:szCs w:val="18"/>
                <w:lang w:val="fr-FR"/>
              </w:rPr>
              <w:t>Chereen Nichole Vale). Les autorités</w:t>
            </w:r>
            <w:r w:rsidRPr="00B85273">
              <w:rPr>
                <w:sz w:val="18"/>
                <w:szCs w:val="18"/>
                <w:lang w:val="fr-FR"/>
              </w:rPr>
              <w:t xml:space="preserve"> pénitentiaires doivent gérer très attentivement le placement des détenus et si des problèmes sont soulevés elles doivent les traiter. Lorsque des compagnons de cellule sont séparés ou déplacés pour quelque raison que ce soit, laissant un détenu à risque seul dans sa cellule, un examen des risques doit immédiatement être entrepris. Il faut aussi encourager les détenus à signaler toute préoccupation concernant la santé d’un compagnon de cellule;</w:t>
            </w:r>
          </w:p>
        </w:tc>
      </w:tr>
      <w:tr w:rsidR="00573402" w:rsidRPr="00B85273">
        <w:trPr>
          <w:tblHeader/>
        </w:trPr>
        <w:tc>
          <w:tcPr>
            <w:tcW w:w="1568" w:type="dxa"/>
            <w:tcBorders>
              <w:top w:val="nil"/>
              <w:left w:val="single" w:sz="4" w:space="0" w:color="auto"/>
              <w:bottom w:val="single" w:sz="4" w:space="0" w:color="auto"/>
              <w:right w:val="single" w:sz="4" w:space="0" w:color="auto"/>
            </w:tcBorders>
          </w:tcPr>
          <w:p w:rsidR="00573402" w:rsidRPr="00CB3DBB" w:rsidRDefault="00573402" w:rsidP="005D7B68">
            <w:pPr>
              <w:tabs>
                <w:tab w:val="left" w:pos="567"/>
                <w:tab w:val="left" w:pos="1134"/>
                <w:tab w:val="left" w:pos="1701"/>
                <w:tab w:val="left" w:pos="2268"/>
                <w:tab w:val="left" w:pos="2835"/>
              </w:tabs>
              <w:spacing w:before="40" w:after="40"/>
              <w:ind w:left="567" w:hanging="567"/>
              <w:rPr>
                <w:sz w:val="18"/>
                <w:szCs w:val="18"/>
                <w:lang w:val="fr-FR"/>
              </w:rPr>
            </w:pPr>
          </w:p>
        </w:tc>
        <w:tc>
          <w:tcPr>
            <w:tcW w:w="1279" w:type="dxa"/>
            <w:tcBorders>
              <w:top w:val="nil"/>
              <w:left w:val="single" w:sz="4" w:space="0" w:color="auto"/>
              <w:bottom w:val="single" w:sz="4" w:space="0" w:color="auto"/>
              <w:right w:val="single" w:sz="4" w:space="0" w:color="auto"/>
            </w:tcBorders>
          </w:tcPr>
          <w:p w:rsidR="00573402" w:rsidRPr="00CB3DBB" w:rsidRDefault="00573402"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single" w:sz="4" w:space="0" w:color="auto"/>
              <w:right w:val="single" w:sz="4" w:space="0" w:color="auto"/>
            </w:tcBorders>
          </w:tcPr>
          <w:p w:rsidR="00573402" w:rsidRPr="00CB3DBB" w:rsidRDefault="00573402" w:rsidP="005D7B68">
            <w:pPr>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single" w:sz="4" w:space="0" w:color="auto"/>
              <w:right w:val="single" w:sz="4" w:space="0" w:color="auto"/>
            </w:tcBorders>
          </w:tcPr>
          <w:p w:rsidR="00573402" w:rsidRPr="00CB3DBB" w:rsidRDefault="00573402" w:rsidP="005D7B68">
            <w:pPr>
              <w:tabs>
                <w:tab w:val="left" w:pos="567"/>
                <w:tab w:val="left" w:pos="1134"/>
                <w:tab w:val="left" w:pos="1701"/>
                <w:tab w:val="left" w:pos="2268"/>
                <w:tab w:val="left" w:pos="2835"/>
              </w:tabs>
              <w:spacing w:before="40" w:after="40"/>
              <w:rPr>
                <w:sz w:val="18"/>
                <w:szCs w:val="18"/>
                <w:lang w:val="fr-FR"/>
              </w:rPr>
            </w:pPr>
          </w:p>
        </w:tc>
        <w:tc>
          <w:tcPr>
            <w:tcW w:w="6465" w:type="dxa"/>
            <w:tcBorders>
              <w:top w:val="nil"/>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612"/>
                <w:tab w:val="left" w:pos="1134"/>
                <w:tab w:val="left" w:pos="1701"/>
                <w:tab w:val="left" w:pos="2268"/>
                <w:tab w:val="left" w:pos="2835"/>
              </w:tabs>
              <w:spacing w:before="40" w:after="40"/>
              <w:ind w:left="323" w:hanging="323"/>
              <w:rPr>
                <w:sz w:val="18"/>
                <w:szCs w:val="18"/>
                <w:lang w:val="fr-FR"/>
              </w:rPr>
            </w:pPr>
            <w:r>
              <w:rPr>
                <w:sz w:val="18"/>
                <w:szCs w:val="18"/>
                <w:lang w:val="fr-FR"/>
              </w:rPr>
              <w:t>9.</w:t>
            </w:r>
            <w:r>
              <w:rPr>
                <w:sz w:val="18"/>
                <w:szCs w:val="18"/>
                <w:lang w:val="fr-FR"/>
              </w:rPr>
              <w:tab/>
            </w:r>
            <w:r w:rsidRPr="00B85273">
              <w:rPr>
                <w:sz w:val="18"/>
                <w:szCs w:val="18"/>
                <w:lang w:val="fr-FR"/>
              </w:rPr>
              <w:t>Lorsque le personnel pénitentiaire appelle téléphoniquement une agence d’ambulances il doit être aussi précis que possible, et donner des renseignements corrects si l’incident met la vie de quiconque en péril. L’accès, en cas d’urgence, des ambulances et des autres véhicules de secours devrait être aménagé de manière à limiter les retards dus aux procédures de sécurité; et</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10.</w:t>
            </w:r>
            <w:r w:rsidRPr="00B85273">
              <w:rPr>
                <w:sz w:val="18"/>
                <w:szCs w:val="18"/>
                <w:lang w:val="fr-FR"/>
              </w:rPr>
              <w:tab/>
              <w:t>Des audits réguliers devraient être effectués dans un esprit de coopération sur le recueil et l’échange des informations par la police, les établissements pénitentiaires et les services de santé connexes. Ces audits devraient permettre de rechercher les erreurs dans les systèmes.</w:t>
            </w:r>
          </w:p>
        </w:tc>
      </w:tr>
      <w:tr w:rsidR="00573402" w:rsidRPr="00B85273">
        <w:trPr>
          <w:tblHeader/>
        </w:trPr>
        <w:tc>
          <w:tcPr>
            <w:tcW w:w="1568"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5.9.2000</w:t>
            </w:r>
          </w:p>
        </w:tc>
        <w:tc>
          <w:tcPr>
            <w:tcW w:w="1279"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PPP</w:t>
            </w:r>
          </w:p>
        </w:tc>
        <w:tc>
          <w:tcPr>
            <w:tcW w:w="1736"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28.2 et 6.5.2002</w:t>
            </w:r>
          </w:p>
        </w:tc>
        <w:tc>
          <w:tcPr>
            <w:tcW w:w="2437"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Abus d’héroïne</w:t>
            </w:r>
          </w:p>
        </w:tc>
        <w:tc>
          <w:tcPr>
            <w:tcW w:w="6465"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Il faut envisager de mettre plus largement la méthadone à la disposition des détenus;</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Pr>
                <w:sz w:val="18"/>
                <w:szCs w:val="18"/>
                <w:lang w:val="fr-FR"/>
              </w:rPr>
              <w:t>2.</w:t>
            </w:r>
            <w:r>
              <w:rPr>
                <w:sz w:val="18"/>
                <w:szCs w:val="18"/>
                <w:lang w:val="fr-FR"/>
              </w:rPr>
              <w:tab/>
              <w:t xml:space="preserve">Le Directeur </w:t>
            </w:r>
            <w:r w:rsidRPr="00B85273">
              <w:rPr>
                <w:sz w:val="18"/>
                <w:szCs w:val="18"/>
                <w:lang w:val="fr-FR"/>
              </w:rPr>
              <w:t>adjoint du Service d’application des peines doit consulter la direction générale en cas de problèmes complexes concernant le placement;</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3.</w:t>
            </w:r>
            <w:r w:rsidRPr="00B85273">
              <w:rPr>
                <w:sz w:val="18"/>
                <w:szCs w:val="18"/>
                <w:lang w:val="fr-FR"/>
              </w:rPr>
              <w:tab/>
              <w:t>Le Directeur du Service d’application des peines doit revoir le processus de classification des détenus avec tous les prestataires de services, pour veiller à ce que le placement des détenus ne soit pas mis en péril; et</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4.</w:t>
            </w:r>
            <w:r w:rsidRPr="00B85273">
              <w:rPr>
                <w:sz w:val="18"/>
                <w:szCs w:val="18"/>
                <w:lang w:val="fr-FR"/>
              </w:rPr>
              <w:tab/>
              <w:t>Si la direction de la prison a des opinions bien arrêtées sur le placement de détenus qui font beaucoup parler d’eux, il faut les faire connaître au Directeur du Service d’application des peines.</w:t>
            </w:r>
          </w:p>
        </w:tc>
      </w:tr>
      <w:tr w:rsidR="00573402" w:rsidRPr="00B85273">
        <w:trPr>
          <w:tblHeader/>
        </w:trPr>
        <w:tc>
          <w:tcPr>
            <w:tcW w:w="1568"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 xml:space="preserve">30.11.2000 </w:t>
            </w:r>
          </w:p>
        </w:tc>
        <w:tc>
          <w:tcPr>
            <w:tcW w:w="1279"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MWCC</w:t>
            </w:r>
          </w:p>
        </w:tc>
        <w:tc>
          <w:tcPr>
            <w:tcW w:w="1736"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14.6 et 10.7.2002</w:t>
            </w:r>
          </w:p>
        </w:tc>
        <w:tc>
          <w:tcPr>
            <w:tcW w:w="2437"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 xml:space="preserve">Pendaison </w:t>
            </w:r>
            <w:r>
              <w:rPr>
                <w:sz w:val="18"/>
                <w:szCs w:val="18"/>
              </w:rPr>
              <w:t>–</w:t>
            </w:r>
            <w:r w:rsidRPr="00B85273">
              <w:rPr>
                <w:sz w:val="18"/>
                <w:szCs w:val="18"/>
              </w:rPr>
              <w:t xml:space="preserve"> suicide</w:t>
            </w:r>
          </w:p>
        </w:tc>
        <w:tc>
          <w:tcPr>
            <w:tcW w:w="6465"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Le système en binôme doit être complètement revu;</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2.</w:t>
            </w:r>
            <w:r w:rsidRPr="00B85273">
              <w:rPr>
                <w:sz w:val="18"/>
                <w:szCs w:val="18"/>
                <w:lang w:val="fr-FR"/>
              </w:rPr>
              <w:tab/>
              <w:t>Le système en binôme doit faire l’objet d’audits internes et externes réguliers;</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3.</w:t>
            </w:r>
            <w:r w:rsidRPr="00B85273">
              <w:rPr>
                <w:sz w:val="18"/>
                <w:szCs w:val="18"/>
                <w:lang w:val="fr-FR"/>
              </w:rPr>
              <w:tab/>
              <w:t>Seules les cellules conçues pour accueillir au moins deux détenus doivent être utilisées dans le système en binôme;</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4.</w:t>
            </w:r>
            <w:r w:rsidRPr="00B85273">
              <w:rPr>
                <w:sz w:val="18"/>
                <w:szCs w:val="18"/>
                <w:lang w:val="fr-FR"/>
              </w:rPr>
              <w:tab/>
              <w:t>Le Commissaire doit envisager d’établir une base de données destinée à recueillir les informations relatives à l’utilisation du système en binôme dans les prisons pour permettre la mise en place d’un projet de recherche visant à effectuer un suivi de l’efficacité du système à long terme.</w:t>
            </w:r>
          </w:p>
        </w:tc>
      </w:tr>
      <w:tr w:rsidR="00573402" w:rsidRPr="00B85273">
        <w:trPr>
          <w:tblHeader/>
        </w:trPr>
        <w:tc>
          <w:tcPr>
            <w:tcW w:w="1568"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 xml:space="preserve">7.5.2002 </w:t>
            </w:r>
          </w:p>
        </w:tc>
        <w:tc>
          <w:tcPr>
            <w:tcW w:w="1279"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MAP</w:t>
            </w:r>
          </w:p>
        </w:tc>
        <w:tc>
          <w:tcPr>
            <w:tcW w:w="1736"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8, 12, 15 et 17.11.2004</w:t>
            </w:r>
          </w:p>
        </w:tc>
        <w:tc>
          <w:tcPr>
            <w:tcW w:w="2437"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r w:rsidRPr="00B85273">
              <w:rPr>
                <w:sz w:val="18"/>
                <w:szCs w:val="18"/>
                <w:lang w:val="fr-FR"/>
              </w:rPr>
              <w:t>Lésion par balle à la poitrine</w:t>
            </w:r>
          </w:p>
        </w:tc>
        <w:tc>
          <w:tcPr>
            <w:tcW w:w="6465" w:type="dxa"/>
            <w:tcBorders>
              <w:top w:val="single" w:sz="4" w:space="0" w:color="auto"/>
              <w:left w:val="single" w:sz="4" w:space="0" w:color="auto"/>
              <w:bottom w:val="nil"/>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 xml:space="preserve">Les recommandations de la </w:t>
            </w:r>
            <w:r w:rsidRPr="00B85273">
              <w:rPr>
                <w:i/>
                <w:iCs/>
                <w:sz w:val="18"/>
                <w:szCs w:val="18"/>
                <w:lang w:val="fr-FR"/>
              </w:rPr>
              <w:t>Comrie Review</w:t>
            </w:r>
            <w:r w:rsidRPr="00B85273">
              <w:rPr>
                <w:sz w:val="18"/>
                <w:szCs w:val="18"/>
                <w:lang w:val="fr-FR"/>
              </w:rPr>
              <w:t xml:space="preserve"> devraient être diffusées sans délai;</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2.</w:t>
            </w:r>
            <w:r w:rsidRPr="00B85273">
              <w:rPr>
                <w:sz w:val="18"/>
                <w:szCs w:val="18"/>
                <w:lang w:val="fr-FR"/>
              </w:rPr>
              <w:tab/>
              <w:t>L’expression “Détenus, ne bougez pas” devrait être supprimée et remplacée par “Arrêtez-vous ou je tire”;</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3.</w:t>
            </w:r>
            <w:r w:rsidRPr="00B85273">
              <w:rPr>
                <w:sz w:val="18"/>
                <w:szCs w:val="18"/>
                <w:lang w:val="fr-FR"/>
              </w:rPr>
              <w:tab/>
              <w:t>Il faudrait revoir le modèle des options tactiques;</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4.</w:t>
            </w:r>
            <w:r w:rsidRPr="00B85273">
              <w:rPr>
                <w:sz w:val="18"/>
                <w:szCs w:val="18"/>
                <w:lang w:val="fr-FR"/>
              </w:rPr>
              <w:tab/>
              <w:t>Il faudrait qu’au moins les personnes chargées de la formation fassent l’objet d’une évaluation psychologique en vue de savoir si elles conviennent bien pour cette tâche importante;</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5.</w:t>
            </w:r>
            <w:r w:rsidRPr="00B85273">
              <w:rPr>
                <w:sz w:val="18"/>
                <w:szCs w:val="18"/>
                <w:lang w:val="fr-FR"/>
              </w:rPr>
              <w:tab/>
              <w:t>Il faut envisager que tous les gardiens de prison qui suivent (ou doivent suivre) un entraînement à l’usage des armes à feu soient d’abord soumis à un profilage psychologique;</w:t>
            </w:r>
          </w:p>
        </w:tc>
      </w:tr>
      <w:tr w:rsidR="00573402" w:rsidRPr="00B85273">
        <w:trPr>
          <w:tblHeader/>
        </w:trPr>
        <w:tc>
          <w:tcPr>
            <w:tcW w:w="1568"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jc w:val="center"/>
              <w:rPr>
                <w:sz w:val="18"/>
                <w:szCs w:val="18"/>
                <w:lang w:val="fr-FR"/>
              </w:rPr>
            </w:pPr>
          </w:p>
        </w:tc>
        <w:tc>
          <w:tcPr>
            <w:tcW w:w="1279"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lang w:val="fr-FR"/>
              </w:rPr>
            </w:pPr>
          </w:p>
        </w:tc>
        <w:tc>
          <w:tcPr>
            <w:tcW w:w="2437"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jc w:val="center"/>
              <w:rPr>
                <w:sz w:val="18"/>
                <w:szCs w:val="18"/>
                <w:lang w:val="fr-FR"/>
              </w:rPr>
            </w:pPr>
          </w:p>
        </w:tc>
        <w:tc>
          <w:tcPr>
            <w:tcW w:w="6465" w:type="dxa"/>
            <w:tcBorders>
              <w:top w:val="nil"/>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6.</w:t>
            </w:r>
            <w:r w:rsidRPr="00B85273">
              <w:rPr>
                <w:sz w:val="18"/>
                <w:szCs w:val="18"/>
                <w:lang w:val="fr-FR"/>
              </w:rPr>
              <w:tab/>
              <w:t xml:space="preserve">Il faut réfléchir à des exercices d’entraînement plus élaborés, du genre </w:t>
            </w:r>
            <w:r>
              <w:rPr>
                <w:sz w:val="18"/>
                <w:szCs w:val="18"/>
                <w:lang w:val="fr-FR"/>
              </w:rPr>
              <w:t>«</w:t>
            </w:r>
            <w:r w:rsidRPr="00B85273">
              <w:rPr>
                <w:sz w:val="18"/>
                <w:szCs w:val="18"/>
                <w:lang w:val="fr-FR"/>
              </w:rPr>
              <w:t>tirez – ne tirez pas</w:t>
            </w:r>
            <w:r>
              <w:rPr>
                <w:sz w:val="18"/>
                <w:szCs w:val="18"/>
                <w:lang w:val="fr-FR"/>
              </w:rPr>
              <w:t>»</w:t>
            </w:r>
            <w:r w:rsidRPr="00B85273">
              <w:rPr>
                <w:sz w:val="18"/>
                <w:szCs w:val="18"/>
                <w:lang w:val="fr-FR"/>
              </w:rPr>
              <w:t>.</w:t>
            </w:r>
          </w:p>
        </w:tc>
      </w:tr>
      <w:tr w:rsidR="00573402" w:rsidRPr="00B85273">
        <w:trPr>
          <w:tblHeader/>
        </w:trPr>
        <w:tc>
          <w:tcPr>
            <w:tcW w:w="1568"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21.11.2002</w:t>
            </w:r>
          </w:p>
        </w:tc>
        <w:tc>
          <w:tcPr>
            <w:tcW w:w="1279"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Beechworth</w:t>
            </w:r>
          </w:p>
        </w:tc>
        <w:tc>
          <w:tcPr>
            <w:tcW w:w="1736"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jc w:val="both"/>
              <w:rPr>
                <w:sz w:val="18"/>
                <w:szCs w:val="18"/>
              </w:rPr>
            </w:pPr>
            <w:r>
              <w:rPr>
                <w:sz w:val="18"/>
                <w:szCs w:val="18"/>
              </w:rPr>
              <w:t>6</w:t>
            </w:r>
            <w:r>
              <w:rPr>
                <w:sz w:val="18"/>
                <w:szCs w:val="18"/>
              </w:rPr>
              <w:noBreakHyphen/>
            </w:r>
            <w:r w:rsidRPr="00B85273">
              <w:rPr>
                <w:sz w:val="18"/>
                <w:szCs w:val="18"/>
              </w:rPr>
              <w:t>10.12.2004</w:t>
            </w:r>
          </w:p>
        </w:tc>
        <w:tc>
          <w:tcPr>
            <w:tcW w:w="2437" w:type="dxa"/>
            <w:tcBorders>
              <w:top w:val="single" w:sz="4" w:space="0" w:color="auto"/>
              <w:left w:val="single" w:sz="4" w:space="0" w:color="auto"/>
              <w:bottom w:val="nil"/>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r w:rsidRPr="00B85273">
              <w:rPr>
                <w:sz w:val="18"/>
                <w:szCs w:val="18"/>
              </w:rPr>
              <w:t xml:space="preserve">Pendaison </w:t>
            </w:r>
            <w:r>
              <w:rPr>
                <w:sz w:val="18"/>
                <w:szCs w:val="18"/>
              </w:rPr>
              <w:t>–</w:t>
            </w:r>
            <w:r w:rsidRPr="00B85273">
              <w:rPr>
                <w:sz w:val="18"/>
                <w:szCs w:val="18"/>
              </w:rPr>
              <w:t xml:space="preserve"> suicide</w:t>
            </w:r>
          </w:p>
        </w:tc>
        <w:tc>
          <w:tcPr>
            <w:tcW w:w="6465" w:type="dxa"/>
            <w:tcBorders>
              <w:top w:val="single" w:sz="4" w:space="0" w:color="auto"/>
              <w:left w:val="single" w:sz="4" w:space="0" w:color="auto"/>
              <w:bottom w:val="nil"/>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1.</w:t>
            </w:r>
            <w:r w:rsidRPr="00B85273">
              <w:rPr>
                <w:sz w:val="18"/>
                <w:szCs w:val="18"/>
                <w:lang w:val="fr-FR"/>
              </w:rPr>
              <w:tab/>
              <w:t>Les autorités et les agents pénitentiaires doivent rester vigilants pour repérer tous les points d’accroche potentiels pouvant être utilisés par un détenu qui veut se pendre et les éliminer;</w:t>
            </w:r>
          </w:p>
        </w:tc>
      </w:tr>
      <w:tr w:rsidR="00573402" w:rsidRPr="00B85273">
        <w:trPr>
          <w:tblHeader/>
        </w:trPr>
        <w:tc>
          <w:tcPr>
            <w:tcW w:w="1568"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p>
        </w:tc>
        <w:tc>
          <w:tcPr>
            <w:tcW w:w="1279"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p>
        </w:tc>
        <w:tc>
          <w:tcPr>
            <w:tcW w:w="1736" w:type="dxa"/>
            <w:tcBorders>
              <w:top w:val="nil"/>
              <w:left w:val="single" w:sz="4" w:space="0" w:color="auto"/>
              <w:bottom w:val="single" w:sz="4" w:space="0" w:color="auto"/>
              <w:right w:val="single" w:sz="4" w:space="0" w:color="auto"/>
            </w:tcBorders>
          </w:tcPr>
          <w:p w:rsidR="00573402" w:rsidRDefault="00573402" w:rsidP="005D7B68">
            <w:pPr>
              <w:tabs>
                <w:tab w:val="left" w:pos="567"/>
                <w:tab w:val="left" w:pos="1134"/>
                <w:tab w:val="left" w:pos="1701"/>
                <w:tab w:val="left" w:pos="2268"/>
                <w:tab w:val="left" w:pos="2835"/>
              </w:tabs>
              <w:spacing w:before="40" w:after="40"/>
              <w:jc w:val="both"/>
              <w:rPr>
                <w:sz w:val="18"/>
                <w:szCs w:val="18"/>
              </w:rPr>
            </w:pPr>
          </w:p>
        </w:tc>
        <w:tc>
          <w:tcPr>
            <w:tcW w:w="2437" w:type="dxa"/>
            <w:tcBorders>
              <w:top w:val="nil"/>
              <w:left w:val="single" w:sz="4" w:space="0" w:color="auto"/>
              <w:bottom w:val="single" w:sz="4" w:space="0" w:color="auto"/>
              <w:right w:val="single" w:sz="4" w:space="0" w:color="auto"/>
            </w:tcBorders>
          </w:tcPr>
          <w:p w:rsidR="00573402" w:rsidRPr="00B85273" w:rsidRDefault="00573402" w:rsidP="005D7B68">
            <w:pPr>
              <w:tabs>
                <w:tab w:val="left" w:pos="567"/>
                <w:tab w:val="left" w:pos="1134"/>
                <w:tab w:val="left" w:pos="1701"/>
                <w:tab w:val="left" w:pos="2268"/>
                <w:tab w:val="left" w:pos="2835"/>
              </w:tabs>
              <w:spacing w:before="40" w:after="40"/>
              <w:rPr>
                <w:sz w:val="18"/>
                <w:szCs w:val="18"/>
              </w:rPr>
            </w:pPr>
          </w:p>
        </w:tc>
        <w:tc>
          <w:tcPr>
            <w:tcW w:w="6465" w:type="dxa"/>
            <w:tcBorders>
              <w:top w:val="nil"/>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2.</w:t>
            </w:r>
            <w:r w:rsidRPr="00B85273">
              <w:rPr>
                <w:sz w:val="18"/>
                <w:szCs w:val="18"/>
                <w:lang w:val="fr-FR"/>
              </w:rPr>
              <w:tab/>
              <w:t xml:space="preserve">Il faudrait que les différents services qui fonctionnent dans la prison de Port Phillip instaurent un système permettant de disposer d’une source centrale d’informations que les prestataires de services de santé contribuent </w:t>
            </w:r>
            <w:r>
              <w:rPr>
                <w:sz w:val="18"/>
                <w:szCs w:val="18"/>
                <w:lang w:val="fr-FR"/>
              </w:rPr>
              <w:t>à alimenter, à </w:t>
            </w:r>
            <w:r w:rsidRPr="00B85273">
              <w:rPr>
                <w:sz w:val="18"/>
                <w:szCs w:val="18"/>
                <w:lang w:val="fr-FR"/>
              </w:rPr>
              <w:t>laquelle ils aient accès, où seraient donc centralisés tous les problèmes soulevés par le transfert de tel ou tel détenu et qui pourrait avoir une incidence sur la protection des détenus ou sur leur traitement au cas où une décision de transfert serait envisagée ou prise;</w:t>
            </w:r>
          </w:p>
        </w:tc>
      </w:tr>
      <w:tr w:rsidR="00573402" w:rsidRPr="00B85273">
        <w:trPr>
          <w:tblHeader/>
        </w:trPr>
        <w:tc>
          <w:tcPr>
            <w:tcW w:w="1568" w:type="dxa"/>
            <w:tcBorders>
              <w:top w:val="single" w:sz="4" w:space="0" w:color="auto"/>
              <w:left w:val="single" w:sz="4" w:space="0" w:color="auto"/>
              <w:bottom w:val="single" w:sz="4" w:space="0" w:color="auto"/>
              <w:right w:val="single" w:sz="4" w:space="0" w:color="auto"/>
            </w:tcBorders>
          </w:tcPr>
          <w:p w:rsidR="00573402" w:rsidRPr="00542DCF" w:rsidRDefault="00573402" w:rsidP="005D7B68">
            <w:pPr>
              <w:tabs>
                <w:tab w:val="left" w:pos="567"/>
                <w:tab w:val="left" w:pos="1134"/>
                <w:tab w:val="left" w:pos="1701"/>
                <w:tab w:val="left" w:pos="2268"/>
                <w:tab w:val="left" w:pos="2835"/>
              </w:tabs>
              <w:spacing w:before="40" w:after="40"/>
              <w:rPr>
                <w:sz w:val="18"/>
                <w:szCs w:val="18"/>
                <w:lang w:val="fr-FR"/>
              </w:rPr>
            </w:pPr>
          </w:p>
        </w:tc>
        <w:tc>
          <w:tcPr>
            <w:tcW w:w="1279" w:type="dxa"/>
            <w:tcBorders>
              <w:top w:val="single" w:sz="4" w:space="0" w:color="auto"/>
              <w:left w:val="single" w:sz="4" w:space="0" w:color="auto"/>
              <w:bottom w:val="single" w:sz="4" w:space="0" w:color="auto"/>
              <w:right w:val="single" w:sz="4" w:space="0" w:color="auto"/>
            </w:tcBorders>
          </w:tcPr>
          <w:p w:rsidR="00573402" w:rsidRPr="00542DCF" w:rsidRDefault="00573402" w:rsidP="005D7B68">
            <w:pPr>
              <w:tabs>
                <w:tab w:val="left" w:pos="567"/>
                <w:tab w:val="left" w:pos="1134"/>
                <w:tab w:val="left" w:pos="1701"/>
                <w:tab w:val="left" w:pos="2268"/>
                <w:tab w:val="left" w:pos="2835"/>
              </w:tabs>
              <w:spacing w:before="40" w:after="40"/>
              <w:rPr>
                <w:sz w:val="18"/>
                <w:szCs w:val="18"/>
                <w:lang w:val="fr-FR"/>
              </w:rPr>
            </w:pPr>
          </w:p>
        </w:tc>
        <w:tc>
          <w:tcPr>
            <w:tcW w:w="1736" w:type="dxa"/>
            <w:tcBorders>
              <w:top w:val="single" w:sz="4" w:space="0" w:color="auto"/>
              <w:left w:val="single" w:sz="4" w:space="0" w:color="auto"/>
              <w:bottom w:val="single" w:sz="4" w:space="0" w:color="auto"/>
              <w:right w:val="single" w:sz="4" w:space="0" w:color="auto"/>
            </w:tcBorders>
          </w:tcPr>
          <w:p w:rsidR="00573402" w:rsidRPr="00542DCF" w:rsidRDefault="00573402" w:rsidP="005D7B68">
            <w:pPr>
              <w:tabs>
                <w:tab w:val="left" w:pos="567"/>
                <w:tab w:val="left" w:pos="1134"/>
                <w:tab w:val="left" w:pos="1701"/>
                <w:tab w:val="left" w:pos="2268"/>
                <w:tab w:val="left" w:pos="2835"/>
              </w:tabs>
              <w:spacing w:before="40" w:after="40"/>
              <w:jc w:val="both"/>
              <w:rPr>
                <w:sz w:val="18"/>
                <w:szCs w:val="18"/>
                <w:lang w:val="fr-FR"/>
              </w:rPr>
            </w:pPr>
          </w:p>
        </w:tc>
        <w:tc>
          <w:tcPr>
            <w:tcW w:w="2437" w:type="dxa"/>
            <w:tcBorders>
              <w:top w:val="single" w:sz="4" w:space="0" w:color="auto"/>
              <w:left w:val="single" w:sz="4" w:space="0" w:color="auto"/>
              <w:bottom w:val="single" w:sz="4" w:space="0" w:color="auto"/>
              <w:right w:val="single" w:sz="4" w:space="0" w:color="auto"/>
            </w:tcBorders>
          </w:tcPr>
          <w:p w:rsidR="00573402" w:rsidRPr="00542DCF" w:rsidRDefault="00573402" w:rsidP="005D7B68">
            <w:pPr>
              <w:tabs>
                <w:tab w:val="left" w:pos="567"/>
                <w:tab w:val="left" w:pos="1134"/>
                <w:tab w:val="left" w:pos="1701"/>
                <w:tab w:val="left" w:pos="2268"/>
                <w:tab w:val="left" w:pos="2835"/>
              </w:tabs>
              <w:spacing w:before="40" w:after="40"/>
              <w:rPr>
                <w:sz w:val="18"/>
                <w:szCs w:val="18"/>
                <w:lang w:val="fr-FR"/>
              </w:rPr>
            </w:pPr>
          </w:p>
        </w:tc>
        <w:tc>
          <w:tcPr>
            <w:tcW w:w="6465" w:type="dxa"/>
            <w:tcBorders>
              <w:top w:val="single" w:sz="4" w:space="0" w:color="auto"/>
              <w:left w:val="single" w:sz="4" w:space="0" w:color="auto"/>
              <w:bottom w:val="single" w:sz="4" w:space="0" w:color="auto"/>
              <w:right w:val="single" w:sz="4" w:space="0" w:color="auto"/>
            </w:tcBorders>
          </w:tcPr>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3.</w:t>
            </w:r>
            <w:r w:rsidRPr="00B85273">
              <w:rPr>
                <w:sz w:val="18"/>
                <w:szCs w:val="18"/>
                <w:lang w:val="fr-FR"/>
              </w:rPr>
              <w:tab/>
              <w:t xml:space="preserve">Il faudrait que le </w:t>
            </w:r>
            <w:r w:rsidRPr="00B85273">
              <w:rPr>
                <w:i/>
                <w:iCs/>
                <w:sz w:val="18"/>
                <w:szCs w:val="18"/>
                <w:lang w:val="fr-FR"/>
              </w:rPr>
              <w:t>Corrections Health Board</w:t>
            </w:r>
            <w:r w:rsidRPr="00B85273">
              <w:rPr>
                <w:sz w:val="18"/>
                <w:szCs w:val="18"/>
                <w:lang w:val="fr-FR"/>
              </w:rPr>
              <w:t xml:space="preserve"> (Conseil de la santé dans les établissements pénitentiaires) et l’unité des soins de santé du Département des services sociaux mènent une enquête pour juger de l’efficacité du système d’évaluation psychiatrique actuellement en vigueur dans les prisons du Victoria;</w:t>
            </w:r>
          </w:p>
          <w:p w:rsidR="00573402" w:rsidRPr="00B85273" w:rsidRDefault="00573402" w:rsidP="005D7B68">
            <w:pPr>
              <w:tabs>
                <w:tab w:val="left" w:pos="323"/>
                <w:tab w:val="left" w:pos="567"/>
                <w:tab w:val="left" w:pos="1134"/>
                <w:tab w:val="left" w:pos="1701"/>
                <w:tab w:val="left" w:pos="2268"/>
                <w:tab w:val="left" w:pos="2835"/>
              </w:tabs>
              <w:spacing w:before="40" w:after="40"/>
              <w:ind w:left="323" w:hanging="323"/>
              <w:rPr>
                <w:sz w:val="18"/>
                <w:szCs w:val="18"/>
                <w:lang w:val="fr-FR"/>
              </w:rPr>
            </w:pPr>
            <w:r w:rsidRPr="00B85273">
              <w:rPr>
                <w:sz w:val="18"/>
                <w:szCs w:val="18"/>
                <w:lang w:val="fr-FR"/>
              </w:rPr>
              <w:t>4.</w:t>
            </w:r>
            <w:r w:rsidRPr="00B85273">
              <w:rPr>
                <w:sz w:val="18"/>
                <w:szCs w:val="18"/>
                <w:lang w:val="fr-FR"/>
              </w:rPr>
              <w:tab/>
              <w:t xml:space="preserve">Il serait bon que l’administration des établissements pénitentiaires du Victoria envisage de revoir le financement, le fonctionnement et l’efficacité de </w:t>
            </w:r>
            <w:r w:rsidRPr="00B85273">
              <w:rPr>
                <w:i/>
                <w:iCs/>
                <w:sz w:val="18"/>
                <w:szCs w:val="18"/>
                <w:lang w:val="fr-FR"/>
              </w:rPr>
              <w:t>l’Alexander South Youth Unit</w:t>
            </w:r>
            <w:r w:rsidRPr="00B85273">
              <w:rPr>
                <w:sz w:val="18"/>
                <w:szCs w:val="18"/>
                <w:lang w:val="fr-FR"/>
              </w:rPr>
              <w:t xml:space="preserve"> en vue de la création d’unités et de programmes similaires dans d’autres prisons.</w:t>
            </w:r>
          </w:p>
        </w:tc>
      </w:tr>
    </w:tbl>
    <w:p w:rsidR="009A7F42" w:rsidRPr="00B85273" w:rsidRDefault="009A7F42" w:rsidP="005D7B68">
      <w:pPr>
        <w:tabs>
          <w:tab w:val="left" w:pos="567"/>
          <w:tab w:val="left" w:pos="1134"/>
          <w:tab w:val="left" w:pos="1701"/>
          <w:tab w:val="left" w:pos="2268"/>
          <w:tab w:val="left" w:pos="2835"/>
        </w:tabs>
        <w:jc w:val="center"/>
        <w:rPr>
          <w:sz w:val="18"/>
          <w:szCs w:val="18"/>
          <w:lang w:val="fr-FR"/>
        </w:rPr>
      </w:pPr>
    </w:p>
    <w:p w:rsidR="004A6C28" w:rsidRPr="00B85273" w:rsidRDefault="004A6C28" w:rsidP="005D7B68">
      <w:pPr>
        <w:tabs>
          <w:tab w:val="left" w:pos="567"/>
          <w:tab w:val="left" w:pos="1134"/>
          <w:tab w:val="left" w:pos="1701"/>
          <w:tab w:val="left" w:pos="2268"/>
          <w:tab w:val="left" w:pos="2835"/>
        </w:tabs>
        <w:jc w:val="center"/>
        <w:rPr>
          <w:sz w:val="18"/>
          <w:szCs w:val="18"/>
          <w:lang w:val="fr-FR"/>
        </w:rPr>
        <w:sectPr w:rsidR="004A6C28" w:rsidRPr="00B85273" w:rsidSect="00F769D3">
          <w:headerReference w:type="even" r:id="rId26"/>
          <w:headerReference w:type="default" r:id="rId27"/>
          <w:footerReference w:type="default" r:id="rId28"/>
          <w:headerReference w:type="first" r:id="rId29"/>
          <w:footerReference w:type="first" r:id="rId30"/>
          <w:pgSz w:w="16838" w:h="11906" w:orient="landscape" w:code="9"/>
          <w:pgMar w:top="1701" w:right="1701" w:bottom="1701" w:left="1701" w:header="851" w:footer="1134" w:gutter="0"/>
          <w:cols w:space="708"/>
          <w:titlePg/>
          <w:docGrid w:linePitch="360"/>
        </w:sectPr>
      </w:pPr>
    </w:p>
    <w:p w:rsidR="009A7F42" w:rsidRDefault="004A6C28" w:rsidP="005D7B68">
      <w:pPr>
        <w:tabs>
          <w:tab w:val="left" w:pos="567"/>
          <w:tab w:val="left" w:pos="1134"/>
          <w:tab w:val="left" w:pos="1701"/>
          <w:tab w:val="left" w:pos="2268"/>
          <w:tab w:val="left" w:pos="2835"/>
        </w:tabs>
        <w:rPr>
          <w:b/>
          <w:bCs/>
          <w:lang w:val="fr-FR"/>
        </w:rPr>
      </w:pPr>
      <w:r>
        <w:rPr>
          <w:b/>
          <w:bCs/>
          <w:lang w:val="fr-FR"/>
        </w:rPr>
        <w:t>Queensland</w:t>
      </w:r>
    </w:p>
    <w:p w:rsidR="004A6C28" w:rsidRDefault="00573402" w:rsidP="005D7B68">
      <w:pPr>
        <w:tabs>
          <w:tab w:val="left" w:pos="567"/>
          <w:tab w:val="left" w:pos="1134"/>
          <w:tab w:val="left" w:pos="1701"/>
          <w:tab w:val="left" w:pos="2268"/>
          <w:tab w:val="left" w:pos="2835"/>
        </w:tabs>
        <w:rPr>
          <w:lang w:val="fr-FR"/>
        </w:rPr>
      </w:pPr>
      <w:r>
        <w:rPr>
          <w:lang w:val="fr-FR"/>
        </w:rPr>
        <w:t>617</w:t>
      </w:r>
      <w:r w:rsidR="009924C0">
        <w:rPr>
          <w:lang w:val="fr-FR"/>
        </w:rPr>
        <w:t>.</w:t>
      </w:r>
      <w:r w:rsidR="009924C0">
        <w:rPr>
          <w:lang w:val="fr-FR"/>
        </w:rPr>
        <w:tab/>
        <w:t xml:space="preserve">En vertu de la </w:t>
      </w:r>
      <w:r w:rsidR="009924C0" w:rsidRPr="00F46244">
        <w:rPr>
          <w:lang w:val="fr-FR"/>
        </w:rPr>
        <w:t xml:space="preserve">loi de 2003 sur le </w:t>
      </w:r>
      <w:r w:rsidR="009924C0" w:rsidRPr="00B91E17">
        <w:rPr>
          <w:i/>
          <w:iCs/>
          <w:lang w:val="fr-FR"/>
        </w:rPr>
        <w:t>Coroner</w:t>
      </w:r>
      <w:r w:rsidR="009924C0">
        <w:rPr>
          <w:lang w:val="fr-FR"/>
        </w:rPr>
        <w:t>, un décès survie</w:t>
      </w:r>
      <w:r w:rsidR="00B91E17">
        <w:rPr>
          <w:lang w:val="fr-FR"/>
        </w:rPr>
        <w:t>nt en détention</w:t>
      </w:r>
      <w:r w:rsidR="009924C0">
        <w:rPr>
          <w:lang w:val="fr-FR"/>
        </w:rPr>
        <w:t xml:space="preserve"> si, au moment du décès, la personne était dans l’une des situations suivantes</w:t>
      </w:r>
      <w:r w:rsidR="00572260">
        <w:rPr>
          <w:lang w:val="fr-FR"/>
        </w:rPr>
        <w:t>:</w:t>
      </w:r>
    </w:p>
    <w:p w:rsidR="009924C0" w:rsidRDefault="00F46244" w:rsidP="005D7B68">
      <w:pPr>
        <w:tabs>
          <w:tab w:val="left" w:pos="567"/>
          <w:tab w:val="left" w:pos="1134"/>
          <w:tab w:val="left" w:pos="1701"/>
          <w:tab w:val="left" w:pos="2268"/>
          <w:tab w:val="left" w:pos="2835"/>
        </w:tabs>
        <w:rPr>
          <w:lang w:val="fr-FR"/>
        </w:rPr>
      </w:pPr>
      <w:r>
        <w:rPr>
          <w:lang w:val="fr-FR"/>
        </w:rPr>
        <w:tab/>
        <w:t>a)</w:t>
      </w:r>
      <w:r>
        <w:rPr>
          <w:lang w:val="fr-FR"/>
        </w:rPr>
        <w:tab/>
        <w:t>E</w:t>
      </w:r>
      <w:r w:rsidR="009924C0">
        <w:rPr>
          <w:lang w:val="fr-FR"/>
        </w:rPr>
        <w:t>n détention</w:t>
      </w:r>
      <w:r w:rsidR="00572260">
        <w:rPr>
          <w:lang w:val="fr-FR"/>
        </w:rPr>
        <w:t>;</w:t>
      </w:r>
      <w:r w:rsidR="009924C0">
        <w:rPr>
          <w:lang w:val="fr-FR"/>
        </w:rPr>
        <w:t xml:space="preserve"> ou</w:t>
      </w:r>
    </w:p>
    <w:p w:rsidR="009924C0" w:rsidRDefault="00F46244" w:rsidP="005D7B68">
      <w:pPr>
        <w:tabs>
          <w:tab w:val="left" w:pos="567"/>
          <w:tab w:val="left" w:pos="1134"/>
          <w:tab w:val="left" w:pos="1701"/>
          <w:tab w:val="left" w:pos="2268"/>
          <w:tab w:val="left" w:pos="2835"/>
        </w:tabs>
        <w:rPr>
          <w:lang w:val="fr-FR"/>
        </w:rPr>
      </w:pPr>
      <w:r>
        <w:rPr>
          <w:lang w:val="fr-FR"/>
        </w:rPr>
        <w:tab/>
        <w:t>b)</w:t>
      </w:r>
      <w:r>
        <w:rPr>
          <w:lang w:val="fr-FR"/>
        </w:rPr>
        <w:tab/>
        <w:t>E</w:t>
      </w:r>
      <w:r w:rsidR="009924C0">
        <w:rPr>
          <w:lang w:val="fr-FR"/>
        </w:rPr>
        <w:t>n train de s’évader ou d’essayer d’y parvenir</w:t>
      </w:r>
      <w:r w:rsidR="00572260">
        <w:rPr>
          <w:lang w:val="fr-FR"/>
        </w:rPr>
        <w:t>;</w:t>
      </w:r>
      <w:r w:rsidR="009924C0">
        <w:rPr>
          <w:lang w:val="fr-FR"/>
        </w:rPr>
        <w:t xml:space="preserve"> ou</w:t>
      </w:r>
    </w:p>
    <w:p w:rsidR="009924C0" w:rsidRDefault="00F46244" w:rsidP="005D7B68">
      <w:pPr>
        <w:tabs>
          <w:tab w:val="left" w:pos="567"/>
          <w:tab w:val="left" w:pos="1134"/>
          <w:tab w:val="left" w:pos="1701"/>
          <w:tab w:val="left" w:pos="2268"/>
          <w:tab w:val="left" w:pos="2835"/>
        </w:tabs>
        <w:rPr>
          <w:lang w:val="fr-FR"/>
        </w:rPr>
      </w:pPr>
      <w:r>
        <w:rPr>
          <w:lang w:val="fr-FR"/>
        </w:rPr>
        <w:tab/>
        <w:t>c)</w:t>
      </w:r>
      <w:r>
        <w:rPr>
          <w:lang w:val="fr-FR"/>
        </w:rPr>
        <w:tab/>
        <w:t>E</w:t>
      </w:r>
      <w:r w:rsidR="009924C0">
        <w:rPr>
          <w:lang w:val="fr-FR"/>
        </w:rPr>
        <w:t>n train d’essayer d’éviter d’êtr</w:t>
      </w:r>
      <w:r w:rsidR="00B91E17">
        <w:rPr>
          <w:lang w:val="fr-FR"/>
        </w:rPr>
        <w:t>e placée en détention</w:t>
      </w:r>
      <w:r w:rsidR="009924C0">
        <w:rPr>
          <w:lang w:val="fr-FR"/>
        </w:rPr>
        <w:t>.</w:t>
      </w:r>
    </w:p>
    <w:p w:rsidR="009924C0" w:rsidRPr="00EA7525" w:rsidRDefault="009924C0" w:rsidP="005D7B68">
      <w:pPr>
        <w:tabs>
          <w:tab w:val="left" w:pos="567"/>
          <w:tab w:val="left" w:pos="1134"/>
          <w:tab w:val="left" w:pos="1701"/>
          <w:tab w:val="left" w:pos="2268"/>
          <w:tab w:val="left" w:pos="2835"/>
        </w:tabs>
        <w:rPr>
          <w:lang w:val="fr-FR"/>
        </w:rPr>
      </w:pPr>
      <w:r>
        <w:rPr>
          <w:lang w:val="fr-FR"/>
        </w:rPr>
        <w:t>61</w:t>
      </w:r>
      <w:r w:rsidR="00573402">
        <w:rPr>
          <w:lang w:val="fr-FR"/>
        </w:rPr>
        <w:t>8</w:t>
      </w:r>
      <w:r>
        <w:rPr>
          <w:lang w:val="fr-FR"/>
        </w:rPr>
        <w:t>.</w:t>
      </w:r>
      <w:r>
        <w:rPr>
          <w:lang w:val="fr-FR"/>
        </w:rPr>
        <w:tab/>
        <w:t xml:space="preserve">En application de la loi, seuls le </w:t>
      </w:r>
      <w:r>
        <w:rPr>
          <w:i/>
          <w:iCs/>
          <w:lang w:val="fr-FR"/>
        </w:rPr>
        <w:t>Coroner</w:t>
      </w:r>
      <w:r>
        <w:rPr>
          <w:lang w:val="fr-FR"/>
        </w:rPr>
        <w:t xml:space="preserve"> de l’État, le </w:t>
      </w:r>
      <w:r>
        <w:rPr>
          <w:i/>
          <w:iCs/>
          <w:lang w:val="fr-FR"/>
        </w:rPr>
        <w:t>Coroner</w:t>
      </w:r>
      <w:r>
        <w:rPr>
          <w:lang w:val="fr-FR"/>
        </w:rPr>
        <w:t xml:space="preserve"> adjoint de l’État ou des </w:t>
      </w:r>
      <w:r w:rsidR="00EA7525">
        <w:rPr>
          <w:i/>
          <w:iCs/>
          <w:lang w:val="fr-FR"/>
        </w:rPr>
        <w:t>coroners</w:t>
      </w:r>
      <w:r w:rsidR="00EA7525">
        <w:rPr>
          <w:lang w:val="fr-FR"/>
        </w:rPr>
        <w:t xml:space="preserve"> spécialement nommés à cet effet </w:t>
      </w:r>
      <w:r w:rsidR="00EA7525" w:rsidRPr="00B74DAC">
        <w:rPr>
          <w:lang w:val="fr-FR"/>
        </w:rPr>
        <w:t>peuvent procéder à une instruction sur d</w:t>
      </w:r>
      <w:r w:rsidR="00B91E17">
        <w:rPr>
          <w:lang w:val="fr-FR"/>
        </w:rPr>
        <w:t>es décès en détention</w:t>
      </w:r>
      <w:r w:rsidR="008D6B80">
        <w:rPr>
          <w:lang w:val="fr-FR"/>
        </w:rPr>
        <w:t>.</w:t>
      </w:r>
      <w:r w:rsidR="00572260">
        <w:rPr>
          <w:lang w:val="fr-FR"/>
        </w:rPr>
        <w:t xml:space="preserve"> </w:t>
      </w:r>
      <w:r w:rsidR="00EA7525" w:rsidRPr="00B74DAC">
        <w:rPr>
          <w:lang w:val="fr-FR"/>
        </w:rPr>
        <w:t>Cette instruction doit comporter une information judiciaire pour</w:t>
      </w:r>
      <w:r w:rsidR="00EA7525">
        <w:rPr>
          <w:lang w:val="fr-FR"/>
        </w:rPr>
        <w:t xml:space="preserve"> rechercher les causes de la mort (audience publique)</w:t>
      </w:r>
      <w:r w:rsidR="008D6B80">
        <w:rPr>
          <w:lang w:val="fr-FR"/>
        </w:rPr>
        <w:t xml:space="preserve">. </w:t>
      </w:r>
      <w:r w:rsidR="00B479B3">
        <w:rPr>
          <w:lang w:val="fr-FR"/>
        </w:rPr>
        <w:t xml:space="preserve">Il existe un protocole entre le </w:t>
      </w:r>
      <w:r w:rsidR="00B479B3" w:rsidRPr="00B479B3">
        <w:rPr>
          <w:i/>
          <w:iCs/>
          <w:lang w:val="fr-FR"/>
        </w:rPr>
        <w:t>Coroner</w:t>
      </w:r>
      <w:r w:rsidR="00B479B3">
        <w:rPr>
          <w:lang w:val="fr-FR"/>
        </w:rPr>
        <w:t xml:space="preserve"> de l’État et le Service juridique des aborigènes et des insulaires du détroit de Torres prévoyant qu’il l</w:t>
      </w:r>
      <w:r w:rsidR="00F46244">
        <w:rPr>
          <w:lang w:val="fr-FR"/>
        </w:rPr>
        <w:t>es informe de tout décès survenu</w:t>
      </w:r>
      <w:r w:rsidR="00B479B3">
        <w:rPr>
          <w:lang w:val="fr-FR"/>
        </w:rPr>
        <w:t xml:space="preserve"> en</w:t>
      </w:r>
      <w:r w:rsidR="00B91E17">
        <w:rPr>
          <w:lang w:val="fr-FR"/>
        </w:rPr>
        <w:t xml:space="preserve"> détention</w:t>
      </w:r>
      <w:r w:rsidR="00B479B3">
        <w:rPr>
          <w:lang w:val="fr-FR"/>
        </w:rPr>
        <w:t>, et permettant l’obtention d’une représentation légale (par exemple assurée par les membres de la famille) le cas échéant.</w:t>
      </w:r>
    </w:p>
    <w:p w:rsidR="009A7F42" w:rsidRPr="00B479B3" w:rsidRDefault="00B479B3" w:rsidP="005D7B68">
      <w:pPr>
        <w:tabs>
          <w:tab w:val="left" w:pos="567"/>
          <w:tab w:val="left" w:pos="1134"/>
          <w:tab w:val="left" w:pos="1701"/>
          <w:tab w:val="left" w:pos="2268"/>
          <w:tab w:val="left" w:pos="2835"/>
        </w:tabs>
        <w:rPr>
          <w:b/>
          <w:bCs/>
          <w:lang w:val="fr-FR"/>
        </w:rPr>
      </w:pPr>
      <w:r>
        <w:rPr>
          <w:b/>
          <w:bCs/>
          <w:lang w:val="fr-FR"/>
        </w:rPr>
        <w:t xml:space="preserve">Principes directeurs du </w:t>
      </w:r>
      <w:r w:rsidRPr="00B479B3">
        <w:rPr>
          <w:b/>
          <w:bCs/>
          <w:i/>
          <w:iCs/>
          <w:lang w:val="fr-FR"/>
        </w:rPr>
        <w:t>Coroner</w:t>
      </w:r>
      <w:r>
        <w:rPr>
          <w:b/>
          <w:bCs/>
          <w:lang w:val="fr-FR"/>
        </w:rPr>
        <w:t xml:space="preserve"> de l’État</w:t>
      </w:r>
    </w:p>
    <w:p w:rsidR="009A7F42" w:rsidRDefault="00B479B3" w:rsidP="005D7B68">
      <w:pPr>
        <w:tabs>
          <w:tab w:val="left" w:pos="567"/>
          <w:tab w:val="left" w:pos="1134"/>
          <w:tab w:val="left" w:pos="1701"/>
          <w:tab w:val="left" w:pos="2268"/>
          <w:tab w:val="left" w:pos="2835"/>
        </w:tabs>
        <w:rPr>
          <w:lang w:val="fr-FR"/>
        </w:rPr>
      </w:pPr>
      <w:r>
        <w:rPr>
          <w:lang w:val="fr-FR"/>
        </w:rPr>
        <w:t>6</w:t>
      </w:r>
      <w:r w:rsidR="00573402">
        <w:rPr>
          <w:lang w:val="fr-FR"/>
        </w:rPr>
        <w:t>19</w:t>
      </w:r>
      <w:r>
        <w:rPr>
          <w:lang w:val="fr-FR"/>
        </w:rPr>
        <w:t>.</w:t>
      </w:r>
      <w:r>
        <w:rPr>
          <w:lang w:val="fr-FR"/>
        </w:rPr>
        <w:tab/>
      </w:r>
      <w:r w:rsidR="00A60802">
        <w:rPr>
          <w:lang w:val="fr-FR"/>
        </w:rPr>
        <w:t xml:space="preserve">L’article 14 de la loi dispose que les principes directeurs du </w:t>
      </w:r>
      <w:r w:rsidR="00A60802">
        <w:rPr>
          <w:i/>
          <w:iCs/>
          <w:lang w:val="fr-FR"/>
        </w:rPr>
        <w:t>Coroner</w:t>
      </w:r>
      <w:r w:rsidR="00A60802">
        <w:rPr>
          <w:lang w:val="fr-FR"/>
        </w:rPr>
        <w:t xml:space="preserve"> de l’État doivent traiter de </w:t>
      </w:r>
      <w:r w:rsidR="00A60802" w:rsidRPr="00B74DAC">
        <w:rPr>
          <w:lang w:val="fr-FR"/>
        </w:rPr>
        <w:t>l’instruction sur</w:t>
      </w:r>
      <w:r w:rsidR="00A60802">
        <w:rPr>
          <w:lang w:val="fr-FR"/>
        </w:rPr>
        <w:t xml:space="preserve"> les décès </w:t>
      </w:r>
      <w:r w:rsidR="00B91E17">
        <w:rPr>
          <w:lang w:val="fr-FR"/>
        </w:rPr>
        <w:t>survenus en détention</w:t>
      </w:r>
      <w:r w:rsidR="00A60802">
        <w:rPr>
          <w:lang w:val="fr-FR"/>
        </w:rPr>
        <w:t xml:space="preserve"> en tenant compte des recommandations de la Commission royale sur les décès d’aborigène</w:t>
      </w:r>
      <w:r w:rsidR="00D971AE">
        <w:rPr>
          <w:lang w:val="fr-FR"/>
        </w:rPr>
        <w:t>s</w:t>
      </w:r>
      <w:r w:rsidR="00726012">
        <w:rPr>
          <w:lang w:val="fr-FR"/>
        </w:rPr>
        <w:t xml:space="preserve"> pendant leur détention</w:t>
      </w:r>
      <w:r w:rsidR="008D6B80">
        <w:rPr>
          <w:lang w:val="fr-FR"/>
        </w:rPr>
        <w:t xml:space="preserve">. </w:t>
      </w:r>
      <w:r w:rsidR="00A60802">
        <w:rPr>
          <w:lang w:val="fr-FR"/>
        </w:rPr>
        <w:t>Voici ce que prévoient ces principes directeurs</w:t>
      </w:r>
      <w:r w:rsidR="00572260">
        <w:rPr>
          <w:lang w:val="fr-FR"/>
        </w:rPr>
        <w:t>:</w:t>
      </w:r>
    </w:p>
    <w:p w:rsidR="00A60802" w:rsidRDefault="00A60802" w:rsidP="005D7B68">
      <w:pPr>
        <w:tabs>
          <w:tab w:val="left" w:pos="567"/>
          <w:tab w:val="left" w:pos="1134"/>
          <w:tab w:val="left" w:pos="1701"/>
          <w:tab w:val="left" w:pos="2268"/>
          <w:tab w:val="left" w:pos="2835"/>
        </w:tabs>
        <w:rPr>
          <w:lang w:val="fr-FR"/>
        </w:rPr>
      </w:pPr>
      <w:r>
        <w:rPr>
          <w:b/>
          <w:bCs/>
          <w:lang w:val="fr-FR"/>
        </w:rPr>
        <w:t>En principe</w:t>
      </w:r>
    </w:p>
    <w:p w:rsidR="00A60802" w:rsidRDefault="00A60802" w:rsidP="005D7B68">
      <w:pPr>
        <w:tabs>
          <w:tab w:val="left" w:pos="567"/>
          <w:tab w:val="left" w:pos="1134"/>
          <w:tab w:val="left" w:pos="1701"/>
          <w:tab w:val="left" w:pos="2268"/>
          <w:tab w:val="left" w:pos="2835"/>
        </w:tabs>
        <w:rPr>
          <w:lang w:val="fr-FR"/>
        </w:rPr>
      </w:pPr>
      <w:r>
        <w:rPr>
          <w:lang w:val="fr-FR"/>
        </w:rPr>
        <w:t>62</w:t>
      </w:r>
      <w:r w:rsidR="00573402">
        <w:rPr>
          <w:lang w:val="fr-FR"/>
        </w:rPr>
        <w:t>0</w:t>
      </w:r>
      <w:r>
        <w:rPr>
          <w:lang w:val="fr-FR"/>
        </w:rPr>
        <w:t>.</w:t>
      </w:r>
      <w:r>
        <w:rPr>
          <w:lang w:val="fr-FR"/>
        </w:rPr>
        <w:tab/>
        <w:t xml:space="preserve">Les décès </w:t>
      </w:r>
      <w:r w:rsidR="00B91E17">
        <w:rPr>
          <w:lang w:val="fr-FR"/>
        </w:rPr>
        <w:t>survenus en détention</w:t>
      </w:r>
      <w:r>
        <w:rPr>
          <w:lang w:val="fr-FR"/>
        </w:rPr>
        <w:t xml:space="preserve"> requièrent une attention particulière en raison de la</w:t>
      </w:r>
      <w:r w:rsidR="00572260">
        <w:rPr>
          <w:lang w:val="fr-FR"/>
        </w:rPr>
        <w:t xml:space="preserve"> </w:t>
      </w:r>
      <w:r>
        <w:rPr>
          <w:lang w:val="fr-FR"/>
        </w:rPr>
        <w:t>responsabilité qu’a l’État de protéger les personnes incarcérées par ses services et de prendre soin d’elles, de la vulnérabilité des personnes</w:t>
      </w:r>
      <w:r w:rsidR="008D24E2">
        <w:rPr>
          <w:lang w:val="fr-FR"/>
        </w:rPr>
        <w:t xml:space="preserve"> privées de</w:t>
      </w:r>
      <w:r>
        <w:rPr>
          <w:lang w:val="fr-FR"/>
        </w:rPr>
        <w:t xml:space="preserve"> la possibilité</w:t>
      </w:r>
      <w:r w:rsidR="008D24E2">
        <w:rPr>
          <w:lang w:val="fr-FR"/>
        </w:rPr>
        <w:t xml:space="preserve"> de pourvoir elles-mêmes à leurs besoins</w:t>
      </w:r>
      <w:r w:rsidR="001064CB">
        <w:rPr>
          <w:lang w:val="fr-FR"/>
        </w:rPr>
        <w:t>, de la nécessité de veiller à dissiper les soupçons naturels de la famille du défunt et de préserver la confiance générale dans les institutions publiques</w:t>
      </w:r>
      <w:r w:rsidR="008D6B80">
        <w:rPr>
          <w:lang w:val="fr-FR"/>
        </w:rPr>
        <w:t xml:space="preserve">. </w:t>
      </w:r>
      <w:r w:rsidR="001064CB">
        <w:rPr>
          <w:lang w:val="fr-FR"/>
        </w:rPr>
        <w:t>En outre, une enquête</w:t>
      </w:r>
      <w:r w:rsidR="005E57A9">
        <w:rPr>
          <w:lang w:val="fr-FR"/>
        </w:rPr>
        <w:t xml:space="preserve"> approfondie et impartiale sert l’intérêt supérieur des fonctionnaires de l’administration pénitentiaire.</w:t>
      </w:r>
    </w:p>
    <w:p w:rsidR="005E57A9" w:rsidRDefault="005E57A9" w:rsidP="005D7B68">
      <w:pPr>
        <w:tabs>
          <w:tab w:val="left" w:pos="567"/>
          <w:tab w:val="left" w:pos="1134"/>
          <w:tab w:val="left" w:pos="1701"/>
          <w:tab w:val="left" w:pos="2268"/>
          <w:tab w:val="left" w:pos="2835"/>
        </w:tabs>
        <w:rPr>
          <w:b/>
          <w:bCs/>
          <w:lang w:val="fr-FR"/>
        </w:rPr>
      </w:pPr>
      <w:r>
        <w:rPr>
          <w:b/>
          <w:bCs/>
          <w:lang w:val="fr-FR"/>
        </w:rPr>
        <w:t>En pratique</w:t>
      </w:r>
    </w:p>
    <w:p w:rsidR="005E57A9" w:rsidRDefault="005E57A9" w:rsidP="005D7B68">
      <w:pPr>
        <w:tabs>
          <w:tab w:val="left" w:pos="567"/>
          <w:tab w:val="left" w:pos="1134"/>
          <w:tab w:val="left" w:pos="1701"/>
          <w:tab w:val="left" w:pos="2268"/>
          <w:tab w:val="left" w:pos="2835"/>
        </w:tabs>
        <w:rPr>
          <w:lang w:val="fr-FR"/>
        </w:rPr>
      </w:pPr>
      <w:r>
        <w:rPr>
          <w:lang w:val="fr-FR"/>
        </w:rPr>
        <w:t>62</w:t>
      </w:r>
      <w:r w:rsidR="00573402">
        <w:rPr>
          <w:lang w:val="fr-FR"/>
        </w:rPr>
        <w:t>1</w:t>
      </w:r>
      <w:r>
        <w:rPr>
          <w:lang w:val="fr-FR"/>
        </w:rPr>
        <w:t>.</w:t>
      </w:r>
      <w:r>
        <w:rPr>
          <w:lang w:val="fr-FR"/>
        </w:rPr>
        <w:tab/>
        <w:t>Tous les ‘</w:t>
      </w:r>
      <w:r w:rsidRPr="005E57A9">
        <w:rPr>
          <w:i/>
          <w:iCs/>
          <w:lang w:val="fr-FR"/>
        </w:rPr>
        <w:t>décès survenus en détention</w:t>
      </w:r>
      <w:r>
        <w:rPr>
          <w:lang w:val="fr-FR"/>
        </w:rPr>
        <w:t>’</w:t>
      </w:r>
      <w:r w:rsidR="00572260">
        <w:rPr>
          <w:i/>
          <w:iCs/>
          <w:lang w:val="fr-FR"/>
        </w:rPr>
        <w:t xml:space="preserve"> </w:t>
      </w:r>
      <w:r>
        <w:rPr>
          <w:lang w:val="fr-FR"/>
        </w:rPr>
        <w:t>doivent faire l’objet d’une enquête</w:t>
      </w:r>
      <w:r w:rsidR="008D6B80">
        <w:rPr>
          <w:lang w:val="fr-FR"/>
        </w:rPr>
        <w:t xml:space="preserve">. </w:t>
      </w:r>
      <w:r>
        <w:rPr>
          <w:lang w:val="fr-FR"/>
        </w:rPr>
        <w:t xml:space="preserve">Il convient de noter la définition large de cette expression dans l’article 10 de la loi sur le </w:t>
      </w:r>
      <w:r>
        <w:rPr>
          <w:i/>
          <w:iCs/>
          <w:lang w:val="fr-FR"/>
        </w:rPr>
        <w:t>Coroner</w:t>
      </w:r>
      <w:r w:rsidR="008D6B80">
        <w:rPr>
          <w:lang w:val="fr-FR"/>
        </w:rPr>
        <w:t xml:space="preserve">. </w:t>
      </w:r>
    </w:p>
    <w:p w:rsidR="003F2301" w:rsidRDefault="00111C15" w:rsidP="005D7B68">
      <w:pPr>
        <w:tabs>
          <w:tab w:val="left" w:pos="567"/>
          <w:tab w:val="left" w:pos="1134"/>
          <w:tab w:val="left" w:pos="1701"/>
          <w:tab w:val="left" w:pos="2268"/>
          <w:tab w:val="left" w:pos="2835"/>
        </w:tabs>
        <w:rPr>
          <w:lang w:val="fr-FR"/>
        </w:rPr>
      </w:pPr>
      <w:r>
        <w:rPr>
          <w:lang w:val="fr-FR"/>
        </w:rPr>
        <w:t>622</w:t>
      </w:r>
      <w:r w:rsidR="005E57A9">
        <w:rPr>
          <w:lang w:val="fr-FR"/>
        </w:rPr>
        <w:t>.</w:t>
      </w:r>
      <w:r>
        <w:rPr>
          <w:lang w:val="fr-FR"/>
        </w:rPr>
        <w:tab/>
      </w:r>
      <w:r w:rsidR="008D7C15">
        <w:rPr>
          <w:lang w:val="fr-FR"/>
        </w:rPr>
        <w:t xml:space="preserve">Toutes les enquêtes sur les décès survenus dans des centres pénitentiaires sont menées par des fonctionnaires de la </w:t>
      </w:r>
      <w:r w:rsidR="008D7C15" w:rsidRPr="008D7C15">
        <w:rPr>
          <w:i/>
          <w:iCs/>
          <w:lang w:val="fr-FR"/>
        </w:rPr>
        <w:t>Corrective Services Investigation Unit</w:t>
      </w:r>
      <w:r w:rsidR="008D7C15">
        <w:rPr>
          <w:lang w:val="fr-FR"/>
        </w:rPr>
        <w:t xml:space="preserve"> (Unité d’enquête des services pénitentiaires) du Queensla</w:t>
      </w:r>
      <w:r w:rsidR="00B91E17">
        <w:rPr>
          <w:lang w:val="fr-FR"/>
        </w:rPr>
        <w:t>nd</w:t>
      </w:r>
      <w:r w:rsidR="008D6B80">
        <w:rPr>
          <w:lang w:val="fr-FR"/>
        </w:rPr>
        <w:t xml:space="preserve">. </w:t>
      </w:r>
      <w:r w:rsidR="00B91E17">
        <w:rPr>
          <w:lang w:val="fr-FR"/>
        </w:rPr>
        <w:t>L’inspecteur qui dirige</w:t>
      </w:r>
      <w:r w:rsidR="008D7C15">
        <w:rPr>
          <w:lang w:val="fr-FR"/>
        </w:rPr>
        <w:t xml:space="preserve"> cette unité a établi, en concertation avec le </w:t>
      </w:r>
      <w:r w:rsidR="008D7C15">
        <w:rPr>
          <w:i/>
          <w:iCs/>
          <w:lang w:val="fr-FR"/>
        </w:rPr>
        <w:t>Coroner</w:t>
      </w:r>
      <w:r w:rsidR="008D7C15">
        <w:rPr>
          <w:lang w:val="fr-FR"/>
        </w:rPr>
        <w:t xml:space="preserve"> de l’État, </w:t>
      </w:r>
      <w:r w:rsidR="001B7FA6">
        <w:rPr>
          <w:lang w:val="fr-FR"/>
        </w:rPr>
        <w:t>un formulaire type à utiliser dans ces cas</w:t>
      </w:r>
      <w:r w:rsidR="008D6B80">
        <w:rPr>
          <w:lang w:val="fr-FR"/>
        </w:rPr>
        <w:t xml:space="preserve">. </w:t>
      </w:r>
      <w:r w:rsidR="001B7FA6">
        <w:rPr>
          <w:lang w:val="fr-FR"/>
        </w:rPr>
        <w:t>Ces enquêtes doivent être terminées au plus tard six mois après la date du décès</w:t>
      </w:r>
      <w:r w:rsidR="003F2301">
        <w:rPr>
          <w:lang w:val="fr-FR"/>
        </w:rPr>
        <w:t>, sauf en cas de retards inévitables</w:t>
      </w:r>
      <w:r w:rsidR="008D6B80">
        <w:rPr>
          <w:lang w:val="fr-FR"/>
        </w:rPr>
        <w:t>.</w:t>
      </w:r>
      <w:r w:rsidR="00572260">
        <w:rPr>
          <w:lang w:val="fr-FR"/>
        </w:rPr>
        <w:t xml:space="preserve"> </w:t>
      </w:r>
      <w:r w:rsidR="003F2301">
        <w:rPr>
          <w:lang w:val="fr-FR"/>
        </w:rPr>
        <w:t>Aucune présomption de suicide ou de mort naturelle ne doit dissuader un enquêteur de mener une enquête exhaustive.</w:t>
      </w:r>
    </w:p>
    <w:p w:rsidR="00D971AE" w:rsidRDefault="003F2301" w:rsidP="005D7B68">
      <w:pPr>
        <w:tabs>
          <w:tab w:val="left" w:pos="567"/>
          <w:tab w:val="left" w:pos="1134"/>
          <w:tab w:val="left" w:pos="1701"/>
          <w:tab w:val="left" w:pos="2268"/>
          <w:tab w:val="left" w:pos="2835"/>
        </w:tabs>
        <w:rPr>
          <w:lang w:val="fr-FR"/>
        </w:rPr>
      </w:pPr>
      <w:r>
        <w:rPr>
          <w:lang w:val="fr-FR"/>
        </w:rPr>
        <w:t>62</w:t>
      </w:r>
      <w:r w:rsidR="007A4F56">
        <w:rPr>
          <w:lang w:val="fr-FR"/>
        </w:rPr>
        <w:t>3</w:t>
      </w:r>
      <w:r>
        <w:rPr>
          <w:lang w:val="fr-FR"/>
        </w:rPr>
        <w:t>.</w:t>
      </w:r>
      <w:r>
        <w:rPr>
          <w:lang w:val="fr-FR"/>
        </w:rPr>
        <w:tab/>
        <w:t>Les services pénitentiaires du Queensland enquêteront immédiatement sur les faits, soit en nommant des inspecteurs extérieurs indépendants si le décès semble dû à des causes non naturelles, soit en confiant l’enquête à des fonctionnaires du Département dans les autres cas</w:t>
      </w:r>
      <w:r w:rsidR="008D6B80">
        <w:rPr>
          <w:lang w:val="fr-FR"/>
        </w:rPr>
        <w:t xml:space="preserve">. </w:t>
      </w:r>
      <w:r>
        <w:rPr>
          <w:lang w:val="fr-FR"/>
        </w:rPr>
        <w:t>Ces rapports doivent toujours être remis et les enquêteurs</w:t>
      </w:r>
      <w:r w:rsidR="0092135C">
        <w:rPr>
          <w:lang w:val="fr-FR"/>
        </w:rPr>
        <w:t xml:space="preserve"> doivent être appelés à témoigner lors de l’information judiciaire</w:t>
      </w:r>
      <w:r w:rsidR="008D6B80">
        <w:rPr>
          <w:lang w:val="fr-FR"/>
        </w:rPr>
        <w:t xml:space="preserve">. </w:t>
      </w:r>
      <w:r w:rsidR="0092135C">
        <w:rPr>
          <w:lang w:val="fr-FR"/>
        </w:rPr>
        <w:t>Toutes les enquêtes concernant les décès survenus pendant la garde à vue ou au cours d’une opération de police doivent être effectuées par des fonctionnaires du</w:t>
      </w:r>
      <w:r w:rsidR="0092135C">
        <w:rPr>
          <w:i/>
          <w:iCs/>
          <w:lang w:val="fr-FR"/>
        </w:rPr>
        <w:t xml:space="preserve"> State Homicide Investigation Group</w:t>
      </w:r>
      <w:r w:rsidR="0092135C">
        <w:rPr>
          <w:lang w:val="fr-FR"/>
        </w:rPr>
        <w:t xml:space="preserve"> (groupe d’enquête de l’État sur les homicides) supervisés par les agents </w:t>
      </w:r>
      <w:r w:rsidR="00362388">
        <w:rPr>
          <w:lang w:val="fr-FR"/>
        </w:rPr>
        <w:t xml:space="preserve">de la Commission des infractions et des fautes professionnelles ou de la Direction de la déontologie du </w:t>
      </w:r>
      <w:r w:rsidR="00362388">
        <w:rPr>
          <w:i/>
          <w:iCs/>
          <w:lang w:val="fr-FR"/>
        </w:rPr>
        <w:t>Queensland Public Service</w:t>
      </w:r>
      <w:r w:rsidR="008D6B80">
        <w:rPr>
          <w:lang w:val="fr-FR"/>
        </w:rPr>
        <w:t xml:space="preserve">. </w:t>
      </w:r>
      <w:r w:rsidR="00465E79">
        <w:rPr>
          <w:lang w:val="fr-FR"/>
        </w:rPr>
        <w:t>Dans la plupart des cas, un examen médico-légal est pratiqué</w:t>
      </w:r>
      <w:r w:rsidR="008D6B80">
        <w:rPr>
          <w:lang w:val="fr-FR"/>
        </w:rPr>
        <w:t xml:space="preserve">. </w:t>
      </w:r>
      <w:r w:rsidR="00D971AE">
        <w:rPr>
          <w:lang w:val="fr-FR"/>
        </w:rPr>
        <w:t>Si l’enquête est menée conformément</w:t>
      </w:r>
      <w:r w:rsidR="00572260">
        <w:rPr>
          <w:lang w:val="fr-FR"/>
        </w:rPr>
        <w:t xml:space="preserve"> </w:t>
      </w:r>
      <w:r w:rsidR="00D971AE">
        <w:rPr>
          <w:lang w:val="fr-FR"/>
        </w:rPr>
        <w:t>aux politiques de ces organismes relatives à ce type de décès, elle correspond aux recommandations et directives d</w:t>
      </w:r>
      <w:r w:rsidR="00726012">
        <w:rPr>
          <w:lang w:val="fr-FR"/>
        </w:rPr>
        <w:t>e la Commission royale</w:t>
      </w:r>
      <w:r w:rsidR="00D971AE">
        <w:rPr>
          <w:lang w:val="fr-FR"/>
        </w:rPr>
        <w:t xml:space="preserve"> sur</w:t>
      </w:r>
      <w:r>
        <w:rPr>
          <w:lang w:val="fr-FR"/>
        </w:rPr>
        <w:t xml:space="preserve"> </w:t>
      </w:r>
      <w:r w:rsidR="00726012">
        <w:rPr>
          <w:lang w:val="fr-FR"/>
        </w:rPr>
        <w:t>les décès d’aborigènes pendant leur</w:t>
      </w:r>
      <w:r w:rsidR="00D971AE">
        <w:rPr>
          <w:lang w:val="fr-FR"/>
        </w:rPr>
        <w:t xml:space="preserve"> détention.</w:t>
      </w:r>
    </w:p>
    <w:p w:rsidR="00D971AE" w:rsidRDefault="00D971AE" w:rsidP="005D7B68">
      <w:pPr>
        <w:tabs>
          <w:tab w:val="left" w:pos="567"/>
          <w:tab w:val="left" w:pos="1134"/>
          <w:tab w:val="left" w:pos="1701"/>
          <w:tab w:val="left" w:pos="2268"/>
          <w:tab w:val="left" w:pos="2835"/>
        </w:tabs>
        <w:rPr>
          <w:b/>
          <w:bCs/>
          <w:lang w:val="fr-FR"/>
        </w:rPr>
      </w:pPr>
      <w:r>
        <w:rPr>
          <w:b/>
          <w:bCs/>
          <w:lang w:val="fr-FR"/>
        </w:rPr>
        <w:t>Résumé</w:t>
      </w:r>
    </w:p>
    <w:p w:rsidR="005E57A9" w:rsidRPr="00D971AE" w:rsidRDefault="007A4F56" w:rsidP="005D7B68">
      <w:pPr>
        <w:tabs>
          <w:tab w:val="left" w:pos="567"/>
          <w:tab w:val="left" w:pos="1134"/>
          <w:tab w:val="left" w:pos="1701"/>
          <w:tab w:val="left" w:pos="2268"/>
          <w:tab w:val="left" w:pos="2835"/>
        </w:tabs>
        <w:rPr>
          <w:lang w:val="fr-FR"/>
        </w:rPr>
      </w:pPr>
      <w:r>
        <w:rPr>
          <w:lang w:val="fr-FR"/>
        </w:rPr>
        <w:t>624.</w:t>
      </w:r>
      <w:r>
        <w:rPr>
          <w:lang w:val="fr-FR"/>
        </w:rPr>
        <w:tab/>
      </w:r>
      <w:r w:rsidR="00D971AE">
        <w:rPr>
          <w:lang w:val="fr-FR"/>
        </w:rPr>
        <w:t xml:space="preserve">L’enquête relève avant tout de la responsabilité du </w:t>
      </w:r>
      <w:r w:rsidR="00D971AE">
        <w:rPr>
          <w:i/>
          <w:iCs/>
          <w:lang w:val="fr-FR"/>
        </w:rPr>
        <w:t>Coroner</w:t>
      </w:r>
      <w:r w:rsidR="00485064">
        <w:rPr>
          <w:lang w:val="fr-FR"/>
        </w:rPr>
        <w:t xml:space="preserve"> </w:t>
      </w:r>
      <w:r w:rsidR="00D971AE">
        <w:rPr>
          <w:lang w:val="fr-FR"/>
        </w:rPr>
        <w:t>auquel il est fait rapport du décès</w:t>
      </w:r>
      <w:r w:rsidR="008D6B80">
        <w:rPr>
          <w:lang w:val="fr-FR"/>
        </w:rPr>
        <w:t xml:space="preserve">. </w:t>
      </w:r>
      <w:r w:rsidR="00D971AE">
        <w:rPr>
          <w:lang w:val="fr-FR"/>
        </w:rPr>
        <w:t>Il doit s’entourer de tous les experts nécessaires pour enquêter sur les faits</w:t>
      </w:r>
      <w:r w:rsidR="008D6B80">
        <w:rPr>
          <w:lang w:val="fr-FR"/>
        </w:rPr>
        <w:t xml:space="preserve">. </w:t>
      </w:r>
      <w:r w:rsidR="00D971AE">
        <w:rPr>
          <w:lang w:val="fr-FR"/>
        </w:rPr>
        <w:t>L’instruction doit</w:t>
      </w:r>
      <w:r w:rsidR="000612C8">
        <w:rPr>
          <w:lang w:val="fr-FR"/>
        </w:rPr>
        <w:t xml:space="preserve"> aller au-delà des simples causes médicales du décès, tenter d’établir les circonstances dans lesquelles cela s’est passé, et indiquer si des modifications de la législation ou de la pratique permettraient de réduire les risques que cela se reproduise à l’avenir.</w:t>
      </w:r>
    </w:p>
    <w:p w:rsidR="009A7F42" w:rsidRDefault="000612C8" w:rsidP="005D7B68">
      <w:pPr>
        <w:tabs>
          <w:tab w:val="left" w:pos="567"/>
          <w:tab w:val="left" w:pos="1134"/>
          <w:tab w:val="left" w:pos="1701"/>
          <w:tab w:val="left" w:pos="2268"/>
          <w:tab w:val="left" w:pos="2835"/>
        </w:tabs>
        <w:rPr>
          <w:b/>
          <w:bCs/>
          <w:lang w:val="fr-FR"/>
        </w:rPr>
      </w:pPr>
      <w:r>
        <w:rPr>
          <w:b/>
          <w:bCs/>
          <w:lang w:val="fr-FR"/>
        </w:rPr>
        <w:t>Enquête sur le décès de Mulrunji</w:t>
      </w:r>
    </w:p>
    <w:p w:rsidR="000612C8" w:rsidRDefault="007A4F56" w:rsidP="005D7B68">
      <w:pPr>
        <w:tabs>
          <w:tab w:val="left" w:pos="567"/>
          <w:tab w:val="left" w:pos="1134"/>
          <w:tab w:val="left" w:pos="1701"/>
          <w:tab w:val="left" w:pos="2268"/>
          <w:tab w:val="left" w:pos="2835"/>
        </w:tabs>
        <w:rPr>
          <w:lang w:val="fr-FR"/>
        </w:rPr>
      </w:pPr>
      <w:r>
        <w:rPr>
          <w:lang w:val="fr-FR"/>
        </w:rPr>
        <w:t>625</w:t>
      </w:r>
      <w:r w:rsidR="000612C8">
        <w:rPr>
          <w:lang w:val="fr-FR"/>
        </w:rPr>
        <w:t>.</w:t>
      </w:r>
      <w:r w:rsidR="000612C8">
        <w:rPr>
          <w:lang w:val="fr-FR"/>
        </w:rPr>
        <w:tab/>
      </w:r>
      <w:r w:rsidR="00427E73">
        <w:rPr>
          <w:lang w:val="fr-FR"/>
        </w:rPr>
        <w:t xml:space="preserve">Les conclusions du </w:t>
      </w:r>
      <w:r w:rsidR="00427E73">
        <w:rPr>
          <w:i/>
          <w:iCs/>
          <w:lang w:val="fr-FR"/>
        </w:rPr>
        <w:t>Coroner</w:t>
      </w:r>
      <w:r w:rsidR="00427E73">
        <w:rPr>
          <w:lang w:val="fr-FR"/>
        </w:rPr>
        <w:t xml:space="preserve"> adjoint de l’État Chris Clemens relatives à la mort de Mulrunji, qui ont été déposée</w:t>
      </w:r>
      <w:r w:rsidR="007B07BF">
        <w:rPr>
          <w:lang w:val="fr-FR"/>
        </w:rPr>
        <w:t>s</w:t>
      </w:r>
      <w:r w:rsidR="00427E73">
        <w:rPr>
          <w:lang w:val="fr-FR"/>
        </w:rPr>
        <w:t xml:space="preserve"> le 27 septembre 2006, peuvent être consultées sur le site </w:t>
      </w:r>
      <w:hyperlink r:id="rId31" w:history="1">
        <w:r w:rsidR="00A07F1E">
          <w:rPr>
            <w:rStyle w:val="Hyperlink"/>
            <w:lang w:val="fr-FR"/>
          </w:rPr>
          <w:t>http://www.justice.qld</w:t>
        </w:r>
        <w:r w:rsidR="00427E73" w:rsidRPr="00414093">
          <w:rPr>
            <w:rStyle w:val="Hyperlink"/>
            <w:lang w:val="fr-FR"/>
          </w:rPr>
          <w:t>.gov.au/courts/coroner/findings/mulrunji270906.doc</w:t>
        </w:r>
      </w:hyperlink>
      <w:r w:rsidR="008D6B80">
        <w:rPr>
          <w:lang w:val="fr-FR"/>
        </w:rPr>
        <w:t xml:space="preserve">. </w:t>
      </w:r>
      <w:r w:rsidR="00427E73">
        <w:rPr>
          <w:lang w:val="fr-FR"/>
        </w:rPr>
        <w:t xml:space="preserve">Le </w:t>
      </w:r>
      <w:r w:rsidR="00427E73">
        <w:rPr>
          <w:i/>
          <w:iCs/>
          <w:lang w:val="fr-FR"/>
        </w:rPr>
        <w:t>Coroner</w:t>
      </w:r>
      <w:r w:rsidR="00485064">
        <w:rPr>
          <w:lang w:val="fr-FR"/>
        </w:rPr>
        <w:t xml:space="preserve"> adjoint de l’État </w:t>
      </w:r>
      <w:r w:rsidR="00427E73">
        <w:rPr>
          <w:lang w:val="fr-FR"/>
        </w:rPr>
        <w:t xml:space="preserve">était </w:t>
      </w:r>
      <w:r w:rsidR="00427E73">
        <w:rPr>
          <w:i/>
          <w:iCs/>
          <w:lang w:val="fr-FR"/>
        </w:rPr>
        <w:t>Coroner</w:t>
      </w:r>
      <w:r w:rsidR="00427E73">
        <w:rPr>
          <w:lang w:val="fr-FR"/>
        </w:rPr>
        <w:t xml:space="preserve"> par intérim au moment de la remise des conclusions.</w:t>
      </w:r>
    </w:p>
    <w:p w:rsidR="000E7BED" w:rsidRDefault="007A4F56" w:rsidP="005D7B68">
      <w:pPr>
        <w:tabs>
          <w:tab w:val="left" w:pos="567"/>
          <w:tab w:val="left" w:pos="1134"/>
          <w:tab w:val="left" w:pos="1701"/>
          <w:tab w:val="left" w:pos="2268"/>
          <w:tab w:val="left" w:pos="2835"/>
        </w:tabs>
        <w:rPr>
          <w:lang w:val="fr-FR"/>
        </w:rPr>
      </w:pPr>
      <w:r>
        <w:rPr>
          <w:lang w:val="fr-FR"/>
        </w:rPr>
        <w:t>626</w:t>
      </w:r>
      <w:r w:rsidR="00427E73">
        <w:rPr>
          <w:lang w:val="fr-FR"/>
        </w:rPr>
        <w:t>.</w:t>
      </w:r>
      <w:r w:rsidR="00427E73">
        <w:rPr>
          <w:lang w:val="fr-FR"/>
        </w:rPr>
        <w:tab/>
        <w:t xml:space="preserve">La réponse du Gouvernement du Queensland aux observations du </w:t>
      </w:r>
      <w:r w:rsidR="00427E73">
        <w:rPr>
          <w:i/>
          <w:iCs/>
          <w:lang w:val="fr-FR"/>
        </w:rPr>
        <w:t>coroner</w:t>
      </w:r>
      <w:r w:rsidR="00427E73">
        <w:rPr>
          <w:lang w:val="fr-FR"/>
        </w:rPr>
        <w:t xml:space="preserve"> dans le rapport d’enquête sur la mort de Mulrunji, présentées au</w:t>
      </w:r>
      <w:r w:rsidR="000E7BED">
        <w:rPr>
          <w:lang w:val="fr-FR"/>
        </w:rPr>
        <w:t xml:space="preserve"> Parlement du Queensland le 2 n</w:t>
      </w:r>
      <w:r w:rsidR="00427E73">
        <w:rPr>
          <w:lang w:val="fr-FR"/>
        </w:rPr>
        <w:t>ovembre 2006</w:t>
      </w:r>
      <w:r w:rsidR="004760E3">
        <w:rPr>
          <w:lang w:val="fr-FR"/>
        </w:rPr>
        <w:t>, est</w:t>
      </w:r>
      <w:r w:rsidR="000E7BED">
        <w:rPr>
          <w:lang w:val="fr-FR"/>
        </w:rPr>
        <w:t xml:space="preserve"> accessible sur le site Web </w:t>
      </w:r>
      <w:hyperlink r:id="rId32" w:history="1">
        <w:r w:rsidR="006A6A06">
          <w:rPr>
            <w:rStyle w:val="Hyperlink"/>
            <w:lang w:val="fr-FR"/>
          </w:rPr>
          <w:t>http://www.parliame</w:t>
        </w:r>
        <w:r w:rsidR="000E7BED" w:rsidRPr="00414093">
          <w:rPr>
            <w:rStyle w:val="Hyperlink"/>
            <w:lang w:val="fr-FR"/>
          </w:rPr>
          <w:t>nt.qld.gov.au/view/legislativeassembly/tableOffice/documents/tp_PDFS/TP381-2006.pdf</w:t>
        </w:r>
      </w:hyperlink>
      <w:r w:rsidR="000E7BED">
        <w:rPr>
          <w:lang w:val="fr-FR"/>
        </w:rPr>
        <w:t xml:space="preserve"> .</w:t>
      </w:r>
    </w:p>
    <w:p w:rsidR="00282092" w:rsidRDefault="000E7BED" w:rsidP="005D7B68">
      <w:pPr>
        <w:tabs>
          <w:tab w:val="left" w:pos="567"/>
          <w:tab w:val="left" w:pos="1134"/>
          <w:tab w:val="left" w:pos="1701"/>
          <w:tab w:val="left" w:pos="2268"/>
          <w:tab w:val="left" w:pos="2835"/>
        </w:tabs>
        <w:rPr>
          <w:lang w:val="fr-FR"/>
        </w:rPr>
      </w:pPr>
      <w:r>
        <w:rPr>
          <w:lang w:val="fr-FR"/>
        </w:rPr>
        <w:t>62</w:t>
      </w:r>
      <w:r w:rsidR="007A4F56">
        <w:rPr>
          <w:lang w:val="fr-FR"/>
        </w:rPr>
        <w:t>7</w:t>
      </w:r>
      <w:r>
        <w:rPr>
          <w:lang w:val="fr-FR"/>
        </w:rPr>
        <w:t>.</w:t>
      </w:r>
      <w:r>
        <w:rPr>
          <w:lang w:val="fr-FR"/>
        </w:rPr>
        <w:tab/>
        <w:t xml:space="preserve">Le jour où le </w:t>
      </w:r>
      <w:r>
        <w:rPr>
          <w:i/>
          <w:iCs/>
          <w:lang w:val="fr-FR"/>
        </w:rPr>
        <w:t>Coroner</w:t>
      </w:r>
      <w:r>
        <w:rPr>
          <w:lang w:val="fr-FR"/>
        </w:rPr>
        <w:t xml:space="preserve"> de l’État par intérim a remis ses conclusions, l’</w:t>
      </w:r>
      <w:r w:rsidRPr="00830892">
        <w:rPr>
          <w:lang w:val="fr-FR"/>
        </w:rPr>
        <w:t xml:space="preserve">Attorney </w:t>
      </w:r>
      <w:r w:rsidR="00830892">
        <w:rPr>
          <w:lang w:val="fr-FR"/>
        </w:rPr>
        <w:t>gé</w:t>
      </w:r>
      <w:r w:rsidRPr="00830892">
        <w:rPr>
          <w:lang w:val="fr-FR"/>
        </w:rPr>
        <w:t>n</w:t>
      </w:r>
      <w:r w:rsidR="00830892">
        <w:rPr>
          <w:lang w:val="fr-FR"/>
        </w:rPr>
        <w:t>é</w:t>
      </w:r>
      <w:r w:rsidRPr="00830892">
        <w:rPr>
          <w:lang w:val="fr-FR"/>
        </w:rPr>
        <w:t xml:space="preserve">ral </w:t>
      </w:r>
      <w:r>
        <w:rPr>
          <w:lang w:val="fr-FR"/>
        </w:rPr>
        <w:t>de l’époque, l’Honourable Ms Linda Lavarch</w:t>
      </w:r>
      <w:r w:rsidR="006A6A06">
        <w:rPr>
          <w:lang w:val="fr-FR"/>
        </w:rPr>
        <w:t xml:space="preserve"> MP</w:t>
      </w:r>
      <w:r>
        <w:rPr>
          <w:lang w:val="fr-FR"/>
        </w:rPr>
        <w:t xml:space="preserve">, </w:t>
      </w:r>
      <w:r w:rsidR="0066256E">
        <w:rPr>
          <w:lang w:val="fr-FR"/>
        </w:rPr>
        <w:t>a saisi le Directeur du Parquet</w:t>
      </w:r>
      <w:r w:rsidR="00282092">
        <w:rPr>
          <w:lang w:val="fr-FR"/>
        </w:rPr>
        <w:t xml:space="preserve"> pour qu’il décide s’il convenait d’engager des poursuites pénales.</w:t>
      </w:r>
    </w:p>
    <w:p w:rsidR="00427E73" w:rsidRDefault="00282092" w:rsidP="005D7B68">
      <w:pPr>
        <w:tabs>
          <w:tab w:val="left" w:pos="567"/>
          <w:tab w:val="left" w:pos="1134"/>
          <w:tab w:val="left" w:pos="1701"/>
          <w:tab w:val="left" w:pos="2268"/>
          <w:tab w:val="left" w:pos="2835"/>
        </w:tabs>
        <w:rPr>
          <w:lang w:val="fr-FR"/>
        </w:rPr>
      </w:pPr>
      <w:r>
        <w:rPr>
          <w:lang w:val="fr-FR"/>
        </w:rPr>
        <w:t>62</w:t>
      </w:r>
      <w:r w:rsidR="007A4F56">
        <w:rPr>
          <w:lang w:val="fr-FR"/>
        </w:rPr>
        <w:t>8</w:t>
      </w:r>
      <w:r>
        <w:rPr>
          <w:lang w:val="fr-FR"/>
        </w:rPr>
        <w:t>.</w:t>
      </w:r>
      <w:r>
        <w:rPr>
          <w:lang w:val="fr-FR"/>
        </w:rPr>
        <w:tab/>
        <w:t>Le 14 décembre 2006, le Directeur du Parquet</w:t>
      </w:r>
      <w:r w:rsidR="000E7BED">
        <w:rPr>
          <w:lang w:val="fr-FR"/>
        </w:rPr>
        <w:t xml:space="preserve"> </w:t>
      </w:r>
      <w:r>
        <w:rPr>
          <w:lang w:val="fr-FR"/>
        </w:rPr>
        <w:t>a fait connaître sa décision selon laquelle ses services n’engageraient pas de poursuites pénales à la suite de ce décès.</w:t>
      </w:r>
    </w:p>
    <w:p w:rsidR="00AE215D" w:rsidRDefault="007A4F56" w:rsidP="005D7B68">
      <w:pPr>
        <w:tabs>
          <w:tab w:val="left" w:pos="567"/>
          <w:tab w:val="left" w:pos="1134"/>
          <w:tab w:val="left" w:pos="1701"/>
          <w:tab w:val="left" w:pos="2268"/>
          <w:tab w:val="left" w:pos="2835"/>
        </w:tabs>
        <w:rPr>
          <w:lang w:val="fr-FR"/>
        </w:rPr>
      </w:pPr>
      <w:r>
        <w:rPr>
          <w:lang w:val="fr-FR"/>
        </w:rPr>
        <w:t>629</w:t>
      </w:r>
      <w:r w:rsidR="00282092" w:rsidRPr="00282092">
        <w:rPr>
          <w:lang w:val="fr-FR"/>
        </w:rPr>
        <w:t>.</w:t>
      </w:r>
      <w:r w:rsidR="00282092" w:rsidRPr="00282092">
        <w:rPr>
          <w:lang w:val="fr-FR"/>
        </w:rPr>
        <w:tab/>
        <w:t>Le 18 juillet 2007, l’</w:t>
      </w:r>
      <w:r w:rsidR="00830892" w:rsidRPr="00830892">
        <w:rPr>
          <w:lang w:val="fr-FR"/>
        </w:rPr>
        <w:t xml:space="preserve">Attorney </w:t>
      </w:r>
      <w:r w:rsidR="00830892">
        <w:rPr>
          <w:lang w:val="fr-FR"/>
        </w:rPr>
        <w:t>gé</w:t>
      </w:r>
      <w:r w:rsidR="00830892" w:rsidRPr="00830892">
        <w:rPr>
          <w:lang w:val="fr-FR"/>
        </w:rPr>
        <w:t>n</w:t>
      </w:r>
      <w:r w:rsidR="00830892">
        <w:rPr>
          <w:lang w:val="fr-FR"/>
        </w:rPr>
        <w:t>é</w:t>
      </w:r>
      <w:r w:rsidR="00830892" w:rsidRPr="00830892">
        <w:rPr>
          <w:lang w:val="fr-FR"/>
        </w:rPr>
        <w:t>ral</w:t>
      </w:r>
      <w:r w:rsidR="00282092" w:rsidRPr="00282092">
        <w:rPr>
          <w:lang w:val="fr-FR"/>
        </w:rPr>
        <w:t xml:space="preserve">, l’Honourable Kerry Shine MP, a </w:t>
      </w:r>
      <w:r w:rsidR="00282092">
        <w:rPr>
          <w:lang w:val="fr-FR"/>
        </w:rPr>
        <w:t>déposé</w:t>
      </w:r>
      <w:r w:rsidR="00282092" w:rsidRPr="00282092">
        <w:rPr>
          <w:lang w:val="fr-FR"/>
        </w:rPr>
        <w:t xml:space="preserve"> son rapport en application de l’article 11 de la </w:t>
      </w:r>
      <w:r w:rsidR="00282092" w:rsidRPr="00485064">
        <w:rPr>
          <w:lang w:val="fr-FR"/>
        </w:rPr>
        <w:t>loi de 1999 sur l’Attorney General</w:t>
      </w:r>
      <w:r w:rsidR="00282092">
        <w:rPr>
          <w:lang w:val="fr-FR"/>
        </w:rPr>
        <w:t xml:space="preserve"> </w:t>
      </w:r>
      <w:r w:rsidR="00C029BA">
        <w:rPr>
          <w:lang w:val="fr-FR"/>
        </w:rPr>
        <w:t>concernant sa décision d’inculper le sergent-chef Christopher James Hurley</w:t>
      </w:r>
      <w:r w:rsidR="008D6B80">
        <w:rPr>
          <w:lang w:val="fr-FR"/>
        </w:rPr>
        <w:t xml:space="preserve">. </w:t>
      </w:r>
      <w:r w:rsidR="00C029BA">
        <w:rPr>
          <w:lang w:val="fr-FR"/>
        </w:rPr>
        <w:t xml:space="preserve">Ce rapport </w:t>
      </w:r>
      <w:r w:rsidR="00AE215D">
        <w:rPr>
          <w:lang w:val="fr-FR"/>
        </w:rPr>
        <w:t>rend compte d</w:t>
      </w:r>
      <w:r w:rsidR="00C029BA">
        <w:rPr>
          <w:lang w:val="fr-FR"/>
        </w:rPr>
        <w:t>es faits qui ont conduit à inculper le sergent-chef Hurley de brutalité exercée illégalement et d’homicide en rapport avec la mort de Mulrunji</w:t>
      </w:r>
      <w:r w:rsidR="00AE215D">
        <w:rPr>
          <w:lang w:val="fr-FR"/>
        </w:rPr>
        <w:t>, du</w:t>
      </w:r>
      <w:r w:rsidR="00C029BA">
        <w:rPr>
          <w:lang w:val="fr-FR"/>
        </w:rPr>
        <w:t xml:space="preserve"> procès et</w:t>
      </w:r>
      <w:r w:rsidR="00AE215D">
        <w:rPr>
          <w:lang w:val="fr-FR"/>
        </w:rPr>
        <w:t xml:space="preserve"> du verdict d’acquit</w:t>
      </w:r>
      <w:r w:rsidR="00924881">
        <w:rPr>
          <w:lang w:val="fr-FR"/>
        </w:rPr>
        <w:t>tement des jurés prononcé le 20 </w:t>
      </w:r>
      <w:r w:rsidR="00AE215D">
        <w:rPr>
          <w:lang w:val="fr-FR"/>
        </w:rPr>
        <w:t>juin 2007</w:t>
      </w:r>
      <w:r w:rsidR="008D6B80">
        <w:rPr>
          <w:lang w:val="fr-FR"/>
        </w:rPr>
        <w:t xml:space="preserve">. </w:t>
      </w:r>
      <w:r w:rsidR="00AE215D">
        <w:rPr>
          <w:lang w:val="fr-FR"/>
        </w:rPr>
        <w:t xml:space="preserve">Un exemplaire ce rapport est accessible sur le site Web </w:t>
      </w:r>
      <w:r w:rsidR="00AE215D" w:rsidRPr="00AE215D">
        <w:rPr>
          <w:color w:val="0000FF"/>
          <w:lang w:val="fr-FR"/>
        </w:rPr>
        <w:t>http://www.parliament.qld.gov.au</w:t>
      </w:r>
      <w:r w:rsidR="006A6A06">
        <w:rPr>
          <w:color w:val="0000FF"/>
          <w:lang w:val="fr-FR"/>
        </w:rPr>
        <w:t>/view/legislativeassembly/table</w:t>
      </w:r>
      <w:r w:rsidR="00AE215D" w:rsidRPr="00AE215D">
        <w:rPr>
          <w:color w:val="0000FF"/>
          <w:lang w:val="fr-FR"/>
        </w:rPr>
        <w:t>Office/documents/TP_PDFS/TP1670-2007.pdf</w:t>
      </w:r>
      <w:r w:rsidR="00AE215D">
        <w:rPr>
          <w:lang w:val="fr-FR"/>
        </w:rPr>
        <w:t>.</w:t>
      </w:r>
    </w:p>
    <w:p w:rsidR="00282092" w:rsidRPr="00A05F01" w:rsidRDefault="00AE215D" w:rsidP="005D7B68">
      <w:pPr>
        <w:tabs>
          <w:tab w:val="left" w:pos="567"/>
          <w:tab w:val="left" w:pos="1134"/>
          <w:tab w:val="left" w:pos="1701"/>
          <w:tab w:val="left" w:pos="2268"/>
          <w:tab w:val="left" w:pos="2835"/>
        </w:tabs>
        <w:rPr>
          <w:lang w:val="fr-FR"/>
        </w:rPr>
      </w:pPr>
      <w:r>
        <w:rPr>
          <w:lang w:val="fr-FR"/>
        </w:rPr>
        <w:t>63</w:t>
      </w:r>
      <w:r w:rsidR="007A4F56">
        <w:rPr>
          <w:lang w:val="fr-FR"/>
        </w:rPr>
        <w:t>0</w:t>
      </w:r>
      <w:r>
        <w:rPr>
          <w:lang w:val="fr-FR"/>
        </w:rPr>
        <w:t xml:space="preserve">. </w:t>
      </w:r>
      <w:r>
        <w:rPr>
          <w:lang w:val="fr-FR"/>
        </w:rPr>
        <w:tab/>
        <w:t>Pour un surcroît d’informations sur les mesures générales prises</w:t>
      </w:r>
      <w:r w:rsidR="003D24A9">
        <w:rPr>
          <w:lang w:val="fr-FR"/>
        </w:rPr>
        <w:t xml:space="preserve"> par le</w:t>
      </w:r>
      <w:r w:rsidR="00E77798">
        <w:rPr>
          <w:lang w:val="fr-FR"/>
        </w:rPr>
        <w:t xml:space="preserve"> Gouvernement du Queensland</w:t>
      </w:r>
      <w:r w:rsidR="006C616C">
        <w:rPr>
          <w:lang w:val="fr-FR"/>
        </w:rPr>
        <w:t>,</w:t>
      </w:r>
      <w:r>
        <w:rPr>
          <w:lang w:val="fr-FR"/>
        </w:rPr>
        <w:t xml:space="preserve"> pour</w:t>
      </w:r>
      <w:r w:rsidR="006C616C">
        <w:rPr>
          <w:lang w:val="fr-FR"/>
        </w:rPr>
        <w:t xml:space="preserve"> résoudre le p</w:t>
      </w:r>
      <w:r w:rsidR="003D24A9">
        <w:rPr>
          <w:lang w:val="fr-FR"/>
        </w:rPr>
        <w:t>roblème des décès en détention</w:t>
      </w:r>
      <w:r w:rsidR="006C616C">
        <w:rPr>
          <w:lang w:val="fr-FR"/>
        </w:rPr>
        <w:t xml:space="preserve">, afin de donner suite aux recommandations du </w:t>
      </w:r>
      <w:r w:rsidR="00485064">
        <w:rPr>
          <w:i/>
          <w:iCs/>
          <w:lang w:val="fr-FR"/>
        </w:rPr>
        <w:t>C</w:t>
      </w:r>
      <w:r w:rsidR="006C616C">
        <w:rPr>
          <w:i/>
          <w:iCs/>
          <w:lang w:val="fr-FR"/>
        </w:rPr>
        <w:t>oroner</w:t>
      </w:r>
      <w:r w:rsidR="006C616C">
        <w:rPr>
          <w:lang w:val="fr-FR"/>
        </w:rPr>
        <w:t>, le lecteur est prié de se report</w:t>
      </w:r>
      <w:r w:rsidR="00CA7DCA">
        <w:rPr>
          <w:lang w:val="fr-FR"/>
        </w:rPr>
        <w:t>er aux informations figurant ci</w:t>
      </w:r>
      <w:r w:rsidR="00CA7DCA">
        <w:rPr>
          <w:lang w:val="fr-FR"/>
        </w:rPr>
        <w:noBreakHyphen/>
      </w:r>
      <w:r w:rsidR="006C616C">
        <w:rPr>
          <w:lang w:val="fr-FR"/>
        </w:rPr>
        <w:t xml:space="preserve">après sous le titre </w:t>
      </w:r>
      <w:r w:rsidR="00A619D6">
        <w:rPr>
          <w:lang w:val="fr-FR"/>
        </w:rPr>
        <w:t>«</w:t>
      </w:r>
      <w:r w:rsidR="006C616C">
        <w:rPr>
          <w:lang w:val="fr-FR"/>
        </w:rPr>
        <w:t xml:space="preserve">Mesures prises pour résoudre le problème des </w:t>
      </w:r>
      <w:r w:rsidR="006C616C" w:rsidRPr="00A05F01">
        <w:rPr>
          <w:lang w:val="fr-FR"/>
        </w:rPr>
        <w:t>décès</w:t>
      </w:r>
      <w:r w:rsidR="00A05F01" w:rsidRPr="00A05F01">
        <w:rPr>
          <w:lang w:val="fr-FR"/>
        </w:rPr>
        <w:t xml:space="preserve"> en détention</w:t>
      </w:r>
      <w:r w:rsidR="006C616C" w:rsidRPr="00A05F01">
        <w:rPr>
          <w:lang w:val="fr-FR"/>
        </w:rPr>
        <w:t>».</w:t>
      </w:r>
    </w:p>
    <w:p w:rsidR="006C616C" w:rsidRPr="00A05F01" w:rsidRDefault="006C616C" w:rsidP="005D7B68">
      <w:pPr>
        <w:tabs>
          <w:tab w:val="left" w:pos="567"/>
          <w:tab w:val="left" w:pos="1134"/>
          <w:tab w:val="left" w:pos="1701"/>
          <w:tab w:val="left" w:pos="2268"/>
          <w:tab w:val="left" w:pos="2835"/>
        </w:tabs>
        <w:rPr>
          <w:i/>
          <w:iCs/>
          <w:lang w:val="fr-FR"/>
        </w:rPr>
      </w:pPr>
      <w:r w:rsidRPr="00A05F01">
        <w:rPr>
          <w:lang w:val="fr-FR"/>
        </w:rPr>
        <w:t>63</w:t>
      </w:r>
      <w:r w:rsidR="007A4F56">
        <w:rPr>
          <w:lang w:val="fr-FR"/>
        </w:rPr>
        <w:t>1</w:t>
      </w:r>
      <w:r w:rsidRPr="00A05F01">
        <w:rPr>
          <w:lang w:val="fr-FR"/>
        </w:rPr>
        <w:t>.</w:t>
      </w:r>
      <w:r w:rsidRPr="00A05F01">
        <w:rPr>
          <w:lang w:val="fr-FR"/>
        </w:rPr>
        <w:tab/>
        <w:t xml:space="preserve">En 2006, des décès </w:t>
      </w:r>
      <w:r w:rsidR="00A05F01" w:rsidRPr="00A05F01">
        <w:rPr>
          <w:lang w:val="fr-FR"/>
        </w:rPr>
        <w:t xml:space="preserve">en détention </w:t>
      </w:r>
      <w:r w:rsidRPr="00A05F01">
        <w:rPr>
          <w:lang w:val="fr-FR"/>
        </w:rPr>
        <w:t xml:space="preserve">et des décès à la suite ou au cours d’opérations de police ont fait l’objet de rapports au </w:t>
      </w:r>
      <w:r w:rsidRPr="00A05F01">
        <w:rPr>
          <w:i/>
          <w:iCs/>
          <w:lang w:val="fr-FR"/>
        </w:rPr>
        <w:t>Coroner</w:t>
      </w:r>
      <w:r w:rsidRPr="00A05F01">
        <w:rPr>
          <w:lang w:val="fr-FR"/>
        </w:rPr>
        <w:t xml:space="preserve"> de l’État</w:t>
      </w:r>
      <w:r w:rsidR="008D6B80">
        <w:rPr>
          <w:lang w:val="fr-FR"/>
        </w:rPr>
        <w:t xml:space="preserve">. </w:t>
      </w:r>
      <w:r w:rsidRPr="00A05F01">
        <w:rPr>
          <w:lang w:val="fr-FR"/>
        </w:rPr>
        <w:t>Les affaires ci-après sont soit inscrites à l’ordre du jour du tribunal</w:t>
      </w:r>
      <w:r w:rsidR="001744E5" w:rsidRPr="00A05F01">
        <w:rPr>
          <w:lang w:val="fr-FR"/>
        </w:rPr>
        <w:t>, soit en</w:t>
      </w:r>
      <w:r w:rsidRPr="00A05F01">
        <w:rPr>
          <w:lang w:val="fr-FR"/>
        </w:rPr>
        <w:t xml:space="preserve"> cours d’instruction. </w:t>
      </w:r>
    </w:p>
    <w:p w:rsidR="00323BAA" w:rsidRPr="00A05F01" w:rsidRDefault="00323BAA" w:rsidP="005D7B68">
      <w:pPr>
        <w:pStyle w:val="Heading2"/>
        <w:tabs>
          <w:tab w:val="left" w:pos="567"/>
          <w:tab w:val="left" w:pos="1134"/>
          <w:tab w:val="left" w:pos="1701"/>
          <w:tab w:val="left" w:pos="2268"/>
          <w:tab w:val="left" w:pos="2835"/>
        </w:tabs>
        <w:rPr>
          <w:lang w:val="fr-FR"/>
        </w:rPr>
      </w:pPr>
      <w:bookmarkStart w:id="31" w:name="_Toc193614101"/>
      <w:r w:rsidRPr="00A05F01">
        <w:rPr>
          <w:lang w:val="fr-FR"/>
        </w:rPr>
        <w:t xml:space="preserve">Décès </w:t>
      </w:r>
      <w:r w:rsidR="00485064" w:rsidRPr="00A05F01">
        <w:rPr>
          <w:lang w:val="fr-FR"/>
        </w:rPr>
        <w:t xml:space="preserve">survenus </w:t>
      </w:r>
      <w:r w:rsidRPr="00A05F01">
        <w:rPr>
          <w:lang w:val="fr-FR"/>
        </w:rPr>
        <w:t xml:space="preserve">en </w:t>
      </w:r>
      <w:r w:rsidR="00A05F01" w:rsidRPr="00A05F01">
        <w:rPr>
          <w:lang w:val="fr-FR"/>
        </w:rPr>
        <w:t xml:space="preserve">détention </w:t>
      </w:r>
      <w:r w:rsidRPr="00A05F01">
        <w:rPr>
          <w:lang w:val="fr-FR"/>
        </w:rPr>
        <w:t>ou au cours d’</w:t>
      </w:r>
      <w:r w:rsidR="00485064" w:rsidRPr="00A05F01">
        <w:rPr>
          <w:lang w:val="fr-FR"/>
        </w:rPr>
        <w:t>opérations de police</w:t>
      </w:r>
      <w:r w:rsidRPr="00A05F01">
        <w:rPr>
          <w:lang w:val="fr-FR"/>
        </w:rPr>
        <w:t xml:space="preserve"> en 2006</w:t>
      </w:r>
      <w:bookmarkEnd w:id="31"/>
    </w:p>
    <w:tbl>
      <w:tblPr>
        <w:tblW w:w="0" w:type="auto"/>
        <w:jc w:val="center"/>
        <w:tblInd w:w="123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77"/>
        <w:gridCol w:w="2223"/>
        <w:gridCol w:w="2700"/>
        <w:gridCol w:w="1391"/>
      </w:tblGrid>
      <w:tr w:rsidR="00323BAA" w:rsidRPr="00A05F01">
        <w:trPr>
          <w:jc w:val="center"/>
        </w:trPr>
        <w:tc>
          <w:tcPr>
            <w:tcW w:w="1377" w:type="dxa"/>
            <w:tcBorders>
              <w:top w:val="single" w:sz="4" w:space="0" w:color="auto"/>
              <w:bottom w:val="single" w:sz="4" w:space="0" w:color="auto"/>
            </w:tcBorders>
            <w:vAlign w:val="center"/>
          </w:tcPr>
          <w:p w:rsidR="00323BAA" w:rsidRPr="00A05F01" w:rsidRDefault="00323BAA" w:rsidP="005D7B68">
            <w:pPr>
              <w:tabs>
                <w:tab w:val="left" w:pos="567"/>
                <w:tab w:val="left" w:pos="1134"/>
                <w:tab w:val="left" w:pos="1701"/>
                <w:tab w:val="left" w:pos="2268"/>
                <w:tab w:val="left" w:pos="2835"/>
              </w:tabs>
              <w:spacing w:before="20" w:after="20"/>
              <w:jc w:val="center"/>
            </w:pPr>
            <w:r w:rsidRPr="00A05F01">
              <w:t>Année</w:t>
            </w:r>
          </w:p>
        </w:tc>
        <w:tc>
          <w:tcPr>
            <w:tcW w:w="2223" w:type="dxa"/>
            <w:tcBorders>
              <w:top w:val="single" w:sz="4" w:space="0" w:color="auto"/>
              <w:bottom w:val="single" w:sz="4" w:space="0" w:color="auto"/>
            </w:tcBorders>
            <w:vAlign w:val="center"/>
          </w:tcPr>
          <w:p w:rsidR="00323BAA" w:rsidRPr="00A05F01" w:rsidRDefault="00323BAA" w:rsidP="005D7B68">
            <w:pPr>
              <w:tabs>
                <w:tab w:val="left" w:pos="567"/>
                <w:tab w:val="left" w:pos="1134"/>
                <w:tab w:val="left" w:pos="1701"/>
                <w:tab w:val="left" w:pos="2268"/>
                <w:tab w:val="left" w:pos="2835"/>
              </w:tabs>
              <w:spacing w:before="20" w:after="20"/>
              <w:jc w:val="center"/>
              <w:rPr>
                <w:lang w:val="fr-FR"/>
              </w:rPr>
            </w:pPr>
            <w:r w:rsidRPr="00A05F01">
              <w:rPr>
                <w:lang w:val="fr-FR"/>
              </w:rPr>
              <w:t xml:space="preserve">Décès en </w:t>
            </w:r>
            <w:r w:rsidR="00A05F01" w:rsidRPr="00A05F01">
              <w:rPr>
                <w:lang w:val="fr-FR"/>
              </w:rPr>
              <w:t>détention</w:t>
            </w:r>
          </w:p>
        </w:tc>
        <w:tc>
          <w:tcPr>
            <w:tcW w:w="2700" w:type="dxa"/>
            <w:tcBorders>
              <w:top w:val="single" w:sz="4" w:space="0" w:color="auto"/>
              <w:bottom w:val="single" w:sz="4" w:space="0" w:color="auto"/>
            </w:tcBorders>
            <w:vAlign w:val="center"/>
          </w:tcPr>
          <w:p w:rsidR="00323BAA" w:rsidRPr="00A05F01" w:rsidRDefault="00323BAA" w:rsidP="005D7B68">
            <w:pPr>
              <w:tabs>
                <w:tab w:val="left" w:pos="567"/>
                <w:tab w:val="left" w:pos="1134"/>
                <w:tab w:val="left" w:pos="1701"/>
                <w:tab w:val="left" w:pos="2268"/>
                <w:tab w:val="left" w:pos="2835"/>
              </w:tabs>
              <w:spacing w:before="20" w:after="20"/>
              <w:jc w:val="center"/>
              <w:rPr>
                <w:lang w:val="fr-FR"/>
              </w:rPr>
            </w:pPr>
            <w:r w:rsidRPr="00A05F01">
              <w:rPr>
                <w:lang w:val="fr-FR"/>
              </w:rPr>
              <w:t>Décès survenus au cours d’opérations de police</w:t>
            </w:r>
          </w:p>
        </w:tc>
        <w:tc>
          <w:tcPr>
            <w:tcW w:w="1391" w:type="dxa"/>
            <w:tcBorders>
              <w:top w:val="single" w:sz="4" w:space="0" w:color="auto"/>
              <w:bottom w:val="single" w:sz="4" w:space="0" w:color="auto"/>
            </w:tcBorders>
            <w:vAlign w:val="center"/>
          </w:tcPr>
          <w:p w:rsidR="00323BAA" w:rsidRPr="00A05F01" w:rsidRDefault="00323BAA" w:rsidP="005D7B68">
            <w:pPr>
              <w:tabs>
                <w:tab w:val="left" w:pos="567"/>
                <w:tab w:val="left" w:pos="1134"/>
                <w:tab w:val="left" w:pos="1701"/>
                <w:tab w:val="left" w:pos="2268"/>
                <w:tab w:val="left" w:pos="2835"/>
              </w:tabs>
              <w:spacing w:before="20" w:after="20"/>
              <w:jc w:val="center"/>
            </w:pPr>
            <w:r w:rsidRPr="00A05F01">
              <w:t>Total</w:t>
            </w:r>
          </w:p>
        </w:tc>
      </w:tr>
      <w:tr w:rsidR="00323BAA" w:rsidRPr="00CF4A6B">
        <w:trPr>
          <w:jc w:val="center"/>
        </w:trPr>
        <w:tc>
          <w:tcPr>
            <w:tcW w:w="1377" w:type="dxa"/>
            <w:tcBorders>
              <w:top w:val="single" w:sz="4" w:space="0" w:color="auto"/>
            </w:tcBorders>
          </w:tcPr>
          <w:p w:rsidR="00323BAA" w:rsidRPr="00CF4A6B" w:rsidRDefault="00323BAA" w:rsidP="005D7B68">
            <w:pPr>
              <w:tabs>
                <w:tab w:val="left" w:pos="567"/>
                <w:tab w:val="left" w:pos="1134"/>
                <w:tab w:val="left" w:pos="1701"/>
                <w:tab w:val="left" w:pos="2268"/>
                <w:tab w:val="left" w:pos="2835"/>
              </w:tabs>
              <w:spacing w:before="20" w:after="20"/>
            </w:pPr>
            <w:r w:rsidRPr="00CF4A6B">
              <w:t>1995</w:t>
            </w:r>
          </w:p>
        </w:tc>
        <w:tc>
          <w:tcPr>
            <w:tcW w:w="2223" w:type="dxa"/>
            <w:tcBorders>
              <w:top w:val="single" w:sz="4" w:space="0" w:color="auto"/>
            </w:tcBorders>
          </w:tcPr>
          <w:p w:rsidR="00323BAA" w:rsidRPr="00CF4A6B" w:rsidRDefault="00323BAA" w:rsidP="005D7B68">
            <w:pPr>
              <w:tabs>
                <w:tab w:val="left" w:pos="567"/>
                <w:tab w:val="left" w:pos="1134"/>
                <w:tab w:val="left" w:pos="1701"/>
                <w:tab w:val="left" w:pos="2268"/>
              </w:tabs>
              <w:spacing w:before="20" w:after="20"/>
              <w:ind w:right="252"/>
              <w:jc w:val="right"/>
            </w:pPr>
            <w:r w:rsidRPr="00CF4A6B">
              <w:t>23</w:t>
            </w:r>
          </w:p>
        </w:tc>
        <w:tc>
          <w:tcPr>
            <w:tcW w:w="2700" w:type="dxa"/>
            <w:tcBorders>
              <w:top w:val="single" w:sz="4" w:space="0" w:color="auto"/>
            </w:tcBorders>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14</w:t>
            </w:r>
          </w:p>
        </w:tc>
        <w:tc>
          <w:tcPr>
            <w:tcW w:w="1391" w:type="dxa"/>
            <w:tcBorders>
              <w:top w:val="single" w:sz="4" w:space="0" w:color="auto"/>
            </w:tcBorders>
          </w:tcPr>
          <w:p w:rsidR="00323BAA" w:rsidRPr="00CF4A6B" w:rsidRDefault="00323BAA" w:rsidP="005D7B68">
            <w:pPr>
              <w:tabs>
                <w:tab w:val="left" w:pos="567"/>
                <w:tab w:val="left" w:pos="1134"/>
                <w:tab w:val="left" w:pos="1701"/>
                <w:tab w:val="left" w:pos="2268"/>
              </w:tabs>
              <w:spacing w:before="20" w:after="20"/>
              <w:ind w:right="252"/>
              <w:jc w:val="right"/>
            </w:pPr>
            <w:r w:rsidRPr="00CF4A6B">
              <w:t>37</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1996</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26</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6</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32</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1997</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41</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15</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56</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1998</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29</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9</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38</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1999</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27</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7</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34</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2000</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19</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20</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39</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2001</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21</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16</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37</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2002</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18</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17</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35</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2003</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17</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21</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38</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2004</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13</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18</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31</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2005</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11</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16</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27</w:t>
            </w:r>
          </w:p>
        </w:tc>
      </w:tr>
      <w:tr w:rsidR="00323BAA" w:rsidRPr="00CF4A6B">
        <w:trPr>
          <w:jc w:val="center"/>
        </w:trPr>
        <w:tc>
          <w:tcPr>
            <w:tcW w:w="1377" w:type="dxa"/>
          </w:tcPr>
          <w:p w:rsidR="00323BAA" w:rsidRPr="00CF4A6B" w:rsidRDefault="00323BAA" w:rsidP="005D7B68">
            <w:pPr>
              <w:tabs>
                <w:tab w:val="left" w:pos="567"/>
                <w:tab w:val="left" w:pos="1134"/>
                <w:tab w:val="left" w:pos="1701"/>
                <w:tab w:val="left" w:pos="2268"/>
                <w:tab w:val="left" w:pos="2835"/>
              </w:tabs>
              <w:spacing w:before="20" w:after="20"/>
            </w:pPr>
            <w:r w:rsidRPr="00CF4A6B">
              <w:t>2006</w:t>
            </w:r>
          </w:p>
        </w:tc>
        <w:tc>
          <w:tcPr>
            <w:tcW w:w="2223"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16</w:t>
            </w:r>
          </w:p>
        </w:tc>
        <w:tc>
          <w:tcPr>
            <w:tcW w:w="2700" w:type="dxa"/>
            <w:tcMar>
              <w:right w:w="1418" w:type="dxa"/>
            </w:tcMar>
          </w:tcPr>
          <w:p w:rsidR="00323BAA" w:rsidRPr="00CF4A6B" w:rsidRDefault="00323BAA" w:rsidP="005D7B68">
            <w:pPr>
              <w:tabs>
                <w:tab w:val="left" w:pos="567"/>
                <w:tab w:val="left" w:pos="1134"/>
                <w:tab w:val="left" w:pos="1701"/>
                <w:tab w:val="left" w:pos="2268"/>
              </w:tabs>
              <w:spacing w:before="20" w:after="20"/>
              <w:ind w:right="-1058"/>
              <w:jc w:val="right"/>
            </w:pPr>
            <w:r w:rsidRPr="00CF4A6B">
              <w:t>16</w:t>
            </w:r>
          </w:p>
        </w:tc>
        <w:tc>
          <w:tcPr>
            <w:tcW w:w="1391" w:type="dxa"/>
          </w:tcPr>
          <w:p w:rsidR="00323BAA" w:rsidRPr="00CF4A6B" w:rsidRDefault="00323BAA" w:rsidP="005D7B68">
            <w:pPr>
              <w:tabs>
                <w:tab w:val="left" w:pos="567"/>
                <w:tab w:val="left" w:pos="1134"/>
                <w:tab w:val="left" w:pos="1701"/>
                <w:tab w:val="left" w:pos="2268"/>
              </w:tabs>
              <w:spacing w:before="20" w:after="20"/>
              <w:ind w:right="252"/>
              <w:jc w:val="right"/>
            </w:pPr>
            <w:r w:rsidRPr="00CF4A6B">
              <w:t>32</w:t>
            </w:r>
          </w:p>
        </w:tc>
      </w:tr>
    </w:tbl>
    <w:p w:rsidR="00BF1856" w:rsidRPr="00BF1856" w:rsidRDefault="007A4F56" w:rsidP="005D7B68">
      <w:pPr>
        <w:tabs>
          <w:tab w:val="left" w:pos="567"/>
          <w:tab w:val="left" w:pos="1134"/>
          <w:tab w:val="left" w:pos="1701"/>
          <w:tab w:val="left" w:pos="2268"/>
          <w:tab w:val="left" w:pos="2835"/>
        </w:tabs>
        <w:spacing w:before="120"/>
        <w:rPr>
          <w:lang w:val="fr-FR"/>
        </w:rPr>
      </w:pPr>
      <w:r>
        <w:rPr>
          <w:lang w:val="fr-FR"/>
        </w:rPr>
        <w:t>632</w:t>
      </w:r>
      <w:r w:rsidR="00BF1856">
        <w:rPr>
          <w:lang w:val="fr-FR"/>
        </w:rPr>
        <w:t>.</w:t>
      </w:r>
      <w:r w:rsidR="00BF1856">
        <w:rPr>
          <w:lang w:val="fr-FR"/>
        </w:rPr>
        <w:tab/>
        <w:t xml:space="preserve">Sur les 32 décès signalés en 2006 en application de l’article 13A de la </w:t>
      </w:r>
      <w:r w:rsidR="00BF1856" w:rsidRPr="008432C6">
        <w:rPr>
          <w:lang w:val="fr-FR"/>
        </w:rPr>
        <w:t xml:space="preserve">loi de 1980 sur le </w:t>
      </w:r>
      <w:r w:rsidR="00BF1856" w:rsidRPr="003D24A9">
        <w:rPr>
          <w:i/>
          <w:iCs/>
          <w:lang w:val="fr-FR"/>
        </w:rPr>
        <w:t>Coroner</w:t>
      </w:r>
      <w:r w:rsidR="008432C6">
        <w:rPr>
          <w:lang w:val="fr-FR"/>
        </w:rPr>
        <w:t>, 4 concern</w:t>
      </w:r>
      <w:r w:rsidR="00BF1856">
        <w:rPr>
          <w:lang w:val="fr-FR"/>
        </w:rPr>
        <w:t>aient des aborigènes.</w:t>
      </w:r>
    </w:p>
    <w:p w:rsidR="00276EE8" w:rsidRPr="00A05F01" w:rsidRDefault="00276EE8" w:rsidP="005D7B68">
      <w:pPr>
        <w:pStyle w:val="Heading2"/>
        <w:tabs>
          <w:tab w:val="left" w:pos="567"/>
          <w:tab w:val="left" w:pos="1134"/>
          <w:tab w:val="left" w:pos="1701"/>
          <w:tab w:val="left" w:pos="2268"/>
          <w:tab w:val="left" w:pos="2835"/>
        </w:tabs>
        <w:rPr>
          <w:lang w:val="fr-FR"/>
        </w:rPr>
      </w:pPr>
      <w:bookmarkStart w:id="32" w:name="_Toc193614102"/>
      <w:r w:rsidRPr="00276EE8">
        <w:rPr>
          <w:lang w:val="fr-FR"/>
        </w:rPr>
        <w:t>Décès d’aborigènes</w:t>
      </w:r>
      <w:r w:rsidR="008432C6">
        <w:rPr>
          <w:lang w:val="fr-FR"/>
        </w:rPr>
        <w:t xml:space="preserve"> survenus</w:t>
      </w:r>
      <w:r w:rsidRPr="00276EE8">
        <w:rPr>
          <w:lang w:val="fr-FR"/>
        </w:rPr>
        <w:t xml:space="preserve"> </w:t>
      </w:r>
      <w:r w:rsidRPr="00A05F01">
        <w:rPr>
          <w:lang w:val="fr-FR"/>
        </w:rPr>
        <w:t xml:space="preserve">en </w:t>
      </w:r>
      <w:r w:rsidR="00A05F01" w:rsidRPr="00A05F01">
        <w:rPr>
          <w:lang w:val="fr-FR"/>
        </w:rPr>
        <w:t>détention</w:t>
      </w:r>
      <w:r w:rsidR="00A05F01">
        <w:rPr>
          <w:lang w:val="fr-FR"/>
        </w:rPr>
        <w:t xml:space="preserve"> </w:t>
      </w:r>
      <w:r w:rsidRPr="00A05F01">
        <w:rPr>
          <w:lang w:val="fr-FR"/>
        </w:rPr>
        <w:t>ou au c</w:t>
      </w:r>
      <w:r w:rsidR="00924881">
        <w:rPr>
          <w:lang w:val="fr-FR"/>
        </w:rPr>
        <w:t>ours d’opérations</w:t>
      </w:r>
      <w:r w:rsidR="00924881">
        <w:rPr>
          <w:lang w:val="fr-FR"/>
        </w:rPr>
        <w:br/>
      </w:r>
      <w:r w:rsidRPr="00A05F01">
        <w:rPr>
          <w:lang w:val="fr-FR"/>
        </w:rPr>
        <w:t>de police de 1995 à 2006</w:t>
      </w:r>
      <w:bookmarkEnd w:id="32"/>
    </w:p>
    <w:tbl>
      <w:tblPr>
        <w:tblW w:w="0" w:type="auto"/>
        <w:tblInd w:w="92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48"/>
        <w:gridCol w:w="2264"/>
        <w:gridCol w:w="2701"/>
        <w:gridCol w:w="1400"/>
      </w:tblGrid>
      <w:tr w:rsidR="00276EE8" w:rsidRPr="00A05F01">
        <w:trPr>
          <w:trHeight w:val="237"/>
          <w:tblHeader/>
        </w:trPr>
        <w:tc>
          <w:tcPr>
            <w:tcW w:w="1348" w:type="dxa"/>
            <w:tcBorders>
              <w:top w:val="single" w:sz="4" w:space="0" w:color="auto"/>
              <w:bottom w:val="single" w:sz="4" w:space="0" w:color="auto"/>
            </w:tcBorders>
            <w:vAlign w:val="center"/>
          </w:tcPr>
          <w:p w:rsidR="00276EE8" w:rsidRPr="00A05F01" w:rsidRDefault="00276EE8" w:rsidP="005D7B68">
            <w:pPr>
              <w:tabs>
                <w:tab w:val="left" w:pos="567"/>
                <w:tab w:val="left" w:pos="1134"/>
                <w:tab w:val="left" w:pos="1701"/>
                <w:tab w:val="left" w:pos="2268"/>
                <w:tab w:val="left" w:pos="2835"/>
              </w:tabs>
              <w:spacing w:after="0"/>
              <w:jc w:val="center"/>
            </w:pPr>
            <w:r w:rsidRPr="00A05F01">
              <w:t>Année</w:t>
            </w:r>
          </w:p>
        </w:tc>
        <w:tc>
          <w:tcPr>
            <w:tcW w:w="2264" w:type="dxa"/>
            <w:tcBorders>
              <w:top w:val="single" w:sz="4" w:space="0" w:color="auto"/>
              <w:bottom w:val="single" w:sz="4" w:space="0" w:color="auto"/>
            </w:tcBorders>
            <w:vAlign w:val="center"/>
          </w:tcPr>
          <w:p w:rsidR="00276EE8" w:rsidRPr="00A05F01" w:rsidRDefault="00276EE8" w:rsidP="005D7B68">
            <w:pPr>
              <w:tabs>
                <w:tab w:val="left" w:pos="567"/>
                <w:tab w:val="left" w:pos="1134"/>
                <w:tab w:val="left" w:pos="1701"/>
                <w:tab w:val="left" w:pos="2268"/>
                <w:tab w:val="left" w:pos="2835"/>
              </w:tabs>
              <w:spacing w:after="0"/>
              <w:jc w:val="center"/>
              <w:rPr>
                <w:lang w:val="fr-FR"/>
              </w:rPr>
            </w:pPr>
            <w:r w:rsidRPr="00A05F01">
              <w:rPr>
                <w:lang w:val="fr-FR"/>
              </w:rPr>
              <w:t xml:space="preserve">Décès </w:t>
            </w:r>
            <w:r w:rsidR="00A05F01" w:rsidRPr="00A05F01">
              <w:rPr>
                <w:lang w:val="fr-FR"/>
              </w:rPr>
              <w:t>en détention</w:t>
            </w:r>
          </w:p>
        </w:tc>
        <w:tc>
          <w:tcPr>
            <w:tcW w:w="2701" w:type="dxa"/>
            <w:tcBorders>
              <w:top w:val="single" w:sz="4" w:space="0" w:color="auto"/>
              <w:bottom w:val="single" w:sz="4" w:space="0" w:color="auto"/>
            </w:tcBorders>
            <w:vAlign w:val="center"/>
          </w:tcPr>
          <w:p w:rsidR="00276EE8" w:rsidRPr="00A05F01" w:rsidRDefault="00276EE8" w:rsidP="005D7B68">
            <w:pPr>
              <w:tabs>
                <w:tab w:val="left" w:pos="567"/>
                <w:tab w:val="left" w:pos="1134"/>
                <w:tab w:val="left" w:pos="1701"/>
                <w:tab w:val="left" w:pos="2268"/>
                <w:tab w:val="left" w:pos="2835"/>
              </w:tabs>
              <w:spacing w:after="0"/>
              <w:jc w:val="center"/>
              <w:rPr>
                <w:lang w:val="fr-FR"/>
              </w:rPr>
            </w:pPr>
            <w:r w:rsidRPr="00A05F01">
              <w:rPr>
                <w:lang w:val="fr-FR"/>
              </w:rPr>
              <w:t>Décès survenus au cours d’opérations de police</w:t>
            </w:r>
          </w:p>
        </w:tc>
        <w:tc>
          <w:tcPr>
            <w:tcW w:w="1400" w:type="dxa"/>
            <w:tcBorders>
              <w:top w:val="single" w:sz="4" w:space="0" w:color="auto"/>
              <w:bottom w:val="single" w:sz="4" w:space="0" w:color="auto"/>
            </w:tcBorders>
            <w:vAlign w:val="center"/>
          </w:tcPr>
          <w:p w:rsidR="00276EE8" w:rsidRPr="00A05F01" w:rsidRDefault="00276EE8" w:rsidP="005D7B68">
            <w:pPr>
              <w:tabs>
                <w:tab w:val="left" w:pos="567"/>
                <w:tab w:val="left" w:pos="1134"/>
                <w:tab w:val="left" w:pos="1701"/>
                <w:tab w:val="left" w:pos="2268"/>
                <w:tab w:val="left" w:pos="2835"/>
              </w:tabs>
              <w:spacing w:after="0"/>
              <w:jc w:val="center"/>
            </w:pPr>
            <w:r w:rsidRPr="00A05F01">
              <w:t>Total</w:t>
            </w:r>
          </w:p>
        </w:tc>
      </w:tr>
      <w:tr w:rsidR="00276EE8" w:rsidRPr="00A05F01">
        <w:tc>
          <w:tcPr>
            <w:tcW w:w="1348" w:type="dxa"/>
            <w:tcBorders>
              <w:top w:val="single" w:sz="4" w:space="0" w:color="auto"/>
            </w:tcBorders>
          </w:tcPr>
          <w:p w:rsidR="00276EE8" w:rsidRPr="00A05F01" w:rsidRDefault="00276EE8" w:rsidP="005D7B68">
            <w:pPr>
              <w:tabs>
                <w:tab w:val="left" w:pos="567"/>
                <w:tab w:val="left" w:pos="1134"/>
                <w:tab w:val="left" w:pos="1701"/>
                <w:tab w:val="left" w:pos="2268"/>
                <w:tab w:val="left" w:pos="2835"/>
              </w:tabs>
              <w:spacing w:after="0"/>
            </w:pPr>
            <w:r w:rsidRPr="00A05F01">
              <w:t>1995</w:t>
            </w:r>
          </w:p>
        </w:tc>
        <w:tc>
          <w:tcPr>
            <w:tcW w:w="2264" w:type="dxa"/>
            <w:tcBorders>
              <w:top w:val="single" w:sz="4" w:space="0" w:color="auto"/>
            </w:tcBorders>
          </w:tcPr>
          <w:p w:rsidR="00276EE8" w:rsidRPr="00A05F01" w:rsidRDefault="00276EE8" w:rsidP="005D7B68">
            <w:pPr>
              <w:tabs>
                <w:tab w:val="left" w:pos="567"/>
                <w:tab w:val="left" w:pos="1134"/>
                <w:tab w:val="left" w:pos="1701"/>
                <w:tab w:val="left" w:pos="2268"/>
              </w:tabs>
              <w:spacing w:before="20" w:after="20"/>
              <w:ind w:right="252"/>
              <w:jc w:val="right"/>
            </w:pPr>
            <w:r w:rsidRPr="00A05F01">
              <w:t>7</w:t>
            </w:r>
          </w:p>
        </w:tc>
        <w:tc>
          <w:tcPr>
            <w:tcW w:w="2701" w:type="dxa"/>
            <w:tcBorders>
              <w:top w:val="single" w:sz="4" w:space="0" w:color="auto"/>
            </w:tcBorders>
          </w:tcPr>
          <w:p w:rsidR="00276EE8" w:rsidRPr="00A05F01" w:rsidRDefault="00276EE8" w:rsidP="005D7B68">
            <w:pPr>
              <w:tabs>
                <w:tab w:val="left" w:pos="567"/>
                <w:tab w:val="left" w:pos="1134"/>
                <w:tab w:val="left" w:pos="1701"/>
                <w:tab w:val="left" w:pos="2268"/>
              </w:tabs>
              <w:spacing w:before="20" w:after="20"/>
              <w:ind w:right="252"/>
              <w:jc w:val="right"/>
            </w:pPr>
            <w:r w:rsidRPr="00A05F01">
              <w:t>0</w:t>
            </w:r>
          </w:p>
        </w:tc>
        <w:tc>
          <w:tcPr>
            <w:tcW w:w="1400" w:type="dxa"/>
            <w:tcBorders>
              <w:top w:val="single" w:sz="4" w:space="0" w:color="auto"/>
            </w:tcBorders>
          </w:tcPr>
          <w:p w:rsidR="00276EE8" w:rsidRPr="00A05F01" w:rsidRDefault="00276EE8" w:rsidP="005D7B68">
            <w:pPr>
              <w:tabs>
                <w:tab w:val="left" w:pos="567"/>
                <w:tab w:val="left" w:pos="1134"/>
                <w:tab w:val="left" w:pos="1701"/>
                <w:tab w:val="left" w:pos="2268"/>
              </w:tabs>
              <w:spacing w:before="20" w:after="20"/>
              <w:ind w:right="252"/>
              <w:jc w:val="right"/>
            </w:pPr>
            <w:r w:rsidRPr="00A05F01">
              <w:t>7</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1996</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0</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1997</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6</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8</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1998</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5</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1999</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1</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2000</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1</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5</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2001</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5</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5</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2002</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1</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2003</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1</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2004</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2</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5</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2005</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1</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3</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r>
      <w:tr w:rsidR="00276EE8" w:rsidRPr="00A05F01">
        <w:tc>
          <w:tcPr>
            <w:tcW w:w="1348" w:type="dxa"/>
          </w:tcPr>
          <w:p w:rsidR="00276EE8" w:rsidRPr="00A05F01" w:rsidRDefault="00276EE8" w:rsidP="005D7B68">
            <w:pPr>
              <w:tabs>
                <w:tab w:val="left" w:pos="567"/>
                <w:tab w:val="left" w:pos="1134"/>
                <w:tab w:val="left" w:pos="1701"/>
                <w:tab w:val="left" w:pos="2268"/>
                <w:tab w:val="left" w:pos="2835"/>
              </w:tabs>
              <w:spacing w:after="0"/>
            </w:pPr>
            <w:r w:rsidRPr="00A05F01">
              <w:t>2006</w:t>
            </w:r>
          </w:p>
        </w:tc>
        <w:tc>
          <w:tcPr>
            <w:tcW w:w="2264"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c>
          <w:tcPr>
            <w:tcW w:w="2701"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0</w:t>
            </w:r>
          </w:p>
        </w:tc>
        <w:tc>
          <w:tcPr>
            <w:tcW w:w="1400" w:type="dxa"/>
          </w:tcPr>
          <w:p w:rsidR="00276EE8" w:rsidRPr="00A05F01" w:rsidRDefault="00276EE8" w:rsidP="005D7B68">
            <w:pPr>
              <w:tabs>
                <w:tab w:val="left" w:pos="567"/>
                <w:tab w:val="left" w:pos="1134"/>
                <w:tab w:val="left" w:pos="1701"/>
                <w:tab w:val="left" w:pos="2268"/>
              </w:tabs>
              <w:spacing w:before="20" w:after="20"/>
              <w:ind w:right="252"/>
              <w:jc w:val="right"/>
            </w:pPr>
            <w:r w:rsidRPr="00A05F01">
              <w:t>4</w:t>
            </w:r>
          </w:p>
        </w:tc>
      </w:tr>
    </w:tbl>
    <w:p w:rsidR="009A7F42" w:rsidRDefault="007A4F56" w:rsidP="005D7B68">
      <w:pPr>
        <w:tabs>
          <w:tab w:val="left" w:pos="567"/>
          <w:tab w:val="left" w:pos="1134"/>
          <w:tab w:val="left" w:pos="1701"/>
          <w:tab w:val="left" w:pos="2268"/>
          <w:tab w:val="left" w:pos="2835"/>
        </w:tabs>
        <w:spacing w:before="120"/>
        <w:rPr>
          <w:lang w:val="fr-FR"/>
        </w:rPr>
      </w:pPr>
      <w:r>
        <w:rPr>
          <w:lang w:val="fr-FR"/>
        </w:rPr>
        <w:t>633.</w:t>
      </w:r>
      <w:r>
        <w:rPr>
          <w:lang w:val="fr-FR"/>
        </w:rPr>
        <w:tab/>
      </w:r>
      <w:r w:rsidR="00276EE8" w:rsidRPr="00A05F01">
        <w:rPr>
          <w:lang w:val="fr-FR"/>
        </w:rPr>
        <w:t xml:space="preserve">En 2006, 14 </w:t>
      </w:r>
      <w:r w:rsidR="004760E3" w:rsidRPr="00A05F01">
        <w:rPr>
          <w:lang w:val="fr-FR"/>
        </w:rPr>
        <w:t xml:space="preserve">informations judiciaires sur des </w:t>
      </w:r>
      <w:r w:rsidR="00276EE8" w:rsidRPr="00A05F01">
        <w:rPr>
          <w:lang w:val="fr-FR"/>
        </w:rPr>
        <w:t xml:space="preserve">‘décès en </w:t>
      </w:r>
      <w:r w:rsidR="00A05F01" w:rsidRPr="00A05F01">
        <w:rPr>
          <w:lang w:val="fr-FR"/>
        </w:rPr>
        <w:t>détention’</w:t>
      </w:r>
      <w:r w:rsidR="004760E3" w:rsidRPr="00A05F01">
        <w:rPr>
          <w:lang w:val="fr-FR"/>
        </w:rPr>
        <w:t>et 14 informations judiciaires sur des ‘décès survenus au cours d’opérations de police’ ont</w:t>
      </w:r>
      <w:r w:rsidR="004760E3">
        <w:rPr>
          <w:lang w:val="fr-FR"/>
        </w:rPr>
        <w:t xml:space="preserve"> été menées à terme</w:t>
      </w:r>
      <w:r w:rsidR="008D6B80">
        <w:rPr>
          <w:lang w:val="fr-FR"/>
        </w:rPr>
        <w:t xml:space="preserve">. </w:t>
      </w:r>
      <w:r w:rsidR="00924881">
        <w:rPr>
          <w:lang w:val="fr-FR"/>
        </w:rPr>
        <w:t>Les </w:t>
      </w:r>
      <w:r w:rsidR="004760E3">
        <w:rPr>
          <w:lang w:val="fr-FR"/>
        </w:rPr>
        <w:t>conclusions concernant l’identité du défunt, la date et le lieu du décès, ainsi que les circonstances et la cause de la mort ont été enregistrées.</w:t>
      </w:r>
    </w:p>
    <w:p w:rsidR="004760E3" w:rsidRDefault="004760E3" w:rsidP="00E0029F">
      <w:pPr>
        <w:numPr>
          <w:ilvl w:val="0"/>
          <w:numId w:val="4"/>
        </w:numPr>
        <w:tabs>
          <w:tab w:val="clear" w:pos="1065"/>
          <w:tab w:val="left" w:pos="567"/>
          <w:tab w:val="left" w:pos="1134"/>
          <w:tab w:val="left" w:pos="1701"/>
          <w:tab w:val="left" w:pos="2268"/>
          <w:tab w:val="left" w:pos="2835"/>
        </w:tabs>
        <w:ind w:left="0" w:firstLine="0"/>
        <w:rPr>
          <w:lang w:val="fr-FR"/>
        </w:rPr>
      </w:pPr>
      <w:r>
        <w:rPr>
          <w:lang w:val="fr-FR"/>
        </w:rPr>
        <w:t>Renseignements concernant les 28 décès au sujet desquels une information judiciaire a eu lieu sur les causes de la mort</w:t>
      </w:r>
      <w:r w:rsidR="00572260">
        <w:rPr>
          <w:lang w:val="fr-FR"/>
        </w:rPr>
        <w:t>:</w:t>
      </w:r>
    </w:p>
    <w:p w:rsidR="004760E3" w:rsidRDefault="004760E3" w:rsidP="00E0029F">
      <w:pPr>
        <w:numPr>
          <w:ilvl w:val="0"/>
          <w:numId w:val="4"/>
        </w:numPr>
        <w:tabs>
          <w:tab w:val="clear" w:pos="1065"/>
          <w:tab w:val="left" w:pos="567"/>
          <w:tab w:val="left" w:pos="1134"/>
          <w:tab w:val="left" w:pos="1701"/>
          <w:tab w:val="left" w:pos="2268"/>
          <w:tab w:val="left" w:pos="2835"/>
        </w:tabs>
        <w:ind w:left="0" w:firstLine="0"/>
        <w:rPr>
          <w:lang w:val="fr-FR"/>
        </w:rPr>
      </w:pPr>
      <w:r>
        <w:rPr>
          <w:lang w:val="fr-FR"/>
        </w:rPr>
        <w:t xml:space="preserve">Personnes décédées </w:t>
      </w:r>
      <w:r w:rsidRPr="000318C0">
        <w:rPr>
          <w:lang w:val="fr-FR"/>
        </w:rPr>
        <w:t xml:space="preserve">en </w:t>
      </w:r>
      <w:r w:rsidR="000318C0" w:rsidRPr="000318C0">
        <w:rPr>
          <w:lang w:val="fr-FR"/>
        </w:rPr>
        <w:t>détention</w:t>
      </w:r>
      <w:r w:rsidR="00572260">
        <w:rPr>
          <w:lang w:val="fr-FR"/>
        </w:rPr>
        <w:t>:</w:t>
      </w:r>
    </w:p>
    <w:p w:rsidR="004760E3" w:rsidRDefault="00924881" w:rsidP="005D7B68">
      <w:pPr>
        <w:tabs>
          <w:tab w:val="left" w:pos="567"/>
          <w:tab w:val="left" w:pos="1134"/>
          <w:tab w:val="left" w:pos="1701"/>
          <w:tab w:val="left" w:pos="2268"/>
          <w:tab w:val="left" w:pos="2835"/>
        </w:tabs>
        <w:rPr>
          <w:lang w:val="fr-FR"/>
        </w:rPr>
      </w:pPr>
      <w:r>
        <w:rPr>
          <w:lang w:val="fr-FR"/>
        </w:rPr>
        <w:tab/>
        <w:t>a)</w:t>
      </w:r>
      <w:r>
        <w:rPr>
          <w:lang w:val="fr-FR"/>
        </w:rPr>
        <w:tab/>
        <w:t>Huit</w:t>
      </w:r>
      <w:r w:rsidR="004760E3">
        <w:rPr>
          <w:lang w:val="fr-FR"/>
        </w:rPr>
        <w:t xml:space="preserve"> se sont suicidées par pendaison</w:t>
      </w:r>
      <w:r>
        <w:rPr>
          <w:lang w:val="fr-FR"/>
        </w:rPr>
        <w:t>;</w:t>
      </w:r>
    </w:p>
    <w:p w:rsidR="004760E3" w:rsidRDefault="00924881" w:rsidP="005D7B68">
      <w:pPr>
        <w:tabs>
          <w:tab w:val="left" w:pos="567"/>
          <w:tab w:val="left" w:pos="1134"/>
          <w:tab w:val="left" w:pos="1701"/>
          <w:tab w:val="left" w:pos="2268"/>
          <w:tab w:val="left" w:pos="2835"/>
        </w:tabs>
        <w:rPr>
          <w:lang w:val="fr-FR"/>
        </w:rPr>
      </w:pPr>
      <w:r>
        <w:rPr>
          <w:lang w:val="fr-FR"/>
        </w:rPr>
        <w:tab/>
        <w:t>b)</w:t>
      </w:r>
      <w:r>
        <w:rPr>
          <w:lang w:val="fr-FR"/>
        </w:rPr>
        <w:tab/>
        <w:t>Trois</w:t>
      </w:r>
      <w:r w:rsidR="004760E3">
        <w:rPr>
          <w:lang w:val="fr-FR"/>
        </w:rPr>
        <w:t xml:space="preserve"> sont mortes de causes naturelles</w:t>
      </w:r>
      <w:r>
        <w:rPr>
          <w:lang w:val="fr-FR"/>
        </w:rPr>
        <w:t>;</w:t>
      </w:r>
    </w:p>
    <w:p w:rsidR="004760E3" w:rsidRDefault="00924881" w:rsidP="005D7B68">
      <w:pPr>
        <w:tabs>
          <w:tab w:val="left" w:pos="567"/>
          <w:tab w:val="left" w:pos="1134"/>
          <w:tab w:val="left" w:pos="1701"/>
          <w:tab w:val="left" w:pos="2268"/>
          <w:tab w:val="left" w:pos="2835"/>
        </w:tabs>
        <w:rPr>
          <w:lang w:val="fr-FR"/>
        </w:rPr>
      </w:pPr>
      <w:r>
        <w:rPr>
          <w:lang w:val="fr-FR"/>
        </w:rPr>
        <w:tab/>
        <w:t>c)</w:t>
      </w:r>
      <w:r>
        <w:rPr>
          <w:lang w:val="fr-FR"/>
        </w:rPr>
        <w:tab/>
        <w:t>Une</w:t>
      </w:r>
      <w:r w:rsidR="004760E3">
        <w:rPr>
          <w:lang w:val="fr-FR"/>
        </w:rPr>
        <w:t xml:space="preserve"> a été poignardée</w:t>
      </w:r>
      <w:r>
        <w:rPr>
          <w:lang w:val="fr-FR"/>
        </w:rPr>
        <w:t>;</w:t>
      </w:r>
    </w:p>
    <w:p w:rsidR="00FC6893" w:rsidRDefault="00924881" w:rsidP="005D7B68">
      <w:pPr>
        <w:tabs>
          <w:tab w:val="left" w:pos="567"/>
          <w:tab w:val="left" w:pos="1134"/>
          <w:tab w:val="left" w:pos="1701"/>
          <w:tab w:val="left" w:pos="2268"/>
          <w:tab w:val="left" w:pos="2835"/>
        </w:tabs>
        <w:rPr>
          <w:lang w:val="fr-FR"/>
        </w:rPr>
      </w:pPr>
      <w:r>
        <w:rPr>
          <w:lang w:val="fr-FR"/>
        </w:rPr>
        <w:tab/>
        <w:t>d)</w:t>
      </w:r>
      <w:r>
        <w:rPr>
          <w:lang w:val="fr-FR"/>
        </w:rPr>
        <w:tab/>
        <w:t>Une</w:t>
      </w:r>
      <w:r w:rsidR="00FC6893">
        <w:rPr>
          <w:lang w:val="fr-FR"/>
        </w:rPr>
        <w:t xml:space="preserve"> est morte étouffée</w:t>
      </w:r>
      <w:r>
        <w:rPr>
          <w:lang w:val="fr-FR"/>
        </w:rPr>
        <w:t>;</w:t>
      </w:r>
    </w:p>
    <w:p w:rsidR="00FC6893" w:rsidRDefault="00924881" w:rsidP="005D7B68">
      <w:pPr>
        <w:tabs>
          <w:tab w:val="left" w:pos="567"/>
          <w:tab w:val="left" w:pos="1134"/>
          <w:tab w:val="left" w:pos="1701"/>
          <w:tab w:val="left" w:pos="2268"/>
          <w:tab w:val="left" w:pos="2835"/>
        </w:tabs>
        <w:rPr>
          <w:lang w:val="fr-FR"/>
        </w:rPr>
      </w:pPr>
      <w:r>
        <w:rPr>
          <w:lang w:val="fr-FR"/>
        </w:rPr>
        <w:tab/>
        <w:t>e)</w:t>
      </w:r>
      <w:r>
        <w:rPr>
          <w:lang w:val="fr-FR"/>
        </w:rPr>
        <w:tab/>
        <w:t>Une</w:t>
      </w:r>
      <w:r w:rsidR="00FC6893">
        <w:rPr>
          <w:lang w:val="fr-FR"/>
        </w:rPr>
        <w:t xml:space="preserve"> à la suite d’une chute</w:t>
      </w:r>
      <w:r>
        <w:rPr>
          <w:lang w:val="fr-FR"/>
        </w:rPr>
        <w:t>.</w:t>
      </w:r>
    </w:p>
    <w:p w:rsidR="00FC6893" w:rsidRDefault="007A4F56" w:rsidP="005D7B68">
      <w:pPr>
        <w:tabs>
          <w:tab w:val="left" w:pos="567"/>
          <w:tab w:val="left" w:pos="1134"/>
          <w:tab w:val="left" w:pos="1701"/>
          <w:tab w:val="left" w:pos="2268"/>
          <w:tab w:val="left" w:pos="2835"/>
        </w:tabs>
        <w:rPr>
          <w:lang w:val="fr-FR"/>
        </w:rPr>
      </w:pPr>
      <w:r>
        <w:rPr>
          <w:lang w:val="fr-FR"/>
        </w:rPr>
        <w:t>636</w:t>
      </w:r>
      <w:r w:rsidR="00FC6893">
        <w:rPr>
          <w:lang w:val="fr-FR"/>
        </w:rPr>
        <w:t>.</w:t>
      </w:r>
      <w:r w:rsidR="00FC6893">
        <w:rPr>
          <w:lang w:val="fr-FR"/>
        </w:rPr>
        <w:tab/>
        <w:t>Personnes décédées à la suite ou au cours d’opérations de police</w:t>
      </w:r>
      <w:r w:rsidR="00572260">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a)</w:t>
      </w:r>
      <w:r>
        <w:rPr>
          <w:lang w:val="fr-FR"/>
        </w:rPr>
        <w:tab/>
      </w:r>
      <w:r w:rsidR="00924881">
        <w:rPr>
          <w:lang w:val="fr-FR"/>
        </w:rPr>
        <w:t>Une</w:t>
      </w:r>
      <w:r>
        <w:rPr>
          <w:lang w:val="fr-FR"/>
        </w:rPr>
        <w:t xml:space="preserve"> de causes naturelles</w:t>
      </w:r>
      <w:r w:rsidR="00924881">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b)</w:t>
      </w:r>
      <w:r>
        <w:rPr>
          <w:lang w:val="fr-FR"/>
        </w:rPr>
        <w:tab/>
      </w:r>
      <w:r w:rsidR="00924881">
        <w:rPr>
          <w:lang w:val="fr-FR"/>
        </w:rPr>
        <w:t>Quatre</w:t>
      </w:r>
      <w:r>
        <w:rPr>
          <w:lang w:val="fr-FR"/>
        </w:rPr>
        <w:t xml:space="preserve"> à la suite d’un accident de véhicule à moteur</w:t>
      </w:r>
      <w:r w:rsidR="00924881">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c)</w:t>
      </w:r>
      <w:r>
        <w:rPr>
          <w:lang w:val="fr-FR"/>
        </w:rPr>
        <w:tab/>
      </w:r>
      <w:r w:rsidR="00924881">
        <w:rPr>
          <w:lang w:val="fr-FR"/>
        </w:rPr>
        <w:t xml:space="preserve">Quatre </w:t>
      </w:r>
      <w:r>
        <w:rPr>
          <w:lang w:val="fr-FR"/>
        </w:rPr>
        <w:t>à la suite de blessures provoquées par balles</w:t>
      </w:r>
      <w:r w:rsidR="00924881">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d)</w:t>
      </w:r>
      <w:r>
        <w:rPr>
          <w:lang w:val="fr-FR"/>
        </w:rPr>
        <w:tab/>
      </w:r>
      <w:r w:rsidR="00924881">
        <w:rPr>
          <w:lang w:val="fr-FR"/>
        </w:rPr>
        <w:t>Une</w:t>
      </w:r>
      <w:r>
        <w:rPr>
          <w:lang w:val="fr-FR"/>
        </w:rPr>
        <w:t xml:space="preserve"> d’une surdose d’une ou plusieurs drogues</w:t>
      </w:r>
      <w:r w:rsidR="00924881">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e)</w:t>
      </w:r>
      <w:r>
        <w:rPr>
          <w:lang w:val="fr-FR"/>
        </w:rPr>
        <w:tab/>
      </w:r>
      <w:r w:rsidR="00924881">
        <w:rPr>
          <w:lang w:val="fr-FR"/>
        </w:rPr>
        <w:t>Deux</w:t>
      </w:r>
      <w:r>
        <w:rPr>
          <w:lang w:val="fr-FR"/>
        </w:rPr>
        <w:t xml:space="preserve"> par noyade</w:t>
      </w:r>
      <w:r w:rsidR="00924881">
        <w:rPr>
          <w:lang w:val="fr-FR"/>
        </w:rPr>
        <w:t>;</w:t>
      </w:r>
    </w:p>
    <w:p w:rsidR="00FC6893" w:rsidRDefault="00FC6893" w:rsidP="005D7B68">
      <w:pPr>
        <w:tabs>
          <w:tab w:val="left" w:pos="567"/>
          <w:tab w:val="left" w:pos="1134"/>
          <w:tab w:val="left" w:pos="1701"/>
          <w:tab w:val="left" w:pos="2268"/>
          <w:tab w:val="left" w:pos="2835"/>
        </w:tabs>
        <w:rPr>
          <w:lang w:val="fr-FR"/>
        </w:rPr>
      </w:pPr>
      <w:r>
        <w:rPr>
          <w:lang w:val="fr-FR"/>
        </w:rPr>
        <w:tab/>
        <w:t>f)</w:t>
      </w:r>
      <w:r>
        <w:rPr>
          <w:lang w:val="fr-FR"/>
        </w:rPr>
        <w:tab/>
      </w:r>
      <w:r w:rsidR="00924881">
        <w:rPr>
          <w:lang w:val="fr-FR"/>
        </w:rPr>
        <w:t xml:space="preserve">Deux </w:t>
      </w:r>
      <w:r>
        <w:rPr>
          <w:lang w:val="fr-FR"/>
        </w:rPr>
        <w:t>de blessures à la suite d’un saut ou d’une chute</w:t>
      </w:r>
      <w:r w:rsidR="003D24A9">
        <w:rPr>
          <w:lang w:val="fr-FR"/>
        </w:rPr>
        <w:t>.</w:t>
      </w:r>
    </w:p>
    <w:p w:rsidR="004760E3" w:rsidRPr="00282092" w:rsidRDefault="007A4F56" w:rsidP="005D7B68">
      <w:pPr>
        <w:tabs>
          <w:tab w:val="left" w:pos="567"/>
          <w:tab w:val="left" w:pos="1134"/>
          <w:tab w:val="left" w:pos="1701"/>
          <w:tab w:val="left" w:pos="2268"/>
          <w:tab w:val="left" w:pos="2835"/>
        </w:tabs>
        <w:rPr>
          <w:lang w:val="fr-FR"/>
        </w:rPr>
      </w:pPr>
      <w:r>
        <w:rPr>
          <w:lang w:val="fr-FR"/>
        </w:rPr>
        <w:t>637</w:t>
      </w:r>
      <w:r w:rsidR="00FC6893">
        <w:rPr>
          <w:lang w:val="fr-FR"/>
        </w:rPr>
        <w:t>.</w:t>
      </w:r>
      <w:r w:rsidR="00FC6893">
        <w:rPr>
          <w:lang w:val="fr-FR"/>
        </w:rPr>
        <w:tab/>
        <w:t>En ce qui concerne les mesures destinées à réduire autant que possible le nombre de décès de causes non naturelles en</w:t>
      </w:r>
      <w:r w:rsidR="00924881">
        <w:rPr>
          <w:lang w:val="fr-FR"/>
        </w:rPr>
        <w:t xml:space="preserve"> garde à vue</w:t>
      </w:r>
      <w:r w:rsidR="00FC6893">
        <w:rPr>
          <w:lang w:val="fr-FR"/>
        </w:rPr>
        <w:t xml:space="preserve">, toutes les recommandations du </w:t>
      </w:r>
      <w:r w:rsidR="00FC6893">
        <w:rPr>
          <w:i/>
          <w:iCs/>
          <w:lang w:val="fr-FR"/>
        </w:rPr>
        <w:t>Coroner</w:t>
      </w:r>
      <w:r w:rsidR="00FC6893">
        <w:rPr>
          <w:lang w:val="fr-FR"/>
        </w:rPr>
        <w:t xml:space="preserve"> sont étudiées par le Département des serv</w:t>
      </w:r>
      <w:r w:rsidR="00924881">
        <w:rPr>
          <w:lang w:val="fr-FR"/>
        </w:rPr>
        <w:t>ices pénitentiaires de Nouvelle</w:t>
      </w:r>
      <w:r w:rsidR="00924881">
        <w:rPr>
          <w:lang w:val="fr-FR"/>
        </w:rPr>
        <w:noBreakHyphen/>
      </w:r>
      <w:r w:rsidR="00FC6893">
        <w:rPr>
          <w:lang w:val="fr-FR"/>
        </w:rPr>
        <w:t>Galles du Sud et sont appliquées</w:t>
      </w:r>
      <w:r w:rsidR="00E45E53">
        <w:rPr>
          <w:lang w:val="fr-FR"/>
        </w:rPr>
        <w:t xml:space="preserve"> si elles sont jugées appropriées et si les fonds disponibles le permettent.</w:t>
      </w:r>
      <w:r w:rsidR="00FC6893">
        <w:rPr>
          <w:lang w:val="fr-FR"/>
        </w:rPr>
        <w:t xml:space="preserve"> </w:t>
      </w:r>
    </w:p>
    <w:p w:rsidR="009A7F42" w:rsidRPr="00282092" w:rsidRDefault="009A7F42" w:rsidP="005D7B68">
      <w:pPr>
        <w:tabs>
          <w:tab w:val="left" w:pos="567"/>
          <w:tab w:val="left" w:pos="1134"/>
          <w:tab w:val="left" w:pos="1701"/>
          <w:tab w:val="left" w:pos="2268"/>
          <w:tab w:val="left" w:pos="2835"/>
        </w:tabs>
        <w:jc w:val="center"/>
        <w:rPr>
          <w:lang w:val="fr-FR"/>
        </w:rPr>
      </w:pPr>
    </w:p>
    <w:p w:rsidR="00CC7C57" w:rsidRDefault="00CC7C57" w:rsidP="005D7B68">
      <w:pPr>
        <w:tabs>
          <w:tab w:val="left" w:pos="567"/>
          <w:tab w:val="left" w:pos="1134"/>
          <w:tab w:val="left" w:pos="1701"/>
          <w:tab w:val="left" w:pos="2268"/>
          <w:tab w:val="left" w:pos="2835"/>
        </w:tabs>
        <w:jc w:val="center"/>
        <w:rPr>
          <w:lang w:val="fr-FR"/>
        </w:rPr>
        <w:sectPr w:rsidR="00CC7C57" w:rsidSect="00DF6E2D">
          <w:headerReference w:type="even" r:id="rId33"/>
          <w:headerReference w:type="default" r:id="rId34"/>
          <w:headerReference w:type="first" r:id="rId35"/>
          <w:pgSz w:w="11906" w:h="16838" w:code="9"/>
          <w:pgMar w:top="1701" w:right="851" w:bottom="1985" w:left="1701" w:header="851" w:footer="1701" w:gutter="0"/>
          <w:cols w:space="708"/>
          <w:titlePg/>
          <w:docGrid w:linePitch="360"/>
        </w:sectPr>
      </w:pPr>
    </w:p>
    <w:p w:rsidR="00CC7C57" w:rsidRPr="00A13AAF" w:rsidRDefault="00A13AAF" w:rsidP="005D7B68">
      <w:pPr>
        <w:pStyle w:val="Heading2"/>
        <w:tabs>
          <w:tab w:val="left" w:pos="567"/>
          <w:tab w:val="left" w:pos="1134"/>
          <w:tab w:val="left" w:pos="1701"/>
          <w:tab w:val="left" w:pos="2268"/>
          <w:tab w:val="left" w:pos="2835"/>
        </w:tabs>
        <w:rPr>
          <w:lang w:val="fr-FR"/>
        </w:rPr>
      </w:pPr>
      <w:bookmarkStart w:id="33" w:name="_Toc193614103"/>
      <w:r w:rsidRPr="00A13AAF">
        <w:rPr>
          <w:lang w:val="fr-FR"/>
        </w:rPr>
        <w:t>Statistiques d</w:t>
      </w:r>
      <w:r>
        <w:rPr>
          <w:lang w:val="fr-FR"/>
        </w:rPr>
        <w:t>u service de police du Queensland</w:t>
      </w:r>
      <w:bookmarkEnd w:id="33"/>
    </w:p>
    <w:p w:rsidR="00CC7C57" w:rsidRPr="00A13AAF" w:rsidRDefault="00A13AAF" w:rsidP="005D7B68">
      <w:pPr>
        <w:pStyle w:val="Heading2"/>
        <w:tabs>
          <w:tab w:val="left" w:pos="567"/>
          <w:tab w:val="left" w:pos="1134"/>
          <w:tab w:val="left" w:pos="1701"/>
          <w:tab w:val="left" w:pos="2268"/>
          <w:tab w:val="left" w:pos="2835"/>
        </w:tabs>
        <w:rPr>
          <w:lang w:val="fr-FR"/>
        </w:rPr>
      </w:pPr>
      <w:bookmarkStart w:id="34" w:name="_Toc193614104"/>
      <w:r w:rsidRPr="00A13AAF">
        <w:rPr>
          <w:lang w:val="fr-FR"/>
        </w:rPr>
        <w:t>Décès en garde à vue</w:t>
      </w:r>
      <w:r w:rsidR="00CC7C57" w:rsidRPr="00A13AAF">
        <w:rPr>
          <w:lang w:val="fr-FR"/>
        </w:rPr>
        <w:t xml:space="preserve"> </w:t>
      </w:r>
      <w:r w:rsidRPr="00A13AAF">
        <w:rPr>
          <w:lang w:val="fr-FR"/>
        </w:rPr>
        <w:t>– de juin 1997 à octobre</w:t>
      </w:r>
      <w:r w:rsidR="00CC7C57" w:rsidRPr="00A13AAF">
        <w:rPr>
          <w:lang w:val="fr-FR"/>
        </w:rPr>
        <w:t xml:space="preserve"> 2004</w:t>
      </w:r>
      <w:bookmarkEnd w:id="34"/>
    </w:p>
    <w:p w:rsidR="00CC7C57" w:rsidRPr="00A13AAF" w:rsidRDefault="00A13AAF" w:rsidP="005D7B68">
      <w:pPr>
        <w:pStyle w:val="Heading2"/>
        <w:tabs>
          <w:tab w:val="left" w:pos="567"/>
          <w:tab w:val="left" w:pos="1134"/>
          <w:tab w:val="left" w:pos="1701"/>
          <w:tab w:val="left" w:pos="2268"/>
          <w:tab w:val="left" w:pos="2835"/>
        </w:tabs>
        <w:rPr>
          <w:lang w:val="fr-FR"/>
        </w:rPr>
      </w:pPr>
      <w:bookmarkStart w:id="35" w:name="_Toc193614105"/>
      <w:r w:rsidRPr="00A13AAF">
        <w:rPr>
          <w:lang w:val="fr-FR"/>
        </w:rPr>
        <w:t>Note: tous les décès en garde à vue ont été signal</w:t>
      </w:r>
      <w:r>
        <w:rPr>
          <w:lang w:val="fr-FR"/>
        </w:rPr>
        <w:t>é</w:t>
      </w:r>
      <w:r w:rsidRPr="00A13AAF">
        <w:rPr>
          <w:lang w:val="fr-FR"/>
        </w:rPr>
        <w:t>s à l’</w:t>
      </w:r>
      <w:r>
        <w:rPr>
          <w:lang w:val="fr-FR"/>
        </w:rPr>
        <w:t>Institut austral</w:t>
      </w:r>
      <w:r w:rsidRPr="00A13AAF">
        <w:rPr>
          <w:lang w:val="fr-FR"/>
        </w:rPr>
        <w:t>ien de criminologie</w:t>
      </w:r>
      <w:r>
        <w:rPr>
          <w:lang w:val="fr-FR"/>
        </w:rPr>
        <w:t>, qui a exercé un contrôle</w:t>
      </w:r>
      <w:bookmarkEnd w:id="35"/>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032"/>
        <w:gridCol w:w="768"/>
        <w:gridCol w:w="1200"/>
        <w:gridCol w:w="4560"/>
        <w:gridCol w:w="1740"/>
        <w:gridCol w:w="1432"/>
      </w:tblGrid>
      <w:tr w:rsidR="00CC7C57" w:rsidRPr="00F12E99">
        <w:trPr>
          <w:tblHeader/>
        </w:trPr>
        <w:tc>
          <w:tcPr>
            <w:tcW w:w="2732" w:type="dxa"/>
            <w:tcBorders>
              <w:bottom w:val="single" w:sz="4" w:space="0" w:color="auto"/>
            </w:tcBorders>
            <w:vAlign w:val="center"/>
          </w:tcPr>
          <w:p w:rsidR="00CC7C57" w:rsidRPr="00F12E99" w:rsidRDefault="00A13AAF" w:rsidP="005D7B68">
            <w:pPr>
              <w:tabs>
                <w:tab w:val="left" w:pos="567"/>
                <w:tab w:val="left" w:pos="1134"/>
                <w:tab w:val="left" w:pos="1701"/>
                <w:tab w:val="left" w:pos="2268"/>
                <w:tab w:val="left" w:pos="2835"/>
              </w:tabs>
              <w:spacing w:before="20" w:after="20"/>
              <w:jc w:val="center"/>
              <w:rPr>
                <w:sz w:val="20"/>
              </w:rPr>
            </w:pPr>
            <w:r>
              <w:rPr>
                <w:sz w:val="20"/>
              </w:rPr>
              <w:t>Lieu du décès</w:t>
            </w:r>
          </w:p>
        </w:tc>
        <w:tc>
          <w:tcPr>
            <w:tcW w:w="1032" w:type="dxa"/>
            <w:tcBorders>
              <w:bottom w:val="single" w:sz="4" w:space="0" w:color="auto"/>
            </w:tcBorders>
            <w:vAlign w:val="center"/>
          </w:tcPr>
          <w:p w:rsidR="00CC7C57" w:rsidRPr="00F12E99" w:rsidRDefault="00A13AAF" w:rsidP="005D7B68">
            <w:pPr>
              <w:tabs>
                <w:tab w:val="left" w:pos="567"/>
                <w:tab w:val="left" w:pos="1134"/>
                <w:tab w:val="left" w:pos="1701"/>
                <w:tab w:val="left" w:pos="2268"/>
                <w:tab w:val="left" w:pos="2835"/>
              </w:tabs>
              <w:spacing w:before="20" w:after="20"/>
              <w:jc w:val="center"/>
              <w:rPr>
                <w:sz w:val="20"/>
              </w:rPr>
            </w:pPr>
            <w:r>
              <w:rPr>
                <w:sz w:val="20"/>
              </w:rPr>
              <w:t>Année</w:t>
            </w:r>
          </w:p>
        </w:tc>
        <w:tc>
          <w:tcPr>
            <w:tcW w:w="768" w:type="dxa"/>
            <w:tcBorders>
              <w:bottom w:val="single" w:sz="4" w:space="0" w:color="auto"/>
            </w:tcBorders>
            <w:vAlign w:val="center"/>
          </w:tcPr>
          <w:p w:rsidR="00CC7C57" w:rsidRPr="00F12E99" w:rsidRDefault="00A13AAF" w:rsidP="005D7B68">
            <w:pPr>
              <w:tabs>
                <w:tab w:val="left" w:pos="567"/>
                <w:tab w:val="left" w:pos="1134"/>
                <w:tab w:val="left" w:pos="1701"/>
                <w:tab w:val="left" w:pos="2268"/>
                <w:tab w:val="left" w:pos="2835"/>
              </w:tabs>
              <w:spacing w:before="20" w:after="20"/>
              <w:jc w:val="center"/>
              <w:rPr>
                <w:sz w:val="20"/>
              </w:rPr>
            </w:pPr>
            <w:r>
              <w:rPr>
                <w:sz w:val="20"/>
              </w:rPr>
              <w:t>H</w:t>
            </w:r>
            <w:r w:rsidR="00CC7C57" w:rsidRPr="00F12E99">
              <w:rPr>
                <w:sz w:val="20"/>
              </w:rPr>
              <w:t>/F</w:t>
            </w:r>
          </w:p>
        </w:tc>
        <w:tc>
          <w:tcPr>
            <w:tcW w:w="1200" w:type="dxa"/>
            <w:tcBorders>
              <w:bottom w:val="single" w:sz="4" w:space="0" w:color="auto"/>
            </w:tcBorders>
            <w:vAlign w:val="center"/>
          </w:tcPr>
          <w:p w:rsidR="00CC7C57" w:rsidRPr="00F12E99" w:rsidRDefault="00A13AAF" w:rsidP="005D7B68">
            <w:pPr>
              <w:tabs>
                <w:tab w:val="left" w:pos="567"/>
                <w:tab w:val="left" w:pos="1134"/>
                <w:tab w:val="left" w:pos="1701"/>
                <w:tab w:val="left" w:pos="2268"/>
                <w:tab w:val="left" w:pos="2835"/>
              </w:tabs>
              <w:spacing w:before="20" w:after="20"/>
              <w:jc w:val="center"/>
              <w:rPr>
                <w:sz w:val="20"/>
              </w:rPr>
            </w:pPr>
            <w:r>
              <w:rPr>
                <w:sz w:val="20"/>
              </w:rPr>
              <w:t>Â</w:t>
            </w:r>
            <w:r w:rsidR="00CC7C57" w:rsidRPr="00F12E99">
              <w:rPr>
                <w:sz w:val="20"/>
              </w:rPr>
              <w:t>ge</w:t>
            </w:r>
          </w:p>
        </w:tc>
        <w:tc>
          <w:tcPr>
            <w:tcW w:w="4560" w:type="dxa"/>
            <w:tcBorders>
              <w:bottom w:val="single" w:sz="4" w:space="0" w:color="auto"/>
            </w:tcBorders>
            <w:vAlign w:val="center"/>
          </w:tcPr>
          <w:p w:rsidR="00CC7C57" w:rsidRPr="00F12E99" w:rsidRDefault="00A13AAF" w:rsidP="005D7B68">
            <w:pPr>
              <w:tabs>
                <w:tab w:val="left" w:pos="567"/>
                <w:tab w:val="left" w:pos="1134"/>
                <w:tab w:val="left" w:pos="1701"/>
                <w:tab w:val="left" w:pos="2268"/>
                <w:tab w:val="left" w:pos="2835"/>
              </w:tabs>
              <w:spacing w:before="20" w:after="20"/>
              <w:jc w:val="center"/>
              <w:rPr>
                <w:sz w:val="20"/>
              </w:rPr>
            </w:pPr>
            <w:r>
              <w:rPr>
                <w:sz w:val="20"/>
              </w:rPr>
              <w:t>Cause de la mort</w:t>
            </w:r>
          </w:p>
        </w:tc>
        <w:tc>
          <w:tcPr>
            <w:tcW w:w="1740" w:type="dxa"/>
            <w:tcBorders>
              <w:bottom w:val="single" w:sz="4" w:space="0" w:color="auto"/>
            </w:tcBorders>
            <w:vAlign w:val="center"/>
          </w:tcPr>
          <w:p w:rsidR="00CC7C57" w:rsidRPr="00F12E99" w:rsidRDefault="002060B5" w:rsidP="005D7B68">
            <w:pPr>
              <w:tabs>
                <w:tab w:val="left" w:pos="567"/>
                <w:tab w:val="left" w:pos="1134"/>
                <w:tab w:val="left" w:pos="1701"/>
                <w:tab w:val="left" w:pos="2268"/>
                <w:tab w:val="left" w:pos="2835"/>
              </w:tabs>
              <w:spacing w:before="20" w:after="20"/>
              <w:jc w:val="center"/>
              <w:rPr>
                <w:sz w:val="20"/>
              </w:rPr>
            </w:pPr>
            <w:r>
              <w:rPr>
                <w:sz w:val="20"/>
              </w:rPr>
              <w:t>Appartenance ethnique</w:t>
            </w:r>
          </w:p>
        </w:tc>
        <w:tc>
          <w:tcPr>
            <w:tcW w:w="1432" w:type="dxa"/>
            <w:tcBorders>
              <w:bottom w:val="single" w:sz="4" w:space="0" w:color="auto"/>
            </w:tcBorders>
            <w:vAlign w:val="center"/>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Formulaire</w:t>
            </w:r>
            <w:r w:rsidR="00A64086">
              <w:rPr>
                <w:sz w:val="20"/>
              </w:rPr>
              <w:t xml:space="preserve"> ACI</w:t>
            </w:r>
            <w:r w:rsidRPr="006B3CF5">
              <w:rPr>
                <w:color w:val="FF0000"/>
                <w:sz w:val="20"/>
              </w:rPr>
              <w:t xml:space="preserve"> </w:t>
            </w:r>
            <w:r>
              <w:rPr>
                <w:sz w:val="20"/>
              </w:rPr>
              <w:t>reçu</w:t>
            </w:r>
          </w:p>
        </w:tc>
      </w:tr>
      <w:tr w:rsidR="00CC7C57" w:rsidRPr="00F12E99">
        <w:tc>
          <w:tcPr>
            <w:tcW w:w="2732" w:type="dxa"/>
            <w:tcBorders>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Ingham Watch</w:t>
            </w:r>
            <w:r>
              <w:rPr>
                <w:sz w:val="20"/>
              </w:rPr>
              <w:t xml:space="preserve"> </w:t>
            </w:r>
            <w:r w:rsidRPr="00F12E99">
              <w:rPr>
                <w:sz w:val="20"/>
              </w:rPr>
              <w:t>house</w:t>
            </w:r>
          </w:p>
        </w:tc>
        <w:tc>
          <w:tcPr>
            <w:tcW w:w="1032" w:type="dxa"/>
            <w:tcBorders>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1997</w:t>
            </w:r>
          </w:p>
        </w:tc>
        <w:tc>
          <w:tcPr>
            <w:tcW w:w="768" w:type="dxa"/>
            <w:tcBorders>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F</w:t>
            </w:r>
          </w:p>
        </w:tc>
        <w:tc>
          <w:tcPr>
            <w:tcW w:w="1200" w:type="dxa"/>
            <w:tcBorders>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29</w:t>
            </w:r>
          </w:p>
        </w:tc>
        <w:tc>
          <w:tcPr>
            <w:tcW w:w="4560" w:type="dxa"/>
            <w:tcBorders>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Asthme</w:t>
            </w:r>
          </w:p>
        </w:tc>
        <w:tc>
          <w:tcPr>
            <w:tcW w:w="1740" w:type="dxa"/>
            <w:tcBorders>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PlaceName">
                <w:r w:rsidRPr="00F12E99">
                  <w:rPr>
                    <w:sz w:val="20"/>
                  </w:rPr>
                  <w:t>Townsville</w:t>
                </w:r>
              </w:smartTag>
              <w:r w:rsidRPr="00F12E99">
                <w:rPr>
                  <w:sz w:val="20"/>
                </w:rPr>
                <w:t xml:space="preserve"> </w:t>
              </w:r>
              <w:smartTag w:uri="urn:schemas-microsoft-com:office:smarttags" w:element="PlaceName">
                <w:r w:rsidRPr="00F12E99">
                  <w:rPr>
                    <w:sz w:val="20"/>
                  </w:rPr>
                  <w:t>General</w:t>
                </w:r>
              </w:smartTag>
              <w:r w:rsidRPr="00F12E99">
                <w:rPr>
                  <w:sz w:val="20"/>
                </w:rPr>
                <w:t xml:space="preserve"> </w:t>
              </w:r>
              <w:smartTag w:uri="urn:schemas-microsoft-com:office:smarttags" w:element="PlaceType">
                <w:r w:rsidRPr="00F12E99">
                  <w:rPr>
                    <w:sz w:val="20"/>
                  </w:rPr>
                  <w:t>Hospital</w:t>
                </w:r>
              </w:smartTag>
            </w:smartTag>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1998</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22</w:t>
            </w:r>
          </w:p>
        </w:tc>
        <w:tc>
          <w:tcPr>
            <w:tcW w:w="456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Brûlures auto-infligées</w:t>
            </w:r>
          </w:p>
        </w:tc>
        <w:tc>
          <w:tcPr>
            <w:tcW w:w="174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Aborigène</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Cairns Watch</w:t>
            </w:r>
            <w:r>
              <w:rPr>
                <w:sz w:val="20"/>
              </w:rPr>
              <w:t xml:space="preserve"> h</w:t>
            </w:r>
            <w:r w:rsidRPr="00F12E99">
              <w:rPr>
                <w:sz w:val="20"/>
              </w:rPr>
              <w:t>ouse</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1998</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28</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B</w:t>
            </w:r>
            <w:r w:rsidR="00CC7C57" w:rsidRPr="006B3CF5">
              <w:rPr>
                <w:sz w:val="20"/>
                <w:lang w:val="fr-FR"/>
              </w:rPr>
              <w:t>ronchi</w:t>
            </w:r>
            <w:r w:rsidRPr="006B3CF5">
              <w:rPr>
                <w:sz w:val="20"/>
                <w:lang w:val="fr-FR"/>
              </w:rPr>
              <w:t xml:space="preserve">te </w:t>
            </w:r>
            <w:r w:rsidR="00CA7DCA" w:rsidRPr="006B3CF5">
              <w:rPr>
                <w:sz w:val="20"/>
                <w:lang w:val="fr-FR"/>
              </w:rPr>
              <w:t>aiguë</w:t>
            </w:r>
            <w:r w:rsidRPr="006B3CF5">
              <w:rPr>
                <w:sz w:val="20"/>
                <w:lang w:val="fr-FR"/>
              </w:rPr>
              <w:t xml:space="preserve"> due à des abus de drogues multiples</w:t>
            </w:r>
          </w:p>
        </w:tc>
        <w:tc>
          <w:tcPr>
            <w:tcW w:w="1740" w:type="dxa"/>
            <w:tcBorders>
              <w:top w:val="nil"/>
              <w:bottom w:val="nil"/>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PlaceName">
              <w:r w:rsidRPr="00F12E99">
                <w:rPr>
                  <w:sz w:val="20"/>
                </w:rPr>
                <w:t>Princess</w:t>
              </w:r>
            </w:smartTag>
            <w:r w:rsidRPr="00F12E99">
              <w:rPr>
                <w:sz w:val="20"/>
              </w:rPr>
              <w:t xml:space="preserve"> </w:t>
            </w:r>
            <w:smartTag w:uri="urn:schemas-microsoft-com:office:smarttags" w:element="PlaceName">
              <w:r w:rsidRPr="00F12E99">
                <w:rPr>
                  <w:sz w:val="20"/>
                </w:rPr>
                <w:t>Alexander</w:t>
              </w:r>
            </w:smartTag>
            <w:r w:rsidRPr="00F12E99">
              <w:rPr>
                <w:sz w:val="20"/>
              </w:rPr>
              <w:t xml:space="preserve"> </w:t>
            </w:r>
            <w:smartTag w:uri="urn:schemas-microsoft-com:office:smarttags" w:element="PlaceName">
              <w:r w:rsidRPr="00F12E99">
                <w:rPr>
                  <w:sz w:val="20"/>
                </w:rPr>
                <w:t>Hospital</w:t>
              </w:r>
            </w:smartTag>
            <w:r w:rsidRPr="00F12E99">
              <w:rPr>
                <w:sz w:val="20"/>
              </w:rPr>
              <w:t xml:space="preserve"> </w:t>
            </w:r>
            <w:smartTag w:uri="urn:schemas-microsoft-com:office:smarttags" w:element="place">
              <w:smartTag w:uri="urn:schemas-microsoft-com:office:smarttags" w:element="City">
                <w:r w:rsidRPr="00F12E99">
                  <w:rPr>
                    <w:sz w:val="20"/>
                  </w:rPr>
                  <w:t>Brisbane</w:t>
                </w:r>
              </w:smartTag>
            </w:smartTag>
          </w:p>
        </w:tc>
        <w:tc>
          <w:tcPr>
            <w:tcW w:w="1032"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1998</w:t>
            </w:r>
          </w:p>
        </w:tc>
        <w:tc>
          <w:tcPr>
            <w:tcW w:w="768" w:type="dxa"/>
            <w:tcBorders>
              <w:top w:val="nil"/>
              <w:bottom w:val="nil"/>
            </w:tcBorders>
            <w:vAlign w:val="bottom"/>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47</w:t>
            </w:r>
          </w:p>
        </w:tc>
        <w:tc>
          <w:tcPr>
            <w:tcW w:w="456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Inconnue</w:t>
            </w:r>
          </w:p>
        </w:tc>
        <w:tc>
          <w:tcPr>
            <w:tcW w:w="174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PlaceName">
                <w:r w:rsidRPr="00F12E99">
                  <w:rPr>
                    <w:sz w:val="20"/>
                  </w:rPr>
                  <w:t>Royal</w:t>
                </w:r>
              </w:smartTag>
              <w:r w:rsidRPr="00F12E99">
                <w:rPr>
                  <w:sz w:val="20"/>
                </w:rPr>
                <w:t xml:space="preserve"> </w:t>
              </w:r>
              <w:smartTag w:uri="urn:schemas-microsoft-com:office:smarttags" w:element="PlaceName">
                <w:r w:rsidRPr="00F12E99">
                  <w:rPr>
                    <w:sz w:val="20"/>
                  </w:rPr>
                  <w:t>Brisbane</w:t>
                </w:r>
              </w:smartTag>
              <w:r w:rsidRPr="00F12E99">
                <w:rPr>
                  <w:sz w:val="20"/>
                </w:rPr>
                <w:t xml:space="preserve"> </w:t>
              </w:r>
              <w:smartTag w:uri="urn:schemas-microsoft-com:office:smarttags" w:element="PlaceType">
                <w:r w:rsidRPr="00F12E99">
                  <w:rPr>
                    <w:sz w:val="20"/>
                  </w:rPr>
                  <w:t>Hospital</w:t>
                </w:r>
              </w:smartTag>
            </w:smartTag>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1999</w:t>
            </w:r>
          </w:p>
        </w:tc>
        <w:tc>
          <w:tcPr>
            <w:tcW w:w="768"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F</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16</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Accident de la circulation pendant poursuite policière</w:t>
            </w:r>
            <w:r w:rsidR="00CC7C57" w:rsidRPr="006B3CF5">
              <w:rPr>
                <w:sz w:val="20"/>
                <w:lang w:val="fr-FR"/>
              </w:rPr>
              <w:t xml:space="preserve">. </w:t>
            </w:r>
          </w:p>
        </w:tc>
        <w:tc>
          <w:tcPr>
            <w:tcW w:w="174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Aborigène</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address">
              <w:smartTag w:uri="urn:schemas-microsoft-com:office:smarttags" w:element="Street">
                <w:r w:rsidRPr="00F12E99">
                  <w:rPr>
                    <w:sz w:val="20"/>
                  </w:rPr>
                  <w:t>Lutwyche Road</w:t>
                </w:r>
              </w:smartTag>
              <w:r w:rsidRPr="00F12E99">
                <w:rPr>
                  <w:sz w:val="20"/>
                </w:rPr>
                <w:t xml:space="preserve">, </w:t>
              </w:r>
              <w:smartTag w:uri="urn:schemas-microsoft-com:office:smarttags" w:element="City">
                <w:r w:rsidRPr="00F12E99">
                  <w:rPr>
                    <w:sz w:val="20"/>
                  </w:rPr>
                  <w:t>Windsor</w:t>
                </w:r>
              </w:smartTag>
            </w:smartTag>
            <w:r w:rsidRPr="00F12E99">
              <w:rPr>
                <w:sz w:val="20"/>
              </w:rPr>
              <w:t xml:space="preserve">, </w:t>
            </w:r>
            <w:smartTag w:uri="urn:schemas-microsoft-com:office:smarttags" w:element="place">
              <w:smartTag w:uri="urn:schemas-microsoft-com:office:smarttags" w:element="City">
                <w:r w:rsidRPr="00F12E99">
                  <w:rPr>
                    <w:sz w:val="20"/>
                  </w:rPr>
                  <w:t>Brisbane</w:t>
                </w:r>
              </w:smartTag>
            </w:smartTag>
          </w:p>
        </w:tc>
        <w:tc>
          <w:tcPr>
            <w:tcW w:w="1032"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1999</w:t>
            </w:r>
          </w:p>
        </w:tc>
        <w:tc>
          <w:tcPr>
            <w:tcW w:w="768"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F</w:t>
            </w:r>
          </w:p>
        </w:tc>
        <w:tc>
          <w:tcPr>
            <w:tcW w:w="1200"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15</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Accident de la circulation pendant poursuite policière</w:t>
            </w:r>
            <w:r w:rsidR="00CC7C57" w:rsidRPr="006B3CF5">
              <w:rPr>
                <w:sz w:val="20"/>
                <w:lang w:val="fr-FR"/>
              </w:rPr>
              <w:t xml:space="preserve">. </w:t>
            </w:r>
          </w:p>
        </w:tc>
        <w:tc>
          <w:tcPr>
            <w:tcW w:w="174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Maori</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Maroochydore W</w:t>
            </w:r>
            <w:r>
              <w:rPr>
                <w:sz w:val="20"/>
              </w:rPr>
              <w:t>’</w:t>
            </w:r>
            <w:r w:rsidRPr="00F12E99">
              <w:rPr>
                <w:sz w:val="20"/>
              </w:rPr>
              <w:t>house</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2000</w:t>
            </w:r>
          </w:p>
        </w:tc>
        <w:tc>
          <w:tcPr>
            <w:tcW w:w="768"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F</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43</w:t>
            </w:r>
          </w:p>
        </w:tc>
        <w:tc>
          <w:tcPr>
            <w:tcW w:w="456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Pancréatite chronique</w:t>
            </w:r>
            <w:r w:rsidR="00CC7C57" w:rsidRPr="00F12E99">
              <w:rPr>
                <w:sz w:val="20"/>
              </w:rPr>
              <w:t>.</w:t>
            </w:r>
          </w:p>
        </w:tc>
        <w:tc>
          <w:tcPr>
            <w:tcW w:w="174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Primary School Oval, </w:t>
            </w:r>
            <w:smartTag w:uri="urn:schemas-microsoft-com:office:smarttags" w:element="place">
              <w:r w:rsidRPr="00F12E99">
                <w:rPr>
                  <w:sz w:val="20"/>
                </w:rPr>
                <w:t>Thursday Island</w:t>
              </w:r>
            </w:smartTag>
            <w:r w:rsidRPr="00F12E99">
              <w:rPr>
                <w:sz w:val="20"/>
              </w:rPr>
              <w:t>.</w:t>
            </w:r>
          </w:p>
        </w:tc>
        <w:tc>
          <w:tcPr>
            <w:tcW w:w="1032"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2000</w:t>
            </w:r>
          </w:p>
        </w:tc>
        <w:tc>
          <w:tcPr>
            <w:tcW w:w="768" w:type="dxa"/>
            <w:tcBorders>
              <w:top w:val="nil"/>
              <w:bottom w:val="nil"/>
            </w:tcBorders>
            <w:vAlign w:val="bottom"/>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19</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Accident de la circulation pendant poursuite policière</w:t>
            </w:r>
            <w:r w:rsidR="00CC7C57" w:rsidRPr="006B3CF5">
              <w:rPr>
                <w:sz w:val="20"/>
                <w:lang w:val="fr-FR"/>
              </w:rPr>
              <w:t>.</w:t>
            </w:r>
          </w:p>
        </w:tc>
        <w:tc>
          <w:tcPr>
            <w:tcW w:w="174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Insulaire du détroit de Torres</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Main Terrace, </w:t>
            </w:r>
            <w:smartTag w:uri="urn:schemas-microsoft-com:office:smarttags" w:element="place">
              <w:smartTag w:uri="urn:schemas-microsoft-com:office:smarttags" w:element="PlaceName">
                <w:r w:rsidRPr="00F12E99">
                  <w:rPr>
                    <w:sz w:val="20"/>
                  </w:rPr>
                  <w:t>Deception</w:t>
                </w:r>
              </w:smartTag>
              <w:r w:rsidRPr="00F12E99">
                <w:rPr>
                  <w:sz w:val="20"/>
                </w:rPr>
                <w:t xml:space="preserve"> </w:t>
              </w:r>
              <w:smartTag w:uri="urn:schemas-microsoft-com:office:smarttags" w:element="PlaceType">
                <w:r w:rsidRPr="00F12E99">
                  <w:rPr>
                    <w:sz w:val="20"/>
                  </w:rPr>
                  <w:t>Bay</w:t>
                </w:r>
              </w:smartTag>
            </w:smartTag>
            <w:r w:rsidRPr="00F12E99">
              <w:rPr>
                <w:sz w:val="20"/>
              </w:rPr>
              <w:t>.</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2000</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30</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Tué par la police, qui était en état de légitime défense</w:t>
            </w:r>
          </w:p>
        </w:tc>
        <w:tc>
          <w:tcPr>
            <w:tcW w:w="1740" w:type="dxa"/>
            <w:tcBorders>
              <w:top w:val="nil"/>
              <w:bottom w:val="nil"/>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Street">
              <w:smartTag w:uri="urn:schemas-microsoft-com:office:smarttags" w:element="address">
                <w:r w:rsidRPr="00F12E99">
                  <w:rPr>
                    <w:sz w:val="20"/>
                  </w:rPr>
                  <w:t>Gympie Rd</w:t>
                </w:r>
              </w:smartTag>
            </w:smartTag>
            <w:r w:rsidRPr="00F12E99">
              <w:rPr>
                <w:sz w:val="20"/>
              </w:rPr>
              <w:t>, Carseldine</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2001</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17</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Accident de la </w:t>
            </w:r>
            <w:r w:rsidR="005716E0">
              <w:rPr>
                <w:sz w:val="20"/>
                <w:lang w:val="fr-FR"/>
              </w:rPr>
              <w:t>circulation pendant poursuite po</w:t>
            </w:r>
            <w:r w:rsidRPr="006B3CF5">
              <w:rPr>
                <w:sz w:val="20"/>
                <w:lang w:val="fr-FR"/>
              </w:rPr>
              <w:t>licière</w:t>
            </w:r>
            <w:r w:rsidR="00CC7C57" w:rsidRPr="006B3CF5">
              <w:rPr>
                <w:sz w:val="20"/>
                <w:lang w:val="fr-FR"/>
              </w:rPr>
              <w:t>.</w:t>
            </w:r>
          </w:p>
        </w:tc>
        <w:tc>
          <w:tcPr>
            <w:tcW w:w="1740" w:type="dxa"/>
            <w:tcBorders>
              <w:top w:val="nil"/>
              <w:bottom w:val="nil"/>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PlaceName">
                <w:r w:rsidRPr="00F12E99">
                  <w:rPr>
                    <w:sz w:val="20"/>
                  </w:rPr>
                  <w:t>Royal</w:t>
                </w:r>
              </w:smartTag>
              <w:r w:rsidRPr="00F12E99">
                <w:rPr>
                  <w:sz w:val="20"/>
                </w:rPr>
                <w:t xml:space="preserve"> </w:t>
              </w:r>
              <w:smartTag w:uri="urn:schemas-microsoft-com:office:smarttags" w:element="PlaceName">
                <w:r w:rsidRPr="00F12E99">
                  <w:rPr>
                    <w:sz w:val="20"/>
                  </w:rPr>
                  <w:t>Brisbane</w:t>
                </w:r>
              </w:smartTag>
              <w:r w:rsidRPr="00F12E99">
                <w:rPr>
                  <w:sz w:val="20"/>
                </w:rPr>
                <w:t xml:space="preserve"> </w:t>
              </w:r>
              <w:smartTag w:uri="urn:schemas-microsoft-com:office:smarttags" w:element="PlaceType">
                <w:r w:rsidRPr="00F12E99">
                  <w:rPr>
                    <w:sz w:val="20"/>
                  </w:rPr>
                  <w:t>Hospital</w:t>
                </w:r>
              </w:smartTag>
            </w:smartTag>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2001</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33</w:t>
            </w:r>
          </w:p>
        </w:tc>
        <w:tc>
          <w:tcPr>
            <w:tcW w:w="456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Arrêt cardiaque</w:t>
            </w:r>
            <w:r w:rsidR="00CC7C57" w:rsidRPr="00F12E99">
              <w:rPr>
                <w:sz w:val="20"/>
              </w:rPr>
              <w:t xml:space="preserve"> </w:t>
            </w:r>
          </w:p>
        </w:tc>
        <w:tc>
          <w:tcPr>
            <w:tcW w:w="174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Maryborough Watch</w:t>
            </w:r>
            <w:r>
              <w:rPr>
                <w:sz w:val="20"/>
              </w:rPr>
              <w:t xml:space="preserve"> </w:t>
            </w:r>
            <w:r w:rsidRPr="00F12E99">
              <w:rPr>
                <w:sz w:val="20"/>
              </w:rPr>
              <w:t>house</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2001</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32</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Asphyxie suite à inhalation de vomi</w:t>
            </w:r>
            <w:r w:rsidR="00CC2A24">
              <w:rPr>
                <w:sz w:val="20"/>
                <w:lang w:val="fr-FR"/>
              </w:rPr>
              <w:t>ssures</w:t>
            </w:r>
            <w:r w:rsidRPr="006B3CF5">
              <w:rPr>
                <w:sz w:val="20"/>
                <w:lang w:val="fr-FR"/>
              </w:rPr>
              <w:t>, le vomissement étant dû à un état d’ivresse</w:t>
            </w:r>
            <w:r w:rsidR="00CC7C57" w:rsidRPr="006B3CF5">
              <w:rPr>
                <w:sz w:val="20"/>
                <w:lang w:val="fr-FR"/>
              </w:rPr>
              <w:t>.</w:t>
            </w:r>
          </w:p>
        </w:tc>
        <w:tc>
          <w:tcPr>
            <w:tcW w:w="1740" w:type="dxa"/>
            <w:tcBorders>
              <w:top w:val="nil"/>
              <w:bottom w:val="nil"/>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PlaceName">
                <w:r w:rsidRPr="00F12E99">
                  <w:rPr>
                    <w:sz w:val="20"/>
                  </w:rPr>
                  <w:t>Caboolture</w:t>
                </w:r>
              </w:smartTag>
              <w:r w:rsidRPr="00F12E99">
                <w:rPr>
                  <w:sz w:val="20"/>
                </w:rPr>
                <w:t xml:space="preserve"> </w:t>
              </w:r>
              <w:smartTag w:uri="urn:schemas-microsoft-com:office:smarttags" w:element="PlaceType">
                <w:r w:rsidRPr="00F12E99">
                  <w:rPr>
                    <w:sz w:val="20"/>
                  </w:rPr>
                  <w:t>River</w:t>
                </w:r>
              </w:smartTag>
            </w:smartTag>
            <w:r w:rsidRPr="00F12E99">
              <w:rPr>
                <w:sz w:val="20"/>
              </w:rPr>
              <w:t>, Caboolture</w:t>
            </w:r>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2001</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29</w:t>
            </w:r>
          </w:p>
        </w:tc>
        <w:tc>
          <w:tcPr>
            <w:tcW w:w="4560"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rPr>
                <w:sz w:val="20"/>
              </w:rPr>
            </w:pPr>
            <w:r>
              <w:rPr>
                <w:sz w:val="20"/>
              </w:rPr>
              <w:t>Noyade</w:t>
            </w:r>
            <w:r w:rsidR="00CC7C57" w:rsidRPr="00F12E99">
              <w:rPr>
                <w:sz w:val="20"/>
              </w:rPr>
              <w:t>.</w:t>
            </w:r>
          </w:p>
        </w:tc>
        <w:tc>
          <w:tcPr>
            <w:tcW w:w="174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PNG</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rPr>
                <w:sz w:val="20"/>
              </w:rPr>
            </w:pPr>
            <w:smartTag w:uri="urn:schemas-microsoft-com:office:smarttags" w:element="address">
              <w:smartTag w:uri="urn:schemas-microsoft-com:office:smarttags" w:element="Street">
                <w:r w:rsidRPr="00F12E99">
                  <w:rPr>
                    <w:sz w:val="20"/>
                  </w:rPr>
                  <w:t>Roma St</w:t>
                </w:r>
              </w:smartTag>
              <w:r w:rsidRPr="00F12E99">
                <w:rPr>
                  <w:sz w:val="20"/>
                </w:rPr>
                <w:t xml:space="preserve">, </w:t>
              </w:r>
              <w:smartTag w:uri="urn:schemas-microsoft-com:office:smarttags" w:element="City">
                <w:r w:rsidRPr="00F12E99">
                  <w:rPr>
                    <w:sz w:val="20"/>
                  </w:rPr>
                  <w:t>Brisbane</w:t>
                </w:r>
              </w:smartTag>
            </w:smartTag>
          </w:p>
        </w:tc>
        <w:tc>
          <w:tcPr>
            <w:tcW w:w="1032"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2002</w:t>
            </w:r>
          </w:p>
        </w:tc>
        <w:tc>
          <w:tcPr>
            <w:tcW w:w="768" w:type="dxa"/>
            <w:tcBorders>
              <w:top w:val="nil"/>
              <w:bottom w:val="nil"/>
            </w:tcBorders>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nil"/>
            </w:tcBorders>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32</w:t>
            </w:r>
          </w:p>
        </w:tc>
        <w:tc>
          <w:tcPr>
            <w:tcW w:w="4560" w:type="dxa"/>
            <w:tcBorders>
              <w:top w:val="nil"/>
              <w:bottom w:val="nil"/>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Chute en tentant de s’échapper d’une garde à vue.</w:t>
            </w:r>
          </w:p>
        </w:tc>
        <w:tc>
          <w:tcPr>
            <w:tcW w:w="1740" w:type="dxa"/>
            <w:tcBorders>
              <w:top w:val="nil"/>
              <w:bottom w:val="nil"/>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 </w:t>
            </w:r>
          </w:p>
        </w:tc>
        <w:tc>
          <w:tcPr>
            <w:tcW w:w="1432" w:type="dxa"/>
            <w:tcBorders>
              <w:top w:val="nil"/>
              <w:bottom w:val="nil"/>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7C57" w:rsidRPr="00F12E99">
        <w:tc>
          <w:tcPr>
            <w:tcW w:w="2732" w:type="dxa"/>
            <w:tcBorders>
              <w:top w:val="nil"/>
              <w:bottom w:val="single" w:sz="4" w:space="0" w:color="auto"/>
            </w:tcBorders>
          </w:tcPr>
          <w:p w:rsidR="00CC7C57" w:rsidRPr="00F12E99" w:rsidRDefault="00CC7C57" w:rsidP="005D7B68">
            <w:pPr>
              <w:tabs>
                <w:tab w:val="left" w:pos="567"/>
                <w:tab w:val="left" w:pos="1134"/>
                <w:tab w:val="left" w:pos="1701"/>
                <w:tab w:val="left" w:pos="2268"/>
                <w:tab w:val="left" w:pos="2835"/>
              </w:tabs>
              <w:spacing w:before="20" w:after="20"/>
              <w:rPr>
                <w:sz w:val="20"/>
              </w:rPr>
            </w:pPr>
            <w:r w:rsidRPr="00F12E99">
              <w:rPr>
                <w:sz w:val="20"/>
              </w:rPr>
              <w:t xml:space="preserve">Lane Queen </w:t>
            </w:r>
            <w:r>
              <w:rPr>
                <w:sz w:val="20"/>
              </w:rPr>
              <w:t>and</w:t>
            </w:r>
            <w:r w:rsidRPr="00F12E99">
              <w:rPr>
                <w:sz w:val="20"/>
              </w:rPr>
              <w:t xml:space="preserve"> </w:t>
            </w:r>
            <w:smartTag w:uri="urn:schemas-microsoft-com:office:smarttags" w:element="place">
              <w:smartTag w:uri="urn:schemas-microsoft-com:office:smarttags" w:element="City">
                <w:r w:rsidRPr="00F12E99">
                  <w:rPr>
                    <w:sz w:val="20"/>
                  </w:rPr>
                  <w:t>Elizabeth</w:t>
                </w:r>
              </w:smartTag>
            </w:smartTag>
            <w:r w:rsidRPr="00F12E99">
              <w:rPr>
                <w:sz w:val="20"/>
              </w:rPr>
              <w:t xml:space="preserve"> Sts, Brisbane</w:t>
            </w:r>
          </w:p>
        </w:tc>
        <w:tc>
          <w:tcPr>
            <w:tcW w:w="1032" w:type="dxa"/>
            <w:tcBorders>
              <w:top w:val="nil"/>
              <w:bottom w:val="single" w:sz="4" w:space="0" w:color="auto"/>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2002</w:t>
            </w:r>
          </w:p>
        </w:tc>
        <w:tc>
          <w:tcPr>
            <w:tcW w:w="768" w:type="dxa"/>
            <w:tcBorders>
              <w:top w:val="nil"/>
              <w:bottom w:val="single" w:sz="4" w:space="0" w:color="auto"/>
            </w:tcBorders>
            <w:vAlign w:val="bottom"/>
          </w:tcPr>
          <w:p w:rsidR="00CC7C57" w:rsidRPr="00F12E99" w:rsidRDefault="006B3CF5"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nil"/>
              <w:bottom w:val="single" w:sz="4" w:space="0" w:color="auto"/>
            </w:tcBorders>
            <w:vAlign w:val="bottom"/>
          </w:tcPr>
          <w:p w:rsidR="00CC7C57" w:rsidRPr="00F12E99" w:rsidRDefault="00CC7C57" w:rsidP="005D7B68">
            <w:pPr>
              <w:tabs>
                <w:tab w:val="left" w:pos="567"/>
                <w:tab w:val="left" w:pos="1134"/>
                <w:tab w:val="left" w:pos="1701"/>
                <w:tab w:val="left" w:pos="2268"/>
                <w:tab w:val="left" w:pos="2835"/>
              </w:tabs>
              <w:spacing w:before="20" w:after="20"/>
              <w:jc w:val="center"/>
              <w:rPr>
                <w:sz w:val="20"/>
              </w:rPr>
            </w:pPr>
            <w:r w:rsidRPr="00F12E99">
              <w:rPr>
                <w:sz w:val="20"/>
              </w:rPr>
              <w:t>53</w:t>
            </w:r>
          </w:p>
        </w:tc>
        <w:tc>
          <w:tcPr>
            <w:tcW w:w="4560" w:type="dxa"/>
            <w:tcBorders>
              <w:top w:val="nil"/>
              <w:bottom w:val="single" w:sz="4" w:space="0" w:color="auto"/>
            </w:tcBorders>
          </w:tcPr>
          <w:p w:rsidR="00CC7C57" w:rsidRPr="006B3CF5" w:rsidRDefault="006B3CF5" w:rsidP="005D7B68">
            <w:pPr>
              <w:tabs>
                <w:tab w:val="left" w:pos="567"/>
                <w:tab w:val="left" w:pos="1134"/>
                <w:tab w:val="left" w:pos="1701"/>
                <w:tab w:val="left" w:pos="2268"/>
                <w:tab w:val="left" w:pos="2835"/>
              </w:tabs>
              <w:spacing w:before="20" w:after="20"/>
              <w:rPr>
                <w:sz w:val="20"/>
                <w:lang w:val="fr-FR"/>
              </w:rPr>
            </w:pPr>
            <w:r w:rsidRPr="006B3CF5">
              <w:rPr>
                <w:sz w:val="20"/>
                <w:lang w:val="fr-FR"/>
              </w:rPr>
              <w:t>Tué par la police, qui était en état de légitime défense.</w:t>
            </w:r>
          </w:p>
        </w:tc>
        <w:tc>
          <w:tcPr>
            <w:tcW w:w="1740" w:type="dxa"/>
            <w:tcBorders>
              <w:top w:val="nil"/>
              <w:bottom w:val="single" w:sz="4" w:space="0" w:color="auto"/>
            </w:tcBorders>
          </w:tcPr>
          <w:p w:rsidR="00CC7C57" w:rsidRPr="006B3CF5" w:rsidRDefault="00CC7C57" w:rsidP="005D7B68">
            <w:pPr>
              <w:tabs>
                <w:tab w:val="left" w:pos="567"/>
                <w:tab w:val="left" w:pos="1134"/>
                <w:tab w:val="left" w:pos="1701"/>
                <w:tab w:val="left" w:pos="2268"/>
                <w:tab w:val="left" w:pos="2835"/>
              </w:tabs>
              <w:spacing w:before="20" w:after="20"/>
              <w:rPr>
                <w:sz w:val="20"/>
                <w:lang w:val="fr-FR"/>
              </w:rPr>
            </w:pPr>
            <w:r w:rsidRPr="006B3CF5">
              <w:rPr>
                <w:sz w:val="20"/>
                <w:lang w:val="fr-FR"/>
              </w:rPr>
              <w:t xml:space="preserve"> </w:t>
            </w:r>
          </w:p>
        </w:tc>
        <w:tc>
          <w:tcPr>
            <w:tcW w:w="1432" w:type="dxa"/>
            <w:tcBorders>
              <w:top w:val="nil"/>
              <w:bottom w:val="single" w:sz="4" w:space="0" w:color="auto"/>
            </w:tcBorders>
          </w:tcPr>
          <w:p w:rsidR="00CC7C57"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smartTag w:uri="urn:schemas-microsoft-com:office:smarttags" w:element="Street">
              <w:smartTag w:uri="urn:schemas-microsoft-com:office:smarttags" w:element="address">
                <w:r w:rsidRPr="00F12E99">
                  <w:rPr>
                    <w:sz w:val="20"/>
                  </w:rPr>
                  <w:t>Burnett St</w:t>
                </w:r>
              </w:smartTag>
            </w:smartTag>
            <w:r w:rsidRPr="00F12E99">
              <w:rPr>
                <w:sz w:val="20"/>
              </w:rPr>
              <w:t>, Bundaberg</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2002</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23</w:t>
            </w:r>
          </w:p>
        </w:tc>
        <w:tc>
          <w:tcPr>
            <w:tcW w:w="456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Tué par la police, qui était en état de légitime défense</w:t>
            </w:r>
          </w:p>
        </w:tc>
        <w:tc>
          <w:tcPr>
            <w:tcW w:w="174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smartTag w:uri="urn:schemas-microsoft-com:office:smarttags" w:element="Street">
              <w:smartTag w:uri="urn:schemas-microsoft-com:office:smarttags" w:element="address">
                <w:r w:rsidRPr="00F12E99">
                  <w:rPr>
                    <w:sz w:val="20"/>
                  </w:rPr>
                  <w:t>Mooloolaba Rd</w:t>
                </w:r>
              </w:smartTag>
            </w:smartTag>
            <w:r w:rsidRPr="00F12E99">
              <w:rPr>
                <w:sz w:val="20"/>
              </w:rPr>
              <w:t>, Buderim</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2002</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35</w:t>
            </w:r>
          </w:p>
        </w:tc>
        <w:tc>
          <w:tcPr>
            <w:tcW w:w="456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Tué par la police, qui était en état de légitime défense</w:t>
            </w:r>
          </w:p>
        </w:tc>
        <w:tc>
          <w:tcPr>
            <w:tcW w:w="174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smartTag w:uri="urn:schemas-microsoft-com:office:smarttags" w:element="place">
              <w:r w:rsidRPr="00F12E99">
                <w:rPr>
                  <w:sz w:val="20"/>
                </w:rPr>
                <w:t>South Brisbane</w:t>
              </w:r>
            </w:smartTag>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40</w:t>
            </w:r>
          </w:p>
        </w:tc>
        <w:tc>
          <w:tcPr>
            <w:tcW w:w="456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Tué par la police, qui était en état de légitime défense</w:t>
            </w:r>
          </w:p>
        </w:tc>
        <w:tc>
          <w:tcPr>
            <w:tcW w:w="174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smartTag w:uri="urn:schemas-microsoft-com:office:smarttags" w:element="Street">
              <w:smartTag w:uri="urn:schemas-microsoft-com:office:smarttags" w:element="address">
                <w:r w:rsidRPr="00F12E99">
                  <w:rPr>
                    <w:sz w:val="20"/>
                  </w:rPr>
                  <w:t>161 Walla Rd</w:t>
                </w:r>
              </w:smartTag>
            </w:smartTag>
            <w:r w:rsidRPr="00F12E99">
              <w:rPr>
                <w:sz w:val="20"/>
              </w:rPr>
              <w:t xml:space="preserve">, </w:t>
            </w:r>
            <w:smartTag w:uri="urn:schemas-microsoft-com:office:smarttags" w:element="PlaceName">
              <w:r w:rsidRPr="00F12E99">
                <w:rPr>
                  <w:sz w:val="20"/>
                </w:rPr>
                <w:t>Regents</w:t>
              </w:r>
            </w:smartTag>
            <w:r w:rsidRPr="00F12E99">
              <w:rPr>
                <w:sz w:val="20"/>
              </w:rPr>
              <w:t xml:space="preserve"> </w:t>
            </w:r>
            <w:smartTag w:uri="urn:schemas-microsoft-com:office:smarttags" w:element="PlaceType">
              <w:r w:rsidRPr="00F12E99">
                <w:rPr>
                  <w:sz w:val="20"/>
                </w:rPr>
                <w:t>Park</w:t>
              </w:r>
            </w:smartTag>
            <w:r w:rsidRPr="00F12E99">
              <w:rPr>
                <w:sz w:val="20"/>
              </w:rPr>
              <w:t xml:space="preserve">, </w:t>
            </w:r>
            <w:smartTag w:uri="urn:schemas-microsoft-com:office:smarttags" w:element="place">
              <w:smartTag w:uri="urn:schemas-microsoft-com:office:smarttags" w:element="City">
                <w:r w:rsidRPr="00F12E99">
                  <w:rPr>
                    <w:sz w:val="20"/>
                  </w:rPr>
                  <w:t>Brisbane</w:t>
                </w:r>
              </w:smartTag>
            </w:smartTag>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30</w:t>
            </w:r>
          </w:p>
        </w:tc>
        <w:tc>
          <w:tcPr>
            <w:tcW w:w="456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Tué par la police, qui était en état de légitime défense</w:t>
            </w:r>
          </w:p>
        </w:tc>
        <w:tc>
          <w:tcPr>
            <w:tcW w:w="174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Freedom Service Station, </w:t>
            </w:r>
            <w:smartTag w:uri="urn:schemas-microsoft-com:office:smarttags" w:element="Street">
              <w:smartTag w:uri="urn:schemas-microsoft-com:office:smarttags" w:element="address">
                <w:r w:rsidRPr="00F12E99">
                  <w:rPr>
                    <w:sz w:val="20"/>
                  </w:rPr>
                  <w:t>Warrego Hwy</w:t>
                </w:r>
              </w:smartTag>
            </w:smartTag>
            <w:r w:rsidRPr="00F12E99">
              <w:rPr>
                <w:sz w:val="20"/>
              </w:rPr>
              <w:t>, HattonVale</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39</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Pr>
                <w:sz w:val="20"/>
              </w:rPr>
              <w:t>Inconnue</w:t>
            </w:r>
            <w:r w:rsidRPr="00F12E99">
              <w:rPr>
                <w:sz w:val="20"/>
              </w:rPr>
              <w:t xml:space="preserve">. </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Padded cell of Hervey Bay Police Station Watch</w:t>
            </w:r>
            <w:r>
              <w:rPr>
                <w:sz w:val="20"/>
              </w:rPr>
              <w:t xml:space="preserve"> </w:t>
            </w:r>
            <w:r w:rsidRPr="00F12E99">
              <w:rPr>
                <w:sz w:val="20"/>
              </w:rPr>
              <w:t>house.</w:t>
            </w:r>
          </w:p>
        </w:tc>
        <w:tc>
          <w:tcPr>
            <w:tcW w:w="1032" w:type="dxa"/>
            <w:tcBorders>
              <w:top w:val="single" w:sz="4" w:space="0" w:color="auto"/>
              <w:left w:val="single" w:sz="4" w:space="0" w:color="auto"/>
              <w:bottom w:val="single" w:sz="4" w:space="0" w:color="auto"/>
              <w:right w:val="single" w:sz="4" w:space="0" w:color="auto"/>
            </w:tcBorders>
            <w:vAlign w:val="bottom"/>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vAlign w:val="bottom"/>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vAlign w:val="bottom"/>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40</w:t>
            </w:r>
          </w:p>
        </w:tc>
        <w:tc>
          <w:tcPr>
            <w:tcW w:w="456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Asphyxie non mécanique due à une</w:t>
            </w:r>
            <w:r w:rsidR="00572260">
              <w:rPr>
                <w:sz w:val="20"/>
                <w:lang w:val="fr-FR"/>
              </w:rPr>
              <w:t xml:space="preserve"> </w:t>
            </w:r>
            <w:r w:rsidRPr="00CC2A24">
              <w:rPr>
                <w:sz w:val="20"/>
                <w:lang w:val="fr-FR"/>
              </w:rPr>
              <w:t xml:space="preserve">hypoglycémie </w:t>
            </w:r>
          </w:p>
        </w:tc>
        <w:tc>
          <w:tcPr>
            <w:tcW w:w="1740" w:type="dxa"/>
            <w:tcBorders>
              <w:top w:val="single" w:sz="4" w:space="0" w:color="auto"/>
              <w:left w:val="single" w:sz="4" w:space="0" w:color="auto"/>
              <w:bottom w:val="single" w:sz="4" w:space="0" w:color="auto"/>
              <w:right w:val="single" w:sz="4" w:space="0" w:color="auto"/>
            </w:tcBorders>
          </w:tcPr>
          <w:p w:rsidR="00CC2A24" w:rsidRPr="00CC2A24" w:rsidRDefault="00CC2A24" w:rsidP="005D7B68">
            <w:pPr>
              <w:tabs>
                <w:tab w:val="left" w:pos="567"/>
                <w:tab w:val="left" w:pos="1134"/>
                <w:tab w:val="left" w:pos="1701"/>
                <w:tab w:val="left" w:pos="2268"/>
                <w:tab w:val="left" w:pos="2835"/>
              </w:tabs>
              <w:spacing w:before="20" w:after="20"/>
              <w:rPr>
                <w:sz w:val="20"/>
                <w:lang w:val="fr-FR"/>
              </w:rPr>
            </w:pPr>
            <w:r w:rsidRPr="00CC2A24">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Normanton</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42</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Pr>
                <w:sz w:val="20"/>
              </w:rPr>
              <w:t>Crise d’épilepsie</w:t>
            </w:r>
            <w:r w:rsidRPr="00F12E99">
              <w:rPr>
                <w:sz w:val="20"/>
              </w:rPr>
              <w:t xml:space="preserve">. </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6B708C" w:rsidP="005D7B68">
            <w:pPr>
              <w:tabs>
                <w:tab w:val="left" w:pos="567"/>
                <w:tab w:val="left" w:pos="1134"/>
                <w:tab w:val="left" w:pos="1701"/>
                <w:tab w:val="left" w:pos="2268"/>
                <w:tab w:val="left" w:pos="2835"/>
              </w:tabs>
              <w:spacing w:before="20" w:after="20"/>
              <w:rPr>
                <w:sz w:val="20"/>
              </w:rPr>
            </w:pPr>
            <w:r>
              <w:rPr>
                <w:sz w:val="20"/>
              </w:rPr>
              <w:t>Aborigène</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Coen</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49</w:t>
            </w:r>
          </w:p>
        </w:tc>
        <w:tc>
          <w:tcPr>
            <w:tcW w:w="4560" w:type="dxa"/>
            <w:tcBorders>
              <w:top w:val="single" w:sz="4" w:space="0" w:color="auto"/>
              <w:left w:val="single" w:sz="4" w:space="0" w:color="auto"/>
              <w:bottom w:val="single" w:sz="4" w:space="0" w:color="auto"/>
              <w:right w:val="single" w:sz="4" w:space="0" w:color="auto"/>
            </w:tcBorders>
          </w:tcPr>
          <w:p w:rsidR="00CC2A24" w:rsidRPr="00937D38" w:rsidRDefault="00937D38" w:rsidP="005D7B68">
            <w:pPr>
              <w:tabs>
                <w:tab w:val="left" w:pos="567"/>
                <w:tab w:val="left" w:pos="1134"/>
                <w:tab w:val="left" w:pos="1701"/>
                <w:tab w:val="left" w:pos="2268"/>
                <w:tab w:val="left" w:pos="2835"/>
              </w:tabs>
              <w:spacing w:before="20" w:after="20"/>
              <w:rPr>
                <w:sz w:val="20"/>
                <w:lang w:val="fr-FR"/>
              </w:rPr>
            </w:pPr>
            <w:r w:rsidRPr="00937D38">
              <w:rPr>
                <w:sz w:val="20"/>
                <w:lang w:val="fr-FR"/>
              </w:rPr>
              <w:t xml:space="preserve">Décédé </w:t>
            </w:r>
            <w:r w:rsidR="00CC2A24" w:rsidRPr="00937D38">
              <w:rPr>
                <w:sz w:val="20"/>
                <w:lang w:val="fr-FR"/>
              </w:rPr>
              <w:t>au cours d’une poursuite policière</w:t>
            </w:r>
          </w:p>
        </w:tc>
        <w:tc>
          <w:tcPr>
            <w:tcW w:w="1740" w:type="dxa"/>
            <w:tcBorders>
              <w:top w:val="single" w:sz="4" w:space="0" w:color="auto"/>
              <w:left w:val="single" w:sz="4" w:space="0" w:color="auto"/>
              <w:bottom w:val="single" w:sz="4" w:space="0" w:color="auto"/>
              <w:right w:val="single" w:sz="4" w:space="0" w:color="auto"/>
            </w:tcBorders>
          </w:tcPr>
          <w:p w:rsidR="00CC2A24" w:rsidRPr="00937D38" w:rsidRDefault="00CC2A24" w:rsidP="005D7B68">
            <w:pPr>
              <w:tabs>
                <w:tab w:val="left" w:pos="567"/>
                <w:tab w:val="left" w:pos="1134"/>
                <w:tab w:val="left" w:pos="1701"/>
                <w:tab w:val="left" w:pos="2268"/>
                <w:tab w:val="left" w:pos="2835"/>
              </w:tabs>
              <w:spacing w:before="20" w:after="20"/>
              <w:rPr>
                <w:sz w:val="20"/>
                <w:lang w:val="fr-FR"/>
              </w:rPr>
            </w:pPr>
            <w:r w:rsidRPr="00937D38">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Coen</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34</w:t>
            </w:r>
          </w:p>
        </w:tc>
        <w:tc>
          <w:tcPr>
            <w:tcW w:w="4560" w:type="dxa"/>
            <w:tcBorders>
              <w:top w:val="single" w:sz="4" w:space="0" w:color="auto"/>
              <w:left w:val="single" w:sz="4" w:space="0" w:color="auto"/>
              <w:bottom w:val="single" w:sz="4" w:space="0" w:color="auto"/>
              <w:right w:val="single" w:sz="4" w:space="0" w:color="auto"/>
            </w:tcBorders>
          </w:tcPr>
          <w:p w:rsidR="00CC2A24" w:rsidRPr="00937D38" w:rsidRDefault="00937D38" w:rsidP="005D7B68">
            <w:pPr>
              <w:tabs>
                <w:tab w:val="left" w:pos="567"/>
                <w:tab w:val="left" w:pos="1134"/>
                <w:tab w:val="left" w:pos="1701"/>
                <w:tab w:val="left" w:pos="2268"/>
                <w:tab w:val="left" w:pos="2835"/>
              </w:tabs>
              <w:spacing w:before="20" w:after="20"/>
              <w:rPr>
                <w:sz w:val="20"/>
                <w:lang w:val="fr-FR"/>
              </w:rPr>
            </w:pPr>
            <w:r w:rsidRPr="00937D38">
              <w:rPr>
                <w:sz w:val="20"/>
                <w:lang w:val="fr-FR"/>
              </w:rPr>
              <w:t>Décédé au cours d’une poursuite policière</w:t>
            </w:r>
          </w:p>
        </w:tc>
        <w:tc>
          <w:tcPr>
            <w:tcW w:w="1740" w:type="dxa"/>
            <w:tcBorders>
              <w:top w:val="single" w:sz="4" w:space="0" w:color="auto"/>
              <w:left w:val="single" w:sz="4" w:space="0" w:color="auto"/>
              <w:bottom w:val="single" w:sz="4" w:space="0" w:color="auto"/>
              <w:right w:val="single" w:sz="4" w:space="0" w:color="auto"/>
            </w:tcBorders>
          </w:tcPr>
          <w:p w:rsidR="00CC2A24" w:rsidRPr="00937D38" w:rsidRDefault="00CC2A24" w:rsidP="005D7B68">
            <w:pPr>
              <w:tabs>
                <w:tab w:val="left" w:pos="567"/>
                <w:tab w:val="left" w:pos="1134"/>
                <w:tab w:val="left" w:pos="1701"/>
                <w:tab w:val="left" w:pos="2268"/>
                <w:tab w:val="left" w:pos="2835"/>
              </w:tabs>
              <w:spacing w:before="20" w:after="20"/>
              <w:rPr>
                <w:sz w:val="20"/>
                <w:lang w:val="fr-FR"/>
              </w:rPr>
            </w:pPr>
            <w:r w:rsidRPr="00937D38">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Hopevale to Cooktown</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2003</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28</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Suicide </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6B708C" w:rsidP="005D7B68">
            <w:pPr>
              <w:tabs>
                <w:tab w:val="left" w:pos="567"/>
                <w:tab w:val="left" w:pos="1134"/>
                <w:tab w:val="left" w:pos="1701"/>
                <w:tab w:val="left" w:pos="2268"/>
                <w:tab w:val="left" w:pos="2835"/>
              </w:tabs>
              <w:spacing w:before="20" w:after="20"/>
              <w:rPr>
                <w:sz w:val="20"/>
              </w:rPr>
            </w:pPr>
            <w:r>
              <w:rPr>
                <w:sz w:val="20"/>
              </w:rPr>
              <w:t>Aborigène</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Boonah</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2004</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37</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Suicide</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smartTag w:uri="urn:schemas-microsoft-com:office:smarttags" w:element="place">
              <w:smartTag w:uri="urn:schemas-microsoft-com:office:smarttags" w:element="PlaceName">
                <w:r w:rsidRPr="00F12E99">
                  <w:rPr>
                    <w:sz w:val="20"/>
                  </w:rPr>
                  <w:t>Royal</w:t>
                </w:r>
              </w:smartTag>
              <w:r w:rsidRPr="00F12E99">
                <w:rPr>
                  <w:sz w:val="20"/>
                </w:rPr>
                <w:t xml:space="preserve"> </w:t>
              </w:r>
              <w:smartTag w:uri="urn:schemas-microsoft-com:office:smarttags" w:element="PlaceName">
                <w:r w:rsidRPr="00F12E99">
                  <w:rPr>
                    <w:sz w:val="20"/>
                  </w:rPr>
                  <w:t>Brisbane</w:t>
                </w:r>
              </w:smartTag>
              <w:r w:rsidRPr="00F12E99">
                <w:rPr>
                  <w:sz w:val="20"/>
                </w:rPr>
                <w:t xml:space="preserve"> </w:t>
              </w:r>
              <w:smartTag w:uri="urn:schemas-microsoft-com:office:smarttags" w:element="PlaceType">
                <w:r w:rsidRPr="00F12E99">
                  <w:rPr>
                    <w:sz w:val="20"/>
                  </w:rPr>
                  <w:t>Hospital</w:t>
                </w:r>
              </w:smartTag>
            </w:smartTag>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2004</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49</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Suicide</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Cinnabar nr Kilkivan</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2004</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30</w:t>
            </w:r>
          </w:p>
        </w:tc>
        <w:tc>
          <w:tcPr>
            <w:tcW w:w="4560" w:type="dxa"/>
            <w:tcBorders>
              <w:top w:val="single" w:sz="4" w:space="0" w:color="auto"/>
              <w:left w:val="single" w:sz="4" w:space="0" w:color="auto"/>
              <w:bottom w:val="single" w:sz="4" w:space="0" w:color="auto"/>
              <w:right w:val="single" w:sz="4" w:space="0" w:color="auto"/>
            </w:tcBorders>
          </w:tcPr>
          <w:p w:rsidR="00CC2A24" w:rsidRPr="00937D38" w:rsidRDefault="00937D38" w:rsidP="005D7B68">
            <w:pPr>
              <w:tabs>
                <w:tab w:val="left" w:pos="567"/>
                <w:tab w:val="left" w:pos="1134"/>
                <w:tab w:val="left" w:pos="1701"/>
                <w:tab w:val="left" w:pos="2268"/>
                <w:tab w:val="left" w:pos="2835"/>
              </w:tabs>
              <w:spacing w:before="20" w:after="20"/>
              <w:rPr>
                <w:sz w:val="20"/>
                <w:lang w:val="fr-FR"/>
              </w:rPr>
            </w:pPr>
            <w:r w:rsidRPr="00937D38">
              <w:rPr>
                <w:sz w:val="20"/>
                <w:lang w:val="fr-FR"/>
              </w:rPr>
              <w:t xml:space="preserve">Tué </w:t>
            </w:r>
            <w:r>
              <w:rPr>
                <w:sz w:val="20"/>
                <w:lang w:val="fr-FR"/>
              </w:rPr>
              <w:t>par la police,</w:t>
            </w:r>
            <w:r w:rsidR="00E26EE0">
              <w:rPr>
                <w:sz w:val="20"/>
                <w:lang w:val="fr-FR"/>
              </w:rPr>
              <w:t xml:space="preserve"> alors qu’il était</w:t>
            </w:r>
            <w:r>
              <w:rPr>
                <w:sz w:val="20"/>
                <w:lang w:val="fr-FR"/>
              </w:rPr>
              <w:t xml:space="preserve"> en situation de s</w:t>
            </w:r>
            <w:r w:rsidRPr="00937D38">
              <w:rPr>
                <w:sz w:val="20"/>
                <w:lang w:val="fr-FR"/>
              </w:rPr>
              <w:t>iège</w:t>
            </w:r>
          </w:p>
        </w:tc>
        <w:tc>
          <w:tcPr>
            <w:tcW w:w="1740" w:type="dxa"/>
            <w:tcBorders>
              <w:top w:val="single" w:sz="4" w:space="0" w:color="auto"/>
              <w:left w:val="single" w:sz="4" w:space="0" w:color="auto"/>
              <w:bottom w:val="single" w:sz="4" w:space="0" w:color="auto"/>
              <w:right w:val="single" w:sz="4" w:space="0" w:color="auto"/>
            </w:tcBorders>
          </w:tcPr>
          <w:p w:rsidR="00CC2A24" w:rsidRPr="00937D38" w:rsidRDefault="00CC2A24" w:rsidP="005D7B68">
            <w:pPr>
              <w:tabs>
                <w:tab w:val="left" w:pos="567"/>
                <w:tab w:val="left" w:pos="1134"/>
                <w:tab w:val="left" w:pos="1701"/>
                <w:tab w:val="left" w:pos="2268"/>
                <w:tab w:val="left" w:pos="2835"/>
              </w:tabs>
              <w:spacing w:before="20" w:after="20"/>
              <w:rPr>
                <w:sz w:val="20"/>
                <w:lang w:val="fr-FR"/>
              </w:rPr>
            </w:pPr>
            <w:r w:rsidRPr="00937D38">
              <w:rPr>
                <w:sz w:val="20"/>
                <w:lang w:val="fr-FR"/>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r w:rsidR="00CC2A24" w:rsidRPr="00F12E99">
        <w:tc>
          <w:tcPr>
            <w:tcW w:w="27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Highgate Hill</w:t>
            </w:r>
          </w:p>
        </w:tc>
        <w:tc>
          <w:tcPr>
            <w:tcW w:w="10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2004</w:t>
            </w:r>
          </w:p>
        </w:tc>
        <w:tc>
          <w:tcPr>
            <w:tcW w:w="768"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H</w:t>
            </w:r>
          </w:p>
        </w:tc>
        <w:tc>
          <w:tcPr>
            <w:tcW w:w="120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sidRPr="00F12E99">
              <w:rPr>
                <w:sz w:val="20"/>
              </w:rPr>
              <w:t>26</w:t>
            </w:r>
          </w:p>
        </w:tc>
        <w:tc>
          <w:tcPr>
            <w:tcW w:w="4560" w:type="dxa"/>
            <w:tcBorders>
              <w:top w:val="single" w:sz="4" w:space="0" w:color="auto"/>
              <w:left w:val="single" w:sz="4" w:space="0" w:color="auto"/>
              <w:bottom w:val="single" w:sz="4" w:space="0" w:color="auto"/>
              <w:right w:val="single" w:sz="4" w:space="0" w:color="auto"/>
            </w:tcBorders>
          </w:tcPr>
          <w:p w:rsidR="00CC2A24" w:rsidRPr="00F12E99" w:rsidRDefault="00937D38" w:rsidP="005D7B68">
            <w:pPr>
              <w:tabs>
                <w:tab w:val="left" w:pos="567"/>
                <w:tab w:val="left" w:pos="1134"/>
                <w:tab w:val="left" w:pos="1701"/>
                <w:tab w:val="left" w:pos="2268"/>
                <w:tab w:val="left" w:pos="2835"/>
              </w:tabs>
              <w:spacing w:before="20" w:after="20"/>
              <w:rPr>
                <w:sz w:val="20"/>
              </w:rPr>
            </w:pPr>
            <w:r>
              <w:rPr>
                <w:sz w:val="20"/>
              </w:rPr>
              <w:t>Surdose d’amphétamine</w:t>
            </w:r>
          </w:p>
        </w:tc>
        <w:tc>
          <w:tcPr>
            <w:tcW w:w="1740"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rPr>
                <w:sz w:val="20"/>
              </w:rPr>
            </w:pPr>
            <w:r w:rsidRPr="00F12E99">
              <w:rPr>
                <w:sz w:val="20"/>
              </w:rPr>
              <w:t xml:space="preserve"> </w:t>
            </w:r>
          </w:p>
        </w:tc>
        <w:tc>
          <w:tcPr>
            <w:tcW w:w="1432" w:type="dxa"/>
            <w:tcBorders>
              <w:top w:val="single" w:sz="4" w:space="0" w:color="auto"/>
              <w:left w:val="single" w:sz="4" w:space="0" w:color="auto"/>
              <w:bottom w:val="single" w:sz="4" w:space="0" w:color="auto"/>
              <w:right w:val="single" w:sz="4" w:space="0" w:color="auto"/>
            </w:tcBorders>
          </w:tcPr>
          <w:p w:rsidR="00CC2A24" w:rsidRPr="00F12E99" w:rsidRDefault="00CC2A24" w:rsidP="005D7B68">
            <w:pPr>
              <w:tabs>
                <w:tab w:val="left" w:pos="567"/>
                <w:tab w:val="left" w:pos="1134"/>
                <w:tab w:val="left" w:pos="1701"/>
                <w:tab w:val="left" w:pos="2268"/>
                <w:tab w:val="left" w:pos="2835"/>
              </w:tabs>
              <w:spacing w:before="20" w:after="20"/>
              <w:jc w:val="center"/>
              <w:rPr>
                <w:sz w:val="20"/>
              </w:rPr>
            </w:pPr>
            <w:r>
              <w:rPr>
                <w:sz w:val="20"/>
              </w:rPr>
              <w:t>OUI</w:t>
            </w:r>
          </w:p>
        </w:tc>
      </w:tr>
    </w:tbl>
    <w:p w:rsidR="009A7F42" w:rsidRPr="00282092" w:rsidRDefault="009A7F42" w:rsidP="005D7B68">
      <w:pPr>
        <w:tabs>
          <w:tab w:val="left" w:pos="567"/>
          <w:tab w:val="left" w:pos="1134"/>
          <w:tab w:val="left" w:pos="1701"/>
          <w:tab w:val="left" w:pos="2268"/>
          <w:tab w:val="left" w:pos="2835"/>
        </w:tabs>
        <w:jc w:val="center"/>
        <w:rPr>
          <w:lang w:val="fr-FR"/>
        </w:rPr>
      </w:pPr>
    </w:p>
    <w:p w:rsidR="00E26EE0" w:rsidRDefault="00E26EE0" w:rsidP="005D7B68">
      <w:pPr>
        <w:tabs>
          <w:tab w:val="left" w:pos="567"/>
          <w:tab w:val="left" w:pos="1134"/>
          <w:tab w:val="left" w:pos="1701"/>
          <w:tab w:val="left" w:pos="2268"/>
          <w:tab w:val="left" w:pos="2835"/>
        </w:tabs>
        <w:rPr>
          <w:lang w:val="fr-FR"/>
        </w:rPr>
        <w:sectPr w:rsidR="00E26EE0" w:rsidSect="006B708C">
          <w:headerReference w:type="even" r:id="rId36"/>
          <w:headerReference w:type="default" r:id="rId37"/>
          <w:headerReference w:type="first" r:id="rId38"/>
          <w:pgSz w:w="16838" w:h="11906" w:orient="landscape" w:code="9"/>
          <w:pgMar w:top="1701" w:right="1701" w:bottom="1701" w:left="1701" w:header="851" w:footer="1134" w:gutter="0"/>
          <w:cols w:space="708"/>
          <w:titlePg/>
          <w:docGrid w:linePitch="360"/>
        </w:sectPr>
      </w:pPr>
    </w:p>
    <w:p w:rsidR="00E26EE0" w:rsidRDefault="00E26EE0" w:rsidP="005D7B68">
      <w:pPr>
        <w:tabs>
          <w:tab w:val="left" w:pos="567"/>
          <w:tab w:val="left" w:pos="1134"/>
          <w:tab w:val="left" w:pos="1701"/>
          <w:tab w:val="left" w:pos="2268"/>
          <w:tab w:val="left" w:pos="2835"/>
        </w:tabs>
        <w:rPr>
          <w:b/>
          <w:bCs/>
          <w:lang w:val="fr-FR"/>
        </w:rPr>
      </w:pPr>
      <w:r w:rsidRPr="00E26EE0">
        <w:rPr>
          <w:b/>
          <w:bCs/>
          <w:lang w:val="fr-FR"/>
        </w:rPr>
        <w:t>Sta</w:t>
      </w:r>
      <w:r>
        <w:rPr>
          <w:b/>
          <w:bCs/>
          <w:lang w:val="fr-FR"/>
        </w:rPr>
        <w:t>tistiques des services pénitentiaires du Queensland</w:t>
      </w:r>
    </w:p>
    <w:p w:rsidR="00CB6140" w:rsidRDefault="002A6CEC" w:rsidP="005D7B68">
      <w:pPr>
        <w:tabs>
          <w:tab w:val="left" w:pos="567"/>
          <w:tab w:val="left" w:pos="1134"/>
          <w:tab w:val="left" w:pos="1701"/>
          <w:tab w:val="left" w:pos="2268"/>
          <w:tab w:val="left" w:pos="2835"/>
        </w:tabs>
        <w:rPr>
          <w:lang w:val="fr-FR"/>
        </w:rPr>
      </w:pPr>
      <w:r>
        <w:rPr>
          <w:lang w:val="fr-FR"/>
        </w:rPr>
        <w:t>638</w:t>
      </w:r>
      <w:r w:rsidR="00E26EE0">
        <w:rPr>
          <w:lang w:val="fr-FR"/>
        </w:rPr>
        <w:t>.</w:t>
      </w:r>
      <w:r w:rsidR="00E26EE0">
        <w:rPr>
          <w:lang w:val="fr-FR"/>
        </w:rPr>
        <w:tab/>
        <w:t xml:space="preserve">Quand un décès </w:t>
      </w:r>
      <w:r w:rsidR="00E26EE0" w:rsidRPr="003F0274">
        <w:rPr>
          <w:lang w:val="fr-FR"/>
        </w:rPr>
        <w:t xml:space="preserve">survient </w:t>
      </w:r>
      <w:r w:rsidR="003F0274">
        <w:rPr>
          <w:lang w:val="fr-FR"/>
        </w:rPr>
        <w:t>en détention</w:t>
      </w:r>
      <w:r w:rsidR="00E26EE0">
        <w:rPr>
          <w:lang w:val="fr-FR"/>
        </w:rPr>
        <w:t>, les services pénitentiaires du Queensland enquêtent sur cet incident conformément à la</w:t>
      </w:r>
      <w:r w:rsidR="00E26EE0">
        <w:rPr>
          <w:i/>
          <w:iCs/>
          <w:lang w:val="fr-FR"/>
        </w:rPr>
        <w:t xml:space="preserve"> </w:t>
      </w:r>
      <w:r w:rsidR="00E26EE0" w:rsidRPr="008432C6">
        <w:rPr>
          <w:lang w:val="fr-FR"/>
        </w:rPr>
        <w:t>loi de 2006 sur les services pénit</w:t>
      </w:r>
      <w:r w:rsidR="00CB6140" w:rsidRPr="008432C6">
        <w:rPr>
          <w:lang w:val="fr-FR"/>
        </w:rPr>
        <w:t>e</w:t>
      </w:r>
      <w:r w:rsidR="00E26EE0" w:rsidRPr="008432C6">
        <w:rPr>
          <w:lang w:val="fr-FR"/>
        </w:rPr>
        <w:t>ntiaires</w:t>
      </w:r>
      <w:r w:rsidR="00CB6140">
        <w:rPr>
          <w:lang w:val="fr-FR"/>
        </w:rPr>
        <w:t>.</w:t>
      </w:r>
    </w:p>
    <w:p w:rsidR="009A7F42" w:rsidRPr="00E26EE0" w:rsidRDefault="00CB6140" w:rsidP="005D7B68">
      <w:pPr>
        <w:tabs>
          <w:tab w:val="left" w:pos="567"/>
          <w:tab w:val="left" w:pos="1134"/>
          <w:tab w:val="left" w:pos="1701"/>
          <w:tab w:val="left" w:pos="2268"/>
          <w:tab w:val="left" w:pos="2835"/>
        </w:tabs>
        <w:rPr>
          <w:b/>
          <w:bCs/>
          <w:lang w:val="fr-FR"/>
        </w:rPr>
      </w:pPr>
      <w:r>
        <w:rPr>
          <w:lang w:val="fr-FR"/>
        </w:rPr>
        <w:t>6</w:t>
      </w:r>
      <w:r w:rsidR="002A6CEC">
        <w:rPr>
          <w:lang w:val="fr-FR"/>
        </w:rPr>
        <w:t>39</w:t>
      </w:r>
      <w:r>
        <w:rPr>
          <w:lang w:val="fr-FR"/>
        </w:rPr>
        <w:t>.</w:t>
      </w:r>
      <w:r>
        <w:rPr>
          <w:lang w:val="fr-FR"/>
        </w:rPr>
        <w:tab/>
        <w:t>Le tableau ci-après présente le nombre de décès de condamnés et de personnes placées en détention provisoire dans les servic</w:t>
      </w:r>
      <w:r w:rsidR="00151BFB">
        <w:rPr>
          <w:lang w:val="fr-FR"/>
        </w:rPr>
        <w:t>es pénitentiaires du Queensland et</w:t>
      </w:r>
      <w:r>
        <w:rPr>
          <w:lang w:val="fr-FR"/>
        </w:rPr>
        <w:t xml:space="preserve"> la cause de la mort, en indiquant si le détenu était un aborigène</w:t>
      </w:r>
      <w:r w:rsidR="008D6B80">
        <w:rPr>
          <w:lang w:val="fr-FR"/>
        </w:rPr>
        <w:t xml:space="preserve">. </w:t>
      </w:r>
      <w:r>
        <w:rPr>
          <w:lang w:val="fr-FR"/>
        </w:rPr>
        <w:t>Il couvre les années budgétaires de juillet 1997 à juin 2006</w:t>
      </w:r>
      <w:r w:rsidR="008D6B80">
        <w:rPr>
          <w:lang w:val="fr-FR"/>
        </w:rPr>
        <w:t xml:space="preserve">. </w:t>
      </w:r>
      <w:r>
        <w:rPr>
          <w:lang w:val="fr-FR"/>
        </w:rPr>
        <w:t>Pendant cette période, le nombre de décès par an a diminué</w:t>
      </w:r>
      <w:r w:rsidR="00E53FC6">
        <w:rPr>
          <w:lang w:val="fr-FR"/>
        </w:rPr>
        <w:t xml:space="preserve"> de manière significative, deux </w:t>
      </w:r>
      <w:r>
        <w:rPr>
          <w:lang w:val="fr-FR"/>
        </w:rPr>
        <w:t xml:space="preserve">décès apparemment dus à des causes naturelles ayant été enregistrés au cours de l’année budgétaire 2005-06. </w:t>
      </w:r>
      <w:r w:rsidR="00E26EE0" w:rsidRPr="00E26EE0">
        <w:rPr>
          <w:b/>
          <w:bCs/>
          <w:lang w:val="fr-FR"/>
        </w:rPr>
        <w:tab/>
      </w:r>
    </w:p>
    <w:p w:rsidR="00CB6140" w:rsidRPr="00235A3C" w:rsidRDefault="00235A3C" w:rsidP="005D7B68">
      <w:pPr>
        <w:pStyle w:val="Heading2"/>
        <w:tabs>
          <w:tab w:val="left" w:pos="567"/>
          <w:tab w:val="left" w:pos="1134"/>
          <w:tab w:val="left" w:pos="1701"/>
          <w:tab w:val="left" w:pos="2268"/>
          <w:tab w:val="left" w:pos="2835"/>
        </w:tabs>
        <w:rPr>
          <w:lang w:val="fr-FR"/>
        </w:rPr>
      </w:pPr>
      <w:bookmarkStart w:id="36" w:name="_Toc193614106"/>
      <w:r w:rsidRPr="00235A3C">
        <w:rPr>
          <w:lang w:val="fr-FR"/>
        </w:rPr>
        <w:t xml:space="preserve">Décès de personnes placées en </w:t>
      </w:r>
      <w:r>
        <w:rPr>
          <w:lang w:val="fr-FR"/>
        </w:rPr>
        <w:t>dé</w:t>
      </w:r>
      <w:r w:rsidRPr="00235A3C">
        <w:rPr>
          <w:lang w:val="fr-FR"/>
        </w:rPr>
        <w:t xml:space="preserve">tention </w:t>
      </w:r>
      <w:r>
        <w:rPr>
          <w:lang w:val="fr-FR"/>
        </w:rPr>
        <w:t>dans les services péniten</w:t>
      </w:r>
      <w:r w:rsidRPr="00235A3C">
        <w:rPr>
          <w:lang w:val="fr-FR"/>
        </w:rPr>
        <w:t>tiaires</w:t>
      </w:r>
      <w:r w:rsidR="00CB6140" w:rsidRPr="00235A3C">
        <w:rPr>
          <w:lang w:val="fr-FR"/>
        </w:rPr>
        <w:t xml:space="preserve"> </w:t>
      </w:r>
      <w:r w:rsidR="00A64086">
        <w:rPr>
          <w:lang w:val="fr-FR"/>
        </w:rPr>
        <w:t>–</w:t>
      </w:r>
      <w:r w:rsidR="00A64086">
        <w:rPr>
          <w:lang w:val="fr-FR"/>
        </w:rPr>
        <w:br/>
        <w:t>d</w:t>
      </w:r>
      <w:r>
        <w:rPr>
          <w:lang w:val="fr-FR"/>
        </w:rPr>
        <w:t>e juin 1997 à juin</w:t>
      </w:r>
      <w:r w:rsidR="00CB6140" w:rsidRPr="00235A3C">
        <w:rPr>
          <w:lang w:val="fr-FR"/>
        </w:rPr>
        <w:t xml:space="preserve"> 2006</w:t>
      </w:r>
      <w:bookmarkEnd w:id="36"/>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340"/>
        <w:gridCol w:w="1173"/>
        <w:gridCol w:w="1191"/>
        <w:gridCol w:w="1155"/>
        <w:gridCol w:w="1182"/>
        <w:gridCol w:w="1164"/>
        <w:gridCol w:w="1174"/>
      </w:tblGrid>
      <w:tr w:rsidR="00CB6140" w:rsidRPr="00567DF1">
        <w:tc>
          <w:tcPr>
            <w:tcW w:w="2340" w:type="dxa"/>
            <w:vMerge w:val="restart"/>
            <w:tcBorders>
              <w:top w:val="single" w:sz="4" w:space="0" w:color="auto"/>
              <w:bottom w:val="single" w:sz="4" w:space="0" w:color="auto"/>
            </w:tcBorders>
            <w:shd w:val="clear" w:color="auto" w:fill="auto"/>
            <w:vAlign w:val="center"/>
          </w:tcPr>
          <w:p w:rsidR="00CB6140" w:rsidRPr="00E70CB6" w:rsidRDefault="00E70CB6" w:rsidP="005D7B68">
            <w:pPr>
              <w:tabs>
                <w:tab w:val="left" w:pos="567"/>
                <w:tab w:val="left" w:pos="1134"/>
                <w:tab w:val="left" w:pos="1701"/>
                <w:tab w:val="left" w:pos="2268"/>
                <w:tab w:val="left" w:pos="2835"/>
              </w:tabs>
              <w:spacing w:after="0"/>
              <w:jc w:val="center"/>
              <w:rPr>
                <w:sz w:val="20"/>
                <w:lang w:val="fr-FR"/>
              </w:rPr>
            </w:pPr>
            <w:r w:rsidRPr="00E70CB6">
              <w:rPr>
                <w:sz w:val="20"/>
                <w:lang w:val="fr-FR"/>
              </w:rPr>
              <w:t>Cause apparente de la mort</w:t>
            </w:r>
          </w:p>
        </w:tc>
        <w:tc>
          <w:tcPr>
            <w:tcW w:w="2364" w:type="dxa"/>
            <w:gridSpan w:val="2"/>
            <w:tcBorders>
              <w:top w:val="single" w:sz="4" w:space="0" w:color="auto"/>
              <w:bottom w:val="single" w:sz="4" w:space="0" w:color="auto"/>
            </w:tcBorders>
            <w:shd w:val="clear" w:color="auto" w:fill="auto"/>
            <w:vAlign w:val="center"/>
          </w:tcPr>
          <w:p w:rsidR="00CB6140" w:rsidRPr="00567DF1" w:rsidRDefault="00CB6140" w:rsidP="005D7B68">
            <w:pPr>
              <w:tabs>
                <w:tab w:val="left" w:pos="567"/>
                <w:tab w:val="left" w:pos="1134"/>
                <w:tab w:val="left" w:pos="1701"/>
                <w:tab w:val="left" w:pos="2268"/>
                <w:tab w:val="left" w:pos="2835"/>
              </w:tabs>
              <w:spacing w:after="0"/>
              <w:jc w:val="center"/>
              <w:rPr>
                <w:sz w:val="20"/>
              </w:rPr>
            </w:pPr>
            <w:r w:rsidRPr="00567DF1">
              <w:rPr>
                <w:sz w:val="20"/>
              </w:rPr>
              <w:t>1997-98</w:t>
            </w:r>
          </w:p>
        </w:tc>
        <w:tc>
          <w:tcPr>
            <w:tcW w:w="2337" w:type="dxa"/>
            <w:gridSpan w:val="2"/>
            <w:tcBorders>
              <w:top w:val="single" w:sz="4" w:space="0" w:color="auto"/>
              <w:bottom w:val="single" w:sz="4" w:space="0" w:color="auto"/>
            </w:tcBorders>
            <w:shd w:val="clear" w:color="auto" w:fill="auto"/>
            <w:vAlign w:val="center"/>
          </w:tcPr>
          <w:p w:rsidR="00CB6140" w:rsidRPr="00567DF1" w:rsidRDefault="00CB6140" w:rsidP="005D7B68">
            <w:pPr>
              <w:tabs>
                <w:tab w:val="left" w:pos="567"/>
                <w:tab w:val="left" w:pos="1134"/>
                <w:tab w:val="left" w:pos="1701"/>
                <w:tab w:val="left" w:pos="2268"/>
                <w:tab w:val="left" w:pos="2835"/>
              </w:tabs>
              <w:spacing w:after="0"/>
              <w:jc w:val="center"/>
              <w:rPr>
                <w:sz w:val="20"/>
              </w:rPr>
            </w:pPr>
            <w:r w:rsidRPr="00567DF1">
              <w:rPr>
                <w:sz w:val="20"/>
              </w:rPr>
              <w:t>1998-99</w:t>
            </w:r>
          </w:p>
        </w:tc>
        <w:tc>
          <w:tcPr>
            <w:tcW w:w="2338" w:type="dxa"/>
            <w:gridSpan w:val="2"/>
            <w:tcBorders>
              <w:top w:val="single" w:sz="4" w:space="0" w:color="auto"/>
              <w:bottom w:val="single" w:sz="4" w:space="0" w:color="auto"/>
            </w:tcBorders>
            <w:shd w:val="clear" w:color="auto" w:fill="auto"/>
            <w:vAlign w:val="center"/>
          </w:tcPr>
          <w:p w:rsidR="00CB6140" w:rsidRPr="00567DF1" w:rsidRDefault="00CB6140" w:rsidP="005D7B68">
            <w:pPr>
              <w:tabs>
                <w:tab w:val="left" w:pos="567"/>
                <w:tab w:val="left" w:pos="1134"/>
                <w:tab w:val="left" w:pos="1701"/>
                <w:tab w:val="left" w:pos="2268"/>
                <w:tab w:val="left" w:pos="2835"/>
              </w:tabs>
              <w:spacing w:after="0"/>
              <w:jc w:val="center"/>
              <w:rPr>
                <w:sz w:val="20"/>
              </w:rPr>
            </w:pPr>
            <w:r w:rsidRPr="00567DF1">
              <w:rPr>
                <w:sz w:val="20"/>
              </w:rPr>
              <w:t>1999-2000</w:t>
            </w:r>
          </w:p>
        </w:tc>
      </w:tr>
      <w:tr w:rsidR="00CB6140" w:rsidRPr="00567DF1">
        <w:tc>
          <w:tcPr>
            <w:tcW w:w="2340" w:type="dxa"/>
            <w:vMerge/>
            <w:tcBorders>
              <w:top w:val="single" w:sz="4" w:space="0" w:color="auto"/>
              <w:bottom w:val="single" w:sz="4" w:space="0" w:color="auto"/>
            </w:tcBorders>
            <w:shd w:val="clear" w:color="auto" w:fill="auto"/>
            <w:vAlign w:val="center"/>
          </w:tcPr>
          <w:p w:rsidR="00CB6140" w:rsidRPr="00567DF1" w:rsidRDefault="00CB6140" w:rsidP="005D7B68">
            <w:pPr>
              <w:tabs>
                <w:tab w:val="left" w:pos="567"/>
                <w:tab w:val="left" w:pos="1134"/>
                <w:tab w:val="left" w:pos="1701"/>
                <w:tab w:val="left" w:pos="2268"/>
                <w:tab w:val="left" w:pos="2835"/>
              </w:tabs>
              <w:spacing w:after="0"/>
              <w:jc w:val="center"/>
              <w:rPr>
                <w:sz w:val="20"/>
              </w:rPr>
            </w:pPr>
          </w:p>
        </w:tc>
        <w:tc>
          <w:tcPr>
            <w:tcW w:w="1173" w:type="dxa"/>
            <w:tcBorders>
              <w:top w:val="single" w:sz="4" w:space="0" w:color="auto"/>
              <w:bottom w:val="single" w:sz="4" w:space="0" w:color="auto"/>
            </w:tcBorders>
            <w:shd w:val="clear" w:color="auto" w:fill="auto"/>
            <w:vAlign w:val="center"/>
          </w:tcPr>
          <w:p w:rsidR="00CB6140" w:rsidRPr="00567DF1" w:rsidRDefault="00E70CB6" w:rsidP="005D7B68">
            <w:pPr>
              <w:tabs>
                <w:tab w:val="left" w:pos="567"/>
                <w:tab w:val="left" w:pos="1134"/>
                <w:tab w:val="left" w:pos="1701"/>
                <w:tab w:val="left" w:pos="2268"/>
                <w:tab w:val="left" w:pos="2835"/>
              </w:tabs>
              <w:spacing w:after="0"/>
              <w:jc w:val="center"/>
              <w:rPr>
                <w:sz w:val="20"/>
              </w:rPr>
            </w:pPr>
            <w:r>
              <w:rPr>
                <w:sz w:val="20"/>
              </w:rPr>
              <w:t>Aborigènes</w:t>
            </w:r>
          </w:p>
        </w:tc>
        <w:tc>
          <w:tcPr>
            <w:tcW w:w="1191" w:type="dxa"/>
            <w:tcBorders>
              <w:top w:val="single" w:sz="4" w:space="0" w:color="auto"/>
              <w:bottom w:val="single" w:sz="4" w:space="0" w:color="auto"/>
            </w:tcBorders>
            <w:shd w:val="clear" w:color="auto" w:fill="auto"/>
            <w:vAlign w:val="center"/>
          </w:tcPr>
          <w:p w:rsidR="00CB6140" w:rsidRPr="00567DF1" w:rsidRDefault="00CB6140" w:rsidP="005D7B68">
            <w:pPr>
              <w:tabs>
                <w:tab w:val="left" w:pos="567"/>
                <w:tab w:val="left" w:pos="1134"/>
                <w:tab w:val="left" w:pos="1701"/>
                <w:tab w:val="left" w:pos="2268"/>
                <w:tab w:val="left" w:pos="2835"/>
              </w:tabs>
              <w:spacing w:after="0"/>
              <w:jc w:val="center"/>
              <w:rPr>
                <w:sz w:val="20"/>
              </w:rPr>
            </w:pPr>
            <w:r w:rsidRPr="00567DF1">
              <w:rPr>
                <w:sz w:val="20"/>
              </w:rPr>
              <w:t>Non</w:t>
            </w:r>
            <w:r w:rsidR="00E70CB6">
              <w:rPr>
                <w:sz w:val="20"/>
              </w:rPr>
              <w:t xml:space="preserve"> aborigènes</w:t>
            </w:r>
          </w:p>
        </w:tc>
        <w:tc>
          <w:tcPr>
            <w:tcW w:w="1155" w:type="dxa"/>
            <w:tcBorders>
              <w:top w:val="single" w:sz="4" w:space="0" w:color="auto"/>
              <w:bottom w:val="single" w:sz="4" w:space="0" w:color="auto"/>
            </w:tcBorders>
            <w:shd w:val="clear" w:color="auto" w:fill="auto"/>
            <w:vAlign w:val="center"/>
          </w:tcPr>
          <w:p w:rsidR="00CB6140" w:rsidRPr="00567DF1" w:rsidRDefault="00E70CB6" w:rsidP="005D7B68">
            <w:pPr>
              <w:tabs>
                <w:tab w:val="left" w:pos="567"/>
                <w:tab w:val="left" w:pos="1134"/>
                <w:tab w:val="left" w:pos="1701"/>
                <w:tab w:val="left" w:pos="2268"/>
                <w:tab w:val="left" w:pos="2835"/>
              </w:tabs>
              <w:spacing w:after="0"/>
              <w:jc w:val="center"/>
              <w:rPr>
                <w:sz w:val="20"/>
              </w:rPr>
            </w:pPr>
            <w:r>
              <w:rPr>
                <w:sz w:val="20"/>
              </w:rPr>
              <w:t>Aborigènes</w:t>
            </w:r>
          </w:p>
        </w:tc>
        <w:tc>
          <w:tcPr>
            <w:tcW w:w="1182" w:type="dxa"/>
            <w:tcBorders>
              <w:top w:val="single" w:sz="4" w:space="0" w:color="auto"/>
              <w:bottom w:val="single" w:sz="4" w:space="0" w:color="auto"/>
            </w:tcBorders>
            <w:shd w:val="clear" w:color="auto" w:fill="auto"/>
            <w:vAlign w:val="center"/>
          </w:tcPr>
          <w:p w:rsidR="00CB6140" w:rsidRPr="00567DF1" w:rsidRDefault="00E70CB6" w:rsidP="005D7B68">
            <w:pPr>
              <w:tabs>
                <w:tab w:val="left" w:pos="567"/>
                <w:tab w:val="left" w:pos="1134"/>
                <w:tab w:val="left" w:pos="1701"/>
                <w:tab w:val="left" w:pos="2268"/>
                <w:tab w:val="left" w:pos="2835"/>
              </w:tabs>
              <w:spacing w:after="0"/>
              <w:jc w:val="center"/>
              <w:rPr>
                <w:sz w:val="20"/>
              </w:rPr>
            </w:pPr>
            <w:r>
              <w:rPr>
                <w:sz w:val="20"/>
              </w:rPr>
              <w:t>Non aborigènes</w:t>
            </w:r>
          </w:p>
        </w:tc>
        <w:tc>
          <w:tcPr>
            <w:tcW w:w="1164" w:type="dxa"/>
            <w:tcBorders>
              <w:top w:val="single" w:sz="4" w:space="0" w:color="auto"/>
              <w:bottom w:val="single" w:sz="4" w:space="0" w:color="auto"/>
            </w:tcBorders>
            <w:shd w:val="clear" w:color="auto" w:fill="auto"/>
            <w:vAlign w:val="center"/>
          </w:tcPr>
          <w:p w:rsidR="00CB6140" w:rsidRPr="00567DF1" w:rsidRDefault="00E70CB6" w:rsidP="005D7B68">
            <w:pPr>
              <w:tabs>
                <w:tab w:val="left" w:pos="567"/>
                <w:tab w:val="left" w:pos="1134"/>
                <w:tab w:val="left" w:pos="1701"/>
                <w:tab w:val="left" w:pos="2268"/>
                <w:tab w:val="left" w:pos="2835"/>
              </w:tabs>
              <w:spacing w:after="0"/>
              <w:jc w:val="center"/>
              <w:rPr>
                <w:sz w:val="20"/>
              </w:rPr>
            </w:pPr>
            <w:r>
              <w:rPr>
                <w:sz w:val="20"/>
              </w:rPr>
              <w:t>Aborigènes</w:t>
            </w:r>
          </w:p>
        </w:tc>
        <w:tc>
          <w:tcPr>
            <w:tcW w:w="1174" w:type="dxa"/>
            <w:tcBorders>
              <w:top w:val="single" w:sz="4" w:space="0" w:color="auto"/>
              <w:bottom w:val="single" w:sz="4" w:space="0" w:color="auto"/>
            </w:tcBorders>
            <w:shd w:val="clear" w:color="auto" w:fill="auto"/>
            <w:vAlign w:val="center"/>
          </w:tcPr>
          <w:p w:rsidR="00CB6140" w:rsidRPr="00567DF1" w:rsidRDefault="00E70CB6" w:rsidP="005D7B68">
            <w:pPr>
              <w:tabs>
                <w:tab w:val="left" w:pos="567"/>
                <w:tab w:val="left" w:pos="1134"/>
                <w:tab w:val="left" w:pos="1701"/>
                <w:tab w:val="left" w:pos="2268"/>
                <w:tab w:val="left" w:pos="2835"/>
              </w:tabs>
              <w:spacing w:after="0"/>
              <w:jc w:val="center"/>
              <w:rPr>
                <w:sz w:val="20"/>
              </w:rPr>
            </w:pPr>
            <w:r>
              <w:rPr>
                <w:sz w:val="20"/>
              </w:rPr>
              <w:t>Non aborigènes</w:t>
            </w:r>
          </w:p>
        </w:tc>
      </w:tr>
      <w:tr w:rsidR="00CB6140" w:rsidRPr="00567DF1">
        <w:tc>
          <w:tcPr>
            <w:tcW w:w="2340" w:type="dxa"/>
            <w:tcBorders>
              <w:top w:val="single" w:sz="4" w:space="0" w:color="auto"/>
              <w:bottom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rPr>
                <w:sz w:val="20"/>
              </w:rPr>
            </w:pPr>
            <w:r>
              <w:rPr>
                <w:sz w:val="20"/>
              </w:rPr>
              <w:t>Appar</w:t>
            </w:r>
            <w:r w:rsidR="00E70CB6">
              <w:rPr>
                <w:sz w:val="20"/>
              </w:rPr>
              <w:t>emment non naturelle</w:t>
            </w:r>
          </w:p>
        </w:tc>
        <w:tc>
          <w:tcPr>
            <w:tcW w:w="1173" w:type="dxa"/>
            <w:tcBorders>
              <w:top w:val="single" w:sz="4" w:space="0" w:color="auto"/>
              <w:bottom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jc w:val="center"/>
              <w:rPr>
                <w:sz w:val="20"/>
              </w:rPr>
            </w:pPr>
          </w:p>
        </w:tc>
        <w:tc>
          <w:tcPr>
            <w:tcW w:w="1191" w:type="dxa"/>
            <w:tcBorders>
              <w:top w:val="single" w:sz="4" w:space="0" w:color="auto"/>
              <w:bottom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jc w:val="right"/>
              <w:rPr>
                <w:sz w:val="20"/>
              </w:rPr>
            </w:pPr>
          </w:p>
        </w:tc>
        <w:tc>
          <w:tcPr>
            <w:tcW w:w="1155" w:type="dxa"/>
            <w:tcBorders>
              <w:top w:val="single" w:sz="4" w:space="0" w:color="auto"/>
              <w:bottom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jc w:val="center"/>
              <w:rPr>
                <w:sz w:val="20"/>
              </w:rPr>
            </w:pPr>
          </w:p>
        </w:tc>
        <w:tc>
          <w:tcPr>
            <w:tcW w:w="1182" w:type="dxa"/>
            <w:tcBorders>
              <w:top w:val="single" w:sz="4" w:space="0" w:color="auto"/>
              <w:bottom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jc w:val="right"/>
              <w:rPr>
                <w:sz w:val="20"/>
              </w:rPr>
            </w:pPr>
          </w:p>
        </w:tc>
        <w:tc>
          <w:tcPr>
            <w:tcW w:w="1164" w:type="dxa"/>
            <w:tcBorders>
              <w:top w:val="single" w:sz="4" w:space="0" w:color="auto"/>
              <w:bottom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jc w:val="center"/>
              <w:rPr>
                <w:sz w:val="20"/>
              </w:rPr>
            </w:pPr>
          </w:p>
        </w:tc>
        <w:tc>
          <w:tcPr>
            <w:tcW w:w="1174" w:type="dxa"/>
            <w:tcBorders>
              <w:top w:val="single" w:sz="4" w:space="0" w:color="auto"/>
              <w:bottom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jc w:val="right"/>
              <w:rPr>
                <w:sz w:val="20"/>
              </w:rPr>
            </w:pPr>
          </w:p>
        </w:tc>
      </w:tr>
      <w:tr w:rsidR="00CB6140" w:rsidRPr="00567DF1">
        <w:tc>
          <w:tcPr>
            <w:tcW w:w="2340" w:type="dxa"/>
            <w:tcBorders>
              <w:top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rPr>
                <w:sz w:val="20"/>
              </w:rPr>
            </w:pPr>
            <w:r w:rsidRPr="00567DF1">
              <w:rPr>
                <w:sz w:val="20"/>
              </w:rPr>
              <w:t>Suicide</w:t>
            </w:r>
          </w:p>
        </w:tc>
        <w:tc>
          <w:tcPr>
            <w:tcW w:w="1173" w:type="dxa"/>
            <w:tcBorders>
              <w:top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1</w:t>
            </w:r>
          </w:p>
        </w:tc>
        <w:tc>
          <w:tcPr>
            <w:tcW w:w="1191" w:type="dxa"/>
            <w:tcBorders>
              <w:top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3</w:t>
            </w:r>
          </w:p>
        </w:tc>
        <w:tc>
          <w:tcPr>
            <w:tcW w:w="1155" w:type="dxa"/>
            <w:tcBorders>
              <w:top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1</w:t>
            </w:r>
          </w:p>
        </w:tc>
        <w:tc>
          <w:tcPr>
            <w:tcW w:w="1182" w:type="dxa"/>
            <w:tcBorders>
              <w:top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4</w:t>
            </w:r>
          </w:p>
        </w:tc>
        <w:tc>
          <w:tcPr>
            <w:tcW w:w="1164" w:type="dxa"/>
            <w:tcBorders>
              <w:top w:val="nil"/>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0</w:t>
            </w:r>
          </w:p>
        </w:tc>
        <w:tc>
          <w:tcPr>
            <w:tcW w:w="1174" w:type="dxa"/>
            <w:tcBorders>
              <w:top w:val="nil"/>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5</w:t>
            </w:r>
          </w:p>
        </w:tc>
      </w:tr>
      <w:tr w:rsidR="00CB6140" w:rsidRPr="00567DF1">
        <w:tc>
          <w:tcPr>
            <w:tcW w:w="2340" w:type="dxa"/>
            <w:shd w:val="clear" w:color="auto" w:fill="auto"/>
          </w:tcPr>
          <w:p w:rsidR="00CB6140" w:rsidRPr="00567DF1" w:rsidRDefault="00E70CB6" w:rsidP="005D7B68">
            <w:pPr>
              <w:tabs>
                <w:tab w:val="left" w:pos="567"/>
                <w:tab w:val="left" w:pos="1134"/>
                <w:tab w:val="left" w:pos="1701"/>
                <w:tab w:val="left" w:pos="2268"/>
                <w:tab w:val="left" w:pos="2835"/>
              </w:tabs>
              <w:spacing w:after="0"/>
              <w:rPr>
                <w:sz w:val="20"/>
              </w:rPr>
            </w:pPr>
            <w:r>
              <w:rPr>
                <w:sz w:val="20"/>
              </w:rPr>
              <w:t>Meurtre</w:t>
            </w:r>
            <w:r w:rsidR="00CB6140" w:rsidRPr="00567DF1">
              <w:rPr>
                <w:sz w:val="20"/>
              </w:rPr>
              <w:t>/homicide</w:t>
            </w:r>
          </w:p>
        </w:tc>
        <w:tc>
          <w:tcPr>
            <w:tcW w:w="1173" w:type="dxa"/>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0</w:t>
            </w:r>
          </w:p>
        </w:tc>
        <w:tc>
          <w:tcPr>
            <w:tcW w:w="1191" w:type="dxa"/>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2</w:t>
            </w:r>
          </w:p>
        </w:tc>
        <w:tc>
          <w:tcPr>
            <w:tcW w:w="1155" w:type="dxa"/>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0</w:t>
            </w:r>
          </w:p>
        </w:tc>
        <w:tc>
          <w:tcPr>
            <w:tcW w:w="1182" w:type="dxa"/>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2</w:t>
            </w:r>
          </w:p>
        </w:tc>
        <w:tc>
          <w:tcPr>
            <w:tcW w:w="1164" w:type="dxa"/>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0</w:t>
            </w:r>
          </w:p>
        </w:tc>
        <w:tc>
          <w:tcPr>
            <w:tcW w:w="1174" w:type="dxa"/>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1</w:t>
            </w:r>
          </w:p>
        </w:tc>
      </w:tr>
      <w:tr w:rsidR="00CB6140" w:rsidRPr="00567DF1">
        <w:tc>
          <w:tcPr>
            <w:tcW w:w="2340" w:type="dxa"/>
            <w:tcBorders>
              <w:bottom w:val="single" w:sz="4" w:space="0" w:color="auto"/>
            </w:tcBorders>
            <w:shd w:val="clear" w:color="auto" w:fill="auto"/>
          </w:tcPr>
          <w:p w:rsidR="00CB6140" w:rsidRPr="00E70CB6" w:rsidRDefault="00E70CB6" w:rsidP="005D7B68">
            <w:pPr>
              <w:tabs>
                <w:tab w:val="left" w:pos="567"/>
                <w:tab w:val="left" w:pos="1134"/>
                <w:tab w:val="left" w:pos="1701"/>
                <w:tab w:val="left" w:pos="2268"/>
                <w:tab w:val="left" w:pos="2835"/>
              </w:tabs>
              <w:spacing w:after="0"/>
              <w:rPr>
                <w:sz w:val="20"/>
                <w:lang w:val="fr-FR"/>
              </w:rPr>
            </w:pPr>
            <w:r w:rsidRPr="00E70CB6">
              <w:rPr>
                <w:sz w:val="20"/>
                <w:lang w:val="fr-FR"/>
              </w:rPr>
              <w:t>Accidentelle/</w:t>
            </w:r>
            <w:r w:rsidR="00CB6140" w:rsidRPr="00E70CB6">
              <w:rPr>
                <w:sz w:val="20"/>
                <w:lang w:val="fr-FR"/>
              </w:rPr>
              <w:t>accident/</w:t>
            </w:r>
            <w:r w:rsidR="00CB6140" w:rsidRPr="00E70CB6">
              <w:rPr>
                <w:sz w:val="20"/>
                <w:lang w:val="fr-FR"/>
              </w:rPr>
              <w:br/>
            </w:r>
            <w:r w:rsidRPr="00E70CB6">
              <w:rPr>
                <w:sz w:val="20"/>
                <w:lang w:val="fr-FR"/>
              </w:rPr>
              <w:t>surdose de drogue</w:t>
            </w:r>
          </w:p>
        </w:tc>
        <w:tc>
          <w:tcPr>
            <w:tcW w:w="1173" w:type="dxa"/>
            <w:tcBorders>
              <w:bottom w:val="single" w:sz="4" w:space="0" w:color="auto"/>
            </w:tcBorders>
            <w:shd w:val="clear" w:color="auto" w:fill="auto"/>
            <w:vAlign w:val="bottom"/>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0</w:t>
            </w:r>
          </w:p>
        </w:tc>
        <w:tc>
          <w:tcPr>
            <w:tcW w:w="1191" w:type="dxa"/>
            <w:tcBorders>
              <w:bottom w:val="single" w:sz="4" w:space="0" w:color="auto"/>
            </w:tcBorders>
            <w:shd w:val="clear" w:color="auto" w:fill="auto"/>
            <w:tcMar>
              <w:right w:w="539" w:type="dxa"/>
            </w:tcMar>
            <w:vAlign w:val="bottom"/>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3</w:t>
            </w:r>
          </w:p>
        </w:tc>
        <w:tc>
          <w:tcPr>
            <w:tcW w:w="1155" w:type="dxa"/>
            <w:tcBorders>
              <w:bottom w:val="single" w:sz="4" w:space="0" w:color="auto"/>
            </w:tcBorders>
            <w:shd w:val="clear" w:color="auto" w:fill="auto"/>
            <w:vAlign w:val="bottom"/>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0</w:t>
            </w:r>
          </w:p>
        </w:tc>
        <w:tc>
          <w:tcPr>
            <w:tcW w:w="1182" w:type="dxa"/>
            <w:tcBorders>
              <w:bottom w:val="single" w:sz="4" w:space="0" w:color="auto"/>
            </w:tcBorders>
            <w:shd w:val="clear" w:color="auto" w:fill="auto"/>
            <w:tcMar>
              <w:right w:w="539" w:type="dxa"/>
            </w:tcMar>
            <w:vAlign w:val="bottom"/>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2</w:t>
            </w:r>
          </w:p>
        </w:tc>
        <w:tc>
          <w:tcPr>
            <w:tcW w:w="1164" w:type="dxa"/>
            <w:tcBorders>
              <w:bottom w:val="single" w:sz="4" w:space="0" w:color="auto"/>
            </w:tcBorders>
            <w:shd w:val="clear" w:color="auto" w:fill="auto"/>
            <w:vAlign w:val="bottom"/>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0</w:t>
            </w:r>
          </w:p>
        </w:tc>
        <w:tc>
          <w:tcPr>
            <w:tcW w:w="1174" w:type="dxa"/>
            <w:tcBorders>
              <w:bottom w:val="single" w:sz="4" w:space="0" w:color="auto"/>
            </w:tcBorders>
            <w:shd w:val="clear" w:color="auto" w:fill="auto"/>
            <w:tcMar>
              <w:right w:w="539" w:type="dxa"/>
            </w:tcMar>
            <w:vAlign w:val="bottom"/>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1</w:t>
            </w:r>
          </w:p>
        </w:tc>
      </w:tr>
      <w:tr w:rsidR="00CB6140" w:rsidRPr="00567DF1">
        <w:tc>
          <w:tcPr>
            <w:tcW w:w="2340" w:type="dxa"/>
            <w:tcBorders>
              <w:top w:val="single" w:sz="4" w:space="0" w:color="auto"/>
              <w:bottom w:val="single" w:sz="4" w:space="0" w:color="auto"/>
            </w:tcBorders>
            <w:shd w:val="clear" w:color="auto" w:fill="auto"/>
          </w:tcPr>
          <w:p w:rsidR="00CB6140" w:rsidRPr="00567DF1" w:rsidRDefault="00572260" w:rsidP="005D7B68">
            <w:pPr>
              <w:tabs>
                <w:tab w:val="left" w:pos="567"/>
                <w:tab w:val="left" w:pos="1134"/>
                <w:tab w:val="left" w:pos="1701"/>
                <w:tab w:val="left" w:pos="2268"/>
                <w:tab w:val="left" w:pos="2835"/>
              </w:tabs>
              <w:spacing w:after="0"/>
              <w:rPr>
                <w:sz w:val="20"/>
              </w:rPr>
            </w:pPr>
            <w:r>
              <w:rPr>
                <w:sz w:val="20"/>
              </w:rPr>
              <w:t xml:space="preserve"> </w:t>
            </w:r>
            <w:r w:rsidR="00A64086">
              <w:rPr>
                <w:sz w:val="20"/>
              </w:rPr>
              <w:t xml:space="preserve"> </w:t>
            </w:r>
            <w:r w:rsidR="00E70CB6">
              <w:rPr>
                <w:sz w:val="20"/>
              </w:rPr>
              <w:t>Total non naturelle</w:t>
            </w:r>
            <w:r w:rsidR="00CB6140" w:rsidRPr="00567DF1">
              <w:rPr>
                <w:sz w:val="20"/>
              </w:rPr>
              <w:t xml:space="preserve"> </w:t>
            </w:r>
          </w:p>
        </w:tc>
        <w:tc>
          <w:tcPr>
            <w:tcW w:w="1173"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1</w:t>
            </w:r>
          </w:p>
        </w:tc>
        <w:tc>
          <w:tcPr>
            <w:tcW w:w="1191"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8</w:t>
            </w:r>
          </w:p>
        </w:tc>
        <w:tc>
          <w:tcPr>
            <w:tcW w:w="1155"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1</w:t>
            </w:r>
          </w:p>
        </w:tc>
        <w:tc>
          <w:tcPr>
            <w:tcW w:w="1182"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8</w:t>
            </w:r>
          </w:p>
        </w:tc>
        <w:tc>
          <w:tcPr>
            <w:tcW w:w="1164"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0</w:t>
            </w:r>
          </w:p>
        </w:tc>
        <w:tc>
          <w:tcPr>
            <w:tcW w:w="1174"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7</w:t>
            </w:r>
          </w:p>
        </w:tc>
      </w:tr>
      <w:tr w:rsidR="00CB6140" w:rsidRPr="00567DF1">
        <w:tc>
          <w:tcPr>
            <w:tcW w:w="2340" w:type="dxa"/>
            <w:tcBorders>
              <w:top w:val="single" w:sz="4" w:space="0" w:color="auto"/>
            </w:tcBorders>
            <w:shd w:val="clear" w:color="auto" w:fill="auto"/>
          </w:tcPr>
          <w:p w:rsidR="00CB6140" w:rsidRPr="00567DF1" w:rsidRDefault="00E70CB6" w:rsidP="005D7B68">
            <w:pPr>
              <w:tabs>
                <w:tab w:val="left" w:pos="567"/>
                <w:tab w:val="left" w:pos="1134"/>
                <w:tab w:val="left" w:pos="1701"/>
                <w:tab w:val="left" w:pos="2268"/>
                <w:tab w:val="left" w:pos="2835"/>
              </w:tabs>
              <w:spacing w:after="0"/>
              <w:rPr>
                <w:sz w:val="20"/>
              </w:rPr>
            </w:pPr>
            <w:r>
              <w:rPr>
                <w:sz w:val="20"/>
              </w:rPr>
              <w:t>Apparemment naturelle</w:t>
            </w:r>
          </w:p>
        </w:tc>
        <w:tc>
          <w:tcPr>
            <w:tcW w:w="1173" w:type="dxa"/>
            <w:tcBorders>
              <w:top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p>
        </w:tc>
        <w:tc>
          <w:tcPr>
            <w:tcW w:w="1191" w:type="dxa"/>
            <w:tcBorders>
              <w:top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p>
        </w:tc>
        <w:tc>
          <w:tcPr>
            <w:tcW w:w="1155" w:type="dxa"/>
            <w:tcBorders>
              <w:top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p>
        </w:tc>
        <w:tc>
          <w:tcPr>
            <w:tcW w:w="1182" w:type="dxa"/>
            <w:tcBorders>
              <w:top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p>
        </w:tc>
        <w:tc>
          <w:tcPr>
            <w:tcW w:w="1164" w:type="dxa"/>
            <w:tcBorders>
              <w:top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p>
        </w:tc>
        <w:tc>
          <w:tcPr>
            <w:tcW w:w="1174" w:type="dxa"/>
            <w:tcBorders>
              <w:top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p>
        </w:tc>
      </w:tr>
      <w:tr w:rsidR="00CB6140" w:rsidRPr="00567DF1">
        <w:tc>
          <w:tcPr>
            <w:tcW w:w="2340" w:type="dxa"/>
            <w:tcBorders>
              <w:bottom w:val="single" w:sz="4" w:space="0" w:color="auto"/>
            </w:tcBorders>
            <w:shd w:val="clear" w:color="auto" w:fill="auto"/>
          </w:tcPr>
          <w:p w:rsidR="00CB6140" w:rsidRPr="00567DF1" w:rsidRDefault="00E70CB6" w:rsidP="005D7B68">
            <w:pPr>
              <w:tabs>
                <w:tab w:val="left" w:pos="567"/>
                <w:tab w:val="left" w:pos="1134"/>
                <w:tab w:val="left" w:pos="1701"/>
                <w:tab w:val="left" w:pos="2268"/>
                <w:tab w:val="left" w:pos="2835"/>
              </w:tabs>
              <w:spacing w:after="0"/>
              <w:rPr>
                <w:sz w:val="20"/>
              </w:rPr>
            </w:pPr>
            <w:r>
              <w:rPr>
                <w:sz w:val="20"/>
              </w:rPr>
              <w:t>C</w:t>
            </w:r>
            <w:r w:rsidR="00CB6140" w:rsidRPr="00567DF1">
              <w:rPr>
                <w:sz w:val="20"/>
              </w:rPr>
              <w:t>auses</w:t>
            </w:r>
            <w:r>
              <w:rPr>
                <w:sz w:val="20"/>
              </w:rPr>
              <w:t xml:space="preserve"> naturelles</w:t>
            </w:r>
          </w:p>
        </w:tc>
        <w:tc>
          <w:tcPr>
            <w:tcW w:w="1173" w:type="dxa"/>
            <w:tcBorders>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0</w:t>
            </w:r>
          </w:p>
        </w:tc>
        <w:tc>
          <w:tcPr>
            <w:tcW w:w="1191" w:type="dxa"/>
            <w:tcBorders>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2</w:t>
            </w:r>
          </w:p>
        </w:tc>
        <w:tc>
          <w:tcPr>
            <w:tcW w:w="1155" w:type="dxa"/>
            <w:tcBorders>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3</w:t>
            </w:r>
          </w:p>
        </w:tc>
        <w:tc>
          <w:tcPr>
            <w:tcW w:w="1182" w:type="dxa"/>
            <w:tcBorders>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7</w:t>
            </w:r>
          </w:p>
        </w:tc>
        <w:tc>
          <w:tcPr>
            <w:tcW w:w="1164" w:type="dxa"/>
            <w:tcBorders>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1</w:t>
            </w:r>
          </w:p>
        </w:tc>
        <w:tc>
          <w:tcPr>
            <w:tcW w:w="1174" w:type="dxa"/>
            <w:tcBorders>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6</w:t>
            </w:r>
          </w:p>
        </w:tc>
      </w:tr>
      <w:tr w:rsidR="00CB6140" w:rsidRPr="00567DF1">
        <w:tc>
          <w:tcPr>
            <w:tcW w:w="2340" w:type="dxa"/>
            <w:tcBorders>
              <w:top w:val="single" w:sz="4" w:space="0" w:color="auto"/>
              <w:bottom w:val="single" w:sz="4" w:space="0" w:color="auto"/>
            </w:tcBorders>
            <w:shd w:val="clear" w:color="auto" w:fill="auto"/>
          </w:tcPr>
          <w:p w:rsidR="00CB6140" w:rsidRPr="00567DF1" w:rsidRDefault="00572260" w:rsidP="005D7B68">
            <w:pPr>
              <w:tabs>
                <w:tab w:val="left" w:pos="567"/>
                <w:tab w:val="left" w:pos="1134"/>
                <w:tab w:val="left" w:pos="1701"/>
                <w:tab w:val="left" w:pos="2268"/>
                <w:tab w:val="left" w:pos="2835"/>
              </w:tabs>
              <w:spacing w:after="0"/>
              <w:rPr>
                <w:sz w:val="20"/>
              </w:rPr>
            </w:pPr>
            <w:r>
              <w:rPr>
                <w:sz w:val="20"/>
              </w:rPr>
              <w:t xml:space="preserve"> </w:t>
            </w:r>
            <w:r w:rsidR="00A64086">
              <w:rPr>
                <w:sz w:val="20"/>
              </w:rPr>
              <w:t xml:space="preserve"> </w:t>
            </w:r>
            <w:r w:rsidR="00E70CB6">
              <w:rPr>
                <w:sz w:val="20"/>
              </w:rPr>
              <w:t>Total naturelle</w:t>
            </w:r>
          </w:p>
        </w:tc>
        <w:tc>
          <w:tcPr>
            <w:tcW w:w="1173"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65"/>
              <w:jc w:val="right"/>
              <w:rPr>
                <w:sz w:val="20"/>
              </w:rPr>
            </w:pPr>
            <w:r w:rsidRPr="00567DF1">
              <w:rPr>
                <w:sz w:val="20"/>
              </w:rPr>
              <w:t>0</w:t>
            </w:r>
          </w:p>
        </w:tc>
        <w:tc>
          <w:tcPr>
            <w:tcW w:w="1191"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35"/>
              <w:jc w:val="right"/>
              <w:rPr>
                <w:sz w:val="20"/>
              </w:rPr>
            </w:pPr>
            <w:r w:rsidRPr="00567DF1">
              <w:rPr>
                <w:sz w:val="20"/>
              </w:rPr>
              <w:t>2</w:t>
            </w:r>
          </w:p>
        </w:tc>
        <w:tc>
          <w:tcPr>
            <w:tcW w:w="1155"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19"/>
              <w:jc w:val="right"/>
              <w:rPr>
                <w:sz w:val="20"/>
              </w:rPr>
            </w:pPr>
            <w:r w:rsidRPr="00567DF1">
              <w:rPr>
                <w:sz w:val="20"/>
              </w:rPr>
              <w:t>3</w:t>
            </w:r>
          </w:p>
        </w:tc>
        <w:tc>
          <w:tcPr>
            <w:tcW w:w="1182"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287"/>
              <w:jc w:val="right"/>
              <w:rPr>
                <w:sz w:val="20"/>
              </w:rPr>
            </w:pPr>
            <w:r w:rsidRPr="00567DF1">
              <w:rPr>
                <w:sz w:val="20"/>
              </w:rPr>
              <w:t>7</w:t>
            </w:r>
          </w:p>
        </w:tc>
        <w:tc>
          <w:tcPr>
            <w:tcW w:w="1164" w:type="dxa"/>
            <w:tcBorders>
              <w:top w:val="single" w:sz="4" w:space="0" w:color="auto"/>
              <w:bottom w:val="single" w:sz="4" w:space="0" w:color="auto"/>
            </w:tcBorders>
            <w:shd w:val="clear" w:color="auto" w:fill="auto"/>
          </w:tcPr>
          <w:p w:rsidR="00CB6140" w:rsidRPr="00567DF1" w:rsidRDefault="00CB6140" w:rsidP="005D7B68">
            <w:pPr>
              <w:tabs>
                <w:tab w:val="left" w:pos="567"/>
                <w:tab w:val="left" w:pos="1134"/>
                <w:tab w:val="left" w:pos="1701"/>
                <w:tab w:val="left" w:pos="2268"/>
                <w:tab w:val="left" w:pos="2835"/>
              </w:tabs>
              <w:spacing w:after="0"/>
              <w:ind w:right="128"/>
              <w:jc w:val="right"/>
              <w:rPr>
                <w:sz w:val="20"/>
              </w:rPr>
            </w:pPr>
            <w:r w:rsidRPr="00567DF1">
              <w:rPr>
                <w:sz w:val="20"/>
              </w:rPr>
              <w:t>1</w:t>
            </w:r>
          </w:p>
        </w:tc>
        <w:tc>
          <w:tcPr>
            <w:tcW w:w="1174" w:type="dxa"/>
            <w:tcBorders>
              <w:top w:val="single" w:sz="4" w:space="0" w:color="auto"/>
              <w:bottom w:val="single" w:sz="4" w:space="0" w:color="auto"/>
            </w:tcBorders>
            <w:shd w:val="clear" w:color="auto" w:fill="auto"/>
            <w:tcMar>
              <w:right w:w="539" w:type="dxa"/>
            </w:tcMar>
          </w:tcPr>
          <w:p w:rsidR="00CB6140" w:rsidRPr="00567DF1" w:rsidRDefault="00CB6140" w:rsidP="005D7B68">
            <w:pPr>
              <w:tabs>
                <w:tab w:val="left" w:pos="567"/>
                <w:tab w:val="left" w:pos="1134"/>
                <w:tab w:val="left" w:pos="1701"/>
                <w:tab w:val="left" w:pos="2268"/>
                <w:tab w:val="left" w:pos="2835"/>
              </w:tabs>
              <w:spacing w:after="0"/>
              <w:ind w:right="-340"/>
              <w:jc w:val="right"/>
              <w:rPr>
                <w:sz w:val="20"/>
              </w:rPr>
            </w:pPr>
            <w:r w:rsidRPr="00567DF1">
              <w:rPr>
                <w:sz w:val="20"/>
              </w:rPr>
              <w:t>6</w:t>
            </w:r>
          </w:p>
        </w:tc>
      </w:tr>
      <w:tr w:rsidR="00CB6140" w:rsidRPr="00E53FC6">
        <w:tc>
          <w:tcPr>
            <w:tcW w:w="2340" w:type="dxa"/>
            <w:tcBorders>
              <w:top w:val="single" w:sz="4" w:space="0" w:color="auto"/>
            </w:tcBorders>
            <w:shd w:val="clear" w:color="auto" w:fill="auto"/>
          </w:tcPr>
          <w:p w:rsidR="00CB6140" w:rsidRPr="00E53FC6" w:rsidRDefault="00572260" w:rsidP="005D7B68">
            <w:pPr>
              <w:tabs>
                <w:tab w:val="left" w:pos="567"/>
                <w:tab w:val="left" w:pos="1134"/>
                <w:tab w:val="left" w:pos="1701"/>
                <w:tab w:val="left" w:pos="2268"/>
                <w:tab w:val="left" w:pos="2835"/>
              </w:tabs>
              <w:spacing w:after="0"/>
              <w:rPr>
                <w:b/>
                <w:bCs/>
                <w:sz w:val="20"/>
              </w:rPr>
            </w:pPr>
            <w:r w:rsidRPr="00E53FC6">
              <w:rPr>
                <w:b/>
                <w:bCs/>
                <w:sz w:val="20"/>
              </w:rPr>
              <w:t xml:space="preserve"> </w:t>
            </w:r>
            <w:r w:rsidR="00A64086" w:rsidRPr="00E53FC6">
              <w:rPr>
                <w:b/>
                <w:bCs/>
                <w:sz w:val="20"/>
              </w:rPr>
              <w:t xml:space="preserve"> </w:t>
            </w:r>
            <w:r w:rsidR="00CB6140" w:rsidRPr="00E53FC6">
              <w:rPr>
                <w:b/>
                <w:bCs/>
                <w:sz w:val="20"/>
              </w:rPr>
              <w:t>Total</w:t>
            </w:r>
          </w:p>
        </w:tc>
        <w:tc>
          <w:tcPr>
            <w:tcW w:w="1173" w:type="dxa"/>
            <w:tcBorders>
              <w:top w:val="single" w:sz="4" w:space="0" w:color="auto"/>
            </w:tcBorders>
            <w:shd w:val="clear" w:color="auto" w:fill="auto"/>
          </w:tcPr>
          <w:p w:rsidR="00CB6140" w:rsidRPr="00E53FC6" w:rsidRDefault="00CB6140" w:rsidP="005D7B68">
            <w:pPr>
              <w:tabs>
                <w:tab w:val="left" w:pos="567"/>
                <w:tab w:val="left" w:pos="1134"/>
                <w:tab w:val="left" w:pos="1701"/>
                <w:tab w:val="left" w:pos="2268"/>
                <w:tab w:val="left" w:pos="2835"/>
              </w:tabs>
              <w:spacing w:after="0"/>
              <w:ind w:right="165"/>
              <w:jc w:val="right"/>
              <w:rPr>
                <w:b/>
                <w:bCs/>
                <w:sz w:val="20"/>
              </w:rPr>
            </w:pPr>
            <w:r w:rsidRPr="00E53FC6">
              <w:rPr>
                <w:b/>
                <w:bCs/>
                <w:sz w:val="20"/>
              </w:rPr>
              <w:t>1</w:t>
            </w:r>
          </w:p>
        </w:tc>
        <w:tc>
          <w:tcPr>
            <w:tcW w:w="1191" w:type="dxa"/>
            <w:tcBorders>
              <w:top w:val="single" w:sz="4" w:space="0" w:color="auto"/>
            </w:tcBorders>
            <w:shd w:val="clear" w:color="auto" w:fill="auto"/>
            <w:tcMar>
              <w:right w:w="539" w:type="dxa"/>
            </w:tcMar>
          </w:tcPr>
          <w:p w:rsidR="00CB6140" w:rsidRPr="00441217" w:rsidRDefault="00CB6140" w:rsidP="005D7B68">
            <w:pPr>
              <w:tabs>
                <w:tab w:val="left" w:pos="567"/>
                <w:tab w:val="left" w:pos="1134"/>
                <w:tab w:val="left" w:pos="1701"/>
                <w:tab w:val="left" w:pos="2268"/>
                <w:tab w:val="left" w:pos="2835"/>
              </w:tabs>
              <w:spacing w:after="0"/>
              <w:ind w:right="-335"/>
              <w:jc w:val="right"/>
              <w:rPr>
                <w:sz w:val="20"/>
              </w:rPr>
            </w:pPr>
            <w:r w:rsidRPr="00441217">
              <w:rPr>
                <w:sz w:val="20"/>
              </w:rPr>
              <w:t>10</w:t>
            </w:r>
          </w:p>
        </w:tc>
        <w:tc>
          <w:tcPr>
            <w:tcW w:w="1155" w:type="dxa"/>
            <w:tcBorders>
              <w:top w:val="single" w:sz="4" w:space="0" w:color="auto"/>
            </w:tcBorders>
            <w:shd w:val="clear" w:color="auto" w:fill="auto"/>
          </w:tcPr>
          <w:p w:rsidR="00CB6140" w:rsidRPr="00441217" w:rsidRDefault="00CB6140" w:rsidP="005D7B68">
            <w:pPr>
              <w:tabs>
                <w:tab w:val="left" w:pos="567"/>
                <w:tab w:val="left" w:pos="1134"/>
                <w:tab w:val="left" w:pos="1701"/>
                <w:tab w:val="left" w:pos="2268"/>
                <w:tab w:val="left" w:pos="2835"/>
              </w:tabs>
              <w:spacing w:after="0"/>
              <w:ind w:right="119"/>
              <w:jc w:val="right"/>
              <w:rPr>
                <w:sz w:val="20"/>
              </w:rPr>
            </w:pPr>
            <w:r w:rsidRPr="00441217">
              <w:rPr>
                <w:sz w:val="20"/>
              </w:rPr>
              <w:t>4</w:t>
            </w:r>
          </w:p>
        </w:tc>
        <w:tc>
          <w:tcPr>
            <w:tcW w:w="1182" w:type="dxa"/>
            <w:tcBorders>
              <w:top w:val="single" w:sz="4" w:space="0" w:color="auto"/>
            </w:tcBorders>
            <w:shd w:val="clear" w:color="auto" w:fill="auto"/>
            <w:tcMar>
              <w:right w:w="539" w:type="dxa"/>
            </w:tcMar>
          </w:tcPr>
          <w:p w:rsidR="00CB6140" w:rsidRPr="00441217" w:rsidRDefault="00CB6140" w:rsidP="005D7B68">
            <w:pPr>
              <w:tabs>
                <w:tab w:val="left" w:pos="567"/>
                <w:tab w:val="left" w:pos="1134"/>
                <w:tab w:val="left" w:pos="1701"/>
                <w:tab w:val="left" w:pos="2268"/>
                <w:tab w:val="left" w:pos="2835"/>
              </w:tabs>
              <w:spacing w:after="0"/>
              <w:ind w:right="-287"/>
              <w:jc w:val="right"/>
              <w:rPr>
                <w:sz w:val="20"/>
              </w:rPr>
            </w:pPr>
            <w:r w:rsidRPr="00441217">
              <w:rPr>
                <w:sz w:val="20"/>
              </w:rPr>
              <w:t>15</w:t>
            </w:r>
          </w:p>
        </w:tc>
        <w:tc>
          <w:tcPr>
            <w:tcW w:w="1164" w:type="dxa"/>
            <w:tcBorders>
              <w:top w:val="single" w:sz="4" w:space="0" w:color="auto"/>
            </w:tcBorders>
            <w:shd w:val="clear" w:color="auto" w:fill="auto"/>
          </w:tcPr>
          <w:p w:rsidR="00CB6140" w:rsidRPr="00441217" w:rsidRDefault="00CB6140" w:rsidP="005D7B68">
            <w:pPr>
              <w:tabs>
                <w:tab w:val="left" w:pos="567"/>
                <w:tab w:val="left" w:pos="1134"/>
                <w:tab w:val="left" w:pos="1701"/>
                <w:tab w:val="left" w:pos="2268"/>
                <w:tab w:val="left" w:pos="2835"/>
              </w:tabs>
              <w:spacing w:after="0"/>
              <w:ind w:right="128"/>
              <w:jc w:val="right"/>
              <w:rPr>
                <w:sz w:val="20"/>
              </w:rPr>
            </w:pPr>
            <w:r w:rsidRPr="00441217">
              <w:rPr>
                <w:sz w:val="20"/>
              </w:rPr>
              <w:t>1</w:t>
            </w:r>
          </w:p>
        </w:tc>
        <w:tc>
          <w:tcPr>
            <w:tcW w:w="1174" w:type="dxa"/>
            <w:tcBorders>
              <w:top w:val="single" w:sz="4" w:space="0" w:color="auto"/>
            </w:tcBorders>
            <w:shd w:val="clear" w:color="auto" w:fill="auto"/>
            <w:tcMar>
              <w:right w:w="539" w:type="dxa"/>
            </w:tcMar>
          </w:tcPr>
          <w:p w:rsidR="00CB6140" w:rsidRPr="00441217" w:rsidRDefault="00CB6140" w:rsidP="005D7B68">
            <w:pPr>
              <w:tabs>
                <w:tab w:val="left" w:pos="567"/>
                <w:tab w:val="left" w:pos="1134"/>
                <w:tab w:val="left" w:pos="1701"/>
                <w:tab w:val="left" w:pos="2268"/>
                <w:tab w:val="left" w:pos="2835"/>
              </w:tabs>
              <w:spacing w:after="0"/>
              <w:ind w:right="-340"/>
              <w:jc w:val="right"/>
              <w:rPr>
                <w:sz w:val="20"/>
              </w:rPr>
            </w:pPr>
            <w:r w:rsidRPr="00441217">
              <w:rPr>
                <w:sz w:val="20"/>
              </w:rPr>
              <w:t>13</w:t>
            </w:r>
          </w:p>
        </w:tc>
      </w:tr>
    </w:tbl>
    <w:p w:rsidR="009A7F42" w:rsidRPr="00282092" w:rsidRDefault="009A7F42" w:rsidP="005D7B68">
      <w:pPr>
        <w:tabs>
          <w:tab w:val="left" w:pos="567"/>
          <w:tab w:val="left" w:pos="1134"/>
          <w:tab w:val="left" w:pos="1701"/>
          <w:tab w:val="left" w:pos="2268"/>
          <w:tab w:val="left" w:pos="2835"/>
        </w:tabs>
        <w:jc w:val="center"/>
        <w:rPr>
          <w:lang w:val="fr-FR"/>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40"/>
        <w:gridCol w:w="1754"/>
        <w:gridCol w:w="1754"/>
        <w:gridCol w:w="1754"/>
        <w:gridCol w:w="1754"/>
      </w:tblGrid>
      <w:tr w:rsidR="00E70CB6" w:rsidRPr="000828AB">
        <w:tc>
          <w:tcPr>
            <w:tcW w:w="2340" w:type="dxa"/>
            <w:vMerge w:val="restart"/>
            <w:shd w:val="clear" w:color="auto" w:fill="auto"/>
            <w:vAlign w:val="center"/>
          </w:tcPr>
          <w:p w:rsidR="00CB6140" w:rsidRPr="00E70CB6" w:rsidRDefault="00E70CB6" w:rsidP="005D7B68">
            <w:pPr>
              <w:tabs>
                <w:tab w:val="left" w:pos="567"/>
                <w:tab w:val="left" w:pos="1134"/>
                <w:tab w:val="left" w:pos="1701"/>
                <w:tab w:val="left" w:pos="2268"/>
                <w:tab w:val="left" w:pos="2835"/>
              </w:tabs>
              <w:spacing w:after="0"/>
              <w:jc w:val="center"/>
              <w:rPr>
                <w:sz w:val="20"/>
                <w:lang w:val="fr-FR"/>
              </w:rPr>
            </w:pPr>
            <w:r w:rsidRPr="00E70CB6">
              <w:rPr>
                <w:sz w:val="20"/>
                <w:lang w:val="fr-FR"/>
              </w:rPr>
              <w:t>Cause apparente de la mort</w:t>
            </w:r>
          </w:p>
        </w:tc>
        <w:tc>
          <w:tcPr>
            <w:tcW w:w="3508" w:type="dxa"/>
            <w:gridSpan w:val="2"/>
            <w:shd w:val="clear" w:color="auto" w:fill="auto"/>
            <w:vAlign w:val="center"/>
          </w:tcPr>
          <w:p w:rsidR="00CB6140" w:rsidRPr="000828AB" w:rsidRDefault="00CB6140" w:rsidP="005D7B68">
            <w:pPr>
              <w:tabs>
                <w:tab w:val="left" w:pos="567"/>
                <w:tab w:val="left" w:pos="1134"/>
                <w:tab w:val="left" w:pos="1701"/>
                <w:tab w:val="left" w:pos="2268"/>
                <w:tab w:val="left" w:pos="2835"/>
              </w:tabs>
              <w:spacing w:after="0"/>
              <w:jc w:val="center"/>
              <w:rPr>
                <w:sz w:val="20"/>
              </w:rPr>
            </w:pPr>
            <w:r w:rsidRPr="000828AB">
              <w:rPr>
                <w:sz w:val="20"/>
              </w:rPr>
              <w:t>2000-01</w:t>
            </w:r>
          </w:p>
        </w:tc>
        <w:tc>
          <w:tcPr>
            <w:tcW w:w="3508" w:type="dxa"/>
            <w:gridSpan w:val="2"/>
            <w:shd w:val="clear" w:color="auto" w:fill="auto"/>
            <w:vAlign w:val="center"/>
          </w:tcPr>
          <w:p w:rsidR="00CB6140" w:rsidRPr="000828AB" w:rsidRDefault="00CB6140" w:rsidP="005D7B68">
            <w:pPr>
              <w:tabs>
                <w:tab w:val="left" w:pos="567"/>
                <w:tab w:val="left" w:pos="1134"/>
                <w:tab w:val="left" w:pos="1701"/>
                <w:tab w:val="left" w:pos="2268"/>
                <w:tab w:val="left" w:pos="2835"/>
              </w:tabs>
              <w:spacing w:after="0"/>
              <w:jc w:val="center"/>
              <w:rPr>
                <w:sz w:val="20"/>
              </w:rPr>
            </w:pPr>
            <w:r w:rsidRPr="000828AB">
              <w:rPr>
                <w:sz w:val="20"/>
              </w:rPr>
              <w:t>2001-02</w:t>
            </w:r>
          </w:p>
        </w:tc>
      </w:tr>
      <w:tr w:rsidR="00E70CB6" w:rsidRPr="000828AB">
        <w:tc>
          <w:tcPr>
            <w:tcW w:w="2340" w:type="dxa"/>
            <w:vMerge/>
            <w:tcBorders>
              <w:bottom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rPr>
                <w:sz w:val="20"/>
              </w:rPr>
            </w:pPr>
          </w:p>
        </w:tc>
        <w:tc>
          <w:tcPr>
            <w:tcW w:w="1754" w:type="dxa"/>
            <w:tcBorders>
              <w:bottom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jc w:val="center"/>
              <w:rPr>
                <w:sz w:val="20"/>
              </w:rPr>
            </w:pPr>
            <w:r>
              <w:rPr>
                <w:sz w:val="20"/>
              </w:rPr>
              <w:t>Aborigène</w:t>
            </w:r>
          </w:p>
        </w:tc>
        <w:tc>
          <w:tcPr>
            <w:tcW w:w="1754" w:type="dxa"/>
            <w:tcBorders>
              <w:bottom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jc w:val="center"/>
              <w:rPr>
                <w:sz w:val="20"/>
              </w:rPr>
            </w:pPr>
            <w:r>
              <w:rPr>
                <w:sz w:val="20"/>
              </w:rPr>
              <w:t>Non aborigène</w:t>
            </w:r>
          </w:p>
        </w:tc>
        <w:tc>
          <w:tcPr>
            <w:tcW w:w="1754" w:type="dxa"/>
            <w:tcBorders>
              <w:bottom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jc w:val="center"/>
              <w:rPr>
                <w:sz w:val="20"/>
              </w:rPr>
            </w:pPr>
            <w:r>
              <w:rPr>
                <w:sz w:val="20"/>
              </w:rPr>
              <w:t>Aborigène</w:t>
            </w:r>
          </w:p>
        </w:tc>
        <w:tc>
          <w:tcPr>
            <w:tcW w:w="1754" w:type="dxa"/>
            <w:tcBorders>
              <w:bottom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jc w:val="center"/>
              <w:rPr>
                <w:sz w:val="20"/>
              </w:rPr>
            </w:pPr>
            <w:r>
              <w:rPr>
                <w:sz w:val="20"/>
              </w:rPr>
              <w:t>Non aborigène</w:t>
            </w:r>
          </w:p>
        </w:tc>
      </w:tr>
      <w:tr w:rsidR="00E70CB6" w:rsidRPr="000828AB">
        <w:tc>
          <w:tcPr>
            <w:tcW w:w="2340" w:type="dxa"/>
            <w:tcBorders>
              <w:top w:val="single" w:sz="4" w:space="0" w:color="auto"/>
              <w:left w:val="single" w:sz="4" w:space="0" w:color="auto"/>
              <w:bottom w:val="nil"/>
              <w:right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rPr>
                <w:sz w:val="20"/>
              </w:rPr>
            </w:pPr>
            <w:r>
              <w:rPr>
                <w:sz w:val="20"/>
              </w:rPr>
              <w:t>Apparemment non naturelle</w:t>
            </w:r>
          </w:p>
        </w:tc>
        <w:tc>
          <w:tcPr>
            <w:tcW w:w="1754" w:type="dxa"/>
            <w:tcBorders>
              <w:top w:val="single" w:sz="4" w:space="0" w:color="auto"/>
              <w:left w:val="single" w:sz="4" w:space="0" w:color="auto"/>
              <w:bottom w:val="nil"/>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single" w:sz="4" w:space="0" w:color="auto"/>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c>
          <w:tcPr>
            <w:tcW w:w="1754" w:type="dxa"/>
            <w:tcBorders>
              <w:top w:val="single" w:sz="4" w:space="0" w:color="auto"/>
              <w:left w:val="single" w:sz="4" w:space="0" w:color="auto"/>
              <w:bottom w:val="nil"/>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single" w:sz="4" w:space="0" w:color="auto"/>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2</w:t>
            </w:r>
          </w:p>
        </w:tc>
      </w:tr>
      <w:tr w:rsidR="00E70CB6" w:rsidRPr="000828AB">
        <w:tc>
          <w:tcPr>
            <w:tcW w:w="2340" w:type="dxa"/>
            <w:tcBorders>
              <w:top w:val="nil"/>
              <w:left w:val="single" w:sz="4" w:space="0" w:color="auto"/>
              <w:bottom w:val="nil"/>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rPr>
                <w:sz w:val="20"/>
              </w:rPr>
            </w:pPr>
            <w:r w:rsidRPr="000828AB">
              <w:rPr>
                <w:sz w:val="20"/>
              </w:rPr>
              <w:t>Suicide</w:t>
            </w:r>
          </w:p>
        </w:tc>
        <w:tc>
          <w:tcPr>
            <w:tcW w:w="1754" w:type="dxa"/>
            <w:tcBorders>
              <w:top w:val="nil"/>
              <w:left w:val="single" w:sz="4" w:space="0" w:color="auto"/>
              <w:bottom w:val="nil"/>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nil"/>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5</w:t>
            </w:r>
          </w:p>
        </w:tc>
        <w:tc>
          <w:tcPr>
            <w:tcW w:w="1754" w:type="dxa"/>
            <w:tcBorders>
              <w:top w:val="nil"/>
              <w:left w:val="single" w:sz="4" w:space="0" w:color="auto"/>
              <w:bottom w:val="nil"/>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nil"/>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6</w:t>
            </w:r>
          </w:p>
        </w:tc>
      </w:tr>
      <w:tr w:rsidR="00E70CB6" w:rsidRPr="000828AB">
        <w:tc>
          <w:tcPr>
            <w:tcW w:w="2340" w:type="dxa"/>
            <w:tcBorders>
              <w:top w:val="nil"/>
              <w:left w:val="single" w:sz="4" w:space="0" w:color="auto"/>
              <w:bottom w:val="nil"/>
              <w:right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rPr>
                <w:sz w:val="20"/>
              </w:rPr>
            </w:pPr>
            <w:r>
              <w:rPr>
                <w:sz w:val="20"/>
              </w:rPr>
              <w:t>Meurtre</w:t>
            </w:r>
            <w:r w:rsidR="00CB6140" w:rsidRPr="000828AB">
              <w:rPr>
                <w:sz w:val="20"/>
              </w:rPr>
              <w:t>/homicide</w:t>
            </w:r>
          </w:p>
        </w:tc>
        <w:tc>
          <w:tcPr>
            <w:tcW w:w="1754" w:type="dxa"/>
            <w:tcBorders>
              <w:top w:val="nil"/>
              <w:left w:val="single" w:sz="4" w:space="0" w:color="auto"/>
              <w:bottom w:val="nil"/>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nil"/>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c>
          <w:tcPr>
            <w:tcW w:w="1754" w:type="dxa"/>
            <w:tcBorders>
              <w:top w:val="nil"/>
              <w:left w:val="single" w:sz="4" w:space="0" w:color="auto"/>
              <w:bottom w:val="nil"/>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nil"/>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r>
      <w:tr w:rsidR="00E70CB6" w:rsidRPr="000828AB">
        <w:tc>
          <w:tcPr>
            <w:tcW w:w="2340" w:type="dxa"/>
            <w:tcBorders>
              <w:top w:val="nil"/>
              <w:left w:val="single" w:sz="4" w:space="0" w:color="auto"/>
              <w:bottom w:val="single" w:sz="4" w:space="0" w:color="auto"/>
              <w:right w:val="single" w:sz="4" w:space="0" w:color="auto"/>
            </w:tcBorders>
            <w:shd w:val="clear" w:color="auto" w:fill="auto"/>
          </w:tcPr>
          <w:p w:rsidR="00CB6140" w:rsidRPr="00E70CB6" w:rsidRDefault="00E70CB6" w:rsidP="005D7B68">
            <w:pPr>
              <w:tabs>
                <w:tab w:val="left" w:pos="567"/>
                <w:tab w:val="left" w:pos="1134"/>
                <w:tab w:val="left" w:pos="1701"/>
                <w:tab w:val="left" w:pos="2268"/>
                <w:tab w:val="left" w:pos="2835"/>
              </w:tabs>
              <w:spacing w:after="0"/>
              <w:rPr>
                <w:sz w:val="20"/>
                <w:lang w:val="fr-FR"/>
              </w:rPr>
            </w:pPr>
            <w:r w:rsidRPr="00E70CB6">
              <w:rPr>
                <w:sz w:val="20"/>
                <w:lang w:val="fr-FR"/>
              </w:rPr>
              <w:t>Accidentelle</w:t>
            </w:r>
            <w:r w:rsidR="00CB6140" w:rsidRPr="00E70CB6">
              <w:rPr>
                <w:sz w:val="20"/>
                <w:lang w:val="fr-FR"/>
              </w:rPr>
              <w:t>/accident/</w:t>
            </w:r>
            <w:r w:rsidR="00CB6140" w:rsidRPr="00E70CB6">
              <w:rPr>
                <w:sz w:val="20"/>
                <w:lang w:val="fr-FR"/>
              </w:rPr>
              <w:br/>
            </w:r>
            <w:r w:rsidRPr="00E70CB6">
              <w:rPr>
                <w:sz w:val="20"/>
                <w:lang w:val="fr-FR"/>
              </w:rPr>
              <w:t>surdose de drogu</w:t>
            </w:r>
            <w:r>
              <w:rPr>
                <w:sz w:val="20"/>
                <w:lang w:val="fr-FR"/>
              </w:rPr>
              <w:t>e</w:t>
            </w:r>
          </w:p>
        </w:tc>
        <w:tc>
          <w:tcPr>
            <w:tcW w:w="1754" w:type="dxa"/>
            <w:tcBorders>
              <w:top w:val="nil"/>
              <w:left w:val="single" w:sz="4" w:space="0" w:color="auto"/>
              <w:bottom w:val="single" w:sz="4" w:space="0" w:color="auto"/>
              <w:right w:val="single" w:sz="4" w:space="0" w:color="auto"/>
            </w:tcBorders>
            <w:shd w:val="clear" w:color="auto" w:fill="auto"/>
            <w:vAlign w:val="bottom"/>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nil"/>
              <w:left w:val="single" w:sz="4" w:space="0" w:color="auto"/>
              <w:bottom w:val="single" w:sz="4" w:space="0" w:color="auto"/>
              <w:right w:val="single" w:sz="4" w:space="0" w:color="auto"/>
            </w:tcBorders>
            <w:shd w:val="clear" w:color="auto" w:fill="auto"/>
            <w:tcMar>
              <w:right w:w="822" w:type="dxa"/>
            </w:tcMar>
            <w:vAlign w:val="bottom"/>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c>
          <w:tcPr>
            <w:tcW w:w="1754" w:type="dxa"/>
            <w:tcBorders>
              <w:top w:val="nil"/>
              <w:left w:val="single" w:sz="4" w:space="0" w:color="auto"/>
              <w:bottom w:val="single" w:sz="4" w:space="0" w:color="auto"/>
              <w:right w:val="single" w:sz="4" w:space="0" w:color="auto"/>
            </w:tcBorders>
            <w:shd w:val="clear" w:color="auto" w:fill="auto"/>
            <w:tcMar>
              <w:right w:w="57" w:type="dxa"/>
            </w:tcMar>
            <w:vAlign w:val="bottom"/>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nil"/>
              <w:left w:val="single" w:sz="4" w:space="0" w:color="auto"/>
              <w:bottom w:val="single" w:sz="4" w:space="0" w:color="auto"/>
              <w:right w:val="single" w:sz="4" w:space="0" w:color="auto"/>
            </w:tcBorders>
            <w:shd w:val="clear" w:color="auto" w:fill="auto"/>
            <w:tcMar>
              <w:right w:w="822" w:type="dxa"/>
            </w:tcMar>
            <w:vAlign w:val="bottom"/>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r>
      <w:tr w:rsidR="00E70CB6" w:rsidRPr="000828AB">
        <w:tc>
          <w:tcPr>
            <w:tcW w:w="2340" w:type="dxa"/>
            <w:tcBorders>
              <w:top w:val="single" w:sz="4" w:space="0" w:color="auto"/>
              <w:left w:val="single" w:sz="4" w:space="0" w:color="auto"/>
              <w:bottom w:val="single" w:sz="4" w:space="0" w:color="auto"/>
              <w:right w:val="single" w:sz="4" w:space="0" w:color="auto"/>
            </w:tcBorders>
            <w:shd w:val="clear" w:color="auto" w:fill="auto"/>
          </w:tcPr>
          <w:p w:rsidR="00CB6140" w:rsidRPr="000828AB" w:rsidRDefault="00572260" w:rsidP="005D7B68">
            <w:pPr>
              <w:tabs>
                <w:tab w:val="left" w:pos="567"/>
                <w:tab w:val="left" w:pos="1134"/>
                <w:tab w:val="left" w:pos="1701"/>
                <w:tab w:val="left" w:pos="2268"/>
                <w:tab w:val="left" w:pos="2835"/>
              </w:tabs>
              <w:spacing w:after="0"/>
              <w:rPr>
                <w:sz w:val="20"/>
              </w:rPr>
            </w:pPr>
            <w:r>
              <w:rPr>
                <w:sz w:val="20"/>
              </w:rPr>
              <w:t xml:space="preserve"> </w:t>
            </w:r>
            <w:r w:rsidR="00663C40">
              <w:rPr>
                <w:sz w:val="20"/>
              </w:rPr>
              <w:t xml:space="preserve"> </w:t>
            </w:r>
            <w:r w:rsidR="00E70CB6">
              <w:rPr>
                <w:sz w:val="20"/>
              </w:rPr>
              <w:t>Total non naturelle</w:t>
            </w:r>
            <w:r w:rsidR="00CB6140" w:rsidRPr="000828AB">
              <w:rPr>
                <w:sz w:val="20"/>
              </w:rPr>
              <w:t xml:space="preserve"> </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8</w:t>
            </w:r>
          </w:p>
        </w:tc>
      </w:tr>
      <w:tr w:rsidR="00E70CB6" w:rsidRPr="000828AB">
        <w:tc>
          <w:tcPr>
            <w:tcW w:w="2340" w:type="dxa"/>
            <w:tcBorders>
              <w:top w:val="single" w:sz="4" w:space="0" w:color="auto"/>
              <w:left w:val="single" w:sz="4" w:space="0" w:color="auto"/>
              <w:bottom w:val="nil"/>
              <w:right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rPr>
                <w:sz w:val="20"/>
              </w:rPr>
            </w:pPr>
            <w:r>
              <w:rPr>
                <w:sz w:val="20"/>
              </w:rPr>
              <w:t>Apparemment naturelle</w:t>
            </w:r>
          </w:p>
        </w:tc>
        <w:tc>
          <w:tcPr>
            <w:tcW w:w="1754" w:type="dxa"/>
            <w:tcBorders>
              <w:top w:val="single" w:sz="4" w:space="0" w:color="auto"/>
              <w:left w:val="single" w:sz="4" w:space="0" w:color="auto"/>
              <w:bottom w:val="nil"/>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single" w:sz="4" w:space="0" w:color="auto"/>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1</w:t>
            </w:r>
          </w:p>
        </w:tc>
        <w:tc>
          <w:tcPr>
            <w:tcW w:w="1754" w:type="dxa"/>
            <w:tcBorders>
              <w:top w:val="single" w:sz="4" w:space="0" w:color="auto"/>
              <w:left w:val="single" w:sz="4" w:space="0" w:color="auto"/>
              <w:bottom w:val="nil"/>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single" w:sz="4" w:space="0" w:color="auto"/>
              <w:left w:val="single" w:sz="4" w:space="0" w:color="auto"/>
              <w:bottom w:val="nil"/>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0</w:t>
            </w:r>
          </w:p>
        </w:tc>
      </w:tr>
      <w:tr w:rsidR="00E70CB6" w:rsidRPr="000828AB">
        <w:tc>
          <w:tcPr>
            <w:tcW w:w="2340" w:type="dxa"/>
            <w:tcBorders>
              <w:top w:val="nil"/>
              <w:left w:val="single" w:sz="4" w:space="0" w:color="auto"/>
              <w:bottom w:val="single" w:sz="4" w:space="0" w:color="auto"/>
              <w:right w:val="single" w:sz="4" w:space="0" w:color="auto"/>
            </w:tcBorders>
            <w:shd w:val="clear" w:color="auto" w:fill="auto"/>
          </w:tcPr>
          <w:p w:rsidR="00CB6140" w:rsidRPr="000828AB" w:rsidRDefault="00E70CB6" w:rsidP="005D7B68">
            <w:pPr>
              <w:tabs>
                <w:tab w:val="left" w:pos="567"/>
                <w:tab w:val="left" w:pos="1134"/>
                <w:tab w:val="left" w:pos="1701"/>
                <w:tab w:val="left" w:pos="2268"/>
                <w:tab w:val="left" w:pos="2835"/>
              </w:tabs>
              <w:spacing w:after="0"/>
              <w:rPr>
                <w:sz w:val="20"/>
              </w:rPr>
            </w:pPr>
            <w:r>
              <w:rPr>
                <w:sz w:val="20"/>
              </w:rPr>
              <w:t>C</w:t>
            </w:r>
            <w:r w:rsidR="00CB6140" w:rsidRPr="000828AB">
              <w:rPr>
                <w:sz w:val="20"/>
              </w:rPr>
              <w:t>auses</w:t>
            </w:r>
            <w:r>
              <w:rPr>
                <w:sz w:val="20"/>
              </w:rPr>
              <w:t xml:space="preserve"> naturelles</w:t>
            </w:r>
          </w:p>
        </w:tc>
        <w:tc>
          <w:tcPr>
            <w:tcW w:w="1754" w:type="dxa"/>
            <w:tcBorders>
              <w:top w:val="nil"/>
              <w:left w:val="single" w:sz="4" w:space="0" w:color="auto"/>
              <w:bottom w:val="single" w:sz="4" w:space="0" w:color="auto"/>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nil"/>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4</w:t>
            </w:r>
          </w:p>
        </w:tc>
        <w:tc>
          <w:tcPr>
            <w:tcW w:w="1754" w:type="dxa"/>
            <w:tcBorders>
              <w:top w:val="nil"/>
              <w:left w:val="single" w:sz="4" w:space="0" w:color="auto"/>
              <w:bottom w:val="single" w:sz="4" w:space="0" w:color="auto"/>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nil"/>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4</w:t>
            </w:r>
          </w:p>
        </w:tc>
      </w:tr>
      <w:tr w:rsidR="00E70CB6" w:rsidRPr="000828AB">
        <w:tc>
          <w:tcPr>
            <w:tcW w:w="2340" w:type="dxa"/>
            <w:tcBorders>
              <w:top w:val="single" w:sz="4" w:space="0" w:color="auto"/>
              <w:left w:val="single" w:sz="4" w:space="0" w:color="auto"/>
              <w:bottom w:val="single" w:sz="4" w:space="0" w:color="auto"/>
              <w:right w:val="single" w:sz="4" w:space="0" w:color="auto"/>
            </w:tcBorders>
            <w:shd w:val="clear" w:color="auto" w:fill="auto"/>
          </w:tcPr>
          <w:p w:rsidR="00CB6140" w:rsidRPr="000828AB" w:rsidRDefault="00572260" w:rsidP="005D7B68">
            <w:pPr>
              <w:tabs>
                <w:tab w:val="left" w:pos="567"/>
                <w:tab w:val="left" w:pos="1134"/>
                <w:tab w:val="left" w:pos="1701"/>
                <w:tab w:val="left" w:pos="2268"/>
                <w:tab w:val="left" w:pos="2835"/>
              </w:tabs>
              <w:spacing w:after="0"/>
              <w:rPr>
                <w:sz w:val="20"/>
              </w:rPr>
            </w:pPr>
            <w:r>
              <w:rPr>
                <w:sz w:val="20"/>
              </w:rPr>
              <w:t xml:space="preserve"> </w:t>
            </w:r>
            <w:r w:rsidR="00441217">
              <w:rPr>
                <w:sz w:val="20"/>
              </w:rPr>
              <w:t xml:space="preserve"> </w:t>
            </w:r>
            <w:r w:rsidR="00E70CB6">
              <w:rPr>
                <w:sz w:val="20"/>
              </w:rPr>
              <w:t>Total naturelle</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0</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CB6140" w:rsidRPr="000828AB" w:rsidRDefault="00CB6140" w:rsidP="005D7B68">
            <w:pPr>
              <w:tabs>
                <w:tab w:val="left" w:pos="567"/>
                <w:tab w:val="left" w:pos="1134"/>
                <w:tab w:val="left" w:pos="1701"/>
                <w:tab w:val="left" w:pos="2268"/>
                <w:tab w:val="left" w:pos="2835"/>
              </w:tabs>
              <w:spacing w:after="0"/>
              <w:ind w:right="165"/>
              <w:jc w:val="right"/>
              <w:rPr>
                <w:sz w:val="20"/>
              </w:rPr>
            </w:pPr>
            <w:r w:rsidRPr="000828AB">
              <w:rPr>
                <w:sz w:val="20"/>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0828AB" w:rsidRDefault="00CB6140" w:rsidP="005D7B68">
            <w:pPr>
              <w:tabs>
                <w:tab w:val="left" w:pos="567"/>
                <w:tab w:val="left" w:pos="1134"/>
                <w:tab w:val="left" w:pos="1701"/>
                <w:tab w:val="left" w:pos="2268"/>
                <w:tab w:val="left" w:pos="2835"/>
              </w:tabs>
              <w:spacing w:after="0"/>
              <w:ind w:right="-466"/>
              <w:jc w:val="right"/>
              <w:rPr>
                <w:sz w:val="20"/>
              </w:rPr>
            </w:pPr>
            <w:r w:rsidRPr="000828AB">
              <w:rPr>
                <w:sz w:val="20"/>
              </w:rPr>
              <w:t>4</w:t>
            </w:r>
          </w:p>
        </w:tc>
      </w:tr>
      <w:tr w:rsidR="00E70CB6" w:rsidRPr="00663C40">
        <w:tc>
          <w:tcPr>
            <w:tcW w:w="2340" w:type="dxa"/>
            <w:tcBorders>
              <w:top w:val="single" w:sz="4" w:space="0" w:color="auto"/>
              <w:left w:val="single" w:sz="4" w:space="0" w:color="auto"/>
              <w:bottom w:val="single" w:sz="4" w:space="0" w:color="auto"/>
              <w:right w:val="single" w:sz="4" w:space="0" w:color="auto"/>
            </w:tcBorders>
            <w:shd w:val="clear" w:color="auto" w:fill="auto"/>
          </w:tcPr>
          <w:p w:rsidR="00CB6140" w:rsidRPr="00663C40" w:rsidRDefault="00572260" w:rsidP="005D7B68">
            <w:pPr>
              <w:tabs>
                <w:tab w:val="left" w:pos="567"/>
                <w:tab w:val="left" w:pos="1134"/>
                <w:tab w:val="left" w:pos="1701"/>
                <w:tab w:val="left" w:pos="2268"/>
                <w:tab w:val="left" w:pos="2835"/>
              </w:tabs>
              <w:spacing w:after="0"/>
              <w:rPr>
                <w:b/>
                <w:bCs/>
                <w:sz w:val="20"/>
              </w:rPr>
            </w:pPr>
            <w:r w:rsidRPr="00663C40">
              <w:rPr>
                <w:b/>
                <w:bCs/>
                <w:sz w:val="20"/>
              </w:rPr>
              <w:t xml:space="preserve"> </w:t>
            </w:r>
            <w:r w:rsidR="00441217" w:rsidRPr="00663C40">
              <w:rPr>
                <w:b/>
                <w:bCs/>
                <w:sz w:val="20"/>
              </w:rPr>
              <w:t xml:space="preserve"> </w:t>
            </w:r>
            <w:r w:rsidR="00CB6140" w:rsidRPr="00663C40">
              <w:rPr>
                <w:b/>
                <w:bCs/>
                <w:sz w:val="20"/>
              </w:rPr>
              <w:t>Total</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B6140" w:rsidRPr="00663C40" w:rsidRDefault="00CB6140" w:rsidP="005D7B68">
            <w:pPr>
              <w:tabs>
                <w:tab w:val="left" w:pos="567"/>
                <w:tab w:val="left" w:pos="1134"/>
                <w:tab w:val="left" w:pos="1701"/>
                <w:tab w:val="left" w:pos="2268"/>
                <w:tab w:val="left" w:pos="2835"/>
              </w:tabs>
              <w:spacing w:after="0"/>
              <w:ind w:right="165"/>
              <w:jc w:val="right"/>
              <w:rPr>
                <w:b/>
                <w:bCs/>
                <w:sz w:val="20"/>
              </w:rPr>
            </w:pPr>
            <w:r w:rsidRPr="00663C40">
              <w:rPr>
                <w:b/>
                <w:bCs/>
                <w:sz w:val="20"/>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663C40" w:rsidRDefault="00CB6140" w:rsidP="005D7B68">
            <w:pPr>
              <w:tabs>
                <w:tab w:val="left" w:pos="567"/>
                <w:tab w:val="left" w:pos="1134"/>
                <w:tab w:val="left" w:pos="1701"/>
                <w:tab w:val="left" w:pos="2268"/>
                <w:tab w:val="left" w:pos="2835"/>
              </w:tabs>
              <w:spacing w:after="0"/>
              <w:ind w:right="-466"/>
              <w:jc w:val="right"/>
              <w:rPr>
                <w:b/>
                <w:bCs/>
                <w:sz w:val="20"/>
              </w:rPr>
            </w:pPr>
            <w:r w:rsidRPr="00663C40">
              <w:rPr>
                <w:b/>
                <w:bCs/>
                <w:sz w:val="20"/>
              </w:rPr>
              <w:t>10</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CB6140" w:rsidRPr="00663C40" w:rsidRDefault="00CB6140" w:rsidP="005D7B68">
            <w:pPr>
              <w:tabs>
                <w:tab w:val="left" w:pos="567"/>
                <w:tab w:val="left" w:pos="1134"/>
                <w:tab w:val="left" w:pos="1701"/>
                <w:tab w:val="left" w:pos="2268"/>
                <w:tab w:val="left" w:pos="2835"/>
              </w:tabs>
              <w:spacing w:after="0"/>
              <w:ind w:right="165"/>
              <w:jc w:val="right"/>
              <w:rPr>
                <w:b/>
                <w:bCs/>
                <w:sz w:val="20"/>
              </w:rPr>
            </w:pPr>
            <w:r w:rsidRPr="00663C40">
              <w:rPr>
                <w:b/>
                <w:bCs/>
                <w:sz w:val="20"/>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Mar>
              <w:right w:w="822" w:type="dxa"/>
            </w:tcMar>
          </w:tcPr>
          <w:p w:rsidR="00CB6140" w:rsidRPr="00663C40" w:rsidRDefault="00CB6140" w:rsidP="005D7B68">
            <w:pPr>
              <w:tabs>
                <w:tab w:val="left" w:pos="567"/>
                <w:tab w:val="left" w:pos="1134"/>
                <w:tab w:val="left" w:pos="1701"/>
                <w:tab w:val="left" w:pos="2268"/>
                <w:tab w:val="left" w:pos="2835"/>
              </w:tabs>
              <w:spacing w:after="0"/>
              <w:ind w:right="-466"/>
              <w:jc w:val="right"/>
              <w:rPr>
                <w:b/>
                <w:bCs/>
                <w:sz w:val="20"/>
              </w:rPr>
            </w:pPr>
            <w:r w:rsidRPr="00663C40">
              <w:rPr>
                <w:b/>
                <w:bCs/>
                <w:sz w:val="20"/>
              </w:rPr>
              <w:t>12</w:t>
            </w:r>
          </w:p>
        </w:tc>
      </w:tr>
    </w:tbl>
    <w:p w:rsidR="00AC0AB5" w:rsidRDefault="00AC0AB5" w:rsidP="005D7B68">
      <w:pPr>
        <w:tabs>
          <w:tab w:val="left" w:pos="567"/>
          <w:tab w:val="left" w:pos="1134"/>
          <w:tab w:val="left" w:pos="1701"/>
          <w:tab w:val="left" w:pos="2268"/>
          <w:tab w:val="left" w:pos="2835"/>
        </w:tabs>
        <w:jc w:val="center"/>
        <w:rPr>
          <w:lang w:val="fr-F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927"/>
        <w:gridCol w:w="932"/>
        <w:gridCol w:w="926"/>
        <w:gridCol w:w="922"/>
        <w:gridCol w:w="935"/>
        <w:gridCol w:w="929"/>
        <w:gridCol w:w="929"/>
        <w:gridCol w:w="932"/>
      </w:tblGrid>
      <w:tr w:rsidR="00AC0AB5" w:rsidRPr="00AC0AB5">
        <w:tc>
          <w:tcPr>
            <w:tcW w:w="1930" w:type="dxa"/>
            <w:vMerge w:val="restart"/>
            <w:shd w:val="clear" w:color="auto" w:fill="auto"/>
            <w:vAlign w:val="center"/>
          </w:tcPr>
          <w:p w:rsidR="00AF1E00" w:rsidRPr="00AC0AB5" w:rsidRDefault="00AC0AB5" w:rsidP="005D7B68">
            <w:pPr>
              <w:keepNext/>
              <w:keepLines/>
              <w:tabs>
                <w:tab w:val="left" w:pos="567"/>
                <w:tab w:val="left" w:pos="1134"/>
                <w:tab w:val="left" w:pos="1701"/>
                <w:tab w:val="left" w:pos="2268"/>
                <w:tab w:val="left" w:pos="2835"/>
              </w:tabs>
              <w:spacing w:before="20" w:after="20"/>
              <w:jc w:val="center"/>
              <w:rPr>
                <w:sz w:val="16"/>
                <w:szCs w:val="16"/>
                <w:lang w:val="fr-FR"/>
              </w:rPr>
            </w:pPr>
            <w:r>
              <w:rPr>
                <w:lang w:val="fr-FR"/>
              </w:rPr>
              <w:br w:type="page"/>
            </w:r>
            <w:r>
              <w:rPr>
                <w:lang w:val="fr-FR"/>
              </w:rPr>
              <w:br w:type="page"/>
            </w:r>
            <w:r w:rsidRPr="00AC0AB5">
              <w:rPr>
                <w:sz w:val="16"/>
                <w:szCs w:val="16"/>
                <w:lang w:val="fr-FR"/>
              </w:rPr>
              <w:br w:type="page"/>
            </w:r>
            <w:r w:rsidR="00AF1E00" w:rsidRPr="00AC0AB5">
              <w:rPr>
                <w:sz w:val="16"/>
                <w:szCs w:val="16"/>
                <w:lang w:val="fr-FR"/>
              </w:rPr>
              <w:t>Cause apparente de la mort</w:t>
            </w:r>
          </w:p>
        </w:tc>
        <w:tc>
          <w:tcPr>
            <w:tcW w:w="1860" w:type="dxa"/>
            <w:gridSpan w:val="2"/>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2002-03</w:t>
            </w:r>
          </w:p>
        </w:tc>
        <w:tc>
          <w:tcPr>
            <w:tcW w:w="1848" w:type="dxa"/>
            <w:gridSpan w:val="2"/>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2003-04</w:t>
            </w:r>
          </w:p>
        </w:tc>
        <w:tc>
          <w:tcPr>
            <w:tcW w:w="1861" w:type="dxa"/>
            <w:gridSpan w:val="2"/>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2004-05</w:t>
            </w:r>
          </w:p>
        </w:tc>
        <w:tc>
          <w:tcPr>
            <w:tcW w:w="1861" w:type="dxa"/>
            <w:gridSpan w:val="2"/>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2005-06</w:t>
            </w:r>
          </w:p>
        </w:tc>
      </w:tr>
      <w:tr w:rsidR="00AC0AB5" w:rsidRPr="00AC0AB5">
        <w:tc>
          <w:tcPr>
            <w:tcW w:w="1930" w:type="dxa"/>
            <w:vMerge/>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p>
        </w:tc>
        <w:tc>
          <w:tcPr>
            <w:tcW w:w="928"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Aborigène</w:t>
            </w:r>
          </w:p>
        </w:tc>
        <w:tc>
          <w:tcPr>
            <w:tcW w:w="932"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Non aborigène</w:t>
            </w:r>
          </w:p>
        </w:tc>
        <w:tc>
          <w:tcPr>
            <w:tcW w:w="926"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Aborigène</w:t>
            </w:r>
          </w:p>
        </w:tc>
        <w:tc>
          <w:tcPr>
            <w:tcW w:w="922"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Non aborigène</w:t>
            </w:r>
          </w:p>
        </w:tc>
        <w:tc>
          <w:tcPr>
            <w:tcW w:w="935"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Aborigène</w:t>
            </w:r>
          </w:p>
        </w:tc>
        <w:tc>
          <w:tcPr>
            <w:tcW w:w="929"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Non aborigène</w:t>
            </w:r>
          </w:p>
        </w:tc>
        <w:tc>
          <w:tcPr>
            <w:tcW w:w="929"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Aborigène</w:t>
            </w:r>
          </w:p>
        </w:tc>
        <w:tc>
          <w:tcPr>
            <w:tcW w:w="929" w:type="dxa"/>
            <w:tcBorders>
              <w:bottom w:val="single" w:sz="4" w:space="0" w:color="auto"/>
            </w:tcBorders>
            <w:shd w:val="clear" w:color="auto" w:fill="auto"/>
            <w:vAlign w:val="center"/>
          </w:tcPr>
          <w:p w:rsidR="00AF1E00" w:rsidRPr="00AC0AB5" w:rsidRDefault="00AF1E00" w:rsidP="005D7B68">
            <w:pPr>
              <w:keepNext/>
              <w:keepLines/>
              <w:tabs>
                <w:tab w:val="left" w:pos="567"/>
                <w:tab w:val="left" w:pos="1134"/>
                <w:tab w:val="left" w:pos="1701"/>
                <w:tab w:val="left" w:pos="2268"/>
                <w:tab w:val="left" w:pos="2835"/>
              </w:tabs>
              <w:spacing w:before="20" w:after="20"/>
              <w:jc w:val="center"/>
              <w:rPr>
                <w:sz w:val="16"/>
                <w:szCs w:val="16"/>
              </w:rPr>
            </w:pPr>
            <w:r w:rsidRPr="00AC0AB5">
              <w:rPr>
                <w:sz w:val="16"/>
                <w:szCs w:val="16"/>
              </w:rPr>
              <w:t>Non aborigène</w:t>
            </w:r>
          </w:p>
        </w:tc>
      </w:tr>
      <w:tr w:rsidR="00AC0AB5" w:rsidRPr="00AC0AB5">
        <w:tc>
          <w:tcPr>
            <w:tcW w:w="1930"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rPr>
                <w:sz w:val="16"/>
                <w:szCs w:val="16"/>
              </w:rPr>
            </w:pPr>
            <w:r w:rsidRPr="00AC0AB5">
              <w:rPr>
                <w:sz w:val="16"/>
                <w:szCs w:val="16"/>
              </w:rPr>
              <w:t>Apparemment non naturelle</w:t>
            </w:r>
          </w:p>
        </w:tc>
        <w:tc>
          <w:tcPr>
            <w:tcW w:w="928" w:type="dxa"/>
            <w:tcBorders>
              <w:bottom w:val="nil"/>
            </w:tcBorders>
            <w:shd w:val="clear" w:color="auto" w:fill="auto"/>
          </w:tcPr>
          <w:p w:rsidR="00AF1E00" w:rsidRPr="00AC0AB5" w:rsidRDefault="00AF1E00" w:rsidP="005D7B68">
            <w:pPr>
              <w:keepNext/>
              <w:keepLines/>
              <w:tabs>
                <w:tab w:val="left" w:pos="567"/>
                <w:tab w:val="left" w:pos="624"/>
                <w:tab w:val="left" w:pos="1134"/>
                <w:tab w:val="left" w:pos="1701"/>
                <w:tab w:val="left" w:pos="2268"/>
                <w:tab w:val="left" w:pos="2835"/>
              </w:tabs>
              <w:spacing w:before="20" w:after="20"/>
              <w:ind w:left="-1980" w:firstLine="28"/>
              <w:jc w:val="right"/>
              <w:rPr>
                <w:sz w:val="16"/>
                <w:szCs w:val="16"/>
              </w:rPr>
            </w:pPr>
          </w:p>
        </w:tc>
        <w:tc>
          <w:tcPr>
            <w:tcW w:w="932"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26"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22"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35"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29"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29"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c>
          <w:tcPr>
            <w:tcW w:w="929" w:type="dxa"/>
            <w:tcBorders>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p>
        </w:tc>
      </w:tr>
      <w:tr w:rsidR="00AC0AB5" w:rsidRPr="00AC0AB5">
        <w:tc>
          <w:tcPr>
            <w:tcW w:w="1930"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rPr>
                <w:sz w:val="16"/>
                <w:szCs w:val="16"/>
              </w:rPr>
            </w:pPr>
            <w:r w:rsidRPr="00AC0AB5">
              <w:rPr>
                <w:sz w:val="16"/>
                <w:szCs w:val="16"/>
              </w:rPr>
              <w:t>Suicide</w:t>
            </w:r>
          </w:p>
        </w:tc>
        <w:tc>
          <w:tcPr>
            <w:tcW w:w="928"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32"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4</w:t>
            </w:r>
          </w:p>
        </w:tc>
        <w:tc>
          <w:tcPr>
            <w:tcW w:w="926"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1</w:t>
            </w:r>
          </w:p>
        </w:tc>
        <w:tc>
          <w:tcPr>
            <w:tcW w:w="922"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c>
          <w:tcPr>
            <w:tcW w:w="935"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c>
          <w:tcPr>
            <w:tcW w:w="929"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tcBorders>
              <w:top w:val="nil"/>
              <w:bottom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r>
      <w:tr w:rsidR="00AC0AB5" w:rsidRPr="00AC0AB5">
        <w:tc>
          <w:tcPr>
            <w:tcW w:w="1930"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rPr>
                <w:sz w:val="16"/>
                <w:szCs w:val="16"/>
              </w:rPr>
            </w:pPr>
            <w:r w:rsidRPr="00AC0AB5">
              <w:rPr>
                <w:sz w:val="16"/>
                <w:szCs w:val="16"/>
              </w:rPr>
              <w:t>Meurtre/homicide</w:t>
            </w:r>
          </w:p>
        </w:tc>
        <w:tc>
          <w:tcPr>
            <w:tcW w:w="928"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32"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6"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2"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1</w:t>
            </w:r>
          </w:p>
        </w:tc>
        <w:tc>
          <w:tcPr>
            <w:tcW w:w="935"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tcBorders>
              <w:top w:val="nil"/>
            </w:tcBorders>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r>
      <w:tr w:rsidR="00AC0AB5" w:rsidRPr="00AC0AB5">
        <w:tc>
          <w:tcPr>
            <w:tcW w:w="1930"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rPr>
                <w:sz w:val="16"/>
                <w:szCs w:val="16"/>
                <w:lang w:val="fr-FR"/>
              </w:rPr>
            </w:pPr>
            <w:r w:rsidRPr="00AC0AB5">
              <w:rPr>
                <w:sz w:val="16"/>
                <w:szCs w:val="16"/>
                <w:lang w:val="fr-FR"/>
              </w:rPr>
              <w:t>Accidentelle/accident/</w:t>
            </w:r>
            <w:r w:rsidR="00AC0AB5" w:rsidRPr="00AC0AB5">
              <w:rPr>
                <w:sz w:val="16"/>
                <w:szCs w:val="16"/>
                <w:lang w:val="fr-FR"/>
              </w:rPr>
              <w:br/>
            </w:r>
            <w:r w:rsidRPr="00AC0AB5">
              <w:rPr>
                <w:sz w:val="16"/>
                <w:szCs w:val="16"/>
                <w:lang w:val="fr-FR"/>
              </w:rPr>
              <w:t>surdose de drogue</w:t>
            </w:r>
          </w:p>
        </w:tc>
        <w:tc>
          <w:tcPr>
            <w:tcW w:w="928"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3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6"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1</w:t>
            </w:r>
          </w:p>
        </w:tc>
        <w:tc>
          <w:tcPr>
            <w:tcW w:w="92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35"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r>
      <w:tr w:rsidR="00AC0AB5" w:rsidRPr="00AC0AB5">
        <w:tc>
          <w:tcPr>
            <w:tcW w:w="1930" w:type="dxa"/>
            <w:shd w:val="clear" w:color="auto" w:fill="auto"/>
          </w:tcPr>
          <w:p w:rsidR="00AF1E00" w:rsidRPr="00AC0AB5" w:rsidRDefault="00572260" w:rsidP="005D7B68">
            <w:pPr>
              <w:tabs>
                <w:tab w:val="left" w:pos="567"/>
                <w:tab w:val="left" w:pos="1134"/>
                <w:tab w:val="left" w:pos="1701"/>
                <w:tab w:val="left" w:pos="2268"/>
                <w:tab w:val="left" w:pos="2835"/>
              </w:tabs>
              <w:spacing w:before="20" w:after="20"/>
              <w:rPr>
                <w:sz w:val="16"/>
                <w:szCs w:val="16"/>
                <w:lang w:val="fr-FR"/>
              </w:rPr>
            </w:pPr>
            <w:r w:rsidRPr="00AC0AB5">
              <w:rPr>
                <w:sz w:val="16"/>
                <w:szCs w:val="16"/>
                <w:lang w:val="fr-FR"/>
              </w:rPr>
              <w:t xml:space="preserve"> </w:t>
            </w:r>
            <w:r w:rsidR="00441217" w:rsidRPr="00AC0AB5">
              <w:rPr>
                <w:sz w:val="16"/>
                <w:szCs w:val="16"/>
                <w:lang w:val="fr-FR"/>
              </w:rPr>
              <w:t xml:space="preserve"> </w:t>
            </w:r>
            <w:r w:rsidR="00AF1E00" w:rsidRPr="00AC0AB5">
              <w:rPr>
                <w:sz w:val="16"/>
                <w:szCs w:val="16"/>
                <w:lang w:val="fr-FR"/>
              </w:rPr>
              <w:t xml:space="preserve">Sous-total </w:t>
            </w:r>
          </w:p>
        </w:tc>
        <w:tc>
          <w:tcPr>
            <w:tcW w:w="928"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3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4</w:t>
            </w:r>
          </w:p>
        </w:tc>
        <w:tc>
          <w:tcPr>
            <w:tcW w:w="926"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c>
          <w:tcPr>
            <w:tcW w:w="92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3</w:t>
            </w:r>
          </w:p>
        </w:tc>
        <w:tc>
          <w:tcPr>
            <w:tcW w:w="935"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r>
      <w:tr w:rsidR="00AC0AB5" w:rsidRPr="00AC0AB5">
        <w:tc>
          <w:tcPr>
            <w:tcW w:w="1930" w:type="dxa"/>
            <w:shd w:val="clear" w:color="auto" w:fill="auto"/>
          </w:tcPr>
          <w:p w:rsidR="00AF1E00" w:rsidRPr="00AC0AB5" w:rsidRDefault="00AF1E00" w:rsidP="005D7B68">
            <w:pPr>
              <w:tabs>
                <w:tab w:val="left" w:pos="567"/>
                <w:tab w:val="left" w:pos="1134"/>
                <w:tab w:val="left" w:pos="1701"/>
                <w:tab w:val="left" w:pos="2268"/>
                <w:tab w:val="left" w:pos="2835"/>
              </w:tabs>
              <w:spacing w:before="20" w:after="20"/>
              <w:rPr>
                <w:sz w:val="16"/>
                <w:szCs w:val="16"/>
                <w:lang w:val="fr-FR"/>
              </w:rPr>
            </w:pPr>
            <w:r w:rsidRPr="00AC0AB5">
              <w:rPr>
                <w:sz w:val="16"/>
                <w:szCs w:val="16"/>
                <w:lang w:val="fr-FR"/>
              </w:rPr>
              <w:t>Apparemment naturelle</w:t>
            </w:r>
          </w:p>
        </w:tc>
        <w:tc>
          <w:tcPr>
            <w:tcW w:w="928"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3</w:t>
            </w:r>
          </w:p>
        </w:tc>
        <w:tc>
          <w:tcPr>
            <w:tcW w:w="93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6"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3</w:t>
            </w:r>
          </w:p>
        </w:tc>
        <w:tc>
          <w:tcPr>
            <w:tcW w:w="922"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5</w:t>
            </w:r>
          </w:p>
        </w:tc>
        <w:tc>
          <w:tcPr>
            <w:tcW w:w="935"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0</w:t>
            </w:r>
          </w:p>
        </w:tc>
        <w:tc>
          <w:tcPr>
            <w:tcW w:w="929" w:type="dxa"/>
            <w:shd w:val="clear" w:color="auto" w:fill="auto"/>
          </w:tcPr>
          <w:p w:rsidR="00AF1E00" w:rsidRPr="00AC0AB5" w:rsidRDefault="00AF1E00" w:rsidP="005D7B68">
            <w:pPr>
              <w:keepNext/>
              <w:keepLines/>
              <w:tabs>
                <w:tab w:val="left" w:pos="567"/>
                <w:tab w:val="left" w:pos="1134"/>
                <w:tab w:val="left" w:pos="1701"/>
                <w:tab w:val="left" w:pos="2268"/>
                <w:tab w:val="left" w:pos="2835"/>
              </w:tabs>
              <w:spacing w:before="20" w:after="20"/>
              <w:ind w:left="-1980" w:right="87" w:firstLine="28"/>
              <w:jc w:val="right"/>
              <w:rPr>
                <w:sz w:val="16"/>
                <w:szCs w:val="16"/>
              </w:rPr>
            </w:pPr>
            <w:r w:rsidRPr="00AC0AB5">
              <w:rPr>
                <w:sz w:val="16"/>
                <w:szCs w:val="16"/>
              </w:rPr>
              <w:t>2</w:t>
            </w:r>
          </w:p>
        </w:tc>
      </w:tr>
      <w:tr w:rsidR="00AC0AB5" w:rsidRPr="00663C40">
        <w:tc>
          <w:tcPr>
            <w:tcW w:w="1930" w:type="dxa"/>
            <w:shd w:val="clear" w:color="auto" w:fill="auto"/>
          </w:tcPr>
          <w:p w:rsidR="00AF1E00" w:rsidRPr="00663C40" w:rsidRDefault="00572260" w:rsidP="005D7B68">
            <w:pPr>
              <w:tabs>
                <w:tab w:val="left" w:pos="567"/>
                <w:tab w:val="left" w:pos="1134"/>
                <w:tab w:val="left" w:pos="1701"/>
                <w:tab w:val="left" w:pos="2268"/>
                <w:tab w:val="left" w:pos="2835"/>
              </w:tabs>
              <w:spacing w:before="20" w:after="20"/>
              <w:rPr>
                <w:b/>
                <w:bCs/>
                <w:sz w:val="16"/>
                <w:szCs w:val="16"/>
                <w:lang w:val="fr-FR"/>
              </w:rPr>
            </w:pPr>
            <w:r w:rsidRPr="00663C40">
              <w:rPr>
                <w:b/>
                <w:bCs/>
                <w:sz w:val="16"/>
                <w:szCs w:val="16"/>
                <w:lang w:val="fr-FR"/>
              </w:rPr>
              <w:t xml:space="preserve"> </w:t>
            </w:r>
            <w:r w:rsidR="00441217" w:rsidRPr="00663C40">
              <w:rPr>
                <w:b/>
                <w:bCs/>
                <w:sz w:val="16"/>
                <w:szCs w:val="16"/>
                <w:lang w:val="fr-FR"/>
              </w:rPr>
              <w:t xml:space="preserve"> </w:t>
            </w:r>
            <w:r w:rsidR="00AF1E00" w:rsidRPr="00663C40">
              <w:rPr>
                <w:b/>
                <w:bCs/>
                <w:sz w:val="16"/>
                <w:szCs w:val="16"/>
                <w:lang w:val="fr-FR"/>
              </w:rPr>
              <w:t>Total</w:t>
            </w:r>
          </w:p>
        </w:tc>
        <w:tc>
          <w:tcPr>
            <w:tcW w:w="928"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3</w:t>
            </w:r>
          </w:p>
        </w:tc>
        <w:tc>
          <w:tcPr>
            <w:tcW w:w="932"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4</w:t>
            </w:r>
          </w:p>
        </w:tc>
        <w:tc>
          <w:tcPr>
            <w:tcW w:w="926"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5</w:t>
            </w:r>
          </w:p>
        </w:tc>
        <w:tc>
          <w:tcPr>
            <w:tcW w:w="922"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8</w:t>
            </w:r>
          </w:p>
        </w:tc>
        <w:tc>
          <w:tcPr>
            <w:tcW w:w="935"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0</w:t>
            </w:r>
          </w:p>
        </w:tc>
        <w:tc>
          <w:tcPr>
            <w:tcW w:w="929"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4</w:t>
            </w:r>
          </w:p>
        </w:tc>
        <w:tc>
          <w:tcPr>
            <w:tcW w:w="929"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0</w:t>
            </w:r>
          </w:p>
        </w:tc>
        <w:tc>
          <w:tcPr>
            <w:tcW w:w="929" w:type="dxa"/>
            <w:shd w:val="clear" w:color="auto" w:fill="auto"/>
          </w:tcPr>
          <w:p w:rsidR="00AF1E00" w:rsidRPr="00663C40" w:rsidRDefault="00AF1E00" w:rsidP="005D7B68">
            <w:pPr>
              <w:keepNext/>
              <w:keepLines/>
              <w:tabs>
                <w:tab w:val="left" w:pos="567"/>
                <w:tab w:val="left" w:pos="1134"/>
                <w:tab w:val="left" w:pos="1701"/>
                <w:tab w:val="left" w:pos="2268"/>
                <w:tab w:val="left" w:pos="2835"/>
              </w:tabs>
              <w:spacing w:before="20" w:after="20"/>
              <w:ind w:left="-1980" w:right="87" w:firstLine="28"/>
              <w:jc w:val="right"/>
              <w:rPr>
                <w:b/>
                <w:bCs/>
                <w:sz w:val="16"/>
                <w:szCs w:val="16"/>
              </w:rPr>
            </w:pPr>
            <w:r w:rsidRPr="00663C40">
              <w:rPr>
                <w:b/>
                <w:bCs/>
                <w:sz w:val="16"/>
                <w:szCs w:val="16"/>
              </w:rPr>
              <w:t>2</w:t>
            </w:r>
          </w:p>
        </w:tc>
      </w:tr>
    </w:tbl>
    <w:p w:rsidR="00AF1E00" w:rsidRDefault="00726012" w:rsidP="005D7B68">
      <w:pPr>
        <w:tabs>
          <w:tab w:val="left" w:pos="567"/>
          <w:tab w:val="left" w:pos="1134"/>
          <w:tab w:val="left" w:pos="1701"/>
          <w:tab w:val="left" w:pos="2268"/>
          <w:tab w:val="left" w:pos="2835"/>
        </w:tabs>
        <w:spacing w:before="120"/>
        <w:rPr>
          <w:b/>
          <w:bCs/>
          <w:lang w:val="fr-FR"/>
        </w:rPr>
      </w:pPr>
      <w:r>
        <w:rPr>
          <w:b/>
          <w:bCs/>
          <w:lang w:val="fr-FR"/>
        </w:rPr>
        <w:t>Mesures prises pour remédier aux décès s</w:t>
      </w:r>
      <w:r w:rsidR="00151BFB">
        <w:rPr>
          <w:b/>
          <w:bCs/>
          <w:lang w:val="fr-FR"/>
        </w:rPr>
        <w:t xml:space="preserve">urvenant en détention </w:t>
      </w:r>
    </w:p>
    <w:p w:rsidR="00726012" w:rsidRPr="00726012" w:rsidRDefault="002A6CEC" w:rsidP="005D7B68">
      <w:pPr>
        <w:tabs>
          <w:tab w:val="left" w:pos="567"/>
          <w:tab w:val="left" w:pos="1134"/>
          <w:tab w:val="left" w:pos="1701"/>
          <w:tab w:val="left" w:pos="2268"/>
          <w:tab w:val="left" w:pos="2835"/>
        </w:tabs>
        <w:rPr>
          <w:lang w:val="fr-FR"/>
        </w:rPr>
      </w:pPr>
      <w:r>
        <w:rPr>
          <w:lang w:val="fr-FR"/>
        </w:rPr>
        <w:t>640.</w:t>
      </w:r>
      <w:r>
        <w:rPr>
          <w:lang w:val="fr-FR"/>
        </w:rPr>
        <w:tab/>
      </w:r>
      <w:r w:rsidR="00726012">
        <w:rPr>
          <w:lang w:val="fr-FR"/>
        </w:rPr>
        <w:t>L’État a appliqué progressivement les 300 recommandations ou presque</w:t>
      </w:r>
      <w:r w:rsidR="00A33FE2">
        <w:rPr>
          <w:lang w:val="fr-FR"/>
        </w:rPr>
        <w:t xml:space="preserve"> concernant le Queensland</w:t>
      </w:r>
      <w:r w:rsidR="00726012">
        <w:rPr>
          <w:lang w:val="fr-FR"/>
        </w:rPr>
        <w:t xml:space="preserve"> de la Commission royale sur les décès d’aborigènes pendant leur détention</w:t>
      </w:r>
      <w:r w:rsidR="00151BFB">
        <w:rPr>
          <w:lang w:val="fr-FR"/>
        </w:rPr>
        <w:t>.</w:t>
      </w:r>
    </w:p>
    <w:p w:rsidR="00AF1E00" w:rsidRDefault="002A6CEC" w:rsidP="005D7B68">
      <w:pPr>
        <w:tabs>
          <w:tab w:val="left" w:pos="567"/>
          <w:tab w:val="left" w:pos="1134"/>
          <w:tab w:val="left" w:pos="1701"/>
          <w:tab w:val="left" w:pos="2268"/>
          <w:tab w:val="left" w:pos="2835"/>
        </w:tabs>
        <w:rPr>
          <w:lang w:val="fr-FR"/>
        </w:rPr>
      </w:pPr>
      <w:r>
        <w:rPr>
          <w:lang w:val="fr-FR"/>
        </w:rPr>
        <w:t>641</w:t>
      </w:r>
      <w:r w:rsidR="00A33FE2">
        <w:rPr>
          <w:lang w:val="fr-FR"/>
        </w:rPr>
        <w:t>.</w:t>
      </w:r>
      <w:r w:rsidR="00A33FE2">
        <w:rPr>
          <w:lang w:val="fr-FR"/>
        </w:rPr>
        <w:tab/>
        <w:t xml:space="preserve">Conscient qu’un nombre important de décès de détenus est dû à un comportement autodestructeur, le Gouvernement du Queensland a organisé un service de visiteurs </w:t>
      </w:r>
      <w:r w:rsidR="00CE15C5">
        <w:rPr>
          <w:lang w:val="fr-FR"/>
        </w:rPr>
        <w:t xml:space="preserve">de cellules </w:t>
      </w:r>
      <w:r w:rsidR="00A33FE2">
        <w:rPr>
          <w:lang w:val="fr-FR"/>
        </w:rPr>
        <w:t xml:space="preserve">indépendants, comprenant des membres des communautés aborigènes qui </w:t>
      </w:r>
      <w:r w:rsidR="00152033">
        <w:rPr>
          <w:lang w:val="fr-FR"/>
        </w:rPr>
        <w:t>passent une partie de leur temps dans un établissement de détention local pour réconforter et soutenir les détenus.</w:t>
      </w:r>
    </w:p>
    <w:p w:rsidR="00152033" w:rsidRDefault="00152033" w:rsidP="005D7B68">
      <w:pPr>
        <w:tabs>
          <w:tab w:val="left" w:pos="567"/>
          <w:tab w:val="left" w:pos="1134"/>
          <w:tab w:val="left" w:pos="1701"/>
          <w:tab w:val="left" w:pos="2268"/>
          <w:tab w:val="left" w:pos="2835"/>
        </w:tabs>
        <w:rPr>
          <w:lang w:val="fr-FR"/>
        </w:rPr>
      </w:pPr>
      <w:r>
        <w:rPr>
          <w:lang w:val="fr-FR"/>
        </w:rPr>
        <w:t>64</w:t>
      </w:r>
      <w:r w:rsidR="002A6CEC">
        <w:rPr>
          <w:lang w:val="fr-FR"/>
        </w:rPr>
        <w:t>2</w:t>
      </w:r>
      <w:r>
        <w:rPr>
          <w:lang w:val="fr-FR"/>
        </w:rPr>
        <w:t>.</w:t>
      </w:r>
      <w:r>
        <w:rPr>
          <w:lang w:val="fr-FR"/>
        </w:rPr>
        <w:tab/>
        <w:t>Ils observent et</w:t>
      </w:r>
      <w:r w:rsidR="00572260">
        <w:rPr>
          <w:lang w:val="fr-FR"/>
        </w:rPr>
        <w:t xml:space="preserve"> </w:t>
      </w:r>
      <w:r>
        <w:rPr>
          <w:lang w:val="fr-FR"/>
        </w:rPr>
        <w:t>facilitent une communication effective entre les détenus et le personnel de l’établissement, et peuvent contribuer à prévenir des tentatives d’automutilation et à repé</w:t>
      </w:r>
      <w:r w:rsidR="007843B0">
        <w:rPr>
          <w:lang w:val="fr-FR"/>
        </w:rPr>
        <w:t>rer des symptômes qui laissent</w:t>
      </w:r>
      <w:r>
        <w:rPr>
          <w:lang w:val="fr-FR"/>
        </w:rPr>
        <w:t xml:space="preserve"> penser que des soins médicaux s’imposent</w:t>
      </w:r>
      <w:r w:rsidR="008D6B80">
        <w:rPr>
          <w:lang w:val="fr-FR"/>
        </w:rPr>
        <w:t xml:space="preserve">. </w:t>
      </w:r>
      <w:r>
        <w:rPr>
          <w:lang w:val="fr-FR"/>
        </w:rPr>
        <w:t>Il</w:t>
      </w:r>
      <w:r w:rsidR="000465CF">
        <w:rPr>
          <w:lang w:val="fr-FR"/>
        </w:rPr>
        <w:t>s</w:t>
      </w:r>
      <w:r>
        <w:rPr>
          <w:lang w:val="fr-FR"/>
        </w:rPr>
        <w:t xml:space="preserve"> peuvent également fournir des renseignements </w:t>
      </w:r>
      <w:r w:rsidR="000465CF">
        <w:rPr>
          <w:lang w:val="fr-FR"/>
        </w:rPr>
        <w:t>et des services d’orientation médicale aux détenus</w:t>
      </w:r>
      <w:r w:rsidR="008D6B80">
        <w:rPr>
          <w:lang w:val="fr-FR"/>
        </w:rPr>
        <w:t xml:space="preserve">. </w:t>
      </w:r>
      <w:r w:rsidR="00663C40">
        <w:rPr>
          <w:lang w:val="fr-FR"/>
        </w:rPr>
        <w:t>Ils contribuent aussi au </w:t>
      </w:r>
      <w:r w:rsidR="000465CF">
        <w:rPr>
          <w:lang w:val="fr-FR"/>
        </w:rPr>
        <w:t>programme de remplacement de la garde à vue</w:t>
      </w:r>
      <w:r w:rsidR="0099730B">
        <w:rPr>
          <w:lang w:val="fr-FR"/>
        </w:rPr>
        <w:t xml:space="preserve"> et à assurer des conditions de sécurité aux personnes devant être placées en détention, et en particulier en</w:t>
      </w:r>
      <w:r w:rsidR="00663C40">
        <w:rPr>
          <w:lang w:val="fr-FR"/>
        </w:rPr>
        <w:t xml:space="preserve"> garde à vue dans des postes de </w:t>
      </w:r>
      <w:r w:rsidR="0099730B">
        <w:rPr>
          <w:lang w:val="fr-FR"/>
        </w:rPr>
        <w:t>police.</w:t>
      </w:r>
    </w:p>
    <w:p w:rsidR="008E3DD8" w:rsidRDefault="007843B0" w:rsidP="005D7B68">
      <w:pPr>
        <w:tabs>
          <w:tab w:val="left" w:pos="567"/>
          <w:tab w:val="left" w:pos="1134"/>
          <w:tab w:val="left" w:pos="1701"/>
          <w:tab w:val="left" w:pos="2268"/>
          <w:tab w:val="left" w:pos="2835"/>
        </w:tabs>
        <w:rPr>
          <w:lang w:val="fr-FR"/>
        </w:rPr>
      </w:pPr>
      <w:r>
        <w:rPr>
          <w:lang w:val="fr-FR"/>
        </w:rPr>
        <w:t>64</w:t>
      </w:r>
      <w:r w:rsidR="002A6CEC">
        <w:rPr>
          <w:lang w:val="fr-FR"/>
        </w:rPr>
        <w:t>3</w:t>
      </w:r>
      <w:r>
        <w:rPr>
          <w:lang w:val="fr-FR"/>
        </w:rPr>
        <w:t>.</w:t>
      </w:r>
      <w:r>
        <w:rPr>
          <w:lang w:val="fr-FR"/>
        </w:rPr>
        <w:tab/>
        <w:t>Les s</w:t>
      </w:r>
      <w:r w:rsidR="0099730B">
        <w:rPr>
          <w:lang w:val="fr-FR"/>
        </w:rPr>
        <w:t>ervices pénitentiaires du Queensland se sont dotés d’une procédure de traitement des détenus à risque p</w:t>
      </w:r>
      <w:r w:rsidR="00A72B04">
        <w:rPr>
          <w:lang w:val="fr-FR"/>
        </w:rPr>
        <w:t>our veiller à ce que ceux qui sont</w:t>
      </w:r>
      <w:r w:rsidR="0099730B">
        <w:rPr>
          <w:lang w:val="fr-FR"/>
        </w:rPr>
        <w:t xml:space="preserve"> en danger de s’automutiler ou de se suicider soient repérés et traités comme il convient</w:t>
      </w:r>
      <w:r w:rsidR="008D6B80">
        <w:rPr>
          <w:lang w:val="fr-FR"/>
        </w:rPr>
        <w:t xml:space="preserve">. </w:t>
      </w:r>
      <w:r w:rsidR="0099730B">
        <w:rPr>
          <w:lang w:val="fr-FR"/>
        </w:rPr>
        <w:t>Lorsqu’un détenu à risque est identifié, diverses mesures sont prises, qui peuvent comporter un changement de logement, des observations régulières par le personnel des services pénitentiaires, une assistance médicale ou psychologique et la confiscation d’objet</w:t>
      </w:r>
      <w:r>
        <w:rPr>
          <w:lang w:val="fr-FR"/>
        </w:rPr>
        <w:t>s</w:t>
      </w:r>
      <w:r w:rsidR="0099730B">
        <w:rPr>
          <w:lang w:val="fr-FR"/>
        </w:rPr>
        <w:t xml:space="preserve"> pouvant servir à des fins d’automutilation ou d’autodestruction. </w:t>
      </w:r>
      <w:r w:rsidR="00663C40">
        <w:rPr>
          <w:lang w:val="fr-FR"/>
        </w:rPr>
        <w:t>Des </w:t>
      </w:r>
      <w:r w:rsidR="00667D87">
        <w:rPr>
          <w:lang w:val="fr-FR"/>
        </w:rPr>
        <w:t>mesures spéciales sont prises pour permettre aux délinquants aborigènes de rencontrer un</w:t>
      </w:r>
      <w:r w:rsidR="008E3DD8">
        <w:rPr>
          <w:lang w:val="fr-FR"/>
        </w:rPr>
        <w:t xml:space="preserve"> auxiliaire aborigène ou un Ancien.</w:t>
      </w:r>
    </w:p>
    <w:p w:rsidR="00793D17" w:rsidRDefault="008E3DD8" w:rsidP="005D7B68">
      <w:pPr>
        <w:tabs>
          <w:tab w:val="left" w:pos="567"/>
          <w:tab w:val="left" w:pos="1134"/>
          <w:tab w:val="left" w:pos="1701"/>
          <w:tab w:val="left" w:pos="2268"/>
          <w:tab w:val="left" w:pos="2835"/>
        </w:tabs>
        <w:rPr>
          <w:lang w:val="fr-FR"/>
        </w:rPr>
      </w:pPr>
      <w:r>
        <w:rPr>
          <w:lang w:val="fr-FR"/>
        </w:rPr>
        <w:t>64</w:t>
      </w:r>
      <w:r w:rsidR="002A6CEC">
        <w:rPr>
          <w:lang w:val="fr-FR"/>
        </w:rPr>
        <w:t>4</w:t>
      </w:r>
      <w:r>
        <w:rPr>
          <w:lang w:val="fr-FR"/>
        </w:rPr>
        <w:t>.</w:t>
      </w:r>
      <w:r>
        <w:rPr>
          <w:lang w:val="fr-FR"/>
        </w:rPr>
        <w:tab/>
        <w:t xml:space="preserve">Le 2 novembre 2006, </w:t>
      </w:r>
      <w:r w:rsidR="0068759B">
        <w:rPr>
          <w:lang w:val="fr-FR"/>
        </w:rPr>
        <w:t xml:space="preserve">le Premier Ministre du Queensland a présenté au Parlement la réponse du gouvernement aux conclusions du </w:t>
      </w:r>
      <w:r w:rsidR="0068759B">
        <w:rPr>
          <w:i/>
          <w:iCs/>
          <w:lang w:val="fr-FR"/>
        </w:rPr>
        <w:t>Coroner</w:t>
      </w:r>
      <w:r w:rsidR="0068759B">
        <w:rPr>
          <w:lang w:val="fr-FR"/>
        </w:rPr>
        <w:t xml:space="preserve"> d’État intérimaire relatives à l’information judiciaire concernant la mort de Mulrunji au </w:t>
      </w:r>
      <w:r w:rsidR="0068759B" w:rsidRPr="00793D17">
        <w:rPr>
          <w:lang w:val="fr-FR"/>
        </w:rPr>
        <w:t>poste de</w:t>
      </w:r>
      <w:r w:rsidR="00572260">
        <w:rPr>
          <w:lang w:val="fr-FR"/>
        </w:rPr>
        <w:t xml:space="preserve"> </w:t>
      </w:r>
      <w:r w:rsidR="0068759B" w:rsidRPr="00793D17">
        <w:rPr>
          <w:lang w:val="fr-FR"/>
        </w:rPr>
        <w:t>police</w:t>
      </w:r>
      <w:r w:rsidR="00CA7DCA">
        <w:rPr>
          <w:lang w:val="fr-FR"/>
        </w:rPr>
        <w:t xml:space="preserve"> de Palm Island le 19 </w:t>
      </w:r>
      <w:r w:rsidR="0068759B">
        <w:rPr>
          <w:lang w:val="fr-FR"/>
        </w:rPr>
        <w:t>novembre 2004</w:t>
      </w:r>
      <w:r w:rsidR="008D6B80">
        <w:rPr>
          <w:lang w:val="fr-FR"/>
        </w:rPr>
        <w:t xml:space="preserve">. </w:t>
      </w:r>
      <w:r w:rsidR="00793D17">
        <w:rPr>
          <w:lang w:val="fr-FR"/>
        </w:rPr>
        <w:t xml:space="preserve">Le Gouvernement du Queensland appuie généralement les observations des </w:t>
      </w:r>
      <w:r w:rsidR="00793D17">
        <w:rPr>
          <w:i/>
          <w:iCs/>
          <w:lang w:val="fr-FR"/>
        </w:rPr>
        <w:t>coroners</w:t>
      </w:r>
      <w:r w:rsidR="00793D17">
        <w:rPr>
          <w:lang w:val="fr-FR"/>
        </w:rPr>
        <w:t xml:space="preserve"> et il se préoccupe déjà des recommandations du </w:t>
      </w:r>
      <w:r w:rsidR="00793D17">
        <w:rPr>
          <w:i/>
          <w:iCs/>
          <w:lang w:val="fr-FR"/>
        </w:rPr>
        <w:t>coroner</w:t>
      </w:r>
      <w:r w:rsidR="00572260">
        <w:rPr>
          <w:i/>
          <w:iCs/>
          <w:lang w:val="fr-FR"/>
        </w:rPr>
        <w:t>:</w:t>
      </w:r>
    </w:p>
    <w:p w:rsidR="0099730B" w:rsidRDefault="00793D17" w:rsidP="005D7B68">
      <w:pPr>
        <w:tabs>
          <w:tab w:val="left" w:pos="567"/>
          <w:tab w:val="left" w:pos="1134"/>
          <w:tab w:val="left" w:pos="1701"/>
          <w:tab w:val="left" w:pos="2268"/>
          <w:tab w:val="left" w:pos="2835"/>
        </w:tabs>
        <w:rPr>
          <w:lang w:val="fr-FR"/>
        </w:rPr>
      </w:pPr>
      <w:r>
        <w:rPr>
          <w:lang w:val="fr-FR"/>
        </w:rPr>
        <w:tab/>
        <w:t>a)</w:t>
      </w:r>
      <w:r>
        <w:rPr>
          <w:lang w:val="fr-FR"/>
        </w:rPr>
        <w:tab/>
        <w:t>Arrestation et surveillance policière</w:t>
      </w:r>
      <w:r w:rsidR="00572260">
        <w:rPr>
          <w:lang w:val="fr-FR"/>
        </w:rPr>
        <w:t>:</w:t>
      </w:r>
      <w:r>
        <w:rPr>
          <w:lang w:val="fr-FR"/>
        </w:rPr>
        <w:t xml:space="preserve"> le Gouvernement du Queensland a toujours soutenu le principe selon lequel la police ne devrait placer une personne en état d’arrestation</w:t>
      </w:r>
      <w:r w:rsidR="0068759B">
        <w:rPr>
          <w:lang w:val="fr-FR"/>
        </w:rPr>
        <w:t xml:space="preserve"> </w:t>
      </w:r>
      <w:r>
        <w:rPr>
          <w:lang w:val="fr-FR"/>
        </w:rPr>
        <w:t>qu’en dernier recours</w:t>
      </w:r>
      <w:r w:rsidR="008D6B80">
        <w:rPr>
          <w:lang w:val="fr-FR"/>
        </w:rPr>
        <w:t xml:space="preserve">. </w:t>
      </w:r>
      <w:r>
        <w:rPr>
          <w:lang w:val="fr-FR"/>
        </w:rPr>
        <w:t>La loi de 2000 sur les pouvoirs et responsabilités de la police sera modifiée</w:t>
      </w:r>
      <w:r w:rsidR="00667D87">
        <w:rPr>
          <w:lang w:val="fr-FR"/>
        </w:rPr>
        <w:t xml:space="preserve"> </w:t>
      </w:r>
      <w:r>
        <w:rPr>
          <w:lang w:val="fr-FR"/>
        </w:rPr>
        <w:t>pour qu’y soit introduit un exemple destiné à renforcer ce principe</w:t>
      </w:r>
      <w:r w:rsidR="008D6B80">
        <w:rPr>
          <w:lang w:val="fr-FR"/>
        </w:rPr>
        <w:t xml:space="preserve">. </w:t>
      </w:r>
      <w:r>
        <w:rPr>
          <w:lang w:val="fr-FR"/>
        </w:rPr>
        <w:t>Des modifications seront apportées dans le même sens au manuel des procédures opérationnelles du service de police du Queensland</w:t>
      </w:r>
      <w:r w:rsidR="008D6B80">
        <w:rPr>
          <w:lang w:val="fr-FR"/>
        </w:rPr>
        <w:t xml:space="preserve">. </w:t>
      </w:r>
      <w:r>
        <w:rPr>
          <w:lang w:val="fr-FR"/>
        </w:rPr>
        <w:t>La formation des membres de la police</w:t>
      </w:r>
      <w:r w:rsidR="00CE15C5">
        <w:rPr>
          <w:lang w:val="fr-FR"/>
        </w:rPr>
        <w:t xml:space="preserve"> relative aux</w:t>
      </w:r>
      <w:r>
        <w:rPr>
          <w:lang w:val="fr-FR"/>
        </w:rPr>
        <w:t xml:space="preserve"> questions d’arrestation</w:t>
      </w:r>
      <w:r w:rsidR="00CE15C5">
        <w:rPr>
          <w:lang w:val="fr-FR"/>
        </w:rPr>
        <w:t xml:space="preserve"> et de garde à vue sera également revue, notamment en ce qui concerne les aborigènes</w:t>
      </w:r>
      <w:r w:rsidR="00663C40">
        <w:rPr>
          <w:lang w:val="fr-FR"/>
        </w:rPr>
        <w:t>;</w:t>
      </w:r>
    </w:p>
    <w:p w:rsidR="00CE15C5" w:rsidRDefault="00CE15C5" w:rsidP="005D7B68">
      <w:pPr>
        <w:tabs>
          <w:tab w:val="left" w:pos="567"/>
          <w:tab w:val="left" w:pos="1134"/>
          <w:tab w:val="left" w:pos="1701"/>
          <w:tab w:val="left" w:pos="2268"/>
          <w:tab w:val="left" w:pos="2835"/>
        </w:tabs>
        <w:rPr>
          <w:lang w:val="fr-FR"/>
        </w:rPr>
      </w:pPr>
      <w:r>
        <w:rPr>
          <w:lang w:val="fr-FR"/>
        </w:rPr>
        <w:tab/>
        <w:t>b)</w:t>
      </w:r>
      <w:r>
        <w:rPr>
          <w:lang w:val="fr-FR"/>
        </w:rPr>
        <w:tab/>
        <w:t>Centres de remplacement de la garde à vue et patrouilles communautaires</w:t>
      </w:r>
      <w:r w:rsidR="00572260">
        <w:rPr>
          <w:lang w:val="fr-FR"/>
        </w:rPr>
        <w:t>:</w:t>
      </w:r>
      <w:r>
        <w:rPr>
          <w:lang w:val="fr-FR"/>
        </w:rPr>
        <w:t xml:space="preserve"> le Gouvernement du Queensland a déjà mis sur pied un programme de visiteurs de cellules</w:t>
      </w:r>
      <w:r w:rsidR="008D6B80">
        <w:rPr>
          <w:lang w:val="fr-FR"/>
        </w:rPr>
        <w:t xml:space="preserve">. </w:t>
      </w:r>
      <w:r w:rsidR="00663C40">
        <w:rPr>
          <w:lang w:val="fr-FR"/>
        </w:rPr>
        <w:t>Un </w:t>
      </w:r>
      <w:r w:rsidR="00B301A8">
        <w:rPr>
          <w:lang w:val="fr-FR"/>
        </w:rPr>
        <w:t>modèle intégré de services visant à éviter le placement en garde à vue, y compris des patrouilles communautair</w:t>
      </w:r>
      <w:r w:rsidR="00663C40">
        <w:rPr>
          <w:lang w:val="fr-FR"/>
        </w:rPr>
        <w:t>es, sera également mis au point;</w:t>
      </w:r>
    </w:p>
    <w:p w:rsidR="00B301A8" w:rsidRDefault="00B301A8" w:rsidP="005D7B68">
      <w:pPr>
        <w:tabs>
          <w:tab w:val="left" w:pos="567"/>
          <w:tab w:val="left" w:pos="1134"/>
          <w:tab w:val="left" w:pos="1701"/>
          <w:tab w:val="left" w:pos="2268"/>
          <w:tab w:val="left" w:pos="2835"/>
        </w:tabs>
        <w:rPr>
          <w:lang w:val="fr-FR"/>
        </w:rPr>
      </w:pPr>
      <w:r>
        <w:rPr>
          <w:lang w:val="fr-FR"/>
        </w:rPr>
        <w:tab/>
        <w:t>c)</w:t>
      </w:r>
      <w:r>
        <w:rPr>
          <w:lang w:val="fr-FR"/>
        </w:rPr>
        <w:tab/>
        <w:t>Bilan de santé, surveillance et suivi</w:t>
      </w:r>
      <w:r w:rsidR="00572260">
        <w:rPr>
          <w:lang w:val="fr-FR"/>
        </w:rPr>
        <w:t>:</w:t>
      </w:r>
      <w:r>
        <w:rPr>
          <w:lang w:val="fr-FR"/>
        </w:rPr>
        <w:t xml:space="preserve"> le Service de police du Queensland reverra les procédures</w:t>
      </w:r>
      <w:r w:rsidR="00B11F00">
        <w:rPr>
          <w:lang w:val="fr-FR"/>
        </w:rPr>
        <w:t xml:space="preserve"> actuelles pour réduire autant </w:t>
      </w:r>
      <w:r>
        <w:rPr>
          <w:lang w:val="fr-FR"/>
        </w:rPr>
        <w:t>que possible le nombre de situations dans lesquelles les détenus</w:t>
      </w:r>
      <w:r w:rsidR="00663C40">
        <w:rPr>
          <w:lang w:val="fr-FR"/>
        </w:rPr>
        <w:t xml:space="preserve"> sont laissés sans surveillance;</w:t>
      </w:r>
    </w:p>
    <w:p w:rsidR="00B301A8" w:rsidRDefault="00B301A8" w:rsidP="005D7B68">
      <w:pPr>
        <w:tabs>
          <w:tab w:val="left" w:pos="567"/>
          <w:tab w:val="left" w:pos="1134"/>
          <w:tab w:val="left" w:pos="1701"/>
          <w:tab w:val="left" w:pos="2268"/>
          <w:tab w:val="left" w:pos="2835"/>
        </w:tabs>
        <w:rPr>
          <w:lang w:val="fr-FR"/>
        </w:rPr>
      </w:pPr>
      <w:r>
        <w:rPr>
          <w:lang w:val="fr-FR"/>
        </w:rPr>
        <w:tab/>
        <w:t>d)</w:t>
      </w:r>
      <w:r>
        <w:rPr>
          <w:lang w:val="fr-FR"/>
        </w:rPr>
        <w:tab/>
        <w:t>L’instruction</w:t>
      </w:r>
      <w:r w:rsidR="00572260">
        <w:rPr>
          <w:lang w:val="fr-FR"/>
        </w:rPr>
        <w:t>:</w:t>
      </w:r>
      <w:r>
        <w:rPr>
          <w:lang w:val="fr-FR"/>
        </w:rPr>
        <w:t xml:space="preserve"> le Service de police du Queensland avait conclu un mémorandum d’accord avec le </w:t>
      </w:r>
      <w:r>
        <w:rPr>
          <w:i/>
          <w:iCs/>
          <w:lang w:val="fr-FR"/>
        </w:rPr>
        <w:t xml:space="preserve">Coroner </w:t>
      </w:r>
      <w:r w:rsidR="00273050">
        <w:rPr>
          <w:lang w:val="fr-FR"/>
        </w:rPr>
        <w:t>d</w:t>
      </w:r>
      <w:r w:rsidR="007843B0">
        <w:rPr>
          <w:lang w:val="fr-FR"/>
        </w:rPr>
        <w:t>e l’É</w:t>
      </w:r>
      <w:r w:rsidR="00273050">
        <w:rPr>
          <w:lang w:val="fr-FR"/>
        </w:rPr>
        <w:t>tat et la Commiss</w:t>
      </w:r>
      <w:r w:rsidR="0015788C">
        <w:rPr>
          <w:lang w:val="fr-FR"/>
        </w:rPr>
        <w:t>ion des infractions et d</w:t>
      </w:r>
      <w:r w:rsidR="00273050">
        <w:rPr>
          <w:lang w:val="fr-FR"/>
        </w:rPr>
        <w:t>es fautes professionnelles concernant les enquêtes relatives aux décès des personnes</w:t>
      </w:r>
      <w:r>
        <w:rPr>
          <w:lang w:val="fr-FR"/>
        </w:rPr>
        <w:t xml:space="preserve"> </w:t>
      </w:r>
      <w:r w:rsidR="00273050">
        <w:rPr>
          <w:lang w:val="fr-FR"/>
        </w:rPr>
        <w:t>placées en garde à vue</w:t>
      </w:r>
      <w:r w:rsidR="008D6B80">
        <w:rPr>
          <w:lang w:val="fr-FR"/>
        </w:rPr>
        <w:t xml:space="preserve">. </w:t>
      </w:r>
      <w:r w:rsidR="00273050">
        <w:rPr>
          <w:lang w:val="fr-FR"/>
        </w:rPr>
        <w:t>L’administration du Queensland va t</w:t>
      </w:r>
      <w:r w:rsidR="005F0655">
        <w:rPr>
          <w:lang w:val="fr-FR"/>
        </w:rPr>
        <w:t>âcher de procéder à un examen du</w:t>
      </w:r>
      <w:r w:rsidR="00273050">
        <w:rPr>
          <w:lang w:val="fr-FR"/>
        </w:rPr>
        <w:t xml:space="preserve"> mémorandum d’accord afin de tenir compte des conclusions du </w:t>
      </w:r>
      <w:r w:rsidR="00273050">
        <w:rPr>
          <w:i/>
          <w:iCs/>
          <w:lang w:val="fr-FR"/>
        </w:rPr>
        <w:t>coroner</w:t>
      </w:r>
      <w:r w:rsidR="00273050">
        <w:rPr>
          <w:lang w:val="fr-FR"/>
        </w:rPr>
        <w:t>.</w:t>
      </w:r>
    </w:p>
    <w:p w:rsidR="00273050" w:rsidRDefault="00273050" w:rsidP="005D7B68">
      <w:pPr>
        <w:tabs>
          <w:tab w:val="left" w:pos="567"/>
          <w:tab w:val="left" w:pos="1134"/>
          <w:tab w:val="left" w:pos="1701"/>
          <w:tab w:val="left" w:pos="2268"/>
          <w:tab w:val="left" w:pos="2835"/>
        </w:tabs>
        <w:rPr>
          <w:lang w:val="fr-FR"/>
        </w:rPr>
      </w:pPr>
      <w:r>
        <w:rPr>
          <w:lang w:val="fr-FR"/>
        </w:rPr>
        <w:t>64</w:t>
      </w:r>
      <w:r w:rsidR="002A6CEC">
        <w:rPr>
          <w:lang w:val="fr-FR"/>
        </w:rPr>
        <w:t>5</w:t>
      </w:r>
      <w:r>
        <w:rPr>
          <w:lang w:val="fr-FR"/>
        </w:rPr>
        <w:t>.</w:t>
      </w:r>
      <w:r>
        <w:rPr>
          <w:lang w:val="fr-FR"/>
        </w:rPr>
        <w:tab/>
      </w:r>
      <w:r w:rsidR="0015788C">
        <w:rPr>
          <w:lang w:val="fr-FR"/>
        </w:rPr>
        <w:t>Le Gouvernement du Queensland a demandé à la Commission des infractions et des fautes professionnel</w:t>
      </w:r>
      <w:r w:rsidR="00332924">
        <w:rPr>
          <w:lang w:val="fr-FR"/>
        </w:rPr>
        <w:t>les d’examiner les questions relatives aux</w:t>
      </w:r>
      <w:r w:rsidR="0015788C">
        <w:rPr>
          <w:lang w:val="fr-FR"/>
        </w:rPr>
        <w:t xml:space="preserve"> activités de police dans les communautés aborigènes et celles du détroit de Torres</w:t>
      </w:r>
      <w:r w:rsidR="008D6B80">
        <w:rPr>
          <w:lang w:val="fr-FR"/>
        </w:rPr>
        <w:t xml:space="preserve">. </w:t>
      </w:r>
      <w:r w:rsidR="0015788C">
        <w:rPr>
          <w:lang w:val="fr-FR"/>
        </w:rPr>
        <w:t xml:space="preserve">Entre autres points importants, cette commission se penchera sur les pratiques actuelles en matière de garde à vue </w:t>
      </w:r>
      <w:r w:rsidR="005F0655">
        <w:rPr>
          <w:lang w:val="fr-FR"/>
        </w:rPr>
        <w:t>dans les communautés isolées</w:t>
      </w:r>
      <w:r w:rsidR="002F286C">
        <w:rPr>
          <w:lang w:val="fr-FR"/>
        </w:rPr>
        <w:t>, y compris la surveillance des détenus dans les postes de police et autres établissements policiers au sein des communautés aborigènes sur</w:t>
      </w:r>
      <w:r w:rsidR="002159AD">
        <w:rPr>
          <w:lang w:val="fr-FR"/>
        </w:rPr>
        <w:t xml:space="preserve"> d</w:t>
      </w:r>
      <w:r w:rsidR="002F286C">
        <w:rPr>
          <w:lang w:val="fr-FR"/>
        </w:rPr>
        <w:t>es terres détenues au titre d’actes de cession en trust.</w:t>
      </w:r>
    </w:p>
    <w:p w:rsidR="002159AD" w:rsidRDefault="00F05E7E" w:rsidP="005D7B68">
      <w:pPr>
        <w:tabs>
          <w:tab w:val="left" w:pos="567"/>
          <w:tab w:val="left" w:pos="1134"/>
          <w:tab w:val="left" w:pos="1701"/>
          <w:tab w:val="left" w:pos="2268"/>
          <w:tab w:val="left" w:pos="2835"/>
        </w:tabs>
        <w:rPr>
          <w:lang w:val="fr-FR"/>
        </w:rPr>
      </w:pPr>
      <w:r>
        <w:rPr>
          <w:lang w:val="fr-FR"/>
        </w:rPr>
        <w:t>64</w:t>
      </w:r>
      <w:r w:rsidR="002A6CEC">
        <w:rPr>
          <w:lang w:val="fr-FR"/>
        </w:rPr>
        <w:t>6</w:t>
      </w:r>
      <w:r>
        <w:rPr>
          <w:lang w:val="fr-FR"/>
        </w:rPr>
        <w:t>.</w:t>
      </w:r>
      <w:r>
        <w:rPr>
          <w:lang w:val="fr-FR"/>
        </w:rPr>
        <w:tab/>
      </w:r>
      <w:r w:rsidR="00D326EF">
        <w:rPr>
          <w:lang w:val="fr-FR"/>
        </w:rPr>
        <w:t xml:space="preserve">La sécurité et la sûreté des personnes placées en garde à vue seront renforcées à la suite d’améliorations </w:t>
      </w:r>
      <w:r w:rsidR="002159AD">
        <w:rPr>
          <w:lang w:val="fr-FR"/>
        </w:rPr>
        <w:t xml:space="preserve">actuellement </w:t>
      </w:r>
      <w:r w:rsidR="00D326EF">
        <w:rPr>
          <w:lang w:val="fr-FR"/>
        </w:rPr>
        <w:t>apportées aux dispositifs d’enregistrement numérique en circuit fermé ou à l’installation de nouveaux dispositifs, ou les deux</w:t>
      </w:r>
      <w:r w:rsidR="00A23125">
        <w:rPr>
          <w:lang w:val="fr-FR"/>
        </w:rPr>
        <w:t>,</w:t>
      </w:r>
      <w:r w:rsidR="00D326EF">
        <w:rPr>
          <w:lang w:val="fr-FR"/>
        </w:rPr>
        <w:t xml:space="preserve"> dans tou</w:t>
      </w:r>
      <w:r w:rsidR="002159AD">
        <w:rPr>
          <w:lang w:val="fr-FR"/>
        </w:rPr>
        <w:t>s les locaux de détention des commissariats de police au sein des communautés aborigènes sur des terres détenues au titre d’actes de cession en trust, et ceci pendant une période de 12 mois.</w:t>
      </w:r>
    </w:p>
    <w:p w:rsidR="00F05E7E" w:rsidRDefault="002159AD" w:rsidP="005D7B68">
      <w:pPr>
        <w:tabs>
          <w:tab w:val="left" w:pos="567"/>
          <w:tab w:val="left" w:pos="1134"/>
          <w:tab w:val="left" w:pos="1701"/>
          <w:tab w:val="left" w:pos="2268"/>
          <w:tab w:val="left" w:pos="2835"/>
        </w:tabs>
        <w:rPr>
          <w:lang w:val="fr-FR"/>
        </w:rPr>
      </w:pPr>
      <w:r>
        <w:rPr>
          <w:lang w:val="fr-FR"/>
        </w:rPr>
        <w:t>64</w:t>
      </w:r>
      <w:r w:rsidR="002A6CEC">
        <w:rPr>
          <w:lang w:val="fr-FR"/>
        </w:rPr>
        <w:t>7</w:t>
      </w:r>
      <w:r>
        <w:rPr>
          <w:lang w:val="fr-FR"/>
        </w:rPr>
        <w:t>.</w:t>
      </w:r>
      <w:r>
        <w:rPr>
          <w:lang w:val="fr-FR"/>
        </w:rPr>
        <w:tab/>
      </w:r>
      <w:r w:rsidR="00572260">
        <w:rPr>
          <w:lang w:val="fr-FR"/>
        </w:rPr>
        <w:t xml:space="preserve"> </w:t>
      </w:r>
      <w:r w:rsidR="000D65ED">
        <w:rPr>
          <w:lang w:val="fr-FR"/>
        </w:rPr>
        <w:t>En ce qui concerne la mise en place d’équipements de surveillance dans tous les postes de police, le Directeur général de la police a entrepris d’effectuer un audit de toutes les installations de surveillance existantes dans les postes de police et de définir les priorités</w:t>
      </w:r>
      <w:r w:rsidR="00A23125">
        <w:rPr>
          <w:lang w:val="fr-FR"/>
        </w:rPr>
        <w:t xml:space="preserve"> absolues</w:t>
      </w:r>
      <w:r w:rsidR="000D65ED">
        <w:rPr>
          <w:lang w:val="fr-FR"/>
        </w:rPr>
        <w:t xml:space="preserve"> pour l’amélioration de ces installations dans l’ensemble des postes de police du Queensland.</w:t>
      </w:r>
    </w:p>
    <w:p w:rsidR="000D65ED" w:rsidRDefault="000D65ED" w:rsidP="005D7B68">
      <w:pPr>
        <w:tabs>
          <w:tab w:val="left" w:pos="567"/>
          <w:tab w:val="left" w:pos="1134"/>
          <w:tab w:val="left" w:pos="1701"/>
          <w:tab w:val="left" w:pos="2268"/>
          <w:tab w:val="left" w:pos="2835"/>
        </w:tabs>
        <w:rPr>
          <w:lang w:val="fr-FR"/>
        </w:rPr>
      </w:pPr>
      <w:r>
        <w:rPr>
          <w:lang w:val="fr-FR"/>
        </w:rPr>
        <w:t>64</w:t>
      </w:r>
      <w:r w:rsidR="002A6CEC">
        <w:rPr>
          <w:lang w:val="fr-FR"/>
        </w:rPr>
        <w:t>8</w:t>
      </w:r>
      <w:r>
        <w:rPr>
          <w:lang w:val="fr-FR"/>
        </w:rPr>
        <w:t>.</w:t>
      </w:r>
      <w:r>
        <w:rPr>
          <w:lang w:val="fr-FR"/>
        </w:rPr>
        <w:tab/>
        <w:t xml:space="preserve">Le Gouvernement du Queensland reste très attaché à donner suite aux conclusions du </w:t>
      </w:r>
      <w:r>
        <w:rPr>
          <w:i/>
          <w:iCs/>
          <w:lang w:val="fr-FR"/>
        </w:rPr>
        <w:t>coroner</w:t>
      </w:r>
      <w:r>
        <w:rPr>
          <w:lang w:val="fr-FR"/>
        </w:rPr>
        <w:t xml:space="preserve"> et à empêcher que de telles tragédies se renouvellent à l’avenir.</w:t>
      </w:r>
    </w:p>
    <w:p w:rsidR="000D65ED"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6970C6" w:rsidRDefault="000D65ED" w:rsidP="005D7B68">
      <w:pPr>
        <w:tabs>
          <w:tab w:val="left" w:pos="567"/>
          <w:tab w:val="left" w:pos="1134"/>
          <w:tab w:val="left" w:pos="1701"/>
          <w:tab w:val="left" w:pos="2268"/>
          <w:tab w:val="left" w:pos="2835"/>
        </w:tabs>
        <w:rPr>
          <w:lang w:val="fr-FR"/>
        </w:rPr>
      </w:pPr>
      <w:r>
        <w:rPr>
          <w:lang w:val="fr-FR"/>
        </w:rPr>
        <w:t>6</w:t>
      </w:r>
      <w:r w:rsidR="002A6CEC">
        <w:rPr>
          <w:lang w:val="fr-FR"/>
        </w:rPr>
        <w:t>49</w:t>
      </w:r>
      <w:r>
        <w:rPr>
          <w:lang w:val="fr-FR"/>
        </w:rPr>
        <w:t>.</w:t>
      </w:r>
      <w:r>
        <w:rPr>
          <w:lang w:val="fr-FR"/>
        </w:rPr>
        <w:tab/>
      </w:r>
      <w:r w:rsidR="009B6966">
        <w:rPr>
          <w:lang w:val="fr-FR"/>
        </w:rPr>
        <w:t>Le service de déontologie est chargé de veiller à ce que le Département des services pénitentiaires d’</w:t>
      </w:r>
      <w:r w:rsidR="008E1139">
        <w:rPr>
          <w:lang w:val="fr-FR"/>
        </w:rPr>
        <w:t>Australie occidentale</w:t>
      </w:r>
      <w:r w:rsidR="009B6966">
        <w:rPr>
          <w:lang w:val="fr-FR"/>
        </w:rPr>
        <w:t xml:space="preserve"> atteigne le plus haut niveau de professionnalisme dans tous les domaines de la pratique, du comportement et de la prestation de services</w:t>
      </w:r>
      <w:r w:rsidR="008D6B80">
        <w:rPr>
          <w:lang w:val="fr-FR"/>
        </w:rPr>
        <w:t xml:space="preserve">. </w:t>
      </w:r>
      <w:r w:rsidR="009B6966">
        <w:rPr>
          <w:lang w:val="fr-FR"/>
        </w:rPr>
        <w:t>Il</w:t>
      </w:r>
      <w:r w:rsidR="00AA330F">
        <w:rPr>
          <w:lang w:val="fr-FR"/>
        </w:rPr>
        <w:t xml:space="preserve"> </w:t>
      </w:r>
      <w:r w:rsidR="009B6966">
        <w:rPr>
          <w:lang w:val="fr-FR"/>
        </w:rPr>
        <w:t>s’occupe de la prévention de la corruption,</w:t>
      </w:r>
      <w:r w:rsidR="00AA330F">
        <w:rPr>
          <w:lang w:val="fr-FR"/>
        </w:rPr>
        <w:t xml:space="preserve"> de l’appui interne aux témoins, de la vérification du respect des règles, de l’administration des plaintes, des enquêtes et de la gestion des affaires</w:t>
      </w:r>
      <w:r w:rsidR="008D6B80">
        <w:rPr>
          <w:lang w:val="fr-FR"/>
        </w:rPr>
        <w:t xml:space="preserve">. </w:t>
      </w:r>
      <w:r w:rsidR="00AA330F">
        <w:rPr>
          <w:lang w:val="fr-FR"/>
        </w:rPr>
        <w:t xml:space="preserve">Il coordonne également les réformes liées aux recommandations </w:t>
      </w:r>
      <w:r w:rsidR="004A34AD">
        <w:rPr>
          <w:lang w:val="fr-FR"/>
        </w:rPr>
        <w:t>formulées</w:t>
      </w:r>
      <w:r w:rsidR="00AA330F">
        <w:rPr>
          <w:lang w:val="fr-FR"/>
        </w:rPr>
        <w:t xml:space="preserve"> à la suite d</w:t>
      </w:r>
      <w:r w:rsidR="006970C6">
        <w:rPr>
          <w:lang w:val="fr-FR"/>
        </w:rPr>
        <w:t>es examens externes et internes, et</w:t>
      </w:r>
      <w:r w:rsidR="00572260">
        <w:rPr>
          <w:lang w:val="fr-FR"/>
        </w:rPr>
        <w:t>:</w:t>
      </w:r>
    </w:p>
    <w:p w:rsidR="006970C6" w:rsidRDefault="006970C6" w:rsidP="005D7B68">
      <w:pPr>
        <w:tabs>
          <w:tab w:val="left" w:pos="567"/>
          <w:tab w:val="left" w:pos="1134"/>
          <w:tab w:val="left" w:pos="1701"/>
          <w:tab w:val="left" w:pos="2268"/>
          <w:tab w:val="left" w:pos="2835"/>
        </w:tabs>
        <w:rPr>
          <w:lang w:val="fr-FR"/>
        </w:rPr>
      </w:pPr>
      <w:r>
        <w:rPr>
          <w:lang w:val="fr-FR"/>
        </w:rPr>
        <w:tab/>
        <w:t>a)</w:t>
      </w:r>
      <w:r>
        <w:rPr>
          <w:lang w:val="fr-FR"/>
        </w:rPr>
        <w:tab/>
        <w:t>Il établit, à titre indépendant, des rapports à l’intention</w:t>
      </w:r>
      <w:r w:rsidR="009B6966">
        <w:rPr>
          <w:lang w:val="fr-FR"/>
        </w:rPr>
        <w:t xml:space="preserve"> </w:t>
      </w:r>
      <w:r>
        <w:rPr>
          <w:lang w:val="fr-FR"/>
        </w:rPr>
        <w:t xml:space="preserve">du </w:t>
      </w:r>
      <w:r>
        <w:rPr>
          <w:i/>
          <w:iCs/>
          <w:lang w:val="fr-FR"/>
        </w:rPr>
        <w:t xml:space="preserve">Coroner </w:t>
      </w:r>
      <w:r w:rsidRPr="006970C6">
        <w:rPr>
          <w:lang w:val="fr-FR"/>
        </w:rPr>
        <w:t>de l’État</w:t>
      </w:r>
      <w:r w:rsidR="009B6966">
        <w:rPr>
          <w:lang w:val="fr-FR"/>
        </w:rPr>
        <w:t xml:space="preserve"> </w:t>
      </w:r>
      <w:r>
        <w:rPr>
          <w:lang w:val="fr-FR"/>
        </w:rPr>
        <w:t>en vue des informations judiciaires sur les causes de la mort des délinquants, et aide à la coordination et à la préparation de ces informations</w:t>
      </w:r>
      <w:r w:rsidR="00572260">
        <w:rPr>
          <w:lang w:val="fr-FR"/>
        </w:rPr>
        <w:t>;</w:t>
      </w:r>
      <w:r>
        <w:rPr>
          <w:lang w:val="fr-FR"/>
        </w:rPr>
        <w:t xml:space="preserve"> et</w:t>
      </w:r>
    </w:p>
    <w:p w:rsidR="006970C6" w:rsidRDefault="006970C6" w:rsidP="005D7B68">
      <w:pPr>
        <w:tabs>
          <w:tab w:val="left" w:pos="567"/>
          <w:tab w:val="left" w:pos="1134"/>
          <w:tab w:val="left" w:pos="1701"/>
          <w:tab w:val="left" w:pos="2268"/>
          <w:tab w:val="left" w:pos="2835"/>
        </w:tabs>
        <w:rPr>
          <w:iCs/>
          <w:lang w:val="fr-FR"/>
        </w:rPr>
      </w:pPr>
      <w:r>
        <w:rPr>
          <w:lang w:val="fr-FR"/>
        </w:rPr>
        <w:tab/>
        <w:t>b)</w:t>
      </w:r>
      <w:r>
        <w:rPr>
          <w:lang w:val="fr-FR"/>
        </w:rPr>
        <w:tab/>
        <w:t xml:space="preserve">Il apporte des réponses aux rapports et aux recommandations du </w:t>
      </w:r>
      <w:r>
        <w:rPr>
          <w:i/>
          <w:lang w:val="fr-FR"/>
        </w:rPr>
        <w:t>Coroner</w:t>
      </w:r>
      <w:r>
        <w:rPr>
          <w:iCs/>
          <w:lang w:val="fr-FR"/>
        </w:rPr>
        <w:t>.</w:t>
      </w:r>
    </w:p>
    <w:p w:rsidR="000D65ED" w:rsidRPr="000D65ED" w:rsidRDefault="006970C6" w:rsidP="005D7B68">
      <w:pPr>
        <w:tabs>
          <w:tab w:val="left" w:pos="567"/>
          <w:tab w:val="left" w:pos="1134"/>
          <w:tab w:val="left" w:pos="1701"/>
          <w:tab w:val="left" w:pos="2268"/>
          <w:tab w:val="left" w:pos="2835"/>
        </w:tabs>
        <w:rPr>
          <w:lang w:val="fr-FR"/>
        </w:rPr>
      </w:pPr>
      <w:r>
        <w:rPr>
          <w:iCs/>
          <w:lang w:val="fr-FR"/>
        </w:rPr>
        <w:t>65</w:t>
      </w:r>
      <w:r w:rsidR="002A6CEC">
        <w:rPr>
          <w:iCs/>
          <w:lang w:val="fr-FR"/>
        </w:rPr>
        <w:t>0</w:t>
      </w:r>
      <w:r>
        <w:rPr>
          <w:iCs/>
          <w:lang w:val="fr-FR"/>
        </w:rPr>
        <w:t>.</w:t>
      </w:r>
      <w:r>
        <w:rPr>
          <w:iCs/>
          <w:lang w:val="fr-FR"/>
        </w:rPr>
        <w:tab/>
        <w:t xml:space="preserve">Tous les décès font l’objet d’une information judiciaire du </w:t>
      </w:r>
      <w:r>
        <w:rPr>
          <w:i/>
          <w:lang w:val="fr-FR"/>
        </w:rPr>
        <w:t>Coroner</w:t>
      </w:r>
      <w:r>
        <w:rPr>
          <w:iCs/>
          <w:lang w:val="fr-FR"/>
        </w:rPr>
        <w:t xml:space="preserve"> à une date fixée par lui</w:t>
      </w:r>
      <w:r w:rsidR="00572260">
        <w:rPr>
          <w:iCs/>
          <w:lang w:val="fr-FR"/>
        </w:rPr>
        <w:t>;</w:t>
      </w:r>
      <w:r w:rsidR="008411E6">
        <w:rPr>
          <w:iCs/>
          <w:lang w:val="fr-FR"/>
        </w:rPr>
        <w:t xml:space="preserve"> en</w:t>
      </w:r>
      <w:r w:rsidR="00915A22">
        <w:rPr>
          <w:iCs/>
          <w:lang w:val="fr-FR"/>
        </w:rPr>
        <w:t xml:space="preserve"> font partie les décès dus à des maladies incurables ainsi q</w:t>
      </w:r>
      <w:r w:rsidR="00691435">
        <w:rPr>
          <w:iCs/>
          <w:lang w:val="fr-FR"/>
        </w:rPr>
        <w:t>ue ceux qui sont attribués à un </w:t>
      </w:r>
      <w:r w:rsidR="00915A22">
        <w:rPr>
          <w:iCs/>
          <w:lang w:val="fr-FR"/>
        </w:rPr>
        <w:t>suicide.</w:t>
      </w:r>
      <w:r w:rsidR="009B6966">
        <w:rPr>
          <w:lang w:val="fr-FR"/>
        </w:rPr>
        <w:t xml:space="preserve"> </w:t>
      </w:r>
    </w:p>
    <w:p w:rsidR="00AF1E00" w:rsidRDefault="009D3AD3" w:rsidP="005D7B68">
      <w:pPr>
        <w:tabs>
          <w:tab w:val="left" w:pos="567"/>
          <w:tab w:val="left" w:pos="1134"/>
          <w:tab w:val="left" w:pos="1701"/>
          <w:tab w:val="left" w:pos="2268"/>
          <w:tab w:val="left" w:pos="2835"/>
        </w:tabs>
        <w:rPr>
          <w:lang w:val="fr-FR"/>
        </w:rPr>
      </w:pPr>
      <w:r>
        <w:rPr>
          <w:lang w:val="fr-FR"/>
        </w:rPr>
        <w:t>65</w:t>
      </w:r>
      <w:r w:rsidR="002A6CEC">
        <w:rPr>
          <w:lang w:val="fr-FR"/>
        </w:rPr>
        <w:t>1</w:t>
      </w:r>
      <w:r>
        <w:rPr>
          <w:lang w:val="fr-FR"/>
        </w:rPr>
        <w:t>.</w:t>
      </w:r>
      <w:r>
        <w:rPr>
          <w:lang w:val="fr-FR"/>
        </w:rPr>
        <w:tab/>
      </w:r>
      <w:r w:rsidR="00996E79">
        <w:rPr>
          <w:lang w:val="fr-FR"/>
        </w:rPr>
        <w:t>Entre les années budgétaires 2004/05 et 2006/07, on a compté 16 décès en prison</w:t>
      </w:r>
      <w:r w:rsidR="004A34AD">
        <w:rPr>
          <w:lang w:val="fr-FR"/>
        </w:rPr>
        <w:t xml:space="preserve"> en </w:t>
      </w:r>
      <w:r w:rsidR="008E1139">
        <w:rPr>
          <w:lang w:val="fr-FR"/>
        </w:rPr>
        <w:t>Australie occidentale</w:t>
      </w:r>
      <w:r w:rsidR="008D6B80">
        <w:rPr>
          <w:lang w:val="fr-FR"/>
        </w:rPr>
        <w:t xml:space="preserve">. </w:t>
      </w:r>
      <w:r w:rsidR="004A34AD">
        <w:rPr>
          <w:lang w:val="fr-FR"/>
        </w:rPr>
        <w:t>Les rapports initiaux relatifs à ces décès ava</w:t>
      </w:r>
      <w:r w:rsidR="00691435">
        <w:rPr>
          <w:lang w:val="fr-FR"/>
        </w:rPr>
        <w:t>ient indiqué que sur les 16, 10 </w:t>
      </w:r>
      <w:r w:rsidR="004A34AD">
        <w:rPr>
          <w:lang w:val="fr-FR"/>
        </w:rPr>
        <w:t>étaient dus à des causes naturelles, 5 à des suicides et 1 à un accident</w:t>
      </w:r>
      <w:r w:rsidR="008D6B80">
        <w:rPr>
          <w:lang w:val="fr-FR"/>
        </w:rPr>
        <w:t xml:space="preserve">. </w:t>
      </w:r>
      <w:r w:rsidR="004A34AD">
        <w:rPr>
          <w:lang w:val="fr-FR"/>
        </w:rPr>
        <w:t xml:space="preserve">Cependant, il convient de noter que le </w:t>
      </w:r>
      <w:r w:rsidR="004A34AD">
        <w:rPr>
          <w:i/>
          <w:iCs/>
          <w:lang w:val="fr-FR"/>
        </w:rPr>
        <w:t>Coroner</w:t>
      </w:r>
      <w:r w:rsidR="004A34AD">
        <w:rPr>
          <w:lang w:val="fr-FR"/>
        </w:rPr>
        <w:t xml:space="preserve"> n’a terminé son enquête que sur deux de ces cas</w:t>
      </w:r>
      <w:r w:rsidR="008D6B80">
        <w:rPr>
          <w:lang w:val="fr-FR"/>
        </w:rPr>
        <w:t xml:space="preserve">. </w:t>
      </w:r>
      <w:r w:rsidR="004A34AD">
        <w:rPr>
          <w:lang w:val="fr-FR"/>
        </w:rPr>
        <w:t>Tous les décès survenus en prison pendant cette période concernaient des hommes</w:t>
      </w:r>
      <w:r w:rsidR="008D6B80">
        <w:rPr>
          <w:lang w:val="fr-FR"/>
        </w:rPr>
        <w:t xml:space="preserve">. </w:t>
      </w:r>
      <w:r w:rsidR="004A34AD">
        <w:rPr>
          <w:lang w:val="fr-FR"/>
        </w:rPr>
        <w:t>Huit des 16 personnes décédées pendant leur détention étaient des aborigènes</w:t>
      </w:r>
      <w:r w:rsidR="008D6B80">
        <w:rPr>
          <w:lang w:val="fr-FR"/>
        </w:rPr>
        <w:t xml:space="preserve">. </w:t>
      </w:r>
    </w:p>
    <w:tbl>
      <w:tblPr>
        <w:tblW w:w="2643" w:type="pct"/>
        <w:tblInd w:w="2137" w:type="dxa"/>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3333"/>
        <w:gridCol w:w="1726"/>
      </w:tblGrid>
      <w:tr w:rsidR="000A035C" w:rsidRPr="00691435">
        <w:tblPrEx>
          <w:tblCellMar>
            <w:top w:w="0" w:type="dxa"/>
            <w:bottom w:w="0" w:type="dxa"/>
          </w:tblCellMar>
        </w:tblPrEx>
        <w:trPr>
          <w:tblHeader/>
        </w:trPr>
        <w:tc>
          <w:tcPr>
            <w:tcW w:w="3294" w:type="pct"/>
            <w:tcBorders>
              <w:top w:val="single" w:sz="2" w:space="0" w:color="auto"/>
              <w:bottom w:val="single" w:sz="2" w:space="0" w:color="auto"/>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jc w:val="center"/>
              <w:rPr>
                <w:sz w:val="22"/>
                <w:szCs w:val="22"/>
                <w:lang w:val="fr-FR"/>
              </w:rPr>
            </w:pPr>
            <w:r w:rsidRPr="00691435">
              <w:rPr>
                <w:bCs/>
                <w:sz w:val="22"/>
                <w:szCs w:val="22"/>
                <w:lang w:val="fr-FR"/>
              </w:rPr>
              <w:t>Lieu du décès en prison</w:t>
            </w:r>
          </w:p>
        </w:tc>
        <w:tc>
          <w:tcPr>
            <w:tcW w:w="1706" w:type="pct"/>
            <w:tcBorders>
              <w:top w:val="single" w:sz="2" w:space="0" w:color="auto"/>
              <w:bottom w:val="single" w:sz="2" w:space="0" w:color="auto"/>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jc w:val="center"/>
              <w:rPr>
                <w:sz w:val="22"/>
                <w:szCs w:val="22"/>
              </w:rPr>
            </w:pPr>
            <w:r w:rsidRPr="00691435">
              <w:rPr>
                <w:bCs/>
                <w:sz w:val="22"/>
                <w:szCs w:val="22"/>
              </w:rPr>
              <w:t>No. de décès</w:t>
            </w:r>
          </w:p>
        </w:tc>
      </w:tr>
      <w:tr w:rsidR="000A035C" w:rsidRPr="00691435">
        <w:tblPrEx>
          <w:tblCellMar>
            <w:top w:w="0" w:type="dxa"/>
            <w:bottom w:w="0" w:type="dxa"/>
          </w:tblCellMar>
        </w:tblPrEx>
        <w:tc>
          <w:tcPr>
            <w:tcW w:w="3294" w:type="pct"/>
            <w:tcBorders>
              <w:top w:val="single" w:sz="2" w:space="0" w:color="auto"/>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Casuarina</w:t>
            </w:r>
          </w:p>
        </w:tc>
        <w:tc>
          <w:tcPr>
            <w:tcW w:w="1706" w:type="pct"/>
            <w:tcBorders>
              <w:top w:val="single" w:sz="2" w:space="0" w:color="auto"/>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6</w:t>
            </w:r>
          </w:p>
        </w:tc>
      </w:tr>
      <w:tr w:rsidR="000A035C" w:rsidRPr="00691435">
        <w:tblPrEx>
          <w:tblCellMar>
            <w:top w:w="0" w:type="dxa"/>
            <w:bottom w:w="0" w:type="dxa"/>
          </w:tblCellMar>
        </w:tblPrEx>
        <w:tc>
          <w:tcPr>
            <w:tcW w:w="3294"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Acacia</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2</w:t>
            </w:r>
          </w:p>
        </w:tc>
      </w:tr>
      <w:tr w:rsidR="000A035C" w:rsidRPr="00691435">
        <w:tblPrEx>
          <w:tblCellMar>
            <w:top w:w="0" w:type="dxa"/>
            <w:bottom w:w="0" w:type="dxa"/>
          </w:tblCellMar>
        </w:tblPrEx>
        <w:tc>
          <w:tcPr>
            <w:tcW w:w="3294" w:type="pct"/>
            <w:tcBorders>
              <w:bottom w:val="nil"/>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Hakea</w:t>
            </w:r>
          </w:p>
        </w:tc>
        <w:tc>
          <w:tcPr>
            <w:tcW w:w="1706" w:type="pct"/>
            <w:tcBorders>
              <w:bottom w:val="nil"/>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1</w:t>
            </w:r>
          </w:p>
        </w:tc>
      </w:tr>
      <w:tr w:rsidR="000A035C" w:rsidRPr="00691435">
        <w:tblPrEx>
          <w:tblCellMar>
            <w:top w:w="0" w:type="dxa"/>
            <w:bottom w:w="0" w:type="dxa"/>
          </w:tblCellMar>
        </w:tblPrEx>
        <w:tc>
          <w:tcPr>
            <w:tcW w:w="3294" w:type="pct"/>
            <w:tcBorders>
              <w:top w:val="nil"/>
              <w:bottom w:val="nil"/>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smartTag w:uri="urn:schemas-microsoft-com:office:smarttags" w:element="place">
              <w:smartTag w:uri="urn:schemas-microsoft-com:office:smarttags" w:element="City">
                <w:r w:rsidRPr="00691435">
                  <w:rPr>
                    <w:sz w:val="22"/>
                    <w:szCs w:val="22"/>
                  </w:rPr>
                  <w:t>Albany</w:t>
                </w:r>
              </w:smartTag>
            </w:smartTag>
          </w:p>
        </w:tc>
        <w:tc>
          <w:tcPr>
            <w:tcW w:w="1706" w:type="pct"/>
            <w:tcBorders>
              <w:top w:val="nil"/>
              <w:bottom w:val="nil"/>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3</w:t>
            </w:r>
          </w:p>
        </w:tc>
      </w:tr>
      <w:tr w:rsidR="000A035C" w:rsidRPr="00691435">
        <w:tblPrEx>
          <w:tblCellMar>
            <w:top w:w="0" w:type="dxa"/>
            <w:bottom w:w="0" w:type="dxa"/>
          </w:tblCellMar>
        </w:tblPrEx>
        <w:tc>
          <w:tcPr>
            <w:tcW w:w="3294" w:type="pct"/>
            <w:tcBorders>
              <w:top w:val="nil"/>
              <w:bottom w:val="nil"/>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Wooroloo</w:t>
            </w:r>
          </w:p>
        </w:tc>
        <w:tc>
          <w:tcPr>
            <w:tcW w:w="1706" w:type="pct"/>
            <w:tcBorders>
              <w:top w:val="nil"/>
              <w:bottom w:val="nil"/>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1</w:t>
            </w:r>
          </w:p>
        </w:tc>
      </w:tr>
      <w:tr w:rsidR="000A035C" w:rsidRPr="00691435">
        <w:tblPrEx>
          <w:tblCellMar>
            <w:top w:w="0" w:type="dxa"/>
            <w:bottom w:w="0" w:type="dxa"/>
          </w:tblCellMar>
        </w:tblPrEx>
        <w:tc>
          <w:tcPr>
            <w:tcW w:w="3294" w:type="pct"/>
            <w:tcBorders>
              <w:top w:val="nil"/>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Karnet</w:t>
            </w:r>
          </w:p>
        </w:tc>
        <w:tc>
          <w:tcPr>
            <w:tcW w:w="1706" w:type="pct"/>
            <w:tcBorders>
              <w:top w:val="nil"/>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1</w:t>
            </w:r>
          </w:p>
        </w:tc>
      </w:tr>
      <w:tr w:rsidR="000A035C" w:rsidRPr="00691435">
        <w:tblPrEx>
          <w:tblCellMar>
            <w:top w:w="0" w:type="dxa"/>
            <w:bottom w:w="0" w:type="dxa"/>
          </w:tblCellMar>
        </w:tblPrEx>
        <w:tc>
          <w:tcPr>
            <w:tcW w:w="3294" w:type="pct"/>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Broome</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1</w:t>
            </w:r>
          </w:p>
        </w:tc>
      </w:tr>
      <w:tr w:rsidR="000A035C" w:rsidRPr="00691435">
        <w:tblPrEx>
          <w:tblCellMar>
            <w:top w:w="0" w:type="dxa"/>
            <w:bottom w:w="0" w:type="dxa"/>
          </w:tblCellMar>
        </w:tblPrEx>
        <w:tc>
          <w:tcPr>
            <w:tcW w:w="3294" w:type="pct"/>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Roebourne</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1</w:t>
            </w:r>
          </w:p>
        </w:tc>
      </w:tr>
    </w:tbl>
    <w:p w:rsidR="000A035C" w:rsidRDefault="000A035C" w:rsidP="005D7B68">
      <w:pPr>
        <w:tabs>
          <w:tab w:val="left" w:pos="567"/>
          <w:tab w:val="left" w:pos="1134"/>
          <w:tab w:val="left" w:pos="1701"/>
          <w:tab w:val="left" w:pos="2268"/>
          <w:tab w:val="left" w:pos="2835"/>
        </w:tabs>
        <w:spacing w:after="0"/>
      </w:pPr>
    </w:p>
    <w:tbl>
      <w:tblPr>
        <w:tblW w:w="2643" w:type="pct"/>
        <w:tblInd w:w="2137" w:type="dxa"/>
        <w:tblBorders>
          <w:top w:val="single" w:sz="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3333"/>
        <w:gridCol w:w="1726"/>
      </w:tblGrid>
      <w:tr w:rsidR="000A035C" w:rsidRPr="00691435">
        <w:tblPrEx>
          <w:tblCellMar>
            <w:top w:w="0" w:type="dxa"/>
            <w:bottom w:w="0" w:type="dxa"/>
          </w:tblCellMar>
        </w:tblPrEx>
        <w:tc>
          <w:tcPr>
            <w:tcW w:w="3294" w:type="pct"/>
            <w:tcBorders>
              <w:top w:val="single" w:sz="2" w:space="0" w:color="auto"/>
              <w:bottom w:val="single" w:sz="2" w:space="0" w:color="auto"/>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jc w:val="center"/>
              <w:rPr>
                <w:sz w:val="22"/>
                <w:szCs w:val="22"/>
              </w:rPr>
            </w:pPr>
            <w:r w:rsidRPr="00691435">
              <w:rPr>
                <w:bCs/>
                <w:sz w:val="22"/>
                <w:szCs w:val="22"/>
              </w:rPr>
              <w:t>Âges</w:t>
            </w:r>
          </w:p>
        </w:tc>
        <w:tc>
          <w:tcPr>
            <w:tcW w:w="1706" w:type="pct"/>
            <w:tcBorders>
              <w:top w:val="single" w:sz="2" w:space="0" w:color="auto"/>
              <w:bottom w:val="single" w:sz="2" w:space="0" w:color="auto"/>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jc w:val="center"/>
              <w:rPr>
                <w:sz w:val="22"/>
                <w:szCs w:val="22"/>
              </w:rPr>
            </w:pPr>
          </w:p>
        </w:tc>
      </w:tr>
      <w:tr w:rsidR="000A035C" w:rsidRPr="00691435">
        <w:tblPrEx>
          <w:tblCellMar>
            <w:top w:w="0" w:type="dxa"/>
            <w:bottom w:w="0" w:type="dxa"/>
          </w:tblCellMar>
        </w:tblPrEx>
        <w:tc>
          <w:tcPr>
            <w:tcW w:w="3294" w:type="pct"/>
            <w:tcBorders>
              <w:top w:val="single" w:sz="2" w:space="0" w:color="auto"/>
            </w:tcBorders>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&lt;30 ans</w:t>
            </w:r>
          </w:p>
        </w:tc>
        <w:tc>
          <w:tcPr>
            <w:tcW w:w="1706" w:type="pct"/>
            <w:tcBorders>
              <w:top w:val="single" w:sz="2" w:space="0" w:color="auto"/>
            </w:tcBorders>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2</w:t>
            </w:r>
          </w:p>
        </w:tc>
      </w:tr>
      <w:tr w:rsidR="000A035C" w:rsidRPr="00691435">
        <w:tblPrEx>
          <w:tblCellMar>
            <w:top w:w="0" w:type="dxa"/>
            <w:bottom w:w="0" w:type="dxa"/>
          </w:tblCellMar>
        </w:tblPrEx>
        <w:tc>
          <w:tcPr>
            <w:tcW w:w="3294" w:type="pct"/>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30-40 ans</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3</w:t>
            </w:r>
          </w:p>
        </w:tc>
      </w:tr>
      <w:tr w:rsidR="000A035C" w:rsidRPr="00691435">
        <w:tblPrEx>
          <w:tblCellMar>
            <w:top w:w="0" w:type="dxa"/>
            <w:bottom w:w="0" w:type="dxa"/>
          </w:tblCellMar>
        </w:tblPrEx>
        <w:tc>
          <w:tcPr>
            <w:tcW w:w="3294" w:type="pct"/>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40-50 ans</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4</w:t>
            </w:r>
          </w:p>
        </w:tc>
      </w:tr>
      <w:tr w:rsidR="000A035C" w:rsidRPr="00691435">
        <w:tblPrEx>
          <w:tblCellMar>
            <w:top w:w="0" w:type="dxa"/>
            <w:bottom w:w="0" w:type="dxa"/>
          </w:tblCellMar>
        </w:tblPrEx>
        <w:tc>
          <w:tcPr>
            <w:tcW w:w="3294" w:type="pct"/>
          </w:tcPr>
          <w:p w:rsidR="000A035C" w:rsidRPr="00691435" w:rsidRDefault="000A035C" w:rsidP="005D7B68">
            <w:pPr>
              <w:tabs>
                <w:tab w:val="left" w:pos="567"/>
                <w:tab w:val="left" w:pos="1134"/>
                <w:tab w:val="left" w:pos="1701"/>
                <w:tab w:val="left" w:pos="2268"/>
                <w:tab w:val="left" w:pos="2835"/>
              </w:tabs>
              <w:autoSpaceDE w:val="0"/>
              <w:autoSpaceDN w:val="0"/>
              <w:adjustRightInd w:val="0"/>
              <w:spacing w:after="0"/>
              <w:rPr>
                <w:sz w:val="22"/>
                <w:szCs w:val="22"/>
              </w:rPr>
            </w:pPr>
            <w:r w:rsidRPr="00691435">
              <w:rPr>
                <w:sz w:val="22"/>
                <w:szCs w:val="22"/>
              </w:rPr>
              <w:t>&gt;50 ans</w:t>
            </w:r>
          </w:p>
        </w:tc>
        <w:tc>
          <w:tcPr>
            <w:tcW w:w="1706" w:type="pct"/>
          </w:tcPr>
          <w:p w:rsidR="000A035C" w:rsidRPr="00691435" w:rsidRDefault="000A035C" w:rsidP="005D7B68">
            <w:pPr>
              <w:keepNext/>
              <w:tabs>
                <w:tab w:val="left" w:pos="567"/>
                <w:tab w:val="left" w:pos="1134"/>
                <w:tab w:val="left" w:pos="1701"/>
                <w:tab w:val="left" w:pos="2268"/>
                <w:tab w:val="left" w:pos="2835"/>
              </w:tabs>
              <w:autoSpaceDE w:val="0"/>
              <w:autoSpaceDN w:val="0"/>
              <w:adjustRightInd w:val="0"/>
              <w:spacing w:after="0"/>
              <w:ind w:right="320"/>
              <w:jc w:val="right"/>
              <w:rPr>
                <w:sz w:val="22"/>
                <w:szCs w:val="22"/>
              </w:rPr>
            </w:pPr>
            <w:r w:rsidRPr="00691435">
              <w:rPr>
                <w:sz w:val="22"/>
                <w:szCs w:val="22"/>
              </w:rPr>
              <w:t>7</w:t>
            </w:r>
          </w:p>
        </w:tc>
      </w:tr>
    </w:tbl>
    <w:p w:rsidR="000A035C" w:rsidRDefault="000A035C" w:rsidP="005D7B68">
      <w:pPr>
        <w:tabs>
          <w:tab w:val="left" w:pos="567"/>
          <w:tab w:val="left" w:pos="1134"/>
          <w:tab w:val="left" w:pos="1701"/>
          <w:tab w:val="left" w:pos="2268"/>
          <w:tab w:val="left" w:pos="2835"/>
        </w:tabs>
        <w:spacing w:before="120"/>
        <w:rPr>
          <w:lang w:val="fr-FR"/>
        </w:rPr>
      </w:pPr>
      <w:r>
        <w:rPr>
          <w:lang w:val="fr-FR"/>
        </w:rPr>
        <w:t>65</w:t>
      </w:r>
      <w:r w:rsidR="002A6CEC">
        <w:rPr>
          <w:lang w:val="fr-FR"/>
        </w:rPr>
        <w:t>2</w:t>
      </w:r>
      <w:r>
        <w:rPr>
          <w:lang w:val="fr-FR"/>
        </w:rPr>
        <w:t>.</w:t>
      </w:r>
      <w:r>
        <w:rPr>
          <w:lang w:val="fr-FR"/>
        </w:rPr>
        <w:tab/>
        <w:t>Les informations relatives aux résultats des enquêtes et les mesures destinées à</w:t>
      </w:r>
      <w:r w:rsidR="00D81C79">
        <w:rPr>
          <w:lang w:val="fr-FR"/>
        </w:rPr>
        <w:t xml:space="preserve"> éviter que cela </w:t>
      </w:r>
      <w:r w:rsidR="008411E6">
        <w:rPr>
          <w:lang w:val="fr-FR"/>
        </w:rPr>
        <w:t xml:space="preserve">ne </w:t>
      </w:r>
      <w:r w:rsidR="00D81C79">
        <w:rPr>
          <w:lang w:val="fr-FR"/>
        </w:rPr>
        <w:t xml:space="preserve">se reproduise figurent dans des rapports qui peuvent être consultés sur le site Web des </w:t>
      </w:r>
      <w:r w:rsidR="00137B31">
        <w:rPr>
          <w:i/>
          <w:iCs/>
          <w:lang w:val="fr-FR"/>
        </w:rPr>
        <w:t>c</w:t>
      </w:r>
      <w:r w:rsidR="00D81C79">
        <w:rPr>
          <w:i/>
          <w:iCs/>
          <w:lang w:val="fr-FR"/>
        </w:rPr>
        <w:t>oroners</w:t>
      </w:r>
      <w:r w:rsidR="00D81C79">
        <w:rPr>
          <w:lang w:val="fr-FR"/>
        </w:rPr>
        <w:t xml:space="preserve"> d’</w:t>
      </w:r>
      <w:r w:rsidR="008E1139">
        <w:rPr>
          <w:lang w:val="fr-FR"/>
        </w:rPr>
        <w:t>Australie occidentale</w:t>
      </w:r>
      <w:r w:rsidR="00D81C79">
        <w:rPr>
          <w:lang w:val="fr-FR"/>
        </w:rPr>
        <w:t xml:space="preserve"> </w:t>
      </w:r>
      <w:hyperlink r:id="rId39" w:history="1">
        <w:r w:rsidR="00D81C79" w:rsidRPr="00414093">
          <w:rPr>
            <w:rStyle w:val="Hyperlink"/>
            <w:lang w:val="fr-FR"/>
          </w:rPr>
          <w:t>www.coronerscourt.wa.gov.au</w:t>
        </w:r>
      </w:hyperlink>
      <w:r w:rsidR="008D6B80">
        <w:rPr>
          <w:lang w:val="fr-FR"/>
        </w:rPr>
        <w:t xml:space="preserve">. </w:t>
      </w:r>
      <w:r w:rsidR="00D81C79">
        <w:rPr>
          <w:lang w:val="fr-FR"/>
        </w:rPr>
        <w:t xml:space="preserve">L’unité des enquêtes internes du Service de déontologie mène une enquête sur tous les aspects du traitement des détenus jusqu’au moment de leur décès, et fait parvenir ses conclusions au </w:t>
      </w:r>
      <w:r w:rsidR="00D81C79">
        <w:rPr>
          <w:i/>
          <w:iCs/>
          <w:lang w:val="fr-FR"/>
        </w:rPr>
        <w:t>Coroner</w:t>
      </w:r>
      <w:r w:rsidR="00D81C79">
        <w:rPr>
          <w:lang w:val="fr-FR"/>
        </w:rPr>
        <w:t>, en plus d’une enquête de la police d’</w:t>
      </w:r>
      <w:r w:rsidR="008E1139">
        <w:rPr>
          <w:lang w:val="fr-FR"/>
        </w:rPr>
        <w:t>Australie occidentale</w:t>
      </w:r>
      <w:r w:rsidR="00D81C79">
        <w:rPr>
          <w:lang w:val="fr-FR"/>
        </w:rPr>
        <w:t>.</w:t>
      </w:r>
    </w:p>
    <w:p w:rsidR="00D81C79" w:rsidRDefault="008E1139" w:rsidP="005D7B68">
      <w:pPr>
        <w:tabs>
          <w:tab w:val="left" w:pos="567"/>
          <w:tab w:val="left" w:pos="1134"/>
          <w:tab w:val="left" w:pos="1701"/>
          <w:tab w:val="left" w:pos="2268"/>
          <w:tab w:val="left" w:pos="2835"/>
        </w:tabs>
        <w:rPr>
          <w:b/>
          <w:bCs/>
          <w:lang w:val="fr-FR"/>
        </w:rPr>
      </w:pPr>
      <w:r>
        <w:rPr>
          <w:b/>
          <w:bCs/>
          <w:lang w:val="fr-FR"/>
        </w:rPr>
        <w:t>Australie méridionale</w:t>
      </w:r>
    </w:p>
    <w:p w:rsidR="00D81C79" w:rsidRPr="00D81C79" w:rsidRDefault="00D81C79" w:rsidP="005D7B68">
      <w:pPr>
        <w:tabs>
          <w:tab w:val="left" w:pos="567"/>
          <w:tab w:val="left" w:pos="1134"/>
          <w:tab w:val="left" w:pos="1701"/>
          <w:tab w:val="left" w:pos="2268"/>
          <w:tab w:val="left" w:pos="2835"/>
        </w:tabs>
        <w:rPr>
          <w:lang w:val="fr-FR"/>
        </w:rPr>
      </w:pPr>
      <w:r>
        <w:rPr>
          <w:lang w:val="fr-FR"/>
        </w:rPr>
        <w:t>65</w:t>
      </w:r>
      <w:r w:rsidR="002A6CEC">
        <w:rPr>
          <w:lang w:val="fr-FR"/>
        </w:rPr>
        <w:t>3</w:t>
      </w:r>
      <w:r>
        <w:rPr>
          <w:lang w:val="fr-FR"/>
        </w:rPr>
        <w:t>.</w:t>
      </w:r>
      <w:r>
        <w:rPr>
          <w:lang w:val="fr-FR"/>
        </w:rPr>
        <w:tab/>
        <w:t>Au cours de l’année 2006</w:t>
      </w:r>
      <w:r w:rsidR="00CA7DCA">
        <w:rPr>
          <w:lang w:val="fr-FR"/>
        </w:rPr>
        <w:t>/</w:t>
      </w:r>
      <w:r>
        <w:rPr>
          <w:lang w:val="fr-FR"/>
        </w:rPr>
        <w:t>07, quatre décès en prison ont été signalés.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760"/>
        <w:gridCol w:w="960"/>
        <w:gridCol w:w="840"/>
        <w:gridCol w:w="1440"/>
        <w:gridCol w:w="1853"/>
        <w:gridCol w:w="1277"/>
      </w:tblGrid>
      <w:tr w:rsidR="00346C04" w:rsidRPr="0002048F">
        <w:tblPrEx>
          <w:tblCellMar>
            <w:top w:w="0" w:type="dxa"/>
            <w:bottom w:w="0" w:type="dxa"/>
          </w:tblCellMar>
        </w:tblPrEx>
        <w:tc>
          <w:tcPr>
            <w:tcW w:w="2760" w:type="dxa"/>
            <w:tcBorders>
              <w:top w:val="single" w:sz="4" w:space="0" w:color="auto"/>
              <w:bottom w:val="single" w:sz="4" w:space="0" w:color="auto"/>
            </w:tcBorders>
            <w:vAlign w:val="center"/>
          </w:tcPr>
          <w:p w:rsidR="00D81C79" w:rsidRPr="0002048F" w:rsidRDefault="00D81C79" w:rsidP="00044608">
            <w:pPr>
              <w:tabs>
                <w:tab w:val="left" w:pos="567"/>
                <w:tab w:val="left" w:pos="1134"/>
                <w:tab w:val="left" w:pos="1701"/>
                <w:tab w:val="left" w:pos="2268"/>
                <w:tab w:val="left" w:pos="2835"/>
              </w:tabs>
              <w:spacing w:before="20" w:after="20"/>
              <w:jc w:val="center"/>
              <w:rPr>
                <w:sz w:val="20"/>
              </w:rPr>
            </w:pPr>
            <w:r w:rsidRPr="0002048F">
              <w:rPr>
                <w:sz w:val="20"/>
              </w:rPr>
              <w:t>L</w:t>
            </w:r>
            <w:r w:rsidR="00D40AB2" w:rsidRPr="0002048F">
              <w:rPr>
                <w:sz w:val="20"/>
              </w:rPr>
              <w:t>ieu du décès</w:t>
            </w:r>
          </w:p>
        </w:tc>
        <w:tc>
          <w:tcPr>
            <w:tcW w:w="960" w:type="dxa"/>
            <w:tcBorders>
              <w:top w:val="single" w:sz="4" w:space="0" w:color="auto"/>
              <w:bottom w:val="single" w:sz="4" w:space="0" w:color="auto"/>
            </w:tcBorders>
            <w:vAlign w:val="center"/>
          </w:tcPr>
          <w:p w:rsidR="00D81C79" w:rsidRPr="0002048F" w:rsidRDefault="00D81C79" w:rsidP="005D7B68">
            <w:pPr>
              <w:keepNext/>
              <w:tabs>
                <w:tab w:val="left" w:pos="567"/>
                <w:tab w:val="left" w:pos="1134"/>
                <w:tab w:val="left" w:pos="1701"/>
                <w:tab w:val="left" w:pos="2268"/>
                <w:tab w:val="left" w:pos="2835"/>
              </w:tabs>
              <w:spacing w:before="20" w:after="20"/>
              <w:jc w:val="center"/>
              <w:rPr>
                <w:bCs/>
                <w:sz w:val="20"/>
              </w:rPr>
            </w:pPr>
            <w:r w:rsidRPr="0002048F">
              <w:rPr>
                <w:bCs/>
                <w:sz w:val="20"/>
              </w:rPr>
              <w:t>Sex</w:t>
            </w:r>
            <w:r w:rsidR="00D40AB2" w:rsidRPr="0002048F">
              <w:rPr>
                <w:bCs/>
                <w:sz w:val="20"/>
              </w:rPr>
              <w:t>e</w:t>
            </w:r>
          </w:p>
        </w:tc>
        <w:tc>
          <w:tcPr>
            <w:tcW w:w="840" w:type="dxa"/>
            <w:tcBorders>
              <w:top w:val="single" w:sz="4" w:space="0" w:color="auto"/>
              <w:bottom w:val="single" w:sz="4" w:space="0" w:color="auto"/>
            </w:tcBorders>
            <w:vAlign w:val="center"/>
          </w:tcPr>
          <w:p w:rsidR="00D81C79" w:rsidRPr="0002048F" w:rsidRDefault="00D40AB2" w:rsidP="005D7B68">
            <w:pPr>
              <w:keepNext/>
              <w:tabs>
                <w:tab w:val="left" w:pos="567"/>
                <w:tab w:val="left" w:pos="1134"/>
                <w:tab w:val="left" w:pos="1701"/>
                <w:tab w:val="left" w:pos="2268"/>
                <w:tab w:val="left" w:pos="2835"/>
              </w:tabs>
              <w:spacing w:before="20" w:after="20"/>
              <w:jc w:val="center"/>
              <w:rPr>
                <w:bCs/>
                <w:sz w:val="20"/>
              </w:rPr>
            </w:pPr>
            <w:r w:rsidRPr="0002048F">
              <w:rPr>
                <w:bCs/>
                <w:sz w:val="20"/>
              </w:rPr>
              <w:t>Â</w:t>
            </w:r>
            <w:r w:rsidR="00D81C79" w:rsidRPr="0002048F">
              <w:rPr>
                <w:bCs/>
                <w:sz w:val="20"/>
              </w:rPr>
              <w:t>ge</w:t>
            </w:r>
          </w:p>
        </w:tc>
        <w:tc>
          <w:tcPr>
            <w:tcW w:w="1440" w:type="dxa"/>
            <w:tcBorders>
              <w:top w:val="single" w:sz="4" w:space="0" w:color="auto"/>
              <w:bottom w:val="single" w:sz="4" w:space="0" w:color="auto"/>
            </w:tcBorders>
            <w:vAlign w:val="center"/>
          </w:tcPr>
          <w:p w:rsidR="00D81C79" w:rsidRPr="0002048F" w:rsidRDefault="002060B5" w:rsidP="005D7B68">
            <w:pPr>
              <w:keepNext/>
              <w:tabs>
                <w:tab w:val="left" w:pos="567"/>
                <w:tab w:val="left" w:pos="1134"/>
                <w:tab w:val="left" w:pos="1701"/>
                <w:tab w:val="left" w:pos="2268"/>
                <w:tab w:val="left" w:pos="2835"/>
              </w:tabs>
              <w:spacing w:before="20" w:after="20"/>
              <w:jc w:val="center"/>
              <w:rPr>
                <w:bCs/>
                <w:sz w:val="20"/>
              </w:rPr>
            </w:pPr>
            <w:r w:rsidRPr="0002048F">
              <w:rPr>
                <w:bCs/>
                <w:sz w:val="20"/>
              </w:rPr>
              <w:t>Appartenance ethnique</w:t>
            </w:r>
          </w:p>
        </w:tc>
        <w:tc>
          <w:tcPr>
            <w:tcW w:w="1853" w:type="dxa"/>
            <w:tcBorders>
              <w:top w:val="single" w:sz="4" w:space="0" w:color="auto"/>
              <w:bottom w:val="single" w:sz="4" w:space="0" w:color="auto"/>
            </w:tcBorders>
            <w:vAlign w:val="center"/>
          </w:tcPr>
          <w:p w:rsidR="00D81C79" w:rsidRPr="0002048F" w:rsidRDefault="00D40AB2" w:rsidP="005D7B68">
            <w:pPr>
              <w:keepNext/>
              <w:tabs>
                <w:tab w:val="left" w:pos="567"/>
                <w:tab w:val="left" w:pos="1134"/>
                <w:tab w:val="left" w:pos="1701"/>
                <w:tab w:val="left" w:pos="2268"/>
                <w:tab w:val="left" w:pos="2835"/>
              </w:tabs>
              <w:spacing w:before="20" w:after="20"/>
              <w:jc w:val="center"/>
              <w:rPr>
                <w:bCs/>
                <w:sz w:val="20"/>
              </w:rPr>
            </w:pPr>
            <w:r w:rsidRPr="0002048F">
              <w:rPr>
                <w:bCs/>
                <w:sz w:val="20"/>
              </w:rPr>
              <w:t>Cause de la mort</w:t>
            </w:r>
          </w:p>
        </w:tc>
        <w:tc>
          <w:tcPr>
            <w:tcW w:w="1277" w:type="dxa"/>
            <w:tcBorders>
              <w:top w:val="single" w:sz="4" w:space="0" w:color="auto"/>
              <w:bottom w:val="single" w:sz="4" w:space="0" w:color="auto"/>
            </w:tcBorders>
            <w:vAlign w:val="center"/>
          </w:tcPr>
          <w:p w:rsidR="00D81C79" w:rsidRPr="0002048F" w:rsidRDefault="00D81C79" w:rsidP="005D7B68">
            <w:pPr>
              <w:keepNext/>
              <w:tabs>
                <w:tab w:val="left" w:pos="567"/>
                <w:tab w:val="left" w:pos="1134"/>
                <w:tab w:val="left" w:pos="1701"/>
                <w:tab w:val="left" w:pos="2268"/>
                <w:tab w:val="left" w:pos="2835"/>
              </w:tabs>
              <w:spacing w:before="20" w:after="20"/>
              <w:jc w:val="center"/>
              <w:rPr>
                <w:bCs/>
                <w:sz w:val="20"/>
              </w:rPr>
            </w:pPr>
            <w:r w:rsidRPr="0002048F">
              <w:rPr>
                <w:bCs/>
                <w:sz w:val="20"/>
              </w:rPr>
              <w:t>Date</w:t>
            </w:r>
          </w:p>
        </w:tc>
      </w:tr>
      <w:tr w:rsidR="00346C04" w:rsidRPr="0002048F">
        <w:tblPrEx>
          <w:tblCellMar>
            <w:top w:w="0" w:type="dxa"/>
            <w:bottom w:w="0" w:type="dxa"/>
          </w:tblCellMar>
        </w:tblPrEx>
        <w:tc>
          <w:tcPr>
            <w:tcW w:w="2760" w:type="dxa"/>
            <w:tcBorders>
              <w:top w:val="single" w:sz="4" w:space="0" w:color="auto"/>
            </w:tcBorders>
          </w:tcPr>
          <w:p w:rsidR="00D81C79" w:rsidRPr="0002048F" w:rsidRDefault="00D81C79" w:rsidP="00044608">
            <w:pPr>
              <w:pStyle w:val="Footer"/>
              <w:tabs>
                <w:tab w:val="left" w:pos="567"/>
                <w:tab w:val="left" w:pos="1134"/>
                <w:tab w:val="left" w:pos="1701"/>
                <w:tab w:val="left" w:pos="2268"/>
                <w:tab w:val="left" w:pos="2835"/>
              </w:tabs>
              <w:spacing w:before="20" w:after="20"/>
              <w:rPr>
                <w:sz w:val="20"/>
              </w:rPr>
            </w:pPr>
            <w:r w:rsidRPr="0002048F">
              <w:rPr>
                <w:sz w:val="20"/>
              </w:rPr>
              <w:t>Hospice</w:t>
            </w:r>
          </w:p>
        </w:tc>
        <w:tc>
          <w:tcPr>
            <w:tcW w:w="960" w:type="dxa"/>
            <w:tcBorders>
              <w:top w:val="single" w:sz="4" w:space="0" w:color="auto"/>
            </w:tcBorders>
          </w:tcPr>
          <w:p w:rsidR="00D81C79" w:rsidRPr="0002048F" w:rsidRDefault="00D40AB2" w:rsidP="005D7B68">
            <w:pPr>
              <w:keepNext/>
              <w:tabs>
                <w:tab w:val="left" w:pos="567"/>
                <w:tab w:val="left" w:pos="1134"/>
                <w:tab w:val="left" w:pos="1701"/>
                <w:tab w:val="left" w:pos="2268"/>
                <w:tab w:val="left" w:pos="2835"/>
              </w:tabs>
              <w:spacing w:before="20" w:after="20"/>
              <w:jc w:val="center"/>
              <w:rPr>
                <w:sz w:val="20"/>
              </w:rPr>
            </w:pPr>
            <w:r w:rsidRPr="0002048F">
              <w:rPr>
                <w:sz w:val="20"/>
              </w:rPr>
              <w:t>Homme</w:t>
            </w:r>
          </w:p>
        </w:tc>
        <w:tc>
          <w:tcPr>
            <w:tcW w:w="840" w:type="dxa"/>
            <w:tcBorders>
              <w:top w:val="single" w:sz="4" w:space="0" w:color="auto"/>
            </w:tcBorders>
          </w:tcPr>
          <w:p w:rsidR="00D81C79" w:rsidRPr="0002048F" w:rsidRDefault="00D81C79" w:rsidP="005D7B68">
            <w:pPr>
              <w:keepNext/>
              <w:tabs>
                <w:tab w:val="left" w:pos="567"/>
                <w:tab w:val="left" w:pos="1134"/>
                <w:tab w:val="left" w:pos="1701"/>
                <w:tab w:val="left" w:pos="2268"/>
                <w:tab w:val="left" w:pos="2835"/>
              </w:tabs>
              <w:spacing w:before="20" w:after="20"/>
              <w:jc w:val="center"/>
              <w:rPr>
                <w:sz w:val="20"/>
              </w:rPr>
            </w:pPr>
            <w:r w:rsidRPr="0002048F">
              <w:rPr>
                <w:sz w:val="20"/>
              </w:rPr>
              <w:t>75</w:t>
            </w:r>
            <w:r w:rsidR="00D40AB2" w:rsidRPr="0002048F">
              <w:rPr>
                <w:sz w:val="20"/>
              </w:rPr>
              <w:t xml:space="preserve"> an</w:t>
            </w:r>
            <w:r w:rsidR="00346C04" w:rsidRPr="0002048F">
              <w:rPr>
                <w:sz w:val="20"/>
              </w:rPr>
              <w:t>s</w:t>
            </w:r>
          </w:p>
        </w:tc>
        <w:tc>
          <w:tcPr>
            <w:tcW w:w="1440" w:type="dxa"/>
            <w:tcBorders>
              <w:top w:val="single" w:sz="4" w:space="0" w:color="auto"/>
            </w:tcBorders>
          </w:tcPr>
          <w:p w:rsidR="00D81C79" w:rsidRPr="0002048F" w:rsidRDefault="008411E6" w:rsidP="005D7B68">
            <w:pPr>
              <w:keepNext/>
              <w:tabs>
                <w:tab w:val="left" w:pos="567"/>
                <w:tab w:val="left" w:pos="1134"/>
                <w:tab w:val="left" w:pos="1701"/>
                <w:tab w:val="left" w:pos="2268"/>
                <w:tab w:val="left" w:pos="2835"/>
              </w:tabs>
              <w:spacing w:before="20" w:after="20"/>
              <w:jc w:val="center"/>
              <w:rPr>
                <w:sz w:val="20"/>
              </w:rPr>
            </w:pPr>
            <w:r w:rsidRPr="0002048F">
              <w:rPr>
                <w:sz w:val="20"/>
              </w:rPr>
              <w:t>Caucasie</w:t>
            </w:r>
            <w:r w:rsidR="00D81C79" w:rsidRPr="0002048F">
              <w:rPr>
                <w:sz w:val="20"/>
              </w:rPr>
              <w:t>n</w:t>
            </w:r>
          </w:p>
        </w:tc>
        <w:tc>
          <w:tcPr>
            <w:tcW w:w="1853" w:type="dxa"/>
            <w:tcBorders>
              <w:top w:val="single" w:sz="4" w:space="0" w:color="auto"/>
            </w:tcBorders>
          </w:tcPr>
          <w:p w:rsidR="00D81C79" w:rsidRPr="0002048F" w:rsidRDefault="00346C04" w:rsidP="005D7B68">
            <w:pPr>
              <w:keepNext/>
              <w:tabs>
                <w:tab w:val="left" w:pos="567"/>
                <w:tab w:val="left" w:pos="1134"/>
                <w:tab w:val="left" w:pos="1701"/>
                <w:tab w:val="left" w:pos="2268"/>
                <w:tab w:val="left" w:pos="2835"/>
              </w:tabs>
              <w:spacing w:before="20" w:after="20"/>
              <w:rPr>
                <w:sz w:val="20"/>
              </w:rPr>
            </w:pPr>
            <w:r w:rsidRPr="0002048F">
              <w:rPr>
                <w:sz w:val="20"/>
              </w:rPr>
              <w:t>C</w:t>
            </w:r>
            <w:r w:rsidR="00D81C79" w:rsidRPr="0002048F">
              <w:rPr>
                <w:sz w:val="20"/>
              </w:rPr>
              <w:t>auses</w:t>
            </w:r>
            <w:r w:rsidRPr="0002048F">
              <w:rPr>
                <w:sz w:val="20"/>
              </w:rPr>
              <w:t xml:space="preserve"> naturelles</w:t>
            </w:r>
          </w:p>
        </w:tc>
        <w:tc>
          <w:tcPr>
            <w:tcW w:w="1277" w:type="dxa"/>
            <w:tcBorders>
              <w:top w:val="single" w:sz="4" w:space="0" w:color="auto"/>
            </w:tcBorders>
          </w:tcPr>
          <w:p w:rsidR="00D81C79" w:rsidRPr="0002048F" w:rsidRDefault="00D81C79" w:rsidP="005D7B68">
            <w:pPr>
              <w:keepNext/>
              <w:tabs>
                <w:tab w:val="left" w:pos="567"/>
                <w:tab w:val="left" w:pos="1134"/>
                <w:tab w:val="left" w:pos="1701"/>
                <w:tab w:val="left" w:pos="2268"/>
                <w:tab w:val="left" w:pos="2835"/>
              </w:tabs>
              <w:spacing w:before="20" w:after="20"/>
              <w:jc w:val="right"/>
              <w:rPr>
                <w:sz w:val="20"/>
              </w:rPr>
            </w:pPr>
            <w:smartTag w:uri="urn:schemas-microsoft-com:office:smarttags" w:element="date">
              <w:smartTagPr>
                <w:attr w:name="Year" w:val="2006"/>
                <w:attr w:name="Day" w:val="21"/>
                <w:attr w:name="Month" w:val="12"/>
              </w:smartTagPr>
              <w:r w:rsidRPr="0002048F">
                <w:rPr>
                  <w:sz w:val="20"/>
                </w:rPr>
                <w:t>21/12/2006</w:t>
              </w:r>
            </w:smartTag>
          </w:p>
        </w:tc>
      </w:tr>
      <w:tr w:rsidR="00346C04" w:rsidRPr="0002048F">
        <w:tblPrEx>
          <w:tblCellMar>
            <w:top w:w="0" w:type="dxa"/>
            <w:bottom w:w="0" w:type="dxa"/>
          </w:tblCellMar>
        </w:tblPrEx>
        <w:tc>
          <w:tcPr>
            <w:tcW w:w="2760" w:type="dxa"/>
          </w:tcPr>
          <w:p w:rsidR="00D81C79" w:rsidRPr="0002048F" w:rsidRDefault="00346C04" w:rsidP="00044608">
            <w:pPr>
              <w:tabs>
                <w:tab w:val="left" w:pos="567"/>
                <w:tab w:val="left" w:pos="1134"/>
                <w:tab w:val="left" w:pos="1701"/>
                <w:tab w:val="left" w:pos="2268"/>
                <w:tab w:val="left" w:pos="2835"/>
              </w:tabs>
              <w:spacing w:before="20" w:after="20"/>
              <w:rPr>
                <w:sz w:val="20"/>
                <w:lang w:val="fr-FR"/>
              </w:rPr>
            </w:pPr>
            <w:r w:rsidRPr="0002048F">
              <w:rPr>
                <w:sz w:val="20"/>
                <w:lang w:val="fr-FR"/>
              </w:rPr>
              <w:t>Centre de détention provisoire d’Adélaïde</w:t>
            </w:r>
          </w:p>
        </w:tc>
        <w:tc>
          <w:tcPr>
            <w:tcW w:w="960" w:type="dxa"/>
            <w:vAlign w:val="bottom"/>
          </w:tcPr>
          <w:p w:rsidR="00D81C79" w:rsidRPr="0002048F" w:rsidRDefault="00D40AB2" w:rsidP="005D7B68">
            <w:pPr>
              <w:keepNext/>
              <w:tabs>
                <w:tab w:val="left" w:pos="567"/>
                <w:tab w:val="left" w:pos="1134"/>
                <w:tab w:val="left" w:pos="1701"/>
                <w:tab w:val="left" w:pos="2268"/>
                <w:tab w:val="left" w:pos="2835"/>
              </w:tabs>
              <w:spacing w:before="20" w:after="20"/>
              <w:jc w:val="center"/>
              <w:rPr>
                <w:sz w:val="20"/>
              </w:rPr>
            </w:pPr>
            <w:r w:rsidRPr="0002048F">
              <w:rPr>
                <w:sz w:val="20"/>
              </w:rPr>
              <w:t>Homme</w:t>
            </w:r>
          </w:p>
        </w:tc>
        <w:tc>
          <w:tcPr>
            <w:tcW w:w="840" w:type="dxa"/>
            <w:vAlign w:val="bottom"/>
          </w:tcPr>
          <w:p w:rsidR="00D81C79" w:rsidRPr="0002048F" w:rsidRDefault="00D81C79" w:rsidP="005D7B68">
            <w:pPr>
              <w:keepNext/>
              <w:tabs>
                <w:tab w:val="left" w:pos="567"/>
                <w:tab w:val="left" w:pos="1134"/>
                <w:tab w:val="left" w:pos="1701"/>
                <w:tab w:val="left" w:pos="2268"/>
                <w:tab w:val="left" w:pos="2835"/>
              </w:tabs>
              <w:spacing w:before="20" w:after="20"/>
              <w:jc w:val="center"/>
              <w:rPr>
                <w:sz w:val="20"/>
              </w:rPr>
            </w:pPr>
            <w:r w:rsidRPr="0002048F">
              <w:rPr>
                <w:sz w:val="20"/>
              </w:rPr>
              <w:t>34</w:t>
            </w:r>
            <w:r w:rsidR="00D40AB2" w:rsidRPr="0002048F">
              <w:rPr>
                <w:sz w:val="20"/>
              </w:rPr>
              <w:t xml:space="preserve"> an</w:t>
            </w:r>
            <w:r w:rsidR="00346C04" w:rsidRPr="0002048F">
              <w:rPr>
                <w:sz w:val="20"/>
              </w:rPr>
              <w:t>s</w:t>
            </w:r>
          </w:p>
        </w:tc>
        <w:tc>
          <w:tcPr>
            <w:tcW w:w="1440" w:type="dxa"/>
            <w:vAlign w:val="bottom"/>
          </w:tcPr>
          <w:p w:rsidR="00D81C79" w:rsidRPr="0002048F" w:rsidRDefault="008411E6" w:rsidP="005D7B68">
            <w:pPr>
              <w:keepNext/>
              <w:tabs>
                <w:tab w:val="left" w:pos="567"/>
                <w:tab w:val="left" w:pos="1134"/>
                <w:tab w:val="left" w:pos="1701"/>
                <w:tab w:val="left" w:pos="2268"/>
                <w:tab w:val="left" w:pos="2835"/>
              </w:tabs>
              <w:spacing w:before="20" w:after="20"/>
              <w:jc w:val="center"/>
              <w:rPr>
                <w:sz w:val="20"/>
              </w:rPr>
            </w:pPr>
            <w:r w:rsidRPr="0002048F">
              <w:rPr>
                <w:sz w:val="20"/>
              </w:rPr>
              <w:t>Caucasie</w:t>
            </w:r>
            <w:r w:rsidR="00D81C79" w:rsidRPr="0002048F">
              <w:rPr>
                <w:sz w:val="20"/>
              </w:rPr>
              <w:t>n</w:t>
            </w:r>
          </w:p>
        </w:tc>
        <w:tc>
          <w:tcPr>
            <w:tcW w:w="1853" w:type="dxa"/>
            <w:vAlign w:val="bottom"/>
          </w:tcPr>
          <w:p w:rsidR="00D81C79" w:rsidRPr="0002048F" w:rsidRDefault="00D81C79" w:rsidP="005D7B68">
            <w:pPr>
              <w:keepNext/>
              <w:tabs>
                <w:tab w:val="left" w:pos="567"/>
                <w:tab w:val="left" w:pos="1134"/>
                <w:tab w:val="left" w:pos="1701"/>
                <w:tab w:val="left" w:pos="2268"/>
                <w:tab w:val="left" w:pos="2835"/>
              </w:tabs>
              <w:spacing w:before="20" w:after="20"/>
              <w:jc w:val="center"/>
              <w:rPr>
                <w:sz w:val="20"/>
              </w:rPr>
            </w:pPr>
            <w:r w:rsidRPr="0002048F">
              <w:rPr>
                <w:sz w:val="20"/>
              </w:rPr>
              <w:t>Suicide</w:t>
            </w:r>
          </w:p>
        </w:tc>
        <w:tc>
          <w:tcPr>
            <w:tcW w:w="1277" w:type="dxa"/>
            <w:vAlign w:val="bottom"/>
          </w:tcPr>
          <w:p w:rsidR="00D81C79" w:rsidRPr="0002048F" w:rsidRDefault="00D81C79" w:rsidP="005D7B68">
            <w:pPr>
              <w:keepNext/>
              <w:tabs>
                <w:tab w:val="left" w:pos="567"/>
                <w:tab w:val="left" w:pos="1134"/>
                <w:tab w:val="left" w:pos="1701"/>
                <w:tab w:val="left" w:pos="2268"/>
                <w:tab w:val="left" w:pos="2835"/>
              </w:tabs>
              <w:spacing w:before="20" w:after="20"/>
              <w:jc w:val="right"/>
              <w:rPr>
                <w:sz w:val="20"/>
              </w:rPr>
            </w:pPr>
            <w:smartTag w:uri="urn:schemas-microsoft-com:office:smarttags" w:element="date">
              <w:smartTagPr>
                <w:attr w:name="Year" w:val="2007"/>
                <w:attr w:name="Day" w:val="7"/>
                <w:attr w:name="Month" w:val="2"/>
              </w:smartTagPr>
              <w:r w:rsidRPr="0002048F">
                <w:rPr>
                  <w:sz w:val="20"/>
                </w:rPr>
                <w:t>7/2/2007</w:t>
              </w:r>
            </w:smartTag>
          </w:p>
        </w:tc>
      </w:tr>
      <w:tr w:rsidR="00346C04" w:rsidRPr="0002048F">
        <w:tblPrEx>
          <w:tblCellMar>
            <w:top w:w="0" w:type="dxa"/>
            <w:bottom w:w="0" w:type="dxa"/>
          </w:tblCellMar>
        </w:tblPrEx>
        <w:tc>
          <w:tcPr>
            <w:tcW w:w="2760" w:type="dxa"/>
          </w:tcPr>
          <w:p w:rsidR="00D81C79" w:rsidRPr="0002048F" w:rsidRDefault="00346C04" w:rsidP="00044608">
            <w:pPr>
              <w:tabs>
                <w:tab w:val="left" w:pos="567"/>
                <w:tab w:val="left" w:pos="1134"/>
                <w:tab w:val="left" w:pos="1701"/>
                <w:tab w:val="left" w:pos="2268"/>
                <w:tab w:val="left" w:pos="2835"/>
              </w:tabs>
              <w:spacing w:before="20" w:after="20"/>
              <w:rPr>
                <w:sz w:val="20"/>
              </w:rPr>
            </w:pPr>
            <w:r w:rsidRPr="0002048F">
              <w:rPr>
                <w:sz w:val="20"/>
              </w:rPr>
              <w:t>Hô</w:t>
            </w:r>
            <w:r w:rsidR="00D81C79" w:rsidRPr="0002048F">
              <w:rPr>
                <w:sz w:val="20"/>
              </w:rPr>
              <w:t>pital</w:t>
            </w:r>
          </w:p>
        </w:tc>
        <w:tc>
          <w:tcPr>
            <w:tcW w:w="960" w:type="dxa"/>
          </w:tcPr>
          <w:p w:rsidR="00D81C79" w:rsidRPr="0002048F" w:rsidRDefault="00D40AB2" w:rsidP="005D7B68">
            <w:pPr>
              <w:keepNext/>
              <w:tabs>
                <w:tab w:val="left" w:pos="567"/>
                <w:tab w:val="left" w:pos="1134"/>
                <w:tab w:val="left" w:pos="1701"/>
                <w:tab w:val="left" w:pos="2268"/>
                <w:tab w:val="left" w:pos="2835"/>
              </w:tabs>
              <w:spacing w:before="20" w:after="20"/>
              <w:jc w:val="center"/>
              <w:rPr>
                <w:sz w:val="20"/>
              </w:rPr>
            </w:pPr>
            <w:r w:rsidRPr="0002048F">
              <w:rPr>
                <w:sz w:val="20"/>
              </w:rPr>
              <w:t>Homme</w:t>
            </w:r>
          </w:p>
        </w:tc>
        <w:tc>
          <w:tcPr>
            <w:tcW w:w="840" w:type="dxa"/>
          </w:tcPr>
          <w:p w:rsidR="00D81C79" w:rsidRPr="0002048F" w:rsidRDefault="00D81C79" w:rsidP="005D7B68">
            <w:pPr>
              <w:keepNext/>
              <w:tabs>
                <w:tab w:val="left" w:pos="567"/>
                <w:tab w:val="left" w:pos="1134"/>
                <w:tab w:val="left" w:pos="1701"/>
                <w:tab w:val="left" w:pos="2268"/>
                <w:tab w:val="left" w:pos="2835"/>
              </w:tabs>
              <w:spacing w:before="20" w:after="20"/>
              <w:jc w:val="center"/>
              <w:rPr>
                <w:sz w:val="20"/>
              </w:rPr>
            </w:pPr>
            <w:r w:rsidRPr="0002048F">
              <w:rPr>
                <w:sz w:val="20"/>
              </w:rPr>
              <w:t>66</w:t>
            </w:r>
            <w:r w:rsidR="00D40AB2" w:rsidRPr="0002048F">
              <w:rPr>
                <w:sz w:val="20"/>
              </w:rPr>
              <w:t xml:space="preserve"> ans</w:t>
            </w:r>
          </w:p>
        </w:tc>
        <w:tc>
          <w:tcPr>
            <w:tcW w:w="1440" w:type="dxa"/>
          </w:tcPr>
          <w:p w:rsidR="00D81C79" w:rsidRPr="0002048F" w:rsidRDefault="008411E6" w:rsidP="005D7B68">
            <w:pPr>
              <w:keepNext/>
              <w:tabs>
                <w:tab w:val="left" w:pos="567"/>
                <w:tab w:val="left" w:pos="1134"/>
                <w:tab w:val="left" w:pos="1701"/>
                <w:tab w:val="left" w:pos="2268"/>
                <w:tab w:val="left" w:pos="2835"/>
              </w:tabs>
              <w:spacing w:before="20" w:after="20"/>
              <w:jc w:val="center"/>
              <w:rPr>
                <w:sz w:val="20"/>
              </w:rPr>
            </w:pPr>
            <w:r w:rsidRPr="0002048F">
              <w:rPr>
                <w:sz w:val="20"/>
              </w:rPr>
              <w:t>Caucasie</w:t>
            </w:r>
            <w:r w:rsidR="00D81C79" w:rsidRPr="0002048F">
              <w:rPr>
                <w:sz w:val="20"/>
              </w:rPr>
              <w:t>n</w:t>
            </w:r>
          </w:p>
        </w:tc>
        <w:tc>
          <w:tcPr>
            <w:tcW w:w="1853" w:type="dxa"/>
          </w:tcPr>
          <w:p w:rsidR="00D81C79" w:rsidRPr="0002048F" w:rsidRDefault="00346C04" w:rsidP="005D7B68">
            <w:pPr>
              <w:keepNext/>
              <w:tabs>
                <w:tab w:val="left" w:pos="567"/>
                <w:tab w:val="left" w:pos="1134"/>
                <w:tab w:val="left" w:pos="1701"/>
                <w:tab w:val="left" w:pos="2268"/>
                <w:tab w:val="left" w:pos="2835"/>
              </w:tabs>
              <w:spacing w:before="20" w:after="20"/>
              <w:rPr>
                <w:sz w:val="20"/>
              </w:rPr>
            </w:pPr>
            <w:r w:rsidRPr="0002048F">
              <w:rPr>
                <w:sz w:val="20"/>
              </w:rPr>
              <w:t>C</w:t>
            </w:r>
            <w:r w:rsidR="00D81C79" w:rsidRPr="0002048F">
              <w:rPr>
                <w:sz w:val="20"/>
              </w:rPr>
              <w:t>auses</w:t>
            </w:r>
            <w:r w:rsidRPr="0002048F">
              <w:rPr>
                <w:sz w:val="20"/>
              </w:rPr>
              <w:t xml:space="preserve"> naturelles</w:t>
            </w:r>
          </w:p>
        </w:tc>
        <w:tc>
          <w:tcPr>
            <w:tcW w:w="1277" w:type="dxa"/>
          </w:tcPr>
          <w:p w:rsidR="00D81C79" w:rsidRPr="0002048F" w:rsidRDefault="00D81C79" w:rsidP="005D7B68">
            <w:pPr>
              <w:keepNext/>
              <w:tabs>
                <w:tab w:val="left" w:pos="567"/>
                <w:tab w:val="left" w:pos="1134"/>
                <w:tab w:val="left" w:pos="1701"/>
                <w:tab w:val="left" w:pos="2268"/>
                <w:tab w:val="left" w:pos="2835"/>
              </w:tabs>
              <w:spacing w:before="20" w:after="20"/>
              <w:jc w:val="right"/>
              <w:rPr>
                <w:sz w:val="20"/>
              </w:rPr>
            </w:pPr>
            <w:smartTag w:uri="urn:schemas-microsoft-com:office:smarttags" w:element="date">
              <w:smartTagPr>
                <w:attr w:name="Year" w:val="2007"/>
                <w:attr w:name="Day" w:val="25"/>
                <w:attr w:name="Month" w:val="4"/>
              </w:smartTagPr>
              <w:r w:rsidRPr="0002048F">
                <w:rPr>
                  <w:sz w:val="20"/>
                </w:rPr>
                <w:t>25/4/2007</w:t>
              </w:r>
            </w:smartTag>
          </w:p>
        </w:tc>
      </w:tr>
      <w:tr w:rsidR="00346C04" w:rsidRPr="0002048F">
        <w:tblPrEx>
          <w:tblCellMar>
            <w:top w:w="0" w:type="dxa"/>
            <w:bottom w:w="0" w:type="dxa"/>
          </w:tblCellMar>
        </w:tblPrEx>
        <w:tc>
          <w:tcPr>
            <w:tcW w:w="2760" w:type="dxa"/>
          </w:tcPr>
          <w:p w:rsidR="00D81C79" w:rsidRPr="0002048F" w:rsidRDefault="00D81C79" w:rsidP="00044608">
            <w:pPr>
              <w:tabs>
                <w:tab w:val="left" w:pos="567"/>
                <w:tab w:val="left" w:pos="1134"/>
                <w:tab w:val="left" w:pos="1701"/>
                <w:tab w:val="left" w:pos="2268"/>
                <w:tab w:val="left" w:pos="2835"/>
              </w:tabs>
              <w:spacing w:before="20" w:after="20"/>
              <w:rPr>
                <w:sz w:val="20"/>
                <w:lang w:val="fr-FR"/>
              </w:rPr>
            </w:pPr>
            <w:r w:rsidRPr="0002048F">
              <w:rPr>
                <w:sz w:val="20"/>
                <w:lang w:val="fr-FR"/>
              </w:rPr>
              <w:t>Centre</w:t>
            </w:r>
            <w:r w:rsidR="00346C04" w:rsidRPr="0002048F">
              <w:rPr>
                <w:sz w:val="20"/>
                <w:lang w:val="fr-FR"/>
              </w:rPr>
              <w:t xml:space="preserve"> de détention provisoire d’Adélaïde</w:t>
            </w:r>
          </w:p>
        </w:tc>
        <w:tc>
          <w:tcPr>
            <w:tcW w:w="960" w:type="dxa"/>
          </w:tcPr>
          <w:p w:rsidR="00D81C79" w:rsidRPr="0002048F" w:rsidRDefault="00D40AB2" w:rsidP="005D7B68">
            <w:pPr>
              <w:keepNext/>
              <w:tabs>
                <w:tab w:val="left" w:pos="567"/>
                <w:tab w:val="left" w:pos="1134"/>
                <w:tab w:val="left" w:pos="1701"/>
                <w:tab w:val="left" w:pos="2268"/>
                <w:tab w:val="left" w:pos="2835"/>
              </w:tabs>
              <w:spacing w:before="20" w:after="20"/>
              <w:jc w:val="center"/>
              <w:rPr>
                <w:sz w:val="20"/>
              </w:rPr>
            </w:pPr>
            <w:r w:rsidRPr="0002048F">
              <w:rPr>
                <w:sz w:val="20"/>
              </w:rPr>
              <w:t>Homme</w:t>
            </w:r>
          </w:p>
        </w:tc>
        <w:tc>
          <w:tcPr>
            <w:tcW w:w="840" w:type="dxa"/>
          </w:tcPr>
          <w:p w:rsidR="00D81C79" w:rsidRPr="0002048F" w:rsidRDefault="00D81C79" w:rsidP="005D7B68">
            <w:pPr>
              <w:keepNext/>
              <w:tabs>
                <w:tab w:val="left" w:pos="567"/>
                <w:tab w:val="left" w:pos="1134"/>
                <w:tab w:val="left" w:pos="1701"/>
                <w:tab w:val="left" w:pos="2268"/>
                <w:tab w:val="left" w:pos="2835"/>
              </w:tabs>
              <w:spacing w:before="20" w:after="20"/>
              <w:jc w:val="center"/>
              <w:rPr>
                <w:sz w:val="20"/>
              </w:rPr>
            </w:pPr>
            <w:r w:rsidRPr="0002048F">
              <w:rPr>
                <w:sz w:val="20"/>
              </w:rPr>
              <w:t>30</w:t>
            </w:r>
            <w:r w:rsidR="00346C04" w:rsidRPr="0002048F">
              <w:rPr>
                <w:sz w:val="20"/>
              </w:rPr>
              <w:t xml:space="preserve"> ans</w:t>
            </w:r>
          </w:p>
        </w:tc>
        <w:tc>
          <w:tcPr>
            <w:tcW w:w="1440" w:type="dxa"/>
          </w:tcPr>
          <w:p w:rsidR="00D81C79" w:rsidRPr="0002048F" w:rsidRDefault="008411E6" w:rsidP="005D7B68">
            <w:pPr>
              <w:keepNext/>
              <w:tabs>
                <w:tab w:val="left" w:pos="567"/>
                <w:tab w:val="left" w:pos="1134"/>
                <w:tab w:val="left" w:pos="1701"/>
                <w:tab w:val="left" w:pos="2268"/>
                <w:tab w:val="left" w:pos="2835"/>
              </w:tabs>
              <w:spacing w:before="20" w:after="20"/>
              <w:jc w:val="center"/>
              <w:rPr>
                <w:sz w:val="20"/>
              </w:rPr>
            </w:pPr>
            <w:r w:rsidRPr="0002048F">
              <w:rPr>
                <w:sz w:val="20"/>
              </w:rPr>
              <w:t>Caucasie</w:t>
            </w:r>
            <w:r w:rsidR="00D81C79" w:rsidRPr="0002048F">
              <w:rPr>
                <w:sz w:val="20"/>
              </w:rPr>
              <w:t>n</w:t>
            </w:r>
          </w:p>
        </w:tc>
        <w:tc>
          <w:tcPr>
            <w:tcW w:w="1853" w:type="dxa"/>
          </w:tcPr>
          <w:p w:rsidR="00D81C79" w:rsidRPr="0002048F" w:rsidRDefault="00D81C79" w:rsidP="005D7B68">
            <w:pPr>
              <w:keepNext/>
              <w:tabs>
                <w:tab w:val="left" w:pos="567"/>
                <w:tab w:val="left" w:pos="1134"/>
                <w:tab w:val="left" w:pos="1701"/>
                <w:tab w:val="left" w:pos="2268"/>
                <w:tab w:val="left" w:pos="2835"/>
              </w:tabs>
              <w:spacing w:before="20" w:after="20"/>
              <w:rPr>
                <w:sz w:val="20"/>
              </w:rPr>
            </w:pPr>
            <w:r w:rsidRPr="0002048F">
              <w:rPr>
                <w:sz w:val="20"/>
              </w:rPr>
              <w:t>Suicide</w:t>
            </w:r>
          </w:p>
        </w:tc>
        <w:tc>
          <w:tcPr>
            <w:tcW w:w="1277" w:type="dxa"/>
          </w:tcPr>
          <w:p w:rsidR="00D81C79" w:rsidRPr="0002048F" w:rsidRDefault="00D81C79" w:rsidP="005D7B68">
            <w:pPr>
              <w:keepNext/>
              <w:tabs>
                <w:tab w:val="left" w:pos="567"/>
                <w:tab w:val="left" w:pos="1134"/>
                <w:tab w:val="left" w:pos="1701"/>
                <w:tab w:val="left" w:pos="2268"/>
                <w:tab w:val="left" w:pos="2835"/>
              </w:tabs>
              <w:spacing w:before="20" w:after="20"/>
              <w:jc w:val="right"/>
              <w:rPr>
                <w:sz w:val="20"/>
              </w:rPr>
            </w:pPr>
            <w:smartTag w:uri="urn:schemas-microsoft-com:office:smarttags" w:element="date">
              <w:smartTagPr>
                <w:attr w:name="Year" w:val="2007"/>
                <w:attr w:name="Day" w:val="29"/>
                <w:attr w:name="Month" w:val="4"/>
              </w:smartTagPr>
              <w:r w:rsidRPr="0002048F">
                <w:rPr>
                  <w:sz w:val="20"/>
                </w:rPr>
                <w:t>29/4/2007</w:t>
              </w:r>
            </w:smartTag>
          </w:p>
        </w:tc>
      </w:tr>
    </w:tbl>
    <w:p w:rsidR="00D24425" w:rsidRPr="00D24425" w:rsidRDefault="00D24425" w:rsidP="005D7B68">
      <w:pPr>
        <w:tabs>
          <w:tab w:val="left" w:pos="567"/>
          <w:tab w:val="left" w:pos="1134"/>
          <w:tab w:val="left" w:pos="1701"/>
          <w:tab w:val="left" w:pos="2268"/>
          <w:tab w:val="left" w:pos="2835"/>
        </w:tabs>
        <w:spacing w:before="120"/>
        <w:rPr>
          <w:b/>
          <w:bCs/>
          <w:lang w:val="fr-FR"/>
        </w:rPr>
      </w:pPr>
      <w:r>
        <w:rPr>
          <w:b/>
          <w:bCs/>
          <w:lang w:val="fr-FR"/>
        </w:rPr>
        <w:t>Les enquêtes relatives à ces décès sont en cours</w:t>
      </w:r>
    </w:p>
    <w:p w:rsidR="00AF1E00" w:rsidRDefault="002A6CEC" w:rsidP="005D7B68">
      <w:pPr>
        <w:tabs>
          <w:tab w:val="left" w:pos="567"/>
          <w:tab w:val="left" w:pos="1134"/>
          <w:tab w:val="left" w:pos="1701"/>
          <w:tab w:val="left" w:pos="2268"/>
          <w:tab w:val="left" w:pos="2835"/>
        </w:tabs>
        <w:rPr>
          <w:lang w:val="fr-FR"/>
        </w:rPr>
      </w:pPr>
      <w:r>
        <w:rPr>
          <w:lang w:val="fr-FR"/>
        </w:rPr>
        <w:t>654</w:t>
      </w:r>
      <w:r w:rsidR="00D24425">
        <w:rPr>
          <w:lang w:val="fr-FR"/>
        </w:rPr>
        <w:t>.</w:t>
      </w:r>
      <w:r w:rsidR="00D24425">
        <w:rPr>
          <w:lang w:val="fr-FR"/>
        </w:rPr>
        <w:tab/>
        <w:t xml:space="preserve">Le Département a créé un Comité d’examen des enquêtes, présidé par le Directeur général qui contrôle l’application des recommandations formulées à la </w:t>
      </w:r>
      <w:r w:rsidR="00D24425" w:rsidRPr="00D24425">
        <w:rPr>
          <w:lang w:val="fr-FR"/>
        </w:rPr>
        <w:t>suite</w:t>
      </w:r>
      <w:r w:rsidR="00EB684E">
        <w:rPr>
          <w:lang w:val="fr-FR"/>
        </w:rPr>
        <w:t xml:space="preserve"> d’</w:t>
      </w:r>
      <w:r w:rsidR="00D24425">
        <w:rPr>
          <w:lang w:val="fr-FR"/>
        </w:rPr>
        <w:t xml:space="preserve">enquêtes </w:t>
      </w:r>
      <w:r w:rsidR="00EB684E">
        <w:rPr>
          <w:lang w:val="fr-FR"/>
        </w:rPr>
        <w:t xml:space="preserve">judiciaires menées par le </w:t>
      </w:r>
      <w:r w:rsidR="00EB684E">
        <w:rPr>
          <w:i/>
          <w:iCs/>
          <w:lang w:val="fr-FR"/>
        </w:rPr>
        <w:t>Coroner</w:t>
      </w:r>
      <w:r w:rsidR="00EB684E">
        <w:rPr>
          <w:lang w:val="fr-FR"/>
        </w:rPr>
        <w:t xml:space="preserve"> et d’</w:t>
      </w:r>
      <w:r w:rsidR="00D24425">
        <w:rPr>
          <w:lang w:val="fr-FR"/>
        </w:rPr>
        <w:t>enquêtes internes</w:t>
      </w:r>
      <w:r w:rsidR="008D6B80">
        <w:rPr>
          <w:lang w:val="fr-FR"/>
        </w:rPr>
        <w:t xml:space="preserve">. </w:t>
      </w:r>
      <w:r w:rsidR="00D24425">
        <w:rPr>
          <w:lang w:val="fr-FR"/>
        </w:rPr>
        <w:t>C</w:t>
      </w:r>
      <w:r w:rsidR="00281CAB">
        <w:rPr>
          <w:lang w:val="fr-FR"/>
        </w:rPr>
        <w:t>’est un moyen efficace pour être sû</w:t>
      </w:r>
      <w:r w:rsidR="00D24425">
        <w:rPr>
          <w:lang w:val="fr-FR"/>
        </w:rPr>
        <w:t xml:space="preserve">r que </w:t>
      </w:r>
      <w:r w:rsidR="00A829A5">
        <w:rPr>
          <w:lang w:val="fr-FR"/>
        </w:rPr>
        <w:t>des mesures correctives sont prises quand il le faut</w:t>
      </w:r>
      <w:r w:rsidR="008D6B80">
        <w:rPr>
          <w:lang w:val="fr-FR"/>
        </w:rPr>
        <w:t xml:space="preserve">. </w:t>
      </w:r>
      <w:r w:rsidR="00A829A5">
        <w:rPr>
          <w:lang w:val="fr-FR"/>
        </w:rPr>
        <w:t>Tous les problèmes systémiques repérés grâce à ce processus sont résolus par des modifications des politiques.</w:t>
      </w:r>
    </w:p>
    <w:p w:rsidR="00A829A5" w:rsidRDefault="00A829A5" w:rsidP="005D7B68">
      <w:pPr>
        <w:tabs>
          <w:tab w:val="left" w:pos="567"/>
          <w:tab w:val="left" w:pos="1134"/>
          <w:tab w:val="left" w:pos="1701"/>
          <w:tab w:val="left" w:pos="2268"/>
          <w:tab w:val="left" w:pos="2835"/>
        </w:tabs>
        <w:rPr>
          <w:lang w:val="fr-FR"/>
        </w:rPr>
      </w:pPr>
      <w:r>
        <w:rPr>
          <w:lang w:val="fr-FR"/>
        </w:rPr>
        <w:t>65</w:t>
      </w:r>
      <w:r w:rsidR="002A6CEC">
        <w:rPr>
          <w:lang w:val="fr-FR"/>
        </w:rPr>
        <w:t>5</w:t>
      </w:r>
      <w:r>
        <w:rPr>
          <w:lang w:val="fr-FR"/>
        </w:rPr>
        <w:t>.</w:t>
      </w:r>
      <w:r>
        <w:rPr>
          <w:lang w:val="fr-FR"/>
        </w:rPr>
        <w:tab/>
        <w:t>Entre mai 2006 et la fin de juin 2007, sept enquêtes judicia</w:t>
      </w:r>
      <w:r w:rsidR="00EB684E">
        <w:rPr>
          <w:lang w:val="fr-FR"/>
        </w:rPr>
        <w:t>i</w:t>
      </w:r>
      <w:r>
        <w:rPr>
          <w:lang w:val="fr-FR"/>
        </w:rPr>
        <w:t>res relevant du Département ont été</w:t>
      </w:r>
      <w:r w:rsidR="00EB684E">
        <w:rPr>
          <w:lang w:val="fr-FR"/>
        </w:rPr>
        <w:t xml:space="preserve"> menées à terme.</w:t>
      </w:r>
    </w:p>
    <w:p w:rsidR="00EB684E" w:rsidRDefault="00EB684E" w:rsidP="005D7B68">
      <w:pPr>
        <w:tabs>
          <w:tab w:val="left" w:pos="567"/>
          <w:tab w:val="left" w:pos="1134"/>
          <w:tab w:val="left" w:pos="1701"/>
          <w:tab w:val="left" w:pos="2268"/>
          <w:tab w:val="left" w:pos="2835"/>
        </w:tabs>
        <w:rPr>
          <w:b/>
          <w:bCs/>
          <w:lang w:val="fr-FR"/>
        </w:rPr>
      </w:pPr>
      <w:r>
        <w:rPr>
          <w:b/>
          <w:bCs/>
          <w:lang w:val="fr-FR"/>
        </w:rPr>
        <w:t>M.</w:t>
      </w:r>
      <w:r w:rsidR="00CA7DCA">
        <w:rPr>
          <w:b/>
          <w:bCs/>
          <w:lang w:val="fr-FR"/>
        </w:rPr>
        <w:t> </w:t>
      </w:r>
      <w:r>
        <w:rPr>
          <w:b/>
          <w:bCs/>
          <w:lang w:val="fr-FR"/>
        </w:rPr>
        <w:t>J.</w:t>
      </w:r>
      <w:r w:rsidR="00CA7DCA">
        <w:rPr>
          <w:b/>
          <w:bCs/>
          <w:lang w:val="fr-FR"/>
        </w:rPr>
        <w:t> </w:t>
      </w:r>
      <w:r>
        <w:rPr>
          <w:b/>
          <w:bCs/>
          <w:lang w:val="fr-FR"/>
        </w:rPr>
        <w:t>Hulsinga</w:t>
      </w:r>
    </w:p>
    <w:p w:rsidR="00EB684E" w:rsidRPr="00EB684E" w:rsidRDefault="00EB684E" w:rsidP="005D7B68">
      <w:pPr>
        <w:tabs>
          <w:tab w:val="left" w:pos="567"/>
          <w:tab w:val="left" w:pos="1134"/>
          <w:tab w:val="left" w:pos="1701"/>
          <w:tab w:val="left" w:pos="2268"/>
          <w:tab w:val="left" w:pos="2835"/>
        </w:tabs>
        <w:rPr>
          <w:b/>
          <w:bCs/>
          <w:lang w:val="fr-FR"/>
        </w:rPr>
      </w:pPr>
      <w:r w:rsidRPr="00EB684E">
        <w:rPr>
          <w:b/>
          <w:bCs/>
          <w:lang w:val="fr-FR"/>
        </w:rPr>
        <w:t xml:space="preserve">Décédé en prison le 4 octobre 2004 – Rapport du </w:t>
      </w:r>
      <w:r w:rsidRPr="00EB684E">
        <w:rPr>
          <w:b/>
          <w:bCs/>
          <w:i/>
          <w:iCs/>
          <w:lang w:val="fr-FR"/>
        </w:rPr>
        <w:t>Coroner</w:t>
      </w:r>
      <w:r w:rsidRPr="00EB684E">
        <w:rPr>
          <w:b/>
          <w:bCs/>
          <w:lang w:val="fr-FR"/>
        </w:rPr>
        <w:t xml:space="preserve"> remis le 1</w:t>
      </w:r>
      <w:r w:rsidRPr="00EB684E">
        <w:rPr>
          <w:b/>
          <w:bCs/>
          <w:vertAlign w:val="superscript"/>
          <w:lang w:val="fr-FR"/>
        </w:rPr>
        <w:t>er</w:t>
      </w:r>
      <w:r w:rsidRPr="00EB684E">
        <w:rPr>
          <w:b/>
          <w:bCs/>
          <w:lang w:val="fr-FR"/>
        </w:rPr>
        <w:t xml:space="preserve"> mai 2006</w:t>
      </w:r>
    </w:p>
    <w:p w:rsidR="00AF1E00" w:rsidRDefault="00EB684E" w:rsidP="005D7B68">
      <w:pPr>
        <w:tabs>
          <w:tab w:val="left" w:pos="567"/>
          <w:tab w:val="left" w:pos="1134"/>
          <w:tab w:val="left" w:pos="1701"/>
          <w:tab w:val="left" w:pos="2268"/>
          <w:tab w:val="left" w:pos="2835"/>
        </w:tabs>
        <w:rPr>
          <w:lang w:val="fr-FR"/>
        </w:rPr>
      </w:pPr>
      <w:r>
        <w:rPr>
          <w:lang w:val="fr-FR"/>
        </w:rPr>
        <w:t>65</w:t>
      </w:r>
      <w:r w:rsidR="002A6CEC">
        <w:rPr>
          <w:lang w:val="fr-FR"/>
        </w:rPr>
        <w:t>6</w:t>
      </w:r>
      <w:r>
        <w:rPr>
          <w:lang w:val="fr-FR"/>
        </w:rPr>
        <w:t>.</w:t>
      </w:r>
      <w:r>
        <w:rPr>
          <w:lang w:val="fr-FR"/>
        </w:rPr>
        <w:tab/>
        <w:t>Le tribunal a jugé que la mort était due à des causes naturelles et avait été provoquée par un</w:t>
      </w:r>
      <w:r w:rsidR="00173819">
        <w:rPr>
          <w:lang w:val="fr-FR"/>
        </w:rPr>
        <w:t>e</w:t>
      </w:r>
      <w:r>
        <w:rPr>
          <w:lang w:val="fr-FR"/>
        </w:rPr>
        <w:t xml:space="preserve"> </w:t>
      </w:r>
      <w:r w:rsidR="00173819">
        <w:rPr>
          <w:lang w:val="fr-FR"/>
        </w:rPr>
        <w:t>hémorragie intracérébrale temporale du côté gauche conséquence d’une malformation artérioveineuse</w:t>
      </w:r>
      <w:r w:rsidR="008D6B80">
        <w:rPr>
          <w:lang w:val="fr-FR"/>
        </w:rPr>
        <w:t xml:space="preserve">. </w:t>
      </w:r>
      <w:r w:rsidR="00173819">
        <w:rPr>
          <w:lang w:val="fr-FR"/>
        </w:rPr>
        <w:t xml:space="preserve">Le </w:t>
      </w:r>
      <w:r w:rsidR="00173819">
        <w:rPr>
          <w:i/>
          <w:iCs/>
          <w:lang w:val="fr-FR"/>
        </w:rPr>
        <w:t>Coroner</w:t>
      </w:r>
      <w:r w:rsidR="00173819">
        <w:rPr>
          <w:lang w:val="fr-FR"/>
        </w:rPr>
        <w:t xml:space="preserve"> a refusé de formuler toute recommandation à l’égard de cette affaire.</w:t>
      </w:r>
    </w:p>
    <w:p w:rsidR="00173819" w:rsidRDefault="00173819" w:rsidP="005D7B68">
      <w:pPr>
        <w:tabs>
          <w:tab w:val="left" w:pos="567"/>
          <w:tab w:val="left" w:pos="1134"/>
          <w:tab w:val="left" w:pos="1701"/>
          <w:tab w:val="left" w:pos="2268"/>
          <w:tab w:val="left" w:pos="2835"/>
        </w:tabs>
        <w:rPr>
          <w:b/>
          <w:bCs/>
          <w:lang w:val="fr-FR"/>
        </w:rPr>
      </w:pPr>
      <w:r>
        <w:rPr>
          <w:b/>
          <w:bCs/>
          <w:lang w:val="fr-FR"/>
        </w:rPr>
        <w:t>D.</w:t>
      </w:r>
      <w:r w:rsidR="009F4F1C">
        <w:rPr>
          <w:b/>
          <w:bCs/>
          <w:lang w:val="fr-FR"/>
        </w:rPr>
        <w:t> </w:t>
      </w:r>
      <w:r>
        <w:rPr>
          <w:b/>
          <w:bCs/>
          <w:lang w:val="fr-FR"/>
        </w:rPr>
        <w:t>K.</w:t>
      </w:r>
      <w:r w:rsidR="00CE061F">
        <w:rPr>
          <w:b/>
          <w:bCs/>
          <w:lang w:val="fr-FR"/>
        </w:rPr>
        <w:t xml:space="preserve"> </w:t>
      </w:r>
      <w:r>
        <w:rPr>
          <w:b/>
          <w:bCs/>
          <w:lang w:val="fr-FR"/>
        </w:rPr>
        <w:t>Walker</w:t>
      </w:r>
    </w:p>
    <w:p w:rsidR="00173819" w:rsidRPr="00173819" w:rsidRDefault="00173819" w:rsidP="005D7B68">
      <w:pPr>
        <w:tabs>
          <w:tab w:val="left" w:pos="567"/>
          <w:tab w:val="left" w:pos="1134"/>
          <w:tab w:val="left" w:pos="1701"/>
          <w:tab w:val="left" w:pos="2268"/>
          <w:tab w:val="left" w:pos="2835"/>
        </w:tabs>
        <w:rPr>
          <w:b/>
          <w:bCs/>
          <w:i/>
          <w:iCs/>
          <w:lang w:val="fr-FR"/>
        </w:rPr>
      </w:pPr>
      <w:r>
        <w:rPr>
          <w:b/>
          <w:bCs/>
          <w:lang w:val="fr-FR"/>
        </w:rPr>
        <w:t xml:space="preserve">Décédé en prison le 2 juin 2003 – Rapport du </w:t>
      </w:r>
      <w:r>
        <w:rPr>
          <w:b/>
          <w:bCs/>
          <w:i/>
          <w:iCs/>
          <w:lang w:val="fr-FR"/>
        </w:rPr>
        <w:t xml:space="preserve">Coroner </w:t>
      </w:r>
      <w:r w:rsidRPr="00173819">
        <w:rPr>
          <w:b/>
          <w:bCs/>
          <w:lang w:val="fr-FR"/>
        </w:rPr>
        <w:t>remis le 1</w:t>
      </w:r>
      <w:r w:rsidRPr="00173819">
        <w:rPr>
          <w:b/>
          <w:bCs/>
          <w:vertAlign w:val="superscript"/>
          <w:lang w:val="fr-FR"/>
        </w:rPr>
        <w:t>er</w:t>
      </w:r>
      <w:r w:rsidRPr="00173819">
        <w:rPr>
          <w:b/>
          <w:bCs/>
          <w:lang w:val="fr-FR"/>
        </w:rPr>
        <w:t xml:space="preserve"> mai 2006</w:t>
      </w:r>
    </w:p>
    <w:p w:rsidR="00AF1E00" w:rsidRDefault="00173819" w:rsidP="005D7B68">
      <w:pPr>
        <w:tabs>
          <w:tab w:val="left" w:pos="567"/>
          <w:tab w:val="left" w:pos="1134"/>
          <w:tab w:val="left" w:pos="1701"/>
          <w:tab w:val="left" w:pos="2268"/>
          <w:tab w:val="left" w:pos="2835"/>
        </w:tabs>
        <w:rPr>
          <w:lang w:val="fr-FR"/>
        </w:rPr>
      </w:pPr>
      <w:r>
        <w:rPr>
          <w:lang w:val="fr-FR"/>
        </w:rPr>
        <w:t>65</w:t>
      </w:r>
      <w:r w:rsidR="002A6CEC">
        <w:rPr>
          <w:lang w:val="fr-FR"/>
        </w:rPr>
        <w:t>7</w:t>
      </w:r>
      <w:r>
        <w:rPr>
          <w:lang w:val="fr-FR"/>
        </w:rPr>
        <w:t>.</w:t>
      </w:r>
      <w:r>
        <w:rPr>
          <w:lang w:val="fr-FR"/>
        </w:rPr>
        <w:tab/>
        <w:t>Le tribunal a jugé que la mort était due à une pendaison</w:t>
      </w:r>
      <w:r w:rsidR="008D6B80">
        <w:rPr>
          <w:lang w:val="fr-FR"/>
        </w:rPr>
        <w:t xml:space="preserve">. </w:t>
      </w:r>
      <w:r>
        <w:rPr>
          <w:lang w:val="fr-FR"/>
        </w:rPr>
        <w:t xml:space="preserve">Voici les recommandations du </w:t>
      </w:r>
      <w:r>
        <w:rPr>
          <w:i/>
          <w:iCs/>
          <w:lang w:val="fr-FR"/>
        </w:rPr>
        <w:t>Coroner</w:t>
      </w:r>
      <w:r>
        <w:rPr>
          <w:lang w:val="fr-FR"/>
        </w:rPr>
        <w:t xml:space="preserve"> et les mesures prises par le Département</w:t>
      </w:r>
      <w:r w:rsidR="00572260">
        <w:rPr>
          <w:lang w:val="fr-FR"/>
        </w:rPr>
        <w:t>:</w:t>
      </w:r>
    </w:p>
    <w:p w:rsidR="00184F90" w:rsidRDefault="00173819" w:rsidP="005D7B68">
      <w:pPr>
        <w:tabs>
          <w:tab w:val="left" w:pos="567"/>
          <w:tab w:val="left" w:pos="1134"/>
          <w:tab w:val="left" w:pos="1701"/>
          <w:tab w:val="left" w:pos="2268"/>
          <w:tab w:val="left" w:pos="2835"/>
        </w:tabs>
        <w:rPr>
          <w:lang w:val="fr-FR"/>
        </w:rPr>
      </w:pPr>
      <w:r>
        <w:rPr>
          <w:lang w:val="fr-FR"/>
        </w:rPr>
        <w:tab/>
        <w:t>a)</w:t>
      </w:r>
      <w:r>
        <w:rPr>
          <w:lang w:val="fr-FR"/>
        </w:rPr>
        <w:tab/>
        <w:t>Recommandation 1 – Que le Département des services pénitentiaires mette en œuvre un système d’audit qui facilite une inspection régulière de toutes les prisons d’</w:t>
      </w:r>
      <w:r w:rsidR="008E1139">
        <w:rPr>
          <w:lang w:val="fr-FR"/>
        </w:rPr>
        <w:t>Australie méridionale</w:t>
      </w:r>
      <w:r>
        <w:rPr>
          <w:lang w:val="fr-FR"/>
        </w:rPr>
        <w:t xml:space="preserve"> pour permettre de repérer et d’éliminer</w:t>
      </w:r>
      <w:r w:rsidR="00184F90">
        <w:rPr>
          <w:lang w:val="fr-FR"/>
        </w:rPr>
        <w:t>, le cas échéant, tout ce qui rend possible une pendaison, non seulement dans les cellules, mais également dans les zones non contrôlées et celles qui ne sont pas efficacement couvertes par une caméra de surveillance.</w:t>
      </w:r>
    </w:p>
    <w:p w:rsidR="00CE061F" w:rsidRDefault="00184F90" w:rsidP="005D7B68">
      <w:pPr>
        <w:tabs>
          <w:tab w:val="left" w:pos="567"/>
          <w:tab w:val="left" w:pos="1134"/>
          <w:tab w:val="left" w:pos="1701"/>
          <w:tab w:val="left" w:pos="2268"/>
          <w:tab w:val="left" w:pos="2835"/>
        </w:tabs>
        <w:ind w:left="1701" w:hanging="621"/>
        <w:rPr>
          <w:lang w:val="fr-FR"/>
        </w:rPr>
      </w:pPr>
      <w:r>
        <w:rPr>
          <w:lang w:val="fr-FR"/>
        </w:rPr>
        <w:t>i)</w:t>
      </w:r>
      <w:r>
        <w:rPr>
          <w:lang w:val="fr-FR"/>
        </w:rPr>
        <w:tab/>
        <w:t>Le Département des services pénite</w:t>
      </w:r>
      <w:r w:rsidR="00955245">
        <w:rPr>
          <w:lang w:val="fr-FR"/>
        </w:rPr>
        <w:t>ntiaires a procédé à</w:t>
      </w:r>
      <w:r w:rsidR="00D34992">
        <w:rPr>
          <w:lang w:val="fr-FR"/>
        </w:rPr>
        <w:t xml:space="preserve"> une inspection</w:t>
      </w:r>
      <w:r>
        <w:rPr>
          <w:lang w:val="fr-FR"/>
        </w:rPr>
        <w:t xml:space="preserve"> de ses établissements en vue de repérer</w:t>
      </w:r>
      <w:r w:rsidR="00D34992">
        <w:rPr>
          <w:lang w:val="fr-FR"/>
        </w:rPr>
        <w:t xml:space="preserve"> tout ce qui pourrait rendre possible une pendaison, conformément à la démarche entreprise pour tendre vers des </w:t>
      </w:r>
      <w:r w:rsidR="00A619D6">
        <w:rPr>
          <w:lang w:val="fr-FR"/>
        </w:rPr>
        <w:t>«</w:t>
      </w:r>
      <w:r w:rsidR="009E629B">
        <w:rPr>
          <w:lang w:val="fr-FR"/>
        </w:rPr>
        <w:t>cellules sécurisées</w:t>
      </w:r>
      <w:r w:rsidR="00A619D6">
        <w:rPr>
          <w:lang w:val="fr-FR"/>
        </w:rPr>
        <w:t>»</w:t>
      </w:r>
      <w:r w:rsidR="008D6B80">
        <w:rPr>
          <w:lang w:val="fr-FR"/>
        </w:rPr>
        <w:t xml:space="preserve">. </w:t>
      </w:r>
      <w:r w:rsidR="00D34992">
        <w:rPr>
          <w:lang w:val="fr-FR"/>
        </w:rPr>
        <w:t>Il en est résulté que les travaux d’élimination de tout ce qui peut faciliter une pendaison dans les cellules existantes vont continuer en fonction des fonds disponibles</w:t>
      </w:r>
      <w:r w:rsidR="008D6B80">
        <w:rPr>
          <w:lang w:val="fr-FR"/>
        </w:rPr>
        <w:t xml:space="preserve">. </w:t>
      </w:r>
      <w:r w:rsidR="00D34992">
        <w:rPr>
          <w:lang w:val="fr-FR"/>
        </w:rPr>
        <w:t>Il est également envisagé de procéder à ces éliminations dans d’autres zones auxquelles les détenus ont accès, notamment</w:t>
      </w:r>
      <w:r w:rsidR="00CE061F">
        <w:rPr>
          <w:lang w:val="fr-FR"/>
        </w:rPr>
        <w:t xml:space="preserve"> les douches collectives</w:t>
      </w:r>
      <w:r w:rsidR="00583C9C">
        <w:rPr>
          <w:lang w:val="fr-FR"/>
        </w:rPr>
        <w:t>;</w:t>
      </w:r>
    </w:p>
    <w:p w:rsidR="00C93DD2" w:rsidRDefault="00583C9C"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CE061F">
        <w:rPr>
          <w:lang w:val="fr-FR"/>
        </w:rPr>
        <w:t>ii)</w:t>
      </w:r>
      <w:r w:rsidR="00CE061F">
        <w:rPr>
          <w:lang w:val="fr-FR"/>
        </w:rPr>
        <w:tab/>
        <w:t xml:space="preserve">Le gouvernement a récemment annoncé que l’infrastructure des nouvelles prisons correspondra aux normes des </w:t>
      </w:r>
      <w:r w:rsidR="00A619D6">
        <w:rPr>
          <w:lang w:val="fr-FR"/>
        </w:rPr>
        <w:t>«</w:t>
      </w:r>
      <w:r w:rsidR="002A3E3C">
        <w:rPr>
          <w:lang w:val="fr-FR"/>
        </w:rPr>
        <w:t>cellules sécurisées</w:t>
      </w:r>
      <w:r w:rsidR="00A619D6">
        <w:rPr>
          <w:lang w:val="fr-FR"/>
        </w:rPr>
        <w:t>»</w:t>
      </w:r>
      <w:r w:rsidR="00CE061F">
        <w:rPr>
          <w:lang w:val="fr-FR"/>
        </w:rPr>
        <w:t>, de même que</w:t>
      </w:r>
      <w:r w:rsidR="00645E78">
        <w:rPr>
          <w:lang w:val="fr-FR"/>
        </w:rPr>
        <w:t xml:space="preserve"> toutes les nouvelles installations des cellules dans les établissements existants.</w:t>
      </w:r>
    </w:p>
    <w:p w:rsidR="00173819" w:rsidRDefault="00C93DD2" w:rsidP="005D7B68">
      <w:pPr>
        <w:tabs>
          <w:tab w:val="left" w:pos="567"/>
          <w:tab w:val="left" w:pos="1134"/>
          <w:tab w:val="left" w:pos="1701"/>
          <w:tab w:val="left" w:pos="2268"/>
          <w:tab w:val="left" w:pos="2835"/>
        </w:tabs>
        <w:rPr>
          <w:lang w:val="fr-FR"/>
        </w:rPr>
      </w:pPr>
      <w:r>
        <w:rPr>
          <w:lang w:val="fr-FR"/>
        </w:rPr>
        <w:tab/>
        <w:t>b)</w:t>
      </w:r>
      <w:r>
        <w:rPr>
          <w:lang w:val="fr-FR"/>
        </w:rPr>
        <w:tab/>
        <w:t>Recommandation 2 – Que le Département des services pénitentiaires, en concertation avec le service</w:t>
      </w:r>
      <w:r w:rsidR="00A8768B">
        <w:rPr>
          <w:lang w:val="fr-FR"/>
        </w:rPr>
        <w:t xml:space="preserve"> sanitaire en milieu carcéral</w:t>
      </w:r>
      <w:r>
        <w:rPr>
          <w:lang w:val="fr-FR"/>
        </w:rPr>
        <w:t xml:space="preserve">, </w:t>
      </w:r>
      <w:r w:rsidR="007D6BC0">
        <w:rPr>
          <w:lang w:val="fr-FR"/>
        </w:rPr>
        <w:t>élabore et</w:t>
      </w:r>
      <w:r>
        <w:rPr>
          <w:lang w:val="fr-FR"/>
        </w:rPr>
        <w:t xml:space="preserve"> mette en œuvre un système dans le cadre duquel les infirmiers enregistrent les informations </w:t>
      </w:r>
      <w:r w:rsidR="007D6BC0">
        <w:rPr>
          <w:lang w:val="fr-FR"/>
        </w:rPr>
        <w:t>utiles sur les détenus ayant des problèmes de santé et</w:t>
      </w:r>
      <w:r>
        <w:rPr>
          <w:lang w:val="fr-FR"/>
        </w:rPr>
        <w:t xml:space="preserve"> </w:t>
      </w:r>
      <w:r w:rsidR="007D6BC0">
        <w:rPr>
          <w:lang w:val="fr-FR"/>
        </w:rPr>
        <w:t>les mettent à la disposition des surveillants pour qu’ils les aident à</w:t>
      </w:r>
      <w:r w:rsidR="00572260">
        <w:rPr>
          <w:lang w:val="fr-FR"/>
        </w:rPr>
        <w:t xml:space="preserve"> </w:t>
      </w:r>
      <w:r w:rsidR="007D6BC0">
        <w:rPr>
          <w:lang w:val="fr-FR"/>
        </w:rPr>
        <w:t>s’occuper au quotidien de ces détenus dont ils ont la responsabilité.</w:t>
      </w:r>
    </w:p>
    <w:p w:rsidR="007D6BC0" w:rsidRDefault="009F4F1C"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7D6BC0">
        <w:rPr>
          <w:lang w:val="fr-FR"/>
        </w:rPr>
        <w:t>i)</w:t>
      </w:r>
      <w:r w:rsidR="007D6BC0">
        <w:rPr>
          <w:lang w:val="fr-FR"/>
        </w:rPr>
        <w:tab/>
      </w:r>
      <w:r w:rsidR="009F158F">
        <w:rPr>
          <w:lang w:val="fr-FR"/>
        </w:rPr>
        <w:t>Les services san</w:t>
      </w:r>
      <w:r w:rsidR="007D6BC0">
        <w:rPr>
          <w:lang w:val="fr-FR"/>
        </w:rPr>
        <w:t>itaires et le personnel</w:t>
      </w:r>
      <w:r w:rsidR="009F158F">
        <w:rPr>
          <w:lang w:val="fr-FR"/>
        </w:rPr>
        <w:t xml:space="preserve"> pénitentiaire se sont préoccupés de cette question</w:t>
      </w:r>
      <w:r w:rsidR="008D6B80">
        <w:rPr>
          <w:lang w:val="fr-FR"/>
        </w:rPr>
        <w:t xml:space="preserve">. </w:t>
      </w:r>
      <w:r w:rsidR="009F158F">
        <w:rPr>
          <w:lang w:val="fr-FR"/>
        </w:rPr>
        <w:t>Un ensemble de protocoles de systèmes a été mis en œuvre, qui a beaucoup amélioré la communication</w:t>
      </w:r>
      <w:r w:rsidR="007D6BC0">
        <w:rPr>
          <w:lang w:val="fr-FR"/>
        </w:rPr>
        <w:t xml:space="preserve"> </w:t>
      </w:r>
      <w:r w:rsidR="009F158F">
        <w:rPr>
          <w:lang w:val="fr-FR"/>
        </w:rPr>
        <w:t>et les échanges d’informations</w:t>
      </w:r>
      <w:r w:rsidR="00572260">
        <w:rPr>
          <w:lang w:val="fr-FR"/>
        </w:rPr>
        <w:t>;</w:t>
      </w:r>
      <w:r w:rsidR="009F158F">
        <w:rPr>
          <w:lang w:val="fr-FR"/>
        </w:rPr>
        <w:t xml:space="preserve"> et</w:t>
      </w:r>
    </w:p>
    <w:p w:rsidR="009F158F" w:rsidRDefault="009F4F1C"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9F158F">
        <w:rPr>
          <w:lang w:val="fr-FR"/>
        </w:rPr>
        <w:t>ii)</w:t>
      </w:r>
      <w:r w:rsidR="009F158F">
        <w:rPr>
          <w:lang w:val="fr-FR"/>
        </w:rPr>
        <w:tab/>
        <w:t>Le Département des services pénitentiaires a également mis sur pied des équipes spéciales qui comprennent des membres du personnel pénitentiaire et des médecins et assimilés pour</w:t>
      </w:r>
      <w:r w:rsidR="00883B30">
        <w:rPr>
          <w:lang w:val="fr-FR"/>
        </w:rPr>
        <w:t xml:space="preserve"> qu’elles repèrent et ciblent les détenus à risque et organisent leur traitement</w:t>
      </w:r>
      <w:r w:rsidR="008D6B80">
        <w:rPr>
          <w:lang w:val="fr-FR"/>
        </w:rPr>
        <w:t xml:space="preserve">. </w:t>
      </w:r>
      <w:r w:rsidR="00883B30">
        <w:rPr>
          <w:lang w:val="fr-FR"/>
        </w:rPr>
        <w:t>Dans ces équipes, les échanges d’informations entre le personnel pénitentiaire et le person</w:t>
      </w:r>
      <w:r w:rsidR="002762DB">
        <w:rPr>
          <w:lang w:val="fr-FR"/>
        </w:rPr>
        <w:t>nel médical sont plus efficaces;</w:t>
      </w:r>
    </w:p>
    <w:p w:rsidR="0079663A" w:rsidRDefault="00BC7487" w:rsidP="005D7B68">
      <w:pPr>
        <w:tabs>
          <w:tab w:val="left" w:pos="567"/>
          <w:tab w:val="left" w:pos="1134"/>
          <w:tab w:val="left" w:pos="1701"/>
          <w:tab w:val="left" w:pos="2268"/>
          <w:tab w:val="left" w:pos="2835"/>
        </w:tabs>
        <w:ind w:left="1701" w:hanging="1701"/>
        <w:rPr>
          <w:lang w:val="fr-FR"/>
        </w:rPr>
      </w:pPr>
      <w:r>
        <w:rPr>
          <w:lang w:val="fr-FR"/>
        </w:rPr>
        <w:tab/>
      </w:r>
      <w:r>
        <w:rPr>
          <w:lang w:val="fr-FR"/>
        </w:rPr>
        <w:tab/>
        <w:t>iii)</w:t>
      </w:r>
      <w:r>
        <w:rPr>
          <w:lang w:val="fr-FR"/>
        </w:rPr>
        <w:tab/>
      </w:r>
      <w:r w:rsidR="00883B30">
        <w:rPr>
          <w:lang w:val="fr-FR"/>
        </w:rPr>
        <w:t>Le Département des services pénitentiaires est très conscient de</w:t>
      </w:r>
      <w:r w:rsidR="00844962">
        <w:rPr>
          <w:lang w:val="fr-FR"/>
        </w:rPr>
        <w:t>s responsabilités</w:t>
      </w:r>
      <w:r w:rsidR="0010155E">
        <w:rPr>
          <w:lang w:val="fr-FR"/>
        </w:rPr>
        <w:t xml:space="preserve"> qu’il a envers les détenus</w:t>
      </w:r>
      <w:r w:rsidR="00844962">
        <w:rPr>
          <w:lang w:val="fr-FR"/>
        </w:rPr>
        <w:t xml:space="preserve"> en vertu de son obligation de vigilance</w:t>
      </w:r>
      <w:r w:rsidR="008D6B80">
        <w:rPr>
          <w:lang w:val="fr-FR"/>
        </w:rPr>
        <w:t xml:space="preserve">. </w:t>
      </w:r>
      <w:r w:rsidR="0079663A">
        <w:rPr>
          <w:lang w:val="fr-FR"/>
        </w:rPr>
        <w:t xml:space="preserve">Les normes relatives aux nouvelles </w:t>
      </w:r>
      <w:r w:rsidR="00A619D6">
        <w:rPr>
          <w:lang w:val="fr-FR"/>
        </w:rPr>
        <w:t>«</w:t>
      </w:r>
      <w:r w:rsidR="00B74DAC">
        <w:rPr>
          <w:lang w:val="fr-FR"/>
        </w:rPr>
        <w:t>cellules sécurisées</w:t>
      </w:r>
      <w:r w:rsidR="00A619D6">
        <w:rPr>
          <w:lang w:val="fr-FR"/>
        </w:rPr>
        <w:t>»</w:t>
      </w:r>
      <w:r w:rsidR="00883B30">
        <w:rPr>
          <w:lang w:val="fr-FR"/>
        </w:rPr>
        <w:t xml:space="preserve"> </w:t>
      </w:r>
      <w:r w:rsidR="0079663A">
        <w:rPr>
          <w:lang w:val="fr-FR"/>
        </w:rPr>
        <w:t>constituent la référence</w:t>
      </w:r>
      <w:r w:rsidR="00883B30">
        <w:rPr>
          <w:lang w:val="fr-FR"/>
        </w:rPr>
        <w:t xml:space="preserve"> </w:t>
      </w:r>
      <w:r w:rsidR="0079663A">
        <w:rPr>
          <w:lang w:val="fr-FR"/>
        </w:rPr>
        <w:t>pour la construction des futures prisons et ont été adoptées par tous les États et Territoires pour les nouveaux établissements</w:t>
      </w:r>
      <w:r w:rsidR="008D6B80">
        <w:rPr>
          <w:lang w:val="fr-FR"/>
        </w:rPr>
        <w:t xml:space="preserve">. </w:t>
      </w:r>
      <w:r w:rsidR="0079663A">
        <w:rPr>
          <w:lang w:val="fr-FR"/>
        </w:rPr>
        <w:t xml:space="preserve">Les cellules construites selon les normes des </w:t>
      </w:r>
      <w:r w:rsidR="00A619D6">
        <w:rPr>
          <w:lang w:val="fr-FR"/>
        </w:rPr>
        <w:t>«</w:t>
      </w:r>
      <w:r w:rsidR="00B74DAC">
        <w:rPr>
          <w:lang w:val="fr-FR"/>
        </w:rPr>
        <w:t>cellules sécurisées</w:t>
      </w:r>
      <w:r w:rsidR="00A619D6">
        <w:rPr>
          <w:lang w:val="fr-FR"/>
        </w:rPr>
        <w:t>»</w:t>
      </w:r>
      <w:r w:rsidR="0079663A">
        <w:rPr>
          <w:lang w:val="fr-FR"/>
        </w:rPr>
        <w:t xml:space="preserve"> ne comportent aucun </w:t>
      </w:r>
      <w:r w:rsidR="0079663A" w:rsidRPr="00B74DAC">
        <w:rPr>
          <w:lang w:val="fr-FR"/>
        </w:rPr>
        <w:t>point d</w:t>
      </w:r>
      <w:r w:rsidR="00B74DAC" w:rsidRPr="00B74DAC">
        <w:rPr>
          <w:lang w:val="fr-FR"/>
        </w:rPr>
        <w:t>’attache</w:t>
      </w:r>
      <w:r w:rsidR="0079663A">
        <w:rPr>
          <w:lang w:val="fr-FR"/>
        </w:rPr>
        <w:t>.</w:t>
      </w:r>
    </w:p>
    <w:p w:rsidR="0079663A" w:rsidRDefault="0079663A" w:rsidP="005D7B68">
      <w:pPr>
        <w:tabs>
          <w:tab w:val="left" w:pos="567"/>
          <w:tab w:val="left" w:pos="1134"/>
          <w:tab w:val="left" w:pos="1701"/>
          <w:tab w:val="left" w:pos="2268"/>
          <w:tab w:val="left" w:pos="2835"/>
        </w:tabs>
        <w:rPr>
          <w:b/>
          <w:bCs/>
          <w:lang w:val="fr-FR"/>
        </w:rPr>
      </w:pPr>
      <w:r>
        <w:rPr>
          <w:b/>
          <w:bCs/>
          <w:lang w:val="fr-FR"/>
        </w:rPr>
        <w:t>N.</w:t>
      </w:r>
      <w:r w:rsidR="009F4F1C">
        <w:rPr>
          <w:b/>
          <w:bCs/>
          <w:lang w:val="fr-FR"/>
        </w:rPr>
        <w:t> </w:t>
      </w:r>
      <w:r>
        <w:rPr>
          <w:b/>
          <w:bCs/>
          <w:lang w:val="fr-FR"/>
        </w:rPr>
        <w:t>J. Brooks</w:t>
      </w:r>
    </w:p>
    <w:p w:rsidR="0079663A" w:rsidRPr="0079663A" w:rsidRDefault="0079663A" w:rsidP="005D7B68">
      <w:pPr>
        <w:tabs>
          <w:tab w:val="left" w:pos="567"/>
          <w:tab w:val="left" w:pos="1134"/>
          <w:tab w:val="left" w:pos="1701"/>
          <w:tab w:val="left" w:pos="2268"/>
          <w:tab w:val="left" w:pos="2835"/>
        </w:tabs>
        <w:rPr>
          <w:b/>
          <w:bCs/>
          <w:lang w:val="fr-FR"/>
        </w:rPr>
      </w:pPr>
      <w:r>
        <w:rPr>
          <w:b/>
          <w:bCs/>
          <w:lang w:val="fr-FR"/>
        </w:rPr>
        <w:t xml:space="preserve">Décédé en prison le 6 mai 2003 – Rapport du </w:t>
      </w:r>
      <w:r>
        <w:rPr>
          <w:b/>
          <w:bCs/>
          <w:i/>
          <w:iCs/>
          <w:lang w:val="fr-FR"/>
        </w:rPr>
        <w:t>Coroner</w:t>
      </w:r>
      <w:r>
        <w:rPr>
          <w:b/>
          <w:bCs/>
          <w:lang w:val="fr-FR"/>
        </w:rPr>
        <w:t xml:space="preserve"> remis le 25 septembre 2006</w:t>
      </w:r>
    </w:p>
    <w:p w:rsidR="00883B30" w:rsidRDefault="0079663A" w:rsidP="005D7B68">
      <w:pPr>
        <w:tabs>
          <w:tab w:val="left" w:pos="567"/>
          <w:tab w:val="left" w:pos="1134"/>
          <w:tab w:val="left" w:pos="1701"/>
          <w:tab w:val="left" w:pos="2268"/>
          <w:tab w:val="left" w:pos="2835"/>
        </w:tabs>
        <w:rPr>
          <w:lang w:val="fr-FR"/>
        </w:rPr>
      </w:pPr>
      <w:r>
        <w:rPr>
          <w:lang w:val="fr-FR"/>
        </w:rPr>
        <w:t>65</w:t>
      </w:r>
      <w:r w:rsidR="002A6CEC">
        <w:rPr>
          <w:lang w:val="fr-FR"/>
        </w:rPr>
        <w:t>8</w:t>
      </w:r>
      <w:r>
        <w:rPr>
          <w:lang w:val="fr-FR"/>
        </w:rPr>
        <w:t>.</w:t>
      </w:r>
      <w:r>
        <w:rPr>
          <w:lang w:val="fr-FR"/>
        </w:rPr>
        <w:tab/>
        <w:t>Le tribunal a jugé que l’intéressé était mort par étouffement dans un sac plastique</w:t>
      </w:r>
      <w:r w:rsidR="008D6B80">
        <w:rPr>
          <w:lang w:val="fr-FR"/>
        </w:rPr>
        <w:t xml:space="preserve">. </w:t>
      </w:r>
      <w:r w:rsidR="002762DB">
        <w:rPr>
          <w:lang w:val="fr-FR"/>
        </w:rPr>
        <w:t>Le </w:t>
      </w:r>
      <w:r w:rsidR="00775A4D">
        <w:rPr>
          <w:i/>
          <w:iCs/>
          <w:lang w:val="fr-FR"/>
        </w:rPr>
        <w:t>Coroner</w:t>
      </w:r>
      <w:r w:rsidR="00775A4D">
        <w:rPr>
          <w:lang w:val="fr-FR"/>
        </w:rPr>
        <w:t xml:space="preserve"> a conclu que </w:t>
      </w:r>
      <w:r w:rsidR="00A619D6">
        <w:rPr>
          <w:lang w:val="fr-FR"/>
        </w:rPr>
        <w:t>«</w:t>
      </w:r>
      <w:r w:rsidR="00775A4D">
        <w:rPr>
          <w:lang w:val="fr-FR"/>
        </w:rPr>
        <w:t>aucun fonctionnaire du Département des services pénitentiaires n’était critiquable dans cette affaire … et que tous les surveillants de cette prison s’étaient acquittés correctement de leurs diverses obligations</w:t>
      </w:r>
      <w:r w:rsidR="00A619D6">
        <w:rPr>
          <w:lang w:val="fr-FR"/>
        </w:rPr>
        <w:t>»</w:t>
      </w:r>
      <w:r w:rsidR="00775A4D">
        <w:rPr>
          <w:lang w:val="fr-FR"/>
        </w:rPr>
        <w:t xml:space="preserve"> (9.1)</w:t>
      </w:r>
      <w:r w:rsidR="008D6B80">
        <w:rPr>
          <w:lang w:val="fr-FR"/>
        </w:rPr>
        <w:t xml:space="preserve">. </w:t>
      </w:r>
      <w:r w:rsidR="00775A4D">
        <w:rPr>
          <w:lang w:val="fr-FR"/>
        </w:rPr>
        <w:t xml:space="preserve">Le </w:t>
      </w:r>
      <w:r w:rsidR="00775A4D">
        <w:rPr>
          <w:i/>
          <w:iCs/>
          <w:lang w:val="fr-FR"/>
        </w:rPr>
        <w:t xml:space="preserve">Coroner </w:t>
      </w:r>
      <w:r w:rsidR="00775A4D">
        <w:rPr>
          <w:lang w:val="fr-FR"/>
        </w:rPr>
        <w:t>était également convaincu que toutes les mesures prises pour donner suite aux recommandations figurant dans le rapport du Département après l’enquête effectuée étaient appropriées (9.6).</w:t>
      </w:r>
    </w:p>
    <w:p w:rsidR="00A834FF" w:rsidRDefault="002A6CEC" w:rsidP="005D7B68">
      <w:pPr>
        <w:tabs>
          <w:tab w:val="left" w:pos="567"/>
          <w:tab w:val="left" w:pos="1134"/>
          <w:tab w:val="left" w:pos="1701"/>
          <w:tab w:val="left" w:pos="2268"/>
          <w:tab w:val="left" w:pos="2835"/>
        </w:tabs>
        <w:rPr>
          <w:lang w:val="fr-FR"/>
        </w:rPr>
      </w:pPr>
      <w:r>
        <w:rPr>
          <w:lang w:val="fr-FR"/>
        </w:rPr>
        <w:t>659</w:t>
      </w:r>
      <w:r w:rsidR="00A834FF">
        <w:rPr>
          <w:lang w:val="fr-FR"/>
        </w:rPr>
        <w:t>.</w:t>
      </w:r>
      <w:r w:rsidR="00A834FF">
        <w:rPr>
          <w:lang w:val="fr-FR"/>
        </w:rPr>
        <w:tab/>
      </w:r>
      <w:r w:rsidR="0031369A">
        <w:rPr>
          <w:lang w:val="fr-FR"/>
        </w:rPr>
        <w:t xml:space="preserve">Le </w:t>
      </w:r>
      <w:r w:rsidR="0031369A">
        <w:rPr>
          <w:i/>
          <w:iCs/>
          <w:lang w:val="fr-FR"/>
        </w:rPr>
        <w:t>Coroner</w:t>
      </w:r>
      <w:r w:rsidR="0031369A">
        <w:rPr>
          <w:lang w:val="fr-FR"/>
        </w:rPr>
        <w:t xml:space="preserve"> a formulé la recommandation suivante</w:t>
      </w:r>
      <w:r w:rsidR="00572260">
        <w:rPr>
          <w:lang w:val="fr-FR"/>
        </w:rPr>
        <w:t>:</w:t>
      </w:r>
    </w:p>
    <w:p w:rsidR="0031369A" w:rsidRDefault="0031369A" w:rsidP="005D7B68">
      <w:pPr>
        <w:tabs>
          <w:tab w:val="left" w:pos="567"/>
          <w:tab w:val="left" w:pos="1134"/>
          <w:tab w:val="left" w:pos="1701"/>
          <w:tab w:val="left" w:pos="2268"/>
          <w:tab w:val="left" w:pos="2835"/>
        </w:tabs>
        <w:rPr>
          <w:lang w:val="fr-FR"/>
        </w:rPr>
      </w:pPr>
      <w:r>
        <w:rPr>
          <w:lang w:val="fr-FR"/>
        </w:rPr>
        <w:tab/>
        <w:t>a)</w:t>
      </w:r>
      <w:r>
        <w:rPr>
          <w:lang w:val="fr-FR"/>
        </w:rPr>
        <w:tab/>
        <w:t>Recommandation – Que le Département envisage de prendre le genre de mesures dont il est question (dans les conclusions).</w:t>
      </w:r>
    </w:p>
    <w:p w:rsidR="0031369A" w:rsidRDefault="0031369A" w:rsidP="005D7B68">
      <w:pPr>
        <w:tabs>
          <w:tab w:val="left" w:pos="567"/>
          <w:tab w:val="left" w:pos="1134"/>
          <w:tab w:val="left" w:pos="1701"/>
          <w:tab w:val="left" w:pos="2268"/>
          <w:tab w:val="left" w:pos="2835"/>
        </w:tabs>
        <w:rPr>
          <w:lang w:val="fr-FR"/>
        </w:rPr>
      </w:pPr>
      <w:r>
        <w:rPr>
          <w:lang w:val="fr-FR"/>
        </w:rPr>
        <w:t>6</w:t>
      </w:r>
      <w:r w:rsidR="000A317E">
        <w:rPr>
          <w:lang w:val="fr-FR"/>
        </w:rPr>
        <w:t>6</w:t>
      </w:r>
      <w:r w:rsidR="002A6CEC">
        <w:rPr>
          <w:lang w:val="fr-FR"/>
        </w:rPr>
        <w:t>0</w:t>
      </w:r>
      <w:r>
        <w:rPr>
          <w:lang w:val="fr-FR"/>
        </w:rPr>
        <w:t>.</w:t>
      </w:r>
      <w:r>
        <w:rPr>
          <w:lang w:val="fr-FR"/>
        </w:rPr>
        <w:tab/>
        <w:t>Résumé des conclusions concernant le Département et mesures prises en conséquence</w:t>
      </w:r>
      <w:r w:rsidR="00572260">
        <w:rPr>
          <w:lang w:val="fr-FR"/>
        </w:rPr>
        <w:t>:</w:t>
      </w:r>
    </w:p>
    <w:p w:rsidR="0031369A" w:rsidRDefault="0031369A" w:rsidP="005D7B68">
      <w:pPr>
        <w:tabs>
          <w:tab w:val="left" w:pos="567"/>
          <w:tab w:val="left" w:pos="1134"/>
          <w:tab w:val="left" w:pos="1701"/>
          <w:tab w:val="left" w:pos="2268"/>
          <w:tab w:val="left" w:pos="2835"/>
        </w:tabs>
        <w:rPr>
          <w:lang w:val="fr-FR"/>
        </w:rPr>
      </w:pPr>
      <w:r>
        <w:rPr>
          <w:lang w:val="fr-FR"/>
        </w:rPr>
        <w:tab/>
        <w:t>a)</w:t>
      </w:r>
      <w:r>
        <w:rPr>
          <w:lang w:val="fr-FR"/>
        </w:rPr>
        <w:tab/>
        <w:t>9.2</w:t>
      </w:r>
      <w:r w:rsidR="00572260">
        <w:rPr>
          <w:lang w:val="fr-FR"/>
        </w:rPr>
        <w:t>:</w:t>
      </w:r>
      <w:r>
        <w:rPr>
          <w:lang w:val="fr-FR"/>
        </w:rPr>
        <w:t xml:space="preserve"> Le </w:t>
      </w:r>
      <w:r>
        <w:rPr>
          <w:i/>
          <w:iCs/>
          <w:lang w:val="fr-FR"/>
        </w:rPr>
        <w:t>Coroner</w:t>
      </w:r>
      <w:r w:rsidR="000C0974">
        <w:rPr>
          <w:lang w:val="fr-FR"/>
        </w:rPr>
        <w:t xml:space="preserve"> a noté que </w:t>
      </w:r>
      <w:r>
        <w:rPr>
          <w:lang w:val="fr-FR"/>
        </w:rPr>
        <w:t>les formulaires de notification concernant le risque d’aut</w:t>
      </w:r>
      <w:r w:rsidR="00705330">
        <w:rPr>
          <w:lang w:val="fr-FR"/>
        </w:rPr>
        <w:t>o-agressivité</w:t>
      </w:r>
      <w:r>
        <w:rPr>
          <w:lang w:val="fr-FR"/>
        </w:rPr>
        <w:t xml:space="preserve"> </w:t>
      </w:r>
      <w:r w:rsidR="000C0974">
        <w:rPr>
          <w:lang w:val="fr-FR"/>
        </w:rPr>
        <w:t>qui existaient au moment de l’incarcération de M. Brooks n’avaien</w:t>
      </w:r>
      <w:r w:rsidR="00CA7DCA">
        <w:rPr>
          <w:lang w:val="fr-FR"/>
        </w:rPr>
        <w:t>t pas été utilisés dans son cas;</w:t>
      </w:r>
    </w:p>
    <w:p w:rsidR="00F704F1" w:rsidRDefault="002762DB"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0C0974">
        <w:rPr>
          <w:lang w:val="fr-FR"/>
        </w:rPr>
        <w:t>i)</w:t>
      </w:r>
      <w:r w:rsidR="000C0974">
        <w:rPr>
          <w:lang w:val="fr-FR"/>
        </w:rPr>
        <w:tab/>
        <w:t xml:space="preserve">Toutefois, le </w:t>
      </w:r>
      <w:r w:rsidR="000C0974">
        <w:rPr>
          <w:i/>
          <w:iCs/>
          <w:lang w:val="fr-FR"/>
        </w:rPr>
        <w:t>Coroner</w:t>
      </w:r>
      <w:r w:rsidR="000C0974">
        <w:rPr>
          <w:lang w:val="fr-FR"/>
        </w:rPr>
        <w:t xml:space="preserve"> a jugé qu’il ne</w:t>
      </w:r>
      <w:r w:rsidR="00F704F1">
        <w:rPr>
          <w:lang w:val="fr-FR"/>
        </w:rPr>
        <w:t xml:space="preserve"> fallait pas trop s’appesantir sur</w:t>
      </w:r>
      <w:r w:rsidR="000C0974">
        <w:rPr>
          <w:lang w:val="fr-FR"/>
        </w:rPr>
        <w:t xml:space="preserve"> cela</w:t>
      </w:r>
      <w:r w:rsidR="008D6B80">
        <w:rPr>
          <w:lang w:val="fr-FR"/>
        </w:rPr>
        <w:t xml:space="preserve">. </w:t>
      </w:r>
      <w:r w:rsidR="000C0974">
        <w:rPr>
          <w:lang w:val="fr-FR"/>
        </w:rPr>
        <w:t xml:space="preserve">Il a noté que </w:t>
      </w:r>
      <w:r w:rsidR="00A619D6">
        <w:rPr>
          <w:lang w:val="fr-FR"/>
        </w:rPr>
        <w:t>«</w:t>
      </w:r>
      <w:r w:rsidR="000C0974">
        <w:rPr>
          <w:lang w:val="fr-FR"/>
        </w:rPr>
        <w:t xml:space="preserve">…ces formulaires sont maintenant (et l’étaient même alors) quelque peu archaïques, et tout surveillant qui aurait remarqué cela </w:t>
      </w:r>
      <w:r w:rsidR="00F704F1">
        <w:rPr>
          <w:lang w:val="fr-FR"/>
        </w:rPr>
        <w:t>n’y aurait probablement pas at</w:t>
      </w:r>
      <w:r w:rsidR="00CA7DCA">
        <w:rPr>
          <w:lang w:val="fr-FR"/>
        </w:rPr>
        <w:t>taché d’importance</w:t>
      </w:r>
      <w:r w:rsidR="00A619D6">
        <w:rPr>
          <w:lang w:val="fr-FR"/>
        </w:rPr>
        <w:t>»</w:t>
      </w:r>
      <w:r w:rsidR="00CA7DCA">
        <w:rPr>
          <w:lang w:val="fr-FR"/>
        </w:rPr>
        <w:t>;</w:t>
      </w:r>
    </w:p>
    <w:p w:rsidR="000C0974" w:rsidRDefault="002762DB"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F704F1">
        <w:rPr>
          <w:lang w:val="fr-FR"/>
        </w:rPr>
        <w:t>ii)</w:t>
      </w:r>
      <w:r w:rsidR="000C0974">
        <w:rPr>
          <w:lang w:val="fr-FR"/>
        </w:rPr>
        <w:t> </w:t>
      </w:r>
      <w:r w:rsidR="00F704F1">
        <w:rPr>
          <w:lang w:val="fr-FR"/>
        </w:rPr>
        <w:tab/>
        <w:t>Ces formulaires ont été remplacés par un meilleur système permettant au personnel de signaler les détenus à haut risque</w:t>
      </w:r>
      <w:r w:rsidR="008D6B80">
        <w:rPr>
          <w:lang w:val="fr-FR"/>
        </w:rPr>
        <w:t xml:space="preserve">. </w:t>
      </w:r>
      <w:r w:rsidR="00F704F1">
        <w:rPr>
          <w:lang w:val="fr-FR"/>
        </w:rPr>
        <w:t>Il s’agit de l’utilisation de l’étiquette jaune et des équipes</w:t>
      </w:r>
      <w:r w:rsidR="00CA7DCA">
        <w:rPr>
          <w:lang w:val="fr-FR"/>
        </w:rPr>
        <w:t xml:space="preserve"> d’évaluation des hauts risques;</w:t>
      </w:r>
    </w:p>
    <w:p w:rsidR="00F704F1" w:rsidRDefault="008D5548" w:rsidP="005D7B68">
      <w:pPr>
        <w:tabs>
          <w:tab w:val="left" w:pos="567"/>
          <w:tab w:val="left" w:pos="1134"/>
          <w:tab w:val="left" w:pos="1701"/>
          <w:tab w:val="left" w:pos="2268"/>
          <w:tab w:val="left" w:pos="2835"/>
        </w:tabs>
        <w:rPr>
          <w:lang w:val="fr-FR"/>
        </w:rPr>
      </w:pPr>
      <w:r>
        <w:rPr>
          <w:lang w:val="fr-FR"/>
        </w:rPr>
        <w:tab/>
        <w:t>b)</w:t>
      </w:r>
      <w:r>
        <w:rPr>
          <w:lang w:val="fr-FR"/>
        </w:rPr>
        <w:tab/>
      </w:r>
      <w:r w:rsidR="00F704F1">
        <w:rPr>
          <w:lang w:val="fr-FR"/>
        </w:rPr>
        <w:t>9.3</w:t>
      </w:r>
      <w:r w:rsidR="00572260">
        <w:rPr>
          <w:lang w:val="fr-FR"/>
        </w:rPr>
        <w:t>:</w:t>
      </w:r>
      <w:r w:rsidR="00F704F1">
        <w:rPr>
          <w:lang w:val="fr-FR"/>
        </w:rPr>
        <w:t xml:space="preserve"> Contrairement à la pratique habituelle consistant à placer le détenus jugés ‘à risque’ en binôme, M. Brooks était dans une cellule individuelle</w:t>
      </w:r>
      <w:r w:rsidR="00844962">
        <w:rPr>
          <w:lang w:val="fr-FR"/>
        </w:rPr>
        <w:t xml:space="preserve"> et le </w:t>
      </w:r>
      <w:r w:rsidR="00844962">
        <w:rPr>
          <w:i/>
          <w:iCs/>
          <w:lang w:val="fr-FR"/>
        </w:rPr>
        <w:t>Coroner</w:t>
      </w:r>
      <w:r w:rsidR="00844962">
        <w:rPr>
          <w:lang w:val="fr-FR"/>
        </w:rPr>
        <w:t xml:space="preserve"> a estimé que cela a peut-être empêché le personnel pénitentiaire d’être infor</w:t>
      </w:r>
      <w:r w:rsidR="002762DB">
        <w:rPr>
          <w:lang w:val="fr-FR"/>
        </w:rPr>
        <w:t>mé des risque que présentait M. </w:t>
      </w:r>
      <w:r w:rsidR="00CA7DCA">
        <w:rPr>
          <w:lang w:val="fr-FR"/>
        </w:rPr>
        <w:t>Brooks;</w:t>
      </w:r>
    </w:p>
    <w:p w:rsidR="00844962" w:rsidRDefault="002762DB" w:rsidP="005D7B68">
      <w:pPr>
        <w:tabs>
          <w:tab w:val="left" w:pos="567"/>
          <w:tab w:val="left" w:pos="1134"/>
          <w:tab w:val="left" w:pos="1701"/>
          <w:tab w:val="left" w:pos="2268"/>
          <w:tab w:val="left" w:pos="2835"/>
        </w:tabs>
        <w:ind w:left="1701" w:hanging="1701"/>
        <w:rPr>
          <w:lang w:val="fr-FR"/>
        </w:rPr>
      </w:pPr>
      <w:r>
        <w:rPr>
          <w:lang w:val="fr-FR"/>
        </w:rPr>
        <w:tab/>
      </w:r>
      <w:r>
        <w:rPr>
          <w:lang w:val="fr-FR"/>
        </w:rPr>
        <w:tab/>
        <w:t>i)</w:t>
      </w:r>
      <w:r>
        <w:rPr>
          <w:lang w:val="fr-FR"/>
        </w:rPr>
        <w:tab/>
      </w:r>
      <w:r w:rsidR="00844962">
        <w:rPr>
          <w:lang w:val="fr-FR"/>
        </w:rPr>
        <w:t>M. Brooks avait été placé dans une cellule individuelle en raison de l’obligation de vigilance à laquelle est tenu le Département</w:t>
      </w:r>
      <w:r w:rsidR="008D6B80">
        <w:rPr>
          <w:lang w:val="fr-FR"/>
        </w:rPr>
        <w:t xml:space="preserve">. </w:t>
      </w:r>
      <w:r w:rsidR="001042F5">
        <w:rPr>
          <w:lang w:val="fr-FR"/>
        </w:rPr>
        <w:t>Bien que les détenus reconnus comme étant ‘à risque’ soient souvent placés en binôme pour atténuer la possibilité d’aut</w:t>
      </w:r>
      <w:r w:rsidR="001312AD">
        <w:rPr>
          <w:lang w:val="fr-FR"/>
        </w:rPr>
        <w:t>o-agressivité</w:t>
      </w:r>
      <w:r w:rsidR="001042F5">
        <w:rPr>
          <w:lang w:val="fr-FR"/>
        </w:rPr>
        <w:t>, une cellule individuelle convenait mieux au cas de M. Brooks, qui ava</w:t>
      </w:r>
      <w:r w:rsidR="00CA7DCA">
        <w:rPr>
          <w:lang w:val="fr-FR"/>
        </w:rPr>
        <w:t>it partiellement changé de sexe;</w:t>
      </w:r>
    </w:p>
    <w:p w:rsidR="001042F5" w:rsidRDefault="008D5548" w:rsidP="005D7B68">
      <w:pPr>
        <w:tabs>
          <w:tab w:val="left" w:pos="567"/>
          <w:tab w:val="left" w:pos="1134"/>
          <w:tab w:val="left" w:pos="1701"/>
          <w:tab w:val="left" w:pos="2268"/>
          <w:tab w:val="left" w:pos="2835"/>
        </w:tabs>
        <w:rPr>
          <w:lang w:val="fr-FR"/>
        </w:rPr>
      </w:pPr>
      <w:r>
        <w:rPr>
          <w:lang w:val="fr-FR"/>
        </w:rPr>
        <w:tab/>
        <w:t>c)</w:t>
      </w:r>
      <w:r>
        <w:rPr>
          <w:lang w:val="fr-FR"/>
        </w:rPr>
        <w:tab/>
      </w:r>
      <w:r w:rsidR="001042F5">
        <w:rPr>
          <w:lang w:val="fr-FR"/>
        </w:rPr>
        <w:t>9.4</w:t>
      </w:r>
      <w:r w:rsidR="00572260">
        <w:rPr>
          <w:lang w:val="fr-FR"/>
        </w:rPr>
        <w:t>:</w:t>
      </w:r>
      <w:r w:rsidR="001042F5">
        <w:rPr>
          <w:lang w:val="fr-FR"/>
        </w:rPr>
        <w:t xml:space="preserve"> Les rapports de toxicologie révèlent que l’analyse de sang n’a pas permis de déceler la présence de l’antidépresseur qui lui avait été prescrit, bien qu’il soit indiqué dans son dossier que ce médicament lui était fourni quotidiennement, ce qui </w:t>
      </w:r>
      <w:r w:rsidR="00C54AC6">
        <w:rPr>
          <w:lang w:val="fr-FR"/>
        </w:rPr>
        <w:t>laisse penser qu’il avait cessé</w:t>
      </w:r>
      <w:r w:rsidR="001042F5">
        <w:rPr>
          <w:lang w:val="fr-FR"/>
        </w:rPr>
        <w:t xml:space="preserve"> de le prendre à un certain moment</w:t>
      </w:r>
      <w:r w:rsidR="00572260">
        <w:rPr>
          <w:lang w:val="fr-FR"/>
        </w:rPr>
        <w:t>;</w:t>
      </w:r>
      <w:r w:rsidR="001042F5">
        <w:rPr>
          <w:lang w:val="fr-FR"/>
        </w:rPr>
        <w:t xml:space="preserve"> et</w:t>
      </w:r>
    </w:p>
    <w:p w:rsidR="00ED6B39" w:rsidRDefault="008D5548" w:rsidP="005D7B68">
      <w:pPr>
        <w:tabs>
          <w:tab w:val="left" w:pos="567"/>
          <w:tab w:val="left" w:pos="1134"/>
          <w:tab w:val="left" w:pos="1701"/>
          <w:tab w:val="left" w:pos="2268"/>
          <w:tab w:val="left" w:pos="2835"/>
        </w:tabs>
        <w:rPr>
          <w:lang w:val="fr-FR"/>
        </w:rPr>
      </w:pPr>
      <w:r>
        <w:rPr>
          <w:lang w:val="fr-FR"/>
        </w:rPr>
        <w:tab/>
        <w:t>d)</w:t>
      </w:r>
      <w:r>
        <w:rPr>
          <w:lang w:val="fr-FR"/>
        </w:rPr>
        <w:tab/>
      </w:r>
      <w:r w:rsidR="00ED6B39">
        <w:rPr>
          <w:lang w:val="fr-FR"/>
        </w:rPr>
        <w:t>9.5</w:t>
      </w:r>
      <w:r w:rsidR="00572260">
        <w:rPr>
          <w:lang w:val="fr-FR"/>
        </w:rPr>
        <w:t>:</w:t>
      </w:r>
      <w:r w:rsidR="00ED6B39">
        <w:rPr>
          <w:lang w:val="fr-FR"/>
        </w:rPr>
        <w:t xml:space="preserve"> L’opinion du </w:t>
      </w:r>
      <w:r w:rsidR="00ED6B39">
        <w:rPr>
          <w:i/>
          <w:iCs/>
          <w:lang w:val="fr-FR"/>
        </w:rPr>
        <w:t>Coroner</w:t>
      </w:r>
      <w:r w:rsidR="00ED6B39">
        <w:rPr>
          <w:lang w:val="fr-FR"/>
        </w:rPr>
        <w:t xml:space="preserve"> est que </w:t>
      </w:r>
      <w:r w:rsidR="00A619D6">
        <w:rPr>
          <w:lang w:val="fr-FR"/>
        </w:rPr>
        <w:t>«</w:t>
      </w:r>
      <w:r w:rsidR="00ED6B39">
        <w:rPr>
          <w:lang w:val="fr-FR"/>
        </w:rPr>
        <w:t>si le médecin pense que la médication est nécessaire pour le détenu, le personnel pénitentiaire a le pouvoir et le devoir de la lui administrer de force, le cas échéant, sans autre autorisation en application</w:t>
      </w:r>
      <w:r w:rsidR="002762DB">
        <w:rPr>
          <w:lang w:val="fr-FR"/>
        </w:rPr>
        <w:t xml:space="preserve"> de la loi sur la santé mentale</w:t>
      </w:r>
      <w:r w:rsidR="00A619D6">
        <w:rPr>
          <w:lang w:val="fr-FR"/>
        </w:rPr>
        <w:t>»</w:t>
      </w:r>
      <w:r>
        <w:rPr>
          <w:lang w:val="fr-FR"/>
        </w:rPr>
        <w:t>;</w:t>
      </w:r>
    </w:p>
    <w:p w:rsidR="00CA41AF" w:rsidRDefault="002762DB" w:rsidP="005D7B68">
      <w:pPr>
        <w:tabs>
          <w:tab w:val="left" w:pos="567"/>
          <w:tab w:val="left" w:pos="1134"/>
          <w:tab w:val="left" w:pos="1701"/>
          <w:tab w:val="left" w:pos="2268"/>
          <w:tab w:val="left" w:pos="2835"/>
        </w:tabs>
        <w:ind w:left="1701" w:hanging="1701"/>
        <w:rPr>
          <w:lang w:val="fr-FR"/>
        </w:rPr>
      </w:pPr>
      <w:r>
        <w:rPr>
          <w:lang w:val="fr-FR"/>
        </w:rPr>
        <w:tab/>
      </w:r>
      <w:r>
        <w:rPr>
          <w:lang w:val="fr-FR"/>
        </w:rPr>
        <w:tab/>
        <w:t>i)</w:t>
      </w:r>
      <w:r>
        <w:rPr>
          <w:lang w:val="fr-FR"/>
        </w:rPr>
        <w:tab/>
      </w:r>
      <w:r w:rsidR="00ED6B39">
        <w:rPr>
          <w:lang w:val="fr-FR"/>
        </w:rPr>
        <w:t>Le personnel, la direction, et l</w:t>
      </w:r>
      <w:r w:rsidR="00A8768B">
        <w:rPr>
          <w:lang w:val="fr-FR"/>
        </w:rPr>
        <w:t xml:space="preserve">e service sanitaire en milieu carcéral </w:t>
      </w:r>
      <w:r w:rsidR="00ED6B39">
        <w:rPr>
          <w:lang w:val="fr-FR"/>
        </w:rPr>
        <w:t>peuvent ne pas se rendre compte qu’un détenu a cessé de prendre ses médicaments</w:t>
      </w:r>
      <w:r w:rsidR="008D6B80">
        <w:rPr>
          <w:lang w:val="fr-FR"/>
        </w:rPr>
        <w:t xml:space="preserve">. </w:t>
      </w:r>
      <w:r w:rsidR="00ED6B39">
        <w:rPr>
          <w:lang w:val="fr-FR"/>
        </w:rPr>
        <w:t xml:space="preserve">Dans le cas où le personnel s’aperçoit de cela, l’usage de la force </w:t>
      </w:r>
      <w:r w:rsidR="00496B2D">
        <w:rPr>
          <w:lang w:val="fr-FR"/>
        </w:rPr>
        <w:t>fait courir un danger potentiel encore plus grand pour la sécurité des détenus et du personnel</w:t>
      </w:r>
      <w:r w:rsidR="008D6B80">
        <w:rPr>
          <w:lang w:val="fr-FR"/>
        </w:rPr>
        <w:t xml:space="preserve">. </w:t>
      </w:r>
      <w:r w:rsidR="00496B2D">
        <w:rPr>
          <w:lang w:val="fr-FR"/>
        </w:rPr>
        <w:t>L’admin</w:t>
      </w:r>
      <w:r w:rsidR="00301E0E">
        <w:rPr>
          <w:lang w:val="fr-FR"/>
        </w:rPr>
        <w:t>istration des médicaments fait partie</w:t>
      </w:r>
      <w:r w:rsidR="00496B2D">
        <w:rPr>
          <w:lang w:val="fr-FR"/>
        </w:rPr>
        <w:t xml:space="preserve"> du rôle du personnel </w:t>
      </w:r>
      <w:r w:rsidR="00A8768B">
        <w:rPr>
          <w:lang w:val="fr-FR"/>
        </w:rPr>
        <w:t>du</w:t>
      </w:r>
      <w:r w:rsidR="00496B2D">
        <w:rPr>
          <w:lang w:val="fr-FR"/>
        </w:rPr>
        <w:t xml:space="preserve"> service sanitaire</w:t>
      </w:r>
      <w:r w:rsidR="00A8768B">
        <w:rPr>
          <w:lang w:val="fr-FR"/>
        </w:rPr>
        <w:t xml:space="preserve"> en milieu carcéral</w:t>
      </w:r>
      <w:r w:rsidR="008D6B80">
        <w:rPr>
          <w:lang w:val="fr-FR"/>
        </w:rPr>
        <w:t xml:space="preserve">. </w:t>
      </w:r>
      <w:r w:rsidR="00301E0E">
        <w:rPr>
          <w:lang w:val="fr-FR"/>
        </w:rPr>
        <w:t>Le Département considère que la délivrance, la distribution et l’administration de tous les médicaments relève de l’autorité et du contrôle du Département de la santé</w:t>
      </w:r>
      <w:r w:rsidR="008D6B80">
        <w:rPr>
          <w:lang w:val="fr-FR"/>
        </w:rPr>
        <w:t xml:space="preserve">. </w:t>
      </w:r>
      <w:r w:rsidR="00301E0E">
        <w:rPr>
          <w:lang w:val="fr-FR"/>
        </w:rPr>
        <w:t xml:space="preserve">Néanmoins, </w:t>
      </w:r>
      <w:r w:rsidR="00D44540">
        <w:rPr>
          <w:lang w:val="fr-FR"/>
        </w:rPr>
        <w:t>le Département attend l’avis des agents d’application de la loi de la Couronne concernant l’administra</w:t>
      </w:r>
      <w:r>
        <w:rPr>
          <w:lang w:val="fr-FR"/>
        </w:rPr>
        <w:t>tion de médicaments aux détenus;</w:t>
      </w:r>
    </w:p>
    <w:p w:rsidR="00CA41AF" w:rsidRDefault="008D5548" w:rsidP="005D7B68">
      <w:pPr>
        <w:tabs>
          <w:tab w:val="left" w:pos="567"/>
          <w:tab w:val="left" w:pos="1134"/>
          <w:tab w:val="left" w:pos="1701"/>
          <w:tab w:val="left" w:pos="2268"/>
          <w:tab w:val="left" w:pos="2835"/>
        </w:tabs>
        <w:rPr>
          <w:lang w:val="fr-FR"/>
        </w:rPr>
      </w:pPr>
      <w:r>
        <w:rPr>
          <w:lang w:val="fr-FR"/>
        </w:rPr>
        <w:tab/>
        <w:t>e)</w:t>
      </w:r>
      <w:r>
        <w:rPr>
          <w:lang w:val="fr-FR"/>
        </w:rPr>
        <w:tab/>
      </w:r>
      <w:r w:rsidR="00CA41AF">
        <w:rPr>
          <w:lang w:val="fr-FR"/>
        </w:rPr>
        <w:t>9.8</w:t>
      </w:r>
      <w:r w:rsidR="00572260">
        <w:rPr>
          <w:lang w:val="fr-FR"/>
        </w:rPr>
        <w:t>:</w:t>
      </w:r>
      <w:r w:rsidR="00CA41AF">
        <w:rPr>
          <w:lang w:val="fr-FR"/>
        </w:rPr>
        <w:t xml:space="preserve"> Le </w:t>
      </w:r>
      <w:r w:rsidR="00CA41AF">
        <w:rPr>
          <w:i/>
          <w:iCs/>
          <w:lang w:val="fr-FR"/>
        </w:rPr>
        <w:t>Coroner</w:t>
      </w:r>
      <w:r w:rsidR="00CA41AF">
        <w:rPr>
          <w:lang w:val="fr-FR"/>
        </w:rPr>
        <w:t xml:space="preserve"> a noté que </w:t>
      </w:r>
      <w:r w:rsidR="00A619D6">
        <w:rPr>
          <w:lang w:val="fr-FR"/>
        </w:rPr>
        <w:t>«</w:t>
      </w:r>
      <w:r w:rsidR="00CA41AF">
        <w:rPr>
          <w:lang w:val="fr-FR"/>
        </w:rPr>
        <w:t>le Service sanitaire en milieu carcéral semble fonctionner à l’égard des détenus à peu près de la même manière que le système de santé ordinaire à l’égard des personnes ordinaires du public</w:t>
      </w:r>
      <w:r w:rsidR="00A619D6">
        <w:rPr>
          <w:lang w:val="fr-FR"/>
        </w:rPr>
        <w:t>»</w:t>
      </w:r>
      <w:r w:rsidR="00572260">
        <w:rPr>
          <w:lang w:val="fr-FR"/>
        </w:rPr>
        <w:t>;</w:t>
      </w:r>
      <w:r w:rsidR="00CA41AF">
        <w:rPr>
          <w:lang w:val="fr-FR"/>
        </w:rPr>
        <w:t xml:space="preserve"> et</w:t>
      </w:r>
      <w:r w:rsidR="00301E0E">
        <w:rPr>
          <w:lang w:val="fr-FR"/>
        </w:rPr>
        <w:t xml:space="preserve"> </w:t>
      </w:r>
    </w:p>
    <w:p w:rsidR="001042F5" w:rsidRPr="00844962" w:rsidRDefault="008D5548" w:rsidP="005D7B68">
      <w:pPr>
        <w:tabs>
          <w:tab w:val="left" w:pos="567"/>
          <w:tab w:val="left" w:pos="1134"/>
          <w:tab w:val="left" w:pos="1701"/>
          <w:tab w:val="left" w:pos="2268"/>
          <w:tab w:val="left" w:pos="2835"/>
        </w:tabs>
        <w:rPr>
          <w:lang w:val="fr-FR"/>
        </w:rPr>
      </w:pPr>
      <w:r>
        <w:rPr>
          <w:lang w:val="fr-FR"/>
        </w:rPr>
        <w:tab/>
        <w:t>f)</w:t>
      </w:r>
      <w:r>
        <w:rPr>
          <w:lang w:val="fr-FR"/>
        </w:rPr>
        <w:tab/>
      </w:r>
      <w:r w:rsidR="00CA41AF">
        <w:rPr>
          <w:lang w:val="fr-FR"/>
        </w:rPr>
        <w:t>9.9</w:t>
      </w:r>
      <w:r w:rsidR="00572260">
        <w:rPr>
          <w:lang w:val="fr-FR"/>
        </w:rPr>
        <w:t>:</w:t>
      </w:r>
      <w:r w:rsidR="00CA41AF">
        <w:rPr>
          <w:lang w:val="fr-FR"/>
        </w:rPr>
        <w:t xml:space="preserve"> Le </w:t>
      </w:r>
      <w:r w:rsidR="00CA41AF">
        <w:rPr>
          <w:i/>
          <w:iCs/>
          <w:lang w:val="fr-FR"/>
        </w:rPr>
        <w:t xml:space="preserve">Coroner </w:t>
      </w:r>
      <w:r w:rsidR="00CA41AF">
        <w:rPr>
          <w:lang w:val="fr-FR"/>
        </w:rPr>
        <w:t xml:space="preserve">pense que </w:t>
      </w:r>
      <w:r w:rsidR="00A619D6">
        <w:rPr>
          <w:lang w:val="fr-FR"/>
        </w:rPr>
        <w:t>«</w:t>
      </w:r>
      <w:r w:rsidR="00BD5505">
        <w:rPr>
          <w:lang w:val="fr-FR"/>
        </w:rPr>
        <w:t>la</w:t>
      </w:r>
      <w:r w:rsidR="00CA41AF">
        <w:rPr>
          <w:lang w:val="fr-FR"/>
        </w:rPr>
        <w:t xml:space="preserve"> situation n’est pas entièrement satisfaisante</w:t>
      </w:r>
      <w:r w:rsidR="00BD5505">
        <w:rPr>
          <w:lang w:val="fr-FR"/>
        </w:rPr>
        <w:t xml:space="preserve"> dans le système carcéral et que le service sanitaire en milieu carcéral n’est pas sans susciter des réserves</w:t>
      </w:r>
      <w:r w:rsidR="00A619D6">
        <w:rPr>
          <w:lang w:val="fr-FR"/>
        </w:rPr>
        <w:t>»</w:t>
      </w:r>
      <w:r w:rsidR="00BD5505">
        <w:rPr>
          <w:lang w:val="fr-FR"/>
        </w:rPr>
        <w:t>.</w:t>
      </w:r>
      <w:r w:rsidR="00CA41AF">
        <w:rPr>
          <w:lang w:val="fr-FR"/>
        </w:rPr>
        <w:tab/>
      </w:r>
      <w:r w:rsidR="00572260">
        <w:rPr>
          <w:lang w:val="fr-FR"/>
        </w:rPr>
        <w:t xml:space="preserve"> </w:t>
      </w:r>
      <w:r w:rsidR="00BD5505">
        <w:rPr>
          <w:lang w:val="fr-FR"/>
        </w:rPr>
        <w:t xml:space="preserve">Il reconnaît que l’échange d’informations entre le système pénitentiaire et le service sanitaire en milieu carcéral s’est beaucoup amélioré, mais il a conclu qu’il </w:t>
      </w:r>
      <w:r w:rsidR="00A619D6">
        <w:rPr>
          <w:lang w:val="fr-FR"/>
        </w:rPr>
        <w:t>«</w:t>
      </w:r>
      <w:r w:rsidR="00BD5505">
        <w:rPr>
          <w:lang w:val="fr-FR"/>
        </w:rPr>
        <w:t>reste limité de la même ma</w:t>
      </w:r>
      <w:r w:rsidR="00B3070D">
        <w:rPr>
          <w:lang w:val="fr-FR"/>
        </w:rPr>
        <w:t>nière et pour les mêmes raisons,</w:t>
      </w:r>
      <w:r w:rsidR="00BD5505">
        <w:rPr>
          <w:lang w:val="fr-FR"/>
        </w:rPr>
        <w:t xml:space="preserve"> que l’échange d’information entre les conseillers médicaux et les personnes autres que leurs patients est limité dans la collectivité en général … un service sanitaire en milieu carcéral doit faire mieux que cela</w:t>
      </w:r>
      <w:r w:rsidR="00A619D6">
        <w:rPr>
          <w:lang w:val="fr-FR"/>
        </w:rPr>
        <w:t>»</w:t>
      </w:r>
      <w:r w:rsidR="00CA7DCA">
        <w:rPr>
          <w:lang w:val="fr-FR"/>
        </w:rPr>
        <w:t>;</w:t>
      </w:r>
    </w:p>
    <w:p w:rsidR="00AF1E00"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64523D">
        <w:rPr>
          <w:lang w:val="fr-FR"/>
        </w:rPr>
        <w:t>i)</w:t>
      </w:r>
      <w:r w:rsidR="0064523D">
        <w:rPr>
          <w:lang w:val="fr-FR"/>
        </w:rPr>
        <w:tab/>
        <w:t>Á la suite du décès de M. Brooks et jusqu’à celui d’un autre détenu en janvier 2004, et juste après ce dernier</w:t>
      </w:r>
      <w:r w:rsidR="00470363">
        <w:rPr>
          <w:lang w:val="fr-FR"/>
        </w:rPr>
        <w:t>, le Département et le Service sanitaire en milieu carcéral se sont efforcé de remédier à cela</w:t>
      </w:r>
      <w:r w:rsidR="008D6B80">
        <w:rPr>
          <w:lang w:val="fr-FR"/>
        </w:rPr>
        <w:t xml:space="preserve">. </w:t>
      </w:r>
      <w:r w:rsidR="00470363">
        <w:rPr>
          <w:lang w:val="fr-FR"/>
        </w:rPr>
        <w:t>Un ensemble de protocoles a été mis en place, qui améliore grandement la communicat</w:t>
      </w:r>
      <w:r>
        <w:rPr>
          <w:lang w:val="fr-FR"/>
        </w:rPr>
        <w:t>ion et l’échange d’informations;</w:t>
      </w:r>
    </w:p>
    <w:p w:rsidR="00470363"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470363">
        <w:rPr>
          <w:lang w:val="fr-FR"/>
        </w:rPr>
        <w:t>ii)</w:t>
      </w:r>
      <w:r w:rsidR="00470363">
        <w:rPr>
          <w:lang w:val="fr-FR"/>
        </w:rPr>
        <w:tab/>
        <w:t>Le Département a également établi</w:t>
      </w:r>
      <w:r w:rsidR="009A7C33">
        <w:rPr>
          <w:lang w:val="fr-FR"/>
        </w:rPr>
        <w:t xml:space="preserve"> dans chaque établissement</w:t>
      </w:r>
      <w:r w:rsidR="00E96BAF">
        <w:rPr>
          <w:lang w:val="fr-FR"/>
        </w:rPr>
        <w:t xml:space="preserve"> </w:t>
      </w:r>
      <w:r w:rsidR="00470363">
        <w:rPr>
          <w:lang w:val="fr-FR"/>
        </w:rPr>
        <w:t>une procédure o</w:t>
      </w:r>
      <w:r w:rsidR="00E96BAF">
        <w:rPr>
          <w:lang w:val="fr-FR"/>
        </w:rPr>
        <w:t>f</w:t>
      </w:r>
      <w:r w:rsidR="00470363">
        <w:rPr>
          <w:lang w:val="fr-FR"/>
        </w:rPr>
        <w:t>ficielle</w:t>
      </w:r>
      <w:r w:rsidR="00E96BAF">
        <w:rPr>
          <w:lang w:val="fr-FR"/>
        </w:rPr>
        <w:t xml:space="preserve"> d’évaluation, de suivi et de mise en œuvre de stratégies de traitement des détenus ‘à risque’, dont fait partie l’échange rapide d’informations, </w:t>
      </w:r>
      <w:r>
        <w:rPr>
          <w:lang w:val="fr-FR"/>
        </w:rPr>
        <w:t>à caractère médical et carcéral;</w:t>
      </w:r>
    </w:p>
    <w:p w:rsidR="00333CDB"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t>iii)</w:t>
      </w:r>
      <w:r>
        <w:rPr>
          <w:lang w:val="fr-FR"/>
        </w:rPr>
        <w:tab/>
      </w:r>
      <w:r w:rsidR="00333CDB">
        <w:rPr>
          <w:lang w:val="fr-FR"/>
        </w:rPr>
        <w:t>Le Département poursuit ses discussions avec le Département de la santé en vue d’améliorer et de renforcer l’échange d’informatio</w:t>
      </w:r>
      <w:r w:rsidR="00CA7DCA">
        <w:rPr>
          <w:lang w:val="fr-FR"/>
        </w:rPr>
        <w:t>ns;</w:t>
      </w:r>
    </w:p>
    <w:p w:rsidR="00333CDB"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t>iv)</w:t>
      </w:r>
      <w:r>
        <w:rPr>
          <w:lang w:val="fr-FR"/>
        </w:rPr>
        <w:tab/>
      </w:r>
      <w:r w:rsidR="00333CDB">
        <w:rPr>
          <w:lang w:val="fr-FR"/>
        </w:rPr>
        <w:t xml:space="preserve">Une amélioration supplémentaire sera apportée avec l’infrastructure des nouveaux établissements pénitentiaires qui seront probablement dotés d’unités chargées des besoins spéciaux pour le détenus considérés comme étant ‘à risque’, ainsi qu’il a été recommandé précédemment par la </w:t>
      </w:r>
      <w:r w:rsidR="00333CDB">
        <w:rPr>
          <w:i/>
          <w:iCs/>
          <w:lang w:val="fr-FR"/>
        </w:rPr>
        <w:t xml:space="preserve">Coroner’s Court </w:t>
      </w:r>
      <w:r w:rsidR="00333CDB">
        <w:rPr>
          <w:lang w:val="fr-FR"/>
        </w:rPr>
        <w:t>à l’occasion d’autres informations j</w:t>
      </w:r>
      <w:r>
        <w:rPr>
          <w:lang w:val="fr-FR"/>
        </w:rPr>
        <w:t>udiciaires;</w:t>
      </w:r>
    </w:p>
    <w:p w:rsidR="00CC5E07" w:rsidRDefault="008D5548" w:rsidP="005D7B68">
      <w:pPr>
        <w:tabs>
          <w:tab w:val="left" w:pos="567"/>
          <w:tab w:val="left" w:pos="1134"/>
          <w:tab w:val="left" w:pos="1701"/>
          <w:tab w:val="left" w:pos="2268"/>
          <w:tab w:val="left" w:pos="2835"/>
        </w:tabs>
        <w:rPr>
          <w:lang w:val="fr-FR"/>
        </w:rPr>
      </w:pPr>
      <w:r>
        <w:rPr>
          <w:lang w:val="fr-FR"/>
        </w:rPr>
        <w:tab/>
        <w:t>g)</w:t>
      </w:r>
      <w:r>
        <w:rPr>
          <w:lang w:val="fr-FR"/>
        </w:rPr>
        <w:tab/>
      </w:r>
      <w:r w:rsidR="00333CDB">
        <w:rPr>
          <w:lang w:val="fr-FR"/>
        </w:rPr>
        <w:t>9.10</w:t>
      </w:r>
      <w:r w:rsidR="00572260">
        <w:rPr>
          <w:lang w:val="fr-FR"/>
        </w:rPr>
        <w:t>:</w:t>
      </w:r>
      <w:r w:rsidR="00333CDB">
        <w:rPr>
          <w:lang w:val="fr-FR"/>
        </w:rPr>
        <w:t xml:space="preserve"> Le </w:t>
      </w:r>
      <w:r w:rsidR="00333CDB">
        <w:rPr>
          <w:i/>
          <w:iCs/>
          <w:lang w:val="fr-FR"/>
        </w:rPr>
        <w:t xml:space="preserve">Coroner </w:t>
      </w:r>
      <w:r w:rsidR="00333CDB" w:rsidRPr="00333CDB">
        <w:rPr>
          <w:lang w:val="fr-FR"/>
        </w:rPr>
        <w:t>a noté que le Service sanitaire en milieu carcéral</w:t>
      </w:r>
      <w:r w:rsidR="00333CDB">
        <w:rPr>
          <w:lang w:val="fr-FR"/>
        </w:rPr>
        <w:t xml:space="preserve"> </w:t>
      </w:r>
      <w:r w:rsidR="00015D50">
        <w:rPr>
          <w:lang w:val="fr-FR"/>
        </w:rPr>
        <w:t>n’est pas reconnu officiellement en tant que tel et qu’il conviendrait d’envisager de prévoir une codification réglementaire de l’existence et du r</w:t>
      </w:r>
      <w:r w:rsidR="00CC5E07">
        <w:rPr>
          <w:lang w:val="fr-FR"/>
        </w:rPr>
        <w:t>ôle de ce service et, en particulier, un assouplissement de l’obligation habituelle de confidentialité im</w:t>
      </w:r>
      <w:r>
        <w:rPr>
          <w:lang w:val="fr-FR"/>
        </w:rPr>
        <w:t>posée aux médecins et assimilés;</w:t>
      </w:r>
    </w:p>
    <w:p w:rsidR="00333CDB"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t>i)</w:t>
      </w:r>
      <w:r>
        <w:rPr>
          <w:lang w:val="fr-FR"/>
        </w:rPr>
        <w:tab/>
      </w:r>
      <w:r w:rsidR="00CC5E07">
        <w:rPr>
          <w:lang w:val="fr-FR"/>
        </w:rPr>
        <w:t>Le Département a été informé de ce que le Département de la Santé a recommandé que l’avis des agents d’application de la loi de la Couronne soit sollicité au sujet des modifications à apporter à la législation d’</w:t>
      </w:r>
      <w:r w:rsidR="008E1139">
        <w:rPr>
          <w:lang w:val="fr-FR"/>
        </w:rPr>
        <w:t>Australie méridionale</w:t>
      </w:r>
      <w:r w:rsidR="00CC5E07">
        <w:rPr>
          <w:lang w:val="fr-FR"/>
        </w:rPr>
        <w:t xml:space="preserve"> en matière de santé en vue de légitimer l’échange d’informations entre les prestataires de services sanitaires en milieu carcéral et les prestataires d’autres services.</w:t>
      </w:r>
    </w:p>
    <w:p w:rsidR="00AF1E00" w:rsidRDefault="00DD484D" w:rsidP="005D7B68">
      <w:pPr>
        <w:tabs>
          <w:tab w:val="left" w:pos="567"/>
          <w:tab w:val="left" w:pos="1134"/>
          <w:tab w:val="left" w:pos="1701"/>
          <w:tab w:val="left" w:pos="2268"/>
          <w:tab w:val="left" w:pos="2835"/>
        </w:tabs>
        <w:rPr>
          <w:b/>
          <w:bCs/>
          <w:lang w:val="fr-FR"/>
        </w:rPr>
      </w:pPr>
      <w:r>
        <w:rPr>
          <w:b/>
          <w:bCs/>
          <w:lang w:val="fr-FR"/>
        </w:rPr>
        <w:t>B.</w:t>
      </w:r>
      <w:r w:rsidR="008D5548">
        <w:rPr>
          <w:b/>
          <w:bCs/>
          <w:lang w:val="fr-FR"/>
        </w:rPr>
        <w:t> </w:t>
      </w:r>
      <w:r>
        <w:rPr>
          <w:b/>
          <w:bCs/>
          <w:lang w:val="fr-FR"/>
        </w:rPr>
        <w:t>M. Turner et T.</w:t>
      </w:r>
      <w:r w:rsidR="008D5548">
        <w:rPr>
          <w:b/>
          <w:bCs/>
          <w:lang w:val="fr-FR"/>
        </w:rPr>
        <w:t> </w:t>
      </w:r>
      <w:r>
        <w:rPr>
          <w:b/>
          <w:bCs/>
          <w:lang w:val="fr-FR"/>
        </w:rPr>
        <w:t>M. Glennie</w:t>
      </w:r>
    </w:p>
    <w:p w:rsidR="00DD484D" w:rsidRDefault="00DD484D" w:rsidP="005D7B68">
      <w:pPr>
        <w:tabs>
          <w:tab w:val="left" w:pos="567"/>
          <w:tab w:val="left" w:pos="1134"/>
          <w:tab w:val="left" w:pos="1701"/>
          <w:tab w:val="left" w:pos="2268"/>
          <w:tab w:val="left" w:pos="2835"/>
        </w:tabs>
        <w:rPr>
          <w:b/>
          <w:bCs/>
          <w:lang w:val="fr-FR"/>
        </w:rPr>
      </w:pPr>
      <w:r>
        <w:rPr>
          <w:b/>
          <w:bCs/>
          <w:lang w:val="fr-FR"/>
        </w:rPr>
        <w:t>Décédés en détention</w:t>
      </w:r>
      <w:r w:rsidR="006B1038">
        <w:rPr>
          <w:b/>
          <w:bCs/>
          <w:lang w:val="fr-FR"/>
        </w:rPr>
        <w:t xml:space="preserve"> provisoire le 9 février 2004 et le 27 septembre 2004 – Rapport du</w:t>
      </w:r>
      <w:r w:rsidR="00572260">
        <w:rPr>
          <w:b/>
          <w:bCs/>
          <w:lang w:val="fr-FR"/>
        </w:rPr>
        <w:t xml:space="preserve"> </w:t>
      </w:r>
      <w:r w:rsidR="006B1038">
        <w:rPr>
          <w:b/>
          <w:bCs/>
          <w:i/>
          <w:iCs/>
          <w:lang w:val="fr-FR"/>
        </w:rPr>
        <w:t>Coroner</w:t>
      </w:r>
      <w:r w:rsidR="006B1038">
        <w:rPr>
          <w:b/>
          <w:bCs/>
          <w:lang w:val="fr-FR"/>
        </w:rPr>
        <w:t xml:space="preserve"> remis le 18 octobre 2006</w:t>
      </w:r>
    </w:p>
    <w:p w:rsidR="006B1038" w:rsidRPr="009A5BAB" w:rsidRDefault="006B1038" w:rsidP="005D7B68">
      <w:pPr>
        <w:tabs>
          <w:tab w:val="left" w:pos="567"/>
          <w:tab w:val="left" w:pos="1134"/>
          <w:tab w:val="left" w:pos="1701"/>
          <w:tab w:val="left" w:pos="2268"/>
          <w:tab w:val="left" w:pos="2835"/>
        </w:tabs>
        <w:rPr>
          <w:lang w:val="fr-FR"/>
        </w:rPr>
      </w:pPr>
      <w:r>
        <w:rPr>
          <w:lang w:val="fr-FR"/>
        </w:rPr>
        <w:t>66</w:t>
      </w:r>
      <w:r w:rsidR="002A6CEC">
        <w:rPr>
          <w:lang w:val="fr-FR"/>
        </w:rPr>
        <w:t>1</w:t>
      </w:r>
      <w:r>
        <w:rPr>
          <w:lang w:val="fr-FR"/>
        </w:rPr>
        <w:t>.</w:t>
      </w:r>
      <w:r>
        <w:rPr>
          <w:lang w:val="fr-FR"/>
        </w:rPr>
        <w:tab/>
      </w:r>
      <w:r w:rsidR="0027578B">
        <w:rPr>
          <w:lang w:val="fr-FR"/>
        </w:rPr>
        <w:t>Une informatio</w:t>
      </w:r>
      <w:r w:rsidR="00D96920">
        <w:rPr>
          <w:lang w:val="fr-FR"/>
        </w:rPr>
        <w:t>n judiciaire commune</w:t>
      </w:r>
      <w:r w:rsidR="0027578B">
        <w:rPr>
          <w:lang w:val="fr-FR"/>
        </w:rPr>
        <w:t xml:space="preserve"> </w:t>
      </w:r>
      <w:r w:rsidR="00D96920">
        <w:rPr>
          <w:lang w:val="fr-FR"/>
        </w:rPr>
        <w:t>a eu lieu sur les causes de la mort de Barry Michael Turner et Troy Michael Glennie en raison des circonstances similaires de leur décès</w:t>
      </w:r>
      <w:r w:rsidR="008D6B80">
        <w:rPr>
          <w:lang w:val="fr-FR"/>
        </w:rPr>
        <w:t xml:space="preserve">. </w:t>
      </w:r>
      <w:r w:rsidR="00D96920">
        <w:rPr>
          <w:lang w:val="fr-FR"/>
        </w:rPr>
        <w:t xml:space="preserve">Le </w:t>
      </w:r>
      <w:r w:rsidR="00D96920">
        <w:rPr>
          <w:i/>
          <w:iCs/>
          <w:lang w:val="fr-FR"/>
        </w:rPr>
        <w:t>Coroner</w:t>
      </w:r>
      <w:r w:rsidR="00D96920">
        <w:rPr>
          <w:lang w:val="fr-FR"/>
        </w:rPr>
        <w:t xml:space="preserve"> </w:t>
      </w:r>
      <w:r w:rsidR="00FA0CD1">
        <w:rPr>
          <w:lang w:val="fr-FR"/>
        </w:rPr>
        <w:t>a indiqué, dans son rapport</w:t>
      </w:r>
      <w:r w:rsidR="00FA0CD1" w:rsidRPr="009A5BAB">
        <w:rPr>
          <w:lang w:val="fr-FR"/>
        </w:rPr>
        <w:t>, qu’il est convaincu, par les éléments de preuve concernant les circonstances de ces deux décès,</w:t>
      </w:r>
      <w:r w:rsidR="00FA0CD1">
        <w:rPr>
          <w:lang w:val="fr-FR"/>
        </w:rPr>
        <w:t xml:space="preserve"> que les mesures appliquées par les surveillants de la prison et les tentatives faites pour ramener les intéressés à la vie </w:t>
      </w:r>
      <w:r w:rsidR="00A619D6">
        <w:rPr>
          <w:lang w:val="fr-FR"/>
        </w:rPr>
        <w:t>«</w:t>
      </w:r>
      <w:r w:rsidR="00FA0CD1">
        <w:rPr>
          <w:lang w:val="fr-FR"/>
        </w:rPr>
        <w:t>ont été appropriées</w:t>
      </w:r>
      <w:r w:rsidR="000A66DB">
        <w:rPr>
          <w:lang w:val="fr-FR"/>
        </w:rPr>
        <w:t xml:space="preserve"> et exécutées à point nommé</w:t>
      </w:r>
      <w:r w:rsidR="00A619D6">
        <w:rPr>
          <w:lang w:val="fr-FR"/>
        </w:rPr>
        <w:t>»</w:t>
      </w:r>
      <w:r w:rsidR="000A66DB">
        <w:rPr>
          <w:lang w:val="fr-FR"/>
        </w:rPr>
        <w:t>, mais que, dans les deux cas, les fonctionnaires présents n’étaient pas en possession d’un</w:t>
      </w:r>
      <w:r w:rsidR="001E74C1">
        <w:rPr>
          <w:lang w:val="fr-FR"/>
        </w:rPr>
        <w:t xml:space="preserve"> couteau </w:t>
      </w:r>
      <w:r w:rsidR="00A619D6">
        <w:rPr>
          <w:lang w:val="fr-FR"/>
        </w:rPr>
        <w:t>«</w:t>
      </w:r>
      <w:r w:rsidR="001E74C1">
        <w:rPr>
          <w:lang w:val="fr-FR"/>
        </w:rPr>
        <w:t>Hoffman</w:t>
      </w:r>
      <w:r w:rsidR="00A619D6">
        <w:rPr>
          <w:lang w:val="fr-FR"/>
        </w:rPr>
        <w:t>»</w:t>
      </w:r>
      <w:r w:rsidR="001E74C1">
        <w:rPr>
          <w:lang w:val="fr-FR"/>
        </w:rPr>
        <w:t xml:space="preserve"> pour aider à </w:t>
      </w:r>
      <w:r w:rsidR="00DB5BE2" w:rsidRPr="009A5BAB">
        <w:rPr>
          <w:lang w:val="fr-FR"/>
        </w:rPr>
        <w:t>sectionner l</w:t>
      </w:r>
      <w:r w:rsidR="009A5BAB" w:rsidRPr="009A5BAB">
        <w:rPr>
          <w:lang w:val="fr-FR"/>
        </w:rPr>
        <w:t>a corde.</w:t>
      </w:r>
    </w:p>
    <w:p w:rsidR="00DB5BE2" w:rsidRDefault="00DB5BE2" w:rsidP="005D7B68">
      <w:pPr>
        <w:tabs>
          <w:tab w:val="left" w:pos="567"/>
          <w:tab w:val="left" w:pos="1134"/>
          <w:tab w:val="left" w:pos="1701"/>
          <w:tab w:val="left" w:pos="2268"/>
          <w:tab w:val="left" w:pos="2835"/>
        </w:tabs>
        <w:rPr>
          <w:lang w:val="fr-FR"/>
        </w:rPr>
      </w:pPr>
      <w:r>
        <w:rPr>
          <w:lang w:val="fr-FR"/>
        </w:rPr>
        <w:t>66</w:t>
      </w:r>
      <w:r w:rsidR="002A6CEC">
        <w:rPr>
          <w:lang w:val="fr-FR"/>
        </w:rPr>
        <w:t>2</w:t>
      </w:r>
      <w:r>
        <w:rPr>
          <w:lang w:val="fr-FR"/>
        </w:rPr>
        <w:t>.</w:t>
      </w:r>
      <w:r>
        <w:rPr>
          <w:lang w:val="fr-FR"/>
        </w:rPr>
        <w:tab/>
        <w:t>L’information judiciaire a permis de conclure que M. Turner est mort au Centre de détention provisoire d’Adélaïde le 9 février 2004 des suites d’u</w:t>
      </w:r>
      <w:r w:rsidR="00CA7DCA">
        <w:rPr>
          <w:lang w:val="fr-FR"/>
        </w:rPr>
        <w:t>ne compression du cou due à une </w:t>
      </w:r>
      <w:r>
        <w:rPr>
          <w:lang w:val="fr-FR"/>
        </w:rPr>
        <w:t>pendaison.</w:t>
      </w:r>
    </w:p>
    <w:p w:rsidR="00DB5BE2" w:rsidRDefault="00DB5BE2" w:rsidP="005D7B68">
      <w:pPr>
        <w:tabs>
          <w:tab w:val="left" w:pos="567"/>
          <w:tab w:val="left" w:pos="1134"/>
          <w:tab w:val="left" w:pos="1701"/>
          <w:tab w:val="left" w:pos="2268"/>
          <w:tab w:val="left" w:pos="2835"/>
        </w:tabs>
        <w:rPr>
          <w:lang w:val="fr-FR"/>
        </w:rPr>
      </w:pPr>
      <w:r>
        <w:rPr>
          <w:lang w:val="fr-FR"/>
        </w:rPr>
        <w:t>66</w:t>
      </w:r>
      <w:r w:rsidR="002A6CEC">
        <w:rPr>
          <w:lang w:val="fr-FR"/>
        </w:rPr>
        <w:t>3</w:t>
      </w:r>
      <w:r>
        <w:rPr>
          <w:lang w:val="fr-FR"/>
        </w:rPr>
        <w:t>.</w:t>
      </w:r>
      <w:r>
        <w:rPr>
          <w:lang w:val="fr-FR"/>
        </w:rPr>
        <w:tab/>
        <w:t>L’information judiciaire a permis de conclure que M. Glennie est mort au Centre de détention provisoire d’Adélaïde le 27 septembre 2004 des suites d’une compression du cou due à une pendaison.</w:t>
      </w:r>
    </w:p>
    <w:p w:rsidR="003D232D" w:rsidRDefault="00DB5BE2" w:rsidP="005D7B68">
      <w:pPr>
        <w:tabs>
          <w:tab w:val="left" w:pos="567"/>
          <w:tab w:val="left" w:pos="1134"/>
          <w:tab w:val="left" w:pos="1701"/>
          <w:tab w:val="left" w:pos="2268"/>
          <w:tab w:val="left" w:pos="2835"/>
        </w:tabs>
        <w:rPr>
          <w:lang w:val="fr-FR"/>
        </w:rPr>
      </w:pPr>
      <w:r>
        <w:rPr>
          <w:lang w:val="fr-FR"/>
        </w:rPr>
        <w:t>66</w:t>
      </w:r>
      <w:r w:rsidR="002A6CEC">
        <w:rPr>
          <w:lang w:val="fr-FR"/>
        </w:rPr>
        <w:t>4</w:t>
      </w:r>
      <w:r>
        <w:rPr>
          <w:lang w:val="fr-FR"/>
        </w:rPr>
        <w:t>.</w:t>
      </w:r>
      <w:r>
        <w:rPr>
          <w:lang w:val="fr-FR"/>
        </w:rPr>
        <w:tab/>
      </w:r>
      <w:r w:rsidR="003D232D">
        <w:rPr>
          <w:lang w:val="fr-FR"/>
        </w:rPr>
        <w:t xml:space="preserve">Les recommandations du </w:t>
      </w:r>
      <w:r w:rsidR="003D232D">
        <w:rPr>
          <w:i/>
          <w:iCs/>
          <w:lang w:val="fr-FR"/>
        </w:rPr>
        <w:t>Coroner</w:t>
      </w:r>
      <w:r w:rsidR="003D232D">
        <w:rPr>
          <w:lang w:val="fr-FR"/>
        </w:rPr>
        <w:t xml:space="preserve"> et les mesures prises par le Département sont les suivantes</w:t>
      </w:r>
      <w:r w:rsidR="00572260">
        <w:rPr>
          <w:lang w:val="fr-FR"/>
        </w:rPr>
        <w:t>:</w:t>
      </w:r>
    </w:p>
    <w:p w:rsidR="00B819A8" w:rsidRDefault="003D232D" w:rsidP="005D7B68">
      <w:pPr>
        <w:tabs>
          <w:tab w:val="left" w:pos="567"/>
          <w:tab w:val="left" w:pos="1134"/>
          <w:tab w:val="left" w:pos="1701"/>
          <w:tab w:val="left" w:pos="2268"/>
          <w:tab w:val="left" w:pos="2835"/>
        </w:tabs>
        <w:rPr>
          <w:lang w:val="fr-FR"/>
        </w:rPr>
      </w:pPr>
      <w:r>
        <w:rPr>
          <w:lang w:val="fr-FR"/>
        </w:rPr>
        <w:tab/>
        <w:t>a)</w:t>
      </w:r>
      <w:r>
        <w:rPr>
          <w:lang w:val="fr-FR"/>
        </w:rPr>
        <w:tab/>
        <w:t xml:space="preserve">Recommandation 1 – </w:t>
      </w:r>
      <w:r w:rsidR="00622997">
        <w:rPr>
          <w:lang w:val="fr-FR"/>
        </w:rPr>
        <w:t>Que, à supposer</w:t>
      </w:r>
      <w:r>
        <w:rPr>
          <w:lang w:val="fr-FR"/>
        </w:rPr>
        <w:t xml:space="preserve"> que</w:t>
      </w:r>
      <w:r w:rsidR="00B211B3">
        <w:rPr>
          <w:lang w:val="fr-FR"/>
        </w:rPr>
        <w:t xml:space="preserve"> le gouvernement n’ait pas l’intention</w:t>
      </w:r>
      <w:r w:rsidR="00B819A8">
        <w:rPr>
          <w:lang w:val="fr-FR"/>
        </w:rPr>
        <w:t xml:space="preserve">, dans un proche avenir, d’allouer des fonds à l’amélioration des cellules dans les prisons pour se mettre en conformité avec le principe des </w:t>
      </w:r>
      <w:r w:rsidR="00A619D6">
        <w:rPr>
          <w:lang w:val="fr-FR"/>
        </w:rPr>
        <w:t>«</w:t>
      </w:r>
      <w:r w:rsidR="00B3070D">
        <w:rPr>
          <w:lang w:val="fr-FR"/>
        </w:rPr>
        <w:t>cellules sûres</w:t>
      </w:r>
      <w:r w:rsidR="00A619D6">
        <w:rPr>
          <w:lang w:val="fr-FR"/>
        </w:rPr>
        <w:t>»</w:t>
      </w:r>
      <w:r w:rsidR="00B3070D">
        <w:rPr>
          <w:lang w:val="fr-FR"/>
        </w:rPr>
        <w:t>, le Ministre</w:t>
      </w:r>
      <w:r w:rsidR="00B819A8">
        <w:rPr>
          <w:lang w:val="fr-FR"/>
        </w:rPr>
        <w:t xml:space="preserve"> de</w:t>
      </w:r>
      <w:r w:rsidR="00B3070D">
        <w:rPr>
          <w:lang w:val="fr-FR"/>
        </w:rPr>
        <w:t>s</w:t>
      </w:r>
      <w:r w:rsidR="00B819A8">
        <w:rPr>
          <w:lang w:val="fr-FR"/>
        </w:rPr>
        <w:t xml:space="preserve"> services pénitentiaires cherche un financement permettant de transformer une partie des établissements concernés de manière à doter chaque établissement carcéral d’une unité chargée de pourvoir aux </w:t>
      </w:r>
      <w:r w:rsidR="00A619D6">
        <w:rPr>
          <w:lang w:val="fr-FR"/>
        </w:rPr>
        <w:t>«</w:t>
      </w:r>
      <w:r w:rsidR="00B819A8">
        <w:rPr>
          <w:lang w:val="fr-FR"/>
        </w:rPr>
        <w:t>besoins spéciaux</w:t>
      </w:r>
      <w:r w:rsidR="00A619D6">
        <w:rPr>
          <w:lang w:val="fr-FR"/>
        </w:rPr>
        <w:t>»</w:t>
      </w:r>
      <w:r w:rsidR="00B819A8">
        <w:rPr>
          <w:lang w:val="fr-FR"/>
        </w:rPr>
        <w:t xml:space="preserve"> en toute sécurité et avec humanité pour pouvoir y loger les détenus dont l’état de santé n</w:t>
      </w:r>
      <w:r w:rsidR="00CA7DCA">
        <w:rPr>
          <w:lang w:val="fr-FR"/>
        </w:rPr>
        <w:t>écessite ce genre de traitement;</w:t>
      </w:r>
    </w:p>
    <w:p w:rsidR="00B4438B" w:rsidRDefault="008D5548"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B819A8">
        <w:rPr>
          <w:lang w:val="fr-FR"/>
        </w:rPr>
        <w:t>i)</w:t>
      </w:r>
      <w:r w:rsidR="00B819A8">
        <w:rPr>
          <w:lang w:val="fr-FR"/>
        </w:rPr>
        <w:tab/>
        <w:t xml:space="preserve">Le Département ne dispose pas d’unités chargées de pourvoir aux </w:t>
      </w:r>
      <w:r w:rsidR="00A619D6">
        <w:rPr>
          <w:lang w:val="fr-FR"/>
        </w:rPr>
        <w:t>«</w:t>
      </w:r>
      <w:r w:rsidR="00B819A8">
        <w:rPr>
          <w:lang w:val="fr-FR"/>
        </w:rPr>
        <w:t>besoins spéciaux</w:t>
      </w:r>
      <w:r w:rsidR="00A619D6">
        <w:rPr>
          <w:lang w:val="fr-FR"/>
        </w:rPr>
        <w:t>»</w:t>
      </w:r>
      <w:r w:rsidR="00B819A8">
        <w:rPr>
          <w:lang w:val="fr-FR"/>
        </w:rPr>
        <w:t xml:space="preserve"> ainsi qu’il est recommandé dans le rapport du </w:t>
      </w:r>
      <w:r w:rsidR="00B819A8">
        <w:rPr>
          <w:i/>
          <w:iCs/>
          <w:lang w:val="fr-FR"/>
        </w:rPr>
        <w:t>Coroner</w:t>
      </w:r>
      <w:r w:rsidR="008D6B80">
        <w:rPr>
          <w:lang w:val="fr-FR"/>
        </w:rPr>
        <w:t xml:space="preserve">. </w:t>
      </w:r>
      <w:r w:rsidR="00B819A8">
        <w:rPr>
          <w:lang w:val="fr-FR"/>
        </w:rPr>
        <w:t xml:space="preserve">Les détenus considérés comme étant </w:t>
      </w:r>
      <w:r w:rsidR="00A619D6">
        <w:rPr>
          <w:lang w:val="fr-FR"/>
        </w:rPr>
        <w:t>«</w:t>
      </w:r>
      <w:r w:rsidR="00B819A8">
        <w:rPr>
          <w:lang w:val="fr-FR"/>
        </w:rPr>
        <w:t>à risque</w:t>
      </w:r>
      <w:r w:rsidR="00A619D6">
        <w:rPr>
          <w:lang w:val="fr-FR"/>
        </w:rPr>
        <w:t>»</w:t>
      </w:r>
      <w:r w:rsidR="00B819A8">
        <w:rPr>
          <w:lang w:val="fr-FR"/>
        </w:rPr>
        <w:t xml:space="preserve"> et susceptibles de commettre des actes d’automutilation ou d’autodestruction peuvent être placés soit dans des unités de traitement spécial, soit dans l’infirmerie de la prison</w:t>
      </w:r>
      <w:r w:rsidR="008D6B80">
        <w:rPr>
          <w:lang w:val="fr-FR"/>
        </w:rPr>
        <w:t xml:space="preserve">. </w:t>
      </w:r>
      <w:r w:rsidR="00B4438B">
        <w:rPr>
          <w:lang w:val="fr-FR"/>
        </w:rPr>
        <w:t>Dans ces unités, les détenus sont en sécurité jusqu’à ce qu’ils fassent l’objet d’une évaluation ou d’un traitement médical, ou les deux, selon le cas, avant d’être renvoyés au sein de la</w:t>
      </w:r>
      <w:r w:rsidR="00150547">
        <w:rPr>
          <w:lang w:val="fr-FR"/>
        </w:rPr>
        <w:t xml:space="preserve"> population carcérale ordinaire;</w:t>
      </w:r>
    </w:p>
    <w:p w:rsidR="005A1499" w:rsidRDefault="00AE4807" w:rsidP="005D7B68">
      <w:pPr>
        <w:tabs>
          <w:tab w:val="left" w:pos="567"/>
          <w:tab w:val="left" w:pos="1134"/>
          <w:tab w:val="left" w:pos="1701"/>
          <w:tab w:val="left" w:pos="2268"/>
          <w:tab w:val="left" w:pos="2835"/>
        </w:tabs>
        <w:ind w:left="1701" w:hanging="1701"/>
        <w:rPr>
          <w:lang w:val="fr-FR"/>
        </w:rPr>
      </w:pPr>
      <w:r>
        <w:rPr>
          <w:lang w:val="fr-FR"/>
        </w:rPr>
        <w:tab/>
      </w:r>
      <w:r>
        <w:rPr>
          <w:lang w:val="fr-FR"/>
        </w:rPr>
        <w:tab/>
      </w:r>
      <w:r w:rsidR="00B4438B">
        <w:rPr>
          <w:lang w:val="fr-FR"/>
        </w:rPr>
        <w:t>ii)</w:t>
      </w:r>
      <w:r w:rsidR="00B4438B">
        <w:rPr>
          <w:lang w:val="fr-FR"/>
        </w:rPr>
        <w:tab/>
        <w:t xml:space="preserve">Á la suite du décès </w:t>
      </w:r>
      <w:r w:rsidR="005A1499">
        <w:rPr>
          <w:lang w:val="fr-FR"/>
        </w:rPr>
        <w:t xml:space="preserve">de </w:t>
      </w:r>
      <w:r w:rsidR="00B4438B">
        <w:rPr>
          <w:lang w:val="fr-FR"/>
        </w:rPr>
        <w:t>M. Turner et de M. Glennie, des modifications et des améliorations ont été apportées au système de traitement</w:t>
      </w:r>
      <w:r w:rsidR="005A1499">
        <w:rPr>
          <w:lang w:val="fr-FR"/>
        </w:rPr>
        <w:t xml:space="preserve"> des détenus susceptib</w:t>
      </w:r>
      <w:r>
        <w:rPr>
          <w:lang w:val="fr-FR"/>
        </w:rPr>
        <w:t>les d’être victimes d’auto</w:t>
      </w:r>
      <w:r>
        <w:rPr>
          <w:lang w:val="fr-FR"/>
        </w:rPr>
        <w:noBreakHyphen/>
      </w:r>
      <w:r w:rsidR="005134BE">
        <w:rPr>
          <w:lang w:val="fr-FR"/>
        </w:rPr>
        <w:t>agressivité</w:t>
      </w:r>
      <w:r w:rsidR="005A1499">
        <w:rPr>
          <w:lang w:val="fr-FR"/>
        </w:rPr>
        <w:t xml:space="preserve"> pour faire en sorte que les détenus dont l’état, selon le personnel médical, nécessite un bilan quotidien, puissent être facilement repérés sans risquer de passer inaper</w:t>
      </w:r>
      <w:r w:rsidR="00150547">
        <w:rPr>
          <w:lang w:val="fr-FR"/>
        </w:rPr>
        <w:t>çus;</w:t>
      </w:r>
    </w:p>
    <w:p w:rsidR="00DA4501" w:rsidRDefault="00AE4807" w:rsidP="005D7B68">
      <w:pPr>
        <w:tabs>
          <w:tab w:val="left" w:pos="567"/>
          <w:tab w:val="left" w:pos="1134"/>
          <w:tab w:val="left" w:pos="1701"/>
          <w:tab w:val="left" w:pos="2268"/>
          <w:tab w:val="left" w:pos="2835"/>
        </w:tabs>
        <w:ind w:left="1701" w:hanging="1701"/>
        <w:rPr>
          <w:lang w:val="fr-FR"/>
        </w:rPr>
      </w:pPr>
      <w:r>
        <w:rPr>
          <w:lang w:val="fr-FR"/>
        </w:rPr>
        <w:tab/>
      </w:r>
      <w:r>
        <w:rPr>
          <w:lang w:val="fr-FR"/>
        </w:rPr>
        <w:tab/>
        <w:t>iii)</w:t>
      </w:r>
      <w:r>
        <w:rPr>
          <w:lang w:val="fr-FR"/>
        </w:rPr>
        <w:tab/>
      </w:r>
      <w:r w:rsidR="005A1499">
        <w:rPr>
          <w:lang w:val="fr-FR"/>
        </w:rPr>
        <w:t>En particulier, les formulaires de notification concernant les risque</w:t>
      </w:r>
      <w:r>
        <w:rPr>
          <w:lang w:val="fr-FR"/>
        </w:rPr>
        <w:t>s d’auto</w:t>
      </w:r>
      <w:r>
        <w:rPr>
          <w:lang w:val="fr-FR"/>
        </w:rPr>
        <w:noBreakHyphen/>
      </w:r>
      <w:r w:rsidR="00787214">
        <w:rPr>
          <w:lang w:val="fr-FR"/>
        </w:rPr>
        <w:t>agressivité</w:t>
      </w:r>
      <w:r w:rsidR="005A1499">
        <w:rPr>
          <w:lang w:val="fr-FR"/>
        </w:rPr>
        <w:t xml:space="preserve"> ont été remplacés par un système amélioré qui a permis de résoudre le problème de la notification par le personnel </w:t>
      </w:r>
      <w:r w:rsidR="00DA4501">
        <w:rPr>
          <w:lang w:val="fr-FR"/>
        </w:rPr>
        <w:t xml:space="preserve">des cas justifiant le statut </w:t>
      </w:r>
      <w:r w:rsidR="00A619D6">
        <w:rPr>
          <w:lang w:val="fr-FR"/>
        </w:rPr>
        <w:t>«</w:t>
      </w:r>
      <w:r w:rsidR="00DA4501">
        <w:rPr>
          <w:lang w:val="fr-FR"/>
        </w:rPr>
        <w:t>à haut risque</w:t>
      </w:r>
      <w:r w:rsidR="00A619D6">
        <w:rPr>
          <w:lang w:val="fr-FR"/>
        </w:rPr>
        <w:t>»</w:t>
      </w:r>
      <w:r w:rsidR="008D6B80">
        <w:rPr>
          <w:lang w:val="fr-FR"/>
        </w:rPr>
        <w:t xml:space="preserve">. </w:t>
      </w:r>
      <w:r w:rsidR="00DA4501">
        <w:rPr>
          <w:lang w:val="fr-FR"/>
        </w:rPr>
        <w:t xml:space="preserve">Il existe maintenant une procédure officielle dans chaque établissement pour procéder à l’évaluation, au suivi et à la mise en œuvre des stratégies de traitement des détenus </w:t>
      </w:r>
      <w:r w:rsidR="00A619D6">
        <w:rPr>
          <w:lang w:val="fr-FR"/>
        </w:rPr>
        <w:t>«</w:t>
      </w:r>
      <w:r w:rsidR="00DA4501">
        <w:rPr>
          <w:lang w:val="fr-FR"/>
        </w:rPr>
        <w:t>à risque</w:t>
      </w:r>
      <w:r w:rsidR="00A619D6">
        <w:rPr>
          <w:lang w:val="fr-FR"/>
        </w:rPr>
        <w:t>»</w:t>
      </w:r>
      <w:r w:rsidR="008D6B80">
        <w:rPr>
          <w:lang w:val="fr-FR"/>
        </w:rPr>
        <w:t xml:space="preserve">. </w:t>
      </w:r>
      <w:r w:rsidR="00DA4501">
        <w:rPr>
          <w:lang w:val="fr-FR"/>
        </w:rPr>
        <w:t>L’échange rapide d’informations à caractère médical et carcéral en fait partie, ainsi que le système de l’étiquette jaune et les équipes</w:t>
      </w:r>
      <w:r w:rsidR="00150547">
        <w:rPr>
          <w:lang w:val="fr-FR"/>
        </w:rPr>
        <w:t xml:space="preserve"> d’évaluation des hauts risques;</w:t>
      </w:r>
    </w:p>
    <w:p w:rsidR="00DA4501" w:rsidRDefault="00AE4807" w:rsidP="005D7B68">
      <w:pPr>
        <w:tabs>
          <w:tab w:val="left" w:pos="567"/>
          <w:tab w:val="left" w:pos="1134"/>
          <w:tab w:val="left" w:pos="1701"/>
          <w:tab w:val="left" w:pos="2268"/>
          <w:tab w:val="left" w:pos="2835"/>
        </w:tabs>
        <w:ind w:left="1701" w:hanging="1701"/>
        <w:rPr>
          <w:lang w:val="fr-FR"/>
        </w:rPr>
      </w:pPr>
      <w:r>
        <w:rPr>
          <w:lang w:val="fr-FR"/>
        </w:rPr>
        <w:tab/>
      </w:r>
      <w:r>
        <w:rPr>
          <w:lang w:val="fr-FR"/>
        </w:rPr>
        <w:tab/>
        <w:t>iv)</w:t>
      </w:r>
      <w:r>
        <w:rPr>
          <w:lang w:val="fr-FR"/>
        </w:rPr>
        <w:tab/>
      </w:r>
      <w:r w:rsidR="00B3070D">
        <w:rPr>
          <w:lang w:val="fr-FR"/>
        </w:rPr>
        <w:t>En outre, tout détenu apparten</w:t>
      </w:r>
      <w:r w:rsidR="000A317E">
        <w:rPr>
          <w:lang w:val="fr-FR"/>
        </w:rPr>
        <w:t>ant à cette catégorie n’est</w:t>
      </w:r>
      <w:r w:rsidR="00B3070D">
        <w:rPr>
          <w:lang w:val="fr-FR"/>
        </w:rPr>
        <w:t xml:space="preserve"> pas laissé seul dans sa cellule, mais est placé</w:t>
      </w:r>
      <w:r w:rsidR="00DA4501">
        <w:rPr>
          <w:lang w:val="fr-FR"/>
        </w:rPr>
        <w:t xml:space="preserve"> avec un autre détenu ou dans l’infirmerie à titre temporaire</w:t>
      </w:r>
      <w:r w:rsidR="00150547">
        <w:rPr>
          <w:lang w:val="fr-FR"/>
        </w:rPr>
        <w:t>;</w:t>
      </w:r>
    </w:p>
    <w:p w:rsidR="00517188" w:rsidRPr="00517188" w:rsidRDefault="00150547" w:rsidP="005D7B68">
      <w:pPr>
        <w:tabs>
          <w:tab w:val="left" w:pos="567"/>
          <w:tab w:val="left" w:pos="1134"/>
          <w:tab w:val="left" w:pos="1701"/>
          <w:tab w:val="left" w:pos="2268"/>
          <w:tab w:val="left" w:pos="2835"/>
        </w:tabs>
        <w:ind w:left="1701" w:hanging="1701"/>
        <w:rPr>
          <w:lang w:val="fr-FR"/>
        </w:rPr>
      </w:pPr>
      <w:r>
        <w:rPr>
          <w:lang w:val="fr-FR"/>
        </w:rPr>
        <w:tab/>
      </w:r>
      <w:r>
        <w:rPr>
          <w:lang w:val="fr-FR"/>
        </w:rPr>
        <w:tab/>
        <w:t>v)</w:t>
      </w:r>
      <w:r>
        <w:rPr>
          <w:lang w:val="fr-FR"/>
        </w:rPr>
        <w:tab/>
      </w:r>
      <w:r w:rsidR="00DA4501">
        <w:rPr>
          <w:lang w:val="fr-FR"/>
        </w:rPr>
        <w:t>On peut donc considérer qu’il a été donné suite correctement à cette recommandation</w:t>
      </w:r>
      <w:r w:rsidR="00517188">
        <w:rPr>
          <w:lang w:val="fr-FR"/>
        </w:rPr>
        <w:t xml:space="preserve"> dans la pratique des activités du Département, mais il sera possible de faire encore mieux dans le cadre du projet de nouvelles prisons qui permettra probablement de mettre en place des unités chargées des besoins spéciaux, conformément aux recommandation du </w:t>
      </w:r>
      <w:r w:rsidR="00517188">
        <w:rPr>
          <w:i/>
          <w:lang w:val="fr-FR"/>
        </w:rPr>
        <w:t>Coroner</w:t>
      </w:r>
      <w:r>
        <w:rPr>
          <w:iCs/>
          <w:lang w:val="fr-FR"/>
        </w:rPr>
        <w:t>;</w:t>
      </w:r>
    </w:p>
    <w:p w:rsidR="00B77D4A" w:rsidRDefault="003B7BC1" w:rsidP="005D7B68">
      <w:pPr>
        <w:tabs>
          <w:tab w:val="left" w:pos="567"/>
          <w:tab w:val="left" w:pos="1134"/>
          <w:tab w:val="left" w:pos="1701"/>
          <w:tab w:val="left" w:pos="2268"/>
          <w:tab w:val="left" w:pos="2835"/>
        </w:tabs>
        <w:rPr>
          <w:iCs/>
          <w:lang w:val="fr-FR"/>
        </w:rPr>
      </w:pPr>
      <w:r>
        <w:rPr>
          <w:iCs/>
          <w:lang w:val="fr-FR"/>
        </w:rPr>
        <w:tab/>
        <w:t>b</w:t>
      </w:r>
      <w:r w:rsidR="00B77D4A">
        <w:rPr>
          <w:iCs/>
          <w:lang w:val="fr-FR"/>
        </w:rPr>
        <w:t>)</w:t>
      </w:r>
      <w:r w:rsidR="00B77D4A">
        <w:rPr>
          <w:iCs/>
          <w:lang w:val="fr-FR"/>
        </w:rPr>
        <w:tab/>
        <w:t>Recommandation 2 – Que tous les fonctionnaires des services pénitentiaires en contact avec les détenus dans les prisons d’</w:t>
      </w:r>
      <w:r w:rsidR="008E1139">
        <w:rPr>
          <w:iCs/>
          <w:lang w:val="fr-FR"/>
        </w:rPr>
        <w:t>Australie méridionale</w:t>
      </w:r>
      <w:r w:rsidR="00B77D4A">
        <w:rPr>
          <w:iCs/>
          <w:lang w:val="fr-FR"/>
        </w:rPr>
        <w:t xml:space="preserve"> et du Centre de détention provisoire d’Adélaïde soient dotés d’un couteau Hoffman et le tiennent prêt à un usage immédiat s’ils travaillent a</w:t>
      </w:r>
      <w:r w:rsidR="00CA7DCA">
        <w:rPr>
          <w:iCs/>
          <w:lang w:val="fr-FR"/>
        </w:rPr>
        <w:t>uprès des détenus;</w:t>
      </w:r>
    </w:p>
    <w:p w:rsidR="0078621E" w:rsidRDefault="00150547" w:rsidP="005D7B68">
      <w:pPr>
        <w:tabs>
          <w:tab w:val="left" w:pos="567"/>
          <w:tab w:val="left" w:pos="1134"/>
          <w:tab w:val="left" w:pos="1701"/>
          <w:tab w:val="left" w:pos="2268"/>
          <w:tab w:val="left" w:pos="2835"/>
        </w:tabs>
        <w:ind w:left="1701" w:hanging="1701"/>
        <w:rPr>
          <w:iCs/>
          <w:lang w:val="fr-FR"/>
        </w:rPr>
      </w:pPr>
      <w:r>
        <w:rPr>
          <w:iCs/>
          <w:lang w:val="fr-FR"/>
        </w:rPr>
        <w:tab/>
      </w:r>
      <w:r>
        <w:rPr>
          <w:iCs/>
          <w:lang w:val="fr-FR"/>
        </w:rPr>
        <w:tab/>
        <w:t>i)</w:t>
      </w:r>
      <w:r>
        <w:rPr>
          <w:iCs/>
          <w:lang w:val="fr-FR"/>
        </w:rPr>
        <w:tab/>
      </w:r>
      <w:r w:rsidR="00B77D4A">
        <w:rPr>
          <w:iCs/>
          <w:lang w:val="fr-FR"/>
        </w:rPr>
        <w:t>Il est très important</w:t>
      </w:r>
      <w:r w:rsidR="00572260">
        <w:rPr>
          <w:iCs/>
          <w:lang w:val="fr-FR"/>
        </w:rPr>
        <w:t xml:space="preserve"> </w:t>
      </w:r>
      <w:r w:rsidR="00B77D4A">
        <w:rPr>
          <w:iCs/>
          <w:lang w:val="fr-FR"/>
        </w:rPr>
        <w:t xml:space="preserve">pour </w:t>
      </w:r>
      <w:r w:rsidR="0078621E">
        <w:rPr>
          <w:iCs/>
          <w:lang w:val="fr-FR"/>
        </w:rPr>
        <w:t>la sécurité de tous les détenus et des membres du personnel que les détenus ne puissent pas avoir des armes en main</w:t>
      </w:r>
      <w:r w:rsidR="008D6B80">
        <w:rPr>
          <w:iCs/>
          <w:lang w:val="fr-FR"/>
        </w:rPr>
        <w:t xml:space="preserve">. </w:t>
      </w:r>
      <w:r w:rsidR="0078621E">
        <w:rPr>
          <w:iCs/>
          <w:lang w:val="fr-FR"/>
        </w:rPr>
        <w:t>Les membres du personnel ayant sur eux des objets pouvant servir d’armes donnent</w:t>
      </w:r>
      <w:r w:rsidR="00B77D4A">
        <w:rPr>
          <w:iCs/>
          <w:lang w:val="fr-FR"/>
        </w:rPr>
        <w:t xml:space="preserve"> </w:t>
      </w:r>
      <w:r w:rsidR="0078621E">
        <w:rPr>
          <w:iCs/>
          <w:lang w:val="fr-FR"/>
        </w:rPr>
        <w:t>aux détenus l’occasion idéale de s’en emparer par la force ou de les voler avant de les utiliser contre des membres d</w:t>
      </w:r>
      <w:r w:rsidR="003B7BC1">
        <w:rPr>
          <w:iCs/>
          <w:lang w:val="fr-FR"/>
        </w:rPr>
        <w:t>u personnel ou d’autres détenus;</w:t>
      </w:r>
    </w:p>
    <w:p w:rsidR="00C00459" w:rsidRDefault="00150547" w:rsidP="005D7B68">
      <w:pPr>
        <w:tabs>
          <w:tab w:val="left" w:pos="567"/>
          <w:tab w:val="left" w:pos="1134"/>
          <w:tab w:val="left" w:pos="1701"/>
          <w:tab w:val="left" w:pos="2268"/>
          <w:tab w:val="left" w:pos="2835"/>
        </w:tabs>
        <w:ind w:left="1701" w:hanging="1701"/>
        <w:rPr>
          <w:iCs/>
          <w:lang w:val="fr-FR"/>
        </w:rPr>
      </w:pPr>
      <w:r>
        <w:rPr>
          <w:iCs/>
          <w:lang w:val="fr-FR"/>
        </w:rPr>
        <w:tab/>
      </w:r>
      <w:r>
        <w:rPr>
          <w:iCs/>
          <w:lang w:val="fr-FR"/>
        </w:rPr>
        <w:tab/>
        <w:t>ii)</w:t>
      </w:r>
      <w:r>
        <w:rPr>
          <w:iCs/>
          <w:lang w:val="fr-FR"/>
        </w:rPr>
        <w:tab/>
      </w:r>
      <w:r w:rsidR="0078621E">
        <w:rPr>
          <w:iCs/>
          <w:lang w:val="fr-FR"/>
        </w:rPr>
        <w:t>C’est la raison pour laquelle le Département, comme beaucoup d’autres</w:t>
      </w:r>
      <w:r w:rsidR="00C00459">
        <w:rPr>
          <w:iCs/>
          <w:lang w:val="fr-FR"/>
        </w:rPr>
        <w:t xml:space="preserve"> instances pénitentiaires, n’autorise pas les armes dans un milieu carcéral</w:t>
      </w:r>
      <w:r w:rsidR="003B7BC1">
        <w:rPr>
          <w:iCs/>
          <w:lang w:val="fr-FR"/>
        </w:rPr>
        <w:t>;</w:t>
      </w:r>
    </w:p>
    <w:p w:rsidR="00C00459" w:rsidRDefault="003B7BC1" w:rsidP="005D7B68">
      <w:pPr>
        <w:tabs>
          <w:tab w:val="left" w:pos="567"/>
          <w:tab w:val="left" w:pos="1134"/>
          <w:tab w:val="left" w:pos="1701"/>
          <w:tab w:val="left" w:pos="2268"/>
          <w:tab w:val="left" w:pos="2835"/>
        </w:tabs>
        <w:ind w:left="1701" w:hanging="1701"/>
        <w:rPr>
          <w:lang w:val="fr-FR"/>
        </w:rPr>
      </w:pPr>
      <w:r>
        <w:rPr>
          <w:iCs/>
          <w:lang w:val="fr-FR"/>
        </w:rPr>
        <w:tab/>
      </w:r>
      <w:r>
        <w:rPr>
          <w:iCs/>
          <w:lang w:val="fr-FR"/>
        </w:rPr>
        <w:tab/>
        <w:t>iii)</w:t>
      </w:r>
      <w:r>
        <w:rPr>
          <w:iCs/>
          <w:lang w:val="fr-FR"/>
        </w:rPr>
        <w:tab/>
      </w:r>
      <w:r w:rsidR="00C00459">
        <w:rPr>
          <w:iCs/>
          <w:lang w:val="fr-FR"/>
        </w:rPr>
        <w:t>Si cette politique était étendue et que des couteaux soient distribués à tous les fonctionnaires, comme l’a recommandé le</w:t>
      </w:r>
      <w:r w:rsidR="00DA4501">
        <w:rPr>
          <w:lang w:val="fr-FR"/>
        </w:rPr>
        <w:t xml:space="preserve"> </w:t>
      </w:r>
      <w:r w:rsidR="00C00459">
        <w:rPr>
          <w:i/>
          <w:iCs/>
          <w:lang w:val="fr-FR"/>
        </w:rPr>
        <w:t>Coroner</w:t>
      </w:r>
      <w:r w:rsidR="00C00459">
        <w:rPr>
          <w:lang w:val="fr-FR"/>
        </w:rPr>
        <w:t>, il serait très difficile d’assurer la sécurité des prisons</w:t>
      </w:r>
      <w:r w:rsidR="008D6B80">
        <w:rPr>
          <w:lang w:val="fr-FR"/>
        </w:rPr>
        <w:t xml:space="preserve">. </w:t>
      </w:r>
      <w:r w:rsidR="00C00459">
        <w:rPr>
          <w:lang w:val="fr-FR"/>
        </w:rPr>
        <w:t>Les couteaux pourraient être égarés ou volés, et le fait que les détenus les aient entre les mains ferait courir un danger encore plus g</w:t>
      </w:r>
      <w:r>
        <w:rPr>
          <w:lang w:val="fr-FR"/>
        </w:rPr>
        <w:t>rand aux détenus et au personnel;</w:t>
      </w:r>
    </w:p>
    <w:p w:rsidR="00C00459" w:rsidRDefault="003B7BC1" w:rsidP="005D7B68">
      <w:pPr>
        <w:tabs>
          <w:tab w:val="left" w:pos="567"/>
          <w:tab w:val="left" w:pos="1134"/>
          <w:tab w:val="left" w:pos="1701"/>
          <w:tab w:val="left" w:pos="2268"/>
          <w:tab w:val="left" w:pos="2835"/>
        </w:tabs>
        <w:ind w:left="1701" w:hanging="1701"/>
        <w:rPr>
          <w:lang w:val="fr-FR"/>
        </w:rPr>
      </w:pPr>
      <w:r>
        <w:rPr>
          <w:lang w:val="fr-FR"/>
        </w:rPr>
        <w:tab/>
      </w:r>
      <w:r>
        <w:rPr>
          <w:lang w:val="fr-FR"/>
        </w:rPr>
        <w:tab/>
        <w:t>iv)</w:t>
      </w:r>
      <w:r>
        <w:rPr>
          <w:lang w:val="fr-FR"/>
        </w:rPr>
        <w:tab/>
      </w:r>
      <w:r w:rsidR="00C00459">
        <w:rPr>
          <w:lang w:val="fr-FR"/>
        </w:rPr>
        <w:t xml:space="preserve">Les circonstances étant ce qu’elles sont, le Département n’a pas l’intention de donner suite à cette recommandation du </w:t>
      </w:r>
      <w:r w:rsidR="00C00459">
        <w:rPr>
          <w:i/>
          <w:iCs/>
          <w:lang w:val="fr-FR"/>
        </w:rPr>
        <w:t>Coroner</w:t>
      </w:r>
      <w:r>
        <w:rPr>
          <w:lang w:val="fr-FR"/>
        </w:rPr>
        <w:t>;</w:t>
      </w:r>
    </w:p>
    <w:p w:rsidR="00DB5BE2" w:rsidRPr="00DB5BE2" w:rsidRDefault="003B7BC1" w:rsidP="005D7B68">
      <w:pPr>
        <w:tabs>
          <w:tab w:val="left" w:pos="567"/>
          <w:tab w:val="left" w:pos="1134"/>
          <w:tab w:val="left" w:pos="1701"/>
          <w:tab w:val="left" w:pos="2268"/>
          <w:tab w:val="left" w:pos="2835"/>
        </w:tabs>
        <w:ind w:left="1701" w:hanging="1701"/>
        <w:rPr>
          <w:lang w:val="fr-FR"/>
        </w:rPr>
      </w:pPr>
      <w:r>
        <w:rPr>
          <w:lang w:val="fr-FR"/>
        </w:rPr>
        <w:tab/>
      </w:r>
      <w:r>
        <w:rPr>
          <w:lang w:val="fr-FR"/>
        </w:rPr>
        <w:tab/>
        <w:t>v)</w:t>
      </w:r>
      <w:r>
        <w:rPr>
          <w:lang w:val="fr-FR"/>
        </w:rPr>
        <w:tab/>
      </w:r>
      <w:r w:rsidR="00C00459">
        <w:rPr>
          <w:lang w:val="fr-FR"/>
        </w:rPr>
        <w:t>Néanmoins, le Département reconnaît qu’il convient de trouver un juste équilibre entre la sûreté des détenus et la sécurité</w:t>
      </w:r>
      <w:r w:rsidR="008D6B80">
        <w:rPr>
          <w:lang w:val="fr-FR"/>
        </w:rPr>
        <w:t xml:space="preserve">. </w:t>
      </w:r>
      <w:r w:rsidR="00C00459">
        <w:rPr>
          <w:lang w:val="fr-FR"/>
        </w:rPr>
        <w:t>L’utilisation de couteaux Hoffman en prison en cas d’urgence fait donc exception à cette politique générale</w:t>
      </w:r>
      <w:r w:rsidR="008D6B80">
        <w:rPr>
          <w:lang w:val="fr-FR"/>
        </w:rPr>
        <w:t xml:space="preserve">. </w:t>
      </w:r>
      <w:r w:rsidR="00C00459">
        <w:rPr>
          <w:lang w:val="fr-FR"/>
        </w:rPr>
        <w:t>Un seul couteau a été placé dans chaque</w:t>
      </w:r>
      <w:r w:rsidR="00393D7A">
        <w:rPr>
          <w:lang w:val="fr-FR"/>
        </w:rPr>
        <w:t xml:space="preserve"> quartier</w:t>
      </w:r>
      <w:r w:rsidR="00572260">
        <w:rPr>
          <w:lang w:val="fr-FR"/>
        </w:rPr>
        <w:t>;</w:t>
      </w:r>
      <w:r w:rsidR="00393D7A">
        <w:rPr>
          <w:lang w:val="fr-FR"/>
        </w:rPr>
        <w:t xml:space="preserve"> si un membre du personnel ne l’a pas sur lui, il est placé en lieu</w:t>
      </w:r>
      <w:r w:rsidR="00C00459">
        <w:rPr>
          <w:lang w:val="fr-FR"/>
        </w:rPr>
        <w:t xml:space="preserve"> </w:t>
      </w:r>
      <w:r w:rsidR="00393D7A">
        <w:rPr>
          <w:lang w:val="fr-FR"/>
        </w:rPr>
        <w:t>dans le bureau du quartier</w:t>
      </w:r>
      <w:r w:rsidR="008D6B80">
        <w:rPr>
          <w:lang w:val="fr-FR"/>
        </w:rPr>
        <w:t xml:space="preserve">. </w:t>
      </w:r>
      <w:r w:rsidR="00393D7A">
        <w:rPr>
          <w:lang w:val="fr-FR"/>
        </w:rPr>
        <w:t>Ces couteaux sont facilement accessibles au personnel</w:t>
      </w:r>
      <w:r w:rsidR="008D6B80">
        <w:rPr>
          <w:lang w:val="fr-FR"/>
        </w:rPr>
        <w:t xml:space="preserve">. </w:t>
      </w:r>
    </w:p>
    <w:p w:rsidR="00DD484D" w:rsidRDefault="00393D7A" w:rsidP="005D7B68">
      <w:pPr>
        <w:tabs>
          <w:tab w:val="left" w:pos="567"/>
          <w:tab w:val="left" w:pos="1134"/>
          <w:tab w:val="left" w:pos="1701"/>
          <w:tab w:val="left" w:pos="2268"/>
          <w:tab w:val="left" w:pos="2835"/>
        </w:tabs>
        <w:rPr>
          <w:b/>
          <w:bCs/>
          <w:lang w:val="fr-FR"/>
        </w:rPr>
      </w:pPr>
      <w:r w:rsidRPr="00393D7A">
        <w:rPr>
          <w:b/>
          <w:bCs/>
          <w:lang w:val="fr-FR"/>
        </w:rPr>
        <w:t>L.</w:t>
      </w:r>
      <w:r w:rsidR="003B7BC1">
        <w:rPr>
          <w:b/>
          <w:bCs/>
          <w:lang w:val="fr-FR"/>
        </w:rPr>
        <w:t> </w:t>
      </w:r>
      <w:r w:rsidRPr="00393D7A">
        <w:rPr>
          <w:b/>
          <w:bCs/>
          <w:lang w:val="fr-FR"/>
        </w:rPr>
        <w:t>N. Harkin</w:t>
      </w:r>
    </w:p>
    <w:p w:rsidR="00393D7A" w:rsidRDefault="00393D7A" w:rsidP="005D7B68">
      <w:pPr>
        <w:tabs>
          <w:tab w:val="left" w:pos="567"/>
          <w:tab w:val="left" w:pos="1134"/>
          <w:tab w:val="left" w:pos="1701"/>
          <w:tab w:val="left" w:pos="2268"/>
          <w:tab w:val="left" w:pos="2835"/>
        </w:tabs>
        <w:rPr>
          <w:b/>
          <w:bCs/>
          <w:lang w:val="fr-FR"/>
        </w:rPr>
      </w:pPr>
      <w:r>
        <w:rPr>
          <w:b/>
          <w:bCs/>
          <w:lang w:val="fr-FR"/>
        </w:rPr>
        <w:t xml:space="preserve">Décédé pendant sa détention le 230 juin 2003 – Rapport du </w:t>
      </w:r>
      <w:r>
        <w:rPr>
          <w:b/>
          <w:bCs/>
          <w:i/>
          <w:iCs/>
          <w:lang w:val="fr-FR"/>
        </w:rPr>
        <w:t>Coroner</w:t>
      </w:r>
      <w:r w:rsidR="003B7BC1">
        <w:rPr>
          <w:b/>
          <w:bCs/>
          <w:lang w:val="fr-FR"/>
        </w:rPr>
        <w:t xml:space="preserve"> remis le 17 </w:t>
      </w:r>
      <w:r>
        <w:rPr>
          <w:b/>
          <w:bCs/>
          <w:lang w:val="fr-FR"/>
        </w:rPr>
        <w:t>novembr</w:t>
      </w:r>
      <w:r w:rsidR="003B7BC1">
        <w:rPr>
          <w:b/>
          <w:bCs/>
          <w:lang w:val="fr-FR"/>
        </w:rPr>
        <w:t>e </w:t>
      </w:r>
      <w:r>
        <w:rPr>
          <w:b/>
          <w:bCs/>
          <w:lang w:val="fr-FR"/>
        </w:rPr>
        <w:t>2006</w:t>
      </w:r>
    </w:p>
    <w:p w:rsidR="00393D7A" w:rsidRDefault="00393D7A" w:rsidP="005D7B68">
      <w:pPr>
        <w:tabs>
          <w:tab w:val="left" w:pos="567"/>
          <w:tab w:val="left" w:pos="1134"/>
          <w:tab w:val="left" w:pos="1701"/>
          <w:tab w:val="left" w:pos="2268"/>
          <w:tab w:val="left" w:pos="2835"/>
        </w:tabs>
        <w:rPr>
          <w:lang w:val="fr-FR"/>
        </w:rPr>
      </w:pPr>
      <w:r>
        <w:rPr>
          <w:lang w:val="fr-FR"/>
        </w:rPr>
        <w:t>66</w:t>
      </w:r>
      <w:r w:rsidR="002A6CEC">
        <w:rPr>
          <w:lang w:val="fr-FR"/>
        </w:rPr>
        <w:t>5</w:t>
      </w:r>
      <w:r>
        <w:rPr>
          <w:lang w:val="fr-FR"/>
        </w:rPr>
        <w:t>.</w:t>
      </w:r>
      <w:r>
        <w:rPr>
          <w:lang w:val="fr-FR"/>
        </w:rPr>
        <w:tab/>
        <w:t>Le tribunal a jugé que la mort était due à une cardiopathie ischémique</w:t>
      </w:r>
      <w:r w:rsidR="008D6B80">
        <w:rPr>
          <w:lang w:val="fr-FR"/>
        </w:rPr>
        <w:t xml:space="preserve">. </w:t>
      </w:r>
      <w:r>
        <w:rPr>
          <w:lang w:val="fr-FR"/>
        </w:rPr>
        <w:t xml:space="preserve">Selon la conclusion du </w:t>
      </w:r>
      <w:r>
        <w:rPr>
          <w:i/>
          <w:iCs/>
          <w:lang w:val="fr-FR"/>
        </w:rPr>
        <w:t>Coroner</w:t>
      </w:r>
      <w:r>
        <w:rPr>
          <w:lang w:val="fr-FR"/>
        </w:rPr>
        <w:t>, les mesures prises par les fonctionnaires des services pénitentiaires et les ambulanciers pour tenter de ra</w:t>
      </w:r>
      <w:r w:rsidR="002A22D9">
        <w:rPr>
          <w:lang w:val="fr-FR"/>
        </w:rPr>
        <w:t>mener M. Harkin à la vie ont été</w:t>
      </w:r>
      <w:r>
        <w:rPr>
          <w:lang w:val="fr-FR"/>
        </w:rPr>
        <w:t xml:space="preserve"> </w:t>
      </w:r>
      <w:r w:rsidR="00A619D6">
        <w:rPr>
          <w:lang w:val="fr-FR"/>
        </w:rPr>
        <w:t>«</w:t>
      </w:r>
      <w:r>
        <w:rPr>
          <w:lang w:val="fr-FR"/>
        </w:rPr>
        <w:t>dignes d’éloge</w:t>
      </w:r>
      <w:r w:rsidR="00A619D6">
        <w:rPr>
          <w:lang w:val="fr-FR"/>
        </w:rPr>
        <w:t>»</w:t>
      </w:r>
      <w:r>
        <w:rPr>
          <w:lang w:val="fr-FR"/>
        </w:rPr>
        <w:t>.</w:t>
      </w:r>
    </w:p>
    <w:p w:rsidR="007D46EC" w:rsidRDefault="00393D7A" w:rsidP="005D7B68">
      <w:pPr>
        <w:tabs>
          <w:tab w:val="left" w:pos="567"/>
          <w:tab w:val="left" w:pos="1134"/>
          <w:tab w:val="left" w:pos="1701"/>
          <w:tab w:val="left" w:pos="2268"/>
          <w:tab w:val="left" w:pos="2835"/>
        </w:tabs>
        <w:rPr>
          <w:lang w:val="fr-FR"/>
        </w:rPr>
      </w:pPr>
      <w:r>
        <w:rPr>
          <w:lang w:val="fr-FR"/>
        </w:rPr>
        <w:t>66</w:t>
      </w:r>
      <w:r w:rsidR="002A6CEC">
        <w:rPr>
          <w:lang w:val="fr-FR"/>
        </w:rPr>
        <w:t>6</w:t>
      </w:r>
      <w:r>
        <w:rPr>
          <w:lang w:val="fr-FR"/>
        </w:rPr>
        <w:t>.</w:t>
      </w:r>
      <w:r>
        <w:rPr>
          <w:lang w:val="fr-FR"/>
        </w:rPr>
        <w:tab/>
        <w:t xml:space="preserve">Le </w:t>
      </w:r>
      <w:r>
        <w:rPr>
          <w:i/>
          <w:iCs/>
          <w:lang w:val="fr-FR"/>
        </w:rPr>
        <w:t>Coroner</w:t>
      </w:r>
      <w:r>
        <w:rPr>
          <w:lang w:val="fr-FR"/>
        </w:rPr>
        <w:t xml:space="preserve"> a noté que rien ne prouve qu’un transport en fauteuil roulant jusqu’à l’infirmerie</w:t>
      </w:r>
      <w:r w:rsidR="007D46EC">
        <w:rPr>
          <w:lang w:val="fr-FR"/>
        </w:rPr>
        <w:t xml:space="preserve"> aurait permis d’éviter que M. Harkin ne décède, mais il a conclu qu’il serait préférable de transporter ainsi les détenus qui se plaignent de douleurs dans la poitrine</w:t>
      </w:r>
      <w:r w:rsidR="008D6B80">
        <w:rPr>
          <w:lang w:val="fr-FR"/>
        </w:rPr>
        <w:t xml:space="preserve">. </w:t>
      </w:r>
      <w:r w:rsidR="007D46EC">
        <w:rPr>
          <w:lang w:val="fr-FR"/>
        </w:rPr>
        <w:t>Il a recommandé</w:t>
      </w:r>
    </w:p>
    <w:p w:rsidR="007D46EC" w:rsidRDefault="007D46EC" w:rsidP="005D7B68">
      <w:pPr>
        <w:tabs>
          <w:tab w:val="left" w:pos="567"/>
          <w:tab w:val="left" w:pos="1134"/>
          <w:tab w:val="left" w:pos="1701"/>
          <w:tab w:val="left" w:pos="2268"/>
          <w:tab w:val="left" w:pos="2835"/>
        </w:tabs>
        <w:ind w:left="540" w:hanging="540"/>
        <w:rPr>
          <w:lang w:val="fr-FR"/>
        </w:rPr>
      </w:pPr>
      <w:r>
        <w:rPr>
          <w:lang w:val="fr-FR"/>
        </w:rPr>
        <w:tab/>
        <w:t>Que le Département des services pénitentiaires prenne les mesures nécessaires pour faire en sorte qu’un fauteuil roulant soit disponible dans chaque établissement pénitentiaire pour acheminer les détenus vers l’infirmerie si nécessaire et que des indications adéquates soient données aux fonctionnaires de ces services concernant les circonstances dans lesquelles il doit être utilisé.</w:t>
      </w:r>
    </w:p>
    <w:p w:rsidR="007D46EC" w:rsidRDefault="007D46EC" w:rsidP="005D7B68">
      <w:pPr>
        <w:tabs>
          <w:tab w:val="left" w:pos="567"/>
          <w:tab w:val="left" w:pos="1134"/>
          <w:tab w:val="left" w:pos="1701"/>
          <w:tab w:val="left" w:pos="2268"/>
          <w:tab w:val="left" w:pos="2835"/>
        </w:tabs>
        <w:rPr>
          <w:lang w:val="fr-FR"/>
        </w:rPr>
      </w:pPr>
      <w:r>
        <w:rPr>
          <w:lang w:val="fr-FR"/>
        </w:rPr>
        <w:t>66</w:t>
      </w:r>
      <w:r w:rsidR="002A6CEC">
        <w:rPr>
          <w:lang w:val="fr-FR"/>
        </w:rPr>
        <w:t>7</w:t>
      </w:r>
      <w:r>
        <w:rPr>
          <w:lang w:val="fr-FR"/>
        </w:rPr>
        <w:t>.</w:t>
      </w:r>
      <w:r>
        <w:rPr>
          <w:lang w:val="fr-FR"/>
        </w:rPr>
        <w:tab/>
        <w:t>Le Département a maintenant doté tous les établissements de fauteuils roulants, ce qui a impliqué l’achat de deux nouveaux fauteuils pour ceux qui n’en avaient pas auparavant.</w:t>
      </w:r>
    </w:p>
    <w:p w:rsidR="00393D7A" w:rsidRDefault="007D46EC" w:rsidP="005D7B68">
      <w:pPr>
        <w:tabs>
          <w:tab w:val="left" w:pos="567"/>
          <w:tab w:val="left" w:pos="1134"/>
          <w:tab w:val="left" w:pos="1701"/>
          <w:tab w:val="left" w:pos="2268"/>
          <w:tab w:val="left" w:pos="2835"/>
        </w:tabs>
        <w:rPr>
          <w:lang w:val="fr-FR"/>
        </w:rPr>
      </w:pPr>
      <w:r>
        <w:rPr>
          <w:lang w:val="fr-FR"/>
        </w:rPr>
        <w:t>6</w:t>
      </w:r>
      <w:r w:rsidR="00C81ED9">
        <w:rPr>
          <w:lang w:val="fr-FR"/>
        </w:rPr>
        <w:t>6</w:t>
      </w:r>
      <w:r w:rsidR="002A6CEC">
        <w:rPr>
          <w:lang w:val="fr-FR"/>
        </w:rPr>
        <w:t>8</w:t>
      </w:r>
      <w:r w:rsidR="00C81ED9">
        <w:rPr>
          <w:lang w:val="fr-FR"/>
        </w:rPr>
        <w:t>.</w:t>
      </w:r>
      <w:r w:rsidR="00C81ED9">
        <w:rPr>
          <w:lang w:val="fr-FR"/>
        </w:rPr>
        <w:tab/>
        <w:t>Une note du Directeur indiquant</w:t>
      </w:r>
      <w:r>
        <w:rPr>
          <w:lang w:val="fr-FR"/>
        </w:rPr>
        <w:t xml:space="preserve"> les circonstances dans lesquelles ces fauteuils doivent </w:t>
      </w:r>
      <w:r w:rsidR="00C81ED9">
        <w:rPr>
          <w:lang w:val="fr-FR"/>
        </w:rPr>
        <w:t>être utilisés, avec des c</w:t>
      </w:r>
      <w:r>
        <w:rPr>
          <w:lang w:val="fr-FR"/>
        </w:rPr>
        <w:t>onseils</w:t>
      </w:r>
      <w:r w:rsidR="00C81ED9">
        <w:rPr>
          <w:lang w:val="fr-FR"/>
        </w:rPr>
        <w:t xml:space="preserve"> quant à leur utilisation</w:t>
      </w:r>
      <w:r w:rsidR="00A67CD6">
        <w:rPr>
          <w:lang w:val="fr-FR"/>
        </w:rPr>
        <w:t>,</w:t>
      </w:r>
      <w:r w:rsidR="00C81ED9">
        <w:rPr>
          <w:lang w:val="fr-FR"/>
        </w:rPr>
        <w:t xml:space="preserve"> a été affichée et communiquée à tout le personnel</w:t>
      </w:r>
      <w:r>
        <w:rPr>
          <w:lang w:val="fr-FR"/>
        </w:rPr>
        <w:t xml:space="preserve"> </w:t>
      </w:r>
      <w:r w:rsidR="00C81ED9">
        <w:rPr>
          <w:lang w:val="fr-FR"/>
        </w:rPr>
        <w:t>concerné dans tous les établissements.</w:t>
      </w:r>
    </w:p>
    <w:p w:rsidR="00C81ED9" w:rsidRDefault="00C81ED9" w:rsidP="005D7B68">
      <w:pPr>
        <w:tabs>
          <w:tab w:val="left" w:pos="567"/>
          <w:tab w:val="left" w:pos="1134"/>
          <w:tab w:val="left" w:pos="1701"/>
          <w:tab w:val="left" w:pos="2268"/>
          <w:tab w:val="left" w:pos="2835"/>
        </w:tabs>
        <w:rPr>
          <w:b/>
          <w:bCs/>
          <w:lang w:val="fr-FR"/>
        </w:rPr>
      </w:pPr>
      <w:r>
        <w:rPr>
          <w:b/>
          <w:bCs/>
          <w:lang w:val="fr-FR"/>
        </w:rPr>
        <w:t>S.</w:t>
      </w:r>
      <w:r w:rsidR="003B7BC1">
        <w:rPr>
          <w:b/>
          <w:bCs/>
          <w:lang w:val="fr-FR"/>
        </w:rPr>
        <w:t> </w:t>
      </w:r>
      <w:r>
        <w:rPr>
          <w:b/>
          <w:bCs/>
          <w:lang w:val="fr-FR"/>
        </w:rPr>
        <w:t>M. Chalklen</w:t>
      </w:r>
    </w:p>
    <w:p w:rsidR="00C81ED9" w:rsidRPr="00C81ED9" w:rsidRDefault="00C81ED9" w:rsidP="005D7B68">
      <w:pPr>
        <w:pStyle w:val="Heading3"/>
        <w:tabs>
          <w:tab w:val="left" w:pos="567"/>
          <w:tab w:val="left" w:pos="1134"/>
          <w:tab w:val="left" w:pos="1701"/>
          <w:tab w:val="left" w:pos="2268"/>
          <w:tab w:val="left" w:pos="2835"/>
        </w:tabs>
        <w:rPr>
          <w:rFonts w:ascii="Times New Roman" w:hAnsi="Times New Roman" w:cs="Times New Roman"/>
          <w:sz w:val="24"/>
          <w:szCs w:val="24"/>
          <w:lang w:val="fr-FR"/>
        </w:rPr>
      </w:pPr>
      <w:r w:rsidRPr="00C81ED9">
        <w:rPr>
          <w:rFonts w:ascii="Times New Roman" w:hAnsi="Times New Roman" w:cs="Times New Roman"/>
          <w:sz w:val="24"/>
          <w:szCs w:val="24"/>
          <w:lang w:val="fr-FR"/>
        </w:rPr>
        <w:t xml:space="preserve">Décédé pendant sa détention le 3 juin 2005 – Rapport du </w:t>
      </w:r>
      <w:r w:rsidRPr="00C81ED9">
        <w:rPr>
          <w:rFonts w:ascii="Times New Roman" w:hAnsi="Times New Roman" w:cs="Times New Roman"/>
          <w:i/>
          <w:iCs/>
          <w:sz w:val="24"/>
          <w:szCs w:val="24"/>
          <w:lang w:val="fr-FR"/>
        </w:rPr>
        <w:t xml:space="preserve">Coroner </w:t>
      </w:r>
      <w:r w:rsidRPr="00C81ED9">
        <w:rPr>
          <w:rFonts w:ascii="Times New Roman" w:hAnsi="Times New Roman" w:cs="Times New Roman"/>
          <w:sz w:val="24"/>
          <w:szCs w:val="24"/>
          <w:lang w:val="fr-FR"/>
        </w:rPr>
        <w:t>remis le 31 janvier 2007</w:t>
      </w:r>
    </w:p>
    <w:p w:rsidR="00AF1E00" w:rsidRDefault="002A6CEC" w:rsidP="005D7B68">
      <w:pPr>
        <w:tabs>
          <w:tab w:val="left" w:pos="567"/>
          <w:tab w:val="left" w:pos="1134"/>
          <w:tab w:val="left" w:pos="1701"/>
          <w:tab w:val="left" w:pos="2268"/>
          <w:tab w:val="left" w:pos="2835"/>
        </w:tabs>
        <w:rPr>
          <w:szCs w:val="24"/>
          <w:lang w:val="fr-FR"/>
        </w:rPr>
      </w:pPr>
      <w:r>
        <w:rPr>
          <w:lang w:val="fr-FR"/>
        </w:rPr>
        <w:t>669</w:t>
      </w:r>
      <w:r w:rsidR="00C81ED9">
        <w:rPr>
          <w:lang w:val="fr-FR"/>
        </w:rPr>
        <w:t>.</w:t>
      </w:r>
      <w:r w:rsidR="00C81ED9">
        <w:rPr>
          <w:lang w:val="fr-FR"/>
        </w:rPr>
        <w:tab/>
        <w:t xml:space="preserve">Le </w:t>
      </w:r>
      <w:r w:rsidR="00C81ED9">
        <w:rPr>
          <w:i/>
          <w:iCs/>
          <w:lang w:val="fr-FR"/>
        </w:rPr>
        <w:t>Coroner</w:t>
      </w:r>
      <w:r w:rsidR="00C81ED9">
        <w:rPr>
          <w:szCs w:val="24"/>
          <w:lang w:val="fr-FR"/>
        </w:rPr>
        <w:t xml:space="preserve"> a conclu que M. Chalklen avait succombé le 3 juin 2005 au Centre de détention provisoire d’Adélaïde à une cardiopathie ischémique provoquée par une grave athérosclérose</w:t>
      </w:r>
      <w:r w:rsidR="008D6B80">
        <w:rPr>
          <w:szCs w:val="24"/>
          <w:lang w:val="fr-FR"/>
        </w:rPr>
        <w:t xml:space="preserve">. </w:t>
      </w:r>
      <w:r w:rsidR="00A0000D">
        <w:rPr>
          <w:szCs w:val="24"/>
          <w:lang w:val="fr-FR"/>
        </w:rPr>
        <w:t>Il a jugé que les mesures prises au moment où M. Chalklen s’est effondré et les tentatives faites par les surveillants concernés pour le ramener à la vie avaient été appropriées et opportunes.</w:t>
      </w:r>
    </w:p>
    <w:p w:rsidR="00A0000D" w:rsidRDefault="00A0000D"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0</w:t>
      </w:r>
      <w:r>
        <w:rPr>
          <w:szCs w:val="24"/>
          <w:lang w:val="fr-FR"/>
        </w:rPr>
        <w:t>.</w:t>
      </w:r>
      <w:r>
        <w:rPr>
          <w:szCs w:val="24"/>
          <w:lang w:val="fr-FR"/>
        </w:rPr>
        <w:tab/>
      </w:r>
      <w:r w:rsidR="00A64E3C">
        <w:rPr>
          <w:szCs w:val="24"/>
          <w:lang w:val="fr-FR"/>
        </w:rPr>
        <w:t xml:space="preserve">Le rapport du Département au </w:t>
      </w:r>
      <w:r w:rsidR="00A64E3C" w:rsidRPr="00A64E3C">
        <w:rPr>
          <w:i/>
          <w:iCs/>
          <w:szCs w:val="24"/>
          <w:lang w:val="fr-FR"/>
        </w:rPr>
        <w:t>Coroner</w:t>
      </w:r>
      <w:r w:rsidR="00A64E3C">
        <w:rPr>
          <w:szCs w:val="24"/>
          <w:lang w:val="fr-FR"/>
        </w:rPr>
        <w:t xml:space="preserve"> comportait une recommandation liée aux compétences du personnel opérationnel des établissements, laquelle a, depuis, été suivie d’effets</w:t>
      </w:r>
      <w:r w:rsidR="008D6B80">
        <w:rPr>
          <w:szCs w:val="24"/>
          <w:lang w:val="fr-FR"/>
        </w:rPr>
        <w:t xml:space="preserve">. </w:t>
      </w:r>
      <w:r w:rsidR="00A64E3C">
        <w:rPr>
          <w:szCs w:val="24"/>
          <w:lang w:val="fr-FR"/>
        </w:rPr>
        <w:t>En particulier, les di</w:t>
      </w:r>
      <w:r w:rsidR="00985359">
        <w:rPr>
          <w:szCs w:val="24"/>
          <w:lang w:val="fr-FR"/>
        </w:rPr>
        <w:t>recteurs généraux doivent tenir</w:t>
      </w:r>
      <w:r w:rsidR="00A64E3C">
        <w:rPr>
          <w:szCs w:val="24"/>
          <w:lang w:val="fr-FR"/>
        </w:rPr>
        <w:t xml:space="preserve"> à jour une liste de surveillants titulaires d’un brevet valide de premiers secours et veiller à ce qu’</w:t>
      </w:r>
      <w:r w:rsidR="000D47C8">
        <w:rPr>
          <w:szCs w:val="24"/>
          <w:lang w:val="fr-FR"/>
        </w:rPr>
        <w:t>il y ait au</w:t>
      </w:r>
      <w:r w:rsidR="00A64E3C">
        <w:rPr>
          <w:szCs w:val="24"/>
          <w:lang w:val="fr-FR"/>
        </w:rPr>
        <w:t xml:space="preserve"> moins un surveillant</w:t>
      </w:r>
      <w:r w:rsidR="00511B2D">
        <w:rPr>
          <w:szCs w:val="24"/>
          <w:lang w:val="fr-FR"/>
        </w:rPr>
        <w:t xml:space="preserve"> figurant sur</w:t>
      </w:r>
      <w:r w:rsidR="000D47C8">
        <w:rPr>
          <w:szCs w:val="24"/>
          <w:lang w:val="fr-FR"/>
        </w:rPr>
        <w:t xml:space="preserve"> cette liste dans chaque tour de garde.</w:t>
      </w:r>
    </w:p>
    <w:p w:rsidR="000D47C8" w:rsidRDefault="000D47C8" w:rsidP="005D7B68">
      <w:pPr>
        <w:tabs>
          <w:tab w:val="left" w:pos="567"/>
          <w:tab w:val="left" w:pos="1134"/>
          <w:tab w:val="left" w:pos="1701"/>
          <w:tab w:val="left" w:pos="2268"/>
          <w:tab w:val="left" w:pos="2835"/>
        </w:tabs>
        <w:rPr>
          <w:b/>
          <w:bCs/>
          <w:szCs w:val="24"/>
          <w:lang w:val="fr-FR"/>
        </w:rPr>
      </w:pPr>
      <w:r>
        <w:rPr>
          <w:b/>
          <w:bCs/>
          <w:szCs w:val="24"/>
          <w:lang w:val="fr-FR"/>
        </w:rPr>
        <w:t>J. Trenorden</w:t>
      </w:r>
    </w:p>
    <w:p w:rsidR="000D47C8" w:rsidRDefault="000D47C8" w:rsidP="005D7B68">
      <w:pPr>
        <w:tabs>
          <w:tab w:val="left" w:pos="567"/>
          <w:tab w:val="left" w:pos="1134"/>
          <w:tab w:val="left" w:pos="1701"/>
          <w:tab w:val="left" w:pos="2268"/>
          <w:tab w:val="left" w:pos="2835"/>
        </w:tabs>
        <w:rPr>
          <w:b/>
          <w:bCs/>
          <w:szCs w:val="24"/>
          <w:lang w:val="fr-FR"/>
        </w:rPr>
      </w:pPr>
      <w:r>
        <w:rPr>
          <w:b/>
          <w:bCs/>
          <w:szCs w:val="24"/>
          <w:lang w:val="fr-FR"/>
        </w:rPr>
        <w:t xml:space="preserve">Décédé pendant sa détention le 4 février 2004 – Rapport du </w:t>
      </w:r>
      <w:r>
        <w:rPr>
          <w:b/>
          <w:bCs/>
          <w:i/>
          <w:iCs/>
          <w:szCs w:val="24"/>
          <w:lang w:val="fr-FR"/>
        </w:rPr>
        <w:t>Coroner</w:t>
      </w:r>
      <w:r>
        <w:rPr>
          <w:b/>
          <w:bCs/>
          <w:szCs w:val="24"/>
          <w:lang w:val="fr-FR"/>
        </w:rPr>
        <w:t xml:space="preserve"> remis le 26 avril 2007</w:t>
      </w:r>
    </w:p>
    <w:p w:rsidR="000D47C8" w:rsidRDefault="000D47C8"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1</w:t>
      </w:r>
      <w:r>
        <w:rPr>
          <w:szCs w:val="24"/>
          <w:lang w:val="fr-FR"/>
        </w:rPr>
        <w:t>.</w:t>
      </w:r>
      <w:r>
        <w:rPr>
          <w:szCs w:val="24"/>
          <w:lang w:val="fr-FR"/>
        </w:rPr>
        <w:tab/>
        <w:t>Le tribunal a jugé que la mort était due à une asphyxie causée par les effets combinés d’une compression du cou par suite d’une pendaison et d’un étouffement provoqué par un sac plastique qui emprisonnait la tête</w:t>
      </w:r>
      <w:r w:rsidR="008D6B80">
        <w:rPr>
          <w:szCs w:val="24"/>
          <w:lang w:val="fr-FR"/>
        </w:rPr>
        <w:t xml:space="preserve">. </w:t>
      </w:r>
      <w:r>
        <w:rPr>
          <w:szCs w:val="24"/>
          <w:lang w:val="fr-FR"/>
        </w:rPr>
        <w:t xml:space="preserve">Le </w:t>
      </w:r>
      <w:r>
        <w:rPr>
          <w:i/>
          <w:iCs/>
          <w:szCs w:val="24"/>
          <w:lang w:val="fr-FR"/>
        </w:rPr>
        <w:t>Coroner</w:t>
      </w:r>
      <w:r>
        <w:rPr>
          <w:szCs w:val="24"/>
          <w:lang w:val="fr-FR"/>
        </w:rPr>
        <w:t xml:space="preserve"> a conclu que M. Trenorden </w:t>
      </w:r>
      <w:r w:rsidR="00A619D6">
        <w:rPr>
          <w:szCs w:val="24"/>
          <w:lang w:val="fr-FR"/>
        </w:rPr>
        <w:t>«</w:t>
      </w:r>
      <w:r w:rsidR="00CA4F6A">
        <w:rPr>
          <w:szCs w:val="24"/>
          <w:lang w:val="fr-FR"/>
        </w:rPr>
        <w:t>était décidé à se suicider depuis les jours qui ont suivi les événements du 31 janvier 2004</w:t>
      </w:r>
      <w:r w:rsidR="008D6B80">
        <w:rPr>
          <w:szCs w:val="24"/>
          <w:lang w:val="fr-FR"/>
        </w:rPr>
        <w:t xml:space="preserve">. </w:t>
      </w:r>
      <w:r w:rsidR="00CA4F6A">
        <w:rPr>
          <w:szCs w:val="24"/>
          <w:lang w:val="fr-FR"/>
        </w:rPr>
        <w:t>Il avait été assez malin pour tromper toutes les personnes qui étaient chargées de le surveiller sur ses intentions.</w:t>
      </w:r>
      <w:r w:rsidR="00A619D6">
        <w:rPr>
          <w:szCs w:val="24"/>
          <w:lang w:val="fr-FR"/>
        </w:rPr>
        <w:t>»</w:t>
      </w:r>
    </w:p>
    <w:p w:rsidR="00CA4F6A" w:rsidRPr="00CA4F6A" w:rsidRDefault="00CA4F6A"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2</w:t>
      </w:r>
      <w:r>
        <w:rPr>
          <w:szCs w:val="24"/>
          <w:lang w:val="fr-FR"/>
        </w:rPr>
        <w:t>.</w:t>
      </w:r>
      <w:r>
        <w:rPr>
          <w:szCs w:val="24"/>
          <w:lang w:val="fr-FR"/>
        </w:rPr>
        <w:tab/>
        <w:t xml:space="preserve">Le </w:t>
      </w:r>
      <w:r>
        <w:rPr>
          <w:i/>
          <w:iCs/>
          <w:szCs w:val="24"/>
          <w:lang w:val="fr-FR"/>
        </w:rPr>
        <w:t>Coroner</w:t>
      </w:r>
      <w:r>
        <w:rPr>
          <w:szCs w:val="24"/>
          <w:lang w:val="fr-FR"/>
        </w:rPr>
        <w:t xml:space="preserve"> a admis que les nouvelles procédures mises en place au sein su Département immédiatement après la mort de M. Trenorden devraient éviter la répétition de cette négligence ou de ce défaut d’informations en amont concernant les détenus </w:t>
      </w:r>
      <w:r w:rsidR="00A619D6">
        <w:rPr>
          <w:szCs w:val="24"/>
          <w:lang w:val="fr-FR"/>
        </w:rPr>
        <w:t>«</w:t>
      </w:r>
      <w:r>
        <w:rPr>
          <w:szCs w:val="24"/>
          <w:lang w:val="fr-FR"/>
        </w:rPr>
        <w:t>à risque</w:t>
      </w:r>
      <w:r w:rsidR="00A619D6">
        <w:rPr>
          <w:szCs w:val="24"/>
          <w:lang w:val="fr-FR"/>
        </w:rPr>
        <w:t>»</w:t>
      </w:r>
      <w:r w:rsidR="008D6B80">
        <w:rPr>
          <w:szCs w:val="24"/>
          <w:lang w:val="fr-FR"/>
        </w:rPr>
        <w:t xml:space="preserve">. </w:t>
      </w:r>
      <w:r>
        <w:rPr>
          <w:szCs w:val="24"/>
          <w:lang w:val="fr-FR"/>
        </w:rPr>
        <w:t>Le Département et le Service sanita</w:t>
      </w:r>
      <w:r w:rsidR="00CF26AA">
        <w:rPr>
          <w:szCs w:val="24"/>
          <w:lang w:val="fr-FR"/>
        </w:rPr>
        <w:t xml:space="preserve">ire en milieu carcéral ont </w:t>
      </w:r>
      <w:r>
        <w:rPr>
          <w:szCs w:val="24"/>
          <w:lang w:val="fr-FR"/>
        </w:rPr>
        <w:t>i</w:t>
      </w:r>
      <w:r w:rsidR="00CF26AA">
        <w:rPr>
          <w:szCs w:val="24"/>
          <w:lang w:val="fr-FR"/>
        </w:rPr>
        <w:t>nstauré</w:t>
      </w:r>
      <w:r>
        <w:rPr>
          <w:szCs w:val="24"/>
          <w:lang w:val="fr-FR"/>
        </w:rPr>
        <w:t>, dans chaque é</w:t>
      </w:r>
      <w:r w:rsidR="00CF26AA">
        <w:rPr>
          <w:szCs w:val="24"/>
          <w:lang w:val="fr-FR"/>
        </w:rPr>
        <w:t xml:space="preserve">tablissement, une procédure d’évaluation, de suivi et de mise en œuvre de stratégies de traitement des détenus à risque, dont fait partie l’échange rapide d’informations à caractère médical et carcéral. </w:t>
      </w:r>
    </w:p>
    <w:p w:rsidR="000D47C8" w:rsidRDefault="009918FA" w:rsidP="005D7B68">
      <w:pPr>
        <w:tabs>
          <w:tab w:val="left" w:pos="567"/>
          <w:tab w:val="left" w:pos="900"/>
          <w:tab w:val="left" w:pos="1134"/>
          <w:tab w:val="left" w:pos="1701"/>
          <w:tab w:val="left" w:pos="2268"/>
          <w:tab w:val="left" w:pos="2835"/>
        </w:tabs>
        <w:rPr>
          <w:szCs w:val="24"/>
          <w:lang w:val="fr-FR"/>
        </w:rPr>
      </w:pPr>
      <w:r w:rsidRPr="009918FA">
        <w:rPr>
          <w:szCs w:val="24"/>
          <w:lang w:val="fr-FR"/>
        </w:rPr>
        <w:t>67</w:t>
      </w:r>
      <w:r w:rsidR="002A6CEC">
        <w:rPr>
          <w:szCs w:val="24"/>
          <w:lang w:val="fr-FR"/>
        </w:rPr>
        <w:t>3</w:t>
      </w:r>
      <w:r w:rsidRPr="009918FA">
        <w:rPr>
          <w:szCs w:val="24"/>
          <w:lang w:val="fr-FR"/>
        </w:rPr>
        <w:t>.</w:t>
      </w:r>
      <w:r w:rsidRPr="009918FA">
        <w:rPr>
          <w:szCs w:val="24"/>
          <w:lang w:val="fr-FR"/>
        </w:rPr>
        <w:tab/>
        <w:t xml:space="preserve">Le </w:t>
      </w:r>
      <w:r>
        <w:rPr>
          <w:i/>
          <w:iCs/>
          <w:szCs w:val="24"/>
          <w:lang w:val="fr-FR"/>
        </w:rPr>
        <w:t>Coroner</w:t>
      </w:r>
      <w:r>
        <w:rPr>
          <w:szCs w:val="24"/>
          <w:lang w:val="fr-FR"/>
        </w:rPr>
        <w:t xml:space="preserve"> a fait référence aux conclusions d’une information judiciaire antérieure concernant l’adoption des principes de la </w:t>
      </w:r>
      <w:r w:rsidR="00A619D6">
        <w:rPr>
          <w:szCs w:val="24"/>
          <w:lang w:val="fr-FR"/>
        </w:rPr>
        <w:t>«</w:t>
      </w:r>
      <w:r w:rsidR="0070429F">
        <w:rPr>
          <w:szCs w:val="24"/>
          <w:lang w:val="fr-FR"/>
        </w:rPr>
        <w:t xml:space="preserve">cellule </w:t>
      </w:r>
      <w:r w:rsidR="00567134">
        <w:rPr>
          <w:szCs w:val="24"/>
          <w:lang w:val="fr-FR"/>
        </w:rPr>
        <w:t>sécurisée</w:t>
      </w:r>
      <w:r w:rsidR="00A619D6">
        <w:rPr>
          <w:szCs w:val="24"/>
          <w:lang w:val="fr-FR"/>
        </w:rPr>
        <w:t>»</w:t>
      </w:r>
      <w:r>
        <w:rPr>
          <w:szCs w:val="24"/>
          <w:lang w:val="fr-FR"/>
        </w:rPr>
        <w:t xml:space="preserve"> et a pris acte de l’inspection de toutes les prisons ordonnée par le Département pour permettre de repérer tous </w:t>
      </w:r>
      <w:r w:rsidRPr="009A5BAB">
        <w:rPr>
          <w:szCs w:val="24"/>
          <w:lang w:val="fr-FR"/>
        </w:rPr>
        <w:t xml:space="preserve">les </w:t>
      </w:r>
      <w:r w:rsidR="009A5BAB" w:rsidRPr="009A5BAB">
        <w:rPr>
          <w:szCs w:val="24"/>
          <w:lang w:val="fr-FR"/>
        </w:rPr>
        <w:t>points d’attache</w:t>
      </w:r>
      <w:r w:rsidRPr="009A5BAB">
        <w:rPr>
          <w:szCs w:val="24"/>
          <w:lang w:val="fr-FR"/>
        </w:rPr>
        <w:t xml:space="preserve"> potentiels</w:t>
      </w:r>
      <w:r w:rsidR="0070429F" w:rsidRPr="009A5BAB">
        <w:rPr>
          <w:szCs w:val="24"/>
          <w:lang w:val="fr-FR"/>
        </w:rPr>
        <w:t xml:space="preserve"> dans l’optique de ces principes</w:t>
      </w:r>
      <w:r w:rsidR="008D6B80">
        <w:rPr>
          <w:szCs w:val="24"/>
          <w:lang w:val="fr-FR"/>
        </w:rPr>
        <w:t xml:space="preserve">. </w:t>
      </w:r>
      <w:r w:rsidR="0070429F" w:rsidRPr="009A5BAB">
        <w:rPr>
          <w:szCs w:val="24"/>
          <w:lang w:val="fr-FR"/>
        </w:rPr>
        <w:t>Ainsi qu’il a été indiqué dans les</w:t>
      </w:r>
      <w:r w:rsidR="0070429F">
        <w:rPr>
          <w:szCs w:val="24"/>
          <w:lang w:val="fr-FR"/>
        </w:rPr>
        <w:t xml:space="preserve"> rapports du Département présentés</w:t>
      </w:r>
      <w:r>
        <w:rPr>
          <w:szCs w:val="24"/>
          <w:lang w:val="fr-FR"/>
        </w:rPr>
        <w:t xml:space="preserve"> </w:t>
      </w:r>
      <w:r w:rsidR="0070429F">
        <w:rPr>
          <w:szCs w:val="24"/>
          <w:lang w:val="fr-FR"/>
        </w:rPr>
        <w:t xml:space="preserve">précédemment au Parlement, à la suite de cette inspection, tous les </w:t>
      </w:r>
      <w:r w:rsidR="009A5BAB" w:rsidRPr="009A5BAB">
        <w:rPr>
          <w:szCs w:val="24"/>
          <w:lang w:val="fr-FR"/>
        </w:rPr>
        <w:t>points d’attache</w:t>
      </w:r>
      <w:r w:rsidR="0070429F">
        <w:rPr>
          <w:color w:val="0000FF"/>
          <w:szCs w:val="24"/>
          <w:lang w:val="fr-FR"/>
        </w:rPr>
        <w:t xml:space="preserve"> </w:t>
      </w:r>
      <w:r w:rsidR="0070429F">
        <w:rPr>
          <w:szCs w:val="24"/>
          <w:lang w:val="fr-FR"/>
        </w:rPr>
        <w:t>ont été supprimés et certaines cellules existantes ont été réaménagées en fonction des fonds disponibles.</w:t>
      </w:r>
    </w:p>
    <w:p w:rsidR="0070429F" w:rsidRDefault="0070429F"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4</w:t>
      </w:r>
      <w:r>
        <w:rPr>
          <w:szCs w:val="24"/>
          <w:lang w:val="fr-FR"/>
        </w:rPr>
        <w:t>.</w:t>
      </w:r>
      <w:r>
        <w:rPr>
          <w:szCs w:val="24"/>
          <w:lang w:val="fr-FR"/>
        </w:rPr>
        <w:tab/>
        <w:t>Le gouvernement a également annoncé que la nouvelle infrastructure des prisons sera conforme aux nor</w:t>
      </w:r>
      <w:r w:rsidR="009A5BAB">
        <w:rPr>
          <w:szCs w:val="24"/>
          <w:lang w:val="fr-FR"/>
        </w:rPr>
        <w:t xml:space="preserve">mes des </w:t>
      </w:r>
      <w:r w:rsidR="00A619D6">
        <w:rPr>
          <w:szCs w:val="24"/>
          <w:lang w:val="fr-FR"/>
        </w:rPr>
        <w:t>«</w:t>
      </w:r>
      <w:r w:rsidR="009A5BAB">
        <w:rPr>
          <w:szCs w:val="24"/>
          <w:lang w:val="fr-FR"/>
        </w:rPr>
        <w:t>cellules sécurisées</w:t>
      </w:r>
      <w:r w:rsidR="00A619D6">
        <w:rPr>
          <w:szCs w:val="24"/>
          <w:lang w:val="fr-FR"/>
        </w:rPr>
        <w:t>»</w:t>
      </w:r>
      <w:r>
        <w:rPr>
          <w:szCs w:val="24"/>
          <w:lang w:val="fr-FR"/>
        </w:rPr>
        <w:t xml:space="preserve">, tout comme </w:t>
      </w:r>
      <w:r w:rsidR="000F381B">
        <w:rPr>
          <w:szCs w:val="24"/>
          <w:lang w:val="fr-FR"/>
        </w:rPr>
        <w:t>les nouveaux aménagements</w:t>
      </w:r>
      <w:r>
        <w:rPr>
          <w:szCs w:val="24"/>
          <w:lang w:val="fr-FR"/>
        </w:rPr>
        <w:t xml:space="preserve"> des cellules dans les établissements existants.</w:t>
      </w:r>
    </w:p>
    <w:p w:rsidR="0047710E" w:rsidRDefault="0047710E"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5</w:t>
      </w:r>
      <w:r>
        <w:rPr>
          <w:szCs w:val="24"/>
          <w:lang w:val="fr-FR"/>
        </w:rPr>
        <w:t>.</w:t>
      </w:r>
      <w:r>
        <w:rPr>
          <w:szCs w:val="24"/>
          <w:lang w:val="fr-FR"/>
        </w:rPr>
        <w:tab/>
        <w:t>Les normes relati</w:t>
      </w:r>
      <w:r w:rsidR="009A5BAB">
        <w:rPr>
          <w:szCs w:val="24"/>
          <w:lang w:val="fr-FR"/>
        </w:rPr>
        <w:t xml:space="preserve">ves aux </w:t>
      </w:r>
      <w:r w:rsidR="00A619D6">
        <w:rPr>
          <w:szCs w:val="24"/>
          <w:lang w:val="fr-FR"/>
        </w:rPr>
        <w:t>«</w:t>
      </w:r>
      <w:r w:rsidR="009A5BAB">
        <w:rPr>
          <w:szCs w:val="24"/>
          <w:lang w:val="fr-FR"/>
        </w:rPr>
        <w:t>cellules sécurisées</w:t>
      </w:r>
      <w:r w:rsidR="00A619D6">
        <w:rPr>
          <w:szCs w:val="24"/>
          <w:lang w:val="fr-FR"/>
        </w:rPr>
        <w:t>»</w:t>
      </w:r>
      <w:r>
        <w:rPr>
          <w:szCs w:val="24"/>
          <w:lang w:val="fr-FR"/>
        </w:rPr>
        <w:t xml:space="preserve"> constitueront la référence pour la construction des futures prisons et ont été adoptées par tous les États et Territoires pour les nouveaux établissements</w:t>
      </w:r>
      <w:r w:rsidR="008D6B80">
        <w:rPr>
          <w:szCs w:val="24"/>
          <w:lang w:val="fr-FR"/>
        </w:rPr>
        <w:t xml:space="preserve">. </w:t>
      </w:r>
      <w:r>
        <w:rPr>
          <w:szCs w:val="24"/>
          <w:lang w:val="fr-FR"/>
        </w:rPr>
        <w:t>Les cellules construites selon les nor</w:t>
      </w:r>
      <w:r w:rsidR="009A5BAB">
        <w:rPr>
          <w:szCs w:val="24"/>
          <w:lang w:val="fr-FR"/>
        </w:rPr>
        <w:t xml:space="preserve">mes des </w:t>
      </w:r>
      <w:r w:rsidR="00A619D6">
        <w:rPr>
          <w:szCs w:val="24"/>
          <w:lang w:val="fr-FR"/>
        </w:rPr>
        <w:t>«</w:t>
      </w:r>
      <w:r w:rsidR="009A5BAB">
        <w:rPr>
          <w:szCs w:val="24"/>
          <w:lang w:val="fr-FR"/>
        </w:rPr>
        <w:t>cellules sécurisées</w:t>
      </w:r>
      <w:r w:rsidR="00A619D6">
        <w:rPr>
          <w:szCs w:val="24"/>
          <w:lang w:val="fr-FR"/>
        </w:rPr>
        <w:t>»</w:t>
      </w:r>
      <w:r>
        <w:rPr>
          <w:szCs w:val="24"/>
          <w:lang w:val="fr-FR"/>
        </w:rPr>
        <w:t xml:space="preserve"> n’ont </w:t>
      </w:r>
      <w:r w:rsidRPr="009A5BAB">
        <w:rPr>
          <w:szCs w:val="24"/>
          <w:lang w:val="fr-FR"/>
        </w:rPr>
        <w:t>aucun point d</w:t>
      </w:r>
      <w:r w:rsidR="009A5BAB" w:rsidRPr="009A5BAB">
        <w:rPr>
          <w:szCs w:val="24"/>
          <w:lang w:val="fr-FR"/>
        </w:rPr>
        <w:t>’attache</w:t>
      </w:r>
      <w:r>
        <w:rPr>
          <w:szCs w:val="24"/>
          <w:lang w:val="fr-FR"/>
        </w:rPr>
        <w:t>.</w:t>
      </w:r>
    </w:p>
    <w:p w:rsidR="00BA3CD3" w:rsidRDefault="0047710E"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6</w:t>
      </w:r>
      <w:r>
        <w:rPr>
          <w:szCs w:val="24"/>
          <w:lang w:val="fr-FR"/>
        </w:rPr>
        <w:t>.</w:t>
      </w:r>
      <w:r>
        <w:rPr>
          <w:szCs w:val="24"/>
          <w:lang w:val="fr-FR"/>
        </w:rPr>
        <w:tab/>
        <w:t xml:space="preserve">Le </w:t>
      </w:r>
      <w:r>
        <w:rPr>
          <w:i/>
          <w:iCs/>
          <w:szCs w:val="24"/>
          <w:lang w:val="fr-FR"/>
        </w:rPr>
        <w:t>Coroner</w:t>
      </w:r>
      <w:r>
        <w:rPr>
          <w:szCs w:val="24"/>
          <w:lang w:val="fr-FR"/>
        </w:rPr>
        <w:t xml:space="preserve"> fait également allusion au temps qu’il a fallu pour mettre au point la conception de </w:t>
      </w:r>
      <w:r w:rsidR="00A619D6">
        <w:rPr>
          <w:szCs w:val="24"/>
          <w:lang w:val="fr-FR"/>
        </w:rPr>
        <w:t>«</w:t>
      </w:r>
      <w:r>
        <w:rPr>
          <w:szCs w:val="24"/>
          <w:lang w:val="fr-FR"/>
        </w:rPr>
        <w:t>lits de protection</w:t>
      </w:r>
      <w:r w:rsidR="00A619D6">
        <w:rPr>
          <w:szCs w:val="24"/>
          <w:lang w:val="fr-FR"/>
        </w:rPr>
        <w:t>»</w:t>
      </w:r>
      <w:r>
        <w:rPr>
          <w:szCs w:val="24"/>
          <w:lang w:val="fr-FR"/>
        </w:rPr>
        <w:t xml:space="preserve"> aux fins de leur fabrication</w:t>
      </w:r>
      <w:r w:rsidR="008D6B80">
        <w:rPr>
          <w:szCs w:val="24"/>
          <w:lang w:val="fr-FR"/>
        </w:rPr>
        <w:t xml:space="preserve">. </w:t>
      </w:r>
      <w:r w:rsidR="00BF2943">
        <w:rPr>
          <w:szCs w:val="24"/>
          <w:lang w:val="fr-FR"/>
        </w:rPr>
        <w:t xml:space="preserve">Le Département a reçu les dessins définitifs des couchettes modifiées en février 2007 et a demandé des devis </w:t>
      </w:r>
      <w:r w:rsidR="009F480D">
        <w:rPr>
          <w:szCs w:val="24"/>
          <w:lang w:val="fr-FR"/>
        </w:rPr>
        <w:t>à des entreprises de rem</w:t>
      </w:r>
      <w:r w:rsidR="00BA3CD3">
        <w:rPr>
          <w:szCs w:val="24"/>
          <w:lang w:val="fr-FR"/>
        </w:rPr>
        <w:t>ise en état des prisons et de fabrication (</w:t>
      </w:r>
      <w:r w:rsidR="00BA3CD3" w:rsidRPr="00BA3CD3">
        <w:rPr>
          <w:i/>
          <w:iCs/>
          <w:szCs w:val="24"/>
          <w:lang w:val="fr-FR"/>
        </w:rPr>
        <w:t>Prison Rehabilitative Industries and Manufacturing Enterprises</w:t>
      </w:r>
      <w:r w:rsidR="00BA3CD3">
        <w:rPr>
          <w:szCs w:val="24"/>
          <w:lang w:val="fr-FR"/>
        </w:rPr>
        <w:t>) ainsi qu’à des fabricants extérieurs</w:t>
      </w:r>
      <w:r w:rsidR="008D6B80">
        <w:rPr>
          <w:szCs w:val="24"/>
          <w:lang w:val="fr-FR"/>
        </w:rPr>
        <w:t xml:space="preserve">. </w:t>
      </w:r>
      <w:r w:rsidR="00BA3CD3">
        <w:rPr>
          <w:szCs w:val="24"/>
          <w:lang w:val="fr-FR"/>
        </w:rPr>
        <w:t xml:space="preserve">Comme l’a fort justement noté le </w:t>
      </w:r>
      <w:r w:rsidR="00BA3CD3">
        <w:rPr>
          <w:i/>
          <w:iCs/>
          <w:szCs w:val="24"/>
          <w:lang w:val="fr-FR"/>
        </w:rPr>
        <w:t>Coroner</w:t>
      </w:r>
      <w:r w:rsidR="00BA3CD3">
        <w:rPr>
          <w:szCs w:val="24"/>
          <w:lang w:val="fr-FR"/>
        </w:rPr>
        <w:t xml:space="preserve">, la capacité du Département à remplacer les lits existants par les lits de conception nouvelle dans l’ensemble des établissements pénitentiaires dépendra du </w:t>
      </w:r>
      <w:r w:rsidR="00A619D6">
        <w:rPr>
          <w:szCs w:val="24"/>
          <w:lang w:val="fr-FR"/>
        </w:rPr>
        <w:t>«</w:t>
      </w:r>
      <w:r w:rsidR="00BA3CD3">
        <w:rPr>
          <w:szCs w:val="24"/>
          <w:lang w:val="fr-FR"/>
        </w:rPr>
        <w:t>coût estimatif et de la disponibilité des fonds</w:t>
      </w:r>
      <w:r w:rsidR="00A619D6">
        <w:rPr>
          <w:szCs w:val="24"/>
          <w:lang w:val="fr-FR"/>
        </w:rPr>
        <w:t>»</w:t>
      </w:r>
      <w:r w:rsidR="00BA3CD3">
        <w:rPr>
          <w:szCs w:val="24"/>
          <w:lang w:val="fr-FR"/>
        </w:rPr>
        <w:t>.</w:t>
      </w:r>
    </w:p>
    <w:p w:rsidR="00BA3CD3" w:rsidRDefault="00BA3CD3"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7</w:t>
      </w:r>
      <w:r>
        <w:rPr>
          <w:szCs w:val="24"/>
          <w:lang w:val="fr-FR"/>
        </w:rPr>
        <w:t>.</w:t>
      </w:r>
      <w:r>
        <w:rPr>
          <w:szCs w:val="24"/>
          <w:lang w:val="fr-FR"/>
        </w:rPr>
        <w:tab/>
        <w:t xml:space="preserve">Le </w:t>
      </w:r>
      <w:r>
        <w:rPr>
          <w:i/>
          <w:iCs/>
          <w:szCs w:val="24"/>
          <w:lang w:val="fr-FR"/>
        </w:rPr>
        <w:t xml:space="preserve">Coroner </w:t>
      </w:r>
      <w:r>
        <w:rPr>
          <w:szCs w:val="24"/>
          <w:lang w:val="fr-FR"/>
        </w:rPr>
        <w:t>a formulé une seule recommandation</w:t>
      </w:r>
      <w:r w:rsidR="00572260">
        <w:rPr>
          <w:szCs w:val="24"/>
          <w:lang w:val="fr-FR"/>
        </w:rPr>
        <w:t>:</w:t>
      </w:r>
    </w:p>
    <w:p w:rsidR="00BA3CD3" w:rsidRDefault="00BA3CD3" w:rsidP="005D7B68">
      <w:pPr>
        <w:tabs>
          <w:tab w:val="left" w:pos="567"/>
          <w:tab w:val="left" w:pos="1134"/>
          <w:tab w:val="left" w:pos="1701"/>
          <w:tab w:val="left" w:pos="2268"/>
          <w:tab w:val="left" w:pos="2835"/>
        </w:tabs>
        <w:rPr>
          <w:szCs w:val="24"/>
          <w:lang w:val="fr-FR"/>
        </w:rPr>
      </w:pPr>
      <w:r>
        <w:rPr>
          <w:szCs w:val="24"/>
          <w:lang w:val="fr-FR"/>
        </w:rPr>
        <w:tab/>
        <w:t>a)</w:t>
      </w:r>
      <w:r>
        <w:rPr>
          <w:szCs w:val="24"/>
          <w:lang w:val="fr-FR"/>
        </w:rPr>
        <w:tab/>
        <w:t>Que le Ministre</w:t>
      </w:r>
      <w:r w:rsidR="002841E0">
        <w:rPr>
          <w:szCs w:val="24"/>
          <w:lang w:val="fr-FR"/>
        </w:rPr>
        <w:t xml:space="preserve"> chargé des services pénitentiaires et le Directeur général</w:t>
      </w:r>
      <w:r w:rsidR="00572260">
        <w:rPr>
          <w:szCs w:val="24"/>
          <w:lang w:val="fr-FR"/>
        </w:rPr>
        <w:t xml:space="preserve"> </w:t>
      </w:r>
      <w:r w:rsidR="002841E0">
        <w:rPr>
          <w:szCs w:val="24"/>
          <w:lang w:val="fr-FR"/>
        </w:rPr>
        <w:t>du Département des services pén</w:t>
      </w:r>
      <w:r w:rsidR="006E0F6E">
        <w:rPr>
          <w:szCs w:val="24"/>
          <w:lang w:val="fr-FR"/>
        </w:rPr>
        <w:t>itentiaires étudient le problème des couvertures et des draps indéchirables dans les prisons d’</w:t>
      </w:r>
      <w:r w:rsidR="008E1139">
        <w:rPr>
          <w:szCs w:val="24"/>
          <w:lang w:val="fr-FR"/>
        </w:rPr>
        <w:t>Australie méridionale</w:t>
      </w:r>
      <w:r w:rsidR="004A2F5E">
        <w:rPr>
          <w:szCs w:val="24"/>
          <w:lang w:val="fr-FR"/>
        </w:rPr>
        <w:t>;</w:t>
      </w:r>
    </w:p>
    <w:p w:rsidR="006E0F6E" w:rsidRDefault="006E0F6E" w:rsidP="005D7B68">
      <w:pPr>
        <w:tabs>
          <w:tab w:val="left" w:pos="567"/>
          <w:tab w:val="left" w:pos="1134"/>
          <w:tab w:val="left" w:pos="1701"/>
          <w:tab w:val="left" w:pos="2268"/>
          <w:tab w:val="left" w:pos="2835"/>
        </w:tabs>
        <w:rPr>
          <w:szCs w:val="24"/>
          <w:lang w:val="fr-FR"/>
        </w:rPr>
      </w:pPr>
      <w:r>
        <w:rPr>
          <w:szCs w:val="24"/>
          <w:lang w:val="fr-FR"/>
        </w:rPr>
        <w:tab/>
        <w:t>b)</w:t>
      </w:r>
      <w:r>
        <w:rPr>
          <w:szCs w:val="24"/>
          <w:lang w:val="fr-FR"/>
        </w:rPr>
        <w:tab/>
        <w:t>Le Département des services pénitentiaires a étudié la question des couvertures et des draps indéchirables et a décidé qu’il ne conviendrait pas d’adopter cette solu</w:t>
      </w:r>
      <w:r w:rsidR="004A2F5E">
        <w:rPr>
          <w:szCs w:val="24"/>
          <w:lang w:val="fr-FR"/>
        </w:rPr>
        <w:t>tion à l’heure actuelle;</w:t>
      </w:r>
    </w:p>
    <w:p w:rsidR="006E0F6E" w:rsidRDefault="006E0F6E" w:rsidP="005D7B68">
      <w:pPr>
        <w:tabs>
          <w:tab w:val="left" w:pos="567"/>
          <w:tab w:val="left" w:pos="1134"/>
          <w:tab w:val="left" w:pos="1701"/>
          <w:tab w:val="left" w:pos="2268"/>
          <w:tab w:val="left" w:pos="2835"/>
        </w:tabs>
        <w:rPr>
          <w:szCs w:val="24"/>
          <w:lang w:val="fr-FR"/>
        </w:rPr>
      </w:pPr>
      <w:r>
        <w:rPr>
          <w:szCs w:val="24"/>
          <w:lang w:val="fr-FR"/>
        </w:rPr>
        <w:tab/>
        <w:t>c)</w:t>
      </w:r>
      <w:r>
        <w:rPr>
          <w:szCs w:val="24"/>
          <w:lang w:val="fr-FR"/>
        </w:rPr>
        <w:tab/>
        <w:t xml:space="preserve">Il a été établi que la toile était le seul tissu adapté à cette fin, qu’elle porterait gravement atteinte au confort des détenus et qu’elle serait contraire au principe selon lequel il faut assurer au détenu un milieu </w:t>
      </w:r>
      <w:r w:rsidR="00A619D6">
        <w:rPr>
          <w:szCs w:val="24"/>
          <w:lang w:val="fr-FR"/>
        </w:rPr>
        <w:t>«</w:t>
      </w:r>
      <w:r>
        <w:rPr>
          <w:szCs w:val="24"/>
          <w:lang w:val="fr-FR"/>
        </w:rPr>
        <w:t>normalisé</w:t>
      </w:r>
      <w:r w:rsidR="00A619D6">
        <w:rPr>
          <w:szCs w:val="24"/>
          <w:lang w:val="fr-FR"/>
        </w:rPr>
        <w:t>»</w:t>
      </w:r>
      <w:r>
        <w:rPr>
          <w:szCs w:val="24"/>
          <w:lang w:val="fr-FR"/>
        </w:rPr>
        <w:t xml:space="preserve"> pendant leur période d’incarcération</w:t>
      </w:r>
      <w:r w:rsidR="004A2F5E">
        <w:rPr>
          <w:szCs w:val="24"/>
          <w:lang w:val="fr-FR"/>
        </w:rPr>
        <w:t>;</w:t>
      </w:r>
    </w:p>
    <w:p w:rsidR="006E0F6E" w:rsidRDefault="006E0F6E" w:rsidP="005D7B68">
      <w:pPr>
        <w:tabs>
          <w:tab w:val="left" w:pos="567"/>
          <w:tab w:val="left" w:pos="1134"/>
          <w:tab w:val="left" w:pos="1701"/>
          <w:tab w:val="left" w:pos="2268"/>
          <w:tab w:val="left" w:pos="2835"/>
        </w:tabs>
        <w:rPr>
          <w:szCs w:val="24"/>
          <w:lang w:val="fr-FR"/>
        </w:rPr>
      </w:pPr>
      <w:r>
        <w:rPr>
          <w:szCs w:val="24"/>
          <w:lang w:val="fr-FR"/>
        </w:rPr>
        <w:tab/>
        <w:t>d)</w:t>
      </w:r>
      <w:r>
        <w:rPr>
          <w:szCs w:val="24"/>
          <w:lang w:val="fr-FR"/>
        </w:rPr>
        <w:tab/>
        <w:t xml:space="preserve">Cependant, tous les établissements ont des cellules </w:t>
      </w:r>
      <w:r w:rsidR="0047026E">
        <w:rPr>
          <w:szCs w:val="24"/>
          <w:lang w:val="fr-FR"/>
        </w:rPr>
        <w:t>équipées d’une literie en toile à titre d’alternative pour les détenus courant un risque él</w:t>
      </w:r>
      <w:r w:rsidR="005462BC">
        <w:rPr>
          <w:szCs w:val="24"/>
          <w:lang w:val="fr-FR"/>
        </w:rPr>
        <w:t>evé d’auto-agressivité</w:t>
      </w:r>
      <w:r w:rsidR="0047026E">
        <w:rPr>
          <w:szCs w:val="24"/>
          <w:lang w:val="fr-FR"/>
        </w:rPr>
        <w:t>.</w:t>
      </w:r>
    </w:p>
    <w:p w:rsidR="003268D7" w:rsidRDefault="003268D7" w:rsidP="005D7B68">
      <w:pPr>
        <w:tabs>
          <w:tab w:val="left" w:pos="567"/>
          <w:tab w:val="left" w:pos="1134"/>
          <w:tab w:val="left" w:pos="1701"/>
          <w:tab w:val="left" w:pos="2268"/>
          <w:tab w:val="left" w:pos="2835"/>
        </w:tabs>
        <w:rPr>
          <w:b/>
          <w:bCs/>
          <w:szCs w:val="24"/>
          <w:lang w:val="fr-FR"/>
        </w:rPr>
      </w:pPr>
      <w:r>
        <w:rPr>
          <w:b/>
          <w:bCs/>
          <w:szCs w:val="24"/>
          <w:lang w:val="fr-FR"/>
        </w:rPr>
        <w:t>Tasmanie</w:t>
      </w:r>
    </w:p>
    <w:p w:rsidR="003268D7" w:rsidRDefault="003268D7" w:rsidP="005D7B68">
      <w:pPr>
        <w:tabs>
          <w:tab w:val="left" w:pos="567"/>
          <w:tab w:val="left" w:pos="1134"/>
          <w:tab w:val="left" w:pos="1701"/>
          <w:tab w:val="left" w:pos="2268"/>
          <w:tab w:val="left" w:pos="2835"/>
        </w:tabs>
        <w:rPr>
          <w:szCs w:val="24"/>
          <w:lang w:val="fr-FR"/>
        </w:rPr>
      </w:pPr>
      <w:r>
        <w:rPr>
          <w:szCs w:val="24"/>
          <w:lang w:val="fr-FR"/>
        </w:rPr>
        <w:t>67</w:t>
      </w:r>
      <w:r w:rsidR="002A6CEC">
        <w:rPr>
          <w:szCs w:val="24"/>
          <w:lang w:val="fr-FR"/>
        </w:rPr>
        <w:t>8</w:t>
      </w:r>
      <w:r>
        <w:rPr>
          <w:szCs w:val="24"/>
          <w:lang w:val="fr-FR"/>
        </w:rPr>
        <w:t>.</w:t>
      </w:r>
      <w:r>
        <w:rPr>
          <w:szCs w:val="24"/>
          <w:lang w:val="fr-FR"/>
        </w:rPr>
        <w:tab/>
        <w:t>Les conclusions et les recommandations de l’information judiciaire sur les causes de la mort de cinq personnes pendant leur détention et d’une enquête sur la prison de Risdon et sur l’hôpital pénitentiaire ont été déposées au début de 2001</w:t>
      </w:r>
      <w:r w:rsidR="008D6B80">
        <w:rPr>
          <w:szCs w:val="24"/>
          <w:lang w:val="fr-FR"/>
        </w:rPr>
        <w:t xml:space="preserve">. </w:t>
      </w:r>
      <w:r>
        <w:rPr>
          <w:szCs w:val="24"/>
          <w:lang w:val="fr-FR"/>
        </w:rPr>
        <w:t>La mise en œuvre de ces recommandations s’est poursuivie en 2005-06.</w:t>
      </w:r>
    </w:p>
    <w:p w:rsidR="00473C13" w:rsidRPr="00BA3F78" w:rsidRDefault="00473C13" w:rsidP="005D7B68">
      <w:pPr>
        <w:tabs>
          <w:tab w:val="left" w:pos="567"/>
          <w:tab w:val="left" w:pos="1134"/>
          <w:tab w:val="left" w:pos="1701"/>
          <w:tab w:val="left" w:pos="2268"/>
          <w:tab w:val="left" w:pos="2835"/>
        </w:tabs>
        <w:rPr>
          <w:szCs w:val="24"/>
          <w:lang w:val="fr-FR"/>
        </w:rPr>
      </w:pPr>
      <w:r>
        <w:rPr>
          <w:szCs w:val="24"/>
          <w:lang w:val="fr-FR"/>
        </w:rPr>
        <w:t>6</w:t>
      </w:r>
      <w:r w:rsidR="002A6CEC">
        <w:rPr>
          <w:szCs w:val="24"/>
          <w:lang w:val="fr-FR"/>
        </w:rPr>
        <w:t>79</w:t>
      </w:r>
      <w:r>
        <w:rPr>
          <w:szCs w:val="24"/>
          <w:lang w:val="fr-FR"/>
        </w:rPr>
        <w:t>.</w:t>
      </w:r>
      <w:r>
        <w:rPr>
          <w:szCs w:val="24"/>
          <w:lang w:val="fr-FR"/>
        </w:rPr>
        <w:tab/>
      </w:r>
      <w:r w:rsidR="006D27D8">
        <w:rPr>
          <w:szCs w:val="24"/>
          <w:lang w:val="fr-FR"/>
        </w:rPr>
        <w:t>L’agent chargé de l’examen des opérations, nommé en novembre 2004 pour contrôler la mise en œuvre des recommandations</w:t>
      </w:r>
      <w:r w:rsidR="00BA3F78">
        <w:rPr>
          <w:szCs w:val="24"/>
          <w:lang w:val="fr-FR"/>
        </w:rPr>
        <w:t>,</w:t>
      </w:r>
      <w:r w:rsidR="00A8119F">
        <w:rPr>
          <w:szCs w:val="24"/>
          <w:lang w:val="fr-FR"/>
        </w:rPr>
        <w:t xml:space="preserve"> a établi deux rapports en 2005/</w:t>
      </w:r>
      <w:r w:rsidR="00BA3F78">
        <w:rPr>
          <w:szCs w:val="24"/>
          <w:lang w:val="fr-FR"/>
        </w:rPr>
        <w:t>06</w:t>
      </w:r>
      <w:r w:rsidR="008D6B80">
        <w:rPr>
          <w:szCs w:val="24"/>
          <w:lang w:val="fr-FR"/>
        </w:rPr>
        <w:t xml:space="preserve">. </w:t>
      </w:r>
      <w:r w:rsidR="00BA3F78">
        <w:rPr>
          <w:szCs w:val="24"/>
          <w:lang w:val="fr-FR"/>
        </w:rPr>
        <w:t xml:space="preserve">Ils étaient consacrés à la mise en œuvre par le Service pénitentiaire des recommandations du </w:t>
      </w:r>
      <w:r w:rsidR="00BA3F78">
        <w:rPr>
          <w:i/>
          <w:iCs/>
          <w:szCs w:val="24"/>
          <w:lang w:val="fr-FR"/>
        </w:rPr>
        <w:t>Coroner</w:t>
      </w:r>
      <w:r w:rsidR="00BA3F78">
        <w:rPr>
          <w:szCs w:val="24"/>
          <w:lang w:val="fr-FR"/>
        </w:rPr>
        <w:t xml:space="preserve"> et de celles du Médiateur sur la formation, les drogues, la santé, la sécurité, le bien-être et le traitement des détenus</w:t>
      </w:r>
      <w:r w:rsidR="008D6B80">
        <w:rPr>
          <w:szCs w:val="24"/>
          <w:lang w:val="fr-FR"/>
        </w:rPr>
        <w:t xml:space="preserve">. </w:t>
      </w:r>
      <w:r w:rsidR="00BA3F78">
        <w:rPr>
          <w:szCs w:val="24"/>
          <w:lang w:val="fr-FR"/>
        </w:rPr>
        <w:t>Il remettra un rapport sur la mise en œuvre des recommandations du Médiateurs relatives à la sécurité pénitentiaire en 2006-07</w:t>
      </w:r>
      <w:r w:rsidR="008D6B80">
        <w:rPr>
          <w:szCs w:val="24"/>
          <w:lang w:val="fr-FR"/>
        </w:rPr>
        <w:t xml:space="preserve">. </w:t>
      </w:r>
      <w:r w:rsidR="008E1C0F">
        <w:rPr>
          <w:szCs w:val="24"/>
          <w:lang w:val="fr-FR"/>
        </w:rPr>
        <w:t>Le Service pénitentiaire prévoit que la mise en œuvre des recommandations formulées dans les deux rapports sera alors arrêtée définitivement.</w:t>
      </w:r>
    </w:p>
    <w:p w:rsidR="00AF1E00" w:rsidRDefault="008E1C0F" w:rsidP="005D7B68">
      <w:pPr>
        <w:tabs>
          <w:tab w:val="left" w:pos="567"/>
          <w:tab w:val="left" w:pos="1134"/>
          <w:tab w:val="left" w:pos="1701"/>
          <w:tab w:val="left" w:pos="2268"/>
          <w:tab w:val="left" w:pos="2835"/>
        </w:tabs>
        <w:rPr>
          <w:b/>
          <w:bCs/>
          <w:lang w:val="fr-FR"/>
        </w:rPr>
      </w:pPr>
      <w:r>
        <w:rPr>
          <w:b/>
          <w:bCs/>
          <w:lang w:val="fr-FR"/>
        </w:rPr>
        <w:t>Territoire de la capitale australienne</w:t>
      </w:r>
    </w:p>
    <w:p w:rsidR="008E1C0F" w:rsidRDefault="008E1C0F" w:rsidP="005D7B68">
      <w:pPr>
        <w:tabs>
          <w:tab w:val="left" w:pos="567"/>
          <w:tab w:val="left" w:pos="1134"/>
          <w:tab w:val="left" w:pos="1701"/>
          <w:tab w:val="left" w:pos="2268"/>
          <w:tab w:val="left" w:pos="2835"/>
        </w:tabs>
        <w:rPr>
          <w:lang w:val="fr-FR"/>
        </w:rPr>
      </w:pPr>
      <w:r>
        <w:rPr>
          <w:lang w:val="fr-FR"/>
        </w:rPr>
        <w:t>68</w:t>
      </w:r>
      <w:r w:rsidR="002A6CEC">
        <w:rPr>
          <w:lang w:val="fr-FR"/>
        </w:rPr>
        <w:t>0</w:t>
      </w:r>
      <w:r>
        <w:rPr>
          <w:lang w:val="fr-FR"/>
        </w:rPr>
        <w:t>.</w:t>
      </w:r>
      <w:r>
        <w:rPr>
          <w:lang w:val="fr-FR"/>
        </w:rPr>
        <w:tab/>
        <w:t>Depuis 2000, aucun décès n’a été enregistré dans les établissements pénitentiaires du Territoire de la capitale</w:t>
      </w:r>
      <w:r w:rsidR="000C6820">
        <w:rPr>
          <w:lang w:val="fr-FR"/>
        </w:rPr>
        <w:t xml:space="preserve"> fédérale</w:t>
      </w:r>
      <w:r>
        <w:rPr>
          <w:lang w:val="fr-FR"/>
        </w:rPr>
        <w:t>, le dernier remontant à 1998</w:t>
      </w:r>
      <w:r w:rsidR="008D6B80">
        <w:rPr>
          <w:lang w:val="fr-FR"/>
        </w:rPr>
        <w:t xml:space="preserve">. </w:t>
      </w:r>
      <w:r>
        <w:rPr>
          <w:lang w:val="fr-FR"/>
        </w:rPr>
        <w:t>Depuis lors, les services pénitentiaires du Territoire de la capitale ont instauré un système dans le cadre duquel tous les détenus font l’objet d’un contrôle visuel toutes les 30 minutes, jour et nuit.</w:t>
      </w:r>
    </w:p>
    <w:p w:rsidR="008E1C0F" w:rsidRDefault="008E1C0F" w:rsidP="005D7B68">
      <w:pPr>
        <w:tabs>
          <w:tab w:val="left" w:pos="567"/>
          <w:tab w:val="left" w:pos="1134"/>
          <w:tab w:val="left" w:pos="1701"/>
          <w:tab w:val="left" w:pos="2268"/>
          <w:tab w:val="left" w:pos="2835"/>
        </w:tabs>
        <w:rPr>
          <w:lang w:val="fr-FR"/>
        </w:rPr>
      </w:pPr>
      <w:r>
        <w:rPr>
          <w:lang w:val="fr-FR"/>
        </w:rPr>
        <w:t>68</w:t>
      </w:r>
      <w:r w:rsidR="002A6CEC">
        <w:rPr>
          <w:lang w:val="fr-FR"/>
        </w:rPr>
        <w:t>1</w:t>
      </w:r>
      <w:r>
        <w:rPr>
          <w:lang w:val="fr-FR"/>
        </w:rPr>
        <w:t>.</w:t>
      </w:r>
      <w:r>
        <w:rPr>
          <w:lang w:val="fr-FR"/>
        </w:rPr>
        <w:tab/>
        <w:t>En 2002, un homme âgé de 48 ans est décédé peu après avoir été relâché du City Watch House (locale de garde à vue de la capitale)</w:t>
      </w:r>
      <w:r w:rsidR="008D6B80">
        <w:rPr>
          <w:lang w:val="fr-FR"/>
        </w:rPr>
        <w:t xml:space="preserve">. </w:t>
      </w:r>
      <w:r>
        <w:rPr>
          <w:lang w:val="fr-FR"/>
        </w:rPr>
        <w:t>Il avait un certain nombre de côtes fracturées à la suite d’une chute dans le poste de police</w:t>
      </w:r>
      <w:r w:rsidR="00572260">
        <w:rPr>
          <w:lang w:val="fr-FR"/>
        </w:rPr>
        <w:t>;</w:t>
      </w:r>
      <w:r w:rsidR="002060B5">
        <w:rPr>
          <w:lang w:val="fr-FR"/>
        </w:rPr>
        <w:t xml:space="preserve"> toutefois, l’enquête a mis la police hors de cause.</w:t>
      </w:r>
    </w:p>
    <w:p w:rsidR="002060B5" w:rsidRDefault="002060B5" w:rsidP="005D7B68">
      <w:pPr>
        <w:tabs>
          <w:tab w:val="left" w:pos="567"/>
          <w:tab w:val="left" w:pos="1134"/>
          <w:tab w:val="left" w:pos="1701"/>
          <w:tab w:val="left" w:pos="2268"/>
          <w:tab w:val="left" w:pos="2835"/>
        </w:tabs>
        <w:rPr>
          <w:b/>
          <w:bCs/>
          <w:lang w:val="fr-FR"/>
        </w:rPr>
      </w:pPr>
      <w:r>
        <w:rPr>
          <w:b/>
          <w:bCs/>
          <w:lang w:val="fr-FR"/>
        </w:rPr>
        <w:t>Question 25</w:t>
      </w:r>
    </w:p>
    <w:p w:rsidR="002060B5" w:rsidRPr="002060B5" w:rsidRDefault="002060B5" w:rsidP="005D7B68">
      <w:pPr>
        <w:tabs>
          <w:tab w:val="left" w:pos="567"/>
          <w:tab w:val="left" w:pos="1134"/>
          <w:tab w:val="left" w:pos="1701"/>
          <w:tab w:val="left" w:pos="2268"/>
          <w:tab w:val="left" w:pos="2835"/>
        </w:tabs>
        <w:rPr>
          <w:b/>
          <w:bCs/>
          <w:lang w:val="fr-FR"/>
        </w:rPr>
      </w:pPr>
      <w:r>
        <w:rPr>
          <w:b/>
          <w:bCs/>
          <w:lang w:val="fr-FR"/>
        </w:rPr>
        <w:tab/>
      </w:r>
      <w:r w:rsidRPr="002060B5">
        <w:rPr>
          <w:b/>
          <w:bCs/>
          <w:lang w:val="fr-FR"/>
        </w:rPr>
        <w:t>Donner au Comité des statistiques, ventilées par lieu, sexe, âge et appartenance ethnique sur les affaires dans lesquelles des peines obligatoires ont été prononcées. Commenter cette question, qui est abordée dans les observations finales formulées par le Comité des droits de l’enfant en septembre 2005 (CRC/C/15/Add.268, par. 72 à 74).</w:t>
      </w:r>
    </w:p>
    <w:p w:rsidR="002060B5" w:rsidRDefault="002060B5" w:rsidP="005D7B68">
      <w:pPr>
        <w:tabs>
          <w:tab w:val="left" w:pos="567"/>
          <w:tab w:val="left" w:pos="1134"/>
          <w:tab w:val="left" w:pos="1701"/>
          <w:tab w:val="left" w:pos="2268"/>
          <w:tab w:val="left" w:pos="2835"/>
        </w:tabs>
        <w:rPr>
          <w:lang w:val="fr-FR"/>
        </w:rPr>
      </w:pPr>
      <w:r>
        <w:rPr>
          <w:lang w:val="fr-FR"/>
        </w:rPr>
        <w:t>68</w:t>
      </w:r>
      <w:r w:rsidR="002A6CEC">
        <w:rPr>
          <w:lang w:val="fr-FR"/>
        </w:rPr>
        <w:t>2</w:t>
      </w:r>
      <w:r>
        <w:rPr>
          <w:lang w:val="fr-FR"/>
        </w:rPr>
        <w:t>.</w:t>
      </w:r>
      <w:r>
        <w:rPr>
          <w:lang w:val="fr-FR"/>
        </w:rPr>
        <w:tab/>
        <w:t>Avant tout, le Gouvernement australien note qu’il se peut que cette question déborde le mandat du Comité et que</w:t>
      </w:r>
      <w:r w:rsidR="00813601">
        <w:rPr>
          <w:lang w:val="fr-FR"/>
        </w:rPr>
        <w:t xml:space="preserve"> les suites à donner aux observations du Comité des droits de l’enfant relèvent dudit comité</w:t>
      </w:r>
      <w:r w:rsidR="008D6B80">
        <w:rPr>
          <w:lang w:val="fr-FR"/>
        </w:rPr>
        <w:t xml:space="preserve">. </w:t>
      </w:r>
      <w:r w:rsidR="000C6820">
        <w:rPr>
          <w:lang w:val="fr-FR"/>
        </w:rPr>
        <w:t>Cependant, afin d’être utile</w:t>
      </w:r>
      <w:r w:rsidR="00813601">
        <w:rPr>
          <w:lang w:val="fr-FR"/>
        </w:rPr>
        <w:t xml:space="preserve"> au Comité contre la torture,</w:t>
      </w:r>
      <w:r w:rsidR="000C6820">
        <w:rPr>
          <w:lang w:val="fr-FR"/>
        </w:rPr>
        <w:t xml:space="preserve"> le gouvernement est d’accord pour</w:t>
      </w:r>
      <w:r w:rsidR="00813601">
        <w:rPr>
          <w:lang w:val="fr-FR"/>
        </w:rPr>
        <w:t xml:space="preserve"> communiquer les informations qui suivent.</w:t>
      </w:r>
    </w:p>
    <w:p w:rsidR="00813601" w:rsidRDefault="00813601" w:rsidP="005D7B68">
      <w:pPr>
        <w:tabs>
          <w:tab w:val="left" w:pos="567"/>
          <w:tab w:val="left" w:pos="1134"/>
          <w:tab w:val="left" w:pos="1701"/>
          <w:tab w:val="left" w:pos="2268"/>
          <w:tab w:val="left" w:pos="2835"/>
        </w:tabs>
        <w:rPr>
          <w:lang w:val="fr-FR"/>
        </w:rPr>
      </w:pPr>
      <w:r>
        <w:rPr>
          <w:lang w:val="fr-FR"/>
        </w:rPr>
        <w:t>68</w:t>
      </w:r>
      <w:r w:rsidR="002A6CEC">
        <w:rPr>
          <w:lang w:val="fr-FR"/>
        </w:rPr>
        <w:t>3</w:t>
      </w:r>
      <w:r>
        <w:rPr>
          <w:lang w:val="fr-FR"/>
        </w:rPr>
        <w:t>.</w:t>
      </w:r>
      <w:r>
        <w:rPr>
          <w:lang w:val="fr-FR"/>
        </w:rPr>
        <w:tab/>
        <w:t>Dans la première partie de la réponse ci-dessous, le lecteur trouvera des statistiques du Commonwealth sur les peines obligatoires qui ont été prononcées</w:t>
      </w:r>
      <w:r w:rsidR="008D6B80">
        <w:rPr>
          <w:lang w:val="fr-FR"/>
        </w:rPr>
        <w:t xml:space="preserve">. </w:t>
      </w:r>
      <w:r>
        <w:rPr>
          <w:lang w:val="fr-FR"/>
        </w:rPr>
        <w:t>La deuxième partie présente d’autres informations détaillées en provenance d’</w:t>
      </w:r>
      <w:r w:rsidR="008E1139">
        <w:rPr>
          <w:lang w:val="fr-FR"/>
        </w:rPr>
        <w:t>Australie occidentale</w:t>
      </w:r>
      <w:r>
        <w:rPr>
          <w:lang w:val="fr-FR"/>
        </w:rPr>
        <w:t>, seul État australien possédant des lois relatives aux peines obligatoires en rapport avec la question 25.</w:t>
      </w:r>
    </w:p>
    <w:p w:rsidR="00813601" w:rsidRDefault="00813601" w:rsidP="005D7B68">
      <w:pPr>
        <w:tabs>
          <w:tab w:val="left" w:pos="567"/>
          <w:tab w:val="left" w:pos="1134"/>
          <w:tab w:val="left" w:pos="1701"/>
          <w:tab w:val="left" w:pos="2268"/>
          <w:tab w:val="left" w:pos="2835"/>
        </w:tabs>
        <w:rPr>
          <w:b/>
          <w:bCs/>
          <w:lang w:val="fr-FR"/>
        </w:rPr>
      </w:pPr>
      <w:r>
        <w:rPr>
          <w:b/>
          <w:bCs/>
          <w:lang w:val="fr-FR"/>
        </w:rPr>
        <w:t xml:space="preserve">Informations du </w:t>
      </w:r>
      <w:r w:rsidRPr="00813601">
        <w:rPr>
          <w:b/>
          <w:bCs/>
          <w:lang w:val="fr-FR"/>
        </w:rPr>
        <w:t>Gouvernement</w:t>
      </w:r>
      <w:r>
        <w:rPr>
          <w:b/>
          <w:bCs/>
          <w:lang w:val="fr-FR"/>
        </w:rPr>
        <w:t xml:space="preserve"> du Commonwealth</w:t>
      </w:r>
    </w:p>
    <w:p w:rsidR="00813601" w:rsidRDefault="00813601" w:rsidP="005D7B68">
      <w:pPr>
        <w:tabs>
          <w:tab w:val="left" w:pos="567"/>
          <w:tab w:val="left" w:pos="1134"/>
          <w:tab w:val="left" w:pos="1701"/>
          <w:tab w:val="left" w:pos="2268"/>
          <w:tab w:val="left" w:pos="2835"/>
        </w:tabs>
        <w:rPr>
          <w:lang w:val="fr-FR"/>
        </w:rPr>
      </w:pPr>
      <w:r>
        <w:rPr>
          <w:lang w:val="fr-FR"/>
        </w:rPr>
        <w:t>68</w:t>
      </w:r>
      <w:r w:rsidR="002A6CEC">
        <w:rPr>
          <w:lang w:val="fr-FR"/>
        </w:rPr>
        <w:t>4</w:t>
      </w:r>
      <w:r>
        <w:rPr>
          <w:lang w:val="fr-FR"/>
        </w:rPr>
        <w:t>.</w:t>
      </w:r>
      <w:r>
        <w:rPr>
          <w:lang w:val="fr-FR"/>
        </w:rPr>
        <w:tab/>
      </w:r>
      <w:r w:rsidR="00E45093">
        <w:rPr>
          <w:lang w:val="fr-FR"/>
        </w:rPr>
        <w:t>En règle générale, la législation pénale du Commonwealth donne une grande liberté d’appréciation au juge qui prononce les peines, ne prescrivant que la peine maximale pour l’infraction en question.</w:t>
      </w:r>
    </w:p>
    <w:p w:rsidR="00DF2E91" w:rsidRDefault="00E45093" w:rsidP="005D7B68">
      <w:pPr>
        <w:tabs>
          <w:tab w:val="left" w:pos="567"/>
          <w:tab w:val="left" w:pos="1134"/>
          <w:tab w:val="left" w:pos="1701"/>
          <w:tab w:val="left" w:pos="2268"/>
          <w:tab w:val="left" w:pos="2835"/>
        </w:tabs>
        <w:rPr>
          <w:color w:val="0000FF"/>
          <w:lang w:val="fr-FR"/>
        </w:rPr>
      </w:pPr>
      <w:r>
        <w:rPr>
          <w:lang w:val="fr-FR"/>
        </w:rPr>
        <w:t>68</w:t>
      </w:r>
      <w:r w:rsidR="002A6CEC">
        <w:rPr>
          <w:lang w:val="fr-FR"/>
        </w:rPr>
        <w:t>5</w:t>
      </w:r>
      <w:r>
        <w:rPr>
          <w:lang w:val="fr-FR"/>
        </w:rPr>
        <w:t>.</w:t>
      </w:r>
      <w:r>
        <w:rPr>
          <w:lang w:val="fr-FR"/>
        </w:rPr>
        <w:tab/>
        <w:t xml:space="preserve">Ne font exception à cela que les articles 232A et 233A de la </w:t>
      </w:r>
      <w:r w:rsidRPr="00292BB1">
        <w:rPr>
          <w:lang w:val="fr-FR"/>
        </w:rPr>
        <w:t>loi de 1958 sur l’immigration</w:t>
      </w:r>
      <w:r w:rsidR="00292BB1">
        <w:rPr>
          <w:lang w:val="fr-FR"/>
        </w:rPr>
        <w:t>, qui érigent en infractions diverses le</w:t>
      </w:r>
      <w:r>
        <w:rPr>
          <w:lang w:val="fr-FR"/>
        </w:rPr>
        <w:t xml:space="preserve"> fait de faire pénétrer des groupes de non-ressortissants en Australie, lesquelles</w:t>
      </w:r>
      <w:r w:rsidR="00292BB1">
        <w:rPr>
          <w:lang w:val="fr-FR"/>
        </w:rPr>
        <w:t xml:space="preserve"> infractions</w:t>
      </w:r>
      <w:r>
        <w:rPr>
          <w:lang w:val="fr-FR"/>
        </w:rPr>
        <w:t xml:space="preserve"> sont passibles d’une peine maximale de 20 ans</w:t>
      </w:r>
      <w:r w:rsidR="00292BB1">
        <w:rPr>
          <w:lang w:val="fr-FR"/>
        </w:rPr>
        <w:t xml:space="preserve"> d’emprisonnement</w:t>
      </w:r>
      <w:r w:rsidR="008D6B80">
        <w:rPr>
          <w:lang w:val="fr-FR"/>
        </w:rPr>
        <w:t xml:space="preserve">. </w:t>
      </w:r>
      <w:r w:rsidR="00292BB1">
        <w:rPr>
          <w:lang w:val="fr-FR"/>
        </w:rPr>
        <w:t>L’article</w:t>
      </w:r>
      <w:r>
        <w:rPr>
          <w:lang w:val="fr-FR"/>
        </w:rPr>
        <w:t xml:space="preserve"> 233B et 233C de la loi sur l’immigration prévoit des peines obligatoires à l’encontre de ces infractions</w:t>
      </w:r>
      <w:r w:rsidR="008D6B80">
        <w:rPr>
          <w:lang w:val="fr-FR"/>
        </w:rPr>
        <w:t xml:space="preserve">. </w:t>
      </w:r>
      <w:r w:rsidR="00BD7B5A">
        <w:rPr>
          <w:lang w:val="fr-FR"/>
        </w:rPr>
        <w:t xml:space="preserve">L’article 233B </w:t>
      </w:r>
      <w:r w:rsidR="00BD7B5A" w:rsidRPr="00213B77">
        <w:rPr>
          <w:lang w:val="fr-FR"/>
        </w:rPr>
        <w:t>porte interdiction de rendre</w:t>
      </w:r>
      <w:r w:rsidR="00FA26D2" w:rsidRPr="00213B77">
        <w:rPr>
          <w:lang w:val="fr-FR"/>
        </w:rPr>
        <w:t>, en l’occurrence,</w:t>
      </w:r>
      <w:r w:rsidR="00213B77" w:rsidRPr="00213B77">
        <w:rPr>
          <w:lang w:val="fr-FR"/>
        </w:rPr>
        <w:t xml:space="preserve"> une décision de relaxe</w:t>
      </w:r>
      <w:r w:rsidR="008D6B80">
        <w:rPr>
          <w:lang w:val="fr-FR"/>
        </w:rPr>
        <w:t xml:space="preserve">. </w:t>
      </w:r>
      <w:r w:rsidR="00FA26D2" w:rsidRPr="00213B77">
        <w:rPr>
          <w:lang w:val="fr-FR"/>
        </w:rPr>
        <w:t>L’article 233C prévo</w:t>
      </w:r>
      <w:r w:rsidR="00FA26D2">
        <w:rPr>
          <w:lang w:val="fr-FR"/>
        </w:rPr>
        <w:t xml:space="preserve">it que (sauf à ce que la personne concernée soit âgée de moins de 18 ans au moment de la commission de l’infraction) le tribunal doit imposer une peine d’emprisonnement d’au moins huit </w:t>
      </w:r>
      <w:r w:rsidR="00FA26D2" w:rsidRPr="00213B77">
        <w:rPr>
          <w:lang w:val="fr-FR"/>
        </w:rPr>
        <w:t>ans</w:t>
      </w:r>
      <w:r w:rsidR="00213B77" w:rsidRPr="00213B77">
        <w:rPr>
          <w:lang w:val="fr-FR"/>
        </w:rPr>
        <w:t xml:space="preserve"> dont cinq ans</w:t>
      </w:r>
      <w:r w:rsidR="00292BB1" w:rsidRPr="00213B77">
        <w:rPr>
          <w:lang w:val="fr-FR"/>
        </w:rPr>
        <w:t xml:space="preserve"> incompressibles</w:t>
      </w:r>
      <w:r w:rsidR="00FA26D2" w:rsidRPr="00213B77">
        <w:rPr>
          <w:lang w:val="fr-FR"/>
        </w:rPr>
        <w:t xml:space="preserve"> s’il s’agit d’une récidive, et de cinq ans</w:t>
      </w:r>
      <w:r w:rsidR="00213B77" w:rsidRPr="00213B77">
        <w:rPr>
          <w:lang w:val="fr-FR"/>
        </w:rPr>
        <w:t xml:space="preserve"> dont trois ans</w:t>
      </w:r>
      <w:r w:rsidR="00292BB1" w:rsidRPr="00213B77">
        <w:rPr>
          <w:lang w:val="fr-FR"/>
        </w:rPr>
        <w:t xml:space="preserve"> incompressibles</w:t>
      </w:r>
      <w:r w:rsidR="00FA26D2">
        <w:rPr>
          <w:lang w:val="fr-FR"/>
        </w:rPr>
        <w:t xml:space="preserve"> dans les autres cas</w:t>
      </w:r>
      <w:r w:rsidR="00213B77">
        <w:rPr>
          <w:lang w:val="fr-FR"/>
        </w:rPr>
        <w:t>.</w:t>
      </w:r>
      <w:r w:rsidRPr="00FA26D2">
        <w:rPr>
          <w:color w:val="0000FF"/>
          <w:lang w:val="fr-FR"/>
        </w:rPr>
        <w:t xml:space="preserve"> </w:t>
      </w:r>
    </w:p>
    <w:p w:rsidR="00E45093" w:rsidRPr="0004568E" w:rsidRDefault="00FA26D2" w:rsidP="005D7B68">
      <w:pPr>
        <w:tabs>
          <w:tab w:val="left" w:pos="567"/>
          <w:tab w:val="left" w:pos="1134"/>
          <w:tab w:val="left" w:pos="1701"/>
          <w:tab w:val="left" w:pos="2268"/>
          <w:tab w:val="left" w:pos="2835"/>
        </w:tabs>
        <w:rPr>
          <w:color w:val="0000FF"/>
          <w:lang w:val="fr-FR"/>
        </w:rPr>
      </w:pPr>
      <w:r w:rsidRPr="0004568E">
        <w:rPr>
          <w:lang w:val="fr-FR"/>
        </w:rPr>
        <w:t>68</w:t>
      </w:r>
      <w:r w:rsidR="002A6CEC">
        <w:rPr>
          <w:lang w:val="fr-FR"/>
        </w:rPr>
        <w:t>6</w:t>
      </w:r>
      <w:r w:rsidRPr="0004568E">
        <w:rPr>
          <w:lang w:val="fr-FR"/>
        </w:rPr>
        <w:t>.</w:t>
      </w:r>
      <w:r w:rsidR="0004568E" w:rsidRPr="0004568E">
        <w:rPr>
          <w:lang w:val="fr-FR"/>
        </w:rPr>
        <w:tab/>
        <w:t xml:space="preserve">Les archives du </w:t>
      </w:r>
      <w:r w:rsidR="0004568E" w:rsidRPr="0004568E">
        <w:rPr>
          <w:i/>
          <w:iCs/>
          <w:lang w:val="fr-FR"/>
        </w:rPr>
        <w:t>Commonwealth Director of Public Prosecutions</w:t>
      </w:r>
      <w:r w:rsidR="0004568E" w:rsidRPr="0004568E">
        <w:rPr>
          <w:lang w:val="fr-FR"/>
        </w:rPr>
        <w:t xml:space="preserve"> (Directeur du Parquet du Commonwealth) donnent les renseignements suivants sur les personnes </w:t>
      </w:r>
      <w:r w:rsidR="0004568E">
        <w:rPr>
          <w:lang w:val="fr-FR"/>
        </w:rPr>
        <w:t>condamnée</w:t>
      </w:r>
      <w:r w:rsidR="007F5DCF">
        <w:rPr>
          <w:lang w:val="fr-FR"/>
        </w:rPr>
        <w:t>s</w:t>
      </w:r>
      <w:r w:rsidR="0004568E">
        <w:rPr>
          <w:lang w:val="fr-FR"/>
        </w:rPr>
        <w:t xml:space="preserve"> en vertu de ces dispo</w:t>
      </w:r>
      <w:r w:rsidR="0004568E" w:rsidRPr="0004568E">
        <w:rPr>
          <w:lang w:val="fr-FR"/>
        </w:rPr>
        <w:t>sitions</w:t>
      </w:r>
      <w:r w:rsidRPr="0004568E">
        <w:rPr>
          <w:lang w:val="fr-FR"/>
        </w:rPr>
        <w:tab/>
      </w:r>
      <w:r w:rsidR="00E45093" w:rsidRPr="0004568E">
        <w:rPr>
          <w:color w:val="0000FF"/>
          <w:lang w:val="fr-FR"/>
        </w:rPr>
        <w:t xml:space="preserve"> </w:t>
      </w:r>
    </w:p>
    <w:tbl>
      <w:tblPr>
        <w:tblW w:w="9240"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2290"/>
        <w:gridCol w:w="3780"/>
        <w:gridCol w:w="1980"/>
        <w:gridCol w:w="1190"/>
      </w:tblGrid>
      <w:tr w:rsidR="0004568E" w:rsidRPr="001D4823">
        <w:tblPrEx>
          <w:tblCellMar>
            <w:top w:w="0" w:type="dxa"/>
            <w:bottom w:w="0" w:type="dxa"/>
          </w:tblCellMar>
        </w:tblPrEx>
        <w:trPr>
          <w:tblHeader/>
        </w:trPr>
        <w:tc>
          <w:tcPr>
            <w:tcW w:w="2290" w:type="dxa"/>
            <w:tcBorders>
              <w:top w:val="single" w:sz="2" w:space="0" w:color="auto"/>
              <w:bottom w:val="single" w:sz="2" w:space="0" w:color="auto"/>
            </w:tcBorders>
            <w:vAlign w:val="center"/>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lang w:val="fr-FR"/>
              </w:rPr>
            </w:pPr>
            <w:r w:rsidRPr="001D4823">
              <w:rPr>
                <w:sz w:val="22"/>
                <w:szCs w:val="22"/>
                <w:lang w:val="fr-FR"/>
              </w:rPr>
              <w:t>Lieu</w:t>
            </w:r>
          </w:p>
        </w:tc>
        <w:tc>
          <w:tcPr>
            <w:tcW w:w="3780" w:type="dxa"/>
            <w:tcBorders>
              <w:top w:val="single" w:sz="2" w:space="0" w:color="auto"/>
              <w:bottom w:val="single" w:sz="2" w:space="0" w:color="auto"/>
            </w:tcBorders>
            <w:vAlign w:val="center"/>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Condamnation</w:t>
            </w:r>
          </w:p>
        </w:tc>
        <w:tc>
          <w:tcPr>
            <w:tcW w:w="1980" w:type="dxa"/>
            <w:tcBorders>
              <w:top w:val="single" w:sz="2" w:space="0" w:color="auto"/>
              <w:bottom w:val="single" w:sz="2" w:space="0" w:color="auto"/>
            </w:tcBorders>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lang w:val="fr-FR"/>
              </w:rPr>
            </w:pPr>
            <w:r w:rsidRPr="001D4823">
              <w:rPr>
                <w:sz w:val="22"/>
                <w:szCs w:val="22"/>
                <w:lang w:val="fr-FR"/>
              </w:rPr>
              <w:t>Âge au moment de la condamnation</w:t>
            </w:r>
          </w:p>
        </w:tc>
        <w:tc>
          <w:tcPr>
            <w:tcW w:w="1190" w:type="dxa"/>
            <w:tcBorders>
              <w:top w:val="single" w:sz="2" w:space="0" w:color="auto"/>
              <w:bottom w:val="single" w:sz="2" w:space="0" w:color="auto"/>
            </w:tcBorders>
            <w:vAlign w:val="center"/>
          </w:tcPr>
          <w:p w:rsidR="0004568E" w:rsidRPr="001D4823" w:rsidRDefault="0004568E"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Sex</w:t>
            </w:r>
            <w:r w:rsidR="007F5DCF" w:rsidRPr="001D4823">
              <w:rPr>
                <w:sz w:val="22"/>
                <w:szCs w:val="22"/>
              </w:rPr>
              <w:t>e</w:t>
            </w:r>
          </w:p>
        </w:tc>
      </w:tr>
      <w:tr w:rsidR="0004568E" w:rsidRPr="00DF2E91">
        <w:tblPrEx>
          <w:tblCellMar>
            <w:top w:w="0" w:type="dxa"/>
            <w:bottom w:w="0" w:type="dxa"/>
          </w:tblCellMar>
        </w:tblPrEx>
        <w:tc>
          <w:tcPr>
            <w:tcW w:w="2290" w:type="dxa"/>
            <w:tcBorders>
              <w:top w:val="single" w:sz="2" w:space="0" w:color="auto"/>
            </w:tcBorders>
          </w:tcPr>
          <w:p w:rsidR="0004568E" w:rsidRPr="00DF2E91" w:rsidRDefault="00EF6880" w:rsidP="005D7B68">
            <w:pPr>
              <w:tabs>
                <w:tab w:val="left" w:pos="567"/>
                <w:tab w:val="left" w:pos="1134"/>
                <w:tab w:val="left" w:pos="1701"/>
                <w:tab w:val="left" w:pos="2268"/>
                <w:tab w:val="left" w:pos="2835"/>
              </w:tabs>
              <w:spacing w:before="20" w:after="20"/>
              <w:rPr>
                <w:sz w:val="22"/>
                <w:szCs w:val="22"/>
                <w:lang w:val="fr-FR"/>
              </w:rPr>
            </w:pPr>
            <w:r>
              <w:rPr>
                <w:sz w:val="22"/>
                <w:szCs w:val="22"/>
                <w:lang w:val="fr-FR"/>
              </w:rPr>
              <w:t xml:space="preserve">Australie </w:t>
            </w:r>
            <w:r w:rsidR="00DF2E91" w:rsidRPr="00DF2E91">
              <w:rPr>
                <w:sz w:val="22"/>
                <w:szCs w:val="22"/>
                <w:lang w:val="fr-FR"/>
              </w:rPr>
              <w:t>o</w:t>
            </w:r>
            <w:r w:rsidR="00DF2E91">
              <w:rPr>
                <w:sz w:val="22"/>
                <w:szCs w:val="22"/>
                <w:lang w:val="fr-FR"/>
              </w:rPr>
              <w:t>ccident</w:t>
            </w:r>
            <w:r>
              <w:rPr>
                <w:sz w:val="22"/>
                <w:szCs w:val="22"/>
                <w:lang w:val="fr-FR"/>
              </w:rPr>
              <w:t>ale</w:t>
            </w:r>
          </w:p>
        </w:tc>
        <w:tc>
          <w:tcPr>
            <w:tcW w:w="3780" w:type="dxa"/>
            <w:tcBorders>
              <w:top w:val="single" w:sz="2" w:space="0" w:color="auto"/>
            </w:tcBorders>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 dont</w:t>
            </w:r>
            <w:r w:rsidRPr="001D4823">
              <w:rPr>
                <w:sz w:val="22"/>
                <w:szCs w:val="22"/>
                <w:lang w:val="fr-FR"/>
              </w:rPr>
              <w:t xml:space="preserve"> 3 </w:t>
            </w:r>
            <w:r w:rsidR="007F5DCF" w:rsidRPr="001D4823">
              <w:rPr>
                <w:sz w:val="22"/>
                <w:szCs w:val="22"/>
                <w:lang w:val="fr-FR"/>
              </w:rPr>
              <w:t>ans sans libération conditionnelle</w:t>
            </w:r>
          </w:p>
        </w:tc>
        <w:tc>
          <w:tcPr>
            <w:tcW w:w="1980" w:type="dxa"/>
            <w:tcBorders>
              <w:top w:val="single" w:sz="2" w:space="0" w:color="auto"/>
            </w:tcBorders>
            <w:vAlign w:val="bottom"/>
          </w:tcPr>
          <w:p w:rsidR="0004568E" w:rsidRPr="00DF2E91" w:rsidRDefault="0004568E"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29</w:t>
            </w:r>
            <w:r w:rsidR="007F5DCF" w:rsidRPr="00DF2E91">
              <w:rPr>
                <w:sz w:val="22"/>
                <w:szCs w:val="22"/>
                <w:lang w:val="fr-FR"/>
              </w:rPr>
              <w:t xml:space="preserve"> ans</w:t>
            </w:r>
          </w:p>
        </w:tc>
        <w:tc>
          <w:tcPr>
            <w:tcW w:w="1190" w:type="dxa"/>
            <w:tcBorders>
              <w:top w:val="single" w:sz="2" w:space="0" w:color="auto"/>
            </w:tcBorders>
            <w:vAlign w:val="bottom"/>
          </w:tcPr>
          <w:p w:rsidR="0004568E" w:rsidRPr="00DF2E91" w:rsidRDefault="007F5DCF"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Homme</w:t>
            </w:r>
          </w:p>
        </w:tc>
      </w:tr>
      <w:tr w:rsidR="0004568E" w:rsidRPr="001D4823">
        <w:tblPrEx>
          <w:tblCellMar>
            <w:top w:w="0" w:type="dxa"/>
            <w:bottom w:w="0" w:type="dxa"/>
          </w:tblCellMar>
        </w:tblPrEx>
        <w:tc>
          <w:tcPr>
            <w:tcW w:w="2290" w:type="dxa"/>
          </w:tcPr>
          <w:p w:rsidR="0004568E" w:rsidRPr="00DF2E91" w:rsidRDefault="00EF6880" w:rsidP="005D7B68">
            <w:pPr>
              <w:tabs>
                <w:tab w:val="left" w:pos="567"/>
                <w:tab w:val="left" w:pos="1134"/>
                <w:tab w:val="left" w:pos="1701"/>
                <w:tab w:val="left" w:pos="2268"/>
                <w:tab w:val="left" w:pos="2835"/>
              </w:tabs>
              <w:spacing w:before="20" w:after="20"/>
              <w:rPr>
                <w:sz w:val="22"/>
                <w:szCs w:val="22"/>
                <w:lang w:val="fr-FR"/>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color w:val="FF0000"/>
                <w:sz w:val="22"/>
                <w:szCs w:val="22"/>
                <w:lang w:val="fr-FR"/>
              </w:rPr>
            </w:pPr>
            <w:r w:rsidRPr="001D4823">
              <w:rPr>
                <w:sz w:val="22"/>
                <w:szCs w:val="22"/>
                <w:lang w:val="fr-FR"/>
              </w:rPr>
              <w:t xml:space="preserve">7 </w:t>
            </w:r>
            <w:r w:rsidR="007F5DCF" w:rsidRPr="001D4823">
              <w:rPr>
                <w:sz w:val="22"/>
                <w:szCs w:val="22"/>
                <w:lang w:val="fr-FR"/>
              </w:rPr>
              <w:t>ans 6 mois</w:t>
            </w:r>
            <w:r w:rsidRPr="001D4823">
              <w:rPr>
                <w:sz w:val="22"/>
                <w:szCs w:val="22"/>
                <w:lang w:val="fr-FR"/>
              </w:rPr>
              <w:t xml:space="preserve">, </w:t>
            </w:r>
            <w:r w:rsidR="007F5DCF" w:rsidRPr="001D4823">
              <w:rPr>
                <w:sz w:val="22"/>
                <w:szCs w:val="22"/>
                <w:lang w:val="fr-FR"/>
              </w:rPr>
              <w:t xml:space="preserve">dont 3 ans et 9 mois </w:t>
            </w:r>
            <w:r w:rsidR="00213B77" w:rsidRPr="001D4823">
              <w:rPr>
                <w:sz w:val="22"/>
                <w:szCs w:val="22"/>
                <w:lang w:val="fr-FR"/>
              </w:rPr>
              <w:t>incompressibles</w:t>
            </w:r>
          </w:p>
        </w:tc>
        <w:tc>
          <w:tcPr>
            <w:tcW w:w="1980" w:type="dxa"/>
            <w:vAlign w:val="bottom"/>
          </w:tcPr>
          <w:p w:rsidR="0004568E" w:rsidRPr="001D4823" w:rsidRDefault="0004568E" w:rsidP="005D7B68">
            <w:pPr>
              <w:tabs>
                <w:tab w:val="left" w:pos="567"/>
                <w:tab w:val="left" w:pos="1134"/>
                <w:tab w:val="left" w:pos="1701"/>
                <w:tab w:val="left" w:pos="2268"/>
                <w:tab w:val="left" w:pos="2835"/>
              </w:tabs>
              <w:spacing w:before="20" w:after="20"/>
              <w:jc w:val="center"/>
              <w:rPr>
                <w:sz w:val="22"/>
                <w:szCs w:val="22"/>
              </w:rPr>
            </w:pPr>
            <w:r w:rsidRPr="00DF2E91">
              <w:rPr>
                <w:sz w:val="22"/>
                <w:szCs w:val="22"/>
                <w:lang w:val="fr-FR"/>
              </w:rPr>
              <w:t>30</w:t>
            </w:r>
            <w:r w:rsidR="007F5DCF" w:rsidRPr="00DF2E91">
              <w:rPr>
                <w:sz w:val="22"/>
                <w:szCs w:val="22"/>
                <w:lang w:val="fr-FR"/>
              </w:rPr>
              <w:t xml:space="preserve"> </w:t>
            </w:r>
            <w:r w:rsidR="007F5DCF" w:rsidRPr="001D4823">
              <w:rPr>
                <w:sz w:val="22"/>
                <w:szCs w:val="22"/>
              </w:rPr>
              <w:t>ans</w:t>
            </w:r>
          </w:p>
        </w:tc>
        <w:tc>
          <w:tcPr>
            <w:tcW w:w="1190" w:type="dxa"/>
            <w:vAlign w:val="bottom"/>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Homme</w:t>
            </w:r>
          </w:p>
        </w:tc>
      </w:tr>
      <w:tr w:rsidR="0004568E" w:rsidRPr="001D4823">
        <w:tblPrEx>
          <w:tblCellMar>
            <w:top w:w="0" w:type="dxa"/>
            <w:bottom w:w="0" w:type="dxa"/>
          </w:tblCellMar>
        </w:tblPrEx>
        <w:tc>
          <w:tcPr>
            <w:tcW w:w="2290" w:type="dxa"/>
          </w:tcPr>
          <w:p w:rsidR="0004568E" w:rsidRPr="001D4823" w:rsidRDefault="00EF6880" w:rsidP="005D7B68">
            <w:pPr>
              <w:tabs>
                <w:tab w:val="left" w:pos="567"/>
                <w:tab w:val="left" w:pos="1134"/>
                <w:tab w:val="left" w:pos="1701"/>
                <w:tab w:val="left" w:pos="2268"/>
                <w:tab w:val="left" w:pos="2835"/>
              </w:tabs>
              <w:spacing w:before="20" w:after="20"/>
              <w:rPr>
                <w:sz w:val="22"/>
                <w:szCs w:val="22"/>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w:t>
            </w:r>
            <w:r w:rsidRPr="001D4823">
              <w:rPr>
                <w:sz w:val="22"/>
                <w:szCs w:val="22"/>
                <w:lang w:val="fr-FR"/>
              </w:rPr>
              <w:t xml:space="preserve">, </w:t>
            </w:r>
            <w:r w:rsidR="007F5DCF" w:rsidRPr="001D4823">
              <w:rPr>
                <w:sz w:val="22"/>
                <w:szCs w:val="22"/>
                <w:lang w:val="fr-FR"/>
              </w:rPr>
              <w:t xml:space="preserve">dont 3 ans </w:t>
            </w:r>
            <w:r w:rsidR="00213B77" w:rsidRPr="001D4823">
              <w:rPr>
                <w:sz w:val="22"/>
                <w:szCs w:val="22"/>
                <w:lang w:val="fr-FR"/>
              </w:rPr>
              <w:t>incompressibles</w:t>
            </w:r>
          </w:p>
        </w:tc>
        <w:tc>
          <w:tcPr>
            <w:tcW w:w="1980" w:type="dxa"/>
          </w:tcPr>
          <w:p w:rsidR="0004568E" w:rsidRPr="001D4823" w:rsidRDefault="0004568E"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19</w:t>
            </w:r>
            <w:r w:rsidR="007F5DCF" w:rsidRPr="001D4823">
              <w:rPr>
                <w:sz w:val="22"/>
                <w:szCs w:val="22"/>
              </w:rPr>
              <w:t xml:space="preserve"> ans</w:t>
            </w:r>
          </w:p>
        </w:tc>
        <w:tc>
          <w:tcPr>
            <w:tcW w:w="1190" w:type="dxa"/>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Homme</w:t>
            </w:r>
          </w:p>
        </w:tc>
      </w:tr>
      <w:tr w:rsidR="0004568E" w:rsidRPr="001D4823">
        <w:tblPrEx>
          <w:tblCellMar>
            <w:top w:w="0" w:type="dxa"/>
            <w:bottom w:w="0" w:type="dxa"/>
          </w:tblCellMar>
        </w:tblPrEx>
        <w:tc>
          <w:tcPr>
            <w:tcW w:w="2290" w:type="dxa"/>
          </w:tcPr>
          <w:p w:rsidR="0004568E" w:rsidRPr="001D4823" w:rsidRDefault="00EF6880" w:rsidP="005D7B68">
            <w:pPr>
              <w:tabs>
                <w:tab w:val="left" w:pos="567"/>
                <w:tab w:val="left" w:pos="1134"/>
                <w:tab w:val="left" w:pos="1701"/>
                <w:tab w:val="left" w:pos="2268"/>
                <w:tab w:val="left" w:pos="2835"/>
              </w:tabs>
              <w:spacing w:before="20" w:after="20"/>
              <w:rPr>
                <w:sz w:val="22"/>
                <w:szCs w:val="22"/>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w:t>
            </w:r>
            <w:r w:rsidRPr="001D4823">
              <w:rPr>
                <w:sz w:val="22"/>
                <w:szCs w:val="22"/>
                <w:lang w:val="fr-FR"/>
              </w:rPr>
              <w:t xml:space="preserve">, </w:t>
            </w:r>
            <w:r w:rsidR="00881828" w:rsidRPr="001D4823">
              <w:rPr>
                <w:sz w:val="22"/>
                <w:szCs w:val="22"/>
                <w:lang w:val="fr-FR"/>
              </w:rPr>
              <w:t xml:space="preserve">dont 3 ans </w:t>
            </w:r>
            <w:r w:rsidR="00213B77" w:rsidRPr="001D4823">
              <w:rPr>
                <w:sz w:val="22"/>
                <w:szCs w:val="22"/>
                <w:lang w:val="fr-FR"/>
              </w:rPr>
              <w:t>incompressibles</w:t>
            </w:r>
          </w:p>
        </w:tc>
        <w:tc>
          <w:tcPr>
            <w:tcW w:w="1980" w:type="dxa"/>
          </w:tcPr>
          <w:p w:rsidR="0004568E" w:rsidRPr="001D4823" w:rsidRDefault="0004568E"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62/80</w:t>
            </w:r>
            <w:r w:rsidR="007F5DCF" w:rsidRPr="001D4823">
              <w:rPr>
                <w:sz w:val="22"/>
                <w:szCs w:val="22"/>
              </w:rPr>
              <w:t xml:space="preserve"> ans</w:t>
            </w:r>
            <w:r w:rsidR="00DF2E91" w:rsidRPr="00DF2E91">
              <w:rPr>
                <w:b/>
                <w:bCs/>
                <w:sz w:val="22"/>
                <w:szCs w:val="22"/>
              </w:rPr>
              <w:t>*</w:t>
            </w:r>
          </w:p>
        </w:tc>
        <w:tc>
          <w:tcPr>
            <w:tcW w:w="1190" w:type="dxa"/>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Homme</w:t>
            </w:r>
          </w:p>
        </w:tc>
      </w:tr>
      <w:tr w:rsidR="0004568E" w:rsidRPr="001D4823">
        <w:tblPrEx>
          <w:tblCellMar>
            <w:top w:w="0" w:type="dxa"/>
            <w:bottom w:w="0" w:type="dxa"/>
          </w:tblCellMar>
        </w:tblPrEx>
        <w:tc>
          <w:tcPr>
            <w:tcW w:w="2290" w:type="dxa"/>
          </w:tcPr>
          <w:p w:rsidR="0004568E" w:rsidRPr="001D4823" w:rsidRDefault="00EF6880" w:rsidP="005D7B68">
            <w:pPr>
              <w:tabs>
                <w:tab w:val="left" w:pos="567"/>
                <w:tab w:val="left" w:pos="1134"/>
                <w:tab w:val="left" w:pos="1701"/>
                <w:tab w:val="left" w:pos="2268"/>
                <w:tab w:val="left" w:pos="2835"/>
              </w:tabs>
              <w:spacing w:before="20" w:after="20"/>
              <w:rPr>
                <w:sz w:val="22"/>
                <w:szCs w:val="22"/>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w:t>
            </w:r>
            <w:r w:rsidRPr="001D4823">
              <w:rPr>
                <w:sz w:val="22"/>
                <w:szCs w:val="22"/>
                <w:lang w:val="fr-FR"/>
              </w:rPr>
              <w:t xml:space="preserve">, </w:t>
            </w:r>
            <w:r w:rsidR="00881828" w:rsidRPr="001D4823">
              <w:rPr>
                <w:sz w:val="22"/>
                <w:szCs w:val="22"/>
                <w:lang w:val="fr-FR"/>
              </w:rPr>
              <w:t xml:space="preserve">dont 3 ans </w:t>
            </w:r>
            <w:r w:rsidR="00213B77" w:rsidRPr="001D4823">
              <w:rPr>
                <w:sz w:val="22"/>
                <w:szCs w:val="22"/>
                <w:lang w:val="fr-FR"/>
              </w:rPr>
              <w:t>incompressibles</w:t>
            </w:r>
          </w:p>
        </w:tc>
        <w:tc>
          <w:tcPr>
            <w:tcW w:w="1980" w:type="dxa"/>
          </w:tcPr>
          <w:p w:rsidR="0004568E" w:rsidRPr="001D4823" w:rsidRDefault="0004568E"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32</w:t>
            </w:r>
            <w:r w:rsidR="007F5DCF" w:rsidRPr="001D4823">
              <w:rPr>
                <w:sz w:val="22"/>
                <w:szCs w:val="22"/>
              </w:rPr>
              <w:t xml:space="preserve"> ans</w:t>
            </w:r>
          </w:p>
        </w:tc>
        <w:tc>
          <w:tcPr>
            <w:tcW w:w="1190" w:type="dxa"/>
          </w:tcPr>
          <w:p w:rsidR="0004568E" w:rsidRPr="001D4823" w:rsidRDefault="007F5DCF" w:rsidP="005D7B68">
            <w:pPr>
              <w:tabs>
                <w:tab w:val="left" w:pos="567"/>
                <w:tab w:val="left" w:pos="1134"/>
                <w:tab w:val="left" w:pos="1701"/>
                <w:tab w:val="left" w:pos="2268"/>
                <w:tab w:val="left" w:pos="2835"/>
              </w:tabs>
              <w:spacing w:before="20" w:after="20"/>
              <w:jc w:val="center"/>
              <w:rPr>
                <w:sz w:val="22"/>
                <w:szCs w:val="22"/>
              </w:rPr>
            </w:pPr>
            <w:r w:rsidRPr="001D4823">
              <w:rPr>
                <w:sz w:val="22"/>
                <w:szCs w:val="22"/>
              </w:rPr>
              <w:t>Homme</w:t>
            </w:r>
          </w:p>
        </w:tc>
      </w:tr>
      <w:tr w:rsidR="0004568E" w:rsidRPr="00DF2E91">
        <w:tblPrEx>
          <w:tblCellMar>
            <w:top w:w="0" w:type="dxa"/>
            <w:bottom w:w="0" w:type="dxa"/>
          </w:tblCellMar>
        </w:tblPrEx>
        <w:tc>
          <w:tcPr>
            <w:tcW w:w="2290" w:type="dxa"/>
          </w:tcPr>
          <w:p w:rsidR="0004568E" w:rsidRPr="00DF2E91" w:rsidRDefault="00EF6880" w:rsidP="005D7B68">
            <w:pPr>
              <w:tabs>
                <w:tab w:val="left" w:pos="567"/>
                <w:tab w:val="left" w:pos="1134"/>
                <w:tab w:val="left" w:pos="1701"/>
                <w:tab w:val="left" w:pos="2268"/>
                <w:tab w:val="left" w:pos="2835"/>
              </w:tabs>
              <w:spacing w:before="20" w:after="20"/>
              <w:rPr>
                <w:sz w:val="22"/>
                <w:szCs w:val="22"/>
                <w:lang w:val="fr-FR"/>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w:t>
            </w:r>
            <w:r w:rsidRPr="001D4823">
              <w:rPr>
                <w:sz w:val="22"/>
                <w:szCs w:val="22"/>
                <w:lang w:val="fr-FR"/>
              </w:rPr>
              <w:t xml:space="preserve">, </w:t>
            </w:r>
            <w:r w:rsidR="00881828" w:rsidRPr="001D4823">
              <w:rPr>
                <w:sz w:val="22"/>
                <w:szCs w:val="22"/>
                <w:lang w:val="fr-FR"/>
              </w:rPr>
              <w:t xml:space="preserve">dont 3 ans </w:t>
            </w:r>
            <w:r w:rsidR="00213B77" w:rsidRPr="001D4823">
              <w:rPr>
                <w:sz w:val="22"/>
                <w:szCs w:val="22"/>
                <w:lang w:val="fr-FR"/>
              </w:rPr>
              <w:t>incompressibles</w:t>
            </w:r>
          </w:p>
        </w:tc>
        <w:tc>
          <w:tcPr>
            <w:tcW w:w="1980" w:type="dxa"/>
          </w:tcPr>
          <w:p w:rsidR="0004568E" w:rsidRPr="00DF2E91" w:rsidRDefault="0004568E"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18</w:t>
            </w:r>
            <w:r w:rsidR="007F5DCF" w:rsidRPr="00DF2E91">
              <w:rPr>
                <w:sz w:val="22"/>
                <w:szCs w:val="22"/>
                <w:lang w:val="fr-FR"/>
              </w:rPr>
              <w:t xml:space="preserve"> ans</w:t>
            </w:r>
          </w:p>
        </w:tc>
        <w:tc>
          <w:tcPr>
            <w:tcW w:w="1190" w:type="dxa"/>
          </w:tcPr>
          <w:p w:rsidR="0004568E" w:rsidRPr="00DF2E91" w:rsidRDefault="007F5DCF"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Homme</w:t>
            </w:r>
          </w:p>
        </w:tc>
      </w:tr>
      <w:tr w:rsidR="0004568E" w:rsidRPr="00DF2E91">
        <w:tblPrEx>
          <w:tblCellMar>
            <w:top w:w="0" w:type="dxa"/>
            <w:bottom w:w="0" w:type="dxa"/>
          </w:tblCellMar>
        </w:tblPrEx>
        <w:tc>
          <w:tcPr>
            <w:tcW w:w="2290" w:type="dxa"/>
          </w:tcPr>
          <w:p w:rsidR="0004568E" w:rsidRPr="00DF2E91" w:rsidRDefault="00EF6880" w:rsidP="005D7B68">
            <w:pPr>
              <w:tabs>
                <w:tab w:val="left" w:pos="567"/>
                <w:tab w:val="left" w:pos="1134"/>
                <w:tab w:val="left" w:pos="1701"/>
                <w:tab w:val="left" w:pos="2268"/>
                <w:tab w:val="left" w:pos="2835"/>
              </w:tabs>
              <w:spacing w:before="20" w:after="20"/>
              <w:rPr>
                <w:sz w:val="22"/>
                <w:szCs w:val="22"/>
                <w:lang w:val="fr-FR"/>
              </w:rPr>
            </w:pPr>
            <w:r>
              <w:rPr>
                <w:sz w:val="22"/>
                <w:szCs w:val="22"/>
                <w:lang w:val="fr-FR"/>
              </w:rPr>
              <w:t xml:space="preserve">Australie </w:t>
            </w:r>
            <w:r w:rsidRPr="00DF2E91">
              <w:rPr>
                <w:sz w:val="22"/>
                <w:szCs w:val="22"/>
                <w:lang w:val="fr-FR"/>
              </w:rPr>
              <w:t>o</w:t>
            </w:r>
            <w:r>
              <w:rPr>
                <w:sz w:val="22"/>
                <w:szCs w:val="22"/>
                <w:lang w:val="fr-FR"/>
              </w:rPr>
              <w:t>ccidentale</w:t>
            </w:r>
          </w:p>
        </w:tc>
        <w:tc>
          <w:tcPr>
            <w:tcW w:w="3780" w:type="dxa"/>
          </w:tcPr>
          <w:p w:rsidR="0004568E" w:rsidRPr="001D4823" w:rsidRDefault="0004568E" w:rsidP="005D7B68">
            <w:pPr>
              <w:tabs>
                <w:tab w:val="left" w:pos="567"/>
                <w:tab w:val="left" w:pos="1134"/>
                <w:tab w:val="left" w:pos="1701"/>
                <w:tab w:val="left" w:pos="2268"/>
                <w:tab w:val="left" w:pos="2835"/>
              </w:tabs>
              <w:spacing w:before="20" w:after="20"/>
              <w:rPr>
                <w:sz w:val="22"/>
                <w:szCs w:val="22"/>
                <w:lang w:val="fr-FR"/>
              </w:rPr>
            </w:pPr>
            <w:r w:rsidRPr="001D4823">
              <w:rPr>
                <w:sz w:val="22"/>
                <w:szCs w:val="22"/>
                <w:lang w:val="fr-FR"/>
              </w:rPr>
              <w:t xml:space="preserve">5 </w:t>
            </w:r>
            <w:r w:rsidR="007F5DCF" w:rsidRPr="001D4823">
              <w:rPr>
                <w:sz w:val="22"/>
                <w:szCs w:val="22"/>
                <w:lang w:val="fr-FR"/>
              </w:rPr>
              <w:t>ans</w:t>
            </w:r>
            <w:r w:rsidRPr="001D4823">
              <w:rPr>
                <w:sz w:val="22"/>
                <w:szCs w:val="22"/>
                <w:lang w:val="fr-FR"/>
              </w:rPr>
              <w:t xml:space="preserve">, </w:t>
            </w:r>
            <w:r w:rsidR="00881828" w:rsidRPr="001D4823">
              <w:rPr>
                <w:sz w:val="22"/>
                <w:szCs w:val="22"/>
                <w:lang w:val="fr-FR"/>
              </w:rPr>
              <w:t xml:space="preserve">dont 3 ans </w:t>
            </w:r>
            <w:r w:rsidR="00213B77" w:rsidRPr="001D4823">
              <w:rPr>
                <w:sz w:val="22"/>
                <w:szCs w:val="22"/>
                <w:lang w:val="fr-FR"/>
              </w:rPr>
              <w:t>incompressibles</w:t>
            </w:r>
          </w:p>
        </w:tc>
        <w:tc>
          <w:tcPr>
            <w:tcW w:w="1980" w:type="dxa"/>
          </w:tcPr>
          <w:p w:rsidR="0004568E" w:rsidRPr="00DF2E91" w:rsidRDefault="0004568E"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19</w:t>
            </w:r>
            <w:r w:rsidR="007F5DCF" w:rsidRPr="00DF2E91">
              <w:rPr>
                <w:sz w:val="22"/>
                <w:szCs w:val="22"/>
                <w:lang w:val="fr-FR"/>
              </w:rPr>
              <w:t xml:space="preserve"> ans</w:t>
            </w:r>
          </w:p>
        </w:tc>
        <w:tc>
          <w:tcPr>
            <w:tcW w:w="1190" w:type="dxa"/>
          </w:tcPr>
          <w:p w:rsidR="0004568E" w:rsidRPr="00DF2E91" w:rsidRDefault="007F5DCF" w:rsidP="005D7B68">
            <w:pPr>
              <w:tabs>
                <w:tab w:val="left" w:pos="567"/>
                <w:tab w:val="left" w:pos="1134"/>
                <w:tab w:val="left" w:pos="1701"/>
                <w:tab w:val="left" w:pos="2268"/>
                <w:tab w:val="left" w:pos="2835"/>
              </w:tabs>
              <w:spacing w:before="20" w:after="20"/>
              <w:jc w:val="center"/>
              <w:rPr>
                <w:sz w:val="22"/>
                <w:szCs w:val="22"/>
                <w:lang w:val="fr-FR"/>
              </w:rPr>
            </w:pPr>
            <w:r w:rsidRPr="00DF2E91">
              <w:rPr>
                <w:sz w:val="22"/>
                <w:szCs w:val="22"/>
                <w:lang w:val="fr-FR"/>
              </w:rPr>
              <w:t>Homme</w:t>
            </w:r>
          </w:p>
        </w:tc>
      </w:tr>
    </w:tbl>
    <w:p w:rsidR="007F5DCF" w:rsidRPr="00881828" w:rsidRDefault="00881828" w:rsidP="005D7B68">
      <w:pPr>
        <w:tabs>
          <w:tab w:val="left" w:pos="567"/>
          <w:tab w:val="left" w:pos="1134"/>
          <w:tab w:val="left" w:pos="1701"/>
          <w:tab w:val="left" w:pos="2268"/>
          <w:tab w:val="left" w:pos="2835"/>
        </w:tabs>
        <w:spacing w:before="240"/>
        <w:rPr>
          <w:lang w:val="fr-FR"/>
        </w:rPr>
      </w:pPr>
      <w:r w:rsidRPr="006B49AE">
        <w:rPr>
          <w:b/>
          <w:bCs/>
          <w:i/>
          <w:iCs/>
          <w:lang w:val="fr-FR"/>
        </w:rPr>
        <w:t>*</w:t>
      </w:r>
      <w:r w:rsidR="00572260">
        <w:rPr>
          <w:lang w:val="fr-FR"/>
        </w:rPr>
        <w:t xml:space="preserve"> </w:t>
      </w:r>
      <w:r w:rsidRPr="00881828">
        <w:rPr>
          <w:lang w:val="fr-FR"/>
        </w:rPr>
        <w:t xml:space="preserve">L’accusation indiquait que l’accusé était </w:t>
      </w:r>
      <w:r>
        <w:rPr>
          <w:lang w:val="fr-FR"/>
        </w:rPr>
        <w:t>âgé de</w:t>
      </w:r>
      <w:r w:rsidR="007F5DCF" w:rsidRPr="00881828">
        <w:rPr>
          <w:lang w:val="fr-FR"/>
        </w:rPr>
        <w:t xml:space="preserve"> 62</w:t>
      </w:r>
      <w:r>
        <w:rPr>
          <w:lang w:val="fr-FR"/>
        </w:rPr>
        <w:t xml:space="preserve"> ans, la défense soutenant qu’il était âgé de 80 ans</w:t>
      </w:r>
      <w:r w:rsidR="007F5DCF" w:rsidRPr="00881828">
        <w:rPr>
          <w:lang w:val="fr-FR"/>
        </w:rPr>
        <w:t>.</w:t>
      </w:r>
    </w:p>
    <w:p w:rsidR="00813601" w:rsidRDefault="00A94E28" w:rsidP="005D7B68">
      <w:pPr>
        <w:tabs>
          <w:tab w:val="left" w:pos="567"/>
          <w:tab w:val="left" w:pos="1134"/>
          <w:tab w:val="left" w:pos="1701"/>
          <w:tab w:val="left" w:pos="2268"/>
          <w:tab w:val="left" w:pos="2835"/>
        </w:tabs>
        <w:rPr>
          <w:lang w:val="fr-FR"/>
        </w:rPr>
      </w:pPr>
      <w:r w:rsidRPr="00A94E28">
        <w:rPr>
          <w:lang w:val="fr-FR"/>
        </w:rPr>
        <w:t>68</w:t>
      </w:r>
      <w:r w:rsidR="002A6CEC">
        <w:rPr>
          <w:lang w:val="fr-FR"/>
        </w:rPr>
        <w:t>7</w:t>
      </w:r>
      <w:r w:rsidRPr="00A94E28">
        <w:rPr>
          <w:lang w:val="fr-FR"/>
        </w:rPr>
        <w:t>.</w:t>
      </w:r>
      <w:r w:rsidRPr="00A94E28">
        <w:rPr>
          <w:lang w:val="fr-FR"/>
        </w:rPr>
        <w:tab/>
        <w:t>Les dispositions concernant cette infraction</w:t>
      </w:r>
      <w:r>
        <w:rPr>
          <w:lang w:val="fr-FR"/>
        </w:rPr>
        <w:t xml:space="preserve"> ont été adoptées en 1999, et depuis cette date, le Directeur du Parquet</w:t>
      </w:r>
      <w:r w:rsidR="001A43E0">
        <w:rPr>
          <w:lang w:val="fr-FR"/>
        </w:rPr>
        <w:t xml:space="preserve"> a engagé des</w:t>
      </w:r>
      <w:r>
        <w:rPr>
          <w:lang w:val="fr-FR"/>
        </w:rPr>
        <w:t xml:space="preserve"> poursuites</w:t>
      </w:r>
      <w:r w:rsidR="001A43E0">
        <w:rPr>
          <w:lang w:val="fr-FR"/>
        </w:rPr>
        <w:t xml:space="preserve"> dans 431 affaires qui en relevaient.</w:t>
      </w:r>
    </w:p>
    <w:p w:rsidR="001A43E0" w:rsidRDefault="001A43E0" w:rsidP="005D7B68">
      <w:pPr>
        <w:tabs>
          <w:tab w:val="left" w:pos="567"/>
          <w:tab w:val="left" w:pos="1134"/>
          <w:tab w:val="left" w:pos="1701"/>
          <w:tab w:val="left" w:pos="2268"/>
          <w:tab w:val="left" w:pos="2835"/>
        </w:tabs>
        <w:rPr>
          <w:lang w:val="fr-FR"/>
        </w:rPr>
      </w:pPr>
      <w:r>
        <w:rPr>
          <w:lang w:val="fr-FR"/>
        </w:rPr>
        <w:t>68</w:t>
      </w:r>
      <w:r w:rsidR="002A6CEC">
        <w:rPr>
          <w:lang w:val="fr-FR"/>
        </w:rPr>
        <w:t>8</w:t>
      </w:r>
      <w:r>
        <w:rPr>
          <w:lang w:val="fr-FR"/>
        </w:rPr>
        <w:t>.</w:t>
      </w:r>
      <w:r>
        <w:rPr>
          <w:lang w:val="fr-FR"/>
        </w:rPr>
        <w:tab/>
        <w:t>Les dispositions relatives aux peines obligatoires sont entrées en vigueur le 27 septembre 2001</w:t>
      </w:r>
      <w:r w:rsidR="008D6B80">
        <w:rPr>
          <w:lang w:val="fr-FR"/>
        </w:rPr>
        <w:t xml:space="preserve">. </w:t>
      </w:r>
      <w:r>
        <w:rPr>
          <w:lang w:val="fr-FR"/>
        </w:rPr>
        <w:t>Depuis lors, 120 accusés qui en relevaient ont été condamnés</w:t>
      </w:r>
      <w:r w:rsidR="008D6B80">
        <w:rPr>
          <w:lang w:val="fr-FR"/>
        </w:rPr>
        <w:t xml:space="preserve">. </w:t>
      </w:r>
      <w:r>
        <w:rPr>
          <w:lang w:val="fr-FR"/>
        </w:rPr>
        <w:t>Toutes les affaires jugées après le 27 septembre 2001 n’ont pas été concernées par ces dispositions</w:t>
      </w:r>
      <w:r w:rsidR="007F7C79">
        <w:rPr>
          <w:lang w:val="fr-FR"/>
        </w:rPr>
        <w:t>, mais</w:t>
      </w:r>
      <w:r>
        <w:rPr>
          <w:lang w:val="fr-FR"/>
        </w:rPr>
        <w:t xml:space="preserve"> le Directeur du Parquet ne dispose pas de statistiques </w:t>
      </w:r>
      <w:r w:rsidR="007F7C79">
        <w:rPr>
          <w:lang w:val="fr-FR"/>
        </w:rPr>
        <w:t>aisément accessibles sur les affaires qui l’étaient.</w:t>
      </w:r>
    </w:p>
    <w:p w:rsidR="007F7C79" w:rsidRDefault="007F7C79" w:rsidP="005D7B68">
      <w:pPr>
        <w:tabs>
          <w:tab w:val="left" w:pos="567"/>
          <w:tab w:val="left" w:pos="1134"/>
          <w:tab w:val="left" w:pos="1701"/>
          <w:tab w:val="left" w:pos="2268"/>
          <w:tab w:val="left" w:pos="2835"/>
        </w:tabs>
        <w:rPr>
          <w:lang w:val="fr-FR"/>
        </w:rPr>
      </w:pPr>
      <w:r>
        <w:rPr>
          <w:lang w:val="fr-FR"/>
        </w:rPr>
        <w:t>6</w:t>
      </w:r>
      <w:r w:rsidR="002A6CEC">
        <w:rPr>
          <w:lang w:val="fr-FR"/>
        </w:rPr>
        <w:t>89</w:t>
      </w:r>
      <w:r>
        <w:rPr>
          <w:lang w:val="fr-FR"/>
        </w:rPr>
        <w:t>.</w:t>
      </w:r>
      <w:r>
        <w:rPr>
          <w:lang w:val="fr-FR"/>
        </w:rPr>
        <w:tab/>
      </w:r>
      <w:r w:rsidR="00D1092C">
        <w:rPr>
          <w:lang w:val="fr-FR"/>
        </w:rPr>
        <w:t>Le Directe</w:t>
      </w:r>
      <w:r>
        <w:rPr>
          <w:lang w:val="fr-FR"/>
        </w:rPr>
        <w:t>ur du Parquet ne conserve pas d</w:t>
      </w:r>
      <w:r w:rsidR="00D1092C">
        <w:rPr>
          <w:lang w:val="fr-FR"/>
        </w:rPr>
        <w:t>e</w:t>
      </w:r>
      <w:r>
        <w:rPr>
          <w:lang w:val="fr-FR"/>
        </w:rPr>
        <w:t xml:space="preserve"> s</w:t>
      </w:r>
      <w:r w:rsidR="00D1092C">
        <w:rPr>
          <w:lang w:val="fr-FR"/>
        </w:rPr>
        <w:t>tatistiques directement disponibles ventilées par lieu, sexe, âge et appartenance ethnique des accusés dans ces affaires.</w:t>
      </w:r>
    </w:p>
    <w:p w:rsidR="00D1092C" w:rsidRDefault="00D1092C" w:rsidP="005D7B68">
      <w:pPr>
        <w:tabs>
          <w:tab w:val="left" w:pos="567"/>
          <w:tab w:val="left" w:pos="1134"/>
          <w:tab w:val="left" w:pos="1701"/>
          <w:tab w:val="left" w:pos="2268"/>
          <w:tab w:val="left" w:pos="2835"/>
        </w:tabs>
        <w:rPr>
          <w:lang w:val="fr-FR"/>
        </w:rPr>
      </w:pPr>
      <w:r>
        <w:rPr>
          <w:lang w:val="fr-FR"/>
        </w:rPr>
        <w:t>69</w:t>
      </w:r>
      <w:r w:rsidR="002A6CEC">
        <w:rPr>
          <w:lang w:val="fr-FR"/>
        </w:rPr>
        <w:t>0</w:t>
      </w:r>
      <w:r>
        <w:rPr>
          <w:lang w:val="fr-FR"/>
        </w:rPr>
        <w:t>.</w:t>
      </w:r>
      <w:r>
        <w:rPr>
          <w:lang w:val="fr-FR"/>
        </w:rPr>
        <w:tab/>
        <w:t xml:space="preserve">Les dispositions relatives aux peines obligatoires de la loi sur l’immigration (qui s’appliquent aux condamnations pour traite de personnes) ne s’appliquent pas s’il est établi, selon le critère de la plus forte probabilité, que la personne était </w:t>
      </w:r>
      <w:r w:rsidR="002239D5">
        <w:rPr>
          <w:lang w:val="fr-FR"/>
        </w:rPr>
        <w:t>âgée de moins de 18 ans au moment où l’infraction a été commise</w:t>
      </w:r>
      <w:r>
        <w:rPr>
          <w:lang w:val="fr-FR"/>
        </w:rPr>
        <w:t>.</w:t>
      </w:r>
    </w:p>
    <w:p w:rsidR="002239D5"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2239D5" w:rsidRDefault="002239D5" w:rsidP="005D7B68">
      <w:pPr>
        <w:tabs>
          <w:tab w:val="left" w:pos="567"/>
          <w:tab w:val="left" w:pos="1134"/>
          <w:tab w:val="left" w:pos="1701"/>
          <w:tab w:val="left" w:pos="2268"/>
          <w:tab w:val="left" w:pos="2835"/>
        </w:tabs>
        <w:rPr>
          <w:lang w:val="fr-FR"/>
        </w:rPr>
      </w:pPr>
      <w:r>
        <w:rPr>
          <w:lang w:val="fr-FR"/>
        </w:rPr>
        <w:t>69</w:t>
      </w:r>
      <w:r w:rsidR="002A6CEC">
        <w:rPr>
          <w:lang w:val="fr-FR"/>
        </w:rPr>
        <w:t>1</w:t>
      </w:r>
      <w:r>
        <w:rPr>
          <w:lang w:val="fr-FR"/>
        </w:rPr>
        <w:t>.</w:t>
      </w:r>
      <w:r>
        <w:rPr>
          <w:lang w:val="fr-FR"/>
        </w:rPr>
        <w:tab/>
      </w:r>
      <w:r w:rsidR="00C171DF">
        <w:rPr>
          <w:lang w:val="fr-FR"/>
        </w:rPr>
        <w:t>La loi sur les peines obligatoires (actuellement dans l’article 401 4) du Code pénal de l’</w:t>
      </w:r>
      <w:r w:rsidR="008E1139">
        <w:rPr>
          <w:lang w:val="fr-FR"/>
        </w:rPr>
        <w:t>Australie occidentale</w:t>
      </w:r>
      <w:r w:rsidR="00292BB1">
        <w:rPr>
          <w:lang w:val="fr-FR"/>
        </w:rPr>
        <w:t>)</w:t>
      </w:r>
      <w:r w:rsidR="00C171DF">
        <w:rPr>
          <w:lang w:val="fr-FR"/>
        </w:rPr>
        <w:t xml:space="preserve"> a été adoptée par le Gouvernement précédent d’</w:t>
      </w:r>
      <w:r w:rsidR="008E1139">
        <w:rPr>
          <w:lang w:val="fr-FR"/>
        </w:rPr>
        <w:t>Australie occidentale</w:t>
      </w:r>
      <w:r w:rsidR="00C171DF">
        <w:rPr>
          <w:lang w:val="fr-FR"/>
        </w:rPr>
        <w:t xml:space="preserve"> dans le cadre de modifications d’ensemble de la législation relative aux cambriolages</w:t>
      </w:r>
      <w:r w:rsidR="00E854C8">
        <w:rPr>
          <w:lang w:val="fr-FR"/>
        </w:rPr>
        <w:t>, notamment ceux des résidences particulières, aux cambriolages aggravés et aux cambriolages avec récidive</w:t>
      </w:r>
      <w:r w:rsidR="008D6B80">
        <w:rPr>
          <w:lang w:val="fr-FR"/>
        </w:rPr>
        <w:t xml:space="preserve">. </w:t>
      </w:r>
      <w:r w:rsidR="00E854C8">
        <w:rPr>
          <w:lang w:val="fr-FR"/>
        </w:rPr>
        <w:t xml:space="preserve">Cette loi ne s’applique qu’aux personnes jugées coupables du cambriolage d’un lieu habituellement </w:t>
      </w:r>
      <w:r w:rsidR="00440383">
        <w:rPr>
          <w:lang w:val="fr-FR"/>
        </w:rPr>
        <w:t>réservé à l’habitation humaine et s’il s’agit d’une récidive (c’est-à-dire si le délinquant a déjà été condamné deux fois auparavant pour cambriolage).</w:t>
      </w:r>
    </w:p>
    <w:p w:rsidR="00440383" w:rsidRPr="002239D5" w:rsidRDefault="00440383" w:rsidP="005D7B68">
      <w:pPr>
        <w:tabs>
          <w:tab w:val="left" w:pos="567"/>
          <w:tab w:val="left" w:pos="1134"/>
          <w:tab w:val="left" w:pos="1701"/>
          <w:tab w:val="left" w:pos="2268"/>
          <w:tab w:val="left" w:pos="2835"/>
        </w:tabs>
        <w:rPr>
          <w:lang w:val="fr-FR"/>
        </w:rPr>
      </w:pPr>
      <w:r>
        <w:rPr>
          <w:lang w:val="fr-FR"/>
        </w:rPr>
        <w:t>69</w:t>
      </w:r>
      <w:r w:rsidR="002A6CEC">
        <w:rPr>
          <w:lang w:val="fr-FR"/>
        </w:rPr>
        <w:t>2</w:t>
      </w:r>
      <w:r>
        <w:rPr>
          <w:lang w:val="fr-FR"/>
        </w:rPr>
        <w:t>.</w:t>
      </w:r>
      <w:r>
        <w:rPr>
          <w:lang w:val="fr-FR"/>
        </w:rPr>
        <w:tab/>
        <w:t>Au cours des 11 années qui se sont écoulées depuis 1997, on a enregistré 334 affaires, en Australie</w:t>
      </w:r>
      <w:r w:rsidR="002A6CEC">
        <w:rPr>
          <w:lang w:val="fr-FR"/>
        </w:rPr>
        <w:t xml:space="preserve"> o</w:t>
      </w:r>
      <w:r>
        <w:rPr>
          <w:lang w:val="fr-FR"/>
        </w:rPr>
        <w:t>ccidentale, dans lesquelles des mineurs ont été jugés coupables et condamnés en application de la loi sur les peines obligatoires, 278 concernant de</w:t>
      </w:r>
      <w:r w:rsidR="00DF2E91">
        <w:rPr>
          <w:lang w:val="fr-FR"/>
        </w:rPr>
        <w:t>s Australiens autochtones et 56 </w:t>
      </w:r>
      <w:r>
        <w:rPr>
          <w:lang w:val="fr-FR"/>
        </w:rPr>
        <w:t>des non aborigènes</w:t>
      </w:r>
      <w:r w:rsidR="008D6B80">
        <w:rPr>
          <w:lang w:val="fr-FR"/>
        </w:rPr>
        <w:t xml:space="preserve">. </w:t>
      </w:r>
      <w:r>
        <w:rPr>
          <w:lang w:val="fr-FR"/>
        </w:rPr>
        <w:t>Il n’existe pas de statistiques ventilées par sexe, mais il ne fait de doute que la majorité des condamnés sont de sexe masculin</w:t>
      </w:r>
      <w:r w:rsidR="008D6B80">
        <w:rPr>
          <w:lang w:val="fr-FR"/>
        </w:rPr>
        <w:t xml:space="preserve">. </w:t>
      </w:r>
      <w:r>
        <w:rPr>
          <w:lang w:val="fr-FR"/>
        </w:rPr>
        <w:t>La ventilation par année figure dans le tableau ci-après</w:t>
      </w:r>
      <w:r w:rsidR="00572260">
        <w:rPr>
          <w:lang w:val="fr-FR"/>
        </w:rPr>
        <w:t xml:space="preserve"> </w:t>
      </w:r>
    </w:p>
    <w:tbl>
      <w:tblPr>
        <w:tblW w:w="0" w:type="auto"/>
        <w:jc w:val="center"/>
        <w:tblInd w:w="1967"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2040"/>
        <w:gridCol w:w="1758"/>
        <w:gridCol w:w="1758"/>
        <w:gridCol w:w="1758"/>
      </w:tblGrid>
      <w:tr w:rsidR="00440383">
        <w:trPr>
          <w:tblHeader/>
          <w:jc w:val="center"/>
        </w:trPr>
        <w:tc>
          <w:tcPr>
            <w:tcW w:w="2040" w:type="dxa"/>
            <w:tcBorders>
              <w:top w:val="single" w:sz="2" w:space="0" w:color="auto"/>
              <w:bottom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Année de la condamnation</w:t>
            </w:r>
          </w:p>
        </w:tc>
        <w:tc>
          <w:tcPr>
            <w:tcW w:w="1758" w:type="dxa"/>
            <w:tcBorders>
              <w:top w:val="single" w:sz="2" w:space="0" w:color="auto"/>
              <w:bottom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Aborigènes</w:t>
            </w:r>
          </w:p>
        </w:tc>
        <w:tc>
          <w:tcPr>
            <w:tcW w:w="1758" w:type="dxa"/>
            <w:tcBorders>
              <w:top w:val="single" w:sz="2" w:space="0" w:color="auto"/>
              <w:bottom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Non aborigènes</w:t>
            </w:r>
          </w:p>
        </w:tc>
        <w:tc>
          <w:tcPr>
            <w:tcW w:w="1758" w:type="dxa"/>
            <w:tcBorders>
              <w:top w:val="single" w:sz="2" w:space="0" w:color="auto"/>
              <w:bottom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Total</w:t>
            </w:r>
          </w:p>
        </w:tc>
      </w:tr>
      <w:tr w:rsidR="00440383">
        <w:trPr>
          <w:jc w:val="center"/>
        </w:trPr>
        <w:tc>
          <w:tcPr>
            <w:tcW w:w="2040" w:type="dxa"/>
            <w:tcBorders>
              <w:top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1997</w:t>
            </w:r>
          </w:p>
        </w:tc>
        <w:tc>
          <w:tcPr>
            <w:tcW w:w="1758" w:type="dxa"/>
            <w:tcBorders>
              <w:top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45</w:t>
            </w:r>
          </w:p>
        </w:tc>
        <w:tc>
          <w:tcPr>
            <w:tcW w:w="1758" w:type="dxa"/>
            <w:tcBorders>
              <w:top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12</w:t>
            </w:r>
          </w:p>
        </w:tc>
        <w:tc>
          <w:tcPr>
            <w:tcW w:w="1758" w:type="dxa"/>
            <w:tcBorders>
              <w:top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57</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1998</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10</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12</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1999</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25</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10</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35</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2000</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38</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41</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2001</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27</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8</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35</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2002</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33</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36</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2003</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34</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36</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2004</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29</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7</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36</w:t>
            </w:r>
          </w:p>
        </w:tc>
      </w:tr>
      <w:tr w:rsidR="00440383">
        <w:trPr>
          <w:jc w:val="center"/>
        </w:trPr>
        <w:tc>
          <w:tcPr>
            <w:tcW w:w="2040" w:type="dxa"/>
            <w:vAlign w:val="center"/>
          </w:tcPr>
          <w:p w:rsidR="00440383" w:rsidRDefault="00440383" w:rsidP="005D7B68">
            <w:pPr>
              <w:tabs>
                <w:tab w:val="left" w:pos="567"/>
                <w:tab w:val="left" w:pos="1134"/>
                <w:tab w:val="left" w:pos="1701"/>
                <w:tab w:val="left" w:pos="2268"/>
                <w:tab w:val="left" w:pos="2835"/>
              </w:tabs>
              <w:spacing w:after="0"/>
              <w:jc w:val="center"/>
            </w:pPr>
            <w:r>
              <w:t>2005</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11</w:t>
            </w: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p>
        </w:tc>
        <w:tc>
          <w:tcPr>
            <w:tcW w:w="1758" w:type="dxa"/>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11</w:t>
            </w:r>
          </w:p>
        </w:tc>
      </w:tr>
      <w:tr w:rsidR="00440383">
        <w:trPr>
          <w:jc w:val="center"/>
        </w:trPr>
        <w:tc>
          <w:tcPr>
            <w:tcW w:w="2040" w:type="dxa"/>
            <w:tcBorders>
              <w:bottom w:val="nil"/>
            </w:tcBorders>
            <w:vAlign w:val="center"/>
          </w:tcPr>
          <w:p w:rsidR="00440383" w:rsidRDefault="00440383" w:rsidP="005D7B68">
            <w:pPr>
              <w:tabs>
                <w:tab w:val="left" w:pos="567"/>
                <w:tab w:val="left" w:pos="1134"/>
                <w:tab w:val="left" w:pos="1701"/>
                <w:tab w:val="left" w:pos="2268"/>
                <w:tab w:val="left" w:pos="2835"/>
              </w:tabs>
              <w:spacing w:after="0"/>
              <w:jc w:val="center"/>
            </w:pPr>
            <w:r>
              <w:t>2006</w:t>
            </w:r>
          </w:p>
        </w:tc>
        <w:tc>
          <w:tcPr>
            <w:tcW w:w="1758" w:type="dxa"/>
            <w:tcBorders>
              <w:bottom w:val="nil"/>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20</w:t>
            </w:r>
          </w:p>
        </w:tc>
        <w:tc>
          <w:tcPr>
            <w:tcW w:w="1758" w:type="dxa"/>
            <w:tcBorders>
              <w:bottom w:val="nil"/>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8</w:t>
            </w:r>
          </w:p>
        </w:tc>
        <w:tc>
          <w:tcPr>
            <w:tcW w:w="1758" w:type="dxa"/>
            <w:tcBorders>
              <w:bottom w:val="nil"/>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28</w:t>
            </w:r>
          </w:p>
        </w:tc>
      </w:tr>
      <w:tr w:rsidR="00440383">
        <w:trPr>
          <w:jc w:val="center"/>
        </w:trPr>
        <w:tc>
          <w:tcPr>
            <w:tcW w:w="2040" w:type="dxa"/>
            <w:tcBorders>
              <w:top w:val="nil"/>
              <w:bottom w:val="single" w:sz="2" w:space="0" w:color="auto"/>
            </w:tcBorders>
            <w:vAlign w:val="center"/>
          </w:tcPr>
          <w:p w:rsidR="00440383" w:rsidRDefault="00440383" w:rsidP="005D7B68">
            <w:pPr>
              <w:tabs>
                <w:tab w:val="left" w:pos="567"/>
                <w:tab w:val="left" w:pos="1134"/>
                <w:tab w:val="left" w:pos="1701"/>
                <w:tab w:val="left" w:pos="2268"/>
                <w:tab w:val="left" w:pos="2835"/>
              </w:tabs>
              <w:spacing w:after="0"/>
              <w:jc w:val="center"/>
            </w:pPr>
            <w:r>
              <w:t>2007</w:t>
            </w:r>
          </w:p>
        </w:tc>
        <w:tc>
          <w:tcPr>
            <w:tcW w:w="1758" w:type="dxa"/>
            <w:tcBorders>
              <w:top w:val="nil"/>
              <w:bottom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6</w:t>
            </w:r>
          </w:p>
        </w:tc>
        <w:tc>
          <w:tcPr>
            <w:tcW w:w="1758" w:type="dxa"/>
            <w:tcBorders>
              <w:top w:val="nil"/>
              <w:bottom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1</w:t>
            </w:r>
          </w:p>
        </w:tc>
        <w:tc>
          <w:tcPr>
            <w:tcW w:w="1758" w:type="dxa"/>
            <w:tcBorders>
              <w:top w:val="nil"/>
              <w:bottom w:val="single" w:sz="2" w:space="0" w:color="auto"/>
            </w:tcBorders>
            <w:tcMar>
              <w:right w:w="992" w:type="dxa"/>
            </w:tcMar>
            <w:vAlign w:val="center"/>
          </w:tcPr>
          <w:p w:rsidR="00440383" w:rsidRDefault="00440383" w:rsidP="005D7B68">
            <w:pPr>
              <w:tabs>
                <w:tab w:val="left" w:pos="567"/>
                <w:tab w:val="left" w:pos="1134"/>
                <w:tab w:val="left" w:pos="1701"/>
                <w:tab w:val="left" w:pos="2268"/>
                <w:tab w:val="left" w:pos="2835"/>
              </w:tabs>
              <w:spacing w:after="0"/>
              <w:ind w:right="-678"/>
              <w:jc w:val="right"/>
            </w:pPr>
            <w:r>
              <w:t>7</w:t>
            </w:r>
          </w:p>
        </w:tc>
      </w:tr>
      <w:tr w:rsidR="00440383" w:rsidRPr="00DF2E91">
        <w:trPr>
          <w:jc w:val="center"/>
        </w:trPr>
        <w:tc>
          <w:tcPr>
            <w:tcW w:w="2040" w:type="dxa"/>
            <w:tcBorders>
              <w:top w:val="single" w:sz="2" w:space="0" w:color="auto"/>
            </w:tcBorders>
            <w:vAlign w:val="center"/>
          </w:tcPr>
          <w:p w:rsidR="00440383" w:rsidRPr="00DF2E91" w:rsidRDefault="00440383" w:rsidP="005D7B68">
            <w:pPr>
              <w:tabs>
                <w:tab w:val="left" w:pos="567"/>
                <w:tab w:val="left" w:pos="1134"/>
                <w:tab w:val="left" w:pos="1701"/>
                <w:tab w:val="left" w:pos="2268"/>
                <w:tab w:val="left" w:pos="2835"/>
              </w:tabs>
              <w:spacing w:after="0"/>
              <w:jc w:val="center"/>
              <w:rPr>
                <w:b/>
                <w:bCs/>
              </w:rPr>
            </w:pPr>
            <w:r w:rsidRPr="00DF2E91">
              <w:rPr>
                <w:b/>
                <w:bCs/>
              </w:rPr>
              <w:t>Total</w:t>
            </w:r>
          </w:p>
        </w:tc>
        <w:tc>
          <w:tcPr>
            <w:tcW w:w="1758" w:type="dxa"/>
            <w:tcBorders>
              <w:top w:val="single" w:sz="2" w:space="0" w:color="auto"/>
            </w:tcBorders>
            <w:tcMar>
              <w:right w:w="992" w:type="dxa"/>
            </w:tcMar>
            <w:vAlign w:val="center"/>
          </w:tcPr>
          <w:p w:rsidR="00440383" w:rsidRPr="00DF2E91" w:rsidRDefault="00440383" w:rsidP="005D7B68">
            <w:pPr>
              <w:tabs>
                <w:tab w:val="left" w:pos="567"/>
                <w:tab w:val="left" w:pos="1134"/>
                <w:tab w:val="left" w:pos="1701"/>
                <w:tab w:val="left" w:pos="2268"/>
                <w:tab w:val="left" w:pos="2835"/>
              </w:tabs>
              <w:spacing w:after="0"/>
              <w:ind w:right="-678"/>
              <w:jc w:val="right"/>
              <w:rPr>
                <w:b/>
                <w:bCs/>
              </w:rPr>
            </w:pPr>
            <w:r w:rsidRPr="00DF2E91">
              <w:rPr>
                <w:b/>
                <w:bCs/>
              </w:rPr>
              <w:t>278</w:t>
            </w:r>
          </w:p>
        </w:tc>
        <w:tc>
          <w:tcPr>
            <w:tcW w:w="1758" w:type="dxa"/>
            <w:tcBorders>
              <w:top w:val="single" w:sz="2" w:space="0" w:color="auto"/>
            </w:tcBorders>
            <w:tcMar>
              <w:right w:w="992" w:type="dxa"/>
            </w:tcMar>
            <w:vAlign w:val="center"/>
          </w:tcPr>
          <w:p w:rsidR="00440383" w:rsidRPr="00DF2E91" w:rsidRDefault="00440383" w:rsidP="005D7B68">
            <w:pPr>
              <w:tabs>
                <w:tab w:val="left" w:pos="567"/>
                <w:tab w:val="left" w:pos="1134"/>
                <w:tab w:val="left" w:pos="1701"/>
                <w:tab w:val="left" w:pos="2268"/>
                <w:tab w:val="left" w:pos="2835"/>
              </w:tabs>
              <w:spacing w:after="0"/>
              <w:ind w:right="-678"/>
              <w:jc w:val="right"/>
              <w:rPr>
                <w:b/>
                <w:bCs/>
              </w:rPr>
            </w:pPr>
            <w:r w:rsidRPr="00DF2E91">
              <w:rPr>
                <w:b/>
                <w:bCs/>
              </w:rPr>
              <w:t>56</w:t>
            </w:r>
          </w:p>
        </w:tc>
        <w:tc>
          <w:tcPr>
            <w:tcW w:w="1758" w:type="dxa"/>
            <w:tcBorders>
              <w:top w:val="single" w:sz="2" w:space="0" w:color="auto"/>
            </w:tcBorders>
            <w:tcMar>
              <w:right w:w="992" w:type="dxa"/>
            </w:tcMar>
            <w:vAlign w:val="center"/>
          </w:tcPr>
          <w:p w:rsidR="00440383" w:rsidRPr="00DF2E91" w:rsidRDefault="00440383" w:rsidP="005D7B68">
            <w:pPr>
              <w:tabs>
                <w:tab w:val="left" w:pos="567"/>
                <w:tab w:val="left" w:pos="1134"/>
                <w:tab w:val="left" w:pos="1701"/>
                <w:tab w:val="left" w:pos="2268"/>
                <w:tab w:val="left" w:pos="2835"/>
              </w:tabs>
              <w:spacing w:after="0"/>
              <w:ind w:right="-678"/>
              <w:jc w:val="right"/>
              <w:rPr>
                <w:b/>
                <w:bCs/>
              </w:rPr>
            </w:pPr>
            <w:r w:rsidRPr="00DF2E91">
              <w:rPr>
                <w:b/>
                <w:bCs/>
              </w:rPr>
              <w:t>334</w:t>
            </w:r>
          </w:p>
        </w:tc>
      </w:tr>
    </w:tbl>
    <w:p w:rsidR="00AF1E00" w:rsidRPr="00881828" w:rsidRDefault="00DF2E91" w:rsidP="005D7B68">
      <w:pPr>
        <w:tabs>
          <w:tab w:val="left" w:pos="567"/>
          <w:tab w:val="left" w:pos="1134"/>
          <w:tab w:val="left" w:pos="1701"/>
          <w:tab w:val="left" w:pos="2268"/>
          <w:tab w:val="left" w:pos="2835"/>
        </w:tabs>
        <w:spacing w:before="120"/>
        <w:rPr>
          <w:lang w:val="fr-FR"/>
        </w:rPr>
      </w:pPr>
      <w:r>
        <w:rPr>
          <w:lang w:val="fr-FR"/>
        </w:rPr>
        <w:tab/>
      </w:r>
      <w:r w:rsidR="00440383">
        <w:rPr>
          <w:lang w:val="fr-FR"/>
        </w:rPr>
        <w:t>Ces chiffres ne concernent que des mineurs</w:t>
      </w:r>
      <w:r w:rsidR="006B49AE">
        <w:rPr>
          <w:lang w:val="fr-FR"/>
        </w:rPr>
        <w:t>.</w:t>
      </w:r>
    </w:p>
    <w:p w:rsidR="00AF1E00" w:rsidRDefault="002A6CEC" w:rsidP="005D7B68">
      <w:pPr>
        <w:tabs>
          <w:tab w:val="left" w:pos="567"/>
          <w:tab w:val="left" w:pos="1134"/>
          <w:tab w:val="left" w:pos="1701"/>
          <w:tab w:val="left" w:pos="2268"/>
          <w:tab w:val="left" w:pos="2835"/>
        </w:tabs>
        <w:rPr>
          <w:lang w:val="fr-FR"/>
        </w:rPr>
      </w:pPr>
      <w:r>
        <w:rPr>
          <w:lang w:val="fr-FR"/>
        </w:rPr>
        <w:t>693</w:t>
      </w:r>
      <w:r w:rsidR="00A5225F">
        <w:rPr>
          <w:lang w:val="fr-FR"/>
        </w:rPr>
        <w:t>.</w:t>
      </w:r>
      <w:r w:rsidR="00A5225F">
        <w:rPr>
          <w:lang w:val="fr-FR"/>
        </w:rPr>
        <w:tab/>
        <w:t>Le taux de jeunes aborigènes qui tombent sous le coup de la loi sur les peines obligatoire est beaucoup plus élevé que celui des autres groupes</w:t>
      </w:r>
      <w:r w:rsidR="008D6B80">
        <w:rPr>
          <w:lang w:val="fr-FR"/>
        </w:rPr>
        <w:t xml:space="preserve">. </w:t>
      </w:r>
      <w:r w:rsidR="00A5225F">
        <w:rPr>
          <w:lang w:val="fr-FR"/>
        </w:rPr>
        <w:t>Les jeunes de cette région</w:t>
      </w:r>
      <w:r w:rsidR="00572260">
        <w:rPr>
          <w:lang w:val="fr-FR"/>
        </w:rPr>
        <w:t xml:space="preserve"> </w:t>
      </w:r>
      <w:r w:rsidR="00A5225F">
        <w:rPr>
          <w:lang w:val="fr-FR"/>
        </w:rPr>
        <w:t>représentent à peu près la moitié de l’ensemble des jeunes qui ont affaire aux services communautaires de justice et aux services pénitentiaires pour mineurs, et 80 à 90 % des jeunes de la région placés en détention sont des aborigènes</w:t>
      </w:r>
      <w:r w:rsidR="008D6B80">
        <w:rPr>
          <w:lang w:val="fr-FR"/>
        </w:rPr>
        <w:t xml:space="preserve">. </w:t>
      </w:r>
      <w:r w:rsidR="00A5225F">
        <w:rPr>
          <w:lang w:val="fr-FR"/>
        </w:rPr>
        <w:t>Entre 2000 et septembre 2005,193 mineurs ont été condamnés en application de la loi sur</w:t>
      </w:r>
      <w:r w:rsidR="0004724C">
        <w:rPr>
          <w:lang w:val="fr-FR"/>
        </w:rPr>
        <w:t xml:space="preserve"> les peines obligatoires, dont 168 aborigènes, 145 de ces derniers résidant dans la région.</w:t>
      </w:r>
    </w:p>
    <w:p w:rsidR="0004724C" w:rsidRDefault="0004724C" w:rsidP="005D7B68">
      <w:pPr>
        <w:tabs>
          <w:tab w:val="left" w:pos="567"/>
          <w:tab w:val="left" w:pos="1134"/>
          <w:tab w:val="left" w:pos="1701"/>
          <w:tab w:val="left" w:pos="2268"/>
          <w:tab w:val="left" w:pos="2835"/>
        </w:tabs>
        <w:rPr>
          <w:lang w:val="fr-FR"/>
        </w:rPr>
      </w:pPr>
      <w:r>
        <w:rPr>
          <w:lang w:val="fr-FR"/>
        </w:rPr>
        <w:t>69</w:t>
      </w:r>
      <w:r w:rsidR="002A6CEC">
        <w:rPr>
          <w:lang w:val="fr-FR"/>
        </w:rPr>
        <w:t>4</w:t>
      </w:r>
      <w:r>
        <w:rPr>
          <w:lang w:val="fr-FR"/>
        </w:rPr>
        <w:t>.</w:t>
      </w:r>
      <w:r>
        <w:rPr>
          <w:lang w:val="fr-FR"/>
        </w:rPr>
        <w:tab/>
        <w:t>L’article 40 4) du Code pénal s’applique aux adultes ainsi qu’aux mineurs, mais la loi sur les peines obli</w:t>
      </w:r>
      <w:r w:rsidR="00955821">
        <w:rPr>
          <w:lang w:val="fr-FR"/>
        </w:rPr>
        <w:t>gatoires ne concerne</w:t>
      </w:r>
      <w:r>
        <w:rPr>
          <w:lang w:val="fr-FR"/>
        </w:rPr>
        <w:t xml:space="preserve"> pas vraiment les premiers, parce que lorsq</w:t>
      </w:r>
      <w:r w:rsidR="00955821">
        <w:rPr>
          <w:lang w:val="fr-FR"/>
        </w:rPr>
        <w:t>u’ils tombent sous le coup de cette loi</w:t>
      </w:r>
      <w:r>
        <w:rPr>
          <w:lang w:val="fr-FR"/>
        </w:rPr>
        <w:t xml:space="preserve">, ils sont condamnés, de toutes façons, à plus de </w:t>
      </w:r>
      <w:r w:rsidR="00DF2E91">
        <w:rPr>
          <w:lang w:val="fr-FR"/>
        </w:rPr>
        <w:t>douze</w:t>
      </w:r>
      <w:r w:rsidR="00955821">
        <w:rPr>
          <w:lang w:val="fr-FR"/>
        </w:rPr>
        <w:t xml:space="preserve"> </w:t>
      </w:r>
      <w:r>
        <w:rPr>
          <w:lang w:val="fr-FR"/>
        </w:rPr>
        <w:t>mois d’emprisonnement.</w:t>
      </w:r>
    </w:p>
    <w:p w:rsidR="001F256F" w:rsidRDefault="0004724C" w:rsidP="005D7B68">
      <w:pPr>
        <w:tabs>
          <w:tab w:val="left" w:pos="567"/>
          <w:tab w:val="left" w:pos="1134"/>
          <w:tab w:val="left" w:pos="1701"/>
          <w:tab w:val="left" w:pos="2268"/>
          <w:tab w:val="left" w:pos="2835"/>
        </w:tabs>
        <w:rPr>
          <w:iCs/>
          <w:lang w:val="fr-FR"/>
        </w:rPr>
      </w:pPr>
      <w:r>
        <w:rPr>
          <w:lang w:val="fr-FR"/>
        </w:rPr>
        <w:t>69</w:t>
      </w:r>
      <w:r w:rsidR="002A6CEC">
        <w:rPr>
          <w:lang w:val="fr-FR"/>
        </w:rPr>
        <w:t>5</w:t>
      </w:r>
      <w:r>
        <w:rPr>
          <w:lang w:val="fr-FR"/>
        </w:rPr>
        <w:t>.</w:t>
      </w:r>
      <w:r>
        <w:rPr>
          <w:lang w:val="fr-FR"/>
        </w:rPr>
        <w:tab/>
        <w:t xml:space="preserve">Le Comité des droits de l’enfant, dans sa session de septembre </w:t>
      </w:r>
      <w:r w:rsidR="006B49AE">
        <w:rPr>
          <w:lang w:val="fr-FR"/>
        </w:rPr>
        <w:t xml:space="preserve">2005 (CRC/C/15/Add.268, par. 72 à </w:t>
      </w:r>
      <w:r>
        <w:rPr>
          <w:lang w:val="fr-FR"/>
        </w:rPr>
        <w:t xml:space="preserve">74) a recommandé, au paragraphe 74 f), </w:t>
      </w:r>
      <w:r w:rsidRPr="003344A5">
        <w:rPr>
          <w:lang w:val="fr-FR"/>
        </w:rPr>
        <w:t xml:space="preserve">que </w:t>
      </w:r>
      <w:r w:rsidR="003344A5" w:rsidRPr="003344A5">
        <w:rPr>
          <w:iCs/>
          <w:lang w:val="fr-FR"/>
        </w:rPr>
        <w:t>le Commonwealth</w:t>
      </w:r>
      <w:r w:rsidR="00572260">
        <w:rPr>
          <w:iCs/>
          <w:lang w:val="fr-FR"/>
        </w:rPr>
        <w:t xml:space="preserve"> </w:t>
      </w:r>
      <w:r w:rsidR="00A619D6">
        <w:rPr>
          <w:iCs/>
          <w:lang w:val="fr-FR"/>
        </w:rPr>
        <w:t>«</w:t>
      </w:r>
      <w:r w:rsidR="003344A5" w:rsidRPr="003344A5">
        <w:rPr>
          <w:iCs/>
          <w:lang w:val="fr-FR"/>
        </w:rPr>
        <w:t>prenne</w:t>
      </w:r>
      <w:r w:rsidR="00BE59E7" w:rsidRPr="003344A5">
        <w:rPr>
          <w:iCs/>
          <w:lang w:val="fr-FR"/>
        </w:rPr>
        <w:t xml:space="preserve"> des mesures en vue d’abroger les règles relatives aux peines obligatoires dans le système de droit p</w:t>
      </w:r>
      <w:r w:rsidR="003344A5">
        <w:rPr>
          <w:iCs/>
          <w:lang w:val="fr-FR"/>
        </w:rPr>
        <w:t>énal de l’</w:t>
      </w:r>
      <w:r w:rsidR="008E1139">
        <w:rPr>
          <w:iCs/>
          <w:lang w:val="fr-FR"/>
        </w:rPr>
        <w:t>Australie occidentale</w:t>
      </w:r>
      <w:r w:rsidR="00A619D6">
        <w:rPr>
          <w:iCs/>
          <w:lang w:val="fr-FR"/>
        </w:rPr>
        <w:t>»</w:t>
      </w:r>
      <w:r w:rsidR="008D6B80">
        <w:rPr>
          <w:iCs/>
          <w:lang w:val="fr-FR"/>
        </w:rPr>
        <w:t xml:space="preserve">. </w:t>
      </w:r>
      <w:r w:rsidR="003344A5">
        <w:rPr>
          <w:iCs/>
          <w:lang w:val="fr-FR"/>
        </w:rPr>
        <w:t>Cette dernière considère que les peines obligatoires à l’encontre des cambriolages avec récidive sont appropriées et proportionnées en ce qui la concerne, eu égard à la nécessité de protéger les personnes qui vivent dans leur résidence, et de leur donner un sentiment de sécurité</w:t>
      </w:r>
      <w:r w:rsidR="008D6B80">
        <w:rPr>
          <w:iCs/>
          <w:lang w:val="fr-FR"/>
        </w:rPr>
        <w:t xml:space="preserve">. </w:t>
      </w:r>
      <w:r w:rsidR="003344A5">
        <w:rPr>
          <w:iCs/>
          <w:lang w:val="fr-FR"/>
        </w:rPr>
        <w:t xml:space="preserve">Le Gouvernement de l’État ne propose pas, actuellement, de modifier l’article 401 4) du Code pénal, étant convaincu que le placement en détention est un moyen approprié de </w:t>
      </w:r>
      <w:r w:rsidR="001F256F">
        <w:rPr>
          <w:iCs/>
          <w:lang w:val="fr-FR"/>
        </w:rPr>
        <w:t>lutter contre les multirécidivistes et n’est pas d’accord pour que la législation du Commonwealth ait le pas sur celle d’</w:t>
      </w:r>
      <w:r w:rsidR="008E1139">
        <w:rPr>
          <w:iCs/>
          <w:lang w:val="fr-FR"/>
        </w:rPr>
        <w:t>Australie occidentale</w:t>
      </w:r>
      <w:r w:rsidR="001F256F">
        <w:rPr>
          <w:iCs/>
          <w:lang w:val="fr-FR"/>
        </w:rPr>
        <w:t xml:space="preserve"> comme il est recommandé dans les observations finales du Comité des droits de l’enfant.</w:t>
      </w:r>
    </w:p>
    <w:p w:rsidR="008E6B70" w:rsidRDefault="008E6B70" w:rsidP="005D7B68">
      <w:pPr>
        <w:tabs>
          <w:tab w:val="left" w:pos="567"/>
          <w:tab w:val="left" w:pos="1134"/>
          <w:tab w:val="left" w:pos="1701"/>
          <w:tab w:val="left" w:pos="2268"/>
          <w:tab w:val="left" w:pos="2835"/>
        </w:tabs>
        <w:rPr>
          <w:b/>
          <w:bCs/>
          <w:iCs/>
          <w:lang w:val="fr-FR"/>
        </w:rPr>
      </w:pPr>
      <w:r>
        <w:rPr>
          <w:b/>
          <w:bCs/>
          <w:iCs/>
          <w:lang w:val="fr-FR"/>
        </w:rPr>
        <w:t>Question 26</w:t>
      </w:r>
    </w:p>
    <w:p w:rsidR="008E6B70" w:rsidRPr="008E6B70" w:rsidRDefault="008E6B70" w:rsidP="005D7B68">
      <w:pPr>
        <w:tabs>
          <w:tab w:val="left" w:pos="567"/>
          <w:tab w:val="left" w:pos="1134"/>
          <w:tab w:val="left" w:pos="1701"/>
          <w:tab w:val="left" w:pos="2268"/>
          <w:tab w:val="left" w:pos="2835"/>
        </w:tabs>
        <w:rPr>
          <w:b/>
          <w:bCs/>
          <w:lang w:val="fr-FR"/>
        </w:rPr>
      </w:pPr>
      <w:r>
        <w:rPr>
          <w:b/>
          <w:bCs/>
          <w:iCs/>
          <w:lang w:val="fr-FR"/>
        </w:rPr>
        <w:tab/>
      </w:r>
      <w:r w:rsidRPr="008E6B70">
        <w:rPr>
          <w:b/>
          <w:bCs/>
          <w:lang w:val="fr-FR"/>
        </w:rPr>
        <w:t>Indiquer si les normes en matière de rétention d’immigrants applicables aux entreprises privées chargées d’administrer les centres de rétention renvoient expressément à la Convention et aux instruments relatifs aux droits de l’homme. Indiquer également comment les autorités vérifient que les normes relatives aux droits de l’homme sont effectivement observées dans ces établissements.</w:t>
      </w:r>
    </w:p>
    <w:p w:rsidR="00BE59E7" w:rsidRDefault="00A03680" w:rsidP="005D7B68">
      <w:pPr>
        <w:tabs>
          <w:tab w:val="left" w:pos="567"/>
          <w:tab w:val="left" w:pos="1134"/>
          <w:tab w:val="left" w:pos="1701"/>
          <w:tab w:val="left" w:pos="2268"/>
          <w:tab w:val="left" w:pos="2835"/>
        </w:tabs>
        <w:rPr>
          <w:iCs/>
          <w:lang w:val="fr-FR"/>
        </w:rPr>
      </w:pPr>
      <w:r>
        <w:rPr>
          <w:iCs/>
          <w:lang w:val="fr-FR"/>
        </w:rPr>
        <w:t>69</w:t>
      </w:r>
      <w:r w:rsidR="002A6CEC">
        <w:rPr>
          <w:iCs/>
          <w:lang w:val="fr-FR"/>
        </w:rPr>
        <w:t>6</w:t>
      </w:r>
      <w:r>
        <w:rPr>
          <w:iCs/>
          <w:lang w:val="fr-FR"/>
        </w:rPr>
        <w:t>.</w:t>
      </w:r>
      <w:r>
        <w:rPr>
          <w:iCs/>
          <w:lang w:val="fr-FR"/>
        </w:rPr>
        <w:tab/>
      </w:r>
      <w:r w:rsidR="000F3336">
        <w:rPr>
          <w:iCs/>
          <w:lang w:val="fr-FR"/>
        </w:rPr>
        <w:t>Les normes en matière de rétention d’immigrants ne renvoient pas explicitement à la Convention et aux instruments relatifs aux droits de l’homme</w:t>
      </w:r>
      <w:r w:rsidR="008D6B80">
        <w:rPr>
          <w:iCs/>
          <w:lang w:val="fr-FR"/>
        </w:rPr>
        <w:t xml:space="preserve">. </w:t>
      </w:r>
      <w:r w:rsidR="000F3336">
        <w:rPr>
          <w:iCs/>
          <w:lang w:val="fr-FR"/>
        </w:rPr>
        <w:t>Ils renvoient bien, toutefois, à un pri</w:t>
      </w:r>
      <w:r w:rsidR="005F2E47">
        <w:rPr>
          <w:iCs/>
          <w:lang w:val="fr-FR"/>
        </w:rPr>
        <w:t>ncipe fondamental selon lequel il est tenu compte d</w:t>
      </w:r>
      <w:r w:rsidR="000F3336">
        <w:rPr>
          <w:iCs/>
          <w:lang w:val="fr-FR"/>
        </w:rPr>
        <w:t>es obligations internationales de l’Australie, comme celles qui sont relatives aux droits de l’homme,</w:t>
      </w:r>
      <w:r w:rsidR="005F2E47">
        <w:rPr>
          <w:iCs/>
          <w:lang w:val="fr-FR"/>
        </w:rPr>
        <w:t xml:space="preserve"> dans le fonctionnement des services de rétention des immigrants, et ces obligations renvoient expressément aux dispositions concernant l’accès des immigrants placés en rétention à la Commission des droits de l’homme et de l’égalité des chances, au Médiateur du Commonwealth et à la Croix Rouge australienne</w:t>
      </w:r>
      <w:r w:rsidR="008D6B80">
        <w:rPr>
          <w:iCs/>
          <w:lang w:val="fr-FR"/>
        </w:rPr>
        <w:t xml:space="preserve">. </w:t>
      </w:r>
      <w:r w:rsidR="005F2E47">
        <w:rPr>
          <w:iCs/>
          <w:lang w:val="fr-FR"/>
        </w:rPr>
        <w:t>Il est fait mention de la Convention dans la clause 1.24 de l’annexe 2 au contrat de services de rétention, sous le titre</w:t>
      </w:r>
      <w:r w:rsidR="00F770FF">
        <w:rPr>
          <w:iCs/>
          <w:lang w:val="fr-FR"/>
        </w:rPr>
        <w:t xml:space="preserve"> </w:t>
      </w:r>
      <w:r w:rsidR="00A619D6">
        <w:rPr>
          <w:iCs/>
          <w:lang w:val="fr-FR"/>
        </w:rPr>
        <w:t>«</w:t>
      </w:r>
      <w:r w:rsidR="00F770FF">
        <w:rPr>
          <w:iCs/>
          <w:lang w:val="fr-FR"/>
        </w:rPr>
        <w:t>Cadre général en matière de droits et de politiques</w:t>
      </w:r>
      <w:r w:rsidR="00A619D6">
        <w:rPr>
          <w:iCs/>
          <w:lang w:val="fr-FR"/>
        </w:rPr>
        <w:t>»</w:t>
      </w:r>
      <w:r w:rsidR="00F770FF">
        <w:rPr>
          <w:iCs/>
          <w:lang w:val="fr-FR"/>
        </w:rPr>
        <w:t xml:space="preserve">, et il est expressément </w:t>
      </w:r>
      <w:r w:rsidR="00F503B7">
        <w:rPr>
          <w:iCs/>
          <w:lang w:val="fr-FR"/>
        </w:rPr>
        <w:t xml:space="preserve">fait </w:t>
      </w:r>
      <w:r w:rsidR="00F770FF">
        <w:rPr>
          <w:iCs/>
          <w:lang w:val="fr-FR"/>
        </w:rPr>
        <w:t>référence à la législation australienne relative aux droits de l’homme</w:t>
      </w:r>
      <w:r w:rsidR="000F3336">
        <w:rPr>
          <w:iCs/>
          <w:lang w:val="fr-FR"/>
        </w:rPr>
        <w:t xml:space="preserve"> </w:t>
      </w:r>
      <w:r w:rsidR="00F770FF">
        <w:rPr>
          <w:iCs/>
          <w:lang w:val="fr-FR"/>
        </w:rPr>
        <w:t xml:space="preserve">dans les clauses 4.1.12 et 4.1.14 de l’annexe 2, sous le titre </w:t>
      </w:r>
      <w:r w:rsidR="00A619D6">
        <w:rPr>
          <w:iCs/>
          <w:lang w:val="fr-FR"/>
        </w:rPr>
        <w:t>«</w:t>
      </w:r>
      <w:r w:rsidR="00F770FF">
        <w:rPr>
          <w:iCs/>
          <w:lang w:val="fr-FR"/>
        </w:rPr>
        <w:t>Dignité</w:t>
      </w:r>
      <w:r w:rsidR="00A619D6">
        <w:rPr>
          <w:iCs/>
          <w:lang w:val="fr-FR"/>
        </w:rPr>
        <w:t>»</w:t>
      </w:r>
      <w:r w:rsidR="00F770FF">
        <w:rPr>
          <w:iCs/>
          <w:lang w:val="fr-FR"/>
        </w:rPr>
        <w:t>.</w:t>
      </w:r>
    </w:p>
    <w:p w:rsidR="00FD1174" w:rsidRDefault="00F770FF" w:rsidP="005D7B68">
      <w:pPr>
        <w:tabs>
          <w:tab w:val="left" w:pos="567"/>
          <w:tab w:val="left" w:pos="1134"/>
          <w:tab w:val="left" w:pos="1701"/>
          <w:tab w:val="left" w:pos="2268"/>
          <w:tab w:val="left" w:pos="2835"/>
        </w:tabs>
        <w:rPr>
          <w:iCs/>
          <w:lang w:val="fr-FR"/>
        </w:rPr>
      </w:pPr>
      <w:r>
        <w:rPr>
          <w:iCs/>
          <w:lang w:val="fr-FR"/>
        </w:rPr>
        <w:t>69</w:t>
      </w:r>
      <w:r w:rsidR="002A6CEC">
        <w:rPr>
          <w:iCs/>
          <w:lang w:val="fr-FR"/>
        </w:rPr>
        <w:t>7</w:t>
      </w:r>
      <w:r>
        <w:rPr>
          <w:iCs/>
          <w:lang w:val="fr-FR"/>
        </w:rPr>
        <w:t>.</w:t>
      </w:r>
      <w:r>
        <w:rPr>
          <w:iCs/>
          <w:lang w:val="fr-FR"/>
        </w:rPr>
        <w:tab/>
        <w:t>La conformité aux normes relatives aux droits de l’homme dans les centres de rétention d’immigrants fait l’objet de divers contrôles</w:t>
      </w:r>
      <w:r w:rsidR="008D6B80">
        <w:rPr>
          <w:iCs/>
          <w:lang w:val="fr-FR"/>
        </w:rPr>
        <w:t xml:space="preserve">. </w:t>
      </w:r>
      <w:r w:rsidR="00FD1174">
        <w:rPr>
          <w:iCs/>
          <w:lang w:val="fr-FR"/>
        </w:rPr>
        <w:t>Le Ministère de l’immigration et de la citoyenneté surveille les prestations des services de rétention pour vérifier que les prescriptions liées aux normes en matière de rétention d’immigrants sont respectées et qu’un niveau adéquat de confort est préservé dans les établissements de rétention</w:t>
      </w:r>
      <w:r w:rsidR="008D6B80">
        <w:rPr>
          <w:iCs/>
          <w:lang w:val="fr-FR"/>
        </w:rPr>
        <w:t xml:space="preserve">. </w:t>
      </w:r>
      <w:r w:rsidR="00FD1174">
        <w:rPr>
          <w:iCs/>
          <w:lang w:val="fr-FR"/>
        </w:rPr>
        <w:t>Le Ministère de l’immigration et de la citoyenneté exerce les fonctions suivantes</w:t>
      </w:r>
      <w:r w:rsidR="00572260">
        <w:rPr>
          <w:iCs/>
          <w:lang w:val="fr-FR"/>
        </w:rPr>
        <w:t>:</w:t>
      </w:r>
    </w:p>
    <w:p w:rsidR="00F770FF" w:rsidRDefault="00D30C3B" w:rsidP="005D7B68">
      <w:pPr>
        <w:tabs>
          <w:tab w:val="left" w:pos="567"/>
          <w:tab w:val="left" w:pos="1134"/>
          <w:tab w:val="left" w:pos="1701"/>
          <w:tab w:val="left" w:pos="2268"/>
          <w:tab w:val="left" w:pos="2835"/>
        </w:tabs>
        <w:rPr>
          <w:iCs/>
          <w:lang w:val="fr-FR"/>
        </w:rPr>
      </w:pPr>
      <w:r>
        <w:rPr>
          <w:iCs/>
          <w:lang w:val="fr-FR"/>
        </w:rPr>
        <w:tab/>
        <w:t>a)</w:t>
      </w:r>
      <w:r>
        <w:rPr>
          <w:iCs/>
          <w:lang w:val="fr-FR"/>
        </w:rPr>
        <w:tab/>
        <w:t>I</w:t>
      </w:r>
      <w:r w:rsidR="00FD1174">
        <w:rPr>
          <w:iCs/>
          <w:lang w:val="fr-FR"/>
        </w:rPr>
        <w:t>l reçoit du prestataire de services des rapports quotidiens sur les incidents qui surviennent dans ces établissements et les plaintes des personnes qui y séjournent</w:t>
      </w:r>
      <w:r w:rsidR="00572260">
        <w:rPr>
          <w:iCs/>
          <w:lang w:val="fr-FR"/>
        </w:rPr>
        <w:t>;</w:t>
      </w:r>
    </w:p>
    <w:p w:rsidR="00D64EB8" w:rsidRDefault="00D30C3B" w:rsidP="005D7B68">
      <w:pPr>
        <w:tabs>
          <w:tab w:val="left" w:pos="567"/>
          <w:tab w:val="left" w:pos="1134"/>
          <w:tab w:val="left" w:pos="1701"/>
          <w:tab w:val="left" w:pos="2268"/>
          <w:tab w:val="left" w:pos="2835"/>
        </w:tabs>
        <w:rPr>
          <w:iCs/>
          <w:lang w:val="fr-FR"/>
        </w:rPr>
      </w:pPr>
      <w:r>
        <w:rPr>
          <w:iCs/>
          <w:lang w:val="fr-FR"/>
        </w:rPr>
        <w:tab/>
        <w:t>b)</w:t>
      </w:r>
      <w:r>
        <w:rPr>
          <w:iCs/>
          <w:lang w:val="fr-FR"/>
        </w:rPr>
        <w:tab/>
      </w:r>
      <w:r w:rsidR="000A317E">
        <w:rPr>
          <w:iCs/>
          <w:lang w:val="fr-FR"/>
        </w:rPr>
        <w:t>I</w:t>
      </w:r>
      <w:r w:rsidR="00D64EB8">
        <w:rPr>
          <w:iCs/>
          <w:lang w:val="fr-FR"/>
        </w:rPr>
        <w:t>l recueille l’opinion de personnalités indépendantes et d’experts sur les causes et les conséquences de tous les incidents importants ou principaux qui se produisent dans le cadre de la rétention</w:t>
      </w:r>
      <w:r w:rsidR="00572260">
        <w:rPr>
          <w:iCs/>
          <w:lang w:val="fr-FR"/>
        </w:rPr>
        <w:t>;</w:t>
      </w:r>
    </w:p>
    <w:p w:rsidR="00D64EB8" w:rsidRDefault="00D30C3B" w:rsidP="005D7B68">
      <w:pPr>
        <w:tabs>
          <w:tab w:val="left" w:pos="567"/>
          <w:tab w:val="left" w:pos="1134"/>
          <w:tab w:val="left" w:pos="1701"/>
          <w:tab w:val="left" w:pos="2268"/>
          <w:tab w:val="left" w:pos="2835"/>
        </w:tabs>
        <w:rPr>
          <w:iCs/>
          <w:lang w:val="fr-FR"/>
        </w:rPr>
      </w:pPr>
      <w:r>
        <w:rPr>
          <w:iCs/>
          <w:lang w:val="fr-FR"/>
        </w:rPr>
        <w:tab/>
        <w:t>c)</w:t>
      </w:r>
      <w:r>
        <w:rPr>
          <w:iCs/>
          <w:lang w:val="fr-FR"/>
        </w:rPr>
        <w:tab/>
        <w:t>I</w:t>
      </w:r>
      <w:r w:rsidR="00D64EB8">
        <w:rPr>
          <w:iCs/>
          <w:lang w:val="fr-FR"/>
        </w:rPr>
        <w:t>l procède régulièrement au contrôle des prestations de services</w:t>
      </w:r>
      <w:r w:rsidR="00572260">
        <w:rPr>
          <w:iCs/>
          <w:lang w:val="fr-FR"/>
        </w:rPr>
        <w:t>;</w:t>
      </w:r>
    </w:p>
    <w:p w:rsidR="00D64EB8" w:rsidRDefault="00D30C3B" w:rsidP="005D7B68">
      <w:pPr>
        <w:tabs>
          <w:tab w:val="left" w:pos="567"/>
          <w:tab w:val="left" w:pos="1134"/>
          <w:tab w:val="left" w:pos="1701"/>
          <w:tab w:val="left" w:pos="2268"/>
          <w:tab w:val="left" w:pos="2835"/>
        </w:tabs>
        <w:rPr>
          <w:iCs/>
          <w:lang w:val="fr-FR"/>
        </w:rPr>
      </w:pPr>
      <w:r>
        <w:rPr>
          <w:iCs/>
          <w:lang w:val="fr-FR"/>
        </w:rPr>
        <w:tab/>
        <w:t>d)</w:t>
      </w:r>
      <w:r>
        <w:rPr>
          <w:iCs/>
          <w:lang w:val="fr-FR"/>
        </w:rPr>
        <w:tab/>
        <w:t>I</w:t>
      </w:r>
      <w:r w:rsidR="00D64EB8">
        <w:rPr>
          <w:iCs/>
          <w:lang w:val="fr-FR"/>
        </w:rPr>
        <w:t>l demande au prestataire de services d’élaborer et de mettre en</w:t>
      </w:r>
      <w:r>
        <w:rPr>
          <w:iCs/>
          <w:lang w:val="fr-FR"/>
        </w:rPr>
        <w:t xml:space="preserve"> œuvre un programme de contrôle et d’évaluation</w:t>
      </w:r>
      <w:r w:rsidR="00D64EB8">
        <w:rPr>
          <w:iCs/>
          <w:lang w:val="fr-FR"/>
        </w:rPr>
        <w:t xml:space="preserve"> internes des prestations par rapport aux normes en matière de rétention d’immigrants</w:t>
      </w:r>
      <w:r w:rsidR="00572260">
        <w:rPr>
          <w:iCs/>
          <w:lang w:val="fr-FR"/>
        </w:rPr>
        <w:t>;</w:t>
      </w:r>
    </w:p>
    <w:p w:rsidR="00D64EB8" w:rsidRDefault="00D30C3B" w:rsidP="005D7B68">
      <w:pPr>
        <w:tabs>
          <w:tab w:val="left" w:pos="567"/>
          <w:tab w:val="left" w:pos="1134"/>
          <w:tab w:val="left" w:pos="1701"/>
          <w:tab w:val="left" w:pos="2268"/>
          <w:tab w:val="left" w:pos="2835"/>
        </w:tabs>
        <w:rPr>
          <w:iCs/>
          <w:lang w:val="fr-FR"/>
        </w:rPr>
      </w:pPr>
      <w:r>
        <w:rPr>
          <w:iCs/>
          <w:lang w:val="fr-FR"/>
        </w:rPr>
        <w:tab/>
        <w:t>e)</w:t>
      </w:r>
      <w:r>
        <w:rPr>
          <w:iCs/>
          <w:lang w:val="fr-FR"/>
        </w:rPr>
        <w:tab/>
        <w:t>I</w:t>
      </w:r>
      <w:r w:rsidR="00D64EB8">
        <w:rPr>
          <w:iCs/>
          <w:lang w:val="fr-FR"/>
        </w:rPr>
        <w:t xml:space="preserve">l demande au prestataire de services </w:t>
      </w:r>
      <w:r w:rsidR="00BB3E6F">
        <w:rPr>
          <w:iCs/>
          <w:lang w:val="fr-FR"/>
        </w:rPr>
        <w:t>d’établir des rapports mensuels sur ses prestations au regard des références figurant dans les normes en matière de rétention des immigrants</w:t>
      </w:r>
      <w:r w:rsidR="00572260">
        <w:rPr>
          <w:iCs/>
          <w:lang w:val="fr-FR"/>
        </w:rPr>
        <w:t>;</w:t>
      </w:r>
    </w:p>
    <w:p w:rsidR="00BB3E6F" w:rsidRDefault="00D30C3B" w:rsidP="005D7B68">
      <w:pPr>
        <w:tabs>
          <w:tab w:val="left" w:pos="567"/>
          <w:tab w:val="left" w:pos="1134"/>
          <w:tab w:val="left" w:pos="1701"/>
          <w:tab w:val="left" w:pos="2268"/>
          <w:tab w:val="left" w:pos="2835"/>
        </w:tabs>
        <w:rPr>
          <w:iCs/>
          <w:lang w:val="fr-FR"/>
        </w:rPr>
      </w:pPr>
      <w:r>
        <w:rPr>
          <w:iCs/>
          <w:lang w:val="fr-FR"/>
        </w:rPr>
        <w:tab/>
        <w:t>f)</w:t>
      </w:r>
      <w:r>
        <w:rPr>
          <w:iCs/>
          <w:lang w:val="fr-FR"/>
        </w:rPr>
        <w:tab/>
        <w:t>I</w:t>
      </w:r>
      <w:r w:rsidR="00BB3E6F">
        <w:rPr>
          <w:iCs/>
          <w:lang w:val="fr-FR"/>
        </w:rPr>
        <w:t>l organise des réunions mensuelles du comité directeur avec le prestataire de services afin d’y discuter des problèmes liés à la prestation des services de rétention et de la résoudre</w:t>
      </w:r>
      <w:r w:rsidR="00572260">
        <w:rPr>
          <w:iCs/>
          <w:lang w:val="fr-FR"/>
        </w:rPr>
        <w:t>;</w:t>
      </w:r>
    </w:p>
    <w:p w:rsidR="00BB3E6F" w:rsidRDefault="00D30C3B" w:rsidP="005D7B68">
      <w:pPr>
        <w:tabs>
          <w:tab w:val="left" w:pos="567"/>
          <w:tab w:val="left" w:pos="1134"/>
          <w:tab w:val="left" w:pos="1701"/>
          <w:tab w:val="left" w:pos="2268"/>
          <w:tab w:val="left" w:pos="2835"/>
        </w:tabs>
        <w:rPr>
          <w:iCs/>
          <w:lang w:val="fr-FR"/>
        </w:rPr>
      </w:pPr>
      <w:r>
        <w:rPr>
          <w:iCs/>
          <w:lang w:val="fr-FR"/>
        </w:rPr>
        <w:tab/>
        <w:t>g)</w:t>
      </w:r>
      <w:r>
        <w:rPr>
          <w:iCs/>
          <w:lang w:val="fr-FR"/>
        </w:rPr>
        <w:tab/>
        <w:t>I</w:t>
      </w:r>
      <w:r w:rsidR="00BB3E6F">
        <w:rPr>
          <w:iCs/>
          <w:lang w:val="fr-FR"/>
        </w:rPr>
        <w:t>l remet par écrit au prestataire de services des évaluations officielles trimestrielles de l’exécution desdits services, fondées sur une évaluation</w:t>
      </w:r>
      <w:r w:rsidR="00262F19">
        <w:rPr>
          <w:iCs/>
          <w:lang w:val="fr-FR"/>
        </w:rPr>
        <w:t xml:space="preserve"> préalable</w:t>
      </w:r>
      <w:r w:rsidR="00BB3E6F">
        <w:rPr>
          <w:iCs/>
          <w:lang w:val="fr-FR"/>
        </w:rPr>
        <w:t xml:space="preserve"> de tous ses aspects au regard des normes en matière de rétention des immigrants</w:t>
      </w:r>
      <w:r w:rsidR="00572260">
        <w:rPr>
          <w:iCs/>
          <w:lang w:val="fr-FR"/>
        </w:rPr>
        <w:t>;</w:t>
      </w:r>
      <w:r w:rsidR="00BB3E6F">
        <w:rPr>
          <w:iCs/>
          <w:lang w:val="fr-FR"/>
        </w:rPr>
        <w:t xml:space="preserve"> et</w:t>
      </w:r>
    </w:p>
    <w:p w:rsidR="00AB2C76" w:rsidRDefault="00BB3E6F" w:rsidP="005D7B68">
      <w:pPr>
        <w:tabs>
          <w:tab w:val="left" w:pos="567"/>
          <w:tab w:val="left" w:pos="1134"/>
          <w:tab w:val="left" w:pos="1701"/>
          <w:tab w:val="left" w:pos="2268"/>
          <w:tab w:val="left" w:pos="2835"/>
        </w:tabs>
        <w:rPr>
          <w:iCs/>
          <w:lang w:val="fr-FR"/>
        </w:rPr>
      </w:pPr>
      <w:r>
        <w:rPr>
          <w:iCs/>
          <w:lang w:val="fr-FR"/>
        </w:rPr>
        <w:tab/>
        <w:t>h)</w:t>
      </w:r>
      <w:r>
        <w:rPr>
          <w:iCs/>
          <w:lang w:val="fr-FR"/>
        </w:rPr>
        <w:tab/>
      </w:r>
      <w:r w:rsidR="00D30C3B">
        <w:rPr>
          <w:iCs/>
          <w:lang w:val="fr-FR"/>
        </w:rPr>
        <w:t>I</w:t>
      </w:r>
      <w:r w:rsidR="00262F19">
        <w:rPr>
          <w:iCs/>
          <w:lang w:val="fr-FR"/>
        </w:rPr>
        <w:t>l informe régulièrement le Ministre des incidents qui surviennent dans les établissements de rétention et sur la qualité d’ensemble des prestations de services.</w:t>
      </w:r>
    </w:p>
    <w:p w:rsidR="00BB3E6F" w:rsidRDefault="00AB2C76" w:rsidP="005D7B68">
      <w:pPr>
        <w:tabs>
          <w:tab w:val="left" w:pos="567"/>
          <w:tab w:val="left" w:pos="1134"/>
          <w:tab w:val="left" w:pos="1701"/>
          <w:tab w:val="left" w:pos="2268"/>
          <w:tab w:val="left" w:pos="2835"/>
        </w:tabs>
        <w:rPr>
          <w:iCs/>
          <w:lang w:val="fr-FR"/>
        </w:rPr>
      </w:pPr>
      <w:r>
        <w:rPr>
          <w:iCs/>
          <w:lang w:val="fr-FR"/>
        </w:rPr>
        <w:t>69</w:t>
      </w:r>
      <w:r w:rsidR="002A6CEC">
        <w:rPr>
          <w:iCs/>
          <w:lang w:val="fr-FR"/>
        </w:rPr>
        <w:t>8</w:t>
      </w:r>
      <w:r>
        <w:rPr>
          <w:iCs/>
          <w:lang w:val="fr-FR"/>
        </w:rPr>
        <w:t>.</w:t>
      </w:r>
      <w:r>
        <w:rPr>
          <w:iCs/>
          <w:lang w:val="fr-FR"/>
        </w:rPr>
        <w:tab/>
        <w:t>La Commission des droits de l’homme et de l’égalité des chances peut mener une enquête sur un acte ou une pratique du Gouvernement australien susceptible de ne pas être compatible avec les droits de l’homme, définis</w:t>
      </w:r>
      <w:r w:rsidR="00224C36">
        <w:rPr>
          <w:iCs/>
          <w:lang w:val="fr-FR"/>
        </w:rPr>
        <w:t xml:space="preserve"> comme</w:t>
      </w:r>
      <w:r w:rsidR="000919F1">
        <w:rPr>
          <w:iCs/>
          <w:lang w:val="fr-FR"/>
        </w:rPr>
        <w:t xml:space="preserve"> étant les droits consacrés par</w:t>
      </w:r>
      <w:r w:rsidR="00224C36">
        <w:rPr>
          <w:iCs/>
          <w:lang w:val="fr-FR"/>
        </w:rPr>
        <w:t xml:space="preserve"> le Pacte international relatif aux droits civils et politiques et d’autres instruments internationaux pertinents</w:t>
      </w:r>
      <w:r w:rsidR="008D6B80">
        <w:rPr>
          <w:iCs/>
          <w:lang w:val="fr-FR"/>
        </w:rPr>
        <w:t xml:space="preserve">. </w:t>
      </w:r>
      <w:r w:rsidR="00224C36">
        <w:rPr>
          <w:iCs/>
          <w:lang w:val="fr-FR"/>
        </w:rPr>
        <w:t>Cette commission peut également enquêter et tenter d’exercer son pouvoir de conciliation sur les plaintes concernant une discrimination illicite ou un harcèlement dans divers domaines de la vie publique, y compris la discrimination fondée sur l’âge, la race, la couleur, l’origine familiale, nationale ou ethnique, le sexe, la grossesse, la situation de famille ou le handicap.</w:t>
      </w:r>
    </w:p>
    <w:p w:rsidR="00224C36" w:rsidRDefault="002A6CEC" w:rsidP="005D7B68">
      <w:pPr>
        <w:tabs>
          <w:tab w:val="left" w:pos="567"/>
          <w:tab w:val="left" w:pos="1134"/>
          <w:tab w:val="left" w:pos="1701"/>
          <w:tab w:val="left" w:pos="2268"/>
          <w:tab w:val="left" w:pos="2835"/>
        </w:tabs>
        <w:rPr>
          <w:iCs/>
          <w:lang w:val="fr-FR"/>
        </w:rPr>
      </w:pPr>
      <w:r>
        <w:rPr>
          <w:iCs/>
          <w:lang w:val="fr-FR"/>
        </w:rPr>
        <w:t>699</w:t>
      </w:r>
      <w:r w:rsidR="00224C36">
        <w:rPr>
          <w:iCs/>
          <w:lang w:val="fr-FR"/>
        </w:rPr>
        <w:t>.</w:t>
      </w:r>
      <w:r w:rsidR="00224C36">
        <w:rPr>
          <w:iCs/>
          <w:lang w:val="fr-FR"/>
        </w:rPr>
        <w:tab/>
      </w:r>
      <w:r w:rsidR="00DE6574">
        <w:rPr>
          <w:iCs/>
          <w:lang w:val="fr-FR"/>
        </w:rPr>
        <w:t xml:space="preserve">Le Médiateur fédéral a le pouvoir, en vertu de la loi de 1976 sur le Médiateur, d’enquêter sur les </w:t>
      </w:r>
      <w:r w:rsidR="00DE6574" w:rsidRPr="00213B77">
        <w:rPr>
          <w:iCs/>
          <w:lang w:val="fr-FR"/>
        </w:rPr>
        <w:t>actes administratifs du Département, soit à la suite d’une plainte, soit à sa propre initiative, le Département</w:t>
      </w:r>
      <w:r w:rsidR="00DE6574">
        <w:rPr>
          <w:iCs/>
          <w:lang w:val="fr-FR"/>
        </w:rPr>
        <w:t xml:space="preserve"> lui ayant soumis</w:t>
      </w:r>
      <w:r w:rsidR="00605782">
        <w:rPr>
          <w:iCs/>
          <w:lang w:val="fr-FR"/>
        </w:rPr>
        <w:t xml:space="preserve"> des affaires relevant de sa propre administration pour enquête</w:t>
      </w:r>
      <w:r w:rsidR="008D6B80">
        <w:rPr>
          <w:iCs/>
          <w:lang w:val="fr-FR"/>
        </w:rPr>
        <w:t xml:space="preserve">. </w:t>
      </w:r>
      <w:r w:rsidR="00605782">
        <w:rPr>
          <w:iCs/>
          <w:lang w:val="fr-FR"/>
        </w:rPr>
        <w:t>En 2005, la loi sur le Médiateur a été modifiée pour lui donner des pouvoirs supplémentaires en matière d’immigration et concernant les prestataires de services au Commonwealth, comme les services de rétention</w:t>
      </w:r>
      <w:r w:rsidR="008D6B80">
        <w:rPr>
          <w:iCs/>
          <w:lang w:val="fr-FR"/>
        </w:rPr>
        <w:t xml:space="preserve">. </w:t>
      </w:r>
      <w:r w:rsidR="00605782">
        <w:rPr>
          <w:iCs/>
          <w:lang w:val="fr-FR"/>
        </w:rPr>
        <w:t>La loi de 1958 sur l’immigration a été amendée dans le même sens</w:t>
      </w:r>
      <w:r w:rsidR="008D6B80">
        <w:rPr>
          <w:iCs/>
          <w:lang w:val="fr-FR"/>
        </w:rPr>
        <w:t xml:space="preserve">. </w:t>
      </w:r>
      <w:r w:rsidR="00605782">
        <w:rPr>
          <w:iCs/>
          <w:lang w:val="fr-FR"/>
        </w:rPr>
        <w:t>Pour trouver plus de détails sur ces modifications, prière de voir les paragraphes 6 à 9 de la réponse à la question 9.</w:t>
      </w:r>
    </w:p>
    <w:p w:rsidR="00605782" w:rsidRDefault="00605782" w:rsidP="005D7B68">
      <w:pPr>
        <w:tabs>
          <w:tab w:val="left" w:pos="567"/>
          <w:tab w:val="left" w:pos="1134"/>
          <w:tab w:val="left" w:pos="1701"/>
          <w:tab w:val="left" w:pos="2268"/>
          <w:tab w:val="left" w:pos="2835"/>
        </w:tabs>
        <w:rPr>
          <w:iCs/>
          <w:lang w:val="fr-FR"/>
        </w:rPr>
      </w:pPr>
      <w:r>
        <w:rPr>
          <w:iCs/>
          <w:lang w:val="fr-FR"/>
        </w:rPr>
        <w:t>70</w:t>
      </w:r>
      <w:r w:rsidR="002A6CEC">
        <w:rPr>
          <w:iCs/>
          <w:lang w:val="fr-FR"/>
        </w:rPr>
        <w:t>0</w:t>
      </w:r>
      <w:r>
        <w:rPr>
          <w:iCs/>
          <w:lang w:val="fr-FR"/>
        </w:rPr>
        <w:t>.</w:t>
      </w:r>
      <w:r>
        <w:rPr>
          <w:iCs/>
          <w:lang w:val="fr-FR"/>
        </w:rPr>
        <w:tab/>
        <w:t>Le personn</w:t>
      </w:r>
      <w:r w:rsidR="00A20B4E">
        <w:rPr>
          <w:iCs/>
          <w:lang w:val="fr-FR"/>
        </w:rPr>
        <w:t>el du Bureau du Médiateur se rend</w:t>
      </w:r>
      <w:r>
        <w:rPr>
          <w:iCs/>
          <w:lang w:val="fr-FR"/>
        </w:rPr>
        <w:t xml:space="preserve"> régulièrement</w:t>
      </w:r>
      <w:r w:rsidR="00917817">
        <w:rPr>
          <w:iCs/>
          <w:lang w:val="fr-FR"/>
        </w:rPr>
        <w:t xml:space="preserve"> </w:t>
      </w:r>
      <w:r w:rsidR="00A20B4E">
        <w:rPr>
          <w:iCs/>
          <w:lang w:val="fr-FR"/>
        </w:rPr>
        <w:t xml:space="preserve">dans </w:t>
      </w:r>
      <w:r w:rsidR="00917817">
        <w:rPr>
          <w:iCs/>
          <w:lang w:val="fr-FR"/>
        </w:rPr>
        <w:t>tous les centres de détention du continent pour enregistrer directement les plaintes et a mis au point une procédure destinée à faire en sorte que les requérants puissent s’adresser au Médiateur en privé sans crainte de conséquences</w:t>
      </w:r>
      <w:r w:rsidR="008D6B80">
        <w:rPr>
          <w:iCs/>
          <w:lang w:val="fr-FR"/>
        </w:rPr>
        <w:t xml:space="preserve">. </w:t>
      </w:r>
      <w:r w:rsidR="00917817">
        <w:rPr>
          <w:iCs/>
          <w:lang w:val="fr-FR"/>
        </w:rPr>
        <w:t>Le Médiateur a également établi un programme de visites d’inspection régulières des centres de détention.</w:t>
      </w:r>
    </w:p>
    <w:p w:rsidR="00917817" w:rsidRDefault="00917817" w:rsidP="005D7B68">
      <w:pPr>
        <w:tabs>
          <w:tab w:val="left" w:pos="567"/>
          <w:tab w:val="left" w:pos="1134"/>
          <w:tab w:val="left" w:pos="1701"/>
          <w:tab w:val="left" w:pos="2268"/>
          <w:tab w:val="left" w:pos="2835"/>
        </w:tabs>
        <w:rPr>
          <w:iCs/>
          <w:lang w:val="fr-FR"/>
        </w:rPr>
      </w:pPr>
      <w:r>
        <w:rPr>
          <w:iCs/>
          <w:lang w:val="fr-FR"/>
        </w:rPr>
        <w:t>70</w:t>
      </w:r>
      <w:r w:rsidR="002A6CEC">
        <w:rPr>
          <w:iCs/>
          <w:lang w:val="fr-FR"/>
        </w:rPr>
        <w:t>1</w:t>
      </w:r>
      <w:r>
        <w:rPr>
          <w:iCs/>
          <w:lang w:val="fr-FR"/>
        </w:rPr>
        <w:t>.</w:t>
      </w:r>
      <w:r>
        <w:rPr>
          <w:iCs/>
          <w:lang w:val="fr-FR"/>
        </w:rPr>
        <w:tab/>
        <w:t>Le Médiateur est particulièrement attentif à la situation des enfants qui peuvent faire l’</w:t>
      </w:r>
      <w:r w:rsidR="00AD259A">
        <w:rPr>
          <w:iCs/>
          <w:lang w:val="fr-FR"/>
        </w:rPr>
        <w:t>objet de modalités de détention spéciales ou sont placé</w:t>
      </w:r>
      <w:r w:rsidR="00A20B4E">
        <w:rPr>
          <w:iCs/>
          <w:lang w:val="fr-FR"/>
        </w:rPr>
        <w:t>s</w:t>
      </w:r>
      <w:r w:rsidR="00AD259A">
        <w:rPr>
          <w:iCs/>
          <w:lang w:val="fr-FR"/>
        </w:rPr>
        <w:t xml:space="preserve"> en détention au sein de la collectivité.</w:t>
      </w:r>
    </w:p>
    <w:p w:rsidR="00AD259A" w:rsidRDefault="00AD259A" w:rsidP="005D7B68">
      <w:pPr>
        <w:tabs>
          <w:tab w:val="left" w:pos="567"/>
          <w:tab w:val="left" w:pos="1134"/>
          <w:tab w:val="left" w:pos="1701"/>
          <w:tab w:val="left" w:pos="2268"/>
          <w:tab w:val="left" w:pos="2835"/>
        </w:tabs>
        <w:rPr>
          <w:iCs/>
          <w:lang w:val="fr-FR"/>
        </w:rPr>
      </w:pPr>
      <w:r>
        <w:rPr>
          <w:iCs/>
          <w:lang w:val="fr-FR"/>
        </w:rPr>
        <w:t>70</w:t>
      </w:r>
      <w:r w:rsidR="002A6CEC">
        <w:rPr>
          <w:iCs/>
          <w:lang w:val="fr-FR"/>
        </w:rPr>
        <w:t>2</w:t>
      </w:r>
      <w:r>
        <w:rPr>
          <w:iCs/>
          <w:lang w:val="fr-FR"/>
        </w:rPr>
        <w:t>.</w:t>
      </w:r>
      <w:r>
        <w:rPr>
          <w:iCs/>
          <w:lang w:val="fr-FR"/>
        </w:rPr>
        <w:tab/>
        <w:t>Le Médiateur instruit les plaintes concernant les prestations de soins de santé et de santé mentale aux détenus</w:t>
      </w:r>
      <w:r w:rsidR="008D6B80">
        <w:rPr>
          <w:iCs/>
          <w:lang w:val="fr-FR"/>
        </w:rPr>
        <w:t xml:space="preserve">. </w:t>
      </w:r>
      <w:r>
        <w:rPr>
          <w:iCs/>
          <w:lang w:val="fr-FR"/>
        </w:rPr>
        <w:t>Il se renseigne pour savoir si les services de soins de santé sont bien adaptés à l’occasion de ses visites d’inspection et il a un observateur dans le Groupe consultatif sur la santé en milieu carcéral</w:t>
      </w:r>
      <w:r w:rsidR="008D6B80">
        <w:rPr>
          <w:iCs/>
          <w:lang w:val="fr-FR"/>
        </w:rPr>
        <w:t xml:space="preserve">. </w:t>
      </w:r>
      <w:r w:rsidR="00EA7E9B">
        <w:rPr>
          <w:iCs/>
          <w:lang w:val="fr-FR"/>
        </w:rPr>
        <w:t>Lorsqu’</w:t>
      </w:r>
      <w:r w:rsidR="0008519C">
        <w:rPr>
          <w:iCs/>
          <w:lang w:val="fr-FR"/>
        </w:rPr>
        <w:t>un besoin</w:t>
      </w:r>
      <w:r w:rsidR="00EA7E9B">
        <w:rPr>
          <w:iCs/>
          <w:lang w:val="fr-FR"/>
        </w:rPr>
        <w:t xml:space="preserve"> en matière de soins de santé mentale concernant des immigrants apparaît au Médiateur, des arrangements existent pour que cette question soit immédiatement soulevée auprès du Ministère de l’immigr</w:t>
      </w:r>
      <w:r w:rsidR="00A20B4E">
        <w:rPr>
          <w:iCs/>
          <w:lang w:val="fr-FR"/>
        </w:rPr>
        <w:t>ation et de la citoyenneté ou du</w:t>
      </w:r>
      <w:r w:rsidR="009E054B">
        <w:rPr>
          <w:iCs/>
          <w:lang w:val="fr-FR"/>
        </w:rPr>
        <w:t xml:space="preserve"> prestataire</w:t>
      </w:r>
      <w:r w:rsidR="00EA7E9B">
        <w:rPr>
          <w:iCs/>
          <w:lang w:val="fr-FR"/>
        </w:rPr>
        <w:t xml:space="preserve"> de services de rétention.</w:t>
      </w:r>
    </w:p>
    <w:p w:rsidR="00EA7E9B" w:rsidRDefault="00EA7E9B" w:rsidP="005D7B68">
      <w:pPr>
        <w:tabs>
          <w:tab w:val="left" w:pos="567"/>
          <w:tab w:val="left" w:pos="1134"/>
          <w:tab w:val="left" w:pos="1701"/>
          <w:tab w:val="left" w:pos="2268"/>
          <w:tab w:val="left" w:pos="2835"/>
        </w:tabs>
        <w:rPr>
          <w:iCs/>
          <w:lang w:val="fr-FR"/>
        </w:rPr>
      </w:pPr>
      <w:r>
        <w:rPr>
          <w:iCs/>
          <w:lang w:val="fr-FR"/>
        </w:rPr>
        <w:t>70</w:t>
      </w:r>
      <w:r w:rsidR="002A6CEC">
        <w:rPr>
          <w:iCs/>
          <w:lang w:val="fr-FR"/>
        </w:rPr>
        <w:t>3</w:t>
      </w:r>
      <w:r>
        <w:rPr>
          <w:iCs/>
          <w:lang w:val="fr-FR"/>
        </w:rPr>
        <w:t>.</w:t>
      </w:r>
      <w:r>
        <w:rPr>
          <w:iCs/>
          <w:lang w:val="fr-FR"/>
        </w:rPr>
        <w:tab/>
      </w:r>
      <w:r w:rsidR="0008519C">
        <w:rPr>
          <w:iCs/>
          <w:lang w:val="fr-FR"/>
        </w:rPr>
        <w:t xml:space="preserve">Les immigrants placés en rétention ont le droit de déposer une réclamation auprès de la Commission des droits de l’homme et de l’égalité des chances en vertu </w:t>
      </w:r>
      <w:r w:rsidR="009E054B">
        <w:rPr>
          <w:iCs/>
          <w:lang w:val="fr-FR"/>
        </w:rPr>
        <w:t>de la loi de 1986 sur les droit</w:t>
      </w:r>
      <w:r w:rsidR="0008519C">
        <w:rPr>
          <w:iCs/>
          <w:lang w:val="fr-FR"/>
        </w:rPr>
        <w:t>s de l’homme et l’égalité des chances et auprès du Médiateur du Commonwealth en vertu de la loi de 1976 sur le Médiateur</w:t>
      </w:r>
      <w:r w:rsidR="008D6B80">
        <w:rPr>
          <w:iCs/>
          <w:lang w:val="fr-FR"/>
        </w:rPr>
        <w:t xml:space="preserve">. </w:t>
      </w:r>
      <w:r w:rsidR="0008519C">
        <w:rPr>
          <w:iCs/>
          <w:lang w:val="fr-FR"/>
        </w:rPr>
        <w:t>En outre, le contrat des services de rétention exige que</w:t>
      </w:r>
      <w:r w:rsidR="00755714">
        <w:rPr>
          <w:iCs/>
          <w:lang w:val="fr-FR"/>
        </w:rPr>
        <w:t xml:space="preserve"> toute demande faite par un immigrant placé en rétention pour pouvoir prendre contact avec la Commission ou le Médiateur soit facilitée.</w:t>
      </w:r>
    </w:p>
    <w:p w:rsidR="00577B8C" w:rsidRDefault="00755714" w:rsidP="005D7B68">
      <w:pPr>
        <w:tabs>
          <w:tab w:val="left" w:pos="567"/>
          <w:tab w:val="left" w:pos="1134"/>
          <w:tab w:val="left" w:pos="1701"/>
          <w:tab w:val="left" w:pos="2268"/>
          <w:tab w:val="left" w:pos="2835"/>
        </w:tabs>
        <w:rPr>
          <w:iCs/>
          <w:lang w:val="fr-FR"/>
        </w:rPr>
      </w:pPr>
      <w:r>
        <w:rPr>
          <w:iCs/>
          <w:lang w:val="fr-FR"/>
        </w:rPr>
        <w:t>70</w:t>
      </w:r>
      <w:r w:rsidR="002A6CEC">
        <w:rPr>
          <w:iCs/>
          <w:lang w:val="fr-FR"/>
        </w:rPr>
        <w:t>4</w:t>
      </w:r>
      <w:r>
        <w:rPr>
          <w:iCs/>
          <w:lang w:val="fr-FR"/>
        </w:rPr>
        <w:t>.</w:t>
      </w:r>
      <w:r>
        <w:rPr>
          <w:iCs/>
          <w:lang w:val="fr-FR"/>
        </w:rPr>
        <w:tab/>
        <w:t>Le Commissaire à la protection de la vie privée a le pouvoir, en application de la loi de 1988 sur la protection de la vie privée, d’enquêter sur un acte ou une pratique d’un organisme qui pourrait enfreindre</w:t>
      </w:r>
      <w:r w:rsidR="00773EB7">
        <w:rPr>
          <w:iCs/>
          <w:lang w:val="fr-FR"/>
        </w:rPr>
        <w:t xml:space="preserve"> le principe de la confidentialité des informations et, lorsqu’il considère qu’il est </w:t>
      </w:r>
      <w:r w:rsidR="009E054B">
        <w:rPr>
          <w:iCs/>
          <w:lang w:val="fr-FR"/>
        </w:rPr>
        <w:t xml:space="preserve">bon </w:t>
      </w:r>
      <w:r w:rsidR="00773EB7">
        <w:rPr>
          <w:iCs/>
          <w:lang w:val="fr-FR"/>
        </w:rPr>
        <w:t>de faire ainsi, de s’efforcer de régler par la conciliation l’affaire qui a donné lieu à l’enquête</w:t>
      </w:r>
      <w:r w:rsidR="008D6B80">
        <w:rPr>
          <w:iCs/>
          <w:lang w:val="fr-FR"/>
        </w:rPr>
        <w:t xml:space="preserve">. </w:t>
      </w:r>
      <w:r w:rsidR="00773EB7">
        <w:rPr>
          <w:iCs/>
          <w:lang w:val="fr-FR"/>
        </w:rPr>
        <w:t>Il est aussi habilité à adresser des rapports au Parlement fédéral.</w:t>
      </w:r>
    </w:p>
    <w:p w:rsidR="00755714" w:rsidRDefault="00577B8C" w:rsidP="005D7B68">
      <w:pPr>
        <w:tabs>
          <w:tab w:val="left" w:pos="567"/>
          <w:tab w:val="left" w:pos="1134"/>
          <w:tab w:val="left" w:pos="1701"/>
          <w:tab w:val="left" w:pos="2268"/>
          <w:tab w:val="left" w:pos="2835"/>
        </w:tabs>
        <w:rPr>
          <w:iCs/>
          <w:lang w:val="fr-FR"/>
        </w:rPr>
      </w:pPr>
      <w:r>
        <w:rPr>
          <w:iCs/>
          <w:lang w:val="fr-FR"/>
        </w:rPr>
        <w:t>70</w:t>
      </w:r>
      <w:r w:rsidR="002A6CEC">
        <w:rPr>
          <w:iCs/>
          <w:lang w:val="fr-FR"/>
        </w:rPr>
        <w:t>5</w:t>
      </w:r>
      <w:r>
        <w:rPr>
          <w:iCs/>
          <w:lang w:val="fr-FR"/>
        </w:rPr>
        <w:t>.</w:t>
      </w:r>
      <w:r>
        <w:rPr>
          <w:iCs/>
          <w:lang w:val="fr-FR"/>
        </w:rPr>
        <w:tab/>
      </w:r>
      <w:r w:rsidR="00562E09">
        <w:rPr>
          <w:iCs/>
          <w:lang w:val="fr-FR"/>
        </w:rPr>
        <w:t>L’</w:t>
      </w:r>
      <w:r w:rsidR="00562E09">
        <w:rPr>
          <w:i/>
          <w:lang w:val="fr-FR"/>
        </w:rPr>
        <w:t>Auditor-General</w:t>
      </w:r>
      <w:r w:rsidR="00562E09">
        <w:rPr>
          <w:iCs/>
          <w:lang w:val="fr-FR"/>
        </w:rPr>
        <w:t xml:space="preserve"> du Commonwealth est habilité, en vertu de la loi de 1997 sur </w:t>
      </w:r>
      <w:r w:rsidR="00562E09" w:rsidRPr="00562E09">
        <w:rPr>
          <w:iCs/>
          <w:lang w:val="fr-FR"/>
        </w:rPr>
        <w:t>l</w:t>
      </w:r>
      <w:r w:rsidR="00562E09">
        <w:rPr>
          <w:iCs/>
          <w:lang w:val="fr-FR"/>
        </w:rPr>
        <w:t>’</w:t>
      </w:r>
      <w:r w:rsidR="00562E09" w:rsidRPr="009E054B">
        <w:rPr>
          <w:i/>
          <w:lang w:val="fr-FR"/>
        </w:rPr>
        <w:t>Auditor</w:t>
      </w:r>
      <w:r w:rsidR="00562E09" w:rsidRPr="00562E09">
        <w:rPr>
          <w:i/>
          <w:lang w:val="fr-FR"/>
        </w:rPr>
        <w:t>-General</w:t>
      </w:r>
      <w:r w:rsidR="00562E09">
        <w:rPr>
          <w:iCs/>
          <w:lang w:val="fr-FR"/>
        </w:rPr>
        <w:t>, à</w:t>
      </w:r>
      <w:r w:rsidR="00572260">
        <w:rPr>
          <w:iCs/>
          <w:lang w:val="fr-FR"/>
        </w:rPr>
        <w:t xml:space="preserve"> </w:t>
      </w:r>
      <w:r w:rsidR="00562E09">
        <w:rPr>
          <w:iCs/>
          <w:lang w:val="fr-FR"/>
        </w:rPr>
        <w:t xml:space="preserve">procéder à des </w:t>
      </w:r>
      <w:r w:rsidR="00986EE8">
        <w:rPr>
          <w:iCs/>
          <w:lang w:val="fr-FR"/>
        </w:rPr>
        <w:t>vérifications</w:t>
      </w:r>
      <w:r w:rsidR="00562E09">
        <w:rPr>
          <w:iCs/>
          <w:lang w:val="fr-FR"/>
        </w:rPr>
        <w:t xml:space="preserve"> de </w:t>
      </w:r>
      <w:r w:rsidR="00735A4B">
        <w:rPr>
          <w:iCs/>
          <w:lang w:val="fr-FR"/>
        </w:rPr>
        <w:t>l’efficacité des organismes publics, dont le Ministère de l’immigration et de la citoyenneté, et à une évaluation ou un examen de tel ou tel aspect du fonctionnement de l’ensemble ou d’une partie du secteur public du Commonwealth, ce qui inclut celui des services de rétention d’immigrants. Dans ce cas, il doit établir un rapport destiné aux deux chambres du Parlement et au ministre ou aux ministres concernés.</w:t>
      </w:r>
    </w:p>
    <w:p w:rsidR="00735A4B" w:rsidRDefault="00735A4B" w:rsidP="005D7B68">
      <w:pPr>
        <w:tabs>
          <w:tab w:val="left" w:pos="567"/>
          <w:tab w:val="left" w:pos="1134"/>
          <w:tab w:val="left" w:pos="1701"/>
          <w:tab w:val="left" w:pos="2268"/>
          <w:tab w:val="left" w:pos="2835"/>
        </w:tabs>
        <w:rPr>
          <w:b/>
          <w:bCs/>
          <w:iCs/>
          <w:lang w:val="fr-FR"/>
        </w:rPr>
      </w:pPr>
      <w:r>
        <w:rPr>
          <w:b/>
          <w:bCs/>
          <w:iCs/>
          <w:lang w:val="fr-FR"/>
        </w:rPr>
        <w:t>Question 27</w:t>
      </w:r>
    </w:p>
    <w:p w:rsidR="00EE358D" w:rsidRPr="00EE358D" w:rsidRDefault="00EE358D" w:rsidP="005D7B68">
      <w:pPr>
        <w:tabs>
          <w:tab w:val="left" w:pos="567"/>
          <w:tab w:val="left" w:pos="1134"/>
          <w:tab w:val="left" w:pos="1701"/>
          <w:tab w:val="left" w:pos="2268"/>
          <w:tab w:val="left" w:pos="2835"/>
        </w:tabs>
        <w:rPr>
          <w:b/>
          <w:bCs/>
          <w:lang w:val="fr-FR"/>
        </w:rPr>
      </w:pPr>
      <w:r>
        <w:rPr>
          <w:b/>
          <w:bCs/>
          <w:iCs/>
          <w:lang w:val="fr-FR"/>
        </w:rPr>
        <w:tab/>
      </w:r>
      <w:r w:rsidRPr="00EE358D">
        <w:rPr>
          <w:b/>
          <w:bCs/>
          <w:lang w:val="fr-FR"/>
        </w:rPr>
        <w:t>Compte tenu des préoccupations exprimées par le Groupe de travail sur la détention arbitraire (voir document E/CN.4/2003/8/Add.2) et la Commission des droits de l’homme et de l’égalité des chances concernant la rétention obligatoire des demandeurs d’asile et ses répercussions sur la santé mentale des intéressés, informer le Comité du nombre de cas d’auto</w:t>
      </w:r>
      <w:r w:rsidRPr="00EE358D">
        <w:rPr>
          <w:b/>
          <w:bCs/>
          <w:lang w:val="fr-FR"/>
        </w:rPr>
        <w:noBreakHyphen/>
        <w:t xml:space="preserve">agressivité, de tentative de suicide et de suicide dans les centres de rétention d’immigrants qui ont été recensés depuis la présentation du précédent rapport périodique en 2000. </w:t>
      </w:r>
    </w:p>
    <w:p w:rsidR="00735A4B" w:rsidRDefault="00EE358D" w:rsidP="005D7B68">
      <w:pPr>
        <w:tabs>
          <w:tab w:val="left" w:pos="567"/>
          <w:tab w:val="left" w:pos="1134"/>
          <w:tab w:val="left" w:pos="1701"/>
          <w:tab w:val="left" w:pos="2268"/>
          <w:tab w:val="left" w:pos="2835"/>
        </w:tabs>
        <w:rPr>
          <w:iCs/>
          <w:lang w:val="fr-FR"/>
        </w:rPr>
      </w:pPr>
      <w:r>
        <w:rPr>
          <w:iCs/>
          <w:lang w:val="fr-FR"/>
        </w:rPr>
        <w:t>70</w:t>
      </w:r>
      <w:r w:rsidR="002A6CEC">
        <w:rPr>
          <w:iCs/>
          <w:lang w:val="fr-FR"/>
        </w:rPr>
        <w:t>6</w:t>
      </w:r>
      <w:r>
        <w:rPr>
          <w:iCs/>
          <w:lang w:val="fr-FR"/>
        </w:rPr>
        <w:t>.</w:t>
      </w:r>
      <w:r>
        <w:rPr>
          <w:iCs/>
          <w:lang w:val="fr-FR"/>
        </w:rPr>
        <w:tab/>
        <w:t>Le Gouvernement australien considère que le doublonnage des activités du Comité dans le cadre du mandat du Groupe de travail des Nations Unies sur la détention arbitraire n’est pas nécessaire</w:t>
      </w:r>
      <w:r w:rsidR="008D6B80">
        <w:rPr>
          <w:iCs/>
          <w:lang w:val="fr-FR"/>
        </w:rPr>
        <w:t xml:space="preserve">. </w:t>
      </w:r>
      <w:r>
        <w:rPr>
          <w:iCs/>
          <w:lang w:val="fr-FR"/>
        </w:rPr>
        <w:t>Il considère également que le Comité n’est pas l’instance qui convient pour discuter des préoccupations particulières qui se sont exprimées.</w:t>
      </w:r>
    </w:p>
    <w:p w:rsidR="00EE358D" w:rsidRDefault="00EE358D" w:rsidP="005D7B68">
      <w:pPr>
        <w:tabs>
          <w:tab w:val="left" w:pos="567"/>
          <w:tab w:val="left" w:pos="1134"/>
          <w:tab w:val="left" w:pos="1701"/>
          <w:tab w:val="left" w:pos="2268"/>
          <w:tab w:val="left" w:pos="2835"/>
        </w:tabs>
        <w:rPr>
          <w:b/>
          <w:bCs/>
          <w:iCs/>
          <w:lang w:val="fr-FR"/>
        </w:rPr>
      </w:pPr>
      <w:r>
        <w:rPr>
          <w:b/>
          <w:bCs/>
          <w:iCs/>
          <w:lang w:val="fr-FR"/>
        </w:rPr>
        <w:t>Question 28</w:t>
      </w:r>
    </w:p>
    <w:p w:rsidR="00EE358D" w:rsidRPr="00EE358D" w:rsidRDefault="00EE358D" w:rsidP="005D7B68">
      <w:pPr>
        <w:tabs>
          <w:tab w:val="left" w:pos="567"/>
          <w:tab w:val="left" w:pos="1134"/>
          <w:tab w:val="left" w:pos="1701"/>
          <w:tab w:val="left" w:pos="2268"/>
          <w:tab w:val="left" w:pos="2835"/>
        </w:tabs>
        <w:rPr>
          <w:b/>
          <w:bCs/>
          <w:lang w:val="fr-FR"/>
        </w:rPr>
      </w:pPr>
      <w:r>
        <w:rPr>
          <w:b/>
          <w:bCs/>
          <w:iCs/>
          <w:lang w:val="fr-FR"/>
        </w:rPr>
        <w:tab/>
      </w:r>
      <w:r w:rsidRPr="00EE358D">
        <w:rPr>
          <w:b/>
          <w:bCs/>
          <w:lang w:val="fr-FR"/>
        </w:rPr>
        <w:t xml:space="preserve">À ce propos également et compte tenu des conclusions du rapport publié en </w:t>
      </w:r>
      <w:r w:rsidR="006B49AE">
        <w:rPr>
          <w:b/>
          <w:bCs/>
          <w:lang w:val="fr-FR"/>
        </w:rPr>
        <w:t>janvier </w:t>
      </w:r>
      <w:r w:rsidRPr="00EE358D">
        <w:rPr>
          <w:b/>
          <w:bCs/>
          <w:lang w:val="fr-FR"/>
        </w:rPr>
        <w:t>2007 par la Commission des droits de l’homme et de l’égalité des chances, qui contient des observations formulées à la suite d’inspections effectuées dans des centres de rétention d’immigrants situés en Australie continentale, donner de plus amples informations sur les soins de santé mentale auxquels ont accès les demandeurs d’asile privés de liberté et décrire le suivi qu’il est prévu de donner aux recommandations de la Commission des droits de l’homme et de l’égalité des chances.</w:t>
      </w:r>
    </w:p>
    <w:p w:rsidR="00BE63B7" w:rsidRDefault="00BE63B7" w:rsidP="005D7B68">
      <w:pPr>
        <w:tabs>
          <w:tab w:val="left" w:pos="567"/>
          <w:tab w:val="left" w:pos="1134"/>
          <w:tab w:val="left" w:pos="1701"/>
          <w:tab w:val="left" w:pos="2268"/>
          <w:tab w:val="left" w:pos="2835"/>
        </w:tabs>
        <w:rPr>
          <w:iCs/>
          <w:lang w:val="fr-FR"/>
        </w:rPr>
      </w:pPr>
      <w:r>
        <w:rPr>
          <w:iCs/>
          <w:lang w:val="fr-FR"/>
        </w:rPr>
        <w:t>70</w:t>
      </w:r>
      <w:r w:rsidR="002A6CEC">
        <w:rPr>
          <w:iCs/>
          <w:lang w:val="fr-FR"/>
        </w:rPr>
        <w:t>7</w:t>
      </w:r>
      <w:r>
        <w:rPr>
          <w:iCs/>
          <w:lang w:val="fr-FR"/>
        </w:rPr>
        <w:t>.</w:t>
      </w:r>
      <w:r>
        <w:rPr>
          <w:iCs/>
          <w:lang w:val="fr-FR"/>
        </w:rPr>
        <w:tab/>
        <w:t xml:space="preserve">Á titre préliminaire, le Gouvernement australien note qu’il se peut que la question du Comité dépasse le cadre de son mandat, car on ne voit pas très bien en quoi </w:t>
      </w:r>
      <w:r w:rsidR="009E054B">
        <w:rPr>
          <w:iCs/>
          <w:lang w:val="fr-FR"/>
        </w:rPr>
        <w:t xml:space="preserve">elle </w:t>
      </w:r>
      <w:r>
        <w:rPr>
          <w:iCs/>
          <w:lang w:val="fr-FR"/>
        </w:rPr>
        <w:t>est liée à l’exécution des obligations de l’Australie en application de l’article 11 de la Convention</w:t>
      </w:r>
      <w:r w:rsidR="008D6B80">
        <w:rPr>
          <w:iCs/>
          <w:lang w:val="fr-FR"/>
        </w:rPr>
        <w:t xml:space="preserve">. </w:t>
      </w:r>
      <w:r>
        <w:rPr>
          <w:iCs/>
          <w:lang w:val="fr-FR"/>
        </w:rPr>
        <w:t>Toutefois, afin d’être utile au Comité, le Gouvernement australien accepte de communiquer les informations ci-après.</w:t>
      </w:r>
    </w:p>
    <w:p w:rsidR="006C0A17" w:rsidRDefault="00BE63B7" w:rsidP="005D7B68">
      <w:pPr>
        <w:tabs>
          <w:tab w:val="left" w:pos="567"/>
          <w:tab w:val="left" w:pos="1134"/>
          <w:tab w:val="left" w:pos="1701"/>
          <w:tab w:val="left" w:pos="2268"/>
          <w:tab w:val="left" w:pos="2835"/>
        </w:tabs>
        <w:rPr>
          <w:iCs/>
          <w:lang w:val="fr-FR"/>
        </w:rPr>
      </w:pPr>
      <w:r>
        <w:rPr>
          <w:iCs/>
          <w:lang w:val="fr-FR"/>
        </w:rPr>
        <w:t>70</w:t>
      </w:r>
      <w:r w:rsidR="002A6CEC">
        <w:rPr>
          <w:iCs/>
          <w:lang w:val="fr-FR"/>
        </w:rPr>
        <w:t>8</w:t>
      </w:r>
      <w:r>
        <w:rPr>
          <w:iCs/>
          <w:lang w:val="fr-FR"/>
        </w:rPr>
        <w:t>.</w:t>
      </w:r>
      <w:r>
        <w:rPr>
          <w:iCs/>
          <w:lang w:val="fr-FR"/>
        </w:rPr>
        <w:tab/>
        <w:t>Le rapport de la Commission des droits de l’homme et de l’égalité des chances fait état d’un changement positif dans l’attitude du personnel de direction ou de prestation des services dans les centres de rétention d’immigrants</w:t>
      </w:r>
      <w:r w:rsidR="008D6B80">
        <w:rPr>
          <w:iCs/>
          <w:lang w:val="fr-FR"/>
        </w:rPr>
        <w:t xml:space="preserve">. </w:t>
      </w:r>
      <w:r w:rsidR="006C0A17">
        <w:rPr>
          <w:iCs/>
          <w:lang w:val="fr-FR"/>
        </w:rPr>
        <w:t>Les efforts déployés à la fois par le Ministère de l’immigration et de la citoyenneté et le personnel des services de rétention</w:t>
      </w:r>
      <w:r w:rsidR="00BD6053">
        <w:rPr>
          <w:iCs/>
          <w:lang w:val="fr-FR"/>
        </w:rPr>
        <w:t xml:space="preserve"> pour traiter les utilisateurs </w:t>
      </w:r>
      <w:r w:rsidR="006C0A17">
        <w:rPr>
          <w:iCs/>
          <w:lang w:val="fr-FR"/>
        </w:rPr>
        <w:t>de ces services équitablement et raisonnablement, de façon ouverte et responsable</w:t>
      </w:r>
      <w:r w:rsidR="009E054B">
        <w:rPr>
          <w:iCs/>
          <w:lang w:val="fr-FR"/>
        </w:rPr>
        <w:t>,</w:t>
      </w:r>
      <w:r w:rsidR="006C0A17">
        <w:rPr>
          <w:iCs/>
          <w:lang w:val="fr-FR"/>
        </w:rPr>
        <w:t xml:space="preserve"> ont été salués.</w:t>
      </w:r>
    </w:p>
    <w:p w:rsidR="003E5E44" w:rsidRDefault="006C0A17" w:rsidP="005D7B68">
      <w:pPr>
        <w:tabs>
          <w:tab w:val="left" w:pos="567"/>
          <w:tab w:val="left" w:pos="1134"/>
          <w:tab w:val="left" w:pos="1701"/>
          <w:tab w:val="left" w:pos="2268"/>
          <w:tab w:val="left" w:pos="2835"/>
        </w:tabs>
        <w:rPr>
          <w:iCs/>
          <w:lang w:val="fr-FR"/>
        </w:rPr>
      </w:pPr>
      <w:r>
        <w:rPr>
          <w:iCs/>
          <w:lang w:val="fr-FR"/>
        </w:rPr>
        <w:t>7</w:t>
      </w:r>
      <w:r w:rsidR="002A6CEC">
        <w:rPr>
          <w:iCs/>
          <w:lang w:val="fr-FR"/>
        </w:rPr>
        <w:t>09</w:t>
      </w:r>
      <w:r>
        <w:rPr>
          <w:iCs/>
          <w:lang w:val="fr-FR"/>
        </w:rPr>
        <w:t>.</w:t>
      </w:r>
      <w:r>
        <w:rPr>
          <w:iCs/>
          <w:lang w:val="fr-FR"/>
        </w:rPr>
        <w:tab/>
        <w:t>Le développement du système de santé en milieu carcéral depuis le rapport de l’enquête sur les circonstances de la détention de Cornelia Rau</w:t>
      </w:r>
      <w:r w:rsidR="003E5E44">
        <w:rPr>
          <w:iCs/>
          <w:lang w:val="fr-FR"/>
        </w:rPr>
        <w:t xml:space="preserve"> dans le cadre des contrôles d’immigration, </w:t>
      </w:r>
      <w:r w:rsidR="00D75EAA">
        <w:rPr>
          <w:iCs/>
          <w:lang w:val="fr-FR"/>
        </w:rPr>
        <w:t xml:space="preserve">établi </w:t>
      </w:r>
      <w:r w:rsidR="003E5E44">
        <w:rPr>
          <w:iCs/>
          <w:lang w:val="fr-FR"/>
        </w:rPr>
        <w:t>par M. Mick Palmer AO APM, en juin 2005 (le ‘rapport Palmer’), est soutenu par le Groupe consultatif sur la</w:t>
      </w:r>
      <w:r w:rsidR="00D75EAA">
        <w:rPr>
          <w:iCs/>
          <w:lang w:val="fr-FR"/>
        </w:rPr>
        <w:t xml:space="preserve"> santé en milieu carcéral, composé de membres nommés</w:t>
      </w:r>
      <w:r w:rsidR="003E5E44">
        <w:rPr>
          <w:iCs/>
          <w:lang w:val="fr-FR"/>
        </w:rPr>
        <w:t xml:space="preserve"> </w:t>
      </w:r>
      <w:r w:rsidR="009D7D15">
        <w:rPr>
          <w:iCs/>
          <w:lang w:val="fr-FR"/>
        </w:rPr>
        <w:t xml:space="preserve">qui </w:t>
      </w:r>
      <w:r w:rsidR="003E5E44">
        <w:rPr>
          <w:iCs/>
          <w:lang w:val="fr-FR"/>
        </w:rPr>
        <w:t>appartiennent aux principales organisations australiennes de professionnels de la santé</w:t>
      </w:r>
      <w:r w:rsidR="008D6B80">
        <w:rPr>
          <w:iCs/>
          <w:lang w:val="fr-FR"/>
        </w:rPr>
        <w:t xml:space="preserve">. </w:t>
      </w:r>
      <w:r w:rsidR="003E5E44">
        <w:rPr>
          <w:iCs/>
          <w:lang w:val="fr-FR"/>
        </w:rPr>
        <w:t xml:space="preserve">Le </w:t>
      </w:r>
      <w:r w:rsidR="003E5E44" w:rsidRPr="003E5E44">
        <w:rPr>
          <w:i/>
          <w:lang w:val="fr-FR"/>
        </w:rPr>
        <w:t>Royal College of General Practitioners</w:t>
      </w:r>
      <w:r w:rsidR="003E5E44">
        <w:rPr>
          <w:iCs/>
          <w:lang w:val="fr-FR"/>
        </w:rPr>
        <w:t xml:space="preserve"> (organisation de généralistes) a récemment mis au point les normes de santé en milieu carcéral, comparables aux normes australiennes de médecine générale</w:t>
      </w:r>
      <w:r w:rsidR="009D7D15">
        <w:rPr>
          <w:iCs/>
          <w:lang w:val="fr-FR"/>
        </w:rPr>
        <w:t>,</w:t>
      </w:r>
      <w:r w:rsidR="003E5E44">
        <w:rPr>
          <w:iCs/>
          <w:lang w:val="fr-FR"/>
        </w:rPr>
        <w:t xml:space="preserve"> pour appuyer ce système. </w:t>
      </w:r>
    </w:p>
    <w:p w:rsidR="008A047C" w:rsidRDefault="003E5E44" w:rsidP="005D7B68">
      <w:pPr>
        <w:tabs>
          <w:tab w:val="left" w:pos="567"/>
          <w:tab w:val="left" w:pos="1134"/>
          <w:tab w:val="left" w:pos="1701"/>
          <w:tab w:val="left" w:pos="2268"/>
          <w:tab w:val="left" w:pos="2835"/>
        </w:tabs>
        <w:rPr>
          <w:iCs/>
          <w:lang w:val="fr-FR"/>
        </w:rPr>
      </w:pPr>
      <w:r>
        <w:rPr>
          <w:iCs/>
          <w:lang w:val="fr-FR"/>
        </w:rPr>
        <w:t>71</w:t>
      </w:r>
      <w:r w:rsidR="002A6CEC">
        <w:rPr>
          <w:iCs/>
          <w:lang w:val="fr-FR"/>
        </w:rPr>
        <w:t>0</w:t>
      </w:r>
      <w:r>
        <w:rPr>
          <w:iCs/>
          <w:lang w:val="fr-FR"/>
        </w:rPr>
        <w:t>.</w:t>
      </w:r>
      <w:r>
        <w:rPr>
          <w:iCs/>
          <w:lang w:val="fr-FR"/>
        </w:rPr>
        <w:tab/>
        <w:t>Le Ministère de l’immigration et de la citoyenneté a adopté un certain nombre d’initiatives destinées à améliorer la santé mentale et le bien-être de</w:t>
      </w:r>
      <w:r w:rsidR="00FC490D">
        <w:rPr>
          <w:iCs/>
          <w:lang w:val="fr-FR"/>
        </w:rPr>
        <w:t>s immigrants placés en rétenti</w:t>
      </w:r>
      <w:r>
        <w:rPr>
          <w:iCs/>
          <w:lang w:val="fr-FR"/>
        </w:rPr>
        <w:t>on et</w:t>
      </w:r>
      <w:r w:rsidR="00FC490D">
        <w:rPr>
          <w:iCs/>
          <w:lang w:val="fr-FR"/>
        </w:rPr>
        <w:t xml:space="preserve"> poursuit un examen plus large des prestations de soins de santé</w:t>
      </w:r>
      <w:r w:rsidR="006C0A17">
        <w:rPr>
          <w:iCs/>
          <w:lang w:val="fr-FR"/>
        </w:rPr>
        <w:t xml:space="preserve"> </w:t>
      </w:r>
      <w:r w:rsidR="00FC490D">
        <w:rPr>
          <w:iCs/>
          <w:lang w:val="fr-FR"/>
        </w:rPr>
        <w:t>pour faire en sorte qu’elles soient de même niveau que celles dont dispose l’ensemble de la population australienne</w:t>
      </w:r>
      <w:r w:rsidR="008D6B80">
        <w:rPr>
          <w:iCs/>
          <w:lang w:val="fr-FR"/>
        </w:rPr>
        <w:t xml:space="preserve">. </w:t>
      </w:r>
      <w:r w:rsidR="00FC490D">
        <w:rPr>
          <w:iCs/>
          <w:lang w:val="fr-FR"/>
        </w:rPr>
        <w:t>Il</w:t>
      </w:r>
      <w:r w:rsidR="00D75EAA">
        <w:rPr>
          <w:iCs/>
          <w:lang w:val="fr-FR"/>
        </w:rPr>
        <w:t xml:space="preserve"> restera attentif aux besoins, en matière de</w:t>
      </w:r>
      <w:r w:rsidR="00FC490D">
        <w:rPr>
          <w:iCs/>
          <w:lang w:val="fr-FR"/>
        </w:rPr>
        <w:t xml:space="preserve"> soins de santé et de santé mentale</w:t>
      </w:r>
      <w:r w:rsidR="00D75EAA">
        <w:rPr>
          <w:iCs/>
          <w:lang w:val="fr-FR"/>
        </w:rPr>
        <w:t>,</w:t>
      </w:r>
      <w:r w:rsidR="00FC490D">
        <w:rPr>
          <w:iCs/>
          <w:lang w:val="fr-FR"/>
        </w:rPr>
        <w:t xml:space="preserve"> de toutes les personnes logées dans les centres de rétention d’immigrants pour faire en sorte que les modèles de soins de santé et les ressources y afférentes </w:t>
      </w:r>
      <w:r w:rsidR="008A047C">
        <w:rPr>
          <w:iCs/>
          <w:lang w:val="fr-FR"/>
        </w:rPr>
        <w:t>répondent à ces besoins.</w:t>
      </w:r>
    </w:p>
    <w:p w:rsidR="008A047C" w:rsidRDefault="008A047C" w:rsidP="005D7B68">
      <w:pPr>
        <w:tabs>
          <w:tab w:val="left" w:pos="567"/>
          <w:tab w:val="left" w:pos="1134"/>
          <w:tab w:val="left" w:pos="1701"/>
          <w:tab w:val="left" w:pos="2268"/>
          <w:tab w:val="left" w:pos="2835"/>
        </w:tabs>
        <w:rPr>
          <w:iCs/>
          <w:lang w:val="fr-FR"/>
        </w:rPr>
      </w:pPr>
      <w:r>
        <w:rPr>
          <w:iCs/>
          <w:lang w:val="fr-FR"/>
        </w:rPr>
        <w:t>71</w:t>
      </w:r>
      <w:r w:rsidR="002A6CEC">
        <w:rPr>
          <w:iCs/>
          <w:lang w:val="fr-FR"/>
        </w:rPr>
        <w:t>1</w:t>
      </w:r>
      <w:r>
        <w:rPr>
          <w:iCs/>
          <w:lang w:val="fr-FR"/>
        </w:rPr>
        <w:t>.</w:t>
      </w:r>
      <w:r>
        <w:rPr>
          <w:iCs/>
          <w:lang w:val="fr-FR"/>
        </w:rPr>
        <w:tab/>
        <w:t>Il est donné suite à toutes les recomm</w:t>
      </w:r>
      <w:r w:rsidR="00D75EAA">
        <w:rPr>
          <w:iCs/>
          <w:lang w:val="fr-FR"/>
        </w:rPr>
        <w:t>andations en matière de santé formulées par</w:t>
      </w:r>
      <w:r>
        <w:rPr>
          <w:iCs/>
          <w:lang w:val="fr-FR"/>
        </w:rPr>
        <w:t xml:space="preserve"> la Commission des droits de l’homme et de l’égalité des chances</w:t>
      </w:r>
      <w:r w:rsidR="008D6B80">
        <w:rPr>
          <w:iCs/>
          <w:lang w:val="fr-FR"/>
        </w:rPr>
        <w:t xml:space="preserve">. </w:t>
      </w:r>
      <w:r>
        <w:rPr>
          <w:iCs/>
          <w:lang w:val="fr-FR"/>
        </w:rPr>
        <w:t>Les recommandations en question figurent ci-après, assorties d’explications sur la manière dont elles ont été, ou sont, mises en pratiques.</w:t>
      </w:r>
    </w:p>
    <w:p w:rsidR="008A047C" w:rsidRDefault="008A047C" w:rsidP="005D7B68">
      <w:pPr>
        <w:tabs>
          <w:tab w:val="left" w:pos="567"/>
          <w:tab w:val="left" w:pos="1134"/>
          <w:tab w:val="left" w:pos="1701"/>
          <w:tab w:val="left" w:pos="2268"/>
          <w:tab w:val="left" w:pos="2835"/>
        </w:tabs>
        <w:rPr>
          <w:b/>
          <w:bCs/>
          <w:iCs/>
          <w:lang w:val="fr-FR"/>
        </w:rPr>
      </w:pPr>
      <w:r>
        <w:rPr>
          <w:b/>
          <w:bCs/>
          <w:iCs/>
          <w:lang w:val="fr-FR"/>
        </w:rPr>
        <w:t>Santé mentale</w:t>
      </w:r>
    </w:p>
    <w:p w:rsidR="006B49AE" w:rsidRDefault="008A047C" w:rsidP="005D7B68">
      <w:pPr>
        <w:tabs>
          <w:tab w:val="left" w:pos="567"/>
          <w:tab w:val="left" w:pos="1134"/>
          <w:tab w:val="left" w:pos="1701"/>
          <w:tab w:val="left" w:pos="2268"/>
          <w:tab w:val="left" w:pos="2835"/>
        </w:tabs>
        <w:rPr>
          <w:b/>
          <w:bCs/>
          <w:iCs/>
          <w:lang w:val="fr-FR"/>
        </w:rPr>
      </w:pPr>
      <w:r>
        <w:rPr>
          <w:iCs/>
          <w:lang w:val="fr-FR"/>
        </w:rPr>
        <w:t>71</w:t>
      </w:r>
      <w:r w:rsidR="002A6CEC">
        <w:rPr>
          <w:iCs/>
          <w:lang w:val="fr-FR"/>
        </w:rPr>
        <w:t>2</w:t>
      </w:r>
      <w:r>
        <w:rPr>
          <w:iCs/>
          <w:lang w:val="fr-FR"/>
        </w:rPr>
        <w:t>.</w:t>
      </w:r>
      <w:r>
        <w:rPr>
          <w:iCs/>
          <w:lang w:val="fr-FR"/>
        </w:rPr>
        <w:tab/>
      </w:r>
      <w:r w:rsidRPr="00D97D71">
        <w:rPr>
          <w:b/>
          <w:bCs/>
          <w:iCs/>
          <w:lang w:val="fr-FR"/>
        </w:rPr>
        <w:t>Le Département de l’immigration et des affaires multiculturelles</w:t>
      </w:r>
      <w:r w:rsidR="00D16972">
        <w:rPr>
          <w:b/>
          <w:bCs/>
          <w:iCs/>
          <w:lang w:val="fr-FR"/>
        </w:rPr>
        <w:t xml:space="preserve"> </w:t>
      </w:r>
      <w:r w:rsidRPr="00D97D71">
        <w:rPr>
          <w:rStyle w:val="FootnoteReference"/>
          <w:b/>
          <w:bCs/>
          <w:iCs/>
          <w:lang w:val="fr-FR"/>
        </w:rPr>
        <w:footnoteReference w:id="19"/>
      </w:r>
      <w:r w:rsidR="00D97D71">
        <w:rPr>
          <w:iCs/>
          <w:lang w:val="fr-FR"/>
        </w:rPr>
        <w:t xml:space="preserve"> </w:t>
      </w:r>
      <w:r w:rsidR="00D97D71" w:rsidRPr="00D97D71">
        <w:rPr>
          <w:b/>
          <w:bCs/>
          <w:iCs/>
          <w:lang w:val="fr-FR"/>
        </w:rPr>
        <w:t>devrait</w:t>
      </w:r>
      <w:r w:rsidR="00D714EA">
        <w:rPr>
          <w:b/>
          <w:bCs/>
          <w:iCs/>
          <w:lang w:val="fr-FR"/>
        </w:rPr>
        <w:t xml:space="preserve"> </w:t>
      </w:r>
      <w:r w:rsidR="00D16972">
        <w:rPr>
          <w:b/>
          <w:bCs/>
          <w:iCs/>
          <w:lang w:val="fr-FR"/>
        </w:rPr>
        <w:t>vérifier d’urgence si l’effectif du personnel de santé mentale du centre du Nord</w:t>
      </w:r>
      <w:r w:rsidR="00D16972">
        <w:rPr>
          <w:iCs/>
          <w:lang w:val="fr-FR"/>
        </w:rPr>
        <w:t xml:space="preserve"> </w:t>
      </w:r>
      <w:r w:rsidR="00D16972" w:rsidRPr="00D16972">
        <w:rPr>
          <w:b/>
          <w:bCs/>
          <w:iCs/>
          <w:lang w:val="fr-FR"/>
        </w:rPr>
        <w:t>est suffisant</w:t>
      </w:r>
    </w:p>
    <w:p w:rsidR="006C0A17" w:rsidRPr="00F31B4C" w:rsidRDefault="006B49AE" w:rsidP="005D7B68">
      <w:pPr>
        <w:tabs>
          <w:tab w:val="left" w:pos="567"/>
          <w:tab w:val="left" w:pos="1134"/>
          <w:tab w:val="left" w:pos="1701"/>
          <w:tab w:val="left" w:pos="2268"/>
          <w:tab w:val="left" w:pos="2835"/>
        </w:tabs>
        <w:ind w:left="567" w:hanging="567"/>
        <w:rPr>
          <w:b/>
          <w:bCs/>
          <w:iCs/>
          <w:lang w:val="fr-FR"/>
        </w:rPr>
      </w:pPr>
      <w:r>
        <w:rPr>
          <w:b/>
          <w:bCs/>
          <w:iCs/>
          <w:lang w:val="fr-FR"/>
        </w:rPr>
        <w:tab/>
      </w:r>
      <w:r w:rsidR="00D16972">
        <w:rPr>
          <w:iCs/>
          <w:lang w:val="fr-FR"/>
        </w:rPr>
        <w:t xml:space="preserve">Chose faite – Le Département de l’immigration et de la citoyenneté a examiné le nombre d’heures de psychologues au Centre de rétention d’immigrants du Nord (à Darwin) et l’a augmenté pour </w:t>
      </w:r>
      <w:r w:rsidR="00F60288">
        <w:rPr>
          <w:iCs/>
          <w:lang w:val="fr-FR"/>
        </w:rPr>
        <w:t xml:space="preserve">leur </w:t>
      </w:r>
      <w:r w:rsidR="00D16972">
        <w:rPr>
          <w:iCs/>
          <w:lang w:val="fr-FR"/>
        </w:rPr>
        <w:t xml:space="preserve">permettre de faire face </w:t>
      </w:r>
      <w:r w:rsidR="00F60288">
        <w:rPr>
          <w:iCs/>
          <w:lang w:val="fr-FR"/>
        </w:rPr>
        <w:t>à la charge de travail</w:t>
      </w:r>
      <w:r w:rsidR="008D6B80">
        <w:rPr>
          <w:iCs/>
          <w:lang w:val="fr-FR"/>
        </w:rPr>
        <w:t xml:space="preserve">. </w:t>
      </w:r>
      <w:r w:rsidR="00F60288">
        <w:rPr>
          <w:iCs/>
          <w:lang w:val="fr-FR"/>
        </w:rPr>
        <w:t>Il continue à revoir cet effectif en fonction de la population.</w:t>
      </w:r>
    </w:p>
    <w:p w:rsidR="00B25633" w:rsidRPr="005909BA" w:rsidRDefault="00EC0DA4" w:rsidP="005D7B68">
      <w:pPr>
        <w:tabs>
          <w:tab w:val="left" w:pos="567"/>
          <w:tab w:val="left" w:pos="1134"/>
          <w:tab w:val="left" w:pos="1701"/>
          <w:tab w:val="left" w:pos="2268"/>
          <w:tab w:val="left" w:pos="2835"/>
        </w:tabs>
        <w:rPr>
          <w:b/>
          <w:bCs/>
          <w:iCs/>
          <w:lang w:val="fr-FR"/>
        </w:rPr>
      </w:pPr>
      <w:r>
        <w:rPr>
          <w:iCs/>
          <w:lang w:val="fr-FR"/>
        </w:rPr>
        <w:t>71</w:t>
      </w:r>
      <w:r w:rsidR="002A6CEC">
        <w:rPr>
          <w:iCs/>
          <w:lang w:val="fr-FR"/>
        </w:rPr>
        <w:t>3</w:t>
      </w:r>
      <w:r>
        <w:rPr>
          <w:iCs/>
          <w:lang w:val="fr-FR"/>
        </w:rPr>
        <w:t>.</w:t>
      </w:r>
      <w:r>
        <w:rPr>
          <w:iCs/>
          <w:lang w:val="fr-FR"/>
        </w:rPr>
        <w:tab/>
      </w:r>
      <w:r w:rsidR="00B25633" w:rsidRPr="005909BA">
        <w:rPr>
          <w:b/>
          <w:bCs/>
          <w:iCs/>
          <w:lang w:val="fr-FR"/>
        </w:rPr>
        <w:t>Le Département de l’immigration et des affaires multiculturelles devrait évaluer d’urgence l’opportunité et l’efficacité des systèmes actuels d’évaluation de routine de la santé mentale et de suivi</w:t>
      </w:r>
      <w:r w:rsidR="00D95D5D" w:rsidRPr="005909BA">
        <w:rPr>
          <w:b/>
          <w:bCs/>
          <w:iCs/>
          <w:lang w:val="fr-FR"/>
        </w:rPr>
        <w:t xml:space="preserve"> continu de la santé mentale du</w:t>
      </w:r>
      <w:r w:rsidR="00B25633" w:rsidRPr="005909BA">
        <w:rPr>
          <w:b/>
          <w:bCs/>
          <w:iCs/>
          <w:lang w:val="fr-FR"/>
        </w:rPr>
        <w:t xml:space="preserve"> centre du Nord</w:t>
      </w:r>
      <w:r w:rsidR="008D6B80">
        <w:rPr>
          <w:b/>
          <w:bCs/>
          <w:iCs/>
          <w:lang w:val="fr-FR"/>
        </w:rPr>
        <w:t xml:space="preserve">. </w:t>
      </w:r>
      <w:r w:rsidR="00B25633" w:rsidRPr="005909BA">
        <w:rPr>
          <w:b/>
          <w:bCs/>
          <w:iCs/>
          <w:lang w:val="fr-FR"/>
        </w:rPr>
        <w:t>Il devrait communiquer les résultats de cet examen à la Commission des droits de l’homme et de l’égalité des chances.</w:t>
      </w:r>
    </w:p>
    <w:p w:rsidR="00EC0DA4" w:rsidRDefault="00B25633" w:rsidP="005D7B68">
      <w:pPr>
        <w:tabs>
          <w:tab w:val="left" w:pos="567"/>
          <w:tab w:val="left" w:pos="1134"/>
          <w:tab w:val="left" w:pos="1701"/>
          <w:tab w:val="left" w:pos="2268"/>
          <w:tab w:val="left" w:pos="2835"/>
        </w:tabs>
        <w:ind w:left="720"/>
        <w:rPr>
          <w:iCs/>
          <w:lang w:val="fr-FR"/>
        </w:rPr>
      </w:pPr>
      <w:r>
        <w:rPr>
          <w:iCs/>
          <w:lang w:val="fr-FR"/>
        </w:rPr>
        <w:t xml:space="preserve">Chose faite </w:t>
      </w:r>
      <w:r w:rsidR="00D95D5D">
        <w:rPr>
          <w:iCs/>
          <w:lang w:val="fr-FR"/>
        </w:rPr>
        <w:t>–</w:t>
      </w:r>
      <w:r>
        <w:rPr>
          <w:iCs/>
          <w:lang w:val="fr-FR"/>
        </w:rPr>
        <w:t xml:space="preserve"> </w:t>
      </w:r>
      <w:r w:rsidR="00D95D5D">
        <w:rPr>
          <w:iCs/>
          <w:lang w:val="fr-FR"/>
        </w:rPr>
        <w:t>Le Ministère de l’immigration et de la citoyenneté, en concertation avec le personnel sanitaire du Centre de rétention d’immigrants du Nord</w:t>
      </w:r>
      <w:r w:rsidR="00E0034A">
        <w:rPr>
          <w:iCs/>
          <w:lang w:val="fr-FR"/>
        </w:rPr>
        <w:t>,</w:t>
      </w:r>
      <w:r w:rsidR="00D95D5D">
        <w:rPr>
          <w:iCs/>
          <w:lang w:val="fr-FR"/>
        </w:rPr>
        <w:t xml:space="preserve"> a effectué un examen collégial</w:t>
      </w:r>
      <w:r w:rsidR="00E0034A">
        <w:rPr>
          <w:iCs/>
          <w:lang w:val="fr-FR"/>
        </w:rPr>
        <w:t>,</w:t>
      </w:r>
      <w:r w:rsidR="00D95D5D">
        <w:rPr>
          <w:iCs/>
          <w:lang w:val="fr-FR"/>
        </w:rPr>
        <w:t xml:space="preserve"> avec le prestataire de services de santé</w:t>
      </w:r>
      <w:r w:rsidR="00E0034A">
        <w:rPr>
          <w:iCs/>
          <w:lang w:val="fr-FR"/>
        </w:rPr>
        <w:t>,</w:t>
      </w:r>
      <w:r w:rsidR="00D95D5D">
        <w:rPr>
          <w:iCs/>
          <w:lang w:val="fr-FR"/>
        </w:rPr>
        <w:t xml:space="preserve"> des systèmes d’évaluation de routine de la santé mentale et de suivi continu de la santé mentale du centre du Nord</w:t>
      </w:r>
      <w:r w:rsidR="008D6B80">
        <w:rPr>
          <w:iCs/>
          <w:lang w:val="fr-FR"/>
        </w:rPr>
        <w:t xml:space="preserve">. </w:t>
      </w:r>
      <w:r w:rsidR="00D95D5D">
        <w:rPr>
          <w:iCs/>
          <w:lang w:val="fr-FR"/>
        </w:rPr>
        <w:t>Il a été convenu que le dispositif actuel</w:t>
      </w:r>
      <w:r w:rsidR="005909BA">
        <w:rPr>
          <w:iCs/>
          <w:lang w:val="fr-FR"/>
        </w:rPr>
        <w:t xml:space="preserve"> assurait une prise en charge convenable des personnes placées en rétention dans ce centre.</w:t>
      </w:r>
    </w:p>
    <w:p w:rsidR="005909BA" w:rsidRDefault="005909BA" w:rsidP="005D7B68">
      <w:pPr>
        <w:tabs>
          <w:tab w:val="left" w:pos="567"/>
          <w:tab w:val="left" w:pos="1134"/>
          <w:tab w:val="left" w:pos="1701"/>
          <w:tab w:val="left" w:pos="2268"/>
          <w:tab w:val="left" w:pos="2835"/>
        </w:tabs>
        <w:rPr>
          <w:b/>
          <w:bCs/>
          <w:iCs/>
          <w:lang w:val="fr-FR"/>
        </w:rPr>
      </w:pPr>
      <w:r>
        <w:rPr>
          <w:iCs/>
          <w:lang w:val="fr-FR"/>
        </w:rPr>
        <w:t>71</w:t>
      </w:r>
      <w:r w:rsidR="002A6CEC">
        <w:rPr>
          <w:iCs/>
          <w:lang w:val="fr-FR"/>
        </w:rPr>
        <w:t>4</w:t>
      </w:r>
      <w:r>
        <w:rPr>
          <w:iCs/>
          <w:lang w:val="fr-FR"/>
        </w:rPr>
        <w:t>.</w:t>
      </w:r>
      <w:r>
        <w:rPr>
          <w:iCs/>
          <w:lang w:val="fr-FR"/>
        </w:rPr>
        <w:tab/>
      </w:r>
      <w:r>
        <w:rPr>
          <w:b/>
          <w:bCs/>
          <w:iCs/>
          <w:lang w:val="fr-FR"/>
        </w:rPr>
        <w:t>Le Département de l’immigration et des affaires multiculturelles devrait veiller à ce qu’il ne soit fait recours au système de lutte contre le suicide et</w:t>
      </w:r>
      <w:r w:rsidR="00572260">
        <w:rPr>
          <w:b/>
          <w:bCs/>
          <w:iCs/>
          <w:lang w:val="fr-FR"/>
        </w:rPr>
        <w:t xml:space="preserve"> </w:t>
      </w:r>
      <w:r>
        <w:rPr>
          <w:b/>
          <w:bCs/>
          <w:iCs/>
          <w:lang w:val="fr-FR"/>
        </w:rPr>
        <w:t>l’auto</w:t>
      </w:r>
      <w:r w:rsidR="006B49AE">
        <w:rPr>
          <w:b/>
          <w:bCs/>
          <w:iCs/>
          <w:lang w:val="fr-FR"/>
        </w:rPr>
        <w:noBreakHyphen/>
      </w:r>
      <w:r>
        <w:rPr>
          <w:b/>
          <w:bCs/>
          <w:iCs/>
          <w:lang w:val="fr-FR"/>
        </w:rPr>
        <w:t>agressivité que dans l’intérêt de la santé mentale des personnes placées en rétention</w:t>
      </w:r>
      <w:r w:rsidR="008D6B80">
        <w:rPr>
          <w:b/>
          <w:bCs/>
          <w:iCs/>
          <w:lang w:val="fr-FR"/>
        </w:rPr>
        <w:t xml:space="preserve">. </w:t>
      </w:r>
      <w:r>
        <w:rPr>
          <w:b/>
          <w:bCs/>
          <w:iCs/>
          <w:lang w:val="fr-FR"/>
        </w:rPr>
        <w:t>L’application de ce système devrait se faire sous le contrôle du personnel</w:t>
      </w:r>
      <w:r w:rsidR="00EB4E26">
        <w:rPr>
          <w:b/>
          <w:bCs/>
          <w:iCs/>
          <w:lang w:val="fr-FR"/>
        </w:rPr>
        <w:t xml:space="preserve"> des services</w:t>
      </w:r>
      <w:r>
        <w:rPr>
          <w:b/>
          <w:bCs/>
          <w:iCs/>
          <w:lang w:val="fr-FR"/>
        </w:rPr>
        <w:t xml:space="preserve"> de santé mentale plutôt que sous celui du personnel de rétention. </w:t>
      </w:r>
    </w:p>
    <w:p w:rsidR="005909BA" w:rsidRDefault="006B49AE" w:rsidP="005D7B68">
      <w:pPr>
        <w:tabs>
          <w:tab w:val="left" w:pos="567"/>
          <w:tab w:val="left" w:pos="1134"/>
          <w:tab w:val="left" w:pos="1701"/>
          <w:tab w:val="left" w:pos="2268"/>
          <w:tab w:val="left" w:pos="2835"/>
        </w:tabs>
        <w:ind w:left="567" w:hanging="567"/>
        <w:rPr>
          <w:iCs/>
          <w:lang w:val="fr-FR"/>
        </w:rPr>
      </w:pPr>
      <w:r>
        <w:rPr>
          <w:b/>
          <w:bCs/>
          <w:iCs/>
          <w:lang w:val="fr-FR"/>
        </w:rPr>
        <w:tab/>
      </w:r>
      <w:r w:rsidR="005909BA" w:rsidRPr="005909BA">
        <w:rPr>
          <w:iCs/>
          <w:lang w:val="fr-FR"/>
        </w:rPr>
        <w:t>Chose faite</w:t>
      </w:r>
      <w:r w:rsidR="005909BA">
        <w:rPr>
          <w:iCs/>
          <w:lang w:val="fr-FR"/>
        </w:rPr>
        <w:t xml:space="preserve"> </w:t>
      </w:r>
      <w:r w:rsidR="00EB4E26">
        <w:rPr>
          <w:iCs/>
          <w:lang w:val="fr-FR"/>
        </w:rPr>
        <w:t>–</w:t>
      </w:r>
      <w:r w:rsidR="005909BA">
        <w:rPr>
          <w:iCs/>
          <w:lang w:val="fr-FR"/>
        </w:rPr>
        <w:t xml:space="preserve"> </w:t>
      </w:r>
      <w:r w:rsidR="00EB4E26">
        <w:rPr>
          <w:iCs/>
          <w:lang w:val="fr-FR"/>
        </w:rPr>
        <w:t>Les examens approfondis, dans le cadre de ce système, ne sont effectués que par un personnel qualifié des services de santé mentale</w:t>
      </w:r>
      <w:r w:rsidR="008D6B80">
        <w:rPr>
          <w:iCs/>
          <w:lang w:val="fr-FR"/>
        </w:rPr>
        <w:t xml:space="preserve">. </w:t>
      </w:r>
      <w:r w:rsidR="00EB4E26">
        <w:rPr>
          <w:iCs/>
          <w:lang w:val="fr-FR"/>
        </w:rPr>
        <w:t xml:space="preserve">Le Département de l’immigration et des affaires multiculturelles a lancé, avec </w:t>
      </w:r>
      <w:r w:rsidR="00EB4E26">
        <w:rPr>
          <w:i/>
          <w:lang w:val="fr-FR"/>
        </w:rPr>
        <w:t>Forensicare</w:t>
      </w:r>
      <w:r w:rsidR="00FE0692">
        <w:rPr>
          <w:iCs/>
          <w:lang w:val="fr-FR"/>
        </w:rPr>
        <w:t xml:space="preserve"> de Monash University</w:t>
      </w:r>
      <w:r w:rsidR="00EB4E26">
        <w:rPr>
          <w:iCs/>
          <w:lang w:val="fr-FR"/>
        </w:rPr>
        <w:t xml:space="preserve"> , un projet d’examen des instruments et protocoles actuellement mis en pratique pour lutter contre les suicides et l’auto</w:t>
      </w:r>
      <w:r>
        <w:rPr>
          <w:iCs/>
          <w:lang w:val="fr-FR"/>
        </w:rPr>
        <w:noBreakHyphen/>
      </w:r>
      <w:r w:rsidR="00EB4E26">
        <w:rPr>
          <w:iCs/>
          <w:lang w:val="fr-FR"/>
        </w:rPr>
        <w:t>agressité dans les centres de rétention d’immigrants.</w:t>
      </w:r>
    </w:p>
    <w:p w:rsidR="00EB4E26" w:rsidRPr="00213B77" w:rsidRDefault="00EB4E26" w:rsidP="005D7B68">
      <w:pPr>
        <w:tabs>
          <w:tab w:val="left" w:pos="567"/>
          <w:tab w:val="left" w:pos="1134"/>
          <w:tab w:val="left" w:pos="1701"/>
          <w:tab w:val="left" w:pos="2268"/>
          <w:tab w:val="left" w:pos="2835"/>
        </w:tabs>
        <w:rPr>
          <w:b/>
          <w:bCs/>
          <w:iCs/>
          <w:lang w:val="fr-FR"/>
        </w:rPr>
      </w:pPr>
      <w:r>
        <w:rPr>
          <w:iCs/>
          <w:lang w:val="fr-FR"/>
        </w:rPr>
        <w:t>71</w:t>
      </w:r>
      <w:r w:rsidR="002A6CEC">
        <w:rPr>
          <w:iCs/>
          <w:lang w:val="fr-FR"/>
        </w:rPr>
        <w:t>5</w:t>
      </w:r>
      <w:r>
        <w:rPr>
          <w:iCs/>
          <w:lang w:val="fr-FR"/>
        </w:rPr>
        <w:t>.</w:t>
      </w:r>
      <w:r>
        <w:rPr>
          <w:iCs/>
          <w:lang w:val="fr-FR"/>
        </w:rPr>
        <w:tab/>
      </w:r>
      <w:r>
        <w:rPr>
          <w:b/>
          <w:bCs/>
          <w:iCs/>
          <w:lang w:val="fr-FR"/>
        </w:rPr>
        <w:t>Le Ministère de l’immigration et des affaires multiculturelles devrait</w:t>
      </w:r>
      <w:r w:rsidR="005D16FD">
        <w:rPr>
          <w:b/>
          <w:bCs/>
          <w:iCs/>
          <w:lang w:val="fr-FR"/>
        </w:rPr>
        <w:t xml:space="preserve"> envisager d’aménager une zone d’observation</w:t>
      </w:r>
      <w:r w:rsidR="007E4540">
        <w:rPr>
          <w:b/>
          <w:bCs/>
          <w:iCs/>
          <w:lang w:val="fr-FR"/>
        </w:rPr>
        <w:t xml:space="preserve"> à Villawood qui ne soit pas </w:t>
      </w:r>
      <w:r w:rsidR="007E4540" w:rsidRPr="00213B77">
        <w:rPr>
          <w:b/>
          <w:bCs/>
          <w:iCs/>
          <w:lang w:val="fr-FR"/>
        </w:rPr>
        <w:t>dans la première tranche</w:t>
      </w:r>
      <w:r w:rsidR="008C3EA8" w:rsidRPr="00213B77">
        <w:rPr>
          <w:b/>
          <w:bCs/>
          <w:iCs/>
          <w:lang w:val="fr-FR"/>
        </w:rPr>
        <w:t xml:space="preserve"> et se trouve à proximité du personnel médical.</w:t>
      </w:r>
    </w:p>
    <w:p w:rsidR="008C3EA8" w:rsidRDefault="008C3EA8" w:rsidP="005D7B68">
      <w:pPr>
        <w:tabs>
          <w:tab w:val="left" w:pos="567"/>
          <w:tab w:val="left" w:pos="1134"/>
          <w:tab w:val="left" w:pos="1701"/>
          <w:tab w:val="left" w:pos="2268"/>
          <w:tab w:val="left" w:pos="2835"/>
        </w:tabs>
        <w:ind w:left="720" w:hanging="720"/>
        <w:rPr>
          <w:iCs/>
          <w:lang w:val="fr-FR"/>
        </w:rPr>
      </w:pPr>
      <w:r>
        <w:rPr>
          <w:b/>
          <w:bCs/>
          <w:iCs/>
          <w:lang w:val="fr-FR"/>
        </w:rPr>
        <w:tab/>
      </w:r>
      <w:r w:rsidRPr="008C3EA8">
        <w:rPr>
          <w:iCs/>
          <w:lang w:val="fr-FR"/>
        </w:rPr>
        <w:t>Chose faite.</w:t>
      </w:r>
    </w:p>
    <w:p w:rsidR="008C3EA8" w:rsidRPr="008C3EA8" w:rsidRDefault="008C3EA8" w:rsidP="005D7B68">
      <w:pPr>
        <w:tabs>
          <w:tab w:val="left" w:pos="567"/>
          <w:tab w:val="left" w:pos="1134"/>
          <w:tab w:val="left" w:pos="1701"/>
          <w:tab w:val="left" w:pos="2268"/>
          <w:tab w:val="left" w:pos="2835"/>
        </w:tabs>
        <w:rPr>
          <w:b/>
          <w:bCs/>
          <w:iCs/>
          <w:lang w:val="fr-FR"/>
        </w:rPr>
      </w:pPr>
      <w:r>
        <w:rPr>
          <w:iCs/>
          <w:lang w:val="fr-FR"/>
        </w:rPr>
        <w:t>71</w:t>
      </w:r>
      <w:r w:rsidR="002A6CEC">
        <w:rPr>
          <w:iCs/>
          <w:lang w:val="fr-FR"/>
        </w:rPr>
        <w:t>6</w:t>
      </w:r>
      <w:r>
        <w:rPr>
          <w:iCs/>
          <w:lang w:val="fr-FR"/>
        </w:rPr>
        <w:t>.</w:t>
      </w:r>
      <w:r>
        <w:rPr>
          <w:iCs/>
          <w:lang w:val="fr-FR"/>
        </w:rPr>
        <w:tab/>
      </w:r>
      <w:r>
        <w:rPr>
          <w:b/>
          <w:bCs/>
          <w:iCs/>
          <w:lang w:val="fr-FR"/>
        </w:rPr>
        <w:t>Le Ministère de l’immigration et des affaires multiculturelles devrait envisager de créer une ligne de consultation téléphonique pour les immigrants placés en rétention qui souffrent de troubles mentaux la nuit.</w:t>
      </w:r>
    </w:p>
    <w:p w:rsidR="00970D8A" w:rsidRDefault="00970D8A" w:rsidP="005D7B68">
      <w:pPr>
        <w:tabs>
          <w:tab w:val="left" w:pos="567"/>
          <w:tab w:val="left" w:pos="1134"/>
          <w:tab w:val="left" w:pos="1701"/>
          <w:tab w:val="left" w:pos="2268"/>
          <w:tab w:val="left" w:pos="2835"/>
        </w:tabs>
        <w:ind w:left="720"/>
        <w:rPr>
          <w:iCs/>
          <w:lang w:val="fr-FR"/>
        </w:rPr>
      </w:pPr>
      <w:r>
        <w:rPr>
          <w:iCs/>
          <w:lang w:val="fr-FR"/>
        </w:rPr>
        <w:t>Ceci est envisagé dans le cadre du modèle de prestation de services de santé</w:t>
      </w:r>
      <w:r w:rsidR="008D6B80">
        <w:rPr>
          <w:iCs/>
          <w:lang w:val="fr-FR"/>
        </w:rPr>
        <w:t xml:space="preserve">. </w:t>
      </w:r>
      <w:r w:rsidR="006B49AE">
        <w:rPr>
          <w:iCs/>
          <w:lang w:val="fr-FR"/>
        </w:rPr>
        <w:t>Les </w:t>
      </w:r>
      <w:r>
        <w:rPr>
          <w:iCs/>
          <w:lang w:val="fr-FR"/>
        </w:rPr>
        <w:t>personnes placées en rétention ont accès à des services d’assistance téléphonique comme</w:t>
      </w:r>
      <w:r w:rsidR="006B49AE">
        <w:rPr>
          <w:iCs/>
          <w:lang w:val="fr-FR"/>
        </w:rPr>
        <w:t> </w:t>
      </w:r>
      <w:r w:rsidRPr="00970D8A">
        <w:rPr>
          <w:i/>
          <w:lang w:val="fr-FR"/>
        </w:rPr>
        <w:t>Lifeline</w:t>
      </w:r>
      <w:r>
        <w:rPr>
          <w:iCs/>
          <w:lang w:val="fr-FR"/>
        </w:rPr>
        <w:t>.</w:t>
      </w:r>
    </w:p>
    <w:p w:rsidR="00BE63B7" w:rsidRPr="00BE63B7" w:rsidRDefault="002A6CEC" w:rsidP="005D7B68">
      <w:pPr>
        <w:tabs>
          <w:tab w:val="left" w:pos="567"/>
          <w:tab w:val="left" w:pos="1134"/>
          <w:tab w:val="left" w:pos="1701"/>
          <w:tab w:val="left" w:pos="2268"/>
          <w:tab w:val="left" w:pos="2835"/>
        </w:tabs>
        <w:rPr>
          <w:iCs/>
          <w:lang w:val="fr-FR"/>
        </w:rPr>
      </w:pPr>
      <w:r>
        <w:rPr>
          <w:iCs/>
          <w:lang w:val="fr-FR"/>
        </w:rPr>
        <w:t>717</w:t>
      </w:r>
      <w:r w:rsidR="00970D8A">
        <w:rPr>
          <w:iCs/>
          <w:lang w:val="fr-FR"/>
        </w:rPr>
        <w:t>.</w:t>
      </w:r>
      <w:r w:rsidR="00970D8A">
        <w:rPr>
          <w:iCs/>
          <w:lang w:val="fr-FR"/>
        </w:rPr>
        <w:tab/>
      </w:r>
      <w:r w:rsidR="00970D8A">
        <w:rPr>
          <w:b/>
          <w:bCs/>
          <w:iCs/>
          <w:lang w:val="fr-FR"/>
        </w:rPr>
        <w:t>Le Ministère de l’immigration et des affaires multiculturelles devrait prévoir de disposer d’un établissement adéquat pour y transférer les détenus souffrant de troubles mentaux et qui ne relèvent pas d’un traitement dans un établissement</w:t>
      </w:r>
      <w:r w:rsidR="00252696">
        <w:rPr>
          <w:b/>
          <w:bCs/>
          <w:iCs/>
          <w:lang w:val="fr-FR"/>
        </w:rPr>
        <w:t xml:space="preserve"> psychiatrique public, mais ne peuvent plus supporter de vivre dans un centre de rétention.</w:t>
      </w:r>
      <w:r w:rsidR="00BE63B7">
        <w:rPr>
          <w:iCs/>
          <w:lang w:val="fr-FR"/>
        </w:rPr>
        <w:tab/>
      </w:r>
    </w:p>
    <w:p w:rsidR="00484F52" w:rsidRDefault="003945FE" w:rsidP="005D7B68">
      <w:pPr>
        <w:tabs>
          <w:tab w:val="left" w:pos="567"/>
          <w:tab w:val="left" w:pos="1134"/>
          <w:tab w:val="left" w:pos="1701"/>
          <w:tab w:val="left" w:pos="2268"/>
          <w:tab w:val="left" w:pos="2835"/>
        </w:tabs>
        <w:ind w:left="720"/>
        <w:rPr>
          <w:iCs/>
          <w:lang w:val="fr-FR"/>
        </w:rPr>
      </w:pPr>
      <w:r>
        <w:rPr>
          <w:iCs/>
          <w:lang w:val="fr-FR"/>
        </w:rPr>
        <w:t xml:space="preserve">Les décisions relatives au placement </w:t>
      </w:r>
      <w:r w:rsidR="007443B7">
        <w:rPr>
          <w:iCs/>
          <w:lang w:val="fr-FR"/>
        </w:rPr>
        <w:t>des personnes en r</w:t>
      </w:r>
      <w:r>
        <w:rPr>
          <w:iCs/>
          <w:lang w:val="fr-FR"/>
        </w:rPr>
        <w:t>étention dépendent d’un avis médical</w:t>
      </w:r>
      <w:r w:rsidR="008D6B80">
        <w:rPr>
          <w:iCs/>
          <w:lang w:val="fr-FR"/>
        </w:rPr>
        <w:t xml:space="preserve">. </w:t>
      </w:r>
      <w:r w:rsidR="00484F52">
        <w:rPr>
          <w:iCs/>
          <w:lang w:val="fr-FR"/>
        </w:rPr>
        <w:t>Les intéressés sont placés</w:t>
      </w:r>
      <w:r>
        <w:rPr>
          <w:iCs/>
          <w:lang w:val="fr-FR"/>
        </w:rPr>
        <w:t xml:space="preserve"> dans</w:t>
      </w:r>
      <w:r w:rsidR="00484F52">
        <w:rPr>
          <w:iCs/>
          <w:lang w:val="fr-FR"/>
        </w:rPr>
        <w:t xml:space="preserve"> des</w:t>
      </w:r>
      <w:r>
        <w:rPr>
          <w:iCs/>
          <w:lang w:val="fr-FR"/>
        </w:rPr>
        <w:t xml:space="preserve"> établissements publics</w:t>
      </w:r>
      <w:r w:rsidR="00484F52">
        <w:rPr>
          <w:iCs/>
          <w:lang w:val="fr-FR"/>
        </w:rPr>
        <w:t xml:space="preserve"> ou</w:t>
      </w:r>
      <w:r>
        <w:rPr>
          <w:iCs/>
          <w:lang w:val="fr-FR"/>
        </w:rPr>
        <w:t xml:space="preserve"> dans des hôpitaux privés</w:t>
      </w:r>
      <w:r w:rsidR="00484F52">
        <w:rPr>
          <w:iCs/>
          <w:lang w:val="fr-FR"/>
        </w:rPr>
        <w:t xml:space="preserve"> en fonction des recommandations cliniques.</w:t>
      </w:r>
    </w:p>
    <w:p w:rsidR="00605782" w:rsidRDefault="00484F52" w:rsidP="005D7B68">
      <w:pPr>
        <w:tabs>
          <w:tab w:val="left" w:pos="567"/>
          <w:tab w:val="left" w:pos="1134"/>
          <w:tab w:val="left" w:pos="1701"/>
          <w:tab w:val="left" w:pos="2268"/>
          <w:tab w:val="left" w:pos="2835"/>
        </w:tabs>
        <w:rPr>
          <w:iCs/>
          <w:lang w:val="fr-FR"/>
        </w:rPr>
      </w:pPr>
      <w:r>
        <w:rPr>
          <w:b/>
          <w:bCs/>
          <w:iCs/>
          <w:lang w:val="fr-FR"/>
        </w:rPr>
        <w:t>Santé physique</w:t>
      </w:r>
      <w:r w:rsidR="003945FE">
        <w:rPr>
          <w:iCs/>
          <w:lang w:val="fr-FR"/>
        </w:rPr>
        <w:t xml:space="preserve"> </w:t>
      </w:r>
    </w:p>
    <w:p w:rsidR="00F770FF" w:rsidRDefault="00A90C77" w:rsidP="005D7B68">
      <w:pPr>
        <w:tabs>
          <w:tab w:val="left" w:pos="567"/>
          <w:tab w:val="left" w:pos="1134"/>
          <w:tab w:val="left" w:pos="1701"/>
          <w:tab w:val="left" w:pos="2268"/>
          <w:tab w:val="left" w:pos="2835"/>
        </w:tabs>
        <w:rPr>
          <w:bCs/>
          <w:iCs/>
          <w:lang w:val="fr-FR"/>
        </w:rPr>
      </w:pPr>
      <w:r>
        <w:rPr>
          <w:iCs/>
          <w:lang w:val="fr-FR"/>
        </w:rPr>
        <w:t>71</w:t>
      </w:r>
      <w:r w:rsidR="002A6CEC">
        <w:rPr>
          <w:iCs/>
          <w:lang w:val="fr-FR"/>
        </w:rPr>
        <w:t>8</w:t>
      </w:r>
      <w:r>
        <w:rPr>
          <w:iCs/>
          <w:lang w:val="fr-FR"/>
        </w:rPr>
        <w:t>.</w:t>
      </w:r>
      <w:r>
        <w:rPr>
          <w:iCs/>
          <w:lang w:val="fr-FR"/>
        </w:rPr>
        <w:tab/>
      </w:r>
      <w:r>
        <w:rPr>
          <w:b/>
          <w:iCs/>
          <w:lang w:val="fr-FR"/>
        </w:rPr>
        <w:t>Le Ministère de l’immigration et des affaires multiculturelles devrait procéder à une enquête et prendre rapidement des mesures correctives à l’égard de certains infirmiers de Villawood.</w:t>
      </w:r>
    </w:p>
    <w:p w:rsidR="00A90C77" w:rsidRDefault="006B49AE" w:rsidP="005D7B68">
      <w:pPr>
        <w:tabs>
          <w:tab w:val="left" w:pos="567"/>
          <w:tab w:val="left" w:pos="1134"/>
          <w:tab w:val="left" w:pos="1701"/>
          <w:tab w:val="left" w:pos="2268"/>
          <w:tab w:val="left" w:pos="2835"/>
        </w:tabs>
        <w:ind w:left="567" w:hanging="567"/>
        <w:rPr>
          <w:bCs/>
          <w:iCs/>
          <w:lang w:val="fr-FR"/>
        </w:rPr>
      </w:pPr>
      <w:r>
        <w:rPr>
          <w:bCs/>
          <w:iCs/>
          <w:lang w:val="fr-FR"/>
        </w:rPr>
        <w:tab/>
      </w:r>
      <w:r w:rsidR="00A90C77">
        <w:rPr>
          <w:bCs/>
          <w:iCs/>
          <w:lang w:val="fr-FR"/>
        </w:rPr>
        <w:t>Aucune plainte précise n’a été reçue</w:t>
      </w:r>
      <w:r w:rsidR="00EC5DD4">
        <w:rPr>
          <w:bCs/>
          <w:iCs/>
          <w:lang w:val="fr-FR"/>
        </w:rPr>
        <w:t>, qui corrobore</w:t>
      </w:r>
      <w:r w:rsidR="00A90C77">
        <w:rPr>
          <w:bCs/>
          <w:iCs/>
          <w:lang w:val="fr-FR"/>
        </w:rPr>
        <w:t xml:space="preserve"> cette assertion</w:t>
      </w:r>
      <w:r w:rsidR="008D6B80">
        <w:rPr>
          <w:bCs/>
          <w:iCs/>
          <w:lang w:val="fr-FR"/>
        </w:rPr>
        <w:t xml:space="preserve">. </w:t>
      </w:r>
      <w:r w:rsidR="00A90C77">
        <w:rPr>
          <w:bCs/>
          <w:iCs/>
          <w:lang w:val="fr-FR"/>
        </w:rPr>
        <w:t>Cependant, le prestataire de services de santé</w:t>
      </w:r>
      <w:r w:rsidR="0086791C">
        <w:rPr>
          <w:bCs/>
          <w:iCs/>
          <w:lang w:val="fr-FR"/>
        </w:rPr>
        <w:t xml:space="preserve"> a insisté auprès de son personnel pour lui rappeler</w:t>
      </w:r>
      <w:r w:rsidR="00A90C77">
        <w:rPr>
          <w:bCs/>
          <w:iCs/>
          <w:lang w:val="fr-FR"/>
        </w:rPr>
        <w:t xml:space="preserve"> </w:t>
      </w:r>
      <w:r w:rsidR="0086791C">
        <w:rPr>
          <w:bCs/>
          <w:iCs/>
          <w:lang w:val="fr-FR"/>
        </w:rPr>
        <w:t>combien il est important</w:t>
      </w:r>
      <w:r w:rsidR="00A90C77">
        <w:rPr>
          <w:bCs/>
          <w:iCs/>
          <w:lang w:val="fr-FR"/>
        </w:rPr>
        <w:t xml:space="preserve"> </w:t>
      </w:r>
      <w:r w:rsidR="0086791C">
        <w:rPr>
          <w:bCs/>
          <w:iCs/>
          <w:lang w:val="fr-FR"/>
        </w:rPr>
        <w:t>de se plier au</w:t>
      </w:r>
      <w:r w:rsidR="00BF0002">
        <w:rPr>
          <w:bCs/>
          <w:iCs/>
          <w:lang w:val="fr-FR"/>
        </w:rPr>
        <w:t>x</w:t>
      </w:r>
      <w:r w:rsidR="0086791C">
        <w:rPr>
          <w:bCs/>
          <w:iCs/>
          <w:lang w:val="fr-FR"/>
        </w:rPr>
        <w:t xml:space="preserve"> système</w:t>
      </w:r>
      <w:r w:rsidR="00BF0002">
        <w:rPr>
          <w:bCs/>
          <w:iCs/>
          <w:lang w:val="fr-FR"/>
        </w:rPr>
        <w:t>s de traitement des plaintes.</w:t>
      </w:r>
    </w:p>
    <w:p w:rsidR="00BF0002" w:rsidRDefault="00BF0002" w:rsidP="005D7B68">
      <w:pPr>
        <w:tabs>
          <w:tab w:val="left" w:pos="567"/>
          <w:tab w:val="left" w:pos="1134"/>
          <w:tab w:val="left" w:pos="1701"/>
          <w:tab w:val="left" w:pos="2268"/>
          <w:tab w:val="left" w:pos="2835"/>
        </w:tabs>
        <w:rPr>
          <w:b/>
          <w:iCs/>
          <w:lang w:val="fr-FR"/>
        </w:rPr>
      </w:pPr>
      <w:r>
        <w:rPr>
          <w:bCs/>
          <w:iCs/>
          <w:lang w:val="fr-FR"/>
        </w:rPr>
        <w:t>7</w:t>
      </w:r>
      <w:r w:rsidR="002A6CEC">
        <w:rPr>
          <w:bCs/>
          <w:iCs/>
          <w:lang w:val="fr-FR"/>
        </w:rPr>
        <w:t>19</w:t>
      </w:r>
      <w:r>
        <w:rPr>
          <w:bCs/>
          <w:iCs/>
          <w:lang w:val="fr-FR"/>
        </w:rPr>
        <w:t>.</w:t>
      </w:r>
      <w:r>
        <w:rPr>
          <w:bCs/>
          <w:iCs/>
          <w:lang w:val="fr-FR"/>
        </w:rPr>
        <w:tab/>
      </w:r>
      <w:r>
        <w:rPr>
          <w:b/>
          <w:iCs/>
          <w:lang w:val="fr-FR"/>
        </w:rPr>
        <w:t>Le Ministère de l’immigration et des affaires multiculturelles devrait donner suite rapidement aux recommandations formulées par les médecins, surtout si elles sont relatives à un traitement à l’extérieur.</w:t>
      </w:r>
    </w:p>
    <w:p w:rsidR="00BF0002" w:rsidRDefault="006B49AE" w:rsidP="005D7B68">
      <w:pPr>
        <w:tabs>
          <w:tab w:val="left" w:pos="567"/>
          <w:tab w:val="left" w:pos="1134"/>
          <w:tab w:val="left" w:pos="1701"/>
          <w:tab w:val="left" w:pos="2268"/>
          <w:tab w:val="left" w:pos="2835"/>
        </w:tabs>
        <w:ind w:left="567" w:hanging="567"/>
        <w:rPr>
          <w:bCs/>
          <w:iCs/>
          <w:lang w:val="fr-FR"/>
        </w:rPr>
      </w:pPr>
      <w:r>
        <w:rPr>
          <w:b/>
          <w:iCs/>
          <w:lang w:val="fr-FR"/>
        </w:rPr>
        <w:tab/>
      </w:r>
      <w:r w:rsidR="00BF0002" w:rsidRPr="00BF0002">
        <w:rPr>
          <w:bCs/>
          <w:iCs/>
          <w:lang w:val="fr-FR"/>
        </w:rPr>
        <w:t>Le Ministère de l’immigration et des affaires multiculturelles</w:t>
      </w:r>
      <w:r w:rsidR="00BF0002">
        <w:rPr>
          <w:bCs/>
          <w:iCs/>
          <w:lang w:val="fr-FR"/>
        </w:rPr>
        <w:t xml:space="preserve"> donne suite à toutes les recommandations formulées par le prestataire de services de santé</w:t>
      </w:r>
      <w:r w:rsidR="00575A52">
        <w:rPr>
          <w:bCs/>
          <w:iCs/>
          <w:lang w:val="fr-FR"/>
        </w:rPr>
        <w:t xml:space="preserve"> qui coordonne les avis de tous les médecins traitants</w:t>
      </w:r>
      <w:r w:rsidR="008D6B80">
        <w:rPr>
          <w:bCs/>
          <w:iCs/>
          <w:lang w:val="fr-FR"/>
        </w:rPr>
        <w:t xml:space="preserve">. </w:t>
      </w:r>
      <w:r w:rsidR="00575A52">
        <w:rPr>
          <w:bCs/>
          <w:iCs/>
          <w:lang w:val="fr-FR"/>
        </w:rPr>
        <w:t>Il est donné suite à toutes les recommandations de traitement à l’extérieur dan</w:t>
      </w:r>
      <w:r w:rsidR="00C231AD">
        <w:rPr>
          <w:bCs/>
          <w:iCs/>
          <w:lang w:val="fr-FR"/>
        </w:rPr>
        <w:t>s des délais qui correspondent</w:t>
      </w:r>
      <w:r w:rsidR="00575A52">
        <w:rPr>
          <w:bCs/>
          <w:iCs/>
          <w:lang w:val="fr-FR"/>
        </w:rPr>
        <w:t xml:space="preserve"> aux normes de l’ensemble de la collectivité en Australie.</w:t>
      </w:r>
    </w:p>
    <w:p w:rsidR="00575A52" w:rsidRDefault="00575A52"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0</w:t>
      </w:r>
      <w:r>
        <w:rPr>
          <w:bCs/>
          <w:iCs/>
          <w:lang w:val="fr-FR"/>
        </w:rPr>
        <w:t>.</w:t>
      </w:r>
      <w:r>
        <w:rPr>
          <w:bCs/>
          <w:iCs/>
          <w:lang w:val="fr-FR"/>
        </w:rPr>
        <w:tab/>
        <w:t>Pour obtenir des informations sur les services dont peuvent disposer les victimes de la torture, le Comité est prié de se reporter à la réponse à la question 33 et, en ce qui concerne les mécanismes de contrôle des lieux de détention, à la réponse à la question 41.</w:t>
      </w:r>
    </w:p>
    <w:p w:rsidR="00575A52" w:rsidRDefault="00575A52" w:rsidP="005D7B68">
      <w:pPr>
        <w:tabs>
          <w:tab w:val="left" w:pos="567"/>
          <w:tab w:val="left" w:pos="1134"/>
          <w:tab w:val="left" w:pos="1701"/>
          <w:tab w:val="left" w:pos="2268"/>
          <w:tab w:val="left" w:pos="2835"/>
        </w:tabs>
        <w:rPr>
          <w:b/>
          <w:iCs/>
          <w:lang w:val="fr-FR"/>
        </w:rPr>
      </w:pPr>
      <w:r>
        <w:rPr>
          <w:b/>
          <w:iCs/>
          <w:lang w:val="fr-FR"/>
        </w:rPr>
        <w:t>Question 29</w:t>
      </w:r>
    </w:p>
    <w:p w:rsidR="00575A52" w:rsidRPr="00575A52" w:rsidRDefault="00575A52" w:rsidP="005D7B68">
      <w:pPr>
        <w:tabs>
          <w:tab w:val="left" w:pos="567"/>
          <w:tab w:val="left" w:pos="1134"/>
          <w:tab w:val="left" w:pos="1701"/>
          <w:tab w:val="left" w:pos="2268"/>
          <w:tab w:val="left" w:pos="2835"/>
        </w:tabs>
        <w:ind w:firstLine="708"/>
        <w:rPr>
          <w:b/>
          <w:bCs/>
          <w:lang w:val="fr-FR"/>
        </w:rPr>
      </w:pPr>
      <w:r w:rsidRPr="00575A52">
        <w:rPr>
          <w:b/>
          <w:bCs/>
          <w:lang w:val="fr-FR"/>
        </w:rPr>
        <w:t>Tout en prenant acte de la modification apportée en juillet 2005 à la loi sur les migrations, tendant à ce que le placement en détention d’enfants ne soit qu’une mesure de dernier recours, le Comité prie l’État partie de préciser combien d’enfants ont été placés en détention obligatoire dans des centres de rétention d’immigrants depuis 2000 et d’indiquer la durée moyenne du séjour en détention pour chaque année.</w:t>
      </w:r>
    </w:p>
    <w:p w:rsidR="00826714" w:rsidRDefault="002A6CEC" w:rsidP="005D7B68">
      <w:pPr>
        <w:tabs>
          <w:tab w:val="left" w:pos="567"/>
          <w:tab w:val="left" w:pos="1134"/>
          <w:tab w:val="left" w:pos="1701"/>
          <w:tab w:val="left" w:pos="2268"/>
          <w:tab w:val="left" w:pos="2835"/>
        </w:tabs>
        <w:rPr>
          <w:bCs/>
          <w:iCs/>
          <w:lang w:val="fr-FR"/>
        </w:rPr>
      </w:pPr>
      <w:r>
        <w:rPr>
          <w:bCs/>
          <w:iCs/>
          <w:lang w:val="fr-FR"/>
        </w:rPr>
        <w:t>721.</w:t>
      </w:r>
      <w:r>
        <w:rPr>
          <w:bCs/>
          <w:iCs/>
          <w:lang w:val="fr-FR"/>
        </w:rPr>
        <w:tab/>
      </w:r>
      <w:r w:rsidR="00575A52">
        <w:rPr>
          <w:bCs/>
          <w:iCs/>
          <w:lang w:val="fr-FR"/>
        </w:rPr>
        <w:t xml:space="preserve">Le Gouvernement australien </w:t>
      </w:r>
      <w:r w:rsidR="005769BC">
        <w:rPr>
          <w:bCs/>
          <w:iCs/>
          <w:lang w:val="fr-FR"/>
        </w:rPr>
        <w:t xml:space="preserve">considère </w:t>
      </w:r>
      <w:r w:rsidR="00575A52">
        <w:rPr>
          <w:bCs/>
          <w:iCs/>
          <w:lang w:val="fr-FR"/>
        </w:rPr>
        <w:t xml:space="preserve">que cette question ne fait </w:t>
      </w:r>
      <w:r w:rsidR="00FE0692">
        <w:rPr>
          <w:bCs/>
          <w:iCs/>
          <w:lang w:val="fr-FR"/>
        </w:rPr>
        <w:t xml:space="preserve">pas </w:t>
      </w:r>
      <w:r w:rsidR="00575A52">
        <w:rPr>
          <w:bCs/>
          <w:iCs/>
          <w:lang w:val="fr-FR"/>
        </w:rPr>
        <w:t>partie du mandat du Comité.</w:t>
      </w:r>
    </w:p>
    <w:p w:rsidR="00826714" w:rsidRDefault="00826714" w:rsidP="005D7B68">
      <w:pPr>
        <w:tabs>
          <w:tab w:val="left" w:pos="567"/>
          <w:tab w:val="left" w:pos="1134"/>
          <w:tab w:val="left" w:pos="1701"/>
          <w:tab w:val="left" w:pos="2268"/>
          <w:tab w:val="left" w:pos="2835"/>
        </w:tabs>
        <w:jc w:val="center"/>
        <w:rPr>
          <w:b/>
          <w:iCs/>
          <w:lang w:val="fr-FR"/>
        </w:rPr>
      </w:pPr>
      <w:r>
        <w:rPr>
          <w:b/>
          <w:iCs/>
          <w:lang w:val="fr-FR"/>
        </w:rPr>
        <w:t>ARTICLE 12</w:t>
      </w:r>
    </w:p>
    <w:p w:rsidR="00826714" w:rsidRDefault="00826714" w:rsidP="005D7B68">
      <w:pPr>
        <w:tabs>
          <w:tab w:val="left" w:pos="567"/>
          <w:tab w:val="left" w:pos="1134"/>
          <w:tab w:val="left" w:pos="1701"/>
          <w:tab w:val="left" w:pos="2268"/>
          <w:tab w:val="left" w:pos="2835"/>
        </w:tabs>
        <w:rPr>
          <w:b/>
          <w:iCs/>
          <w:lang w:val="fr-FR"/>
        </w:rPr>
      </w:pPr>
      <w:r>
        <w:rPr>
          <w:b/>
          <w:iCs/>
          <w:lang w:val="fr-FR"/>
        </w:rPr>
        <w:t>Question 30</w:t>
      </w:r>
    </w:p>
    <w:p w:rsidR="00826714" w:rsidRPr="008A17BA" w:rsidRDefault="00826714" w:rsidP="005D7B68">
      <w:pPr>
        <w:tabs>
          <w:tab w:val="left" w:pos="567"/>
          <w:tab w:val="left" w:pos="1134"/>
          <w:tab w:val="left" w:pos="1701"/>
          <w:tab w:val="left" w:pos="2268"/>
          <w:tab w:val="left" w:pos="2835"/>
        </w:tabs>
        <w:rPr>
          <w:b/>
          <w:bCs/>
          <w:iCs/>
          <w:lang w:val="fr-FR"/>
        </w:rPr>
      </w:pPr>
      <w:r>
        <w:rPr>
          <w:b/>
          <w:iCs/>
          <w:lang w:val="fr-FR"/>
        </w:rPr>
        <w:tab/>
      </w:r>
      <w:r w:rsidR="008A17BA" w:rsidRPr="008A17BA">
        <w:rPr>
          <w:b/>
          <w:bCs/>
          <w:lang w:val="fr-FR"/>
        </w:rPr>
        <w:t>Fournir des renseignements récents et détaillés sur les affaires portant spécifiquement sur des actes de torture, des peines ou traitements cruels, inhumains ou dégradants ou des infractions similaires commises par des agents des forces armées et d’autres personnels, y compris les prestataires de services sous contrat stationnés à l’étranger, notamment en Afghanistan et en Iraq, en précisant le nombre d’affaires, leur statut, les autorités devant lesquelles elles sont en instance et le résultat des enquêtes ouvertes à leur sujet.</w:t>
      </w:r>
    </w:p>
    <w:p w:rsidR="005769BC" w:rsidRDefault="005769BC" w:rsidP="005D7B68">
      <w:pPr>
        <w:keepNext/>
        <w:tabs>
          <w:tab w:val="left" w:pos="567"/>
          <w:tab w:val="left" w:pos="1134"/>
          <w:tab w:val="left" w:pos="1701"/>
          <w:tab w:val="left" w:pos="2268"/>
          <w:tab w:val="left" w:pos="2835"/>
        </w:tabs>
        <w:rPr>
          <w:b/>
          <w:iCs/>
          <w:lang w:val="fr-FR"/>
        </w:rPr>
      </w:pPr>
      <w:r>
        <w:rPr>
          <w:b/>
          <w:iCs/>
          <w:lang w:val="fr-FR"/>
        </w:rPr>
        <w:t>Juin</w:t>
      </w:r>
      <w:r w:rsidR="00C40DCC">
        <w:rPr>
          <w:b/>
          <w:iCs/>
          <w:lang w:val="fr-FR"/>
        </w:rPr>
        <w:t xml:space="preserve"> </w:t>
      </w:r>
      <w:r w:rsidR="006B49AE">
        <w:rPr>
          <w:b/>
          <w:iCs/>
          <w:lang w:val="fr-FR"/>
        </w:rPr>
        <w:t>1997</w:t>
      </w:r>
      <w:r w:rsidR="006B49AE">
        <w:rPr>
          <w:b/>
          <w:iCs/>
          <w:lang w:val="fr-FR"/>
        </w:rPr>
        <w:noBreakHyphen/>
      </w:r>
      <w:r>
        <w:rPr>
          <w:b/>
          <w:iCs/>
          <w:lang w:val="fr-FR"/>
        </w:rPr>
        <w:t>octobre 2004</w:t>
      </w:r>
    </w:p>
    <w:p w:rsidR="005769BC" w:rsidRDefault="005769BC" w:rsidP="005D7B68">
      <w:pPr>
        <w:keepNext/>
        <w:tabs>
          <w:tab w:val="left" w:pos="567"/>
          <w:tab w:val="left" w:pos="1134"/>
          <w:tab w:val="left" w:pos="1701"/>
          <w:tab w:val="left" w:pos="2268"/>
          <w:tab w:val="left" w:pos="2835"/>
        </w:tabs>
        <w:rPr>
          <w:b/>
          <w:iCs/>
          <w:lang w:val="fr-FR"/>
        </w:rPr>
      </w:pPr>
      <w:r>
        <w:rPr>
          <w:b/>
          <w:iCs/>
          <w:lang w:val="fr-FR"/>
        </w:rPr>
        <w:t>Iraq</w:t>
      </w:r>
    </w:p>
    <w:p w:rsidR="005769BC" w:rsidRDefault="005769BC" w:rsidP="005D7B68">
      <w:pPr>
        <w:keepNext/>
        <w:tabs>
          <w:tab w:val="left" w:pos="567"/>
          <w:tab w:val="left" w:pos="1134"/>
          <w:tab w:val="left" w:pos="1701"/>
          <w:tab w:val="left" w:pos="2268"/>
          <w:tab w:val="left" w:pos="2835"/>
        </w:tabs>
        <w:rPr>
          <w:bCs/>
          <w:iCs/>
          <w:lang w:val="fr-FR"/>
        </w:rPr>
      </w:pPr>
      <w:r>
        <w:rPr>
          <w:bCs/>
          <w:iCs/>
          <w:lang w:val="fr-FR"/>
        </w:rPr>
        <w:t>72</w:t>
      </w:r>
      <w:r w:rsidR="002A6CEC">
        <w:rPr>
          <w:bCs/>
          <w:iCs/>
          <w:lang w:val="fr-FR"/>
        </w:rPr>
        <w:t>2</w:t>
      </w:r>
      <w:r>
        <w:rPr>
          <w:bCs/>
          <w:iCs/>
          <w:lang w:val="fr-FR"/>
        </w:rPr>
        <w:t>.</w:t>
      </w:r>
      <w:r>
        <w:rPr>
          <w:bCs/>
          <w:iCs/>
          <w:lang w:val="fr-FR"/>
        </w:rPr>
        <w:tab/>
        <w:t>Il n’y a pas trace, dans les dossiers de l’armée, de plaintes de ce genre</w:t>
      </w:r>
      <w:r>
        <w:rPr>
          <w:rStyle w:val="FootnoteReference"/>
          <w:bCs/>
          <w:iCs/>
          <w:lang w:val="fr-FR"/>
        </w:rPr>
        <w:footnoteReference w:id="20"/>
      </w:r>
      <w:r w:rsidR="00961A1C">
        <w:rPr>
          <w:bCs/>
          <w:iCs/>
          <w:lang w:val="fr-FR"/>
        </w:rPr>
        <w:t xml:space="preserve"> concernant des actes qui correspondent aux critères des actes de torture ou des peines ou traitements cruels, inhumains ou dégradants dans le cadre des opérations en Iraq pendant cette période.</w:t>
      </w:r>
    </w:p>
    <w:p w:rsidR="008141E0" w:rsidRDefault="008141E0" w:rsidP="005D7B68">
      <w:pPr>
        <w:tabs>
          <w:tab w:val="left" w:pos="567"/>
          <w:tab w:val="left" w:pos="1134"/>
          <w:tab w:val="left" w:pos="1701"/>
          <w:tab w:val="left" w:pos="2268"/>
          <w:tab w:val="left" w:pos="2835"/>
        </w:tabs>
        <w:rPr>
          <w:b/>
          <w:iCs/>
          <w:lang w:val="fr-FR"/>
        </w:rPr>
      </w:pPr>
      <w:r>
        <w:rPr>
          <w:b/>
          <w:iCs/>
          <w:lang w:val="fr-FR"/>
        </w:rPr>
        <w:t>Afghanistan</w:t>
      </w:r>
    </w:p>
    <w:p w:rsidR="008141E0" w:rsidRDefault="008141E0"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3</w:t>
      </w:r>
      <w:r>
        <w:rPr>
          <w:bCs/>
          <w:iCs/>
          <w:lang w:val="fr-FR"/>
        </w:rPr>
        <w:t>.</w:t>
      </w:r>
      <w:r>
        <w:rPr>
          <w:bCs/>
          <w:iCs/>
          <w:lang w:val="fr-FR"/>
        </w:rPr>
        <w:tab/>
        <w:t>Il n’y a pas trace, dans les dossiers de l’armée, de plaintes de ce genre</w:t>
      </w:r>
      <w:r w:rsidR="00806754">
        <w:rPr>
          <w:bCs/>
          <w:iCs/>
          <w:lang w:val="fr-FR"/>
        </w:rPr>
        <w:t xml:space="preserve"> </w:t>
      </w:r>
      <w:r>
        <w:rPr>
          <w:bCs/>
          <w:iCs/>
          <w:lang w:val="fr-FR"/>
        </w:rPr>
        <w:t>concernant des actes qui correspondent aux critères des actes de torture ou des peines ou traitements cruels, inhumains ou dégradants dans le cadre des opé</w:t>
      </w:r>
      <w:r w:rsidR="002850EE">
        <w:rPr>
          <w:bCs/>
          <w:iCs/>
          <w:lang w:val="fr-FR"/>
        </w:rPr>
        <w:t>rations en Afghanistan</w:t>
      </w:r>
      <w:r>
        <w:rPr>
          <w:bCs/>
          <w:iCs/>
          <w:lang w:val="fr-FR"/>
        </w:rPr>
        <w:t xml:space="preserve"> pendant cette période.</w:t>
      </w:r>
    </w:p>
    <w:p w:rsidR="008141E0" w:rsidRDefault="00725FFE" w:rsidP="005D7B68">
      <w:pPr>
        <w:tabs>
          <w:tab w:val="left" w:pos="567"/>
          <w:tab w:val="left" w:pos="1134"/>
          <w:tab w:val="left" w:pos="1701"/>
          <w:tab w:val="left" w:pos="2268"/>
          <w:tab w:val="left" w:pos="2835"/>
        </w:tabs>
        <w:rPr>
          <w:b/>
          <w:iCs/>
          <w:lang w:val="fr-FR"/>
        </w:rPr>
      </w:pPr>
      <w:r>
        <w:rPr>
          <w:b/>
          <w:iCs/>
          <w:lang w:val="fr-FR"/>
        </w:rPr>
        <w:t>Timor-Leste</w:t>
      </w:r>
    </w:p>
    <w:p w:rsidR="00725FFE" w:rsidRPr="00725FFE" w:rsidRDefault="00725FFE"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4</w:t>
      </w:r>
      <w:r>
        <w:rPr>
          <w:bCs/>
          <w:iCs/>
          <w:lang w:val="fr-FR"/>
        </w:rPr>
        <w:t>.</w:t>
      </w:r>
      <w:r>
        <w:rPr>
          <w:bCs/>
          <w:iCs/>
          <w:lang w:val="fr-FR"/>
        </w:rPr>
        <w:tab/>
        <w:t>Selon les dossiers de l’armée, on a dénombré 17 plaintes concernant des actes qui correspondent aux critères des actes de torture ou des peines ou traitements cruels, inhumains ou dé</w:t>
      </w:r>
      <w:r w:rsidR="00A619D6">
        <w:rPr>
          <w:bCs/>
          <w:iCs/>
          <w:lang w:val="fr-FR"/>
        </w:rPr>
        <w:t>gradants pendant cette période.</w:t>
      </w:r>
    </w:p>
    <w:p w:rsidR="00575A52" w:rsidRDefault="00127D9B"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5</w:t>
      </w:r>
      <w:r>
        <w:rPr>
          <w:bCs/>
          <w:iCs/>
          <w:lang w:val="fr-FR"/>
        </w:rPr>
        <w:t>.</w:t>
      </w:r>
      <w:r>
        <w:rPr>
          <w:bCs/>
          <w:iCs/>
          <w:lang w:val="fr-FR"/>
        </w:rPr>
        <w:tab/>
        <w:t xml:space="preserve"> Une enquête au sujet de quatre de ces plaintes a été initialement diligentée en tant qu’enquête du service de </w:t>
      </w:r>
      <w:r w:rsidR="00EC595F">
        <w:rPr>
          <w:bCs/>
          <w:iCs/>
          <w:lang w:val="fr-FR"/>
        </w:rPr>
        <w:t>police des forces armées</w:t>
      </w:r>
      <w:r w:rsidR="008D6B80">
        <w:rPr>
          <w:bCs/>
          <w:iCs/>
          <w:lang w:val="fr-FR"/>
        </w:rPr>
        <w:t xml:space="preserve">. </w:t>
      </w:r>
      <w:r>
        <w:rPr>
          <w:bCs/>
          <w:iCs/>
          <w:lang w:val="fr-FR"/>
        </w:rPr>
        <w:t xml:space="preserve">Comme un certain nombre de membres du personnel qu’il fallait interroger se trouvaient au Timor occidental et n’étaient donc pas accessibles pour les enquêteurs en question, il a été décidé que la </w:t>
      </w:r>
      <w:r w:rsidR="00C40DCC">
        <w:rPr>
          <w:bCs/>
          <w:iCs/>
          <w:lang w:val="fr-FR"/>
        </w:rPr>
        <w:t>p</w:t>
      </w:r>
      <w:r w:rsidR="00397763">
        <w:rPr>
          <w:bCs/>
          <w:iCs/>
          <w:lang w:val="fr-FR"/>
        </w:rPr>
        <w:t>olice fédérale australienne</w:t>
      </w:r>
      <w:r>
        <w:rPr>
          <w:bCs/>
          <w:iCs/>
          <w:lang w:val="fr-FR"/>
        </w:rPr>
        <w:t xml:space="preserve"> prendrait la relève, à la suite de quoi elle </w:t>
      </w:r>
      <w:r w:rsidR="00C40DCC">
        <w:rPr>
          <w:bCs/>
          <w:iCs/>
          <w:lang w:val="fr-FR"/>
        </w:rPr>
        <w:t xml:space="preserve">a </w:t>
      </w:r>
      <w:r>
        <w:rPr>
          <w:bCs/>
          <w:iCs/>
          <w:lang w:val="fr-FR"/>
        </w:rPr>
        <w:t>mené une enquête en application de la loi de 1995 sur le Code pénal (Commonwealth) entre 2004 et 2006 sans pouvoir trouver de preuves à l’</w:t>
      </w:r>
      <w:r w:rsidR="00BA1F65">
        <w:rPr>
          <w:bCs/>
          <w:iCs/>
          <w:lang w:val="fr-FR"/>
        </w:rPr>
        <w:t>appui de ces chefs d’inculpation et les dossiers ont été clos</w:t>
      </w:r>
      <w:r w:rsidR="008D6B80">
        <w:rPr>
          <w:bCs/>
          <w:iCs/>
          <w:lang w:val="fr-FR"/>
        </w:rPr>
        <w:t xml:space="preserve">. </w:t>
      </w:r>
      <w:r w:rsidR="00BA1F65">
        <w:rPr>
          <w:bCs/>
          <w:iCs/>
          <w:lang w:val="fr-FR"/>
        </w:rPr>
        <w:t xml:space="preserve">Douze des plaintes restantes ont fait l’objet d’une enquête du service de police des </w:t>
      </w:r>
      <w:r w:rsidR="006F0D84">
        <w:rPr>
          <w:bCs/>
          <w:iCs/>
          <w:lang w:val="fr-FR"/>
        </w:rPr>
        <w:t>force</w:t>
      </w:r>
      <w:r w:rsidR="00F62988">
        <w:rPr>
          <w:bCs/>
          <w:iCs/>
          <w:lang w:val="fr-FR"/>
        </w:rPr>
        <w:t xml:space="preserve">s armées </w:t>
      </w:r>
      <w:r w:rsidR="00BA1F65">
        <w:rPr>
          <w:bCs/>
          <w:iCs/>
          <w:lang w:val="fr-FR"/>
        </w:rPr>
        <w:t>australiennes</w:t>
      </w:r>
      <w:r w:rsidR="000F6961">
        <w:rPr>
          <w:bCs/>
          <w:iCs/>
          <w:lang w:val="fr-FR"/>
        </w:rPr>
        <w:t>, et une seule d’une unité spécialisée.</w:t>
      </w:r>
    </w:p>
    <w:p w:rsidR="000F6961" w:rsidRDefault="000F6961"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6</w:t>
      </w:r>
      <w:r>
        <w:rPr>
          <w:bCs/>
          <w:iCs/>
          <w:lang w:val="fr-FR"/>
        </w:rPr>
        <w:t>.</w:t>
      </w:r>
      <w:r>
        <w:rPr>
          <w:bCs/>
          <w:iCs/>
          <w:lang w:val="fr-FR"/>
        </w:rPr>
        <w:tab/>
        <w:t>Après enquête, 15 plaintes on été estimée</w:t>
      </w:r>
      <w:r w:rsidR="00C40DCC">
        <w:rPr>
          <w:bCs/>
          <w:iCs/>
          <w:lang w:val="fr-FR"/>
        </w:rPr>
        <w:t>s</w:t>
      </w:r>
      <w:r>
        <w:rPr>
          <w:bCs/>
          <w:iCs/>
          <w:lang w:val="fr-FR"/>
        </w:rPr>
        <w:t xml:space="preserve"> être sans fondement</w:t>
      </w:r>
      <w:r w:rsidR="008D6B80">
        <w:rPr>
          <w:bCs/>
          <w:iCs/>
          <w:lang w:val="fr-FR"/>
        </w:rPr>
        <w:t xml:space="preserve">. </w:t>
      </w:r>
      <w:r>
        <w:rPr>
          <w:bCs/>
          <w:iCs/>
          <w:lang w:val="fr-FR"/>
        </w:rPr>
        <w:t>Dans un de ces cas, l’une des</w:t>
      </w:r>
      <w:r w:rsidR="00806754">
        <w:rPr>
          <w:bCs/>
          <w:iCs/>
          <w:lang w:val="fr-FR"/>
        </w:rPr>
        <w:t xml:space="preserve"> </w:t>
      </w:r>
      <w:r>
        <w:rPr>
          <w:bCs/>
          <w:iCs/>
          <w:lang w:val="fr-FR"/>
        </w:rPr>
        <w:t xml:space="preserve">allégations concernant l’usage constant </w:t>
      </w:r>
      <w:r w:rsidRPr="00213B77">
        <w:rPr>
          <w:bCs/>
          <w:iCs/>
          <w:lang w:val="fr-FR"/>
        </w:rPr>
        <w:t>d</w:t>
      </w:r>
      <w:r w:rsidR="00213B77" w:rsidRPr="00213B77">
        <w:rPr>
          <w:bCs/>
          <w:iCs/>
          <w:lang w:val="fr-FR"/>
        </w:rPr>
        <w:t>’attaches Rilsan</w:t>
      </w:r>
      <w:r w:rsidR="00806754" w:rsidRPr="00213B77">
        <w:rPr>
          <w:rStyle w:val="FootnoteReference"/>
          <w:bCs/>
          <w:iCs/>
          <w:lang w:val="fr-FR"/>
        </w:rPr>
        <w:footnoteReference w:id="21"/>
      </w:r>
      <w:r w:rsidR="00806754" w:rsidRPr="00213B77">
        <w:rPr>
          <w:bCs/>
          <w:iCs/>
          <w:lang w:val="fr-FR"/>
        </w:rPr>
        <w:t xml:space="preserve"> comme</w:t>
      </w:r>
      <w:r w:rsidR="00806754">
        <w:rPr>
          <w:bCs/>
          <w:iCs/>
          <w:lang w:val="fr-FR"/>
        </w:rPr>
        <w:t xml:space="preserve"> entraves</w:t>
      </w:r>
      <w:r w:rsidR="009D3ED8">
        <w:rPr>
          <w:bCs/>
          <w:iCs/>
          <w:lang w:val="fr-FR"/>
        </w:rPr>
        <w:t xml:space="preserve"> était fondée, mais il n’a pas été considéré que des mesures disciplinaires étaient justifiées parce que cette pratique était conforme à la doctrine en vigueur</w:t>
      </w:r>
      <w:r w:rsidR="008D6B80">
        <w:rPr>
          <w:bCs/>
          <w:iCs/>
          <w:lang w:val="fr-FR"/>
        </w:rPr>
        <w:t xml:space="preserve">. </w:t>
      </w:r>
      <w:r w:rsidR="009D3ED8">
        <w:rPr>
          <w:bCs/>
          <w:iCs/>
          <w:lang w:val="fr-FR"/>
        </w:rPr>
        <w:t>Cette dernière, toutefois, a été revue et modif</w:t>
      </w:r>
      <w:r w:rsidR="006F0D84">
        <w:rPr>
          <w:bCs/>
          <w:iCs/>
          <w:lang w:val="fr-FR"/>
        </w:rPr>
        <w:t>iée à la suite de l’enquête afin de</w:t>
      </w:r>
      <w:r w:rsidR="009D3ED8">
        <w:rPr>
          <w:bCs/>
          <w:iCs/>
          <w:lang w:val="fr-FR"/>
        </w:rPr>
        <w:t xml:space="preserve"> rendre le traitement plus humain quand il doit être appliqué</w:t>
      </w:r>
      <w:r w:rsidR="008D6B80">
        <w:rPr>
          <w:bCs/>
          <w:iCs/>
          <w:lang w:val="fr-FR"/>
        </w:rPr>
        <w:t xml:space="preserve">. </w:t>
      </w:r>
      <w:r w:rsidR="009D3ED8">
        <w:rPr>
          <w:bCs/>
          <w:iCs/>
          <w:lang w:val="fr-FR"/>
        </w:rPr>
        <w:t>Dans le cadre d’une autre plain</w:t>
      </w:r>
      <w:r w:rsidR="008C52F6">
        <w:rPr>
          <w:bCs/>
          <w:iCs/>
          <w:lang w:val="fr-FR"/>
        </w:rPr>
        <w:t>t</w:t>
      </w:r>
      <w:r w:rsidR="009D3ED8">
        <w:rPr>
          <w:bCs/>
          <w:iCs/>
          <w:lang w:val="fr-FR"/>
        </w:rPr>
        <w:t>e, deux des allégations relatives à une privation de sommeil et de nourriture ont été jugées fondées, mais</w:t>
      </w:r>
      <w:r w:rsidR="008C52F6">
        <w:rPr>
          <w:bCs/>
          <w:iCs/>
          <w:lang w:val="fr-FR"/>
        </w:rPr>
        <w:t xml:space="preserve"> non justificatives de mesures disciplinaires, parce que cette pratique était conforme à la doctrine en vigueur, laquelle, toutefois, a été revue et </w:t>
      </w:r>
      <w:r w:rsidR="00C40DCC">
        <w:rPr>
          <w:bCs/>
          <w:iCs/>
          <w:lang w:val="fr-FR"/>
        </w:rPr>
        <w:t>modifiée afin que le traitement, en l’occurrence, soit rendu</w:t>
      </w:r>
      <w:r w:rsidR="008C52F6">
        <w:rPr>
          <w:bCs/>
          <w:iCs/>
          <w:lang w:val="fr-FR"/>
        </w:rPr>
        <w:t xml:space="preserve"> plus humain.</w:t>
      </w:r>
    </w:p>
    <w:p w:rsidR="008C52F6" w:rsidRDefault="008C52F6" w:rsidP="005D7B68">
      <w:pPr>
        <w:tabs>
          <w:tab w:val="left" w:pos="567"/>
          <w:tab w:val="left" w:pos="1134"/>
          <w:tab w:val="left" w:pos="1701"/>
          <w:tab w:val="left" w:pos="2268"/>
          <w:tab w:val="left" w:pos="2835"/>
        </w:tabs>
        <w:rPr>
          <w:b/>
          <w:iCs/>
          <w:lang w:val="fr-FR"/>
        </w:rPr>
      </w:pPr>
      <w:r>
        <w:rPr>
          <w:b/>
          <w:iCs/>
          <w:lang w:val="fr-FR"/>
        </w:rPr>
        <w:t>Îles Salomon</w:t>
      </w:r>
    </w:p>
    <w:p w:rsidR="008C52F6" w:rsidRPr="008C52F6" w:rsidRDefault="008C52F6" w:rsidP="005D7B68">
      <w:pPr>
        <w:tabs>
          <w:tab w:val="left" w:pos="567"/>
          <w:tab w:val="left" w:pos="1134"/>
          <w:tab w:val="left" w:pos="1701"/>
          <w:tab w:val="left" w:pos="2268"/>
          <w:tab w:val="left" w:pos="2835"/>
        </w:tabs>
        <w:rPr>
          <w:bCs/>
          <w:iCs/>
          <w:lang w:val="fr-FR"/>
        </w:rPr>
      </w:pPr>
      <w:r>
        <w:rPr>
          <w:bCs/>
          <w:iCs/>
          <w:lang w:val="fr-FR"/>
        </w:rPr>
        <w:t>72</w:t>
      </w:r>
      <w:r w:rsidR="002A6CEC">
        <w:rPr>
          <w:bCs/>
          <w:iCs/>
          <w:lang w:val="fr-FR"/>
        </w:rPr>
        <w:t>7</w:t>
      </w:r>
      <w:r>
        <w:rPr>
          <w:bCs/>
          <w:iCs/>
          <w:lang w:val="fr-FR"/>
        </w:rPr>
        <w:t>.</w:t>
      </w:r>
      <w:r>
        <w:rPr>
          <w:bCs/>
          <w:iCs/>
          <w:lang w:val="fr-FR"/>
        </w:rPr>
        <w:tab/>
        <w:t>Il n’y a pas trace, dans les dossiers de l’armée, de plaintes de ce genre concernant des actes qui correspondent aux critères des actes de torture ou des peines ou traitements cruels, inhumains ou dégradants dans le cadre des opérations dans les îles Salomon pendant cette période.</w:t>
      </w:r>
    </w:p>
    <w:p w:rsidR="0004724C" w:rsidRDefault="002850EE" w:rsidP="005D7B68">
      <w:pPr>
        <w:tabs>
          <w:tab w:val="left" w:pos="567"/>
          <w:tab w:val="left" w:pos="1134"/>
          <w:tab w:val="left" w:pos="1701"/>
          <w:tab w:val="left" w:pos="2268"/>
          <w:tab w:val="left" w:pos="2835"/>
        </w:tabs>
        <w:rPr>
          <w:b/>
          <w:bCs/>
          <w:lang w:val="fr-FR"/>
        </w:rPr>
      </w:pPr>
      <w:r>
        <w:rPr>
          <w:b/>
          <w:bCs/>
          <w:lang w:val="fr-FR"/>
        </w:rPr>
        <w:t>Octobre 2004-juin 2007</w:t>
      </w:r>
    </w:p>
    <w:p w:rsidR="002850EE" w:rsidRDefault="002850EE" w:rsidP="005D7B68">
      <w:pPr>
        <w:tabs>
          <w:tab w:val="left" w:pos="567"/>
          <w:tab w:val="left" w:pos="1134"/>
          <w:tab w:val="left" w:pos="1701"/>
          <w:tab w:val="left" w:pos="2268"/>
          <w:tab w:val="left" w:pos="2835"/>
        </w:tabs>
        <w:rPr>
          <w:b/>
          <w:bCs/>
          <w:lang w:val="fr-FR"/>
        </w:rPr>
      </w:pPr>
      <w:r>
        <w:rPr>
          <w:b/>
          <w:bCs/>
          <w:lang w:val="fr-FR"/>
        </w:rPr>
        <w:t>Iraq</w:t>
      </w:r>
    </w:p>
    <w:p w:rsidR="002850EE" w:rsidRPr="002850EE" w:rsidRDefault="00887A28" w:rsidP="005D7B68">
      <w:pPr>
        <w:tabs>
          <w:tab w:val="left" w:pos="567"/>
          <w:tab w:val="left" w:pos="1134"/>
          <w:tab w:val="left" w:pos="1701"/>
          <w:tab w:val="left" w:pos="2268"/>
          <w:tab w:val="left" w:pos="2835"/>
        </w:tabs>
        <w:rPr>
          <w:lang w:val="fr-FR"/>
        </w:rPr>
      </w:pPr>
      <w:r>
        <w:rPr>
          <w:lang w:val="fr-FR"/>
        </w:rPr>
        <w:t>72</w:t>
      </w:r>
      <w:r w:rsidR="002A6CEC">
        <w:rPr>
          <w:lang w:val="fr-FR"/>
        </w:rPr>
        <w:t>8</w:t>
      </w:r>
      <w:r w:rsidR="002850EE">
        <w:rPr>
          <w:lang w:val="fr-FR"/>
        </w:rPr>
        <w:t>.</w:t>
      </w:r>
      <w:r w:rsidR="002850EE">
        <w:rPr>
          <w:lang w:val="fr-FR"/>
        </w:rPr>
        <w:tab/>
      </w:r>
      <w:r w:rsidR="002850EE">
        <w:rPr>
          <w:bCs/>
          <w:iCs/>
          <w:lang w:val="fr-FR"/>
        </w:rPr>
        <w:t>Il n’y a pas trace, dans les dossiers de l’armée, de plaintes de ce genre concernant des actes qui correspondent aux critères des actes de torture ou des peines ou traitements cruels, inhumains ou dégradants dans le cadre des opérations en Iraq pendant cette période.</w:t>
      </w:r>
    </w:p>
    <w:p w:rsidR="00AF1E00" w:rsidRDefault="002850EE" w:rsidP="005D7B68">
      <w:pPr>
        <w:tabs>
          <w:tab w:val="left" w:pos="567"/>
          <w:tab w:val="left" w:pos="1134"/>
          <w:tab w:val="left" w:pos="1701"/>
          <w:tab w:val="left" w:pos="2268"/>
          <w:tab w:val="left" w:pos="2835"/>
        </w:tabs>
        <w:rPr>
          <w:b/>
          <w:bCs/>
          <w:lang w:val="fr-FR"/>
        </w:rPr>
      </w:pPr>
      <w:r>
        <w:rPr>
          <w:b/>
          <w:bCs/>
          <w:lang w:val="fr-FR"/>
        </w:rPr>
        <w:t>Afghanistan</w:t>
      </w:r>
    </w:p>
    <w:p w:rsidR="002850EE" w:rsidRDefault="002A6CEC" w:rsidP="005D7B68">
      <w:pPr>
        <w:tabs>
          <w:tab w:val="left" w:pos="567"/>
          <w:tab w:val="left" w:pos="1134"/>
          <w:tab w:val="left" w:pos="1701"/>
          <w:tab w:val="left" w:pos="2268"/>
          <w:tab w:val="left" w:pos="2835"/>
        </w:tabs>
        <w:rPr>
          <w:bCs/>
          <w:iCs/>
          <w:lang w:val="fr-FR"/>
        </w:rPr>
      </w:pPr>
      <w:r>
        <w:rPr>
          <w:lang w:val="fr-FR"/>
        </w:rPr>
        <w:t>729</w:t>
      </w:r>
      <w:r w:rsidR="002850EE">
        <w:rPr>
          <w:lang w:val="fr-FR"/>
        </w:rPr>
        <w:t>.</w:t>
      </w:r>
      <w:r w:rsidR="002850EE">
        <w:rPr>
          <w:lang w:val="fr-FR"/>
        </w:rPr>
        <w:tab/>
      </w:r>
      <w:r w:rsidR="002850EE">
        <w:rPr>
          <w:bCs/>
          <w:iCs/>
          <w:lang w:val="fr-FR"/>
        </w:rPr>
        <w:t>Il n’y a pas trace, dans les dossiers de l’armée, de plaintes de ce genre concernant des actes qui correspondent aux critères des actes de torture ou des peines ou traitements cruels, inhumains ou dégradants dans le cadre des opérations en Afghanistan pendant cette période.</w:t>
      </w:r>
    </w:p>
    <w:p w:rsidR="002850EE" w:rsidRDefault="00887A28" w:rsidP="005D7B68">
      <w:pPr>
        <w:tabs>
          <w:tab w:val="left" w:pos="567"/>
          <w:tab w:val="left" w:pos="1134"/>
          <w:tab w:val="left" w:pos="1701"/>
          <w:tab w:val="left" w:pos="2268"/>
          <w:tab w:val="left" w:pos="2835"/>
        </w:tabs>
        <w:rPr>
          <w:lang w:val="fr-FR"/>
        </w:rPr>
      </w:pPr>
      <w:r>
        <w:rPr>
          <w:lang w:val="fr-FR"/>
        </w:rPr>
        <w:t>73</w:t>
      </w:r>
      <w:r w:rsidR="002A6CEC">
        <w:rPr>
          <w:lang w:val="fr-FR"/>
        </w:rPr>
        <w:t>0</w:t>
      </w:r>
      <w:r>
        <w:rPr>
          <w:lang w:val="fr-FR"/>
        </w:rPr>
        <w:t>.</w:t>
      </w:r>
      <w:r>
        <w:rPr>
          <w:lang w:val="fr-FR"/>
        </w:rPr>
        <w:tab/>
        <w:t xml:space="preserve">Une plainte a donné lieu à une enquête du service de police des </w:t>
      </w:r>
      <w:r w:rsidR="001B279A">
        <w:rPr>
          <w:lang w:val="fr-FR"/>
        </w:rPr>
        <w:t>force</w:t>
      </w:r>
      <w:r w:rsidR="00F62988">
        <w:rPr>
          <w:lang w:val="fr-FR"/>
        </w:rPr>
        <w:t xml:space="preserve">s armées </w:t>
      </w:r>
      <w:r>
        <w:rPr>
          <w:lang w:val="fr-FR"/>
        </w:rPr>
        <w:t>australiennes</w:t>
      </w:r>
      <w:r w:rsidR="008D6B80">
        <w:rPr>
          <w:lang w:val="fr-FR"/>
        </w:rPr>
        <w:t xml:space="preserve">. </w:t>
      </w:r>
      <w:r>
        <w:rPr>
          <w:lang w:val="fr-FR"/>
        </w:rPr>
        <w:t>L’autre a fait l’objet d’une enquête d’</w:t>
      </w:r>
      <w:r w:rsidR="00290EF8">
        <w:rPr>
          <w:lang w:val="fr-FR"/>
        </w:rPr>
        <w:t>une unité spéciale</w:t>
      </w:r>
      <w:r w:rsidR="008D6B80">
        <w:rPr>
          <w:lang w:val="fr-FR"/>
        </w:rPr>
        <w:t xml:space="preserve">. </w:t>
      </w:r>
      <w:r w:rsidR="00290EF8">
        <w:rPr>
          <w:lang w:val="fr-FR"/>
        </w:rPr>
        <w:t>Á la sui</w:t>
      </w:r>
      <w:r>
        <w:rPr>
          <w:lang w:val="fr-FR"/>
        </w:rPr>
        <w:t>te de ces enquêtes, les deux plaintes ont été jugées sans fondement.</w:t>
      </w:r>
    </w:p>
    <w:p w:rsidR="00290EF8" w:rsidRDefault="00290EF8" w:rsidP="005D7B68">
      <w:pPr>
        <w:tabs>
          <w:tab w:val="left" w:pos="567"/>
          <w:tab w:val="left" w:pos="1134"/>
          <w:tab w:val="left" w:pos="1701"/>
          <w:tab w:val="left" w:pos="2268"/>
          <w:tab w:val="left" w:pos="2835"/>
        </w:tabs>
        <w:rPr>
          <w:b/>
          <w:bCs/>
          <w:lang w:val="fr-FR"/>
        </w:rPr>
      </w:pPr>
      <w:r>
        <w:rPr>
          <w:b/>
          <w:bCs/>
          <w:lang w:val="fr-FR"/>
        </w:rPr>
        <w:t>Timor-Leste</w:t>
      </w:r>
    </w:p>
    <w:p w:rsidR="00290EF8" w:rsidRDefault="00290EF8" w:rsidP="005D7B68">
      <w:pPr>
        <w:tabs>
          <w:tab w:val="left" w:pos="567"/>
          <w:tab w:val="left" w:pos="1134"/>
          <w:tab w:val="left" w:pos="1701"/>
          <w:tab w:val="left" w:pos="2268"/>
          <w:tab w:val="left" w:pos="2835"/>
        </w:tabs>
        <w:rPr>
          <w:lang w:val="fr-FR"/>
        </w:rPr>
      </w:pPr>
      <w:r>
        <w:rPr>
          <w:lang w:val="fr-FR"/>
        </w:rPr>
        <w:t>73</w:t>
      </w:r>
      <w:r w:rsidR="002A6CEC">
        <w:rPr>
          <w:lang w:val="fr-FR"/>
        </w:rPr>
        <w:t>1</w:t>
      </w:r>
      <w:r>
        <w:rPr>
          <w:lang w:val="fr-FR"/>
        </w:rPr>
        <w:t>.</w:t>
      </w:r>
      <w:r>
        <w:rPr>
          <w:lang w:val="fr-FR"/>
        </w:rPr>
        <w:tab/>
        <w:t>On a enregistré plusieurs plaintes concernant des actes qui répondent aux critères des peines ou traitements cruels, inhumains ou dégradants dans l</w:t>
      </w:r>
      <w:r w:rsidR="006B49AE">
        <w:rPr>
          <w:lang w:val="fr-FR"/>
        </w:rPr>
        <w:t>e cadre des opérations au Timor</w:t>
      </w:r>
      <w:r w:rsidR="006B49AE">
        <w:rPr>
          <w:lang w:val="fr-FR"/>
        </w:rPr>
        <w:noBreakHyphen/>
      </w:r>
      <w:r>
        <w:rPr>
          <w:lang w:val="fr-FR"/>
        </w:rPr>
        <w:t>Leste.</w:t>
      </w:r>
    </w:p>
    <w:p w:rsidR="00290EF8" w:rsidRPr="00290EF8" w:rsidRDefault="00290EF8" w:rsidP="005D7B68">
      <w:pPr>
        <w:tabs>
          <w:tab w:val="left" w:pos="567"/>
          <w:tab w:val="left" w:pos="1134"/>
          <w:tab w:val="left" w:pos="1701"/>
          <w:tab w:val="left" w:pos="2268"/>
          <w:tab w:val="left" w:pos="2835"/>
        </w:tabs>
        <w:rPr>
          <w:lang w:val="fr-FR"/>
        </w:rPr>
      </w:pPr>
      <w:r>
        <w:rPr>
          <w:lang w:val="fr-FR"/>
        </w:rPr>
        <w:t>73</w:t>
      </w:r>
      <w:r w:rsidR="002A6CEC">
        <w:rPr>
          <w:lang w:val="fr-FR"/>
        </w:rPr>
        <w:t>2</w:t>
      </w:r>
      <w:r>
        <w:rPr>
          <w:lang w:val="fr-FR"/>
        </w:rPr>
        <w:t>.</w:t>
      </w:r>
      <w:r>
        <w:rPr>
          <w:lang w:val="fr-FR"/>
        </w:rPr>
        <w:tab/>
        <w:t>Six plaintes ont été instruites par l’</w:t>
      </w:r>
      <w:r w:rsidRPr="00290EF8">
        <w:rPr>
          <w:i/>
          <w:iCs/>
          <w:lang w:val="fr-FR"/>
        </w:rPr>
        <w:t>Australian National Command Headquarters</w:t>
      </w:r>
      <w:r>
        <w:rPr>
          <w:i/>
          <w:iCs/>
          <w:lang w:val="fr-FR"/>
        </w:rPr>
        <w:t xml:space="preserve"> </w:t>
      </w:r>
      <w:r w:rsidR="006B49AE">
        <w:rPr>
          <w:lang w:val="fr-FR"/>
        </w:rPr>
        <w:t>(l’état</w:t>
      </w:r>
      <w:r w:rsidR="006B49AE">
        <w:rPr>
          <w:lang w:val="fr-FR"/>
        </w:rPr>
        <w:noBreakHyphen/>
      </w:r>
      <w:r w:rsidR="003337E8">
        <w:rPr>
          <w:lang w:val="fr-FR"/>
        </w:rPr>
        <w:t xml:space="preserve">major des forces armées australiennes) </w:t>
      </w:r>
      <w:r>
        <w:rPr>
          <w:lang w:val="fr-FR"/>
        </w:rPr>
        <w:t>et constatée</w:t>
      </w:r>
      <w:r w:rsidR="005F582F">
        <w:rPr>
          <w:lang w:val="fr-FR"/>
        </w:rPr>
        <w:t>s</w:t>
      </w:r>
      <w:r>
        <w:rPr>
          <w:lang w:val="fr-FR"/>
        </w:rPr>
        <w:t xml:space="preserve"> être sans fondement</w:t>
      </w:r>
      <w:r w:rsidR="008D6B80">
        <w:rPr>
          <w:lang w:val="fr-FR"/>
        </w:rPr>
        <w:t xml:space="preserve">. </w:t>
      </w:r>
      <w:r>
        <w:rPr>
          <w:lang w:val="fr-FR"/>
        </w:rPr>
        <w:t>Il n’a pas été requis d’autres mesures à leur sujet</w:t>
      </w:r>
      <w:r w:rsidR="008D6B80">
        <w:rPr>
          <w:lang w:val="fr-FR"/>
        </w:rPr>
        <w:t xml:space="preserve">. </w:t>
      </w:r>
      <w:r>
        <w:rPr>
          <w:lang w:val="fr-FR"/>
        </w:rPr>
        <w:t>La plainte restante est en cours de traitement par le Bureau du Directeur</w:t>
      </w:r>
      <w:r w:rsidR="00386E82">
        <w:rPr>
          <w:lang w:val="fr-FR"/>
        </w:rPr>
        <w:t xml:space="preserve"> des poursuites militaires et fait l’objet d’un complément d’enquête.</w:t>
      </w:r>
    </w:p>
    <w:p w:rsidR="00AF1E00" w:rsidRDefault="005F386F" w:rsidP="005D7B68">
      <w:pPr>
        <w:tabs>
          <w:tab w:val="left" w:pos="567"/>
          <w:tab w:val="left" w:pos="1134"/>
          <w:tab w:val="left" w:pos="1701"/>
          <w:tab w:val="left" w:pos="2268"/>
          <w:tab w:val="left" w:pos="2835"/>
        </w:tabs>
        <w:rPr>
          <w:b/>
          <w:bCs/>
          <w:lang w:val="fr-FR"/>
        </w:rPr>
      </w:pPr>
      <w:r>
        <w:rPr>
          <w:b/>
          <w:bCs/>
          <w:lang w:val="fr-FR"/>
        </w:rPr>
        <w:t>Îles Salomon</w:t>
      </w:r>
    </w:p>
    <w:p w:rsidR="005F386F" w:rsidRPr="008C52F6" w:rsidRDefault="005F386F" w:rsidP="005D7B68">
      <w:pPr>
        <w:tabs>
          <w:tab w:val="left" w:pos="567"/>
          <w:tab w:val="left" w:pos="1134"/>
          <w:tab w:val="left" w:pos="1701"/>
          <w:tab w:val="left" w:pos="2268"/>
          <w:tab w:val="left" w:pos="2835"/>
        </w:tabs>
        <w:rPr>
          <w:bCs/>
          <w:iCs/>
          <w:lang w:val="fr-FR"/>
        </w:rPr>
      </w:pPr>
      <w:r>
        <w:rPr>
          <w:lang w:val="fr-FR"/>
        </w:rPr>
        <w:t>73</w:t>
      </w:r>
      <w:r w:rsidR="002A6CEC">
        <w:rPr>
          <w:lang w:val="fr-FR"/>
        </w:rPr>
        <w:t>3</w:t>
      </w:r>
      <w:r>
        <w:rPr>
          <w:lang w:val="fr-FR"/>
        </w:rPr>
        <w:t>.</w:t>
      </w:r>
      <w:r>
        <w:rPr>
          <w:lang w:val="fr-FR"/>
        </w:rPr>
        <w:tab/>
      </w:r>
      <w:r>
        <w:rPr>
          <w:bCs/>
          <w:iCs/>
          <w:lang w:val="fr-FR"/>
        </w:rPr>
        <w:t>Il n’y a pas trace, dans les dossiers de l’armée, de plaintes de ce genre concernant des actes qui correspondent aux critères des actes de torture ou des peines ou traitements cruels, inhumains ou dégradants dans le cadre des opérations dans les îles Salomon pendant cette période.</w:t>
      </w:r>
    </w:p>
    <w:p w:rsidR="005F386F" w:rsidRDefault="005C3B8D" w:rsidP="005D7B68">
      <w:pPr>
        <w:tabs>
          <w:tab w:val="left" w:pos="567"/>
          <w:tab w:val="left" w:pos="1134"/>
          <w:tab w:val="left" w:pos="1701"/>
          <w:tab w:val="left" w:pos="2268"/>
          <w:tab w:val="left" w:pos="2835"/>
        </w:tabs>
        <w:jc w:val="center"/>
        <w:rPr>
          <w:b/>
          <w:bCs/>
          <w:lang w:val="fr-FR"/>
        </w:rPr>
      </w:pPr>
      <w:r>
        <w:rPr>
          <w:b/>
          <w:bCs/>
          <w:lang w:val="fr-FR"/>
        </w:rPr>
        <w:t>ARTICLE 13</w:t>
      </w:r>
    </w:p>
    <w:p w:rsidR="005C3B8D" w:rsidRPr="005C3B8D" w:rsidRDefault="005C3B8D" w:rsidP="005D7B68">
      <w:pPr>
        <w:tabs>
          <w:tab w:val="left" w:pos="567"/>
          <w:tab w:val="left" w:pos="1134"/>
          <w:tab w:val="left" w:pos="1701"/>
          <w:tab w:val="left" w:pos="2268"/>
          <w:tab w:val="left" w:pos="2835"/>
        </w:tabs>
        <w:rPr>
          <w:b/>
          <w:bCs/>
          <w:lang w:val="fr-FR"/>
        </w:rPr>
      </w:pPr>
      <w:r w:rsidRPr="005C3B8D">
        <w:rPr>
          <w:b/>
          <w:bCs/>
          <w:lang w:val="fr-FR"/>
        </w:rPr>
        <w:t>Question 31</w:t>
      </w:r>
    </w:p>
    <w:p w:rsidR="005C3B8D" w:rsidRPr="005C3B8D" w:rsidRDefault="005C3B8D" w:rsidP="005D7B68">
      <w:pPr>
        <w:tabs>
          <w:tab w:val="left" w:pos="567"/>
          <w:tab w:val="left" w:pos="1134"/>
          <w:tab w:val="left" w:pos="1701"/>
          <w:tab w:val="left" w:pos="2268"/>
          <w:tab w:val="left" w:pos="2835"/>
        </w:tabs>
        <w:rPr>
          <w:b/>
          <w:bCs/>
          <w:lang w:val="fr-FR"/>
        </w:rPr>
      </w:pPr>
      <w:r>
        <w:rPr>
          <w:lang w:val="fr-FR"/>
        </w:rPr>
        <w:tab/>
      </w:r>
      <w:r w:rsidRPr="005C3B8D">
        <w:rPr>
          <w:b/>
          <w:bCs/>
          <w:lang w:val="fr-FR"/>
        </w:rPr>
        <w:t xml:space="preserve">Fournir des données concernant le nombre de cas signalés, d’enquêtes menées et de personnes jugées et condamnées au plan fédéral et/ou à l’échelon des États et des territoires depuis l’examen du dernier rapport périodique, en 2000, en précisant le type de sanction prononcée en cas d’acte de torture, de tentative de torture et de complicité ou de participation dans des actes de torture. </w:t>
      </w:r>
    </w:p>
    <w:p w:rsidR="00AF1E00" w:rsidRDefault="005C3B8D" w:rsidP="005D7B68">
      <w:pPr>
        <w:tabs>
          <w:tab w:val="left" w:pos="567"/>
          <w:tab w:val="left" w:pos="1134"/>
          <w:tab w:val="left" w:pos="1701"/>
          <w:tab w:val="left" w:pos="2268"/>
          <w:tab w:val="left" w:pos="2835"/>
        </w:tabs>
        <w:rPr>
          <w:lang w:val="fr-FR"/>
        </w:rPr>
      </w:pPr>
      <w:r>
        <w:rPr>
          <w:lang w:val="fr-FR"/>
        </w:rPr>
        <w:t>73</w:t>
      </w:r>
      <w:r w:rsidR="002A6CEC">
        <w:rPr>
          <w:lang w:val="fr-FR"/>
        </w:rPr>
        <w:t>4</w:t>
      </w:r>
      <w:r>
        <w:rPr>
          <w:lang w:val="fr-FR"/>
        </w:rPr>
        <w:t>.</w:t>
      </w:r>
      <w:r>
        <w:rPr>
          <w:lang w:val="fr-FR"/>
        </w:rPr>
        <w:tab/>
        <w:t>Aucune personne n’est actuellement placée en détention au titre de la division 268 du Code pénal pour délit de génocide, crimes contre l’humanité ou crimes de guerre, et le Directeur du Parquet n’a pas engagé de poursuites à l’encontre d’un dél</w:t>
      </w:r>
      <w:r w:rsidR="005E289F">
        <w:rPr>
          <w:lang w:val="fr-FR"/>
        </w:rPr>
        <w:t>it relevant des paragraphes</w:t>
      </w:r>
      <w:r>
        <w:rPr>
          <w:lang w:val="fr-FR"/>
        </w:rPr>
        <w:t>13 ou</w:t>
      </w:r>
      <w:r w:rsidR="005E289F">
        <w:rPr>
          <w:lang w:val="fr-FR"/>
        </w:rPr>
        <w:t xml:space="preserve"> </w:t>
      </w:r>
      <w:r>
        <w:rPr>
          <w:lang w:val="fr-FR"/>
        </w:rPr>
        <w:t>25</w:t>
      </w:r>
      <w:r w:rsidR="005E289F">
        <w:rPr>
          <w:lang w:val="fr-FR"/>
        </w:rPr>
        <w:t xml:space="preserve"> de l’article 268</w:t>
      </w:r>
      <w:r>
        <w:rPr>
          <w:lang w:val="fr-FR"/>
        </w:rPr>
        <w:t xml:space="preserve"> du Code pénal (la torture en tant que crime contre l’humanité et la torture en tant que crime de guerre)</w:t>
      </w:r>
      <w:r w:rsidR="008D6B80">
        <w:rPr>
          <w:lang w:val="fr-FR"/>
        </w:rPr>
        <w:t xml:space="preserve">. </w:t>
      </w:r>
      <w:r>
        <w:rPr>
          <w:lang w:val="fr-FR"/>
        </w:rPr>
        <w:t>Il n’a jamais engagé de poursuites en application de la loi sur les infractions pénales (torture).</w:t>
      </w:r>
    </w:p>
    <w:p w:rsidR="005C3B8D" w:rsidRPr="00881828" w:rsidRDefault="005C3B8D" w:rsidP="005D7B68">
      <w:pPr>
        <w:tabs>
          <w:tab w:val="left" w:pos="567"/>
          <w:tab w:val="left" w:pos="1134"/>
          <w:tab w:val="left" w:pos="1701"/>
          <w:tab w:val="left" w:pos="2268"/>
          <w:tab w:val="left" w:pos="2835"/>
        </w:tabs>
        <w:rPr>
          <w:lang w:val="fr-FR"/>
        </w:rPr>
      </w:pPr>
      <w:r>
        <w:rPr>
          <w:lang w:val="fr-FR"/>
        </w:rPr>
        <w:t>73</w:t>
      </w:r>
      <w:r w:rsidR="002A6CEC">
        <w:rPr>
          <w:lang w:val="fr-FR"/>
        </w:rPr>
        <w:t>5</w:t>
      </w:r>
      <w:r>
        <w:rPr>
          <w:lang w:val="fr-FR"/>
        </w:rPr>
        <w:t>.</w:t>
      </w:r>
      <w:r>
        <w:rPr>
          <w:lang w:val="fr-FR"/>
        </w:rPr>
        <w:tab/>
        <w:t xml:space="preserve">De plus, </w:t>
      </w:r>
      <w:r w:rsidR="001A1D76">
        <w:rPr>
          <w:lang w:val="fr-FR"/>
        </w:rPr>
        <w:t xml:space="preserve">la </w:t>
      </w:r>
      <w:r w:rsidR="005F582F">
        <w:rPr>
          <w:lang w:val="fr-FR"/>
        </w:rPr>
        <w:t>p</w:t>
      </w:r>
      <w:r w:rsidR="00397763">
        <w:rPr>
          <w:lang w:val="fr-FR"/>
        </w:rPr>
        <w:t>olice fédérale australienne</w:t>
      </w:r>
      <w:r w:rsidR="001A1D76">
        <w:rPr>
          <w:lang w:val="fr-FR"/>
        </w:rPr>
        <w:t xml:space="preserve"> et les douanes australiennes n’ont reçu aucune plainte ni allégation contre leurs agents concernant des actes de torture.</w:t>
      </w:r>
    </w:p>
    <w:p w:rsidR="00AF1E00" w:rsidRPr="00881828" w:rsidRDefault="001A1D76" w:rsidP="005D7B68">
      <w:pPr>
        <w:tabs>
          <w:tab w:val="left" w:pos="567"/>
          <w:tab w:val="left" w:pos="1134"/>
          <w:tab w:val="left" w:pos="1701"/>
          <w:tab w:val="left" w:pos="2268"/>
          <w:tab w:val="left" w:pos="2835"/>
        </w:tabs>
        <w:rPr>
          <w:lang w:val="fr-FR"/>
        </w:rPr>
      </w:pPr>
      <w:r>
        <w:rPr>
          <w:lang w:val="fr-FR"/>
        </w:rPr>
        <w:t>73</w:t>
      </w:r>
      <w:r w:rsidR="002A6CEC">
        <w:rPr>
          <w:lang w:val="fr-FR"/>
        </w:rPr>
        <w:t>6</w:t>
      </w:r>
      <w:r>
        <w:rPr>
          <w:lang w:val="fr-FR"/>
        </w:rPr>
        <w:t>.</w:t>
      </w:r>
      <w:r>
        <w:rPr>
          <w:lang w:val="fr-FR"/>
        </w:rPr>
        <w:tab/>
        <w:t>Au niveau des États et des Territoires, à l’exception du Queensland, on n’a signalé aucun recours, aucune enquête et aucun procès ni condamnation en rapport avec des délits de torture, de tentative d’actes de torture et de complicité ou de participation à des actes de torture.</w:t>
      </w:r>
    </w:p>
    <w:p w:rsidR="00AF1E00" w:rsidRPr="00881828" w:rsidRDefault="001A1D76" w:rsidP="005D7B68">
      <w:pPr>
        <w:tabs>
          <w:tab w:val="left" w:pos="567"/>
          <w:tab w:val="left" w:pos="1134"/>
          <w:tab w:val="left" w:pos="1701"/>
          <w:tab w:val="left" w:pos="2268"/>
          <w:tab w:val="left" w:pos="2835"/>
        </w:tabs>
        <w:rPr>
          <w:lang w:val="fr-FR"/>
        </w:rPr>
      </w:pPr>
      <w:r>
        <w:rPr>
          <w:lang w:val="fr-FR"/>
        </w:rPr>
        <w:t>73</w:t>
      </w:r>
      <w:r w:rsidR="002A6CEC">
        <w:rPr>
          <w:lang w:val="fr-FR"/>
        </w:rPr>
        <w:t>7</w:t>
      </w:r>
      <w:r>
        <w:rPr>
          <w:lang w:val="fr-FR"/>
        </w:rPr>
        <w:t>.</w:t>
      </w:r>
      <w:r>
        <w:rPr>
          <w:lang w:val="fr-FR"/>
        </w:rPr>
        <w:tab/>
        <w:t>Le Code pénal du Queensland érige en infraction les actes de torture</w:t>
      </w:r>
      <w:r w:rsidR="008D6B80">
        <w:rPr>
          <w:lang w:val="fr-FR"/>
        </w:rPr>
        <w:t xml:space="preserve">. </w:t>
      </w:r>
      <w:r w:rsidR="006B49AE">
        <w:rPr>
          <w:lang w:val="fr-FR"/>
        </w:rPr>
        <w:t>Le tableau ci</w:t>
      </w:r>
      <w:r w:rsidR="006B49AE">
        <w:rPr>
          <w:lang w:val="fr-FR"/>
        </w:rPr>
        <w:noBreakHyphen/>
      </w:r>
      <w:r>
        <w:rPr>
          <w:lang w:val="fr-FR"/>
        </w:rPr>
        <w:t>après présente des données relatives à des personnes condamnées pour des infractions constitutives d’actes de torture.</w:t>
      </w:r>
    </w:p>
    <w:p w:rsidR="00467463" w:rsidRDefault="00467463" w:rsidP="005D7B68">
      <w:pPr>
        <w:tabs>
          <w:tab w:val="left" w:pos="567"/>
          <w:tab w:val="left" w:pos="1134"/>
          <w:tab w:val="left" w:pos="1701"/>
          <w:tab w:val="left" w:pos="2268"/>
          <w:tab w:val="left" w:pos="2835"/>
        </w:tabs>
        <w:ind w:right="165"/>
        <w:jc w:val="right"/>
        <w:rPr>
          <w:lang w:val="fr-FR"/>
        </w:rPr>
        <w:sectPr w:rsidR="00467463" w:rsidSect="0038700B">
          <w:headerReference w:type="even" r:id="rId40"/>
          <w:headerReference w:type="default" r:id="rId41"/>
          <w:headerReference w:type="first" r:id="rId42"/>
          <w:pgSz w:w="11906" w:h="16838"/>
          <w:pgMar w:top="1701" w:right="851" w:bottom="1985" w:left="1701" w:header="851" w:footer="1701" w:gutter="0"/>
          <w:cols w:space="708"/>
          <w:titlePg/>
          <w:docGrid w:linePitch="360"/>
        </w:sectPr>
      </w:pPr>
    </w:p>
    <w:p w:rsidR="00497F45" w:rsidRPr="004E3F15" w:rsidRDefault="00497F45" w:rsidP="005D7B68">
      <w:pPr>
        <w:pStyle w:val="Heading2"/>
        <w:tabs>
          <w:tab w:val="left" w:pos="567"/>
          <w:tab w:val="left" w:pos="1134"/>
          <w:tab w:val="left" w:pos="1701"/>
          <w:tab w:val="left" w:pos="2268"/>
          <w:tab w:val="left" w:pos="2835"/>
        </w:tabs>
        <w:spacing w:after="60"/>
        <w:rPr>
          <w:sz w:val="20"/>
          <w:lang w:val="fr-FR"/>
        </w:rPr>
      </w:pPr>
      <w:r w:rsidRPr="004E3F15">
        <w:rPr>
          <w:sz w:val="20"/>
          <w:lang w:val="fr-FR"/>
        </w:rPr>
        <w:t>Nombre d’ac</w:t>
      </w:r>
      <w:r>
        <w:rPr>
          <w:sz w:val="20"/>
          <w:lang w:val="fr-FR"/>
        </w:rPr>
        <w:t>c</w:t>
      </w:r>
      <w:r w:rsidRPr="004E3F15">
        <w:rPr>
          <w:sz w:val="20"/>
          <w:lang w:val="fr-FR"/>
        </w:rPr>
        <w:t xml:space="preserve">usés condamnés pour des délits </w:t>
      </w:r>
      <w:r>
        <w:rPr>
          <w:sz w:val="20"/>
          <w:lang w:val="fr-FR"/>
        </w:rPr>
        <w:t>lié</w:t>
      </w:r>
      <w:r w:rsidRPr="004E3F15">
        <w:rPr>
          <w:sz w:val="20"/>
          <w:lang w:val="fr-FR"/>
        </w:rPr>
        <w:t>s à la torture</w:t>
      </w:r>
      <w:r>
        <w:rPr>
          <w:sz w:val="20"/>
          <w:lang w:val="fr-FR"/>
        </w:rPr>
        <w:t xml:space="preserve"> par toutes les cours suprêmes</w:t>
      </w:r>
      <w:r w:rsidR="001D4823">
        <w:rPr>
          <w:sz w:val="20"/>
          <w:lang w:val="fr-FR"/>
        </w:rPr>
        <w:br/>
      </w:r>
      <w:r>
        <w:rPr>
          <w:sz w:val="20"/>
          <w:lang w:val="fr-FR"/>
        </w:rPr>
        <w:t>et les tribunaux de district du Queensland pendant les années budgétaires</w:t>
      </w:r>
      <w:r w:rsidRPr="004E3F15">
        <w:rPr>
          <w:sz w:val="20"/>
          <w:lang w:val="fr-FR"/>
        </w:rPr>
        <w:t xml:space="preserve"> 2000-2006</w:t>
      </w:r>
    </w:p>
    <w:tbl>
      <w:tblPr>
        <w:tblpPr w:leftFromText="141" w:rightFromText="141" w:vertAnchor="text" w:tblpY="1"/>
        <w:tblOverlap w:val="never"/>
        <w:tblW w:w="1299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7"/>
        <w:gridCol w:w="991"/>
        <w:gridCol w:w="1261"/>
        <w:gridCol w:w="515"/>
        <w:gridCol w:w="516"/>
        <w:gridCol w:w="515"/>
        <w:gridCol w:w="516"/>
        <w:gridCol w:w="515"/>
        <w:gridCol w:w="516"/>
        <w:gridCol w:w="515"/>
        <w:gridCol w:w="516"/>
        <w:gridCol w:w="515"/>
        <w:gridCol w:w="516"/>
        <w:gridCol w:w="515"/>
        <w:gridCol w:w="516"/>
        <w:gridCol w:w="515"/>
        <w:gridCol w:w="516"/>
        <w:gridCol w:w="515"/>
        <w:gridCol w:w="516"/>
        <w:gridCol w:w="515"/>
        <w:gridCol w:w="518"/>
        <w:gridCol w:w="750"/>
        <w:gridCol w:w="7"/>
      </w:tblGrid>
      <w:tr w:rsidR="00497F45" w:rsidRPr="008D20F5">
        <w:trPr>
          <w:gridAfter w:val="1"/>
          <w:wAfter w:w="7" w:type="dxa"/>
          <w:trHeight w:val="60"/>
          <w:tblHeader/>
        </w:trPr>
        <w:tc>
          <w:tcPr>
            <w:tcW w:w="707" w:type="dxa"/>
            <w:vMerge w:val="restart"/>
            <w:shd w:val="clear" w:color="auto" w:fill="auto"/>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Pr>
                <w:sz w:val="16"/>
                <w:szCs w:val="16"/>
              </w:rPr>
              <w:t>Année de la décision</w:t>
            </w:r>
          </w:p>
        </w:tc>
        <w:tc>
          <w:tcPr>
            <w:tcW w:w="991" w:type="dxa"/>
            <w:vMerge w:val="restart"/>
            <w:shd w:val="clear" w:color="auto" w:fill="auto"/>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Pr>
                <w:sz w:val="16"/>
                <w:szCs w:val="16"/>
              </w:rPr>
              <w:t>Accusé condamné pour</w:t>
            </w:r>
          </w:p>
        </w:tc>
        <w:tc>
          <w:tcPr>
            <w:tcW w:w="1261" w:type="dxa"/>
            <w:vMerge w:val="restart"/>
            <w:shd w:val="clear" w:color="auto" w:fill="auto"/>
            <w:tcMar>
              <w:top w:w="15" w:type="dxa"/>
              <w:left w:w="28" w:type="dxa"/>
              <w:bottom w:w="0"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Pr>
                <w:sz w:val="16"/>
                <w:szCs w:val="16"/>
              </w:rPr>
              <w:t>Jugement</w:t>
            </w:r>
          </w:p>
        </w:tc>
        <w:tc>
          <w:tcPr>
            <w:tcW w:w="4124" w:type="dxa"/>
            <w:gridSpan w:val="8"/>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Pr>
                <w:sz w:val="16"/>
                <w:szCs w:val="16"/>
              </w:rPr>
              <w:t>Femmes</w:t>
            </w:r>
          </w:p>
        </w:tc>
        <w:tc>
          <w:tcPr>
            <w:tcW w:w="5157" w:type="dxa"/>
            <w:gridSpan w:val="10"/>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Pr>
                <w:sz w:val="16"/>
                <w:szCs w:val="16"/>
              </w:rPr>
              <w:t>Hommes</w:t>
            </w:r>
          </w:p>
        </w:tc>
        <w:tc>
          <w:tcPr>
            <w:tcW w:w="750" w:type="dxa"/>
            <w:vMerge w:val="restart"/>
            <w:shd w:val="clear" w:color="auto" w:fill="auto"/>
            <w:tcMar>
              <w:top w:w="15" w:type="dxa"/>
              <w:left w:w="28" w:type="dxa"/>
              <w:bottom w:w="0"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Total</w:t>
            </w:r>
          </w:p>
        </w:tc>
      </w:tr>
      <w:tr w:rsidR="00497F45" w:rsidRPr="008D20F5">
        <w:trPr>
          <w:gridAfter w:val="1"/>
          <w:wAfter w:w="7" w:type="dxa"/>
          <w:trHeight w:val="60"/>
          <w:tblHeader/>
        </w:trPr>
        <w:tc>
          <w:tcPr>
            <w:tcW w:w="707" w:type="dxa"/>
            <w:vMerge/>
            <w:shd w:val="clear" w:color="auto" w:fill="auto"/>
            <w:vAlign w:val="center"/>
          </w:tcPr>
          <w:p w:rsidR="00497F45" w:rsidRPr="008D20F5" w:rsidRDefault="00497F45" w:rsidP="005D7B68">
            <w:pPr>
              <w:tabs>
                <w:tab w:val="left" w:pos="567"/>
                <w:tab w:val="left" w:pos="1134"/>
                <w:tab w:val="left" w:pos="1701"/>
                <w:tab w:val="left" w:pos="2268"/>
                <w:tab w:val="left" w:pos="2835"/>
              </w:tabs>
              <w:spacing w:after="0"/>
              <w:rPr>
                <w:sz w:val="16"/>
                <w:szCs w:val="16"/>
              </w:rPr>
            </w:pPr>
          </w:p>
        </w:tc>
        <w:tc>
          <w:tcPr>
            <w:tcW w:w="991" w:type="dxa"/>
            <w:vMerge/>
            <w:shd w:val="clear" w:color="auto" w:fill="auto"/>
            <w:vAlign w:val="center"/>
          </w:tcPr>
          <w:p w:rsidR="00497F45" w:rsidRPr="008D20F5" w:rsidRDefault="00497F45" w:rsidP="005D7B68">
            <w:pPr>
              <w:tabs>
                <w:tab w:val="left" w:pos="567"/>
                <w:tab w:val="left" w:pos="1134"/>
                <w:tab w:val="left" w:pos="1701"/>
                <w:tab w:val="left" w:pos="2268"/>
                <w:tab w:val="left" w:pos="2835"/>
              </w:tabs>
              <w:spacing w:after="0"/>
              <w:rPr>
                <w:sz w:val="16"/>
                <w:szCs w:val="16"/>
              </w:rPr>
            </w:pPr>
          </w:p>
        </w:tc>
        <w:tc>
          <w:tcPr>
            <w:tcW w:w="1261" w:type="dxa"/>
            <w:vMerge/>
            <w:shd w:val="clear" w:color="auto" w:fill="auto"/>
            <w:vAlign w:val="center"/>
          </w:tcPr>
          <w:p w:rsidR="00497F45" w:rsidRPr="008D20F5" w:rsidRDefault="00497F45" w:rsidP="005D7B68">
            <w:pPr>
              <w:tabs>
                <w:tab w:val="left" w:pos="567"/>
                <w:tab w:val="left" w:pos="1134"/>
                <w:tab w:val="left" w:pos="1701"/>
                <w:tab w:val="left" w:pos="2268"/>
                <w:tab w:val="left" w:pos="2835"/>
              </w:tabs>
              <w:spacing w:after="0"/>
              <w:rPr>
                <w:sz w:val="16"/>
                <w:szCs w:val="16"/>
              </w:rPr>
            </w:pPr>
          </w:p>
        </w:tc>
        <w:tc>
          <w:tcPr>
            <w:tcW w:w="515" w:type="dxa"/>
            <w:shd w:val="clear" w:color="auto" w:fill="auto"/>
            <w:noWrap/>
            <w:tcMar>
              <w:top w:w="15" w:type="dxa"/>
              <w:left w:w="28" w:type="dxa"/>
              <w:bottom w:w="0"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U/20</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20-24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25-29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30-34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35-39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40-44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45-49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U</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U/20</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20-24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25-29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30-34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35-39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40-44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45-49</w:t>
            </w:r>
          </w:p>
        </w:tc>
        <w:tc>
          <w:tcPr>
            <w:tcW w:w="516"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50-54</w:t>
            </w:r>
          </w:p>
        </w:tc>
        <w:tc>
          <w:tcPr>
            <w:tcW w:w="515"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60-64</w:t>
            </w:r>
          </w:p>
        </w:tc>
        <w:tc>
          <w:tcPr>
            <w:tcW w:w="518" w:type="dxa"/>
            <w:shd w:val="clear" w:color="auto" w:fill="auto"/>
            <w:noWrap/>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U</w:t>
            </w:r>
          </w:p>
        </w:tc>
        <w:tc>
          <w:tcPr>
            <w:tcW w:w="750" w:type="dxa"/>
            <w:vMerge/>
            <w:shd w:val="clear" w:color="auto" w:fill="auto"/>
            <w:tcMar>
              <w:left w:w="28" w:type="dxa"/>
              <w:right w:w="28" w:type="dxa"/>
            </w:tcMar>
            <w:vAlign w:val="center"/>
          </w:tcPr>
          <w:p w:rsidR="00497F45" w:rsidRPr="008D20F5" w:rsidRDefault="00497F45" w:rsidP="005D7B68">
            <w:pPr>
              <w:tabs>
                <w:tab w:val="left" w:pos="567"/>
                <w:tab w:val="left" w:pos="1134"/>
                <w:tab w:val="left" w:pos="1701"/>
                <w:tab w:val="left" w:pos="2268"/>
                <w:tab w:val="left" w:pos="2835"/>
              </w:tabs>
              <w:spacing w:after="0"/>
              <w:rPr>
                <w:sz w:val="16"/>
                <w:szCs w:val="16"/>
              </w:rPr>
            </w:pP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2002</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Pr>
                <w:sz w:val="16"/>
                <w:szCs w:val="16"/>
              </w:rPr>
              <w:t>Emprisonnement</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757" w:type="dxa"/>
            <w:gridSpan w:val="2"/>
            <w:shd w:val="clear" w:color="auto" w:fill="auto"/>
            <w:noWrap/>
            <w:tcMar>
              <w:top w:w="15" w:type="dxa"/>
              <w:left w:w="28" w:type="dxa"/>
              <w:bottom w:w="0" w:type="dxa"/>
              <w:right w:w="709" w:type="dxa"/>
            </w:tcMar>
          </w:tcPr>
          <w:p w:rsidR="00497F45" w:rsidRPr="00CD461C" w:rsidRDefault="00497F45" w:rsidP="005D7B68">
            <w:pPr>
              <w:tabs>
                <w:tab w:val="left" w:pos="567"/>
                <w:tab w:val="left" w:pos="1134"/>
                <w:tab w:val="left" w:pos="1701"/>
                <w:tab w:val="left" w:pos="2268"/>
                <w:tab w:val="left" w:pos="2835"/>
              </w:tabs>
              <w:spacing w:after="0"/>
              <w:ind w:right="-529"/>
              <w:jc w:val="right"/>
              <w:rPr>
                <w:iCs/>
                <w:sz w:val="16"/>
                <w:szCs w:val="16"/>
              </w:rPr>
            </w:pPr>
            <w:r w:rsidRPr="00CD461C">
              <w:rPr>
                <w:iCs/>
                <w:sz w:val="16"/>
                <w:szCs w:val="16"/>
              </w:rPr>
              <w:t>8</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Pr>
                <w:sz w:val="16"/>
                <w:szCs w:val="16"/>
              </w:rPr>
              <w:t>Ordonnance de réadaptation intensive</w:t>
            </w: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vAlign w:val="bottom"/>
          </w:tcPr>
          <w:p w:rsidR="00497F45" w:rsidRPr="00CD461C" w:rsidRDefault="00497F45" w:rsidP="005D7B68">
            <w:pPr>
              <w:tabs>
                <w:tab w:val="left" w:pos="567"/>
                <w:tab w:val="left" w:pos="1134"/>
                <w:tab w:val="left" w:pos="1701"/>
                <w:tab w:val="left" w:pos="2268"/>
                <w:tab w:val="left" w:pos="2835"/>
              </w:tabs>
              <w:spacing w:after="0"/>
              <w:ind w:right="-529"/>
              <w:jc w:val="right"/>
              <w:rPr>
                <w:iCs/>
                <w:sz w:val="16"/>
                <w:szCs w:val="16"/>
              </w:rPr>
            </w:pPr>
            <w:r w:rsidRPr="00CD461C">
              <w:rPr>
                <w:iCs/>
                <w:sz w:val="16"/>
                <w:szCs w:val="16"/>
              </w:rPr>
              <w:t>2</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CD461C" w:rsidRDefault="00497F45" w:rsidP="005D7B68">
            <w:pPr>
              <w:tabs>
                <w:tab w:val="left" w:pos="567"/>
                <w:tab w:val="left" w:pos="1134"/>
                <w:tab w:val="left" w:pos="1701"/>
                <w:tab w:val="left" w:pos="2268"/>
                <w:tab w:val="left" w:pos="2835"/>
              </w:tabs>
              <w:spacing w:after="0"/>
              <w:rPr>
                <w:i/>
                <w:sz w:val="16"/>
                <w:szCs w:val="16"/>
              </w:rPr>
            </w:pPr>
            <w:r w:rsidRPr="00CD461C">
              <w:rPr>
                <w:i/>
                <w:sz w:val="16"/>
                <w:szCs w:val="16"/>
              </w:rPr>
              <w:t>2002 Total</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10</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2003</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Pr>
                <w:sz w:val="16"/>
                <w:szCs w:val="16"/>
              </w:rPr>
              <w:t>Emprisonnement</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6</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DF2408" w:rsidRDefault="00497F45" w:rsidP="005D7B68">
            <w:pPr>
              <w:tabs>
                <w:tab w:val="left" w:pos="567"/>
                <w:tab w:val="left" w:pos="1134"/>
                <w:tab w:val="left" w:pos="1701"/>
                <w:tab w:val="left" w:pos="2268"/>
                <w:tab w:val="left" w:pos="2835"/>
              </w:tabs>
              <w:spacing w:after="0"/>
              <w:rPr>
                <w:sz w:val="16"/>
                <w:szCs w:val="16"/>
                <w:lang w:val="fr-FR"/>
              </w:rPr>
            </w:pPr>
            <w:r w:rsidRPr="00DF2408">
              <w:rPr>
                <w:sz w:val="16"/>
                <w:szCs w:val="16"/>
                <w:lang w:val="fr-FR"/>
              </w:rPr>
              <w:t>Exécution de la décision suspendue</w:t>
            </w: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DF2408"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vAlign w:val="bottom"/>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Probation</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CD461C" w:rsidRDefault="00497F45" w:rsidP="005D7B68">
            <w:pPr>
              <w:tabs>
                <w:tab w:val="left" w:pos="567"/>
                <w:tab w:val="left" w:pos="1134"/>
                <w:tab w:val="left" w:pos="1701"/>
                <w:tab w:val="left" w:pos="2268"/>
                <w:tab w:val="left" w:pos="2835"/>
              </w:tabs>
              <w:spacing w:after="0"/>
              <w:rPr>
                <w:i/>
                <w:sz w:val="16"/>
                <w:szCs w:val="16"/>
              </w:rPr>
            </w:pPr>
            <w:r w:rsidRPr="00CD461C">
              <w:rPr>
                <w:i/>
                <w:sz w:val="16"/>
                <w:szCs w:val="16"/>
              </w:rPr>
              <w:t>2003 Total</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8</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2004</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Pr>
                <w:sz w:val="16"/>
                <w:szCs w:val="16"/>
              </w:rPr>
              <w:t>Emprisonnemen</w:t>
            </w:r>
            <w:r w:rsidRPr="008D20F5">
              <w:rPr>
                <w:sz w:val="16"/>
                <w:szCs w:val="16"/>
              </w:rPr>
              <w:t>t</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6</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14</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213B77" w:rsidP="005D7B68">
            <w:pPr>
              <w:tabs>
                <w:tab w:val="left" w:pos="567"/>
                <w:tab w:val="left" w:pos="1134"/>
                <w:tab w:val="left" w:pos="1701"/>
                <w:tab w:val="left" w:pos="2268"/>
                <w:tab w:val="left" w:pos="2835"/>
              </w:tabs>
              <w:spacing w:after="0"/>
              <w:rPr>
                <w:sz w:val="16"/>
                <w:szCs w:val="16"/>
              </w:rPr>
            </w:pPr>
            <w:r w:rsidRPr="00213B77">
              <w:rPr>
                <w:sz w:val="16"/>
                <w:szCs w:val="16"/>
              </w:rPr>
              <w:t>QSR</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497F45" w:rsidP="005D7B68">
            <w:pPr>
              <w:tabs>
                <w:tab w:val="left" w:pos="567"/>
                <w:tab w:val="left" w:pos="1134"/>
                <w:tab w:val="left" w:pos="1701"/>
                <w:tab w:val="left" w:pos="2268"/>
                <w:tab w:val="left" w:pos="2835"/>
              </w:tabs>
              <w:spacing w:after="0"/>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2</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CD461C" w:rsidRDefault="00497F45" w:rsidP="005D7B68">
            <w:pPr>
              <w:tabs>
                <w:tab w:val="left" w:pos="567"/>
                <w:tab w:val="left" w:pos="1134"/>
                <w:tab w:val="left" w:pos="1701"/>
                <w:tab w:val="left" w:pos="2268"/>
                <w:tab w:val="left" w:pos="2835"/>
              </w:tabs>
              <w:spacing w:after="0"/>
              <w:rPr>
                <w:i/>
                <w:sz w:val="16"/>
                <w:szCs w:val="16"/>
              </w:rPr>
            </w:pPr>
            <w:r w:rsidRPr="00CD461C">
              <w:rPr>
                <w:i/>
                <w:sz w:val="16"/>
                <w:szCs w:val="16"/>
              </w:rPr>
              <w:t>2004 Total</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6</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3</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17</w:t>
            </w:r>
          </w:p>
        </w:tc>
      </w:tr>
      <w:tr w:rsidR="00CD461C" w:rsidRPr="00CD461C">
        <w:trPr>
          <w:trHeight w:val="98"/>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2005</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497F45" w:rsidP="005D7B68">
            <w:pPr>
              <w:tabs>
                <w:tab w:val="left" w:pos="567"/>
                <w:tab w:val="left" w:pos="1134"/>
                <w:tab w:val="left" w:pos="1701"/>
                <w:tab w:val="left" w:pos="2268"/>
                <w:tab w:val="left" w:pos="2835"/>
              </w:tabs>
              <w:spacing w:after="0"/>
              <w:rPr>
                <w:sz w:val="16"/>
                <w:szCs w:val="16"/>
              </w:rPr>
            </w:pPr>
            <w:r w:rsidRPr="00213B77">
              <w:rPr>
                <w:sz w:val="16"/>
                <w:szCs w:val="16"/>
              </w:rPr>
              <w:t>Emprisonnement</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6</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14</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213B77" w:rsidP="005D7B68">
            <w:pPr>
              <w:tabs>
                <w:tab w:val="left" w:pos="567"/>
                <w:tab w:val="left" w:pos="1134"/>
                <w:tab w:val="left" w:pos="1701"/>
                <w:tab w:val="left" w:pos="2268"/>
                <w:tab w:val="left" w:pos="2835"/>
              </w:tabs>
              <w:spacing w:after="0"/>
              <w:rPr>
                <w:sz w:val="16"/>
                <w:szCs w:val="16"/>
              </w:rPr>
            </w:pPr>
            <w:r w:rsidRPr="00213B77">
              <w:rPr>
                <w:sz w:val="16"/>
                <w:szCs w:val="16"/>
              </w:rPr>
              <w:t>QSR</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2</w:t>
            </w:r>
          </w:p>
        </w:tc>
      </w:tr>
      <w:tr w:rsidR="00CD461C" w:rsidRPr="00CD461C">
        <w:trPr>
          <w:trHeight w:val="78"/>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213B77" w:rsidP="005D7B68">
            <w:pPr>
              <w:tabs>
                <w:tab w:val="left" w:pos="567"/>
                <w:tab w:val="left" w:pos="1134"/>
                <w:tab w:val="left" w:pos="1701"/>
                <w:tab w:val="left" w:pos="2268"/>
                <w:tab w:val="left" w:pos="2835"/>
              </w:tabs>
              <w:spacing w:after="0"/>
              <w:rPr>
                <w:sz w:val="16"/>
                <w:szCs w:val="16"/>
              </w:rPr>
            </w:pPr>
            <w:r w:rsidRPr="00213B77">
              <w:rPr>
                <w:sz w:val="16"/>
                <w:szCs w:val="16"/>
              </w:rPr>
              <w:t>Ordonnance de réadaptation intensive</w:t>
            </w: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vAlign w:val="bottom"/>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2</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CD461C" w:rsidRDefault="00497F45" w:rsidP="005D7B68">
            <w:pPr>
              <w:tabs>
                <w:tab w:val="left" w:pos="567"/>
                <w:tab w:val="left" w:pos="1134"/>
                <w:tab w:val="left" w:pos="1701"/>
                <w:tab w:val="left" w:pos="2268"/>
                <w:tab w:val="left" w:pos="2835"/>
              </w:tabs>
              <w:spacing w:after="0"/>
              <w:rPr>
                <w:i/>
                <w:sz w:val="16"/>
                <w:szCs w:val="16"/>
              </w:rPr>
            </w:pPr>
            <w:r w:rsidRPr="00CD461C">
              <w:rPr>
                <w:i/>
                <w:sz w:val="16"/>
                <w:szCs w:val="16"/>
              </w:rPr>
              <w:t>2005 Total</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4</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6</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18</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2006</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497F45" w:rsidP="005D7B68">
            <w:pPr>
              <w:tabs>
                <w:tab w:val="left" w:pos="567"/>
                <w:tab w:val="left" w:pos="1134"/>
                <w:tab w:val="left" w:pos="1701"/>
                <w:tab w:val="left" w:pos="2268"/>
                <w:tab w:val="left" w:pos="2835"/>
              </w:tabs>
              <w:spacing w:after="0"/>
              <w:rPr>
                <w:sz w:val="16"/>
                <w:szCs w:val="16"/>
              </w:rPr>
            </w:pPr>
            <w:r w:rsidRPr="00213B77">
              <w:rPr>
                <w:sz w:val="16"/>
                <w:szCs w:val="16"/>
              </w:rPr>
              <w:t>Emprisonnement</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7</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213B77" w:rsidP="005D7B68">
            <w:pPr>
              <w:tabs>
                <w:tab w:val="left" w:pos="567"/>
                <w:tab w:val="left" w:pos="1134"/>
                <w:tab w:val="left" w:pos="1701"/>
                <w:tab w:val="left" w:pos="2268"/>
                <w:tab w:val="left" w:pos="2835"/>
              </w:tabs>
              <w:spacing w:after="0"/>
              <w:rPr>
                <w:sz w:val="16"/>
                <w:szCs w:val="16"/>
              </w:rPr>
            </w:pPr>
            <w:r w:rsidRPr="00213B77">
              <w:rPr>
                <w:sz w:val="16"/>
                <w:szCs w:val="16"/>
              </w:rPr>
              <w:t>QSR</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213B77" w:rsidRDefault="00497F45" w:rsidP="005D7B68">
            <w:pPr>
              <w:tabs>
                <w:tab w:val="left" w:pos="567"/>
                <w:tab w:val="left" w:pos="1134"/>
                <w:tab w:val="left" w:pos="1701"/>
                <w:tab w:val="left" w:pos="2268"/>
                <w:tab w:val="left" w:pos="2835"/>
              </w:tabs>
              <w:spacing w:after="0"/>
              <w:rPr>
                <w:sz w:val="16"/>
                <w:szCs w:val="16"/>
                <w:lang w:val="fr-FR"/>
              </w:rPr>
            </w:pPr>
            <w:r w:rsidRPr="00213B77">
              <w:rPr>
                <w:sz w:val="16"/>
                <w:szCs w:val="16"/>
                <w:lang w:val="fr-FR"/>
              </w:rPr>
              <w:t>Exécution de la décision suspendue</w:t>
            </w:r>
          </w:p>
        </w:tc>
        <w:tc>
          <w:tcPr>
            <w:tcW w:w="515"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6" w:type="dxa"/>
            <w:shd w:val="clear" w:color="auto" w:fill="auto"/>
            <w:noWrap/>
            <w:tcMar>
              <w:top w:w="15" w:type="dxa"/>
              <w:left w:w="28" w:type="dxa"/>
              <w:bottom w:w="0" w:type="dxa"/>
              <w:right w:w="28" w:type="dxa"/>
            </w:tcMar>
            <w:vAlign w:val="bottom"/>
          </w:tcPr>
          <w:p w:rsidR="00497F45" w:rsidRPr="008E7C7E" w:rsidRDefault="00497F45" w:rsidP="005D7B68">
            <w:pPr>
              <w:tabs>
                <w:tab w:val="left" w:pos="567"/>
                <w:tab w:val="left" w:pos="1134"/>
                <w:tab w:val="left" w:pos="1701"/>
                <w:tab w:val="left" w:pos="2268"/>
                <w:tab w:val="left" w:pos="2835"/>
              </w:tabs>
              <w:spacing w:after="0"/>
              <w:jc w:val="center"/>
              <w:rPr>
                <w:sz w:val="16"/>
                <w:szCs w:val="16"/>
                <w:lang w:val="fr-FR"/>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vAlign w:val="bottom"/>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w:t>
            </w:r>
          </w:p>
        </w:tc>
      </w:tr>
      <w:tr w:rsidR="00CD461C" w:rsidRPr="00CD461C">
        <w:trPr>
          <w:trHeight w:val="60"/>
        </w:trPr>
        <w:tc>
          <w:tcPr>
            <w:tcW w:w="707"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 </w:t>
            </w:r>
          </w:p>
        </w:tc>
        <w:tc>
          <w:tcPr>
            <w:tcW w:w="99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sidRPr="008D20F5">
              <w:rPr>
                <w:sz w:val="16"/>
                <w:szCs w:val="16"/>
              </w:rPr>
              <w:t>Torture</w:t>
            </w:r>
          </w:p>
        </w:tc>
        <w:tc>
          <w:tcPr>
            <w:tcW w:w="1261"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rPr>
                <w:sz w:val="16"/>
                <w:szCs w:val="16"/>
              </w:rPr>
            </w:pPr>
            <w:r>
              <w:rPr>
                <w:sz w:val="16"/>
                <w:szCs w:val="16"/>
              </w:rPr>
              <w:t>Travail d’intérêt général</w:t>
            </w: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2</w:t>
            </w: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r w:rsidRPr="008D20F5">
              <w:rPr>
                <w:sz w:val="16"/>
                <w:szCs w:val="16"/>
              </w:rPr>
              <w:t>1</w:t>
            </w: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6"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5"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518" w:type="dxa"/>
            <w:shd w:val="clear" w:color="auto" w:fill="auto"/>
            <w:noWrap/>
            <w:tcMar>
              <w:top w:w="15" w:type="dxa"/>
              <w:left w:w="28" w:type="dxa"/>
              <w:bottom w:w="0" w:type="dxa"/>
              <w:right w:w="28" w:type="dxa"/>
            </w:tcMar>
            <w:vAlign w:val="bottom"/>
          </w:tcPr>
          <w:p w:rsidR="00497F45" w:rsidRPr="008D20F5" w:rsidRDefault="00497F45" w:rsidP="005D7B68">
            <w:pPr>
              <w:tabs>
                <w:tab w:val="left" w:pos="567"/>
                <w:tab w:val="left" w:pos="1134"/>
                <w:tab w:val="left" w:pos="1701"/>
                <w:tab w:val="left" w:pos="2268"/>
                <w:tab w:val="left" w:pos="2835"/>
              </w:tabs>
              <w:spacing w:after="0"/>
              <w:jc w:val="center"/>
              <w:rPr>
                <w:sz w:val="16"/>
                <w:szCs w:val="16"/>
              </w:rPr>
            </w:pPr>
          </w:p>
        </w:tc>
        <w:tc>
          <w:tcPr>
            <w:tcW w:w="757" w:type="dxa"/>
            <w:gridSpan w:val="2"/>
            <w:shd w:val="clear" w:color="auto" w:fill="auto"/>
            <w:noWrap/>
            <w:tcMar>
              <w:top w:w="15" w:type="dxa"/>
              <w:left w:w="28" w:type="dxa"/>
              <w:bottom w:w="0" w:type="dxa"/>
              <w:right w:w="709" w:type="dxa"/>
            </w:tcMar>
            <w:vAlign w:val="bottom"/>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3</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CD461C" w:rsidRDefault="00497F45" w:rsidP="005D7B68">
            <w:pPr>
              <w:tabs>
                <w:tab w:val="left" w:pos="567"/>
                <w:tab w:val="left" w:pos="1134"/>
                <w:tab w:val="left" w:pos="1701"/>
                <w:tab w:val="left" w:pos="2268"/>
                <w:tab w:val="left" w:pos="2835"/>
              </w:tabs>
              <w:spacing w:after="0"/>
              <w:rPr>
                <w:i/>
                <w:sz w:val="16"/>
                <w:szCs w:val="16"/>
              </w:rPr>
            </w:pPr>
            <w:r w:rsidRPr="00CD461C">
              <w:rPr>
                <w:i/>
                <w:sz w:val="16"/>
                <w:szCs w:val="16"/>
              </w:rPr>
              <w:t>2006 Total</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2</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3</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6"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r w:rsidRPr="008D20F5">
              <w:rPr>
                <w:iCs/>
                <w:sz w:val="16"/>
                <w:szCs w:val="16"/>
              </w:rPr>
              <w:t>1</w:t>
            </w:r>
          </w:p>
        </w:tc>
        <w:tc>
          <w:tcPr>
            <w:tcW w:w="515"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518" w:type="dxa"/>
            <w:shd w:val="clear" w:color="auto" w:fill="auto"/>
            <w:noWrap/>
            <w:tcMar>
              <w:top w:w="15" w:type="dxa"/>
              <w:left w:w="28" w:type="dxa"/>
              <w:bottom w:w="0" w:type="dxa"/>
              <w:right w:w="28" w:type="dxa"/>
            </w:tcMar>
          </w:tcPr>
          <w:p w:rsidR="00497F45" w:rsidRPr="008D20F5" w:rsidRDefault="00497F45" w:rsidP="005D7B68">
            <w:pPr>
              <w:tabs>
                <w:tab w:val="left" w:pos="567"/>
                <w:tab w:val="left" w:pos="1134"/>
                <w:tab w:val="left" w:pos="1701"/>
                <w:tab w:val="left" w:pos="2268"/>
                <w:tab w:val="left" w:pos="2835"/>
              </w:tabs>
              <w:spacing w:after="0"/>
              <w:jc w:val="center"/>
              <w:rPr>
                <w:iCs/>
                <w:sz w:val="16"/>
                <w:szCs w:val="16"/>
              </w:rPr>
            </w:pPr>
          </w:p>
        </w:tc>
        <w:tc>
          <w:tcPr>
            <w:tcW w:w="757" w:type="dxa"/>
            <w:gridSpan w:val="2"/>
            <w:shd w:val="clear" w:color="auto" w:fill="auto"/>
            <w:noWrap/>
            <w:tcMar>
              <w:top w:w="15" w:type="dxa"/>
              <w:left w:w="28" w:type="dxa"/>
              <w:bottom w:w="0" w:type="dxa"/>
              <w:right w:w="709" w:type="dxa"/>
            </w:tcMar>
          </w:tcPr>
          <w:p w:rsidR="00497F45" w:rsidRPr="008D20F5" w:rsidRDefault="00497F45" w:rsidP="005D7B68">
            <w:pPr>
              <w:tabs>
                <w:tab w:val="left" w:pos="567"/>
                <w:tab w:val="left" w:pos="1134"/>
                <w:tab w:val="left" w:pos="1701"/>
                <w:tab w:val="left" w:pos="2268"/>
                <w:tab w:val="left" w:pos="2835"/>
              </w:tabs>
              <w:spacing w:after="0"/>
              <w:ind w:right="-529"/>
              <w:jc w:val="right"/>
              <w:rPr>
                <w:iCs/>
                <w:sz w:val="16"/>
                <w:szCs w:val="16"/>
              </w:rPr>
            </w:pPr>
            <w:r w:rsidRPr="008D20F5">
              <w:rPr>
                <w:iCs/>
                <w:sz w:val="16"/>
                <w:szCs w:val="16"/>
              </w:rPr>
              <w:t>12</w:t>
            </w:r>
          </w:p>
        </w:tc>
      </w:tr>
      <w:tr w:rsidR="00CD461C" w:rsidRPr="00CD461C">
        <w:trPr>
          <w:trHeight w:val="60"/>
        </w:trPr>
        <w:tc>
          <w:tcPr>
            <w:tcW w:w="2959" w:type="dxa"/>
            <w:gridSpan w:val="3"/>
            <w:shd w:val="clear" w:color="auto" w:fill="auto"/>
            <w:noWrap/>
            <w:tcMar>
              <w:top w:w="15" w:type="dxa"/>
              <w:left w:w="28" w:type="dxa"/>
              <w:bottom w:w="0" w:type="dxa"/>
              <w:right w:w="28" w:type="dxa"/>
            </w:tcMar>
          </w:tcPr>
          <w:p w:rsidR="00497F45" w:rsidRPr="00121975" w:rsidRDefault="00121975" w:rsidP="005D7B68">
            <w:pPr>
              <w:tabs>
                <w:tab w:val="left" w:pos="332"/>
                <w:tab w:val="left" w:pos="567"/>
                <w:tab w:val="left" w:pos="1134"/>
                <w:tab w:val="left" w:pos="1701"/>
                <w:tab w:val="left" w:pos="2268"/>
                <w:tab w:val="left" w:pos="2835"/>
              </w:tabs>
              <w:spacing w:after="0"/>
              <w:rPr>
                <w:b/>
                <w:bCs/>
                <w:sz w:val="16"/>
                <w:szCs w:val="16"/>
              </w:rPr>
            </w:pPr>
            <w:r w:rsidRPr="00121975">
              <w:rPr>
                <w:b/>
                <w:bCs/>
                <w:sz w:val="16"/>
                <w:szCs w:val="16"/>
              </w:rPr>
              <w:tab/>
            </w:r>
            <w:r w:rsidR="00497F45" w:rsidRPr="00121975">
              <w:rPr>
                <w:b/>
                <w:bCs/>
                <w:sz w:val="16"/>
                <w:szCs w:val="16"/>
              </w:rPr>
              <w:t>Grand Total</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6</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2</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3</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11</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3</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7</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16</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2</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6</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4</w:t>
            </w:r>
          </w:p>
        </w:tc>
        <w:tc>
          <w:tcPr>
            <w:tcW w:w="516"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w:t>
            </w:r>
          </w:p>
        </w:tc>
        <w:tc>
          <w:tcPr>
            <w:tcW w:w="515"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p>
        </w:tc>
        <w:tc>
          <w:tcPr>
            <w:tcW w:w="518" w:type="dxa"/>
            <w:shd w:val="clear" w:color="auto" w:fill="auto"/>
            <w:noWrap/>
            <w:tcMar>
              <w:top w:w="15" w:type="dxa"/>
              <w:left w:w="28" w:type="dxa"/>
              <w:bottom w:w="0" w:type="dxa"/>
              <w:right w:w="28" w:type="dxa"/>
            </w:tcMar>
          </w:tcPr>
          <w:p w:rsidR="00497F45" w:rsidRPr="00121975" w:rsidRDefault="00497F45" w:rsidP="005D7B68">
            <w:pPr>
              <w:tabs>
                <w:tab w:val="left" w:pos="567"/>
                <w:tab w:val="left" w:pos="1134"/>
                <w:tab w:val="left" w:pos="1701"/>
                <w:tab w:val="left" w:pos="2268"/>
                <w:tab w:val="left" w:pos="2835"/>
              </w:tabs>
              <w:spacing w:after="0"/>
              <w:jc w:val="center"/>
              <w:rPr>
                <w:b/>
                <w:bCs/>
                <w:sz w:val="16"/>
                <w:szCs w:val="16"/>
              </w:rPr>
            </w:pPr>
            <w:r w:rsidRPr="00121975">
              <w:rPr>
                <w:b/>
                <w:bCs/>
                <w:sz w:val="16"/>
                <w:szCs w:val="16"/>
              </w:rPr>
              <w:t>1</w:t>
            </w:r>
          </w:p>
        </w:tc>
        <w:tc>
          <w:tcPr>
            <w:tcW w:w="757" w:type="dxa"/>
            <w:gridSpan w:val="2"/>
            <w:shd w:val="clear" w:color="auto" w:fill="auto"/>
            <w:noWrap/>
            <w:tcMar>
              <w:top w:w="15" w:type="dxa"/>
              <w:left w:w="28" w:type="dxa"/>
              <w:bottom w:w="0" w:type="dxa"/>
              <w:right w:w="709" w:type="dxa"/>
            </w:tcMar>
          </w:tcPr>
          <w:p w:rsidR="00497F45" w:rsidRPr="00CD461C" w:rsidRDefault="00497F45" w:rsidP="005D7B68">
            <w:pPr>
              <w:tabs>
                <w:tab w:val="left" w:pos="567"/>
                <w:tab w:val="left" w:pos="1134"/>
                <w:tab w:val="left" w:pos="1701"/>
                <w:tab w:val="left" w:pos="2268"/>
                <w:tab w:val="left" w:pos="2835"/>
              </w:tabs>
              <w:spacing w:after="0"/>
              <w:ind w:right="-529"/>
              <w:jc w:val="right"/>
              <w:rPr>
                <w:b/>
                <w:bCs/>
                <w:iCs/>
                <w:sz w:val="16"/>
                <w:szCs w:val="16"/>
              </w:rPr>
            </w:pPr>
            <w:r w:rsidRPr="00CD461C">
              <w:rPr>
                <w:b/>
                <w:bCs/>
                <w:iCs/>
                <w:sz w:val="16"/>
                <w:szCs w:val="16"/>
              </w:rPr>
              <w:t>65</w:t>
            </w:r>
          </w:p>
        </w:tc>
      </w:tr>
    </w:tbl>
    <w:p w:rsidR="00497F45" w:rsidRPr="00121975" w:rsidRDefault="002A6CEC" w:rsidP="005D7B68">
      <w:pPr>
        <w:tabs>
          <w:tab w:val="left" w:pos="567"/>
          <w:tab w:val="left" w:pos="1134"/>
          <w:tab w:val="left" w:pos="1701"/>
          <w:tab w:val="left" w:pos="2268"/>
          <w:tab w:val="left" w:pos="2835"/>
        </w:tabs>
        <w:spacing w:before="60" w:after="40"/>
        <w:rPr>
          <w:sz w:val="18"/>
          <w:szCs w:val="18"/>
          <w:lang w:val="fr-FR"/>
        </w:rPr>
      </w:pPr>
      <w:r>
        <w:rPr>
          <w:i/>
          <w:sz w:val="20"/>
          <w:lang w:val="fr-FR"/>
        </w:rPr>
        <w:br w:type="textWrapping" w:clear="all"/>
      </w:r>
      <w:r w:rsidR="00497F45" w:rsidRPr="00497F45">
        <w:rPr>
          <w:i/>
          <w:sz w:val="20"/>
          <w:lang w:val="fr-FR"/>
        </w:rPr>
        <w:tab/>
      </w:r>
      <w:r w:rsidR="00497F45" w:rsidRPr="00121975">
        <w:rPr>
          <w:i/>
          <w:sz w:val="18"/>
          <w:szCs w:val="18"/>
          <w:lang w:val="fr-FR"/>
        </w:rPr>
        <w:t>Source</w:t>
      </w:r>
      <w:r w:rsidR="00213B77" w:rsidRPr="00121975">
        <w:rPr>
          <w:sz w:val="18"/>
          <w:szCs w:val="18"/>
          <w:lang w:val="fr-FR"/>
        </w:rPr>
        <w:t>:</w:t>
      </w:r>
      <w:r w:rsidR="00497F45" w:rsidRPr="00121975">
        <w:rPr>
          <w:sz w:val="18"/>
          <w:szCs w:val="18"/>
          <w:lang w:val="fr-FR"/>
        </w:rPr>
        <w:t xml:space="preserve"> base de données des tribunaux du Bureau de la recherche</w:t>
      </w:r>
      <w:r w:rsidR="00572260" w:rsidRPr="00121975">
        <w:rPr>
          <w:sz w:val="18"/>
          <w:szCs w:val="18"/>
          <w:lang w:val="fr-FR"/>
        </w:rPr>
        <w:t xml:space="preserve"> </w:t>
      </w:r>
      <w:r w:rsidR="00497F45" w:rsidRPr="00121975">
        <w:rPr>
          <w:sz w:val="18"/>
          <w:szCs w:val="18"/>
          <w:lang w:val="fr-FR"/>
        </w:rPr>
        <w:t>économique et statistique, Ministère des finances.</w:t>
      </w:r>
    </w:p>
    <w:p w:rsidR="00121975" w:rsidRPr="00121975" w:rsidRDefault="00497F45" w:rsidP="005D7B68">
      <w:pPr>
        <w:tabs>
          <w:tab w:val="left" w:pos="567"/>
          <w:tab w:val="left" w:pos="1134"/>
          <w:tab w:val="left" w:pos="1484"/>
          <w:tab w:val="left" w:pos="1701"/>
          <w:tab w:val="left" w:pos="2268"/>
          <w:tab w:val="left" w:pos="2835"/>
        </w:tabs>
        <w:spacing w:after="40"/>
        <w:rPr>
          <w:sz w:val="18"/>
          <w:szCs w:val="18"/>
          <w:lang w:val="fr-FR"/>
        </w:rPr>
      </w:pPr>
      <w:r w:rsidRPr="00121975">
        <w:rPr>
          <w:i/>
          <w:sz w:val="18"/>
          <w:szCs w:val="18"/>
          <w:lang w:val="fr-FR"/>
        </w:rPr>
        <w:tab/>
        <w:t>Notes</w:t>
      </w:r>
      <w:r w:rsidR="00AB01FE">
        <w:rPr>
          <w:sz w:val="18"/>
          <w:szCs w:val="18"/>
          <w:lang w:val="fr-FR"/>
        </w:rPr>
        <w:t>:</w:t>
      </w:r>
      <w:r w:rsidR="00AB01FE">
        <w:rPr>
          <w:sz w:val="18"/>
          <w:szCs w:val="18"/>
          <w:lang w:val="fr-FR"/>
        </w:rPr>
        <w:tab/>
      </w:r>
      <w:r w:rsidR="00121975" w:rsidRPr="00121975">
        <w:rPr>
          <w:sz w:val="18"/>
          <w:szCs w:val="18"/>
          <w:lang w:val="fr-FR"/>
        </w:rPr>
        <w:t>1.</w:t>
      </w:r>
      <w:r w:rsidR="00121975" w:rsidRPr="00121975">
        <w:rPr>
          <w:sz w:val="18"/>
          <w:szCs w:val="18"/>
          <w:lang w:val="fr-FR"/>
        </w:rPr>
        <w:tab/>
      </w:r>
      <w:r w:rsidRPr="00121975">
        <w:rPr>
          <w:sz w:val="18"/>
          <w:szCs w:val="18"/>
          <w:lang w:val="fr-FR"/>
        </w:rPr>
        <w:t>Ces statistiques portent à la fois sur les adultes et les mineurs.</w:t>
      </w:r>
    </w:p>
    <w:p w:rsidR="00497F45" w:rsidRPr="00121975" w:rsidRDefault="00121975" w:rsidP="005D7B68">
      <w:pPr>
        <w:tabs>
          <w:tab w:val="left" w:pos="567"/>
          <w:tab w:val="left" w:pos="1134"/>
          <w:tab w:val="left" w:pos="1484"/>
          <w:tab w:val="left" w:pos="1701"/>
          <w:tab w:val="left" w:pos="2268"/>
          <w:tab w:val="left" w:pos="2835"/>
        </w:tabs>
        <w:spacing w:after="40"/>
        <w:rPr>
          <w:sz w:val="18"/>
          <w:szCs w:val="18"/>
          <w:lang w:val="fr-FR"/>
        </w:rPr>
      </w:pPr>
      <w:r w:rsidRPr="00121975">
        <w:rPr>
          <w:sz w:val="18"/>
          <w:szCs w:val="18"/>
          <w:lang w:val="fr-FR"/>
        </w:rPr>
        <w:tab/>
      </w:r>
      <w:r w:rsidRPr="00121975">
        <w:rPr>
          <w:sz w:val="18"/>
          <w:szCs w:val="18"/>
          <w:lang w:val="fr-FR"/>
        </w:rPr>
        <w:tab/>
        <w:t>2.</w:t>
      </w:r>
      <w:r w:rsidRPr="00121975">
        <w:rPr>
          <w:sz w:val="18"/>
          <w:szCs w:val="18"/>
          <w:lang w:val="fr-FR"/>
        </w:rPr>
        <w:tab/>
      </w:r>
      <w:r w:rsidR="00497F45" w:rsidRPr="00121975">
        <w:rPr>
          <w:sz w:val="18"/>
          <w:szCs w:val="18"/>
          <w:lang w:val="fr-FR"/>
        </w:rPr>
        <w:t xml:space="preserve">On entend par accusé une personne ou une organisation contre laquelle un ou plusieurs chefs d’accusation ont été retenus </w:t>
      </w:r>
      <w:r w:rsidR="00AF11C0" w:rsidRPr="00121975">
        <w:rPr>
          <w:sz w:val="18"/>
          <w:szCs w:val="18"/>
          <w:lang w:val="fr-FR"/>
        </w:rPr>
        <w:t>et entendus dans le cadre</w:t>
      </w:r>
      <w:r>
        <w:rPr>
          <w:sz w:val="18"/>
          <w:szCs w:val="18"/>
          <w:lang w:val="fr-FR"/>
        </w:rPr>
        <w:t xml:space="preserve"> de la même audience. Il </w:t>
      </w:r>
      <w:r w:rsidR="00497F45" w:rsidRPr="00121975">
        <w:rPr>
          <w:sz w:val="18"/>
          <w:szCs w:val="18"/>
          <w:lang w:val="fr-FR"/>
        </w:rPr>
        <w:t xml:space="preserve">convient de noter que cette méthode ne vise pas des personnes ou des organisations précises. Si une personne ou une organisation est accusée dans un certain nombre d’affaires criminelles </w:t>
      </w:r>
      <w:r w:rsidR="00D83B75">
        <w:rPr>
          <w:sz w:val="18"/>
          <w:szCs w:val="18"/>
          <w:lang w:val="fr-FR"/>
        </w:rPr>
        <w:t>qui </w:t>
      </w:r>
      <w:r>
        <w:rPr>
          <w:sz w:val="18"/>
          <w:szCs w:val="18"/>
          <w:lang w:val="fr-FR"/>
        </w:rPr>
        <w:t>sont </w:t>
      </w:r>
      <w:r w:rsidR="00497F45" w:rsidRPr="00121975">
        <w:rPr>
          <w:sz w:val="18"/>
          <w:szCs w:val="18"/>
          <w:lang w:val="fr-FR"/>
        </w:rPr>
        <w:t>menées à terme à différentes dates, cette personne ou cette organisation est prise en compte plus d’une fois dans les statistiques.</w:t>
      </w:r>
    </w:p>
    <w:p w:rsidR="00497F45" w:rsidRDefault="00E45D23" w:rsidP="005D7B68">
      <w:pPr>
        <w:tabs>
          <w:tab w:val="left" w:pos="567"/>
          <w:tab w:val="left" w:pos="1134"/>
          <w:tab w:val="left" w:pos="1701"/>
          <w:tab w:val="left" w:pos="2268"/>
          <w:tab w:val="left" w:pos="2835"/>
        </w:tabs>
        <w:spacing w:before="120"/>
        <w:rPr>
          <w:lang w:val="fr-FR"/>
        </w:rPr>
        <w:sectPr w:rsidR="00497F45" w:rsidSect="00A8119F">
          <w:headerReference w:type="first" r:id="rId43"/>
          <w:footerReference w:type="first" r:id="rId44"/>
          <w:pgSz w:w="16838" w:h="11906" w:orient="landscape" w:code="9"/>
          <w:pgMar w:top="1701" w:right="851" w:bottom="1701" w:left="1701" w:header="851" w:footer="1134" w:gutter="0"/>
          <w:cols w:space="708"/>
          <w:titlePg/>
          <w:docGrid w:linePitch="360"/>
        </w:sectPr>
      </w:pPr>
      <w:r>
        <w:rPr>
          <w:sz w:val="18"/>
          <w:szCs w:val="18"/>
          <w:lang w:val="fr-FR"/>
        </w:rPr>
        <w:tab/>
      </w:r>
      <w:r w:rsidR="00497F45" w:rsidRPr="00121975">
        <w:rPr>
          <w:sz w:val="18"/>
          <w:szCs w:val="18"/>
          <w:lang w:val="fr-FR"/>
        </w:rPr>
        <w:t>Tableau établi le 19/07/07</w:t>
      </w:r>
      <w:r w:rsidR="00497F45" w:rsidRPr="00121975">
        <w:rPr>
          <w:sz w:val="18"/>
          <w:szCs w:val="18"/>
          <w:lang w:val="fr-FR"/>
        </w:rPr>
        <w:tab/>
      </w:r>
    </w:p>
    <w:p w:rsidR="00497F45" w:rsidRDefault="00497F45" w:rsidP="005D7B68">
      <w:pPr>
        <w:tabs>
          <w:tab w:val="left" w:pos="567"/>
          <w:tab w:val="left" w:pos="1134"/>
          <w:tab w:val="left" w:pos="1701"/>
          <w:tab w:val="left" w:pos="1758"/>
          <w:tab w:val="left" w:pos="2268"/>
          <w:tab w:val="left" w:pos="2835"/>
        </w:tabs>
        <w:jc w:val="center"/>
        <w:rPr>
          <w:b/>
          <w:bCs/>
          <w:lang w:val="fr-FR"/>
        </w:rPr>
      </w:pPr>
      <w:r w:rsidRPr="00497F45">
        <w:rPr>
          <w:b/>
          <w:bCs/>
          <w:lang w:val="fr-FR"/>
        </w:rPr>
        <w:t>ARTICLE 14</w:t>
      </w:r>
    </w:p>
    <w:p w:rsidR="00497F45" w:rsidRDefault="00497F45" w:rsidP="005D7B68">
      <w:pPr>
        <w:tabs>
          <w:tab w:val="left" w:pos="-3060"/>
          <w:tab w:val="left" w:pos="567"/>
          <w:tab w:val="left" w:pos="1134"/>
          <w:tab w:val="left" w:pos="1701"/>
          <w:tab w:val="left" w:pos="2268"/>
          <w:tab w:val="left" w:pos="2835"/>
        </w:tabs>
        <w:rPr>
          <w:b/>
          <w:bCs/>
          <w:lang w:val="fr-FR"/>
        </w:rPr>
      </w:pPr>
      <w:r>
        <w:rPr>
          <w:b/>
          <w:bCs/>
          <w:lang w:val="fr-FR"/>
        </w:rPr>
        <w:t>Question 32</w:t>
      </w:r>
    </w:p>
    <w:p w:rsidR="00497F45" w:rsidRPr="00497F45" w:rsidRDefault="00497F45" w:rsidP="005D7B68">
      <w:pPr>
        <w:tabs>
          <w:tab w:val="left" w:pos="-3060"/>
          <w:tab w:val="left" w:pos="567"/>
          <w:tab w:val="left" w:pos="1134"/>
          <w:tab w:val="left" w:pos="1701"/>
          <w:tab w:val="left" w:pos="2268"/>
          <w:tab w:val="left" w:pos="2835"/>
        </w:tabs>
        <w:rPr>
          <w:b/>
          <w:bCs/>
          <w:lang w:val="fr-FR"/>
        </w:rPr>
      </w:pPr>
      <w:r>
        <w:rPr>
          <w:b/>
          <w:bCs/>
          <w:lang w:val="fr-FR"/>
        </w:rPr>
        <w:tab/>
      </w:r>
      <w:r w:rsidRPr="00497F45">
        <w:rPr>
          <w:b/>
          <w:bCs/>
          <w:lang w:val="fr-FR"/>
        </w:rPr>
        <w:t>Fournir des statistiques sur les indemnisations octroyées aux victimes dans les affaires de torture ou de traitements cruels, inhumains ou dégradants enregistrées en Australie entre 2000 et 2006. Ventiler les données par sexe, âge et appartenance ethnique.</w:t>
      </w:r>
    </w:p>
    <w:p w:rsidR="00497F45" w:rsidRDefault="002A6CEC" w:rsidP="005D7B68">
      <w:pPr>
        <w:tabs>
          <w:tab w:val="left" w:pos="567"/>
          <w:tab w:val="left" w:pos="1134"/>
          <w:tab w:val="left" w:pos="1701"/>
          <w:tab w:val="left" w:pos="2268"/>
          <w:tab w:val="left" w:pos="2835"/>
        </w:tabs>
        <w:rPr>
          <w:lang w:val="fr-FR"/>
        </w:rPr>
      </w:pPr>
      <w:r>
        <w:rPr>
          <w:lang w:val="fr-FR"/>
        </w:rPr>
        <w:t>738</w:t>
      </w:r>
      <w:r w:rsidR="00497F45">
        <w:rPr>
          <w:lang w:val="fr-FR"/>
        </w:rPr>
        <w:t>.</w:t>
      </w:r>
      <w:r w:rsidR="00497F45">
        <w:rPr>
          <w:lang w:val="fr-FR"/>
        </w:rPr>
        <w:tab/>
      </w:r>
      <w:r w:rsidR="003C26B9">
        <w:rPr>
          <w:lang w:val="fr-FR"/>
        </w:rPr>
        <w:t>Les États et les Territoires administrent des fonds d’indemnisation et d’assistance pour les victimes d’actes de torture</w:t>
      </w:r>
      <w:r w:rsidR="008D6B80">
        <w:rPr>
          <w:lang w:val="fr-FR"/>
        </w:rPr>
        <w:t xml:space="preserve">. </w:t>
      </w:r>
      <w:r w:rsidR="003C26B9">
        <w:rPr>
          <w:lang w:val="fr-FR"/>
        </w:rPr>
        <w:t xml:space="preserve">Aucun cas d’indemnisation de victimes d’actes de torture ou de traitements cruels, inhumains ou dégradants n’a été enregistré dans les États et Territoires entre </w:t>
      </w:r>
      <w:r w:rsidR="005F582F">
        <w:rPr>
          <w:lang w:val="fr-FR"/>
        </w:rPr>
        <w:t>2000 et 2006</w:t>
      </w:r>
      <w:r w:rsidR="008D6B80">
        <w:rPr>
          <w:lang w:val="fr-FR"/>
        </w:rPr>
        <w:t xml:space="preserve">. </w:t>
      </w:r>
      <w:r w:rsidR="005F582F">
        <w:rPr>
          <w:lang w:val="fr-FR"/>
        </w:rPr>
        <w:t xml:space="preserve">Il n’existe pas </w:t>
      </w:r>
      <w:r w:rsidR="003C26B9">
        <w:rPr>
          <w:lang w:val="fr-FR"/>
        </w:rPr>
        <w:t>de fonds du Commonwealth à cet effet</w:t>
      </w:r>
      <w:r w:rsidR="008D6B80">
        <w:rPr>
          <w:lang w:val="fr-FR"/>
        </w:rPr>
        <w:t xml:space="preserve">. </w:t>
      </w:r>
      <w:r w:rsidR="003C26B9">
        <w:rPr>
          <w:lang w:val="fr-FR"/>
        </w:rPr>
        <w:t>En outre, il n’y a pas eu non plus de dédommagement à titre de faveur pour des affaires de ce genre.</w:t>
      </w:r>
    </w:p>
    <w:p w:rsidR="003C26B9" w:rsidRDefault="003C26B9" w:rsidP="005D7B68">
      <w:pPr>
        <w:tabs>
          <w:tab w:val="left" w:pos="567"/>
          <w:tab w:val="left" w:pos="1134"/>
          <w:tab w:val="left" w:pos="1701"/>
          <w:tab w:val="left" w:pos="2268"/>
          <w:tab w:val="left" w:pos="2835"/>
        </w:tabs>
        <w:rPr>
          <w:b/>
          <w:bCs/>
          <w:lang w:val="fr-FR"/>
        </w:rPr>
      </w:pPr>
      <w:r>
        <w:rPr>
          <w:b/>
          <w:bCs/>
          <w:lang w:val="fr-FR"/>
        </w:rPr>
        <w:t>Question 33</w:t>
      </w:r>
    </w:p>
    <w:p w:rsidR="003C26B9" w:rsidRPr="003C26B9" w:rsidRDefault="003C26B9" w:rsidP="005D7B68">
      <w:pPr>
        <w:tabs>
          <w:tab w:val="left" w:pos="567"/>
          <w:tab w:val="left" w:pos="1134"/>
          <w:tab w:val="left" w:pos="1701"/>
          <w:tab w:val="left" w:pos="2268"/>
          <w:tab w:val="left" w:pos="2835"/>
        </w:tabs>
        <w:rPr>
          <w:b/>
          <w:bCs/>
          <w:lang w:val="fr-FR"/>
        </w:rPr>
      </w:pPr>
      <w:r>
        <w:rPr>
          <w:b/>
          <w:bCs/>
          <w:lang w:val="fr-FR"/>
        </w:rPr>
        <w:tab/>
      </w:r>
      <w:r w:rsidRPr="003C26B9">
        <w:rPr>
          <w:b/>
          <w:bCs/>
          <w:lang w:val="fr-FR"/>
        </w:rPr>
        <w:t xml:space="preserve">Fournir de plus amples renseignements sur les éléments suivants (voir par. 101 et 102 du rapport de l’État partie): </w:t>
      </w:r>
    </w:p>
    <w:p w:rsidR="003C26B9" w:rsidRPr="003C26B9" w:rsidRDefault="00AB01FE" w:rsidP="005D7B68">
      <w:pPr>
        <w:tabs>
          <w:tab w:val="left" w:pos="567"/>
          <w:tab w:val="left" w:pos="1134"/>
          <w:tab w:val="left" w:pos="1701"/>
          <w:tab w:val="left" w:pos="2268"/>
          <w:tab w:val="left" w:pos="2835"/>
        </w:tabs>
        <w:rPr>
          <w:b/>
          <w:bCs/>
          <w:lang w:val="fr-FR"/>
        </w:rPr>
      </w:pPr>
      <w:r>
        <w:rPr>
          <w:b/>
          <w:bCs/>
          <w:lang w:val="fr-FR"/>
        </w:rPr>
        <w:tab/>
      </w:r>
      <w:r w:rsidR="003C26B9" w:rsidRPr="003C26B9">
        <w:rPr>
          <w:b/>
          <w:bCs/>
          <w:lang w:val="fr-FR"/>
        </w:rPr>
        <w:t>a)</w:t>
      </w:r>
      <w:r w:rsidR="003C26B9" w:rsidRPr="003C26B9">
        <w:rPr>
          <w:b/>
          <w:bCs/>
          <w:lang w:val="fr-FR"/>
        </w:rPr>
        <w:tab/>
        <w:t>Les services proposant un traitement des traumatismes et d’autres formes d’assistance à la réadaptation pour les victimes de la torture et la capacité de ces services;</w:t>
      </w:r>
    </w:p>
    <w:p w:rsidR="003C26B9" w:rsidRPr="003C26B9" w:rsidRDefault="00AB01FE" w:rsidP="005D7B68">
      <w:pPr>
        <w:tabs>
          <w:tab w:val="left" w:pos="567"/>
          <w:tab w:val="left" w:pos="1134"/>
          <w:tab w:val="left" w:pos="1701"/>
          <w:tab w:val="left" w:pos="2268"/>
          <w:tab w:val="left" w:pos="2835"/>
        </w:tabs>
        <w:rPr>
          <w:b/>
          <w:bCs/>
          <w:lang w:val="fr-FR"/>
        </w:rPr>
      </w:pPr>
      <w:r>
        <w:rPr>
          <w:b/>
          <w:bCs/>
          <w:lang w:val="fr-FR"/>
        </w:rPr>
        <w:tab/>
      </w:r>
      <w:r w:rsidR="003C26B9" w:rsidRPr="003C26B9">
        <w:rPr>
          <w:b/>
          <w:bCs/>
          <w:lang w:val="fr-FR"/>
        </w:rPr>
        <w:t>b)</w:t>
      </w:r>
      <w:r w:rsidR="003C26B9" w:rsidRPr="003C26B9">
        <w:rPr>
          <w:b/>
          <w:bCs/>
          <w:lang w:val="fr-FR"/>
        </w:rPr>
        <w:tab/>
        <w:t>Le nombre de victimes d’actes de torture commis en Australie et de personnes ayant subi des tortures avant leur arrivée dans le pays qui ont pu avoir accès à ces services; et</w:t>
      </w:r>
    </w:p>
    <w:p w:rsidR="003C26B9" w:rsidRPr="003C26B9" w:rsidRDefault="00AB01FE" w:rsidP="005D7B68">
      <w:pPr>
        <w:tabs>
          <w:tab w:val="left" w:pos="567"/>
          <w:tab w:val="left" w:pos="1134"/>
          <w:tab w:val="left" w:pos="1701"/>
          <w:tab w:val="left" w:pos="2268"/>
          <w:tab w:val="left" w:pos="2835"/>
        </w:tabs>
        <w:rPr>
          <w:b/>
          <w:bCs/>
          <w:lang w:val="fr-FR"/>
        </w:rPr>
      </w:pPr>
      <w:r>
        <w:rPr>
          <w:b/>
          <w:bCs/>
          <w:lang w:val="fr-FR"/>
        </w:rPr>
        <w:tab/>
      </w:r>
      <w:r w:rsidR="005A4EB0">
        <w:rPr>
          <w:b/>
          <w:bCs/>
          <w:lang w:val="fr-FR"/>
        </w:rPr>
        <w:t>c)</w:t>
      </w:r>
      <w:r>
        <w:rPr>
          <w:b/>
          <w:bCs/>
          <w:lang w:val="fr-FR"/>
        </w:rPr>
        <w:tab/>
      </w:r>
      <w:r w:rsidR="003C26B9" w:rsidRPr="003C26B9">
        <w:rPr>
          <w:b/>
          <w:bCs/>
          <w:lang w:val="fr-FR"/>
        </w:rPr>
        <w:t>Les crédits alloués par l’État partie à ces services.</w:t>
      </w:r>
    </w:p>
    <w:p w:rsidR="00F934BC" w:rsidRDefault="0032593F" w:rsidP="005D7B68">
      <w:pPr>
        <w:tabs>
          <w:tab w:val="left" w:pos="567"/>
          <w:tab w:val="left" w:pos="1134"/>
          <w:tab w:val="left" w:pos="1701"/>
          <w:tab w:val="left" w:pos="2268"/>
          <w:tab w:val="left" w:pos="2835"/>
        </w:tabs>
        <w:rPr>
          <w:lang w:val="fr-FR"/>
        </w:rPr>
      </w:pPr>
      <w:r>
        <w:rPr>
          <w:lang w:val="fr-FR"/>
        </w:rPr>
        <w:t>7</w:t>
      </w:r>
      <w:r w:rsidR="00E45D23">
        <w:rPr>
          <w:lang w:val="fr-FR"/>
        </w:rPr>
        <w:t>39</w:t>
      </w:r>
      <w:r w:rsidR="003C26B9">
        <w:rPr>
          <w:lang w:val="fr-FR"/>
        </w:rPr>
        <w:t>.</w:t>
      </w:r>
      <w:r w:rsidR="003C26B9">
        <w:rPr>
          <w:lang w:val="fr-FR"/>
        </w:rPr>
        <w:tab/>
        <w:t xml:space="preserve">Dans chaque juridiction australienne, </w:t>
      </w:r>
      <w:r w:rsidR="00F934BC">
        <w:rPr>
          <w:lang w:val="fr-FR"/>
        </w:rPr>
        <w:t>il existe des services d’aide aux personnes souffrant de traumatismes et aux victimes de la torture</w:t>
      </w:r>
      <w:r w:rsidR="008D6B80">
        <w:rPr>
          <w:lang w:val="fr-FR"/>
        </w:rPr>
        <w:t xml:space="preserve">. </w:t>
      </w:r>
      <w:r w:rsidR="00F934BC">
        <w:rPr>
          <w:lang w:val="fr-FR"/>
        </w:rPr>
        <w:t>Dans la première partie de la réponse, le lecteur trouvera des renseignements fournis par le Commonwealth concernant les questions a), b) et c), cela étant suivi des informations des États et Territoires.</w:t>
      </w:r>
    </w:p>
    <w:p w:rsidR="003C26B9" w:rsidRPr="003C26B9" w:rsidRDefault="00F934BC" w:rsidP="005D7B68">
      <w:pPr>
        <w:tabs>
          <w:tab w:val="left" w:pos="567"/>
          <w:tab w:val="left" w:pos="1134"/>
          <w:tab w:val="left" w:pos="1701"/>
          <w:tab w:val="left" w:pos="2268"/>
          <w:tab w:val="left" w:pos="2835"/>
        </w:tabs>
        <w:rPr>
          <w:lang w:val="fr-FR"/>
        </w:rPr>
      </w:pPr>
      <w:r>
        <w:rPr>
          <w:b/>
          <w:bCs/>
          <w:lang w:val="fr-FR"/>
        </w:rPr>
        <w:t>Informations du Gouvernement du Commonwealth</w:t>
      </w:r>
      <w:r w:rsidR="00572260">
        <w:rPr>
          <w:lang w:val="fr-FR"/>
        </w:rPr>
        <w:t xml:space="preserve"> </w:t>
      </w:r>
    </w:p>
    <w:p w:rsidR="00497F45" w:rsidRDefault="0032593F" w:rsidP="005D7B68">
      <w:pPr>
        <w:tabs>
          <w:tab w:val="left" w:pos="567"/>
          <w:tab w:val="left" w:pos="1134"/>
          <w:tab w:val="left" w:pos="1701"/>
          <w:tab w:val="left" w:pos="2268"/>
          <w:tab w:val="left" w:pos="2835"/>
        </w:tabs>
        <w:rPr>
          <w:lang w:val="fr-FR"/>
        </w:rPr>
      </w:pPr>
      <w:r>
        <w:rPr>
          <w:lang w:val="fr-FR"/>
        </w:rPr>
        <w:t>74</w:t>
      </w:r>
      <w:r w:rsidR="00E45D23">
        <w:rPr>
          <w:lang w:val="fr-FR"/>
        </w:rPr>
        <w:t>0</w:t>
      </w:r>
      <w:r w:rsidR="00F934BC">
        <w:rPr>
          <w:lang w:val="fr-FR"/>
        </w:rPr>
        <w:t>.</w:t>
      </w:r>
      <w:r w:rsidR="00F934BC">
        <w:rPr>
          <w:lang w:val="fr-FR"/>
        </w:rPr>
        <w:tab/>
      </w:r>
      <w:r w:rsidR="00507A13">
        <w:rPr>
          <w:lang w:val="fr-FR"/>
        </w:rPr>
        <w:t xml:space="preserve">Tous les réfugiés et les personnes accueillies </w:t>
      </w:r>
      <w:r w:rsidR="0091314E">
        <w:rPr>
          <w:lang w:val="fr-FR"/>
        </w:rPr>
        <w:t>à titre humanitaire ont droit à</w:t>
      </w:r>
      <w:r w:rsidR="00507A13">
        <w:rPr>
          <w:lang w:val="fr-FR"/>
        </w:rPr>
        <w:t xml:space="preserve"> </w:t>
      </w:r>
      <w:r w:rsidR="005A4EB0">
        <w:rPr>
          <w:lang w:val="fr-FR"/>
        </w:rPr>
        <w:t xml:space="preserve">des </w:t>
      </w:r>
      <w:r w:rsidR="00507A13">
        <w:rPr>
          <w:lang w:val="fr-FR"/>
        </w:rPr>
        <w:t>conseil</w:t>
      </w:r>
      <w:r w:rsidR="0091314E">
        <w:rPr>
          <w:lang w:val="fr-FR"/>
        </w:rPr>
        <w:t>s</w:t>
      </w:r>
      <w:r w:rsidR="00507A13">
        <w:rPr>
          <w:lang w:val="fr-FR"/>
        </w:rPr>
        <w:t xml:space="preserve"> post-traumatiques</w:t>
      </w:r>
      <w:r w:rsidR="0091314E">
        <w:rPr>
          <w:lang w:val="fr-FR"/>
        </w:rPr>
        <w:t xml:space="preserve"> dans le cadre de l’</w:t>
      </w:r>
      <w:r w:rsidR="0091314E" w:rsidRPr="0091314E">
        <w:rPr>
          <w:i/>
          <w:iCs/>
          <w:lang w:val="fr-FR"/>
        </w:rPr>
        <w:t>Integrated Humanitarian Settlement Strategy</w:t>
      </w:r>
      <w:r w:rsidR="00572260">
        <w:rPr>
          <w:i/>
          <w:iCs/>
          <w:lang w:val="fr-FR"/>
        </w:rPr>
        <w:t xml:space="preserve"> </w:t>
      </w:r>
      <w:r w:rsidR="0091314E">
        <w:rPr>
          <w:lang w:val="fr-FR"/>
        </w:rPr>
        <w:t>(stratégie humanitaire intégrée d’installation)</w:t>
      </w:r>
      <w:r w:rsidR="008D6B80">
        <w:rPr>
          <w:lang w:val="fr-FR"/>
        </w:rPr>
        <w:t xml:space="preserve">. </w:t>
      </w:r>
      <w:r w:rsidR="0091314E">
        <w:rPr>
          <w:lang w:val="fr-FR"/>
        </w:rPr>
        <w:t>Les personnes qui ont besoi</w:t>
      </w:r>
      <w:r w:rsidR="00AB01FE">
        <w:rPr>
          <w:lang w:val="fr-FR"/>
        </w:rPr>
        <w:t>n d’une assistance prolongée au</w:t>
      </w:r>
      <w:r w:rsidR="00AB01FE">
        <w:rPr>
          <w:lang w:val="fr-FR"/>
        </w:rPr>
        <w:noBreakHyphen/>
      </w:r>
      <w:r w:rsidR="0091314E">
        <w:rPr>
          <w:lang w:val="fr-FR"/>
        </w:rPr>
        <w:t>delà de la période d’aide à court terme aux victimes de la torture et aux personnes souffrant de traumatismes peuvent ensuite être adressée</w:t>
      </w:r>
      <w:r w:rsidR="005F582F">
        <w:rPr>
          <w:lang w:val="fr-FR"/>
        </w:rPr>
        <w:t>s</w:t>
      </w:r>
      <w:r w:rsidR="0091314E">
        <w:rPr>
          <w:lang w:val="fr-FR"/>
        </w:rPr>
        <w:t xml:space="preserve"> à des services d’aide à plus</w:t>
      </w:r>
      <w:r w:rsidR="00481518">
        <w:rPr>
          <w:lang w:val="fr-FR"/>
        </w:rPr>
        <w:t xml:space="preserve"> long</w:t>
      </w:r>
      <w:r w:rsidR="0091314E">
        <w:rPr>
          <w:lang w:val="fr-FR"/>
        </w:rPr>
        <w:t xml:space="preserve"> terme assurés par des prestataires sous contrat avec</w:t>
      </w:r>
      <w:r w:rsidR="00481518">
        <w:rPr>
          <w:lang w:val="fr-FR"/>
        </w:rPr>
        <w:t xml:space="preserve"> le Ministère de la santé.</w:t>
      </w:r>
    </w:p>
    <w:p w:rsidR="00493022" w:rsidRDefault="0032593F" w:rsidP="005D7B68">
      <w:pPr>
        <w:tabs>
          <w:tab w:val="left" w:pos="567"/>
          <w:tab w:val="left" w:pos="1134"/>
          <w:tab w:val="left" w:pos="1701"/>
          <w:tab w:val="left" w:pos="2268"/>
          <w:tab w:val="left" w:pos="2835"/>
        </w:tabs>
        <w:rPr>
          <w:lang w:val="fr-FR"/>
        </w:rPr>
      </w:pPr>
      <w:r>
        <w:rPr>
          <w:lang w:val="fr-FR"/>
        </w:rPr>
        <w:t>74</w:t>
      </w:r>
      <w:r w:rsidR="00E45D23">
        <w:rPr>
          <w:lang w:val="fr-FR"/>
        </w:rPr>
        <w:t>1</w:t>
      </w:r>
      <w:r w:rsidR="00481518">
        <w:rPr>
          <w:lang w:val="fr-FR"/>
        </w:rPr>
        <w:t>.</w:t>
      </w:r>
      <w:r w:rsidR="00481518">
        <w:rPr>
          <w:lang w:val="fr-FR"/>
        </w:rPr>
        <w:tab/>
        <w:t xml:space="preserve">La Stratégie humanitaire intégrée d’installation est un programme national </w:t>
      </w:r>
      <w:r w:rsidR="005A4EB0">
        <w:rPr>
          <w:lang w:val="fr-FR"/>
        </w:rPr>
        <w:t>d’installation administré par le</w:t>
      </w:r>
      <w:r w:rsidR="00481518">
        <w:rPr>
          <w:lang w:val="fr-FR"/>
        </w:rPr>
        <w:t xml:space="preserve"> Ministère de l’immig</w:t>
      </w:r>
      <w:r w:rsidR="005F582F">
        <w:rPr>
          <w:lang w:val="fr-FR"/>
        </w:rPr>
        <w:t>ration et de la citoyenneté</w:t>
      </w:r>
      <w:r w:rsidR="00572260">
        <w:rPr>
          <w:lang w:val="fr-FR"/>
        </w:rPr>
        <w:t>;</w:t>
      </w:r>
      <w:r w:rsidR="005F582F">
        <w:rPr>
          <w:lang w:val="fr-FR"/>
        </w:rPr>
        <w:t xml:space="preserve"> il</w:t>
      </w:r>
      <w:r w:rsidR="00481518">
        <w:rPr>
          <w:lang w:val="fr-FR"/>
        </w:rPr>
        <w:t xml:space="preserve"> fournit une assistance aux 13 000 personnes qui s’installent chaque année en Australie dans le cadre dudit programme et ont besoin d’aide et de sou</w:t>
      </w:r>
      <w:r w:rsidR="00493022">
        <w:rPr>
          <w:lang w:val="fr-FR"/>
        </w:rPr>
        <w:t>tien pour reconstruire leur vie.</w:t>
      </w:r>
    </w:p>
    <w:p w:rsidR="00493022" w:rsidRDefault="0032593F" w:rsidP="00986EE8">
      <w:pPr>
        <w:keepNext/>
        <w:tabs>
          <w:tab w:val="left" w:pos="567"/>
          <w:tab w:val="left" w:pos="1134"/>
          <w:tab w:val="left" w:pos="1701"/>
          <w:tab w:val="left" w:pos="2268"/>
          <w:tab w:val="left" w:pos="2835"/>
        </w:tabs>
        <w:rPr>
          <w:lang w:val="fr-FR"/>
        </w:rPr>
      </w:pPr>
      <w:r>
        <w:rPr>
          <w:lang w:val="fr-FR"/>
        </w:rPr>
        <w:t>74</w:t>
      </w:r>
      <w:r w:rsidR="00E45D23">
        <w:rPr>
          <w:lang w:val="fr-FR"/>
        </w:rPr>
        <w:t>2</w:t>
      </w:r>
      <w:r w:rsidR="00493022">
        <w:rPr>
          <w:lang w:val="fr-FR"/>
        </w:rPr>
        <w:t>.</w:t>
      </w:r>
      <w:r w:rsidR="00493022">
        <w:rPr>
          <w:lang w:val="fr-FR"/>
        </w:rPr>
        <w:tab/>
      </w:r>
      <w:r w:rsidR="00911F07">
        <w:rPr>
          <w:lang w:val="fr-FR"/>
        </w:rPr>
        <w:t>La gamme de services offerts aux nouveaux arrivants dans le cadre de cette stratégie est la suivante</w:t>
      </w:r>
      <w:r w:rsidR="00572260">
        <w:rPr>
          <w:lang w:val="fr-FR"/>
        </w:rPr>
        <w:t>:</w:t>
      </w:r>
    </w:p>
    <w:p w:rsidR="0032593F" w:rsidRDefault="00911F07" w:rsidP="00986EE8">
      <w:pPr>
        <w:keepNext/>
        <w:tabs>
          <w:tab w:val="left" w:pos="567"/>
          <w:tab w:val="left" w:pos="1134"/>
          <w:tab w:val="left" w:pos="1701"/>
          <w:tab w:val="left" w:pos="2268"/>
          <w:tab w:val="left" w:pos="2835"/>
        </w:tabs>
        <w:rPr>
          <w:lang w:val="fr-FR"/>
        </w:rPr>
      </w:pPr>
      <w:r>
        <w:rPr>
          <w:lang w:val="fr-FR"/>
        </w:rPr>
        <w:tab/>
        <w:t>a)</w:t>
      </w:r>
      <w:r>
        <w:rPr>
          <w:lang w:val="fr-FR"/>
        </w:rPr>
        <w:tab/>
        <w:t>Coordination des cas,</w:t>
      </w:r>
      <w:r w:rsidR="0032593F">
        <w:rPr>
          <w:lang w:val="fr-FR"/>
        </w:rPr>
        <w:t xml:space="preserve"> informations et orientation</w:t>
      </w:r>
      <w:r w:rsidR="00572260">
        <w:rPr>
          <w:lang w:val="fr-FR"/>
        </w:rPr>
        <w:t>;</w:t>
      </w:r>
    </w:p>
    <w:p w:rsidR="0032593F" w:rsidRDefault="0032593F" w:rsidP="005D7B68">
      <w:pPr>
        <w:tabs>
          <w:tab w:val="left" w:pos="567"/>
          <w:tab w:val="left" w:pos="1134"/>
          <w:tab w:val="left" w:pos="1701"/>
          <w:tab w:val="left" w:pos="2268"/>
          <w:tab w:val="left" w:pos="2835"/>
        </w:tabs>
        <w:rPr>
          <w:lang w:val="fr-FR"/>
        </w:rPr>
      </w:pPr>
      <w:r>
        <w:rPr>
          <w:lang w:val="fr-FR"/>
        </w:rPr>
        <w:tab/>
        <w:t>b)</w:t>
      </w:r>
      <w:r>
        <w:rPr>
          <w:lang w:val="fr-FR"/>
        </w:rPr>
        <w:tab/>
        <w:t>Á l’arrivée, accueil et assistance</w:t>
      </w:r>
      <w:r w:rsidR="00572260">
        <w:rPr>
          <w:lang w:val="fr-FR"/>
        </w:rPr>
        <w:t>;</w:t>
      </w:r>
    </w:p>
    <w:p w:rsidR="0032593F" w:rsidRDefault="0032593F" w:rsidP="005D7B68">
      <w:pPr>
        <w:tabs>
          <w:tab w:val="left" w:pos="567"/>
          <w:tab w:val="left" w:pos="1134"/>
          <w:tab w:val="left" w:pos="1701"/>
          <w:tab w:val="left" w:pos="2268"/>
          <w:tab w:val="left" w:pos="2835"/>
        </w:tabs>
        <w:rPr>
          <w:lang w:val="fr-FR"/>
        </w:rPr>
      </w:pPr>
      <w:r>
        <w:rPr>
          <w:lang w:val="fr-FR"/>
        </w:rPr>
        <w:tab/>
        <w:t>c)</w:t>
      </w:r>
      <w:r>
        <w:rPr>
          <w:lang w:val="fr-FR"/>
        </w:rPr>
        <w:tab/>
        <w:t>Services de logement</w:t>
      </w:r>
      <w:r w:rsidR="00572260">
        <w:rPr>
          <w:lang w:val="fr-FR"/>
        </w:rPr>
        <w:t>;</w:t>
      </w:r>
    </w:p>
    <w:p w:rsidR="00601981" w:rsidRDefault="00AB01FE" w:rsidP="005D7B68">
      <w:pPr>
        <w:tabs>
          <w:tab w:val="left" w:pos="567"/>
          <w:tab w:val="left" w:pos="1134"/>
          <w:tab w:val="left" w:pos="1701"/>
          <w:tab w:val="left" w:pos="2268"/>
          <w:tab w:val="left" w:pos="2835"/>
        </w:tabs>
        <w:rPr>
          <w:lang w:val="fr-FR"/>
        </w:rPr>
      </w:pPr>
      <w:r>
        <w:rPr>
          <w:lang w:val="fr-FR"/>
        </w:rPr>
        <w:tab/>
        <w:t>d</w:t>
      </w:r>
      <w:r w:rsidR="0032593F">
        <w:rPr>
          <w:lang w:val="fr-FR"/>
        </w:rPr>
        <w:t>)</w:t>
      </w:r>
      <w:r w:rsidR="0032593F">
        <w:rPr>
          <w:lang w:val="fr-FR"/>
        </w:rPr>
        <w:tab/>
        <w:t>Service de courte durée de conseils aux victimes de la torture et aux personnes</w:t>
      </w:r>
      <w:r w:rsidR="00572260">
        <w:rPr>
          <w:lang w:val="fr-FR"/>
        </w:rPr>
        <w:t xml:space="preserve"> </w:t>
      </w:r>
      <w:r w:rsidR="0032593F">
        <w:rPr>
          <w:lang w:val="fr-FR"/>
        </w:rPr>
        <w:t>souffrant de traumatismes</w:t>
      </w:r>
      <w:r w:rsidR="00601981">
        <w:rPr>
          <w:lang w:val="fr-FR"/>
        </w:rPr>
        <w:t>.</w:t>
      </w:r>
    </w:p>
    <w:p w:rsidR="00601981" w:rsidRDefault="00E45D23" w:rsidP="005D7B68">
      <w:pPr>
        <w:tabs>
          <w:tab w:val="left" w:pos="567"/>
          <w:tab w:val="left" w:pos="1134"/>
          <w:tab w:val="left" w:pos="1701"/>
          <w:tab w:val="left" w:pos="2268"/>
          <w:tab w:val="left" w:pos="2835"/>
        </w:tabs>
        <w:rPr>
          <w:lang w:val="fr-FR"/>
        </w:rPr>
      </w:pPr>
      <w:r>
        <w:rPr>
          <w:lang w:val="fr-FR"/>
        </w:rPr>
        <w:t>743</w:t>
      </w:r>
      <w:r w:rsidR="00601981">
        <w:rPr>
          <w:lang w:val="fr-FR"/>
        </w:rPr>
        <w:t>.</w:t>
      </w:r>
      <w:r w:rsidR="00601981">
        <w:rPr>
          <w:lang w:val="fr-FR"/>
        </w:rPr>
        <w:tab/>
        <w:t>La durée de ces services est habituellement de six mois, mais elle peut être prolongée pour les nouveaux arrivants ayant des besoins particulièrement complexes.</w:t>
      </w:r>
    </w:p>
    <w:p w:rsidR="00C1157E" w:rsidRDefault="00601981" w:rsidP="005D7B68">
      <w:pPr>
        <w:tabs>
          <w:tab w:val="left" w:pos="567"/>
          <w:tab w:val="left" w:pos="1134"/>
          <w:tab w:val="left" w:pos="1701"/>
          <w:tab w:val="left" w:pos="2268"/>
          <w:tab w:val="left" w:pos="2835"/>
        </w:tabs>
        <w:rPr>
          <w:lang w:val="fr-FR"/>
        </w:rPr>
      </w:pPr>
      <w:r>
        <w:rPr>
          <w:lang w:val="fr-FR"/>
        </w:rPr>
        <w:t>74</w:t>
      </w:r>
      <w:r w:rsidR="00E45D23">
        <w:rPr>
          <w:lang w:val="fr-FR"/>
        </w:rPr>
        <w:t>4</w:t>
      </w:r>
      <w:r>
        <w:rPr>
          <w:lang w:val="fr-FR"/>
        </w:rPr>
        <w:t>.</w:t>
      </w:r>
      <w:r>
        <w:rPr>
          <w:lang w:val="fr-FR"/>
        </w:rPr>
        <w:tab/>
        <w:t xml:space="preserve">Les services relatifs à la torture et aux traumatismes, dans le cadre de la stratégie humanitaire intégrée d’installation, sont à la disposition de tous les réfugiés et les nouveaux arrivants accueillis à titre humanitaire </w:t>
      </w:r>
      <w:r w:rsidR="004A0875">
        <w:rPr>
          <w:lang w:val="fr-FR"/>
        </w:rPr>
        <w:t>auxquels ont été octroyées des plac</w:t>
      </w:r>
      <w:r w:rsidR="005A4EB0">
        <w:rPr>
          <w:lang w:val="fr-FR"/>
        </w:rPr>
        <w:t>es de réinstallation à</w:t>
      </w:r>
      <w:r w:rsidR="00572260">
        <w:rPr>
          <w:lang w:val="fr-FR"/>
        </w:rPr>
        <w:t xml:space="preserve"> </w:t>
      </w:r>
      <w:r w:rsidR="004A0875">
        <w:rPr>
          <w:lang w:val="fr-FR"/>
        </w:rPr>
        <w:t>l’étranger et des visas, ainsi qu’aux demandeurs d’asile bénéficiant d’une protection en Australie à leur arrivée dans la collectivité.</w:t>
      </w:r>
      <w:r>
        <w:rPr>
          <w:lang w:val="fr-FR"/>
        </w:rPr>
        <w:t xml:space="preserve"> </w:t>
      </w:r>
    </w:p>
    <w:p w:rsidR="00C1157E" w:rsidRPr="00C1157E" w:rsidRDefault="00C1157E" w:rsidP="005D7B68">
      <w:pPr>
        <w:tabs>
          <w:tab w:val="left" w:pos="567"/>
          <w:tab w:val="left" w:pos="1134"/>
          <w:tab w:val="left" w:pos="1701"/>
          <w:tab w:val="left" w:pos="2268"/>
          <w:tab w:val="left" w:pos="2835"/>
        </w:tabs>
        <w:rPr>
          <w:lang w:val="fr-FR"/>
        </w:rPr>
      </w:pPr>
      <w:r>
        <w:rPr>
          <w:lang w:val="fr-FR"/>
        </w:rPr>
        <w:t>74</w:t>
      </w:r>
      <w:r w:rsidR="00E45D23">
        <w:rPr>
          <w:lang w:val="fr-FR"/>
        </w:rPr>
        <w:t>5</w:t>
      </w:r>
      <w:r>
        <w:rPr>
          <w:lang w:val="fr-FR"/>
        </w:rPr>
        <w:t>.</w:t>
      </w:r>
      <w:r>
        <w:rPr>
          <w:lang w:val="fr-FR"/>
        </w:rPr>
        <w:tab/>
        <w:t>Des services de lon</w:t>
      </w:r>
      <w:r w:rsidR="00C664AB">
        <w:rPr>
          <w:lang w:val="fr-FR"/>
        </w:rPr>
        <w:t>gue durée sont également dispensés</w:t>
      </w:r>
      <w:r>
        <w:rPr>
          <w:lang w:val="fr-FR"/>
        </w:rPr>
        <w:t xml:space="preserve"> à ces nouveaux arrivants et aux membres de la collectivité australienne d’une manière plus large, dans le cadre du Programme d’aide aux personnes ayant sur</w:t>
      </w:r>
      <w:r w:rsidR="00BF0BA1">
        <w:rPr>
          <w:lang w:val="fr-FR"/>
        </w:rPr>
        <w:t>vécu aux tortures et aux traumatismes</w:t>
      </w:r>
      <w:r>
        <w:rPr>
          <w:lang w:val="fr-FR"/>
        </w:rPr>
        <w:t>, qui est administré par le Ministère de la santé</w:t>
      </w:r>
      <w:r w:rsidR="00632005">
        <w:rPr>
          <w:lang w:val="fr-FR"/>
        </w:rPr>
        <w:t xml:space="preserve"> et du vieillissement.</w:t>
      </w:r>
    </w:p>
    <w:p w:rsidR="00424FB7" w:rsidRDefault="00852FCA" w:rsidP="005D7B68">
      <w:pPr>
        <w:tabs>
          <w:tab w:val="left" w:pos="567"/>
          <w:tab w:val="left" w:pos="1134"/>
          <w:tab w:val="left" w:pos="1701"/>
          <w:tab w:val="left" w:pos="2268"/>
          <w:tab w:val="left" w:pos="2835"/>
        </w:tabs>
        <w:rPr>
          <w:lang w:val="fr-FR"/>
        </w:rPr>
      </w:pPr>
      <w:r>
        <w:rPr>
          <w:lang w:val="fr-FR"/>
        </w:rPr>
        <w:t>74</w:t>
      </w:r>
      <w:r w:rsidR="00E45D23">
        <w:rPr>
          <w:lang w:val="fr-FR"/>
        </w:rPr>
        <w:t>6</w:t>
      </w:r>
      <w:r>
        <w:rPr>
          <w:lang w:val="fr-FR"/>
        </w:rPr>
        <w:t>.</w:t>
      </w:r>
      <w:r>
        <w:rPr>
          <w:lang w:val="fr-FR"/>
        </w:rPr>
        <w:tab/>
        <w:t>Des organismes spécialisés dans les services de courte durée aux vi</w:t>
      </w:r>
      <w:r w:rsidR="00935339">
        <w:rPr>
          <w:lang w:val="fr-FR"/>
        </w:rPr>
        <w:t>ctimes de tortures et de traumatismes</w:t>
      </w:r>
      <w:r>
        <w:rPr>
          <w:lang w:val="fr-FR"/>
        </w:rPr>
        <w:t xml:space="preserve"> sous contrat dans le cadre de la Stratégie humanitaire intégrée d’installation exécutent également des programmes de formation en matière d’information et de sensibilisation, et apportent conseils et appui à d’autres prestataires de services</w:t>
      </w:r>
      <w:r w:rsidR="00424FB7">
        <w:rPr>
          <w:lang w:val="fr-FR"/>
        </w:rPr>
        <w:t>, bénévoles et professionnels, comme des médecins, des dentistes et des travailleu</w:t>
      </w:r>
      <w:r w:rsidR="00516013">
        <w:rPr>
          <w:lang w:val="fr-FR"/>
        </w:rPr>
        <w:t>rs sociaux qui peuvent être en</w:t>
      </w:r>
      <w:r w:rsidR="00424FB7">
        <w:rPr>
          <w:lang w:val="fr-FR"/>
        </w:rPr>
        <w:t xml:space="preserve"> contact avec des r</w:t>
      </w:r>
      <w:r w:rsidR="00E414F9">
        <w:rPr>
          <w:lang w:val="fr-FR"/>
        </w:rPr>
        <w:t>éfugiés et des personnes entrant dans le pays</w:t>
      </w:r>
      <w:r w:rsidR="00424FB7">
        <w:rPr>
          <w:lang w:val="fr-FR"/>
        </w:rPr>
        <w:t xml:space="preserve"> à titre humanitaire au cours des diverses étapes de leur processus d’installation</w:t>
      </w:r>
      <w:r w:rsidR="008D6B80">
        <w:rPr>
          <w:lang w:val="fr-FR"/>
        </w:rPr>
        <w:t xml:space="preserve">. </w:t>
      </w:r>
      <w:r w:rsidR="00424FB7">
        <w:rPr>
          <w:lang w:val="fr-FR"/>
        </w:rPr>
        <w:t>Ces organismes sont aussi chargés d’aider les services spécialisés ordinaires et autres à jouer un rôle plus important en matière de conseils et de réinsertion.</w:t>
      </w:r>
    </w:p>
    <w:p w:rsidR="00911F07" w:rsidRDefault="00424FB7" w:rsidP="005D7B68">
      <w:pPr>
        <w:tabs>
          <w:tab w:val="left" w:pos="567"/>
          <w:tab w:val="left" w:pos="1134"/>
          <w:tab w:val="left" w:pos="1701"/>
          <w:tab w:val="left" w:pos="2268"/>
          <w:tab w:val="left" w:pos="2835"/>
        </w:tabs>
        <w:rPr>
          <w:lang w:val="fr-FR"/>
        </w:rPr>
      </w:pPr>
      <w:r>
        <w:rPr>
          <w:lang w:val="fr-FR"/>
        </w:rPr>
        <w:t>74</w:t>
      </w:r>
      <w:r w:rsidR="00E45D23">
        <w:rPr>
          <w:lang w:val="fr-FR"/>
        </w:rPr>
        <w:t>7</w:t>
      </w:r>
      <w:r>
        <w:rPr>
          <w:lang w:val="fr-FR"/>
        </w:rPr>
        <w:t>.</w:t>
      </w:r>
      <w:r>
        <w:rPr>
          <w:lang w:val="fr-FR"/>
        </w:rPr>
        <w:tab/>
      </w:r>
      <w:r w:rsidR="00C30616">
        <w:rPr>
          <w:lang w:val="fr-FR"/>
        </w:rPr>
        <w:t>La Stratégie humanitaire intégrée d’installation</w:t>
      </w:r>
      <w:r w:rsidR="00852FCA">
        <w:rPr>
          <w:lang w:val="fr-FR"/>
        </w:rPr>
        <w:t xml:space="preserve"> </w:t>
      </w:r>
      <w:r w:rsidR="00C30616">
        <w:rPr>
          <w:lang w:val="fr-FR"/>
        </w:rPr>
        <w:t>bénéf</w:t>
      </w:r>
      <w:r w:rsidR="00E32C91">
        <w:rPr>
          <w:lang w:val="fr-FR"/>
        </w:rPr>
        <w:t>icie d’un budget supérieur à 50 </w:t>
      </w:r>
      <w:r w:rsidR="00C30616">
        <w:rPr>
          <w:lang w:val="fr-FR"/>
        </w:rPr>
        <w:t>millions de dollars australiens.</w:t>
      </w:r>
    </w:p>
    <w:p w:rsidR="00C30616" w:rsidRPr="00C1157E" w:rsidRDefault="00C30616" w:rsidP="005D7B68">
      <w:pPr>
        <w:tabs>
          <w:tab w:val="left" w:pos="567"/>
          <w:tab w:val="left" w:pos="1134"/>
          <w:tab w:val="left" w:pos="1701"/>
          <w:tab w:val="left" w:pos="2268"/>
          <w:tab w:val="left" w:pos="2835"/>
        </w:tabs>
        <w:rPr>
          <w:lang w:val="fr-FR"/>
        </w:rPr>
      </w:pPr>
      <w:r>
        <w:rPr>
          <w:lang w:val="fr-FR"/>
        </w:rPr>
        <w:t>74</w:t>
      </w:r>
      <w:r w:rsidR="00E45D23">
        <w:rPr>
          <w:lang w:val="fr-FR"/>
        </w:rPr>
        <w:t>8</w:t>
      </w:r>
      <w:r>
        <w:rPr>
          <w:lang w:val="fr-FR"/>
        </w:rPr>
        <w:t>.</w:t>
      </w:r>
      <w:r>
        <w:rPr>
          <w:lang w:val="fr-FR"/>
        </w:rPr>
        <w:tab/>
        <w:t>Le Ministère de la santé et du vieillissement alloue des fonds, dans le cadre du Programme d’assistance aux personnes ayant sur</w:t>
      </w:r>
      <w:r w:rsidR="00935339">
        <w:rPr>
          <w:lang w:val="fr-FR"/>
        </w:rPr>
        <w:t>vécu aux tortures et aux traumatismes</w:t>
      </w:r>
      <w:r>
        <w:rPr>
          <w:lang w:val="fr-FR"/>
        </w:rPr>
        <w:t xml:space="preserve">, destinés à </w:t>
      </w:r>
      <w:r w:rsidR="00E414F9">
        <w:rPr>
          <w:lang w:val="fr-FR"/>
        </w:rPr>
        <w:t>aider au rétabliss</w:t>
      </w:r>
      <w:r w:rsidR="00935339">
        <w:rPr>
          <w:lang w:val="fr-FR"/>
        </w:rPr>
        <w:t>ement psychosocial des migrants</w:t>
      </w:r>
      <w:r w:rsidR="00E414F9">
        <w:rPr>
          <w:lang w:val="fr-FR"/>
        </w:rPr>
        <w:t xml:space="preserve"> entrant en Austr</w:t>
      </w:r>
      <w:r w:rsidR="00935339">
        <w:rPr>
          <w:lang w:val="fr-FR"/>
        </w:rPr>
        <w:t>alie à titre humanitaire après avoir</w:t>
      </w:r>
      <w:r w:rsidR="00E414F9">
        <w:rPr>
          <w:lang w:val="fr-FR"/>
        </w:rPr>
        <w:t xml:space="preserve"> été victimes de conflits et de violations des droits de l’homme, qui </w:t>
      </w:r>
      <w:r w:rsidR="00A8119F">
        <w:rPr>
          <w:lang w:val="fr-FR"/>
        </w:rPr>
        <w:t>les ont rendues vulnérables aux </w:t>
      </w:r>
      <w:r w:rsidR="00E414F9">
        <w:rPr>
          <w:lang w:val="fr-FR"/>
        </w:rPr>
        <w:t>problèmes de santé mentale</w:t>
      </w:r>
      <w:r w:rsidR="008D6B80">
        <w:rPr>
          <w:lang w:val="fr-FR"/>
        </w:rPr>
        <w:t xml:space="preserve">. </w:t>
      </w:r>
      <w:r w:rsidR="00E414F9">
        <w:rPr>
          <w:lang w:val="fr-FR"/>
        </w:rPr>
        <w:t>Le programme actuel permet d</w:t>
      </w:r>
      <w:r w:rsidR="00A8119F">
        <w:rPr>
          <w:lang w:val="fr-FR"/>
        </w:rPr>
        <w:t>e venir en aide à environ 2 500 </w:t>
      </w:r>
      <w:r w:rsidR="00BD6053">
        <w:rPr>
          <w:lang w:val="fr-FR"/>
        </w:rPr>
        <w:t xml:space="preserve">utilisateurs </w:t>
      </w:r>
      <w:r w:rsidR="00E414F9">
        <w:rPr>
          <w:lang w:val="fr-FR"/>
        </w:rPr>
        <w:t>chaque année.</w:t>
      </w:r>
      <w:r>
        <w:rPr>
          <w:lang w:val="fr-FR"/>
        </w:rPr>
        <w:t xml:space="preserve"> </w:t>
      </w:r>
    </w:p>
    <w:p w:rsidR="00496C72" w:rsidRPr="00C30616" w:rsidRDefault="00E45D23" w:rsidP="005D7B68">
      <w:pPr>
        <w:tabs>
          <w:tab w:val="left" w:pos="567"/>
          <w:tab w:val="left" w:pos="1134"/>
          <w:tab w:val="left" w:pos="1701"/>
          <w:tab w:val="left" w:pos="2268"/>
          <w:tab w:val="left" w:pos="2835"/>
        </w:tabs>
        <w:rPr>
          <w:lang w:val="fr-FR"/>
        </w:rPr>
      </w:pPr>
      <w:r>
        <w:rPr>
          <w:lang w:val="fr-FR"/>
        </w:rPr>
        <w:t>749</w:t>
      </w:r>
      <w:r w:rsidR="00E414F9">
        <w:rPr>
          <w:lang w:val="fr-FR"/>
        </w:rPr>
        <w:t>.</w:t>
      </w:r>
      <w:r w:rsidR="00E414F9">
        <w:rPr>
          <w:lang w:val="fr-FR"/>
        </w:rPr>
        <w:tab/>
      </w:r>
      <w:r w:rsidR="00C12E56">
        <w:rPr>
          <w:lang w:val="fr-FR"/>
        </w:rPr>
        <w:t>Au cours de ces</w:t>
      </w:r>
      <w:r w:rsidR="00CB4CE3">
        <w:rPr>
          <w:lang w:val="fr-FR"/>
        </w:rPr>
        <w:t xml:space="preserve"> dernières années, notamment avec le déplacement du programme humanitaire d’Europe et du Moyen-Orient vers l’Afrique, on a constaté une augme</w:t>
      </w:r>
      <w:r w:rsidR="00BD6053">
        <w:rPr>
          <w:lang w:val="fr-FR"/>
        </w:rPr>
        <w:t xml:space="preserve">ntation importante du nombre d’utilisateurs </w:t>
      </w:r>
      <w:r w:rsidR="00CB4CE3">
        <w:rPr>
          <w:lang w:val="fr-FR"/>
        </w:rPr>
        <w:t>et de la co</w:t>
      </w:r>
      <w:r w:rsidR="00935339">
        <w:rPr>
          <w:lang w:val="fr-FR"/>
        </w:rPr>
        <w:t xml:space="preserve">mplexité de leurs besoins </w:t>
      </w:r>
      <w:r w:rsidR="00C12E56">
        <w:rPr>
          <w:lang w:val="fr-FR"/>
        </w:rPr>
        <w:t xml:space="preserve">en matière </w:t>
      </w:r>
      <w:r w:rsidR="00935339">
        <w:rPr>
          <w:lang w:val="fr-FR"/>
        </w:rPr>
        <w:t>d’assistance</w:t>
      </w:r>
      <w:r w:rsidR="00CB4CE3">
        <w:rPr>
          <w:lang w:val="fr-FR"/>
        </w:rPr>
        <w:t>, dont un accroissement du nomb</w:t>
      </w:r>
      <w:r w:rsidR="00C12E56">
        <w:rPr>
          <w:lang w:val="fr-FR"/>
        </w:rPr>
        <w:t>re d’enfants</w:t>
      </w:r>
      <w:r w:rsidR="00CB4CE3">
        <w:rPr>
          <w:lang w:val="fr-FR"/>
        </w:rPr>
        <w:t xml:space="preserve">, beaucoup d’entre eux </w:t>
      </w:r>
      <w:r w:rsidR="00C12E56">
        <w:rPr>
          <w:lang w:val="fr-FR"/>
        </w:rPr>
        <w:t>relevant</w:t>
      </w:r>
      <w:r w:rsidR="00935339">
        <w:rPr>
          <w:lang w:val="fr-FR"/>
        </w:rPr>
        <w:t xml:space="preserve"> de traumatismes</w:t>
      </w:r>
      <w:r w:rsidR="004164D1">
        <w:rPr>
          <w:lang w:val="fr-FR"/>
        </w:rPr>
        <w:t xml:space="preserve"> </w:t>
      </w:r>
      <w:r w:rsidR="00C12E56">
        <w:rPr>
          <w:lang w:val="fr-FR"/>
        </w:rPr>
        <w:t xml:space="preserve">subis </w:t>
      </w:r>
      <w:r w:rsidR="004164D1">
        <w:rPr>
          <w:lang w:val="fr-FR"/>
        </w:rPr>
        <w:t>en</w:t>
      </w:r>
      <w:r w:rsidR="00935339">
        <w:rPr>
          <w:lang w:val="fr-FR"/>
        </w:rPr>
        <w:t xml:space="preserve"> </w:t>
      </w:r>
      <w:r w:rsidR="00C12E56">
        <w:rPr>
          <w:lang w:val="fr-FR"/>
        </w:rPr>
        <w:t>tant que</w:t>
      </w:r>
      <w:r w:rsidR="004164D1">
        <w:rPr>
          <w:lang w:val="fr-FR"/>
        </w:rPr>
        <w:t xml:space="preserve"> soldats et esclaves</w:t>
      </w:r>
      <w:r w:rsidR="008D6B80">
        <w:rPr>
          <w:lang w:val="fr-FR"/>
        </w:rPr>
        <w:t xml:space="preserve">. </w:t>
      </w:r>
      <w:r w:rsidR="004164D1">
        <w:rPr>
          <w:lang w:val="fr-FR"/>
        </w:rPr>
        <w:t xml:space="preserve">La demande de conseillers titulaires de diplômes qui conviennent a crû, de même que le besoin de </w:t>
      </w:r>
      <w:r w:rsidR="00BE197B">
        <w:rPr>
          <w:lang w:val="fr-FR"/>
        </w:rPr>
        <w:t xml:space="preserve">prestataires de </w:t>
      </w:r>
      <w:r w:rsidR="004164D1">
        <w:rPr>
          <w:lang w:val="fr-FR"/>
        </w:rPr>
        <w:t xml:space="preserve">services de base connexes en matière d’éducation et de formation, comme les </w:t>
      </w:r>
      <w:r w:rsidR="00496C72">
        <w:rPr>
          <w:lang w:val="fr-FR"/>
        </w:rPr>
        <w:t>médecins généralistes et les écoles.</w:t>
      </w:r>
      <w:r w:rsidR="00CB4CE3">
        <w:rPr>
          <w:lang w:val="fr-FR"/>
        </w:rPr>
        <w:t xml:space="preserve"> </w:t>
      </w:r>
    </w:p>
    <w:p w:rsidR="00496C72" w:rsidRDefault="00496C72" w:rsidP="005D7B68">
      <w:pPr>
        <w:tabs>
          <w:tab w:val="left" w:pos="567"/>
          <w:tab w:val="left" w:pos="1134"/>
          <w:tab w:val="left" w:pos="1701"/>
          <w:tab w:val="left" w:pos="2268"/>
          <w:tab w:val="left" w:pos="2835"/>
        </w:tabs>
        <w:rPr>
          <w:lang w:val="fr-FR"/>
        </w:rPr>
      </w:pPr>
      <w:r>
        <w:rPr>
          <w:lang w:val="fr-FR"/>
        </w:rPr>
        <w:t>75</w:t>
      </w:r>
      <w:r w:rsidR="00E45D23">
        <w:rPr>
          <w:lang w:val="fr-FR"/>
        </w:rPr>
        <w:t>0</w:t>
      </w:r>
      <w:r>
        <w:rPr>
          <w:lang w:val="fr-FR"/>
        </w:rPr>
        <w:t>.</w:t>
      </w:r>
      <w:r>
        <w:rPr>
          <w:lang w:val="fr-FR"/>
        </w:rPr>
        <w:tab/>
        <w:t xml:space="preserve">Dans le budget de 2007, un financement supplémentaire de 12,2 millions de dollars sur quatre ans </w:t>
      </w:r>
      <w:r w:rsidR="00516013">
        <w:rPr>
          <w:lang w:val="fr-FR"/>
        </w:rPr>
        <w:t xml:space="preserve">a été approuvé </w:t>
      </w:r>
      <w:r>
        <w:rPr>
          <w:lang w:val="fr-FR"/>
        </w:rPr>
        <w:t>pour le Programme d’assistance aux personnes ayant surv</w:t>
      </w:r>
      <w:r w:rsidR="00C12E56">
        <w:rPr>
          <w:lang w:val="fr-FR"/>
        </w:rPr>
        <w:t>écu aux tortures et aux</w:t>
      </w:r>
      <w:r w:rsidR="00572260">
        <w:rPr>
          <w:lang w:val="fr-FR"/>
        </w:rPr>
        <w:t xml:space="preserve"> </w:t>
      </w:r>
      <w:r w:rsidR="00C12E56">
        <w:rPr>
          <w:lang w:val="fr-FR"/>
        </w:rPr>
        <w:t>traumatismes</w:t>
      </w:r>
      <w:r w:rsidR="008D6B80">
        <w:rPr>
          <w:lang w:val="fr-FR"/>
        </w:rPr>
        <w:t xml:space="preserve">. </w:t>
      </w:r>
      <w:r>
        <w:rPr>
          <w:lang w:val="fr-FR"/>
        </w:rPr>
        <w:t>Il doit accroître la capacité des organismes qui y participent de sorte que 1 800 nouveaux entrants à titre humanitaire de plus par an pourront avoir accès à des services spécialisés de conseil et d’appui connexes de moyenne et de longue durée.</w:t>
      </w:r>
    </w:p>
    <w:p w:rsidR="00496C72" w:rsidRDefault="00496C72" w:rsidP="005D7B68">
      <w:pPr>
        <w:tabs>
          <w:tab w:val="left" w:pos="567"/>
          <w:tab w:val="left" w:pos="1134"/>
          <w:tab w:val="left" w:pos="1701"/>
          <w:tab w:val="left" w:pos="2268"/>
          <w:tab w:val="left" w:pos="2835"/>
        </w:tabs>
        <w:rPr>
          <w:lang w:val="fr-FR"/>
        </w:rPr>
      </w:pPr>
      <w:r>
        <w:rPr>
          <w:lang w:val="fr-FR"/>
        </w:rPr>
        <w:t>75</w:t>
      </w:r>
      <w:r w:rsidR="00E45D23">
        <w:rPr>
          <w:lang w:val="fr-FR"/>
        </w:rPr>
        <w:t>1</w:t>
      </w:r>
      <w:r>
        <w:rPr>
          <w:lang w:val="fr-FR"/>
        </w:rPr>
        <w:t>.</w:t>
      </w:r>
      <w:r>
        <w:rPr>
          <w:lang w:val="fr-FR"/>
        </w:rPr>
        <w:tab/>
        <w:t>Un financement total d’environ 5 millions de dollars par an</w:t>
      </w:r>
      <w:r w:rsidR="00E32C91">
        <w:rPr>
          <w:lang w:val="fr-FR"/>
        </w:rPr>
        <w:t xml:space="preserve"> est actuellement alloué à huit </w:t>
      </w:r>
      <w:r>
        <w:rPr>
          <w:lang w:val="fr-FR"/>
        </w:rPr>
        <w:t>organismes spécialisés (un par État et Territoire) qui fournissent les services suivants</w:t>
      </w:r>
      <w:r w:rsidR="00572260">
        <w:rPr>
          <w:lang w:val="fr-FR"/>
        </w:rPr>
        <w:t>:</w:t>
      </w:r>
      <w:r>
        <w:rPr>
          <w:lang w:val="fr-FR"/>
        </w:rPr>
        <w:t xml:space="preserve"> </w:t>
      </w:r>
    </w:p>
    <w:p w:rsidR="00496C72" w:rsidRPr="00496C72" w:rsidRDefault="00496C72" w:rsidP="005D7B68">
      <w:pPr>
        <w:tabs>
          <w:tab w:val="left" w:pos="567"/>
          <w:tab w:val="left" w:pos="1134"/>
          <w:tab w:val="left" w:pos="1701"/>
          <w:tab w:val="left" w:pos="2268"/>
          <w:tab w:val="left" w:pos="2835"/>
        </w:tabs>
        <w:rPr>
          <w:lang w:val="fr-FR"/>
        </w:rPr>
      </w:pPr>
      <w:r>
        <w:rPr>
          <w:lang w:val="fr-FR"/>
        </w:rPr>
        <w:tab/>
        <w:t>a)</w:t>
      </w:r>
      <w:r>
        <w:rPr>
          <w:lang w:val="fr-FR"/>
        </w:rPr>
        <w:tab/>
      </w:r>
      <w:r w:rsidR="0043401A">
        <w:rPr>
          <w:lang w:val="fr-FR"/>
        </w:rPr>
        <w:t>Des c</w:t>
      </w:r>
      <w:r w:rsidR="0078717E">
        <w:rPr>
          <w:lang w:val="fr-FR"/>
        </w:rPr>
        <w:t>onseils et d</w:t>
      </w:r>
      <w:r w:rsidR="0043401A">
        <w:rPr>
          <w:lang w:val="fr-FR"/>
        </w:rPr>
        <w:t>es services d’</w:t>
      </w:r>
      <w:r w:rsidR="0078717E">
        <w:rPr>
          <w:lang w:val="fr-FR"/>
        </w:rPr>
        <w:t>appui connexe</w:t>
      </w:r>
      <w:r w:rsidR="0043401A">
        <w:rPr>
          <w:lang w:val="fr-FR"/>
        </w:rPr>
        <w:t>s</w:t>
      </w:r>
      <w:r w:rsidR="0078717E">
        <w:rPr>
          <w:lang w:val="fr-FR"/>
        </w:rPr>
        <w:t xml:space="preserve"> (y compris la</w:t>
      </w:r>
      <w:r w:rsidR="00E70328">
        <w:rPr>
          <w:lang w:val="fr-FR"/>
        </w:rPr>
        <w:t xml:space="preserve"> sensibilisation</w:t>
      </w:r>
      <w:r w:rsidR="0078717E">
        <w:rPr>
          <w:lang w:val="fr-FR"/>
        </w:rPr>
        <w:t xml:space="preserve">, l’orientation vers </w:t>
      </w:r>
      <w:r w:rsidR="0043401A">
        <w:rPr>
          <w:lang w:val="fr-FR"/>
        </w:rPr>
        <w:t xml:space="preserve">les services sanitaires de base </w:t>
      </w:r>
      <w:r w:rsidR="00516013">
        <w:rPr>
          <w:lang w:val="fr-FR"/>
        </w:rPr>
        <w:t>et les services connexes) dispensé</w:t>
      </w:r>
      <w:r w:rsidR="0043401A">
        <w:rPr>
          <w:lang w:val="fr-FR"/>
        </w:rPr>
        <w:t>s directement aux individus ou aux familles qui ont sur</w:t>
      </w:r>
      <w:r w:rsidR="00C12E56">
        <w:rPr>
          <w:lang w:val="fr-FR"/>
        </w:rPr>
        <w:t>vécu aux tortures et aux traumatismes</w:t>
      </w:r>
      <w:r w:rsidR="00572260">
        <w:rPr>
          <w:lang w:val="fr-FR"/>
        </w:rPr>
        <w:t>;</w:t>
      </w:r>
      <w:r w:rsidR="0043401A">
        <w:rPr>
          <w:lang w:val="fr-FR"/>
        </w:rPr>
        <w:t xml:space="preserve"> et</w:t>
      </w:r>
      <w:r w:rsidR="00572260">
        <w:rPr>
          <w:lang w:val="fr-FR"/>
        </w:rPr>
        <w:t xml:space="preserve"> </w:t>
      </w:r>
    </w:p>
    <w:p w:rsidR="00496C72" w:rsidRDefault="0043401A" w:rsidP="005D7B68">
      <w:pPr>
        <w:tabs>
          <w:tab w:val="left" w:pos="567"/>
          <w:tab w:val="left" w:pos="1134"/>
          <w:tab w:val="left" w:pos="1701"/>
          <w:tab w:val="left" w:pos="2268"/>
          <w:tab w:val="left" w:pos="2835"/>
        </w:tabs>
        <w:rPr>
          <w:lang w:val="fr-FR"/>
        </w:rPr>
      </w:pPr>
      <w:r>
        <w:rPr>
          <w:lang w:val="fr-FR"/>
        </w:rPr>
        <w:tab/>
        <w:t>b)</w:t>
      </w:r>
      <w:r>
        <w:rPr>
          <w:lang w:val="fr-FR"/>
        </w:rPr>
        <w:tab/>
        <w:t>Des services d’éducation et de formation aux prestataires de services de santé de base et de services connexes, pour les aider à comprendre les besoins des personnes ayant sur</w:t>
      </w:r>
      <w:r w:rsidR="00C12E56">
        <w:rPr>
          <w:lang w:val="fr-FR"/>
        </w:rPr>
        <w:t>vécu aux tortures et aux traumatismes,</w:t>
      </w:r>
      <w:r>
        <w:rPr>
          <w:lang w:val="fr-FR"/>
        </w:rPr>
        <w:t xml:space="preserve"> et à y répondre.</w:t>
      </w:r>
    </w:p>
    <w:p w:rsidR="0043401A" w:rsidRDefault="0043401A" w:rsidP="005D7B68">
      <w:pPr>
        <w:tabs>
          <w:tab w:val="left" w:pos="567"/>
          <w:tab w:val="left" w:pos="1134"/>
          <w:tab w:val="left" w:pos="1701"/>
          <w:tab w:val="left" w:pos="2268"/>
          <w:tab w:val="left" w:pos="2835"/>
        </w:tabs>
        <w:rPr>
          <w:lang w:val="fr-FR"/>
        </w:rPr>
      </w:pPr>
      <w:r>
        <w:rPr>
          <w:lang w:val="fr-FR"/>
        </w:rPr>
        <w:t>75</w:t>
      </w:r>
      <w:r w:rsidR="00E45D23">
        <w:rPr>
          <w:lang w:val="fr-FR"/>
        </w:rPr>
        <w:t>2</w:t>
      </w:r>
      <w:r>
        <w:rPr>
          <w:lang w:val="fr-FR"/>
        </w:rPr>
        <w:t>.</w:t>
      </w:r>
      <w:r>
        <w:rPr>
          <w:lang w:val="fr-FR"/>
        </w:rPr>
        <w:tab/>
        <w:t xml:space="preserve">Un organisme spécialisé est financé dans chaque </w:t>
      </w:r>
      <w:r w:rsidR="00C12E56">
        <w:rPr>
          <w:lang w:val="fr-FR"/>
        </w:rPr>
        <w:t>État et Territoire pour dispenser</w:t>
      </w:r>
      <w:r>
        <w:rPr>
          <w:lang w:val="fr-FR"/>
        </w:rPr>
        <w:t xml:space="preserve"> des services dans le cadre du Programme d’as</w:t>
      </w:r>
      <w:r w:rsidR="009014F3">
        <w:rPr>
          <w:lang w:val="fr-FR"/>
        </w:rPr>
        <w:t>sistance aux personnes victimes de tortures et de</w:t>
      </w:r>
      <w:r w:rsidR="00C12E56">
        <w:rPr>
          <w:lang w:val="fr-FR"/>
        </w:rPr>
        <w:t xml:space="preserve"> traumatismes</w:t>
      </w:r>
      <w:r>
        <w:rPr>
          <w:lang w:val="fr-FR"/>
        </w:rPr>
        <w:t>, à savoir</w:t>
      </w:r>
      <w:r w:rsidR="00572260">
        <w:rPr>
          <w:lang w:val="fr-FR"/>
        </w:rPr>
        <w:t>:</w:t>
      </w:r>
    </w:p>
    <w:p w:rsidR="0043401A" w:rsidRPr="002C72B2" w:rsidRDefault="0043401A" w:rsidP="005D7B68">
      <w:pPr>
        <w:tabs>
          <w:tab w:val="left" w:pos="567"/>
          <w:tab w:val="left" w:pos="1134"/>
          <w:tab w:val="left" w:pos="1701"/>
          <w:tab w:val="left" w:pos="2268"/>
          <w:tab w:val="left" w:pos="2835"/>
        </w:tabs>
        <w:rPr>
          <w:i/>
          <w:iCs/>
        </w:rPr>
      </w:pPr>
      <w:r>
        <w:rPr>
          <w:lang w:val="fr-FR"/>
        </w:rPr>
        <w:tab/>
      </w:r>
      <w:r w:rsidR="008D0DA4">
        <w:t>a)</w:t>
      </w:r>
      <w:r w:rsidR="008D0DA4">
        <w:tab/>
        <w:t>Nouvelle-Galles du Sud:</w:t>
      </w:r>
      <w:r w:rsidR="00572260">
        <w:t xml:space="preserve"> </w:t>
      </w:r>
      <w:r w:rsidRPr="002C72B2">
        <w:rPr>
          <w:i/>
          <w:iCs/>
        </w:rPr>
        <w:t>NSW Service for the Treatment and Rehabilitation of Torture and Trauma Survivors;</w:t>
      </w:r>
    </w:p>
    <w:p w:rsidR="0043401A" w:rsidRPr="002C72B2" w:rsidRDefault="008D0DA4" w:rsidP="005D7B68">
      <w:pPr>
        <w:tabs>
          <w:tab w:val="left" w:pos="567"/>
          <w:tab w:val="left" w:pos="1134"/>
          <w:tab w:val="left" w:pos="1701"/>
          <w:tab w:val="left" w:pos="2268"/>
          <w:tab w:val="left" w:pos="2835"/>
        </w:tabs>
        <w:rPr>
          <w:i/>
          <w:iCs/>
        </w:rPr>
      </w:pPr>
      <w:r>
        <w:tab/>
        <w:t>b)</w:t>
      </w:r>
      <w:r>
        <w:tab/>
      </w:r>
      <w:smartTag w:uri="urn:schemas-microsoft-com:office:smarttags" w:element="State">
        <w:r>
          <w:t>Queensland</w:t>
        </w:r>
      </w:smartTag>
      <w:r>
        <w:t>:</w:t>
      </w:r>
      <w:r w:rsidR="00572260">
        <w:t xml:space="preserve"> </w:t>
      </w:r>
      <w:smartTag w:uri="urn:schemas-microsoft-com:office:smarttags" w:element="place">
        <w:smartTag w:uri="urn:schemas-microsoft-com:office:smarttags" w:element="State">
          <w:r w:rsidR="0043401A" w:rsidRPr="002C72B2">
            <w:rPr>
              <w:i/>
              <w:iCs/>
            </w:rPr>
            <w:t>Queensland</w:t>
          </w:r>
        </w:smartTag>
      </w:smartTag>
      <w:r w:rsidR="0043401A" w:rsidRPr="002C72B2">
        <w:rPr>
          <w:i/>
          <w:iCs/>
        </w:rPr>
        <w:t xml:space="preserve"> Programme of Assistance to Survivors of Torture and Trauma;</w:t>
      </w:r>
    </w:p>
    <w:p w:rsidR="0043401A" w:rsidRPr="008D0DA4" w:rsidRDefault="008D0DA4" w:rsidP="005D7B68">
      <w:pPr>
        <w:tabs>
          <w:tab w:val="left" w:pos="567"/>
          <w:tab w:val="left" w:pos="1134"/>
          <w:tab w:val="left" w:pos="1701"/>
          <w:tab w:val="left" w:pos="2268"/>
          <w:tab w:val="left" w:pos="2835"/>
        </w:tabs>
        <w:rPr>
          <w:lang w:val="fr-FR"/>
        </w:rPr>
      </w:pPr>
      <w:r>
        <w:tab/>
      </w:r>
      <w:r w:rsidRPr="008D0DA4">
        <w:rPr>
          <w:lang w:val="fr-FR"/>
        </w:rPr>
        <w:t>c)</w:t>
      </w:r>
      <w:r w:rsidRPr="008D0DA4">
        <w:rPr>
          <w:lang w:val="fr-FR"/>
        </w:rPr>
        <w:tab/>
        <w:t>Territoire de la capitale</w:t>
      </w:r>
      <w:r w:rsidR="009014F3">
        <w:rPr>
          <w:lang w:val="fr-FR"/>
        </w:rPr>
        <w:t xml:space="preserve"> fédérale</w:t>
      </w:r>
      <w:r>
        <w:rPr>
          <w:lang w:val="fr-FR"/>
        </w:rPr>
        <w:t xml:space="preserve">: </w:t>
      </w:r>
      <w:r w:rsidR="0043401A" w:rsidRPr="002C72B2">
        <w:rPr>
          <w:i/>
          <w:iCs/>
          <w:lang w:val="fr-FR"/>
        </w:rPr>
        <w:t>Companion House</w:t>
      </w:r>
      <w:r w:rsidR="0043401A" w:rsidRPr="008D0DA4">
        <w:rPr>
          <w:lang w:val="fr-FR"/>
        </w:rPr>
        <w:t xml:space="preserve">; </w:t>
      </w:r>
    </w:p>
    <w:p w:rsidR="0043401A" w:rsidRDefault="008D0DA4" w:rsidP="005D7B68">
      <w:pPr>
        <w:tabs>
          <w:tab w:val="left" w:pos="567"/>
          <w:tab w:val="left" w:pos="1134"/>
          <w:tab w:val="left" w:pos="1701"/>
          <w:tab w:val="left" w:pos="2268"/>
          <w:tab w:val="left" w:pos="2835"/>
        </w:tabs>
      </w:pPr>
      <w:r w:rsidRPr="008D0DA4">
        <w:rPr>
          <w:lang w:val="fr-FR"/>
        </w:rPr>
        <w:tab/>
      </w:r>
      <w:r>
        <w:t>d)</w:t>
      </w:r>
      <w:r>
        <w:tab/>
      </w:r>
      <w:smartTag w:uri="urn:schemas-microsoft-com:office:smarttags" w:element="place">
        <w:smartTag w:uri="urn:schemas-microsoft-com:office:smarttags" w:element="State">
          <w:r>
            <w:t>Victoria</w:t>
          </w:r>
        </w:smartTag>
      </w:smartTag>
      <w:r>
        <w:t>:</w:t>
      </w:r>
      <w:r w:rsidR="00572260">
        <w:t xml:space="preserve"> </w:t>
      </w:r>
      <w:r w:rsidR="0043401A" w:rsidRPr="002C72B2">
        <w:rPr>
          <w:i/>
          <w:iCs/>
        </w:rPr>
        <w:t>Victorian Foundation for Survivors of Torture</w:t>
      </w:r>
      <w:r w:rsidR="0043401A">
        <w:t xml:space="preserve">; </w:t>
      </w:r>
    </w:p>
    <w:p w:rsidR="0043401A" w:rsidRDefault="008D0DA4" w:rsidP="005D7B68">
      <w:pPr>
        <w:tabs>
          <w:tab w:val="left" w:pos="567"/>
          <w:tab w:val="left" w:pos="1134"/>
          <w:tab w:val="left" w:pos="1701"/>
          <w:tab w:val="left" w:pos="2268"/>
          <w:tab w:val="left" w:pos="2835"/>
        </w:tabs>
      </w:pPr>
      <w:r>
        <w:tab/>
        <w:t>e)</w:t>
      </w:r>
      <w:r>
        <w:tab/>
        <w:t>Tasmanie:</w:t>
      </w:r>
      <w:r w:rsidR="00572260">
        <w:t xml:space="preserve"> </w:t>
      </w:r>
      <w:r w:rsidR="0043401A" w:rsidRPr="002C72B2">
        <w:rPr>
          <w:i/>
          <w:iCs/>
        </w:rPr>
        <w:t>Support Service for Survivors of Torture and Trauma</w:t>
      </w:r>
      <w:r w:rsidR="0043401A">
        <w:t xml:space="preserve">; </w:t>
      </w:r>
    </w:p>
    <w:p w:rsidR="0043401A" w:rsidRDefault="008D0DA4" w:rsidP="005D7B68">
      <w:pPr>
        <w:tabs>
          <w:tab w:val="left" w:pos="567"/>
          <w:tab w:val="left" w:pos="1134"/>
          <w:tab w:val="left" w:pos="1701"/>
          <w:tab w:val="left" w:pos="2268"/>
          <w:tab w:val="left" w:pos="2835"/>
        </w:tabs>
      </w:pPr>
      <w:r>
        <w:tab/>
        <w:t>f)</w:t>
      </w:r>
      <w:r>
        <w:tab/>
      </w:r>
      <w:r w:rsidR="008E1139">
        <w:t>Australie méridionale</w:t>
      </w:r>
      <w:r>
        <w:t>:</w:t>
      </w:r>
      <w:r w:rsidR="0043401A">
        <w:t xml:space="preserve"> </w:t>
      </w:r>
      <w:r w:rsidR="0043401A" w:rsidRPr="002C72B2">
        <w:rPr>
          <w:i/>
          <w:iCs/>
        </w:rPr>
        <w:t>Survivors of Torture and Trauma Assistance and Rehabilitation Service</w:t>
      </w:r>
      <w:r w:rsidR="0043401A">
        <w:t>;</w:t>
      </w:r>
    </w:p>
    <w:p w:rsidR="0043401A" w:rsidRDefault="008D0DA4" w:rsidP="005D7B68">
      <w:pPr>
        <w:tabs>
          <w:tab w:val="left" w:pos="567"/>
          <w:tab w:val="left" w:pos="1134"/>
          <w:tab w:val="left" w:pos="1701"/>
          <w:tab w:val="left" w:pos="2268"/>
          <w:tab w:val="left" w:pos="2835"/>
        </w:tabs>
      </w:pPr>
      <w:r>
        <w:tab/>
        <w:t>g)</w:t>
      </w:r>
      <w:r>
        <w:tab/>
      </w:r>
      <w:r w:rsidR="008E1139">
        <w:t>Australie occidentale</w:t>
      </w:r>
      <w:r>
        <w:t>:</w:t>
      </w:r>
      <w:r w:rsidR="00572260">
        <w:t xml:space="preserve"> </w:t>
      </w:r>
      <w:r w:rsidR="0043401A" w:rsidRPr="002C72B2">
        <w:rPr>
          <w:i/>
          <w:iCs/>
        </w:rPr>
        <w:t>Association for Services to Torture and Trauma Survivors, Inc.</w:t>
      </w:r>
      <w:r w:rsidR="0043401A">
        <w:t>;</w:t>
      </w:r>
    </w:p>
    <w:p w:rsidR="0043401A" w:rsidRPr="002C72B2" w:rsidRDefault="0043401A" w:rsidP="005D7B68">
      <w:pPr>
        <w:tabs>
          <w:tab w:val="left" w:pos="567"/>
          <w:tab w:val="left" w:pos="1134"/>
          <w:tab w:val="left" w:pos="1701"/>
          <w:tab w:val="left" w:pos="2268"/>
          <w:tab w:val="left" w:pos="2835"/>
        </w:tabs>
        <w:rPr>
          <w:lang w:val="fr-FR"/>
        </w:rPr>
      </w:pPr>
      <w:r>
        <w:tab/>
      </w:r>
      <w:r w:rsidR="008D0DA4" w:rsidRPr="002C72B2">
        <w:rPr>
          <w:lang w:val="fr-FR"/>
        </w:rPr>
        <w:t>h)</w:t>
      </w:r>
      <w:r w:rsidR="008D0DA4" w:rsidRPr="002C72B2">
        <w:rPr>
          <w:lang w:val="fr-FR"/>
        </w:rPr>
        <w:tab/>
        <w:t xml:space="preserve">Territoire du Nord: </w:t>
      </w:r>
      <w:r w:rsidRPr="002C72B2">
        <w:rPr>
          <w:i/>
          <w:iCs/>
          <w:lang w:val="fr-FR"/>
        </w:rPr>
        <w:t xml:space="preserve">Torture and Trauma Survivors Service of </w:t>
      </w:r>
      <w:r w:rsidR="002C72B2" w:rsidRPr="002C72B2">
        <w:rPr>
          <w:i/>
          <w:iCs/>
          <w:lang w:val="fr-FR"/>
        </w:rPr>
        <w:t>t</w:t>
      </w:r>
      <w:r w:rsidR="002C72B2">
        <w:rPr>
          <w:i/>
          <w:iCs/>
          <w:lang w:val="fr-FR"/>
        </w:rPr>
        <w:t>h</w:t>
      </w:r>
      <w:r w:rsidR="002C72B2" w:rsidRPr="002C72B2">
        <w:rPr>
          <w:i/>
          <w:iCs/>
          <w:lang w:val="fr-FR"/>
        </w:rPr>
        <w:t>e</w:t>
      </w:r>
      <w:r w:rsidRPr="002C72B2">
        <w:rPr>
          <w:i/>
          <w:iCs/>
          <w:lang w:val="fr-FR"/>
        </w:rPr>
        <w:t xml:space="preserve"> Northern Territory</w:t>
      </w:r>
      <w:r w:rsidRPr="002C72B2">
        <w:rPr>
          <w:lang w:val="fr-FR"/>
        </w:rPr>
        <w:t>.</w:t>
      </w:r>
    </w:p>
    <w:p w:rsidR="0043401A" w:rsidRPr="002C72B2" w:rsidRDefault="002C72B2" w:rsidP="00E8018D">
      <w:pPr>
        <w:keepNext/>
        <w:keepLines/>
        <w:tabs>
          <w:tab w:val="left" w:pos="567"/>
          <w:tab w:val="left" w:pos="1134"/>
          <w:tab w:val="left" w:pos="1701"/>
          <w:tab w:val="left" w:pos="2268"/>
          <w:tab w:val="left" w:pos="2835"/>
        </w:tabs>
        <w:rPr>
          <w:lang w:val="fr-FR"/>
        </w:rPr>
      </w:pPr>
      <w:r>
        <w:rPr>
          <w:lang w:val="fr-FR"/>
        </w:rPr>
        <w:t>75</w:t>
      </w:r>
      <w:r w:rsidR="00E45D23">
        <w:rPr>
          <w:lang w:val="fr-FR"/>
        </w:rPr>
        <w:t>3</w:t>
      </w:r>
      <w:r>
        <w:rPr>
          <w:lang w:val="fr-FR"/>
        </w:rPr>
        <w:t>.</w:t>
      </w:r>
      <w:r>
        <w:rPr>
          <w:lang w:val="fr-FR"/>
        </w:rPr>
        <w:tab/>
        <w:t>La ventilation des fonds pendant la période couverte par le présent rapport et la période suivante se présente comme suit</w:t>
      </w:r>
      <w:r w:rsidR="00572260">
        <w:rPr>
          <w:lang w:val="fr-FR"/>
        </w:rPr>
        <w:t>:</w:t>
      </w:r>
    </w:p>
    <w:tbl>
      <w:tblPr>
        <w:tblW w:w="3946" w:type="pct"/>
        <w:jc w:val="center"/>
        <w:tblInd w:w="216"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4419"/>
        <w:gridCol w:w="3134"/>
      </w:tblGrid>
      <w:tr w:rsidR="00E5409D" w:rsidRPr="007728D6">
        <w:trPr>
          <w:jc w:val="center"/>
        </w:trPr>
        <w:tc>
          <w:tcPr>
            <w:tcW w:w="5000" w:type="pct"/>
            <w:gridSpan w:val="2"/>
            <w:tcBorders>
              <w:top w:val="single" w:sz="4" w:space="0" w:color="auto"/>
              <w:bottom w:val="single" w:sz="4" w:space="0" w:color="auto"/>
            </w:tcBorders>
            <w:shd w:val="clear" w:color="auto" w:fill="auto"/>
          </w:tcPr>
          <w:p w:rsidR="00E5409D" w:rsidRPr="007728D6" w:rsidRDefault="00E5409D" w:rsidP="00E8018D">
            <w:pPr>
              <w:keepNext/>
              <w:keepLines/>
              <w:tabs>
                <w:tab w:val="left" w:pos="567"/>
                <w:tab w:val="left" w:pos="1134"/>
                <w:tab w:val="left" w:pos="1701"/>
                <w:tab w:val="left" w:pos="2268"/>
                <w:tab w:val="left" w:pos="2835"/>
              </w:tabs>
              <w:spacing w:after="0"/>
              <w:jc w:val="center"/>
              <w:rPr>
                <w:sz w:val="22"/>
                <w:szCs w:val="22"/>
              </w:rPr>
            </w:pPr>
            <w:r w:rsidRPr="007728D6">
              <w:rPr>
                <w:sz w:val="22"/>
                <w:szCs w:val="22"/>
              </w:rPr>
              <w:t>2007-2008</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E8018D">
            <w:pPr>
              <w:keepNext/>
              <w:keepLines/>
              <w:tabs>
                <w:tab w:val="left" w:pos="567"/>
                <w:tab w:val="left" w:pos="1134"/>
                <w:tab w:val="left" w:pos="1701"/>
                <w:tab w:val="left" w:pos="2268"/>
                <w:tab w:val="left" w:pos="2835"/>
              </w:tabs>
              <w:spacing w:after="0"/>
              <w:rPr>
                <w:sz w:val="22"/>
                <w:szCs w:val="22"/>
              </w:rPr>
            </w:pPr>
            <w:r w:rsidRPr="007728D6">
              <w:rPr>
                <w:sz w:val="22"/>
                <w:szCs w:val="22"/>
              </w:rPr>
              <w:t>Territoire de la capitale</w:t>
            </w:r>
          </w:p>
        </w:tc>
        <w:tc>
          <w:tcPr>
            <w:tcW w:w="2075" w:type="pct"/>
            <w:tcBorders>
              <w:left w:val="single" w:sz="4" w:space="0" w:color="auto"/>
            </w:tcBorders>
            <w:shd w:val="clear" w:color="auto" w:fill="auto"/>
          </w:tcPr>
          <w:p w:rsidR="00E5409D" w:rsidRPr="007728D6" w:rsidRDefault="00E5409D" w:rsidP="00E8018D">
            <w:pPr>
              <w:keepNext/>
              <w:keepLines/>
              <w:tabs>
                <w:tab w:val="left" w:pos="567"/>
                <w:tab w:val="left" w:pos="1134"/>
                <w:tab w:val="left" w:pos="1701"/>
                <w:tab w:val="left" w:pos="2268"/>
                <w:tab w:val="left" w:pos="2835"/>
              </w:tabs>
              <w:spacing w:after="0"/>
              <w:ind w:right="425"/>
              <w:jc w:val="right"/>
              <w:rPr>
                <w:sz w:val="22"/>
                <w:szCs w:val="22"/>
              </w:rPr>
            </w:pPr>
            <w:r w:rsidRPr="007728D6">
              <w:rPr>
                <w:sz w:val="22"/>
                <w:szCs w:val="22"/>
              </w:rPr>
              <w:t>222 182</w:t>
            </w:r>
            <w:r w:rsidR="00986001" w:rsidRPr="007728D6">
              <w:rPr>
                <w:sz w:val="22"/>
                <w:szCs w:val="22"/>
              </w:rPr>
              <w:t>,</w:t>
            </w:r>
            <w:r w:rsidRPr="007728D6">
              <w:rPr>
                <w:sz w:val="22"/>
                <w:szCs w:val="22"/>
              </w:rPr>
              <w:t>18</w:t>
            </w:r>
            <w:r w:rsidR="00955B8B" w:rsidRPr="007728D6">
              <w:rPr>
                <w:sz w:val="22"/>
                <w:szCs w:val="22"/>
              </w:rPr>
              <w:t xml:space="preserve"> $</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E8018D">
            <w:pPr>
              <w:keepNext/>
              <w:keepLines/>
              <w:tabs>
                <w:tab w:val="left" w:pos="567"/>
                <w:tab w:val="left" w:pos="1134"/>
                <w:tab w:val="left" w:pos="1701"/>
                <w:tab w:val="left" w:pos="2268"/>
                <w:tab w:val="left" w:pos="2835"/>
              </w:tabs>
              <w:spacing w:after="0"/>
              <w:rPr>
                <w:sz w:val="22"/>
                <w:szCs w:val="22"/>
              </w:rPr>
            </w:pPr>
            <w:r w:rsidRPr="007728D6">
              <w:rPr>
                <w:sz w:val="22"/>
                <w:szCs w:val="22"/>
              </w:rPr>
              <w:t xml:space="preserve">Nouvelle-Galles du Sud </w:t>
            </w:r>
          </w:p>
        </w:tc>
        <w:tc>
          <w:tcPr>
            <w:tcW w:w="2075" w:type="pct"/>
            <w:tcBorders>
              <w:left w:val="single" w:sz="4" w:space="0" w:color="auto"/>
            </w:tcBorders>
            <w:shd w:val="clear" w:color="auto" w:fill="auto"/>
          </w:tcPr>
          <w:p w:rsidR="00E5409D" w:rsidRPr="007728D6" w:rsidRDefault="00E5409D" w:rsidP="00E8018D">
            <w:pPr>
              <w:keepNext/>
              <w:keepLines/>
              <w:tabs>
                <w:tab w:val="left" w:pos="567"/>
                <w:tab w:val="left" w:pos="1134"/>
                <w:tab w:val="left" w:pos="1701"/>
                <w:tab w:val="left" w:pos="2268"/>
                <w:tab w:val="left" w:pos="2835"/>
              </w:tabs>
              <w:spacing w:after="0"/>
              <w:ind w:right="425"/>
              <w:jc w:val="right"/>
              <w:rPr>
                <w:sz w:val="22"/>
                <w:szCs w:val="22"/>
              </w:rPr>
            </w:pPr>
            <w:r w:rsidRPr="007728D6">
              <w:rPr>
                <w:sz w:val="22"/>
                <w:szCs w:val="22"/>
              </w:rPr>
              <w:t>1 620 516</w:t>
            </w:r>
            <w:r w:rsidR="00986001" w:rsidRPr="007728D6">
              <w:rPr>
                <w:sz w:val="22"/>
                <w:szCs w:val="22"/>
              </w:rPr>
              <w:t>,</w:t>
            </w:r>
            <w:r w:rsidRPr="007728D6">
              <w:rPr>
                <w:sz w:val="22"/>
                <w:szCs w:val="22"/>
              </w:rPr>
              <w:t>37</w:t>
            </w:r>
            <w:r w:rsidR="00955B8B" w:rsidRPr="007728D6">
              <w:rPr>
                <w:sz w:val="22"/>
                <w:szCs w:val="22"/>
              </w:rPr>
              <w:t xml:space="preserve"> $</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rPr>
                <w:sz w:val="22"/>
                <w:szCs w:val="22"/>
              </w:rPr>
            </w:pPr>
            <w:r w:rsidRPr="007728D6">
              <w:rPr>
                <w:sz w:val="22"/>
                <w:szCs w:val="22"/>
              </w:rPr>
              <w:t>Territoire du Nord</w:t>
            </w:r>
          </w:p>
        </w:tc>
        <w:tc>
          <w:tcPr>
            <w:tcW w:w="2075" w:type="pct"/>
            <w:tcBorders>
              <w:lef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142 660</w:t>
            </w:r>
            <w:r w:rsidR="00986001" w:rsidRPr="007728D6">
              <w:rPr>
                <w:sz w:val="22"/>
                <w:szCs w:val="22"/>
              </w:rPr>
              <w:t>,</w:t>
            </w:r>
            <w:r w:rsidRPr="007728D6">
              <w:rPr>
                <w:sz w:val="22"/>
                <w:szCs w:val="22"/>
              </w:rPr>
              <w:t>43</w:t>
            </w:r>
            <w:r w:rsidR="004405F4" w:rsidRPr="007728D6">
              <w:rPr>
                <w:sz w:val="22"/>
                <w:szCs w:val="22"/>
              </w:rPr>
              <w:t xml:space="preserve"> $ </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rPr>
                <w:sz w:val="22"/>
                <w:szCs w:val="22"/>
              </w:rPr>
            </w:pPr>
            <w:smartTag w:uri="urn:schemas-microsoft-com:office:smarttags" w:element="place">
              <w:smartTag w:uri="urn:schemas-microsoft-com:office:smarttags" w:element="State">
                <w:r w:rsidRPr="007728D6">
                  <w:rPr>
                    <w:sz w:val="22"/>
                    <w:szCs w:val="22"/>
                  </w:rPr>
                  <w:t>Queensland</w:t>
                </w:r>
              </w:smartTag>
            </w:smartTag>
          </w:p>
        </w:tc>
        <w:tc>
          <w:tcPr>
            <w:tcW w:w="2075" w:type="pct"/>
            <w:tcBorders>
              <w:lef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499 357</w:t>
            </w:r>
            <w:r w:rsidR="00986001" w:rsidRPr="007728D6">
              <w:rPr>
                <w:sz w:val="22"/>
                <w:szCs w:val="22"/>
              </w:rPr>
              <w:t>,</w:t>
            </w:r>
            <w:r w:rsidRPr="007728D6">
              <w:rPr>
                <w:sz w:val="22"/>
                <w:szCs w:val="22"/>
              </w:rPr>
              <w:t>07</w:t>
            </w:r>
            <w:r w:rsidR="004405F4" w:rsidRPr="007728D6">
              <w:rPr>
                <w:sz w:val="22"/>
                <w:szCs w:val="22"/>
              </w:rPr>
              <w:t xml:space="preserve"> $</w:t>
            </w:r>
          </w:p>
        </w:tc>
      </w:tr>
      <w:tr w:rsidR="00E5409D" w:rsidRPr="007728D6">
        <w:trPr>
          <w:jc w:val="center"/>
        </w:trPr>
        <w:tc>
          <w:tcPr>
            <w:tcW w:w="2925" w:type="pct"/>
            <w:tcBorders>
              <w:right w:val="single" w:sz="4" w:space="0" w:color="auto"/>
            </w:tcBorders>
            <w:shd w:val="clear" w:color="auto" w:fill="auto"/>
          </w:tcPr>
          <w:p w:rsidR="00E5409D" w:rsidRPr="007728D6" w:rsidRDefault="008E1139" w:rsidP="005D7B68">
            <w:pPr>
              <w:tabs>
                <w:tab w:val="left" w:pos="567"/>
                <w:tab w:val="left" w:pos="1134"/>
                <w:tab w:val="left" w:pos="1701"/>
                <w:tab w:val="left" w:pos="2268"/>
                <w:tab w:val="left" w:pos="2835"/>
              </w:tabs>
              <w:spacing w:after="0"/>
              <w:rPr>
                <w:sz w:val="22"/>
                <w:szCs w:val="22"/>
              </w:rPr>
            </w:pPr>
            <w:r w:rsidRPr="007728D6">
              <w:rPr>
                <w:sz w:val="22"/>
                <w:szCs w:val="22"/>
              </w:rPr>
              <w:t>Australie méridionale</w:t>
            </w:r>
            <w:r w:rsidR="00E5409D" w:rsidRPr="007728D6">
              <w:rPr>
                <w:sz w:val="22"/>
                <w:szCs w:val="22"/>
              </w:rPr>
              <w:t xml:space="preserve"> </w:t>
            </w:r>
          </w:p>
        </w:tc>
        <w:tc>
          <w:tcPr>
            <w:tcW w:w="2075" w:type="pct"/>
            <w:tcBorders>
              <w:lef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495 161</w:t>
            </w:r>
            <w:r w:rsidR="00986001" w:rsidRPr="007728D6">
              <w:rPr>
                <w:sz w:val="22"/>
                <w:szCs w:val="22"/>
              </w:rPr>
              <w:t>,</w:t>
            </w:r>
            <w:r w:rsidRPr="007728D6">
              <w:rPr>
                <w:sz w:val="22"/>
                <w:szCs w:val="22"/>
              </w:rPr>
              <w:t>12</w:t>
            </w:r>
            <w:r w:rsidR="004405F4" w:rsidRPr="007728D6">
              <w:rPr>
                <w:sz w:val="22"/>
                <w:szCs w:val="22"/>
              </w:rPr>
              <w:t xml:space="preserve"> $</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rPr>
                <w:sz w:val="22"/>
                <w:szCs w:val="22"/>
              </w:rPr>
            </w:pPr>
            <w:r w:rsidRPr="007728D6">
              <w:rPr>
                <w:sz w:val="22"/>
                <w:szCs w:val="22"/>
              </w:rPr>
              <w:t>Ta</w:t>
            </w:r>
            <w:r w:rsidR="00986001" w:rsidRPr="007728D6">
              <w:rPr>
                <w:sz w:val="22"/>
                <w:szCs w:val="22"/>
              </w:rPr>
              <w:t>s</w:t>
            </w:r>
            <w:r w:rsidRPr="007728D6">
              <w:rPr>
                <w:sz w:val="22"/>
                <w:szCs w:val="22"/>
              </w:rPr>
              <w:t xml:space="preserve">manie </w:t>
            </w:r>
          </w:p>
        </w:tc>
        <w:tc>
          <w:tcPr>
            <w:tcW w:w="2075" w:type="pct"/>
            <w:tcBorders>
              <w:lef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198 684</w:t>
            </w:r>
            <w:r w:rsidR="00986001" w:rsidRPr="007728D6">
              <w:rPr>
                <w:sz w:val="22"/>
                <w:szCs w:val="22"/>
              </w:rPr>
              <w:t>,</w:t>
            </w:r>
            <w:r w:rsidRPr="007728D6">
              <w:rPr>
                <w:sz w:val="22"/>
                <w:szCs w:val="22"/>
              </w:rPr>
              <w:t>56</w:t>
            </w:r>
            <w:r w:rsidR="004405F4" w:rsidRPr="007728D6">
              <w:rPr>
                <w:sz w:val="22"/>
                <w:szCs w:val="22"/>
              </w:rPr>
              <w:t xml:space="preserve"> $</w:t>
            </w:r>
          </w:p>
        </w:tc>
      </w:tr>
      <w:tr w:rsidR="00E5409D" w:rsidRPr="007728D6">
        <w:trPr>
          <w:jc w:val="center"/>
        </w:trPr>
        <w:tc>
          <w:tcPr>
            <w:tcW w:w="2925" w:type="pct"/>
            <w:tcBorders>
              <w:righ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rPr>
                <w:sz w:val="22"/>
                <w:szCs w:val="22"/>
              </w:rPr>
            </w:pPr>
            <w:smartTag w:uri="urn:schemas-microsoft-com:office:smarttags" w:element="place">
              <w:smartTag w:uri="urn:schemas-microsoft-com:office:smarttags" w:element="State">
                <w:r w:rsidRPr="007728D6">
                  <w:rPr>
                    <w:sz w:val="22"/>
                    <w:szCs w:val="22"/>
                  </w:rPr>
                  <w:t>Victoria</w:t>
                </w:r>
              </w:smartTag>
            </w:smartTag>
            <w:r w:rsidRPr="007728D6">
              <w:rPr>
                <w:sz w:val="22"/>
                <w:szCs w:val="22"/>
              </w:rPr>
              <w:t xml:space="preserve"> </w:t>
            </w:r>
          </w:p>
        </w:tc>
        <w:tc>
          <w:tcPr>
            <w:tcW w:w="2075" w:type="pct"/>
            <w:tcBorders>
              <w:left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1 426 848</w:t>
            </w:r>
            <w:r w:rsidR="00986001" w:rsidRPr="007728D6">
              <w:rPr>
                <w:sz w:val="22"/>
                <w:szCs w:val="22"/>
              </w:rPr>
              <w:t>,</w:t>
            </w:r>
            <w:r w:rsidRPr="007728D6">
              <w:rPr>
                <w:sz w:val="22"/>
                <w:szCs w:val="22"/>
              </w:rPr>
              <w:t>75</w:t>
            </w:r>
            <w:r w:rsidR="004405F4" w:rsidRPr="007728D6">
              <w:rPr>
                <w:sz w:val="22"/>
                <w:szCs w:val="22"/>
              </w:rPr>
              <w:t xml:space="preserve"> $</w:t>
            </w:r>
          </w:p>
        </w:tc>
      </w:tr>
      <w:tr w:rsidR="00E5409D" w:rsidRPr="007728D6">
        <w:trPr>
          <w:jc w:val="center"/>
        </w:trPr>
        <w:tc>
          <w:tcPr>
            <w:tcW w:w="2925" w:type="pct"/>
            <w:tcBorders>
              <w:bottom w:val="single" w:sz="4" w:space="0" w:color="auto"/>
              <w:right w:val="single" w:sz="4" w:space="0" w:color="auto"/>
            </w:tcBorders>
            <w:shd w:val="clear" w:color="auto" w:fill="auto"/>
          </w:tcPr>
          <w:p w:rsidR="00E5409D" w:rsidRPr="007728D6" w:rsidRDefault="008E1139" w:rsidP="005D7B68">
            <w:pPr>
              <w:tabs>
                <w:tab w:val="left" w:pos="567"/>
                <w:tab w:val="left" w:pos="1134"/>
                <w:tab w:val="left" w:pos="1701"/>
                <w:tab w:val="left" w:pos="2268"/>
                <w:tab w:val="left" w:pos="2835"/>
              </w:tabs>
              <w:spacing w:after="0"/>
              <w:rPr>
                <w:sz w:val="22"/>
                <w:szCs w:val="22"/>
              </w:rPr>
            </w:pPr>
            <w:r w:rsidRPr="007728D6">
              <w:rPr>
                <w:sz w:val="22"/>
                <w:szCs w:val="22"/>
              </w:rPr>
              <w:t>Australie occidentale</w:t>
            </w:r>
            <w:r w:rsidR="00E5409D" w:rsidRPr="007728D6">
              <w:rPr>
                <w:sz w:val="22"/>
                <w:szCs w:val="22"/>
              </w:rPr>
              <w:t xml:space="preserve"> </w:t>
            </w:r>
          </w:p>
        </w:tc>
        <w:tc>
          <w:tcPr>
            <w:tcW w:w="2075" w:type="pct"/>
            <w:tcBorders>
              <w:left w:val="single" w:sz="4" w:space="0" w:color="auto"/>
              <w:bottom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534 889</w:t>
            </w:r>
            <w:r w:rsidR="00986001" w:rsidRPr="007728D6">
              <w:rPr>
                <w:sz w:val="22"/>
                <w:szCs w:val="22"/>
              </w:rPr>
              <w:t>,</w:t>
            </w:r>
            <w:r w:rsidRPr="007728D6">
              <w:rPr>
                <w:sz w:val="22"/>
                <w:szCs w:val="22"/>
              </w:rPr>
              <w:t>50</w:t>
            </w:r>
            <w:r w:rsidR="004405F4" w:rsidRPr="007728D6">
              <w:rPr>
                <w:sz w:val="22"/>
                <w:szCs w:val="22"/>
              </w:rPr>
              <w:t xml:space="preserve"> $</w:t>
            </w:r>
          </w:p>
        </w:tc>
      </w:tr>
      <w:tr w:rsidR="00E5409D" w:rsidRPr="007728D6">
        <w:trPr>
          <w:jc w:val="center"/>
        </w:trPr>
        <w:tc>
          <w:tcPr>
            <w:tcW w:w="2925" w:type="pct"/>
            <w:tcBorders>
              <w:top w:val="single" w:sz="4" w:space="0" w:color="auto"/>
              <w:bottom w:val="single" w:sz="4" w:space="0" w:color="auto"/>
              <w:right w:val="single" w:sz="4" w:space="0" w:color="auto"/>
            </w:tcBorders>
            <w:shd w:val="clear" w:color="auto" w:fill="auto"/>
          </w:tcPr>
          <w:p w:rsidR="00E5409D" w:rsidRPr="007728D6" w:rsidRDefault="00572260" w:rsidP="005D7B68">
            <w:pPr>
              <w:tabs>
                <w:tab w:val="left" w:pos="567"/>
                <w:tab w:val="left" w:pos="1134"/>
                <w:tab w:val="left" w:pos="1701"/>
                <w:tab w:val="left" w:pos="2268"/>
                <w:tab w:val="left" w:pos="2835"/>
              </w:tabs>
              <w:spacing w:after="0"/>
              <w:rPr>
                <w:sz w:val="22"/>
                <w:szCs w:val="22"/>
                <w:lang w:val="fr-FR"/>
              </w:rPr>
            </w:pPr>
            <w:r w:rsidRPr="007728D6">
              <w:rPr>
                <w:sz w:val="22"/>
                <w:szCs w:val="22"/>
                <w:lang w:val="fr-FR"/>
              </w:rPr>
              <w:t xml:space="preserve"> </w:t>
            </w:r>
            <w:r w:rsidR="00E32C91" w:rsidRPr="007728D6">
              <w:rPr>
                <w:sz w:val="22"/>
                <w:szCs w:val="22"/>
                <w:lang w:val="fr-FR"/>
              </w:rPr>
              <w:t xml:space="preserve"> </w:t>
            </w:r>
            <w:r w:rsidR="00E5409D" w:rsidRPr="007728D6">
              <w:rPr>
                <w:sz w:val="22"/>
                <w:szCs w:val="22"/>
                <w:lang w:val="fr-FR"/>
              </w:rPr>
              <w:t>Total 2007-2008</w:t>
            </w:r>
            <w:r w:rsidRPr="007728D6">
              <w:rPr>
                <w:sz w:val="22"/>
                <w:szCs w:val="22"/>
                <w:lang w:val="fr-FR"/>
              </w:rPr>
              <w:t xml:space="preserve"> </w:t>
            </w:r>
            <w:r w:rsidR="002E5CC3" w:rsidRPr="007728D6">
              <w:rPr>
                <w:sz w:val="22"/>
                <w:szCs w:val="22"/>
                <w:lang w:val="fr-FR"/>
              </w:rPr>
              <w:t>T</w:t>
            </w:r>
            <w:r w:rsidR="00205DFB" w:rsidRPr="007728D6">
              <w:rPr>
                <w:sz w:val="22"/>
                <w:szCs w:val="22"/>
                <w:lang w:val="fr-FR"/>
              </w:rPr>
              <w:t>axe GST</w:t>
            </w:r>
            <w:r w:rsidR="00E32C91" w:rsidRPr="007728D6">
              <w:rPr>
                <w:b/>
                <w:bCs/>
                <w:i/>
                <w:iCs/>
                <w:sz w:val="22"/>
                <w:szCs w:val="22"/>
                <w:lang w:val="fr-FR"/>
              </w:rPr>
              <w:t>*</w:t>
            </w:r>
            <w:r w:rsidR="002E5CC3" w:rsidRPr="007728D6">
              <w:rPr>
                <w:sz w:val="22"/>
                <w:szCs w:val="22"/>
                <w:lang w:val="fr-FR"/>
              </w:rPr>
              <w:t xml:space="preserve"> incluse</w:t>
            </w:r>
          </w:p>
        </w:tc>
        <w:tc>
          <w:tcPr>
            <w:tcW w:w="2075" w:type="pct"/>
            <w:tcBorders>
              <w:top w:val="single" w:sz="4" w:space="0" w:color="auto"/>
              <w:left w:val="single" w:sz="4" w:space="0" w:color="auto"/>
              <w:bottom w:val="single" w:sz="4" w:space="0" w:color="auto"/>
            </w:tcBorders>
            <w:shd w:val="clear" w:color="auto" w:fill="auto"/>
          </w:tcPr>
          <w:p w:rsidR="00E5409D" w:rsidRPr="007728D6" w:rsidRDefault="00E5409D" w:rsidP="005D7B68">
            <w:pPr>
              <w:tabs>
                <w:tab w:val="left" w:pos="567"/>
                <w:tab w:val="left" w:pos="1134"/>
                <w:tab w:val="left" w:pos="1701"/>
                <w:tab w:val="left" w:pos="2268"/>
                <w:tab w:val="left" w:pos="2835"/>
              </w:tabs>
              <w:spacing w:after="0"/>
              <w:ind w:right="425"/>
              <w:jc w:val="right"/>
              <w:rPr>
                <w:sz w:val="22"/>
                <w:szCs w:val="22"/>
              </w:rPr>
            </w:pPr>
            <w:r w:rsidRPr="007728D6">
              <w:rPr>
                <w:sz w:val="22"/>
                <w:szCs w:val="22"/>
              </w:rPr>
              <w:t>5 140 299</w:t>
            </w:r>
            <w:r w:rsidR="00986001" w:rsidRPr="007728D6">
              <w:rPr>
                <w:sz w:val="22"/>
                <w:szCs w:val="22"/>
              </w:rPr>
              <w:t>,</w:t>
            </w:r>
            <w:r w:rsidRPr="007728D6">
              <w:rPr>
                <w:sz w:val="22"/>
                <w:szCs w:val="22"/>
              </w:rPr>
              <w:t>98</w:t>
            </w:r>
            <w:r w:rsidR="004405F4" w:rsidRPr="007728D6">
              <w:rPr>
                <w:sz w:val="22"/>
                <w:szCs w:val="22"/>
              </w:rPr>
              <w:t xml:space="preserve"> $</w:t>
            </w:r>
          </w:p>
        </w:tc>
      </w:tr>
    </w:tbl>
    <w:p w:rsidR="007B7C96" w:rsidRPr="002C72B2" w:rsidRDefault="009014F3" w:rsidP="005D7B68">
      <w:pPr>
        <w:tabs>
          <w:tab w:val="left" w:pos="567"/>
          <w:tab w:val="left" w:pos="1134"/>
          <w:tab w:val="left" w:pos="1701"/>
          <w:tab w:val="left" w:pos="2268"/>
          <w:tab w:val="left" w:pos="2835"/>
        </w:tabs>
        <w:spacing w:before="120"/>
        <w:rPr>
          <w:lang w:val="fr-FR"/>
        </w:rPr>
      </w:pPr>
      <w:r w:rsidRPr="00E32C91">
        <w:rPr>
          <w:b/>
          <w:bCs/>
          <w:i/>
          <w:iCs/>
          <w:lang w:val="fr-FR"/>
        </w:rPr>
        <w:t>*</w:t>
      </w:r>
      <w:r>
        <w:rPr>
          <w:lang w:val="fr-FR"/>
        </w:rPr>
        <w:t xml:space="preserve"> GST</w:t>
      </w:r>
      <w:r w:rsidR="00572260">
        <w:rPr>
          <w:lang w:val="fr-FR"/>
        </w:rPr>
        <w:t>:</w:t>
      </w:r>
      <w:r>
        <w:rPr>
          <w:lang w:val="fr-FR"/>
        </w:rPr>
        <w:t xml:space="preserve"> taxe sur les produits et les services (note du traducteur)</w:t>
      </w:r>
      <w:r w:rsidR="00572260">
        <w:rPr>
          <w:lang w:val="fr-FR"/>
        </w:rPr>
        <w:t xml:space="preserve">   </w:t>
      </w:r>
    </w:p>
    <w:tbl>
      <w:tblPr>
        <w:tblW w:w="3950" w:type="pct"/>
        <w:jc w:val="center"/>
        <w:tblInd w:w="87" w:type="dxa"/>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13"/>
        <w:gridCol w:w="4417"/>
        <w:gridCol w:w="50"/>
        <w:gridCol w:w="36"/>
        <w:gridCol w:w="30"/>
        <w:gridCol w:w="106"/>
        <w:gridCol w:w="2900"/>
        <w:gridCol w:w="8"/>
      </w:tblGrid>
      <w:tr w:rsidR="007B7C96" w:rsidRPr="000A3E75">
        <w:trPr>
          <w:jc w:val="center"/>
        </w:trPr>
        <w:tc>
          <w:tcPr>
            <w:tcW w:w="5000" w:type="pct"/>
            <w:gridSpan w:val="8"/>
            <w:tcBorders>
              <w:top w:val="single" w:sz="4" w:space="0" w:color="auto"/>
              <w:bottom w:val="single" w:sz="4" w:space="0" w:color="auto"/>
            </w:tcBorders>
            <w:shd w:val="clear" w:color="auto" w:fill="auto"/>
          </w:tcPr>
          <w:p w:rsidR="007B7C96" w:rsidRPr="000A3E75" w:rsidRDefault="007B7C96" w:rsidP="005D7B68">
            <w:pPr>
              <w:tabs>
                <w:tab w:val="left" w:pos="340"/>
                <w:tab w:val="left" w:pos="567"/>
                <w:tab w:val="left" w:pos="1134"/>
                <w:tab w:val="left" w:pos="1701"/>
                <w:tab w:val="left" w:pos="2268"/>
                <w:tab w:val="left" w:pos="2835"/>
                <w:tab w:val="center" w:pos="3032"/>
              </w:tabs>
              <w:spacing w:after="0"/>
              <w:jc w:val="center"/>
              <w:rPr>
                <w:sz w:val="22"/>
                <w:szCs w:val="22"/>
              </w:rPr>
            </w:pPr>
            <w:r w:rsidRPr="000A3E75">
              <w:rPr>
                <w:sz w:val="22"/>
                <w:szCs w:val="22"/>
              </w:rPr>
              <w:t>2006-2007</w:t>
            </w:r>
          </w:p>
        </w:tc>
      </w:tr>
      <w:tr w:rsidR="007B7C96" w:rsidRPr="000A3E75">
        <w:trPr>
          <w:jc w:val="center"/>
        </w:trPr>
        <w:tc>
          <w:tcPr>
            <w:tcW w:w="3007" w:type="pct"/>
            <w:gridSpan w:val="5"/>
            <w:tcBorders>
              <w:top w:val="single" w:sz="4" w:space="0" w:color="auto"/>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93" w:type="pct"/>
            <w:gridSpan w:val="3"/>
            <w:tcBorders>
              <w:top w:val="single" w:sz="4" w:space="0" w:color="auto"/>
              <w:left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153 848,42</w:t>
            </w:r>
            <w:r w:rsidR="004405F4"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93" w:type="pct"/>
            <w:gridSpan w:val="3"/>
            <w:tcBorders>
              <w:top w:val="nil"/>
              <w:left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474 029,38</w:t>
            </w:r>
            <w:r w:rsidR="004405F4"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93" w:type="pct"/>
            <w:gridSpan w:val="3"/>
            <w:tcBorders>
              <w:top w:val="nil"/>
              <w:left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75 822,67</w:t>
            </w:r>
            <w:r w:rsidR="004405F4"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93" w:type="pct"/>
            <w:gridSpan w:val="3"/>
            <w:tcBorders>
              <w:top w:val="nil"/>
              <w:left w:val="single" w:sz="4" w:space="0" w:color="auto"/>
              <w:bottom w:val="nil"/>
            </w:tcBorders>
            <w:shd w:val="clear" w:color="auto" w:fill="auto"/>
          </w:tcPr>
          <w:p w:rsidR="007B7C96" w:rsidRPr="000A3E75" w:rsidRDefault="004405F4"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 xml:space="preserve"> </w:t>
            </w:r>
            <w:r w:rsidR="007B7C96" w:rsidRPr="000A3E75">
              <w:rPr>
                <w:sz w:val="22"/>
                <w:szCs w:val="22"/>
              </w:rPr>
              <w:t>178 633,07</w:t>
            </w:r>
            <w:r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7B7C96" w:rsidRPr="000A3E75">
              <w:rPr>
                <w:sz w:val="22"/>
                <w:szCs w:val="22"/>
              </w:rPr>
              <w:t xml:space="preserve"> </w:t>
            </w:r>
          </w:p>
        </w:tc>
        <w:tc>
          <w:tcPr>
            <w:tcW w:w="1993" w:type="pct"/>
            <w:gridSpan w:val="3"/>
            <w:tcBorders>
              <w:top w:val="nil"/>
              <w:left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167 617,67</w:t>
            </w:r>
            <w:r w:rsidR="004405F4"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93" w:type="pct"/>
            <w:gridSpan w:val="3"/>
            <w:tcBorders>
              <w:top w:val="nil"/>
              <w:left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 xml:space="preserve"> 126 493,51</w:t>
            </w:r>
            <w:r w:rsidR="004405F4" w:rsidRPr="000A3E75">
              <w:rPr>
                <w:sz w:val="22"/>
                <w:szCs w:val="22"/>
              </w:rPr>
              <w:t xml:space="preserve"> $</w:t>
            </w:r>
          </w:p>
        </w:tc>
      </w:tr>
      <w:tr w:rsidR="007B7C96" w:rsidRPr="000A3E75">
        <w:trPr>
          <w:jc w:val="center"/>
        </w:trPr>
        <w:tc>
          <w:tcPr>
            <w:tcW w:w="3007" w:type="pct"/>
            <w:gridSpan w:val="5"/>
            <w:tcBorders>
              <w:top w:val="nil"/>
              <w:bottom w:val="nil"/>
              <w:right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93" w:type="pct"/>
            <w:gridSpan w:val="3"/>
            <w:tcBorders>
              <w:top w:val="nil"/>
              <w:left w:val="single" w:sz="4" w:space="0" w:color="auto"/>
              <w:bottom w:val="nil"/>
            </w:tcBorders>
            <w:shd w:val="clear" w:color="auto" w:fill="auto"/>
          </w:tcPr>
          <w:p w:rsidR="007B7C96" w:rsidRPr="000A3E75" w:rsidRDefault="004405F4"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 xml:space="preserve"> </w:t>
            </w:r>
            <w:r w:rsidR="007B7C96" w:rsidRPr="000A3E75">
              <w:rPr>
                <w:sz w:val="22"/>
                <w:szCs w:val="22"/>
              </w:rPr>
              <w:t>474 029,</w:t>
            </w:r>
            <w:r w:rsidRPr="000A3E75">
              <w:rPr>
                <w:sz w:val="22"/>
                <w:szCs w:val="22"/>
              </w:rPr>
              <w:t>38 $</w:t>
            </w:r>
          </w:p>
        </w:tc>
      </w:tr>
      <w:tr w:rsidR="007B7C96" w:rsidRPr="000A3E75">
        <w:trPr>
          <w:jc w:val="center"/>
        </w:trPr>
        <w:tc>
          <w:tcPr>
            <w:tcW w:w="3007" w:type="pct"/>
            <w:gridSpan w:val="5"/>
            <w:tcBorders>
              <w:top w:val="nil"/>
              <w:bottom w:val="single" w:sz="4" w:space="0" w:color="auto"/>
              <w:right w:val="single" w:sz="4" w:space="0" w:color="auto"/>
            </w:tcBorders>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7B7C96" w:rsidRPr="000A3E75">
              <w:rPr>
                <w:sz w:val="22"/>
                <w:szCs w:val="22"/>
              </w:rPr>
              <w:t xml:space="preserve"> </w:t>
            </w:r>
          </w:p>
        </w:tc>
        <w:tc>
          <w:tcPr>
            <w:tcW w:w="1993" w:type="pct"/>
            <w:gridSpan w:val="3"/>
            <w:tcBorders>
              <w:top w:val="nil"/>
              <w:left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185 425,90</w:t>
            </w:r>
            <w:r w:rsidR="004405F4" w:rsidRPr="000A3E75">
              <w:rPr>
                <w:sz w:val="22"/>
                <w:szCs w:val="22"/>
              </w:rPr>
              <w:t xml:space="preserve"> $</w:t>
            </w:r>
          </w:p>
        </w:tc>
      </w:tr>
      <w:tr w:rsidR="007B7C96" w:rsidRPr="000A3E75">
        <w:trPr>
          <w:jc w:val="center"/>
        </w:trPr>
        <w:tc>
          <w:tcPr>
            <w:tcW w:w="3007" w:type="pct"/>
            <w:gridSpan w:val="5"/>
            <w:tcBorders>
              <w:top w:val="single" w:sz="4" w:space="0" w:color="auto"/>
              <w:bottom w:val="single" w:sz="4" w:space="0" w:color="auto"/>
              <w:right w:val="single" w:sz="4" w:space="0" w:color="auto"/>
            </w:tcBorders>
            <w:shd w:val="clear" w:color="auto" w:fill="auto"/>
          </w:tcPr>
          <w:p w:rsidR="007B7C96" w:rsidRPr="000A3E75" w:rsidRDefault="00572260" w:rsidP="005D7B68">
            <w:pPr>
              <w:tabs>
                <w:tab w:val="left" w:pos="567"/>
                <w:tab w:val="left" w:pos="1134"/>
                <w:tab w:val="left" w:pos="1701"/>
                <w:tab w:val="left" w:pos="2268"/>
                <w:tab w:val="left" w:pos="2835"/>
              </w:tabs>
              <w:spacing w:after="0"/>
              <w:rPr>
                <w:sz w:val="22"/>
                <w:szCs w:val="22"/>
                <w:lang w:val="fr-FR"/>
              </w:rPr>
            </w:pPr>
            <w:r w:rsidRPr="000A3E75">
              <w:rPr>
                <w:sz w:val="22"/>
                <w:szCs w:val="22"/>
                <w:lang w:val="fr-FR"/>
              </w:rPr>
              <w:t xml:space="preserve"> </w:t>
            </w:r>
            <w:r w:rsidR="00E32C91" w:rsidRPr="000A3E75">
              <w:rPr>
                <w:sz w:val="22"/>
                <w:szCs w:val="22"/>
                <w:lang w:val="fr-FR"/>
              </w:rPr>
              <w:t xml:space="preserve"> </w:t>
            </w:r>
            <w:r w:rsidR="007B7C96" w:rsidRPr="000A3E75">
              <w:rPr>
                <w:sz w:val="22"/>
                <w:szCs w:val="22"/>
                <w:lang w:val="fr-FR"/>
              </w:rPr>
              <w:t>Total 2006-2007</w:t>
            </w:r>
            <w:r w:rsidRPr="000A3E75">
              <w:rPr>
                <w:sz w:val="22"/>
                <w:szCs w:val="22"/>
                <w:lang w:val="fr-FR"/>
              </w:rPr>
              <w:t xml:space="preserve"> </w:t>
            </w:r>
            <w:r w:rsidR="002E5CC3" w:rsidRPr="000A3E75">
              <w:rPr>
                <w:sz w:val="22"/>
                <w:szCs w:val="22"/>
                <w:lang w:val="fr-FR"/>
              </w:rPr>
              <w:t>T</w:t>
            </w:r>
            <w:r w:rsidR="007B7C96" w:rsidRPr="000A3E75">
              <w:rPr>
                <w:sz w:val="22"/>
                <w:szCs w:val="22"/>
                <w:lang w:val="fr-FR"/>
              </w:rPr>
              <w:t>axe GST</w:t>
            </w:r>
            <w:r w:rsidR="002E5CC3" w:rsidRPr="000A3E75">
              <w:rPr>
                <w:sz w:val="22"/>
                <w:szCs w:val="22"/>
                <w:lang w:val="fr-FR"/>
              </w:rPr>
              <w:t xml:space="preserve"> incluse</w:t>
            </w:r>
          </w:p>
        </w:tc>
        <w:tc>
          <w:tcPr>
            <w:tcW w:w="1993" w:type="pct"/>
            <w:gridSpan w:val="3"/>
            <w:tcBorders>
              <w:top w:val="single" w:sz="4" w:space="0" w:color="auto"/>
              <w:left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1 835 900,00</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4995" w:type="pct"/>
            <w:gridSpan w:val="7"/>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jc w:val="center"/>
              <w:rPr>
                <w:sz w:val="22"/>
                <w:szCs w:val="22"/>
              </w:rPr>
            </w:pPr>
            <w:r w:rsidRPr="000A3E75">
              <w:rPr>
                <w:sz w:val="22"/>
                <w:szCs w:val="22"/>
              </w:rPr>
              <w:br w:type="page"/>
            </w:r>
            <w:r w:rsidRPr="000A3E75">
              <w:rPr>
                <w:sz w:val="22"/>
                <w:szCs w:val="22"/>
              </w:rPr>
              <w:br w:type="page"/>
            </w:r>
            <w:r w:rsidRPr="000A3E75">
              <w:rPr>
                <w:sz w:val="22"/>
                <w:szCs w:val="22"/>
              </w:rPr>
              <w:br w:type="page"/>
              <w:t>2005-2006</w:t>
            </w:r>
          </w:p>
        </w:tc>
      </w:tr>
      <w:tr w:rsidR="007B7C96" w:rsidRPr="000A3E75">
        <w:tblPrEx>
          <w:tblBorders>
            <w:insideV w:val="single" w:sz="4" w:space="0" w:color="auto"/>
          </w:tblBorders>
        </w:tblPrEx>
        <w:trPr>
          <w:gridAfter w:val="1"/>
          <w:wAfter w:w="5" w:type="pct"/>
          <w:jc w:val="center"/>
        </w:trPr>
        <w:tc>
          <w:tcPr>
            <w:tcW w:w="2930" w:type="pct"/>
            <w:gridSpan w:val="2"/>
            <w:tcBorders>
              <w:top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2065" w:type="pct"/>
            <w:gridSpan w:val="5"/>
            <w:tcBorders>
              <w:top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267 189,34</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tcBorders>
              <w:top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2065" w:type="pct"/>
            <w:gridSpan w:val="5"/>
            <w:tcBorders>
              <w:top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1 075 557,50</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2065"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191 712,84</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2065"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400 017,64</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7B7C96" w:rsidRPr="000A3E75">
              <w:rPr>
                <w:sz w:val="22"/>
                <w:szCs w:val="22"/>
              </w:rPr>
              <w:t xml:space="preserve"> </w:t>
            </w:r>
          </w:p>
        </w:tc>
        <w:tc>
          <w:tcPr>
            <w:tcW w:w="2065"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378 877,84</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2065"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240 342,52</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2065"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1 035 052,26</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tcBorders>
              <w:bottom w:val="single" w:sz="4" w:space="0" w:color="auto"/>
            </w:tcBorders>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7B7C96" w:rsidRPr="000A3E75">
              <w:rPr>
                <w:sz w:val="22"/>
                <w:szCs w:val="22"/>
              </w:rPr>
              <w:t xml:space="preserve"> </w:t>
            </w:r>
          </w:p>
        </w:tc>
        <w:tc>
          <w:tcPr>
            <w:tcW w:w="2065" w:type="pct"/>
            <w:gridSpan w:val="5"/>
            <w:tcBorders>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413 053,30</w:t>
            </w:r>
            <w:r w:rsidR="004405F4" w:rsidRPr="000A3E75">
              <w:rPr>
                <w:sz w:val="22"/>
                <w:szCs w:val="22"/>
              </w:rPr>
              <w:t xml:space="preserve"> $</w:t>
            </w:r>
          </w:p>
        </w:tc>
      </w:tr>
      <w:tr w:rsidR="007B7C96" w:rsidRPr="000A3E75">
        <w:tblPrEx>
          <w:tblBorders>
            <w:insideV w:val="single" w:sz="4" w:space="0" w:color="auto"/>
          </w:tblBorders>
        </w:tblPrEx>
        <w:trPr>
          <w:gridAfter w:val="1"/>
          <w:wAfter w:w="5" w:type="pct"/>
          <w:jc w:val="center"/>
        </w:trPr>
        <w:tc>
          <w:tcPr>
            <w:tcW w:w="2930" w:type="pct"/>
            <w:gridSpan w:val="2"/>
            <w:tcBorders>
              <w:top w:val="single" w:sz="4" w:space="0" w:color="auto"/>
              <w:bottom w:val="single" w:sz="4" w:space="0" w:color="auto"/>
            </w:tcBorders>
            <w:shd w:val="clear" w:color="auto" w:fill="auto"/>
          </w:tcPr>
          <w:p w:rsidR="007B7C96" w:rsidRPr="000A3E75" w:rsidRDefault="00572260" w:rsidP="005D7B68">
            <w:pPr>
              <w:tabs>
                <w:tab w:val="left" w:pos="567"/>
                <w:tab w:val="left" w:pos="1134"/>
                <w:tab w:val="left" w:pos="1701"/>
                <w:tab w:val="left" w:pos="2268"/>
                <w:tab w:val="left" w:pos="2835"/>
              </w:tabs>
              <w:spacing w:after="0"/>
              <w:rPr>
                <w:sz w:val="22"/>
                <w:szCs w:val="22"/>
                <w:lang w:val="fr-FR"/>
              </w:rPr>
            </w:pPr>
            <w:r w:rsidRPr="000A3E75">
              <w:rPr>
                <w:sz w:val="22"/>
                <w:szCs w:val="22"/>
                <w:lang w:val="fr-FR"/>
              </w:rPr>
              <w:t xml:space="preserve"> </w:t>
            </w:r>
            <w:r w:rsidR="001745F1" w:rsidRPr="000A3E75">
              <w:rPr>
                <w:sz w:val="22"/>
                <w:szCs w:val="22"/>
                <w:lang w:val="fr-FR"/>
              </w:rPr>
              <w:t xml:space="preserve"> </w:t>
            </w:r>
            <w:r w:rsidR="007B7C96" w:rsidRPr="000A3E75">
              <w:rPr>
                <w:sz w:val="22"/>
                <w:szCs w:val="22"/>
                <w:lang w:val="fr-FR"/>
              </w:rPr>
              <w:t>Total 2005-2006</w:t>
            </w:r>
            <w:r w:rsidRPr="000A3E75">
              <w:rPr>
                <w:sz w:val="22"/>
                <w:szCs w:val="22"/>
                <w:lang w:val="fr-FR"/>
              </w:rPr>
              <w:t xml:space="preserve"> </w:t>
            </w:r>
            <w:r w:rsidR="002E5CC3" w:rsidRPr="000A3E75">
              <w:rPr>
                <w:sz w:val="22"/>
                <w:szCs w:val="22"/>
                <w:lang w:val="fr-FR"/>
              </w:rPr>
              <w:t>T</w:t>
            </w:r>
            <w:r w:rsidR="007B7C96" w:rsidRPr="000A3E75">
              <w:rPr>
                <w:sz w:val="22"/>
                <w:szCs w:val="22"/>
                <w:lang w:val="fr-FR"/>
              </w:rPr>
              <w:t>axe GST</w:t>
            </w:r>
            <w:r w:rsidR="002E5CC3" w:rsidRPr="000A3E75">
              <w:rPr>
                <w:sz w:val="22"/>
                <w:szCs w:val="22"/>
                <w:lang w:val="fr-FR"/>
              </w:rPr>
              <w:t xml:space="preserve"> incluse</w:t>
            </w:r>
          </w:p>
        </w:tc>
        <w:tc>
          <w:tcPr>
            <w:tcW w:w="2065" w:type="pct"/>
            <w:gridSpan w:val="5"/>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4 001 803,24</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4991" w:type="pct"/>
            <w:gridSpan w:val="7"/>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jc w:val="center"/>
              <w:rPr>
                <w:sz w:val="22"/>
                <w:szCs w:val="22"/>
              </w:rPr>
            </w:pPr>
            <w:r w:rsidRPr="000A3E75">
              <w:rPr>
                <w:sz w:val="22"/>
                <w:szCs w:val="22"/>
              </w:rPr>
              <w:t>2004-2005</w:t>
            </w:r>
          </w:p>
        </w:tc>
      </w:tr>
      <w:tr w:rsidR="007B7C96" w:rsidRPr="000A3E75">
        <w:tblPrEx>
          <w:tblBorders>
            <w:insideV w:val="single" w:sz="4" w:space="0" w:color="auto"/>
          </w:tblBorders>
        </w:tblPrEx>
        <w:trPr>
          <w:gridBefore w:val="1"/>
          <w:wBefore w:w="9" w:type="pct"/>
          <w:trHeight w:val="58"/>
          <w:jc w:val="center"/>
        </w:trPr>
        <w:tc>
          <w:tcPr>
            <w:tcW w:w="2954" w:type="pct"/>
            <w:gridSpan w:val="2"/>
            <w:tcBorders>
              <w:top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2037" w:type="pct"/>
            <w:gridSpan w:val="5"/>
            <w:tcBorders>
              <w:top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150 348,00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2037"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452 813,00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2037"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76 058,00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2037"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176 880,00</w:t>
            </w:r>
            <w:r w:rsidR="004405F4" w:rsidRPr="000A3E75">
              <w:rPr>
                <w:sz w:val="22"/>
                <w:szCs w:val="22"/>
              </w:rPr>
              <w:t xml:space="preserve"> $ </w:t>
            </w:r>
          </w:p>
        </w:tc>
      </w:tr>
      <w:tr w:rsidR="007B7C96" w:rsidRPr="000A3E75">
        <w:tblPrEx>
          <w:tblBorders>
            <w:insideV w:val="single" w:sz="4" w:space="0" w:color="auto"/>
          </w:tblBorders>
        </w:tblPrEx>
        <w:trPr>
          <w:gridBefore w:val="1"/>
          <w:wBefore w:w="9" w:type="pct"/>
          <w:jc w:val="center"/>
        </w:trPr>
        <w:tc>
          <w:tcPr>
            <w:tcW w:w="2954" w:type="pct"/>
            <w:gridSpan w:val="2"/>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7B7C96" w:rsidRPr="000A3E75">
              <w:rPr>
                <w:sz w:val="22"/>
                <w:szCs w:val="22"/>
              </w:rPr>
              <w:t xml:space="preserve"> </w:t>
            </w:r>
          </w:p>
        </w:tc>
        <w:tc>
          <w:tcPr>
            <w:tcW w:w="2037"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159 192,00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2037" w:type="pct"/>
            <w:gridSpan w:val="5"/>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123 816,00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tcBorders>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2037" w:type="pct"/>
            <w:gridSpan w:val="5"/>
            <w:tcBorders>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452 813,00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tcBorders>
              <w:top w:val="nil"/>
              <w:bottom w:val="single" w:sz="4" w:space="0" w:color="auto"/>
            </w:tcBorders>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7B7C96" w:rsidRPr="000A3E75">
              <w:rPr>
                <w:sz w:val="22"/>
                <w:szCs w:val="22"/>
              </w:rPr>
              <w:t xml:space="preserve"> </w:t>
            </w:r>
          </w:p>
        </w:tc>
        <w:tc>
          <w:tcPr>
            <w:tcW w:w="2037" w:type="pct"/>
            <w:gridSpan w:val="5"/>
            <w:tcBorders>
              <w:top w:val="nil"/>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176 880,00</w:t>
            </w:r>
            <w:r w:rsidR="004405F4" w:rsidRPr="000A3E75">
              <w:rPr>
                <w:sz w:val="22"/>
                <w:szCs w:val="22"/>
              </w:rPr>
              <w:t xml:space="preserve"> $</w:t>
            </w:r>
          </w:p>
        </w:tc>
      </w:tr>
      <w:tr w:rsidR="007B7C96" w:rsidRPr="000A3E75">
        <w:tblPrEx>
          <w:tblBorders>
            <w:insideV w:val="single" w:sz="4" w:space="0" w:color="auto"/>
          </w:tblBorders>
        </w:tblPrEx>
        <w:trPr>
          <w:gridBefore w:val="1"/>
          <w:wBefore w:w="9" w:type="pct"/>
          <w:jc w:val="center"/>
        </w:trPr>
        <w:tc>
          <w:tcPr>
            <w:tcW w:w="2954" w:type="pct"/>
            <w:gridSpan w:val="2"/>
            <w:tcBorders>
              <w:top w:val="single" w:sz="4" w:space="0" w:color="auto"/>
              <w:bottom w:val="single" w:sz="4" w:space="0" w:color="auto"/>
            </w:tcBorders>
            <w:shd w:val="clear" w:color="auto" w:fill="auto"/>
          </w:tcPr>
          <w:p w:rsidR="007B7C96" w:rsidRPr="000A3E75" w:rsidRDefault="00572260" w:rsidP="005D7B68">
            <w:pPr>
              <w:tabs>
                <w:tab w:val="left" w:pos="567"/>
                <w:tab w:val="left" w:pos="1134"/>
                <w:tab w:val="left" w:pos="1701"/>
                <w:tab w:val="left" w:pos="2268"/>
                <w:tab w:val="left" w:pos="2835"/>
              </w:tabs>
              <w:spacing w:after="0"/>
              <w:rPr>
                <w:sz w:val="22"/>
                <w:szCs w:val="22"/>
                <w:lang w:val="fr-FR"/>
              </w:rPr>
            </w:pPr>
            <w:r w:rsidRPr="000A3E75">
              <w:rPr>
                <w:sz w:val="22"/>
                <w:szCs w:val="22"/>
                <w:lang w:val="fr-FR"/>
              </w:rPr>
              <w:t xml:space="preserve"> </w:t>
            </w:r>
            <w:r w:rsidR="001745F1" w:rsidRPr="000A3E75">
              <w:rPr>
                <w:sz w:val="22"/>
                <w:szCs w:val="22"/>
                <w:lang w:val="fr-FR"/>
              </w:rPr>
              <w:t xml:space="preserve"> </w:t>
            </w:r>
            <w:r w:rsidR="007B7C96" w:rsidRPr="000A3E75">
              <w:rPr>
                <w:sz w:val="22"/>
                <w:szCs w:val="22"/>
                <w:lang w:val="fr-FR"/>
              </w:rPr>
              <w:t>Total 2004-2005</w:t>
            </w:r>
            <w:r w:rsidRPr="000A3E75">
              <w:rPr>
                <w:sz w:val="22"/>
                <w:szCs w:val="22"/>
                <w:lang w:val="fr-FR"/>
              </w:rPr>
              <w:t xml:space="preserve"> </w:t>
            </w:r>
            <w:r w:rsidR="002E5CC3" w:rsidRPr="000A3E75">
              <w:rPr>
                <w:sz w:val="22"/>
                <w:szCs w:val="22"/>
                <w:lang w:val="fr-FR"/>
              </w:rPr>
              <w:t>T</w:t>
            </w:r>
            <w:r w:rsidR="007B7C96" w:rsidRPr="000A3E75">
              <w:rPr>
                <w:sz w:val="22"/>
                <w:szCs w:val="22"/>
                <w:lang w:val="fr-FR"/>
              </w:rPr>
              <w:t xml:space="preserve">axe GST </w:t>
            </w:r>
            <w:r w:rsidR="002E5CC3" w:rsidRPr="000A3E75">
              <w:rPr>
                <w:sz w:val="22"/>
                <w:szCs w:val="22"/>
                <w:lang w:val="fr-FR"/>
              </w:rPr>
              <w:t>incluse</w:t>
            </w:r>
          </w:p>
        </w:tc>
        <w:tc>
          <w:tcPr>
            <w:tcW w:w="2037" w:type="pct"/>
            <w:gridSpan w:val="5"/>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1 768 800,00</w:t>
            </w:r>
            <w:r w:rsidR="004405F4" w:rsidRPr="000A3E75">
              <w:rPr>
                <w:sz w:val="22"/>
                <w:szCs w:val="22"/>
              </w:rPr>
              <w:t xml:space="preserve"> $</w:t>
            </w:r>
          </w:p>
        </w:tc>
      </w:tr>
      <w:tr w:rsidR="007B7C96"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jc w:val="center"/>
              <w:rPr>
                <w:sz w:val="22"/>
                <w:szCs w:val="22"/>
              </w:rPr>
            </w:pPr>
            <w:r w:rsidRPr="000A3E75">
              <w:rPr>
                <w:sz w:val="22"/>
                <w:szCs w:val="22"/>
              </w:rPr>
              <w:br w:type="page"/>
            </w:r>
            <w:r w:rsidRPr="000A3E75">
              <w:rPr>
                <w:sz w:val="22"/>
                <w:szCs w:val="22"/>
              </w:rPr>
              <w:br w:type="page"/>
            </w:r>
            <w:r w:rsidRPr="000A3E75">
              <w:rPr>
                <w:sz w:val="22"/>
                <w:szCs w:val="22"/>
              </w:rPr>
              <w:br w:type="page"/>
              <w:t>2003-2004</w:t>
            </w:r>
          </w:p>
        </w:tc>
      </w:tr>
      <w:tr w:rsidR="007B7C96" w:rsidRPr="000A3E75">
        <w:tblPrEx>
          <w:tblBorders>
            <w:insideV w:val="single" w:sz="4" w:space="0" w:color="auto"/>
          </w:tblBorders>
        </w:tblPrEx>
        <w:trPr>
          <w:jc w:val="center"/>
        </w:trPr>
        <w:tc>
          <w:tcPr>
            <w:tcW w:w="2987" w:type="pct"/>
            <w:gridSpan w:val="4"/>
            <w:tcBorders>
              <w:top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2013" w:type="pct"/>
            <w:gridSpan w:val="4"/>
            <w:tcBorders>
              <w:top w:val="single" w:sz="4" w:space="0" w:color="auto"/>
              <w:bottom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146 605,80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tcBorders>
              <w:top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2013" w:type="pct"/>
            <w:gridSpan w:val="4"/>
            <w:tcBorders>
              <w:top w:val="nil"/>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443 539,80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2013"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74 108,10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2013"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169 544,10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7B7C96" w:rsidRPr="000A3E75">
              <w:rPr>
                <w:sz w:val="22"/>
                <w:szCs w:val="22"/>
              </w:rPr>
              <w:t xml:space="preserve"> </w:t>
            </w:r>
          </w:p>
        </w:tc>
        <w:tc>
          <w:tcPr>
            <w:tcW w:w="2013"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159 341,60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2013"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121 093,50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2013" w:type="pct"/>
            <w:gridSpan w:val="4"/>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443 539,80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tcBorders>
              <w:bottom w:val="single" w:sz="4" w:space="0" w:color="auto"/>
            </w:tcBorders>
            <w:shd w:val="clear" w:color="auto" w:fill="auto"/>
          </w:tcPr>
          <w:p w:rsidR="007B7C96"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7B7C96" w:rsidRPr="000A3E75">
              <w:rPr>
                <w:sz w:val="22"/>
                <w:szCs w:val="22"/>
              </w:rPr>
              <w:t xml:space="preserve"> </w:t>
            </w:r>
          </w:p>
        </w:tc>
        <w:tc>
          <w:tcPr>
            <w:tcW w:w="2013" w:type="pct"/>
            <w:gridSpan w:val="4"/>
            <w:tcBorders>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175 828,40</w:t>
            </w:r>
            <w:r w:rsidR="004405F4" w:rsidRPr="000A3E75">
              <w:rPr>
                <w:sz w:val="22"/>
                <w:szCs w:val="22"/>
              </w:rPr>
              <w:t xml:space="preserve"> $</w:t>
            </w:r>
          </w:p>
        </w:tc>
      </w:tr>
      <w:tr w:rsidR="007B7C96" w:rsidRPr="000A3E75">
        <w:tblPrEx>
          <w:tblBorders>
            <w:insideV w:val="single" w:sz="4" w:space="0" w:color="auto"/>
          </w:tblBorders>
        </w:tblPrEx>
        <w:trPr>
          <w:jc w:val="center"/>
        </w:trPr>
        <w:tc>
          <w:tcPr>
            <w:tcW w:w="2987" w:type="pct"/>
            <w:gridSpan w:val="4"/>
            <w:tcBorders>
              <w:top w:val="single" w:sz="4" w:space="0" w:color="auto"/>
              <w:bottom w:val="single" w:sz="4" w:space="0" w:color="auto"/>
            </w:tcBorders>
            <w:shd w:val="clear" w:color="auto" w:fill="auto"/>
          </w:tcPr>
          <w:p w:rsidR="007B7C96" w:rsidRPr="000A3E75" w:rsidRDefault="00572260" w:rsidP="005D7B68">
            <w:pPr>
              <w:tabs>
                <w:tab w:val="left" w:pos="567"/>
                <w:tab w:val="left" w:pos="1134"/>
                <w:tab w:val="left" w:pos="1701"/>
                <w:tab w:val="left" w:pos="2268"/>
                <w:tab w:val="left" w:pos="2835"/>
              </w:tabs>
              <w:spacing w:after="0"/>
              <w:rPr>
                <w:sz w:val="22"/>
                <w:szCs w:val="22"/>
                <w:lang w:val="fr-FR"/>
              </w:rPr>
            </w:pPr>
            <w:r w:rsidRPr="000A3E75">
              <w:rPr>
                <w:sz w:val="22"/>
                <w:szCs w:val="22"/>
                <w:lang w:val="fr-FR"/>
              </w:rPr>
              <w:t xml:space="preserve"> </w:t>
            </w:r>
            <w:r w:rsidR="001745F1" w:rsidRPr="000A3E75">
              <w:rPr>
                <w:sz w:val="22"/>
                <w:szCs w:val="22"/>
                <w:lang w:val="fr-FR"/>
              </w:rPr>
              <w:t xml:space="preserve"> </w:t>
            </w:r>
            <w:r w:rsidR="002E5CC3" w:rsidRPr="000A3E75">
              <w:rPr>
                <w:sz w:val="22"/>
                <w:szCs w:val="22"/>
                <w:lang w:val="fr-FR"/>
              </w:rPr>
              <w:t>Total 2003-2004</w:t>
            </w:r>
            <w:r w:rsidRPr="000A3E75">
              <w:rPr>
                <w:sz w:val="22"/>
                <w:szCs w:val="22"/>
                <w:lang w:val="fr-FR"/>
              </w:rPr>
              <w:t xml:space="preserve"> </w:t>
            </w:r>
            <w:r w:rsidR="002E5CC3" w:rsidRPr="000A3E75">
              <w:rPr>
                <w:sz w:val="22"/>
                <w:szCs w:val="22"/>
                <w:lang w:val="fr-FR"/>
              </w:rPr>
              <w:t>Taxe GST incluse</w:t>
            </w:r>
          </w:p>
        </w:tc>
        <w:tc>
          <w:tcPr>
            <w:tcW w:w="2013" w:type="pct"/>
            <w:gridSpan w:val="4"/>
            <w:tcBorders>
              <w:top w:val="single" w:sz="4" w:space="0" w:color="auto"/>
              <w:bottom w:val="single" w:sz="4" w:space="0" w:color="auto"/>
            </w:tcBorders>
            <w:shd w:val="clear" w:color="auto" w:fill="auto"/>
          </w:tcPr>
          <w:p w:rsidR="007B7C96" w:rsidRPr="000A3E75" w:rsidRDefault="007B7C96"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1 733</w:t>
            </w:r>
            <w:r w:rsidR="002E5CC3" w:rsidRPr="000A3E75">
              <w:rPr>
                <w:sz w:val="22"/>
                <w:szCs w:val="22"/>
              </w:rPr>
              <w:t> 601,</w:t>
            </w:r>
            <w:r w:rsidRPr="000A3E75">
              <w:rPr>
                <w:sz w:val="22"/>
                <w:szCs w:val="22"/>
              </w:rPr>
              <w:t>10</w:t>
            </w:r>
            <w:r w:rsidR="004405F4" w:rsidRPr="000A3E75">
              <w:rPr>
                <w:sz w:val="22"/>
                <w:szCs w:val="22"/>
              </w:rPr>
              <w:t xml:space="preserve"> $</w:t>
            </w:r>
            <w:r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4995" w:type="pct"/>
            <w:gridSpan w:val="7"/>
            <w:tcBorders>
              <w:top w:val="single" w:sz="4" w:space="0" w:color="auto"/>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jc w:val="center"/>
              <w:rPr>
                <w:sz w:val="22"/>
                <w:szCs w:val="22"/>
              </w:rPr>
            </w:pPr>
            <w:r w:rsidRPr="000A3E75">
              <w:rPr>
                <w:sz w:val="22"/>
                <w:szCs w:val="22"/>
              </w:rPr>
              <w:t>2002-2003</w:t>
            </w:r>
          </w:p>
        </w:tc>
      </w:tr>
      <w:tr w:rsidR="001F6CC0" w:rsidRPr="000A3E75">
        <w:tblPrEx>
          <w:tblBorders>
            <w:insideV w:val="single" w:sz="4" w:space="0" w:color="auto"/>
          </w:tblBorders>
        </w:tblPrEx>
        <w:trPr>
          <w:gridAfter w:val="1"/>
          <w:wAfter w:w="5" w:type="pct"/>
          <w:trHeight w:val="70"/>
          <w:jc w:val="center"/>
        </w:trPr>
        <w:tc>
          <w:tcPr>
            <w:tcW w:w="2963" w:type="pct"/>
            <w:gridSpan w:val="3"/>
            <w:tcBorders>
              <w:top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2032" w:type="pct"/>
            <w:gridSpan w:val="4"/>
            <w:tcBorders>
              <w:top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143 163,90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433 126,10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72 366,80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165 563,20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tcBorders>
              <w:bottom w:val="nil"/>
            </w:tcBorders>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1F6CC0" w:rsidRPr="000A3E75">
              <w:rPr>
                <w:sz w:val="22"/>
                <w:szCs w:val="22"/>
              </w:rPr>
              <w:t xml:space="preserve"> </w:t>
            </w:r>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155 601,60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tcBorders>
              <w:top w:val="nil"/>
              <w:bottom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118 251,10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tcBorders>
              <w:top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2032" w:type="pct"/>
            <w:gridSpan w:val="4"/>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433 126,10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tcBorders>
              <w:bottom w:val="single" w:sz="4" w:space="0" w:color="auto"/>
            </w:tcBorders>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1F6CC0" w:rsidRPr="000A3E75">
              <w:rPr>
                <w:sz w:val="22"/>
                <w:szCs w:val="22"/>
              </w:rPr>
              <w:t xml:space="preserve"> </w:t>
            </w:r>
          </w:p>
        </w:tc>
        <w:tc>
          <w:tcPr>
            <w:tcW w:w="2032" w:type="pct"/>
            <w:gridSpan w:val="4"/>
            <w:tcBorders>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171 700,10</w:t>
            </w:r>
            <w:r w:rsidR="004405F4" w:rsidRPr="000A3E75">
              <w:rPr>
                <w:sz w:val="22"/>
                <w:szCs w:val="22"/>
              </w:rPr>
              <w:t xml:space="preserve"> $</w:t>
            </w:r>
          </w:p>
        </w:tc>
      </w:tr>
      <w:tr w:rsidR="001F6CC0" w:rsidRPr="000A3E75">
        <w:tblPrEx>
          <w:tblBorders>
            <w:insideV w:val="single" w:sz="4" w:space="0" w:color="auto"/>
          </w:tblBorders>
        </w:tblPrEx>
        <w:trPr>
          <w:gridAfter w:val="1"/>
          <w:wAfter w:w="5" w:type="pct"/>
          <w:jc w:val="center"/>
        </w:trPr>
        <w:tc>
          <w:tcPr>
            <w:tcW w:w="2963" w:type="pct"/>
            <w:gridSpan w:val="3"/>
            <w:tcBorders>
              <w:top w:val="single" w:sz="4" w:space="0" w:color="auto"/>
              <w:bottom w:val="nil"/>
            </w:tcBorders>
            <w:shd w:val="clear" w:color="auto" w:fill="auto"/>
          </w:tcPr>
          <w:p w:rsidR="001F6CC0"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1745F1" w:rsidRPr="000A3E75">
              <w:rPr>
                <w:sz w:val="22"/>
                <w:szCs w:val="22"/>
              </w:rPr>
              <w:t xml:space="preserve"> </w:t>
            </w:r>
            <w:r w:rsidR="001F6CC0" w:rsidRPr="000A3E75">
              <w:rPr>
                <w:sz w:val="22"/>
                <w:szCs w:val="22"/>
              </w:rPr>
              <w:t>Total 2002-2003</w:t>
            </w:r>
            <w:r w:rsidRPr="000A3E75">
              <w:rPr>
                <w:sz w:val="22"/>
                <w:szCs w:val="22"/>
              </w:rPr>
              <w:t xml:space="preserve"> </w:t>
            </w:r>
            <w:r w:rsidR="001F6CC0" w:rsidRPr="000A3E75">
              <w:rPr>
                <w:sz w:val="22"/>
                <w:szCs w:val="22"/>
              </w:rPr>
              <w:t xml:space="preserve">Taxe GST incluse </w:t>
            </w:r>
          </w:p>
        </w:tc>
        <w:tc>
          <w:tcPr>
            <w:tcW w:w="2032" w:type="pct"/>
            <w:gridSpan w:val="4"/>
            <w:tcBorders>
              <w:top w:val="single" w:sz="4" w:space="0" w:color="auto"/>
              <w:bottom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1 692 898,90</w:t>
            </w:r>
            <w:r w:rsidR="004405F4" w:rsidRPr="000A3E75">
              <w:rPr>
                <w:sz w:val="22"/>
                <w:szCs w:val="22"/>
              </w:rPr>
              <w:t xml:space="preserve"> $</w:t>
            </w:r>
          </w:p>
        </w:tc>
      </w:tr>
      <w:tr w:rsidR="001F6CC0"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jc w:val="center"/>
              <w:rPr>
                <w:sz w:val="22"/>
                <w:szCs w:val="22"/>
              </w:rPr>
            </w:pPr>
            <w:r w:rsidRPr="000A3E75">
              <w:rPr>
                <w:sz w:val="22"/>
                <w:szCs w:val="22"/>
              </w:rPr>
              <w:br w:type="page"/>
            </w:r>
            <w:r w:rsidRPr="000A3E75">
              <w:rPr>
                <w:sz w:val="22"/>
                <w:szCs w:val="22"/>
              </w:rPr>
              <w:br w:type="page"/>
            </w:r>
            <w:r w:rsidRPr="000A3E75">
              <w:rPr>
                <w:sz w:val="22"/>
                <w:szCs w:val="22"/>
              </w:rPr>
              <w:br w:type="page"/>
              <w:t>2001-2002</w:t>
            </w:r>
          </w:p>
        </w:tc>
      </w:tr>
      <w:tr w:rsidR="001F6CC0" w:rsidRPr="000A3E75">
        <w:tblPrEx>
          <w:tblBorders>
            <w:insideV w:val="single" w:sz="4" w:space="0" w:color="auto"/>
          </w:tblBorders>
        </w:tblPrEx>
        <w:trPr>
          <w:jc w:val="center"/>
        </w:trPr>
        <w:tc>
          <w:tcPr>
            <w:tcW w:w="3077" w:type="pct"/>
            <w:gridSpan w:val="6"/>
            <w:tcBorders>
              <w:top w:val="single" w:sz="4" w:space="0" w:color="auto"/>
              <w:bottom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bottom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137 024,80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tcBorders>
              <w:top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tcBorders>
              <w:top w:val="nil"/>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414 551,50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69 263,70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158 462,70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1F6CC0" w:rsidRPr="000A3E75">
              <w:rPr>
                <w:sz w:val="22"/>
                <w:szCs w:val="22"/>
              </w:rPr>
              <w:t xml:space="preserv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148 929,00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113 180,10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414 551,50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1F6CC0" w:rsidRPr="000A3E75">
              <w:rPr>
                <w:sz w:val="22"/>
                <w:szCs w:val="22"/>
              </w:rPr>
              <w:t xml:space="preserve"> </w:t>
            </w:r>
          </w:p>
        </w:tc>
        <w:tc>
          <w:tcPr>
            <w:tcW w:w="1923" w:type="pct"/>
            <w:gridSpan w:val="2"/>
            <w:tcBorders>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164 336,70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1F6CC0"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1745F1" w:rsidRPr="000A3E75">
              <w:rPr>
                <w:sz w:val="22"/>
                <w:szCs w:val="22"/>
              </w:rPr>
              <w:t xml:space="preserve"> </w:t>
            </w:r>
            <w:r w:rsidR="001F6CC0" w:rsidRPr="000A3E75">
              <w:rPr>
                <w:sz w:val="22"/>
                <w:szCs w:val="22"/>
              </w:rPr>
              <w:t>Total 2001-2002</w:t>
            </w:r>
            <w:r w:rsidRPr="000A3E75">
              <w:rPr>
                <w:sz w:val="22"/>
                <w:szCs w:val="22"/>
              </w:rPr>
              <w:t xml:space="preserve"> </w:t>
            </w:r>
            <w:r w:rsidR="001F6CC0" w:rsidRPr="000A3E75">
              <w:rPr>
                <w:sz w:val="22"/>
                <w:szCs w:val="22"/>
              </w:rPr>
              <w:t>Taxe GST incluse</w:t>
            </w:r>
          </w:p>
        </w:tc>
        <w:tc>
          <w:tcPr>
            <w:tcW w:w="1923" w:type="pct"/>
            <w:gridSpan w:val="2"/>
            <w:tcBorders>
              <w:top w:val="single" w:sz="4" w:space="0" w:color="auto"/>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1 620 300,00</w:t>
            </w:r>
            <w:r w:rsidR="004405F4" w:rsidRPr="000A3E75">
              <w:rPr>
                <w:sz w:val="22"/>
                <w:szCs w:val="22"/>
              </w:rPr>
              <w:t xml:space="preserve"> $</w:t>
            </w:r>
          </w:p>
        </w:tc>
      </w:tr>
      <w:tr w:rsidR="001F6CC0"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jc w:val="center"/>
              <w:rPr>
                <w:sz w:val="22"/>
                <w:szCs w:val="22"/>
              </w:rPr>
            </w:pPr>
            <w:r w:rsidRPr="000A3E75">
              <w:rPr>
                <w:sz w:val="22"/>
                <w:szCs w:val="22"/>
              </w:rPr>
              <w:t>2000-2001</w:t>
            </w:r>
          </w:p>
        </w:tc>
      </w:tr>
      <w:tr w:rsidR="001F6CC0" w:rsidRPr="000A3E75">
        <w:tblPrEx>
          <w:tblBorders>
            <w:insideV w:val="single" w:sz="4" w:space="0" w:color="auto"/>
          </w:tblBorders>
        </w:tblPrEx>
        <w:trPr>
          <w:jc w:val="center"/>
        </w:trPr>
        <w:tc>
          <w:tcPr>
            <w:tcW w:w="3077" w:type="pct"/>
            <w:gridSpan w:val="6"/>
            <w:tcBorders>
              <w:top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133 449,80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410 976,50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65 688,70</w:t>
            </w:r>
            <w:r w:rsidR="004405F4" w:rsidRPr="000A3E75">
              <w:rPr>
                <w:sz w:val="22"/>
                <w:szCs w:val="22"/>
              </w:rPr>
              <w:t xml:space="preserve"> $</w:t>
            </w:r>
            <w:r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154 887,70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1F6CC0" w:rsidRPr="000A3E75">
              <w:rPr>
                <w:sz w:val="22"/>
                <w:szCs w:val="22"/>
              </w:rPr>
              <w:t xml:space="preserv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145 354,00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109 605,10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shd w:val="clear" w:color="auto" w:fill="auto"/>
          </w:tcPr>
          <w:p w:rsidR="001F6CC0" w:rsidRPr="000A3E75" w:rsidRDefault="001F6CC0"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410 976,50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1F6CC0"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1F6CC0" w:rsidRPr="000A3E75">
              <w:rPr>
                <w:sz w:val="22"/>
                <w:szCs w:val="22"/>
              </w:rPr>
              <w:t xml:space="preserve"> </w:t>
            </w:r>
          </w:p>
        </w:tc>
        <w:tc>
          <w:tcPr>
            <w:tcW w:w="1923" w:type="pct"/>
            <w:gridSpan w:val="2"/>
            <w:tcBorders>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160 761,70</w:t>
            </w:r>
            <w:r w:rsidR="004405F4" w:rsidRPr="000A3E75">
              <w:rPr>
                <w:sz w:val="22"/>
                <w:szCs w:val="22"/>
              </w:rPr>
              <w:t xml:space="preserve"> $</w:t>
            </w:r>
          </w:p>
        </w:tc>
      </w:tr>
      <w:tr w:rsidR="001F6CC0"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1F6CC0"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1745F1" w:rsidRPr="000A3E75">
              <w:rPr>
                <w:sz w:val="22"/>
                <w:szCs w:val="22"/>
              </w:rPr>
              <w:t xml:space="preserve"> </w:t>
            </w:r>
            <w:r w:rsidR="001F6CC0" w:rsidRPr="000A3E75">
              <w:rPr>
                <w:sz w:val="22"/>
                <w:szCs w:val="22"/>
              </w:rPr>
              <w:t>Total 2000-2001</w:t>
            </w:r>
            <w:r w:rsidRPr="000A3E75">
              <w:rPr>
                <w:sz w:val="22"/>
                <w:szCs w:val="22"/>
              </w:rPr>
              <w:t xml:space="preserve"> </w:t>
            </w:r>
            <w:r w:rsidR="001F6CC0" w:rsidRPr="000A3E75">
              <w:rPr>
                <w:sz w:val="22"/>
                <w:szCs w:val="22"/>
              </w:rPr>
              <w:t xml:space="preserve">Taxe GST incluse </w:t>
            </w:r>
          </w:p>
        </w:tc>
        <w:tc>
          <w:tcPr>
            <w:tcW w:w="1923" w:type="pct"/>
            <w:gridSpan w:val="2"/>
            <w:tcBorders>
              <w:top w:val="single" w:sz="4" w:space="0" w:color="auto"/>
              <w:bottom w:val="single" w:sz="4" w:space="0" w:color="auto"/>
            </w:tcBorders>
            <w:shd w:val="clear" w:color="auto" w:fill="auto"/>
          </w:tcPr>
          <w:p w:rsidR="001F6CC0" w:rsidRPr="000A3E75" w:rsidRDefault="001F6CC0"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1 591 700,00</w:t>
            </w:r>
            <w:r w:rsidR="004405F4" w:rsidRPr="000A3E75">
              <w:rPr>
                <w:sz w:val="22"/>
                <w:szCs w:val="22"/>
              </w:rPr>
              <w:t xml:space="preserve"> $</w:t>
            </w:r>
          </w:p>
        </w:tc>
      </w:tr>
      <w:tr w:rsidR="005C252F"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5C252F" w:rsidRPr="000A3E75" w:rsidRDefault="005C252F" w:rsidP="005D7B68">
            <w:pPr>
              <w:tabs>
                <w:tab w:val="left" w:pos="567"/>
                <w:tab w:val="left" w:pos="1134"/>
                <w:tab w:val="left" w:pos="1701"/>
                <w:tab w:val="left" w:pos="2268"/>
                <w:tab w:val="left" w:pos="2835"/>
              </w:tabs>
              <w:spacing w:after="0"/>
              <w:jc w:val="center"/>
              <w:rPr>
                <w:sz w:val="22"/>
                <w:szCs w:val="22"/>
              </w:rPr>
            </w:pPr>
            <w:r w:rsidRPr="000A3E75">
              <w:rPr>
                <w:sz w:val="22"/>
                <w:szCs w:val="22"/>
              </w:rPr>
              <w:br w:type="page"/>
            </w:r>
            <w:r w:rsidRPr="000A3E75">
              <w:rPr>
                <w:sz w:val="22"/>
                <w:szCs w:val="22"/>
              </w:rPr>
              <w:br w:type="page"/>
            </w:r>
            <w:r w:rsidRPr="000A3E75">
              <w:rPr>
                <w:sz w:val="22"/>
                <w:szCs w:val="22"/>
              </w:rPr>
              <w:br w:type="page"/>
              <w:t>1999-2000</w:t>
            </w:r>
          </w:p>
        </w:tc>
      </w:tr>
      <w:tr w:rsidR="005C252F" w:rsidRPr="000A3E75">
        <w:tblPrEx>
          <w:tblBorders>
            <w:insideV w:val="single" w:sz="4" w:space="0" w:color="auto"/>
          </w:tblBorders>
        </w:tblPrEx>
        <w:trPr>
          <w:jc w:val="center"/>
        </w:trPr>
        <w:tc>
          <w:tcPr>
            <w:tcW w:w="3077" w:type="pct"/>
            <w:gridSpan w:val="6"/>
            <w:tcBorders>
              <w:top w:val="single" w:sz="4" w:space="0" w:color="auto"/>
              <w:bottom w:val="nil"/>
            </w:tcBorders>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bottom w:val="nil"/>
            </w:tcBorders>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120 982,00</w:t>
            </w:r>
            <w:r w:rsidR="00BB03F1" w:rsidRPr="000A3E75">
              <w:rPr>
                <w:sz w:val="22"/>
                <w:szCs w:val="22"/>
              </w:rPr>
              <w:t xml:space="preserve"> $</w:t>
            </w:r>
            <w:r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tcBorders>
              <w:top w:val="nil"/>
            </w:tcBorders>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tcBorders>
              <w:top w:val="nil"/>
            </w:tcBorders>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372 582,00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59 553,00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140 418,00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shd w:val="clear" w:color="auto" w:fill="auto"/>
          </w:tcPr>
          <w:p w:rsidR="005C252F"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5C252F" w:rsidRPr="000A3E75">
              <w:rPr>
                <w:sz w:val="22"/>
                <w:szCs w:val="22"/>
              </w:rPr>
              <w:t xml:space="preserve"> </w:t>
            </w:r>
          </w:p>
        </w:tc>
        <w:tc>
          <w:tcPr>
            <w:tcW w:w="1923" w:type="pct"/>
            <w:gridSpan w:val="2"/>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131 775,00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99 365,00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shd w:val="clear" w:color="auto" w:fill="auto"/>
          </w:tcPr>
          <w:p w:rsidR="005C252F" w:rsidRPr="000A3E75" w:rsidRDefault="005C252F"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372 582,00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5C252F"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5C252F" w:rsidRPr="000A3E75">
              <w:rPr>
                <w:sz w:val="22"/>
                <w:szCs w:val="22"/>
              </w:rPr>
              <w:t xml:space="preserve"> </w:t>
            </w:r>
          </w:p>
        </w:tc>
        <w:tc>
          <w:tcPr>
            <w:tcW w:w="1923" w:type="pct"/>
            <w:gridSpan w:val="2"/>
            <w:tcBorders>
              <w:bottom w:val="single" w:sz="4" w:space="0" w:color="auto"/>
            </w:tcBorders>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145 743,00</w:t>
            </w:r>
            <w:r w:rsidR="00BB03F1" w:rsidRPr="000A3E75">
              <w:rPr>
                <w:sz w:val="22"/>
                <w:szCs w:val="22"/>
              </w:rPr>
              <w:t xml:space="preserve"> $</w:t>
            </w:r>
          </w:p>
        </w:tc>
      </w:tr>
      <w:tr w:rsidR="005C252F"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5C252F" w:rsidRPr="000A3E75" w:rsidRDefault="001745F1" w:rsidP="005D7B68">
            <w:pPr>
              <w:tabs>
                <w:tab w:val="left" w:pos="567"/>
                <w:tab w:val="left" w:pos="1134"/>
                <w:tab w:val="left" w:pos="1701"/>
                <w:tab w:val="left" w:pos="2268"/>
                <w:tab w:val="left" w:pos="2835"/>
              </w:tabs>
              <w:spacing w:after="0"/>
              <w:rPr>
                <w:sz w:val="22"/>
                <w:szCs w:val="22"/>
                <w:lang w:val="fr-FR"/>
              </w:rPr>
            </w:pPr>
            <w:r w:rsidRPr="000A3E75">
              <w:rPr>
                <w:sz w:val="22"/>
                <w:szCs w:val="22"/>
                <w:lang w:val="fr-FR"/>
              </w:rPr>
              <w:t xml:space="preserve">  </w:t>
            </w:r>
            <w:r w:rsidR="005C252F" w:rsidRPr="000A3E75">
              <w:rPr>
                <w:sz w:val="22"/>
                <w:szCs w:val="22"/>
                <w:lang w:val="fr-FR"/>
              </w:rPr>
              <w:t xml:space="preserve">Total 1999-2000 </w:t>
            </w:r>
            <w:r w:rsidR="00D872C1" w:rsidRPr="000A3E75">
              <w:rPr>
                <w:sz w:val="22"/>
                <w:szCs w:val="22"/>
                <w:lang w:val="fr-FR"/>
              </w:rPr>
              <w:t xml:space="preserve">(Avant instauration </w:t>
            </w:r>
            <w:r w:rsidR="005C252F" w:rsidRPr="000A3E75">
              <w:rPr>
                <w:sz w:val="22"/>
                <w:szCs w:val="22"/>
                <w:lang w:val="fr-FR"/>
              </w:rPr>
              <w:t>GST)</w:t>
            </w:r>
          </w:p>
        </w:tc>
        <w:tc>
          <w:tcPr>
            <w:tcW w:w="1923" w:type="pct"/>
            <w:gridSpan w:val="2"/>
            <w:tcBorders>
              <w:top w:val="single" w:sz="4" w:space="0" w:color="auto"/>
              <w:bottom w:val="single" w:sz="4" w:space="0" w:color="auto"/>
            </w:tcBorders>
            <w:shd w:val="clear" w:color="auto" w:fill="auto"/>
          </w:tcPr>
          <w:p w:rsidR="005C252F" w:rsidRPr="000A3E75" w:rsidRDefault="005C252F"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1 443 000,00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jc w:val="center"/>
              <w:rPr>
                <w:sz w:val="22"/>
                <w:szCs w:val="22"/>
              </w:rPr>
            </w:pPr>
            <w:r w:rsidRPr="000A3E75">
              <w:rPr>
                <w:sz w:val="22"/>
                <w:szCs w:val="22"/>
              </w:rPr>
              <w:t>1998-1999</w:t>
            </w:r>
          </w:p>
        </w:tc>
      </w:tr>
      <w:tr w:rsidR="00D872C1" w:rsidRPr="000A3E75">
        <w:tblPrEx>
          <w:tblBorders>
            <w:insideV w:val="single" w:sz="4" w:space="0" w:color="auto"/>
          </w:tblBorders>
        </w:tblPrEx>
        <w:trPr>
          <w:jc w:val="center"/>
        </w:trPr>
        <w:tc>
          <w:tcPr>
            <w:tcW w:w="3077" w:type="pct"/>
            <w:gridSpan w:val="6"/>
            <w:tcBorders>
              <w:top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119 053,00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366 644,00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58 603,00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138 180,00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D872C1"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129 675,00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97 781,00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366 644,00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D872C1" w:rsidRPr="000A3E75">
              <w:rPr>
                <w:sz w:val="22"/>
                <w:szCs w:val="22"/>
              </w:rPr>
              <w:t xml:space="preserve"> </w:t>
            </w:r>
          </w:p>
        </w:tc>
        <w:tc>
          <w:tcPr>
            <w:tcW w:w="1923" w:type="pct"/>
            <w:gridSpan w:val="2"/>
            <w:tcBorders>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143 420,00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D872C1"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1745F1" w:rsidRPr="000A3E75">
              <w:rPr>
                <w:sz w:val="22"/>
                <w:szCs w:val="22"/>
              </w:rPr>
              <w:t xml:space="preserve"> </w:t>
            </w:r>
            <w:r w:rsidR="00D872C1" w:rsidRPr="000A3E75">
              <w:rPr>
                <w:sz w:val="22"/>
                <w:szCs w:val="22"/>
              </w:rPr>
              <w:t>Total 1998-1999 (Avant instauration GST)</w:t>
            </w:r>
          </w:p>
        </w:tc>
        <w:tc>
          <w:tcPr>
            <w:tcW w:w="1923" w:type="pct"/>
            <w:gridSpan w:val="2"/>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1 420 000,00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jc w:val="center"/>
              <w:rPr>
                <w:sz w:val="22"/>
                <w:szCs w:val="22"/>
              </w:rPr>
            </w:pPr>
            <w:r w:rsidRPr="000A3E75">
              <w:rPr>
                <w:sz w:val="22"/>
                <w:szCs w:val="22"/>
              </w:rPr>
              <w:br w:type="page"/>
            </w:r>
            <w:r w:rsidRPr="000A3E75">
              <w:rPr>
                <w:sz w:val="22"/>
                <w:szCs w:val="22"/>
              </w:rPr>
              <w:br w:type="page"/>
            </w:r>
            <w:r w:rsidRPr="000A3E75">
              <w:rPr>
                <w:sz w:val="22"/>
                <w:szCs w:val="22"/>
              </w:rPr>
              <w:br w:type="page"/>
              <w:t>1997-1998</w:t>
            </w:r>
          </w:p>
        </w:tc>
      </w:tr>
      <w:tr w:rsidR="00D872C1" w:rsidRPr="000A3E75">
        <w:tblPrEx>
          <w:tblBorders>
            <w:insideV w:val="single" w:sz="4" w:space="0" w:color="auto"/>
          </w:tblBorders>
        </w:tblPrEx>
        <w:trPr>
          <w:jc w:val="center"/>
        </w:trPr>
        <w:tc>
          <w:tcPr>
            <w:tcW w:w="3077" w:type="pct"/>
            <w:gridSpan w:val="6"/>
            <w:tcBorders>
              <w:top w:val="single" w:sz="4" w:space="0" w:color="auto"/>
              <w:bottom w:val="nil"/>
            </w:tcBorders>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bottom w:val="nil"/>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105 856,00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top w:val="nil"/>
            </w:tcBorders>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tcBorders>
              <w:top w:val="nil"/>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324 608,00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43 375,00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122 793,00</w:t>
            </w:r>
            <w:r w:rsidR="00BB03F1"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D872C1"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114 941,00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86 504,00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324 608,00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D872C1" w:rsidRPr="000A3E75">
              <w:rPr>
                <w:sz w:val="22"/>
                <w:szCs w:val="22"/>
              </w:rPr>
              <w:t xml:space="preserve"> </w:t>
            </w:r>
          </w:p>
        </w:tc>
        <w:tc>
          <w:tcPr>
            <w:tcW w:w="1923" w:type="pct"/>
            <w:gridSpan w:val="2"/>
            <w:tcBorders>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128 315,00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D872C1"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A05188" w:rsidRPr="000A3E75">
              <w:rPr>
                <w:sz w:val="22"/>
                <w:szCs w:val="22"/>
              </w:rPr>
              <w:t xml:space="preserve"> </w:t>
            </w:r>
            <w:r w:rsidR="00D872C1" w:rsidRPr="000A3E75">
              <w:rPr>
                <w:sz w:val="22"/>
                <w:szCs w:val="22"/>
              </w:rPr>
              <w:t>Total 1997-1998 (Avant instauration GST)</w:t>
            </w:r>
          </w:p>
        </w:tc>
        <w:tc>
          <w:tcPr>
            <w:tcW w:w="1923" w:type="pct"/>
            <w:gridSpan w:val="2"/>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1 251 000,00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5000" w:type="pct"/>
            <w:gridSpan w:val="8"/>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jc w:val="center"/>
              <w:rPr>
                <w:sz w:val="22"/>
                <w:szCs w:val="22"/>
              </w:rPr>
            </w:pPr>
            <w:r w:rsidRPr="000A3E75">
              <w:rPr>
                <w:sz w:val="22"/>
                <w:szCs w:val="22"/>
              </w:rPr>
              <w:t>1996-1997</w:t>
            </w:r>
          </w:p>
        </w:tc>
      </w:tr>
      <w:tr w:rsidR="00D872C1" w:rsidRPr="000A3E75">
        <w:tblPrEx>
          <w:tblBorders>
            <w:insideV w:val="single" w:sz="4" w:space="0" w:color="auto"/>
          </w:tblBorders>
        </w:tblPrEx>
        <w:trPr>
          <w:jc w:val="center"/>
        </w:trPr>
        <w:tc>
          <w:tcPr>
            <w:tcW w:w="3077" w:type="pct"/>
            <w:gridSpan w:val="6"/>
            <w:tcBorders>
              <w:top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de la capitale</w:t>
            </w:r>
          </w:p>
        </w:tc>
        <w:tc>
          <w:tcPr>
            <w:tcW w:w="1923" w:type="pct"/>
            <w:gridSpan w:val="2"/>
            <w:tcBorders>
              <w:top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116 845,00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Nouvelle-Galles du Sud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350 680,00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Territoire du Nord</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60 908,00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Queensland</w:t>
                </w:r>
              </w:smartTag>
            </w:smartTag>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135 141,00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méridionale</w:t>
            </w:r>
            <w:r w:rsidR="00D872C1"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127 009,00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r w:rsidRPr="000A3E75">
              <w:rPr>
                <w:sz w:val="22"/>
                <w:szCs w:val="22"/>
              </w:rPr>
              <w:t xml:space="preserve">Tasmanie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96 515,00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shd w:val="clear" w:color="auto" w:fill="auto"/>
          </w:tcPr>
          <w:p w:rsidR="00D872C1" w:rsidRPr="000A3E75" w:rsidRDefault="00D872C1" w:rsidP="005D7B68">
            <w:pPr>
              <w:tabs>
                <w:tab w:val="left" w:pos="567"/>
                <w:tab w:val="left" w:pos="1134"/>
                <w:tab w:val="left" w:pos="1701"/>
                <w:tab w:val="left" w:pos="2268"/>
                <w:tab w:val="left" w:pos="2835"/>
              </w:tabs>
              <w:spacing w:after="0"/>
              <w:rPr>
                <w:sz w:val="22"/>
                <w:szCs w:val="22"/>
              </w:rPr>
            </w:pPr>
            <w:smartTag w:uri="urn:schemas-microsoft-com:office:smarttags" w:element="State">
              <w:smartTag w:uri="urn:schemas-microsoft-com:office:smarttags" w:element="place">
                <w:r w:rsidRPr="000A3E75">
                  <w:rPr>
                    <w:sz w:val="22"/>
                    <w:szCs w:val="22"/>
                  </w:rPr>
                  <w:t>Victoria</w:t>
                </w:r>
              </w:smartTag>
            </w:smartTag>
            <w:r w:rsidRPr="000A3E75">
              <w:rPr>
                <w:sz w:val="22"/>
                <w:szCs w:val="22"/>
              </w:rPr>
              <w:t xml:space="preserve"> </w:t>
            </w:r>
          </w:p>
        </w:tc>
        <w:tc>
          <w:tcPr>
            <w:tcW w:w="1923" w:type="pct"/>
            <w:gridSpan w:val="2"/>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350 680,00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bottom w:val="single" w:sz="4" w:space="0" w:color="auto"/>
            </w:tcBorders>
            <w:shd w:val="clear" w:color="auto" w:fill="auto"/>
          </w:tcPr>
          <w:p w:rsidR="00D872C1" w:rsidRPr="000A3E75" w:rsidRDefault="008E1139" w:rsidP="005D7B68">
            <w:pPr>
              <w:tabs>
                <w:tab w:val="left" w:pos="567"/>
                <w:tab w:val="left" w:pos="1134"/>
                <w:tab w:val="left" w:pos="1701"/>
                <w:tab w:val="left" w:pos="2268"/>
                <w:tab w:val="left" w:pos="2835"/>
              </w:tabs>
              <w:spacing w:after="0"/>
              <w:rPr>
                <w:sz w:val="22"/>
                <w:szCs w:val="22"/>
              </w:rPr>
            </w:pPr>
            <w:r w:rsidRPr="000A3E75">
              <w:rPr>
                <w:sz w:val="22"/>
                <w:szCs w:val="22"/>
              </w:rPr>
              <w:t>Australie occidentale</w:t>
            </w:r>
            <w:r w:rsidR="00D872C1" w:rsidRPr="000A3E75">
              <w:rPr>
                <w:sz w:val="22"/>
                <w:szCs w:val="22"/>
              </w:rPr>
              <w:t xml:space="preserve"> </w:t>
            </w:r>
          </w:p>
        </w:tc>
        <w:tc>
          <w:tcPr>
            <w:tcW w:w="1923" w:type="pct"/>
            <w:gridSpan w:val="2"/>
            <w:tcBorders>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140 222,00</w:t>
            </w:r>
            <w:r w:rsidR="00AE77AD" w:rsidRPr="000A3E75">
              <w:rPr>
                <w:sz w:val="22"/>
                <w:szCs w:val="22"/>
              </w:rPr>
              <w:t xml:space="preserve"> $</w:t>
            </w:r>
          </w:p>
        </w:tc>
      </w:tr>
      <w:tr w:rsidR="00D872C1" w:rsidRPr="000A3E75">
        <w:tblPrEx>
          <w:tblBorders>
            <w:insideV w:val="single" w:sz="4" w:space="0" w:color="auto"/>
          </w:tblBorders>
        </w:tblPrEx>
        <w:trPr>
          <w:jc w:val="center"/>
        </w:trPr>
        <w:tc>
          <w:tcPr>
            <w:tcW w:w="3077" w:type="pct"/>
            <w:gridSpan w:val="6"/>
            <w:tcBorders>
              <w:top w:val="single" w:sz="4" w:space="0" w:color="auto"/>
              <w:bottom w:val="single" w:sz="4" w:space="0" w:color="auto"/>
            </w:tcBorders>
            <w:shd w:val="clear" w:color="auto" w:fill="auto"/>
          </w:tcPr>
          <w:p w:rsidR="00D872C1" w:rsidRPr="000A3E75" w:rsidRDefault="00572260" w:rsidP="005D7B68">
            <w:pPr>
              <w:tabs>
                <w:tab w:val="left" w:pos="567"/>
                <w:tab w:val="left" w:pos="1134"/>
                <w:tab w:val="left" w:pos="1701"/>
                <w:tab w:val="left" w:pos="2268"/>
                <w:tab w:val="left" w:pos="2835"/>
              </w:tabs>
              <w:spacing w:after="0"/>
              <w:rPr>
                <w:sz w:val="22"/>
                <w:szCs w:val="22"/>
              </w:rPr>
            </w:pPr>
            <w:r w:rsidRPr="000A3E75">
              <w:rPr>
                <w:sz w:val="22"/>
                <w:szCs w:val="22"/>
              </w:rPr>
              <w:t xml:space="preserve"> </w:t>
            </w:r>
            <w:r w:rsidR="00A05188" w:rsidRPr="000A3E75">
              <w:rPr>
                <w:sz w:val="22"/>
                <w:szCs w:val="22"/>
              </w:rPr>
              <w:t xml:space="preserve"> </w:t>
            </w:r>
            <w:r w:rsidR="00D872C1" w:rsidRPr="000A3E75">
              <w:rPr>
                <w:sz w:val="22"/>
                <w:szCs w:val="22"/>
              </w:rPr>
              <w:t>Total 1996-1997 (Avant instauration GST)</w:t>
            </w:r>
          </w:p>
        </w:tc>
        <w:tc>
          <w:tcPr>
            <w:tcW w:w="1923" w:type="pct"/>
            <w:gridSpan w:val="2"/>
            <w:tcBorders>
              <w:top w:val="single" w:sz="4" w:space="0" w:color="auto"/>
              <w:bottom w:val="single" w:sz="4" w:space="0" w:color="auto"/>
            </w:tcBorders>
            <w:shd w:val="clear" w:color="auto" w:fill="auto"/>
          </w:tcPr>
          <w:p w:rsidR="00D872C1" w:rsidRPr="000A3E75" w:rsidRDefault="00D872C1" w:rsidP="005D7B68">
            <w:pPr>
              <w:tabs>
                <w:tab w:val="left" w:pos="567"/>
                <w:tab w:val="left" w:pos="1134"/>
                <w:tab w:val="left" w:pos="1701"/>
                <w:tab w:val="left" w:pos="2268"/>
                <w:tab w:val="left" w:pos="2835"/>
              </w:tabs>
              <w:spacing w:after="0"/>
              <w:ind w:right="425"/>
              <w:jc w:val="right"/>
              <w:rPr>
                <w:sz w:val="22"/>
                <w:szCs w:val="22"/>
              </w:rPr>
            </w:pPr>
            <w:r w:rsidRPr="000A3E75">
              <w:rPr>
                <w:sz w:val="22"/>
                <w:szCs w:val="22"/>
              </w:rPr>
              <w:t>1 378 000,00</w:t>
            </w:r>
            <w:r w:rsidR="00AE77AD" w:rsidRPr="000A3E75">
              <w:rPr>
                <w:sz w:val="22"/>
                <w:szCs w:val="22"/>
              </w:rPr>
              <w:t xml:space="preserve"> $</w:t>
            </w:r>
          </w:p>
        </w:tc>
      </w:tr>
    </w:tbl>
    <w:p w:rsidR="00D872C1" w:rsidRPr="00D872C1" w:rsidRDefault="00D872C1" w:rsidP="005D7B68">
      <w:pPr>
        <w:tabs>
          <w:tab w:val="left" w:pos="567"/>
          <w:tab w:val="left" w:pos="1134"/>
          <w:tab w:val="left" w:pos="1701"/>
          <w:tab w:val="left" w:pos="2268"/>
          <w:tab w:val="left" w:pos="2835"/>
        </w:tabs>
        <w:spacing w:before="120"/>
        <w:rPr>
          <w:b/>
          <w:bCs/>
          <w:lang w:val="fr-FR"/>
        </w:rPr>
      </w:pPr>
      <w:r>
        <w:rPr>
          <w:b/>
          <w:bCs/>
          <w:lang w:val="fr-FR"/>
        </w:rPr>
        <w:t>Informations des États et Territoires</w:t>
      </w:r>
    </w:p>
    <w:p w:rsidR="00493022" w:rsidRDefault="00D872C1" w:rsidP="005D7B68">
      <w:pPr>
        <w:tabs>
          <w:tab w:val="left" w:pos="567"/>
          <w:tab w:val="left" w:pos="1134"/>
          <w:tab w:val="left" w:pos="1701"/>
          <w:tab w:val="left" w:pos="2268"/>
          <w:tab w:val="left" w:pos="2835"/>
        </w:tabs>
        <w:rPr>
          <w:b/>
          <w:bCs/>
          <w:lang w:val="fr-FR"/>
        </w:rPr>
      </w:pPr>
      <w:r>
        <w:rPr>
          <w:b/>
          <w:bCs/>
          <w:lang w:val="fr-FR"/>
        </w:rPr>
        <w:t>Nouvelle-Galles du Sud</w:t>
      </w:r>
    </w:p>
    <w:p w:rsidR="00D30F9F" w:rsidRDefault="00D872C1" w:rsidP="005D7B68">
      <w:pPr>
        <w:tabs>
          <w:tab w:val="left" w:pos="567"/>
          <w:tab w:val="left" w:pos="1134"/>
          <w:tab w:val="left" w:pos="1701"/>
          <w:tab w:val="left" w:pos="2268"/>
          <w:tab w:val="left" w:pos="2835"/>
        </w:tabs>
        <w:rPr>
          <w:lang w:val="fr-FR"/>
        </w:rPr>
      </w:pPr>
      <w:r>
        <w:rPr>
          <w:lang w:val="fr-FR"/>
        </w:rPr>
        <w:t>75</w:t>
      </w:r>
      <w:r w:rsidR="00E45D23">
        <w:rPr>
          <w:lang w:val="fr-FR"/>
        </w:rPr>
        <w:t>4</w:t>
      </w:r>
      <w:r>
        <w:rPr>
          <w:lang w:val="fr-FR"/>
        </w:rPr>
        <w:t>.</w:t>
      </w:r>
      <w:r>
        <w:rPr>
          <w:lang w:val="fr-FR"/>
        </w:rPr>
        <w:tab/>
        <w:t>Le Gouvernement de Nouvelle-Galles du Sud</w:t>
      </w:r>
      <w:r w:rsidR="00D30F9F">
        <w:rPr>
          <w:lang w:val="fr-FR"/>
        </w:rPr>
        <w:t xml:space="preserve"> a créé le</w:t>
      </w:r>
      <w:r w:rsidR="00D30F9F" w:rsidRPr="00D30F9F">
        <w:rPr>
          <w:lang w:val="fr-FR"/>
        </w:rPr>
        <w:t xml:space="preserve"> </w:t>
      </w:r>
      <w:r w:rsidR="00E26131">
        <w:rPr>
          <w:lang w:val="fr-FR"/>
        </w:rPr>
        <w:t>Service de soins et de réadaptation pour</w:t>
      </w:r>
      <w:r w:rsidR="00D30F9F" w:rsidRPr="00D30F9F">
        <w:rPr>
          <w:lang w:val="fr-FR"/>
        </w:rPr>
        <w:t xml:space="preserve"> </w:t>
      </w:r>
      <w:r w:rsidR="001C1941">
        <w:rPr>
          <w:lang w:val="fr-FR"/>
        </w:rPr>
        <w:t xml:space="preserve">les personnes ayant été </w:t>
      </w:r>
      <w:r w:rsidR="00D30F9F" w:rsidRPr="00D30F9F">
        <w:rPr>
          <w:lang w:val="fr-FR"/>
        </w:rPr>
        <w:t>victimes de tortures et de traumatismes</w:t>
      </w:r>
      <w:r w:rsidR="00D30F9F">
        <w:rPr>
          <w:lang w:val="fr-FR"/>
        </w:rPr>
        <w:t xml:space="preserve"> en 1998 pour répondre aux besoins des réfugiés et autres qui ont été soumis à la torture ou traumatisés dans leur pays d’origine ou alor</w:t>
      </w:r>
      <w:r w:rsidR="00B655E9">
        <w:rPr>
          <w:lang w:val="fr-FR"/>
        </w:rPr>
        <w:t>s qu’ils s’enfuyaient</w:t>
      </w:r>
      <w:r w:rsidR="00D30F9F">
        <w:rPr>
          <w:lang w:val="fr-FR"/>
        </w:rPr>
        <w:t xml:space="preserve"> pour gagner l’Australie.</w:t>
      </w:r>
    </w:p>
    <w:p w:rsidR="00B126B3" w:rsidRDefault="00D30F9F" w:rsidP="005D7B68">
      <w:pPr>
        <w:tabs>
          <w:tab w:val="left" w:pos="567"/>
          <w:tab w:val="left" w:pos="1134"/>
          <w:tab w:val="left" w:pos="1701"/>
          <w:tab w:val="left" w:pos="2268"/>
          <w:tab w:val="left" w:pos="2835"/>
        </w:tabs>
        <w:rPr>
          <w:lang w:val="fr-FR"/>
        </w:rPr>
      </w:pPr>
      <w:r>
        <w:rPr>
          <w:lang w:val="fr-FR"/>
        </w:rPr>
        <w:t>75</w:t>
      </w:r>
      <w:r w:rsidR="00E562C0">
        <w:rPr>
          <w:lang w:val="fr-FR"/>
        </w:rPr>
        <w:t>5</w:t>
      </w:r>
      <w:r>
        <w:rPr>
          <w:lang w:val="fr-FR"/>
        </w:rPr>
        <w:t>.</w:t>
      </w:r>
      <w:r>
        <w:rPr>
          <w:lang w:val="fr-FR"/>
        </w:rPr>
        <w:tab/>
        <w:t xml:space="preserve">Il est destiné à venir en aide aux </w:t>
      </w:r>
      <w:r w:rsidR="00BD6053">
        <w:rPr>
          <w:lang w:val="fr-FR"/>
        </w:rPr>
        <w:t xml:space="preserve">utilisateurs </w:t>
      </w:r>
      <w:r>
        <w:rPr>
          <w:lang w:val="fr-FR"/>
        </w:rPr>
        <w:t xml:space="preserve">en assurant leur sécurité, en préservant la confidentialité et le respect des droits des personnes qui </w:t>
      </w:r>
      <w:r w:rsidR="00882F81">
        <w:rPr>
          <w:lang w:val="fr-FR"/>
        </w:rPr>
        <w:t>cherchent de l’aide</w:t>
      </w:r>
      <w:r w:rsidR="008D6B80">
        <w:rPr>
          <w:lang w:val="fr-FR"/>
        </w:rPr>
        <w:t xml:space="preserve">. </w:t>
      </w:r>
      <w:r w:rsidR="00882F81">
        <w:rPr>
          <w:lang w:val="fr-FR"/>
        </w:rPr>
        <w:t>Les services fournis comprennent des stratégies d’intervention précoce, de prévention secondaire, de recherche, d’éducation pour tous et de renforcement de capacités, ainsi que des interventions cliniques aux niveaux individuel, familial et du groupe</w:t>
      </w:r>
      <w:r w:rsidR="008D6B80">
        <w:rPr>
          <w:lang w:val="fr-FR"/>
        </w:rPr>
        <w:t xml:space="preserve">. </w:t>
      </w:r>
      <w:r w:rsidR="00B126B3">
        <w:rPr>
          <w:lang w:val="fr-FR"/>
        </w:rPr>
        <w:t>Ces approches s’étendent et se développent sans arrêt en fonction de l’évolution des besoins</w:t>
      </w:r>
      <w:r w:rsidR="008D6B80">
        <w:rPr>
          <w:lang w:val="fr-FR"/>
        </w:rPr>
        <w:t xml:space="preserve">. </w:t>
      </w:r>
      <w:r w:rsidR="00B126B3">
        <w:rPr>
          <w:lang w:val="fr-FR"/>
        </w:rPr>
        <w:t>Ce service joue également un rôle important en matière de formation, d’aide et de conseils aux prestataires de services sanitaires et de services de proximité afin de renforcer leurs capacités à s’occuper efficacement des personnes ayant survécu aux tortures et aux traumatismes.</w:t>
      </w:r>
    </w:p>
    <w:p w:rsidR="00A047FA" w:rsidRDefault="00B126B3" w:rsidP="005D7B68">
      <w:pPr>
        <w:tabs>
          <w:tab w:val="left" w:pos="567"/>
          <w:tab w:val="left" w:pos="1134"/>
          <w:tab w:val="left" w:pos="1701"/>
          <w:tab w:val="left" w:pos="2268"/>
          <w:tab w:val="left" w:pos="2835"/>
        </w:tabs>
        <w:rPr>
          <w:lang w:val="fr-FR"/>
        </w:rPr>
      </w:pPr>
      <w:r>
        <w:rPr>
          <w:lang w:val="fr-FR"/>
        </w:rPr>
        <w:t>75</w:t>
      </w:r>
      <w:r w:rsidR="00E562C0">
        <w:rPr>
          <w:lang w:val="fr-FR"/>
        </w:rPr>
        <w:t>6</w:t>
      </w:r>
      <w:r>
        <w:rPr>
          <w:lang w:val="fr-FR"/>
        </w:rPr>
        <w:t>.</w:t>
      </w:r>
      <w:r>
        <w:rPr>
          <w:lang w:val="fr-FR"/>
        </w:rPr>
        <w:tab/>
        <w:t>Les services sont assurés par un personnel clinique multidisciplinaire issu d’un vaste ensemble de milieux culturels et linguistiques</w:t>
      </w:r>
      <w:r w:rsidR="00B655E9">
        <w:rPr>
          <w:lang w:val="fr-FR"/>
        </w:rPr>
        <w:t>,</w:t>
      </w:r>
      <w:r>
        <w:rPr>
          <w:lang w:val="fr-FR"/>
        </w:rPr>
        <w:t xml:space="preserve"> qui refl</w:t>
      </w:r>
      <w:r w:rsidR="00BD6053">
        <w:rPr>
          <w:lang w:val="fr-FR"/>
        </w:rPr>
        <w:t xml:space="preserve">ète la composition du groupe d’utilisateurs </w:t>
      </w:r>
      <w:r>
        <w:rPr>
          <w:lang w:val="fr-FR"/>
        </w:rPr>
        <w:t>et couvre plus de 15 langues</w:t>
      </w:r>
      <w:r w:rsidR="008D6B80">
        <w:rPr>
          <w:lang w:val="fr-FR"/>
        </w:rPr>
        <w:t xml:space="preserve">. </w:t>
      </w:r>
      <w:r w:rsidR="001C1941">
        <w:rPr>
          <w:lang w:val="fr-FR"/>
        </w:rPr>
        <w:t>Si la langu</w:t>
      </w:r>
      <w:r w:rsidR="00BD6053">
        <w:rPr>
          <w:lang w:val="fr-FR"/>
        </w:rPr>
        <w:t>e parlée par un utilisateur</w:t>
      </w:r>
      <w:r w:rsidR="001C1941">
        <w:rPr>
          <w:lang w:val="fr-FR"/>
        </w:rPr>
        <w:t xml:space="preserve"> ne figure pas dans ces dernières, il est fait recours à l’assistance d’un interprète</w:t>
      </w:r>
      <w:r w:rsidR="008D6B80">
        <w:rPr>
          <w:lang w:val="fr-FR"/>
        </w:rPr>
        <w:t xml:space="preserve">. </w:t>
      </w:r>
      <w:r w:rsidR="001C1941">
        <w:rPr>
          <w:lang w:val="fr-FR"/>
        </w:rPr>
        <w:t xml:space="preserve">En plus de ses capacités en matière de conseils et de consultation, le </w:t>
      </w:r>
      <w:r w:rsidR="00E26131">
        <w:rPr>
          <w:lang w:val="fr-FR"/>
        </w:rPr>
        <w:t>Service de soins et de réadaptation pour</w:t>
      </w:r>
      <w:r w:rsidR="001C1941">
        <w:rPr>
          <w:lang w:val="fr-FR"/>
        </w:rPr>
        <w:t xml:space="preserve"> les personnes ayant été victimes de tortures et de traumatismes élabore et exécute toute une panoplie de programmes et de documents de formation.</w:t>
      </w:r>
    </w:p>
    <w:p w:rsidR="001108FE" w:rsidRDefault="00A047FA" w:rsidP="005D7B68">
      <w:pPr>
        <w:tabs>
          <w:tab w:val="left" w:pos="567"/>
          <w:tab w:val="left" w:pos="1134"/>
          <w:tab w:val="left" w:pos="1701"/>
          <w:tab w:val="left" w:pos="2268"/>
          <w:tab w:val="left" w:pos="2835"/>
        </w:tabs>
        <w:rPr>
          <w:lang w:val="fr-FR"/>
        </w:rPr>
      </w:pPr>
      <w:r>
        <w:rPr>
          <w:lang w:val="fr-FR"/>
        </w:rPr>
        <w:t>75</w:t>
      </w:r>
      <w:r w:rsidR="00E562C0">
        <w:rPr>
          <w:lang w:val="fr-FR"/>
        </w:rPr>
        <w:t>7</w:t>
      </w:r>
      <w:r>
        <w:rPr>
          <w:lang w:val="fr-FR"/>
        </w:rPr>
        <w:t>.</w:t>
      </w:r>
      <w:r>
        <w:rPr>
          <w:lang w:val="fr-FR"/>
        </w:rPr>
        <w:tab/>
        <w:t xml:space="preserve">Il reçoit un financement d’amorçage </w:t>
      </w:r>
      <w:r w:rsidR="001108FE">
        <w:rPr>
          <w:lang w:val="fr-FR"/>
        </w:rPr>
        <w:t>de l’administration de</w:t>
      </w:r>
      <w:r w:rsidR="00A8119F">
        <w:rPr>
          <w:lang w:val="fr-FR"/>
        </w:rPr>
        <w:t xml:space="preserve"> la santé de Nouvelle-Galles du </w:t>
      </w:r>
      <w:r w:rsidR="001108FE">
        <w:rPr>
          <w:lang w:val="fr-FR"/>
        </w:rPr>
        <w:t>Sud pour ses activités de conseil, de physiothérapie et de psychiatrie, et des fonds supplémentaires pour des activités supplémentaires, comme l’assistance aux enfants traumatisés, plus des fonds du Commonwealth pour des programmes spécifiques destinés à venir en aid</w:t>
      </w:r>
      <w:r w:rsidR="00B655E9">
        <w:rPr>
          <w:lang w:val="fr-FR"/>
        </w:rPr>
        <w:t>e aux réfugiés</w:t>
      </w:r>
      <w:r w:rsidR="001108FE">
        <w:rPr>
          <w:lang w:val="fr-FR"/>
        </w:rPr>
        <w:t>, par exemple le Programme d’intervention précoce</w:t>
      </w:r>
      <w:r w:rsidR="001C1941">
        <w:rPr>
          <w:lang w:val="fr-FR"/>
        </w:rPr>
        <w:t xml:space="preserve"> </w:t>
      </w:r>
      <w:r w:rsidR="001108FE">
        <w:rPr>
          <w:lang w:val="fr-FR"/>
        </w:rPr>
        <w:t>auprès des réfugiés récemment arrivés et des personnes entrant en Australie à titre humanitaire.</w:t>
      </w:r>
    </w:p>
    <w:p w:rsidR="00A500CE" w:rsidRDefault="001108FE" w:rsidP="005D7B68">
      <w:pPr>
        <w:tabs>
          <w:tab w:val="left" w:pos="567"/>
          <w:tab w:val="left" w:pos="1134"/>
          <w:tab w:val="left" w:pos="1701"/>
          <w:tab w:val="left" w:pos="2268"/>
          <w:tab w:val="left" w:pos="2835"/>
        </w:tabs>
        <w:rPr>
          <w:lang w:val="fr-FR"/>
        </w:rPr>
      </w:pPr>
      <w:r>
        <w:rPr>
          <w:lang w:val="fr-FR"/>
        </w:rPr>
        <w:t>75</w:t>
      </w:r>
      <w:r w:rsidR="00E562C0">
        <w:rPr>
          <w:lang w:val="fr-FR"/>
        </w:rPr>
        <w:t>8</w:t>
      </w:r>
      <w:r>
        <w:rPr>
          <w:lang w:val="fr-FR"/>
        </w:rPr>
        <w:t>.</w:t>
      </w:r>
      <w:r>
        <w:rPr>
          <w:lang w:val="fr-FR"/>
        </w:rPr>
        <w:tab/>
      </w:r>
      <w:r w:rsidR="009239BF">
        <w:rPr>
          <w:lang w:val="fr-FR"/>
        </w:rPr>
        <w:t xml:space="preserve">Il joue un rôle capital en sensibilisant l’ensemble du public aux problèmes des réfugiés, et en aidant d’autres organismes </w:t>
      </w:r>
      <w:r w:rsidR="00A500CE">
        <w:rPr>
          <w:lang w:val="fr-FR"/>
        </w:rPr>
        <w:t>gouvernementaux et non gouvernementaux à rendre leurs services auprès des communautés de réfugiés plus appropriés et plus efficaces.</w:t>
      </w:r>
    </w:p>
    <w:p w:rsidR="003F0EEE" w:rsidRDefault="00E562C0" w:rsidP="005D7B68">
      <w:pPr>
        <w:tabs>
          <w:tab w:val="left" w:pos="567"/>
          <w:tab w:val="left" w:pos="1134"/>
          <w:tab w:val="left" w:pos="1701"/>
          <w:tab w:val="left" w:pos="2268"/>
          <w:tab w:val="left" w:pos="2835"/>
        </w:tabs>
        <w:rPr>
          <w:lang w:val="fr-FR"/>
        </w:rPr>
      </w:pPr>
      <w:r>
        <w:rPr>
          <w:lang w:val="fr-FR"/>
        </w:rPr>
        <w:t>759</w:t>
      </w:r>
      <w:r w:rsidR="00A500CE">
        <w:rPr>
          <w:lang w:val="fr-FR"/>
        </w:rPr>
        <w:t>.</w:t>
      </w:r>
      <w:r w:rsidR="00A500CE">
        <w:rPr>
          <w:lang w:val="fr-FR"/>
        </w:rPr>
        <w:tab/>
        <w:t>Il assume ce rôle par l’intermédiaire d’un service secondaire de conseil pour intégrer pleinement les prestataires de</w:t>
      </w:r>
      <w:r w:rsidR="00B655E9">
        <w:rPr>
          <w:lang w:val="fr-FR"/>
        </w:rPr>
        <w:t xml:space="preserve"> services</w:t>
      </w:r>
      <w:r w:rsidR="00A500CE">
        <w:rPr>
          <w:lang w:val="fr-FR"/>
        </w:rPr>
        <w:t xml:space="preserve"> de santé mentale, les hôpitaux, les conseillers d’orientation scolaire et d’autres</w:t>
      </w:r>
      <w:r w:rsidR="004303E0">
        <w:rPr>
          <w:lang w:val="fr-FR"/>
        </w:rPr>
        <w:t xml:space="preserve"> organismes communautaires</w:t>
      </w:r>
      <w:r w:rsidR="00CA64E6">
        <w:rPr>
          <w:lang w:val="fr-FR"/>
        </w:rPr>
        <w:t xml:space="preserve"> ayant un rôle consultatif</w:t>
      </w:r>
      <w:r w:rsidR="008D6B80">
        <w:rPr>
          <w:lang w:val="fr-FR"/>
        </w:rPr>
        <w:t xml:space="preserve">. </w:t>
      </w:r>
      <w:r w:rsidR="00FC27CD">
        <w:rPr>
          <w:lang w:val="fr-FR"/>
        </w:rPr>
        <w:t>Il est le premier agent de formation en Nouvelle-Galles du Sud pour les organismes de soins de santé</w:t>
      </w:r>
      <w:r w:rsidR="00B655E9">
        <w:rPr>
          <w:lang w:val="fr-FR"/>
        </w:rPr>
        <w:t xml:space="preserve"> et de protection relatifs aux</w:t>
      </w:r>
      <w:r w:rsidR="00FC27CD">
        <w:rPr>
          <w:lang w:val="fr-FR"/>
        </w:rPr>
        <w:t xml:space="preserve"> répercussions</w:t>
      </w:r>
      <w:r w:rsidR="00882F81">
        <w:rPr>
          <w:lang w:val="fr-FR"/>
        </w:rPr>
        <w:t xml:space="preserve"> </w:t>
      </w:r>
      <w:r w:rsidR="00FC27CD">
        <w:rPr>
          <w:lang w:val="fr-FR"/>
        </w:rPr>
        <w:t>de ce qu’ont vécu les réfugiés et les migr</w:t>
      </w:r>
      <w:r w:rsidR="00B655E9">
        <w:rPr>
          <w:lang w:val="fr-FR"/>
        </w:rPr>
        <w:t>ants, ainsi qu’aux</w:t>
      </w:r>
      <w:r w:rsidR="00FC27CD">
        <w:rPr>
          <w:lang w:val="fr-FR"/>
        </w:rPr>
        <w:t xml:space="preserve"> conséquences de la torture et des traumatismes</w:t>
      </w:r>
      <w:r w:rsidR="008D6B80">
        <w:rPr>
          <w:lang w:val="fr-FR"/>
        </w:rPr>
        <w:t xml:space="preserve">. </w:t>
      </w:r>
      <w:r w:rsidR="00FC27CD">
        <w:rPr>
          <w:lang w:val="fr-FR"/>
        </w:rPr>
        <w:t>Il contribue au développement de la société en œuvrant auprès des communautés de réfugiés pour renforcer leur capacité à participer efficacement à la vie de</w:t>
      </w:r>
      <w:r w:rsidR="003F0EEE">
        <w:rPr>
          <w:lang w:val="fr-FR"/>
        </w:rPr>
        <w:t xml:space="preserve"> </w:t>
      </w:r>
      <w:r w:rsidR="00FC27CD">
        <w:rPr>
          <w:lang w:val="fr-FR"/>
        </w:rPr>
        <w:t xml:space="preserve">l’Australie. </w:t>
      </w:r>
    </w:p>
    <w:p w:rsidR="003F0EEE" w:rsidRDefault="003F0EEE" w:rsidP="005D7B68">
      <w:pPr>
        <w:tabs>
          <w:tab w:val="left" w:pos="567"/>
          <w:tab w:val="left" w:pos="1134"/>
          <w:tab w:val="left" w:pos="1701"/>
          <w:tab w:val="left" w:pos="2268"/>
          <w:tab w:val="left" w:pos="2835"/>
        </w:tabs>
        <w:rPr>
          <w:lang w:val="fr-FR"/>
        </w:rPr>
      </w:pPr>
      <w:r>
        <w:rPr>
          <w:lang w:val="fr-FR"/>
        </w:rPr>
        <w:t>76</w:t>
      </w:r>
      <w:r w:rsidR="00E562C0">
        <w:rPr>
          <w:lang w:val="fr-FR"/>
        </w:rPr>
        <w:t>0</w:t>
      </w:r>
      <w:r>
        <w:rPr>
          <w:lang w:val="fr-FR"/>
        </w:rPr>
        <w:t>.</w:t>
      </w:r>
      <w:r>
        <w:rPr>
          <w:lang w:val="fr-FR"/>
        </w:rPr>
        <w:tab/>
        <w:t xml:space="preserve">Ce même service </w:t>
      </w:r>
      <w:r w:rsidR="00E81DF0">
        <w:rPr>
          <w:lang w:val="fr-FR"/>
        </w:rPr>
        <w:t>a créé un ensemble de documents</w:t>
      </w:r>
      <w:r>
        <w:rPr>
          <w:lang w:val="fr-FR"/>
        </w:rPr>
        <w:t xml:space="preserve"> </w:t>
      </w:r>
      <w:r w:rsidR="00B655E9">
        <w:rPr>
          <w:lang w:val="fr-FR"/>
        </w:rPr>
        <w:t>et de programmes spécifiques destinés à renforcer</w:t>
      </w:r>
      <w:r>
        <w:rPr>
          <w:lang w:val="fr-FR"/>
        </w:rPr>
        <w:t xml:space="preserve"> la capacité</w:t>
      </w:r>
      <w:r w:rsidR="00FC27CD">
        <w:rPr>
          <w:lang w:val="fr-FR"/>
        </w:rPr>
        <w:t xml:space="preserve"> </w:t>
      </w:r>
      <w:r>
        <w:rPr>
          <w:lang w:val="fr-FR"/>
        </w:rPr>
        <w:t>d’autres organisations à</w:t>
      </w:r>
      <w:r w:rsidR="00FC27CD">
        <w:rPr>
          <w:lang w:val="fr-FR"/>
        </w:rPr>
        <w:t xml:space="preserve"> </w:t>
      </w:r>
      <w:r>
        <w:rPr>
          <w:lang w:val="fr-FR"/>
        </w:rPr>
        <w:t>travailler efficacement auprès des personnes qui entrent en Australie</w:t>
      </w:r>
      <w:r w:rsidR="008D6B80">
        <w:rPr>
          <w:lang w:val="fr-FR"/>
        </w:rPr>
        <w:t xml:space="preserve">. </w:t>
      </w:r>
      <w:r>
        <w:rPr>
          <w:lang w:val="fr-FR"/>
        </w:rPr>
        <w:t>Voici quelques exemples de ces facteurs d’enrichissement</w:t>
      </w:r>
      <w:r w:rsidR="00572260">
        <w:rPr>
          <w:lang w:val="fr-FR"/>
        </w:rPr>
        <w:t>:</w:t>
      </w:r>
    </w:p>
    <w:p w:rsidR="00D872C1" w:rsidRPr="00D872C1" w:rsidRDefault="003F0EEE" w:rsidP="005D7B68">
      <w:pPr>
        <w:tabs>
          <w:tab w:val="left" w:pos="567"/>
          <w:tab w:val="left" w:pos="1134"/>
          <w:tab w:val="left" w:pos="1701"/>
          <w:tab w:val="left" w:pos="2268"/>
          <w:tab w:val="left" w:pos="2835"/>
        </w:tabs>
        <w:rPr>
          <w:lang w:val="fr-FR"/>
        </w:rPr>
      </w:pPr>
      <w:r>
        <w:rPr>
          <w:lang w:val="fr-FR"/>
        </w:rPr>
        <w:tab/>
        <w:t>a)</w:t>
      </w:r>
      <w:r>
        <w:rPr>
          <w:lang w:val="fr-FR"/>
        </w:rPr>
        <w:tab/>
        <w:t>L’élaboration de principes directeurs à l’intention des médecins généralistes qui s’occupent des personnes ayant survécu aux tortures et aux traumatismes</w:t>
      </w:r>
      <w:r w:rsidR="00572260">
        <w:rPr>
          <w:lang w:val="fr-FR"/>
        </w:rPr>
        <w:t>;</w:t>
      </w:r>
      <w:r w:rsidR="00D872C1">
        <w:rPr>
          <w:lang w:val="fr-FR"/>
        </w:rPr>
        <w:tab/>
      </w:r>
    </w:p>
    <w:p w:rsidR="00493022" w:rsidRDefault="003F0EEE" w:rsidP="005D7B68">
      <w:pPr>
        <w:tabs>
          <w:tab w:val="left" w:pos="567"/>
          <w:tab w:val="left" w:pos="1134"/>
          <w:tab w:val="left" w:pos="1701"/>
          <w:tab w:val="left" w:pos="2268"/>
          <w:tab w:val="left" w:pos="2835"/>
        </w:tabs>
        <w:rPr>
          <w:lang w:val="fr-FR"/>
        </w:rPr>
      </w:pPr>
      <w:r>
        <w:rPr>
          <w:lang w:val="fr-FR"/>
        </w:rPr>
        <w:tab/>
        <w:t>b)</w:t>
      </w:r>
      <w:r>
        <w:rPr>
          <w:lang w:val="fr-FR"/>
        </w:rPr>
        <w:tab/>
      </w:r>
      <w:r w:rsidR="00B07A6D">
        <w:rPr>
          <w:lang w:val="fr-FR"/>
        </w:rPr>
        <w:t>La mise au point du programme pour les groupes qui s’installent, destiné aux enseignants et aux co</w:t>
      </w:r>
      <w:r w:rsidR="00B655E9">
        <w:rPr>
          <w:lang w:val="fr-FR"/>
        </w:rPr>
        <w:t>nseillers chargés</w:t>
      </w:r>
      <w:r w:rsidR="00B07A6D">
        <w:rPr>
          <w:lang w:val="fr-FR"/>
        </w:rPr>
        <w:t xml:space="preserve"> des élèves réfugiés et migrants (résultat d’un partenariat de longue date avec les écoles du secteur sud-ouest de Sydney)</w:t>
      </w:r>
      <w:r w:rsidR="00A8119F">
        <w:rPr>
          <w:lang w:val="fr-FR"/>
        </w:rPr>
        <w:t>;</w:t>
      </w:r>
    </w:p>
    <w:p w:rsidR="00E81DF0" w:rsidRDefault="00E81DF0" w:rsidP="005D7B68">
      <w:pPr>
        <w:tabs>
          <w:tab w:val="left" w:pos="567"/>
          <w:tab w:val="left" w:pos="1134"/>
          <w:tab w:val="left" w:pos="1701"/>
          <w:tab w:val="left" w:pos="2268"/>
          <w:tab w:val="left" w:pos="2835"/>
        </w:tabs>
        <w:rPr>
          <w:lang w:val="fr-FR"/>
        </w:rPr>
      </w:pPr>
      <w:r>
        <w:rPr>
          <w:lang w:val="fr-FR"/>
        </w:rPr>
        <w:tab/>
        <w:t>c)</w:t>
      </w:r>
      <w:r>
        <w:rPr>
          <w:lang w:val="fr-FR"/>
        </w:rPr>
        <w:tab/>
        <w:t xml:space="preserve">La production de documents de relaxation progressive en 11 langues (disques compacts et bandes magnétiques) à l’intention des </w:t>
      </w:r>
      <w:r w:rsidR="00BD6053">
        <w:rPr>
          <w:lang w:val="fr-FR"/>
        </w:rPr>
        <w:t xml:space="preserve">utilisateurs </w:t>
      </w:r>
      <w:r>
        <w:rPr>
          <w:lang w:val="fr-FR"/>
        </w:rPr>
        <w:t xml:space="preserve">du </w:t>
      </w:r>
      <w:r w:rsidR="00E26131">
        <w:rPr>
          <w:lang w:val="fr-FR"/>
        </w:rPr>
        <w:t>Service de soins et de réadaptation pour</w:t>
      </w:r>
      <w:r w:rsidRPr="00D30F9F">
        <w:rPr>
          <w:lang w:val="fr-FR"/>
        </w:rPr>
        <w:t xml:space="preserve"> </w:t>
      </w:r>
      <w:r>
        <w:rPr>
          <w:lang w:val="fr-FR"/>
        </w:rPr>
        <w:t xml:space="preserve">les personnes ayant été </w:t>
      </w:r>
      <w:r w:rsidRPr="00D30F9F">
        <w:rPr>
          <w:lang w:val="fr-FR"/>
        </w:rPr>
        <w:t>victimes de tortures et de traumatismes</w:t>
      </w:r>
      <w:r w:rsidR="0092671E">
        <w:rPr>
          <w:lang w:val="fr-FR"/>
        </w:rPr>
        <w:t>,</w:t>
      </w:r>
      <w:r>
        <w:rPr>
          <w:lang w:val="fr-FR"/>
        </w:rPr>
        <w:t xml:space="preserve"> et d’autres</w:t>
      </w:r>
      <w:r w:rsidR="0092671E">
        <w:rPr>
          <w:lang w:val="fr-FR"/>
        </w:rPr>
        <w:t xml:space="preserve"> services connexes</w:t>
      </w:r>
      <w:r>
        <w:rPr>
          <w:lang w:val="fr-FR"/>
        </w:rPr>
        <w:t xml:space="preserve"> (mis au point sur la base de techniques de relaxation que les utilisateurs ont déclaré être utiles au cours et hors des séances de consultation).</w:t>
      </w:r>
    </w:p>
    <w:p w:rsidR="00E81DF0" w:rsidRPr="002C72B2" w:rsidRDefault="00E81DF0" w:rsidP="005D7B68">
      <w:pPr>
        <w:tabs>
          <w:tab w:val="left" w:pos="567"/>
          <w:tab w:val="left" w:pos="1134"/>
          <w:tab w:val="left" w:pos="1701"/>
          <w:tab w:val="left" w:pos="2268"/>
          <w:tab w:val="left" w:pos="2835"/>
        </w:tabs>
        <w:rPr>
          <w:lang w:val="fr-FR"/>
        </w:rPr>
      </w:pPr>
      <w:r>
        <w:rPr>
          <w:lang w:val="fr-FR"/>
        </w:rPr>
        <w:t>76</w:t>
      </w:r>
      <w:r w:rsidR="00E562C0">
        <w:rPr>
          <w:lang w:val="fr-FR"/>
        </w:rPr>
        <w:t>1</w:t>
      </w:r>
      <w:r>
        <w:rPr>
          <w:lang w:val="fr-FR"/>
        </w:rPr>
        <w:t>.</w:t>
      </w:r>
      <w:r>
        <w:rPr>
          <w:lang w:val="fr-FR"/>
        </w:rPr>
        <w:tab/>
        <w:t>Ce service couvre toute l’agglomération de Sydney par le biais de centres établis à Auburn, Liverpool et Fairfield et de divers services</w:t>
      </w:r>
      <w:r w:rsidR="00B22E91">
        <w:rPr>
          <w:lang w:val="fr-FR"/>
        </w:rPr>
        <w:t xml:space="preserve"> d’approche</w:t>
      </w:r>
      <w:r w:rsidR="008D6B80">
        <w:rPr>
          <w:lang w:val="fr-FR"/>
        </w:rPr>
        <w:t xml:space="preserve">. </w:t>
      </w:r>
      <w:r w:rsidR="00B22E91">
        <w:rPr>
          <w:lang w:val="fr-FR"/>
        </w:rPr>
        <w:t>Des agents sont également basés à Newcastle et Wollogong pour couvrir les secteurs de Hunter et Illawarra, et une base a récemment é</w:t>
      </w:r>
      <w:r w:rsidR="0092671E">
        <w:rPr>
          <w:lang w:val="fr-FR"/>
        </w:rPr>
        <w:t>té installée à Coos Harbour, qui dessert</w:t>
      </w:r>
      <w:r w:rsidR="00B22E91">
        <w:rPr>
          <w:lang w:val="fr-FR"/>
        </w:rPr>
        <w:t xml:space="preserve"> le </w:t>
      </w:r>
      <w:r w:rsidR="00E5211E">
        <w:rPr>
          <w:lang w:val="fr-FR"/>
        </w:rPr>
        <w:t>n</w:t>
      </w:r>
      <w:r w:rsidR="00B22E91">
        <w:rPr>
          <w:lang w:val="fr-FR"/>
        </w:rPr>
        <w:t>ord</w:t>
      </w:r>
      <w:r w:rsidR="00232E49">
        <w:rPr>
          <w:lang w:val="fr-FR"/>
        </w:rPr>
        <w:t>-</w:t>
      </w:r>
      <w:r w:rsidR="00E5211E">
        <w:rPr>
          <w:lang w:val="fr-FR"/>
        </w:rPr>
        <w:t>o</w:t>
      </w:r>
      <w:r w:rsidR="00232E49">
        <w:rPr>
          <w:lang w:val="fr-FR"/>
        </w:rPr>
        <w:t>uest de la Nouvelle-Galles du </w:t>
      </w:r>
      <w:r w:rsidR="00B22E91">
        <w:rPr>
          <w:lang w:val="fr-FR"/>
        </w:rPr>
        <w:t xml:space="preserve">Sud. </w:t>
      </w:r>
    </w:p>
    <w:p w:rsidR="00493022" w:rsidRPr="002C72B2" w:rsidRDefault="00B22E91" w:rsidP="005D7B68">
      <w:pPr>
        <w:tabs>
          <w:tab w:val="left" w:pos="567"/>
          <w:tab w:val="left" w:pos="1134"/>
          <w:tab w:val="left" w:pos="1701"/>
          <w:tab w:val="left" w:pos="2268"/>
          <w:tab w:val="left" w:pos="2835"/>
        </w:tabs>
        <w:rPr>
          <w:lang w:val="fr-FR"/>
        </w:rPr>
      </w:pPr>
      <w:r>
        <w:rPr>
          <w:lang w:val="fr-FR"/>
        </w:rPr>
        <w:t>76</w:t>
      </w:r>
      <w:r w:rsidR="00E562C0">
        <w:rPr>
          <w:lang w:val="fr-FR"/>
        </w:rPr>
        <w:t>2</w:t>
      </w:r>
      <w:r>
        <w:rPr>
          <w:lang w:val="fr-FR"/>
        </w:rPr>
        <w:t>.</w:t>
      </w:r>
      <w:r>
        <w:rPr>
          <w:lang w:val="fr-FR"/>
        </w:rPr>
        <w:tab/>
        <w:t>Des services d’approche sont établis partout où un besoin s’en fait sentir et où il est possible de constituer des partenariats avec des services sanitaire et autres</w:t>
      </w:r>
      <w:r w:rsidR="008D6B80">
        <w:rPr>
          <w:lang w:val="fr-FR"/>
        </w:rPr>
        <w:t xml:space="preserve">. </w:t>
      </w:r>
      <w:r w:rsidR="00681C3D">
        <w:rPr>
          <w:lang w:val="fr-FR"/>
        </w:rPr>
        <w:t xml:space="preserve">Le </w:t>
      </w:r>
      <w:r w:rsidR="00E26131">
        <w:rPr>
          <w:lang w:val="fr-FR"/>
        </w:rPr>
        <w:t>Service de soins et de réadaptation pour</w:t>
      </w:r>
      <w:r w:rsidR="00681C3D" w:rsidRPr="00D30F9F">
        <w:rPr>
          <w:lang w:val="fr-FR"/>
        </w:rPr>
        <w:t xml:space="preserve"> </w:t>
      </w:r>
      <w:r w:rsidR="00681C3D">
        <w:rPr>
          <w:lang w:val="fr-FR"/>
        </w:rPr>
        <w:t xml:space="preserve">les personnes ayant été </w:t>
      </w:r>
      <w:r w:rsidR="00681C3D" w:rsidRPr="00D30F9F">
        <w:rPr>
          <w:lang w:val="fr-FR"/>
        </w:rPr>
        <w:t>victimes de tortures et de traumatismes</w:t>
      </w:r>
      <w:r w:rsidR="00681C3D">
        <w:rPr>
          <w:lang w:val="fr-FR"/>
        </w:rPr>
        <w:t xml:space="preserve"> organise des stages de formation pour le personnel sanitaire et autre du secteur, fournit directement des services grâce à des visiteurs et utilise des technologies comme le téléphone et des conférences vidéo pour</w:t>
      </w:r>
      <w:r w:rsidR="003C3A0F">
        <w:rPr>
          <w:lang w:val="fr-FR"/>
        </w:rPr>
        <w:t xml:space="preserve"> toucher des services plus isolés.</w:t>
      </w:r>
    </w:p>
    <w:p w:rsidR="00493022" w:rsidRPr="002C72B2" w:rsidRDefault="000E2E51" w:rsidP="005D7B68">
      <w:pPr>
        <w:tabs>
          <w:tab w:val="left" w:pos="567"/>
          <w:tab w:val="left" w:pos="1134"/>
          <w:tab w:val="left" w:pos="1701"/>
          <w:tab w:val="left" w:pos="2268"/>
          <w:tab w:val="left" w:pos="2835"/>
        </w:tabs>
        <w:rPr>
          <w:lang w:val="fr-FR"/>
        </w:rPr>
      </w:pPr>
      <w:r>
        <w:rPr>
          <w:lang w:val="fr-FR"/>
        </w:rPr>
        <w:t>76</w:t>
      </w:r>
      <w:r w:rsidR="00E562C0">
        <w:rPr>
          <w:lang w:val="fr-FR"/>
        </w:rPr>
        <w:t>3</w:t>
      </w:r>
      <w:r>
        <w:rPr>
          <w:lang w:val="fr-FR"/>
        </w:rPr>
        <w:t xml:space="preserve">. </w:t>
      </w:r>
      <w:r w:rsidR="0092671E">
        <w:rPr>
          <w:lang w:val="fr-FR"/>
        </w:rPr>
        <w:tab/>
        <w:t>Depuis 1988, ce service a dispensé</w:t>
      </w:r>
      <w:r w:rsidR="00E26131">
        <w:rPr>
          <w:lang w:val="fr-FR"/>
        </w:rPr>
        <w:t xml:space="preserve"> informations et conseils à plu</w:t>
      </w:r>
      <w:r w:rsidR="00A43353">
        <w:rPr>
          <w:lang w:val="fr-FR"/>
        </w:rPr>
        <w:t>s de 5 000 familles et individus dans le cadre de son programme</w:t>
      </w:r>
      <w:r w:rsidR="008C224C">
        <w:rPr>
          <w:lang w:val="fr-FR"/>
        </w:rPr>
        <w:t xml:space="preserve"> général d’orientation sociale</w:t>
      </w:r>
      <w:r w:rsidR="00A43353">
        <w:rPr>
          <w:lang w:val="fr-FR"/>
        </w:rPr>
        <w:t>, et évalué et aidé plus de 6 000 individus dans celui du Programme d’évaluation et d</w:t>
      </w:r>
      <w:r w:rsidR="004A68F4">
        <w:rPr>
          <w:lang w:val="fr-FR"/>
        </w:rPr>
        <w:t>’</w:t>
      </w:r>
      <w:r w:rsidR="00A43353">
        <w:rPr>
          <w:lang w:val="fr-FR"/>
        </w:rPr>
        <w:t>intervention précoce</w:t>
      </w:r>
      <w:r w:rsidR="004A68F4">
        <w:rPr>
          <w:lang w:val="fr-FR"/>
        </w:rPr>
        <w:t xml:space="preserve"> en matière de santé</w:t>
      </w:r>
      <w:r w:rsidR="008D6B80">
        <w:rPr>
          <w:lang w:val="fr-FR"/>
        </w:rPr>
        <w:t xml:space="preserve">. </w:t>
      </w:r>
      <w:r w:rsidR="004A68F4">
        <w:rPr>
          <w:lang w:val="fr-FR"/>
        </w:rPr>
        <w:t>Il est venu en aide à plus de 1 500 jeunes e</w:t>
      </w:r>
      <w:r w:rsidR="0092671E">
        <w:rPr>
          <w:lang w:val="fr-FR"/>
        </w:rPr>
        <w:t>t 2 000 adultes grâce à</w:t>
      </w:r>
      <w:r w:rsidR="004A68F4">
        <w:rPr>
          <w:lang w:val="fr-FR"/>
        </w:rPr>
        <w:t xml:space="preserve"> ses programmes de groupes, et a joué un rôle central de sensibilisation aux problèmes de santé et aux problèmes psychosociaux qui affectent</w:t>
      </w:r>
      <w:r w:rsidR="0092671E">
        <w:rPr>
          <w:lang w:val="fr-FR"/>
        </w:rPr>
        <w:t xml:space="preserve"> les personnes marquées par des tortures et des</w:t>
      </w:r>
      <w:r w:rsidR="004A68F4">
        <w:rPr>
          <w:lang w:val="fr-FR"/>
        </w:rPr>
        <w:t xml:space="preserve"> traumatismes.</w:t>
      </w:r>
    </w:p>
    <w:p w:rsidR="00493022" w:rsidRPr="002C72B2" w:rsidRDefault="009C7B4A" w:rsidP="005D7B68">
      <w:pPr>
        <w:tabs>
          <w:tab w:val="left" w:pos="567"/>
          <w:tab w:val="left" w:pos="1134"/>
          <w:tab w:val="left" w:pos="1701"/>
          <w:tab w:val="left" w:pos="2268"/>
          <w:tab w:val="left" w:pos="2835"/>
        </w:tabs>
        <w:jc w:val="center"/>
        <w:rPr>
          <w:lang w:val="fr-FR"/>
        </w:rPr>
      </w:pPr>
      <w:r>
        <w:rPr>
          <w:noProof/>
          <w:lang w:val="fr-FR" w:eastAsia="fr-FR"/>
        </w:rPr>
        <w:pict>
          <v:rect id="_x0000_s1074" style="position:absolute;left:0;text-align:left;margin-left:81pt;margin-top:4.8pt;width:306pt;height:40.8pt;z-index:15" stroked="f">
            <v:textbox style="mso-next-textbox:#_x0000_s1074">
              <w:txbxContent>
                <w:p w:rsidR="00CC46D2" w:rsidRPr="00867DD8" w:rsidRDefault="00CC46D2" w:rsidP="009C7B4A">
                  <w:pPr>
                    <w:jc w:val="center"/>
                    <w:rPr>
                      <w:b/>
                      <w:bCs/>
                      <w:sz w:val="18"/>
                      <w:szCs w:val="18"/>
                      <w:lang w:val="fr-CH"/>
                    </w:rPr>
                  </w:pPr>
                  <w:r>
                    <w:rPr>
                      <w:b/>
                      <w:bCs/>
                      <w:sz w:val="18"/>
                      <w:szCs w:val="18"/>
                      <w:lang w:val="fr-CH"/>
                    </w:rPr>
                    <w:t xml:space="preserve">Nombre d’utilisateurs assistés par le Service de soins et de réadaptation pour les personnes ayant été victimes de tortures et de traumatismes </w:t>
                  </w:r>
                  <w:r>
                    <w:rPr>
                      <w:b/>
                      <w:bCs/>
                      <w:sz w:val="18"/>
                      <w:szCs w:val="18"/>
                      <w:lang w:val="fr-CH"/>
                    </w:rPr>
                    <w:br/>
                    <w:t>(1995-2006)</w:t>
                  </w:r>
                </w:p>
              </w:txbxContent>
            </v:textbox>
          </v:rect>
        </w:pict>
      </w:r>
      <w:r w:rsidR="001D4823">
        <w:rPr>
          <w:noProof/>
          <w:lang w:val="fr-FR" w:eastAsia="fr-FR"/>
        </w:rPr>
        <w:pict>
          <v:rect id="_x0000_s1083" style="position:absolute;left:0;text-align:left;margin-left:351pt;margin-top:293.7pt;width:64.65pt;height:16.35pt;z-index:21" stroked="f">
            <v:textbox style="mso-next-textbox:#_x0000_s1083">
              <w:txbxContent>
                <w:p w:rsidR="00CC46D2" w:rsidRPr="001D4823" w:rsidRDefault="00CC46D2">
                  <w:pPr>
                    <w:rPr>
                      <w:sz w:val="14"/>
                      <w:szCs w:val="14"/>
                      <w:lang w:val="fr-CH"/>
                    </w:rPr>
                  </w:pPr>
                  <w:r>
                    <w:rPr>
                      <w:sz w:val="14"/>
                      <w:szCs w:val="14"/>
                      <w:lang w:val="fr-CH"/>
                    </w:rPr>
                    <w:t>Groupes</w:t>
                  </w:r>
                </w:p>
              </w:txbxContent>
            </v:textbox>
          </v:rect>
        </w:pict>
      </w:r>
      <w:r w:rsidR="001D4823">
        <w:rPr>
          <w:noProof/>
          <w:lang w:val="fr-FR" w:eastAsia="fr-FR"/>
        </w:rPr>
        <w:pict>
          <v:rect id="_x0000_s1082" style="position:absolute;left:0;text-align:left;margin-left:297.9pt;margin-top:294.05pt;width:46.8pt;height:16.9pt;z-index:20" stroked="f">
            <v:textbox style="mso-next-textbox:#_x0000_s1082" inset="0,0,0,0">
              <w:txbxContent>
                <w:p w:rsidR="00CC46D2" w:rsidRPr="001D4823" w:rsidRDefault="00CC46D2">
                  <w:pPr>
                    <w:rPr>
                      <w:sz w:val="14"/>
                      <w:szCs w:val="14"/>
                      <w:lang w:val="fr-CH"/>
                    </w:rPr>
                  </w:pPr>
                  <w:r>
                    <w:rPr>
                      <w:sz w:val="14"/>
                      <w:szCs w:val="14"/>
                      <w:lang w:val="fr-CH"/>
                    </w:rPr>
                    <w:t>Programme  pour les jeunes</w:t>
                  </w:r>
                </w:p>
              </w:txbxContent>
            </v:textbox>
          </v:rect>
        </w:pict>
      </w:r>
      <w:r w:rsidR="001D4823">
        <w:rPr>
          <w:noProof/>
          <w:lang w:val="fr-FR" w:eastAsia="fr-FR"/>
        </w:rPr>
        <w:pict>
          <v:rect id="_x0000_s1077" style="position:absolute;left:0;text-align:left;margin-left:103.35pt;margin-top:297pt;width:65.25pt;height:9.7pt;z-index:17" stroked="f">
            <v:textbox style="mso-next-textbox:#_x0000_s1077" inset="0,0,0,0">
              <w:txbxContent>
                <w:p w:rsidR="00CC46D2" w:rsidRPr="00007EDB" w:rsidRDefault="00CC46D2">
                  <w:pPr>
                    <w:rPr>
                      <w:sz w:val="14"/>
                      <w:szCs w:val="14"/>
                      <w:lang w:val="fr-CH"/>
                    </w:rPr>
                  </w:pPr>
                  <w:r>
                    <w:rPr>
                      <w:sz w:val="14"/>
                      <w:szCs w:val="14"/>
                      <w:lang w:val="fr-CH"/>
                    </w:rPr>
                    <w:t xml:space="preserve"> Conseils (général)</w:t>
                  </w:r>
                </w:p>
              </w:txbxContent>
            </v:textbox>
          </v:rect>
        </w:pict>
      </w:r>
      <w:r w:rsidR="00007EDB">
        <w:rPr>
          <w:noProof/>
          <w:lang w:val="fr-FR" w:eastAsia="fr-FR"/>
        </w:rPr>
        <w:pict>
          <v:rect id="_x0000_s1081" style="position:absolute;left:0;text-align:left;margin-left:240.15pt;margin-top:297pt;width:50.7pt;height:9.75pt;z-index:19" stroked="f">
            <v:textbox style="mso-next-textbox:#_x0000_s1081" inset="0,0,0,0">
              <w:txbxContent>
                <w:p w:rsidR="00CC46D2" w:rsidRPr="00007EDB" w:rsidRDefault="00CC46D2">
                  <w:pPr>
                    <w:rPr>
                      <w:sz w:val="14"/>
                      <w:szCs w:val="14"/>
                      <w:lang w:val="fr-CH"/>
                    </w:rPr>
                  </w:pPr>
                  <w:r>
                    <w:rPr>
                      <w:sz w:val="14"/>
                      <w:szCs w:val="14"/>
                      <w:lang w:val="fr-CH"/>
                    </w:rPr>
                    <w:t xml:space="preserve"> Physiothérapie</w:t>
                  </w:r>
                </w:p>
              </w:txbxContent>
            </v:textbox>
          </v:rect>
        </w:pict>
      </w:r>
      <w:r w:rsidR="00007EDB">
        <w:rPr>
          <w:noProof/>
          <w:lang w:val="fr-FR" w:eastAsia="fr-FR"/>
        </w:rPr>
        <w:pict>
          <v:rect id="_x0000_s1080" style="position:absolute;left:0;text-align:left;margin-left:180pt;margin-top:297pt;width:54pt;height:9pt;z-index:18" stroked="f">
            <v:textbox style="mso-next-textbox:#_x0000_s1080" inset="0,0,0,0">
              <w:txbxContent>
                <w:p w:rsidR="00CC46D2" w:rsidRPr="00007EDB" w:rsidRDefault="00CC46D2">
                  <w:pPr>
                    <w:rPr>
                      <w:sz w:val="14"/>
                      <w:szCs w:val="14"/>
                      <w:lang w:val="fr-CH"/>
                    </w:rPr>
                  </w:pPr>
                  <w:r>
                    <w:rPr>
                      <w:sz w:val="14"/>
                      <w:szCs w:val="14"/>
                      <w:lang w:val="fr-CH"/>
                    </w:rPr>
                    <w:t>Conseils informels</w:t>
                  </w:r>
                </w:p>
              </w:txbxContent>
            </v:textbox>
          </v:rect>
        </w:pict>
      </w:r>
      <w:r w:rsidR="00867DD8">
        <w:rPr>
          <w:noProof/>
          <w:lang w:val="fr-FR" w:eastAsia="fr-FR"/>
        </w:rPr>
        <w:pict>
          <v:rect id="_x0000_s1076" style="position:absolute;left:0;text-align:left;margin-left:39.15pt;margin-top:295.95pt;width:54pt;height:9pt;z-index:16" stroked="f">
            <v:textbox style="mso-next-textbox:#_x0000_s1076" inset="0,0,0,0">
              <w:txbxContent>
                <w:p w:rsidR="00CC46D2" w:rsidRPr="00007EDB" w:rsidRDefault="00CC46D2">
                  <w:pPr>
                    <w:rPr>
                      <w:sz w:val="14"/>
                      <w:szCs w:val="14"/>
                      <w:lang w:val="fr-CH"/>
                    </w:rPr>
                  </w:pPr>
                  <w:r>
                    <w:rPr>
                      <w:sz w:val="14"/>
                      <w:szCs w:val="14"/>
                      <w:lang w:val="fr-CH"/>
                    </w:rPr>
                    <w:t>Conseils (Int.préc.)</w:t>
                  </w:r>
                </w:p>
              </w:txbxContent>
            </v:textbox>
          </v:rect>
        </w:pict>
      </w:r>
      <w:r w:rsidR="00867DD8">
        <w:pict>
          <v:shape id="_x0000_i1031" type="#_x0000_t75" style="width:415.5pt;height:324pt" o:allowoverlap="f">
            <v:imagedata r:id="rId45" r:pict="rId46" o:title=""/>
          </v:shape>
        </w:pict>
      </w:r>
    </w:p>
    <w:p w:rsidR="00493022" w:rsidRDefault="009113E3" w:rsidP="005D7B68">
      <w:pPr>
        <w:tabs>
          <w:tab w:val="left" w:pos="567"/>
          <w:tab w:val="left" w:pos="1134"/>
          <w:tab w:val="left" w:pos="1701"/>
          <w:tab w:val="left" w:pos="2268"/>
          <w:tab w:val="left" w:pos="2835"/>
        </w:tabs>
        <w:rPr>
          <w:b/>
          <w:bCs/>
          <w:lang w:val="fr-FR"/>
        </w:rPr>
      </w:pPr>
      <w:r>
        <w:rPr>
          <w:b/>
          <w:bCs/>
          <w:lang w:val="fr-FR"/>
        </w:rPr>
        <w:t>Réadaptation médicale</w:t>
      </w:r>
    </w:p>
    <w:p w:rsidR="009113E3" w:rsidRDefault="00E562C0" w:rsidP="005D7B68">
      <w:pPr>
        <w:tabs>
          <w:tab w:val="left" w:pos="567"/>
          <w:tab w:val="left" w:pos="1134"/>
          <w:tab w:val="left" w:pos="1701"/>
          <w:tab w:val="left" w:pos="2268"/>
          <w:tab w:val="left" w:pos="2835"/>
        </w:tabs>
        <w:rPr>
          <w:lang w:val="fr-FR"/>
        </w:rPr>
      </w:pPr>
      <w:r>
        <w:rPr>
          <w:lang w:val="fr-FR"/>
        </w:rPr>
        <w:t>764</w:t>
      </w:r>
      <w:r w:rsidR="009113E3">
        <w:rPr>
          <w:lang w:val="fr-FR"/>
        </w:rPr>
        <w:t>.</w:t>
      </w:r>
      <w:r w:rsidR="009113E3">
        <w:rPr>
          <w:lang w:val="fr-FR"/>
        </w:rPr>
        <w:tab/>
      </w:r>
      <w:r w:rsidR="001726FE">
        <w:rPr>
          <w:lang w:val="fr-FR"/>
        </w:rPr>
        <w:t xml:space="preserve">Depuis 1999 (parallèlement à la parution du document </w:t>
      </w:r>
      <w:r w:rsidR="00490C1C">
        <w:rPr>
          <w:lang w:val="fr-FR"/>
        </w:rPr>
        <w:t xml:space="preserve">intitulé </w:t>
      </w:r>
      <w:r w:rsidR="001726FE">
        <w:rPr>
          <w:i/>
          <w:iCs/>
          <w:lang w:val="fr-FR"/>
        </w:rPr>
        <w:t>Instructions stratégiques relatives aux soins de santé pour les réfugiés en Nouvelle-Galles du Sud</w:t>
      </w:r>
      <w:r w:rsidR="001726FE">
        <w:rPr>
          <w:lang w:val="fr-FR"/>
        </w:rPr>
        <w:t>), l’administration de la santé de Nouvelle-Galles du Sud s’est dotée d’un Service sanitaire</w:t>
      </w:r>
      <w:r w:rsidR="007F4140">
        <w:rPr>
          <w:lang w:val="fr-FR"/>
        </w:rPr>
        <w:t xml:space="preserve"> spécialisé</w:t>
      </w:r>
      <w:r w:rsidR="001726FE">
        <w:rPr>
          <w:lang w:val="fr-FR"/>
        </w:rPr>
        <w:t xml:space="preserve"> pour les réfugiés, dont l’objet est de protéger et</w:t>
      </w:r>
      <w:r w:rsidR="005B6F00">
        <w:rPr>
          <w:lang w:val="fr-FR"/>
        </w:rPr>
        <w:t xml:space="preserve"> d’améliorer</w:t>
      </w:r>
      <w:r w:rsidR="00DF376B">
        <w:rPr>
          <w:lang w:val="fr-FR"/>
        </w:rPr>
        <w:t xml:space="preserve"> la santé de ces derniers, y compris ceux</w:t>
      </w:r>
      <w:r w:rsidR="005B6F00">
        <w:rPr>
          <w:lang w:val="fr-FR"/>
        </w:rPr>
        <w:t xml:space="preserve"> qui ont survécu aux tortures et aux traumatismes, grâce à un développement des connaissances en matière de santé, à l’accès à des soins de santé appropriés, et à des actions de promotion de la santé.</w:t>
      </w:r>
    </w:p>
    <w:p w:rsidR="005B6F00" w:rsidRDefault="005B6F00" w:rsidP="005D7B68">
      <w:pPr>
        <w:tabs>
          <w:tab w:val="left" w:pos="567"/>
          <w:tab w:val="left" w:pos="1134"/>
          <w:tab w:val="left" w:pos="1701"/>
          <w:tab w:val="left" w:pos="2268"/>
          <w:tab w:val="left" w:pos="2835"/>
        </w:tabs>
        <w:rPr>
          <w:lang w:val="fr-FR"/>
        </w:rPr>
      </w:pPr>
      <w:r>
        <w:rPr>
          <w:lang w:val="fr-FR"/>
        </w:rPr>
        <w:t>76</w:t>
      </w:r>
      <w:r w:rsidR="00E562C0">
        <w:rPr>
          <w:lang w:val="fr-FR"/>
        </w:rPr>
        <w:t>5</w:t>
      </w:r>
      <w:r>
        <w:rPr>
          <w:lang w:val="fr-FR"/>
        </w:rPr>
        <w:t>.</w:t>
      </w:r>
      <w:r>
        <w:rPr>
          <w:lang w:val="fr-FR"/>
        </w:rPr>
        <w:tab/>
        <w:t>Des centres de bilan de santé</w:t>
      </w:r>
      <w:r w:rsidR="005A6DCF">
        <w:rPr>
          <w:lang w:val="fr-FR"/>
        </w:rPr>
        <w:t xml:space="preserve"> fonctionnent chaque semaine à Sydney</w:t>
      </w:r>
      <w:r w:rsidR="00D75261">
        <w:rPr>
          <w:lang w:val="fr-FR"/>
        </w:rPr>
        <w:t>, dont ont profité 1 300 réfugiés en 2006/07</w:t>
      </w:r>
      <w:r w:rsidR="008D6B80">
        <w:rPr>
          <w:lang w:val="fr-FR"/>
        </w:rPr>
        <w:t xml:space="preserve">. </w:t>
      </w:r>
      <w:r w:rsidR="00D75261">
        <w:rPr>
          <w:lang w:val="fr-FR"/>
        </w:rPr>
        <w:t>Certains de ces patients sont des demandeurs d’asile en attente de la réponse à leur revendication du statut de réfugié</w:t>
      </w:r>
      <w:r w:rsidR="008D6B80">
        <w:rPr>
          <w:lang w:val="fr-FR"/>
        </w:rPr>
        <w:t xml:space="preserve">. </w:t>
      </w:r>
      <w:r w:rsidR="00D75261">
        <w:rPr>
          <w:lang w:val="fr-FR"/>
        </w:rPr>
        <w:t xml:space="preserve">Ces centres établissent un premier bilan associé à </w:t>
      </w:r>
      <w:r w:rsidR="00E26131">
        <w:rPr>
          <w:lang w:val="fr-FR"/>
        </w:rPr>
        <w:t>une prise en charge initiale destinée à faciliter l’accès à des soins suivis</w:t>
      </w:r>
      <w:r w:rsidR="008D6B80">
        <w:rPr>
          <w:lang w:val="fr-FR"/>
        </w:rPr>
        <w:t xml:space="preserve">. </w:t>
      </w:r>
      <w:r w:rsidR="00E26131">
        <w:rPr>
          <w:lang w:val="fr-FR"/>
        </w:rPr>
        <w:t>Beaucoup des utilisateurs de ce service lui sont adressés par les Service de soins et de réadaptation pour</w:t>
      </w:r>
      <w:r w:rsidR="00E26131" w:rsidRPr="00D30F9F">
        <w:rPr>
          <w:lang w:val="fr-FR"/>
        </w:rPr>
        <w:t xml:space="preserve"> </w:t>
      </w:r>
      <w:r w:rsidR="00E26131">
        <w:rPr>
          <w:lang w:val="fr-FR"/>
        </w:rPr>
        <w:t xml:space="preserve">les personnes ayant été </w:t>
      </w:r>
      <w:r w:rsidR="00E26131" w:rsidRPr="00D30F9F">
        <w:rPr>
          <w:lang w:val="fr-FR"/>
        </w:rPr>
        <w:t>victimes de tortures et de traumatismes</w:t>
      </w:r>
      <w:r w:rsidR="00E26131">
        <w:rPr>
          <w:lang w:val="fr-FR"/>
        </w:rPr>
        <w:t>.</w:t>
      </w:r>
    </w:p>
    <w:p w:rsidR="00B43CE8" w:rsidRDefault="005C5B00" w:rsidP="005D7B68">
      <w:pPr>
        <w:tabs>
          <w:tab w:val="left" w:pos="567"/>
          <w:tab w:val="left" w:pos="1134"/>
          <w:tab w:val="left" w:pos="1701"/>
          <w:tab w:val="left" w:pos="2268"/>
          <w:tab w:val="left" w:pos="2835"/>
        </w:tabs>
        <w:rPr>
          <w:lang w:val="fr-FR"/>
        </w:rPr>
      </w:pPr>
      <w:r>
        <w:rPr>
          <w:lang w:val="fr-FR"/>
        </w:rPr>
        <w:t>76</w:t>
      </w:r>
      <w:r w:rsidR="00E562C0">
        <w:rPr>
          <w:lang w:val="fr-FR"/>
        </w:rPr>
        <w:t>6</w:t>
      </w:r>
      <w:r>
        <w:rPr>
          <w:lang w:val="fr-FR"/>
        </w:rPr>
        <w:t>.</w:t>
      </w:r>
      <w:r>
        <w:rPr>
          <w:lang w:val="fr-FR"/>
        </w:rPr>
        <w:tab/>
        <w:t>Il existe maintenant plusieurs centres dans des secteurs ru</w:t>
      </w:r>
      <w:r w:rsidR="009C7B4A">
        <w:rPr>
          <w:lang w:val="fr-FR"/>
        </w:rPr>
        <w:t>raux et des régions de Nouvelle</w:t>
      </w:r>
      <w:r w:rsidR="009C7B4A">
        <w:rPr>
          <w:lang w:val="fr-FR"/>
        </w:rPr>
        <w:noBreakHyphen/>
      </w:r>
      <w:r>
        <w:rPr>
          <w:lang w:val="fr-FR"/>
        </w:rPr>
        <w:t>Galles du Sud</w:t>
      </w:r>
      <w:r w:rsidR="00285B3D">
        <w:rPr>
          <w:lang w:val="fr-FR"/>
        </w:rPr>
        <w:t xml:space="preserve"> pour venir en aide aux réfugiés qui viennent s’y installer (par exemple à Newcastle et Coffs Harbour)</w:t>
      </w:r>
      <w:r w:rsidR="008D6B80">
        <w:rPr>
          <w:lang w:val="fr-FR"/>
        </w:rPr>
        <w:t xml:space="preserve">. </w:t>
      </w:r>
      <w:r w:rsidR="00285B3D">
        <w:rPr>
          <w:lang w:val="fr-FR"/>
        </w:rPr>
        <w:t>On y voit des enfants accompagnés d’adultes</w:t>
      </w:r>
      <w:r w:rsidR="008D6B80">
        <w:rPr>
          <w:lang w:val="fr-FR"/>
        </w:rPr>
        <w:t xml:space="preserve">. </w:t>
      </w:r>
      <w:r w:rsidR="00285B3D">
        <w:rPr>
          <w:lang w:val="fr-FR"/>
        </w:rPr>
        <w:t>En outre, l’un des plus importants hôpitaux pour enfants (</w:t>
      </w:r>
      <w:r w:rsidR="00285B3D" w:rsidRPr="00285B3D">
        <w:rPr>
          <w:i/>
          <w:iCs/>
          <w:lang w:val="fr-FR"/>
        </w:rPr>
        <w:t>Children’s Hospital Westmead</w:t>
      </w:r>
      <w:r w:rsidR="003143BF">
        <w:rPr>
          <w:lang w:val="fr-FR"/>
        </w:rPr>
        <w:t>) est doté</w:t>
      </w:r>
      <w:r w:rsidR="00285B3D">
        <w:rPr>
          <w:lang w:val="fr-FR"/>
        </w:rPr>
        <w:t xml:space="preserve"> </w:t>
      </w:r>
      <w:r w:rsidR="003143BF">
        <w:rPr>
          <w:lang w:val="fr-FR"/>
        </w:rPr>
        <w:t>d’</w:t>
      </w:r>
      <w:r w:rsidR="00285B3D">
        <w:rPr>
          <w:lang w:val="fr-FR"/>
        </w:rPr>
        <w:t>un service de consultations externes hebdomadaires pour enfants réfugiés</w:t>
      </w:r>
      <w:r w:rsidR="008D6B80">
        <w:rPr>
          <w:lang w:val="fr-FR"/>
        </w:rPr>
        <w:t xml:space="preserve">. </w:t>
      </w:r>
      <w:r w:rsidR="007F4140">
        <w:rPr>
          <w:lang w:val="fr-FR"/>
        </w:rPr>
        <w:t>Un grand hôpital dentaire (Westmead Centre for</w:t>
      </w:r>
      <w:r w:rsidR="00285B3D">
        <w:rPr>
          <w:lang w:val="fr-FR"/>
        </w:rPr>
        <w:t xml:space="preserve"> </w:t>
      </w:r>
      <w:r w:rsidR="003143BF">
        <w:rPr>
          <w:lang w:val="fr-FR"/>
        </w:rPr>
        <w:t>Oral Health) comporte</w:t>
      </w:r>
      <w:r w:rsidR="007F4140">
        <w:rPr>
          <w:lang w:val="fr-FR"/>
        </w:rPr>
        <w:t xml:space="preserve"> un service spéci</w:t>
      </w:r>
      <w:r w:rsidR="009C7B4A">
        <w:rPr>
          <w:lang w:val="fr-FR"/>
        </w:rPr>
        <w:t>alisé ouvert chaque semaine aux </w:t>
      </w:r>
      <w:r w:rsidR="007F4140">
        <w:rPr>
          <w:lang w:val="fr-FR"/>
        </w:rPr>
        <w:t>réfugiés</w:t>
      </w:r>
      <w:r w:rsidR="008D6B80">
        <w:rPr>
          <w:lang w:val="fr-FR"/>
        </w:rPr>
        <w:t xml:space="preserve">. </w:t>
      </w:r>
    </w:p>
    <w:p w:rsidR="00B43CE8" w:rsidRDefault="00B43CE8" w:rsidP="005D7B68">
      <w:pPr>
        <w:tabs>
          <w:tab w:val="left" w:pos="567"/>
          <w:tab w:val="left" w:pos="1134"/>
          <w:tab w:val="left" w:pos="1701"/>
          <w:tab w:val="left" w:pos="2268"/>
          <w:tab w:val="left" w:pos="2835"/>
        </w:tabs>
        <w:rPr>
          <w:lang w:val="fr-FR"/>
        </w:rPr>
      </w:pPr>
      <w:r>
        <w:rPr>
          <w:lang w:val="fr-FR"/>
        </w:rPr>
        <w:t>76</w:t>
      </w:r>
      <w:r w:rsidR="00E562C0">
        <w:rPr>
          <w:lang w:val="fr-FR"/>
        </w:rPr>
        <w:t>7</w:t>
      </w:r>
      <w:r>
        <w:rPr>
          <w:lang w:val="fr-FR"/>
        </w:rPr>
        <w:t>.</w:t>
      </w:r>
      <w:r>
        <w:rPr>
          <w:lang w:val="fr-FR"/>
        </w:rPr>
        <w:tab/>
        <w:t>Le Service sanitaire pour les réfugiés de Nouvelle-Galles du Sud fournit également des programmes</w:t>
      </w:r>
      <w:r w:rsidR="00345A0A">
        <w:rPr>
          <w:lang w:val="fr-FR"/>
        </w:rPr>
        <w:t xml:space="preserve"> et des documents éducatifs destinés à</w:t>
      </w:r>
      <w:r>
        <w:rPr>
          <w:lang w:val="fr-FR"/>
        </w:rPr>
        <w:t xml:space="preserve"> renseigner les réfugiés récemment arrivés sur la manière de s’y prendre pour pouvoir bénéficier plus facilement de soins de santé dans cet État.</w:t>
      </w:r>
    </w:p>
    <w:p w:rsidR="006479F4" w:rsidRDefault="00B43CE8" w:rsidP="005D7B68">
      <w:pPr>
        <w:tabs>
          <w:tab w:val="left" w:pos="567"/>
          <w:tab w:val="left" w:pos="1134"/>
          <w:tab w:val="left" w:pos="1701"/>
          <w:tab w:val="left" w:pos="2268"/>
          <w:tab w:val="left" w:pos="2835"/>
        </w:tabs>
        <w:rPr>
          <w:lang w:val="fr-FR"/>
        </w:rPr>
      </w:pPr>
      <w:r>
        <w:rPr>
          <w:lang w:val="fr-FR"/>
        </w:rPr>
        <w:t>76</w:t>
      </w:r>
      <w:r w:rsidR="00E562C0">
        <w:rPr>
          <w:lang w:val="fr-FR"/>
        </w:rPr>
        <w:t>8</w:t>
      </w:r>
      <w:r>
        <w:rPr>
          <w:lang w:val="fr-FR"/>
        </w:rPr>
        <w:t>.</w:t>
      </w:r>
      <w:r>
        <w:rPr>
          <w:lang w:val="fr-FR"/>
        </w:rPr>
        <w:tab/>
      </w:r>
      <w:r w:rsidR="00DE1745">
        <w:rPr>
          <w:lang w:val="fr-FR"/>
        </w:rPr>
        <w:t>Le service sanitaire pour les réfugiés exécute des pro</w:t>
      </w:r>
      <w:r w:rsidR="009C7B4A">
        <w:rPr>
          <w:lang w:val="fr-FR"/>
        </w:rPr>
        <w:t>grammes d’éducation en Nouvelle</w:t>
      </w:r>
      <w:r w:rsidR="009C7B4A">
        <w:rPr>
          <w:lang w:val="fr-FR"/>
        </w:rPr>
        <w:noBreakHyphen/>
      </w:r>
      <w:r w:rsidR="00DE1745">
        <w:rPr>
          <w:lang w:val="fr-FR"/>
        </w:rPr>
        <w:t>Galles du Sud pour sensibiliser les médecins généralistes et le personnel du système de santé public aux soins de santé dont ont besoin les réfugiés qui ont survécu à des traumatismes, et renforcer leurs compétences</w:t>
      </w:r>
      <w:r w:rsidR="008D6B80">
        <w:rPr>
          <w:lang w:val="fr-FR"/>
        </w:rPr>
        <w:t xml:space="preserve">. </w:t>
      </w:r>
      <w:r w:rsidR="00DE1745">
        <w:rPr>
          <w:lang w:val="fr-FR"/>
        </w:rPr>
        <w:t>Ces programmes mettent l’accent sur les conséquences physiques de la torture et d’autres violations des droits de l’</w:t>
      </w:r>
      <w:r w:rsidR="006479F4">
        <w:rPr>
          <w:lang w:val="fr-FR"/>
        </w:rPr>
        <w:t>homme, y compris les répercussions de la mutilation génitale féminine sur les femmes et les jeunes filles réfugiées.</w:t>
      </w:r>
    </w:p>
    <w:p w:rsidR="00692C56" w:rsidRDefault="00692C56" w:rsidP="005D7B68">
      <w:pPr>
        <w:tabs>
          <w:tab w:val="left" w:pos="567"/>
          <w:tab w:val="left" w:pos="1134"/>
          <w:tab w:val="left" w:pos="1701"/>
          <w:tab w:val="left" w:pos="2268"/>
          <w:tab w:val="left" w:pos="2835"/>
        </w:tabs>
        <w:rPr>
          <w:b/>
          <w:bCs/>
          <w:lang w:val="fr-FR"/>
        </w:rPr>
      </w:pPr>
      <w:r>
        <w:rPr>
          <w:b/>
          <w:bCs/>
          <w:lang w:val="fr-FR"/>
        </w:rPr>
        <w:t>Victoria</w:t>
      </w:r>
    </w:p>
    <w:p w:rsidR="00692C56" w:rsidRDefault="007C187A" w:rsidP="005D7B68">
      <w:pPr>
        <w:tabs>
          <w:tab w:val="left" w:pos="567"/>
          <w:tab w:val="left" w:pos="1134"/>
          <w:tab w:val="left" w:pos="1701"/>
          <w:tab w:val="left" w:pos="2268"/>
          <w:tab w:val="left" w:pos="2835"/>
        </w:tabs>
        <w:rPr>
          <w:lang w:val="fr-FR"/>
        </w:rPr>
      </w:pPr>
      <w:r>
        <w:rPr>
          <w:lang w:val="fr-FR"/>
        </w:rPr>
        <w:t>7</w:t>
      </w:r>
      <w:r w:rsidR="00E562C0">
        <w:rPr>
          <w:lang w:val="fr-FR"/>
        </w:rPr>
        <w:t>69</w:t>
      </w:r>
      <w:r>
        <w:rPr>
          <w:lang w:val="fr-FR"/>
        </w:rPr>
        <w:t>.</w:t>
      </w:r>
      <w:r>
        <w:rPr>
          <w:lang w:val="fr-FR"/>
        </w:rPr>
        <w:tab/>
        <w:t>La Fondation du</w:t>
      </w:r>
      <w:r w:rsidR="00692C56">
        <w:rPr>
          <w:lang w:val="fr-FR"/>
        </w:rPr>
        <w:t xml:space="preserve"> Victoria pour les personnes ayant survécu à la torture est financée par</w:t>
      </w:r>
      <w:r w:rsidR="00DE1745">
        <w:rPr>
          <w:lang w:val="fr-FR"/>
        </w:rPr>
        <w:t xml:space="preserve"> </w:t>
      </w:r>
      <w:r w:rsidR="00692C56">
        <w:rPr>
          <w:lang w:val="fr-FR"/>
        </w:rPr>
        <w:t xml:space="preserve">le Département des </w:t>
      </w:r>
      <w:r w:rsidR="00972E1C">
        <w:rPr>
          <w:lang w:val="fr-FR"/>
        </w:rPr>
        <w:t>services sociaux</w:t>
      </w:r>
      <w:r w:rsidR="00692C56">
        <w:rPr>
          <w:lang w:val="fr-FR"/>
        </w:rPr>
        <w:t xml:space="preserve"> afin de fournir</w:t>
      </w:r>
      <w:r w:rsidR="00285B3D">
        <w:rPr>
          <w:lang w:val="fr-FR"/>
        </w:rPr>
        <w:t xml:space="preserve"> </w:t>
      </w:r>
      <w:r w:rsidR="00692C56">
        <w:rPr>
          <w:lang w:val="fr-FR"/>
        </w:rPr>
        <w:t>les services ci-après à ces personnes</w:t>
      </w:r>
      <w:r w:rsidR="00572260">
        <w:rPr>
          <w:lang w:val="fr-FR"/>
        </w:rPr>
        <w:t>:</w:t>
      </w:r>
    </w:p>
    <w:p w:rsidR="00692C56" w:rsidRDefault="00692C56" w:rsidP="005D7B68">
      <w:pPr>
        <w:tabs>
          <w:tab w:val="left" w:pos="567"/>
          <w:tab w:val="left" w:pos="1134"/>
          <w:tab w:val="left" w:pos="1701"/>
          <w:tab w:val="left" w:pos="2268"/>
          <w:tab w:val="left" w:pos="2835"/>
        </w:tabs>
        <w:rPr>
          <w:lang w:val="fr-FR"/>
        </w:rPr>
      </w:pPr>
      <w:r>
        <w:rPr>
          <w:lang w:val="fr-FR"/>
        </w:rPr>
        <w:tab/>
        <w:t>a)</w:t>
      </w:r>
      <w:r>
        <w:rPr>
          <w:lang w:val="fr-FR"/>
        </w:rPr>
        <w:tab/>
        <w:t>Soins de santé mentale et réadaptation psychosociale</w:t>
      </w:r>
      <w:r w:rsidR="00572260">
        <w:rPr>
          <w:lang w:val="fr-FR"/>
        </w:rPr>
        <w:t>;</w:t>
      </w:r>
    </w:p>
    <w:p w:rsidR="00692C56" w:rsidRDefault="00692C56" w:rsidP="005D7B68">
      <w:pPr>
        <w:tabs>
          <w:tab w:val="left" w:pos="567"/>
          <w:tab w:val="left" w:pos="1134"/>
          <w:tab w:val="left" w:pos="1701"/>
          <w:tab w:val="left" w:pos="2268"/>
          <w:tab w:val="left" w:pos="2835"/>
        </w:tabs>
        <w:rPr>
          <w:lang w:val="fr-FR"/>
        </w:rPr>
      </w:pPr>
      <w:r>
        <w:rPr>
          <w:lang w:val="fr-FR"/>
        </w:rPr>
        <w:tab/>
        <w:t>b)</w:t>
      </w:r>
      <w:r>
        <w:rPr>
          <w:lang w:val="fr-FR"/>
        </w:rPr>
        <w:tab/>
        <w:t>Services de santé</w:t>
      </w:r>
      <w:r w:rsidR="00572260">
        <w:rPr>
          <w:lang w:val="fr-FR"/>
        </w:rPr>
        <w:t>;</w:t>
      </w:r>
    </w:p>
    <w:p w:rsidR="00692C56" w:rsidRDefault="00692C56" w:rsidP="005D7B68">
      <w:pPr>
        <w:tabs>
          <w:tab w:val="left" w:pos="567"/>
          <w:tab w:val="left" w:pos="1134"/>
          <w:tab w:val="left" w:pos="1701"/>
          <w:tab w:val="left" w:pos="2268"/>
          <w:tab w:val="left" w:pos="2835"/>
        </w:tabs>
        <w:rPr>
          <w:lang w:val="fr-FR"/>
        </w:rPr>
      </w:pPr>
      <w:r>
        <w:rPr>
          <w:lang w:val="fr-FR"/>
        </w:rPr>
        <w:tab/>
        <w:t>c)</w:t>
      </w:r>
      <w:r>
        <w:rPr>
          <w:lang w:val="fr-FR"/>
        </w:rPr>
        <w:tab/>
        <w:t>Prévention du suicide</w:t>
      </w:r>
      <w:r w:rsidR="00572260">
        <w:rPr>
          <w:lang w:val="fr-FR"/>
        </w:rPr>
        <w:t>;</w:t>
      </w:r>
    </w:p>
    <w:p w:rsidR="005C5B00" w:rsidRPr="001726FE" w:rsidRDefault="00692C56" w:rsidP="005D7B68">
      <w:pPr>
        <w:tabs>
          <w:tab w:val="left" w:pos="567"/>
          <w:tab w:val="left" w:pos="1134"/>
          <w:tab w:val="left" w:pos="1701"/>
          <w:tab w:val="left" w:pos="2268"/>
          <w:tab w:val="left" w:pos="2835"/>
        </w:tabs>
        <w:rPr>
          <w:lang w:val="fr-FR"/>
        </w:rPr>
      </w:pPr>
      <w:r>
        <w:rPr>
          <w:lang w:val="fr-FR"/>
        </w:rPr>
        <w:tab/>
        <w:t>d)</w:t>
      </w:r>
      <w:r>
        <w:rPr>
          <w:lang w:val="fr-FR"/>
        </w:rPr>
        <w:tab/>
        <w:t>Promotion de la santé</w:t>
      </w:r>
      <w:r w:rsidR="008D6B80">
        <w:rPr>
          <w:lang w:val="fr-FR"/>
        </w:rPr>
        <w:t xml:space="preserve">. </w:t>
      </w:r>
    </w:p>
    <w:p w:rsidR="00493022" w:rsidRDefault="007C187A" w:rsidP="005D7B68">
      <w:pPr>
        <w:tabs>
          <w:tab w:val="left" w:pos="567"/>
          <w:tab w:val="left" w:pos="1134"/>
          <w:tab w:val="left" w:pos="1701"/>
          <w:tab w:val="left" w:pos="2268"/>
          <w:tab w:val="left" w:pos="2835"/>
        </w:tabs>
        <w:rPr>
          <w:lang w:val="fr-FR"/>
        </w:rPr>
      </w:pPr>
      <w:r>
        <w:rPr>
          <w:lang w:val="fr-FR"/>
        </w:rPr>
        <w:t>77</w:t>
      </w:r>
      <w:r w:rsidR="00E562C0">
        <w:rPr>
          <w:lang w:val="fr-FR"/>
        </w:rPr>
        <w:t>0</w:t>
      </w:r>
      <w:r>
        <w:rPr>
          <w:lang w:val="fr-FR"/>
        </w:rPr>
        <w:t>.</w:t>
      </w:r>
      <w:r>
        <w:rPr>
          <w:lang w:val="fr-FR"/>
        </w:rPr>
        <w:tab/>
        <w:t>Cet organisme</w:t>
      </w:r>
      <w:r w:rsidR="00692C56">
        <w:rPr>
          <w:lang w:val="fr-FR"/>
        </w:rPr>
        <w:t xml:space="preserve"> reçoit </w:t>
      </w:r>
      <w:r>
        <w:rPr>
          <w:lang w:val="fr-FR"/>
        </w:rPr>
        <w:t>également des fonds pour lui permettre de dispenser</w:t>
      </w:r>
      <w:r w:rsidR="00692C56">
        <w:rPr>
          <w:lang w:val="fr-FR"/>
        </w:rPr>
        <w:t xml:space="preserve"> formation, conseils et appui afin d’aider les prestataires de services</w:t>
      </w:r>
      <w:r w:rsidR="009D5859">
        <w:rPr>
          <w:lang w:val="fr-FR"/>
        </w:rPr>
        <w:t xml:space="preserve"> généraux à mieux répondre aux besoins de ce groupe cible.</w:t>
      </w:r>
    </w:p>
    <w:p w:rsidR="009D5859" w:rsidRDefault="009D5859" w:rsidP="005D7B68">
      <w:pPr>
        <w:tabs>
          <w:tab w:val="left" w:pos="567"/>
          <w:tab w:val="left" w:pos="1134"/>
          <w:tab w:val="left" w:pos="1701"/>
          <w:tab w:val="left" w:pos="2268"/>
          <w:tab w:val="left" w:pos="2835"/>
        </w:tabs>
        <w:rPr>
          <w:lang w:val="fr-FR"/>
        </w:rPr>
      </w:pPr>
      <w:r>
        <w:rPr>
          <w:lang w:val="fr-FR"/>
        </w:rPr>
        <w:t>77</w:t>
      </w:r>
      <w:r w:rsidR="00E562C0">
        <w:rPr>
          <w:lang w:val="fr-FR"/>
        </w:rPr>
        <w:t>1</w:t>
      </w:r>
      <w:r>
        <w:rPr>
          <w:lang w:val="fr-FR"/>
        </w:rPr>
        <w:t>.</w:t>
      </w:r>
      <w:r>
        <w:rPr>
          <w:lang w:val="fr-FR"/>
        </w:rPr>
        <w:tab/>
        <w:t xml:space="preserve">Le Département des </w:t>
      </w:r>
      <w:r w:rsidR="00972E1C">
        <w:rPr>
          <w:lang w:val="fr-FR"/>
        </w:rPr>
        <w:t>services sociaux</w:t>
      </w:r>
      <w:r>
        <w:rPr>
          <w:lang w:val="fr-FR"/>
        </w:rPr>
        <w:t xml:space="preserve"> </w:t>
      </w:r>
      <w:r w:rsidR="00345A0A">
        <w:rPr>
          <w:lang w:val="fr-FR"/>
        </w:rPr>
        <w:t xml:space="preserve">a </w:t>
      </w:r>
      <w:r>
        <w:rPr>
          <w:lang w:val="fr-FR"/>
        </w:rPr>
        <w:t>alloué 1 7</w:t>
      </w:r>
      <w:r w:rsidR="006C1FE0">
        <w:rPr>
          <w:lang w:val="fr-FR"/>
        </w:rPr>
        <w:t>10 706 dollars à la Fondation du</w:t>
      </w:r>
      <w:r>
        <w:rPr>
          <w:lang w:val="fr-FR"/>
        </w:rPr>
        <w:t xml:space="preserve"> Victoria pour </w:t>
      </w:r>
      <w:r w:rsidR="00345A0A">
        <w:rPr>
          <w:lang w:val="fr-FR"/>
        </w:rPr>
        <w:t>les victimes d’actes de</w:t>
      </w:r>
      <w:r w:rsidR="009C7B4A">
        <w:rPr>
          <w:lang w:val="fr-FR"/>
        </w:rPr>
        <w:t xml:space="preserve"> torture en 2007/</w:t>
      </w:r>
      <w:r>
        <w:rPr>
          <w:lang w:val="fr-FR"/>
        </w:rPr>
        <w:t>08, sur la ba</w:t>
      </w:r>
      <w:r w:rsidR="00345A0A">
        <w:rPr>
          <w:lang w:val="fr-FR"/>
        </w:rPr>
        <w:t>se du taux horaire de service</w:t>
      </w:r>
      <w:r w:rsidR="00572260">
        <w:rPr>
          <w:lang w:val="fr-FR"/>
        </w:rPr>
        <w:t>;</w:t>
      </w:r>
      <w:r>
        <w:rPr>
          <w:lang w:val="fr-FR"/>
        </w:rPr>
        <w:t xml:space="preserve"> cet organisme doit assurer 13 480 heures d’assistance par an</w:t>
      </w:r>
      <w:r w:rsidR="008D6B80">
        <w:rPr>
          <w:lang w:val="fr-FR"/>
        </w:rPr>
        <w:t xml:space="preserve">. </w:t>
      </w:r>
    </w:p>
    <w:p w:rsidR="009D5859" w:rsidRDefault="009D5859" w:rsidP="005D7B68">
      <w:pPr>
        <w:tabs>
          <w:tab w:val="left" w:pos="567"/>
          <w:tab w:val="left" w:pos="1134"/>
          <w:tab w:val="left" w:pos="1701"/>
          <w:tab w:val="left" w:pos="2268"/>
          <w:tab w:val="left" w:pos="2835"/>
        </w:tabs>
        <w:rPr>
          <w:b/>
          <w:bCs/>
          <w:lang w:val="fr-FR"/>
        </w:rPr>
      </w:pPr>
      <w:r>
        <w:rPr>
          <w:b/>
          <w:bCs/>
          <w:lang w:val="fr-FR"/>
        </w:rPr>
        <w:t>Queensland</w:t>
      </w:r>
    </w:p>
    <w:p w:rsidR="009D5859" w:rsidRPr="009D5859" w:rsidRDefault="009D5859" w:rsidP="005D7B68">
      <w:pPr>
        <w:tabs>
          <w:tab w:val="left" w:pos="567"/>
          <w:tab w:val="left" w:pos="1134"/>
          <w:tab w:val="left" w:pos="1701"/>
          <w:tab w:val="left" w:pos="2268"/>
          <w:tab w:val="left" w:pos="2835"/>
        </w:tabs>
        <w:rPr>
          <w:lang w:val="fr-FR"/>
        </w:rPr>
      </w:pPr>
      <w:r>
        <w:rPr>
          <w:lang w:val="fr-FR"/>
        </w:rPr>
        <w:t>77</w:t>
      </w:r>
      <w:r w:rsidR="00E562C0">
        <w:rPr>
          <w:lang w:val="fr-FR"/>
        </w:rPr>
        <w:t>2</w:t>
      </w:r>
      <w:r>
        <w:rPr>
          <w:lang w:val="fr-FR"/>
        </w:rPr>
        <w:t>.</w:t>
      </w:r>
      <w:r>
        <w:rPr>
          <w:lang w:val="fr-FR"/>
        </w:rPr>
        <w:tab/>
        <w:t>Le Programme d’assistance</w:t>
      </w:r>
      <w:r w:rsidR="00345A0A">
        <w:rPr>
          <w:lang w:val="fr-FR"/>
        </w:rPr>
        <w:t xml:space="preserve"> du Queensland</w:t>
      </w:r>
      <w:r>
        <w:rPr>
          <w:lang w:val="fr-FR"/>
        </w:rPr>
        <w:t xml:space="preserve"> aux personnes ayant survécu aux tortures et aux traumatismes </w:t>
      </w:r>
      <w:r w:rsidR="00F00C6C">
        <w:rPr>
          <w:lang w:val="fr-FR"/>
        </w:rPr>
        <w:t>est une organisation à caractère associatif qui assure des services destinés à répondre à un ensemble de besoins physiques, psychologiques et sociaux que peuvent avoir les réfugié</w:t>
      </w:r>
      <w:r w:rsidR="00345A0A">
        <w:rPr>
          <w:lang w:val="fr-FR"/>
        </w:rPr>
        <w:t>s victimes de traumatismes et d’actes de</w:t>
      </w:r>
      <w:r w:rsidR="00F00C6C">
        <w:rPr>
          <w:lang w:val="fr-FR"/>
        </w:rPr>
        <w:t xml:space="preserve"> tort</w:t>
      </w:r>
      <w:r w:rsidR="000E072F">
        <w:rPr>
          <w:lang w:val="fr-FR"/>
        </w:rPr>
        <w:t>ure</w:t>
      </w:r>
      <w:r w:rsidR="008D6B80">
        <w:rPr>
          <w:lang w:val="fr-FR"/>
        </w:rPr>
        <w:t xml:space="preserve">. </w:t>
      </w:r>
      <w:r w:rsidR="000E072F">
        <w:rPr>
          <w:lang w:val="fr-FR"/>
        </w:rPr>
        <w:t>Cette o</w:t>
      </w:r>
      <w:r w:rsidR="006C1FE0">
        <w:rPr>
          <w:lang w:val="fr-FR"/>
        </w:rPr>
        <w:t>rganisation dispense</w:t>
      </w:r>
      <w:r w:rsidR="00F00C6C">
        <w:rPr>
          <w:lang w:val="fr-FR"/>
        </w:rPr>
        <w:t xml:space="preserve"> une gamme de services </w:t>
      </w:r>
      <w:r w:rsidR="007A3A97">
        <w:rPr>
          <w:lang w:val="fr-FR"/>
        </w:rPr>
        <w:t xml:space="preserve">souples et </w:t>
      </w:r>
      <w:r w:rsidR="00F00C6C">
        <w:rPr>
          <w:lang w:val="fr-FR"/>
        </w:rPr>
        <w:t>adaptés à la culture</w:t>
      </w:r>
      <w:r w:rsidR="000A0935">
        <w:rPr>
          <w:lang w:val="fr-FR"/>
        </w:rPr>
        <w:t xml:space="preserve"> des</w:t>
      </w:r>
      <w:r w:rsidR="007A3A97">
        <w:rPr>
          <w:lang w:val="fr-FR"/>
        </w:rPr>
        <w:t xml:space="preserve"> personnes qui ont été soumises à la torture ou ont souffert de traumatismes avant d’émigrer en Australie.</w:t>
      </w:r>
    </w:p>
    <w:p w:rsidR="00493022" w:rsidRDefault="007A3A97" w:rsidP="005D7B68">
      <w:pPr>
        <w:tabs>
          <w:tab w:val="left" w:pos="567"/>
          <w:tab w:val="left" w:pos="1134"/>
          <w:tab w:val="left" w:pos="1701"/>
          <w:tab w:val="left" w:pos="2268"/>
          <w:tab w:val="left" w:pos="2835"/>
        </w:tabs>
        <w:rPr>
          <w:lang w:val="fr-FR"/>
        </w:rPr>
      </w:pPr>
      <w:r>
        <w:rPr>
          <w:lang w:val="fr-FR"/>
        </w:rPr>
        <w:t>77</w:t>
      </w:r>
      <w:r w:rsidR="00E562C0">
        <w:rPr>
          <w:lang w:val="fr-FR"/>
        </w:rPr>
        <w:t>3</w:t>
      </w:r>
      <w:r>
        <w:rPr>
          <w:lang w:val="fr-FR"/>
        </w:rPr>
        <w:t>.</w:t>
      </w:r>
      <w:r>
        <w:rPr>
          <w:lang w:val="fr-FR"/>
        </w:rPr>
        <w:tab/>
        <w:t>Ce programme vient en aide aux personnes</w:t>
      </w:r>
      <w:r w:rsidR="00572260">
        <w:rPr>
          <w:lang w:val="fr-FR"/>
        </w:rPr>
        <w:t>:</w:t>
      </w:r>
    </w:p>
    <w:p w:rsidR="007A3A97" w:rsidRDefault="007A3A97" w:rsidP="005D7B68">
      <w:pPr>
        <w:tabs>
          <w:tab w:val="left" w:pos="567"/>
          <w:tab w:val="left" w:pos="1134"/>
          <w:tab w:val="left" w:pos="1701"/>
          <w:tab w:val="left" w:pos="2268"/>
          <w:tab w:val="left" w:pos="2835"/>
        </w:tabs>
        <w:rPr>
          <w:lang w:val="fr-FR"/>
        </w:rPr>
      </w:pPr>
      <w:r>
        <w:rPr>
          <w:lang w:val="fr-FR"/>
        </w:rPr>
        <w:tab/>
        <w:t>a)</w:t>
      </w:r>
      <w:r>
        <w:rPr>
          <w:lang w:val="fr-FR"/>
        </w:rPr>
        <w:tab/>
        <w:t>Qui ont été soumises à la torture</w:t>
      </w:r>
      <w:r w:rsidR="00572260">
        <w:rPr>
          <w:lang w:val="fr-FR"/>
        </w:rPr>
        <w:t>;</w:t>
      </w:r>
    </w:p>
    <w:p w:rsidR="007A3A97" w:rsidRDefault="007A3A97" w:rsidP="005D7B68">
      <w:pPr>
        <w:tabs>
          <w:tab w:val="left" w:pos="567"/>
          <w:tab w:val="left" w:pos="1134"/>
          <w:tab w:val="left" w:pos="1701"/>
          <w:tab w:val="left" w:pos="2268"/>
          <w:tab w:val="left" w:pos="2835"/>
        </w:tabs>
        <w:rPr>
          <w:lang w:val="fr-FR"/>
        </w:rPr>
      </w:pPr>
      <w:r>
        <w:rPr>
          <w:lang w:val="fr-FR"/>
        </w:rPr>
        <w:tab/>
        <w:t>b)</w:t>
      </w:r>
      <w:r>
        <w:rPr>
          <w:lang w:val="fr-FR"/>
        </w:rPr>
        <w:tab/>
        <w:t>Qui on</w:t>
      </w:r>
      <w:r w:rsidR="0034023C">
        <w:rPr>
          <w:lang w:val="fr-FR"/>
        </w:rPr>
        <w:t>t</w:t>
      </w:r>
      <w:r>
        <w:rPr>
          <w:lang w:val="fr-FR"/>
        </w:rPr>
        <w:t xml:space="preserve"> assisté </w:t>
      </w:r>
      <w:r w:rsidR="0034023C">
        <w:rPr>
          <w:lang w:val="fr-FR"/>
        </w:rPr>
        <w:t>à la torture d’un proche</w:t>
      </w:r>
      <w:r w:rsidR="00572260">
        <w:rPr>
          <w:lang w:val="fr-FR"/>
        </w:rPr>
        <w:t>;</w:t>
      </w:r>
    </w:p>
    <w:p w:rsidR="0034023C" w:rsidRDefault="0034023C" w:rsidP="005D7B68">
      <w:pPr>
        <w:tabs>
          <w:tab w:val="left" w:pos="567"/>
          <w:tab w:val="left" w:pos="1134"/>
          <w:tab w:val="left" w:pos="1701"/>
          <w:tab w:val="left" w:pos="2268"/>
          <w:tab w:val="left" w:pos="2835"/>
        </w:tabs>
        <w:rPr>
          <w:lang w:val="fr-FR"/>
        </w:rPr>
      </w:pPr>
      <w:r>
        <w:rPr>
          <w:lang w:val="fr-FR"/>
        </w:rPr>
        <w:tab/>
        <w:t>c)</w:t>
      </w:r>
      <w:r>
        <w:rPr>
          <w:lang w:val="fr-FR"/>
        </w:rPr>
        <w:tab/>
        <w:t>Qui ont été traumatisées alors qu’elles s’enfuyaient de leur maison ou de leur pays</w:t>
      </w:r>
      <w:r w:rsidR="00572260">
        <w:rPr>
          <w:lang w:val="fr-FR"/>
        </w:rPr>
        <w:t>;</w:t>
      </w:r>
    </w:p>
    <w:p w:rsidR="0034023C" w:rsidRDefault="0034023C" w:rsidP="005D7B68">
      <w:pPr>
        <w:tabs>
          <w:tab w:val="left" w:pos="567"/>
          <w:tab w:val="left" w:pos="1134"/>
          <w:tab w:val="left" w:pos="1701"/>
          <w:tab w:val="left" w:pos="2268"/>
          <w:tab w:val="left" w:pos="2835"/>
        </w:tabs>
        <w:rPr>
          <w:lang w:val="fr-FR"/>
        </w:rPr>
      </w:pPr>
      <w:r>
        <w:rPr>
          <w:lang w:val="fr-FR"/>
        </w:rPr>
        <w:tab/>
        <w:t>d)</w:t>
      </w:r>
      <w:r>
        <w:rPr>
          <w:lang w:val="fr-FR"/>
        </w:rPr>
        <w:tab/>
        <w:t>Qui ont été persécutées en raison de leur appartenance à un groupe politique, ethnique ou religieux</w:t>
      </w:r>
      <w:r w:rsidR="00572260">
        <w:rPr>
          <w:lang w:val="fr-FR"/>
        </w:rPr>
        <w:t>;</w:t>
      </w:r>
      <w:r>
        <w:rPr>
          <w:lang w:val="fr-FR"/>
        </w:rPr>
        <w:t xml:space="preserve"> ou</w:t>
      </w:r>
    </w:p>
    <w:p w:rsidR="0034023C" w:rsidRPr="002C72B2" w:rsidRDefault="0034023C" w:rsidP="005D7B68">
      <w:pPr>
        <w:tabs>
          <w:tab w:val="left" w:pos="567"/>
          <w:tab w:val="left" w:pos="1134"/>
          <w:tab w:val="left" w:pos="1701"/>
          <w:tab w:val="left" w:pos="2268"/>
          <w:tab w:val="left" w:pos="2835"/>
        </w:tabs>
        <w:rPr>
          <w:lang w:val="fr-FR"/>
        </w:rPr>
      </w:pPr>
      <w:r>
        <w:rPr>
          <w:lang w:val="fr-FR"/>
        </w:rPr>
        <w:tab/>
        <w:t>e)</w:t>
      </w:r>
      <w:r>
        <w:rPr>
          <w:lang w:val="fr-FR"/>
        </w:rPr>
        <w:tab/>
        <w:t>Qui ont vécu la guerre, des bouleversements politiques ou qui ont craint pour leur vie.</w:t>
      </w:r>
    </w:p>
    <w:p w:rsidR="00493022" w:rsidRDefault="006C1FE0" w:rsidP="005D7B68">
      <w:pPr>
        <w:tabs>
          <w:tab w:val="left" w:pos="567"/>
          <w:tab w:val="left" w:pos="1134"/>
          <w:tab w:val="left" w:pos="1701"/>
          <w:tab w:val="left" w:pos="2268"/>
          <w:tab w:val="left" w:pos="2835"/>
        </w:tabs>
        <w:rPr>
          <w:lang w:val="fr-FR"/>
        </w:rPr>
      </w:pPr>
      <w:r>
        <w:rPr>
          <w:lang w:val="fr-FR"/>
        </w:rPr>
        <w:t>77</w:t>
      </w:r>
      <w:r w:rsidR="00E562C0">
        <w:rPr>
          <w:lang w:val="fr-FR"/>
        </w:rPr>
        <w:t>4</w:t>
      </w:r>
      <w:r>
        <w:rPr>
          <w:lang w:val="fr-FR"/>
        </w:rPr>
        <w:t>.</w:t>
      </w:r>
      <w:r>
        <w:rPr>
          <w:lang w:val="fr-FR"/>
        </w:rPr>
        <w:tab/>
        <w:t>L</w:t>
      </w:r>
      <w:r w:rsidR="0034023C">
        <w:rPr>
          <w:lang w:val="fr-FR"/>
        </w:rPr>
        <w:t>es services sont les suivants</w:t>
      </w:r>
      <w:r w:rsidR="00572260">
        <w:rPr>
          <w:lang w:val="fr-FR"/>
        </w:rPr>
        <w:t>:</w:t>
      </w:r>
    </w:p>
    <w:p w:rsidR="0034023C" w:rsidRDefault="0034023C" w:rsidP="005D7B68">
      <w:pPr>
        <w:tabs>
          <w:tab w:val="left" w:pos="567"/>
          <w:tab w:val="left" w:pos="1134"/>
          <w:tab w:val="left" w:pos="1701"/>
          <w:tab w:val="left" w:pos="2268"/>
          <w:tab w:val="left" w:pos="2835"/>
        </w:tabs>
        <w:rPr>
          <w:lang w:val="fr-FR"/>
        </w:rPr>
      </w:pPr>
      <w:r>
        <w:rPr>
          <w:lang w:val="fr-FR"/>
        </w:rPr>
        <w:tab/>
        <w:t>a)</w:t>
      </w:r>
      <w:r>
        <w:rPr>
          <w:lang w:val="fr-FR"/>
        </w:rPr>
        <w:tab/>
        <w:t>Prise en charge psy</w:t>
      </w:r>
      <w:r w:rsidR="00E70328">
        <w:rPr>
          <w:lang w:val="fr-FR"/>
        </w:rPr>
        <w:t>chologique et sensibilisation</w:t>
      </w:r>
      <w:r>
        <w:rPr>
          <w:lang w:val="fr-FR"/>
        </w:rPr>
        <w:t xml:space="preserve"> d’individus</w:t>
      </w:r>
      <w:r w:rsidR="00572260">
        <w:rPr>
          <w:lang w:val="fr-FR"/>
        </w:rPr>
        <w:t>;</w:t>
      </w:r>
    </w:p>
    <w:p w:rsidR="0034023C" w:rsidRDefault="0034023C" w:rsidP="005D7B68">
      <w:pPr>
        <w:tabs>
          <w:tab w:val="left" w:pos="567"/>
          <w:tab w:val="left" w:pos="1134"/>
          <w:tab w:val="left" w:pos="1701"/>
          <w:tab w:val="left" w:pos="2268"/>
          <w:tab w:val="left" w:pos="2835"/>
        </w:tabs>
        <w:rPr>
          <w:lang w:val="fr-FR"/>
        </w:rPr>
      </w:pPr>
      <w:r>
        <w:rPr>
          <w:lang w:val="fr-FR"/>
        </w:rPr>
        <w:tab/>
        <w:t>b)</w:t>
      </w:r>
      <w:r>
        <w:rPr>
          <w:lang w:val="fr-FR"/>
        </w:rPr>
        <w:tab/>
        <w:t>Pris en charge psychologique de familles</w:t>
      </w:r>
      <w:r w:rsidR="00572260">
        <w:rPr>
          <w:lang w:val="fr-FR"/>
        </w:rPr>
        <w:t>;</w:t>
      </w:r>
    </w:p>
    <w:p w:rsidR="0034023C" w:rsidRDefault="0034023C" w:rsidP="005D7B68">
      <w:pPr>
        <w:tabs>
          <w:tab w:val="left" w:pos="567"/>
          <w:tab w:val="left" w:pos="1134"/>
          <w:tab w:val="left" w:pos="1701"/>
          <w:tab w:val="left" w:pos="2268"/>
          <w:tab w:val="left" w:pos="2835"/>
        </w:tabs>
        <w:rPr>
          <w:lang w:val="fr-FR"/>
        </w:rPr>
      </w:pPr>
      <w:r>
        <w:rPr>
          <w:lang w:val="fr-FR"/>
        </w:rPr>
        <w:tab/>
        <w:t>c)</w:t>
      </w:r>
      <w:r>
        <w:rPr>
          <w:lang w:val="fr-FR"/>
        </w:rPr>
        <w:tab/>
      </w:r>
      <w:r w:rsidR="00D6133F">
        <w:rPr>
          <w:lang w:val="fr-FR"/>
        </w:rPr>
        <w:t>Développement des ressources locales</w:t>
      </w:r>
      <w:r w:rsidR="00572260">
        <w:rPr>
          <w:lang w:val="fr-FR"/>
        </w:rPr>
        <w:t>;</w:t>
      </w:r>
    </w:p>
    <w:p w:rsidR="00D6133F" w:rsidRDefault="00D6133F" w:rsidP="005D7B68">
      <w:pPr>
        <w:tabs>
          <w:tab w:val="left" w:pos="567"/>
          <w:tab w:val="left" w:pos="1134"/>
          <w:tab w:val="left" w:pos="1701"/>
          <w:tab w:val="left" w:pos="2268"/>
          <w:tab w:val="left" w:pos="2835"/>
        </w:tabs>
        <w:rPr>
          <w:lang w:val="fr-FR"/>
        </w:rPr>
      </w:pPr>
      <w:r>
        <w:rPr>
          <w:lang w:val="fr-FR"/>
        </w:rPr>
        <w:tab/>
        <w:t>d)</w:t>
      </w:r>
      <w:r>
        <w:rPr>
          <w:lang w:val="fr-FR"/>
        </w:rPr>
        <w:tab/>
        <w:t>Aide aux jeunes</w:t>
      </w:r>
      <w:r w:rsidR="00572260">
        <w:rPr>
          <w:lang w:val="fr-FR"/>
        </w:rPr>
        <w:t>;</w:t>
      </w:r>
    </w:p>
    <w:p w:rsidR="00D6133F" w:rsidRDefault="00D6133F" w:rsidP="005D7B68">
      <w:pPr>
        <w:tabs>
          <w:tab w:val="left" w:pos="567"/>
          <w:tab w:val="left" w:pos="1134"/>
          <w:tab w:val="left" w:pos="1701"/>
          <w:tab w:val="left" w:pos="2268"/>
          <w:tab w:val="left" w:pos="2835"/>
        </w:tabs>
        <w:rPr>
          <w:lang w:val="fr-FR"/>
        </w:rPr>
      </w:pPr>
      <w:r>
        <w:rPr>
          <w:lang w:val="fr-FR"/>
        </w:rPr>
        <w:tab/>
        <w:t>e)</w:t>
      </w:r>
      <w:r>
        <w:rPr>
          <w:lang w:val="fr-FR"/>
        </w:rPr>
        <w:tab/>
        <w:t>Information et éducation</w:t>
      </w:r>
      <w:r w:rsidR="00572260">
        <w:rPr>
          <w:lang w:val="fr-FR"/>
        </w:rPr>
        <w:t>;</w:t>
      </w:r>
    </w:p>
    <w:p w:rsidR="00D6133F" w:rsidRDefault="00D6133F" w:rsidP="005D7B68">
      <w:pPr>
        <w:tabs>
          <w:tab w:val="left" w:pos="567"/>
          <w:tab w:val="left" w:pos="1134"/>
          <w:tab w:val="left" w:pos="1701"/>
          <w:tab w:val="left" w:pos="2268"/>
          <w:tab w:val="left" w:pos="2835"/>
        </w:tabs>
        <w:rPr>
          <w:lang w:val="fr-FR"/>
        </w:rPr>
      </w:pPr>
      <w:r>
        <w:rPr>
          <w:lang w:val="fr-FR"/>
        </w:rPr>
        <w:tab/>
        <w:t>f)</w:t>
      </w:r>
      <w:r>
        <w:rPr>
          <w:lang w:val="fr-FR"/>
        </w:rPr>
        <w:tab/>
        <w:t>Renforcement des capacités et établissement de contacts.</w:t>
      </w:r>
    </w:p>
    <w:p w:rsidR="00D6133F" w:rsidRDefault="003A39EE" w:rsidP="005D7B68">
      <w:pPr>
        <w:tabs>
          <w:tab w:val="left" w:pos="567"/>
          <w:tab w:val="left" w:pos="1134"/>
          <w:tab w:val="left" w:pos="1701"/>
          <w:tab w:val="left" w:pos="2268"/>
          <w:tab w:val="left" w:pos="2835"/>
        </w:tabs>
        <w:rPr>
          <w:b/>
          <w:bCs/>
          <w:lang w:val="fr-FR"/>
        </w:rPr>
      </w:pPr>
      <w:r>
        <w:rPr>
          <w:b/>
          <w:bCs/>
          <w:lang w:val="fr-FR"/>
        </w:rPr>
        <w:t>Australie o</w:t>
      </w:r>
      <w:r w:rsidR="00D6133F">
        <w:rPr>
          <w:b/>
          <w:bCs/>
          <w:lang w:val="fr-FR"/>
        </w:rPr>
        <w:t>ccidentale</w:t>
      </w:r>
    </w:p>
    <w:p w:rsidR="00D6133F" w:rsidRPr="00EC7105" w:rsidRDefault="00EC7105" w:rsidP="005D7B68">
      <w:pPr>
        <w:tabs>
          <w:tab w:val="left" w:pos="567"/>
          <w:tab w:val="left" w:pos="1134"/>
          <w:tab w:val="left" w:pos="1701"/>
          <w:tab w:val="left" w:pos="2268"/>
          <w:tab w:val="left" w:pos="2835"/>
        </w:tabs>
        <w:rPr>
          <w:b/>
          <w:bCs/>
          <w:lang w:val="fr-FR"/>
        </w:rPr>
      </w:pPr>
      <w:r>
        <w:rPr>
          <w:b/>
          <w:bCs/>
          <w:lang w:val="fr-FR"/>
        </w:rPr>
        <w:tab/>
        <w:t>a)</w:t>
      </w:r>
      <w:r>
        <w:rPr>
          <w:b/>
          <w:bCs/>
          <w:lang w:val="fr-FR"/>
        </w:rPr>
        <w:tab/>
      </w:r>
      <w:r w:rsidRPr="00EC7105">
        <w:rPr>
          <w:b/>
          <w:bCs/>
          <w:lang w:val="fr-FR"/>
        </w:rPr>
        <w:t>Les services proposant un traitement des traumatismes et d’autres formes d’assistance à la réadaptation pour les victimes de la torture et la capacité de ces services</w:t>
      </w:r>
      <w:r w:rsidR="00572260">
        <w:rPr>
          <w:b/>
          <w:bCs/>
          <w:lang w:val="fr-FR"/>
        </w:rPr>
        <w:t>;</w:t>
      </w:r>
    </w:p>
    <w:p w:rsidR="00493022" w:rsidRDefault="00EC7105" w:rsidP="005D7B68">
      <w:pPr>
        <w:tabs>
          <w:tab w:val="left" w:pos="567"/>
          <w:tab w:val="left" w:pos="1134"/>
          <w:tab w:val="left" w:pos="1701"/>
          <w:tab w:val="left" w:pos="2268"/>
          <w:tab w:val="left" w:pos="2835"/>
        </w:tabs>
        <w:rPr>
          <w:lang w:val="fr-FR"/>
        </w:rPr>
      </w:pPr>
      <w:r>
        <w:rPr>
          <w:lang w:val="fr-FR"/>
        </w:rPr>
        <w:t>77</w:t>
      </w:r>
      <w:r w:rsidR="00E562C0">
        <w:rPr>
          <w:lang w:val="fr-FR"/>
        </w:rPr>
        <w:t>5</w:t>
      </w:r>
      <w:r>
        <w:rPr>
          <w:lang w:val="fr-FR"/>
        </w:rPr>
        <w:t>.</w:t>
      </w:r>
      <w:r>
        <w:rPr>
          <w:lang w:val="fr-FR"/>
        </w:rPr>
        <w:tab/>
      </w:r>
      <w:r w:rsidR="008F48DE">
        <w:rPr>
          <w:lang w:val="fr-FR"/>
        </w:rPr>
        <w:t>L’</w:t>
      </w:r>
      <w:r>
        <w:rPr>
          <w:i/>
          <w:iCs/>
          <w:lang w:val="fr-FR"/>
        </w:rPr>
        <w:t>Associati</w:t>
      </w:r>
      <w:r w:rsidRPr="00EC7105">
        <w:rPr>
          <w:i/>
          <w:iCs/>
          <w:lang w:val="fr-FR"/>
        </w:rPr>
        <w:t>on</w:t>
      </w:r>
      <w:r>
        <w:rPr>
          <w:i/>
          <w:iCs/>
          <w:lang w:val="fr-FR"/>
        </w:rPr>
        <w:t xml:space="preserve"> for Services to Torture and Trauma Survivors Inc </w:t>
      </w:r>
      <w:r>
        <w:rPr>
          <w:lang w:val="fr-FR"/>
        </w:rPr>
        <w:t xml:space="preserve">(Association pour les services aux personnes ayant survécu à la torture et aux traumatismes) représente, en </w:t>
      </w:r>
      <w:r w:rsidR="008E1139">
        <w:rPr>
          <w:lang w:val="fr-FR"/>
        </w:rPr>
        <w:t>Australie occidentale</w:t>
      </w:r>
      <w:r>
        <w:rPr>
          <w:lang w:val="fr-FR"/>
        </w:rPr>
        <w:t>, les services spécialisés d’aide aux personnes ayant survécu à la torture et à d’autres violations des droits de l’homme</w:t>
      </w:r>
      <w:r w:rsidR="008D6B80">
        <w:rPr>
          <w:lang w:val="fr-FR"/>
        </w:rPr>
        <w:t xml:space="preserve">. </w:t>
      </w:r>
      <w:r>
        <w:rPr>
          <w:lang w:val="fr-FR"/>
        </w:rPr>
        <w:t xml:space="preserve">Il s’agit de services de consultation, d’appui et de supervision pour les individus et les groupes, d’éducation, comprenant la préparation, l’organisation et l’évaluation d’ateliers, </w:t>
      </w:r>
      <w:r w:rsidR="008F48DE">
        <w:rPr>
          <w:lang w:val="fr-FR"/>
        </w:rPr>
        <w:t>des services d’interprétariat et de traduction</w:t>
      </w:r>
      <w:r w:rsidR="004F6DC5">
        <w:rPr>
          <w:lang w:val="fr-FR"/>
        </w:rPr>
        <w:t>,</w:t>
      </w:r>
      <w:r w:rsidR="008F48DE">
        <w:rPr>
          <w:lang w:val="fr-FR"/>
        </w:rPr>
        <w:t xml:space="preserve"> et des séances d’information à l’intention des professionnels de la santé et des travailleurs sociaux.</w:t>
      </w:r>
    </w:p>
    <w:p w:rsidR="008F48DE" w:rsidRDefault="003A39EE" w:rsidP="00E8018D">
      <w:pPr>
        <w:keepNext/>
        <w:tabs>
          <w:tab w:val="left" w:pos="567"/>
          <w:tab w:val="left" w:pos="1134"/>
          <w:tab w:val="left" w:pos="1701"/>
          <w:tab w:val="left" w:pos="2268"/>
          <w:tab w:val="left" w:pos="2835"/>
        </w:tabs>
        <w:rPr>
          <w:b/>
          <w:bCs/>
          <w:lang w:val="fr-FR"/>
        </w:rPr>
      </w:pPr>
      <w:r>
        <w:rPr>
          <w:lang w:val="fr-FR"/>
        </w:rPr>
        <w:tab/>
      </w:r>
      <w:r>
        <w:rPr>
          <w:b/>
          <w:bCs/>
          <w:lang w:val="fr-FR"/>
        </w:rPr>
        <w:t>b)</w:t>
      </w:r>
      <w:r w:rsidR="008F48DE" w:rsidRPr="008F48DE">
        <w:rPr>
          <w:b/>
          <w:bCs/>
          <w:lang w:val="fr-FR"/>
        </w:rPr>
        <w:tab/>
        <w:t>Le nombre de victimes d’actes de torture commis en Australie et de personnes ayant subi des tortures avant leur arrivée dans le pays qui ont pu avoir accès à ces services; et</w:t>
      </w:r>
    </w:p>
    <w:p w:rsidR="008F48DE" w:rsidRDefault="008F48DE" w:rsidP="00E8018D">
      <w:pPr>
        <w:keepNext/>
        <w:tabs>
          <w:tab w:val="left" w:pos="567"/>
          <w:tab w:val="left" w:pos="1134"/>
          <w:tab w:val="left" w:pos="1701"/>
          <w:tab w:val="left" w:pos="2268"/>
          <w:tab w:val="left" w:pos="2835"/>
        </w:tabs>
        <w:rPr>
          <w:lang w:val="fr-FR"/>
        </w:rPr>
      </w:pPr>
      <w:r>
        <w:rPr>
          <w:bCs/>
          <w:lang w:val="fr-FR"/>
        </w:rPr>
        <w:t>77</w:t>
      </w:r>
      <w:r w:rsidR="00E562C0">
        <w:rPr>
          <w:bCs/>
          <w:lang w:val="fr-FR"/>
        </w:rPr>
        <w:t>6</w:t>
      </w:r>
      <w:r>
        <w:rPr>
          <w:bCs/>
          <w:lang w:val="fr-FR"/>
        </w:rPr>
        <w:t>.</w:t>
      </w:r>
      <w:r>
        <w:rPr>
          <w:bCs/>
          <w:lang w:val="fr-FR"/>
        </w:rPr>
        <w:tab/>
        <w:t xml:space="preserve">Au cours de l’année budgétaire juillet 2006-juin 2007, </w:t>
      </w:r>
      <w:r>
        <w:rPr>
          <w:lang w:val="fr-FR"/>
        </w:rPr>
        <w:t>l’</w:t>
      </w:r>
      <w:r>
        <w:rPr>
          <w:i/>
          <w:iCs/>
          <w:lang w:val="fr-FR"/>
        </w:rPr>
        <w:t>Associati</w:t>
      </w:r>
      <w:r w:rsidRPr="00EC7105">
        <w:rPr>
          <w:i/>
          <w:iCs/>
          <w:lang w:val="fr-FR"/>
        </w:rPr>
        <w:t>on</w:t>
      </w:r>
      <w:r>
        <w:rPr>
          <w:i/>
          <w:iCs/>
          <w:lang w:val="fr-FR"/>
        </w:rPr>
        <w:t xml:space="preserve"> for Services to Torture and Trauma Survivors Inc</w:t>
      </w:r>
      <w:r>
        <w:rPr>
          <w:lang w:val="fr-FR"/>
        </w:rPr>
        <w:t xml:space="preserve"> a fourni des services à 1 542 utilisateurs</w:t>
      </w:r>
      <w:r w:rsidR="008D6B80">
        <w:rPr>
          <w:lang w:val="fr-FR"/>
        </w:rPr>
        <w:t xml:space="preserve">. </w:t>
      </w:r>
      <w:r>
        <w:rPr>
          <w:lang w:val="fr-FR"/>
        </w:rPr>
        <w:t>Il s’agit de personnes qui ont reçu de l’aide du service d’orientation sociale</w:t>
      </w:r>
      <w:r w:rsidR="000374FD">
        <w:rPr>
          <w:lang w:val="fr-FR"/>
        </w:rPr>
        <w:t xml:space="preserve"> sous contrat avec le Département de la</w:t>
      </w:r>
      <w:r w:rsidR="004F6DC5">
        <w:rPr>
          <w:lang w:val="fr-FR"/>
        </w:rPr>
        <w:t xml:space="preserve"> santé et d’utilisateurs ayant</w:t>
      </w:r>
      <w:r w:rsidR="000374FD">
        <w:rPr>
          <w:lang w:val="fr-FR"/>
        </w:rPr>
        <w:t xml:space="preserve"> bénéficié de programmes d’orientation et de programmes communautaires</w:t>
      </w:r>
      <w:r w:rsidR="008D6B80">
        <w:rPr>
          <w:lang w:val="fr-FR"/>
        </w:rPr>
        <w:t xml:space="preserve">. </w:t>
      </w:r>
      <w:r w:rsidR="000374FD">
        <w:rPr>
          <w:lang w:val="fr-FR"/>
        </w:rPr>
        <w:t xml:space="preserve">(Toutes les personnes prise en charge par cette association ont souffert de traumatismes, soit parce qu’elles ont été elles-mêmes soumises à des </w:t>
      </w:r>
      <w:r w:rsidR="005D18B8">
        <w:rPr>
          <w:lang w:val="fr-FR"/>
        </w:rPr>
        <w:t>actes de torture, soit parce qu’elles en ont été témoins et qu’elles ont été confrontées à la torture ou à d’autres actes qui ont mis leur vie en danger</w:t>
      </w:r>
      <w:r w:rsidR="003A39EE">
        <w:rPr>
          <w:lang w:val="fr-FR"/>
        </w:rPr>
        <w:t>.</w:t>
      </w:r>
      <w:r w:rsidR="005D18B8">
        <w:rPr>
          <w:lang w:val="fr-FR"/>
        </w:rPr>
        <w:t>)</w:t>
      </w:r>
    </w:p>
    <w:p w:rsidR="005D18B8" w:rsidRDefault="005D18B8" w:rsidP="005D7B68">
      <w:pPr>
        <w:tabs>
          <w:tab w:val="left" w:pos="567"/>
          <w:tab w:val="left" w:pos="1134"/>
          <w:tab w:val="left" w:pos="1701"/>
          <w:tab w:val="left" w:pos="2268"/>
          <w:tab w:val="left" w:pos="2835"/>
        </w:tabs>
        <w:rPr>
          <w:lang w:val="fr-FR"/>
        </w:rPr>
      </w:pPr>
      <w:r>
        <w:rPr>
          <w:lang w:val="fr-FR"/>
        </w:rPr>
        <w:t>77</w:t>
      </w:r>
      <w:r w:rsidR="00E562C0">
        <w:rPr>
          <w:lang w:val="fr-FR"/>
        </w:rPr>
        <w:t>7</w:t>
      </w:r>
      <w:r>
        <w:rPr>
          <w:lang w:val="fr-FR"/>
        </w:rPr>
        <w:t>.</w:t>
      </w:r>
      <w:r>
        <w:rPr>
          <w:lang w:val="fr-FR"/>
        </w:rPr>
        <w:tab/>
        <w:t>Les services publics de santé mentale</w:t>
      </w:r>
      <w:r w:rsidR="00335D98">
        <w:rPr>
          <w:lang w:val="fr-FR"/>
        </w:rPr>
        <w:t>, qui</w:t>
      </w:r>
      <w:r>
        <w:rPr>
          <w:lang w:val="fr-FR"/>
        </w:rPr>
        <w:t xml:space="preserve"> </w:t>
      </w:r>
      <w:r w:rsidR="00335D98">
        <w:rPr>
          <w:lang w:val="fr-FR"/>
        </w:rPr>
        <w:t>sont situés dans les zones urbaines et rurales d’</w:t>
      </w:r>
      <w:r w:rsidR="008E1139">
        <w:rPr>
          <w:lang w:val="fr-FR"/>
        </w:rPr>
        <w:t>Australie occidentale</w:t>
      </w:r>
      <w:r w:rsidR="00335D98">
        <w:rPr>
          <w:lang w:val="fr-FR"/>
        </w:rPr>
        <w:t xml:space="preserve">, </w:t>
      </w:r>
      <w:r>
        <w:rPr>
          <w:lang w:val="fr-FR"/>
        </w:rPr>
        <w:t>procèdent à des évaluations, à des interventions d’urgence, et à des activités d’orientation et d’assistance a</w:t>
      </w:r>
      <w:r w:rsidR="00085A24">
        <w:rPr>
          <w:lang w:val="fr-FR"/>
        </w:rPr>
        <w:t>uprès d’enfants et d’adultes souffra</w:t>
      </w:r>
      <w:r>
        <w:rPr>
          <w:lang w:val="fr-FR"/>
        </w:rPr>
        <w:t>nt de troub</w:t>
      </w:r>
      <w:r w:rsidR="00335D98">
        <w:rPr>
          <w:lang w:val="fr-FR"/>
        </w:rPr>
        <w:t>les mentaux identifiables</w:t>
      </w:r>
      <w:r w:rsidR="008D6B80">
        <w:rPr>
          <w:lang w:val="fr-FR"/>
        </w:rPr>
        <w:t xml:space="preserve">. </w:t>
      </w:r>
    </w:p>
    <w:p w:rsidR="005D18B8" w:rsidRDefault="005D18B8" w:rsidP="005D7B68">
      <w:pPr>
        <w:tabs>
          <w:tab w:val="left" w:pos="567"/>
          <w:tab w:val="left" w:pos="1134"/>
          <w:tab w:val="left" w:pos="1701"/>
          <w:tab w:val="left" w:pos="2268"/>
          <w:tab w:val="left" w:pos="2835"/>
        </w:tabs>
        <w:rPr>
          <w:b/>
          <w:bCs/>
          <w:lang w:val="fr-FR"/>
        </w:rPr>
      </w:pPr>
      <w:r>
        <w:rPr>
          <w:lang w:val="fr-FR"/>
        </w:rPr>
        <w:tab/>
      </w:r>
      <w:r>
        <w:rPr>
          <w:b/>
          <w:bCs/>
          <w:lang w:val="fr-FR"/>
        </w:rPr>
        <w:t>c)</w:t>
      </w:r>
      <w:r>
        <w:rPr>
          <w:b/>
          <w:bCs/>
          <w:lang w:val="fr-FR"/>
        </w:rPr>
        <w:tab/>
      </w:r>
      <w:r w:rsidRPr="005D18B8">
        <w:rPr>
          <w:b/>
          <w:bCs/>
          <w:lang w:val="fr-FR"/>
        </w:rPr>
        <w:t>Les crédits alloués par l’État partie à ces services.</w:t>
      </w:r>
    </w:p>
    <w:p w:rsidR="005D18B8" w:rsidRDefault="005D18B8" w:rsidP="005D7B68">
      <w:pPr>
        <w:tabs>
          <w:tab w:val="left" w:pos="567"/>
          <w:tab w:val="left" w:pos="1134"/>
          <w:tab w:val="left" w:pos="1701"/>
          <w:tab w:val="left" w:pos="2268"/>
          <w:tab w:val="left" w:pos="2835"/>
        </w:tabs>
        <w:rPr>
          <w:lang w:val="fr-FR"/>
        </w:rPr>
      </w:pPr>
      <w:r>
        <w:rPr>
          <w:lang w:val="fr-FR"/>
        </w:rPr>
        <w:t>77</w:t>
      </w:r>
      <w:r w:rsidR="00E562C0">
        <w:rPr>
          <w:lang w:val="fr-FR"/>
        </w:rPr>
        <w:t>8</w:t>
      </w:r>
      <w:r>
        <w:rPr>
          <w:lang w:val="fr-FR"/>
        </w:rPr>
        <w:t>.</w:t>
      </w:r>
      <w:r>
        <w:rPr>
          <w:lang w:val="fr-FR"/>
        </w:rPr>
        <w:tab/>
      </w:r>
      <w:r w:rsidR="00EB4F51">
        <w:rPr>
          <w:lang w:val="fr-FR"/>
        </w:rPr>
        <w:t>En 2006, 409 110 dollars, reconductibles.</w:t>
      </w:r>
    </w:p>
    <w:p w:rsidR="00EB4F51" w:rsidRDefault="008E1139" w:rsidP="005D7B68">
      <w:pPr>
        <w:tabs>
          <w:tab w:val="left" w:pos="567"/>
          <w:tab w:val="left" w:pos="1134"/>
          <w:tab w:val="left" w:pos="1701"/>
          <w:tab w:val="left" w:pos="2268"/>
          <w:tab w:val="left" w:pos="2835"/>
        </w:tabs>
        <w:rPr>
          <w:b/>
          <w:bCs/>
          <w:lang w:val="fr-FR"/>
        </w:rPr>
      </w:pPr>
      <w:r>
        <w:rPr>
          <w:b/>
          <w:bCs/>
          <w:lang w:val="fr-FR"/>
        </w:rPr>
        <w:t>Australie méridionale</w:t>
      </w:r>
    </w:p>
    <w:p w:rsidR="00EB4F51" w:rsidRDefault="00EB4F51" w:rsidP="005D7B68">
      <w:pPr>
        <w:tabs>
          <w:tab w:val="left" w:pos="567"/>
          <w:tab w:val="left" w:pos="1134"/>
          <w:tab w:val="left" w:pos="1701"/>
          <w:tab w:val="left" w:pos="2268"/>
          <w:tab w:val="left" w:pos="2835"/>
        </w:tabs>
        <w:rPr>
          <w:lang w:val="fr-FR"/>
        </w:rPr>
      </w:pPr>
      <w:r>
        <w:rPr>
          <w:lang w:val="fr-FR"/>
        </w:rPr>
        <w:t>7</w:t>
      </w:r>
      <w:r w:rsidR="00E562C0">
        <w:rPr>
          <w:lang w:val="fr-FR"/>
        </w:rPr>
        <w:t>79</w:t>
      </w:r>
      <w:r>
        <w:rPr>
          <w:lang w:val="fr-FR"/>
        </w:rPr>
        <w:t>.</w:t>
      </w:r>
      <w:r>
        <w:rPr>
          <w:lang w:val="fr-FR"/>
        </w:rPr>
        <w:tab/>
        <w:t xml:space="preserve">En </w:t>
      </w:r>
      <w:r w:rsidR="008E1139">
        <w:rPr>
          <w:lang w:val="fr-FR"/>
        </w:rPr>
        <w:t>Australie méridionale</w:t>
      </w:r>
      <w:r>
        <w:rPr>
          <w:lang w:val="fr-FR"/>
        </w:rPr>
        <w:t>, les services de santé mentale ne recueillent pas actuellement de statistiques spéci</w:t>
      </w:r>
      <w:r w:rsidR="00792FBA">
        <w:rPr>
          <w:lang w:val="fr-FR"/>
        </w:rPr>
        <w:t>fiques relatives aux</w:t>
      </w:r>
      <w:r>
        <w:rPr>
          <w:lang w:val="fr-FR"/>
        </w:rPr>
        <w:t xml:space="preserve"> traitement des</w:t>
      </w:r>
      <w:r w:rsidR="00792FBA">
        <w:rPr>
          <w:lang w:val="fr-FR"/>
        </w:rPr>
        <w:t xml:space="preserve"> traumatismes et à la</w:t>
      </w:r>
      <w:r>
        <w:rPr>
          <w:lang w:val="fr-FR"/>
        </w:rPr>
        <w:t xml:space="preserve"> ré</w:t>
      </w:r>
      <w:r w:rsidR="00781F20">
        <w:rPr>
          <w:lang w:val="fr-FR"/>
        </w:rPr>
        <w:t>a</w:t>
      </w:r>
      <w:r>
        <w:rPr>
          <w:lang w:val="fr-FR"/>
        </w:rPr>
        <w:t>daptation</w:t>
      </w:r>
      <w:r w:rsidR="00792FBA">
        <w:rPr>
          <w:lang w:val="fr-FR"/>
        </w:rPr>
        <w:t xml:space="preserve"> d</w:t>
      </w:r>
      <w:r w:rsidR="00781F20">
        <w:rPr>
          <w:lang w:val="fr-FR"/>
        </w:rPr>
        <w:t xml:space="preserve">es victimes d’actes </w:t>
      </w:r>
      <w:r w:rsidR="00792FBA">
        <w:rPr>
          <w:lang w:val="fr-FR"/>
        </w:rPr>
        <w:t>de torture et de traumatismes, ni</w:t>
      </w:r>
      <w:r w:rsidR="00781F20">
        <w:rPr>
          <w:lang w:val="fr-FR"/>
        </w:rPr>
        <w:t xml:space="preserve"> au nombre de victimes qui s’adressent à eux</w:t>
      </w:r>
      <w:r w:rsidR="008D6B80">
        <w:rPr>
          <w:lang w:val="fr-FR"/>
        </w:rPr>
        <w:t xml:space="preserve">. </w:t>
      </w:r>
      <w:r w:rsidR="00781F20">
        <w:rPr>
          <w:lang w:val="fr-FR"/>
        </w:rPr>
        <w:t>L’Unité de santé mentale a mis au point un modèle</w:t>
      </w:r>
      <w:r w:rsidR="00B748AC">
        <w:rPr>
          <w:lang w:val="fr-FR"/>
        </w:rPr>
        <w:t xml:space="preserve"> de notification d’un ensemble minimal de données pour aider les organisations non gouvernementales (ONG) à recueillir des données</w:t>
      </w:r>
      <w:r w:rsidR="008D6B80">
        <w:rPr>
          <w:lang w:val="fr-FR"/>
        </w:rPr>
        <w:t xml:space="preserve">. </w:t>
      </w:r>
      <w:r w:rsidR="003A39EE">
        <w:rPr>
          <w:lang w:val="fr-FR"/>
        </w:rPr>
        <w:t>Ce </w:t>
      </w:r>
      <w:r w:rsidR="00B748AC">
        <w:rPr>
          <w:lang w:val="fr-FR"/>
        </w:rPr>
        <w:t>modèle a commencé à fonctionner le 1</w:t>
      </w:r>
      <w:r w:rsidR="00B748AC" w:rsidRPr="00B748AC">
        <w:rPr>
          <w:vertAlign w:val="superscript"/>
          <w:lang w:val="fr-FR"/>
        </w:rPr>
        <w:t>er</w:t>
      </w:r>
      <w:r w:rsidR="00B748AC">
        <w:rPr>
          <w:lang w:val="fr-FR"/>
        </w:rPr>
        <w:t xml:space="preserve"> juillet 2007</w:t>
      </w:r>
      <w:r w:rsidR="008D6B80">
        <w:rPr>
          <w:lang w:val="fr-FR"/>
        </w:rPr>
        <w:t xml:space="preserve">. </w:t>
      </w:r>
      <w:r w:rsidR="00B748AC">
        <w:rPr>
          <w:lang w:val="fr-FR"/>
        </w:rPr>
        <w:t>L’ensemble de données comprendra des informations sur</w:t>
      </w:r>
      <w:r w:rsidR="00781F20">
        <w:rPr>
          <w:lang w:val="fr-FR"/>
        </w:rPr>
        <w:t xml:space="preserve"> </w:t>
      </w:r>
      <w:r w:rsidR="00792FBA">
        <w:rPr>
          <w:lang w:val="fr-FR"/>
        </w:rPr>
        <w:t>le pays d’origine, l’utilisation des</w:t>
      </w:r>
      <w:r w:rsidR="00B748AC">
        <w:rPr>
          <w:lang w:val="fr-FR"/>
        </w:rPr>
        <w:t xml:space="preserve"> interprète</w:t>
      </w:r>
      <w:r w:rsidR="00792FBA">
        <w:rPr>
          <w:lang w:val="fr-FR"/>
        </w:rPr>
        <w:t>s</w:t>
      </w:r>
      <w:r w:rsidR="00B748AC">
        <w:rPr>
          <w:lang w:val="fr-FR"/>
        </w:rPr>
        <w:t xml:space="preserve"> (à savoir la langue parlée) et l’organisation qui a envoyé les intéressés à cette unité.</w:t>
      </w:r>
    </w:p>
    <w:p w:rsidR="00126D5F" w:rsidRDefault="00B748AC" w:rsidP="005D7B68">
      <w:pPr>
        <w:tabs>
          <w:tab w:val="left" w:pos="567"/>
          <w:tab w:val="left" w:pos="1134"/>
          <w:tab w:val="left" w:pos="1701"/>
          <w:tab w:val="left" w:pos="2268"/>
          <w:tab w:val="left" w:pos="2835"/>
        </w:tabs>
        <w:rPr>
          <w:lang w:val="fr-FR"/>
        </w:rPr>
      </w:pPr>
      <w:r>
        <w:rPr>
          <w:lang w:val="fr-FR"/>
        </w:rPr>
        <w:t>78</w:t>
      </w:r>
      <w:r w:rsidR="00E562C0">
        <w:rPr>
          <w:lang w:val="fr-FR"/>
        </w:rPr>
        <w:t>0</w:t>
      </w:r>
      <w:r>
        <w:rPr>
          <w:lang w:val="fr-FR"/>
        </w:rPr>
        <w:t>.</w:t>
      </w:r>
      <w:r>
        <w:rPr>
          <w:lang w:val="fr-FR"/>
        </w:rPr>
        <w:tab/>
        <w:t>En 2005, le Gouvernement d’</w:t>
      </w:r>
      <w:r w:rsidR="008E1139">
        <w:rPr>
          <w:lang w:val="fr-FR"/>
        </w:rPr>
        <w:t>Australie méridionale</w:t>
      </w:r>
      <w:r w:rsidR="00126D5F">
        <w:rPr>
          <w:lang w:val="fr-FR"/>
        </w:rPr>
        <w:t xml:space="preserve"> a affecté</w:t>
      </w:r>
      <w:r>
        <w:rPr>
          <w:lang w:val="fr-FR"/>
        </w:rPr>
        <w:t xml:space="preserve"> </w:t>
      </w:r>
      <w:r w:rsidR="00126D5F">
        <w:rPr>
          <w:lang w:val="fr-FR"/>
        </w:rPr>
        <w:t>des fonds de subvention</w:t>
      </w:r>
      <w:r>
        <w:rPr>
          <w:lang w:val="fr-FR"/>
        </w:rPr>
        <w:t xml:space="preserve"> à hauteur de 25 millions de dollars</w:t>
      </w:r>
      <w:r w:rsidR="00126D5F">
        <w:rPr>
          <w:lang w:val="fr-FR"/>
        </w:rPr>
        <w:t xml:space="preserve"> sur trois ans à des ONG pour des services (destinés, entre autres, à des populations de cultures et de langues diverses et des populations aborigèn</w:t>
      </w:r>
      <w:r w:rsidR="003A39EE">
        <w:rPr>
          <w:lang w:val="fr-FR"/>
        </w:rPr>
        <w:t>es). En </w:t>
      </w:r>
      <w:r w:rsidR="0070435B">
        <w:rPr>
          <w:lang w:val="fr-FR"/>
        </w:rPr>
        <w:t>juin 2007, il</w:t>
      </w:r>
      <w:r w:rsidR="00126D5F">
        <w:rPr>
          <w:lang w:val="fr-FR"/>
        </w:rPr>
        <w:t xml:space="preserve"> a alloué 36,8 millions de dollars de plus à des ONG sur les quatre années à venir.</w:t>
      </w:r>
    </w:p>
    <w:p w:rsidR="00126D5F" w:rsidRDefault="00126D5F" w:rsidP="005D7B68">
      <w:pPr>
        <w:tabs>
          <w:tab w:val="left" w:pos="567"/>
          <w:tab w:val="left" w:pos="1134"/>
          <w:tab w:val="left" w:pos="1701"/>
          <w:tab w:val="left" w:pos="2268"/>
          <w:tab w:val="left" w:pos="2835"/>
        </w:tabs>
        <w:rPr>
          <w:lang w:val="fr-FR"/>
        </w:rPr>
      </w:pPr>
      <w:r>
        <w:rPr>
          <w:lang w:val="fr-FR"/>
        </w:rPr>
        <w:t>78</w:t>
      </w:r>
      <w:r w:rsidR="00E562C0">
        <w:rPr>
          <w:lang w:val="fr-FR"/>
        </w:rPr>
        <w:t>1</w:t>
      </w:r>
      <w:r>
        <w:rPr>
          <w:lang w:val="fr-FR"/>
        </w:rPr>
        <w:t>.</w:t>
      </w:r>
      <w:r>
        <w:rPr>
          <w:lang w:val="fr-FR"/>
        </w:rPr>
        <w:tab/>
        <w:t>Les services qui sont mis à la disposition d’immigrants placés en rétention, de réfugiés et d’autres personnes vulnérables sont les suivants</w:t>
      </w:r>
      <w:r w:rsidR="00572260">
        <w:rPr>
          <w:lang w:val="fr-FR"/>
        </w:rPr>
        <w:t>:</w:t>
      </w:r>
    </w:p>
    <w:p w:rsidR="00126D5F" w:rsidRPr="00FC1A62" w:rsidRDefault="00126D5F" w:rsidP="005D7B68">
      <w:pPr>
        <w:tabs>
          <w:tab w:val="left" w:pos="567"/>
          <w:tab w:val="left" w:pos="1134"/>
          <w:tab w:val="left" w:pos="1701"/>
          <w:tab w:val="left" w:pos="2268"/>
          <w:tab w:val="left" w:pos="2835"/>
        </w:tabs>
        <w:rPr>
          <w:b/>
          <w:bCs/>
          <w:i/>
          <w:iCs/>
          <w:lang w:val="fr-FR"/>
        </w:rPr>
      </w:pPr>
      <w:r>
        <w:rPr>
          <w:lang w:val="fr-FR"/>
        </w:rPr>
        <w:tab/>
      </w:r>
      <w:r>
        <w:rPr>
          <w:b/>
          <w:bCs/>
          <w:lang w:val="fr-FR"/>
        </w:rPr>
        <w:t>a</w:t>
      </w:r>
      <w:r w:rsidR="005A5EE2">
        <w:rPr>
          <w:b/>
          <w:bCs/>
          <w:lang w:val="fr-FR"/>
        </w:rPr>
        <w:t>)</w:t>
      </w:r>
      <w:r w:rsidR="005A5EE2">
        <w:rPr>
          <w:b/>
          <w:bCs/>
          <w:lang w:val="fr-FR"/>
        </w:rPr>
        <w:tab/>
        <w:t>Le Centre d’information d</w:t>
      </w:r>
      <w:r>
        <w:rPr>
          <w:b/>
          <w:bCs/>
          <w:lang w:val="fr-FR"/>
        </w:rPr>
        <w:t>es migrants</w:t>
      </w:r>
      <w:r w:rsidR="00FC1A62">
        <w:rPr>
          <w:b/>
          <w:bCs/>
          <w:lang w:val="fr-FR"/>
        </w:rPr>
        <w:t xml:space="preserve"> (</w:t>
      </w:r>
      <w:r w:rsidR="00FC1A62">
        <w:rPr>
          <w:b/>
          <w:bCs/>
          <w:i/>
          <w:iCs/>
          <w:lang w:val="fr-FR"/>
        </w:rPr>
        <w:t>Migrant Resource Centre)</w:t>
      </w:r>
    </w:p>
    <w:p w:rsidR="00B748AC" w:rsidRDefault="00E562C0" w:rsidP="005D7B68">
      <w:pPr>
        <w:tabs>
          <w:tab w:val="left" w:pos="567"/>
          <w:tab w:val="left" w:pos="1134"/>
          <w:tab w:val="left" w:pos="1701"/>
          <w:tab w:val="left" w:pos="2268"/>
          <w:tab w:val="left" w:pos="2835"/>
        </w:tabs>
        <w:rPr>
          <w:lang w:val="fr-FR"/>
        </w:rPr>
      </w:pPr>
      <w:r>
        <w:rPr>
          <w:lang w:val="fr-FR"/>
        </w:rPr>
        <w:t>782</w:t>
      </w:r>
      <w:r w:rsidR="00126D5F">
        <w:rPr>
          <w:lang w:val="fr-FR"/>
        </w:rPr>
        <w:t>.</w:t>
      </w:r>
      <w:r w:rsidR="00126D5F">
        <w:rPr>
          <w:lang w:val="fr-FR"/>
        </w:rPr>
        <w:tab/>
      </w:r>
      <w:r w:rsidR="005A5EE2">
        <w:rPr>
          <w:lang w:val="fr-FR"/>
        </w:rPr>
        <w:t>Le Centre d’information des</w:t>
      </w:r>
      <w:r w:rsidR="00126D5F">
        <w:rPr>
          <w:lang w:val="fr-FR"/>
        </w:rPr>
        <w:t xml:space="preserve"> migrants est sous contrat avec le Gouvernement d’</w:t>
      </w:r>
      <w:r w:rsidR="008E1139">
        <w:rPr>
          <w:lang w:val="fr-FR"/>
        </w:rPr>
        <w:t>Australie méridionale</w:t>
      </w:r>
      <w:r w:rsidR="00126D5F">
        <w:rPr>
          <w:lang w:val="fr-FR"/>
        </w:rPr>
        <w:t xml:space="preserve"> pour assurer des services de réinstallation et fournit une assistance et un appui continus aux migrants et aux réfugiés pendant les cinq premières années de leur installation en </w:t>
      </w:r>
      <w:r w:rsidR="008E1139">
        <w:rPr>
          <w:lang w:val="fr-FR"/>
        </w:rPr>
        <w:t>Australie méridionale</w:t>
      </w:r>
      <w:r w:rsidR="008D6B80">
        <w:rPr>
          <w:lang w:val="fr-FR"/>
        </w:rPr>
        <w:t xml:space="preserve">. </w:t>
      </w:r>
      <w:r w:rsidR="00126D5F">
        <w:rPr>
          <w:lang w:val="fr-FR"/>
        </w:rPr>
        <w:t>La prestation de ces servic</w:t>
      </w:r>
      <w:r w:rsidR="00E40BE5">
        <w:rPr>
          <w:lang w:val="fr-FR"/>
        </w:rPr>
        <w:t xml:space="preserve">es est assurée directement </w:t>
      </w:r>
      <w:r w:rsidR="00A458AD">
        <w:rPr>
          <w:lang w:val="fr-FR"/>
        </w:rPr>
        <w:t>ou par téléphone à des individus ou à des groupes,</w:t>
      </w:r>
      <w:r w:rsidR="00E40BE5">
        <w:rPr>
          <w:lang w:val="fr-FR"/>
        </w:rPr>
        <w:t xml:space="preserve"> et comprend des informations ainsi qu’une orientation vers d’autres organismes prestataires de services, des actions de </w:t>
      </w:r>
      <w:r w:rsidR="00E70328">
        <w:rPr>
          <w:lang w:val="fr-FR"/>
        </w:rPr>
        <w:t>médiation, de sensibilisation</w:t>
      </w:r>
      <w:r w:rsidR="00E40BE5">
        <w:rPr>
          <w:lang w:val="fr-FR"/>
        </w:rPr>
        <w:t xml:space="preserve"> des utilisateurs, des interventions d’urgence psychosociale, des conseils aux migrants et des informations aux consommateurs</w:t>
      </w:r>
      <w:r w:rsidR="008D6B80">
        <w:rPr>
          <w:lang w:val="fr-FR"/>
        </w:rPr>
        <w:t xml:space="preserve">. </w:t>
      </w:r>
    </w:p>
    <w:p w:rsidR="00E40BE5" w:rsidRPr="00937766" w:rsidRDefault="00E40BE5" w:rsidP="005D7B68">
      <w:pPr>
        <w:tabs>
          <w:tab w:val="left" w:pos="567"/>
          <w:tab w:val="left" w:pos="1134"/>
          <w:tab w:val="left" w:pos="1701"/>
          <w:tab w:val="left" w:pos="2268"/>
          <w:tab w:val="left" w:pos="2835"/>
        </w:tabs>
        <w:rPr>
          <w:b/>
          <w:bCs/>
          <w:i/>
          <w:iCs/>
          <w:lang w:val="fr-FR"/>
        </w:rPr>
      </w:pPr>
      <w:r>
        <w:rPr>
          <w:lang w:val="fr-FR"/>
        </w:rPr>
        <w:tab/>
      </w:r>
      <w:r w:rsidR="00966890">
        <w:rPr>
          <w:b/>
          <w:bCs/>
          <w:lang w:val="fr-FR"/>
        </w:rPr>
        <w:t>b)</w:t>
      </w:r>
      <w:r w:rsidR="00966890">
        <w:rPr>
          <w:b/>
          <w:bCs/>
          <w:lang w:val="fr-FR"/>
        </w:rPr>
        <w:tab/>
        <w:t>Le Service sanitaire pour</w:t>
      </w:r>
      <w:r>
        <w:rPr>
          <w:b/>
          <w:bCs/>
          <w:lang w:val="fr-FR"/>
        </w:rPr>
        <w:t xml:space="preserve"> migrants</w:t>
      </w:r>
      <w:r w:rsidR="00937766">
        <w:rPr>
          <w:b/>
          <w:bCs/>
          <w:lang w:val="fr-FR"/>
        </w:rPr>
        <w:t xml:space="preserve"> (</w:t>
      </w:r>
      <w:r w:rsidR="00937766">
        <w:rPr>
          <w:b/>
          <w:bCs/>
          <w:i/>
          <w:iCs/>
          <w:lang w:val="fr-FR"/>
        </w:rPr>
        <w:t>Migrant Health Service)</w:t>
      </w:r>
    </w:p>
    <w:p w:rsidR="00E40BE5" w:rsidRDefault="00E562C0" w:rsidP="005D7B68">
      <w:pPr>
        <w:tabs>
          <w:tab w:val="left" w:pos="567"/>
          <w:tab w:val="left" w:pos="1134"/>
          <w:tab w:val="left" w:pos="1701"/>
          <w:tab w:val="left" w:pos="2268"/>
          <w:tab w:val="left" w:pos="2835"/>
        </w:tabs>
        <w:rPr>
          <w:lang w:val="fr-FR"/>
        </w:rPr>
      </w:pPr>
      <w:r>
        <w:rPr>
          <w:lang w:val="fr-FR"/>
        </w:rPr>
        <w:t>783</w:t>
      </w:r>
      <w:r w:rsidR="00E40BE5">
        <w:rPr>
          <w:lang w:val="fr-FR"/>
        </w:rPr>
        <w:t>.</w:t>
      </w:r>
      <w:r w:rsidR="00E40BE5">
        <w:rPr>
          <w:lang w:val="fr-FR"/>
        </w:rPr>
        <w:tab/>
        <w:t xml:space="preserve">Le Service </w:t>
      </w:r>
      <w:r w:rsidR="00966890">
        <w:rPr>
          <w:lang w:val="fr-FR"/>
        </w:rPr>
        <w:t>sanitaire pour</w:t>
      </w:r>
      <w:r w:rsidR="004C3525">
        <w:rPr>
          <w:lang w:val="fr-FR"/>
        </w:rPr>
        <w:t xml:space="preserve"> migrants fournit</w:t>
      </w:r>
      <w:r w:rsidR="00E40BE5">
        <w:rPr>
          <w:lang w:val="fr-FR"/>
        </w:rPr>
        <w:t xml:space="preserve"> des services de santé multidisciplinaires de grande qualit</w:t>
      </w:r>
      <w:r w:rsidR="004C3525">
        <w:rPr>
          <w:lang w:val="fr-FR"/>
        </w:rPr>
        <w:t>é aux</w:t>
      </w:r>
      <w:r w:rsidR="00E40BE5">
        <w:rPr>
          <w:lang w:val="fr-FR"/>
        </w:rPr>
        <w:t xml:space="preserve"> personnes qui entrent e</w:t>
      </w:r>
      <w:r w:rsidR="00D273F2">
        <w:rPr>
          <w:lang w:val="fr-FR"/>
        </w:rPr>
        <w:t>n Australie à titre humanitaire, avec des interprètes p</w:t>
      </w:r>
      <w:r w:rsidR="00C60478">
        <w:rPr>
          <w:lang w:val="fr-FR"/>
        </w:rPr>
        <w:t>ersonnels pour tout ce qui concerne les</w:t>
      </w:r>
      <w:r w:rsidR="00D273F2">
        <w:rPr>
          <w:lang w:val="fr-FR"/>
        </w:rPr>
        <w:t xml:space="preserve"> soins de santé, médicaux et autres</w:t>
      </w:r>
      <w:r w:rsidR="008D6B80">
        <w:rPr>
          <w:lang w:val="fr-FR"/>
        </w:rPr>
        <w:t xml:space="preserve">. </w:t>
      </w:r>
      <w:r w:rsidR="00C60478">
        <w:rPr>
          <w:lang w:val="fr-FR"/>
        </w:rPr>
        <w:t>Il coordonne également son action</w:t>
      </w:r>
      <w:r w:rsidR="00D273F2">
        <w:rPr>
          <w:lang w:val="fr-FR"/>
        </w:rPr>
        <w:t xml:space="preserve"> avec d’autres prestataires de soins de santé concernés et ménage une transition maîtrisée vers des soins de santé primaires de base suivis.</w:t>
      </w:r>
    </w:p>
    <w:p w:rsidR="00F35591" w:rsidRDefault="00D273F2" w:rsidP="005D7B68">
      <w:pPr>
        <w:tabs>
          <w:tab w:val="left" w:pos="567"/>
          <w:tab w:val="left" w:pos="1134"/>
          <w:tab w:val="left" w:pos="1701"/>
          <w:tab w:val="left" w:pos="2268"/>
          <w:tab w:val="left" w:pos="2835"/>
        </w:tabs>
        <w:rPr>
          <w:lang w:val="fr-FR"/>
        </w:rPr>
      </w:pPr>
      <w:r>
        <w:rPr>
          <w:lang w:val="fr-FR"/>
        </w:rPr>
        <w:t>78</w:t>
      </w:r>
      <w:r w:rsidR="00E562C0">
        <w:rPr>
          <w:lang w:val="fr-FR"/>
        </w:rPr>
        <w:t>4</w:t>
      </w:r>
      <w:r w:rsidR="00966890">
        <w:rPr>
          <w:lang w:val="fr-FR"/>
        </w:rPr>
        <w:t>.</w:t>
      </w:r>
      <w:r w:rsidR="00966890">
        <w:rPr>
          <w:lang w:val="fr-FR"/>
        </w:rPr>
        <w:tab/>
        <w:t>Le Service sanitaire pour</w:t>
      </w:r>
      <w:r>
        <w:rPr>
          <w:lang w:val="fr-FR"/>
        </w:rPr>
        <w:t xml:space="preserve"> migran</w:t>
      </w:r>
      <w:r w:rsidR="003F3D2F">
        <w:rPr>
          <w:lang w:val="fr-FR"/>
        </w:rPr>
        <w:t>ts peut faire valoir</w:t>
      </w:r>
      <w:r>
        <w:rPr>
          <w:lang w:val="fr-FR"/>
        </w:rPr>
        <w:t xml:space="preserve"> un bilan avéré en matière de prestations de soins de</w:t>
      </w:r>
      <w:r w:rsidR="003F3D2F">
        <w:rPr>
          <w:lang w:val="fr-FR"/>
        </w:rPr>
        <w:t xml:space="preserve"> santé dispensés à</w:t>
      </w:r>
      <w:r>
        <w:rPr>
          <w:lang w:val="fr-FR"/>
        </w:rPr>
        <w:t xml:space="preserve"> tout un ensemble de personnes entrant en Australie à titre humanitaire et ayant des besoins exceptionnels, comme des femmes à risque et leur famille, de très grandes familles et des personnes ayant été victimes de tortures et souffrant de traumatismes</w:t>
      </w:r>
      <w:r w:rsidR="003F3D2F">
        <w:rPr>
          <w:lang w:val="fr-FR"/>
        </w:rPr>
        <w:t>, entre autres critères donnant</w:t>
      </w:r>
      <w:r w:rsidR="008A5166">
        <w:rPr>
          <w:lang w:val="fr-FR"/>
        </w:rPr>
        <w:t xml:space="preserve"> droit aux soins et à l’</w:t>
      </w:r>
      <w:r w:rsidR="00A24DFC">
        <w:rPr>
          <w:lang w:val="fr-FR"/>
        </w:rPr>
        <w:t>assistance rése</w:t>
      </w:r>
      <w:r w:rsidR="008A5166">
        <w:rPr>
          <w:lang w:val="fr-FR"/>
        </w:rPr>
        <w:t>rvés aux cas complexes</w:t>
      </w:r>
      <w:r w:rsidR="008D6B80">
        <w:rPr>
          <w:lang w:val="fr-FR"/>
        </w:rPr>
        <w:t xml:space="preserve">. </w:t>
      </w:r>
      <w:r w:rsidR="00A24DFC">
        <w:rPr>
          <w:lang w:val="fr-FR"/>
        </w:rPr>
        <w:t>Il tient compte des autres facteurs qui interviennent pour qu’une inst</w:t>
      </w:r>
      <w:r w:rsidR="00C60478">
        <w:rPr>
          <w:lang w:val="fr-FR"/>
        </w:rPr>
        <w:t>allation soit réussie, notamment</w:t>
      </w:r>
      <w:r w:rsidR="00A24DFC">
        <w:rPr>
          <w:lang w:val="fr-FR"/>
        </w:rPr>
        <w:t xml:space="preserve"> des cours d’anglais, le logement, l’éducation et l’ajustement culturel, et</w:t>
      </w:r>
      <w:r w:rsidR="00572260">
        <w:rPr>
          <w:lang w:val="fr-FR"/>
        </w:rPr>
        <w:t xml:space="preserve"> </w:t>
      </w:r>
      <w:r w:rsidR="00A24DFC">
        <w:rPr>
          <w:lang w:val="fr-FR"/>
        </w:rPr>
        <w:t xml:space="preserve">peut travailler en collaboration étant donné </w:t>
      </w:r>
      <w:r w:rsidR="00F35591">
        <w:rPr>
          <w:lang w:val="fr-FR"/>
        </w:rPr>
        <w:t>la diversité de ces besoins.</w:t>
      </w:r>
    </w:p>
    <w:p w:rsidR="00691BD2" w:rsidRDefault="00F35591" w:rsidP="005D7B68">
      <w:pPr>
        <w:tabs>
          <w:tab w:val="left" w:pos="567"/>
          <w:tab w:val="left" w:pos="1134"/>
          <w:tab w:val="left" w:pos="1701"/>
          <w:tab w:val="left" w:pos="2268"/>
          <w:tab w:val="left" w:pos="2835"/>
        </w:tabs>
        <w:rPr>
          <w:lang w:val="fr-FR"/>
        </w:rPr>
      </w:pPr>
      <w:r>
        <w:rPr>
          <w:lang w:val="fr-FR"/>
        </w:rPr>
        <w:t>78</w:t>
      </w:r>
      <w:r w:rsidR="00E562C0">
        <w:rPr>
          <w:lang w:val="fr-FR"/>
        </w:rPr>
        <w:t>5</w:t>
      </w:r>
      <w:r>
        <w:rPr>
          <w:lang w:val="fr-FR"/>
        </w:rPr>
        <w:t>.</w:t>
      </w:r>
      <w:r>
        <w:rPr>
          <w:lang w:val="fr-FR"/>
        </w:rPr>
        <w:tab/>
        <w:t>Environ un tiers des réfugiés récemment arrivés passent par ce service, qui procède à des bilans de santé, intervient auprès de personnes présentant des problèmes, rattrape des retard de vaccination, mène une acti</w:t>
      </w:r>
      <w:r w:rsidR="00F91B4A">
        <w:rPr>
          <w:lang w:val="fr-FR"/>
        </w:rPr>
        <w:t>on éducative dans le domaine sanitaire</w:t>
      </w:r>
      <w:r>
        <w:rPr>
          <w:lang w:val="fr-FR"/>
        </w:rPr>
        <w:t xml:space="preserve"> et ménage ou faci</w:t>
      </w:r>
      <w:r w:rsidR="00691BD2">
        <w:rPr>
          <w:lang w:val="fr-FR"/>
        </w:rPr>
        <w:t>lite une transition vers</w:t>
      </w:r>
      <w:r>
        <w:rPr>
          <w:lang w:val="fr-FR"/>
        </w:rPr>
        <w:t xml:space="preserve"> un médecin généraliste, avec</w:t>
      </w:r>
      <w:r w:rsidR="00691BD2">
        <w:rPr>
          <w:lang w:val="fr-FR"/>
        </w:rPr>
        <w:t xml:space="preserve"> un plan de prise en charge, habituellement dans les six mois qui suivent le premier contact.</w:t>
      </w:r>
    </w:p>
    <w:p w:rsidR="00D273F2" w:rsidRPr="00E40BE5" w:rsidRDefault="00691BD2" w:rsidP="005D7B68">
      <w:pPr>
        <w:tabs>
          <w:tab w:val="left" w:pos="567"/>
          <w:tab w:val="left" w:pos="1134"/>
          <w:tab w:val="left" w:pos="1701"/>
          <w:tab w:val="left" w:pos="2268"/>
          <w:tab w:val="left" w:pos="2835"/>
        </w:tabs>
        <w:rPr>
          <w:lang w:val="fr-FR"/>
        </w:rPr>
      </w:pPr>
      <w:r>
        <w:rPr>
          <w:lang w:val="fr-FR"/>
        </w:rPr>
        <w:t>78</w:t>
      </w:r>
      <w:r w:rsidR="00E562C0">
        <w:rPr>
          <w:lang w:val="fr-FR"/>
        </w:rPr>
        <w:t>6</w:t>
      </w:r>
      <w:r w:rsidR="00966890">
        <w:rPr>
          <w:lang w:val="fr-FR"/>
        </w:rPr>
        <w:t>.</w:t>
      </w:r>
      <w:r w:rsidR="00966890">
        <w:rPr>
          <w:lang w:val="fr-FR"/>
        </w:rPr>
        <w:tab/>
        <w:t>Le Service sanitaire pour</w:t>
      </w:r>
      <w:r>
        <w:rPr>
          <w:lang w:val="fr-FR"/>
        </w:rPr>
        <w:t xml:space="preserve"> migrants accueille aussi des personnes</w:t>
      </w:r>
      <w:r w:rsidR="009E54EE">
        <w:rPr>
          <w:lang w:val="fr-FR"/>
        </w:rPr>
        <w:t xml:space="preserve"> récemment arrivées qui lui sont</w:t>
      </w:r>
      <w:r w:rsidR="00F91B4A">
        <w:rPr>
          <w:lang w:val="fr-FR"/>
        </w:rPr>
        <w:t xml:space="preserve"> adressées</w:t>
      </w:r>
      <w:r>
        <w:rPr>
          <w:lang w:val="fr-FR"/>
        </w:rPr>
        <w:t xml:space="preserve"> par d’autres dispensateurs de soins (médecins généralistes, hôpit</w:t>
      </w:r>
      <w:r w:rsidR="006E107E">
        <w:rPr>
          <w:lang w:val="fr-FR"/>
        </w:rPr>
        <w:t>aux),</w:t>
      </w:r>
      <w:r>
        <w:rPr>
          <w:lang w:val="fr-FR"/>
        </w:rPr>
        <w:t xml:space="preserve"> ont des besoin</w:t>
      </w:r>
      <w:r w:rsidR="00F91B4A">
        <w:rPr>
          <w:lang w:val="fr-FR"/>
        </w:rPr>
        <w:t>s importants ou complexes et</w:t>
      </w:r>
      <w:r>
        <w:rPr>
          <w:lang w:val="fr-FR"/>
        </w:rPr>
        <w:t xml:space="preserve"> peuvent être dans le pays depuis un an ou plus</w:t>
      </w:r>
      <w:r w:rsidR="008D6B80">
        <w:rPr>
          <w:lang w:val="fr-FR"/>
        </w:rPr>
        <w:t xml:space="preserve">. </w:t>
      </w:r>
      <w:r>
        <w:rPr>
          <w:lang w:val="fr-FR"/>
        </w:rPr>
        <w:t xml:space="preserve">La plupart des autres migrants sont envoyés dans des cabinets de généralistes privés par </w:t>
      </w:r>
      <w:r w:rsidR="00016485">
        <w:rPr>
          <w:lang w:val="fr-FR"/>
        </w:rPr>
        <w:t>le Centre d’information des</w:t>
      </w:r>
      <w:r>
        <w:rPr>
          <w:lang w:val="fr-FR"/>
        </w:rPr>
        <w:t xml:space="preserve"> migrants dans le cadre d’un contrat d’installation conclu avec le Commonwealth</w:t>
      </w:r>
      <w:r w:rsidR="008D6B80">
        <w:rPr>
          <w:lang w:val="fr-FR"/>
        </w:rPr>
        <w:t>.</w:t>
      </w:r>
      <w:r w:rsidR="00572260">
        <w:rPr>
          <w:lang w:val="fr-FR"/>
        </w:rPr>
        <w:t xml:space="preserve"> </w:t>
      </w:r>
    </w:p>
    <w:p w:rsidR="008F48DE" w:rsidRDefault="00E37EBA" w:rsidP="005D7B68">
      <w:pPr>
        <w:tabs>
          <w:tab w:val="left" w:pos="567"/>
          <w:tab w:val="left" w:pos="1134"/>
          <w:tab w:val="left" w:pos="1701"/>
          <w:tab w:val="left" w:pos="2268"/>
          <w:tab w:val="left" w:pos="2835"/>
        </w:tabs>
        <w:rPr>
          <w:lang w:val="fr-FR"/>
        </w:rPr>
      </w:pPr>
      <w:r>
        <w:rPr>
          <w:lang w:val="fr-FR"/>
        </w:rPr>
        <w:t>78</w:t>
      </w:r>
      <w:r w:rsidR="00E562C0">
        <w:rPr>
          <w:lang w:val="fr-FR"/>
        </w:rPr>
        <w:t>7</w:t>
      </w:r>
      <w:r w:rsidR="00966890">
        <w:rPr>
          <w:lang w:val="fr-FR"/>
        </w:rPr>
        <w:t>.</w:t>
      </w:r>
      <w:r w:rsidR="00966890">
        <w:rPr>
          <w:lang w:val="fr-FR"/>
        </w:rPr>
        <w:tab/>
        <w:t>Le Service sanitaire pour</w:t>
      </w:r>
      <w:r>
        <w:rPr>
          <w:lang w:val="fr-FR"/>
        </w:rPr>
        <w:t xml:space="preserve"> migrants dispose d’une équipe d’orientation sociale (</w:t>
      </w:r>
      <w:r w:rsidR="003A39EE">
        <w:rPr>
          <w:lang w:val="fr-FR"/>
        </w:rPr>
        <w:t>deux</w:t>
      </w:r>
      <w:r w:rsidR="00AA7AA2">
        <w:rPr>
          <w:lang w:val="fr-FR"/>
        </w:rPr>
        <w:t xml:space="preserve"> ou </w:t>
      </w:r>
      <w:r w:rsidR="003A39EE">
        <w:rPr>
          <w:lang w:val="fr-FR"/>
        </w:rPr>
        <w:t>trois</w:t>
      </w:r>
      <w:r w:rsidR="00AA7AA2">
        <w:rPr>
          <w:lang w:val="fr-FR"/>
        </w:rPr>
        <w:t xml:space="preserve"> employés à plein temps,</w:t>
      </w:r>
      <w:r>
        <w:rPr>
          <w:lang w:val="fr-FR"/>
        </w:rPr>
        <w:t xml:space="preserve"> avec un psychologue principal à plein temps et quelques travailleurs sociaux à temps partiel)</w:t>
      </w:r>
      <w:r w:rsidR="00AA7AA2">
        <w:rPr>
          <w:lang w:val="fr-FR"/>
        </w:rPr>
        <w:t xml:space="preserve"> qui se concentre essentiellement sur une prise en charge psychologique destinée à aider les bénéficiaires à résoudre des problèmes</w:t>
      </w:r>
      <w:r w:rsidR="002400F9">
        <w:rPr>
          <w:lang w:val="fr-FR"/>
        </w:rPr>
        <w:t xml:space="preserve"> dus à ce qu’ils vivent</w:t>
      </w:r>
      <w:r w:rsidR="00AA7AA2">
        <w:rPr>
          <w:lang w:val="fr-FR"/>
        </w:rPr>
        <w:t xml:space="preserve"> en tant que réfugiés</w:t>
      </w:r>
      <w:r w:rsidR="002400F9">
        <w:rPr>
          <w:lang w:val="fr-FR"/>
        </w:rPr>
        <w:t xml:space="preserve"> et à des difficultés d’in</w:t>
      </w:r>
      <w:r w:rsidR="00733A6E">
        <w:rPr>
          <w:lang w:val="fr-FR"/>
        </w:rPr>
        <w:t>stallation,</w:t>
      </w:r>
      <w:r w:rsidR="002400F9">
        <w:rPr>
          <w:lang w:val="fr-FR"/>
        </w:rPr>
        <w:t xml:space="preserve"> de relations familiales et des </w:t>
      </w:r>
      <w:r w:rsidR="002400F9" w:rsidRPr="00AF11C0">
        <w:rPr>
          <w:lang w:val="fr-FR"/>
        </w:rPr>
        <w:t xml:space="preserve">problèmes </w:t>
      </w:r>
      <w:r w:rsidR="002400F9">
        <w:rPr>
          <w:lang w:val="fr-FR"/>
        </w:rPr>
        <w:t>liés au visa.</w:t>
      </w:r>
    </w:p>
    <w:p w:rsidR="002400F9" w:rsidRPr="00E37EBA" w:rsidRDefault="002400F9" w:rsidP="005D7B68">
      <w:pPr>
        <w:tabs>
          <w:tab w:val="left" w:pos="567"/>
          <w:tab w:val="left" w:pos="1134"/>
          <w:tab w:val="left" w:pos="1701"/>
          <w:tab w:val="left" w:pos="2268"/>
          <w:tab w:val="left" w:pos="2835"/>
        </w:tabs>
        <w:rPr>
          <w:lang w:val="fr-FR"/>
        </w:rPr>
      </w:pPr>
      <w:r>
        <w:rPr>
          <w:lang w:val="fr-FR"/>
        </w:rPr>
        <w:t>78</w:t>
      </w:r>
      <w:r w:rsidR="00E562C0">
        <w:rPr>
          <w:lang w:val="fr-FR"/>
        </w:rPr>
        <w:t>8</w:t>
      </w:r>
      <w:r>
        <w:rPr>
          <w:lang w:val="fr-FR"/>
        </w:rPr>
        <w:t>.</w:t>
      </w:r>
      <w:r>
        <w:rPr>
          <w:lang w:val="fr-FR"/>
        </w:rPr>
        <w:tab/>
      </w:r>
      <w:r w:rsidR="00966890">
        <w:rPr>
          <w:lang w:val="fr-FR"/>
        </w:rPr>
        <w:t>Lorsqu’une maladie mentale évolutive est avérée, le Service sanitaire pour migrants aiguille l</w:t>
      </w:r>
      <w:r w:rsidR="00567560">
        <w:rPr>
          <w:lang w:val="fr-FR"/>
        </w:rPr>
        <w:t xml:space="preserve">es </w:t>
      </w:r>
      <w:r w:rsidR="00966890">
        <w:rPr>
          <w:lang w:val="fr-FR"/>
        </w:rPr>
        <w:t>intéressé</w:t>
      </w:r>
      <w:r w:rsidR="00567560">
        <w:rPr>
          <w:lang w:val="fr-FR"/>
        </w:rPr>
        <w:t>s</w:t>
      </w:r>
      <w:r w:rsidR="00966890">
        <w:rPr>
          <w:lang w:val="fr-FR"/>
        </w:rPr>
        <w:t xml:space="preserve"> vers le Service d’intervention</w:t>
      </w:r>
      <w:r w:rsidR="00DD5F68">
        <w:rPr>
          <w:lang w:val="fr-FR"/>
        </w:rPr>
        <w:t xml:space="preserve"> et de diagnostic</w:t>
      </w:r>
      <w:r w:rsidR="00966890">
        <w:rPr>
          <w:lang w:val="fr-FR"/>
        </w:rPr>
        <w:t xml:space="preserve"> en cas de crise</w:t>
      </w:r>
      <w:r w:rsidR="00567560">
        <w:rPr>
          <w:lang w:val="fr-FR"/>
        </w:rPr>
        <w:t xml:space="preserve"> ou vers des hôpitaux, ou les deux (selon les cas)</w:t>
      </w:r>
      <w:r w:rsidR="008D6B80">
        <w:rPr>
          <w:lang w:val="fr-FR"/>
        </w:rPr>
        <w:t xml:space="preserve">. </w:t>
      </w:r>
      <w:r w:rsidR="00567560">
        <w:rPr>
          <w:lang w:val="fr-FR"/>
        </w:rPr>
        <w:t>Il fournit également</w:t>
      </w:r>
      <w:r w:rsidR="0063562E">
        <w:rPr>
          <w:lang w:val="fr-FR"/>
        </w:rPr>
        <w:t>, le cas échéant,</w:t>
      </w:r>
      <w:r w:rsidR="00567560">
        <w:rPr>
          <w:lang w:val="fr-FR"/>
        </w:rPr>
        <w:t xml:space="preserve"> des soins de santé primaires aux personnes prises en charge.</w:t>
      </w:r>
    </w:p>
    <w:p w:rsidR="00493022" w:rsidRDefault="00567560" w:rsidP="005D7B68">
      <w:pPr>
        <w:tabs>
          <w:tab w:val="left" w:pos="567"/>
          <w:tab w:val="left" w:pos="1134"/>
          <w:tab w:val="left" w:pos="1701"/>
          <w:tab w:val="left" w:pos="2268"/>
          <w:tab w:val="left" w:pos="2835"/>
        </w:tabs>
        <w:rPr>
          <w:lang w:val="fr-FR"/>
        </w:rPr>
      </w:pPr>
      <w:r>
        <w:rPr>
          <w:lang w:val="fr-FR"/>
        </w:rPr>
        <w:t>7</w:t>
      </w:r>
      <w:r w:rsidR="00E562C0">
        <w:rPr>
          <w:lang w:val="fr-FR"/>
        </w:rPr>
        <w:t>89</w:t>
      </w:r>
      <w:r>
        <w:rPr>
          <w:lang w:val="fr-FR"/>
        </w:rPr>
        <w:t>.</w:t>
      </w:r>
      <w:r>
        <w:rPr>
          <w:lang w:val="fr-FR"/>
        </w:rPr>
        <w:tab/>
        <w:t>Ce service a dépensé 160 000 dollars en frais d’interprétariat au cours de l’année budgétaire 2005</w:t>
      </w:r>
      <w:r w:rsidR="003A39EE">
        <w:rPr>
          <w:lang w:val="fr-FR"/>
        </w:rPr>
        <w:t>/</w:t>
      </w:r>
      <w:r>
        <w:rPr>
          <w:lang w:val="fr-FR"/>
        </w:rPr>
        <w:t>06.</w:t>
      </w:r>
    </w:p>
    <w:p w:rsidR="00567560" w:rsidRPr="002C72B2" w:rsidRDefault="00567560" w:rsidP="005D7B68">
      <w:pPr>
        <w:tabs>
          <w:tab w:val="left" w:pos="567"/>
          <w:tab w:val="left" w:pos="1134"/>
          <w:tab w:val="left" w:pos="1701"/>
          <w:tab w:val="left" w:pos="2268"/>
          <w:tab w:val="left" w:pos="2835"/>
        </w:tabs>
        <w:rPr>
          <w:lang w:val="fr-FR"/>
        </w:rPr>
      </w:pPr>
      <w:r>
        <w:rPr>
          <w:lang w:val="fr-FR"/>
        </w:rPr>
        <w:t>79</w:t>
      </w:r>
      <w:r w:rsidR="00E562C0">
        <w:rPr>
          <w:lang w:val="fr-FR"/>
        </w:rPr>
        <w:t>0</w:t>
      </w:r>
      <w:r>
        <w:rPr>
          <w:lang w:val="fr-FR"/>
        </w:rPr>
        <w:t>.</w:t>
      </w:r>
      <w:r>
        <w:rPr>
          <w:lang w:val="fr-FR"/>
        </w:rPr>
        <w:tab/>
        <w:t>Les utilisateurs qui relèvent d’un traitement et d’une réadaptation après avoir été victimes d’actes de torture sont orientés vers des organismes communautaires</w:t>
      </w:r>
      <w:r w:rsidR="00A26A1D">
        <w:rPr>
          <w:lang w:val="fr-FR"/>
        </w:rPr>
        <w:t xml:space="preserve"> spécialisés dans la prestation de services comme le Service de traitement et de réadaptation pour les personnes ayant survécu aux tortures et aux traumatismes.</w:t>
      </w:r>
    </w:p>
    <w:p w:rsidR="00493022" w:rsidRPr="00FC1A62" w:rsidRDefault="00D6424B" w:rsidP="005D7B68">
      <w:pPr>
        <w:tabs>
          <w:tab w:val="left" w:pos="567"/>
          <w:tab w:val="left" w:pos="1134"/>
          <w:tab w:val="left" w:pos="1701"/>
          <w:tab w:val="left" w:pos="2268"/>
          <w:tab w:val="left" w:pos="2835"/>
        </w:tabs>
        <w:rPr>
          <w:b/>
          <w:bCs/>
          <w:i/>
          <w:iCs/>
          <w:lang w:val="fr-FR"/>
        </w:rPr>
      </w:pPr>
      <w:r>
        <w:rPr>
          <w:lang w:val="fr-FR"/>
        </w:rPr>
        <w:tab/>
      </w:r>
      <w:r>
        <w:rPr>
          <w:b/>
          <w:bCs/>
          <w:lang w:val="fr-FR"/>
        </w:rPr>
        <w:t>c)</w:t>
      </w:r>
      <w:r>
        <w:rPr>
          <w:b/>
          <w:bCs/>
          <w:lang w:val="fr-FR"/>
        </w:rPr>
        <w:tab/>
        <w:t>Service de traitement et de réadaptation pour les personnes ayant survécu à des tortures et à des traumatismes</w:t>
      </w:r>
      <w:r w:rsidR="00FC1A62">
        <w:rPr>
          <w:b/>
          <w:bCs/>
          <w:lang w:val="fr-FR"/>
        </w:rPr>
        <w:t xml:space="preserve"> (</w:t>
      </w:r>
      <w:r w:rsidR="00FC1A62">
        <w:rPr>
          <w:b/>
          <w:bCs/>
          <w:i/>
          <w:iCs/>
          <w:lang w:val="fr-FR"/>
        </w:rPr>
        <w:t>Survivors of Torture, Trauma and Rehabilitation Service)</w:t>
      </w:r>
    </w:p>
    <w:p w:rsidR="00D6424B" w:rsidRDefault="00A8119F" w:rsidP="005D7B68">
      <w:pPr>
        <w:tabs>
          <w:tab w:val="left" w:pos="567"/>
          <w:tab w:val="left" w:pos="1134"/>
          <w:tab w:val="left" w:pos="1701"/>
          <w:tab w:val="left" w:pos="2268"/>
          <w:tab w:val="left" w:pos="2835"/>
        </w:tabs>
        <w:rPr>
          <w:lang w:val="fr-FR"/>
        </w:rPr>
      </w:pPr>
      <w:r>
        <w:rPr>
          <w:lang w:val="fr-FR"/>
        </w:rPr>
        <w:t>79</w:t>
      </w:r>
      <w:r w:rsidR="00E562C0">
        <w:rPr>
          <w:lang w:val="fr-FR"/>
        </w:rPr>
        <w:t>1</w:t>
      </w:r>
      <w:r w:rsidR="00D6424B">
        <w:rPr>
          <w:lang w:val="fr-FR"/>
        </w:rPr>
        <w:t>.</w:t>
      </w:r>
      <w:r w:rsidR="00D6424B">
        <w:rPr>
          <w:lang w:val="fr-FR"/>
        </w:rPr>
        <w:tab/>
        <w:t>Ce service assure une prise en charge psychologique gratuite aux réfugiés e</w:t>
      </w:r>
      <w:r w:rsidR="001B43B6">
        <w:rPr>
          <w:lang w:val="fr-FR"/>
        </w:rPr>
        <w:t>t autres migrants ayant été</w:t>
      </w:r>
      <w:r w:rsidR="00D6424B">
        <w:rPr>
          <w:lang w:val="fr-FR"/>
        </w:rPr>
        <w:t xml:space="preserve"> victimes d’actes de tortures et de traumatismes.</w:t>
      </w:r>
    </w:p>
    <w:p w:rsidR="00D6424B" w:rsidRDefault="00D6424B" w:rsidP="005D7B68">
      <w:pPr>
        <w:tabs>
          <w:tab w:val="left" w:pos="567"/>
          <w:tab w:val="left" w:pos="1134"/>
          <w:tab w:val="left" w:pos="1701"/>
          <w:tab w:val="left" w:pos="2268"/>
          <w:tab w:val="left" w:pos="2835"/>
        </w:tabs>
        <w:rPr>
          <w:lang w:val="fr-FR"/>
        </w:rPr>
      </w:pPr>
      <w:r>
        <w:rPr>
          <w:lang w:val="fr-FR"/>
        </w:rPr>
        <w:t>79</w:t>
      </w:r>
      <w:r w:rsidR="00E562C0">
        <w:rPr>
          <w:lang w:val="fr-FR"/>
        </w:rPr>
        <w:t>2</w:t>
      </w:r>
      <w:r>
        <w:rPr>
          <w:lang w:val="fr-FR"/>
        </w:rPr>
        <w:t>.</w:t>
      </w:r>
      <w:r>
        <w:rPr>
          <w:lang w:val="fr-FR"/>
        </w:rPr>
        <w:tab/>
        <w:t>Il s’agit d’une organisation non gouvernementale à but non lucratif sans affiliation politique ni religieuse</w:t>
      </w:r>
      <w:r w:rsidR="00DD5F68">
        <w:rPr>
          <w:lang w:val="fr-FR"/>
        </w:rPr>
        <w:t>,</w:t>
      </w:r>
      <w:r>
        <w:rPr>
          <w:lang w:val="fr-FR"/>
        </w:rPr>
        <w:t xml:space="preserve"> qui s’occupe d’un certain nombre de groupes d’hommes, de femmes et de jeunes</w:t>
      </w:r>
      <w:r w:rsidR="008D6B80">
        <w:rPr>
          <w:lang w:val="fr-FR"/>
        </w:rPr>
        <w:t xml:space="preserve">. </w:t>
      </w:r>
      <w:r w:rsidR="001E3FDF">
        <w:rPr>
          <w:lang w:val="fr-FR"/>
        </w:rPr>
        <w:t>Ses acti</w:t>
      </w:r>
      <w:r w:rsidR="00DD5F68">
        <w:rPr>
          <w:lang w:val="fr-FR"/>
        </w:rPr>
        <w:t>vités</w:t>
      </w:r>
      <w:r w:rsidR="001E3FDF">
        <w:rPr>
          <w:lang w:val="fr-FR"/>
        </w:rPr>
        <w:t xml:space="preserve"> comprennent également l’information en matière de santé, l’assistance et la</w:t>
      </w:r>
      <w:r w:rsidR="00E70328">
        <w:rPr>
          <w:lang w:val="fr-FR"/>
        </w:rPr>
        <w:t xml:space="preserve"> sensibilisation</w:t>
      </w:r>
      <w:r w:rsidR="001E3FDF">
        <w:rPr>
          <w:lang w:val="fr-FR"/>
        </w:rPr>
        <w:t>, ainsi que des bilans de santé et l’orientation vers des services adéquats. Elle assure des services d’éducation et de formation à l’intention des personnes qui travaillen</w:t>
      </w:r>
      <w:r w:rsidR="00DD5F68">
        <w:rPr>
          <w:lang w:val="fr-FR"/>
        </w:rPr>
        <w:t>t auprès des réfugiés, dont</w:t>
      </w:r>
      <w:r w:rsidR="001E3FDF">
        <w:rPr>
          <w:lang w:val="fr-FR"/>
        </w:rPr>
        <w:t xml:space="preserve"> les agents de santé, le personnel enseignant et</w:t>
      </w:r>
      <w:r w:rsidR="00EC4461">
        <w:rPr>
          <w:lang w:val="fr-FR"/>
        </w:rPr>
        <w:t xml:space="preserve"> celui d’autres institutions.</w:t>
      </w:r>
    </w:p>
    <w:p w:rsidR="00EC4461" w:rsidRDefault="00EC4461" w:rsidP="005D7B68">
      <w:pPr>
        <w:tabs>
          <w:tab w:val="left" w:pos="567"/>
          <w:tab w:val="left" w:pos="1134"/>
          <w:tab w:val="left" w:pos="1701"/>
          <w:tab w:val="left" w:pos="2268"/>
          <w:tab w:val="left" w:pos="2835"/>
        </w:tabs>
        <w:rPr>
          <w:lang w:val="fr-FR"/>
        </w:rPr>
      </w:pPr>
      <w:r>
        <w:rPr>
          <w:lang w:val="fr-FR"/>
        </w:rPr>
        <w:t>79</w:t>
      </w:r>
      <w:r w:rsidR="00E562C0">
        <w:rPr>
          <w:lang w:val="fr-FR"/>
        </w:rPr>
        <w:t>3</w:t>
      </w:r>
      <w:r>
        <w:rPr>
          <w:lang w:val="fr-FR"/>
        </w:rPr>
        <w:t>.</w:t>
      </w:r>
      <w:r>
        <w:rPr>
          <w:lang w:val="fr-FR"/>
        </w:rPr>
        <w:tab/>
        <w:t>La plus grande partie de ses fonds provient du Ministère de la santé et du vieillissement du Commonwealth, mais le Département des familles et des communautés d’</w:t>
      </w:r>
      <w:r w:rsidR="008E1139">
        <w:rPr>
          <w:lang w:val="fr-FR"/>
        </w:rPr>
        <w:t>Australie méridionale</w:t>
      </w:r>
      <w:r>
        <w:rPr>
          <w:lang w:val="fr-FR"/>
        </w:rPr>
        <w:t xml:space="preserve"> lui alloue un supplément de 30 000 dollars par an.</w:t>
      </w:r>
    </w:p>
    <w:p w:rsidR="00EC4461" w:rsidRDefault="00EC4461" w:rsidP="005D7B68">
      <w:pPr>
        <w:tabs>
          <w:tab w:val="left" w:pos="567"/>
          <w:tab w:val="left" w:pos="1134"/>
          <w:tab w:val="left" w:pos="1701"/>
          <w:tab w:val="left" w:pos="2268"/>
          <w:tab w:val="left" w:pos="2835"/>
        </w:tabs>
        <w:rPr>
          <w:lang w:val="fr-FR"/>
        </w:rPr>
      </w:pPr>
      <w:r>
        <w:rPr>
          <w:lang w:val="fr-FR"/>
        </w:rPr>
        <w:t>79</w:t>
      </w:r>
      <w:r w:rsidR="00E562C0">
        <w:rPr>
          <w:lang w:val="fr-FR"/>
        </w:rPr>
        <w:t>4</w:t>
      </w:r>
      <w:r>
        <w:rPr>
          <w:lang w:val="fr-FR"/>
        </w:rPr>
        <w:t>.</w:t>
      </w:r>
      <w:r>
        <w:rPr>
          <w:lang w:val="fr-FR"/>
        </w:rPr>
        <w:tab/>
        <w:t>Le Département de la santé lui affecte un financement reconductible de 187 000 dollars par an pour les services précisés et convenus ci-après</w:t>
      </w:r>
      <w:r w:rsidR="00572260">
        <w:rPr>
          <w:lang w:val="fr-FR"/>
        </w:rPr>
        <w:t>:</w:t>
      </w:r>
    </w:p>
    <w:p w:rsidR="00DC164A" w:rsidRDefault="00EC4461" w:rsidP="005D7B68">
      <w:pPr>
        <w:tabs>
          <w:tab w:val="left" w:pos="567"/>
          <w:tab w:val="left" w:pos="1134"/>
          <w:tab w:val="left" w:pos="1701"/>
          <w:tab w:val="left" w:pos="2268"/>
          <w:tab w:val="left" w:pos="2835"/>
        </w:tabs>
        <w:rPr>
          <w:lang w:val="fr-FR"/>
        </w:rPr>
      </w:pPr>
      <w:r>
        <w:rPr>
          <w:lang w:val="fr-FR"/>
        </w:rPr>
        <w:tab/>
        <w:t>a)</w:t>
      </w:r>
      <w:r>
        <w:rPr>
          <w:lang w:val="fr-FR"/>
        </w:rPr>
        <w:tab/>
      </w:r>
      <w:r w:rsidR="00747F68">
        <w:rPr>
          <w:lang w:val="fr-FR"/>
        </w:rPr>
        <w:t xml:space="preserve">Quelque </w:t>
      </w:r>
      <w:r w:rsidR="00C20DE4">
        <w:rPr>
          <w:lang w:val="fr-FR"/>
        </w:rPr>
        <w:t xml:space="preserve">500 interventions </w:t>
      </w:r>
      <w:r w:rsidR="00DC164A">
        <w:rPr>
          <w:lang w:val="fr-FR"/>
        </w:rPr>
        <w:t xml:space="preserve">d’information et de conseil </w:t>
      </w:r>
      <w:r w:rsidR="00C20DE4">
        <w:rPr>
          <w:lang w:val="fr-FR"/>
        </w:rPr>
        <w:t>dans le cadre des services individuels</w:t>
      </w:r>
      <w:r w:rsidR="00DC164A">
        <w:rPr>
          <w:lang w:val="fr-FR"/>
        </w:rPr>
        <w:t>, téléphoniques ou non</w:t>
      </w:r>
      <w:r w:rsidR="00C20DE4">
        <w:rPr>
          <w:lang w:val="fr-FR"/>
        </w:rPr>
        <w:t>, ainsi que 16 série</w:t>
      </w:r>
      <w:r w:rsidR="00747F68">
        <w:rPr>
          <w:lang w:val="fr-FR"/>
        </w:rPr>
        <w:t>s</w:t>
      </w:r>
      <w:r w:rsidR="00C20DE4">
        <w:rPr>
          <w:lang w:val="fr-FR"/>
        </w:rPr>
        <w:t xml:space="preserve"> de séances</w:t>
      </w:r>
      <w:r w:rsidR="009A7252">
        <w:rPr>
          <w:lang w:val="fr-FR"/>
        </w:rPr>
        <w:t xml:space="preserve"> pour des groupes (à savoir</w:t>
      </w:r>
      <w:r w:rsidR="003A39EE">
        <w:rPr>
          <w:lang w:val="fr-FR"/>
        </w:rPr>
        <w:t xml:space="preserve"> deux </w:t>
      </w:r>
      <w:r w:rsidR="00DC164A">
        <w:rPr>
          <w:lang w:val="fr-FR"/>
        </w:rPr>
        <w:t>groupes qui se réunissent chacun huit fois)</w:t>
      </w:r>
      <w:r w:rsidR="00572260">
        <w:rPr>
          <w:lang w:val="fr-FR"/>
        </w:rPr>
        <w:t>;</w:t>
      </w:r>
    </w:p>
    <w:p w:rsidR="00EC4461" w:rsidRDefault="00DC164A" w:rsidP="005D7B68">
      <w:pPr>
        <w:tabs>
          <w:tab w:val="left" w:pos="567"/>
          <w:tab w:val="left" w:pos="1134"/>
          <w:tab w:val="left" w:pos="1701"/>
          <w:tab w:val="left" w:pos="2268"/>
          <w:tab w:val="left" w:pos="2835"/>
        </w:tabs>
        <w:rPr>
          <w:lang w:val="fr-FR"/>
        </w:rPr>
      </w:pPr>
      <w:r>
        <w:rPr>
          <w:lang w:val="fr-FR"/>
        </w:rPr>
        <w:tab/>
        <w:t>b)</w:t>
      </w:r>
      <w:r>
        <w:rPr>
          <w:lang w:val="fr-FR"/>
        </w:rPr>
        <w:tab/>
      </w:r>
      <w:r w:rsidR="00E70328">
        <w:rPr>
          <w:lang w:val="fr-FR"/>
        </w:rPr>
        <w:t>Un maximum de 250 interventions de sensibilisation à titre individuel, en fonction des besoins</w:t>
      </w:r>
      <w:r w:rsidR="00572260">
        <w:rPr>
          <w:lang w:val="fr-FR"/>
        </w:rPr>
        <w:t>;</w:t>
      </w:r>
      <w:r>
        <w:rPr>
          <w:lang w:val="fr-FR"/>
        </w:rPr>
        <w:t xml:space="preserve"> </w:t>
      </w:r>
      <w:r w:rsidR="00E70328">
        <w:rPr>
          <w:lang w:val="fr-FR"/>
        </w:rPr>
        <w:t>et</w:t>
      </w:r>
    </w:p>
    <w:p w:rsidR="00E70328" w:rsidRDefault="00E70328" w:rsidP="005D7B68">
      <w:pPr>
        <w:tabs>
          <w:tab w:val="left" w:pos="567"/>
          <w:tab w:val="left" w:pos="1134"/>
          <w:tab w:val="left" w:pos="1701"/>
          <w:tab w:val="left" w:pos="2268"/>
          <w:tab w:val="left" w:pos="2835"/>
        </w:tabs>
        <w:rPr>
          <w:lang w:val="fr-FR"/>
        </w:rPr>
      </w:pPr>
      <w:r>
        <w:rPr>
          <w:lang w:val="fr-FR"/>
        </w:rPr>
        <w:tab/>
        <w:t>c)</w:t>
      </w:r>
      <w:r>
        <w:rPr>
          <w:lang w:val="fr-FR"/>
        </w:rPr>
        <w:tab/>
        <w:t>La mise en œuvre de diverses initiatives avec d’autres prestataires de services, en matière d’information et d’éducation.</w:t>
      </w:r>
    </w:p>
    <w:p w:rsidR="00E70328" w:rsidRPr="009D25DF" w:rsidRDefault="00E70328" w:rsidP="005D7B68">
      <w:pPr>
        <w:tabs>
          <w:tab w:val="left" w:pos="567"/>
          <w:tab w:val="left" w:pos="1134"/>
          <w:tab w:val="left" w:pos="1701"/>
          <w:tab w:val="left" w:pos="2268"/>
          <w:tab w:val="left" w:pos="2835"/>
        </w:tabs>
        <w:rPr>
          <w:lang w:val="fr-FR"/>
        </w:rPr>
      </w:pPr>
      <w:r w:rsidRPr="009D25DF">
        <w:rPr>
          <w:lang w:val="fr-FR"/>
        </w:rPr>
        <w:t>79</w:t>
      </w:r>
      <w:r w:rsidR="00E562C0">
        <w:rPr>
          <w:lang w:val="fr-FR"/>
        </w:rPr>
        <w:t>5</w:t>
      </w:r>
      <w:r w:rsidRPr="009D25DF">
        <w:rPr>
          <w:lang w:val="fr-FR"/>
        </w:rPr>
        <w:t>.</w:t>
      </w:r>
      <w:r w:rsidRPr="009D25DF">
        <w:rPr>
          <w:lang w:val="fr-FR"/>
        </w:rPr>
        <w:tab/>
      </w:r>
      <w:r w:rsidR="009D25DF" w:rsidRPr="009D25DF">
        <w:rPr>
          <w:lang w:val="fr-FR"/>
        </w:rPr>
        <w:t xml:space="preserve">Le </w:t>
      </w:r>
      <w:r w:rsidR="009D25DF" w:rsidRPr="009D25DF">
        <w:rPr>
          <w:i/>
          <w:iCs/>
          <w:lang w:val="fr-FR"/>
        </w:rPr>
        <w:t>Central Northern Adelaide Health Service</w:t>
      </w:r>
      <w:r w:rsidR="009D25DF" w:rsidRPr="009D25DF">
        <w:rPr>
          <w:lang w:val="fr-FR"/>
        </w:rPr>
        <w:t xml:space="preserve"> </w:t>
      </w:r>
      <w:r w:rsidR="009D25DF">
        <w:rPr>
          <w:lang w:val="fr-FR"/>
        </w:rPr>
        <w:t>(s</w:t>
      </w:r>
      <w:r w:rsidR="00747F68">
        <w:rPr>
          <w:lang w:val="fr-FR"/>
        </w:rPr>
        <w:t>ervice sanitaire central</w:t>
      </w:r>
      <w:r w:rsidR="009D25DF">
        <w:rPr>
          <w:lang w:val="fr-FR"/>
        </w:rPr>
        <w:t xml:space="preserve"> d’Adélaïde</w:t>
      </w:r>
      <w:r w:rsidR="00747F68">
        <w:rPr>
          <w:lang w:val="fr-FR"/>
        </w:rPr>
        <w:t xml:space="preserve"> nord</w:t>
      </w:r>
      <w:r w:rsidR="009D25DF">
        <w:rPr>
          <w:lang w:val="fr-FR"/>
        </w:rPr>
        <w:t xml:space="preserve">) </w:t>
      </w:r>
      <w:r w:rsidR="009D25DF" w:rsidRPr="009D25DF">
        <w:rPr>
          <w:lang w:val="fr-FR"/>
        </w:rPr>
        <w:t>finance égal</w:t>
      </w:r>
      <w:r w:rsidR="00A30373">
        <w:rPr>
          <w:lang w:val="fr-FR"/>
        </w:rPr>
        <w:t xml:space="preserve">ement </w:t>
      </w:r>
      <w:r w:rsidR="00A30373" w:rsidRPr="009D25DF">
        <w:rPr>
          <w:lang w:val="fr-FR"/>
        </w:rPr>
        <w:t>une séance</w:t>
      </w:r>
      <w:r w:rsidR="00A30373">
        <w:rPr>
          <w:lang w:val="fr-FR"/>
        </w:rPr>
        <w:t xml:space="preserve"> de consultation psychiatrique du</w:t>
      </w:r>
      <w:r w:rsidR="009D25DF">
        <w:rPr>
          <w:lang w:val="fr-FR"/>
        </w:rPr>
        <w:t xml:space="preserve"> </w:t>
      </w:r>
      <w:r w:rsidR="009D25DF" w:rsidRPr="009D25DF">
        <w:rPr>
          <w:lang w:val="fr-FR"/>
        </w:rPr>
        <w:t xml:space="preserve">Service de traitement et de réadaptation </w:t>
      </w:r>
      <w:r w:rsidR="009D25DF" w:rsidRPr="00A30373">
        <w:rPr>
          <w:lang w:val="fr-FR"/>
        </w:rPr>
        <w:t xml:space="preserve">pour </w:t>
      </w:r>
      <w:r w:rsidR="009D25DF" w:rsidRPr="009D25DF">
        <w:rPr>
          <w:lang w:val="fr-FR"/>
        </w:rPr>
        <w:t xml:space="preserve">les personnes ayant survécu à des tortures et à des traumatismes </w:t>
      </w:r>
      <w:r w:rsidR="009D25DF">
        <w:rPr>
          <w:lang w:val="fr-FR"/>
        </w:rPr>
        <w:t xml:space="preserve">afin de mettre en place une voie d’orientation en direction des services </w:t>
      </w:r>
      <w:r w:rsidR="00431AB6">
        <w:rPr>
          <w:lang w:val="fr-FR"/>
        </w:rPr>
        <w:t xml:space="preserve">spécialisés </w:t>
      </w:r>
      <w:r w:rsidR="009D25DF">
        <w:rPr>
          <w:lang w:val="fr-FR"/>
        </w:rPr>
        <w:t>de santé mentale</w:t>
      </w:r>
      <w:r w:rsidR="00431AB6">
        <w:rPr>
          <w:lang w:val="fr-FR"/>
        </w:rPr>
        <w:t xml:space="preserve"> classiques.</w:t>
      </w:r>
      <w:r w:rsidR="009D25DF">
        <w:rPr>
          <w:lang w:val="fr-FR"/>
        </w:rPr>
        <w:t xml:space="preserve"> </w:t>
      </w:r>
    </w:p>
    <w:p w:rsidR="00EC4461" w:rsidRPr="00D71A53" w:rsidRDefault="00D71A53" w:rsidP="005D7B68">
      <w:pPr>
        <w:tabs>
          <w:tab w:val="left" w:pos="567"/>
          <w:tab w:val="left" w:pos="1134"/>
          <w:tab w:val="left" w:pos="1701"/>
          <w:tab w:val="left" w:pos="2268"/>
          <w:tab w:val="left" w:pos="2835"/>
        </w:tabs>
        <w:rPr>
          <w:b/>
          <w:bCs/>
          <w:i/>
          <w:iCs/>
          <w:lang w:val="fr-FR"/>
        </w:rPr>
      </w:pPr>
      <w:r>
        <w:rPr>
          <w:b/>
          <w:bCs/>
          <w:lang w:val="fr-FR"/>
        </w:rPr>
        <w:tab/>
        <w:t>d)</w:t>
      </w:r>
      <w:r>
        <w:rPr>
          <w:b/>
          <w:bCs/>
          <w:lang w:val="fr-FR"/>
        </w:rPr>
        <w:tab/>
        <w:t>Le</w:t>
      </w:r>
      <w:r w:rsidR="00110DA4">
        <w:rPr>
          <w:b/>
          <w:bCs/>
          <w:lang w:val="fr-FR"/>
        </w:rPr>
        <w:t xml:space="preserve"> </w:t>
      </w:r>
      <w:r w:rsidR="00110DA4" w:rsidRPr="00D71A53">
        <w:rPr>
          <w:b/>
          <w:bCs/>
          <w:i/>
          <w:iCs/>
          <w:lang w:val="fr-FR"/>
        </w:rPr>
        <w:t>Parks</w:t>
      </w:r>
    </w:p>
    <w:p w:rsidR="00493022" w:rsidRDefault="00D71A53" w:rsidP="005D7B68">
      <w:pPr>
        <w:tabs>
          <w:tab w:val="left" w:pos="567"/>
          <w:tab w:val="left" w:pos="1134"/>
          <w:tab w:val="left" w:pos="1701"/>
          <w:tab w:val="left" w:pos="2268"/>
          <w:tab w:val="left" w:pos="2835"/>
        </w:tabs>
        <w:rPr>
          <w:lang w:val="fr-FR"/>
        </w:rPr>
      </w:pPr>
      <w:r>
        <w:rPr>
          <w:lang w:val="fr-FR"/>
        </w:rPr>
        <w:t>79</w:t>
      </w:r>
      <w:r w:rsidR="00E562C0">
        <w:rPr>
          <w:lang w:val="fr-FR"/>
        </w:rPr>
        <w:t>6</w:t>
      </w:r>
      <w:r>
        <w:rPr>
          <w:lang w:val="fr-FR"/>
        </w:rPr>
        <w:t>.</w:t>
      </w:r>
      <w:r>
        <w:rPr>
          <w:lang w:val="fr-FR"/>
        </w:rPr>
        <w:tab/>
      </w:r>
      <w:r w:rsidR="009B2EB8">
        <w:rPr>
          <w:lang w:val="fr-FR"/>
        </w:rPr>
        <w:t xml:space="preserve">Les réfugiés récemment arrivés constituent l’une des populations prioritaires du </w:t>
      </w:r>
      <w:r w:rsidR="009B2EB8">
        <w:rPr>
          <w:i/>
          <w:iCs/>
          <w:lang w:val="fr-FR"/>
        </w:rPr>
        <w:t>Parks Community Health Centre</w:t>
      </w:r>
      <w:r w:rsidR="008D6B80">
        <w:rPr>
          <w:lang w:val="fr-FR"/>
        </w:rPr>
        <w:t xml:space="preserve">. </w:t>
      </w:r>
      <w:r w:rsidR="009B2EB8">
        <w:rPr>
          <w:lang w:val="fr-FR"/>
        </w:rPr>
        <w:t>Ce centre emploie un travailleur somalien et recours également aux services de quelques animateur</w:t>
      </w:r>
      <w:r w:rsidR="00604C1A">
        <w:rPr>
          <w:lang w:val="fr-FR"/>
        </w:rPr>
        <w:t>s de jeunes contractuels</w:t>
      </w:r>
      <w:r w:rsidR="009B2EB8">
        <w:rPr>
          <w:lang w:val="fr-FR"/>
        </w:rPr>
        <w:t xml:space="preserve"> à titre de consultants</w:t>
      </w:r>
      <w:r w:rsidR="008D6B80">
        <w:rPr>
          <w:lang w:val="fr-FR"/>
        </w:rPr>
        <w:t xml:space="preserve">. </w:t>
      </w:r>
      <w:r w:rsidR="009B2EB8">
        <w:rPr>
          <w:lang w:val="fr-FR"/>
        </w:rPr>
        <w:t>Il dispense des services cliniques, effectue quelques bilans de santé et exécute des programmes de développement communautaire</w:t>
      </w:r>
      <w:r w:rsidR="00D93093">
        <w:rPr>
          <w:lang w:val="fr-FR"/>
        </w:rPr>
        <w:t xml:space="preserve"> et d’apprentissage de la vie sociale, à savoir</w:t>
      </w:r>
      <w:r w:rsidR="00572260">
        <w:rPr>
          <w:lang w:val="fr-FR"/>
        </w:rPr>
        <w:t>:</w:t>
      </w:r>
    </w:p>
    <w:p w:rsidR="00D93093" w:rsidRDefault="00D93093" w:rsidP="005D7B68">
      <w:pPr>
        <w:tabs>
          <w:tab w:val="left" w:pos="567"/>
          <w:tab w:val="left" w:pos="1134"/>
          <w:tab w:val="left" w:pos="1701"/>
          <w:tab w:val="left" w:pos="2268"/>
          <w:tab w:val="left" w:pos="2835"/>
        </w:tabs>
        <w:rPr>
          <w:lang w:val="fr-FR"/>
        </w:rPr>
      </w:pPr>
      <w:r>
        <w:rPr>
          <w:lang w:val="fr-FR"/>
        </w:rPr>
        <w:tab/>
        <w:t>a)</w:t>
      </w:r>
      <w:r>
        <w:rPr>
          <w:lang w:val="fr-FR"/>
        </w:rPr>
        <w:tab/>
        <w:t>Une garderie pour les nouveaux arrivants organisée par les</w:t>
      </w:r>
      <w:r w:rsidR="00604C1A">
        <w:rPr>
          <w:lang w:val="fr-FR"/>
        </w:rPr>
        <w:t xml:space="preserve"> parents, destinée essentiellement aux</w:t>
      </w:r>
      <w:r>
        <w:rPr>
          <w:lang w:val="fr-FR"/>
        </w:rPr>
        <w:t xml:space="preserve"> enfan</w:t>
      </w:r>
      <w:r w:rsidR="00604C1A">
        <w:rPr>
          <w:lang w:val="fr-FR"/>
        </w:rPr>
        <w:t>ts d’âge préscolaire et aux</w:t>
      </w:r>
      <w:r>
        <w:rPr>
          <w:lang w:val="fr-FR"/>
        </w:rPr>
        <w:t xml:space="preserve"> mères, donnant aux premiers l’occasion de se familiariser avec les relations sociales </w:t>
      </w:r>
      <w:r w:rsidR="00237FE1">
        <w:rPr>
          <w:lang w:val="fr-FR"/>
        </w:rPr>
        <w:t>et aux secondes celle d’entrer en</w:t>
      </w:r>
      <w:r w:rsidR="003A39EE">
        <w:rPr>
          <w:lang w:val="fr-FR"/>
        </w:rPr>
        <w:t xml:space="preserve"> contact avec les services;</w:t>
      </w:r>
    </w:p>
    <w:p w:rsidR="00237FE1" w:rsidRPr="009B2EB8" w:rsidRDefault="00237FE1" w:rsidP="005D7B68">
      <w:pPr>
        <w:tabs>
          <w:tab w:val="left" w:pos="567"/>
          <w:tab w:val="left" w:pos="1134"/>
          <w:tab w:val="left" w:pos="1701"/>
          <w:tab w:val="left" w:pos="2268"/>
          <w:tab w:val="left" w:pos="2835"/>
        </w:tabs>
        <w:rPr>
          <w:lang w:val="fr-FR"/>
        </w:rPr>
      </w:pPr>
      <w:r>
        <w:rPr>
          <w:lang w:val="fr-FR"/>
        </w:rPr>
        <w:tab/>
        <w:t>b)</w:t>
      </w:r>
      <w:r>
        <w:rPr>
          <w:lang w:val="fr-FR"/>
        </w:rPr>
        <w:tab/>
        <w:t>Un groupe de jeunesse</w:t>
      </w:r>
      <w:r w:rsidR="00572260">
        <w:rPr>
          <w:lang w:val="fr-FR"/>
        </w:rPr>
        <w:t>:</w:t>
      </w:r>
      <w:r>
        <w:rPr>
          <w:lang w:val="fr-FR"/>
        </w:rPr>
        <w:t xml:space="preserve"> ce programme dure un trimestre et consiste en informations et en conseils concernant la drogue et l’alcool, les relations humaines et les question</w:t>
      </w:r>
      <w:r w:rsidR="00604C1A">
        <w:rPr>
          <w:lang w:val="fr-FR"/>
        </w:rPr>
        <w:t>s</w:t>
      </w:r>
      <w:r>
        <w:rPr>
          <w:lang w:val="fr-FR"/>
        </w:rPr>
        <w:t xml:space="preserve"> de santé sexuelle.</w:t>
      </w:r>
    </w:p>
    <w:p w:rsidR="00493022" w:rsidRDefault="0033298F" w:rsidP="005D7B68">
      <w:pPr>
        <w:tabs>
          <w:tab w:val="left" w:pos="567"/>
          <w:tab w:val="left" w:pos="1134"/>
          <w:tab w:val="left" w:pos="1701"/>
          <w:tab w:val="left" w:pos="2268"/>
          <w:tab w:val="left" w:pos="2835"/>
        </w:tabs>
        <w:rPr>
          <w:b/>
          <w:bCs/>
          <w:lang w:val="fr-FR"/>
        </w:rPr>
      </w:pPr>
      <w:r>
        <w:rPr>
          <w:lang w:val="fr-FR"/>
        </w:rPr>
        <w:tab/>
      </w:r>
      <w:r>
        <w:rPr>
          <w:b/>
          <w:bCs/>
          <w:lang w:val="fr-FR"/>
        </w:rPr>
        <w:t>e)</w:t>
      </w:r>
      <w:r>
        <w:rPr>
          <w:b/>
          <w:bCs/>
          <w:lang w:val="fr-FR"/>
        </w:rPr>
        <w:tab/>
        <w:t>Les Services de santé mentale pour enfants et adolescents</w:t>
      </w:r>
    </w:p>
    <w:p w:rsidR="0033298F" w:rsidRDefault="0033298F" w:rsidP="005D7B68">
      <w:pPr>
        <w:tabs>
          <w:tab w:val="left" w:pos="567"/>
          <w:tab w:val="left" w:pos="1134"/>
          <w:tab w:val="left" w:pos="1701"/>
          <w:tab w:val="left" w:pos="2268"/>
          <w:tab w:val="left" w:pos="2835"/>
        </w:tabs>
        <w:rPr>
          <w:lang w:val="fr-FR"/>
        </w:rPr>
      </w:pPr>
      <w:r>
        <w:rPr>
          <w:lang w:val="fr-FR"/>
        </w:rPr>
        <w:t>79</w:t>
      </w:r>
      <w:r w:rsidR="00E562C0">
        <w:rPr>
          <w:lang w:val="fr-FR"/>
        </w:rPr>
        <w:t>7</w:t>
      </w:r>
      <w:r>
        <w:rPr>
          <w:lang w:val="fr-FR"/>
        </w:rPr>
        <w:t>.</w:t>
      </w:r>
      <w:r>
        <w:rPr>
          <w:lang w:val="fr-FR"/>
        </w:rPr>
        <w:tab/>
        <w:t xml:space="preserve">Le Service de santé mentale pour </w:t>
      </w:r>
      <w:r w:rsidR="006A144F">
        <w:rPr>
          <w:lang w:val="fr-FR"/>
        </w:rPr>
        <w:t xml:space="preserve">enfants et adolescents du Nord </w:t>
      </w:r>
      <w:r>
        <w:rPr>
          <w:lang w:val="fr-FR"/>
        </w:rPr>
        <w:t xml:space="preserve">collabore avec le </w:t>
      </w:r>
      <w:r w:rsidRPr="009D25DF">
        <w:rPr>
          <w:lang w:val="fr-FR"/>
        </w:rPr>
        <w:t>Service de traitement et de réadaptation pour les personnes ayant survécu à des tortures et à des traumatismes</w:t>
      </w:r>
      <w:r>
        <w:rPr>
          <w:lang w:val="fr-FR"/>
        </w:rPr>
        <w:t xml:space="preserve"> pour disp</w:t>
      </w:r>
      <w:r w:rsidR="00604C1A">
        <w:rPr>
          <w:lang w:val="fr-FR"/>
        </w:rPr>
        <w:t>enser des soins</w:t>
      </w:r>
      <w:r>
        <w:rPr>
          <w:lang w:val="fr-FR"/>
        </w:rPr>
        <w:t xml:space="preserve"> aux enfants et aux adolescents réfugiés</w:t>
      </w:r>
      <w:r w:rsidR="008D6B80">
        <w:rPr>
          <w:lang w:val="fr-FR"/>
        </w:rPr>
        <w:t xml:space="preserve">. </w:t>
      </w:r>
      <w:r>
        <w:rPr>
          <w:lang w:val="fr-FR"/>
        </w:rPr>
        <w:t>Au premier trimestre de 2006, 127 jeunes bénéficiaires lui ont été envoyés, et la demande continue de croître.</w:t>
      </w:r>
    </w:p>
    <w:p w:rsidR="0033298F" w:rsidRPr="008F7FBA" w:rsidRDefault="0033298F" w:rsidP="005D7B68">
      <w:pPr>
        <w:tabs>
          <w:tab w:val="left" w:pos="567"/>
          <w:tab w:val="left" w:pos="1134"/>
          <w:tab w:val="left" w:pos="1701"/>
          <w:tab w:val="left" w:pos="2268"/>
          <w:tab w:val="left" w:pos="2835"/>
        </w:tabs>
        <w:rPr>
          <w:lang w:val="fr-FR"/>
        </w:rPr>
      </w:pPr>
      <w:r>
        <w:rPr>
          <w:lang w:val="fr-FR"/>
        </w:rPr>
        <w:t>79</w:t>
      </w:r>
      <w:r w:rsidR="00E562C0">
        <w:rPr>
          <w:lang w:val="fr-FR"/>
        </w:rPr>
        <w:t>8</w:t>
      </w:r>
      <w:r>
        <w:rPr>
          <w:lang w:val="fr-FR"/>
        </w:rPr>
        <w:t>.</w:t>
      </w:r>
      <w:r>
        <w:rPr>
          <w:lang w:val="fr-FR"/>
        </w:rPr>
        <w:tab/>
        <w:t>Le Service du Sud a collaboré avec</w:t>
      </w:r>
      <w:r w:rsidR="008F7FBA">
        <w:rPr>
          <w:lang w:val="fr-FR"/>
        </w:rPr>
        <w:t xml:space="preserve"> l’école primaire de </w:t>
      </w:r>
      <w:r w:rsidR="008F7FBA" w:rsidRPr="008F7FBA">
        <w:rPr>
          <w:i/>
          <w:iCs/>
          <w:lang w:val="fr-FR"/>
        </w:rPr>
        <w:t>Bellevue Heights</w:t>
      </w:r>
      <w:r w:rsidR="008F7FBA">
        <w:rPr>
          <w:lang w:val="fr-FR"/>
        </w:rPr>
        <w:t xml:space="preserve"> pour mettre au point un système culturellement approprié permettant de faire face à l’arrivée récente d’immigrants du Soudan (Dinka) et d’autres pays africains.</w:t>
      </w:r>
    </w:p>
    <w:p w:rsidR="00A43353" w:rsidRDefault="00FE6637" w:rsidP="005D7B68">
      <w:pPr>
        <w:tabs>
          <w:tab w:val="left" w:pos="567"/>
          <w:tab w:val="left" w:pos="1134"/>
          <w:tab w:val="left" w:pos="1701"/>
          <w:tab w:val="left" w:pos="2268"/>
          <w:tab w:val="left" w:pos="2835"/>
        </w:tabs>
        <w:rPr>
          <w:b/>
          <w:bCs/>
          <w:lang w:val="fr-FR"/>
        </w:rPr>
      </w:pPr>
      <w:r>
        <w:rPr>
          <w:lang w:val="fr-FR"/>
        </w:rPr>
        <w:tab/>
      </w:r>
      <w:r>
        <w:rPr>
          <w:b/>
          <w:bCs/>
          <w:lang w:val="fr-FR"/>
        </w:rPr>
        <w:t>f)</w:t>
      </w:r>
      <w:r>
        <w:rPr>
          <w:b/>
          <w:bCs/>
          <w:lang w:val="fr-FR"/>
        </w:rPr>
        <w:tab/>
        <w:t>Soins partagés avec les médecins généralistes</w:t>
      </w:r>
    </w:p>
    <w:p w:rsidR="00FE6637" w:rsidRDefault="00E562C0" w:rsidP="005D7B68">
      <w:pPr>
        <w:tabs>
          <w:tab w:val="left" w:pos="567"/>
          <w:tab w:val="left" w:pos="1134"/>
          <w:tab w:val="left" w:pos="1701"/>
          <w:tab w:val="left" w:pos="2268"/>
          <w:tab w:val="left" w:pos="2835"/>
        </w:tabs>
        <w:rPr>
          <w:lang w:val="fr-FR"/>
        </w:rPr>
      </w:pPr>
      <w:r>
        <w:rPr>
          <w:lang w:val="fr-FR"/>
        </w:rPr>
        <w:t>799</w:t>
      </w:r>
      <w:r w:rsidR="003A39EE">
        <w:rPr>
          <w:lang w:val="fr-FR"/>
        </w:rPr>
        <w:t>.</w:t>
      </w:r>
      <w:r w:rsidR="003A39EE">
        <w:rPr>
          <w:lang w:val="fr-FR"/>
        </w:rPr>
        <w:tab/>
        <w:t>Le programme de «soins partagés»</w:t>
      </w:r>
      <w:r w:rsidR="00FE6637">
        <w:rPr>
          <w:lang w:val="fr-FR"/>
        </w:rPr>
        <w:t xml:space="preserve"> avec les médecins généralistes vise les personnes </w:t>
      </w:r>
      <w:r w:rsidR="00604C1A">
        <w:rPr>
          <w:lang w:val="fr-FR"/>
        </w:rPr>
        <w:t>souffrant des maladies mentales</w:t>
      </w:r>
      <w:r w:rsidR="00FE6637">
        <w:rPr>
          <w:lang w:val="fr-FR"/>
        </w:rPr>
        <w:t xml:space="preserve"> les plus graves et appartenant à de</w:t>
      </w:r>
      <w:r w:rsidR="007A6C7F">
        <w:rPr>
          <w:lang w:val="fr-FR"/>
        </w:rPr>
        <w:t>s populations de cultures et de </w:t>
      </w:r>
      <w:r w:rsidR="00FE6637">
        <w:rPr>
          <w:lang w:val="fr-FR"/>
        </w:rPr>
        <w:t>langues diverses, y compris des migrants, de nouveaux arrivants et des réfugiés âgés</w:t>
      </w:r>
      <w:r w:rsidR="008D6B80">
        <w:rPr>
          <w:lang w:val="fr-FR"/>
        </w:rPr>
        <w:t xml:space="preserve">. </w:t>
      </w:r>
      <w:r w:rsidR="007A6C7F">
        <w:rPr>
          <w:lang w:val="fr-FR"/>
        </w:rPr>
        <w:t>Le </w:t>
      </w:r>
      <w:r w:rsidR="007D49DA">
        <w:rPr>
          <w:lang w:val="fr-FR"/>
        </w:rPr>
        <w:t>financement de ce programme est reconductible sur quatre ans et permettra de faire travailler des infirmiers ou autres professionnels de la santé auprès de méde</w:t>
      </w:r>
      <w:r w:rsidR="003A39EE">
        <w:rPr>
          <w:lang w:val="fr-FR"/>
        </w:rPr>
        <w:t>cins généralistes en Australie m</w:t>
      </w:r>
      <w:r w:rsidR="007D49DA">
        <w:rPr>
          <w:lang w:val="fr-FR"/>
        </w:rPr>
        <w:t>éridionale.</w:t>
      </w:r>
    </w:p>
    <w:p w:rsidR="006C7E69" w:rsidRPr="00FE6637" w:rsidRDefault="007D49DA" w:rsidP="005D7B68">
      <w:pPr>
        <w:tabs>
          <w:tab w:val="left" w:pos="567"/>
          <w:tab w:val="left" w:pos="1134"/>
          <w:tab w:val="left" w:pos="1701"/>
          <w:tab w:val="left" w:pos="2268"/>
          <w:tab w:val="left" w:pos="2835"/>
        </w:tabs>
        <w:rPr>
          <w:lang w:val="fr-FR"/>
        </w:rPr>
      </w:pPr>
      <w:r>
        <w:rPr>
          <w:lang w:val="fr-FR"/>
        </w:rPr>
        <w:t>80</w:t>
      </w:r>
      <w:r w:rsidR="00E562C0">
        <w:rPr>
          <w:lang w:val="fr-FR"/>
        </w:rPr>
        <w:t>0</w:t>
      </w:r>
      <w:r>
        <w:rPr>
          <w:lang w:val="fr-FR"/>
        </w:rPr>
        <w:t>.</w:t>
      </w:r>
      <w:r>
        <w:rPr>
          <w:lang w:val="fr-FR"/>
        </w:rPr>
        <w:tab/>
        <w:t>Trois postes de ce g</w:t>
      </w:r>
      <w:r w:rsidR="00A91CA8">
        <w:rPr>
          <w:lang w:val="fr-FR"/>
        </w:rPr>
        <w:t xml:space="preserve">enre vont être créés en 2007-08 dans les divisions </w:t>
      </w:r>
      <w:r w:rsidR="00C273A3">
        <w:rPr>
          <w:lang w:val="fr-FR"/>
        </w:rPr>
        <w:t xml:space="preserve">de répartition des soins de médecine généraliste </w:t>
      </w:r>
      <w:r w:rsidR="00A91CA8">
        <w:rPr>
          <w:lang w:val="fr-FR"/>
        </w:rPr>
        <w:t>de Riverland, Adélaïde centre et Adélaïde ouest</w:t>
      </w:r>
      <w:r w:rsidR="006C7E69">
        <w:rPr>
          <w:lang w:val="fr-FR"/>
        </w:rPr>
        <w:t>.</w:t>
      </w:r>
      <w:r>
        <w:rPr>
          <w:lang w:val="fr-FR"/>
        </w:rPr>
        <w:tab/>
      </w:r>
    </w:p>
    <w:p w:rsidR="006C7E69" w:rsidRPr="006C7E69" w:rsidRDefault="006C7E69" w:rsidP="005D7B68">
      <w:pPr>
        <w:tabs>
          <w:tab w:val="left" w:pos="567"/>
          <w:tab w:val="left" w:pos="1134"/>
          <w:tab w:val="left" w:pos="1701"/>
          <w:tab w:val="left" w:pos="2268"/>
          <w:tab w:val="left" w:pos="2835"/>
        </w:tabs>
        <w:rPr>
          <w:b/>
          <w:bCs/>
          <w:lang w:val="fr-FR"/>
        </w:rPr>
      </w:pPr>
      <w:r>
        <w:rPr>
          <w:b/>
          <w:bCs/>
          <w:lang w:val="fr-FR"/>
        </w:rPr>
        <w:t>Informations supplémentaires concernant les immigrants placés en rétention</w:t>
      </w:r>
    </w:p>
    <w:p w:rsidR="006C7E69" w:rsidRDefault="006C7E69" w:rsidP="005D7B68">
      <w:pPr>
        <w:tabs>
          <w:tab w:val="left" w:pos="567"/>
          <w:tab w:val="left" w:pos="1134"/>
          <w:tab w:val="left" w:pos="1701"/>
          <w:tab w:val="left" w:pos="2268"/>
          <w:tab w:val="left" w:pos="2835"/>
        </w:tabs>
        <w:rPr>
          <w:lang w:val="fr-FR"/>
        </w:rPr>
      </w:pPr>
      <w:r>
        <w:rPr>
          <w:lang w:val="fr-FR"/>
        </w:rPr>
        <w:t>80</w:t>
      </w:r>
      <w:r w:rsidR="00E562C0">
        <w:rPr>
          <w:lang w:val="fr-FR"/>
        </w:rPr>
        <w:t>1</w:t>
      </w:r>
      <w:r>
        <w:rPr>
          <w:lang w:val="fr-FR"/>
        </w:rPr>
        <w:t>.</w:t>
      </w:r>
      <w:r>
        <w:rPr>
          <w:lang w:val="fr-FR"/>
        </w:rPr>
        <w:tab/>
        <w:t xml:space="preserve"> La responsabilité principale des immigrants placés en rétention relève du Ministère de l’immigration et de la citoyenneté</w:t>
      </w:r>
      <w:r w:rsidR="008D6B80">
        <w:rPr>
          <w:lang w:val="fr-FR"/>
        </w:rPr>
        <w:t xml:space="preserve">. </w:t>
      </w:r>
      <w:r>
        <w:rPr>
          <w:lang w:val="fr-FR"/>
        </w:rPr>
        <w:t>Depuis 2001, le Département de la santé d’Australie</w:t>
      </w:r>
      <w:r w:rsidR="003A39EE">
        <w:rPr>
          <w:lang w:val="fr-FR"/>
        </w:rPr>
        <w:t xml:space="preserve"> m</w:t>
      </w:r>
      <w:r>
        <w:rPr>
          <w:lang w:val="fr-FR"/>
        </w:rPr>
        <w:t xml:space="preserve">éridionale dispense toute une gamme de services à un petit nombre d’immigrants </w:t>
      </w:r>
      <w:r w:rsidR="00976BC3">
        <w:rPr>
          <w:lang w:val="fr-FR"/>
        </w:rPr>
        <w:t xml:space="preserve">placés </w:t>
      </w:r>
      <w:r>
        <w:rPr>
          <w:lang w:val="fr-FR"/>
        </w:rPr>
        <w:t>en rétention à la demande dudit ministère.</w:t>
      </w:r>
    </w:p>
    <w:p w:rsidR="00767BF4" w:rsidRPr="006C7E69" w:rsidRDefault="006C7E69" w:rsidP="005D7B68">
      <w:pPr>
        <w:tabs>
          <w:tab w:val="left" w:pos="567"/>
          <w:tab w:val="left" w:pos="1134"/>
          <w:tab w:val="left" w:pos="1701"/>
          <w:tab w:val="left" w:pos="2268"/>
          <w:tab w:val="left" w:pos="2835"/>
        </w:tabs>
        <w:rPr>
          <w:lang w:val="fr-FR"/>
        </w:rPr>
      </w:pPr>
      <w:r>
        <w:rPr>
          <w:lang w:val="fr-FR"/>
        </w:rPr>
        <w:t>80</w:t>
      </w:r>
      <w:r w:rsidR="00E562C0">
        <w:rPr>
          <w:lang w:val="fr-FR"/>
        </w:rPr>
        <w:t>2</w:t>
      </w:r>
      <w:r>
        <w:rPr>
          <w:lang w:val="fr-FR"/>
        </w:rPr>
        <w:t>.</w:t>
      </w:r>
      <w:r>
        <w:rPr>
          <w:lang w:val="fr-FR"/>
        </w:rPr>
        <w:tab/>
      </w:r>
      <w:r w:rsidR="00612242">
        <w:rPr>
          <w:lang w:val="fr-FR"/>
        </w:rPr>
        <w:t>Ces pe</w:t>
      </w:r>
      <w:r w:rsidR="00976BC3">
        <w:rPr>
          <w:lang w:val="fr-FR"/>
        </w:rPr>
        <w:t>rsonnes, qui peuvent – ou non – être</w:t>
      </w:r>
      <w:r w:rsidR="00612242">
        <w:rPr>
          <w:lang w:val="fr-FR"/>
        </w:rPr>
        <w:t xml:space="preserve"> mises</w:t>
      </w:r>
      <w:r w:rsidR="005A5EE2">
        <w:rPr>
          <w:lang w:val="fr-FR"/>
        </w:rPr>
        <w:t xml:space="preserve"> en r</w:t>
      </w:r>
      <w:r w:rsidR="00612242">
        <w:rPr>
          <w:lang w:val="fr-FR"/>
        </w:rPr>
        <w:t>étention en application de la loi de 1993 sur la santé mentale,</w:t>
      </w:r>
      <w:r>
        <w:rPr>
          <w:lang w:val="fr-FR"/>
        </w:rPr>
        <w:t xml:space="preserve"> </w:t>
      </w:r>
      <w:r w:rsidR="00612242">
        <w:rPr>
          <w:lang w:val="fr-FR"/>
        </w:rPr>
        <w:t>sont placées dans un ensemble de services</w:t>
      </w:r>
      <w:r w:rsidR="00767BF4">
        <w:rPr>
          <w:lang w:val="fr-FR"/>
        </w:rPr>
        <w:t xml:space="preserve"> de soins hospitaliers du </w:t>
      </w:r>
      <w:r w:rsidR="00767BF4" w:rsidRPr="00767BF4">
        <w:rPr>
          <w:i/>
          <w:iCs/>
          <w:lang w:val="fr-FR"/>
        </w:rPr>
        <w:t>Central Northern Adela</w:t>
      </w:r>
      <w:r w:rsidR="00767BF4">
        <w:rPr>
          <w:i/>
          <w:iCs/>
          <w:lang w:val="fr-FR"/>
        </w:rPr>
        <w:t>i</w:t>
      </w:r>
      <w:r w:rsidR="00767BF4" w:rsidRPr="00767BF4">
        <w:rPr>
          <w:i/>
          <w:iCs/>
          <w:lang w:val="fr-FR"/>
        </w:rPr>
        <w:t>de Health Service</w:t>
      </w:r>
      <w:r w:rsidR="00767BF4">
        <w:rPr>
          <w:lang w:val="fr-FR"/>
        </w:rPr>
        <w:t xml:space="preserve"> (Service central de santé d’Adélaïde nord) au </w:t>
      </w:r>
      <w:r w:rsidR="00767BF4" w:rsidRPr="00767BF4">
        <w:rPr>
          <w:i/>
          <w:iCs/>
          <w:lang w:val="fr-FR"/>
        </w:rPr>
        <w:t>Royal Adelaide Hospital</w:t>
      </w:r>
      <w:r w:rsidR="00767BF4">
        <w:rPr>
          <w:lang w:val="fr-FR"/>
        </w:rPr>
        <w:t xml:space="preserve"> et au </w:t>
      </w:r>
      <w:r w:rsidR="00767BF4" w:rsidRPr="00767BF4">
        <w:rPr>
          <w:i/>
          <w:iCs/>
          <w:lang w:val="fr-FR"/>
        </w:rPr>
        <w:t>Glenside Campus</w:t>
      </w:r>
      <w:r w:rsidR="00767BF4">
        <w:rPr>
          <w:lang w:val="fr-FR"/>
        </w:rPr>
        <w:t>.</w:t>
      </w:r>
    </w:p>
    <w:p w:rsidR="00CB7589" w:rsidRDefault="00767BF4" w:rsidP="005D7B68">
      <w:pPr>
        <w:tabs>
          <w:tab w:val="left" w:pos="567"/>
          <w:tab w:val="left" w:pos="1134"/>
          <w:tab w:val="left" w:pos="1701"/>
          <w:tab w:val="left" w:pos="2268"/>
          <w:tab w:val="left" w:pos="2835"/>
        </w:tabs>
        <w:rPr>
          <w:lang w:val="fr-FR"/>
        </w:rPr>
      </w:pPr>
      <w:r>
        <w:rPr>
          <w:lang w:val="fr-FR"/>
        </w:rPr>
        <w:t>80</w:t>
      </w:r>
      <w:r w:rsidR="00E562C0">
        <w:rPr>
          <w:lang w:val="fr-FR"/>
        </w:rPr>
        <w:t>3</w:t>
      </w:r>
      <w:r>
        <w:rPr>
          <w:lang w:val="fr-FR"/>
        </w:rPr>
        <w:t>.</w:t>
      </w:r>
      <w:r>
        <w:rPr>
          <w:lang w:val="fr-FR"/>
        </w:rPr>
        <w:tab/>
        <w:t xml:space="preserve">En avril 2005, </w:t>
      </w:r>
      <w:r w:rsidR="00CB7589">
        <w:rPr>
          <w:lang w:val="fr-FR"/>
        </w:rPr>
        <w:t>on a enregistré une augmentation soudaine et importante du nombre d’immigrants en rétention envoyés au Service central d</w:t>
      </w:r>
      <w:r w:rsidR="00976BC3">
        <w:rPr>
          <w:lang w:val="fr-FR"/>
        </w:rPr>
        <w:t>e santé d’Adélaïde nord par le C</w:t>
      </w:r>
      <w:r w:rsidR="00CB7589">
        <w:rPr>
          <w:lang w:val="fr-FR"/>
        </w:rPr>
        <w:t>entre de rétention d’immigrants de Baxter (jusqu’à 15)</w:t>
      </w:r>
      <w:r w:rsidR="008D6B80">
        <w:rPr>
          <w:lang w:val="fr-FR"/>
        </w:rPr>
        <w:t xml:space="preserve">. </w:t>
      </w:r>
      <w:r w:rsidR="00CB7589">
        <w:rPr>
          <w:lang w:val="fr-FR"/>
        </w:rPr>
        <w:t>Á la suite de cela, on a réouvert une unité de six</w:t>
      </w:r>
      <w:r w:rsidR="003A39EE">
        <w:rPr>
          <w:lang w:val="fr-FR"/>
        </w:rPr>
        <w:t> </w:t>
      </w:r>
      <w:r w:rsidR="00CB7589">
        <w:rPr>
          <w:lang w:val="fr-FR"/>
        </w:rPr>
        <w:t xml:space="preserve">lits qui était fermée au </w:t>
      </w:r>
      <w:r w:rsidR="00CB7589" w:rsidRPr="00CB7589">
        <w:rPr>
          <w:i/>
          <w:iCs/>
          <w:lang w:val="fr-FR"/>
        </w:rPr>
        <w:t>Glenside Campus</w:t>
      </w:r>
      <w:r w:rsidR="00CB7589">
        <w:rPr>
          <w:lang w:val="fr-FR"/>
        </w:rPr>
        <w:t xml:space="preserve"> pour y loger les patients excédentaires</w:t>
      </w:r>
      <w:r w:rsidR="008D6B80">
        <w:rPr>
          <w:lang w:val="fr-FR"/>
        </w:rPr>
        <w:t xml:space="preserve">. </w:t>
      </w:r>
      <w:r w:rsidR="00CB7589">
        <w:rPr>
          <w:lang w:val="fr-FR"/>
        </w:rPr>
        <w:t>Elle a été baptisée Unité de séjour spécial.</w:t>
      </w:r>
    </w:p>
    <w:p w:rsidR="00937766" w:rsidRDefault="00CB7589" w:rsidP="005D7B68">
      <w:pPr>
        <w:tabs>
          <w:tab w:val="left" w:pos="567"/>
          <w:tab w:val="left" w:pos="1134"/>
          <w:tab w:val="left" w:pos="1701"/>
          <w:tab w:val="left" w:pos="2268"/>
          <w:tab w:val="left" w:pos="2835"/>
        </w:tabs>
        <w:rPr>
          <w:lang w:val="fr-FR"/>
        </w:rPr>
      </w:pPr>
      <w:r>
        <w:rPr>
          <w:lang w:val="fr-FR"/>
        </w:rPr>
        <w:t>80</w:t>
      </w:r>
      <w:r w:rsidR="00E562C0">
        <w:rPr>
          <w:lang w:val="fr-FR"/>
        </w:rPr>
        <w:t>4</w:t>
      </w:r>
      <w:r>
        <w:rPr>
          <w:lang w:val="fr-FR"/>
        </w:rPr>
        <w:t>.</w:t>
      </w:r>
      <w:r>
        <w:rPr>
          <w:lang w:val="fr-FR"/>
        </w:rPr>
        <w:tab/>
        <w:t>Le nombre d’immigrants en rétention orientés vers un traitement hos</w:t>
      </w:r>
      <w:r w:rsidR="00AE2EE6">
        <w:rPr>
          <w:lang w:val="fr-FR"/>
        </w:rPr>
        <w:t>pi</w:t>
      </w:r>
      <w:r>
        <w:rPr>
          <w:lang w:val="fr-FR"/>
        </w:rPr>
        <w:t>talier spécialisé en Australie</w:t>
      </w:r>
      <w:r w:rsidR="003A39EE">
        <w:rPr>
          <w:lang w:val="fr-FR"/>
        </w:rPr>
        <w:t xml:space="preserve"> m</w:t>
      </w:r>
      <w:r>
        <w:rPr>
          <w:lang w:val="fr-FR"/>
        </w:rPr>
        <w:t xml:space="preserve">éridionale </w:t>
      </w:r>
      <w:r w:rsidR="00AE2EE6">
        <w:rPr>
          <w:lang w:val="fr-FR"/>
        </w:rPr>
        <w:t xml:space="preserve">a beaucoup diminué au cours de ces derniers mois, </w:t>
      </w:r>
      <w:r w:rsidR="00976BC3">
        <w:rPr>
          <w:lang w:val="fr-FR"/>
        </w:rPr>
        <w:t xml:space="preserve">et il est maintenant possible de les </w:t>
      </w:r>
      <w:r w:rsidR="00AE2EE6">
        <w:rPr>
          <w:lang w:val="fr-FR"/>
        </w:rPr>
        <w:t>accu</w:t>
      </w:r>
      <w:r w:rsidR="00976BC3">
        <w:rPr>
          <w:lang w:val="fr-FR"/>
        </w:rPr>
        <w:t>eillir</w:t>
      </w:r>
      <w:r w:rsidR="00AE2EE6">
        <w:rPr>
          <w:lang w:val="fr-FR"/>
        </w:rPr>
        <w:t xml:space="preserve"> dans les établissements existants</w:t>
      </w:r>
      <w:r w:rsidR="008D6B80">
        <w:rPr>
          <w:lang w:val="fr-FR"/>
        </w:rPr>
        <w:t xml:space="preserve">. </w:t>
      </w:r>
      <w:r w:rsidR="00937766">
        <w:rPr>
          <w:lang w:val="fr-FR"/>
        </w:rPr>
        <w:t>L’autorisation de sortie est une décision clinique et la planification de la sortie des immigrants</w:t>
      </w:r>
      <w:r>
        <w:rPr>
          <w:lang w:val="fr-FR"/>
        </w:rPr>
        <w:t xml:space="preserve"> </w:t>
      </w:r>
      <w:r w:rsidR="00937766">
        <w:rPr>
          <w:lang w:val="fr-FR"/>
        </w:rPr>
        <w:t>en rétention tient compte des prescriptions en matière de logement.</w:t>
      </w:r>
    </w:p>
    <w:p w:rsidR="00803C20" w:rsidRDefault="00937766" w:rsidP="005D7B68">
      <w:pPr>
        <w:tabs>
          <w:tab w:val="left" w:pos="567"/>
          <w:tab w:val="left" w:pos="1134"/>
          <w:tab w:val="left" w:pos="1701"/>
          <w:tab w:val="left" w:pos="2268"/>
          <w:tab w:val="left" w:pos="2835"/>
        </w:tabs>
        <w:rPr>
          <w:lang w:val="fr-FR"/>
        </w:rPr>
      </w:pPr>
      <w:r>
        <w:rPr>
          <w:lang w:val="fr-FR"/>
        </w:rPr>
        <w:t>80</w:t>
      </w:r>
      <w:r w:rsidR="00E562C0">
        <w:rPr>
          <w:lang w:val="fr-FR"/>
        </w:rPr>
        <w:t>5</w:t>
      </w:r>
      <w:r>
        <w:rPr>
          <w:lang w:val="fr-FR"/>
        </w:rPr>
        <w:t>.</w:t>
      </w:r>
      <w:r>
        <w:rPr>
          <w:lang w:val="fr-FR"/>
        </w:rPr>
        <w:tab/>
        <w:t>Les bénéficiaires du programme d’orientation sociale</w:t>
      </w:r>
      <w:r w:rsidR="00CB7589">
        <w:rPr>
          <w:lang w:val="fr-FR"/>
        </w:rPr>
        <w:t xml:space="preserve"> </w:t>
      </w:r>
      <w:r>
        <w:rPr>
          <w:lang w:val="fr-FR"/>
        </w:rPr>
        <w:t>du Service sanitaire pour migrants</w:t>
      </w:r>
      <w:r w:rsidR="00FC1A62">
        <w:rPr>
          <w:lang w:val="fr-FR"/>
        </w:rPr>
        <w:t xml:space="preserve"> (service sanitaire public) sont pour la plupart d’anciens demandeurs d’asile placés en rétention</w:t>
      </w:r>
      <w:r w:rsidR="008D6B80">
        <w:rPr>
          <w:lang w:val="fr-FR"/>
        </w:rPr>
        <w:t xml:space="preserve">. </w:t>
      </w:r>
      <w:r w:rsidR="00FC1A62">
        <w:rPr>
          <w:lang w:val="fr-FR"/>
        </w:rPr>
        <w:t xml:space="preserve">Le Service sanitaire pour migrants contribue largement à résoudre les problèmes de santé mentale provoqués par la fuite, la détention, la longue recherche d’une résidence permanente et les difficultés liées au regroupement familial </w:t>
      </w:r>
      <w:r w:rsidR="00803C20">
        <w:rPr>
          <w:lang w:val="fr-FR"/>
        </w:rPr>
        <w:t>une fois que cette recherche a abouti et que les membres de la famille sont réinstallés en Australie</w:t>
      </w:r>
      <w:r w:rsidR="008D6B80">
        <w:rPr>
          <w:lang w:val="fr-FR"/>
        </w:rPr>
        <w:t xml:space="preserve">. </w:t>
      </w:r>
      <w:r w:rsidR="00803C20">
        <w:rPr>
          <w:lang w:val="fr-FR"/>
        </w:rPr>
        <w:t>Dans les cas où ces problèmes sont dus à des traumatismes importants à la suite de tortures ou autres, les intéressés sont orientés</w:t>
      </w:r>
      <w:r w:rsidR="00AB77A7">
        <w:rPr>
          <w:lang w:val="fr-FR"/>
        </w:rPr>
        <w:t>,</w:t>
      </w:r>
      <w:r w:rsidR="00803C20">
        <w:rPr>
          <w:lang w:val="fr-FR"/>
        </w:rPr>
        <w:t xml:space="preserve"> </w:t>
      </w:r>
      <w:r w:rsidR="00AB77A7">
        <w:rPr>
          <w:lang w:val="fr-FR"/>
        </w:rPr>
        <w:t xml:space="preserve">pour pouvoir y bénéficier de soins plus spécialisés, </w:t>
      </w:r>
      <w:r w:rsidR="00803C20">
        <w:rPr>
          <w:lang w:val="fr-FR"/>
        </w:rPr>
        <w:t xml:space="preserve">vers le </w:t>
      </w:r>
      <w:r w:rsidR="00803C20" w:rsidRPr="00803C20">
        <w:rPr>
          <w:lang w:val="fr-FR"/>
        </w:rPr>
        <w:t>Service de traitement et de réadaptation pour les personnes ayant survécu à des tortures et à des traumatismes</w:t>
      </w:r>
      <w:r w:rsidR="00AB77A7">
        <w:rPr>
          <w:lang w:val="fr-FR"/>
        </w:rPr>
        <w:t>, qui</w:t>
      </w:r>
      <w:r w:rsidR="00803C20">
        <w:rPr>
          <w:lang w:val="fr-FR"/>
        </w:rPr>
        <w:t xml:space="preserve"> collabore étroitement avec le Service sanitaire pour migrants afin de répondre efficacement aux besoins des utilisateurs.</w:t>
      </w:r>
    </w:p>
    <w:p w:rsidR="00803C20" w:rsidRDefault="00803C20" w:rsidP="005D7B68">
      <w:pPr>
        <w:tabs>
          <w:tab w:val="left" w:pos="567"/>
          <w:tab w:val="left" w:pos="1134"/>
          <w:tab w:val="left" w:pos="1701"/>
          <w:tab w:val="left" w:pos="2268"/>
          <w:tab w:val="left" w:pos="2835"/>
        </w:tabs>
        <w:rPr>
          <w:b/>
          <w:bCs/>
          <w:lang w:val="fr-FR"/>
        </w:rPr>
      </w:pPr>
      <w:r>
        <w:rPr>
          <w:b/>
          <w:bCs/>
          <w:lang w:val="fr-FR"/>
        </w:rPr>
        <w:t>Tasmanie</w:t>
      </w:r>
    </w:p>
    <w:p w:rsidR="00016485" w:rsidRDefault="00803C20" w:rsidP="005D7B68">
      <w:pPr>
        <w:tabs>
          <w:tab w:val="left" w:pos="567"/>
          <w:tab w:val="left" w:pos="1134"/>
          <w:tab w:val="left" w:pos="1701"/>
          <w:tab w:val="left" w:pos="2268"/>
          <w:tab w:val="left" w:pos="2835"/>
        </w:tabs>
        <w:rPr>
          <w:lang w:val="fr-FR"/>
        </w:rPr>
      </w:pPr>
      <w:r>
        <w:rPr>
          <w:lang w:val="fr-FR"/>
        </w:rPr>
        <w:t>80</w:t>
      </w:r>
      <w:r w:rsidR="00E562C0">
        <w:rPr>
          <w:lang w:val="fr-FR"/>
        </w:rPr>
        <w:t>6</w:t>
      </w:r>
      <w:r>
        <w:rPr>
          <w:lang w:val="fr-FR"/>
        </w:rPr>
        <w:t>.</w:t>
      </w:r>
      <w:r>
        <w:rPr>
          <w:lang w:val="fr-FR"/>
        </w:rPr>
        <w:tab/>
        <w:t xml:space="preserve">En Tasmanie, le programme du </w:t>
      </w:r>
      <w:r w:rsidRPr="00803C20">
        <w:rPr>
          <w:i/>
          <w:iCs/>
          <w:lang w:val="fr-FR"/>
        </w:rPr>
        <w:t>Phoenix Centre</w:t>
      </w:r>
      <w:r>
        <w:rPr>
          <w:lang w:val="fr-FR"/>
        </w:rPr>
        <w:t>, sous l’</w:t>
      </w:r>
      <w:r w:rsidR="005A5EE2">
        <w:rPr>
          <w:lang w:val="fr-FR"/>
        </w:rPr>
        <w:t>égide du Centre d’information des</w:t>
      </w:r>
      <w:r>
        <w:rPr>
          <w:lang w:val="fr-FR"/>
        </w:rPr>
        <w:t xml:space="preserve"> migrants, dispense des services d’aide aux personnes ayant survécu à la torture et aux traumatismes</w:t>
      </w:r>
      <w:r w:rsidR="008D6B80">
        <w:rPr>
          <w:lang w:val="fr-FR"/>
        </w:rPr>
        <w:t xml:space="preserve">. </w:t>
      </w:r>
      <w:r w:rsidR="00016485">
        <w:rPr>
          <w:lang w:val="fr-FR"/>
        </w:rPr>
        <w:t>Le Centre d’information des</w:t>
      </w:r>
      <w:r w:rsidR="00D41F92">
        <w:rPr>
          <w:lang w:val="fr-FR"/>
        </w:rPr>
        <w:t xml:space="preserve"> migrants est une organisation non gouvernementale à but non lucratif gérée par un comité directeur de bénévoles, qui fait partie d’un réseau n</w:t>
      </w:r>
      <w:r w:rsidR="00016485">
        <w:rPr>
          <w:lang w:val="fr-FR"/>
        </w:rPr>
        <w:t>ational de centres du même type</w:t>
      </w:r>
      <w:r w:rsidR="008D6B80">
        <w:rPr>
          <w:lang w:val="fr-FR"/>
        </w:rPr>
        <w:t xml:space="preserve">. </w:t>
      </w:r>
    </w:p>
    <w:p w:rsidR="003F5010" w:rsidRDefault="00016485" w:rsidP="005D7B68">
      <w:pPr>
        <w:tabs>
          <w:tab w:val="left" w:pos="567"/>
          <w:tab w:val="left" w:pos="1134"/>
          <w:tab w:val="left" w:pos="1701"/>
          <w:tab w:val="left" w:pos="2268"/>
          <w:tab w:val="left" w:pos="2835"/>
        </w:tabs>
        <w:rPr>
          <w:lang w:val="fr-FR"/>
        </w:rPr>
      </w:pPr>
      <w:r>
        <w:rPr>
          <w:lang w:val="fr-FR"/>
        </w:rPr>
        <w:t>80</w:t>
      </w:r>
      <w:r w:rsidR="00E562C0">
        <w:rPr>
          <w:lang w:val="fr-FR"/>
        </w:rPr>
        <w:t>7</w:t>
      </w:r>
      <w:r>
        <w:rPr>
          <w:lang w:val="fr-FR"/>
        </w:rPr>
        <w:t>.</w:t>
      </w:r>
      <w:r>
        <w:rPr>
          <w:lang w:val="fr-FR"/>
        </w:rPr>
        <w:tab/>
        <w:t xml:space="preserve">Le programme du </w:t>
      </w:r>
      <w:r>
        <w:rPr>
          <w:i/>
          <w:iCs/>
          <w:lang w:val="fr-FR"/>
        </w:rPr>
        <w:t>Phoenix Centre</w:t>
      </w:r>
      <w:r>
        <w:rPr>
          <w:lang w:val="fr-FR"/>
        </w:rPr>
        <w:t xml:space="preserve"> comporte des services destinés aux personnes souffrant de traumatismes complexes liés à la torture et à d’autres violations des droits de l’homme</w:t>
      </w:r>
      <w:r w:rsidR="008D6B80">
        <w:rPr>
          <w:lang w:val="fr-FR"/>
        </w:rPr>
        <w:t xml:space="preserve">. </w:t>
      </w:r>
      <w:r w:rsidR="00A67641">
        <w:rPr>
          <w:lang w:val="fr-FR"/>
        </w:rPr>
        <w:t>La </w:t>
      </w:r>
      <w:r w:rsidR="00D35BB2">
        <w:rPr>
          <w:lang w:val="fr-FR"/>
        </w:rPr>
        <w:t>majorité de ses bénéficiaires sont des réfugiés et des personnes récemment entrées en Australie à titre humanitaire</w:t>
      </w:r>
      <w:r w:rsidR="008D6B80">
        <w:rPr>
          <w:lang w:val="fr-FR"/>
        </w:rPr>
        <w:t xml:space="preserve">. </w:t>
      </w:r>
      <w:r w:rsidR="00D35BB2">
        <w:rPr>
          <w:lang w:val="fr-FR"/>
        </w:rPr>
        <w:t>Les personnes et les familles qui ont le droit de bénéficier de ce programme ont accès à des bilans de santé et à une prise en charge psychologique</w:t>
      </w:r>
      <w:r w:rsidR="008D6B80">
        <w:rPr>
          <w:lang w:val="fr-FR"/>
        </w:rPr>
        <w:t xml:space="preserve">. </w:t>
      </w:r>
      <w:r w:rsidR="00D35BB2">
        <w:rPr>
          <w:lang w:val="fr-FR"/>
        </w:rPr>
        <w:t>Les services proposé</w:t>
      </w:r>
      <w:r w:rsidR="00AF730B">
        <w:rPr>
          <w:lang w:val="fr-FR"/>
        </w:rPr>
        <w:t>s peuvent également comprendre d</w:t>
      </w:r>
      <w:r w:rsidR="00D35BB2">
        <w:rPr>
          <w:lang w:val="fr-FR"/>
        </w:rPr>
        <w:t>es massages et des thérapies naturelles</w:t>
      </w:r>
      <w:r w:rsidR="00804232">
        <w:rPr>
          <w:lang w:val="fr-FR"/>
        </w:rPr>
        <w:t xml:space="preserve">, une thérapie musicale, une thérapie familiale, des activités de développement communautaire, </w:t>
      </w:r>
      <w:r w:rsidR="003F5010">
        <w:rPr>
          <w:lang w:val="fr-FR"/>
        </w:rPr>
        <w:t>une orientation vers des services médicaux donnés ou une gestion des cas individuels, ou les deux, et une sensibilisation avec d’autres services</w:t>
      </w:r>
      <w:r w:rsidR="008D6B80">
        <w:rPr>
          <w:lang w:val="fr-FR"/>
        </w:rPr>
        <w:t xml:space="preserve">. </w:t>
      </w:r>
      <w:r w:rsidR="003F5010">
        <w:rPr>
          <w:lang w:val="fr-FR"/>
        </w:rPr>
        <w:t>Une inf</w:t>
      </w:r>
      <w:r w:rsidR="000D2E96">
        <w:rPr>
          <w:lang w:val="fr-FR"/>
        </w:rPr>
        <w:t>ormation et un appui avant orientation</w:t>
      </w:r>
      <w:r w:rsidR="003F5010">
        <w:rPr>
          <w:lang w:val="fr-FR"/>
        </w:rPr>
        <w:t xml:space="preserve"> sont aussi proposés à d’autres personnes qui s’occupent des bénéficiaires de ce programme.</w:t>
      </w:r>
    </w:p>
    <w:p w:rsidR="000300C9" w:rsidRDefault="003F5010" w:rsidP="005D7B68">
      <w:pPr>
        <w:tabs>
          <w:tab w:val="left" w:pos="567"/>
          <w:tab w:val="left" w:pos="1134"/>
          <w:tab w:val="left" w:pos="1701"/>
          <w:tab w:val="left" w:pos="2268"/>
          <w:tab w:val="left" w:pos="2835"/>
        </w:tabs>
        <w:rPr>
          <w:lang w:val="fr-FR"/>
        </w:rPr>
      </w:pPr>
      <w:r>
        <w:rPr>
          <w:lang w:val="fr-FR"/>
        </w:rPr>
        <w:t>80</w:t>
      </w:r>
      <w:r w:rsidR="00E562C0">
        <w:rPr>
          <w:lang w:val="fr-FR"/>
        </w:rPr>
        <w:t>8</w:t>
      </w:r>
      <w:r>
        <w:rPr>
          <w:lang w:val="fr-FR"/>
        </w:rPr>
        <w:t>.</w:t>
      </w:r>
      <w:r>
        <w:rPr>
          <w:lang w:val="fr-FR"/>
        </w:rPr>
        <w:tab/>
      </w:r>
      <w:r w:rsidR="00C04043">
        <w:rPr>
          <w:lang w:val="fr-FR"/>
        </w:rPr>
        <w:t xml:space="preserve">Le </w:t>
      </w:r>
      <w:r w:rsidR="00C04043">
        <w:rPr>
          <w:i/>
          <w:iCs/>
          <w:lang w:val="fr-FR"/>
        </w:rPr>
        <w:t>Phoenix Centre</w:t>
      </w:r>
      <w:r w:rsidR="00C04043">
        <w:rPr>
          <w:lang w:val="fr-FR"/>
        </w:rPr>
        <w:t xml:space="preserve"> reçoit des fonds du Ministère de la santé et du vieillissement, du Département des familles, des services communautaires et des affaires autochtones, ainsi que dans le cadre du Programme de soins à domicile et de soins de proximité</w:t>
      </w:r>
      <w:r w:rsidR="008D6B80">
        <w:rPr>
          <w:lang w:val="fr-FR"/>
        </w:rPr>
        <w:t xml:space="preserve">. </w:t>
      </w:r>
      <w:r w:rsidR="00C04043">
        <w:rPr>
          <w:lang w:val="fr-FR"/>
        </w:rPr>
        <w:t>En 2007</w:t>
      </w:r>
      <w:r w:rsidR="003A39EE">
        <w:rPr>
          <w:lang w:val="fr-FR"/>
        </w:rPr>
        <w:t>/</w:t>
      </w:r>
      <w:r w:rsidR="00C04043">
        <w:rPr>
          <w:lang w:val="fr-FR"/>
        </w:rPr>
        <w:t xml:space="preserve">08, le Centre d’information des migrants se verra allouer 403 746 dollars (taxe </w:t>
      </w:r>
      <w:r w:rsidR="000D2E96">
        <w:rPr>
          <w:lang w:val="fr-FR"/>
        </w:rPr>
        <w:t>GTS non comprise) pour fournir</w:t>
      </w:r>
      <w:r w:rsidR="00C04043">
        <w:rPr>
          <w:lang w:val="fr-FR"/>
        </w:rPr>
        <w:t xml:space="preserve"> des services dans le cadre du programme susmentionné, y compris </w:t>
      </w:r>
      <w:r w:rsidR="00AF730B">
        <w:rPr>
          <w:lang w:val="fr-FR"/>
        </w:rPr>
        <w:t xml:space="preserve">pour </w:t>
      </w:r>
      <w:r w:rsidR="00C04043">
        <w:rPr>
          <w:lang w:val="fr-FR"/>
        </w:rPr>
        <w:t xml:space="preserve">la gestion d’un centre de jour avec </w:t>
      </w:r>
      <w:r w:rsidR="000300C9">
        <w:rPr>
          <w:lang w:val="fr-FR"/>
        </w:rPr>
        <w:t>distribution de repas,</w:t>
      </w:r>
      <w:r w:rsidR="00AF730B">
        <w:rPr>
          <w:lang w:val="fr-FR"/>
        </w:rPr>
        <w:t xml:space="preserve"> </w:t>
      </w:r>
      <w:r w:rsidR="00DD34D2">
        <w:rPr>
          <w:lang w:val="fr-FR"/>
        </w:rPr>
        <w:t xml:space="preserve">et </w:t>
      </w:r>
      <w:r w:rsidR="00AF730B">
        <w:rPr>
          <w:lang w:val="fr-FR"/>
        </w:rPr>
        <w:t xml:space="preserve">des </w:t>
      </w:r>
      <w:r w:rsidR="00DD34D2">
        <w:rPr>
          <w:lang w:val="fr-FR"/>
        </w:rPr>
        <w:t>services d’aide sociale,</w:t>
      </w:r>
      <w:r w:rsidR="000300C9">
        <w:rPr>
          <w:lang w:val="fr-FR"/>
        </w:rPr>
        <w:t xml:space="preserve"> d’information, de conseils et de sensibilisation.</w:t>
      </w:r>
    </w:p>
    <w:p w:rsidR="00CB7589" w:rsidRPr="00767BF4" w:rsidRDefault="00DD34D2" w:rsidP="005D7B68">
      <w:pPr>
        <w:tabs>
          <w:tab w:val="left" w:pos="567"/>
          <w:tab w:val="left" w:pos="1134"/>
          <w:tab w:val="left" w:pos="1701"/>
          <w:tab w:val="left" w:pos="2268"/>
          <w:tab w:val="left" w:pos="2835"/>
        </w:tabs>
        <w:rPr>
          <w:lang w:val="fr-FR"/>
        </w:rPr>
      </w:pPr>
      <w:r>
        <w:rPr>
          <w:lang w:val="fr-FR"/>
        </w:rPr>
        <w:t>8</w:t>
      </w:r>
      <w:r w:rsidR="00E562C0">
        <w:rPr>
          <w:lang w:val="fr-FR"/>
        </w:rPr>
        <w:t>09</w:t>
      </w:r>
      <w:r>
        <w:rPr>
          <w:lang w:val="fr-FR"/>
        </w:rPr>
        <w:t>.</w:t>
      </w:r>
      <w:r>
        <w:rPr>
          <w:lang w:val="fr-FR"/>
        </w:rPr>
        <w:tab/>
        <w:t>Le Gouvernement de Tasmanie dispense les demandeurs d’asile qui ne sont pas autorisés à travailler en Australie des frais hospitaliers et des frais liés aux services collectifs.</w:t>
      </w:r>
      <w:r w:rsidR="00FC1A62">
        <w:rPr>
          <w:lang w:val="fr-FR"/>
        </w:rPr>
        <w:t xml:space="preserve"> </w:t>
      </w:r>
    </w:p>
    <w:p w:rsidR="00767BF4" w:rsidRDefault="00172418" w:rsidP="005D7B68">
      <w:pPr>
        <w:keepNext/>
        <w:tabs>
          <w:tab w:val="left" w:pos="567"/>
          <w:tab w:val="left" w:pos="1134"/>
          <w:tab w:val="left" w:pos="1701"/>
          <w:tab w:val="left" w:pos="2268"/>
          <w:tab w:val="left" w:pos="2835"/>
        </w:tabs>
        <w:rPr>
          <w:b/>
          <w:bCs/>
          <w:lang w:val="fr-FR"/>
        </w:rPr>
      </w:pPr>
      <w:r>
        <w:rPr>
          <w:b/>
          <w:bCs/>
          <w:lang w:val="fr-FR"/>
        </w:rPr>
        <w:t>Territoire de la capitale australienne</w:t>
      </w:r>
    </w:p>
    <w:p w:rsidR="00172418" w:rsidRPr="00172418" w:rsidRDefault="00172418" w:rsidP="005D7B68">
      <w:pPr>
        <w:keepNext/>
        <w:tabs>
          <w:tab w:val="left" w:pos="567"/>
          <w:tab w:val="left" w:pos="1134"/>
          <w:tab w:val="left" w:pos="1701"/>
          <w:tab w:val="left" w:pos="2268"/>
          <w:tab w:val="left" w:pos="2835"/>
        </w:tabs>
        <w:rPr>
          <w:lang w:val="fr-FR"/>
        </w:rPr>
      </w:pPr>
      <w:r>
        <w:rPr>
          <w:lang w:val="fr-FR"/>
        </w:rPr>
        <w:t>81</w:t>
      </w:r>
      <w:r w:rsidR="00E562C0">
        <w:rPr>
          <w:lang w:val="fr-FR"/>
        </w:rPr>
        <w:t>0</w:t>
      </w:r>
      <w:r>
        <w:rPr>
          <w:lang w:val="fr-FR"/>
        </w:rPr>
        <w:t>.</w:t>
      </w:r>
      <w:r>
        <w:rPr>
          <w:lang w:val="fr-FR"/>
        </w:rPr>
        <w:tab/>
        <w:t>En cas de délit de torture commis dans le Territoire de la capitale</w:t>
      </w:r>
      <w:r w:rsidR="00785511">
        <w:rPr>
          <w:lang w:val="fr-FR"/>
        </w:rPr>
        <w:t xml:space="preserve"> fédérale</w:t>
      </w:r>
      <w:r>
        <w:rPr>
          <w:lang w:val="fr-FR"/>
        </w:rPr>
        <w:t>, les victimes ont droit à être prises en charge dans le cadre du programme de services aux victimes</w:t>
      </w:r>
      <w:r w:rsidR="008D6B80">
        <w:rPr>
          <w:lang w:val="fr-FR"/>
        </w:rPr>
        <w:t xml:space="preserve">. </w:t>
      </w:r>
      <w:r>
        <w:rPr>
          <w:lang w:val="fr-FR"/>
        </w:rPr>
        <w:t>Ce programme a été mis sur pied en vertu de la loi de 1994 sur les victimes d’infractions pénales (Territoire de la capitale</w:t>
      </w:r>
      <w:r w:rsidR="00785511">
        <w:rPr>
          <w:lang w:val="fr-FR"/>
        </w:rPr>
        <w:t xml:space="preserve"> australienne</w:t>
      </w:r>
      <w:r>
        <w:rPr>
          <w:lang w:val="fr-FR"/>
        </w:rPr>
        <w:t>), qui porte aussi création</w:t>
      </w:r>
      <w:r w:rsidR="00572260">
        <w:rPr>
          <w:lang w:val="fr-FR"/>
        </w:rPr>
        <w:t xml:space="preserve"> </w:t>
      </w:r>
      <w:r>
        <w:rPr>
          <w:lang w:val="fr-FR"/>
        </w:rPr>
        <w:t xml:space="preserve">du poste de </w:t>
      </w:r>
      <w:r>
        <w:rPr>
          <w:i/>
          <w:iCs/>
          <w:lang w:val="fr-FR"/>
        </w:rPr>
        <w:t>Victims of Crime Coordinator</w:t>
      </w:r>
      <w:r w:rsidR="000D2E96">
        <w:rPr>
          <w:i/>
          <w:iCs/>
          <w:lang w:val="fr-FR"/>
        </w:rPr>
        <w:t xml:space="preserve"> </w:t>
      </w:r>
      <w:r w:rsidR="000D2E96" w:rsidRPr="000D2E96">
        <w:rPr>
          <w:lang w:val="fr-FR"/>
        </w:rPr>
        <w:t>(</w:t>
      </w:r>
      <w:r w:rsidR="000D2E96">
        <w:rPr>
          <w:lang w:val="fr-FR"/>
        </w:rPr>
        <w:t>C</w:t>
      </w:r>
      <w:r w:rsidR="000D2E96" w:rsidRPr="000D2E96">
        <w:rPr>
          <w:lang w:val="fr-FR"/>
        </w:rPr>
        <w:t>oordinateur</w:t>
      </w:r>
      <w:r w:rsidR="000D2E96">
        <w:rPr>
          <w:lang w:val="fr-FR"/>
        </w:rPr>
        <w:t xml:space="preserve"> pour les victimes de crimes et délits)</w:t>
      </w:r>
      <w:r>
        <w:rPr>
          <w:lang w:val="fr-FR"/>
        </w:rPr>
        <w:t>, dont le rôle est similaire à celui d’un médiateur</w:t>
      </w:r>
      <w:r w:rsidR="008D6B80">
        <w:rPr>
          <w:lang w:val="fr-FR"/>
        </w:rPr>
        <w:t xml:space="preserve">. </w:t>
      </w:r>
      <w:r>
        <w:rPr>
          <w:lang w:val="fr-FR"/>
        </w:rPr>
        <w:t>Dans le cadre de ce programme</w:t>
      </w:r>
      <w:r w:rsidR="00D67018">
        <w:rPr>
          <w:lang w:val="fr-FR"/>
        </w:rPr>
        <w:t>, les victimes d’infractions pénales ou les membres de leur fami</w:t>
      </w:r>
      <w:r w:rsidR="00785511">
        <w:rPr>
          <w:lang w:val="fr-FR"/>
        </w:rPr>
        <w:t xml:space="preserve">lle ont droit à un ensemble de </w:t>
      </w:r>
      <w:r w:rsidR="00D67018">
        <w:rPr>
          <w:lang w:val="fr-FR"/>
        </w:rPr>
        <w:t>prestations thérapeutiques psychologiques et physiques multidisciplinaires dest</w:t>
      </w:r>
      <w:r w:rsidR="000D2E96">
        <w:rPr>
          <w:lang w:val="fr-FR"/>
        </w:rPr>
        <w:t>inées à les aider à poursuivre</w:t>
      </w:r>
      <w:r w:rsidR="00D67018">
        <w:rPr>
          <w:lang w:val="fr-FR"/>
        </w:rPr>
        <w:t xml:space="preserve"> </w:t>
      </w:r>
      <w:r w:rsidR="000D2E96">
        <w:rPr>
          <w:lang w:val="fr-FR"/>
        </w:rPr>
        <w:t>leur participation</w:t>
      </w:r>
      <w:r w:rsidR="00D67018">
        <w:rPr>
          <w:lang w:val="fr-FR"/>
        </w:rPr>
        <w:t xml:space="preserve"> à la vie sociale, économique et culturelle de la collectivité</w:t>
      </w:r>
      <w:r w:rsidR="008D6B80">
        <w:rPr>
          <w:lang w:val="fr-FR"/>
        </w:rPr>
        <w:t xml:space="preserve">. </w:t>
      </w:r>
      <w:r w:rsidR="00D67018">
        <w:rPr>
          <w:lang w:val="fr-FR"/>
        </w:rPr>
        <w:t>Plus du quart de ses bénéficiaires sont âgés de moins de 18 ans.</w:t>
      </w:r>
      <w:r>
        <w:rPr>
          <w:lang w:val="fr-FR"/>
        </w:rPr>
        <w:t xml:space="preserve"> </w:t>
      </w:r>
    </w:p>
    <w:p w:rsidR="00411125" w:rsidRDefault="00151AB0" w:rsidP="005D7B68">
      <w:pPr>
        <w:tabs>
          <w:tab w:val="left" w:pos="567"/>
          <w:tab w:val="left" w:pos="1134"/>
          <w:tab w:val="left" w:pos="1701"/>
          <w:tab w:val="left" w:pos="2268"/>
          <w:tab w:val="left" w:pos="2835"/>
        </w:tabs>
        <w:rPr>
          <w:lang w:val="fr-FR"/>
        </w:rPr>
      </w:pPr>
      <w:r>
        <w:rPr>
          <w:lang w:val="fr-FR"/>
        </w:rPr>
        <w:t>81</w:t>
      </w:r>
      <w:r w:rsidR="00E562C0">
        <w:rPr>
          <w:lang w:val="fr-FR"/>
        </w:rPr>
        <w:t>1</w:t>
      </w:r>
      <w:r>
        <w:rPr>
          <w:lang w:val="fr-FR"/>
        </w:rPr>
        <w:t>.</w:t>
      </w:r>
      <w:r>
        <w:rPr>
          <w:lang w:val="fr-FR"/>
        </w:rPr>
        <w:tab/>
        <w:t>Le programme d’</w:t>
      </w:r>
      <w:r w:rsidR="00411125">
        <w:rPr>
          <w:lang w:val="fr-FR"/>
        </w:rPr>
        <w:t>aide familiale de l’Office d’aide</w:t>
      </w:r>
      <w:r w:rsidR="00411125" w:rsidRPr="005F4AD3">
        <w:rPr>
          <w:lang w:val="fr-FR"/>
        </w:rPr>
        <w:t xml:space="preserve"> aux enfants, aux jeunes et aux familles</w:t>
      </w:r>
      <w:r w:rsidR="00411125">
        <w:rPr>
          <w:lang w:val="fr-FR"/>
        </w:rPr>
        <w:t xml:space="preserve"> alloue des fonds à </w:t>
      </w:r>
      <w:r w:rsidR="00411125">
        <w:rPr>
          <w:i/>
          <w:iCs/>
          <w:lang w:val="fr-FR"/>
        </w:rPr>
        <w:t>Companion House</w:t>
      </w:r>
      <w:r w:rsidR="00411125">
        <w:rPr>
          <w:lang w:val="fr-FR"/>
        </w:rPr>
        <w:t>, organisation enracinée dans la communauté locale qui s’occupe des enfants et des jeunes réfugiés et migrants et de leur famille souffrant de traumatismes de guerre ou victimes de violations des droits de l’homme ou d’actes de torture</w:t>
      </w:r>
      <w:r w:rsidR="008D6B80">
        <w:rPr>
          <w:lang w:val="fr-FR"/>
        </w:rPr>
        <w:t xml:space="preserve">. </w:t>
      </w:r>
      <w:r w:rsidR="00411125">
        <w:rPr>
          <w:lang w:val="fr-FR"/>
        </w:rPr>
        <w:t>Voici ce que proposent ces services</w:t>
      </w:r>
      <w:r w:rsidR="00572260">
        <w:rPr>
          <w:lang w:val="fr-FR"/>
        </w:rPr>
        <w:t>:</w:t>
      </w:r>
    </w:p>
    <w:p w:rsidR="00411125" w:rsidRDefault="00411125" w:rsidP="005D7B68">
      <w:pPr>
        <w:tabs>
          <w:tab w:val="left" w:pos="567"/>
          <w:tab w:val="left" w:pos="1134"/>
          <w:tab w:val="left" w:pos="1701"/>
          <w:tab w:val="left" w:pos="2268"/>
          <w:tab w:val="left" w:pos="2835"/>
        </w:tabs>
        <w:rPr>
          <w:lang w:val="fr-FR"/>
        </w:rPr>
      </w:pPr>
      <w:r>
        <w:rPr>
          <w:lang w:val="fr-FR"/>
        </w:rPr>
        <w:tab/>
        <w:t>a)</w:t>
      </w:r>
      <w:r>
        <w:rPr>
          <w:lang w:val="fr-FR"/>
        </w:rPr>
        <w:tab/>
        <w:t>Bilans et assistance auprès des enfants et des jeunes à des fins d’installation et de réadaptation</w:t>
      </w:r>
      <w:r w:rsidR="00572260">
        <w:rPr>
          <w:lang w:val="fr-FR"/>
        </w:rPr>
        <w:t>;</w:t>
      </w:r>
    </w:p>
    <w:p w:rsidR="00411125" w:rsidRDefault="00411125" w:rsidP="005D7B68">
      <w:pPr>
        <w:tabs>
          <w:tab w:val="left" w:pos="567"/>
          <w:tab w:val="left" w:pos="1134"/>
          <w:tab w:val="left" w:pos="1701"/>
          <w:tab w:val="left" w:pos="2268"/>
          <w:tab w:val="left" w:pos="2835"/>
        </w:tabs>
        <w:rPr>
          <w:lang w:val="fr-FR"/>
        </w:rPr>
      </w:pPr>
      <w:r>
        <w:rPr>
          <w:lang w:val="fr-FR"/>
        </w:rPr>
        <w:tab/>
        <w:t>b)</w:t>
      </w:r>
      <w:r>
        <w:rPr>
          <w:lang w:val="fr-FR"/>
        </w:rPr>
        <w:tab/>
        <w:t>Interventions thérapeutiques auprès d’enfants, de jeunes et de leur famille</w:t>
      </w:r>
      <w:r w:rsidR="00572260">
        <w:rPr>
          <w:lang w:val="fr-FR"/>
        </w:rPr>
        <w:t>;</w:t>
      </w:r>
    </w:p>
    <w:p w:rsidR="007E5170" w:rsidRDefault="00411125" w:rsidP="005D7B68">
      <w:pPr>
        <w:tabs>
          <w:tab w:val="left" w:pos="567"/>
          <w:tab w:val="left" w:pos="1134"/>
          <w:tab w:val="left" w:pos="1701"/>
          <w:tab w:val="left" w:pos="2268"/>
          <w:tab w:val="left" w:pos="2835"/>
        </w:tabs>
        <w:rPr>
          <w:lang w:val="fr-FR"/>
        </w:rPr>
      </w:pPr>
      <w:r>
        <w:rPr>
          <w:lang w:val="fr-FR"/>
        </w:rPr>
        <w:tab/>
        <w:t>c)</w:t>
      </w:r>
      <w:r>
        <w:rPr>
          <w:lang w:val="fr-FR"/>
        </w:rPr>
        <w:tab/>
      </w:r>
      <w:r w:rsidR="007E5170">
        <w:rPr>
          <w:lang w:val="fr-FR"/>
        </w:rPr>
        <w:t>Conseils et liaison avec d’autres services et groupes de soutien.</w:t>
      </w:r>
    </w:p>
    <w:p w:rsidR="006A7E5D" w:rsidRDefault="003A39EE" w:rsidP="005D7B68">
      <w:pPr>
        <w:tabs>
          <w:tab w:val="left" w:pos="567"/>
          <w:tab w:val="left" w:pos="1134"/>
          <w:tab w:val="left" w:pos="1701"/>
          <w:tab w:val="left" w:pos="2268"/>
          <w:tab w:val="left" w:pos="2835"/>
          <w:tab w:val="left" w:pos="5222"/>
        </w:tabs>
        <w:spacing w:after="0"/>
        <w:ind w:left="573" w:hanging="573"/>
        <w:rPr>
          <w:u w:val="single"/>
          <w:lang w:val="fr-FR"/>
        </w:rPr>
      </w:pPr>
      <w:r>
        <w:rPr>
          <w:lang w:val="fr-FR"/>
        </w:rPr>
        <w:t>81</w:t>
      </w:r>
      <w:r w:rsidR="00E562C0">
        <w:rPr>
          <w:lang w:val="fr-FR"/>
        </w:rPr>
        <w:t>2</w:t>
      </w:r>
      <w:r>
        <w:rPr>
          <w:lang w:val="fr-FR"/>
        </w:rPr>
        <w:t>.</w:t>
      </w:r>
      <w:r>
        <w:rPr>
          <w:lang w:val="fr-FR"/>
        </w:rPr>
        <w:tab/>
        <w:t>Fonds alloués en 2007/</w:t>
      </w:r>
      <w:r w:rsidR="007E5170">
        <w:rPr>
          <w:lang w:val="fr-FR"/>
        </w:rPr>
        <w:t>08</w:t>
      </w:r>
      <w:r w:rsidR="00572260">
        <w:rPr>
          <w:lang w:val="fr-FR"/>
        </w:rPr>
        <w:t>:</w:t>
      </w:r>
      <w:r w:rsidR="006A7E5D">
        <w:rPr>
          <w:lang w:val="fr-FR"/>
        </w:rPr>
        <w:br/>
      </w:r>
      <w:r w:rsidR="007E5170">
        <w:rPr>
          <w:lang w:val="fr-FR"/>
        </w:rPr>
        <w:t>Service d’intervention auprès d</w:t>
      </w:r>
      <w:r w:rsidR="00785511">
        <w:rPr>
          <w:lang w:val="fr-FR"/>
        </w:rPr>
        <w:t>es enfants</w:t>
      </w:r>
      <w:r w:rsidR="006A7E5D">
        <w:rPr>
          <w:lang w:val="fr-FR"/>
        </w:rPr>
        <w:tab/>
        <w:t xml:space="preserve">61 </w:t>
      </w:r>
      <w:r w:rsidR="007E5170">
        <w:rPr>
          <w:lang w:val="fr-FR"/>
        </w:rPr>
        <w:t>643,91</w:t>
      </w:r>
      <w:r w:rsidR="00785511">
        <w:rPr>
          <w:lang w:val="fr-FR"/>
        </w:rPr>
        <w:t xml:space="preserve"> $</w:t>
      </w:r>
      <w:r w:rsidR="00572260">
        <w:rPr>
          <w:lang w:val="fr-FR"/>
        </w:rPr>
        <w:t xml:space="preserve"> </w:t>
      </w:r>
      <w:r w:rsidR="006A7E5D">
        <w:rPr>
          <w:lang w:val="fr-FR"/>
        </w:rPr>
        <w:br/>
      </w:r>
      <w:r w:rsidR="007E5170">
        <w:rPr>
          <w:lang w:val="fr-FR"/>
        </w:rPr>
        <w:t>Développement communautaire</w:t>
      </w:r>
      <w:r w:rsidR="006A7E5D">
        <w:rPr>
          <w:lang w:val="fr-FR"/>
        </w:rPr>
        <w:tab/>
      </w:r>
      <w:r w:rsidR="006A7E5D">
        <w:rPr>
          <w:u w:val="single"/>
          <w:lang w:val="fr-FR"/>
        </w:rPr>
        <w:t xml:space="preserve">66 </w:t>
      </w:r>
      <w:r w:rsidR="007E5170" w:rsidRPr="007E5170">
        <w:rPr>
          <w:u w:val="single"/>
          <w:lang w:val="fr-FR"/>
        </w:rPr>
        <w:t>643,37</w:t>
      </w:r>
      <w:r w:rsidR="00785511">
        <w:rPr>
          <w:u w:val="single"/>
          <w:lang w:val="fr-FR"/>
        </w:rPr>
        <w:t xml:space="preserve"> $</w:t>
      </w:r>
    </w:p>
    <w:p w:rsidR="00151AB0" w:rsidRPr="00411125" w:rsidRDefault="006A7E5D" w:rsidP="005D7B68">
      <w:pPr>
        <w:tabs>
          <w:tab w:val="left" w:pos="567"/>
          <w:tab w:val="left" w:pos="1134"/>
          <w:tab w:val="left" w:pos="1701"/>
          <w:tab w:val="left" w:pos="2268"/>
          <w:tab w:val="left" w:pos="2835"/>
          <w:tab w:val="left" w:pos="5110"/>
        </w:tabs>
        <w:ind w:left="570" w:hanging="570"/>
        <w:rPr>
          <w:lang w:val="fr-FR"/>
        </w:rPr>
      </w:pPr>
      <w:r>
        <w:rPr>
          <w:b/>
          <w:bCs/>
          <w:lang w:val="fr-FR"/>
        </w:rPr>
        <w:tab/>
      </w:r>
      <w:r>
        <w:rPr>
          <w:b/>
          <w:bCs/>
          <w:lang w:val="fr-FR"/>
        </w:rPr>
        <w:tab/>
        <w:t>To</w:t>
      </w:r>
      <w:r w:rsidR="00CE41DD">
        <w:rPr>
          <w:b/>
          <w:bCs/>
          <w:lang w:val="fr-FR"/>
        </w:rPr>
        <w:t>tal</w:t>
      </w:r>
      <w:r>
        <w:rPr>
          <w:b/>
          <w:bCs/>
          <w:lang w:val="fr-FR"/>
        </w:rPr>
        <w:tab/>
      </w:r>
      <w:r>
        <w:rPr>
          <w:b/>
          <w:bCs/>
          <w:lang w:val="fr-FR"/>
        </w:rPr>
        <w:tab/>
      </w:r>
      <w:r>
        <w:rPr>
          <w:b/>
          <w:bCs/>
          <w:lang w:val="fr-FR"/>
        </w:rPr>
        <w:tab/>
      </w:r>
      <w:r>
        <w:rPr>
          <w:b/>
          <w:bCs/>
          <w:lang w:val="fr-FR"/>
        </w:rPr>
        <w:tab/>
      </w:r>
      <w:r>
        <w:rPr>
          <w:b/>
          <w:bCs/>
          <w:lang w:val="fr-FR"/>
        </w:rPr>
        <w:tab/>
      </w:r>
      <w:r w:rsidR="007E5170">
        <w:rPr>
          <w:b/>
          <w:bCs/>
          <w:lang w:val="fr-FR"/>
        </w:rPr>
        <w:t>127</w:t>
      </w:r>
      <w:r>
        <w:rPr>
          <w:b/>
          <w:bCs/>
          <w:lang w:val="fr-FR"/>
        </w:rPr>
        <w:t xml:space="preserve"> </w:t>
      </w:r>
      <w:r w:rsidR="007E5170">
        <w:rPr>
          <w:b/>
          <w:bCs/>
          <w:lang w:val="fr-FR"/>
        </w:rPr>
        <w:t>708,28</w:t>
      </w:r>
      <w:r w:rsidR="00785511">
        <w:rPr>
          <w:b/>
          <w:bCs/>
          <w:lang w:val="fr-FR"/>
        </w:rPr>
        <w:t xml:space="preserve"> $</w:t>
      </w:r>
    </w:p>
    <w:p w:rsidR="007D49DA" w:rsidRDefault="007E5170" w:rsidP="005D7B68">
      <w:pPr>
        <w:tabs>
          <w:tab w:val="left" w:pos="567"/>
          <w:tab w:val="left" w:pos="1134"/>
          <w:tab w:val="left" w:pos="1701"/>
          <w:tab w:val="left" w:pos="2268"/>
          <w:tab w:val="left" w:pos="2835"/>
        </w:tabs>
        <w:rPr>
          <w:b/>
          <w:bCs/>
          <w:lang w:val="fr-FR"/>
        </w:rPr>
      </w:pPr>
      <w:r>
        <w:rPr>
          <w:b/>
          <w:bCs/>
          <w:lang w:val="fr-FR"/>
        </w:rPr>
        <w:t>Territoire du Nord</w:t>
      </w:r>
    </w:p>
    <w:p w:rsidR="00B45423" w:rsidRPr="007E5170" w:rsidRDefault="007E5170" w:rsidP="005D7B68">
      <w:pPr>
        <w:tabs>
          <w:tab w:val="left" w:pos="567"/>
          <w:tab w:val="left" w:pos="1134"/>
          <w:tab w:val="left" w:pos="1701"/>
          <w:tab w:val="left" w:pos="2268"/>
          <w:tab w:val="left" w:pos="2835"/>
        </w:tabs>
        <w:rPr>
          <w:lang w:val="fr-FR"/>
        </w:rPr>
      </w:pPr>
      <w:r>
        <w:rPr>
          <w:lang w:val="fr-FR"/>
        </w:rPr>
        <w:t>81</w:t>
      </w:r>
      <w:r w:rsidR="00E562C0">
        <w:rPr>
          <w:lang w:val="fr-FR"/>
        </w:rPr>
        <w:t>3</w:t>
      </w:r>
      <w:r>
        <w:rPr>
          <w:lang w:val="fr-FR"/>
        </w:rPr>
        <w:t>.</w:t>
      </w:r>
      <w:r>
        <w:rPr>
          <w:lang w:val="fr-FR"/>
        </w:rPr>
        <w:tab/>
        <w:t>Les services de santé mentale du Territoire du Nord ac</w:t>
      </w:r>
      <w:r w:rsidR="004D25C8">
        <w:rPr>
          <w:lang w:val="fr-FR"/>
        </w:rPr>
        <w:t>cueillent les personnes</w:t>
      </w:r>
      <w:r>
        <w:rPr>
          <w:lang w:val="fr-FR"/>
        </w:rPr>
        <w:t xml:space="preserve"> envoyées par des organisations qui s’occupent des réfugiés, comme </w:t>
      </w:r>
      <w:r>
        <w:rPr>
          <w:i/>
          <w:iCs/>
          <w:lang w:val="fr-FR"/>
        </w:rPr>
        <w:t>Melaleuca Refugee Centre</w:t>
      </w:r>
      <w:r>
        <w:rPr>
          <w:lang w:val="fr-FR"/>
        </w:rPr>
        <w:t>, et par des services de soins de santé primaires pour les</w:t>
      </w:r>
      <w:r w:rsidR="00392E48">
        <w:rPr>
          <w:lang w:val="fr-FR"/>
        </w:rPr>
        <w:t xml:space="preserve"> </w:t>
      </w:r>
      <w:r>
        <w:rPr>
          <w:lang w:val="fr-FR"/>
        </w:rPr>
        <w:t xml:space="preserve">personnes souffrant </w:t>
      </w:r>
      <w:r w:rsidR="006A7E5D">
        <w:rPr>
          <w:lang w:val="fr-FR"/>
        </w:rPr>
        <w:t>de troubles de stress post</w:t>
      </w:r>
      <w:r w:rsidR="006A7E5D">
        <w:rPr>
          <w:lang w:val="fr-FR"/>
        </w:rPr>
        <w:noBreakHyphen/>
      </w:r>
      <w:r w:rsidR="00392E48">
        <w:rPr>
          <w:lang w:val="fr-FR"/>
        </w:rPr>
        <w:t>traumatique et d’autres graves problèmes de santé mentale nécessitant l’intervention de spécialistes à la suite d’actes de torture et d’autres traumatis</w:t>
      </w:r>
      <w:r w:rsidR="006A7E5D">
        <w:rPr>
          <w:lang w:val="fr-FR"/>
        </w:rPr>
        <w:t>mes vécus avant leur arrivée en </w:t>
      </w:r>
      <w:r w:rsidR="00392E48">
        <w:rPr>
          <w:lang w:val="fr-FR"/>
        </w:rPr>
        <w:t>Australie.</w:t>
      </w:r>
    </w:p>
    <w:p w:rsidR="00B45423" w:rsidRPr="00B45423" w:rsidRDefault="00B45423" w:rsidP="005D7B68">
      <w:pPr>
        <w:tabs>
          <w:tab w:val="left" w:pos="567"/>
          <w:tab w:val="left" w:pos="1134"/>
          <w:tab w:val="left" w:pos="1701"/>
          <w:tab w:val="left" w:pos="2268"/>
          <w:tab w:val="left" w:pos="2835"/>
        </w:tabs>
        <w:rPr>
          <w:b/>
          <w:bCs/>
          <w:lang w:val="fr-FR"/>
        </w:rPr>
      </w:pPr>
      <w:r>
        <w:rPr>
          <w:b/>
          <w:bCs/>
          <w:lang w:val="fr-FR"/>
        </w:rPr>
        <w:t>Question 34</w:t>
      </w:r>
    </w:p>
    <w:p w:rsidR="00B45423" w:rsidRPr="00B45423" w:rsidRDefault="00B45423" w:rsidP="005D7B68">
      <w:pPr>
        <w:tabs>
          <w:tab w:val="left" w:pos="567"/>
          <w:tab w:val="left" w:pos="1134"/>
          <w:tab w:val="left" w:pos="1701"/>
          <w:tab w:val="left" w:pos="2268"/>
          <w:tab w:val="left" w:pos="2835"/>
        </w:tabs>
        <w:ind w:firstLine="708"/>
        <w:rPr>
          <w:b/>
          <w:bCs/>
          <w:lang w:val="fr-FR"/>
        </w:rPr>
      </w:pPr>
      <w:r w:rsidRPr="00B45423">
        <w:rPr>
          <w:b/>
          <w:bCs/>
          <w:lang w:val="fr-FR"/>
        </w:rPr>
        <w:t xml:space="preserve">Indiquer le montant des indemnisations qui ont été accordées et les mesures qui ont été prises à la suite de la décision rendue en 2002 par le Comité des droits de l’homme dans l’affaire </w:t>
      </w:r>
      <w:r w:rsidRPr="00B45423">
        <w:rPr>
          <w:b/>
          <w:bCs/>
          <w:i/>
          <w:iCs/>
          <w:lang w:val="fr-FR"/>
        </w:rPr>
        <w:t>C.</w:t>
      </w:r>
      <w:r w:rsidRPr="00B45423">
        <w:rPr>
          <w:b/>
          <w:bCs/>
          <w:lang w:val="fr-FR"/>
        </w:rPr>
        <w:t xml:space="preserve"> c. </w:t>
      </w:r>
      <w:r w:rsidRPr="00B45423">
        <w:rPr>
          <w:b/>
          <w:bCs/>
          <w:i/>
          <w:iCs/>
          <w:lang w:val="fr-FR"/>
        </w:rPr>
        <w:t>Australie</w:t>
      </w:r>
      <w:r w:rsidRPr="00B45423">
        <w:rPr>
          <w:b/>
          <w:bCs/>
          <w:lang w:val="fr-FR"/>
        </w:rPr>
        <w:t xml:space="preserve"> pour prévenir la commission de violations similaires, cet organe ayant constaté que l’État partie avait agi en violation de l’article 7 du Pacte international relatif aux droits civils et politiques. </w:t>
      </w:r>
    </w:p>
    <w:p w:rsidR="00B45423" w:rsidRDefault="00B45423" w:rsidP="005D7B68">
      <w:pPr>
        <w:tabs>
          <w:tab w:val="left" w:pos="567"/>
          <w:tab w:val="left" w:pos="1134"/>
          <w:tab w:val="left" w:pos="1701"/>
          <w:tab w:val="left" w:pos="2268"/>
          <w:tab w:val="left" w:pos="2835"/>
        </w:tabs>
        <w:rPr>
          <w:lang w:val="fr-FR"/>
        </w:rPr>
      </w:pPr>
      <w:r>
        <w:rPr>
          <w:lang w:val="fr-FR"/>
        </w:rPr>
        <w:t>81</w:t>
      </w:r>
      <w:r w:rsidR="00E562C0">
        <w:rPr>
          <w:lang w:val="fr-FR"/>
        </w:rPr>
        <w:t>4</w:t>
      </w:r>
      <w:r>
        <w:rPr>
          <w:lang w:val="fr-FR"/>
        </w:rPr>
        <w:t>.</w:t>
      </w:r>
      <w:r>
        <w:rPr>
          <w:lang w:val="fr-FR"/>
        </w:rPr>
        <w:tab/>
      </w:r>
      <w:r w:rsidR="00037F73">
        <w:rPr>
          <w:lang w:val="fr-FR"/>
        </w:rPr>
        <w:t xml:space="preserve">Comme l’a noté le Comité contre la torture, l’affaire </w:t>
      </w:r>
      <w:r w:rsidR="00037F73">
        <w:rPr>
          <w:i/>
          <w:iCs/>
          <w:lang w:val="fr-FR"/>
        </w:rPr>
        <w:t xml:space="preserve">C. </w:t>
      </w:r>
      <w:r w:rsidR="00037F73" w:rsidRPr="004D25C8">
        <w:rPr>
          <w:lang w:val="fr-FR"/>
        </w:rPr>
        <w:t>c.</w:t>
      </w:r>
      <w:r w:rsidR="00037F73">
        <w:rPr>
          <w:i/>
          <w:iCs/>
          <w:lang w:val="fr-FR"/>
        </w:rPr>
        <w:t xml:space="preserve"> Australie</w:t>
      </w:r>
      <w:r w:rsidR="00037F73">
        <w:rPr>
          <w:lang w:val="fr-FR"/>
        </w:rPr>
        <w:t xml:space="preserve"> (Communication </w:t>
      </w:r>
      <w:r w:rsidR="006A7E5D">
        <w:rPr>
          <w:lang w:val="fr-FR"/>
        </w:rPr>
        <w:t>n</w:t>
      </w:r>
      <w:r w:rsidR="006A7E5D" w:rsidRPr="006A7E5D">
        <w:rPr>
          <w:vertAlign w:val="superscript"/>
          <w:lang w:val="fr-FR"/>
        </w:rPr>
        <w:t>o</w:t>
      </w:r>
      <w:r w:rsidR="006A7E5D">
        <w:rPr>
          <w:vertAlign w:val="superscript"/>
          <w:lang w:val="fr-FR"/>
        </w:rPr>
        <w:t> </w:t>
      </w:r>
      <w:r w:rsidR="00037F73">
        <w:rPr>
          <w:lang w:val="fr-FR"/>
        </w:rPr>
        <w:t>900/1999) a déjà fait l’objet d’une étude de la part du Comité des droits de l’homme</w:t>
      </w:r>
      <w:r w:rsidR="008D6B80">
        <w:rPr>
          <w:lang w:val="fr-FR"/>
        </w:rPr>
        <w:t xml:space="preserve">. </w:t>
      </w:r>
      <w:r w:rsidR="004D25C8">
        <w:rPr>
          <w:lang w:val="fr-FR"/>
        </w:rPr>
        <w:t>Comme il s</w:t>
      </w:r>
      <w:r w:rsidR="00037F73">
        <w:rPr>
          <w:lang w:val="fr-FR"/>
        </w:rPr>
        <w:t>’agissait de violations alléguées du Pacte international relatif aux droit civils et politiques, et non de la Convention contre la torture et autres peines et châtiments cruels, inhumains et dégradants, le Gouvernement australien estime qu’il ne convient pas de soulever à nouveau cette question devant le Comité contre la torture</w:t>
      </w:r>
      <w:r w:rsidR="008D6B80">
        <w:rPr>
          <w:lang w:val="fr-FR"/>
        </w:rPr>
        <w:t xml:space="preserve">. </w:t>
      </w:r>
      <w:r w:rsidR="00037F73">
        <w:rPr>
          <w:lang w:val="fr-FR"/>
        </w:rPr>
        <w:t>Toutefois, pour lui apporter s</w:t>
      </w:r>
      <w:r w:rsidR="00124656">
        <w:rPr>
          <w:lang w:val="fr-FR"/>
        </w:rPr>
        <w:t>on concours, il accepte</w:t>
      </w:r>
      <w:r w:rsidR="00037F73">
        <w:rPr>
          <w:lang w:val="fr-FR"/>
        </w:rPr>
        <w:t xml:space="preserve"> de communiquer les informations ci-après en réponse à la question 34.</w:t>
      </w:r>
    </w:p>
    <w:p w:rsidR="00037F73" w:rsidRPr="00B664F4" w:rsidRDefault="00037F73" w:rsidP="005D7B68">
      <w:pPr>
        <w:tabs>
          <w:tab w:val="left" w:pos="567"/>
          <w:tab w:val="left" w:pos="1134"/>
          <w:tab w:val="left" w:pos="1701"/>
          <w:tab w:val="left" w:pos="2268"/>
          <w:tab w:val="left" w:pos="2835"/>
        </w:tabs>
        <w:rPr>
          <w:lang w:val="fr-FR"/>
        </w:rPr>
      </w:pPr>
      <w:r>
        <w:rPr>
          <w:lang w:val="fr-FR"/>
        </w:rPr>
        <w:t>81</w:t>
      </w:r>
      <w:r w:rsidR="00E562C0">
        <w:rPr>
          <w:lang w:val="fr-FR"/>
        </w:rPr>
        <w:t>5</w:t>
      </w:r>
      <w:r>
        <w:rPr>
          <w:lang w:val="fr-FR"/>
        </w:rPr>
        <w:t>.</w:t>
      </w:r>
      <w:r>
        <w:rPr>
          <w:lang w:val="fr-FR"/>
        </w:rPr>
        <w:tab/>
        <w:t>Aucune indemnisation n’a été accordée</w:t>
      </w:r>
      <w:r w:rsidR="00B664F4">
        <w:rPr>
          <w:lang w:val="fr-FR"/>
        </w:rPr>
        <w:t xml:space="preserve"> à l’intéressé dans l’affaire </w:t>
      </w:r>
      <w:r w:rsidR="00B664F4">
        <w:rPr>
          <w:i/>
          <w:iCs/>
          <w:lang w:val="fr-FR"/>
        </w:rPr>
        <w:t xml:space="preserve">C. </w:t>
      </w:r>
      <w:r w:rsidR="00B664F4" w:rsidRPr="004D25C8">
        <w:rPr>
          <w:lang w:val="fr-FR"/>
        </w:rPr>
        <w:t>c.</w:t>
      </w:r>
      <w:r w:rsidR="00B664F4">
        <w:rPr>
          <w:i/>
          <w:iCs/>
          <w:lang w:val="fr-FR"/>
        </w:rPr>
        <w:t xml:space="preserve"> Australie</w:t>
      </w:r>
      <w:r w:rsidR="00B664F4">
        <w:rPr>
          <w:lang w:val="fr-FR"/>
        </w:rPr>
        <w:t xml:space="preserve">, parce que, comme l’a indiqué le Gouvernement australien dans sa réponse officielle </w:t>
      </w:r>
      <w:r w:rsidR="007C1129">
        <w:rPr>
          <w:lang w:val="fr-FR"/>
        </w:rPr>
        <w:t>au point de vue du Comité des droits de l’homme, le 16 août 2006, il n’accepte pas cette opinion selon laquelle l’Australie aurait enfreint des articles du Pacte international relatif aux droits civils et politiques</w:t>
      </w:r>
      <w:r w:rsidR="008D6B80">
        <w:rPr>
          <w:lang w:val="fr-FR"/>
        </w:rPr>
        <w:t xml:space="preserve">. </w:t>
      </w:r>
      <w:r w:rsidR="007C1129">
        <w:rPr>
          <w:lang w:val="fr-FR"/>
        </w:rPr>
        <w:t xml:space="preserve">Il ne peut donc pas communiquer de renseignements sur des </w:t>
      </w:r>
      <w:r w:rsidR="00A619D6">
        <w:rPr>
          <w:lang w:val="fr-FR"/>
        </w:rPr>
        <w:t>«</w:t>
      </w:r>
      <w:r w:rsidR="007C1129">
        <w:rPr>
          <w:lang w:val="fr-FR"/>
        </w:rPr>
        <w:t>violations similaires</w:t>
      </w:r>
      <w:r w:rsidR="00A619D6">
        <w:rPr>
          <w:lang w:val="fr-FR"/>
        </w:rPr>
        <w:t>»</w:t>
      </w:r>
      <w:r w:rsidR="007C1129">
        <w:rPr>
          <w:lang w:val="fr-FR"/>
        </w:rPr>
        <w:t xml:space="preserve"> selon l’expression utilisée par le Comité dans la question 34.</w:t>
      </w:r>
    </w:p>
    <w:p w:rsidR="00B45423" w:rsidRPr="00B45423" w:rsidRDefault="007C1129" w:rsidP="005D7B68">
      <w:pPr>
        <w:tabs>
          <w:tab w:val="left" w:pos="567"/>
          <w:tab w:val="left" w:pos="1134"/>
          <w:tab w:val="left" w:pos="1701"/>
          <w:tab w:val="left" w:pos="2268"/>
          <w:tab w:val="left" w:pos="2835"/>
        </w:tabs>
        <w:rPr>
          <w:lang w:val="fr-FR"/>
        </w:rPr>
      </w:pPr>
      <w:r>
        <w:rPr>
          <w:lang w:val="fr-FR"/>
        </w:rPr>
        <w:t>81</w:t>
      </w:r>
      <w:r w:rsidR="00E562C0">
        <w:rPr>
          <w:lang w:val="fr-FR"/>
        </w:rPr>
        <w:t>6</w:t>
      </w:r>
      <w:r>
        <w:rPr>
          <w:lang w:val="fr-FR"/>
        </w:rPr>
        <w:t>.</w:t>
      </w:r>
      <w:r>
        <w:rPr>
          <w:lang w:val="fr-FR"/>
        </w:rPr>
        <w:tab/>
        <w:t xml:space="preserve">Ainsi que nous l’avons expliqué dans notre réponse à la question 8, l’Australie tient essentiellement à respecter ses obligations relatives au </w:t>
      </w:r>
      <w:r w:rsidR="00E46CF6">
        <w:rPr>
          <w:lang w:val="fr-FR"/>
        </w:rPr>
        <w:t xml:space="preserve">principe du </w:t>
      </w:r>
      <w:r w:rsidR="006A7E5D">
        <w:rPr>
          <w:lang w:val="fr-FR"/>
        </w:rPr>
        <w:t>non</w:t>
      </w:r>
      <w:r w:rsidR="006A7E5D">
        <w:rPr>
          <w:lang w:val="fr-FR"/>
        </w:rPr>
        <w:noBreakHyphen/>
      </w:r>
      <w:r>
        <w:rPr>
          <w:lang w:val="fr-FR"/>
        </w:rPr>
        <w:t xml:space="preserve">refoulement </w:t>
      </w:r>
      <w:r w:rsidR="00E46CF6">
        <w:rPr>
          <w:lang w:val="fr-FR"/>
        </w:rPr>
        <w:t>en vertu du droit international, et considère que les procédures mises en œuvre permettent d’évaluer de façon adéquate les risques courus par une personne qui doit être refoulée vers un autre pays.</w:t>
      </w:r>
    </w:p>
    <w:p w:rsidR="00E46CF6" w:rsidRDefault="00E46CF6" w:rsidP="005D7B68">
      <w:pPr>
        <w:tabs>
          <w:tab w:val="left" w:pos="567"/>
          <w:tab w:val="left" w:pos="1134"/>
          <w:tab w:val="left" w:pos="1701"/>
          <w:tab w:val="left" w:pos="2268"/>
          <w:tab w:val="left" w:pos="2835"/>
        </w:tabs>
        <w:rPr>
          <w:lang w:val="fr-FR"/>
        </w:rPr>
      </w:pPr>
      <w:r>
        <w:rPr>
          <w:lang w:val="fr-FR"/>
        </w:rPr>
        <w:t>81</w:t>
      </w:r>
      <w:r w:rsidR="00E562C0">
        <w:rPr>
          <w:lang w:val="fr-FR"/>
        </w:rPr>
        <w:t>7</w:t>
      </w:r>
      <w:r>
        <w:rPr>
          <w:lang w:val="fr-FR"/>
        </w:rPr>
        <w:t>.</w:t>
      </w:r>
      <w:r>
        <w:rPr>
          <w:lang w:val="fr-FR"/>
        </w:rPr>
        <w:tab/>
        <w:t>Pour trouver des informations relatives à la </w:t>
      </w:r>
      <w:r w:rsidR="00A619D6">
        <w:rPr>
          <w:lang w:val="fr-FR"/>
        </w:rPr>
        <w:t>»</w:t>
      </w:r>
      <w:r>
        <w:rPr>
          <w:lang w:val="fr-FR"/>
        </w:rPr>
        <w:t>réadaptation médicale et psychologique après des actes de torture ou d’autres peines ou traitements cruels, inhumains ou dégradants</w:t>
      </w:r>
      <w:r w:rsidR="00A619D6">
        <w:rPr>
          <w:lang w:val="fr-FR"/>
        </w:rPr>
        <w:t>»</w:t>
      </w:r>
      <w:r>
        <w:rPr>
          <w:lang w:val="fr-FR"/>
        </w:rPr>
        <w:t xml:space="preserve"> en Australie, le Comité est prié de se reporter aux paragraphes</w:t>
      </w:r>
      <w:r w:rsidR="002E7C3F">
        <w:rPr>
          <w:lang w:val="fr-FR"/>
        </w:rPr>
        <w:t xml:space="preserve"> 101-103 du quatrième rapport de l’Australie (p</w:t>
      </w:r>
      <w:r w:rsidR="006A7E5D">
        <w:rPr>
          <w:lang w:val="fr-FR"/>
        </w:rPr>
        <w:t xml:space="preserve">.27-28), et aux paragraphes 137 et </w:t>
      </w:r>
      <w:r w:rsidR="002E7C3F">
        <w:rPr>
          <w:lang w:val="fr-FR"/>
        </w:rPr>
        <w:t>138 de son deuxième et de son troisième rapport.</w:t>
      </w:r>
    </w:p>
    <w:p w:rsidR="002E7C3F" w:rsidRPr="00B45423" w:rsidRDefault="002E7C3F" w:rsidP="005D7B68">
      <w:pPr>
        <w:tabs>
          <w:tab w:val="left" w:pos="567"/>
          <w:tab w:val="left" w:pos="1134"/>
          <w:tab w:val="left" w:pos="1701"/>
          <w:tab w:val="left" w:pos="2268"/>
          <w:tab w:val="left" w:pos="2835"/>
        </w:tabs>
        <w:rPr>
          <w:lang w:val="fr-FR"/>
        </w:rPr>
      </w:pPr>
      <w:r>
        <w:rPr>
          <w:lang w:val="fr-FR"/>
        </w:rPr>
        <w:t>81</w:t>
      </w:r>
      <w:r w:rsidR="00E562C0">
        <w:rPr>
          <w:lang w:val="fr-FR"/>
        </w:rPr>
        <w:t>8</w:t>
      </w:r>
      <w:r>
        <w:rPr>
          <w:lang w:val="fr-FR"/>
        </w:rPr>
        <w:t>.</w:t>
      </w:r>
      <w:r>
        <w:rPr>
          <w:lang w:val="fr-FR"/>
        </w:rPr>
        <w:tab/>
        <w:t>Le Comité est renvoyé à la réponse du Gouvernement aux questions 23, 28 et 33.</w:t>
      </w:r>
    </w:p>
    <w:p w:rsidR="00E46CF6" w:rsidRDefault="009055C0" w:rsidP="005D7B68">
      <w:pPr>
        <w:tabs>
          <w:tab w:val="left" w:pos="567"/>
          <w:tab w:val="left" w:pos="1134"/>
          <w:tab w:val="left" w:pos="1701"/>
          <w:tab w:val="left" w:pos="2268"/>
          <w:tab w:val="left" w:pos="2835"/>
        </w:tabs>
        <w:jc w:val="center"/>
        <w:rPr>
          <w:b/>
          <w:bCs/>
          <w:lang w:val="fr-FR"/>
        </w:rPr>
      </w:pPr>
      <w:r>
        <w:rPr>
          <w:b/>
          <w:bCs/>
          <w:lang w:val="fr-FR"/>
        </w:rPr>
        <w:t>ARTICLE 15</w:t>
      </w:r>
    </w:p>
    <w:p w:rsidR="009055C0" w:rsidRDefault="009055C0" w:rsidP="005D7B68">
      <w:pPr>
        <w:tabs>
          <w:tab w:val="left" w:pos="567"/>
          <w:tab w:val="left" w:pos="1134"/>
          <w:tab w:val="left" w:pos="1701"/>
          <w:tab w:val="left" w:pos="2268"/>
          <w:tab w:val="left" w:pos="2835"/>
        </w:tabs>
        <w:rPr>
          <w:b/>
          <w:bCs/>
          <w:lang w:val="fr-FR"/>
        </w:rPr>
      </w:pPr>
      <w:r>
        <w:rPr>
          <w:b/>
          <w:bCs/>
          <w:lang w:val="fr-FR"/>
        </w:rPr>
        <w:t>Question 35</w:t>
      </w:r>
    </w:p>
    <w:p w:rsidR="009055C0" w:rsidRPr="009055C0" w:rsidRDefault="009055C0" w:rsidP="005D7B68">
      <w:pPr>
        <w:tabs>
          <w:tab w:val="left" w:pos="567"/>
          <w:tab w:val="left" w:pos="1134"/>
          <w:tab w:val="left" w:pos="1701"/>
          <w:tab w:val="left" w:pos="2268"/>
          <w:tab w:val="left" w:pos="2835"/>
        </w:tabs>
        <w:rPr>
          <w:b/>
          <w:bCs/>
          <w:lang w:val="fr-FR"/>
        </w:rPr>
      </w:pPr>
      <w:r>
        <w:rPr>
          <w:b/>
          <w:bCs/>
          <w:lang w:val="fr-FR"/>
        </w:rPr>
        <w:tab/>
      </w:r>
      <w:r w:rsidRPr="009055C0">
        <w:rPr>
          <w:b/>
          <w:bCs/>
          <w:lang w:val="fr-FR"/>
        </w:rPr>
        <w:t xml:space="preserve">Donner des précisions sur la législation et la pratique en ce qui concerne l’interdiction d’invoquer des preuves indirectes et d’utiliser des renseignements obtenus par la torture dans le cadre d’une procédure. </w:t>
      </w:r>
    </w:p>
    <w:p w:rsidR="0031029B" w:rsidRDefault="009055C0" w:rsidP="005D7B68">
      <w:pPr>
        <w:tabs>
          <w:tab w:val="left" w:pos="567"/>
          <w:tab w:val="left" w:pos="1134"/>
          <w:tab w:val="left" w:pos="1701"/>
          <w:tab w:val="left" w:pos="2268"/>
          <w:tab w:val="left" w:pos="2835"/>
        </w:tabs>
        <w:rPr>
          <w:lang w:val="fr-FR"/>
        </w:rPr>
      </w:pPr>
      <w:r>
        <w:rPr>
          <w:lang w:val="fr-FR"/>
        </w:rPr>
        <w:t>8</w:t>
      </w:r>
      <w:r w:rsidR="00E562C0">
        <w:rPr>
          <w:lang w:val="fr-FR"/>
        </w:rPr>
        <w:t>19</w:t>
      </w:r>
      <w:r>
        <w:rPr>
          <w:lang w:val="fr-FR"/>
        </w:rPr>
        <w:t>.</w:t>
      </w:r>
      <w:r>
        <w:rPr>
          <w:lang w:val="fr-FR"/>
        </w:rPr>
        <w:tab/>
        <w:t xml:space="preserve">En vertu de plusieurs dispositions de droit écrit et de </w:t>
      </w:r>
      <w:r>
        <w:rPr>
          <w:i/>
          <w:iCs/>
          <w:lang w:val="fr-FR"/>
        </w:rPr>
        <w:t>common law</w:t>
      </w:r>
      <w:r>
        <w:rPr>
          <w:lang w:val="fr-FR"/>
        </w:rPr>
        <w:t xml:space="preserve">, dans toutes les juridictions australiennes, </w:t>
      </w:r>
      <w:r w:rsidR="00DC5E61">
        <w:rPr>
          <w:lang w:val="fr-FR"/>
        </w:rPr>
        <w:t>les témoignages obtenus par la torture, les menaces, la contrainte ou la force ne pas admissibles</w:t>
      </w:r>
      <w:r w:rsidR="008D6B80">
        <w:rPr>
          <w:lang w:val="fr-FR"/>
        </w:rPr>
        <w:t xml:space="preserve">. </w:t>
      </w:r>
      <w:r w:rsidR="00DC5E61">
        <w:rPr>
          <w:lang w:val="fr-FR"/>
        </w:rPr>
        <w:t>La première partie de la réponse donne des infor</w:t>
      </w:r>
      <w:r w:rsidR="004D25C8">
        <w:rPr>
          <w:lang w:val="fr-FR"/>
        </w:rPr>
        <w:t>mations concernant le droit et</w:t>
      </w:r>
      <w:r w:rsidR="00DC5E61">
        <w:rPr>
          <w:lang w:val="fr-FR"/>
        </w:rPr>
        <w:t xml:space="preserve"> la pratique, au</w:t>
      </w:r>
      <w:r w:rsidR="004D25C8">
        <w:rPr>
          <w:lang w:val="fr-FR"/>
        </w:rPr>
        <w:t xml:space="preserve"> niveau fédéral, relatifs aux</w:t>
      </w:r>
      <w:r w:rsidR="00DC5E61">
        <w:rPr>
          <w:lang w:val="fr-FR"/>
        </w:rPr>
        <w:t xml:space="preserve"> preuves indirectes et</w:t>
      </w:r>
      <w:r w:rsidR="004D25C8">
        <w:rPr>
          <w:lang w:val="fr-FR"/>
        </w:rPr>
        <w:t xml:space="preserve"> à</w:t>
      </w:r>
      <w:r w:rsidR="00DC5E61">
        <w:rPr>
          <w:lang w:val="fr-FR"/>
        </w:rPr>
        <w:t xml:space="preserve"> l’utilisation </w:t>
      </w:r>
      <w:r w:rsidR="004D25C8">
        <w:rPr>
          <w:lang w:val="fr-FR"/>
        </w:rPr>
        <w:t>de renseignements obtenus par la</w:t>
      </w:r>
      <w:r w:rsidR="00DC5E61">
        <w:rPr>
          <w:lang w:val="fr-FR"/>
        </w:rPr>
        <w:t xml:space="preserve"> torture au cours de l’instruction. On trouvera ensuite des informations sur le droit et la pratique dans les États et Territoires.</w:t>
      </w:r>
    </w:p>
    <w:p w:rsidR="009055C0" w:rsidRPr="009055C0" w:rsidRDefault="0031029B" w:rsidP="000A3E75">
      <w:pPr>
        <w:keepNext/>
        <w:tabs>
          <w:tab w:val="left" w:pos="567"/>
          <w:tab w:val="left" w:pos="1134"/>
          <w:tab w:val="left" w:pos="1701"/>
          <w:tab w:val="left" w:pos="2268"/>
          <w:tab w:val="left" w:pos="2835"/>
        </w:tabs>
        <w:rPr>
          <w:lang w:val="fr-FR"/>
        </w:rPr>
      </w:pPr>
      <w:r>
        <w:rPr>
          <w:b/>
          <w:bCs/>
          <w:lang w:val="fr-FR"/>
        </w:rPr>
        <w:t>Informations du Gouvernement du Commonwealth</w:t>
      </w:r>
      <w:r w:rsidR="009055C0">
        <w:rPr>
          <w:lang w:val="fr-FR"/>
        </w:rPr>
        <w:t xml:space="preserve"> </w:t>
      </w:r>
    </w:p>
    <w:p w:rsidR="007E5170" w:rsidRDefault="003C21F3" w:rsidP="000A3E75">
      <w:pPr>
        <w:keepNext/>
        <w:tabs>
          <w:tab w:val="left" w:pos="567"/>
          <w:tab w:val="left" w:pos="1134"/>
          <w:tab w:val="left" w:pos="1701"/>
          <w:tab w:val="left" w:pos="2268"/>
          <w:tab w:val="left" w:pos="2835"/>
        </w:tabs>
        <w:rPr>
          <w:lang w:val="fr-FR"/>
        </w:rPr>
      </w:pPr>
      <w:r>
        <w:rPr>
          <w:lang w:val="fr-FR"/>
        </w:rPr>
        <w:t>82</w:t>
      </w:r>
      <w:r w:rsidR="00E562C0">
        <w:rPr>
          <w:lang w:val="fr-FR"/>
        </w:rPr>
        <w:t>0</w:t>
      </w:r>
      <w:r>
        <w:rPr>
          <w:lang w:val="fr-FR"/>
        </w:rPr>
        <w:t>.</w:t>
      </w:r>
      <w:r>
        <w:rPr>
          <w:lang w:val="fr-FR"/>
        </w:rPr>
        <w:tab/>
        <w:t>Le Comité est prié de se reporter à la partie 5.1 du deuxième et du troisième rapport établis en application de la Convention, qui rend compte de la législation sur les déclarations obtenues par la torture.</w:t>
      </w:r>
    </w:p>
    <w:p w:rsidR="00F948BB" w:rsidRPr="009055C0" w:rsidRDefault="003C21F3" w:rsidP="005D7B68">
      <w:pPr>
        <w:tabs>
          <w:tab w:val="left" w:pos="567"/>
          <w:tab w:val="left" w:pos="1134"/>
          <w:tab w:val="left" w:pos="1701"/>
          <w:tab w:val="left" w:pos="2268"/>
          <w:tab w:val="left" w:pos="2835"/>
        </w:tabs>
        <w:rPr>
          <w:lang w:val="fr-FR"/>
        </w:rPr>
      </w:pPr>
      <w:r>
        <w:rPr>
          <w:lang w:val="fr-FR"/>
        </w:rPr>
        <w:t>82</w:t>
      </w:r>
      <w:r w:rsidR="00E562C0">
        <w:rPr>
          <w:lang w:val="fr-FR"/>
        </w:rPr>
        <w:t>1</w:t>
      </w:r>
      <w:r>
        <w:rPr>
          <w:lang w:val="fr-FR"/>
        </w:rPr>
        <w:t>.</w:t>
      </w:r>
      <w:r w:rsidR="006A1F17">
        <w:rPr>
          <w:lang w:val="fr-FR"/>
        </w:rPr>
        <w:tab/>
        <w:t xml:space="preserve">La loi de 1995 sur les éléments de preuve (Commonwealth) s’applique à toutes les procédures des tribunaux fédéraux </w:t>
      </w:r>
      <w:r w:rsidR="004D25C8">
        <w:rPr>
          <w:lang w:val="fr-FR"/>
        </w:rPr>
        <w:t>ou du Territoire de la capitale fédérale</w:t>
      </w:r>
      <w:r w:rsidR="008D6B80">
        <w:rPr>
          <w:lang w:val="fr-FR"/>
        </w:rPr>
        <w:t xml:space="preserve">. </w:t>
      </w:r>
      <w:r w:rsidR="00C6787A">
        <w:rPr>
          <w:lang w:val="fr-FR"/>
        </w:rPr>
        <w:t xml:space="preserve">Par </w:t>
      </w:r>
      <w:r w:rsidR="00A619D6">
        <w:rPr>
          <w:lang w:val="fr-FR"/>
        </w:rPr>
        <w:t>«</w:t>
      </w:r>
      <w:r w:rsidR="00C6787A">
        <w:rPr>
          <w:lang w:val="fr-FR"/>
        </w:rPr>
        <w:t>tribu</w:t>
      </w:r>
      <w:r w:rsidR="0086741C">
        <w:rPr>
          <w:lang w:val="fr-FR"/>
        </w:rPr>
        <w:t>naux fédéraux</w:t>
      </w:r>
      <w:r w:rsidR="00A619D6">
        <w:rPr>
          <w:lang w:val="fr-FR"/>
        </w:rPr>
        <w:t>»</w:t>
      </w:r>
      <w:r w:rsidR="0086741C">
        <w:rPr>
          <w:lang w:val="fr-FR"/>
        </w:rPr>
        <w:t>, on entend tout individu</w:t>
      </w:r>
      <w:r w:rsidR="00C6787A">
        <w:rPr>
          <w:lang w:val="fr-FR"/>
        </w:rPr>
        <w:t xml:space="preserve"> ou organe (autre qu’un tribun</w:t>
      </w:r>
      <w:r w:rsidR="00A67641">
        <w:rPr>
          <w:lang w:val="fr-FR"/>
        </w:rPr>
        <w:t>al ou un juge d’un État ou d’un </w:t>
      </w:r>
      <w:r w:rsidR="00C6787A">
        <w:rPr>
          <w:lang w:val="fr-FR"/>
        </w:rPr>
        <w:t>Territoire) tenu d’appliquer les lois sur les éléments de preuve</w:t>
      </w:r>
      <w:r w:rsidR="008D6B80">
        <w:rPr>
          <w:lang w:val="fr-FR"/>
        </w:rPr>
        <w:t xml:space="preserve">. </w:t>
      </w:r>
      <w:r w:rsidR="00F30BE6">
        <w:rPr>
          <w:lang w:val="fr-FR"/>
        </w:rPr>
        <w:t>Dans les procédures des tribunaux d’États ce sont les lois locales sur les éléments de preuve qui s’applique</w:t>
      </w:r>
      <w:r w:rsidR="00F948BB">
        <w:rPr>
          <w:lang w:val="fr-FR"/>
        </w:rPr>
        <w:t>nt</w:t>
      </w:r>
      <w:r w:rsidR="00F30BE6">
        <w:rPr>
          <w:lang w:val="fr-FR"/>
        </w:rPr>
        <w:t>, même s’il s’agit d’</w:t>
      </w:r>
      <w:r w:rsidR="00F948BB">
        <w:rPr>
          <w:lang w:val="fr-FR"/>
        </w:rPr>
        <w:t>une question relevant de la compétence fédérale (par exemple, con</w:t>
      </w:r>
      <w:r w:rsidR="00F30BE6">
        <w:rPr>
          <w:lang w:val="fr-FR"/>
        </w:rPr>
        <w:t>cernant des poursuites engagées à l’encontre d’une infraction à la loi fédérale</w:t>
      </w:r>
      <w:r w:rsidR="00F948BB">
        <w:rPr>
          <w:lang w:val="fr-FR"/>
        </w:rPr>
        <w:t xml:space="preserve"> devant un tribunal d’un État)</w:t>
      </w:r>
      <w:r w:rsidR="00F30BE6">
        <w:rPr>
          <w:lang w:val="fr-FR"/>
        </w:rPr>
        <w:t>.</w:t>
      </w:r>
    </w:p>
    <w:p w:rsidR="00F948BB" w:rsidRDefault="00F948BB" w:rsidP="005D7B68">
      <w:pPr>
        <w:tabs>
          <w:tab w:val="left" w:pos="567"/>
          <w:tab w:val="left" w:pos="1134"/>
          <w:tab w:val="left" w:pos="1701"/>
          <w:tab w:val="left" w:pos="2268"/>
          <w:tab w:val="left" w:pos="2835"/>
        </w:tabs>
        <w:rPr>
          <w:lang w:val="fr-FR"/>
        </w:rPr>
      </w:pPr>
      <w:r>
        <w:rPr>
          <w:lang w:val="fr-FR"/>
        </w:rPr>
        <w:t>82</w:t>
      </w:r>
      <w:r w:rsidR="00E562C0">
        <w:rPr>
          <w:lang w:val="fr-FR"/>
        </w:rPr>
        <w:t>2</w:t>
      </w:r>
      <w:r>
        <w:rPr>
          <w:lang w:val="fr-FR"/>
        </w:rPr>
        <w:t>.</w:t>
      </w:r>
      <w:r>
        <w:rPr>
          <w:lang w:val="fr-FR"/>
        </w:rPr>
        <w:tab/>
        <w:t>La loi sur les éléments de preuve</w:t>
      </w:r>
      <w:r w:rsidR="00BD719C">
        <w:rPr>
          <w:lang w:val="fr-FR"/>
        </w:rPr>
        <w:t xml:space="preserve"> comporte une observation très claire qui exclut l’admission d’aveux obtenus par la violence et certains autres comportements</w:t>
      </w:r>
      <w:r w:rsidR="008D6B80">
        <w:rPr>
          <w:lang w:val="fr-FR"/>
        </w:rPr>
        <w:t xml:space="preserve">. </w:t>
      </w:r>
      <w:r w:rsidR="006A7E5D">
        <w:rPr>
          <w:lang w:val="fr-FR"/>
        </w:rPr>
        <w:t>Le paragraphe 84 </w:t>
      </w:r>
      <w:r w:rsidR="00BD719C">
        <w:rPr>
          <w:lang w:val="fr-FR"/>
        </w:rPr>
        <w:t>1) dit ceci</w:t>
      </w:r>
      <w:r w:rsidR="00572260">
        <w:rPr>
          <w:lang w:val="fr-FR"/>
        </w:rPr>
        <w:t>:</w:t>
      </w:r>
    </w:p>
    <w:p w:rsidR="00BD719C" w:rsidRDefault="00980822" w:rsidP="005D7B68">
      <w:pPr>
        <w:tabs>
          <w:tab w:val="left" w:pos="567"/>
          <w:tab w:val="left" w:pos="1134"/>
          <w:tab w:val="left" w:pos="1701"/>
          <w:tab w:val="left" w:pos="2268"/>
          <w:tab w:val="left" w:pos="2835"/>
        </w:tabs>
        <w:ind w:left="567" w:hanging="567"/>
        <w:rPr>
          <w:i/>
          <w:iCs/>
          <w:lang w:val="fr-FR"/>
        </w:rPr>
      </w:pPr>
      <w:r>
        <w:rPr>
          <w:lang w:val="fr-FR"/>
        </w:rPr>
        <w:tab/>
      </w:r>
      <w:r w:rsidR="00D35FA9">
        <w:rPr>
          <w:i/>
          <w:iCs/>
          <w:lang w:val="fr-FR"/>
        </w:rPr>
        <w:t>La preuve d’un aveu n’est recevable</w:t>
      </w:r>
      <w:r w:rsidR="00BD719C">
        <w:rPr>
          <w:i/>
          <w:iCs/>
          <w:lang w:val="fr-FR"/>
        </w:rPr>
        <w:t xml:space="preserve"> que si le tribunal est convaincu qu</w:t>
      </w:r>
      <w:r w:rsidR="00D35FA9">
        <w:rPr>
          <w:i/>
          <w:iCs/>
          <w:lang w:val="fr-FR"/>
        </w:rPr>
        <w:t>e cet aveu</w:t>
      </w:r>
      <w:r w:rsidR="00BD719C">
        <w:rPr>
          <w:i/>
          <w:iCs/>
          <w:lang w:val="fr-FR"/>
        </w:rPr>
        <w:t xml:space="preserve"> n’</w:t>
      </w:r>
      <w:r w:rsidR="00D35FA9">
        <w:rPr>
          <w:i/>
          <w:iCs/>
          <w:lang w:val="fr-FR"/>
        </w:rPr>
        <w:t>a pas été influencé</w:t>
      </w:r>
      <w:r w:rsidR="00572260">
        <w:rPr>
          <w:i/>
          <w:iCs/>
          <w:lang w:val="fr-FR"/>
        </w:rPr>
        <w:t>:</w:t>
      </w:r>
    </w:p>
    <w:p w:rsidR="00BD719C" w:rsidRDefault="00980822" w:rsidP="005D7B68">
      <w:pPr>
        <w:tabs>
          <w:tab w:val="left" w:pos="567"/>
          <w:tab w:val="left" w:pos="1134"/>
          <w:tab w:val="left" w:pos="1701"/>
          <w:tab w:val="left" w:pos="2268"/>
          <w:tab w:val="left" w:pos="2835"/>
        </w:tabs>
        <w:ind w:left="567" w:hanging="567"/>
        <w:rPr>
          <w:i/>
          <w:iCs/>
          <w:lang w:val="fr-FR"/>
        </w:rPr>
      </w:pPr>
      <w:r>
        <w:rPr>
          <w:i/>
          <w:iCs/>
          <w:lang w:val="fr-FR"/>
        </w:rPr>
        <w:tab/>
      </w:r>
      <w:r>
        <w:rPr>
          <w:i/>
          <w:iCs/>
          <w:lang w:val="fr-FR"/>
        </w:rPr>
        <w:tab/>
      </w:r>
      <w:r w:rsidR="00BD719C">
        <w:rPr>
          <w:i/>
          <w:iCs/>
          <w:lang w:val="fr-FR"/>
        </w:rPr>
        <w:t>a)</w:t>
      </w:r>
      <w:r w:rsidR="00BD719C">
        <w:rPr>
          <w:i/>
          <w:iCs/>
          <w:lang w:val="fr-FR"/>
        </w:rPr>
        <w:tab/>
      </w:r>
      <w:r w:rsidR="00E9470E">
        <w:rPr>
          <w:i/>
          <w:iCs/>
          <w:lang w:val="fr-FR"/>
        </w:rPr>
        <w:t>P</w:t>
      </w:r>
      <w:r w:rsidR="004D25C8">
        <w:rPr>
          <w:i/>
          <w:iCs/>
          <w:lang w:val="fr-FR"/>
        </w:rPr>
        <w:t>ar la violence</w:t>
      </w:r>
      <w:r w:rsidR="00BD719C">
        <w:rPr>
          <w:i/>
          <w:iCs/>
          <w:lang w:val="fr-FR"/>
        </w:rPr>
        <w:t>,</w:t>
      </w:r>
      <w:r w:rsidR="004D25C8">
        <w:rPr>
          <w:i/>
          <w:iCs/>
          <w:lang w:val="fr-FR"/>
        </w:rPr>
        <w:t xml:space="preserve"> la contrainte ou des actes</w:t>
      </w:r>
      <w:r w:rsidR="00572260">
        <w:rPr>
          <w:i/>
          <w:iCs/>
          <w:lang w:val="fr-FR"/>
        </w:rPr>
        <w:t xml:space="preserve"> </w:t>
      </w:r>
      <w:r w:rsidR="00BD719C">
        <w:rPr>
          <w:i/>
          <w:iCs/>
          <w:lang w:val="fr-FR"/>
        </w:rPr>
        <w:t>inhumain</w:t>
      </w:r>
      <w:r w:rsidR="00E9470E">
        <w:rPr>
          <w:i/>
          <w:iCs/>
          <w:lang w:val="fr-FR"/>
        </w:rPr>
        <w:t>s</w:t>
      </w:r>
      <w:r w:rsidR="00BD719C">
        <w:rPr>
          <w:i/>
          <w:iCs/>
          <w:lang w:val="fr-FR"/>
        </w:rPr>
        <w:t xml:space="preserve"> ou dégradant</w:t>
      </w:r>
      <w:r w:rsidR="00E9470E">
        <w:rPr>
          <w:i/>
          <w:iCs/>
          <w:lang w:val="fr-FR"/>
        </w:rPr>
        <w:t>s</w:t>
      </w:r>
      <w:r w:rsidR="00BD719C">
        <w:rPr>
          <w:i/>
          <w:iCs/>
          <w:lang w:val="fr-FR"/>
        </w:rPr>
        <w:t xml:space="preserve"> à l</w:t>
      </w:r>
      <w:r w:rsidR="00E9470E">
        <w:rPr>
          <w:i/>
          <w:iCs/>
          <w:lang w:val="fr-FR"/>
        </w:rPr>
        <w:t>’égard de son auteur ou d’une autre personne</w:t>
      </w:r>
      <w:r w:rsidR="00572260">
        <w:rPr>
          <w:i/>
          <w:iCs/>
          <w:lang w:val="fr-FR"/>
        </w:rPr>
        <w:t>;</w:t>
      </w:r>
    </w:p>
    <w:p w:rsidR="00E9470E" w:rsidRDefault="00980822" w:rsidP="005D7B68">
      <w:pPr>
        <w:tabs>
          <w:tab w:val="left" w:pos="567"/>
          <w:tab w:val="left" w:pos="1134"/>
          <w:tab w:val="left" w:pos="1701"/>
          <w:tab w:val="left" w:pos="2268"/>
          <w:tab w:val="left" w:pos="2835"/>
        </w:tabs>
        <w:rPr>
          <w:lang w:val="fr-FR"/>
        </w:rPr>
      </w:pPr>
      <w:r>
        <w:rPr>
          <w:i/>
          <w:iCs/>
          <w:lang w:val="fr-FR"/>
        </w:rPr>
        <w:tab/>
      </w:r>
      <w:r>
        <w:rPr>
          <w:i/>
          <w:iCs/>
          <w:lang w:val="fr-FR"/>
        </w:rPr>
        <w:tab/>
      </w:r>
      <w:r w:rsidR="00E9470E">
        <w:rPr>
          <w:i/>
          <w:iCs/>
          <w:lang w:val="fr-FR"/>
        </w:rPr>
        <w:t>b)</w:t>
      </w:r>
      <w:r w:rsidR="00E9470E">
        <w:rPr>
          <w:i/>
          <w:iCs/>
          <w:lang w:val="fr-FR"/>
        </w:rPr>
        <w:tab/>
        <w:t>Par la menace de recourir à de tels actes</w:t>
      </w:r>
      <w:r w:rsidR="00E9470E">
        <w:rPr>
          <w:lang w:val="fr-FR"/>
        </w:rPr>
        <w:t>.</w:t>
      </w:r>
    </w:p>
    <w:p w:rsidR="00E9470E" w:rsidRPr="00E9470E" w:rsidRDefault="00E9470E" w:rsidP="005D7B68">
      <w:pPr>
        <w:tabs>
          <w:tab w:val="left" w:pos="567"/>
          <w:tab w:val="left" w:pos="1134"/>
          <w:tab w:val="left" w:pos="1701"/>
          <w:tab w:val="left" w:pos="2268"/>
          <w:tab w:val="left" w:pos="2835"/>
        </w:tabs>
        <w:rPr>
          <w:lang w:val="fr-FR"/>
        </w:rPr>
      </w:pPr>
      <w:r>
        <w:rPr>
          <w:lang w:val="fr-FR"/>
        </w:rPr>
        <w:t>82</w:t>
      </w:r>
      <w:r w:rsidR="00E562C0">
        <w:rPr>
          <w:lang w:val="fr-FR"/>
        </w:rPr>
        <w:t>3</w:t>
      </w:r>
      <w:r>
        <w:rPr>
          <w:lang w:val="fr-FR"/>
        </w:rPr>
        <w:t>.</w:t>
      </w:r>
      <w:r>
        <w:rPr>
          <w:lang w:val="fr-FR"/>
        </w:rPr>
        <w:tab/>
        <w:t>L’article 84 s’applique à la fois aux poursuites pénales et aux poursuites civiles.</w:t>
      </w:r>
    </w:p>
    <w:p w:rsidR="00F948BB" w:rsidRDefault="00E9470E" w:rsidP="005D7B68">
      <w:pPr>
        <w:tabs>
          <w:tab w:val="left" w:pos="567"/>
          <w:tab w:val="left" w:pos="1134"/>
          <w:tab w:val="left" w:pos="1701"/>
          <w:tab w:val="left" w:pos="2268"/>
          <w:tab w:val="left" w:pos="2835"/>
        </w:tabs>
        <w:rPr>
          <w:lang w:val="fr-FR"/>
        </w:rPr>
      </w:pPr>
      <w:r>
        <w:rPr>
          <w:lang w:val="fr-FR"/>
        </w:rPr>
        <w:t>82</w:t>
      </w:r>
      <w:r w:rsidR="00E562C0">
        <w:rPr>
          <w:lang w:val="fr-FR"/>
        </w:rPr>
        <w:t>4</w:t>
      </w:r>
      <w:r>
        <w:rPr>
          <w:lang w:val="fr-FR"/>
        </w:rPr>
        <w:t>.</w:t>
      </w:r>
      <w:r>
        <w:rPr>
          <w:lang w:val="fr-FR"/>
        </w:rPr>
        <w:tab/>
      </w:r>
      <w:r w:rsidR="00D35FA9">
        <w:rPr>
          <w:lang w:val="fr-FR"/>
        </w:rPr>
        <w:t>L’article 90 de la loi sur les éléments de preuve</w:t>
      </w:r>
      <w:r w:rsidR="004B2D30">
        <w:rPr>
          <w:lang w:val="fr-FR"/>
        </w:rPr>
        <w:t xml:space="preserve"> donne au tribunal toute latitude</w:t>
      </w:r>
      <w:r w:rsidR="006C601D">
        <w:rPr>
          <w:lang w:val="fr-FR"/>
        </w:rPr>
        <w:t xml:space="preserve"> pour écarter</w:t>
      </w:r>
      <w:r w:rsidR="000F5BE4">
        <w:rPr>
          <w:lang w:val="fr-FR"/>
        </w:rPr>
        <w:t xml:space="preserve"> la</w:t>
      </w:r>
      <w:r w:rsidR="00D35FA9">
        <w:rPr>
          <w:lang w:val="fr-FR"/>
        </w:rPr>
        <w:t xml:space="preserve"> preuve</w:t>
      </w:r>
      <w:r w:rsidR="006C601D">
        <w:rPr>
          <w:lang w:val="fr-FR"/>
        </w:rPr>
        <w:t xml:space="preserve"> découlant</w:t>
      </w:r>
      <w:r w:rsidR="00D35FA9">
        <w:rPr>
          <w:lang w:val="fr-FR"/>
        </w:rPr>
        <w:t xml:space="preserve"> d’un aveu si, eu égard aux circonstances dans lesquelles cet aveu a été obtenu, il ne serait pas juste envers l’accusé de l’admettre.</w:t>
      </w:r>
    </w:p>
    <w:p w:rsidR="00D35FA9" w:rsidRDefault="00D35FA9" w:rsidP="005D7B68">
      <w:pPr>
        <w:tabs>
          <w:tab w:val="left" w:pos="567"/>
          <w:tab w:val="left" w:pos="1134"/>
          <w:tab w:val="left" w:pos="1701"/>
          <w:tab w:val="left" w:pos="2268"/>
          <w:tab w:val="left" w:pos="2835"/>
        </w:tabs>
        <w:rPr>
          <w:lang w:val="fr-FR"/>
        </w:rPr>
      </w:pPr>
      <w:r>
        <w:rPr>
          <w:lang w:val="fr-FR"/>
        </w:rPr>
        <w:t>82</w:t>
      </w:r>
      <w:r w:rsidR="00E562C0">
        <w:rPr>
          <w:lang w:val="fr-FR"/>
        </w:rPr>
        <w:t>5</w:t>
      </w:r>
      <w:r>
        <w:rPr>
          <w:lang w:val="fr-FR"/>
        </w:rPr>
        <w:t>.</w:t>
      </w:r>
      <w:r>
        <w:rPr>
          <w:lang w:val="fr-FR"/>
        </w:rPr>
        <w:tab/>
      </w:r>
      <w:r w:rsidR="00D3191F">
        <w:rPr>
          <w:lang w:val="fr-FR"/>
        </w:rPr>
        <w:t>D’une manière g</w:t>
      </w:r>
      <w:r w:rsidR="0012704C">
        <w:rPr>
          <w:lang w:val="fr-FR"/>
        </w:rPr>
        <w:t>énérale, le tribunal a toute latitude pour juger de la recevabilité de</w:t>
      </w:r>
      <w:r w:rsidR="00D3191F">
        <w:rPr>
          <w:lang w:val="fr-FR"/>
        </w:rPr>
        <w:t xml:space="preserve"> tout élément de preuve obtenu</w:t>
      </w:r>
      <w:r w:rsidR="00572260">
        <w:rPr>
          <w:lang w:val="fr-FR"/>
        </w:rPr>
        <w:t xml:space="preserve"> </w:t>
      </w:r>
      <w:r w:rsidR="00D3191F">
        <w:rPr>
          <w:lang w:val="fr-FR"/>
        </w:rPr>
        <w:t>de manière inappropriée ou illicite en vertu de l’article 138 de la loi sur les éléments de preuve</w:t>
      </w:r>
      <w:r w:rsidR="008D6B80">
        <w:rPr>
          <w:lang w:val="fr-FR"/>
        </w:rPr>
        <w:t xml:space="preserve">. </w:t>
      </w:r>
      <w:r w:rsidR="00D3191F">
        <w:rPr>
          <w:lang w:val="fr-FR"/>
        </w:rPr>
        <w:t xml:space="preserve">Les preuves obtenues de manière inappropriée ou en violation d’une loi australienne, ou la suite de cela, ne </w:t>
      </w:r>
      <w:r w:rsidR="0012704C">
        <w:rPr>
          <w:lang w:val="fr-FR"/>
        </w:rPr>
        <w:t>sont pas recevables</w:t>
      </w:r>
      <w:r w:rsidR="00D4246E">
        <w:rPr>
          <w:lang w:val="fr-FR"/>
        </w:rPr>
        <w:t>, sauf s’il paraît plus sage de les admettre que de ne pas les admettre tel</w:t>
      </w:r>
      <w:r w:rsidR="00845E42">
        <w:rPr>
          <w:lang w:val="fr-FR"/>
        </w:rPr>
        <w:t>les qu’elle</w:t>
      </w:r>
      <w:r w:rsidR="00D4246E">
        <w:rPr>
          <w:lang w:val="fr-FR"/>
        </w:rPr>
        <w:t>s ont été obtenu</w:t>
      </w:r>
      <w:r w:rsidR="00845E42">
        <w:rPr>
          <w:lang w:val="fr-FR"/>
        </w:rPr>
        <w:t>e</w:t>
      </w:r>
      <w:r w:rsidR="00D4246E">
        <w:rPr>
          <w:lang w:val="fr-FR"/>
        </w:rPr>
        <w:t>s</w:t>
      </w:r>
      <w:r w:rsidR="008D6B80">
        <w:rPr>
          <w:lang w:val="fr-FR"/>
        </w:rPr>
        <w:t xml:space="preserve">. </w:t>
      </w:r>
      <w:r w:rsidR="00D4246E">
        <w:rPr>
          <w:lang w:val="fr-FR"/>
        </w:rPr>
        <w:t xml:space="preserve">Par </w:t>
      </w:r>
      <w:r w:rsidR="00A619D6">
        <w:rPr>
          <w:lang w:val="fr-FR"/>
        </w:rPr>
        <w:t>«</w:t>
      </w:r>
      <w:r w:rsidR="00D4246E">
        <w:rPr>
          <w:lang w:val="fr-FR"/>
        </w:rPr>
        <w:t>loi australienne</w:t>
      </w:r>
      <w:r w:rsidR="00A619D6">
        <w:rPr>
          <w:lang w:val="fr-FR"/>
        </w:rPr>
        <w:t>»</w:t>
      </w:r>
      <w:r w:rsidR="00D4246E">
        <w:rPr>
          <w:lang w:val="fr-FR"/>
        </w:rPr>
        <w:t>, il faut entendre une loi du Commonwealth, d’un État ou d’un Territoire</w:t>
      </w:r>
      <w:r w:rsidR="008D6B80">
        <w:rPr>
          <w:lang w:val="fr-FR"/>
        </w:rPr>
        <w:t xml:space="preserve">. </w:t>
      </w:r>
      <w:r w:rsidR="00D4246E">
        <w:rPr>
          <w:lang w:val="fr-FR"/>
        </w:rPr>
        <w:t xml:space="preserve">Il existe une liste non exhaustive de facteurs dont le tribunal </w:t>
      </w:r>
      <w:r w:rsidR="00845E42">
        <w:rPr>
          <w:lang w:val="fr-FR"/>
        </w:rPr>
        <w:t xml:space="preserve">doit tenir compte au moment de </w:t>
      </w:r>
      <w:r w:rsidR="00D4246E">
        <w:rPr>
          <w:lang w:val="fr-FR"/>
        </w:rPr>
        <w:t>rendre sa décision, y compris la nature de l’infraction ou de l’action en question, la gravité de l’abus ou de l’infraction, la question de savoir si cet abus ou cette infraction a été commis délibérément ou de manière irréfléchie et</w:t>
      </w:r>
      <w:r w:rsidR="00142E81">
        <w:rPr>
          <w:lang w:val="fr-FR"/>
        </w:rPr>
        <w:t xml:space="preserve"> s’il constitue une violation du Pacte international relatif aux droits civils et politiques.</w:t>
      </w:r>
    </w:p>
    <w:p w:rsidR="00142E81" w:rsidRPr="00AD5FDD" w:rsidRDefault="00A730E8" w:rsidP="005D7B68">
      <w:pPr>
        <w:tabs>
          <w:tab w:val="left" w:pos="567"/>
          <w:tab w:val="left" w:pos="1134"/>
          <w:tab w:val="left" w:pos="1701"/>
          <w:tab w:val="left" w:pos="2268"/>
          <w:tab w:val="left" w:pos="2835"/>
        </w:tabs>
        <w:rPr>
          <w:lang w:val="fr-FR"/>
        </w:rPr>
      </w:pPr>
      <w:r>
        <w:rPr>
          <w:lang w:val="fr-FR"/>
        </w:rPr>
        <w:t>82</w:t>
      </w:r>
      <w:r w:rsidR="00E562C0">
        <w:rPr>
          <w:lang w:val="fr-FR"/>
        </w:rPr>
        <w:t>6</w:t>
      </w:r>
      <w:r>
        <w:rPr>
          <w:lang w:val="fr-FR"/>
        </w:rPr>
        <w:t>.</w:t>
      </w:r>
      <w:r>
        <w:rPr>
          <w:lang w:val="fr-FR"/>
        </w:rPr>
        <w:tab/>
        <w:t xml:space="preserve">Les articles 84 et 138, associés à d’autres dispositions de la loi sur les éléments de preuve, </w:t>
      </w:r>
      <w:r w:rsidR="00AD5FDD">
        <w:rPr>
          <w:lang w:val="fr-FR"/>
        </w:rPr>
        <w:t>se substitue</w:t>
      </w:r>
      <w:r w:rsidR="00CC3DA7">
        <w:rPr>
          <w:lang w:val="fr-FR"/>
        </w:rPr>
        <w:t>nt</w:t>
      </w:r>
      <w:r w:rsidR="00AD5FDD">
        <w:rPr>
          <w:lang w:val="fr-FR"/>
        </w:rPr>
        <w:t xml:space="preserve"> à la règle du </w:t>
      </w:r>
      <w:r w:rsidR="00AD5FDD">
        <w:rPr>
          <w:i/>
          <w:iCs/>
          <w:lang w:val="fr-FR"/>
        </w:rPr>
        <w:t>common law</w:t>
      </w:r>
      <w:r w:rsidR="00AD5FDD">
        <w:rPr>
          <w:lang w:val="fr-FR"/>
        </w:rPr>
        <w:t xml:space="preserve"> selon laquelle les aveux doivent être spontanés.</w:t>
      </w:r>
    </w:p>
    <w:p w:rsidR="00AB54BC" w:rsidRDefault="000C26DD" w:rsidP="005D7B68">
      <w:pPr>
        <w:tabs>
          <w:tab w:val="left" w:pos="567"/>
          <w:tab w:val="left" w:pos="1134"/>
          <w:tab w:val="left" w:pos="1701"/>
          <w:tab w:val="left" w:pos="2268"/>
          <w:tab w:val="left" w:pos="2835"/>
        </w:tabs>
        <w:rPr>
          <w:lang w:val="fr-FR"/>
        </w:rPr>
      </w:pPr>
      <w:r>
        <w:rPr>
          <w:lang w:val="fr-FR"/>
        </w:rPr>
        <w:t>82</w:t>
      </w:r>
      <w:r w:rsidR="00E562C0">
        <w:rPr>
          <w:lang w:val="fr-FR"/>
        </w:rPr>
        <w:t>7</w:t>
      </w:r>
      <w:r w:rsidR="00AB54BC">
        <w:rPr>
          <w:lang w:val="fr-FR"/>
        </w:rPr>
        <w:t>.</w:t>
      </w:r>
      <w:r w:rsidR="00AB54BC">
        <w:rPr>
          <w:lang w:val="fr-FR"/>
        </w:rPr>
        <w:tab/>
        <w:t>La loi de 1994 sur les éléments</w:t>
      </w:r>
      <w:r>
        <w:rPr>
          <w:lang w:val="fr-FR"/>
        </w:rPr>
        <w:t xml:space="preserve"> de preuve</w:t>
      </w:r>
      <w:r w:rsidR="00AB54BC">
        <w:rPr>
          <w:lang w:val="fr-FR"/>
        </w:rPr>
        <w:t xml:space="preserve"> à l’étranger (</w:t>
      </w:r>
      <w:r w:rsidR="00AB54BC">
        <w:rPr>
          <w:i/>
          <w:iCs/>
          <w:lang w:val="fr-FR"/>
        </w:rPr>
        <w:t>Foreign Evidence Act</w:t>
      </w:r>
      <w:r w:rsidR="00845E42">
        <w:rPr>
          <w:lang w:val="fr-FR"/>
        </w:rPr>
        <w:t>) dispose qu’</w:t>
      </w:r>
      <w:r w:rsidR="00AB54BC">
        <w:rPr>
          <w:lang w:val="fr-FR"/>
        </w:rPr>
        <w:t xml:space="preserve">un </w:t>
      </w:r>
      <w:r w:rsidR="00A619D6">
        <w:rPr>
          <w:lang w:val="fr-FR"/>
        </w:rPr>
        <w:t>«</w:t>
      </w:r>
      <w:r w:rsidR="00AB54BC">
        <w:rPr>
          <w:lang w:val="fr-FR"/>
        </w:rPr>
        <w:t>tribunal supérieur</w:t>
      </w:r>
      <w:r w:rsidR="00A619D6">
        <w:rPr>
          <w:lang w:val="fr-FR"/>
        </w:rPr>
        <w:t>»</w:t>
      </w:r>
      <w:r w:rsidR="00AB54BC">
        <w:rPr>
          <w:lang w:val="fr-FR"/>
        </w:rPr>
        <w:t xml:space="preserve"> (à savoir la Haute Cour, les tribunaux fédéraux et</w:t>
      </w:r>
      <w:r w:rsidR="00E0313E">
        <w:rPr>
          <w:lang w:val="fr-FR"/>
        </w:rPr>
        <w:t xml:space="preserve"> les tribuna</w:t>
      </w:r>
      <w:r w:rsidR="00845E42">
        <w:rPr>
          <w:lang w:val="fr-FR"/>
        </w:rPr>
        <w:t>ux de la famille, et les Cours s</w:t>
      </w:r>
      <w:r w:rsidR="00E0313E">
        <w:rPr>
          <w:lang w:val="fr-FR"/>
        </w:rPr>
        <w:t>uprêmes des États lorsqu’il s’agit d’une compétence fédé</w:t>
      </w:r>
      <w:r w:rsidR="00845E42">
        <w:rPr>
          <w:lang w:val="fr-FR"/>
        </w:rPr>
        <w:t>rale), à la demande d’une partie (ou d’</w:t>
      </w:r>
      <w:r w:rsidR="00E0313E">
        <w:rPr>
          <w:lang w:val="fr-FR"/>
        </w:rPr>
        <w:t>un tribunal inférieur placé sous sa compétence)</w:t>
      </w:r>
      <w:r w:rsidR="00845E42">
        <w:rPr>
          <w:lang w:val="fr-FR"/>
        </w:rPr>
        <w:t>, doit</w:t>
      </w:r>
      <w:r w:rsidR="00E0313E">
        <w:rPr>
          <w:lang w:val="fr-FR"/>
        </w:rPr>
        <w:t xml:space="preserve"> </w:t>
      </w:r>
      <w:r w:rsidR="00E0313E" w:rsidRPr="00AF11C0">
        <w:rPr>
          <w:lang w:val="fr-FR"/>
        </w:rPr>
        <w:t xml:space="preserve">rendre </w:t>
      </w:r>
      <w:r w:rsidR="00E0313E">
        <w:rPr>
          <w:lang w:val="fr-FR"/>
        </w:rPr>
        <w:t xml:space="preserve">une </w:t>
      </w:r>
      <w:r w:rsidR="00AF11C0" w:rsidRPr="00AF11C0">
        <w:rPr>
          <w:lang w:val="fr-FR"/>
        </w:rPr>
        <w:t>ordonnance d’audition</w:t>
      </w:r>
      <w:r w:rsidR="00E0313E" w:rsidRPr="00AF11C0">
        <w:rPr>
          <w:lang w:val="fr-FR"/>
        </w:rPr>
        <w:t xml:space="preserve"> d’un témoin</w:t>
      </w:r>
      <w:r w:rsidR="00E0313E">
        <w:rPr>
          <w:lang w:val="fr-FR"/>
        </w:rPr>
        <w:t xml:space="preserve"> hors d’Australie ou de ses territoires extérieurs. </w:t>
      </w:r>
    </w:p>
    <w:p w:rsidR="00B315BA" w:rsidRDefault="000C26DD" w:rsidP="005D7B68">
      <w:pPr>
        <w:tabs>
          <w:tab w:val="left" w:pos="567"/>
          <w:tab w:val="left" w:pos="1134"/>
          <w:tab w:val="left" w:pos="1701"/>
          <w:tab w:val="left" w:pos="2268"/>
          <w:tab w:val="left" w:pos="2835"/>
        </w:tabs>
        <w:rPr>
          <w:lang w:val="fr-FR"/>
        </w:rPr>
      </w:pPr>
      <w:r>
        <w:rPr>
          <w:lang w:val="fr-FR"/>
        </w:rPr>
        <w:t>82</w:t>
      </w:r>
      <w:r w:rsidR="00E562C0">
        <w:rPr>
          <w:lang w:val="fr-FR"/>
        </w:rPr>
        <w:t>8</w:t>
      </w:r>
      <w:r>
        <w:rPr>
          <w:lang w:val="fr-FR"/>
        </w:rPr>
        <w:t>.</w:t>
      </w:r>
      <w:r>
        <w:rPr>
          <w:lang w:val="fr-FR"/>
        </w:rPr>
        <w:tab/>
        <w:t>La loi sur les éléments de preuve à l’étranger dispose que le tribunal peut alors, dans les conditions qui lui paraissent appropriées (le cas échéant), autoriser une partie à fai</w:t>
      </w:r>
      <w:r w:rsidR="001B7B66">
        <w:rPr>
          <w:lang w:val="fr-FR"/>
        </w:rPr>
        <w:t>re valoir ces éléments</w:t>
      </w:r>
      <w:r>
        <w:rPr>
          <w:lang w:val="fr-FR"/>
        </w:rPr>
        <w:t xml:space="preserve"> au cours de la procédure</w:t>
      </w:r>
      <w:r w:rsidR="008D6B80">
        <w:rPr>
          <w:lang w:val="fr-FR"/>
        </w:rPr>
        <w:t xml:space="preserve">. </w:t>
      </w:r>
      <w:r>
        <w:rPr>
          <w:lang w:val="fr-FR"/>
        </w:rPr>
        <w:t xml:space="preserve">Elle indique que les preuves obtenues en </w:t>
      </w:r>
      <w:r w:rsidR="00AF11C0" w:rsidRPr="00AF11C0">
        <w:rPr>
          <w:lang w:val="fr-FR"/>
        </w:rPr>
        <w:t>exécution</w:t>
      </w:r>
      <w:r w:rsidRPr="00AF11C0">
        <w:rPr>
          <w:lang w:val="fr-FR"/>
        </w:rPr>
        <w:t xml:space="preserve"> de cette ordonnance rendue par un </w:t>
      </w:r>
      <w:r w:rsidR="00AF11C0">
        <w:rPr>
          <w:lang w:val="fr-FR"/>
        </w:rPr>
        <w:t>tribunal ne sont pas recevables</w:t>
      </w:r>
      <w:r w:rsidRPr="00AF11C0">
        <w:rPr>
          <w:lang w:val="fr-FR"/>
        </w:rPr>
        <w:t xml:space="preserve"> a) si le tribunal est convaincu, au moment de l’audience</w:t>
      </w:r>
      <w:r>
        <w:rPr>
          <w:lang w:val="fr-FR"/>
        </w:rPr>
        <w:t>, que</w:t>
      </w:r>
      <w:r w:rsidR="00B315BA">
        <w:rPr>
          <w:lang w:val="fr-FR"/>
        </w:rPr>
        <w:t xml:space="preserve"> la personne qui a témoigné pouvait</w:t>
      </w:r>
      <w:r>
        <w:rPr>
          <w:lang w:val="fr-FR"/>
        </w:rPr>
        <w:t xml:space="preserve"> </w:t>
      </w:r>
      <w:r w:rsidR="00B315BA">
        <w:rPr>
          <w:lang w:val="fr-FR"/>
        </w:rPr>
        <w:t xml:space="preserve">être présente à cette </w:t>
      </w:r>
      <w:r w:rsidR="00845E42">
        <w:rPr>
          <w:lang w:val="fr-FR"/>
        </w:rPr>
        <w:t xml:space="preserve">audience, ou b) dans le cas où </w:t>
      </w:r>
      <w:r>
        <w:rPr>
          <w:lang w:val="fr-FR"/>
        </w:rPr>
        <w:t>ce témoignage</w:t>
      </w:r>
      <w:r w:rsidR="00B315BA">
        <w:rPr>
          <w:lang w:val="fr-FR"/>
        </w:rPr>
        <w:t xml:space="preserve"> n’aurait pas été admissible s’il avait été déposé à l’audience</w:t>
      </w:r>
      <w:r w:rsidR="008D6B80">
        <w:rPr>
          <w:lang w:val="fr-FR"/>
        </w:rPr>
        <w:t xml:space="preserve">. </w:t>
      </w:r>
      <w:r w:rsidR="00B315BA">
        <w:rPr>
          <w:lang w:val="fr-FR"/>
        </w:rPr>
        <w:t>Cela signifie</w:t>
      </w:r>
      <w:r w:rsidR="00845E42">
        <w:rPr>
          <w:lang w:val="fr-FR"/>
        </w:rPr>
        <w:t>,</w:t>
      </w:r>
      <w:r w:rsidR="00B315BA">
        <w:rPr>
          <w:lang w:val="fr-FR"/>
        </w:rPr>
        <w:t xml:space="preserve"> en fait</w:t>
      </w:r>
      <w:r w:rsidR="00845E42">
        <w:rPr>
          <w:lang w:val="fr-FR"/>
        </w:rPr>
        <w:t>,</w:t>
      </w:r>
      <w:r w:rsidR="00B315BA">
        <w:rPr>
          <w:lang w:val="fr-FR"/>
        </w:rPr>
        <w:t xml:space="preserve"> que les prescriptions de la législation australienne </w:t>
      </w:r>
      <w:r w:rsidR="00B315BA" w:rsidRPr="00AF11C0">
        <w:rPr>
          <w:lang w:val="fr-FR"/>
        </w:rPr>
        <w:t>concernant l’obtention des éléments de preuve</w:t>
      </w:r>
      <w:r w:rsidR="00845E42">
        <w:rPr>
          <w:lang w:val="fr-FR"/>
        </w:rPr>
        <w:t xml:space="preserve"> s’appliquent</w:t>
      </w:r>
      <w:r w:rsidR="00B315BA">
        <w:rPr>
          <w:lang w:val="fr-FR"/>
        </w:rPr>
        <w:t>, quel que soit le lieu où ils ont été recueillis.</w:t>
      </w:r>
    </w:p>
    <w:p w:rsidR="00FD6939" w:rsidRDefault="00B315BA" w:rsidP="005D7B68">
      <w:pPr>
        <w:tabs>
          <w:tab w:val="left" w:pos="567"/>
          <w:tab w:val="left" w:pos="1134"/>
          <w:tab w:val="left" w:pos="1701"/>
          <w:tab w:val="left" w:pos="2268"/>
          <w:tab w:val="left" w:pos="2835"/>
        </w:tabs>
        <w:rPr>
          <w:b/>
          <w:bCs/>
          <w:lang w:val="fr-FR"/>
        </w:rPr>
      </w:pPr>
      <w:r>
        <w:rPr>
          <w:b/>
          <w:bCs/>
          <w:lang w:val="fr-FR"/>
        </w:rPr>
        <w:t>Informations des États et Territoires</w:t>
      </w:r>
    </w:p>
    <w:p w:rsidR="000C26DD" w:rsidRPr="00AB54BC" w:rsidRDefault="00FD6939" w:rsidP="005D7B68">
      <w:pPr>
        <w:tabs>
          <w:tab w:val="left" w:pos="567"/>
          <w:tab w:val="left" w:pos="1134"/>
          <w:tab w:val="left" w:pos="1701"/>
          <w:tab w:val="left" w:pos="2268"/>
          <w:tab w:val="left" w:pos="2835"/>
        </w:tabs>
        <w:rPr>
          <w:lang w:val="fr-FR"/>
        </w:rPr>
      </w:pPr>
      <w:r>
        <w:rPr>
          <w:b/>
          <w:bCs/>
          <w:lang w:val="fr-FR"/>
        </w:rPr>
        <w:t>Nouvelle-Galles du Sud</w:t>
      </w:r>
      <w:r w:rsidR="000C26DD">
        <w:rPr>
          <w:lang w:val="fr-FR"/>
        </w:rPr>
        <w:t xml:space="preserve"> </w:t>
      </w:r>
      <w:r w:rsidR="000C26DD">
        <w:rPr>
          <w:lang w:val="fr-FR"/>
        </w:rPr>
        <w:tab/>
      </w:r>
    </w:p>
    <w:p w:rsidR="00FD6939" w:rsidRPr="00AB54BC" w:rsidRDefault="00FD6939" w:rsidP="005D7B68">
      <w:pPr>
        <w:tabs>
          <w:tab w:val="left" w:pos="567"/>
          <w:tab w:val="left" w:pos="1134"/>
          <w:tab w:val="left" w:pos="1701"/>
          <w:tab w:val="left" w:pos="2268"/>
          <w:tab w:val="left" w:pos="2835"/>
        </w:tabs>
        <w:rPr>
          <w:lang w:val="fr-FR"/>
        </w:rPr>
      </w:pPr>
      <w:r>
        <w:rPr>
          <w:lang w:val="fr-FR"/>
        </w:rPr>
        <w:t>8</w:t>
      </w:r>
      <w:r w:rsidR="00E562C0">
        <w:rPr>
          <w:lang w:val="fr-FR"/>
        </w:rPr>
        <w:t>29</w:t>
      </w:r>
      <w:r w:rsidR="00B315BA">
        <w:rPr>
          <w:lang w:val="fr-FR"/>
        </w:rPr>
        <w:t>.</w:t>
      </w:r>
      <w:r w:rsidR="00B315BA">
        <w:rPr>
          <w:lang w:val="fr-FR"/>
        </w:rPr>
        <w:tab/>
        <w:t>Il y a, dans la loi de 1995 sur les éléments de preuve (</w:t>
      </w:r>
      <w:r>
        <w:rPr>
          <w:lang w:val="fr-FR"/>
        </w:rPr>
        <w:t>Nouvelle-Galles du Sud), un ensemble de dispositions qui p</w:t>
      </w:r>
      <w:r w:rsidR="00CD6611">
        <w:rPr>
          <w:lang w:val="fr-FR"/>
        </w:rPr>
        <w:t>ortent interdiction d’utiliser ces éléments s’ils ont été obtenu</w:t>
      </w:r>
      <w:r>
        <w:rPr>
          <w:lang w:val="fr-FR"/>
        </w:rPr>
        <w:t>s par la torture ou un traitement cruel, inhumain ou dégradant</w:t>
      </w:r>
      <w:r w:rsidR="008D6B80">
        <w:rPr>
          <w:lang w:val="fr-FR"/>
        </w:rPr>
        <w:t xml:space="preserve">. </w:t>
      </w:r>
      <w:r>
        <w:rPr>
          <w:lang w:val="fr-FR"/>
        </w:rPr>
        <w:t>Elles figur</w:t>
      </w:r>
      <w:r w:rsidR="00980822">
        <w:rPr>
          <w:lang w:val="fr-FR"/>
        </w:rPr>
        <w:t>ent dans les articles 84, 85 et </w:t>
      </w:r>
      <w:r>
        <w:rPr>
          <w:lang w:val="fr-FR"/>
        </w:rPr>
        <w:t>138.</w:t>
      </w:r>
    </w:p>
    <w:p w:rsidR="00FD6939" w:rsidRPr="00643EDF" w:rsidRDefault="00FD6939" w:rsidP="005D7B68">
      <w:pPr>
        <w:tabs>
          <w:tab w:val="left" w:pos="567"/>
          <w:tab w:val="left" w:pos="1134"/>
          <w:tab w:val="left" w:pos="1701"/>
          <w:tab w:val="left" w:pos="2268"/>
          <w:tab w:val="left" w:pos="2835"/>
        </w:tabs>
        <w:autoSpaceDE w:val="0"/>
        <w:autoSpaceDN w:val="0"/>
        <w:adjustRightInd w:val="0"/>
        <w:rPr>
          <w:lang w:val="fr-FR"/>
        </w:rPr>
      </w:pPr>
      <w:r>
        <w:rPr>
          <w:lang w:val="fr-FR"/>
        </w:rPr>
        <w:t>83</w:t>
      </w:r>
      <w:r w:rsidR="00E562C0">
        <w:rPr>
          <w:lang w:val="fr-FR"/>
        </w:rPr>
        <w:t>0</w:t>
      </w:r>
      <w:r>
        <w:rPr>
          <w:lang w:val="fr-FR"/>
        </w:rPr>
        <w:t>.</w:t>
      </w:r>
      <w:r>
        <w:rPr>
          <w:lang w:val="fr-FR"/>
        </w:rPr>
        <w:tab/>
        <w:t>L’article 84 1) de la loi sur les é</w:t>
      </w:r>
      <w:r w:rsidR="000F4573">
        <w:rPr>
          <w:lang w:val="fr-FR"/>
        </w:rPr>
        <w:t>léments de preuve dispose que si ces derniers ont été</w:t>
      </w:r>
      <w:r w:rsidR="004B2D30">
        <w:rPr>
          <w:lang w:val="fr-FR"/>
        </w:rPr>
        <w:t xml:space="preserve"> obtenus par</w:t>
      </w:r>
      <w:r w:rsidR="004B2D30">
        <w:rPr>
          <w:sz w:val="22"/>
          <w:szCs w:val="22"/>
          <w:lang w:val="fr-FR" w:eastAsia="fr-FR"/>
        </w:rPr>
        <w:t xml:space="preserve"> la violence, </w:t>
      </w:r>
      <w:r w:rsidR="004B2D30" w:rsidRPr="004B2D30">
        <w:rPr>
          <w:szCs w:val="24"/>
          <w:lang w:val="fr-FR" w:eastAsia="fr-FR"/>
        </w:rPr>
        <w:t>par la contrainte, par des moyens inhumains ou dégradants</w:t>
      </w:r>
      <w:r w:rsidR="004B2D30">
        <w:rPr>
          <w:szCs w:val="24"/>
          <w:lang w:val="fr-FR" w:eastAsia="fr-FR"/>
        </w:rPr>
        <w:t>,</w:t>
      </w:r>
      <w:r w:rsidR="00E562C0">
        <w:rPr>
          <w:szCs w:val="24"/>
          <w:lang w:val="fr-FR" w:eastAsia="fr-FR"/>
        </w:rPr>
        <w:t xml:space="preserve"> </w:t>
      </w:r>
      <w:r w:rsidR="004B2D30">
        <w:rPr>
          <w:lang w:val="fr-FR"/>
        </w:rPr>
        <w:t>ou par la menace d’adopter un tel comportement</w:t>
      </w:r>
      <w:r w:rsidR="000F4573">
        <w:rPr>
          <w:lang w:val="fr-FR"/>
        </w:rPr>
        <w:t>, ils</w:t>
      </w:r>
      <w:r>
        <w:rPr>
          <w:lang w:val="fr-FR"/>
        </w:rPr>
        <w:t xml:space="preserve"> ne sont pas recevables</w:t>
      </w:r>
      <w:r w:rsidR="008D6B80">
        <w:rPr>
          <w:lang w:val="fr-FR"/>
        </w:rPr>
        <w:t xml:space="preserve">. </w:t>
      </w:r>
      <w:r>
        <w:rPr>
          <w:lang w:val="fr-FR"/>
        </w:rPr>
        <w:t xml:space="preserve">Cette loi ne propose aucune définition du terme </w:t>
      </w:r>
      <w:r w:rsidR="00A619D6">
        <w:rPr>
          <w:lang w:val="fr-FR"/>
        </w:rPr>
        <w:t>«</w:t>
      </w:r>
      <w:r w:rsidR="0012704C">
        <w:rPr>
          <w:lang w:val="fr-FR"/>
        </w:rPr>
        <w:t>contrainte</w:t>
      </w:r>
      <w:r w:rsidR="00A619D6">
        <w:rPr>
          <w:lang w:val="fr-FR"/>
        </w:rPr>
        <w:t>»</w:t>
      </w:r>
      <w:r>
        <w:rPr>
          <w:lang w:val="fr-FR"/>
        </w:rPr>
        <w:t xml:space="preserve"> (</w:t>
      </w:r>
      <w:r w:rsidR="00A619D6">
        <w:rPr>
          <w:lang w:val="fr-FR"/>
        </w:rPr>
        <w:t>«</w:t>
      </w:r>
      <w:r w:rsidRPr="00FD6939">
        <w:rPr>
          <w:i/>
          <w:iCs/>
          <w:lang w:val="fr-FR"/>
        </w:rPr>
        <w:t>oppressive</w:t>
      </w:r>
      <w:r w:rsidR="00A619D6">
        <w:rPr>
          <w:i/>
          <w:iCs/>
          <w:lang w:val="fr-FR"/>
        </w:rPr>
        <w:t>»</w:t>
      </w:r>
      <w:r>
        <w:rPr>
          <w:lang w:val="fr-FR"/>
        </w:rPr>
        <w:t xml:space="preserve">) mais, dans l’affaire </w:t>
      </w:r>
      <w:r>
        <w:rPr>
          <w:i/>
          <w:iCs/>
          <w:lang w:val="fr-FR"/>
        </w:rPr>
        <w:t xml:space="preserve">Wily </w:t>
      </w:r>
      <w:r w:rsidRPr="000F4573">
        <w:rPr>
          <w:lang w:val="fr-FR"/>
        </w:rPr>
        <w:t>c.</w:t>
      </w:r>
      <w:r>
        <w:rPr>
          <w:i/>
          <w:iCs/>
          <w:lang w:val="fr-FR"/>
        </w:rPr>
        <w:t xml:space="preserve"> Fitz-Gibbon</w:t>
      </w:r>
      <w:r>
        <w:rPr>
          <w:rStyle w:val="FootnoteReference"/>
          <w:i/>
          <w:iCs/>
          <w:lang w:val="fr-FR"/>
        </w:rPr>
        <w:footnoteReference w:id="22"/>
      </w:r>
      <w:r w:rsidR="00643EDF">
        <w:rPr>
          <w:lang w:val="fr-FR"/>
        </w:rPr>
        <w:t xml:space="preserve">, le juge Hill </w:t>
      </w:r>
      <w:r w:rsidR="000F4573">
        <w:rPr>
          <w:lang w:val="fr-FR"/>
        </w:rPr>
        <w:t xml:space="preserve">en </w:t>
      </w:r>
      <w:r w:rsidR="00643EDF">
        <w:rPr>
          <w:lang w:val="fr-FR"/>
        </w:rPr>
        <w:t xml:space="preserve">a adopté la </w:t>
      </w:r>
      <w:r w:rsidR="000F4573">
        <w:rPr>
          <w:lang w:val="fr-FR"/>
        </w:rPr>
        <w:t>définition ordinaire</w:t>
      </w:r>
      <w:r w:rsidR="00643EDF">
        <w:rPr>
          <w:lang w:val="fr-FR"/>
        </w:rPr>
        <w:t xml:space="preserve"> telle qu’elle figure dans le </w:t>
      </w:r>
      <w:r w:rsidR="00643EDF">
        <w:rPr>
          <w:i/>
          <w:iCs/>
          <w:lang w:val="fr-FR"/>
        </w:rPr>
        <w:t>Macquarie Dictionary</w:t>
      </w:r>
      <w:r w:rsidR="00643EDF">
        <w:rPr>
          <w:lang w:val="fr-FR"/>
        </w:rPr>
        <w:t>, à savoir l’exercice de l’autorité ou du pouvoir </w:t>
      </w:r>
      <w:r w:rsidR="00A619D6">
        <w:rPr>
          <w:lang w:val="fr-FR"/>
        </w:rPr>
        <w:t>»</w:t>
      </w:r>
      <w:r w:rsidR="00643EDF">
        <w:rPr>
          <w:lang w:val="fr-FR"/>
        </w:rPr>
        <w:t>d’une manière contraignante, cruelle ou injuste</w:t>
      </w:r>
      <w:r w:rsidR="00A619D6">
        <w:rPr>
          <w:lang w:val="fr-FR"/>
        </w:rPr>
        <w:t>»</w:t>
      </w:r>
      <w:r w:rsidR="008D6B80">
        <w:rPr>
          <w:lang w:val="fr-FR"/>
        </w:rPr>
        <w:t xml:space="preserve">. </w:t>
      </w:r>
      <w:r w:rsidR="00643EDF">
        <w:rPr>
          <w:lang w:val="fr-FR"/>
        </w:rPr>
        <w:t xml:space="preserve">En outre, dans l’affaire </w:t>
      </w:r>
      <w:r w:rsidR="00643EDF">
        <w:rPr>
          <w:i/>
          <w:iCs/>
          <w:lang w:val="fr-FR"/>
        </w:rPr>
        <w:t xml:space="preserve">Higgins </w:t>
      </w:r>
      <w:r w:rsidR="00643EDF" w:rsidRPr="000F4573">
        <w:rPr>
          <w:lang w:val="fr-FR"/>
        </w:rPr>
        <w:t>c.</w:t>
      </w:r>
      <w:r w:rsidR="00643EDF">
        <w:rPr>
          <w:i/>
          <w:iCs/>
          <w:lang w:val="fr-FR"/>
        </w:rPr>
        <w:t xml:space="preserve"> la Reine</w:t>
      </w:r>
      <w:r w:rsidR="00643EDF">
        <w:rPr>
          <w:rStyle w:val="FootnoteReference"/>
          <w:i/>
          <w:iCs/>
          <w:lang w:val="fr-FR"/>
        </w:rPr>
        <w:footnoteReference w:id="23"/>
      </w:r>
      <w:r w:rsidR="00643EDF">
        <w:rPr>
          <w:lang w:val="fr-FR"/>
        </w:rPr>
        <w:t>, les juges Sully, Bell et Hoeben on indiqué que le concept d</w:t>
      </w:r>
      <w:r w:rsidR="0012704C">
        <w:rPr>
          <w:lang w:val="fr-FR"/>
        </w:rPr>
        <w:t>e contrainte</w:t>
      </w:r>
      <w:r w:rsidR="00643EDF">
        <w:rPr>
          <w:lang w:val="fr-FR"/>
        </w:rPr>
        <w:t xml:space="preserve"> </w:t>
      </w:r>
      <w:r w:rsidR="00A619D6">
        <w:rPr>
          <w:lang w:val="fr-FR"/>
        </w:rPr>
        <w:t>«</w:t>
      </w:r>
      <w:r w:rsidR="00643EDF">
        <w:rPr>
          <w:lang w:val="fr-FR"/>
        </w:rPr>
        <w:t xml:space="preserve">ne devrait </w:t>
      </w:r>
      <w:r w:rsidR="0012704C">
        <w:rPr>
          <w:lang w:val="fr-FR"/>
        </w:rPr>
        <w:t xml:space="preserve">pas </w:t>
      </w:r>
      <w:r w:rsidR="00643EDF">
        <w:rPr>
          <w:lang w:val="fr-FR"/>
        </w:rPr>
        <w:t>être limité aux actes physiques ou aux menaces d’actes physiques, mais peut également couvrir les pressions mentales et psychologiques</w:t>
      </w:r>
      <w:r w:rsidR="00A619D6">
        <w:rPr>
          <w:lang w:val="fr-FR"/>
        </w:rPr>
        <w:t>»</w:t>
      </w:r>
      <w:r w:rsidR="00643EDF">
        <w:rPr>
          <w:lang w:val="fr-FR"/>
        </w:rPr>
        <w:t>.</w:t>
      </w:r>
    </w:p>
    <w:p w:rsidR="00FB1985" w:rsidRPr="00FD6939" w:rsidRDefault="00C47616" w:rsidP="005D7B68">
      <w:pPr>
        <w:tabs>
          <w:tab w:val="left" w:pos="567"/>
          <w:tab w:val="left" w:pos="1134"/>
          <w:tab w:val="left" w:pos="1701"/>
          <w:tab w:val="left" w:pos="2268"/>
          <w:tab w:val="left" w:pos="2835"/>
        </w:tabs>
        <w:rPr>
          <w:lang w:val="fr-FR"/>
        </w:rPr>
      </w:pPr>
      <w:r>
        <w:rPr>
          <w:lang w:val="fr-FR"/>
        </w:rPr>
        <w:t>83</w:t>
      </w:r>
      <w:r w:rsidR="00E562C0">
        <w:rPr>
          <w:lang w:val="fr-FR"/>
        </w:rPr>
        <w:t>1</w:t>
      </w:r>
      <w:r>
        <w:rPr>
          <w:lang w:val="fr-FR"/>
        </w:rPr>
        <w:t>.</w:t>
      </w:r>
      <w:r>
        <w:rPr>
          <w:lang w:val="fr-FR"/>
        </w:rPr>
        <w:tab/>
      </w:r>
      <w:r w:rsidR="0012704C">
        <w:rPr>
          <w:lang w:val="fr-FR"/>
        </w:rPr>
        <w:t>Le sens des</w:t>
      </w:r>
      <w:r w:rsidR="004B2D30">
        <w:rPr>
          <w:lang w:val="fr-FR"/>
        </w:rPr>
        <w:t xml:space="preserve"> </w:t>
      </w:r>
      <w:r w:rsidR="0012704C">
        <w:rPr>
          <w:lang w:val="fr-FR"/>
        </w:rPr>
        <w:t xml:space="preserve">termes </w:t>
      </w:r>
      <w:r w:rsidR="00A619D6">
        <w:rPr>
          <w:lang w:val="fr-FR"/>
        </w:rPr>
        <w:t>«</w:t>
      </w:r>
      <w:r w:rsidR="0012704C">
        <w:rPr>
          <w:lang w:val="fr-FR"/>
        </w:rPr>
        <w:t>inhumains</w:t>
      </w:r>
      <w:r w:rsidR="00A619D6">
        <w:rPr>
          <w:lang w:val="fr-FR"/>
        </w:rPr>
        <w:t>»</w:t>
      </w:r>
      <w:r w:rsidR="0012704C">
        <w:rPr>
          <w:lang w:val="fr-FR"/>
        </w:rPr>
        <w:t xml:space="preserve"> et </w:t>
      </w:r>
      <w:r w:rsidR="00A619D6">
        <w:rPr>
          <w:lang w:val="fr-FR"/>
        </w:rPr>
        <w:t>«</w:t>
      </w:r>
      <w:r w:rsidR="0012704C">
        <w:rPr>
          <w:lang w:val="fr-FR"/>
        </w:rPr>
        <w:t>dégradants</w:t>
      </w:r>
      <w:r w:rsidR="00A619D6">
        <w:rPr>
          <w:lang w:val="fr-FR"/>
        </w:rPr>
        <w:t>»</w:t>
      </w:r>
      <w:r w:rsidR="0012704C">
        <w:rPr>
          <w:lang w:val="fr-FR"/>
        </w:rPr>
        <w:t xml:space="preserve"> de l’article 84 1) a) est fondé sur la formulation de la Convention contre la torture et de la Conven</w:t>
      </w:r>
      <w:r w:rsidR="007D704F">
        <w:rPr>
          <w:lang w:val="fr-FR"/>
        </w:rPr>
        <w:t>tion européenne des droits de l</w:t>
      </w:r>
      <w:r w:rsidR="0012704C">
        <w:rPr>
          <w:lang w:val="fr-FR"/>
        </w:rPr>
        <w:t>’homme</w:t>
      </w:r>
      <w:r w:rsidR="008D6B80">
        <w:rPr>
          <w:lang w:val="fr-FR"/>
        </w:rPr>
        <w:t xml:space="preserve">. </w:t>
      </w:r>
      <w:r w:rsidR="007D704F">
        <w:rPr>
          <w:lang w:val="fr-FR"/>
        </w:rPr>
        <w:t xml:space="preserve">La jurisprudence de la Commission européenne des droits de l’homme indique que des actes </w:t>
      </w:r>
      <w:r w:rsidR="00A619D6">
        <w:rPr>
          <w:lang w:val="fr-FR"/>
        </w:rPr>
        <w:t>«</w:t>
      </w:r>
      <w:r w:rsidR="007D704F">
        <w:rPr>
          <w:lang w:val="fr-FR"/>
        </w:rPr>
        <w:t>inhumains</w:t>
      </w:r>
      <w:r w:rsidR="00A619D6">
        <w:rPr>
          <w:lang w:val="fr-FR"/>
        </w:rPr>
        <w:t>»</w:t>
      </w:r>
      <w:r w:rsidR="007D704F">
        <w:rPr>
          <w:lang w:val="fr-FR"/>
        </w:rPr>
        <w:t xml:space="preserve"> et </w:t>
      </w:r>
      <w:r w:rsidR="00A619D6">
        <w:rPr>
          <w:lang w:val="fr-FR"/>
        </w:rPr>
        <w:t>«</w:t>
      </w:r>
      <w:r w:rsidR="007D704F">
        <w:rPr>
          <w:lang w:val="fr-FR"/>
        </w:rPr>
        <w:t>dégradants</w:t>
      </w:r>
      <w:r w:rsidR="00A619D6">
        <w:rPr>
          <w:lang w:val="fr-FR"/>
        </w:rPr>
        <w:t>»</w:t>
      </w:r>
      <w:r w:rsidR="000F4573">
        <w:rPr>
          <w:lang w:val="fr-FR"/>
        </w:rPr>
        <w:t xml:space="preserve"> </w:t>
      </w:r>
      <w:r w:rsidR="007D704F">
        <w:rPr>
          <w:lang w:val="fr-FR"/>
        </w:rPr>
        <w:t>sont des actes qui visent délibérément à causer des souffrances mentales ou physiques ou une humiliation flagrante.</w:t>
      </w:r>
      <w:r w:rsidR="007D704F">
        <w:rPr>
          <w:rStyle w:val="FootnoteReference"/>
          <w:lang w:val="fr-FR"/>
        </w:rPr>
        <w:footnoteReference w:id="24"/>
      </w:r>
      <w:r w:rsidR="00572260">
        <w:rPr>
          <w:lang w:val="fr-FR"/>
        </w:rPr>
        <w:t xml:space="preserve"> </w:t>
      </w:r>
    </w:p>
    <w:p w:rsidR="00FB1985" w:rsidRPr="00BE321B" w:rsidRDefault="00E562C0" w:rsidP="005D7B68">
      <w:pPr>
        <w:tabs>
          <w:tab w:val="left" w:pos="567"/>
          <w:tab w:val="left" w:pos="1134"/>
          <w:tab w:val="left" w:pos="1701"/>
          <w:tab w:val="left" w:pos="2268"/>
          <w:tab w:val="left" w:pos="2835"/>
        </w:tabs>
        <w:rPr>
          <w:lang w:val="fr-FR"/>
        </w:rPr>
      </w:pPr>
      <w:r>
        <w:rPr>
          <w:lang w:val="fr-FR"/>
        </w:rPr>
        <w:t>832</w:t>
      </w:r>
      <w:r w:rsidR="00FB1985">
        <w:rPr>
          <w:lang w:val="fr-FR"/>
        </w:rPr>
        <w:t>.</w:t>
      </w:r>
      <w:r w:rsidR="00FB1985">
        <w:rPr>
          <w:lang w:val="fr-FR"/>
        </w:rPr>
        <w:tab/>
        <w:t>L’article 85 de la loi sur les éléments de preuve</w:t>
      </w:r>
      <w:r w:rsidR="00BE321B">
        <w:rPr>
          <w:lang w:val="fr-FR"/>
        </w:rPr>
        <w:t xml:space="preserve"> s’applique aux procédures pénales e</w:t>
      </w:r>
      <w:r w:rsidR="000F4573">
        <w:rPr>
          <w:lang w:val="fr-FR"/>
        </w:rPr>
        <w:t>n</w:t>
      </w:r>
      <w:r w:rsidR="00BE321B">
        <w:rPr>
          <w:lang w:val="fr-FR"/>
        </w:rPr>
        <w:t xml:space="preserve"> rapport avec </w:t>
      </w:r>
      <w:r w:rsidR="00BE321B" w:rsidRPr="00AF11C0">
        <w:rPr>
          <w:lang w:val="fr-FR"/>
        </w:rPr>
        <w:t>les preuves</w:t>
      </w:r>
      <w:r w:rsidR="00AF11C0" w:rsidRPr="00AF11C0">
        <w:rPr>
          <w:lang w:val="fr-FR"/>
        </w:rPr>
        <w:t xml:space="preserve"> découlant</w:t>
      </w:r>
      <w:r w:rsidR="00BE321B" w:rsidRPr="00AF11C0">
        <w:rPr>
          <w:lang w:val="fr-FR"/>
        </w:rPr>
        <w:t xml:space="preserve"> des aveux des défendeurs au cours de l’interrogatoire officiel ou à la suite d’un acte d’une autre personne capable d’influer sur la décision d’interrompre ou de poursuivre la procédure</w:t>
      </w:r>
      <w:r w:rsidR="008D6B80">
        <w:rPr>
          <w:lang w:val="fr-FR"/>
        </w:rPr>
        <w:t xml:space="preserve">. </w:t>
      </w:r>
      <w:r w:rsidR="00BE321B" w:rsidRPr="00AF11C0">
        <w:rPr>
          <w:lang w:val="fr-FR"/>
        </w:rPr>
        <w:t xml:space="preserve">L’article 85 2) de la loi sur les éléments de preuve prévoit que les preuves </w:t>
      </w:r>
      <w:r w:rsidR="00AF11C0" w:rsidRPr="00AF11C0">
        <w:rPr>
          <w:lang w:val="fr-FR"/>
        </w:rPr>
        <w:t xml:space="preserve">découlant </w:t>
      </w:r>
      <w:r w:rsidR="00BE321B" w:rsidRPr="00AF11C0">
        <w:rPr>
          <w:lang w:val="fr-FR"/>
        </w:rPr>
        <w:t>des aveux des défendeurs ne sont</w:t>
      </w:r>
      <w:r w:rsidR="00BE321B">
        <w:rPr>
          <w:lang w:val="fr-FR"/>
        </w:rPr>
        <w:t xml:space="preserve"> recevables que si ces aveux ont été faits dans de</w:t>
      </w:r>
      <w:r w:rsidR="000F4573">
        <w:rPr>
          <w:lang w:val="fr-FR"/>
        </w:rPr>
        <w:t>s circonstances telles</w:t>
      </w:r>
      <w:r w:rsidR="00572260">
        <w:rPr>
          <w:lang w:val="fr-FR"/>
        </w:rPr>
        <w:t xml:space="preserve"> </w:t>
      </w:r>
      <w:r w:rsidR="000F4573">
        <w:rPr>
          <w:lang w:val="fr-FR"/>
        </w:rPr>
        <w:t xml:space="preserve">que </w:t>
      </w:r>
      <w:r w:rsidR="00A619D6">
        <w:rPr>
          <w:lang w:val="fr-FR"/>
        </w:rPr>
        <w:t>«</w:t>
      </w:r>
      <w:r w:rsidR="000F4573">
        <w:rPr>
          <w:lang w:val="fr-FR"/>
        </w:rPr>
        <w:t>leur sincérité</w:t>
      </w:r>
      <w:r w:rsidR="00BE321B">
        <w:rPr>
          <w:lang w:val="fr-FR"/>
        </w:rPr>
        <w:t xml:space="preserve"> n’est pas susceptible d’en avoir pâti</w:t>
      </w:r>
      <w:r w:rsidR="00A619D6">
        <w:rPr>
          <w:lang w:val="fr-FR"/>
        </w:rPr>
        <w:t>»</w:t>
      </w:r>
      <w:r w:rsidR="00BE321B">
        <w:rPr>
          <w:lang w:val="fr-FR"/>
        </w:rPr>
        <w:t xml:space="preserve">. </w:t>
      </w:r>
    </w:p>
    <w:p w:rsidR="00FB1985" w:rsidRDefault="00BE321B" w:rsidP="005D7B68">
      <w:pPr>
        <w:tabs>
          <w:tab w:val="left" w:pos="567"/>
          <w:tab w:val="left" w:pos="1134"/>
          <w:tab w:val="left" w:pos="1701"/>
          <w:tab w:val="left" w:pos="2268"/>
          <w:tab w:val="left" w:pos="2835"/>
        </w:tabs>
        <w:rPr>
          <w:lang w:val="fr-FR"/>
        </w:rPr>
      </w:pPr>
      <w:r>
        <w:rPr>
          <w:lang w:val="fr-FR"/>
        </w:rPr>
        <w:t>83</w:t>
      </w:r>
      <w:r w:rsidR="00E562C0">
        <w:rPr>
          <w:lang w:val="fr-FR"/>
        </w:rPr>
        <w:t>3</w:t>
      </w:r>
      <w:r>
        <w:rPr>
          <w:lang w:val="fr-FR"/>
        </w:rPr>
        <w:t>.</w:t>
      </w:r>
      <w:r>
        <w:rPr>
          <w:lang w:val="fr-FR"/>
        </w:rPr>
        <w:tab/>
        <w:t>Selon l’article 85 3) b), on peut tenir compte de la nature des questions</w:t>
      </w:r>
      <w:r w:rsidR="00512B22">
        <w:rPr>
          <w:lang w:val="fr-FR"/>
        </w:rPr>
        <w:t xml:space="preserve"> et de la manière dont elles ont été posées</w:t>
      </w:r>
      <w:r w:rsidR="001B7B66">
        <w:rPr>
          <w:lang w:val="fr-FR"/>
        </w:rPr>
        <w:t>,</w:t>
      </w:r>
      <w:r w:rsidR="00512B22">
        <w:rPr>
          <w:lang w:val="fr-FR"/>
        </w:rPr>
        <w:t xml:space="preserve"> ainsi que de la nature de toute menace, promesse ou autre forme d’incitation</w:t>
      </w:r>
      <w:r>
        <w:rPr>
          <w:lang w:val="fr-FR"/>
        </w:rPr>
        <w:t xml:space="preserve"> </w:t>
      </w:r>
      <w:r w:rsidR="00512B22">
        <w:rPr>
          <w:lang w:val="fr-FR"/>
        </w:rPr>
        <w:t>dont la personne interrogée à fait l’objet, s’agissant de savoir s’il a pu ê</w:t>
      </w:r>
      <w:r w:rsidR="005D6FB0">
        <w:rPr>
          <w:lang w:val="fr-FR"/>
        </w:rPr>
        <w:t>tre porté atteinte à la sincér</w:t>
      </w:r>
      <w:r w:rsidR="00512B22">
        <w:rPr>
          <w:lang w:val="fr-FR"/>
        </w:rPr>
        <w:t>ité des aveux.</w:t>
      </w:r>
    </w:p>
    <w:p w:rsidR="00512B22" w:rsidRPr="00FB1985" w:rsidRDefault="00512B22" w:rsidP="005D7B68">
      <w:pPr>
        <w:tabs>
          <w:tab w:val="left" w:pos="567"/>
          <w:tab w:val="left" w:pos="1134"/>
          <w:tab w:val="left" w:pos="1701"/>
          <w:tab w:val="left" w:pos="2268"/>
          <w:tab w:val="left" w:pos="2835"/>
        </w:tabs>
        <w:rPr>
          <w:lang w:val="fr-FR"/>
        </w:rPr>
      </w:pPr>
      <w:r>
        <w:rPr>
          <w:lang w:val="fr-FR"/>
        </w:rPr>
        <w:t>83</w:t>
      </w:r>
      <w:r w:rsidR="00E562C0">
        <w:rPr>
          <w:lang w:val="fr-FR"/>
        </w:rPr>
        <w:t>4</w:t>
      </w:r>
      <w:r>
        <w:rPr>
          <w:lang w:val="fr-FR"/>
        </w:rPr>
        <w:t>.</w:t>
      </w:r>
      <w:r w:rsidR="003C30E5">
        <w:rPr>
          <w:lang w:val="fr-FR"/>
        </w:rPr>
        <w:tab/>
      </w:r>
      <w:r>
        <w:rPr>
          <w:lang w:val="fr-FR"/>
        </w:rPr>
        <w:t xml:space="preserve">En ce qui concerne l’article 85 3) b) i), les preuves sont irrecevables </w:t>
      </w:r>
      <w:r w:rsidR="00A619D6">
        <w:rPr>
          <w:lang w:val="fr-FR"/>
        </w:rPr>
        <w:t>«</w:t>
      </w:r>
      <w:r>
        <w:rPr>
          <w:lang w:val="fr-FR"/>
        </w:rPr>
        <w:t>s’il existe le moindre doute concernant une intimidation, un harcèlement persistant, une insistance ou une pression persistante ou injustifiable</w:t>
      </w:r>
      <w:r w:rsidR="00A619D6">
        <w:rPr>
          <w:lang w:val="fr-FR"/>
        </w:rPr>
        <w:t>»</w:t>
      </w:r>
      <w:r>
        <w:rPr>
          <w:rStyle w:val="FootnoteReference"/>
          <w:lang w:val="fr-FR"/>
        </w:rPr>
        <w:footnoteReference w:id="25"/>
      </w:r>
      <w:r w:rsidR="00980822">
        <w:rPr>
          <w:lang w:val="fr-FR"/>
        </w:rPr>
        <w:t>.</w:t>
      </w:r>
    </w:p>
    <w:p w:rsidR="003C30E5" w:rsidRDefault="003C30E5" w:rsidP="005D7B68">
      <w:pPr>
        <w:tabs>
          <w:tab w:val="left" w:pos="567"/>
          <w:tab w:val="left" w:pos="1134"/>
          <w:tab w:val="left" w:pos="1701"/>
          <w:tab w:val="left" w:pos="2268"/>
          <w:tab w:val="left" w:pos="2835"/>
        </w:tabs>
        <w:rPr>
          <w:lang w:val="fr-FR"/>
        </w:rPr>
      </w:pPr>
      <w:r>
        <w:rPr>
          <w:lang w:val="fr-FR"/>
        </w:rPr>
        <w:t>83</w:t>
      </w:r>
      <w:r w:rsidR="00E562C0">
        <w:rPr>
          <w:lang w:val="fr-FR"/>
        </w:rPr>
        <w:t>5</w:t>
      </w:r>
      <w:r>
        <w:rPr>
          <w:lang w:val="fr-FR"/>
        </w:rPr>
        <w:t>.</w:t>
      </w:r>
      <w:r>
        <w:rPr>
          <w:lang w:val="fr-FR"/>
        </w:rPr>
        <w:tab/>
        <w:t>En outre, l’article 138 1) dispose que si les preuves sont obtenues de manière inappropriée ou en infraction à une loi australienne ou à la suite d’un acte répréhensible ou d’une violation d’une loi australienne, le tribunal a toute latitud</w:t>
      </w:r>
      <w:r w:rsidR="00180215">
        <w:rPr>
          <w:lang w:val="fr-FR"/>
        </w:rPr>
        <w:t>e pour ne pas les recevoir</w:t>
      </w:r>
      <w:r w:rsidR="008D6B80">
        <w:rPr>
          <w:lang w:val="fr-FR"/>
        </w:rPr>
        <w:t xml:space="preserve">. </w:t>
      </w:r>
      <w:r>
        <w:rPr>
          <w:lang w:val="fr-FR"/>
        </w:rPr>
        <w:t xml:space="preserve">Le critère pour cela, selon l’article 138 1), consiste à </w:t>
      </w:r>
      <w:r w:rsidR="00523AD3">
        <w:rPr>
          <w:lang w:val="fr-FR"/>
        </w:rPr>
        <w:t xml:space="preserve">savoir </w:t>
      </w:r>
      <w:r w:rsidR="00A619D6">
        <w:rPr>
          <w:lang w:val="fr-FR"/>
        </w:rPr>
        <w:t>«</w:t>
      </w:r>
      <w:r w:rsidR="00523AD3">
        <w:rPr>
          <w:lang w:val="fr-FR"/>
        </w:rPr>
        <w:t xml:space="preserve">s’il paraît plus sage d’admettre que de ne pas admettre les éléments de preuve obtenus </w:t>
      </w:r>
      <w:r w:rsidR="00BA1D10">
        <w:rPr>
          <w:lang w:val="fr-FR"/>
        </w:rPr>
        <w:t>comme ils l’ont été.</w:t>
      </w:r>
      <w:r w:rsidR="00A619D6">
        <w:rPr>
          <w:lang w:val="fr-FR"/>
        </w:rPr>
        <w:t>»</w:t>
      </w:r>
      <w:r w:rsidR="00572260">
        <w:rPr>
          <w:lang w:val="fr-FR"/>
        </w:rPr>
        <w:t xml:space="preserve"> </w:t>
      </w:r>
      <w:r w:rsidR="00BA1D10">
        <w:rPr>
          <w:lang w:val="fr-FR"/>
        </w:rPr>
        <w:t>Tel est,</w:t>
      </w:r>
      <w:r w:rsidR="00523AD3">
        <w:rPr>
          <w:lang w:val="fr-FR"/>
        </w:rPr>
        <w:t xml:space="preserve"> </w:t>
      </w:r>
      <w:r w:rsidR="00BA1D10">
        <w:rPr>
          <w:lang w:val="fr-FR"/>
        </w:rPr>
        <w:t xml:space="preserve">traduit </w:t>
      </w:r>
      <w:r w:rsidR="00523AD3">
        <w:rPr>
          <w:lang w:val="fr-FR"/>
        </w:rPr>
        <w:t>en droit écrit</w:t>
      </w:r>
      <w:r w:rsidR="00BA1D10">
        <w:rPr>
          <w:lang w:val="fr-FR"/>
        </w:rPr>
        <w:t>,</w:t>
      </w:r>
      <w:r w:rsidR="00523AD3">
        <w:rPr>
          <w:lang w:val="fr-FR"/>
        </w:rPr>
        <w:t xml:space="preserve"> le critère du </w:t>
      </w:r>
      <w:r w:rsidR="00523AD3">
        <w:rPr>
          <w:i/>
          <w:iCs/>
          <w:lang w:val="fr-FR"/>
        </w:rPr>
        <w:t>common law</w:t>
      </w:r>
      <w:r w:rsidR="00BA1D10">
        <w:rPr>
          <w:lang w:val="fr-FR"/>
        </w:rPr>
        <w:t xml:space="preserve"> consistant à</w:t>
      </w:r>
      <w:r w:rsidR="00523AD3">
        <w:rPr>
          <w:lang w:val="fr-FR"/>
        </w:rPr>
        <w:t xml:space="preserve"> déterminer si le prix de l’obtention des éléments de preuve </w:t>
      </w:r>
      <w:r w:rsidR="00BA1D10">
        <w:rPr>
          <w:lang w:val="fr-FR"/>
        </w:rPr>
        <w:t xml:space="preserve">n’a pas été trop élevé, au point de faire injure au sens de l’équité ou de provoquer </w:t>
      </w:r>
      <w:r w:rsidR="00841103">
        <w:rPr>
          <w:lang w:val="fr-FR"/>
        </w:rPr>
        <w:t>une indignation immédiate</w:t>
      </w:r>
      <w:r w:rsidR="00841103">
        <w:rPr>
          <w:rStyle w:val="FootnoteReference"/>
          <w:lang w:val="fr-FR"/>
        </w:rPr>
        <w:footnoteReference w:id="26"/>
      </w:r>
      <w:r w:rsidR="00980822">
        <w:rPr>
          <w:lang w:val="fr-FR"/>
        </w:rPr>
        <w:t>.</w:t>
      </w:r>
      <w:r w:rsidR="00572260">
        <w:rPr>
          <w:lang w:val="fr-FR"/>
        </w:rPr>
        <w:t xml:space="preserve"> </w:t>
      </w:r>
      <w:r w:rsidR="00841103">
        <w:rPr>
          <w:lang w:val="fr-FR"/>
        </w:rPr>
        <w:t>Il apparaît clairement que toute forme de torture correspondrait à ce critère et doit donc être exclue.</w:t>
      </w:r>
    </w:p>
    <w:p w:rsidR="00841103" w:rsidRDefault="00841103" w:rsidP="005D7B68">
      <w:pPr>
        <w:tabs>
          <w:tab w:val="left" w:pos="567"/>
          <w:tab w:val="left" w:pos="1134"/>
          <w:tab w:val="left" w:pos="1701"/>
          <w:tab w:val="left" w:pos="2268"/>
          <w:tab w:val="left" w:pos="2835"/>
        </w:tabs>
        <w:rPr>
          <w:lang w:val="fr-FR"/>
        </w:rPr>
      </w:pPr>
      <w:r>
        <w:rPr>
          <w:lang w:val="fr-FR"/>
        </w:rPr>
        <w:t>83</w:t>
      </w:r>
      <w:r w:rsidR="00E562C0">
        <w:rPr>
          <w:lang w:val="fr-FR"/>
        </w:rPr>
        <w:t>6</w:t>
      </w:r>
      <w:r>
        <w:rPr>
          <w:lang w:val="fr-FR"/>
        </w:rPr>
        <w:t>.</w:t>
      </w:r>
      <w:r>
        <w:rPr>
          <w:lang w:val="fr-FR"/>
        </w:rPr>
        <w:tab/>
        <w:t xml:space="preserve">Dans l’article 138 2) figurent des exemples de cas dans lesquels on pourra considérer que les preuves ont été </w:t>
      </w:r>
      <w:r w:rsidR="00B606B8">
        <w:rPr>
          <w:lang w:val="fr-FR"/>
        </w:rPr>
        <w:t>obtenues de façon illicite</w:t>
      </w:r>
      <w:r>
        <w:rPr>
          <w:lang w:val="fr-FR"/>
        </w:rPr>
        <w:t xml:space="preserve"> et sont donc irrecevab</w:t>
      </w:r>
      <w:r w:rsidR="00980822">
        <w:rPr>
          <w:lang w:val="fr-FR"/>
        </w:rPr>
        <w:t>les en application de l’article </w:t>
      </w:r>
      <w:r>
        <w:rPr>
          <w:lang w:val="fr-FR"/>
        </w:rPr>
        <w:t>138 1)</w:t>
      </w:r>
      <w:r w:rsidR="008D6B80">
        <w:rPr>
          <w:lang w:val="fr-FR"/>
        </w:rPr>
        <w:t xml:space="preserve">. </w:t>
      </w:r>
      <w:r>
        <w:rPr>
          <w:lang w:val="fr-FR"/>
        </w:rPr>
        <w:t>L’article 138 2)</w:t>
      </w:r>
      <w:r w:rsidR="00180215">
        <w:rPr>
          <w:lang w:val="fr-FR"/>
        </w:rPr>
        <w:t xml:space="preserve"> </w:t>
      </w:r>
      <w:r>
        <w:rPr>
          <w:lang w:val="fr-FR"/>
        </w:rPr>
        <w:t>a) indique que</w:t>
      </w:r>
      <w:r w:rsidR="00B606B8">
        <w:rPr>
          <w:lang w:val="fr-FR"/>
        </w:rPr>
        <w:t xml:space="preserve"> la commission ou l’omission d’un acte conduisant la personne interrogée à répondre à des questions de façon irrationnelle amènera à considérer que les preuves ont été obtenues de façon illicite</w:t>
      </w:r>
      <w:r w:rsidR="008D6B80">
        <w:rPr>
          <w:lang w:val="fr-FR"/>
        </w:rPr>
        <w:t xml:space="preserve">. </w:t>
      </w:r>
      <w:r w:rsidR="00B606B8">
        <w:rPr>
          <w:lang w:val="fr-FR"/>
        </w:rPr>
        <w:t>Ainsi, comme la torture est susceptible de provoquer ce résultat, les preuves</w:t>
      </w:r>
      <w:r w:rsidR="00912219">
        <w:rPr>
          <w:lang w:val="fr-FR"/>
        </w:rPr>
        <w:t xml:space="preserve"> d’aveux obtenus dans ces conditions</w:t>
      </w:r>
      <w:r w:rsidR="00B606B8">
        <w:rPr>
          <w:lang w:val="fr-FR"/>
        </w:rPr>
        <w:t xml:space="preserve"> sont irrecevables au titre de l’article 138 2) a).</w:t>
      </w:r>
    </w:p>
    <w:p w:rsidR="006A7309" w:rsidRDefault="003941C9" w:rsidP="005D7B68">
      <w:pPr>
        <w:tabs>
          <w:tab w:val="left" w:pos="567"/>
          <w:tab w:val="left" w:pos="1134"/>
          <w:tab w:val="left" w:pos="1701"/>
          <w:tab w:val="left" w:pos="2268"/>
          <w:tab w:val="left" w:pos="2835"/>
        </w:tabs>
        <w:rPr>
          <w:lang w:val="fr-FR"/>
        </w:rPr>
      </w:pPr>
      <w:r>
        <w:rPr>
          <w:lang w:val="fr-FR"/>
        </w:rPr>
        <w:t>83</w:t>
      </w:r>
      <w:r w:rsidR="00E562C0">
        <w:rPr>
          <w:lang w:val="fr-FR"/>
        </w:rPr>
        <w:t>7</w:t>
      </w:r>
      <w:r>
        <w:rPr>
          <w:lang w:val="fr-FR"/>
        </w:rPr>
        <w:t>.</w:t>
      </w:r>
      <w:r>
        <w:rPr>
          <w:lang w:val="fr-FR"/>
        </w:rPr>
        <w:tab/>
        <w:t>L’article 138 3) f) est également pertinent en ce qu’il dispose que l’une</w:t>
      </w:r>
      <w:r w:rsidR="009C1BE8">
        <w:rPr>
          <w:lang w:val="fr-FR"/>
        </w:rPr>
        <w:t xml:space="preserve"> des considérations dont le juge doit</w:t>
      </w:r>
      <w:r>
        <w:rPr>
          <w:lang w:val="fr-FR"/>
        </w:rPr>
        <w:t xml:space="preserve"> tenir compte au moment</w:t>
      </w:r>
      <w:r w:rsidR="009C1BE8">
        <w:rPr>
          <w:lang w:val="fr-FR"/>
        </w:rPr>
        <w:t xml:space="preserve"> de prendre la décision d’exclure des éléments de preuve au titre de l’article 138 1) est de savoir si l’acte illicite ou l’infraction commise était contraire à un droit d’une personne consacré par le Pacte international relatif aux droits civils et politiques ou incompatible avec ce droit.</w:t>
      </w:r>
    </w:p>
    <w:p w:rsidR="002529D0" w:rsidRDefault="006A7309" w:rsidP="00E8018D">
      <w:pPr>
        <w:keepNext/>
        <w:tabs>
          <w:tab w:val="left" w:pos="567"/>
          <w:tab w:val="left" w:pos="1134"/>
          <w:tab w:val="left" w:pos="1701"/>
          <w:tab w:val="left" w:pos="2268"/>
          <w:tab w:val="left" w:pos="2835"/>
        </w:tabs>
        <w:rPr>
          <w:lang w:val="fr-FR"/>
        </w:rPr>
      </w:pPr>
      <w:r>
        <w:rPr>
          <w:lang w:val="fr-FR"/>
        </w:rPr>
        <w:t>83</w:t>
      </w:r>
      <w:r w:rsidR="00E562C0">
        <w:rPr>
          <w:lang w:val="fr-FR"/>
        </w:rPr>
        <w:t>8</w:t>
      </w:r>
      <w:r>
        <w:rPr>
          <w:lang w:val="fr-FR"/>
        </w:rPr>
        <w:t>.</w:t>
      </w:r>
      <w:r>
        <w:rPr>
          <w:lang w:val="fr-FR"/>
        </w:rPr>
        <w:tab/>
        <w:t>Comme il a été indiqué plus haut, la torture est érigée en un certain nombre d’infractions par la loi de 1900 sur les infractions pénales (Nouvelle</w:t>
      </w:r>
      <w:r w:rsidR="00980822">
        <w:rPr>
          <w:lang w:val="fr-FR"/>
        </w:rPr>
        <w:noBreakHyphen/>
      </w:r>
      <w:r>
        <w:rPr>
          <w:lang w:val="fr-FR"/>
        </w:rPr>
        <w:t>Galles du Sud) et, par conséquent, au titre de l’article 138 1) de la loi sur les éléments de preuve, les</w:t>
      </w:r>
      <w:r w:rsidR="002529D0">
        <w:rPr>
          <w:lang w:val="fr-FR"/>
        </w:rPr>
        <w:t xml:space="preserve"> tribunaux ont toute lat</w:t>
      </w:r>
      <w:r w:rsidR="00180215">
        <w:rPr>
          <w:lang w:val="fr-FR"/>
        </w:rPr>
        <w:t>itude pour écarter</w:t>
      </w:r>
      <w:r w:rsidR="002529D0">
        <w:rPr>
          <w:lang w:val="fr-FR"/>
        </w:rPr>
        <w:t xml:space="preserve"> les</w:t>
      </w:r>
      <w:r>
        <w:rPr>
          <w:lang w:val="fr-FR"/>
        </w:rPr>
        <w:t xml:space="preserve"> preuves obtenues par ces formes de torture</w:t>
      </w:r>
      <w:r w:rsidR="002529D0">
        <w:rPr>
          <w:lang w:val="fr-FR"/>
        </w:rPr>
        <w:t>, dont voi</w:t>
      </w:r>
      <w:r w:rsidR="00980822">
        <w:rPr>
          <w:lang w:val="fr-FR"/>
        </w:rPr>
        <w:t>ci une liste non exhaustive, en </w:t>
      </w:r>
      <w:r w:rsidR="002529D0">
        <w:rPr>
          <w:lang w:val="fr-FR"/>
        </w:rPr>
        <w:t xml:space="preserve">vertu de la loi sur les </w:t>
      </w:r>
      <w:r w:rsidR="002529D0" w:rsidRPr="00180215">
        <w:rPr>
          <w:lang w:val="fr-FR"/>
        </w:rPr>
        <w:t>infractions pénales</w:t>
      </w:r>
      <w:r w:rsidR="00572260">
        <w:rPr>
          <w:lang w:val="fr-FR"/>
        </w:rPr>
        <w:t>:</w:t>
      </w:r>
    </w:p>
    <w:p w:rsidR="002529D0" w:rsidRDefault="00EE2D7A" w:rsidP="00E8018D">
      <w:pPr>
        <w:keepNext/>
        <w:tabs>
          <w:tab w:val="left" w:pos="567"/>
          <w:tab w:val="left" w:pos="1134"/>
          <w:tab w:val="left" w:pos="1701"/>
          <w:tab w:val="left" w:pos="2268"/>
          <w:tab w:val="left" w:pos="2835"/>
        </w:tabs>
        <w:rPr>
          <w:lang w:val="fr-FR"/>
        </w:rPr>
      </w:pPr>
      <w:r>
        <w:rPr>
          <w:lang w:val="fr-FR"/>
        </w:rPr>
        <w:tab/>
        <w:t>a)</w:t>
      </w:r>
      <w:r>
        <w:rPr>
          <w:lang w:val="fr-FR"/>
        </w:rPr>
        <w:tab/>
        <w:t>Article 33 (C</w:t>
      </w:r>
      <w:r w:rsidR="002529D0">
        <w:rPr>
          <w:lang w:val="fr-FR"/>
        </w:rPr>
        <w:t>oups et blessures etc. avec</w:t>
      </w:r>
      <w:r w:rsidR="00EC7990">
        <w:rPr>
          <w:lang w:val="fr-FR"/>
        </w:rPr>
        <w:t xml:space="preserve"> intention de causer un préjudice corporel ou de résister à une </w:t>
      </w:r>
      <w:r w:rsidR="002529D0">
        <w:rPr>
          <w:lang w:val="fr-FR"/>
        </w:rPr>
        <w:t>arrestation)</w:t>
      </w:r>
      <w:r w:rsidR="00825BC0">
        <w:rPr>
          <w:lang w:val="fr-FR"/>
        </w:rPr>
        <w:t>;</w:t>
      </w:r>
    </w:p>
    <w:p w:rsidR="002529D0" w:rsidRDefault="002529D0" w:rsidP="00E8018D">
      <w:pPr>
        <w:keepNext/>
        <w:tabs>
          <w:tab w:val="left" w:pos="567"/>
          <w:tab w:val="left" w:pos="1134"/>
          <w:tab w:val="left" w:pos="1701"/>
          <w:tab w:val="left" w:pos="2268"/>
          <w:tab w:val="left" w:pos="2835"/>
        </w:tabs>
        <w:rPr>
          <w:lang w:val="fr-FR"/>
        </w:rPr>
      </w:pPr>
      <w:r>
        <w:rPr>
          <w:lang w:val="fr-FR"/>
        </w:rPr>
        <w:tab/>
        <w:t>b)</w:t>
      </w:r>
      <w:r>
        <w:rPr>
          <w:lang w:val="fr-FR"/>
        </w:rPr>
        <w:tab/>
        <w:t>Artic</w:t>
      </w:r>
      <w:r w:rsidR="00EE2D7A">
        <w:rPr>
          <w:lang w:val="fr-FR"/>
        </w:rPr>
        <w:t>le 35 (Coups et blessure</w:t>
      </w:r>
      <w:r w:rsidR="002360B8">
        <w:rPr>
          <w:lang w:val="fr-FR"/>
        </w:rPr>
        <w:t>s</w:t>
      </w:r>
      <w:r w:rsidR="00EE2D7A">
        <w:rPr>
          <w:lang w:val="fr-FR"/>
        </w:rPr>
        <w:t xml:space="preserve"> avec intention de causer un </w:t>
      </w:r>
      <w:r w:rsidR="00EC7990">
        <w:rPr>
          <w:lang w:val="fr-FR"/>
        </w:rPr>
        <w:t>préj</w:t>
      </w:r>
      <w:r w:rsidR="00EE2D7A">
        <w:rPr>
          <w:lang w:val="fr-FR"/>
        </w:rPr>
        <w:t>udice corporel</w:t>
      </w:r>
      <w:r w:rsidR="002360B8">
        <w:rPr>
          <w:lang w:val="fr-FR"/>
        </w:rPr>
        <w:t xml:space="preserve"> grave</w:t>
      </w:r>
      <w:r>
        <w:rPr>
          <w:lang w:val="fr-FR"/>
        </w:rPr>
        <w:t>)</w:t>
      </w:r>
      <w:r w:rsidR="00825BC0">
        <w:rPr>
          <w:lang w:val="fr-FR"/>
        </w:rPr>
        <w:t>;</w:t>
      </w:r>
    </w:p>
    <w:p w:rsidR="00B606B8" w:rsidRPr="00FB1985" w:rsidRDefault="002529D0" w:rsidP="005D7B68">
      <w:pPr>
        <w:tabs>
          <w:tab w:val="left" w:pos="567"/>
          <w:tab w:val="left" w:pos="1134"/>
          <w:tab w:val="left" w:pos="1701"/>
          <w:tab w:val="left" w:pos="2268"/>
          <w:tab w:val="left" w:pos="2835"/>
        </w:tabs>
        <w:rPr>
          <w:lang w:val="fr-FR"/>
        </w:rPr>
      </w:pPr>
      <w:r>
        <w:rPr>
          <w:lang w:val="fr-FR"/>
        </w:rPr>
        <w:tab/>
        <w:t>c)</w:t>
      </w:r>
      <w:r>
        <w:rPr>
          <w:lang w:val="fr-FR"/>
        </w:rPr>
        <w:tab/>
        <w:t>Article 35A</w:t>
      </w:r>
      <w:r w:rsidR="00572260">
        <w:rPr>
          <w:lang w:val="fr-FR"/>
        </w:rPr>
        <w:t xml:space="preserve"> </w:t>
      </w:r>
      <w:r w:rsidR="00EC7990">
        <w:rPr>
          <w:lang w:val="fr-FR"/>
        </w:rPr>
        <w:t>(Ordre à un chien de causer un préjudice corporel grave ou préjudice corporel effectif causé du fait de cet ordre)</w:t>
      </w:r>
      <w:r w:rsidR="00825BC0">
        <w:rPr>
          <w:lang w:val="fr-FR"/>
        </w:rPr>
        <w:t>;</w:t>
      </w:r>
    </w:p>
    <w:p w:rsidR="00EC7990" w:rsidRPr="003C30E5" w:rsidRDefault="00EC7990" w:rsidP="005D7B68">
      <w:pPr>
        <w:tabs>
          <w:tab w:val="left" w:pos="567"/>
          <w:tab w:val="left" w:pos="1134"/>
          <w:tab w:val="left" w:pos="1701"/>
          <w:tab w:val="left" w:pos="2268"/>
          <w:tab w:val="left" w:pos="2835"/>
        </w:tabs>
        <w:rPr>
          <w:lang w:val="fr-FR"/>
        </w:rPr>
      </w:pPr>
      <w:r>
        <w:rPr>
          <w:lang w:val="fr-FR"/>
        </w:rPr>
        <w:tab/>
        <w:t>d)</w:t>
      </w:r>
      <w:r>
        <w:rPr>
          <w:lang w:val="fr-FR"/>
        </w:rPr>
        <w:tab/>
        <w:t>Article 37 (Tentative d’étranglement, de suffocation ou d’étouffement)</w:t>
      </w:r>
      <w:r w:rsidR="00825BC0">
        <w:rPr>
          <w:lang w:val="fr-FR"/>
        </w:rPr>
        <w:t>;</w:t>
      </w:r>
    </w:p>
    <w:p w:rsidR="00EC7990" w:rsidRDefault="00825BC0" w:rsidP="005D7B68">
      <w:pPr>
        <w:tabs>
          <w:tab w:val="left" w:pos="567"/>
          <w:tab w:val="left" w:pos="1134"/>
          <w:tab w:val="left" w:pos="1701"/>
          <w:tab w:val="left" w:pos="2268"/>
          <w:tab w:val="left" w:pos="2835"/>
        </w:tabs>
        <w:rPr>
          <w:lang w:val="fr-FR"/>
        </w:rPr>
      </w:pPr>
      <w:r>
        <w:rPr>
          <w:lang w:val="fr-FR"/>
        </w:rPr>
        <w:tab/>
      </w:r>
      <w:r w:rsidR="00EC7990">
        <w:rPr>
          <w:lang w:val="fr-FR"/>
        </w:rPr>
        <w:t>e)</w:t>
      </w:r>
      <w:r w:rsidR="00EC7990">
        <w:rPr>
          <w:lang w:val="fr-FR"/>
        </w:rPr>
        <w:tab/>
        <w:t>Article 39 (Utilisation de poison pour mettre la vie en danger)</w:t>
      </w:r>
      <w:r>
        <w:rPr>
          <w:lang w:val="fr-FR"/>
        </w:rPr>
        <w:t>;</w:t>
      </w:r>
    </w:p>
    <w:p w:rsidR="00EC7990" w:rsidRDefault="00825BC0" w:rsidP="005D7B68">
      <w:pPr>
        <w:tabs>
          <w:tab w:val="left" w:pos="567"/>
          <w:tab w:val="left" w:pos="1134"/>
          <w:tab w:val="left" w:pos="1701"/>
          <w:tab w:val="left" w:pos="2268"/>
          <w:tab w:val="left" w:pos="2835"/>
        </w:tabs>
        <w:rPr>
          <w:lang w:val="fr-FR"/>
        </w:rPr>
      </w:pPr>
      <w:r>
        <w:rPr>
          <w:lang w:val="fr-FR"/>
        </w:rPr>
        <w:tab/>
      </w:r>
      <w:r w:rsidR="00EC7990">
        <w:rPr>
          <w:lang w:val="fr-FR"/>
        </w:rPr>
        <w:t>f)</w:t>
      </w:r>
      <w:r w:rsidR="00EC7990">
        <w:rPr>
          <w:lang w:val="fr-FR"/>
        </w:rPr>
        <w:tab/>
        <w:t>Article 41 (Administration de poison etc. pour causer un préjudice</w:t>
      </w:r>
      <w:r w:rsidR="001B513C">
        <w:rPr>
          <w:lang w:val="fr-FR"/>
        </w:rPr>
        <w:t xml:space="preserve"> </w:t>
      </w:r>
      <w:r w:rsidR="00EC7990">
        <w:rPr>
          <w:lang w:val="fr-FR"/>
        </w:rPr>
        <w:t>corporel ou</w:t>
      </w:r>
      <w:r w:rsidR="001B513C">
        <w:rPr>
          <w:lang w:val="fr-FR"/>
        </w:rPr>
        <w:t xml:space="preserve"> pour importuner)</w:t>
      </w:r>
      <w:r>
        <w:rPr>
          <w:lang w:val="fr-FR"/>
        </w:rPr>
        <w:t>;</w:t>
      </w:r>
    </w:p>
    <w:p w:rsidR="001B513C" w:rsidRDefault="00825BC0" w:rsidP="005D7B68">
      <w:pPr>
        <w:tabs>
          <w:tab w:val="left" w:pos="567"/>
          <w:tab w:val="left" w:pos="1134"/>
          <w:tab w:val="left" w:pos="1701"/>
          <w:tab w:val="left" w:pos="2268"/>
          <w:tab w:val="left" w:pos="2835"/>
        </w:tabs>
        <w:rPr>
          <w:lang w:val="fr-FR"/>
        </w:rPr>
      </w:pPr>
      <w:r>
        <w:rPr>
          <w:lang w:val="fr-FR"/>
        </w:rPr>
        <w:tab/>
      </w:r>
      <w:r w:rsidR="001B513C">
        <w:rPr>
          <w:lang w:val="fr-FR"/>
        </w:rPr>
        <w:t>g)</w:t>
      </w:r>
      <w:r w:rsidR="001B513C">
        <w:rPr>
          <w:lang w:val="fr-FR"/>
        </w:rPr>
        <w:tab/>
        <w:t>Article 59 (Agression occasionnant un préjudice corporel effectif)</w:t>
      </w:r>
      <w:r>
        <w:rPr>
          <w:lang w:val="fr-FR"/>
        </w:rPr>
        <w:t>;</w:t>
      </w:r>
    </w:p>
    <w:p w:rsidR="001B513C" w:rsidRPr="00EC7990" w:rsidRDefault="00825BC0" w:rsidP="005D7B68">
      <w:pPr>
        <w:tabs>
          <w:tab w:val="left" w:pos="567"/>
          <w:tab w:val="left" w:pos="1134"/>
          <w:tab w:val="left" w:pos="1701"/>
          <w:tab w:val="left" w:pos="2268"/>
          <w:tab w:val="left" w:pos="2835"/>
        </w:tabs>
        <w:rPr>
          <w:lang w:val="fr-FR"/>
        </w:rPr>
      </w:pPr>
      <w:r>
        <w:rPr>
          <w:lang w:val="fr-FR"/>
        </w:rPr>
        <w:tab/>
      </w:r>
      <w:r w:rsidR="001B513C">
        <w:rPr>
          <w:lang w:val="fr-FR"/>
        </w:rPr>
        <w:t>h)</w:t>
      </w:r>
      <w:r w:rsidR="001B513C">
        <w:rPr>
          <w:lang w:val="fr-FR"/>
        </w:rPr>
        <w:tab/>
        <w:t>Article 545B (Intimidation ou malveillance sous forme de violence ou autre)</w:t>
      </w:r>
      <w:r>
        <w:rPr>
          <w:lang w:val="fr-FR"/>
        </w:rPr>
        <w:t>.</w:t>
      </w:r>
    </w:p>
    <w:p w:rsidR="00A005D3" w:rsidRPr="00EC7990" w:rsidRDefault="001B513C" w:rsidP="005D7B68">
      <w:pPr>
        <w:tabs>
          <w:tab w:val="left" w:pos="567"/>
          <w:tab w:val="left" w:pos="1134"/>
          <w:tab w:val="left" w:pos="1701"/>
          <w:tab w:val="left" w:pos="2268"/>
          <w:tab w:val="left" w:pos="2835"/>
        </w:tabs>
        <w:rPr>
          <w:lang w:val="fr-FR"/>
        </w:rPr>
      </w:pPr>
      <w:r>
        <w:rPr>
          <w:lang w:val="fr-FR"/>
        </w:rPr>
        <w:t>8</w:t>
      </w:r>
      <w:r w:rsidR="00E562C0">
        <w:rPr>
          <w:lang w:val="fr-FR"/>
        </w:rPr>
        <w:t>39</w:t>
      </w:r>
      <w:r>
        <w:rPr>
          <w:lang w:val="fr-FR"/>
        </w:rPr>
        <w:t>.</w:t>
      </w:r>
      <w:r>
        <w:rPr>
          <w:lang w:val="fr-FR"/>
        </w:rPr>
        <w:tab/>
      </w:r>
      <w:r w:rsidR="00975EEA">
        <w:rPr>
          <w:lang w:val="fr-FR"/>
        </w:rPr>
        <w:t xml:space="preserve">En liaison avec l’irrecevabilité des éléments de preuve obtenus par la torture ou un traitement cruel, inhumain ou dégradant, le </w:t>
      </w:r>
      <w:r w:rsidR="00975EEA">
        <w:rPr>
          <w:i/>
          <w:iCs/>
          <w:lang w:val="fr-FR"/>
        </w:rPr>
        <w:t>common law</w:t>
      </w:r>
      <w:r w:rsidR="00975EEA">
        <w:rPr>
          <w:lang w:val="fr-FR"/>
        </w:rPr>
        <w:t xml:space="preserve"> dispose que les aveux doivent être spontanés pour être recevables</w:t>
      </w:r>
      <w:r w:rsidR="008D6B80">
        <w:rPr>
          <w:lang w:val="fr-FR"/>
        </w:rPr>
        <w:t xml:space="preserve">. </w:t>
      </w:r>
      <w:r w:rsidR="00975EEA">
        <w:rPr>
          <w:lang w:val="fr-FR"/>
        </w:rPr>
        <w:t>Cela, toutefois, a été remplacé par les articles 84, 85 et 142 de la loi sur les éléments de preuve.</w:t>
      </w:r>
      <w:r>
        <w:rPr>
          <w:lang w:val="fr-FR"/>
        </w:rPr>
        <w:tab/>
      </w:r>
    </w:p>
    <w:p w:rsidR="00A005D3" w:rsidRDefault="00A005D3" w:rsidP="005D7B68">
      <w:pPr>
        <w:tabs>
          <w:tab w:val="left" w:pos="567"/>
          <w:tab w:val="left" w:pos="1134"/>
          <w:tab w:val="left" w:pos="1701"/>
          <w:tab w:val="left" w:pos="2268"/>
          <w:tab w:val="left" w:pos="2835"/>
        </w:tabs>
        <w:rPr>
          <w:b/>
          <w:bCs/>
          <w:lang w:val="fr-FR"/>
        </w:rPr>
      </w:pPr>
      <w:r>
        <w:rPr>
          <w:b/>
          <w:bCs/>
          <w:lang w:val="fr-FR"/>
        </w:rPr>
        <w:t>Victoria</w:t>
      </w:r>
    </w:p>
    <w:p w:rsidR="00A005D3" w:rsidRPr="00A005D3" w:rsidRDefault="00A005D3" w:rsidP="005D7B68">
      <w:pPr>
        <w:tabs>
          <w:tab w:val="left" w:pos="567"/>
          <w:tab w:val="left" w:pos="1134"/>
          <w:tab w:val="left" w:pos="1701"/>
          <w:tab w:val="left" w:pos="2268"/>
          <w:tab w:val="left" w:pos="2835"/>
        </w:tabs>
        <w:rPr>
          <w:b/>
          <w:bCs/>
          <w:lang w:val="fr-FR"/>
        </w:rPr>
      </w:pPr>
      <w:r>
        <w:rPr>
          <w:b/>
          <w:bCs/>
          <w:lang w:val="fr-FR"/>
        </w:rPr>
        <w:t>Loi de 2006 sur la Charte des droits de l’homme et des responsabilités correspondantes</w:t>
      </w:r>
    </w:p>
    <w:p w:rsidR="00A005D3" w:rsidRDefault="00A005D3" w:rsidP="005D7B68">
      <w:pPr>
        <w:tabs>
          <w:tab w:val="left" w:pos="567"/>
          <w:tab w:val="left" w:pos="1134"/>
          <w:tab w:val="left" w:pos="1701"/>
          <w:tab w:val="left" w:pos="2268"/>
          <w:tab w:val="left" w:pos="2835"/>
        </w:tabs>
        <w:rPr>
          <w:lang w:val="fr-FR"/>
        </w:rPr>
      </w:pPr>
      <w:r>
        <w:rPr>
          <w:lang w:val="fr-FR"/>
        </w:rPr>
        <w:t>84</w:t>
      </w:r>
      <w:r w:rsidR="00E562C0">
        <w:rPr>
          <w:lang w:val="fr-FR"/>
        </w:rPr>
        <w:t>0</w:t>
      </w:r>
      <w:r>
        <w:rPr>
          <w:lang w:val="fr-FR"/>
        </w:rPr>
        <w:t>.</w:t>
      </w:r>
      <w:r>
        <w:rPr>
          <w:lang w:val="fr-FR"/>
        </w:rPr>
        <w:tab/>
        <w:t>Cette loi assure une protection contre la torture et les traitements cruels, inhumains ou dégradants (art. 10)</w:t>
      </w:r>
      <w:r w:rsidR="008D6B80">
        <w:rPr>
          <w:lang w:val="fr-FR"/>
        </w:rPr>
        <w:t>.</w:t>
      </w:r>
      <w:r w:rsidR="00572260">
        <w:rPr>
          <w:lang w:val="fr-FR"/>
        </w:rPr>
        <w:t xml:space="preserve"> </w:t>
      </w:r>
      <w:r>
        <w:rPr>
          <w:lang w:val="fr-FR"/>
        </w:rPr>
        <w:t>L’article 10 dispose ce qui suit</w:t>
      </w:r>
      <w:r w:rsidR="00572260">
        <w:rPr>
          <w:lang w:val="fr-FR"/>
        </w:rPr>
        <w:t>:</w:t>
      </w:r>
    </w:p>
    <w:p w:rsidR="00A005D3" w:rsidRDefault="00A005D3" w:rsidP="005D7B68">
      <w:pPr>
        <w:tabs>
          <w:tab w:val="left" w:pos="567"/>
          <w:tab w:val="left" w:pos="1134"/>
          <w:tab w:val="left" w:pos="1701"/>
          <w:tab w:val="left" w:pos="2268"/>
          <w:tab w:val="left" w:pos="2835"/>
        </w:tabs>
        <w:rPr>
          <w:i/>
          <w:iCs/>
          <w:lang w:val="fr-FR"/>
        </w:rPr>
      </w:pPr>
      <w:r>
        <w:rPr>
          <w:lang w:val="fr-FR"/>
        </w:rPr>
        <w:tab/>
      </w:r>
      <w:r w:rsidR="00825BC0">
        <w:rPr>
          <w:lang w:val="fr-FR"/>
        </w:rPr>
        <w:tab/>
      </w:r>
      <w:r w:rsidR="00A619D6">
        <w:rPr>
          <w:lang w:val="fr-FR"/>
        </w:rPr>
        <w:t>«</w:t>
      </w:r>
      <w:r w:rsidR="0099028E">
        <w:rPr>
          <w:i/>
          <w:iCs/>
          <w:lang w:val="fr-FR"/>
        </w:rPr>
        <w:t>Nul ne doit être –</w:t>
      </w:r>
    </w:p>
    <w:p w:rsidR="0099028E" w:rsidRPr="0099028E" w:rsidRDefault="00460115" w:rsidP="005D7B68">
      <w:pPr>
        <w:tabs>
          <w:tab w:val="left" w:pos="567"/>
          <w:tab w:val="left" w:pos="1134"/>
          <w:tab w:val="left" w:pos="1701"/>
          <w:tab w:val="left" w:pos="2268"/>
          <w:tab w:val="left" w:pos="2835"/>
        </w:tabs>
        <w:rPr>
          <w:i/>
          <w:iCs/>
          <w:lang w:val="fr-FR"/>
        </w:rPr>
      </w:pPr>
      <w:r>
        <w:rPr>
          <w:i/>
          <w:iCs/>
          <w:lang w:val="fr-FR"/>
        </w:rPr>
        <w:tab/>
      </w:r>
      <w:r w:rsidR="00825BC0">
        <w:rPr>
          <w:i/>
          <w:iCs/>
          <w:lang w:val="fr-FR"/>
        </w:rPr>
        <w:tab/>
      </w:r>
      <w:r>
        <w:rPr>
          <w:i/>
          <w:iCs/>
          <w:lang w:val="fr-FR"/>
        </w:rPr>
        <w:t>a)</w:t>
      </w:r>
      <w:r>
        <w:rPr>
          <w:i/>
          <w:iCs/>
          <w:lang w:val="fr-FR"/>
        </w:rPr>
        <w:tab/>
        <w:t>S</w:t>
      </w:r>
      <w:r w:rsidR="0099028E">
        <w:rPr>
          <w:i/>
          <w:iCs/>
          <w:lang w:val="fr-FR"/>
        </w:rPr>
        <w:t>oumis à la torture; ou</w:t>
      </w:r>
    </w:p>
    <w:p w:rsidR="0099028E" w:rsidRPr="0099028E" w:rsidRDefault="0099028E" w:rsidP="005D7B68">
      <w:pPr>
        <w:tabs>
          <w:tab w:val="left" w:pos="567"/>
          <w:tab w:val="left" w:pos="1134"/>
          <w:tab w:val="left" w:pos="1701"/>
          <w:tab w:val="left" w:pos="2268"/>
          <w:tab w:val="left" w:pos="2835"/>
        </w:tabs>
        <w:rPr>
          <w:i/>
          <w:iCs/>
          <w:lang w:val="fr-FR"/>
        </w:rPr>
      </w:pPr>
      <w:r>
        <w:rPr>
          <w:lang w:val="fr-FR"/>
        </w:rPr>
        <w:tab/>
      </w:r>
      <w:r w:rsidR="00825BC0">
        <w:rPr>
          <w:lang w:val="fr-FR"/>
        </w:rPr>
        <w:tab/>
      </w:r>
      <w:r w:rsidR="00460115">
        <w:rPr>
          <w:i/>
          <w:iCs/>
          <w:lang w:val="fr-FR"/>
        </w:rPr>
        <w:t>b)</w:t>
      </w:r>
      <w:r w:rsidR="00460115">
        <w:rPr>
          <w:i/>
          <w:iCs/>
          <w:lang w:val="fr-FR"/>
        </w:rPr>
        <w:tab/>
        <w:t>S</w:t>
      </w:r>
      <w:r>
        <w:rPr>
          <w:i/>
          <w:iCs/>
          <w:lang w:val="fr-FR"/>
        </w:rPr>
        <w:t>oumis à une peine ou traitement cruel, inhumain ou dégradant</w:t>
      </w:r>
      <w:r w:rsidR="00572260">
        <w:rPr>
          <w:i/>
          <w:iCs/>
          <w:lang w:val="fr-FR"/>
        </w:rPr>
        <w:t>;</w:t>
      </w:r>
      <w:r>
        <w:rPr>
          <w:i/>
          <w:iCs/>
          <w:lang w:val="fr-FR"/>
        </w:rPr>
        <w:t xml:space="preserve"> ou</w:t>
      </w:r>
    </w:p>
    <w:p w:rsidR="0099028E" w:rsidRPr="0099028E" w:rsidRDefault="00825BC0" w:rsidP="005D7B68">
      <w:pPr>
        <w:tabs>
          <w:tab w:val="left" w:pos="567"/>
          <w:tab w:val="left" w:pos="1134"/>
          <w:tab w:val="left" w:pos="1701"/>
          <w:tab w:val="left" w:pos="2268"/>
          <w:tab w:val="left" w:pos="2835"/>
        </w:tabs>
        <w:ind w:left="567" w:hanging="567"/>
        <w:rPr>
          <w:i/>
          <w:iCs/>
          <w:lang w:val="fr-FR"/>
        </w:rPr>
      </w:pPr>
      <w:r>
        <w:rPr>
          <w:i/>
          <w:iCs/>
          <w:lang w:val="fr-FR"/>
        </w:rPr>
        <w:tab/>
      </w:r>
      <w:r>
        <w:rPr>
          <w:i/>
          <w:iCs/>
          <w:lang w:val="fr-FR"/>
        </w:rPr>
        <w:tab/>
      </w:r>
      <w:r w:rsidR="00460115">
        <w:rPr>
          <w:i/>
          <w:iCs/>
          <w:lang w:val="fr-FR"/>
        </w:rPr>
        <w:t>c)</w:t>
      </w:r>
      <w:r w:rsidR="00460115">
        <w:rPr>
          <w:i/>
          <w:iCs/>
          <w:lang w:val="fr-FR"/>
        </w:rPr>
        <w:tab/>
        <w:t>S</w:t>
      </w:r>
      <w:r w:rsidR="0099028E">
        <w:rPr>
          <w:i/>
          <w:iCs/>
          <w:lang w:val="fr-FR"/>
        </w:rPr>
        <w:t>oumis à des expériences ou des traitements médicaux ou scientifiques sans avoir donné son plein consentement librement et en toute connaissance de cause.</w:t>
      </w:r>
      <w:r w:rsidR="00A619D6">
        <w:rPr>
          <w:i/>
          <w:iCs/>
          <w:lang w:val="fr-FR"/>
        </w:rPr>
        <w:t>»</w:t>
      </w:r>
      <w:r>
        <w:rPr>
          <w:i/>
          <w:iCs/>
          <w:lang w:val="fr-FR"/>
        </w:rPr>
        <w:t>.</w:t>
      </w:r>
    </w:p>
    <w:p w:rsidR="0099028E" w:rsidRDefault="0099028E" w:rsidP="005D7B68">
      <w:pPr>
        <w:tabs>
          <w:tab w:val="left" w:pos="567"/>
          <w:tab w:val="left" w:pos="1134"/>
          <w:tab w:val="left" w:pos="1701"/>
          <w:tab w:val="left" w:pos="2268"/>
          <w:tab w:val="left" w:pos="2835"/>
        </w:tabs>
        <w:rPr>
          <w:b/>
          <w:bCs/>
          <w:lang w:val="fr-FR"/>
        </w:rPr>
      </w:pPr>
      <w:r>
        <w:rPr>
          <w:b/>
          <w:bCs/>
          <w:lang w:val="fr-FR"/>
        </w:rPr>
        <w:t>Lois en vigueur sur les éléments de preuve</w:t>
      </w:r>
    </w:p>
    <w:p w:rsidR="0099028E" w:rsidRDefault="0099028E" w:rsidP="005D7B68">
      <w:pPr>
        <w:tabs>
          <w:tab w:val="left" w:pos="567"/>
          <w:tab w:val="left" w:pos="1134"/>
          <w:tab w:val="left" w:pos="1701"/>
          <w:tab w:val="left" w:pos="2268"/>
          <w:tab w:val="left" w:pos="2835"/>
        </w:tabs>
        <w:rPr>
          <w:lang w:val="fr-FR"/>
        </w:rPr>
      </w:pPr>
      <w:r>
        <w:rPr>
          <w:lang w:val="fr-FR"/>
        </w:rPr>
        <w:t>84</w:t>
      </w:r>
      <w:r w:rsidR="00E562C0">
        <w:rPr>
          <w:lang w:val="fr-FR"/>
        </w:rPr>
        <w:t>1</w:t>
      </w:r>
      <w:r>
        <w:rPr>
          <w:lang w:val="fr-FR"/>
        </w:rPr>
        <w:t>.</w:t>
      </w:r>
      <w:r>
        <w:rPr>
          <w:lang w:val="fr-FR"/>
        </w:rPr>
        <w:tab/>
        <w:t xml:space="preserve">La loi de 1958 sur les éléments de </w:t>
      </w:r>
      <w:r w:rsidR="009A1296">
        <w:rPr>
          <w:lang w:val="fr-FR"/>
        </w:rPr>
        <w:t>preuve dispose que les preuves</w:t>
      </w:r>
      <w:r>
        <w:rPr>
          <w:lang w:val="fr-FR"/>
        </w:rPr>
        <w:t xml:space="preserve"> ne sont pas recevables si une menace a été brandie à l’égard de la personne qui est passée aux aveux</w:t>
      </w:r>
      <w:r w:rsidR="009A1296">
        <w:rPr>
          <w:lang w:val="fr-FR"/>
        </w:rPr>
        <w:t>, sauf à ce que le tribunal estime que cette incitation était en réalité destinée à provoquer un faux aveu de culpabilité (art. 149).</w:t>
      </w:r>
    </w:p>
    <w:p w:rsidR="0034081E" w:rsidRDefault="009A1296" w:rsidP="005D7B68">
      <w:pPr>
        <w:tabs>
          <w:tab w:val="left" w:pos="567"/>
          <w:tab w:val="left" w:pos="1134"/>
          <w:tab w:val="left" w:pos="1701"/>
          <w:tab w:val="left" w:pos="2268"/>
          <w:tab w:val="left" w:pos="2835"/>
        </w:tabs>
        <w:rPr>
          <w:lang w:val="fr-FR"/>
        </w:rPr>
      </w:pPr>
      <w:r>
        <w:rPr>
          <w:lang w:val="fr-FR"/>
        </w:rPr>
        <w:t>84</w:t>
      </w:r>
      <w:r w:rsidR="00E562C0">
        <w:rPr>
          <w:lang w:val="fr-FR"/>
        </w:rPr>
        <w:t>2</w:t>
      </w:r>
      <w:r>
        <w:rPr>
          <w:lang w:val="fr-FR"/>
        </w:rPr>
        <w:t>.</w:t>
      </w:r>
      <w:r>
        <w:rPr>
          <w:lang w:val="fr-FR"/>
        </w:rPr>
        <w:tab/>
        <w:t>Cependant, la loi ménage également le pouvoir qu’ont les t</w:t>
      </w:r>
      <w:r w:rsidR="00180215">
        <w:rPr>
          <w:lang w:val="fr-FR"/>
        </w:rPr>
        <w:t>ribunaux d’écarter</w:t>
      </w:r>
      <w:r>
        <w:rPr>
          <w:lang w:val="fr-FR"/>
        </w:rPr>
        <w:t xml:space="preserve"> toute espèce de preuve obtenue par des moyens illicites (art. 5)</w:t>
      </w:r>
      <w:r w:rsidR="008D6B80">
        <w:rPr>
          <w:lang w:val="fr-FR"/>
        </w:rPr>
        <w:t xml:space="preserve">. </w:t>
      </w:r>
      <w:r>
        <w:rPr>
          <w:lang w:val="fr-FR"/>
        </w:rPr>
        <w:t xml:space="preserve">La Haute Cour d’Australie a énoncé des principes bien établis qui régissent </w:t>
      </w:r>
      <w:r w:rsidR="0034081E">
        <w:rPr>
          <w:lang w:val="fr-FR"/>
        </w:rPr>
        <w:t>la latitude laissée au juge pour exclure les preuves obtenues par des moyens illicites (</w:t>
      </w:r>
      <w:r w:rsidR="0034081E">
        <w:rPr>
          <w:i/>
          <w:iCs/>
          <w:lang w:val="fr-FR"/>
        </w:rPr>
        <w:t xml:space="preserve">Bunning </w:t>
      </w:r>
      <w:r w:rsidR="0034081E" w:rsidRPr="00AD3AD8">
        <w:rPr>
          <w:lang w:val="fr-FR"/>
        </w:rPr>
        <w:t>c.</w:t>
      </w:r>
      <w:r w:rsidR="0034081E">
        <w:rPr>
          <w:i/>
          <w:iCs/>
          <w:lang w:val="fr-FR"/>
        </w:rPr>
        <w:t xml:space="preserve"> Cross </w:t>
      </w:r>
      <w:r w:rsidR="0034081E">
        <w:rPr>
          <w:lang w:val="fr-FR"/>
        </w:rPr>
        <w:t>(1978) 141 CLR 54)</w:t>
      </w:r>
      <w:r w:rsidR="008D6B80">
        <w:rPr>
          <w:lang w:val="fr-FR"/>
        </w:rPr>
        <w:t xml:space="preserve">. </w:t>
      </w:r>
      <w:r w:rsidR="0034081E">
        <w:rPr>
          <w:lang w:val="fr-FR"/>
        </w:rPr>
        <w:t>Les points à considérer sont les suivants</w:t>
      </w:r>
      <w:r w:rsidR="00572260">
        <w:rPr>
          <w:lang w:val="fr-FR"/>
        </w:rPr>
        <w:t>:</w:t>
      </w:r>
    </w:p>
    <w:p w:rsidR="0034081E" w:rsidRDefault="0034081E" w:rsidP="005D7B68">
      <w:pPr>
        <w:tabs>
          <w:tab w:val="left" w:pos="567"/>
          <w:tab w:val="left" w:pos="1134"/>
          <w:tab w:val="left" w:pos="1701"/>
          <w:tab w:val="left" w:pos="2268"/>
          <w:tab w:val="left" w:pos="2835"/>
        </w:tabs>
        <w:rPr>
          <w:lang w:val="fr-FR"/>
        </w:rPr>
      </w:pPr>
      <w:r>
        <w:rPr>
          <w:lang w:val="fr-FR"/>
        </w:rPr>
        <w:tab/>
        <w:t>a)</w:t>
      </w:r>
      <w:r>
        <w:rPr>
          <w:lang w:val="fr-FR"/>
        </w:rPr>
        <w:tab/>
        <w:t>La question de savoir si ce comportement a été irréfléchi ou délibéré</w:t>
      </w:r>
      <w:r w:rsidR="00572260">
        <w:rPr>
          <w:lang w:val="fr-FR"/>
        </w:rPr>
        <w:t>;</w:t>
      </w:r>
    </w:p>
    <w:p w:rsidR="0034081E" w:rsidRDefault="0034081E" w:rsidP="005D7B68">
      <w:pPr>
        <w:tabs>
          <w:tab w:val="left" w:pos="567"/>
          <w:tab w:val="left" w:pos="1134"/>
          <w:tab w:val="left" w:pos="1701"/>
          <w:tab w:val="left" w:pos="2268"/>
          <w:tab w:val="left" w:pos="2835"/>
        </w:tabs>
        <w:rPr>
          <w:lang w:val="fr-FR"/>
        </w:rPr>
      </w:pPr>
      <w:r>
        <w:rPr>
          <w:lang w:val="fr-FR"/>
        </w:rPr>
        <w:tab/>
        <w:t>b)</w:t>
      </w:r>
      <w:r>
        <w:rPr>
          <w:lang w:val="fr-FR"/>
        </w:rPr>
        <w:tab/>
        <w:t>S’il aurait été facile ou non de respecter la loi</w:t>
      </w:r>
      <w:r w:rsidR="00572260">
        <w:rPr>
          <w:lang w:val="fr-FR"/>
        </w:rPr>
        <w:t>;</w:t>
      </w:r>
    </w:p>
    <w:p w:rsidR="0034081E" w:rsidRDefault="0034081E" w:rsidP="005D7B68">
      <w:pPr>
        <w:tabs>
          <w:tab w:val="left" w:pos="567"/>
          <w:tab w:val="left" w:pos="1134"/>
          <w:tab w:val="left" w:pos="1701"/>
          <w:tab w:val="left" w:pos="2268"/>
          <w:tab w:val="left" w:pos="2835"/>
        </w:tabs>
        <w:rPr>
          <w:lang w:val="fr-FR"/>
        </w:rPr>
      </w:pPr>
      <w:r>
        <w:rPr>
          <w:lang w:val="fr-FR"/>
        </w:rPr>
        <w:tab/>
        <w:t>c)</w:t>
      </w:r>
      <w:r>
        <w:rPr>
          <w:lang w:val="fr-FR"/>
        </w:rPr>
        <w:tab/>
        <w:t>La nature des éléments de preuve.</w:t>
      </w:r>
    </w:p>
    <w:p w:rsidR="0034081E" w:rsidRDefault="0034081E" w:rsidP="005D7B68">
      <w:pPr>
        <w:tabs>
          <w:tab w:val="left" w:pos="567"/>
          <w:tab w:val="left" w:pos="1134"/>
          <w:tab w:val="left" w:pos="1701"/>
          <w:tab w:val="left" w:pos="2268"/>
          <w:tab w:val="left" w:pos="2835"/>
        </w:tabs>
        <w:rPr>
          <w:b/>
          <w:bCs/>
          <w:lang w:val="fr-FR"/>
        </w:rPr>
      </w:pPr>
      <w:r>
        <w:rPr>
          <w:b/>
          <w:bCs/>
          <w:lang w:val="fr-FR"/>
        </w:rPr>
        <w:t>Projets de loi sur les éléments de preuve.</w:t>
      </w:r>
    </w:p>
    <w:p w:rsidR="000D5EDF" w:rsidRDefault="0034081E" w:rsidP="005D7B68">
      <w:pPr>
        <w:tabs>
          <w:tab w:val="left" w:pos="567"/>
          <w:tab w:val="left" w:pos="1134"/>
          <w:tab w:val="left" w:pos="1701"/>
          <w:tab w:val="left" w:pos="2268"/>
          <w:tab w:val="left" w:pos="2835"/>
        </w:tabs>
        <w:autoSpaceDE w:val="0"/>
        <w:autoSpaceDN w:val="0"/>
        <w:adjustRightInd w:val="0"/>
        <w:rPr>
          <w:sz w:val="22"/>
          <w:szCs w:val="22"/>
          <w:lang w:val="fr-FR" w:eastAsia="fr-FR"/>
        </w:rPr>
      </w:pPr>
      <w:r>
        <w:rPr>
          <w:lang w:val="fr-FR"/>
        </w:rPr>
        <w:t>84</w:t>
      </w:r>
      <w:r w:rsidR="00E562C0">
        <w:rPr>
          <w:lang w:val="fr-FR"/>
        </w:rPr>
        <w:t>3</w:t>
      </w:r>
      <w:r>
        <w:rPr>
          <w:lang w:val="fr-FR"/>
        </w:rPr>
        <w:t>.</w:t>
      </w:r>
      <w:r>
        <w:rPr>
          <w:lang w:val="fr-FR"/>
        </w:rPr>
        <w:tab/>
      </w:r>
      <w:r>
        <w:rPr>
          <w:i/>
          <w:iCs/>
          <w:lang w:val="fr-FR"/>
        </w:rPr>
        <w:t xml:space="preserve"> </w:t>
      </w:r>
      <w:r w:rsidR="00180215">
        <w:rPr>
          <w:lang w:val="fr-FR"/>
        </w:rPr>
        <w:t>Des travaux sont en cours dans l’État de</w:t>
      </w:r>
      <w:r w:rsidR="000D5EDF">
        <w:rPr>
          <w:lang w:val="fr-FR"/>
        </w:rPr>
        <w:t xml:space="preserve"> Victoria en vue de l’adoption d’une loi uniforme sur les éléments de preuve (en harmonie avec celle de la plupart des autres </w:t>
      </w:r>
      <w:r w:rsidR="000D5EDF" w:rsidRPr="00AD3AD8">
        <w:rPr>
          <w:lang w:val="fr-FR"/>
        </w:rPr>
        <w:t>juridictions</w:t>
      </w:r>
      <w:r w:rsidR="00180215">
        <w:rPr>
          <w:lang w:val="fr-FR"/>
        </w:rPr>
        <w:t xml:space="preserve"> australiennes) établissant</w:t>
      </w:r>
      <w:r w:rsidR="000D5EDF">
        <w:rPr>
          <w:lang w:val="fr-FR"/>
        </w:rPr>
        <w:t xml:space="preserve"> clairement que les preuves</w:t>
      </w:r>
      <w:r w:rsidR="00180215">
        <w:rPr>
          <w:lang w:val="fr-FR"/>
        </w:rPr>
        <w:t xml:space="preserve"> découlant</w:t>
      </w:r>
      <w:r w:rsidR="000D5EDF">
        <w:rPr>
          <w:lang w:val="fr-FR"/>
        </w:rPr>
        <w:t xml:space="preserve"> d’aveux ne sont recevables que si le trib</w:t>
      </w:r>
      <w:r w:rsidR="00180215">
        <w:rPr>
          <w:lang w:val="fr-FR"/>
        </w:rPr>
        <w:t>unal est convaincu qu’elles</w:t>
      </w:r>
      <w:r w:rsidR="000D5EDF">
        <w:rPr>
          <w:lang w:val="fr-FR"/>
        </w:rPr>
        <w:t xml:space="preserve"> n’ont </w:t>
      </w:r>
      <w:r w:rsidR="000D5EDF" w:rsidRPr="000D5EDF">
        <w:rPr>
          <w:szCs w:val="24"/>
          <w:lang w:val="fr-FR"/>
        </w:rPr>
        <w:t xml:space="preserve">pas été </w:t>
      </w:r>
      <w:r w:rsidR="000D5EDF" w:rsidRPr="000D5EDF">
        <w:rPr>
          <w:szCs w:val="24"/>
          <w:lang w:val="fr-FR" w:eastAsia="fr-FR"/>
        </w:rPr>
        <w:t>obtenu</w:t>
      </w:r>
      <w:r w:rsidR="00860995">
        <w:rPr>
          <w:szCs w:val="24"/>
          <w:lang w:val="fr-FR" w:eastAsia="fr-FR"/>
        </w:rPr>
        <w:t>e</w:t>
      </w:r>
      <w:r w:rsidR="00BB733F">
        <w:rPr>
          <w:szCs w:val="24"/>
          <w:lang w:val="fr-FR" w:eastAsia="fr-FR"/>
        </w:rPr>
        <w:t>s par la violence, la contrainte, ni</w:t>
      </w:r>
      <w:r w:rsidR="000D5EDF" w:rsidRPr="000D5EDF">
        <w:rPr>
          <w:szCs w:val="24"/>
          <w:lang w:val="fr-FR" w:eastAsia="fr-FR"/>
        </w:rPr>
        <w:t xml:space="preserve"> des moyens inhumains ou dégradants à l'endroit de la</w:t>
      </w:r>
      <w:r w:rsidR="000D5EDF">
        <w:rPr>
          <w:szCs w:val="24"/>
          <w:lang w:val="fr-FR" w:eastAsia="fr-FR"/>
        </w:rPr>
        <w:t xml:space="preserve"> </w:t>
      </w:r>
      <w:r w:rsidR="000D5EDF" w:rsidRPr="000D5EDF">
        <w:rPr>
          <w:szCs w:val="24"/>
          <w:lang w:val="fr-FR" w:eastAsia="fr-FR"/>
        </w:rPr>
        <w:t>personne qui a avoué ou de toute autre personne, ou par la menace d'adopter un tel comportement</w:t>
      </w:r>
      <w:r w:rsidR="000D5EDF">
        <w:rPr>
          <w:sz w:val="22"/>
          <w:szCs w:val="22"/>
          <w:lang w:val="fr-FR" w:eastAsia="fr-FR"/>
        </w:rPr>
        <w:t>. (art. 84).</w:t>
      </w:r>
    </w:p>
    <w:p w:rsidR="000D5EDF" w:rsidRDefault="000D5EDF" w:rsidP="005D7B68">
      <w:pPr>
        <w:tabs>
          <w:tab w:val="left" w:pos="567"/>
          <w:tab w:val="left" w:pos="1134"/>
          <w:tab w:val="left" w:pos="1701"/>
          <w:tab w:val="left" w:pos="2268"/>
          <w:tab w:val="left" w:pos="2835"/>
        </w:tabs>
        <w:rPr>
          <w:b/>
          <w:bCs/>
          <w:lang w:val="fr-FR"/>
        </w:rPr>
      </w:pPr>
      <w:r>
        <w:rPr>
          <w:b/>
          <w:bCs/>
          <w:lang w:val="fr-FR"/>
        </w:rPr>
        <w:t>Queensland</w:t>
      </w:r>
    </w:p>
    <w:p w:rsidR="00887380" w:rsidRDefault="000D5EDF" w:rsidP="005D7B68">
      <w:pPr>
        <w:tabs>
          <w:tab w:val="left" w:pos="567"/>
          <w:tab w:val="left" w:pos="1134"/>
          <w:tab w:val="left" w:pos="1701"/>
          <w:tab w:val="left" w:pos="2268"/>
          <w:tab w:val="left" w:pos="2835"/>
        </w:tabs>
        <w:rPr>
          <w:lang w:val="fr-FR"/>
        </w:rPr>
      </w:pPr>
      <w:r>
        <w:rPr>
          <w:lang w:val="fr-FR"/>
        </w:rPr>
        <w:t>84</w:t>
      </w:r>
      <w:r w:rsidR="00E562C0">
        <w:rPr>
          <w:lang w:val="fr-FR"/>
        </w:rPr>
        <w:t>4</w:t>
      </w:r>
      <w:r>
        <w:rPr>
          <w:lang w:val="fr-FR"/>
        </w:rPr>
        <w:t>.</w:t>
      </w:r>
      <w:r>
        <w:rPr>
          <w:lang w:val="fr-FR"/>
        </w:rPr>
        <w:tab/>
      </w:r>
      <w:r w:rsidR="005842BE">
        <w:rPr>
          <w:lang w:val="fr-FR"/>
        </w:rPr>
        <w:t xml:space="preserve">En </w:t>
      </w:r>
      <w:r w:rsidR="002133CB">
        <w:rPr>
          <w:lang w:val="fr-FR"/>
        </w:rPr>
        <w:t xml:space="preserve">règle </w:t>
      </w:r>
      <w:r w:rsidR="005842BE">
        <w:rPr>
          <w:lang w:val="fr-FR"/>
        </w:rPr>
        <w:t>général</w:t>
      </w:r>
      <w:r w:rsidR="002133CB">
        <w:rPr>
          <w:lang w:val="fr-FR"/>
        </w:rPr>
        <w:t>e</w:t>
      </w:r>
      <w:r w:rsidR="005842BE">
        <w:rPr>
          <w:lang w:val="fr-FR"/>
        </w:rPr>
        <w:t>,</w:t>
      </w:r>
      <w:r w:rsidR="002133CB">
        <w:rPr>
          <w:lang w:val="fr-FR"/>
        </w:rPr>
        <w:t xml:space="preserve"> </w:t>
      </w:r>
      <w:r w:rsidR="009A2C12">
        <w:rPr>
          <w:lang w:val="fr-FR"/>
        </w:rPr>
        <w:t>tout individu a le droit de</w:t>
      </w:r>
      <w:r w:rsidR="00AD3AD8">
        <w:rPr>
          <w:lang w:val="fr-FR"/>
        </w:rPr>
        <w:t xml:space="preserve"> refuser de déposer</w:t>
      </w:r>
      <w:r w:rsidR="009A2C12">
        <w:rPr>
          <w:lang w:val="fr-FR"/>
        </w:rPr>
        <w:t xml:space="preserve"> contre lui-même</w:t>
      </w:r>
      <w:r w:rsidR="008D6B80">
        <w:rPr>
          <w:lang w:val="fr-FR"/>
        </w:rPr>
        <w:t xml:space="preserve">. </w:t>
      </w:r>
      <w:r w:rsidR="009A2C12">
        <w:rPr>
          <w:lang w:val="fr-FR"/>
        </w:rPr>
        <w:t>Dans certains cas, il convient de mettre ce droit en balance avec l’intérêt général qui consiste à faire en sorte que les enquêteurs puissent obtenir des informations dans certaines circonstances</w:t>
      </w:r>
      <w:r w:rsidR="008D6B80">
        <w:rPr>
          <w:lang w:val="fr-FR"/>
        </w:rPr>
        <w:t xml:space="preserve">. </w:t>
      </w:r>
      <w:r w:rsidR="00A5284F">
        <w:rPr>
          <w:lang w:val="fr-FR"/>
        </w:rPr>
        <w:t xml:space="preserve">Lorsque la loi </w:t>
      </w:r>
      <w:r w:rsidR="00073EC1">
        <w:rPr>
          <w:lang w:val="fr-FR"/>
        </w:rPr>
        <w:t>abolit</w:t>
      </w:r>
      <w:r w:rsidR="00A5284F">
        <w:rPr>
          <w:lang w:val="fr-FR"/>
        </w:rPr>
        <w:t xml:space="preserve"> expressément le privilège de </w:t>
      </w:r>
      <w:r w:rsidR="00073EC1">
        <w:rPr>
          <w:lang w:val="fr-FR"/>
        </w:rPr>
        <w:t>non auto</w:t>
      </w:r>
      <w:r w:rsidR="00E36E1E">
        <w:rPr>
          <w:lang w:val="fr-FR"/>
        </w:rPr>
        <w:t>-</w:t>
      </w:r>
      <w:r w:rsidR="00073EC1">
        <w:rPr>
          <w:lang w:val="fr-FR"/>
        </w:rPr>
        <w:t>accusation, cela va habituellement de pair avec des restrictions relatives à l’usage qui peut être fait des informations</w:t>
      </w:r>
      <w:r w:rsidR="008D6B80">
        <w:rPr>
          <w:lang w:val="fr-FR"/>
        </w:rPr>
        <w:t xml:space="preserve">. </w:t>
      </w:r>
      <w:r w:rsidR="00073EC1">
        <w:rPr>
          <w:lang w:val="fr-FR"/>
        </w:rPr>
        <w:t>Dans la plupart des cas,</w:t>
      </w:r>
      <w:r w:rsidR="00887380">
        <w:rPr>
          <w:lang w:val="fr-FR"/>
        </w:rPr>
        <w:t xml:space="preserve"> les informations à caractère d’auto-incrimination peuvent ne pas être utilisées dans des poursuites contre l’intéressé</w:t>
      </w:r>
      <w:r w:rsidR="008D6B80">
        <w:rPr>
          <w:lang w:val="fr-FR"/>
        </w:rPr>
        <w:t xml:space="preserve">. </w:t>
      </w:r>
      <w:r w:rsidR="00887380">
        <w:rPr>
          <w:lang w:val="fr-FR"/>
        </w:rPr>
        <w:t>Dans certains cas, ces informations peuvent également servir</w:t>
      </w:r>
      <w:r w:rsidR="00073EC1">
        <w:rPr>
          <w:lang w:val="fr-FR"/>
        </w:rPr>
        <w:t xml:space="preserve"> </w:t>
      </w:r>
      <w:r w:rsidR="00887380">
        <w:rPr>
          <w:lang w:val="fr-FR"/>
        </w:rPr>
        <w:t>à révéler d’autres éléments de preuve contre ce dernier.</w:t>
      </w:r>
    </w:p>
    <w:p w:rsidR="000D5EDF" w:rsidRDefault="00887380" w:rsidP="005D7B68">
      <w:pPr>
        <w:tabs>
          <w:tab w:val="left" w:pos="567"/>
          <w:tab w:val="left" w:pos="1134"/>
          <w:tab w:val="left" w:pos="1701"/>
          <w:tab w:val="left" w:pos="2268"/>
          <w:tab w:val="left" w:pos="2835"/>
        </w:tabs>
        <w:rPr>
          <w:lang w:val="fr-FR"/>
        </w:rPr>
      </w:pPr>
      <w:r>
        <w:rPr>
          <w:lang w:val="fr-FR"/>
        </w:rPr>
        <w:t>84</w:t>
      </w:r>
      <w:r w:rsidR="00E562C0">
        <w:rPr>
          <w:lang w:val="fr-FR"/>
        </w:rPr>
        <w:t>5</w:t>
      </w:r>
      <w:r>
        <w:rPr>
          <w:lang w:val="fr-FR"/>
        </w:rPr>
        <w:t>.</w:t>
      </w:r>
      <w:r>
        <w:rPr>
          <w:lang w:val="fr-FR"/>
        </w:rPr>
        <w:tab/>
        <w:t xml:space="preserve">L’article 10 de la </w:t>
      </w:r>
      <w:r w:rsidR="003751AA">
        <w:rPr>
          <w:lang w:val="fr-FR"/>
        </w:rPr>
        <w:t>loi sur l’amendement à la loi</w:t>
      </w:r>
      <w:r>
        <w:rPr>
          <w:lang w:val="fr-FR"/>
        </w:rPr>
        <w:t xml:space="preserve"> relative aux infractions pénales de 1894 (Queensland) dispose que </w:t>
      </w:r>
      <w:r w:rsidR="00A619D6">
        <w:rPr>
          <w:lang w:val="fr-FR"/>
        </w:rPr>
        <w:t>«</w:t>
      </w:r>
      <w:r>
        <w:rPr>
          <w:lang w:val="fr-FR"/>
        </w:rPr>
        <w:t xml:space="preserve">aucun aveu produit comme preuve au cours </w:t>
      </w:r>
      <w:r w:rsidR="00057980">
        <w:rPr>
          <w:lang w:val="fr-FR"/>
        </w:rPr>
        <w:t>d’une procédure pénale ne sera</w:t>
      </w:r>
      <w:r w:rsidR="00073EC1">
        <w:rPr>
          <w:lang w:val="fr-FR"/>
        </w:rPr>
        <w:t xml:space="preserve"> </w:t>
      </w:r>
      <w:r w:rsidR="00057980">
        <w:rPr>
          <w:lang w:val="fr-FR"/>
        </w:rPr>
        <w:t>recevable s’il a été obtenu grâce à une menace ou à une promesse par une personne investie d’une autorité, et tout aveu passé après cette menace ou cette promesse sera jugé avoir été induit par elle</w:t>
      </w:r>
      <w:r w:rsidR="000D7D24">
        <w:rPr>
          <w:lang w:val="fr-FR"/>
        </w:rPr>
        <w:t xml:space="preserve"> sauf preuve du contraire.</w:t>
      </w:r>
      <w:r w:rsidR="00A619D6">
        <w:rPr>
          <w:lang w:val="fr-FR"/>
        </w:rPr>
        <w:t>»</w:t>
      </w:r>
    </w:p>
    <w:p w:rsidR="000D7D24" w:rsidRDefault="000D7D24" w:rsidP="005D7B68">
      <w:pPr>
        <w:tabs>
          <w:tab w:val="left" w:pos="567"/>
          <w:tab w:val="left" w:pos="1134"/>
          <w:tab w:val="left" w:pos="1701"/>
          <w:tab w:val="left" w:pos="2268"/>
          <w:tab w:val="left" w:pos="2835"/>
        </w:tabs>
        <w:rPr>
          <w:lang w:val="fr-FR"/>
        </w:rPr>
      </w:pPr>
      <w:r>
        <w:rPr>
          <w:lang w:val="fr-FR"/>
        </w:rPr>
        <w:t>84</w:t>
      </w:r>
      <w:r w:rsidR="00E562C0">
        <w:rPr>
          <w:lang w:val="fr-FR"/>
        </w:rPr>
        <w:t>6</w:t>
      </w:r>
      <w:r>
        <w:rPr>
          <w:lang w:val="fr-FR"/>
        </w:rPr>
        <w:t>.</w:t>
      </w:r>
      <w:r>
        <w:rPr>
          <w:lang w:val="fr-FR"/>
        </w:rPr>
        <w:tab/>
        <w:t xml:space="preserve">L’article 98 de la loi de 1977 sur les éléments de preuve (Queensland) donne toute latitude au tribunal pour rejeter toute déclaration ou observation </w:t>
      </w:r>
      <w:r w:rsidR="00A619D6">
        <w:rPr>
          <w:lang w:val="fr-FR"/>
        </w:rPr>
        <w:t>«</w:t>
      </w:r>
      <w:r>
        <w:rPr>
          <w:lang w:val="fr-FR"/>
        </w:rPr>
        <w:t>si, pour une raison quelconque, il paraît être contraire à l’intérêt de la justice de l’admettre</w:t>
      </w:r>
      <w:r w:rsidR="00A619D6">
        <w:rPr>
          <w:lang w:val="fr-FR"/>
        </w:rPr>
        <w:t>»</w:t>
      </w:r>
      <w:r>
        <w:rPr>
          <w:lang w:val="fr-FR"/>
        </w:rPr>
        <w:t>.</w:t>
      </w:r>
    </w:p>
    <w:p w:rsidR="000D7D24" w:rsidRDefault="000D7D24" w:rsidP="005D7B68">
      <w:pPr>
        <w:tabs>
          <w:tab w:val="left" w:pos="567"/>
          <w:tab w:val="left" w:pos="1134"/>
          <w:tab w:val="left" w:pos="1701"/>
          <w:tab w:val="left" w:pos="2268"/>
          <w:tab w:val="left" w:pos="2835"/>
        </w:tabs>
        <w:rPr>
          <w:b/>
          <w:bCs/>
          <w:lang w:val="fr-FR"/>
        </w:rPr>
      </w:pPr>
      <w:r>
        <w:rPr>
          <w:b/>
          <w:bCs/>
          <w:lang w:val="fr-FR"/>
        </w:rPr>
        <w:t>La loi de 1992 sur les normes législatives</w:t>
      </w:r>
    </w:p>
    <w:p w:rsidR="004D289E" w:rsidRDefault="000D7D24" w:rsidP="005D7B68">
      <w:pPr>
        <w:tabs>
          <w:tab w:val="left" w:pos="567"/>
          <w:tab w:val="left" w:pos="1134"/>
          <w:tab w:val="left" w:pos="1701"/>
          <w:tab w:val="left" w:pos="2268"/>
          <w:tab w:val="left" w:pos="2835"/>
        </w:tabs>
        <w:rPr>
          <w:lang w:val="fr-FR"/>
        </w:rPr>
      </w:pPr>
      <w:r>
        <w:rPr>
          <w:b/>
          <w:bCs/>
          <w:lang w:val="fr-FR"/>
        </w:rPr>
        <w:tab/>
      </w:r>
      <w:r>
        <w:rPr>
          <w:lang w:val="fr-FR"/>
        </w:rPr>
        <w:t>a)</w:t>
      </w:r>
      <w:r>
        <w:rPr>
          <w:lang w:val="fr-FR"/>
        </w:rPr>
        <w:tab/>
        <w:t xml:space="preserve">L’article 4 1) de cette loi indique que les principes législatifs fondamentaux sont les principes relatifs à </w:t>
      </w:r>
      <w:r w:rsidR="003751AA">
        <w:rPr>
          <w:lang w:val="fr-FR"/>
        </w:rPr>
        <w:t>la législation constituant la base</w:t>
      </w:r>
      <w:r>
        <w:rPr>
          <w:lang w:val="fr-FR"/>
        </w:rPr>
        <w:t xml:space="preserve"> d’une démocratie parlementaire fondée sur l’</w:t>
      </w:r>
      <w:r w:rsidR="004D289E">
        <w:rPr>
          <w:lang w:val="fr-FR"/>
        </w:rPr>
        <w:t>É</w:t>
      </w:r>
      <w:r>
        <w:rPr>
          <w:lang w:val="fr-FR"/>
        </w:rPr>
        <w:t>tat de droit</w:t>
      </w:r>
      <w:r w:rsidR="008D6B80">
        <w:rPr>
          <w:lang w:val="fr-FR"/>
        </w:rPr>
        <w:t xml:space="preserve">. </w:t>
      </w:r>
      <w:r>
        <w:rPr>
          <w:lang w:val="fr-FR"/>
        </w:rPr>
        <w:t>Cet article</w:t>
      </w:r>
      <w:r w:rsidR="004D289E">
        <w:rPr>
          <w:lang w:val="fr-FR"/>
        </w:rPr>
        <w:t xml:space="preserve"> précise ensuite que selon ces principes la législation doit prendre suffisamment en considération les droits et libertés des personnes.</w:t>
      </w:r>
    </w:p>
    <w:p w:rsidR="000D7D24" w:rsidRPr="000D5EDF" w:rsidRDefault="004D289E" w:rsidP="005D7B68">
      <w:pPr>
        <w:tabs>
          <w:tab w:val="left" w:pos="567"/>
          <w:tab w:val="left" w:pos="1134"/>
          <w:tab w:val="left" w:pos="1701"/>
          <w:tab w:val="left" w:pos="2268"/>
          <w:tab w:val="left" w:pos="2835"/>
        </w:tabs>
        <w:rPr>
          <w:lang w:val="fr-FR"/>
        </w:rPr>
      </w:pPr>
      <w:r>
        <w:rPr>
          <w:lang w:val="fr-FR"/>
        </w:rPr>
        <w:tab/>
        <w:t>b)</w:t>
      </w:r>
      <w:r>
        <w:rPr>
          <w:lang w:val="fr-FR"/>
        </w:rPr>
        <w:tab/>
        <w:t>L’article 4 3) f) dispose que, pour ce faire, la législation du Queensland doit accorder un protection suffisante contre l’auto-incrimination</w:t>
      </w:r>
      <w:r w:rsidR="008D6B80">
        <w:rPr>
          <w:lang w:val="fr-FR"/>
        </w:rPr>
        <w:t>.</w:t>
      </w:r>
      <w:r w:rsidR="00572260">
        <w:rPr>
          <w:lang w:val="fr-FR"/>
        </w:rPr>
        <w:t xml:space="preserve"> </w:t>
      </w:r>
    </w:p>
    <w:p w:rsidR="00145981" w:rsidRPr="000D5EDF" w:rsidRDefault="004D289E" w:rsidP="005D7B68">
      <w:pPr>
        <w:tabs>
          <w:tab w:val="left" w:pos="567"/>
          <w:tab w:val="left" w:pos="1134"/>
          <w:tab w:val="left" w:pos="1701"/>
          <w:tab w:val="left" w:pos="2268"/>
          <w:tab w:val="left" w:pos="2835"/>
        </w:tabs>
        <w:rPr>
          <w:lang w:val="fr-FR"/>
        </w:rPr>
      </w:pPr>
      <w:r>
        <w:rPr>
          <w:lang w:val="fr-FR"/>
        </w:rPr>
        <w:tab/>
        <w:t>c)</w:t>
      </w:r>
      <w:r>
        <w:rPr>
          <w:lang w:val="fr-FR"/>
        </w:rPr>
        <w:tab/>
        <w:t xml:space="preserve">L’article 7 prévoit que le Bureau du Conseil parlementaire du Queensland </w:t>
      </w:r>
      <w:r w:rsidR="008B3292">
        <w:rPr>
          <w:lang w:val="fr-FR"/>
        </w:rPr>
        <w:t xml:space="preserve">doit formuler un avis sur la mise en œuvre des principes législatifs fondamentaux </w:t>
      </w:r>
      <w:r w:rsidR="00BA2BB4">
        <w:rPr>
          <w:lang w:val="fr-FR"/>
        </w:rPr>
        <w:t>dans les projets de </w:t>
      </w:r>
      <w:r w:rsidR="008B3292">
        <w:rPr>
          <w:lang w:val="fr-FR"/>
        </w:rPr>
        <w:t>lois</w:t>
      </w:r>
      <w:r w:rsidR="008D6B80">
        <w:rPr>
          <w:lang w:val="fr-FR"/>
        </w:rPr>
        <w:t xml:space="preserve">. </w:t>
      </w:r>
    </w:p>
    <w:p w:rsidR="00145981" w:rsidRDefault="00145981" w:rsidP="005D7B68">
      <w:pPr>
        <w:tabs>
          <w:tab w:val="left" w:pos="567"/>
          <w:tab w:val="left" w:pos="1134"/>
          <w:tab w:val="left" w:pos="1701"/>
          <w:tab w:val="left" w:pos="2268"/>
          <w:tab w:val="left" w:pos="2835"/>
        </w:tabs>
        <w:rPr>
          <w:b/>
          <w:bCs/>
          <w:lang w:val="fr-FR"/>
        </w:rPr>
      </w:pPr>
      <w:r>
        <w:rPr>
          <w:b/>
          <w:bCs/>
          <w:lang w:val="fr-FR"/>
        </w:rPr>
        <w:t>L’examen approfondi du Comité de la législation</w:t>
      </w:r>
    </w:p>
    <w:p w:rsidR="00145981" w:rsidRDefault="00145981" w:rsidP="005D7B68">
      <w:pPr>
        <w:tabs>
          <w:tab w:val="left" w:pos="567"/>
          <w:tab w:val="left" w:pos="1134"/>
          <w:tab w:val="left" w:pos="1701"/>
          <w:tab w:val="left" w:pos="2268"/>
          <w:tab w:val="left" w:pos="2835"/>
        </w:tabs>
        <w:rPr>
          <w:lang w:val="fr-FR"/>
        </w:rPr>
      </w:pPr>
      <w:r>
        <w:rPr>
          <w:b/>
          <w:bCs/>
          <w:lang w:val="fr-FR"/>
        </w:rPr>
        <w:tab/>
      </w:r>
      <w:r>
        <w:rPr>
          <w:lang w:val="fr-FR"/>
        </w:rPr>
        <w:t>a)</w:t>
      </w:r>
      <w:r>
        <w:rPr>
          <w:lang w:val="fr-FR"/>
        </w:rPr>
        <w:tab/>
        <w:t xml:space="preserve">Il s’agit d’un comité officiel créé en application de la </w:t>
      </w:r>
      <w:r w:rsidR="00BA2BB4">
        <w:rPr>
          <w:lang w:val="fr-FR"/>
        </w:rPr>
        <w:t>loi de 2001 sur le Parlement du Queensland;</w:t>
      </w:r>
    </w:p>
    <w:p w:rsidR="00145981" w:rsidRDefault="00145981" w:rsidP="005D7B68">
      <w:pPr>
        <w:tabs>
          <w:tab w:val="left" w:pos="567"/>
          <w:tab w:val="left" w:pos="1134"/>
          <w:tab w:val="left" w:pos="1701"/>
          <w:tab w:val="left" w:pos="2268"/>
          <w:tab w:val="left" w:pos="2835"/>
        </w:tabs>
        <w:rPr>
          <w:lang w:val="fr-FR"/>
        </w:rPr>
      </w:pPr>
      <w:r>
        <w:rPr>
          <w:lang w:val="fr-FR"/>
        </w:rPr>
        <w:tab/>
        <w:t>b)</w:t>
      </w:r>
      <w:r>
        <w:rPr>
          <w:lang w:val="fr-FR"/>
        </w:rPr>
        <w:tab/>
        <w:t>Il est chargé, entre autres, de surveiller la mise en œuvre des princip</w:t>
      </w:r>
      <w:r w:rsidR="00C05422">
        <w:rPr>
          <w:lang w:val="fr-FR"/>
        </w:rPr>
        <w:t>es législatifs fondamentaux énoncés dans</w:t>
      </w:r>
      <w:r>
        <w:rPr>
          <w:lang w:val="fr-FR"/>
        </w:rPr>
        <w:t xml:space="preserve"> tel ou tel projet de loi et tel ou tel texte législatif secondaire en examinant de près tous les projets de loi et les textes législatifs secondaires présentés au Parlement.</w:t>
      </w:r>
    </w:p>
    <w:p w:rsidR="00145981"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145981" w:rsidRDefault="00145981" w:rsidP="005D7B68">
      <w:pPr>
        <w:tabs>
          <w:tab w:val="left" w:pos="567"/>
          <w:tab w:val="left" w:pos="1134"/>
          <w:tab w:val="left" w:pos="1701"/>
          <w:tab w:val="left" w:pos="2268"/>
          <w:tab w:val="left" w:pos="2835"/>
        </w:tabs>
        <w:rPr>
          <w:lang w:val="fr-FR"/>
        </w:rPr>
      </w:pPr>
      <w:r>
        <w:rPr>
          <w:lang w:val="fr-FR"/>
        </w:rPr>
        <w:t>84</w:t>
      </w:r>
      <w:r w:rsidR="00E562C0">
        <w:rPr>
          <w:lang w:val="fr-FR"/>
        </w:rPr>
        <w:t>7</w:t>
      </w:r>
      <w:r>
        <w:rPr>
          <w:lang w:val="fr-FR"/>
        </w:rPr>
        <w:t>.</w:t>
      </w:r>
      <w:r>
        <w:rPr>
          <w:lang w:val="fr-FR"/>
        </w:rPr>
        <w:tab/>
      </w:r>
      <w:r w:rsidR="00BD394B">
        <w:rPr>
          <w:lang w:val="fr-FR"/>
        </w:rPr>
        <w:t>Il n’existe pas, dans la législation d’</w:t>
      </w:r>
      <w:r w:rsidR="008E1139">
        <w:rPr>
          <w:lang w:val="fr-FR"/>
        </w:rPr>
        <w:t>Australie occidentale</w:t>
      </w:r>
      <w:r w:rsidR="00BD394B">
        <w:rPr>
          <w:lang w:val="fr-FR"/>
        </w:rPr>
        <w:t>, un texte particulier qui interdise d’utiliser les éléments de preuve obtenus par la torture</w:t>
      </w:r>
      <w:r w:rsidR="008D6B80">
        <w:rPr>
          <w:lang w:val="fr-FR"/>
        </w:rPr>
        <w:t xml:space="preserve">. </w:t>
      </w:r>
      <w:r w:rsidR="00BD394B">
        <w:rPr>
          <w:lang w:val="fr-FR"/>
        </w:rPr>
        <w:t>Les lois relatives aux preuves disposent que, lorsqu’il a été é</w:t>
      </w:r>
      <w:r w:rsidR="00425026">
        <w:rPr>
          <w:lang w:val="fr-FR"/>
        </w:rPr>
        <w:t>tabli que ces dernières</w:t>
      </w:r>
      <w:r w:rsidR="00BD394B">
        <w:rPr>
          <w:lang w:val="fr-FR"/>
        </w:rPr>
        <w:t xml:space="preserve"> ont été obtenu</w:t>
      </w:r>
      <w:r w:rsidR="00425026">
        <w:rPr>
          <w:lang w:val="fr-FR"/>
        </w:rPr>
        <w:t>e</w:t>
      </w:r>
      <w:r w:rsidR="00BD394B">
        <w:rPr>
          <w:lang w:val="fr-FR"/>
        </w:rPr>
        <w:t>s par la torture ou toute autre méthode inappropriée, le tribunal a toute latitud</w:t>
      </w:r>
      <w:r w:rsidR="00E36E1E">
        <w:rPr>
          <w:lang w:val="fr-FR"/>
        </w:rPr>
        <w:t>e pour les écarter</w:t>
      </w:r>
      <w:r w:rsidR="00BD394B">
        <w:rPr>
          <w:lang w:val="fr-FR"/>
        </w:rPr>
        <w:t xml:space="preserve"> ou leur donner le poids qu</w:t>
      </w:r>
      <w:r w:rsidR="00425026">
        <w:rPr>
          <w:lang w:val="fr-FR"/>
        </w:rPr>
        <w:t>i</w:t>
      </w:r>
      <w:r w:rsidR="00BD394B">
        <w:rPr>
          <w:lang w:val="fr-FR"/>
        </w:rPr>
        <w:t xml:space="preserve"> convient.</w:t>
      </w:r>
    </w:p>
    <w:p w:rsidR="00BD394B" w:rsidRDefault="00BA2BB4" w:rsidP="005D7B68">
      <w:pPr>
        <w:tabs>
          <w:tab w:val="left" w:pos="567"/>
          <w:tab w:val="left" w:pos="1134"/>
          <w:tab w:val="left" w:pos="1701"/>
          <w:tab w:val="left" w:pos="2268"/>
          <w:tab w:val="left" w:pos="2835"/>
        </w:tabs>
        <w:rPr>
          <w:b/>
          <w:bCs/>
          <w:lang w:val="fr-FR"/>
        </w:rPr>
      </w:pPr>
      <w:r>
        <w:rPr>
          <w:b/>
          <w:bCs/>
          <w:lang w:val="fr-FR"/>
        </w:rPr>
        <w:t>Australie m</w:t>
      </w:r>
      <w:r w:rsidR="00BD394B">
        <w:rPr>
          <w:b/>
          <w:bCs/>
          <w:lang w:val="fr-FR"/>
        </w:rPr>
        <w:t>éridionale</w:t>
      </w:r>
    </w:p>
    <w:p w:rsidR="00BD394B" w:rsidRDefault="00BD394B" w:rsidP="005D7B68">
      <w:pPr>
        <w:tabs>
          <w:tab w:val="left" w:pos="567"/>
          <w:tab w:val="left" w:pos="1134"/>
          <w:tab w:val="left" w:pos="1701"/>
          <w:tab w:val="left" w:pos="2268"/>
          <w:tab w:val="left" w:pos="2835"/>
        </w:tabs>
        <w:rPr>
          <w:lang w:val="fr-FR"/>
        </w:rPr>
      </w:pPr>
      <w:r>
        <w:rPr>
          <w:lang w:val="fr-FR"/>
        </w:rPr>
        <w:t>84</w:t>
      </w:r>
      <w:r w:rsidR="00E562C0">
        <w:rPr>
          <w:lang w:val="fr-FR"/>
        </w:rPr>
        <w:t>8</w:t>
      </w:r>
      <w:r>
        <w:rPr>
          <w:lang w:val="fr-FR"/>
        </w:rPr>
        <w:t>.</w:t>
      </w:r>
      <w:r>
        <w:rPr>
          <w:lang w:val="fr-FR"/>
        </w:rPr>
        <w:tab/>
        <w:t>La législation d’</w:t>
      </w:r>
      <w:r w:rsidR="008E1139">
        <w:rPr>
          <w:lang w:val="fr-FR"/>
        </w:rPr>
        <w:t>Australie méridionale</w:t>
      </w:r>
      <w:r>
        <w:rPr>
          <w:lang w:val="fr-FR"/>
        </w:rPr>
        <w:t xml:space="preserve"> porte interdiction d’utiliser à l’audience des preuves obtenues de manière illicite ou</w:t>
      </w:r>
      <w:r w:rsidR="00D056DE">
        <w:rPr>
          <w:lang w:val="fr-FR"/>
        </w:rPr>
        <w:t xml:space="preserve"> inappropriée.</w:t>
      </w:r>
    </w:p>
    <w:p w:rsidR="00D056DE" w:rsidRDefault="00D056DE" w:rsidP="005D7B68">
      <w:pPr>
        <w:tabs>
          <w:tab w:val="left" w:pos="567"/>
          <w:tab w:val="left" w:pos="1134"/>
          <w:tab w:val="left" w:pos="1701"/>
          <w:tab w:val="left" w:pos="2268"/>
          <w:tab w:val="left" w:pos="2835"/>
        </w:tabs>
        <w:rPr>
          <w:lang w:val="fr-FR"/>
        </w:rPr>
      </w:pPr>
      <w:r>
        <w:rPr>
          <w:lang w:val="fr-FR"/>
        </w:rPr>
        <w:t>8</w:t>
      </w:r>
      <w:r w:rsidR="00E562C0">
        <w:rPr>
          <w:lang w:val="fr-FR"/>
        </w:rPr>
        <w:t>49</w:t>
      </w:r>
      <w:r>
        <w:rPr>
          <w:lang w:val="fr-FR"/>
        </w:rPr>
        <w:t>.</w:t>
      </w:r>
      <w:r>
        <w:rPr>
          <w:lang w:val="fr-FR"/>
        </w:rPr>
        <w:tab/>
        <w:t>Dans les juridictions à législation uniforme sur les éléments de preuve (tribunaux fédéraux, Territoire de la capitale</w:t>
      </w:r>
      <w:r w:rsidR="00CE5553">
        <w:rPr>
          <w:lang w:val="fr-FR"/>
        </w:rPr>
        <w:t xml:space="preserve"> fédérale</w:t>
      </w:r>
      <w:r>
        <w:rPr>
          <w:lang w:val="fr-FR"/>
        </w:rPr>
        <w:t>, Nouvelle-Galles du Sud et Tasmanie), il existe une clause d’irrecevabilité de</w:t>
      </w:r>
      <w:r w:rsidR="00E654B1">
        <w:rPr>
          <w:lang w:val="fr-FR"/>
        </w:rPr>
        <w:t>s preuves obtenues de manière irrégulière</w:t>
      </w:r>
      <w:r>
        <w:rPr>
          <w:lang w:val="fr-FR"/>
        </w:rPr>
        <w:t xml:space="preserve"> ou en violation du droit australien</w:t>
      </w:r>
      <w:r>
        <w:rPr>
          <w:rStyle w:val="FootnoteReference"/>
          <w:lang w:val="fr-FR"/>
        </w:rPr>
        <w:footnoteReference w:id="27"/>
      </w:r>
      <w:r w:rsidR="00BA2BB4">
        <w:rPr>
          <w:lang w:val="fr-FR"/>
        </w:rPr>
        <w:t>.</w:t>
      </w:r>
      <w:r w:rsidR="00F73C1C">
        <w:rPr>
          <w:lang w:val="fr-FR"/>
        </w:rPr>
        <w:t xml:space="preserve"> </w:t>
      </w:r>
    </w:p>
    <w:p w:rsidR="00F73C1C" w:rsidRDefault="00F73C1C" w:rsidP="005D7B68">
      <w:pPr>
        <w:tabs>
          <w:tab w:val="left" w:pos="567"/>
          <w:tab w:val="left" w:pos="1134"/>
          <w:tab w:val="left" w:pos="1701"/>
          <w:tab w:val="left" w:pos="2268"/>
          <w:tab w:val="left" w:pos="2835"/>
        </w:tabs>
        <w:rPr>
          <w:lang w:val="fr-FR"/>
        </w:rPr>
      </w:pPr>
      <w:r>
        <w:rPr>
          <w:lang w:val="fr-FR"/>
        </w:rPr>
        <w:t>85</w:t>
      </w:r>
      <w:r w:rsidR="00E562C0">
        <w:rPr>
          <w:lang w:val="fr-FR"/>
        </w:rPr>
        <w:t>0</w:t>
      </w:r>
      <w:r>
        <w:rPr>
          <w:lang w:val="fr-FR"/>
        </w:rPr>
        <w:t>.</w:t>
      </w:r>
      <w:r>
        <w:rPr>
          <w:lang w:val="fr-FR"/>
        </w:rPr>
        <w:tab/>
        <w:t xml:space="preserve">L’irrecevabilité des preuves en </w:t>
      </w:r>
      <w:r w:rsidR="008E1139">
        <w:rPr>
          <w:lang w:val="fr-FR"/>
        </w:rPr>
        <w:t>Australie occidentale</w:t>
      </w:r>
      <w:r>
        <w:rPr>
          <w:lang w:val="fr-FR"/>
        </w:rPr>
        <w:t xml:space="preserve"> est régie par le</w:t>
      </w:r>
      <w:r w:rsidR="00844215">
        <w:rPr>
          <w:lang w:val="fr-FR"/>
        </w:rPr>
        <w:t xml:space="preserve"> </w:t>
      </w:r>
      <w:r w:rsidR="00844215">
        <w:rPr>
          <w:i/>
          <w:iCs/>
          <w:lang w:val="fr-FR"/>
        </w:rPr>
        <w:t>common law</w:t>
      </w:r>
      <w:r w:rsidR="00844215">
        <w:rPr>
          <w:rStyle w:val="FootnoteReference"/>
          <w:i/>
          <w:iCs/>
          <w:lang w:val="fr-FR"/>
        </w:rPr>
        <w:footnoteReference w:id="28"/>
      </w:r>
      <w:r w:rsidR="008D6B80">
        <w:rPr>
          <w:lang w:val="fr-FR"/>
        </w:rPr>
        <w:t xml:space="preserve">. </w:t>
      </w:r>
      <w:r w:rsidR="00BA2BB4">
        <w:rPr>
          <w:lang w:val="fr-FR"/>
        </w:rPr>
        <w:t>Le </w:t>
      </w:r>
      <w:r w:rsidR="00844215">
        <w:rPr>
          <w:lang w:val="fr-FR"/>
        </w:rPr>
        <w:t>tribunal peut exercer sa liberté d’appréciation en tenant compte de l’ordre public d’une manière générale pour ne pas admettre des preuves obtenues de manière irrégulière ou illicite</w:t>
      </w:r>
      <w:r w:rsidR="008D6B80">
        <w:rPr>
          <w:lang w:val="fr-FR"/>
        </w:rPr>
        <w:t xml:space="preserve">. </w:t>
      </w:r>
      <w:r w:rsidR="00844215">
        <w:rPr>
          <w:lang w:val="fr-FR"/>
        </w:rPr>
        <w:t xml:space="preserve">C’est le défendeur qui a la charge de prouver que ces preuves ont été obtenues illégalement et que le critère consistant à mettre en balance ses droits avec les exigences de l’ordre public </w:t>
      </w:r>
      <w:r w:rsidR="00F03F92">
        <w:rPr>
          <w:lang w:val="fr-FR"/>
        </w:rPr>
        <w:t>penche du côté de l’irrecevabilité.</w:t>
      </w:r>
    </w:p>
    <w:p w:rsidR="00F03F92" w:rsidRDefault="00F03F92" w:rsidP="005D7B68">
      <w:pPr>
        <w:keepNext/>
        <w:tabs>
          <w:tab w:val="left" w:pos="567"/>
          <w:tab w:val="left" w:pos="1134"/>
          <w:tab w:val="left" w:pos="1701"/>
          <w:tab w:val="left" w:pos="2268"/>
          <w:tab w:val="left" w:pos="2835"/>
        </w:tabs>
        <w:rPr>
          <w:b/>
          <w:bCs/>
          <w:lang w:val="fr-FR"/>
        </w:rPr>
      </w:pPr>
      <w:r>
        <w:rPr>
          <w:b/>
          <w:bCs/>
          <w:lang w:val="fr-FR"/>
        </w:rPr>
        <w:t>Tasmanie</w:t>
      </w:r>
    </w:p>
    <w:p w:rsidR="00F03F92" w:rsidRDefault="00235B39" w:rsidP="005D7B68">
      <w:pPr>
        <w:keepNext/>
        <w:tabs>
          <w:tab w:val="left" w:pos="567"/>
          <w:tab w:val="left" w:pos="1134"/>
          <w:tab w:val="left" w:pos="1701"/>
          <w:tab w:val="left" w:pos="2268"/>
          <w:tab w:val="left" w:pos="2835"/>
        </w:tabs>
        <w:rPr>
          <w:lang w:val="fr-FR"/>
        </w:rPr>
      </w:pPr>
      <w:r>
        <w:rPr>
          <w:lang w:val="fr-FR"/>
        </w:rPr>
        <w:t>85</w:t>
      </w:r>
      <w:r w:rsidR="00E562C0">
        <w:rPr>
          <w:lang w:val="fr-FR"/>
        </w:rPr>
        <w:t>1</w:t>
      </w:r>
      <w:r w:rsidR="00F03F92">
        <w:rPr>
          <w:lang w:val="fr-FR"/>
        </w:rPr>
        <w:t>.</w:t>
      </w:r>
      <w:r w:rsidR="00F03F92">
        <w:rPr>
          <w:lang w:val="fr-FR"/>
        </w:rPr>
        <w:tab/>
        <w:t xml:space="preserve">Les interdictions pertinentes figurent dans la loi de 2001 sur </w:t>
      </w:r>
      <w:r w:rsidR="00A67641">
        <w:rPr>
          <w:lang w:val="fr-FR"/>
        </w:rPr>
        <w:t>les éléments de preuve, article </w:t>
      </w:r>
      <w:r w:rsidR="00AB1729">
        <w:rPr>
          <w:lang w:val="fr-FR"/>
        </w:rPr>
        <w:t xml:space="preserve">84 (Irrecevabilité des preuves </w:t>
      </w:r>
      <w:r w:rsidR="00F03F92">
        <w:rPr>
          <w:lang w:val="fr-FR"/>
        </w:rPr>
        <w:t>obtenues par la violence et certains autres comportements), citée plus haut</w:t>
      </w:r>
      <w:r w:rsidR="00A07BE6">
        <w:rPr>
          <w:lang w:val="fr-FR"/>
        </w:rPr>
        <w:t xml:space="preserve"> dans le cadre de l’article 2, q</w:t>
      </w:r>
      <w:r w:rsidR="00F03F92">
        <w:rPr>
          <w:lang w:val="fr-FR"/>
        </w:rPr>
        <w:t>uestion 2, et dans l’article 90 (Latitude donnée pour ne pas admettre les aveux), qui dit ceci</w:t>
      </w:r>
      <w:r w:rsidR="00572260">
        <w:rPr>
          <w:lang w:val="fr-FR"/>
        </w:rPr>
        <w:t>:</w:t>
      </w:r>
    </w:p>
    <w:p w:rsidR="00F03F92" w:rsidRDefault="00F03F92" w:rsidP="005D7B68">
      <w:pPr>
        <w:tabs>
          <w:tab w:val="left" w:pos="567"/>
          <w:tab w:val="left" w:pos="1134"/>
          <w:tab w:val="left" w:pos="1701"/>
          <w:tab w:val="left" w:pos="2268"/>
          <w:tab w:val="left" w:pos="2835"/>
        </w:tabs>
        <w:ind w:left="567" w:hanging="567"/>
        <w:rPr>
          <w:i/>
          <w:iCs/>
          <w:lang w:val="fr-FR"/>
        </w:rPr>
      </w:pPr>
      <w:r>
        <w:rPr>
          <w:lang w:val="fr-FR"/>
        </w:rPr>
        <w:tab/>
      </w:r>
      <w:r w:rsidR="00BA2BB4">
        <w:rPr>
          <w:lang w:val="fr-FR"/>
        </w:rPr>
        <w:tab/>
      </w:r>
      <w:r w:rsidRPr="00F03F92">
        <w:rPr>
          <w:i/>
          <w:iCs/>
          <w:lang w:val="fr-FR"/>
        </w:rPr>
        <w:t>Dans une procédure pénale, le tribunal peut refuser d’admettre les preuves d’un aveu, ou</w:t>
      </w:r>
      <w:r>
        <w:rPr>
          <w:i/>
          <w:iCs/>
          <w:lang w:val="fr-FR"/>
        </w:rPr>
        <w:t xml:space="preserve"> les </w:t>
      </w:r>
      <w:r w:rsidR="00235B39">
        <w:rPr>
          <w:i/>
          <w:iCs/>
          <w:lang w:val="fr-FR"/>
        </w:rPr>
        <w:t>éléments donnant la preuve d’un fait donné, si –</w:t>
      </w:r>
    </w:p>
    <w:p w:rsidR="00235B39" w:rsidRDefault="00BA2BB4" w:rsidP="005D7B68">
      <w:pPr>
        <w:tabs>
          <w:tab w:val="left" w:pos="567"/>
          <w:tab w:val="left" w:pos="1134"/>
          <w:tab w:val="left" w:pos="1701"/>
          <w:tab w:val="left" w:pos="2268"/>
          <w:tab w:val="left" w:pos="2835"/>
        </w:tabs>
        <w:rPr>
          <w:i/>
          <w:iCs/>
          <w:lang w:val="fr-FR"/>
        </w:rPr>
      </w:pPr>
      <w:r>
        <w:rPr>
          <w:i/>
          <w:iCs/>
          <w:lang w:val="fr-FR"/>
        </w:rPr>
        <w:tab/>
      </w:r>
      <w:r w:rsidR="00A07BE6">
        <w:rPr>
          <w:i/>
          <w:iCs/>
          <w:lang w:val="fr-FR"/>
        </w:rPr>
        <w:tab/>
        <w:t>a)</w:t>
      </w:r>
      <w:r w:rsidR="00A07BE6">
        <w:rPr>
          <w:i/>
          <w:iCs/>
          <w:lang w:val="fr-FR"/>
        </w:rPr>
        <w:tab/>
        <w:t>l</w:t>
      </w:r>
      <w:r w:rsidR="00235B39">
        <w:rPr>
          <w:i/>
          <w:iCs/>
          <w:lang w:val="fr-FR"/>
        </w:rPr>
        <w:t>es preuves sont produites par l’accusation</w:t>
      </w:r>
      <w:r w:rsidR="00572260">
        <w:rPr>
          <w:i/>
          <w:iCs/>
          <w:lang w:val="fr-FR"/>
        </w:rPr>
        <w:t>;</w:t>
      </w:r>
      <w:r w:rsidR="00235B39">
        <w:rPr>
          <w:i/>
          <w:iCs/>
          <w:lang w:val="fr-FR"/>
        </w:rPr>
        <w:t xml:space="preserve"> et</w:t>
      </w:r>
    </w:p>
    <w:p w:rsidR="00235B39" w:rsidRDefault="00BA2BB4" w:rsidP="005D7B68">
      <w:pPr>
        <w:tabs>
          <w:tab w:val="left" w:pos="567"/>
          <w:tab w:val="left" w:pos="1134"/>
          <w:tab w:val="left" w:pos="1701"/>
          <w:tab w:val="left" w:pos="2268"/>
          <w:tab w:val="left" w:pos="2835"/>
        </w:tabs>
        <w:ind w:left="567" w:hanging="567"/>
        <w:rPr>
          <w:i/>
          <w:iCs/>
          <w:lang w:val="fr-FR"/>
        </w:rPr>
      </w:pPr>
      <w:r>
        <w:rPr>
          <w:i/>
          <w:iCs/>
          <w:lang w:val="fr-FR"/>
        </w:rPr>
        <w:tab/>
      </w:r>
      <w:r>
        <w:rPr>
          <w:i/>
          <w:iCs/>
          <w:lang w:val="fr-FR"/>
        </w:rPr>
        <w:tab/>
      </w:r>
      <w:r w:rsidR="00A07BE6">
        <w:rPr>
          <w:i/>
          <w:iCs/>
          <w:lang w:val="fr-FR"/>
        </w:rPr>
        <w:t>b)</w:t>
      </w:r>
      <w:r w:rsidR="00A07BE6">
        <w:rPr>
          <w:i/>
          <w:iCs/>
          <w:lang w:val="fr-FR"/>
        </w:rPr>
        <w:tab/>
        <w:t>e</w:t>
      </w:r>
      <w:r w:rsidR="00235B39">
        <w:rPr>
          <w:i/>
          <w:iCs/>
          <w:lang w:val="fr-FR"/>
        </w:rPr>
        <w:t>u égard aux circonstances dans lesquelles les aveux ont été obtenus, il ne serait pas équitable envers l’accusé de les utiliser.</w:t>
      </w:r>
    </w:p>
    <w:p w:rsidR="00235B39" w:rsidRDefault="00235B39" w:rsidP="005D7B68">
      <w:pPr>
        <w:tabs>
          <w:tab w:val="left" w:pos="567"/>
          <w:tab w:val="left" w:pos="1134"/>
          <w:tab w:val="left" w:pos="1701"/>
          <w:tab w:val="left" w:pos="2268"/>
          <w:tab w:val="left" w:pos="2835"/>
        </w:tabs>
        <w:rPr>
          <w:b/>
          <w:bCs/>
          <w:lang w:val="fr-FR"/>
        </w:rPr>
      </w:pPr>
      <w:r>
        <w:rPr>
          <w:b/>
          <w:bCs/>
          <w:lang w:val="fr-FR"/>
        </w:rPr>
        <w:t>Territoire de la capitale australienne</w:t>
      </w:r>
    </w:p>
    <w:p w:rsidR="00235B39" w:rsidRPr="00235B39" w:rsidRDefault="00235B39" w:rsidP="005D7B68">
      <w:pPr>
        <w:tabs>
          <w:tab w:val="left" w:pos="567"/>
          <w:tab w:val="left" w:pos="1134"/>
          <w:tab w:val="left" w:pos="1701"/>
          <w:tab w:val="left" w:pos="2268"/>
          <w:tab w:val="left" w:pos="2835"/>
        </w:tabs>
        <w:rPr>
          <w:b/>
          <w:bCs/>
          <w:lang w:val="fr-FR"/>
        </w:rPr>
      </w:pPr>
      <w:r>
        <w:rPr>
          <w:b/>
          <w:bCs/>
          <w:lang w:val="fr-FR"/>
        </w:rPr>
        <w:t>Loi de 1995 sur les éléments de preuve (Commonwealth)</w:t>
      </w:r>
    </w:p>
    <w:p w:rsidR="009A1296" w:rsidRDefault="00235B39" w:rsidP="005D7B68">
      <w:pPr>
        <w:tabs>
          <w:tab w:val="left" w:pos="567"/>
          <w:tab w:val="left" w:pos="1134"/>
          <w:tab w:val="left" w:pos="1701"/>
          <w:tab w:val="left" w:pos="2268"/>
          <w:tab w:val="left" w:pos="2835"/>
        </w:tabs>
        <w:rPr>
          <w:lang w:val="fr-FR"/>
        </w:rPr>
      </w:pPr>
      <w:r>
        <w:rPr>
          <w:lang w:val="fr-FR"/>
        </w:rPr>
        <w:t>85</w:t>
      </w:r>
      <w:r w:rsidR="00E562C0">
        <w:rPr>
          <w:lang w:val="fr-FR"/>
        </w:rPr>
        <w:t>2</w:t>
      </w:r>
      <w:r>
        <w:rPr>
          <w:lang w:val="fr-FR"/>
        </w:rPr>
        <w:t>.</w:t>
      </w:r>
      <w:r>
        <w:rPr>
          <w:lang w:val="fr-FR"/>
        </w:rPr>
        <w:tab/>
        <w:t>La recevabilité des preuves au cours des poursuites devant le Tribunal du Territoire de la capitale</w:t>
      </w:r>
      <w:r w:rsidR="00A07BE6">
        <w:rPr>
          <w:lang w:val="fr-FR"/>
        </w:rPr>
        <w:t xml:space="preserve"> fédérale</w:t>
      </w:r>
      <w:r>
        <w:rPr>
          <w:lang w:val="fr-FR"/>
        </w:rPr>
        <w:t xml:space="preserve"> est en grande partie régie par la loi de 1995 sur les éléments de preuve (Commonwealth).</w:t>
      </w:r>
    </w:p>
    <w:p w:rsidR="00235B39" w:rsidRDefault="00235B39" w:rsidP="005D7B68">
      <w:pPr>
        <w:tabs>
          <w:tab w:val="left" w:pos="567"/>
          <w:tab w:val="left" w:pos="1134"/>
          <w:tab w:val="left" w:pos="1701"/>
          <w:tab w:val="left" w:pos="2268"/>
          <w:tab w:val="left" w:pos="2835"/>
        </w:tabs>
        <w:rPr>
          <w:lang w:val="fr-FR"/>
        </w:rPr>
      </w:pPr>
      <w:r>
        <w:rPr>
          <w:lang w:val="fr-FR"/>
        </w:rPr>
        <w:t>85</w:t>
      </w:r>
      <w:r w:rsidR="00E562C0">
        <w:rPr>
          <w:lang w:val="fr-FR"/>
        </w:rPr>
        <w:t>3</w:t>
      </w:r>
      <w:r>
        <w:rPr>
          <w:lang w:val="fr-FR"/>
        </w:rPr>
        <w:t>.</w:t>
      </w:r>
      <w:r>
        <w:rPr>
          <w:lang w:val="fr-FR"/>
        </w:rPr>
        <w:tab/>
        <w:t>L’article 84 de cette loi dispose que ces éléments ne sont recevables que si le tribunal est convaincu que les aveux n’ont pas été obtenus par</w:t>
      </w:r>
      <w:r w:rsidR="00B53640">
        <w:rPr>
          <w:lang w:val="fr-FR"/>
        </w:rPr>
        <w:t xml:space="preserve"> la violence, la contrainte ou des actes inhumains ou dégradants, ou par la menace d’adopter un tel comportement.</w:t>
      </w:r>
    </w:p>
    <w:p w:rsidR="00B53640" w:rsidRDefault="00B53640" w:rsidP="005D7B68">
      <w:pPr>
        <w:tabs>
          <w:tab w:val="left" w:pos="567"/>
          <w:tab w:val="left" w:pos="1134"/>
          <w:tab w:val="left" w:pos="1701"/>
          <w:tab w:val="left" w:pos="2268"/>
          <w:tab w:val="left" w:pos="2835"/>
        </w:tabs>
        <w:rPr>
          <w:lang w:val="fr-FR"/>
        </w:rPr>
      </w:pPr>
      <w:r>
        <w:rPr>
          <w:lang w:val="fr-FR"/>
        </w:rPr>
        <w:t>85</w:t>
      </w:r>
      <w:r w:rsidR="00E562C0">
        <w:rPr>
          <w:lang w:val="fr-FR"/>
        </w:rPr>
        <w:t>4</w:t>
      </w:r>
      <w:r>
        <w:rPr>
          <w:lang w:val="fr-FR"/>
        </w:rPr>
        <w:t>.</w:t>
      </w:r>
      <w:r>
        <w:rPr>
          <w:lang w:val="fr-FR"/>
        </w:rPr>
        <w:tab/>
        <w:t xml:space="preserve">Selon l’article 85, les éléments de preuve obtenus au cours de </w:t>
      </w:r>
      <w:r w:rsidR="00A619D6">
        <w:rPr>
          <w:lang w:val="fr-FR"/>
        </w:rPr>
        <w:t>«</w:t>
      </w:r>
      <w:r>
        <w:rPr>
          <w:lang w:val="fr-FR"/>
        </w:rPr>
        <w:t>l’interrogatoire officiel</w:t>
      </w:r>
      <w:r w:rsidR="00A619D6">
        <w:rPr>
          <w:lang w:val="fr-FR"/>
        </w:rPr>
        <w:t>»</w:t>
      </w:r>
      <w:r>
        <w:rPr>
          <w:lang w:val="fr-FR"/>
        </w:rPr>
        <w:t xml:space="preserve"> ou à la suite d’un acte commis par une autre personne capable d’avoir une influence sur la manière dont l’accusé sera traité ne sont </w:t>
      </w:r>
      <w:r w:rsidR="00A07BE6">
        <w:rPr>
          <w:lang w:val="fr-FR"/>
        </w:rPr>
        <w:t>recevables que si la sincérité</w:t>
      </w:r>
      <w:r>
        <w:rPr>
          <w:lang w:val="fr-FR"/>
        </w:rPr>
        <w:t xml:space="preserve"> des aveux n’est</w:t>
      </w:r>
      <w:r w:rsidR="00A07BE6">
        <w:rPr>
          <w:lang w:val="fr-FR"/>
        </w:rPr>
        <w:t xml:space="preserve"> pas susceptible d’être mise en cause</w:t>
      </w:r>
      <w:r w:rsidR="008D6B80">
        <w:rPr>
          <w:lang w:val="fr-FR"/>
        </w:rPr>
        <w:t xml:space="preserve">. </w:t>
      </w:r>
      <w:r>
        <w:rPr>
          <w:lang w:val="fr-FR"/>
        </w:rPr>
        <w:t xml:space="preserve">Pour déterminer si cela a pu être le cas, le tribunal doit tenir compte de l’âge, de la personnalité et du degré d’instruction de l’intéressé, de tout handicap mental, intellectuel ou physique dont il pourrait souffrir, de la nature des questions posées et de la </w:t>
      </w:r>
      <w:r w:rsidR="00A07BE6">
        <w:rPr>
          <w:lang w:val="fr-FR"/>
        </w:rPr>
        <w:t>manière dont elles l’ont été, ainsi que</w:t>
      </w:r>
      <w:r>
        <w:rPr>
          <w:lang w:val="fr-FR"/>
        </w:rPr>
        <w:t xml:space="preserve"> de la nature </w:t>
      </w:r>
      <w:r w:rsidR="00915812">
        <w:rPr>
          <w:lang w:val="fr-FR"/>
        </w:rPr>
        <w:t>des menaces, promesses ou incitations dont</w:t>
      </w:r>
      <w:r>
        <w:rPr>
          <w:lang w:val="fr-FR"/>
        </w:rPr>
        <w:t xml:space="preserve"> </w:t>
      </w:r>
      <w:r w:rsidR="00915812">
        <w:rPr>
          <w:lang w:val="fr-FR"/>
        </w:rPr>
        <w:t>il a fait l’objet.</w:t>
      </w:r>
    </w:p>
    <w:p w:rsidR="00E214DE" w:rsidRDefault="00E214DE" w:rsidP="005D7B68">
      <w:pPr>
        <w:tabs>
          <w:tab w:val="left" w:pos="567"/>
          <w:tab w:val="left" w:pos="1134"/>
          <w:tab w:val="left" w:pos="1701"/>
          <w:tab w:val="left" w:pos="2268"/>
          <w:tab w:val="left" w:pos="2835"/>
        </w:tabs>
        <w:rPr>
          <w:lang w:val="fr-FR"/>
        </w:rPr>
      </w:pPr>
      <w:r>
        <w:rPr>
          <w:lang w:val="fr-FR"/>
        </w:rPr>
        <w:t>85</w:t>
      </w:r>
      <w:r w:rsidR="00E562C0">
        <w:rPr>
          <w:lang w:val="fr-FR"/>
        </w:rPr>
        <w:t>5</w:t>
      </w:r>
      <w:r>
        <w:rPr>
          <w:lang w:val="fr-FR"/>
        </w:rPr>
        <w:t>.</w:t>
      </w:r>
      <w:r>
        <w:rPr>
          <w:lang w:val="fr-FR"/>
        </w:rPr>
        <w:tab/>
        <w:t xml:space="preserve">L’article 90 de la loi sur les éléments de preuve donne toute latitude au </w:t>
      </w:r>
      <w:r w:rsidR="00DC4C19">
        <w:rPr>
          <w:lang w:val="fr-FR"/>
        </w:rPr>
        <w:t>tribunal pour rejeter</w:t>
      </w:r>
      <w:r>
        <w:rPr>
          <w:lang w:val="fr-FR"/>
        </w:rPr>
        <w:t xml:space="preserve"> ces éléments si, étant donné les circonstances dans lesquelles ils ont été obtenus, il ne serait pas équitable envers l’accusé de les admettre.</w:t>
      </w:r>
    </w:p>
    <w:p w:rsidR="00E214DE" w:rsidRPr="00145981" w:rsidRDefault="00E214DE" w:rsidP="005D7B68">
      <w:pPr>
        <w:tabs>
          <w:tab w:val="left" w:pos="567"/>
          <w:tab w:val="left" w:pos="1134"/>
          <w:tab w:val="left" w:pos="1701"/>
          <w:tab w:val="left" w:pos="2268"/>
          <w:tab w:val="left" w:pos="2835"/>
        </w:tabs>
        <w:rPr>
          <w:lang w:val="fr-FR"/>
        </w:rPr>
      </w:pPr>
      <w:r>
        <w:rPr>
          <w:lang w:val="fr-FR"/>
        </w:rPr>
        <w:t>85</w:t>
      </w:r>
      <w:r w:rsidR="00E562C0">
        <w:rPr>
          <w:lang w:val="fr-FR"/>
        </w:rPr>
        <w:t>6</w:t>
      </w:r>
      <w:r>
        <w:rPr>
          <w:lang w:val="fr-FR"/>
        </w:rPr>
        <w:t>.</w:t>
      </w:r>
      <w:r>
        <w:rPr>
          <w:lang w:val="fr-FR"/>
        </w:rPr>
        <w:tab/>
        <w:t>L’article 138 de la loi sur les éléments de preuve dispose que si ces derniers ont été obtenus à la suite d’un acte illicite ou inapproprié, ils sont irrecevables, sauf s’il paraît plus sage de les admettre que de ne pas les admettre tels qu’ils ont été obtenus. </w:t>
      </w:r>
    </w:p>
    <w:p w:rsidR="00E214DE" w:rsidRDefault="00E214DE" w:rsidP="00004BE2">
      <w:pPr>
        <w:keepNext/>
        <w:tabs>
          <w:tab w:val="left" w:pos="567"/>
          <w:tab w:val="left" w:pos="1134"/>
          <w:tab w:val="left" w:pos="1701"/>
          <w:tab w:val="left" w:pos="2268"/>
          <w:tab w:val="left" w:pos="2835"/>
        </w:tabs>
        <w:rPr>
          <w:lang w:val="fr-FR"/>
        </w:rPr>
      </w:pPr>
      <w:r>
        <w:rPr>
          <w:lang w:val="fr-FR"/>
        </w:rPr>
        <w:t>85</w:t>
      </w:r>
      <w:r w:rsidR="00E562C0">
        <w:rPr>
          <w:lang w:val="fr-FR"/>
        </w:rPr>
        <w:t>7</w:t>
      </w:r>
      <w:r>
        <w:rPr>
          <w:lang w:val="fr-FR"/>
        </w:rPr>
        <w:t>.</w:t>
      </w:r>
      <w:r>
        <w:rPr>
          <w:lang w:val="fr-FR"/>
        </w:rPr>
        <w:tab/>
        <w:t>Pour savoir si c’est le cas, le tribunal doit tenir compte des points suivants</w:t>
      </w:r>
      <w:r w:rsidR="00572260">
        <w:rPr>
          <w:lang w:val="fr-FR"/>
        </w:rPr>
        <w:t>:</w:t>
      </w:r>
    </w:p>
    <w:p w:rsidR="00620C66" w:rsidRDefault="00404507" w:rsidP="00004BE2">
      <w:pPr>
        <w:keepNext/>
        <w:tabs>
          <w:tab w:val="left" w:pos="567"/>
          <w:tab w:val="left" w:pos="1134"/>
          <w:tab w:val="left" w:pos="1701"/>
          <w:tab w:val="left" w:pos="2268"/>
          <w:tab w:val="left" w:pos="2835"/>
        </w:tabs>
        <w:rPr>
          <w:lang w:val="fr-FR"/>
        </w:rPr>
      </w:pPr>
      <w:r>
        <w:rPr>
          <w:lang w:val="fr-FR"/>
        </w:rPr>
        <w:tab/>
        <w:t>a)</w:t>
      </w:r>
      <w:r>
        <w:rPr>
          <w:lang w:val="fr-FR"/>
        </w:rPr>
        <w:tab/>
        <w:t>L</w:t>
      </w:r>
      <w:r w:rsidR="00E214DE">
        <w:rPr>
          <w:lang w:val="fr-FR"/>
        </w:rPr>
        <w:t xml:space="preserve">a force probante </w:t>
      </w:r>
      <w:r w:rsidR="00620C66">
        <w:rPr>
          <w:lang w:val="fr-FR"/>
        </w:rPr>
        <w:t>des éléments de preuve</w:t>
      </w:r>
      <w:r w:rsidR="00572260">
        <w:rPr>
          <w:lang w:val="fr-FR"/>
        </w:rPr>
        <w:t>;</w:t>
      </w:r>
      <w:r w:rsidR="00620C66">
        <w:rPr>
          <w:lang w:val="fr-FR"/>
        </w:rPr>
        <w:t xml:space="preserve"> </w:t>
      </w:r>
    </w:p>
    <w:p w:rsidR="00620C66" w:rsidRDefault="00404507" w:rsidP="005D7B68">
      <w:pPr>
        <w:tabs>
          <w:tab w:val="left" w:pos="567"/>
          <w:tab w:val="left" w:pos="1134"/>
          <w:tab w:val="left" w:pos="1701"/>
          <w:tab w:val="left" w:pos="2268"/>
          <w:tab w:val="left" w:pos="2835"/>
        </w:tabs>
        <w:rPr>
          <w:lang w:val="fr-FR"/>
        </w:rPr>
      </w:pPr>
      <w:r>
        <w:rPr>
          <w:lang w:val="fr-FR"/>
        </w:rPr>
        <w:tab/>
        <w:t>b)</w:t>
      </w:r>
      <w:r>
        <w:rPr>
          <w:lang w:val="fr-FR"/>
        </w:rPr>
        <w:tab/>
        <w:t>L</w:t>
      </w:r>
      <w:r w:rsidR="00620C66">
        <w:rPr>
          <w:lang w:val="fr-FR"/>
        </w:rPr>
        <w:t>’importance des preuves dans la procédure</w:t>
      </w:r>
      <w:r w:rsidR="00572260">
        <w:rPr>
          <w:lang w:val="fr-FR"/>
        </w:rPr>
        <w:t>;</w:t>
      </w:r>
    </w:p>
    <w:p w:rsidR="00C151D2" w:rsidRDefault="00404507" w:rsidP="005D7B68">
      <w:pPr>
        <w:tabs>
          <w:tab w:val="left" w:pos="567"/>
          <w:tab w:val="left" w:pos="1134"/>
          <w:tab w:val="left" w:pos="1701"/>
          <w:tab w:val="left" w:pos="2268"/>
          <w:tab w:val="left" w:pos="2835"/>
        </w:tabs>
        <w:rPr>
          <w:lang w:val="fr-FR"/>
        </w:rPr>
      </w:pPr>
      <w:r>
        <w:rPr>
          <w:lang w:val="fr-FR"/>
        </w:rPr>
        <w:tab/>
        <w:t>c)</w:t>
      </w:r>
      <w:r>
        <w:rPr>
          <w:lang w:val="fr-FR"/>
        </w:rPr>
        <w:tab/>
        <w:t>L</w:t>
      </w:r>
      <w:r w:rsidR="00620C66">
        <w:rPr>
          <w:lang w:val="fr-FR"/>
        </w:rPr>
        <w:t xml:space="preserve">a nature de l’infraction en question, </w:t>
      </w:r>
      <w:r w:rsidR="00C151D2">
        <w:rPr>
          <w:lang w:val="fr-FR"/>
        </w:rPr>
        <w:t>la cause de l’action ou de la défense, et la nature de l’objet de la procédure</w:t>
      </w:r>
      <w:r w:rsidR="00572260">
        <w:rPr>
          <w:lang w:val="fr-FR"/>
        </w:rPr>
        <w:t>;</w:t>
      </w:r>
    </w:p>
    <w:p w:rsidR="00C151D2" w:rsidRDefault="00404507" w:rsidP="005D7B68">
      <w:pPr>
        <w:tabs>
          <w:tab w:val="left" w:pos="567"/>
          <w:tab w:val="left" w:pos="1134"/>
          <w:tab w:val="left" w:pos="1701"/>
          <w:tab w:val="left" w:pos="2268"/>
          <w:tab w:val="left" w:pos="2835"/>
        </w:tabs>
        <w:rPr>
          <w:lang w:val="fr-FR"/>
        </w:rPr>
      </w:pPr>
      <w:r>
        <w:rPr>
          <w:lang w:val="fr-FR"/>
        </w:rPr>
        <w:tab/>
        <w:t>d)</w:t>
      </w:r>
      <w:r>
        <w:rPr>
          <w:lang w:val="fr-FR"/>
        </w:rPr>
        <w:tab/>
        <w:t>L</w:t>
      </w:r>
      <w:r w:rsidR="00C151D2">
        <w:rPr>
          <w:lang w:val="fr-FR"/>
        </w:rPr>
        <w:t>a gravité de l’irrégularité ou de l’infraction</w:t>
      </w:r>
      <w:r w:rsidR="00572260">
        <w:rPr>
          <w:lang w:val="fr-FR"/>
        </w:rPr>
        <w:t>;</w:t>
      </w:r>
    </w:p>
    <w:p w:rsidR="00E214DE" w:rsidRDefault="00404507" w:rsidP="005D7B68">
      <w:pPr>
        <w:tabs>
          <w:tab w:val="left" w:pos="567"/>
          <w:tab w:val="left" w:pos="1134"/>
          <w:tab w:val="left" w:pos="1701"/>
          <w:tab w:val="left" w:pos="2268"/>
          <w:tab w:val="left" w:pos="2835"/>
        </w:tabs>
        <w:rPr>
          <w:lang w:val="fr-FR"/>
        </w:rPr>
      </w:pPr>
      <w:r>
        <w:rPr>
          <w:lang w:val="fr-FR"/>
        </w:rPr>
        <w:tab/>
        <w:t>e)</w:t>
      </w:r>
      <w:r>
        <w:rPr>
          <w:lang w:val="fr-FR"/>
        </w:rPr>
        <w:tab/>
        <w:t>L</w:t>
      </w:r>
      <w:r w:rsidR="00C151D2">
        <w:rPr>
          <w:lang w:val="fr-FR"/>
        </w:rPr>
        <w:t>e fait que cette irré</w:t>
      </w:r>
      <w:r w:rsidR="00FF36A0">
        <w:rPr>
          <w:lang w:val="fr-FR"/>
        </w:rPr>
        <w:t>gularité ou cette infraction a</w:t>
      </w:r>
      <w:r w:rsidR="00C151D2">
        <w:rPr>
          <w:lang w:val="fr-FR"/>
        </w:rPr>
        <w:t xml:space="preserve"> été commise délibérément ou</w:t>
      </w:r>
      <w:r w:rsidR="00E214DE">
        <w:rPr>
          <w:lang w:val="fr-FR"/>
        </w:rPr>
        <w:t xml:space="preserve"> </w:t>
      </w:r>
      <w:r w:rsidR="00C151D2">
        <w:rPr>
          <w:lang w:val="fr-FR"/>
        </w:rPr>
        <w:t>de manière irréfléchie</w:t>
      </w:r>
      <w:r w:rsidR="00572260">
        <w:rPr>
          <w:lang w:val="fr-FR"/>
        </w:rPr>
        <w:t>;</w:t>
      </w:r>
    </w:p>
    <w:p w:rsidR="00C151D2" w:rsidRDefault="00404507" w:rsidP="005D7B68">
      <w:pPr>
        <w:tabs>
          <w:tab w:val="left" w:pos="567"/>
          <w:tab w:val="left" w:pos="1134"/>
          <w:tab w:val="left" w:pos="1701"/>
          <w:tab w:val="left" w:pos="2268"/>
          <w:tab w:val="left" w:pos="2835"/>
        </w:tabs>
        <w:rPr>
          <w:lang w:val="fr-FR"/>
        </w:rPr>
      </w:pPr>
      <w:r>
        <w:rPr>
          <w:lang w:val="fr-FR"/>
        </w:rPr>
        <w:tab/>
        <w:t>f)</w:t>
      </w:r>
      <w:r>
        <w:rPr>
          <w:lang w:val="fr-FR"/>
        </w:rPr>
        <w:tab/>
        <w:t>L</w:t>
      </w:r>
      <w:r w:rsidR="00C151D2">
        <w:rPr>
          <w:lang w:val="fr-FR"/>
        </w:rPr>
        <w:t>e fait que cette irrég</w:t>
      </w:r>
      <w:r w:rsidR="00E311C8">
        <w:rPr>
          <w:lang w:val="fr-FR"/>
        </w:rPr>
        <w:t>ularité ou cette infraction est</w:t>
      </w:r>
      <w:r w:rsidR="00C151D2">
        <w:rPr>
          <w:lang w:val="fr-FR"/>
        </w:rPr>
        <w:t xml:space="preserve"> (ou non) contraire à l’un des droits de la personne consacrés par le Pacte international relatif aux droits civils et politiques, ou incompatible avec ce droit</w:t>
      </w:r>
      <w:r w:rsidR="00572260">
        <w:rPr>
          <w:lang w:val="fr-FR"/>
        </w:rPr>
        <w:t>;</w:t>
      </w:r>
    </w:p>
    <w:p w:rsidR="00C151D2" w:rsidRDefault="00404507" w:rsidP="005D7B68">
      <w:pPr>
        <w:tabs>
          <w:tab w:val="left" w:pos="567"/>
          <w:tab w:val="left" w:pos="1134"/>
          <w:tab w:val="left" w:pos="1701"/>
          <w:tab w:val="left" w:pos="2268"/>
          <w:tab w:val="left" w:pos="2835"/>
        </w:tabs>
        <w:rPr>
          <w:lang w:val="fr-FR"/>
        </w:rPr>
      </w:pPr>
      <w:r>
        <w:rPr>
          <w:lang w:val="fr-FR"/>
        </w:rPr>
        <w:tab/>
        <w:t>g)</w:t>
      </w:r>
      <w:r>
        <w:rPr>
          <w:lang w:val="fr-FR"/>
        </w:rPr>
        <w:tab/>
        <w:t>L</w:t>
      </w:r>
      <w:r w:rsidR="00C151D2">
        <w:rPr>
          <w:lang w:val="fr-FR"/>
        </w:rPr>
        <w:t>e fait qu’une autre p</w:t>
      </w:r>
      <w:r w:rsidR="00E311C8">
        <w:rPr>
          <w:lang w:val="fr-FR"/>
        </w:rPr>
        <w:t>rocédure (judiciaire ou non) a</w:t>
      </w:r>
      <w:r w:rsidR="00C151D2">
        <w:rPr>
          <w:lang w:val="fr-FR"/>
        </w:rPr>
        <w:t xml:space="preserve"> été (ou non) engagée à l’encontre de cette irrégularité ou de cette infraction</w:t>
      </w:r>
      <w:r w:rsidR="00572260">
        <w:rPr>
          <w:lang w:val="fr-FR"/>
        </w:rPr>
        <w:t>;</w:t>
      </w:r>
      <w:r w:rsidR="00C151D2">
        <w:rPr>
          <w:lang w:val="fr-FR"/>
        </w:rPr>
        <w:t xml:space="preserve"> et</w:t>
      </w:r>
    </w:p>
    <w:p w:rsidR="00C151D2" w:rsidRDefault="00404507" w:rsidP="005D7B68">
      <w:pPr>
        <w:tabs>
          <w:tab w:val="left" w:pos="567"/>
          <w:tab w:val="left" w:pos="1134"/>
          <w:tab w:val="left" w:pos="1701"/>
          <w:tab w:val="left" w:pos="2268"/>
          <w:tab w:val="left" w:pos="2835"/>
        </w:tabs>
        <w:rPr>
          <w:lang w:val="fr-FR"/>
        </w:rPr>
      </w:pPr>
      <w:r>
        <w:rPr>
          <w:lang w:val="fr-FR"/>
        </w:rPr>
        <w:tab/>
        <w:t>h)</w:t>
      </w:r>
      <w:r>
        <w:rPr>
          <w:lang w:val="fr-FR"/>
        </w:rPr>
        <w:tab/>
        <w:t>L</w:t>
      </w:r>
      <w:r w:rsidR="00C151D2">
        <w:rPr>
          <w:lang w:val="fr-FR"/>
        </w:rPr>
        <w:t>a difficulté (le cas échéant) d’</w:t>
      </w:r>
      <w:r w:rsidR="00AD587B">
        <w:rPr>
          <w:lang w:val="fr-FR"/>
        </w:rPr>
        <w:t>obtenir les éléments de preuve</w:t>
      </w:r>
      <w:r w:rsidR="00C151D2">
        <w:rPr>
          <w:lang w:val="fr-FR"/>
        </w:rPr>
        <w:t xml:space="preserve"> san</w:t>
      </w:r>
      <w:r>
        <w:rPr>
          <w:lang w:val="fr-FR"/>
        </w:rPr>
        <w:t>s commettre d’irrégularité ni</w:t>
      </w:r>
      <w:r w:rsidR="00C151D2">
        <w:rPr>
          <w:lang w:val="fr-FR"/>
        </w:rPr>
        <w:t xml:space="preserve"> d’infraction à une loi australienne.</w:t>
      </w:r>
    </w:p>
    <w:p w:rsidR="00BA2BB4" w:rsidRDefault="00C151D2" w:rsidP="005D7B68">
      <w:pPr>
        <w:tabs>
          <w:tab w:val="left" w:pos="567"/>
          <w:tab w:val="left" w:pos="1134"/>
          <w:tab w:val="left" w:pos="1701"/>
          <w:tab w:val="left" w:pos="2268"/>
          <w:tab w:val="left" w:pos="2835"/>
        </w:tabs>
        <w:rPr>
          <w:lang w:val="fr-FR"/>
        </w:rPr>
      </w:pPr>
      <w:r>
        <w:rPr>
          <w:lang w:val="fr-FR"/>
        </w:rPr>
        <w:t>85</w:t>
      </w:r>
      <w:r w:rsidR="00E562C0">
        <w:rPr>
          <w:lang w:val="fr-FR"/>
        </w:rPr>
        <w:t>8</w:t>
      </w:r>
      <w:r>
        <w:rPr>
          <w:lang w:val="fr-FR"/>
        </w:rPr>
        <w:t>.</w:t>
      </w:r>
      <w:r w:rsidRPr="00AF11C0">
        <w:rPr>
          <w:lang w:val="fr-FR"/>
        </w:rPr>
        <w:tab/>
        <w:t>Cet article s’applique non seulement aux aveux, mais également à tout autre élément de preuve obtenu par la torture</w:t>
      </w:r>
      <w:r w:rsidR="008D6B80">
        <w:rPr>
          <w:lang w:val="fr-FR"/>
        </w:rPr>
        <w:t xml:space="preserve">. </w:t>
      </w:r>
      <w:r w:rsidRPr="00AF11C0">
        <w:rPr>
          <w:lang w:val="fr-FR"/>
        </w:rPr>
        <w:t xml:space="preserve">Donc, si, par exemple, des fonctionnaires </w:t>
      </w:r>
      <w:r w:rsidR="00A67641">
        <w:rPr>
          <w:lang w:val="fr-FR"/>
        </w:rPr>
        <w:t>torturaient une personne </w:t>
      </w:r>
      <w:r w:rsidR="00632D10" w:rsidRPr="00AF11C0">
        <w:rPr>
          <w:lang w:val="fr-FR"/>
        </w:rPr>
        <w:t>(A) et qu’à la suite de ces tortures A leur révélait le lieu où se trouve un instrument utilisé par une autre personne (B) pour la commission d’une infraction, si B était poursuivi pour une infraction, il pourrait être fait opposition à la recevabilité de ce</w:t>
      </w:r>
      <w:r w:rsidR="00E562C0">
        <w:rPr>
          <w:lang w:val="fr-FR"/>
        </w:rPr>
        <w:t>t élément en vertu de l’article </w:t>
      </w:r>
      <w:r w:rsidR="00632D10" w:rsidRPr="00AF11C0">
        <w:rPr>
          <w:lang w:val="fr-FR"/>
        </w:rPr>
        <w:t>138.</w:t>
      </w:r>
    </w:p>
    <w:p w:rsidR="00E214DE" w:rsidRDefault="00632D10" w:rsidP="005D7B68">
      <w:pPr>
        <w:tabs>
          <w:tab w:val="left" w:pos="567"/>
          <w:tab w:val="left" w:pos="1134"/>
          <w:tab w:val="left" w:pos="1701"/>
          <w:tab w:val="left" w:pos="2268"/>
          <w:tab w:val="left" w:pos="2835"/>
        </w:tabs>
        <w:rPr>
          <w:b/>
          <w:bCs/>
          <w:lang w:val="fr-FR"/>
        </w:rPr>
      </w:pPr>
      <w:r>
        <w:rPr>
          <w:b/>
          <w:bCs/>
          <w:lang w:val="fr-FR"/>
        </w:rPr>
        <w:t>Loi de 2005 du Territoire de la capitale</w:t>
      </w:r>
      <w:r w:rsidR="00404507">
        <w:rPr>
          <w:b/>
          <w:bCs/>
          <w:lang w:val="fr-FR"/>
        </w:rPr>
        <w:t xml:space="preserve"> australienne</w:t>
      </w:r>
      <w:r>
        <w:rPr>
          <w:b/>
          <w:bCs/>
          <w:lang w:val="fr-FR"/>
        </w:rPr>
        <w:t xml:space="preserve"> sur le terrorisme (pou</w:t>
      </w:r>
      <w:r w:rsidR="00BA2BB4">
        <w:rPr>
          <w:b/>
          <w:bCs/>
          <w:lang w:val="fr-FR"/>
        </w:rPr>
        <w:t>voirs exceptionnels temporaires</w:t>
      </w:r>
    </w:p>
    <w:p w:rsidR="00632D10" w:rsidRPr="00632D10" w:rsidRDefault="00E562C0" w:rsidP="005D7B68">
      <w:pPr>
        <w:tabs>
          <w:tab w:val="left" w:pos="567"/>
          <w:tab w:val="left" w:pos="1134"/>
          <w:tab w:val="left" w:pos="1701"/>
          <w:tab w:val="left" w:pos="2268"/>
          <w:tab w:val="left" w:pos="2835"/>
        </w:tabs>
        <w:rPr>
          <w:lang w:val="fr-FR"/>
        </w:rPr>
      </w:pPr>
      <w:r>
        <w:rPr>
          <w:lang w:val="fr-FR"/>
        </w:rPr>
        <w:t>859</w:t>
      </w:r>
      <w:r w:rsidR="00632D10">
        <w:rPr>
          <w:lang w:val="fr-FR"/>
        </w:rPr>
        <w:t>.</w:t>
      </w:r>
      <w:r w:rsidR="00632D10">
        <w:rPr>
          <w:lang w:val="fr-FR"/>
        </w:rPr>
        <w:tab/>
        <w:t>L’article 96 de la loi de 2005 du Territoire de la capitale</w:t>
      </w:r>
      <w:r w:rsidR="00404507">
        <w:rPr>
          <w:lang w:val="fr-FR"/>
        </w:rPr>
        <w:t xml:space="preserve"> fédérale</w:t>
      </w:r>
      <w:r w:rsidR="00632D10">
        <w:rPr>
          <w:lang w:val="fr-FR"/>
        </w:rPr>
        <w:t xml:space="preserve"> sur le terrorisme (pouvoirs exceptionnels temporaires) prévoit que, dans une procédure engagée au titre de cette loi, </w:t>
      </w:r>
      <w:r w:rsidR="00FD7AC9">
        <w:rPr>
          <w:lang w:val="fr-FR"/>
        </w:rPr>
        <w:t>les éléments de preuve obtenus directement ou indirectement par la torture sont irrecevables</w:t>
      </w:r>
      <w:r w:rsidR="008D6B80">
        <w:rPr>
          <w:lang w:val="fr-FR"/>
        </w:rPr>
        <w:t xml:space="preserve">. </w:t>
      </w:r>
      <w:r w:rsidR="00404507">
        <w:rPr>
          <w:lang w:val="fr-FR"/>
        </w:rPr>
        <w:t>Aux fins de c</w:t>
      </w:r>
      <w:r w:rsidR="000D5451">
        <w:rPr>
          <w:lang w:val="fr-FR"/>
        </w:rPr>
        <w:t>et article</w:t>
      </w:r>
      <w:r w:rsidR="00404507">
        <w:rPr>
          <w:lang w:val="fr-FR"/>
        </w:rPr>
        <w:t>, qui s’applique</w:t>
      </w:r>
      <w:r w:rsidR="000D5451">
        <w:rPr>
          <w:lang w:val="fr-FR"/>
        </w:rPr>
        <w:t xml:space="preserve"> quel que soit </w:t>
      </w:r>
      <w:r w:rsidR="00404507">
        <w:rPr>
          <w:lang w:val="fr-FR"/>
        </w:rPr>
        <w:t>le lieu où la torture a eu lieu, la définition de ce terme</w:t>
      </w:r>
      <w:r w:rsidR="000D5451">
        <w:rPr>
          <w:lang w:val="fr-FR"/>
        </w:rPr>
        <w:t xml:space="preserve"> est celle qui figure dans le premier paragraphe de l’article premier de la Convention contre la torture et les peines ou traitements cruels, inhumains ou dégradants.</w:t>
      </w:r>
    </w:p>
    <w:p w:rsidR="00805AAE" w:rsidRDefault="00805AAE" w:rsidP="005D7B68">
      <w:pPr>
        <w:tabs>
          <w:tab w:val="left" w:pos="567"/>
          <w:tab w:val="left" w:pos="1134"/>
          <w:tab w:val="left" w:pos="1701"/>
          <w:tab w:val="left" w:pos="2268"/>
          <w:tab w:val="left" w:pos="2835"/>
        </w:tabs>
        <w:rPr>
          <w:b/>
          <w:bCs/>
          <w:lang w:val="fr-FR"/>
        </w:rPr>
      </w:pPr>
      <w:r>
        <w:rPr>
          <w:b/>
          <w:bCs/>
          <w:lang w:val="fr-FR"/>
        </w:rPr>
        <w:t>Territoire du Nord</w:t>
      </w:r>
    </w:p>
    <w:p w:rsidR="00EE6774" w:rsidRDefault="004D662E" w:rsidP="005D7B68">
      <w:pPr>
        <w:tabs>
          <w:tab w:val="left" w:pos="567"/>
          <w:tab w:val="left" w:pos="1134"/>
          <w:tab w:val="left" w:pos="1701"/>
          <w:tab w:val="left" w:pos="2268"/>
          <w:tab w:val="left" w:pos="2835"/>
        </w:tabs>
        <w:rPr>
          <w:lang w:val="fr-FR"/>
        </w:rPr>
      </w:pPr>
      <w:r>
        <w:rPr>
          <w:lang w:val="fr-FR"/>
        </w:rPr>
        <w:t>860</w:t>
      </w:r>
      <w:r w:rsidR="00805AAE" w:rsidRPr="00AD587B">
        <w:rPr>
          <w:lang w:val="fr-FR"/>
        </w:rPr>
        <w:t>.</w:t>
      </w:r>
      <w:r w:rsidR="00805AAE" w:rsidRPr="00AD587B">
        <w:rPr>
          <w:lang w:val="fr-FR"/>
        </w:rPr>
        <w:tab/>
      </w:r>
      <w:r w:rsidR="00AD587B" w:rsidRPr="00AD587B">
        <w:rPr>
          <w:lang w:val="fr-FR"/>
        </w:rPr>
        <w:t>Les règles du Territoire du Nord</w:t>
      </w:r>
      <w:r w:rsidR="00AD587B">
        <w:rPr>
          <w:lang w:val="fr-FR"/>
        </w:rPr>
        <w:t xml:space="preserve"> régissant l’administration de la preuve garantissent l’irrecevabilité des déclarations à charges obtenues par la violence, la contrainte ou au moyen d’un traitement inhumain ou dégradant</w:t>
      </w:r>
      <w:r w:rsidR="008D6B80">
        <w:rPr>
          <w:lang w:val="fr-FR"/>
        </w:rPr>
        <w:t xml:space="preserve">. </w:t>
      </w:r>
      <w:r w:rsidR="00EE6774">
        <w:rPr>
          <w:lang w:val="fr-FR"/>
        </w:rPr>
        <w:t>En définitive, les tribunaux</w:t>
      </w:r>
      <w:r w:rsidR="00AD587B">
        <w:rPr>
          <w:lang w:val="fr-FR"/>
        </w:rPr>
        <w:t xml:space="preserve"> </w:t>
      </w:r>
      <w:r w:rsidR="00EE6774">
        <w:rPr>
          <w:lang w:val="fr-FR"/>
        </w:rPr>
        <w:t>ont toute latitude pour traiter les éléments de preuve qui leur sont présentés conformément aux principes du</w:t>
      </w:r>
      <w:r w:rsidR="00EE6774">
        <w:rPr>
          <w:i/>
          <w:iCs/>
          <w:lang w:val="fr-FR"/>
        </w:rPr>
        <w:t xml:space="preserve"> common law</w:t>
      </w:r>
      <w:r w:rsidR="00EE6774">
        <w:rPr>
          <w:lang w:val="fr-FR"/>
        </w:rPr>
        <w:t>.</w:t>
      </w:r>
    </w:p>
    <w:p w:rsidR="00805AAE" w:rsidRPr="00AD587B" w:rsidRDefault="00EE6774" w:rsidP="005D7B68">
      <w:pPr>
        <w:tabs>
          <w:tab w:val="left" w:pos="567"/>
          <w:tab w:val="left" w:pos="1134"/>
          <w:tab w:val="left" w:pos="1701"/>
          <w:tab w:val="left" w:pos="2268"/>
          <w:tab w:val="left" w:pos="2835"/>
        </w:tabs>
        <w:rPr>
          <w:lang w:val="fr-FR"/>
        </w:rPr>
      </w:pPr>
      <w:r>
        <w:rPr>
          <w:lang w:val="fr-FR"/>
        </w:rPr>
        <w:t>86</w:t>
      </w:r>
      <w:r w:rsidR="004D662E">
        <w:rPr>
          <w:lang w:val="fr-FR"/>
        </w:rPr>
        <w:t>1</w:t>
      </w:r>
      <w:r>
        <w:rPr>
          <w:lang w:val="fr-FR"/>
        </w:rPr>
        <w:t>.</w:t>
      </w:r>
      <w:r>
        <w:rPr>
          <w:lang w:val="fr-FR"/>
        </w:rPr>
        <w:tab/>
        <w:t>L’article 54 4) de la loi sur les éléments de preuve du Territoire du Nord porte confirmation du pouvoir qu’a le tribunal, dans une procédure pénale, d’exclure une preuve obtenue illégalement ou qui, si elle était admise, défavoriserait injustement l’accusé.</w:t>
      </w:r>
      <w:r w:rsidR="00AD587B">
        <w:rPr>
          <w:lang w:val="fr-FR"/>
        </w:rPr>
        <w:t xml:space="preserve"> </w:t>
      </w:r>
    </w:p>
    <w:p w:rsidR="00805AAE" w:rsidRDefault="00EE6774" w:rsidP="005D7B68">
      <w:pPr>
        <w:keepNext/>
        <w:tabs>
          <w:tab w:val="left" w:pos="567"/>
          <w:tab w:val="left" w:pos="1134"/>
          <w:tab w:val="left" w:pos="1701"/>
          <w:tab w:val="left" w:pos="2268"/>
          <w:tab w:val="left" w:pos="2835"/>
        </w:tabs>
        <w:jc w:val="center"/>
        <w:rPr>
          <w:b/>
          <w:bCs/>
          <w:lang w:val="fr-FR"/>
        </w:rPr>
      </w:pPr>
      <w:r>
        <w:rPr>
          <w:b/>
          <w:bCs/>
          <w:lang w:val="fr-FR"/>
        </w:rPr>
        <w:t>ARTICLE 16</w:t>
      </w:r>
    </w:p>
    <w:p w:rsidR="00EE6774" w:rsidRPr="00EE6774" w:rsidRDefault="00EE6774" w:rsidP="005D7B68">
      <w:pPr>
        <w:keepNext/>
        <w:tabs>
          <w:tab w:val="left" w:pos="567"/>
          <w:tab w:val="left" w:pos="1134"/>
          <w:tab w:val="left" w:pos="1701"/>
          <w:tab w:val="left" w:pos="2268"/>
          <w:tab w:val="left" w:pos="2835"/>
        </w:tabs>
        <w:rPr>
          <w:b/>
          <w:bCs/>
          <w:lang w:val="fr-FR"/>
        </w:rPr>
      </w:pPr>
      <w:r w:rsidRPr="00EE6774">
        <w:rPr>
          <w:b/>
          <w:bCs/>
          <w:lang w:val="fr-FR"/>
        </w:rPr>
        <w:t>Question 36</w:t>
      </w:r>
    </w:p>
    <w:p w:rsidR="00722567" w:rsidRPr="00722567" w:rsidRDefault="00722567" w:rsidP="005D7B68">
      <w:pPr>
        <w:keepNext/>
        <w:tabs>
          <w:tab w:val="left" w:pos="567"/>
          <w:tab w:val="left" w:pos="1134"/>
          <w:tab w:val="left" w:pos="1701"/>
          <w:tab w:val="left" w:pos="2268"/>
          <w:tab w:val="left" w:pos="2835"/>
        </w:tabs>
        <w:ind w:firstLine="708"/>
        <w:rPr>
          <w:b/>
          <w:bCs/>
          <w:lang w:val="fr-FR"/>
        </w:rPr>
      </w:pPr>
      <w:r w:rsidRPr="00722567">
        <w:rPr>
          <w:b/>
          <w:bCs/>
          <w:lang w:val="fr-FR"/>
        </w:rPr>
        <w:t xml:space="preserve">Compte tenu des observations finales du Comité des droits de l’enfant (2005), indiquer les mesures prises pour interdire le recours aux châtiments corporels dans toutes les écoles (privées et publiques), les centres de détention et les institutions assurant une protection de remplacement et ce, dans tous les États et territoires. </w:t>
      </w:r>
    </w:p>
    <w:p w:rsidR="00722567" w:rsidRDefault="00722567" w:rsidP="005D7B68">
      <w:pPr>
        <w:tabs>
          <w:tab w:val="left" w:pos="567"/>
          <w:tab w:val="left" w:pos="1134"/>
          <w:tab w:val="left" w:pos="1701"/>
          <w:tab w:val="left" w:pos="2268"/>
          <w:tab w:val="left" w:pos="2835"/>
        </w:tabs>
        <w:rPr>
          <w:lang w:val="fr-FR"/>
        </w:rPr>
      </w:pPr>
      <w:r>
        <w:rPr>
          <w:lang w:val="fr-FR"/>
        </w:rPr>
        <w:t>86</w:t>
      </w:r>
      <w:r w:rsidR="004D662E">
        <w:rPr>
          <w:lang w:val="fr-FR"/>
        </w:rPr>
        <w:t>2</w:t>
      </w:r>
      <w:r>
        <w:rPr>
          <w:lang w:val="fr-FR"/>
        </w:rPr>
        <w:t>.</w:t>
      </w:r>
      <w:r>
        <w:rPr>
          <w:lang w:val="fr-FR"/>
        </w:rPr>
        <w:tab/>
        <w:t>Á titre préliminai</w:t>
      </w:r>
      <w:r w:rsidR="003A4902">
        <w:rPr>
          <w:lang w:val="fr-FR"/>
        </w:rPr>
        <w:t>re, le Gouvernement australien</w:t>
      </w:r>
      <w:r>
        <w:rPr>
          <w:lang w:val="fr-FR"/>
        </w:rPr>
        <w:t xml:space="preserve"> note que cette question fait double emploi avec le travail du Comité des droits de l’enfant, et que le suivi des observations de ce Comité devrait être assuré par lui-même</w:t>
      </w:r>
      <w:r w:rsidR="008D6B80">
        <w:rPr>
          <w:lang w:val="fr-FR"/>
        </w:rPr>
        <w:t xml:space="preserve">. </w:t>
      </w:r>
      <w:r>
        <w:rPr>
          <w:lang w:val="fr-FR"/>
        </w:rPr>
        <w:t>Cependant, pour être utile au Comité contre la torture, il accepte de communiquer les informations ci-après.</w:t>
      </w:r>
    </w:p>
    <w:p w:rsidR="00722567" w:rsidRPr="00722567" w:rsidRDefault="00722567" w:rsidP="005D7B68">
      <w:pPr>
        <w:tabs>
          <w:tab w:val="left" w:pos="567"/>
          <w:tab w:val="left" w:pos="1134"/>
          <w:tab w:val="left" w:pos="1701"/>
          <w:tab w:val="left" w:pos="2268"/>
          <w:tab w:val="left" w:pos="2835"/>
        </w:tabs>
        <w:rPr>
          <w:b/>
          <w:bCs/>
          <w:lang w:val="fr-FR"/>
        </w:rPr>
      </w:pPr>
      <w:r>
        <w:rPr>
          <w:b/>
          <w:bCs/>
          <w:lang w:val="fr-FR"/>
        </w:rPr>
        <w:t>Informations du Gouvernement du Commonwealth</w:t>
      </w:r>
    </w:p>
    <w:p w:rsidR="00717860" w:rsidRDefault="00722567" w:rsidP="005D7B68">
      <w:pPr>
        <w:tabs>
          <w:tab w:val="left" w:pos="567"/>
          <w:tab w:val="left" w:pos="1134"/>
          <w:tab w:val="left" w:pos="1701"/>
          <w:tab w:val="left" w:pos="2268"/>
          <w:tab w:val="left" w:pos="2835"/>
        </w:tabs>
        <w:rPr>
          <w:lang w:val="fr-FR"/>
        </w:rPr>
      </w:pPr>
      <w:r>
        <w:rPr>
          <w:lang w:val="fr-FR"/>
        </w:rPr>
        <w:t>8</w:t>
      </w:r>
      <w:r w:rsidR="00717860">
        <w:rPr>
          <w:lang w:val="fr-FR"/>
        </w:rPr>
        <w:t>6</w:t>
      </w:r>
      <w:r w:rsidR="004D662E">
        <w:rPr>
          <w:lang w:val="fr-FR"/>
        </w:rPr>
        <w:t>3</w:t>
      </w:r>
      <w:r>
        <w:rPr>
          <w:lang w:val="fr-FR"/>
        </w:rPr>
        <w:t>.</w:t>
      </w:r>
      <w:r>
        <w:rPr>
          <w:lang w:val="fr-FR"/>
        </w:rPr>
        <w:tab/>
        <w:t xml:space="preserve">En vertu de la Constitution australienne, les autorités de l’éducation des États et Territoires </w:t>
      </w:r>
      <w:r w:rsidR="00717860">
        <w:rPr>
          <w:lang w:val="fr-FR"/>
        </w:rPr>
        <w:t>sont légalement responsables du traitement des élèves</w:t>
      </w:r>
      <w:r w:rsidR="008D6B80">
        <w:rPr>
          <w:lang w:val="fr-FR"/>
        </w:rPr>
        <w:t xml:space="preserve">. </w:t>
      </w:r>
      <w:r w:rsidR="00717860">
        <w:rPr>
          <w:lang w:val="fr-FR"/>
        </w:rPr>
        <w:t>De même, les services de protection de l’enfance relèvent de la responsabilité du Département des services collectifs de chaque État et Territoire</w:t>
      </w:r>
      <w:r w:rsidR="008D6B80">
        <w:rPr>
          <w:lang w:val="fr-FR"/>
        </w:rPr>
        <w:t xml:space="preserve">. </w:t>
      </w:r>
      <w:r w:rsidR="00717860">
        <w:rPr>
          <w:lang w:val="fr-FR"/>
        </w:rPr>
        <w:t xml:space="preserve">Cependant, le Gouvernement australien, par l’intermédiaire du Ministère de la famille, des services collectifs et des affaires autochtones, assure, au plan national, la promotion des meilleures pratiques en matière de prévention des </w:t>
      </w:r>
      <w:r w:rsidR="00404507">
        <w:rPr>
          <w:lang w:val="fr-FR"/>
        </w:rPr>
        <w:t xml:space="preserve">violences faites aux enfants, ainsi que </w:t>
      </w:r>
      <w:r w:rsidR="00717860">
        <w:rPr>
          <w:lang w:val="fr-FR"/>
        </w:rPr>
        <w:t>des interventions et de la prévention précoces.</w:t>
      </w:r>
    </w:p>
    <w:p w:rsidR="00722567" w:rsidRDefault="00717860" w:rsidP="005D7B68">
      <w:pPr>
        <w:tabs>
          <w:tab w:val="left" w:pos="567"/>
          <w:tab w:val="left" w:pos="1134"/>
          <w:tab w:val="left" w:pos="1701"/>
          <w:tab w:val="left" w:pos="2268"/>
          <w:tab w:val="left" w:pos="2835"/>
        </w:tabs>
        <w:rPr>
          <w:lang w:val="fr-FR"/>
        </w:rPr>
      </w:pPr>
      <w:r>
        <w:rPr>
          <w:lang w:val="fr-FR"/>
        </w:rPr>
        <w:t>86</w:t>
      </w:r>
      <w:r w:rsidR="004D662E">
        <w:rPr>
          <w:lang w:val="fr-FR"/>
        </w:rPr>
        <w:t>4</w:t>
      </w:r>
      <w:r>
        <w:rPr>
          <w:lang w:val="fr-FR"/>
        </w:rPr>
        <w:t>.</w:t>
      </w:r>
      <w:r>
        <w:rPr>
          <w:lang w:val="fr-FR"/>
        </w:rPr>
        <w:tab/>
        <w:t>Le Gouvernement australien ne cautionne pas les châtiments corporels comme moyen d’apprendre aux élèves les valeurs et le respect</w:t>
      </w:r>
      <w:r w:rsidR="008D6B80">
        <w:rPr>
          <w:lang w:val="fr-FR"/>
        </w:rPr>
        <w:t xml:space="preserve">. </w:t>
      </w:r>
      <w:r>
        <w:rPr>
          <w:lang w:val="fr-FR"/>
        </w:rPr>
        <w:t>Il préc</w:t>
      </w:r>
      <w:r w:rsidR="00EE1C3C">
        <w:rPr>
          <w:lang w:val="fr-FR"/>
        </w:rPr>
        <w:t>onise une approche assurant</w:t>
      </w:r>
      <w:r>
        <w:rPr>
          <w:lang w:val="fr-FR"/>
        </w:rPr>
        <w:t xml:space="preserve"> un milieu d’apprentissage régi par les principes de sécurité et de </w:t>
      </w:r>
      <w:r w:rsidR="005A1743">
        <w:rPr>
          <w:lang w:val="fr-FR"/>
        </w:rPr>
        <w:t>collaboration</w:t>
      </w:r>
      <w:r w:rsidR="008D6B80">
        <w:rPr>
          <w:lang w:val="fr-FR"/>
        </w:rPr>
        <w:t xml:space="preserve">. </w:t>
      </w:r>
      <w:r w:rsidR="005A1743">
        <w:rPr>
          <w:lang w:val="fr-FR"/>
        </w:rPr>
        <w:t>Cette approche figure dans le ‘National Safe Schools Framework’ (ensemble de directives nationales en matière de sécurité à l’école), qui a été repris par les Ministres de l’éducation du Commonwealth, des États et des Territoires</w:t>
      </w:r>
      <w:r w:rsidR="00675FF2">
        <w:rPr>
          <w:lang w:val="fr-FR"/>
        </w:rPr>
        <w:t xml:space="preserve"> en juillet 2003</w:t>
      </w:r>
      <w:r w:rsidR="008D6B80">
        <w:rPr>
          <w:lang w:val="fr-FR"/>
        </w:rPr>
        <w:t xml:space="preserve">. </w:t>
      </w:r>
      <w:r w:rsidR="00675FF2">
        <w:rPr>
          <w:lang w:val="fr-FR"/>
        </w:rPr>
        <w:t>Tous les établissements scolaires australiens ont l’obligation légale, imposée par le gouvernement du Commonwealth, d’appliquer cet ensemble de directives au plus tard le 1</w:t>
      </w:r>
      <w:r w:rsidR="00675FF2" w:rsidRPr="00675FF2">
        <w:rPr>
          <w:vertAlign w:val="superscript"/>
          <w:lang w:val="fr-FR"/>
        </w:rPr>
        <w:t>er</w:t>
      </w:r>
      <w:r w:rsidR="00822B9F">
        <w:rPr>
          <w:lang w:val="fr-FR"/>
        </w:rPr>
        <w:t xml:space="preserve"> janvier 2006</w:t>
      </w:r>
      <w:r w:rsidR="008D6B80">
        <w:rPr>
          <w:lang w:val="fr-FR"/>
        </w:rPr>
        <w:t xml:space="preserve">. </w:t>
      </w:r>
      <w:r w:rsidR="00822B9F">
        <w:rPr>
          <w:lang w:val="fr-FR"/>
        </w:rPr>
        <w:t>Cela vaut sans distinction pour les écoles catholiques, les écoles publiques et les</w:t>
      </w:r>
      <w:r w:rsidR="00675FF2">
        <w:rPr>
          <w:lang w:val="fr-FR"/>
        </w:rPr>
        <w:t xml:space="preserve"> écoles privées</w:t>
      </w:r>
      <w:r w:rsidR="008D6B80">
        <w:rPr>
          <w:lang w:val="fr-FR"/>
        </w:rPr>
        <w:t xml:space="preserve">. </w:t>
      </w:r>
      <w:r w:rsidR="00675FF2">
        <w:rPr>
          <w:lang w:val="fr-FR"/>
        </w:rPr>
        <w:t>Il s’agit d’</w:t>
      </w:r>
      <w:r w:rsidR="005657DA">
        <w:rPr>
          <w:lang w:val="fr-FR"/>
        </w:rPr>
        <w:t>un</w:t>
      </w:r>
      <w:r w:rsidR="00675FF2">
        <w:rPr>
          <w:lang w:val="fr-FR"/>
        </w:rPr>
        <w:t xml:space="preserve"> ensemble de principes convenus au plan national </w:t>
      </w:r>
      <w:r w:rsidR="00822B9F">
        <w:rPr>
          <w:lang w:val="fr-FR"/>
        </w:rPr>
        <w:t xml:space="preserve">et </w:t>
      </w:r>
      <w:r w:rsidR="00675FF2">
        <w:rPr>
          <w:lang w:val="fr-FR"/>
        </w:rPr>
        <w:t>destinés à assurer un milieu scolaire où règnent la sécurité et l’esprit de coopération</w:t>
      </w:r>
      <w:r w:rsidR="008D6B80">
        <w:rPr>
          <w:lang w:val="fr-FR"/>
        </w:rPr>
        <w:t xml:space="preserve">. </w:t>
      </w:r>
      <w:r w:rsidR="00675FF2">
        <w:rPr>
          <w:lang w:val="fr-FR"/>
        </w:rPr>
        <w:t>Il p</w:t>
      </w:r>
      <w:r w:rsidR="003B7105">
        <w:rPr>
          <w:lang w:val="fr-FR"/>
        </w:rPr>
        <w:t xml:space="preserve">ropose des mesures appropriées </w:t>
      </w:r>
      <w:r w:rsidR="00675FF2">
        <w:rPr>
          <w:lang w:val="fr-FR"/>
        </w:rPr>
        <w:t>que peuvent prendre les écoles pour faire face aux problèmes de</w:t>
      </w:r>
      <w:r w:rsidR="005657DA">
        <w:rPr>
          <w:lang w:val="fr-FR"/>
        </w:rPr>
        <w:t>s brimades, de</w:t>
      </w:r>
      <w:r w:rsidR="00C80442">
        <w:rPr>
          <w:lang w:val="fr-FR"/>
        </w:rPr>
        <w:t xml:space="preserve"> la violence, du harcèlement, des</w:t>
      </w:r>
      <w:r w:rsidR="005657DA">
        <w:rPr>
          <w:lang w:val="fr-FR"/>
        </w:rPr>
        <w:t xml:space="preserve"> mauvais traitement</w:t>
      </w:r>
      <w:r w:rsidR="00C80442">
        <w:rPr>
          <w:lang w:val="fr-FR"/>
        </w:rPr>
        <w:t>s</w:t>
      </w:r>
      <w:r w:rsidR="005657DA">
        <w:rPr>
          <w:lang w:val="fr-FR"/>
        </w:rPr>
        <w:t xml:space="preserve"> et de l’abandon des enfants</w:t>
      </w:r>
      <w:r w:rsidR="008D6B80">
        <w:rPr>
          <w:lang w:val="fr-FR"/>
        </w:rPr>
        <w:t xml:space="preserve">. </w:t>
      </w:r>
      <w:r w:rsidR="005657DA">
        <w:rPr>
          <w:lang w:val="fr-FR"/>
        </w:rPr>
        <w:t>Par la mise en œuvre de cet ensemble de directives, le Gouvernem</w:t>
      </w:r>
      <w:r w:rsidR="00052F89">
        <w:rPr>
          <w:lang w:val="fr-FR"/>
        </w:rPr>
        <w:t>ent australien a encouragé tou</w:t>
      </w:r>
      <w:r w:rsidR="005657DA">
        <w:rPr>
          <w:lang w:val="fr-FR"/>
        </w:rPr>
        <w:t>s les établissements scolaires à</w:t>
      </w:r>
      <w:r w:rsidR="003B7105">
        <w:rPr>
          <w:lang w:val="fr-FR"/>
        </w:rPr>
        <w:t xml:space="preserve"> eff</w:t>
      </w:r>
      <w:r w:rsidR="00737D4D">
        <w:rPr>
          <w:lang w:val="fr-FR"/>
        </w:rPr>
        <w:t>ectuer des bilans et procéder à</w:t>
      </w:r>
      <w:r w:rsidR="005657DA">
        <w:rPr>
          <w:lang w:val="fr-FR"/>
        </w:rPr>
        <w:t xml:space="preserve"> des enquêtes aupr</w:t>
      </w:r>
      <w:r w:rsidR="00232450">
        <w:rPr>
          <w:lang w:val="fr-FR"/>
        </w:rPr>
        <w:t>ès d</w:t>
      </w:r>
      <w:r w:rsidR="00737D4D">
        <w:rPr>
          <w:lang w:val="fr-FR"/>
        </w:rPr>
        <w:t>es élèves pour pouvoir mener</w:t>
      </w:r>
      <w:r w:rsidR="005657DA">
        <w:rPr>
          <w:lang w:val="fr-FR"/>
        </w:rPr>
        <w:t xml:space="preserve"> une action efficace contre les comportements</w:t>
      </w:r>
      <w:r w:rsidR="00052F89">
        <w:rPr>
          <w:lang w:val="fr-FR"/>
        </w:rPr>
        <w:t xml:space="preserve"> violents dans les écoles</w:t>
      </w:r>
      <w:r w:rsidR="008D6B80">
        <w:rPr>
          <w:lang w:val="fr-FR"/>
        </w:rPr>
        <w:t xml:space="preserve">. </w:t>
      </w:r>
      <w:r w:rsidR="00BA2BB4">
        <w:rPr>
          <w:lang w:val="fr-FR"/>
        </w:rPr>
        <w:t>Á </w:t>
      </w:r>
      <w:r w:rsidR="00052F89">
        <w:rPr>
          <w:lang w:val="fr-FR"/>
        </w:rPr>
        <w:t>l’heure actuelle, le Gouvernement australien a alloué 6,5 millions de dollars pour appuyer la mise</w:t>
      </w:r>
      <w:r w:rsidR="00F52E5D">
        <w:rPr>
          <w:lang w:val="fr-FR"/>
        </w:rPr>
        <w:t xml:space="preserve"> en œuvre de ces directives</w:t>
      </w:r>
      <w:r w:rsidR="008D6B80">
        <w:rPr>
          <w:lang w:val="fr-FR"/>
        </w:rPr>
        <w:t xml:space="preserve">. </w:t>
      </w:r>
      <w:r w:rsidR="00F52E5D">
        <w:rPr>
          <w:lang w:val="fr-FR"/>
        </w:rPr>
        <w:t>De</w:t>
      </w:r>
      <w:r w:rsidR="00052F89">
        <w:rPr>
          <w:lang w:val="fr-FR"/>
        </w:rPr>
        <w:t xml:space="preserve"> plus amples détails sont fournis sur le site Web </w:t>
      </w:r>
      <w:hyperlink r:id="rId47" w:history="1">
        <w:r w:rsidR="00052F89" w:rsidRPr="009E07EB">
          <w:rPr>
            <w:rStyle w:val="Hyperlink"/>
            <w:lang w:val="fr-FR"/>
          </w:rPr>
          <w:t>www.dest.gov.au/schools/nssf</w:t>
        </w:r>
      </w:hyperlink>
      <w:r w:rsidR="00052F89">
        <w:rPr>
          <w:lang w:val="fr-FR"/>
        </w:rPr>
        <w:t xml:space="preserve">. </w:t>
      </w:r>
    </w:p>
    <w:p w:rsidR="00B03CD2" w:rsidRPr="002A5D50" w:rsidRDefault="00B03CD2" w:rsidP="005D7B68">
      <w:pPr>
        <w:tabs>
          <w:tab w:val="left" w:pos="567"/>
          <w:tab w:val="left" w:pos="1134"/>
          <w:tab w:val="left" w:pos="1701"/>
          <w:tab w:val="left" w:pos="2268"/>
          <w:tab w:val="left" w:pos="2835"/>
        </w:tabs>
        <w:rPr>
          <w:lang w:val="fr-FR"/>
        </w:rPr>
      </w:pPr>
      <w:r>
        <w:rPr>
          <w:lang w:val="fr-FR"/>
        </w:rPr>
        <w:t>86</w:t>
      </w:r>
      <w:r w:rsidR="004D662E">
        <w:rPr>
          <w:lang w:val="fr-FR"/>
        </w:rPr>
        <w:t>5</w:t>
      </w:r>
      <w:r>
        <w:rPr>
          <w:lang w:val="fr-FR"/>
        </w:rPr>
        <w:t>.</w:t>
      </w:r>
      <w:r>
        <w:rPr>
          <w:lang w:val="fr-FR"/>
        </w:rPr>
        <w:tab/>
        <w:t>En outre, le Gouvernement australien travaille en collaboration avec les gouvernements de</w:t>
      </w:r>
      <w:r w:rsidR="00F52E5D">
        <w:rPr>
          <w:lang w:val="fr-FR"/>
        </w:rPr>
        <w:t>s</w:t>
      </w:r>
      <w:r>
        <w:rPr>
          <w:lang w:val="fr-FR"/>
        </w:rPr>
        <w:t xml:space="preserve"> États et Territoires et les juridictions non gouvernementales pour promouvoir la sécurité dans les établissements scolaires grâce au site Web </w:t>
      </w:r>
      <w:r w:rsidR="00A619D6">
        <w:rPr>
          <w:lang w:val="fr-FR"/>
        </w:rPr>
        <w:t>«</w:t>
      </w:r>
      <w:r w:rsidR="00BA2BB4">
        <w:rPr>
          <w:lang w:val="fr-FR"/>
        </w:rPr>
        <w:t>Bullying. No Way</w:t>
      </w:r>
      <w:r>
        <w:rPr>
          <w:lang w:val="fr-FR"/>
        </w:rPr>
        <w:t>!</w:t>
      </w:r>
      <w:r w:rsidR="00A619D6">
        <w:rPr>
          <w:lang w:val="fr-FR"/>
        </w:rPr>
        <w:t>»</w:t>
      </w:r>
      <w:r>
        <w:rPr>
          <w:lang w:val="fr-FR"/>
        </w:rPr>
        <w:t xml:space="preserve"> (</w:t>
      </w:r>
      <w:r w:rsidR="00A619D6">
        <w:rPr>
          <w:lang w:val="fr-FR"/>
        </w:rPr>
        <w:t>«</w:t>
      </w:r>
      <w:r>
        <w:rPr>
          <w:lang w:val="fr-FR"/>
        </w:rPr>
        <w:t>Les brimades</w:t>
      </w:r>
      <w:r w:rsidR="00A619D6">
        <w:rPr>
          <w:lang w:val="fr-FR"/>
        </w:rPr>
        <w:t>?</w:t>
      </w:r>
      <w:r w:rsidR="00BA2BB4">
        <w:rPr>
          <w:lang w:val="fr-FR"/>
        </w:rPr>
        <w:t xml:space="preserve"> </w:t>
      </w:r>
      <w:r>
        <w:rPr>
          <w:lang w:val="fr-FR"/>
        </w:rPr>
        <w:t>Pas question</w:t>
      </w:r>
      <w:r w:rsidR="00A619D6">
        <w:rPr>
          <w:lang w:val="fr-FR"/>
        </w:rPr>
        <w:t>»</w:t>
      </w:r>
      <w:r>
        <w:rPr>
          <w:lang w:val="fr-FR"/>
        </w:rPr>
        <w:t>) (</w:t>
      </w:r>
      <w:r w:rsidRPr="002A5D50">
        <w:rPr>
          <w:color w:val="0000FF"/>
          <w:u w:val="single"/>
          <w:lang w:val="fr-FR"/>
        </w:rPr>
        <w:t>www.bullying</w:t>
      </w:r>
      <w:r w:rsidR="002A5D50" w:rsidRPr="002A5D50">
        <w:rPr>
          <w:color w:val="0000FF"/>
          <w:u w:val="single"/>
          <w:lang w:val="fr-FR"/>
        </w:rPr>
        <w:t>noway.com.au</w:t>
      </w:r>
      <w:r w:rsidR="002A5D50">
        <w:rPr>
          <w:lang w:val="fr-FR"/>
        </w:rPr>
        <w:t>)</w:t>
      </w:r>
      <w:r w:rsidR="008D6B80">
        <w:rPr>
          <w:lang w:val="fr-FR"/>
        </w:rPr>
        <w:t>.</w:t>
      </w:r>
      <w:r w:rsidR="00572260">
        <w:rPr>
          <w:lang w:val="fr-FR"/>
        </w:rPr>
        <w:t xml:space="preserve"> </w:t>
      </w:r>
      <w:r w:rsidR="002A5D50">
        <w:rPr>
          <w:lang w:val="fr-FR"/>
        </w:rPr>
        <w:t>C’est un site interactif qui donne des renseignements précieux aux parents, aux élèves et aux enseignants sur les stratégies à mettre en œuvre pour faire face aux brimades, au harcèlement et à la violence.</w:t>
      </w:r>
    </w:p>
    <w:p w:rsidR="00E214DE" w:rsidRDefault="002A5D50" w:rsidP="005D7B68">
      <w:pPr>
        <w:tabs>
          <w:tab w:val="left" w:pos="567"/>
          <w:tab w:val="left" w:pos="1134"/>
          <w:tab w:val="left" w:pos="1701"/>
          <w:tab w:val="left" w:pos="2268"/>
          <w:tab w:val="left" w:pos="2835"/>
        </w:tabs>
        <w:rPr>
          <w:b/>
          <w:bCs/>
          <w:lang w:val="fr-FR"/>
        </w:rPr>
      </w:pPr>
      <w:r>
        <w:rPr>
          <w:b/>
          <w:bCs/>
          <w:lang w:val="fr-FR"/>
        </w:rPr>
        <w:t>Rétention des immigrants</w:t>
      </w:r>
    </w:p>
    <w:p w:rsidR="002A5D50" w:rsidRDefault="002A5D50" w:rsidP="005D7B68">
      <w:pPr>
        <w:tabs>
          <w:tab w:val="left" w:pos="567"/>
          <w:tab w:val="left" w:pos="1134"/>
          <w:tab w:val="left" w:pos="1701"/>
          <w:tab w:val="left" w:pos="2268"/>
          <w:tab w:val="left" w:pos="2835"/>
        </w:tabs>
        <w:rPr>
          <w:lang w:val="fr-FR"/>
        </w:rPr>
      </w:pPr>
      <w:r>
        <w:rPr>
          <w:lang w:val="fr-FR"/>
        </w:rPr>
        <w:t>86</w:t>
      </w:r>
      <w:r w:rsidR="004D662E">
        <w:rPr>
          <w:lang w:val="fr-FR"/>
        </w:rPr>
        <w:t>6</w:t>
      </w:r>
      <w:r>
        <w:rPr>
          <w:lang w:val="fr-FR"/>
        </w:rPr>
        <w:t>.</w:t>
      </w:r>
      <w:r>
        <w:rPr>
          <w:lang w:val="fr-FR"/>
        </w:rPr>
        <w:tab/>
        <w:t xml:space="preserve">L’annexe 3 au contrat des services de détention du Département stipule que les châtiments corporels sont interdits dans les centres de rétention des immigrants, et ce concernant les enfants comme les adultes. </w:t>
      </w:r>
    </w:p>
    <w:p w:rsidR="002A5D50" w:rsidRDefault="002A5D50" w:rsidP="005D7B68">
      <w:pPr>
        <w:tabs>
          <w:tab w:val="left" w:pos="567"/>
          <w:tab w:val="left" w:pos="1134"/>
          <w:tab w:val="left" w:pos="1701"/>
          <w:tab w:val="left" w:pos="2268"/>
          <w:tab w:val="left" w:pos="2835"/>
        </w:tabs>
        <w:rPr>
          <w:b/>
          <w:bCs/>
          <w:lang w:val="fr-FR"/>
        </w:rPr>
      </w:pPr>
      <w:r>
        <w:rPr>
          <w:b/>
          <w:bCs/>
          <w:lang w:val="fr-FR"/>
        </w:rPr>
        <w:t>Informations des États et Territoires</w:t>
      </w:r>
    </w:p>
    <w:p w:rsidR="002A5D50" w:rsidRDefault="002A5D50" w:rsidP="005D7B68">
      <w:pPr>
        <w:tabs>
          <w:tab w:val="left" w:pos="567"/>
          <w:tab w:val="left" w:pos="1134"/>
          <w:tab w:val="left" w:pos="1701"/>
          <w:tab w:val="left" w:pos="2268"/>
          <w:tab w:val="left" w:pos="2835"/>
        </w:tabs>
        <w:rPr>
          <w:b/>
          <w:bCs/>
          <w:lang w:val="fr-FR"/>
        </w:rPr>
      </w:pPr>
      <w:r>
        <w:rPr>
          <w:b/>
          <w:bCs/>
          <w:lang w:val="fr-FR"/>
        </w:rPr>
        <w:t>Nouvelle-Galles du Sud</w:t>
      </w:r>
    </w:p>
    <w:p w:rsidR="002A5D50" w:rsidRDefault="002A5D50" w:rsidP="005D7B68">
      <w:pPr>
        <w:tabs>
          <w:tab w:val="left" w:pos="567"/>
          <w:tab w:val="left" w:pos="1134"/>
          <w:tab w:val="left" w:pos="1701"/>
          <w:tab w:val="left" w:pos="2268"/>
          <w:tab w:val="left" w:pos="2835"/>
        </w:tabs>
        <w:rPr>
          <w:lang w:val="fr-FR"/>
        </w:rPr>
      </w:pPr>
      <w:r>
        <w:rPr>
          <w:lang w:val="fr-FR"/>
        </w:rPr>
        <w:t>86</w:t>
      </w:r>
      <w:r w:rsidR="004D662E">
        <w:rPr>
          <w:lang w:val="fr-FR"/>
        </w:rPr>
        <w:t>7</w:t>
      </w:r>
      <w:r>
        <w:rPr>
          <w:lang w:val="fr-FR"/>
        </w:rPr>
        <w:t>.</w:t>
      </w:r>
      <w:r>
        <w:rPr>
          <w:lang w:val="fr-FR"/>
        </w:rPr>
        <w:tab/>
        <w:t>Les châtiments corporels ont été interdits en 1986 comme étant un moyen inapproprié de faire régner une bonne discipline et sont toujours interdits dans les établissements scolaires publics et privés.</w:t>
      </w:r>
    </w:p>
    <w:p w:rsidR="002A5D50" w:rsidRPr="00BA0308" w:rsidRDefault="002A5D50" w:rsidP="005D7B68">
      <w:pPr>
        <w:tabs>
          <w:tab w:val="left" w:pos="567"/>
          <w:tab w:val="left" w:pos="1134"/>
          <w:tab w:val="left" w:pos="1701"/>
          <w:tab w:val="left" w:pos="2268"/>
          <w:tab w:val="left" w:pos="2835"/>
        </w:tabs>
        <w:rPr>
          <w:lang w:val="fr-FR"/>
        </w:rPr>
      </w:pPr>
      <w:r w:rsidRPr="00BA0308">
        <w:rPr>
          <w:lang w:val="fr-FR"/>
        </w:rPr>
        <w:t>86</w:t>
      </w:r>
      <w:r w:rsidR="004D662E">
        <w:rPr>
          <w:lang w:val="fr-FR"/>
        </w:rPr>
        <w:t>8</w:t>
      </w:r>
      <w:r w:rsidRPr="00BA0308">
        <w:rPr>
          <w:lang w:val="fr-FR"/>
        </w:rPr>
        <w:t>.</w:t>
      </w:r>
      <w:r w:rsidRPr="00BA0308">
        <w:rPr>
          <w:lang w:val="fr-FR"/>
        </w:rPr>
        <w:tab/>
      </w:r>
      <w:r w:rsidR="00BA0308" w:rsidRPr="00BA0308">
        <w:rPr>
          <w:lang w:val="fr-FR"/>
        </w:rPr>
        <w:t>Dans le cadre des</w:t>
      </w:r>
      <w:r w:rsidR="00BA0308" w:rsidRPr="00BA0308">
        <w:rPr>
          <w:i/>
          <w:iCs/>
          <w:lang w:val="fr-FR"/>
        </w:rPr>
        <w:t xml:space="preserve"> Student Discipline in Government Schools and Related Core Rules in NSW Government Schools 2006 </w:t>
      </w:r>
      <w:r w:rsidR="00BA0308" w:rsidRPr="00BA0308">
        <w:rPr>
          <w:lang w:val="fr-FR"/>
        </w:rPr>
        <w:t>(Règles fondamentales de discipline scolaire</w:t>
      </w:r>
      <w:r w:rsidR="00BA0308">
        <w:rPr>
          <w:lang w:val="fr-FR"/>
        </w:rPr>
        <w:t xml:space="preserve"> pour les écoles publiques et établissements connexes à appliquer dans les établissements scolaires publics de Nouvelle-Galles du Sud, 2006), les écoles sont tenues de revoir leur code de discipline en liaison avec </w:t>
      </w:r>
      <w:r w:rsidR="00936BC2">
        <w:rPr>
          <w:lang w:val="fr-FR"/>
        </w:rPr>
        <w:t>tous les membres du milieu scolaire local</w:t>
      </w:r>
      <w:r w:rsidR="008D6B80">
        <w:rPr>
          <w:lang w:val="fr-FR"/>
        </w:rPr>
        <w:t xml:space="preserve">. </w:t>
      </w:r>
      <w:r w:rsidR="00936BC2">
        <w:rPr>
          <w:lang w:val="fr-FR"/>
        </w:rPr>
        <w:t>Le code de discipline de chaque établissement doit indiquer clairement ce qui est attendu du comportement des élèves</w:t>
      </w:r>
      <w:r w:rsidR="008D6B80">
        <w:rPr>
          <w:lang w:val="fr-FR"/>
        </w:rPr>
        <w:t xml:space="preserve">. </w:t>
      </w:r>
      <w:r w:rsidR="00936BC2">
        <w:rPr>
          <w:lang w:val="fr-FR"/>
        </w:rPr>
        <w:t>On fournit également aux enseignants toute une gamme de stratégies destinées à susciter un comportement correct de la part des élèves et à préserver un haut niveau de discipline.</w:t>
      </w:r>
    </w:p>
    <w:p w:rsidR="002A5D50" w:rsidRPr="00BA0308" w:rsidRDefault="006D52CA" w:rsidP="005D7B68">
      <w:pPr>
        <w:tabs>
          <w:tab w:val="left" w:pos="567"/>
          <w:tab w:val="left" w:pos="1134"/>
          <w:tab w:val="left" w:pos="1701"/>
          <w:tab w:val="left" w:pos="2268"/>
          <w:tab w:val="left" w:pos="2835"/>
        </w:tabs>
        <w:rPr>
          <w:lang w:val="fr-FR"/>
        </w:rPr>
      </w:pPr>
      <w:r>
        <w:rPr>
          <w:lang w:val="fr-FR"/>
        </w:rPr>
        <w:t>8</w:t>
      </w:r>
      <w:r w:rsidR="004D662E">
        <w:rPr>
          <w:lang w:val="fr-FR"/>
        </w:rPr>
        <w:t>69</w:t>
      </w:r>
      <w:r>
        <w:rPr>
          <w:lang w:val="fr-FR"/>
        </w:rPr>
        <w:t>.</w:t>
      </w:r>
      <w:r>
        <w:rPr>
          <w:lang w:val="fr-FR"/>
        </w:rPr>
        <w:tab/>
        <w:t>L’article 35 2A) de la loi de 1900 sur l’éducation précise que les directives et les codes des écoles publiques doivent interdire de soumettre les élèves qui les fréquentent à des châtiments corporels</w:t>
      </w:r>
      <w:r w:rsidR="008D6B80">
        <w:rPr>
          <w:lang w:val="fr-FR"/>
        </w:rPr>
        <w:t xml:space="preserve">. </w:t>
      </w:r>
      <w:r>
        <w:rPr>
          <w:lang w:val="fr-FR"/>
        </w:rPr>
        <w:t>L’article 47 h) de cette loi énonce les critères d’homologation des écoles privées et indique que les politiques de ces établissements en matière de discipline pour les élèves qui les fréquentent sont fondées sur des principes d</w:t>
      </w:r>
      <w:r w:rsidR="009C3370">
        <w:rPr>
          <w:lang w:val="fr-FR"/>
        </w:rPr>
        <w:t>e traitement équitable</w:t>
      </w:r>
      <w:r>
        <w:rPr>
          <w:lang w:val="fr-FR"/>
        </w:rPr>
        <w:t xml:space="preserve"> et proscrivent les châtiments corporels.</w:t>
      </w:r>
    </w:p>
    <w:p w:rsidR="006D52CA" w:rsidRPr="00BA0308" w:rsidRDefault="006D52CA" w:rsidP="005D7B68">
      <w:pPr>
        <w:tabs>
          <w:tab w:val="left" w:pos="567"/>
          <w:tab w:val="left" w:pos="1134"/>
          <w:tab w:val="left" w:pos="1701"/>
          <w:tab w:val="left" w:pos="2268"/>
          <w:tab w:val="left" w:pos="2835"/>
        </w:tabs>
        <w:rPr>
          <w:lang w:val="fr-FR"/>
        </w:rPr>
      </w:pPr>
      <w:r>
        <w:rPr>
          <w:lang w:val="fr-FR"/>
        </w:rPr>
        <w:t>87</w:t>
      </w:r>
      <w:r w:rsidR="004D662E">
        <w:rPr>
          <w:lang w:val="fr-FR"/>
        </w:rPr>
        <w:t>0</w:t>
      </w:r>
      <w:r>
        <w:rPr>
          <w:lang w:val="fr-FR"/>
        </w:rPr>
        <w:t>.</w:t>
      </w:r>
      <w:r>
        <w:rPr>
          <w:lang w:val="fr-FR"/>
        </w:rPr>
        <w:tab/>
      </w:r>
      <w:r w:rsidR="00130CF0">
        <w:rPr>
          <w:lang w:val="fr-FR"/>
        </w:rPr>
        <w:t xml:space="preserve">La clause 65 2) du Règlement de 2004 concernant les services en faveur de l’enfance (Nouvelle-Galles du Sud) précise que toute personne titulaire d’une licence de prestation et tout superviseur agréé de services en faveur de l’enfance doit veiller à ce que les techniques relatives à la discipline ne comportent pas de châtiments à caractère physique, verbal ou psychologique, </w:t>
      </w:r>
      <w:r w:rsidR="00511662">
        <w:rPr>
          <w:lang w:val="fr-FR"/>
        </w:rPr>
        <w:t>humiliants, terr</w:t>
      </w:r>
      <w:r w:rsidR="00130CF0">
        <w:rPr>
          <w:lang w:val="fr-FR"/>
        </w:rPr>
        <w:t>ifiants ou</w:t>
      </w:r>
      <w:r w:rsidR="00511662">
        <w:rPr>
          <w:lang w:val="fr-FR"/>
        </w:rPr>
        <w:t xml:space="preserve"> comportant des menaces</w:t>
      </w:r>
      <w:r w:rsidR="00572260">
        <w:rPr>
          <w:lang w:val="fr-FR"/>
        </w:rPr>
        <w:t>;</w:t>
      </w:r>
      <w:r w:rsidR="00511662">
        <w:rPr>
          <w:lang w:val="fr-FR"/>
        </w:rPr>
        <w:t xml:space="preserve"> et l’enfant ne doit pas être isolé pour d’autres motifs qu’une maladie, un accident</w:t>
      </w:r>
      <w:r w:rsidR="00130CF0">
        <w:rPr>
          <w:lang w:val="fr-FR"/>
        </w:rPr>
        <w:t xml:space="preserve"> </w:t>
      </w:r>
      <w:r w:rsidR="00511662">
        <w:rPr>
          <w:lang w:val="fr-FR"/>
        </w:rPr>
        <w:t>ou une entrevue prévue à l’avance avec le consentement des parents.</w:t>
      </w:r>
    </w:p>
    <w:p w:rsidR="002A5D50" w:rsidRDefault="00511662" w:rsidP="00E8018D">
      <w:pPr>
        <w:keepNext/>
        <w:tabs>
          <w:tab w:val="left" w:pos="567"/>
          <w:tab w:val="left" w:pos="1134"/>
          <w:tab w:val="left" w:pos="1701"/>
          <w:tab w:val="left" w:pos="2268"/>
          <w:tab w:val="left" w:pos="2835"/>
        </w:tabs>
        <w:rPr>
          <w:b/>
          <w:bCs/>
          <w:lang w:val="fr-FR"/>
        </w:rPr>
      </w:pPr>
      <w:r>
        <w:rPr>
          <w:b/>
          <w:bCs/>
          <w:lang w:val="fr-FR"/>
        </w:rPr>
        <w:t>Victoria</w:t>
      </w:r>
    </w:p>
    <w:p w:rsidR="00511662" w:rsidRDefault="00511662" w:rsidP="00E8018D">
      <w:pPr>
        <w:keepNext/>
        <w:tabs>
          <w:tab w:val="left" w:pos="567"/>
          <w:tab w:val="left" w:pos="1134"/>
          <w:tab w:val="left" w:pos="1701"/>
          <w:tab w:val="left" w:pos="2268"/>
          <w:tab w:val="left" w:pos="2835"/>
        </w:tabs>
        <w:rPr>
          <w:b/>
          <w:bCs/>
          <w:lang w:val="fr-FR"/>
        </w:rPr>
      </w:pPr>
      <w:r>
        <w:rPr>
          <w:b/>
          <w:bCs/>
          <w:lang w:val="fr-FR"/>
        </w:rPr>
        <w:t>Établissements scolaires</w:t>
      </w:r>
    </w:p>
    <w:p w:rsidR="00C7068A" w:rsidRPr="00511662" w:rsidRDefault="00511662" w:rsidP="00E8018D">
      <w:pPr>
        <w:keepNext/>
        <w:tabs>
          <w:tab w:val="left" w:pos="567"/>
          <w:tab w:val="left" w:pos="1134"/>
          <w:tab w:val="left" w:pos="1701"/>
          <w:tab w:val="left" w:pos="2268"/>
          <w:tab w:val="left" w:pos="2835"/>
        </w:tabs>
        <w:rPr>
          <w:lang w:val="fr-FR"/>
        </w:rPr>
      </w:pPr>
      <w:r>
        <w:rPr>
          <w:lang w:val="fr-FR"/>
        </w:rPr>
        <w:t>87</w:t>
      </w:r>
      <w:r w:rsidR="00350D85">
        <w:rPr>
          <w:lang w:val="fr-FR"/>
        </w:rPr>
        <w:t>1</w:t>
      </w:r>
      <w:r>
        <w:rPr>
          <w:lang w:val="fr-FR"/>
        </w:rPr>
        <w:t>.</w:t>
      </w:r>
      <w:r>
        <w:rPr>
          <w:lang w:val="fr-FR"/>
        </w:rPr>
        <w:tab/>
      </w:r>
      <w:r w:rsidR="00C7068A">
        <w:rPr>
          <w:lang w:val="fr-FR"/>
        </w:rPr>
        <w:t>Conformément aux prescriptions de la loi de 2006 sur la réforme de l’éducation et de la formation et aux règles connexes de 2007 sur la réforme de l’éducation et de la formation, il est interdit à tous</w:t>
      </w:r>
      <w:r w:rsidR="006577AE">
        <w:rPr>
          <w:lang w:val="fr-FR"/>
        </w:rPr>
        <w:t xml:space="preserve"> les établissements scolaires du</w:t>
      </w:r>
      <w:r w:rsidR="00C7068A">
        <w:rPr>
          <w:lang w:val="fr-FR"/>
        </w:rPr>
        <w:t xml:space="preserve"> Victoria de recourir à des châtiments corporels, ainsi que le précisent les dispositions ci-après</w:t>
      </w:r>
      <w:r w:rsidR="00572260">
        <w:rPr>
          <w:lang w:val="fr-FR"/>
        </w:rPr>
        <w:t>:</w:t>
      </w:r>
    </w:p>
    <w:p w:rsidR="00C7068A" w:rsidRDefault="00C7068A" w:rsidP="005D7B68">
      <w:pPr>
        <w:tabs>
          <w:tab w:val="left" w:pos="567"/>
          <w:tab w:val="left" w:pos="1134"/>
          <w:tab w:val="left" w:pos="1701"/>
          <w:tab w:val="left" w:pos="2268"/>
          <w:tab w:val="left" w:pos="2835"/>
        </w:tabs>
        <w:rPr>
          <w:lang w:val="fr-FR"/>
        </w:rPr>
      </w:pPr>
      <w:r>
        <w:rPr>
          <w:lang w:val="fr-FR"/>
        </w:rPr>
        <w:tab/>
        <w:t>a)</w:t>
      </w:r>
      <w:r>
        <w:rPr>
          <w:lang w:val="fr-FR"/>
        </w:rPr>
        <w:tab/>
        <w:t>L’art</w:t>
      </w:r>
      <w:r w:rsidR="00F52E5D">
        <w:rPr>
          <w:lang w:val="fr-FR"/>
        </w:rPr>
        <w:t>icle 4</w:t>
      </w:r>
      <w:r w:rsidR="006577AE">
        <w:rPr>
          <w:lang w:val="fr-FR"/>
        </w:rPr>
        <w:t>.3.1 6) a) dispose qu’une école</w:t>
      </w:r>
      <w:r w:rsidR="00F52E5D">
        <w:rPr>
          <w:lang w:val="fr-FR"/>
        </w:rPr>
        <w:t xml:space="preserve"> ne peut être agréée</w:t>
      </w:r>
      <w:r>
        <w:rPr>
          <w:lang w:val="fr-FR"/>
        </w:rPr>
        <w:t xml:space="preserve"> que si les pouvoirs publics</w:t>
      </w:r>
      <w:r w:rsidR="009C3370">
        <w:rPr>
          <w:lang w:val="fr-FR"/>
        </w:rPr>
        <w:t xml:space="preserve"> constatent que </w:t>
      </w:r>
      <w:r w:rsidR="00A619D6">
        <w:rPr>
          <w:lang w:val="fr-FR"/>
        </w:rPr>
        <w:t>«</w:t>
      </w:r>
      <w:r w:rsidR="009C3370">
        <w:rPr>
          <w:lang w:val="fr-FR"/>
        </w:rPr>
        <w:t>la politique de cette école en matière de discipline des élèves est fondée sur des principes de traitement équitable</w:t>
      </w:r>
      <w:r w:rsidR="001B4619">
        <w:rPr>
          <w:lang w:val="fr-FR"/>
        </w:rPr>
        <w:t xml:space="preserve"> et n’autorise pas les châtiments corporels</w:t>
      </w:r>
      <w:r w:rsidR="00A619D6">
        <w:rPr>
          <w:lang w:val="fr-FR"/>
        </w:rPr>
        <w:t>»</w:t>
      </w:r>
      <w:r w:rsidR="00F06ED1">
        <w:rPr>
          <w:lang w:val="fr-FR"/>
        </w:rPr>
        <w:t>;</w:t>
      </w:r>
    </w:p>
    <w:p w:rsidR="001B4619" w:rsidRDefault="001B4619" w:rsidP="005D7B68">
      <w:pPr>
        <w:tabs>
          <w:tab w:val="left" w:pos="567"/>
          <w:tab w:val="left" w:pos="1134"/>
          <w:tab w:val="left" w:pos="1701"/>
          <w:tab w:val="left" w:pos="2268"/>
          <w:tab w:val="left" w:pos="2835"/>
        </w:tabs>
        <w:rPr>
          <w:lang w:val="fr-FR"/>
        </w:rPr>
      </w:pPr>
      <w:r>
        <w:rPr>
          <w:lang w:val="fr-FR"/>
        </w:rPr>
        <w:tab/>
        <w:t>b)</w:t>
      </w:r>
      <w:r>
        <w:rPr>
          <w:lang w:val="fr-FR"/>
        </w:rPr>
        <w:tab/>
        <w:t>La règle N° 14 précise qu’il est interdit à tous les membres du personnel d’un établissement scolaire public d’ad</w:t>
      </w:r>
      <w:r w:rsidR="00F06ED1">
        <w:rPr>
          <w:lang w:val="fr-FR"/>
        </w:rPr>
        <w:t>ministrer un châtiment corporel;</w:t>
      </w:r>
    </w:p>
    <w:p w:rsidR="001B4619" w:rsidRDefault="001B4619" w:rsidP="005D7B68">
      <w:pPr>
        <w:tabs>
          <w:tab w:val="left" w:pos="567"/>
          <w:tab w:val="left" w:pos="1134"/>
          <w:tab w:val="left" w:pos="1701"/>
          <w:tab w:val="left" w:pos="2268"/>
          <w:tab w:val="left" w:pos="2835"/>
        </w:tabs>
        <w:rPr>
          <w:lang w:val="fr-FR"/>
        </w:rPr>
      </w:pPr>
      <w:r>
        <w:rPr>
          <w:lang w:val="fr-FR"/>
        </w:rPr>
        <w:tab/>
        <w:t>c)</w:t>
      </w:r>
      <w:r>
        <w:rPr>
          <w:lang w:val="fr-FR"/>
        </w:rPr>
        <w:tab/>
        <w:t>La clause 17 c) de l’annexe 3 des Règles de 2007 indique que pour qu</w:t>
      </w:r>
      <w:r w:rsidR="003C6D47">
        <w:rPr>
          <w:lang w:val="fr-FR"/>
        </w:rPr>
        <w:t>’une école (</w:t>
      </w:r>
      <w:r>
        <w:rPr>
          <w:lang w:val="fr-FR"/>
        </w:rPr>
        <w:t>publique ou privée)</w:t>
      </w:r>
      <w:r w:rsidR="003C6D47">
        <w:rPr>
          <w:lang w:val="fr-FR"/>
        </w:rPr>
        <w:t xml:space="preserve"> soit agréée</w:t>
      </w:r>
      <w:r>
        <w:rPr>
          <w:lang w:val="fr-FR"/>
        </w:rPr>
        <w:t>, il</w:t>
      </w:r>
      <w:r w:rsidR="006B0C42">
        <w:rPr>
          <w:lang w:val="fr-FR"/>
        </w:rPr>
        <w:t xml:space="preserve"> faut produire des documents renda</w:t>
      </w:r>
      <w:r>
        <w:rPr>
          <w:lang w:val="fr-FR"/>
        </w:rPr>
        <w:t>nt compte de la politique</w:t>
      </w:r>
      <w:r w:rsidR="003C6D47">
        <w:rPr>
          <w:lang w:val="fr-FR"/>
        </w:rPr>
        <w:t xml:space="preserve"> de cet établissement relative a</w:t>
      </w:r>
      <w:r>
        <w:rPr>
          <w:lang w:val="fr-FR"/>
        </w:rPr>
        <w:t>u comportement des élèves et que, </w:t>
      </w:r>
      <w:r w:rsidR="00F06ED1">
        <w:rPr>
          <w:lang w:val="fr-FR"/>
        </w:rPr>
        <w:t>«conformément à l’article 4.3.1 </w:t>
      </w:r>
      <w:r>
        <w:rPr>
          <w:lang w:val="fr-FR"/>
        </w:rPr>
        <w:t>6) a) de la loi de 2006, cette politique doit être fondée sur le principe du traitement équitable et n’autorise pas les châtiments corporels</w:t>
      </w:r>
      <w:r w:rsidR="00A619D6">
        <w:rPr>
          <w:lang w:val="fr-FR"/>
        </w:rPr>
        <w:t>»</w:t>
      </w:r>
      <w:r>
        <w:rPr>
          <w:lang w:val="fr-FR"/>
        </w:rPr>
        <w:t>.</w:t>
      </w:r>
    </w:p>
    <w:p w:rsidR="001B4619" w:rsidRDefault="001B4619" w:rsidP="005D7B68">
      <w:pPr>
        <w:tabs>
          <w:tab w:val="left" w:pos="567"/>
          <w:tab w:val="left" w:pos="1134"/>
          <w:tab w:val="left" w:pos="1701"/>
          <w:tab w:val="left" w:pos="2268"/>
          <w:tab w:val="left" w:pos="2835"/>
        </w:tabs>
        <w:rPr>
          <w:b/>
          <w:bCs/>
          <w:lang w:val="fr-FR"/>
        </w:rPr>
      </w:pPr>
      <w:r>
        <w:rPr>
          <w:b/>
          <w:bCs/>
          <w:lang w:val="fr-FR"/>
        </w:rPr>
        <w:t>Centres de détention</w:t>
      </w:r>
    </w:p>
    <w:p w:rsidR="00AD0F29" w:rsidRDefault="00350D85" w:rsidP="005D7B68">
      <w:pPr>
        <w:tabs>
          <w:tab w:val="left" w:pos="567"/>
          <w:tab w:val="left" w:pos="1134"/>
          <w:tab w:val="left" w:pos="1701"/>
          <w:tab w:val="left" w:pos="2268"/>
          <w:tab w:val="left" w:pos="2835"/>
        </w:tabs>
        <w:rPr>
          <w:lang w:val="fr-FR"/>
        </w:rPr>
      </w:pPr>
      <w:r>
        <w:rPr>
          <w:szCs w:val="24"/>
          <w:lang w:val="fr-FR"/>
        </w:rPr>
        <w:t>872.</w:t>
      </w:r>
      <w:r>
        <w:rPr>
          <w:szCs w:val="24"/>
          <w:lang w:val="fr-FR"/>
        </w:rPr>
        <w:tab/>
      </w:r>
      <w:r w:rsidR="006B0C42">
        <w:rPr>
          <w:szCs w:val="24"/>
          <w:lang w:val="fr-FR"/>
        </w:rPr>
        <w:t>Dans l’État de</w:t>
      </w:r>
      <w:r w:rsidR="00AD0F29" w:rsidRPr="00AD0F29">
        <w:rPr>
          <w:szCs w:val="24"/>
          <w:lang w:val="fr-FR"/>
        </w:rPr>
        <w:t xml:space="preserve"> Victoria</w:t>
      </w:r>
      <w:r w:rsidR="00AD0F29" w:rsidRPr="00AD0F29">
        <w:rPr>
          <w:lang w:val="fr-FR"/>
        </w:rPr>
        <w:t>, l’article 487 de la loi de 2005 sur l’enfance, la jeunesse et la famille porte interdiction d’infliger des châtiments corporels aux enfants placés dans des maisons d’arrêt pour mineurs, des centres d’hébergement, des centres de justice pour mineurs ou en garde à vue.</w:t>
      </w:r>
    </w:p>
    <w:p w:rsidR="00AD0F29" w:rsidRPr="00AD0F29" w:rsidRDefault="00AD0F29" w:rsidP="005D7B68">
      <w:pPr>
        <w:tabs>
          <w:tab w:val="left" w:pos="567"/>
          <w:tab w:val="left" w:pos="1134"/>
          <w:tab w:val="left" w:pos="1701"/>
          <w:tab w:val="left" w:pos="2268"/>
          <w:tab w:val="left" w:pos="2835"/>
        </w:tabs>
        <w:rPr>
          <w:lang w:val="fr-FR"/>
        </w:rPr>
      </w:pPr>
      <w:r w:rsidRPr="00350D85">
        <w:rPr>
          <w:b/>
          <w:bCs/>
          <w:lang w:val="fr-FR"/>
        </w:rPr>
        <w:t>Garde à vue</w:t>
      </w:r>
    </w:p>
    <w:p w:rsidR="003C6D47" w:rsidRDefault="00350D85" w:rsidP="005D7B68">
      <w:pPr>
        <w:tabs>
          <w:tab w:val="left" w:pos="567"/>
          <w:tab w:val="left" w:pos="1134"/>
          <w:tab w:val="left" w:pos="1701"/>
          <w:tab w:val="left" w:pos="2268"/>
          <w:tab w:val="left" w:pos="2835"/>
        </w:tabs>
        <w:rPr>
          <w:bCs/>
          <w:lang w:val="fr-FR"/>
        </w:rPr>
      </w:pPr>
      <w:r>
        <w:rPr>
          <w:bCs/>
          <w:lang w:val="fr-FR"/>
        </w:rPr>
        <w:t>873.</w:t>
      </w:r>
      <w:r>
        <w:rPr>
          <w:bCs/>
          <w:lang w:val="fr-FR"/>
        </w:rPr>
        <w:tab/>
      </w:r>
      <w:r w:rsidR="00AD0F29" w:rsidRPr="00AD0F29">
        <w:rPr>
          <w:bCs/>
          <w:lang w:val="fr-FR"/>
        </w:rPr>
        <w:t>La loi de 1986</w:t>
      </w:r>
      <w:r w:rsidR="003C6D47">
        <w:rPr>
          <w:bCs/>
          <w:lang w:val="fr-FR"/>
        </w:rPr>
        <w:t xml:space="preserve"> </w:t>
      </w:r>
      <w:r w:rsidR="00AD0F29" w:rsidRPr="00AD0F29">
        <w:rPr>
          <w:bCs/>
          <w:lang w:val="fr-FR"/>
        </w:rPr>
        <w:t>sur les établissements pénitentiai</w:t>
      </w:r>
      <w:r w:rsidR="00DB46B1">
        <w:rPr>
          <w:bCs/>
          <w:lang w:val="fr-FR"/>
        </w:rPr>
        <w:t>res et la Charte du</w:t>
      </w:r>
      <w:r w:rsidR="00AD0F29" w:rsidRPr="00AD0F29">
        <w:rPr>
          <w:bCs/>
          <w:lang w:val="fr-FR"/>
        </w:rPr>
        <w:t xml:space="preserve"> Victoria relative aux droits de l’homme et aux responsabilités correspondantes de 2006 indiquent clairement que les châtiments cor</w:t>
      </w:r>
      <w:r w:rsidR="00DB46B1">
        <w:rPr>
          <w:bCs/>
          <w:lang w:val="fr-FR"/>
        </w:rPr>
        <w:t>porels sont interdits dans cet État</w:t>
      </w:r>
      <w:r w:rsidR="00AD0F29" w:rsidRPr="00AD0F29">
        <w:rPr>
          <w:bCs/>
          <w:lang w:val="fr-FR"/>
        </w:rPr>
        <w:t>.</w:t>
      </w:r>
      <w:r w:rsidR="00AD0F29">
        <w:rPr>
          <w:bCs/>
          <w:lang w:val="fr-FR"/>
        </w:rPr>
        <w:t xml:space="preserve"> </w:t>
      </w:r>
    </w:p>
    <w:p w:rsidR="003C6D47" w:rsidRPr="003C6D47" w:rsidRDefault="003C6D47" w:rsidP="005D7B68">
      <w:pPr>
        <w:tabs>
          <w:tab w:val="left" w:pos="567"/>
          <w:tab w:val="left" w:pos="1134"/>
          <w:tab w:val="left" w:pos="1701"/>
          <w:tab w:val="left" w:pos="2268"/>
          <w:tab w:val="left" w:pos="2835"/>
        </w:tabs>
        <w:rPr>
          <w:b/>
          <w:lang w:val="fr-FR"/>
        </w:rPr>
      </w:pPr>
      <w:r>
        <w:rPr>
          <w:b/>
          <w:lang w:val="fr-FR"/>
        </w:rPr>
        <w:t>Queensland</w:t>
      </w:r>
    </w:p>
    <w:p w:rsidR="00AD0F29" w:rsidRDefault="00AD0F29" w:rsidP="005D7B68">
      <w:pPr>
        <w:tabs>
          <w:tab w:val="left" w:pos="567"/>
          <w:tab w:val="left" w:pos="1134"/>
          <w:tab w:val="left" w:pos="1701"/>
          <w:tab w:val="left" w:pos="2268"/>
          <w:tab w:val="left" w:pos="2835"/>
        </w:tabs>
        <w:rPr>
          <w:b/>
          <w:lang w:val="fr-FR"/>
        </w:rPr>
      </w:pPr>
      <w:r>
        <w:rPr>
          <w:b/>
          <w:lang w:val="fr-FR"/>
        </w:rPr>
        <w:t>Établissements scolaires</w:t>
      </w:r>
    </w:p>
    <w:p w:rsidR="00AD0F29" w:rsidRDefault="00350D85" w:rsidP="005D7B68">
      <w:pPr>
        <w:tabs>
          <w:tab w:val="left" w:pos="567"/>
          <w:tab w:val="left" w:pos="1134"/>
          <w:tab w:val="left" w:pos="1701"/>
          <w:tab w:val="left" w:pos="2268"/>
          <w:tab w:val="left" w:pos="2835"/>
        </w:tabs>
        <w:rPr>
          <w:bCs/>
          <w:lang w:val="fr-FR"/>
        </w:rPr>
      </w:pPr>
      <w:r>
        <w:rPr>
          <w:bCs/>
          <w:lang w:val="fr-FR"/>
        </w:rPr>
        <w:t>874</w:t>
      </w:r>
      <w:r w:rsidR="00AD0F29">
        <w:rPr>
          <w:bCs/>
          <w:lang w:val="fr-FR"/>
        </w:rPr>
        <w:t>.</w:t>
      </w:r>
      <w:r w:rsidR="00AD0F29">
        <w:rPr>
          <w:bCs/>
          <w:lang w:val="fr-FR"/>
        </w:rPr>
        <w:tab/>
        <w:t>La politique relative aux établissements scolaires du Queensland n’autorise pas les châtiments corporels</w:t>
      </w:r>
      <w:r w:rsidR="008D6B80">
        <w:rPr>
          <w:bCs/>
          <w:lang w:val="fr-FR"/>
        </w:rPr>
        <w:t xml:space="preserve">. </w:t>
      </w:r>
      <w:r w:rsidR="00AD0F29">
        <w:rPr>
          <w:bCs/>
          <w:lang w:val="fr-FR"/>
        </w:rPr>
        <w:t>Tout recours à la contrainte physique, à la violen</w:t>
      </w:r>
      <w:r w:rsidR="00995ECF">
        <w:rPr>
          <w:bCs/>
          <w:lang w:val="fr-FR"/>
        </w:rPr>
        <w:t>ce ou à des menaces de violence</w:t>
      </w:r>
      <w:r w:rsidR="00AD0F29">
        <w:rPr>
          <w:bCs/>
          <w:lang w:val="fr-FR"/>
        </w:rPr>
        <w:t xml:space="preserve"> de la part d’un enseignant à l’égard d’un élève est constitutif d’</w:t>
      </w:r>
      <w:r w:rsidR="00EC32CF">
        <w:rPr>
          <w:bCs/>
          <w:lang w:val="fr-FR"/>
        </w:rPr>
        <w:t>une infraction au code de conduite du Département et donne lieu à une enquête.</w:t>
      </w:r>
      <w:r w:rsidR="00AD0F29">
        <w:rPr>
          <w:bCs/>
          <w:lang w:val="fr-FR"/>
        </w:rPr>
        <w:t xml:space="preserve"> </w:t>
      </w:r>
    </w:p>
    <w:p w:rsidR="00EC32CF" w:rsidRDefault="00EC32CF" w:rsidP="002A7325">
      <w:pPr>
        <w:keepNext/>
        <w:tabs>
          <w:tab w:val="left" w:pos="567"/>
          <w:tab w:val="left" w:pos="1134"/>
          <w:tab w:val="left" w:pos="1701"/>
          <w:tab w:val="left" w:pos="2268"/>
          <w:tab w:val="left" w:pos="2835"/>
        </w:tabs>
        <w:rPr>
          <w:bCs/>
          <w:lang w:val="fr-FR"/>
        </w:rPr>
      </w:pPr>
      <w:r>
        <w:rPr>
          <w:bCs/>
          <w:lang w:val="fr-FR"/>
        </w:rPr>
        <w:t>87</w:t>
      </w:r>
      <w:r w:rsidR="00350D85">
        <w:rPr>
          <w:bCs/>
          <w:lang w:val="fr-FR"/>
        </w:rPr>
        <w:t>5</w:t>
      </w:r>
      <w:r>
        <w:rPr>
          <w:bCs/>
          <w:lang w:val="fr-FR"/>
        </w:rPr>
        <w:t>.</w:t>
      </w:r>
      <w:r>
        <w:rPr>
          <w:bCs/>
          <w:lang w:val="fr-FR"/>
        </w:rPr>
        <w:tab/>
        <w:t>Aucun texte législatif n’interdit les châtiments corporels dans les écoles privées</w:t>
      </w:r>
      <w:r w:rsidR="008D6B80">
        <w:rPr>
          <w:bCs/>
          <w:lang w:val="fr-FR"/>
        </w:rPr>
        <w:t xml:space="preserve">. </w:t>
      </w:r>
      <w:r w:rsidR="00995ECF">
        <w:rPr>
          <w:bCs/>
          <w:lang w:val="fr-FR"/>
        </w:rPr>
        <w:t>Cependant, le fait d’y recourir</w:t>
      </w:r>
      <w:r w:rsidR="00784B6B">
        <w:rPr>
          <w:bCs/>
          <w:lang w:val="fr-FR"/>
        </w:rPr>
        <w:t xml:space="preserve"> (dans un établissement public ou privé) serait constitutif d’une infraction au Code pénal du Queensland, sauf à ce que les circonstances justifient une dérogation en application de l’article 280, qui dispose que</w:t>
      </w:r>
      <w:r w:rsidR="002A7325">
        <w:rPr>
          <w:bCs/>
          <w:lang w:val="fr-FR"/>
        </w:rPr>
        <w:t>:</w:t>
      </w:r>
    </w:p>
    <w:p w:rsidR="00784B6B" w:rsidRDefault="00F06ED1" w:rsidP="002A7325">
      <w:pPr>
        <w:keepNext/>
        <w:tabs>
          <w:tab w:val="left" w:pos="567"/>
          <w:tab w:val="left" w:pos="1134"/>
          <w:tab w:val="left" w:pos="1701"/>
          <w:tab w:val="left" w:pos="2268"/>
          <w:tab w:val="left" w:pos="2835"/>
        </w:tabs>
        <w:ind w:left="567" w:hanging="567"/>
        <w:rPr>
          <w:bCs/>
          <w:i/>
          <w:iCs/>
          <w:lang w:val="fr-FR"/>
        </w:rPr>
      </w:pPr>
      <w:r>
        <w:rPr>
          <w:bCs/>
          <w:lang w:val="fr-FR"/>
        </w:rPr>
        <w:tab/>
      </w:r>
      <w:r>
        <w:rPr>
          <w:bCs/>
          <w:i/>
          <w:iCs/>
          <w:lang w:val="fr-FR"/>
        </w:rPr>
        <w:t xml:space="preserve">Il </w:t>
      </w:r>
      <w:r w:rsidR="00784B6B">
        <w:rPr>
          <w:bCs/>
          <w:i/>
          <w:iCs/>
          <w:lang w:val="fr-FR"/>
        </w:rPr>
        <w:t>est légal qu’un parent ou une personne qui en tient lieu, ou un enseignant recoure, à des fins de correction, de discipline, de maîtrise ou de contrôle,</w:t>
      </w:r>
      <w:r w:rsidR="00A96805">
        <w:rPr>
          <w:bCs/>
          <w:i/>
          <w:iCs/>
          <w:lang w:val="fr-FR"/>
        </w:rPr>
        <w:t xml:space="preserve"> à l’égard d’un enfant ou d’un élève dont il a la charge, à la force dans la mesure où les circonstances le justifient.</w:t>
      </w:r>
      <w:r w:rsidR="00784B6B">
        <w:rPr>
          <w:bCs/>
          <w:i/>
          <w:iCs/>
          <w:lang w:val="fr-FR"/>
        </w:rPr>
        <w:t xml:space="preserve"> </w:t>
      </w:r>
    </w:p>
    <w:p w:rsidR="00A96805" w:rsidRDefault="00A96805" w:rsidP="005D7B68">
      <w:pPr>
        <w:tabs>
          <w:tab w:val="left" w:pos="567"/>
          <w:tab w:val="left" w:pos="1134"/>
          <w:tab w:val="left" w:pos="1701"/>
          <w:tab w:val="left" w:pos="2268"/>
          <w:tab w:val="left" w:pos="2835"/>
        </w:tabs>
        <w:rPr>
          <w:bCs/>
          <w:lang w:val="fr-FR"/>
        </w:rPr>
      </w:pPr>
      <w:r>
        <w:rPr>
          <w:bCs/>
          <w:lang w:val="fr-FR"/>
        </w:rPr>
        <w:t>87</w:t>
      </w:r>
      <w:r w:rsidR="00350D85">
        <w:rPr>
          <w:bCs/>
          <w:lang w:val="fr-FR"/>
        </w:rPr>
        <w:t>6</w:t>
      </w:r>
      <w:r>
        <w:rPr>
          <w:bCs/>
          <w:lang w:val="fr-FR"/>
        </w:rPr>
        <w:t>.</w:t>
      </w:r>
      <w:r>
        <w:rPr>
          <w:bCs/>
          <w:lang w:val="fr-FR"/>
        </w:rPr>
        <w:tab/>
        <w:t>De plus, les établissements scolaires privés sont maintenant tenus</w:t>
      </w:r>
      <w:r w:rsidR="00AB4F73">
        <w:rPr>
          <w:bCs/>
          <w:lang w:val="fr-FR"/>
        </w:rPr>
        <w:t xml:space="preserve"> d’avoir des protocoles écrits concernant le comportement des enseignants et des élèves qui soient conformes à la législation de l’État relative au traitement ou à la protection des enfants</w:t>
      </w:r>
      <w:r w:rsidR="008D6B80">
        <w:rPr>
          <w:bCs/>
          <w:lang w:val="fr-FR"/>
        </w:rPr>
        <w:t xml:space="preserve">. </w:t>
      </w:r>
      <w:r w:rsidR="00441284">
        <w:rPr>
          <w:bCs/>
          <w:lang w:val="fr-FR"/>
        </w:rPr>
        <w:t>Ce protocole doit indiquer comment s’y prendre pour signaler des dommages et ce terme couvre les violences physiques.</w:t>
      </w:r>
    </w:p>
    <w:p w:rsidR="00441284" w:rsidRDefault="00441284" w:rsidP="005D7B68">
      <w:pPr>
        <w:tabs>
          <w:tab w:val="left" w:pos="567"/>
          <w:tab w:val="left" w:pos="1134"/>
          <w:tab w:val="left" w:pos="1701"/>
          <w:tab w:val="left" w:pos="2268"/>
          <w:tab w:val="left" w:pos="2835"/>
        </w:tabs>
        <w:rPr>
          <w:b/>
          <w:lang w:val="fr-FR"/>
        </w:rPr>
      </w:pPr>
      <w:r w:rsidRPr="00441284">
        <w:rPr>
          <w:b/>
          <w:lang w:val="fr-FR"/>
        </w:rPr>
        <w:t>Centres de détention</w:t>
      </w:r>
    </w:p>
    <w:p w:rsidR="00441284" w:rsidRDefault="00441284" w:rsidP="005D7B68">
      <w:pPr>
        <w:tabs>
          <w:tab w:val="left" w:pos="567"/>
          <w:tab w:val="left" w:pos="1134"/>
          <w:tab w:val="left" w:pos="1701"/>
          <w:tab w:val="left" w:pos="2268"/>
          <w:tab w:val="left" w:pos="2835"/>
        </w:tabs>
        <w:rPr>
          <w:bCs/>
          <w:lang w:val="fr-FR"/>
        </w:rPr>
      </w:pPr>
      <w:r>
        <w:rPr>
          <w:bCs/>
          <w:lang w:val="fr-FR"/>
        </w:rPr>
        <w:t>87</w:t>
      </w:r>
      <w:r w:rsidR="00350D85">
        <w:rPr>
          <w:bCs/>
          <w:lang w:val="fr-FR"/>
        </w:rPr>
        <w:t>7</w:t>
      </w:r>
      <w:r>
        <w:rPr>
          <w:bCs/>
          <w:lang w:val="fr-FR"/>
        </w:rPr>
        <w:t>.</w:t>
      </w:r>
      <w:r>
        <w:rPr>
          <w:bCs/>
          <w:lang w:val="fr-FR"/>
        </w:rPr>
        <w:tab/>
        <w:t>Il n’est fait recours aux châtiments corporels dans aucun centre de détention pour mineurs du Queensland</w:t>
      </w:r>
      <w:r w:rsidR="008D6B80">
        <w:rPr>
          <w:bCs/>
          <w:lang w:val="fr-FR"/>
        </w:rPr>
        <w:t xml:space="preserve">. </w:t>
      </w:r>
      <w:r>
        <w:rPr>
          <w:bCs/>
          <w:lang w:val="fr-FR"/>
        </w:rPr>
        <w:t>Le fonctionnement de ces centres est régi par les prescriptions de la loi de 1992 sur la justice pour mineurs et le règlement de 2003 concernant la justice pour mineurs</w:t>
      </w:r>
      <w:r w:rsidR="008D6B80">
        <w:rPr>
          <w:bCs/>
          <w:lang w:val="fr-FR"/>
        </w:rPr>
        <w:t xml:space="preserve">. </w:t>
      </w:r>
      <w:r w:rsidR="0046079D">
        <w:rPr>
          <w:bCs/>
          <w:lang w:val="fr-FR"/>
        </w:rPr>
        <w:t>Lorsqu’il est nécessaire d’intervenir, la loi et le règlement précisent les conditions dans lesquelles il est permis de recourir à la contrainte physique</w:t>
      </w:r>
      <w:r w:rsidR="008D6B80">
        <w:rPr>
          <w:bCs/>
          <w:lang w:val="fr-FR"/>
        </w:rPr>
        <w:t xml:space="preserve">. </w:t>
      </w:r>
      <w:r w:rsidR="0046079D">
        <w:rPr>
          <w:bCs/>
          <w:lang w:val="fr-FR"/>
        </w:rPr>
        <w:t>Tous les membres du personnel des centres d</w:t>
      </w:r>
      <w:r w:rsidR="00014E44">
        <w:rPr>
          <w:bCs/>
          <w:lang w:val="fr-FR"/>
        </w:rPr>
        <w:t>e détention pour mineurs reçoivent</w:t>
      </w:r>
      <w:r w:rsidR="0046079D">
        <w:rPr>
          <w:bCs/>
          <w:lang w:val="fr-FR"/>
        </w:rPr>
        <w:t xml:space="preserve"> une formation approfondie aux méthodes appropriées pour s’occuper de jeunes délinquants, y compris les procédures de désescalade.</w:t>
      </w:r>
    </w:p>
    <w:p w:rsidR="00D40630" w:rsidRDefault="00D40630" w:rsidP="005D7B68">
      <w:pPr>
        <w:tabs>
          <w:tab w:val="left" w:pos="567"/>
          <w:tab w:val="left" w:pos="1134"/>
          <w:tab w:val="left" w:pos="1701"/>
          <w:tab w:val="left" w:pos="2268"/>
          <w:tab w:val="left" w:pos="2835"/>
        </w:tabs>
        <w:rPr>
          <w:b/>
          <w:lang w:val="fr-FR"/>
        </w:rPr>
      </w:pPr>
      <w:r>
        <w:rPr>
          <w:b/>
          <w:lang w:val="fr-FR"/>
        </w:rPr>
        <w:t>Institutions assurant une protection de remplacement</w:t>
      </w:r>
    </w:p>
    <w:p w:rsidR="00D40630" w:rsidRPr="00B25D1C" w:rsidRDefault="00D40630" w:rsidP="005D7B68">
      <w:pPr>
        <w:tabs>
          <w:tab w:val="left" w:pos="567"/>
          <w:tab w:val="left" w:pos="1134"/>
          <w:tab w:val="left" w:pos="1701"/>
          <w:tab w:val="left" w:pos="2268"/>
          <w:tab w:val="left" w:pos="2835"/>
        </w:tabs>
        <w:rPr>
          <w:bCs/>
          <w:lang w:val="fr-FR"/>
        </w:rPr>
      </w:pPr>
      <w:r>
        <w:rPr>
          <w:bCs/>
          <w:lang w:val="fr-FR"/>
        </w:rPr>
        <w:t>87</w:t>
      </w:r>
      <w:r w:rsidR="00350D85">
        <w:rPr>
          <w:bCs/>
          <w:lang w:val="fr-FR"/>
        </w:rPr>
        <w:t>8</w:t>
      </w:r>
      <w:r>
        <w:rPr>
          <w:bCs/>
          <w:lang w:val="fr-FR"/>
        </w:rPr>
        <w:t>.</w:t>
      </w:r>
      <w:r>
        <w:rPr>
          <w:bCs/>
          <w:lang w:val="fr-FR"/>
        </w:rPr>
        <w:tab/>
      </w:r>
      <w:r w:rsidR="00EB56D9">
        <w:rPr>
          <w:bCs/>
          <w:lang w:val="fr-FR"/>
        </w:rPr>
        <w:t>Il est interdit par la loi de soumettre à des châtiments corporels les enfants qui ont été placés sous la responsabilité du système de protection de l’enfance pour cause de mauvais traitements ou d’abandon</w:t>
      </w:r>
      <w:r w:rsidR="008D6B80">
        <w:rPr>
          <w:bCs/>
          <w:lang w:val="fr-FR"/>
        </w:rPr>
        <w:t xml:space="preserve">. </w:t>
      </w:r>
      <w:r w:rsidR="00EB56D9">
        <w:rPr>
          <w:bCs/>
          <w:lang w:val="fr-FR"/>
        </w:rPr>
        <w:t xml:space="preserve">L’article 122 de la loi de 1999 sur la protection des enfants énonce les normes </w:t>
      </w:r>
      <w:r w:rsidR="00661E89">
        <w:rPr>
          <w:bCs/>
          <w:lang w:val="fr-FR"/>
        </w:rPr>
        <w:t xml:space="preserve">de traitement </w:t>
      </w:r>
      <w:r w:rsidR="00EB56D9">
        <w:rPr>
          <w:bCs/>
          <w:lang w:val="fr-FR"/>
        </w:rPr>
        <w:t>auxquelles le Directeur général doit veiller</w:t>
      </w:r>
      <w:r w:rsidR="00661E89">
        <w:rPr>
          <w:bCs/>
          <w:lang w:val="fr-FR"/>
        </w:rPr>
        <w:t xml:space="preserve"> en ce qui concerne tout enfant</w:t>
      </w:r>
      <w:r w:rsidR="00E34EBE">
        <w:rPr>
          <w:bCs/>
          <w:lang w:val="fr-FR"/>
        </w:rPr>
        <w:t xml:space="preserve"> dont il a la garde ou la tutelle</w:t>
      </w:r>
      <w:r w:rsidR="008D6B80">
        <w:rPr>
          <w:bCs/>
          <w:lang w:val="fr-FR"/>
        </w:rPr>
        <w:t xml:space="preserve">. </w:t>
      </w:r>
      <w:r w:rsidR="00E34EBE">
        <w:rPr>
          <w:bCs/>
          <w:lang w:val="fr-FR"/>
        </w:rPr>
        <w:t xml:space="preserve">Ces normes indiquent expressément que </w:t>
      </w:r>
      <w:r w:rsidR="00A619D6">
        <w:rPr>
          <w:bCs/>
          <w:lang w:val="fr-FR"/>
        </w:rPr>
        <w:t>«</w:t>
      </w:r>
      <w:r w:rsidR="00F70A4C">
        <w:rPr>
          <w:bCs/>
          <w:lang w:val="fr-FR"/>
        </w:rPr>
        <w:t xml:space="preserve">les techniques comportementales vis-à-vis de l’enfant doivent bannir tout châtiment corporel et toute punition destinée à l’humilier ou le terroriser ainsi que toute menace susceptibles de </w:t>
      </w:r>
      <w:r w:rsidR="00B25D1C">
        <w:rPr>
          <w:bCs/>
          <w:lang w:val="fr-FR"/>
        </w:rPr>
        <w:t>lui causer un préjudice psychologique</w:t>
      </w:r>
      <w:r w:rsidR="00A619D6">
        <w:rPr>
          <w:bCs/>
          <w:lang w:val="fr-FR"/>
        </w:rPr>
        <w:t>»</w:t>
      </w:r>
      <w:r w:rsidR="008D6B80">
        <w:rPr>
          <w:bCs/>
          <w:lang w:val="fr-FR"/>
        </w:rPr>
        <w:t xml:space="preserve">. </w:t>
      </w:r>
      <w:r w:rsidR="00B25D1C">
        <w:rPr>
          <w:bCs/>
          <w:lang w:val="fr-FR"/>
        </w:rPr>
        <w:t xml:space="preserve">Ces normes s’appliquent, que l’enfant soit placé en famille d’accueil, dans un centre d’hébergement agréé par le </w:t>
      </w:r>
      <w:r w:rsidR="00B25D1C" w:rsidRPr="00B25D1C">
        <w:rPr>
          <w:bCs/>
          <w:i/>
          <w:iCs/>
          <w:lang w:val="fr-FR"/>
        </w:rPr>
        <w:t>Department of Child Safety</w:t>
      </w:r>
      <w:r w:rsidR="00B25D1C">
        <w:rPr>
          <w:bCs/>
          <w:lang w:val="fr-FR"/>
        </w:rPr>
        <w:t xml:space="preserve"> (Département de la sécurité des enfants)</w:t>
      </w:r>
      <w:r w:rsidR="00CF58E6">
        <w:rPr>
          <w:bCs/>
          <w:lang w:val="fr-FR"/>
        </w:rPr>
        <w:t xml:space="preserve"> ou dans toute autre institution de protection.</w:t>
      </w:r>
    </w:p>
    <w:p w:rsidR="00413575" w:rsidRPr="00413575" w:rsidRDefault="00CF58E6" w:rsidP="005D7B68">
      <w:pPr>
        <w:tabs>
          <w:tab w:val="left" w:pos="567"/>
          <w:tab w:val="left" w:pos="1134"/>
          <w:tab w:val="left" w:pos="1701"/>
          <w:tab w:val="left" w:pos="2268"/>
          <w:tab w:val="left" w:pos="2835"/>
        </w:tabs>
        <w:rPr>
          <w:lang w:val="fr-FR"/>
        </w:rPr>
      </w:pPr>
      <w:r>
        <w:rPr>
          <w:caps/>
          <w:lang w:val="fr-FR"/>
        </w:rPr>
        <w:t>8</w:t>
      </w:r>
      <w:r w:rsidR="00350D85">
        <w:rPr>
          <w:caps/>
          <w:lang w:val="fr-FR"/>
        </w:rPr>
        <w:t>79</w:t>
      </w:r>
      <w:r>
        <w:rPr>
          <w:caps/>
          <w:lang w:val="fr-FR"/>
        </w:rPr>
        <w:t>.</w:t>
      </w:r>
      <w:r>
        <w:rPr>
          <w:caps/>
          <w:lang w:val="fr-FR"/>
        </w:rPr>
        <w:tab/>
      </w:r>
      <w:r w:rsidR="00413575" w:rsidRPr="00413575">
        <w:rPr>
          <w:lang w:val="fr-FR"/>
        </w:rPr>
        <w:t>En outre, les châtiments corporels ne sont pas approuvés par les services pénitentiaires du Queensland</w:t>
      </w:r>
      <w:r w:rsidR="008D6B80">
        <w:rPr>
          <w:lang w:val="fr-FR"/>
        </w:rPr>
        <w:t xml:space="preserve">. </w:t>
      </w:r>
      <w:r w:rsidR="00413575" w:rsidRPr="00413575">
        <w:rPr>
          <w:lang w:val="fr-FR"/>
        </w:rPr>
        <w:t>Les fonctionnaires de ces services ne sont autorisés à</w:t>
      </w:r>
      <w:r w:rsidR="00572260">
        <w:rPr>
          <w:lang w:val="fr-FR"/>
        </w:rPr>
        <w:t xml:space="preserve"> </w:t>
      </w:r>
      <w:r w:rsidR="00413575" w:rsidRPr="00413575">
        <w:rPr>
          <w:lang w:val="fr-FR"/>
        </w:rPr>
        <w:t>recourir raisonnablement à la force que dans les circonstances évoquées dans la loi de 2006 sur les services pénitentiaires</w:t>
      </w:r>
      <w:r w:rsidR="008D6B80">
        <w:rPr>
          <w:lang w:val="fr-FR"/>
        </w:rPr>
        <w:t xml:space="preserve">. </w:t>
      </w:r>
    </w:p>
    <w:p w:rsidR="00413575" w:rsidRPr="00413575"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413575" w:rsidRPr="00413575" w:rsidRDefault="00413575" w:rsidP="005D7B68">
      <w:pPr>
        <w:tabs>
          <w:tab w:val="left" w:pos="567"/>
          <w:tab w:val="left" w:pos="1134"/>
          <w:tab w:val="left" w:pos="1701"/>
          <w:tab w:val="left" w:pos="2268"/>
          <w:tab w:val="left" w:pos="2835"/>
        </w:tabs>
        <w:rPr>
          <w:lang w:val="fr-FR"/>
        </w:rPr>
      </w:pPr>
      <w:r w:rsidRPr="00413575">
        <w:rPr>
          <w:lang w:val="fr-FR"/>
        </w:rPr>
        <w:t>88</w:t>
      </w:r>
      <w:r w:rsidR="00350D85">
        <w:rPr>
          <w:lang w:val="fr-FR"/>
        </w:rPr>
        <w:t>0</w:t>
      </w:r>
      <w:r w:rsidRPr="00413575">
        <w:rPr>
          <w:lang w:val="fr-FR"/>
        </w:rPr>
        <w:t>.</w:t>
      </w:r>
      <w:r w:rsidRPr="00413575">
        <w:rPr>
          <w:lang w:val="fr-FR"/>
        </w:rPr>
        <w:tab/>
        <w:t>Le Département de l’éducation et de la formation d’Australie –Occidentale interdit les châtiments corporels dans les établissements scolaires publics</w:t>
      </w:r>
      <w:r w:rsidR="008D6B80">
        <w:rPr>
          <w:lang w:val="fr-FR"/>
        </w:rPr>
        <w:t xml:space="preserve">. </w:t>
      </w:r>
      <w:r w:rsidRPr="00413575">
        <w:rPr>
          <w:lang w:val="fr-FR"/>
        </w:rPr>
        <w:t>La règle 40 2) des règles de 2000 relatives à la loi sur l’éducation scolaire stipule qu’il est interdit de recourir à des châtiments corporels pour punir les élèves des écoles publiques</w:t>
      </w:r>
      <w:r w:rsidR="008D6B80">
        <w:rPr>
          <w:lang w:val="fr-FR"/>
        </w:rPr>
        <w:t xml:space="preserve">. </w:t>
      </w:r>
      <w:r w:rsidRPr="00413575">
        <w:rPr>
          <w:lang w:val="fr-FR"/>
        </w:rPr>
        <w:t xml:space="preserve">Ces châtiments sont interdits dans les établissements scolaires publics en </w:t>
      </w:r>
      <w:r w:rsidR="008E1139">
        <w:rPr>
          <w:lang w:val="fr-FR"/>
        </w:rPr>
        <w:t>Australie occidentale</w:t>
      </w:r>
      <w:r w:rsidRPr="00413575">
        <w:rPr>
          <w:lang w:val="fr-FR"/>
        </w:rPr>
        <w:t xml:space="preserve"> depuis 1987.</w:t>
      </w:r>
    </w:p>
    <w:p w:rsidR="00413575" w:rsidRPr="00413575" w:rsidRDefault="00413575" w:rsidP="005D7B68">
      <w:pPr>
        <w:tabs>
          <w:tab w:val="left" w:pos="567"/>
          <w:tab w:val="left" w:pos="1134"/>
          <w:tab w:val="left" w:pos="1701"/>
          <w:tab w:val="left" w:pos="2268"/>
          <w:tab w:val="left" w:pos="2835"/>
        </w:tabs>
        <w:rPr>
          <w:lang w:val="fr-FR"/>
        </w:rPr>
      </w:pPr>
      <w:r w:rsidRPr="00413575">
        <w:rPr>
          <w:lang w:val="fr-FR"/>
        </w:rPr>
        <w:t>88</w:t>
      </w:r>
      <w:r w:rsidR="00350D85">
        <w:rPr>
          <w:lang w:val="fr-FR"/>
        </w:rPr>
        <w:t>1</w:t>
      </w:r>
      <w:r w:rsidRPr="00413575">
        <w:rPr>
          <w:lang w:val="fr-FR"/>
        </w:rPr>
        <w:t>.</w:t>
      </w:r>
      <w:r w:rsidRPr="00413575">
        <w:rPr>
          <w:lang w:val="fr-FR"/>
        </w:rPr>
        <w:tab/>
        <w:t xml:space="preserve">La stratégie préconisée par le document intitulé </w:t>
      </w:r>
      <w:r w:rsidRPr="00413575">
        <w:rPr>
          <w:i/>
          <w:iCs/>
          <w:lang w:val="fr-FR"/>
        </w:rPr>
        <w:t>Behaviour Management in Schools</w:t>
      </w:r>
      <w:r w:rsidRPr="00413575">
        <w:rPr>
          <w:lang w:val="fr-FR"/>
        </w:rPr>
        <w:t xml:space="preserve"> (Comment faire face au comportement des enfants à l’école) préconise aussi, pour indiscipline, le recours à des sanctions dont ne font pas partie les châtiments corporels, et comprennent la privation des activités scolaires, les retenues, l’exclusion temporaire et l’exclusion définitive</w:t>
      </w:r>
      <w:r w:rsidR="008D6B80">
        <w:rPr>
          <w:lang w:val="fr-FR"/>
        </w:rPr>
        <w:t xml:space="preserve">. </w:t>
      </w:r>
      <w:r w:rsidR="00F06ED1">
        <w:rPr>
          <w:lang w:val="fr-FR"/>
        </w:rPr>
        <w:t>Les </w:t>
      </w:r>
      <w:r w:rsidRPr="00413575">
        <w:rPr>
          <w:lang w:val="fr-FR"/>
        </w:rPr>
        <w:t xml:space="preserve">établissements scolaires reçoivent un large appui des bureaux d’éducation de district pour la promotion </w:t>
      </w:r>
      <w:r w:rsidR="00014E44">
        <w:rPr>
          <w:lang w:val="fr-FR"/>
        </w:rPr>
        <w:t>de stratégies anticipatives permettant de</w:t>
      </w:r>
      <w:r w:rsidRPr="00413575">
        <w:rPr>
          <w:lang w:val="fr-FR"/>
        </w:rPr>
        <w:t xml:space="preserve"> faire face au comportement des élèves dans les écoles publiques.</w:t>
      </w:r>
    </w:p>
    <w:p w:rsidR="00D40630" w:rsidRDefault="00413575" w:rsidP="005D7B68">
      <w:pPr>
        <w:tabs>
          <w:tab w:val="left" w:pos="567"/>
          <w:tab w:val="left" w:pos="1134"/>
          <w:tab w:val="left" w:pos="1701"/>
          <w:tab w:val="left" w:pos="2268"/>
          <w:tab w:val="left" w:pos="2835"/>
        </w:tabs>
        <w:rPr>
          <w:lang w:val="fr-FR"/>
        </w:rPr>
      </w:pPr>
      <w:r>
        <w:rPr>
          <w:lang w:val="fr-FR"/>
        </w:rPr>
        <w:t>88</w:t>
      </w:r>
      <w:r w:rsidR="00350D85">
        <w:rPr>
          <w:lang w:val="fr-FR"/>
        </w:rPr>
        <w:t>2</w:t>
      </w:r>
      <w:r>
        <w:rPr>
          <w:lang w:val="fr-FR"/>
        </w:rPr>
        <w:t>.</w:t>
      </w:r>
      <w:r>
        <w:rPr>
          <w:lang w:val="fr-FR"/>
        </w:rPr>
        <w:tab/>
        <w:t>La loi de 2004 sur les services collectifs et les enfants pourvoit à la protection et à la prise en charge des enfants</w:t>
      </w:r>
      <w:r w:rsidR="008D6B80">
        <w:rPr>
          <w:lang w:val="fr-FR"/>
        </w:rPr>
        <w:t xml:space="preserve">. </w:t>
      </w:r>
      <w:r>
        <w:rPr>
          <w:lang w:val="fr-FR"/>
        </w:rPr>
        <w:t>Les dispositions ci-après concernent l’interdiction des châtiments corporels</w:t>
      </w:r>
      <w:r w:rsidR="00864A20">
        <w:rPr>
          <w:lang w:val="fr-FR"/>
        </w:rPr>
        <w:t xml:space="preserve"> dans les institutions assurant une protection de remplacement.</w:t>
      </w:r>
    </w:p>
    <w:p w:rsidR="00864A20" w:rsidRDefault="00A67641" w:rsidP="005D7B68">
      <w:pPr>
        <w:tabs>
          <w:tab w:val="left" w:pos="567"/>
          <w:tab w:val="left" w:pos="1134"/>
          <w:tab w:val="left" w:pos="1701"/>
          <w:tab w:val="left" w:pos="2268"/>
          <w:tab w:val="left" w:pos="2835"/>
        </w:tabs>
        <w:ind w:left="567" w:hanging="567"/>
        <w:rPr>
          <w:i/>
          <w:iCs/>
          <w:lang w:val="fr-FR"/>
        </w:rPr>
      </w:pPr>
      <w:r>
        <w:rPr>
          <w:lang w:val="fr-FR"/>
        </w:rPr>
        <w:tab/>
      </w:r>
      <w:r w:rsidR="008D47DA">
        <w:rPr>
          <w:lang w:val="fr-FR"/>
        </w:rPr>
        <w:tab/>
      </w:r>
      <w:r w:rsidR="00864A20" w:rsidRPr="00864A20">
        <w:rPr>
          <w:i/>
          <w:iCs/>
          <w:lang w:val="fr-FR"/>
        </w:rPr>
        <w:t>a)</w:t>
      </w:r>
      <w:r w:rsidR="00864A20" w:rsidRPr="00864A20">
        <w:rPr>
          <w:i/>
          <w:iCs/>
          <w:lang w:val="fr-FR"/>
        </w:rPr>
        <w:tab/>
        <w:t xml:space="preserve">Parmi les objectifs de cette loi, l’article 6 a) prescrit de </w:t>
      </w:r>
      <w:r w:rsidR="00A619D6">
        <w:rPr>
          <w:i/>
          <w:iCs/>
          <w:lang w:val="fr-FR"/>
        </w:rPr>
        <w:t>«</w:t>
      </w:r>
      <w:r w:rsidR="00864A20" w:rsidRPr="00864A20">
        <w:rPr>
          <w:i/>
          <w:iCs/>
          <w:lang w:val="fr-FR"/>
        </w:rPr>
        <w:t xml:space="preserve">favoriser le bien-être des enfants, </w:t>
      </w:r>
      <w:r w:rsidR="00864A20">
        <w:rPr>
          <w:i/>
          <w:iCs/>
          <w:lang w:val="fr-FR"/>
        </w:rPr>
        <w:t>des autres individus, des familles et des communautés</w:t>
      </w:r>
      <w:r w:rsidR="00A619D6">
        <w:rPr>
          <w:i/>
          <w:iCs/>
          <w:lang w:val="fr-FR"/>
        </w:rPr>
        <w:t>»</w:t>
      </w:r>
      <w:r w:rsidR="008D47DA">
        <w:rPr>
          <w:i/>
          <w:iCs/>
          <w:lang w:val="fr-FR"/>
        </w:rPr>
        <w:t>;</w:t>
      </w:r>
    </w:p>
    <w:p w:rsidR="00ED148B" w:rsidRDefault="00A67641" w:rsidP="005D7B68">
      <w:pPr>
        <w:tabs>
          <w:tab w:val="left" w:pos="567"/>
          <w:tab w:val="left" w:pos="1134"/>
          <w:tab w:val="left" w:pos="1701"/>
          <w:tab w:val="left" w:pos="2268"/>
          <w:tab w:val="left" w:pos="2835"/>
        </w:tabs>
        <w:ind w:left="567" w:hanging="567"/>
        <w:rPr>
          <w:i/>
          <w:iCs/>
          <w:lang w:val="fr-FR"/>
        </w:rPr>
      </w:pPr>
      <w:r>
        <w:rPr>
          <w:i/>
          <w:iCs/>
          <w:lang w:val="fr-FR"/>
        </w:rPr>
        <w:tab/>
      </w:r>
      <w:r w:rsidR="008D47DA">
        <w:rPr>
          <w:i/>
          <w:iCs/>
          <w:lang w:val="fr-FR"/>
        </w:rPr>
        <w:tab/>
      </w:r>
      <w:r w:rsidR="00864A20">
        <w:rPr>
          <w:i/>
          <w:iCs/>
          <w:lang w:val="fr-FR"/>
        </w:rPr>
        <w:t>b)</w:t>
      </w:r>
      <w:r w:rsidR="00864A20">
        <w:rPr>
          <w:i/>
          <w:iCs/>
          <w:lang w:val="fr-FR"/>
        </w:rPr>
        <w:tab/>
      </w:r>
      <w:r w:rsidR="00ED148B">
        <w:rPr>
          <w:i/>
          <w:iCs/>
          <w:lang w:val="fr-FR"/>
        </w:rPr>
        <w:t>L’article 9 énonce les principes à observer dans l’application de cette loi à savoir</w:t>
      </w:r>
      <w:r w:rsidR="00572260">
        <w:rPr>
          <w:i/>
          <w:iCs/>
          <w:lang w:val="fr-FR"/>
        </w:rPr>
        <w:t>:</w:t>
      </w:r>
    </w:p>
    <w:p w:rsidR="00864A20" w:rsidRDefault="008D47DA" w:rsidP="005D7B68">
      <w:pPr>
        <w:tabs>
          <w:tab w:val="left" w:pos="567"/>
          <w:tab w:val="left" w:pos="1134"/>
          <w:tab w:val="left" w:pos="1701"/>
          <w:tab w:val="left" w:pos="2268"/>
          <w:tab w:val="left" w:pos="2835"/>
        </w:tabs>
        <w:ind w:left="2268" w:hanging="2268"/>
        <w:rPr>
          <w:i/>
          <w:iCs/>
          <w:lang w:val="fr-FR"/>
        </w:rPr>
      </w:pPr>
      <w:r>
        <w:rPr>
          <w:i/>
          <w:iCs/>
          <w:lang w:val="fr-FR"/>
        </w:rPr>
        <w:tab/>
      </w:r>
      <w:r>
        <w:rPr>
          <w:i/>
          <w:iCs/>
          <w:lang w:val="fr-FR"/>
        </w:rPr>
        <w:tab/>
      </w:r>
      <w:r w:rsidR="00A67641">
        <w:rPr>
          <w:i/>
          <w:iCs/>
          <w:lang w:val="fr-FR"/>
        </w:rPr>
        <w:tab/>
      </w:r>
      <w:r w:rsidR="00995ECF">
        <w:rPr>
          <w:i/>
          <w:iCs/>
          <w:lang w:val="fr-FR"/>
        </w:rPr>
        <w:t>i)</w:t>
      </w:r>
      <w:r w:rsidR="00995ECF">
        <w:rPr>
          <w:i/>
          <w:iCs/>
          <w:lang w:val="fr-FR"/>
        </w:rPr>
        <w:tab/>
        <w:t>Tout</w:t>
      </w:r>
      <w:r w:rsidR="00572260">
        <w:rPr>
          <w:i/>
          <w:iCs/>
          <w:lang w:val="fr-FR"/>
        </w:rPr>
        <w:t xml:space="preserve"> </w:t>
      </w:r>
      <w:r w:rsidR="00995ECF">
        <w:rPr>
          <w:i/>
          <w:iCs/>
          <w:lang w:val="fr-FR"/>
        </w:rPr>
        <w:t>enfant devrai</w:t>
      </w:r>
      <w:r w:rsidR="00644F2A">
        <w:rPr>
          <w:i/>
          <w:iCs/>
          <w:lang w:val="fr-FR"/>
        </w:rPr>
        <w:t>t</w:t>
      </w:r>
      <w:r w:rsidR="00ED148B">
        <w:rPr>
          <w:i/>
          <w:iCs/>
          <w:lang w:val="fr-FR"/>
        </w:rPr>
        <w:t xml:space="preserve"> faire l’objet de soins</w:t>
      </w:r>
      <w:r w:rsidR="00864A20" w:rsidRPr="00864A20">
        <w:rPr>
          <w:i/>
          <w:iCs/>
          <w:lang w:val="fr-FR"/>
        </w:rPr>
        <w:t xml:space="preserve"> </w:t>
      </w:r>
      <w:r w:rsidR="00ED148B">
        <w:rPr>
          <w:i/>
          <w:iCs/>
          <w:lang w:val="fr-FR"/>
        </w:rPr>
        <w:t xml:space="preserve">et être protégé </w:t>
      </w:r>
      <w:r w:rsidR="00644F2A">
        <w:rPr>
          <w:i/>
          <w:iCs/>
          <w:lang w:val="fr-FR"/>
        </w:rPr>
        <w:t>de toute maltraitance</w:t>
      </w:r>
      <w:r w:rsidR="00572260">
        <w:rPr>
          <w:i/>
          <w:iCs/>
          <w:lang w:val="fr-FR"/>
        </w:rPr>
        <w:t>;</w:t>
      </w:r>
    </w:p>
    <w:p w:rsidR="00644F2A" w:rsidRDefault="008D47DA" w:rsidP="005D7B68">
      <w:pPr>
        <w:tabs>
          <w:tab w:val="left" w:pos="567"/>
          <w:tab w:val="left" w:pos="1134"/>
          <w:tab w:val="left" w:pos="1701"/>
          <w:tab w:val="left" w:pos="2268"/>
          <w:tab w:val="left" w:pos="2835"/>
        </w:tabs>
        <w:rPr>
          <w:i/>
          <w:iCs/>
          <w:lang w:val="fr-FR"/>
        </w:rPr>
      </w:pPr>
      <w:r>
        <w:rPr>
          <w:i/>
          <w:iCs/>
          <w:lang w:val="fr-FR"/>
        </w:rPr>
        <w:tab/>
      </w:r>
      <w:r>
        <w:rPr>
          <w:i/>
          <w:iCs/>
          <w:lang w:val="fr-FR"/>
        </w:rPr>
        <w:tab/>
      </w:r>
      <w:r w:rsidR="00A67641">
        <w:rPr>
          <w:i/>
          <w:iCs/>
          <w:lang w:val="fr-FR"/>
        </w:rPr>
        <w:tab/>
      </w:r>
      <w:r w:rsidR="00995ECF">
        <w:rPr>
          <w:i/>
          <w:iCs/>
          <w:lang w:val="fr-FR"/>
        </w:rPr>
        <w:t>ii)</w:t>
      </w:r>
      <w:r w:rsidR="00995ECF">
        <w:rPr>
          <w:i/>
          <w:iCs/>
          <w:lang w:val="fr-FR"/>
        </w:rPr>
        <w:tab/>
        <w:t>Tout enfant devrai</w:t>
      </w:r>
      <w:r w:rsidR="00644F2A">
        <w:rPr>
          <w:i/>
          <w:iCs/>
          <w:lang w:val="fr-FR"/>
        </w:rPr>
        <w:t>t vivre dans un milieu sans violence</w:t>
      </w:r>
      <w:r w:rsidR="00572260">
        <w:rPr>
          <w:i/>
          <w:iCs/>
          <w:lang w:val="fr-FR"/>
        </w:rPr>
        <w:t>;</w:t>
      </w:r>
    </w:p>
    <w:p w:rsidR="00644F2A" w:rsidRPr="00864A20" w:rsidRDefault="00A67641" w:rsidP="005D7B68">
      <w:pPr>
        <w:tabs>
          <w:tab w:val="left" w:pos="567"/>
          <w:tab w:val="left" w:pos="1134"/>
          <w:tab w:val="left" w:pos="1701"/>
          <w:tab w:val="left" w:pos="2268"/>
          <w:tab w:val="left" w:pos="2835"/>
        </w:tabs>
        <w:ind w:left="2268" w:hanging="2268"/>
        <w:rPr>
          <w:i/>
          <w:iCs/>
          <w:caps/>
          <w:lang w:val="fr-FR"/>
        </w:rPr>
      </w:pPr>
      <w:r>
        <w:rPr>
          <w:i/>
          <w:iCs/>
          <w:lang w:val="fr-FR"/>
        </w:rPr>
        <w:tab/>
      </w:r>
      <w:r>
        <w:rPr>
          <w:i/>
          <w:iCs/>
          <w:lang w:val="fr-FR"/>
        </w:rPr>
        <w:tab/>
      </w:r>
      <w:r>
        <w:rPr>
          <w:i/>
          <w:iCs/>
          <w:lang w:val="fr-FR"/>
        </w:rPr>
        <w:tab/>
      </w:r>
      <w:r w:rsidR="00995ECF">
        <w:rPr>
          <w:i/>
          <w:iCs/>
          <w:lang w:val="fr-FR"/>
        </w:rPr>
        <w:t>iii)</w:t>
      </w:r>
      <w:r w:rsidR="00995ECF">
        <w:rPr>
          <w:i/>
          <w:iCs/>
          <w:lang w:val="fr-FR"/>
        </w:rPr>
        <w:tab/>
        <w:t>Tout enfant devrai</w:t>
      </w:r>
      <w:r w:rsidR="00644F2A">
        <w:rPr>
          <w:i/>
          <w:iCs/>
          <w:lang w:val="fr-FR"/>
        </w:rPr>
        <w:t>t bénéficier de conditions de vie et de relations stables et sures qui lui donnent un sentiment de sécurité.</w:t>
      </w:r>
    </w:p>
    <w:p w:rsidR="00511662" w:rsidRDefault="008D47DA" w:rsidP="005D7B68">
      <w:pPr>
        <w:tabs>
          <w:tab w:val="left" w:pos="567"/>
          <w:tab w:val="left" w:pos="1134"/>
          <w:tab w:val="left" w:pos="1701"/>
          <w:tab w:val="left" w:pos="2268"/>
          <w:tab w:val="left" w:pos="2835"/>
        </w:tabs>
        <w:ind w:left="567" w:hanging="567"/>
        <w:rPr>
          <w:i/>
          <w:iCs/>
          <w:lang w:val="fr-FR"/>
        </w:rPr>
      </w:pPr>
      <w:r>
        <w:rPr>
          <w:i/>
          <w:iCs/>
          <w:lang w:val="fr-FR"/>
        </w:rPr>
        <w:tab/>
      </w:r>
      <w:r w:rsidR="00A67641">
        <w:rPr>
          <w:i/>
          <w:iCs/>
          <w:lang w:val="fr-FR"/>
        </w:rPr>
        <w:tab/>
      </w:r>
      <w:r w:rsidR="00644F2A">
        <w:rPr>
          <w:i/>
          <w:iCs/>
          <w:lang w:val="fr-FR"/>
        </w:rPr>
        <w:t>c)</w:t>
      </w:r>
      <w:r w:rsidR="00644F2A">
        <w:rPr>
          <w:i/>
          <w:iCs/>
          <w:lang w:val="fr-FR"/>
        </w:rPr>
        <w:tab/>
        <w:t>La loi do</w:t>
      </w:r>
      <w:r w:rsidR="007562C6">
        <w:rPr>
          <w:i/>
          <w:iCs/>
          <w:lang w:val="fr-FR"/>
        </w:rPr>
        <w:t>nne au Département le pouvoir de placer l’enfant dans un lieu où il sera protégé et pris en charge</w:t>
      </w:r>
      <w:r w:rsidR="009727F8">
        <w:rPr>
          <w:i/>
          <w:iCs/>
          <w:lang w:val="fr-FR"/>
        </w:rPr>
        <w:t>, si son bien-</w:t>
      </w:r>
      <w:r w:rsidR="00FF20F5">
        <w:rPr>
          <w:i/>
          <w:iCs/>
          <w:lang w:val="fr-FR"/>
        </w:rPr>
        <w:t>être est sérieusement menacé dans l’immédiat</w:t>
      </w:r>
      <w:r w:rsidR="007562C6">
        <w:rPr>
          <w:i/>
          <w:iCs/>
          <w:lang w:val="fr-FR"/>
        </w:rPr>
        <w:t xml:space="preserve"> (art. 37)</w:t>
      </w:r>
      <w:r>
        <w:rPr>
          <w:i/>
          <w:iCs/>
          <w:lang w:val="fr-FR"/>
        </w:rPr>
        <w:t>;</w:t>
      </w:r>
    </w:p>
    <w:p w:rsidR="00FF20F5" w:rsidRDefault="00A67641" w:rsidP="005D7B68">
      <w:pPr>
        <w:tabs>
          <w:tab w:val="left" w:pos="567"/>
          <w:tab w:val="left" w:pos="1134"/>
          <w:tab w:val="left" w:pos="1701"/>
          <w:tab w:val="left" w:pos="2268"/>
          <w:tab w:val="left" w:pos="2835"/>
        </w:tabs>
        <w:ind w:left="567" w:hanging="567"/>
        <w:rPr>
          <w:i/>
          <w:iCs/>
          <w:lang w:val="fr-FR"/>
        </w:rPr>
      </w:pPr>
      <w:r>
        <w:rPr>
          <w:i/>
          <w:iCs/>
          <w:lang w:val="fr-FR"/>
        </w:rPr>
        <w:tab/>
      </w:r>
      <w:r w:rsidR="007562C6">
        <w:rPr>
          <w:i/>
          <w:iCs/>
          <w:lang w:val="fr-FR"/>
        </w:rPr>
        <w:tab/>
        <w:t>d)</w:t>
      </w:r>
      <w:r w:rsidR="00FF20F5">
        <w:rPr>
          <w:i/>
          <w:iCs/>
          <w:lang w:val="fr-FR"/>
        </w:rPr>
        <w:tab/>
        <w:t>Cette loi permet à un fonctionnaire responsable d’un hôpital d’y garder tout enfant âgé de moins de 6 ans en observation, ou aux fins d’un bilan ou d’un traitement s’il pense que cet enfant a besoin de protection (art. 40)</w:t>
      </w:r>
      <w:r w:rsidR="008D47DA">
        <w:rPr>
          <w:i/>
          <w:iCs/>
          <w:lang w:val="fr-FR"/>
        </w:rPr>
        <w:t>;</w:t>
      </w:r>
    </w:p>
    <w:p w:rsidR="00DA0CCD" w:rsidRDefault="00FF20F5" w:rsidP="005D7B68">
      <w:pPr>
        <w:tabs>
          <w:tab w:val="left" w:pos="567"/>
          <w:tab w:val="left" w:pos="1134"/>
          <w:tab w:val="left" w:pos="1701"/>
          <w:tab w:val="left" w:pos="2268"/>
          <w:tab w:val="left" w:pos="2835"/>
        </w:tabs>
        <w:ind w:left="567" w:hanging="567"/>
        <w:rPr>
          <w:i/>
          <w:iCs/>
          <w:lang w:val="fr-FR"/>
        </w:rPr>
      </w:pPr>
      <w:r>
        <w:rPr>
          <w:i/>
          <w:iCs/>
          <w:lang w:val="fr-FR"/>
        </w:rPr>
        <w:tab/>
      </w:r>
      <w:r w:rsidR="00A67641">
        <w:rPr>
          <w:i/>
          <w:iCs/>
          <w:lang w:val="fr-FR"/>
        </w:rPr>
        <w:tab/>
      </w:r>
      <w:r>
        <w:rPr>
          <w:i/>
          <w:iCs/>
          <w:lang w:val="fr-FR"/>
        </w:rPr>
        <w:t>e)</w:t>
      </w:r>
      <w:r>
        <w:rPr>
          <w:i/>
          <w:iCs/>
          <w:lang w:val="fr-FR"/>
        </w:rPr>
        <w:tab/>
        <w:t>L’article 101 érige en infraction</w:t>
      </w:r>
      <w:r w:rsidR="00153016">
        <w:rPr>
          <w:i/>
          <w:iCs/>
          <w:lang w:val="fr-FR"/>
        </w:rPr>
        <w:t xml:space="preserve"> le fait pour un adulte auquel</w:t>
      </w:r>
      <w:r>
        <w:rPr>
          <w:i/>
          <w:iCs/>
          <w:lang w:val="fr-FR"/>
        </w:rPr>
        <w:t xml:space="preserve"> est confié la charge ou le contrôle d’un enfant</w:t>
      </w:r>
      <w:r w:rsidR="00153016">
        <w:rPr>
          <w:i/>
          <w:iCs/>
          <w:lang w:val="fr-FR"/>
        </w:rPr>
        <w:t xml:space="preserve"> </w:t>
      </w:r>
      <w:r w:rsidR="00DA0CCD">
        <w:rPr>
          <w:i/>
          <w:iCs/>
          <w:lang w:val="fr-FR"/>
        </w:rPr>
        <w:t>d’adopter un comportement dont il sait qu’il peut être attentatoire à son intégrité physique à la suite de violences, ou bien qui peut avoir le même résultat sans qu’il y ait réfléchi</w:t>
      </w:r>
      <w:r w:rsidR="008D47DA">
        <w:rPr>
          <w:i/>
          <w:iCs/>
          <w:lang w:val="fr-FR"/>
        </w:rPr>
        <w:t>;</w:t>
      </w:r>
    </w:p>
    <w:p w:rsidR="00DA0CCD" w:rsidRDefault="00A67641" w:rsidP="005D7B68">
      <w:pPr>
        <w:tabs>
          <w:tab w:val="left" w:pos="567"/>
          <w:tab w:val="left" w:pos="1134"/>
          <w:tab w:val="left" w:pos="1701"/>
          <w:tab w:val="left" w:pos="2268"/>
          <w:tab w:val="left" w:pos="2835"/>
        </w:tabs>
        <w:ind w:left="567" w:hanging="567"/>
        <w:rPr>
          <w:i/>
          <w:iCs/>
          <w:lang w:val="fr-FR"/>
        </w:rPr>
      </w:pPr>
      <w:r>
        <w:rPr>
          <w:i/>
          <w:iCs/>
          <w:lang w:val="fr-FR"/>
        </w:rPr>
        <w:tab/>
      </w:r>
      <w:r w:rsidR="00DA0CCD">
        <w:rPr>
          <w:i/>
          <w:iCs/>
          <w:lang w:val="fr-FR"/>
        </w:rPr>
        <w:tab/>
        <w:t>f)</w:t>
      </w:r>
      <w:r w:rsidR="00DA0CCD">
        <w:rPr>
          <w:i/>
          <w:iCs/>
          <w:lang w:val="fr-FR"/>
        </w:rPr>
        <w:tab/>
        <w:t>En vertu de l’article 78 de cette loi, le Directeur général du département doit établir et faire respecter une Charte des droits de tous les enfants placés sous sa responsabilité</w:t>
      </w:r>
      <w:r w:rsidR="008D6B80">
        <w:rPr>
          <w:i/>
          <w:iCs/>
          <w:lang w:val="fr-FR"/>
        </w:rPr>
        <w:t xml:space="preserve">. </w:t>
      </w:r>
      <w:r w:rsidR="00DA0CCD">
        <w:rPr>
          <w:i/>
          <w:iCs/>
          <w:lang w:val="fr-FR"/>
        </w:rPr>
        <w:t>Cette charte indique que l’enfant à droit au respect et à la sécurité.</w:t>
      </w:r>
    </w:p>
    <w:p w:rsidR="00274C62" w:rsidRDefault="00DA0CCD" w:rsidP="005D7B68">
      <w:pPr>
        <w:tabs>
          <w:tab w:val="left" w:pos="567"/>
          <w:tab w:val="left" w:pos="1134"/>
          <w:tab w:val="left" w:pos="1701"/>
          <w:tab w:val="left" w:pos="2268"/>
          <w:tab w:val="left" w:pos="2835"/>
        </w:tabs>
        <w:rPr>
          <w:i/>
          <w:iCs/>
          <w:lang w:val="fr-FR"/>
        </w:rPr>
      </w:pPr>
      <w:r>
        <w:rPr>
          <w:lang w:val="fr-FR"/>
        </w:rPr>
        <w:t>88</w:t>
      </w:r>
      <w:r w:rsidR="00350D85">
        <w:rPr>
          <w:lang w:val="fr-FR"/>
        </w:rPr>
        <w:t>3</w:t>
      </w:r>
      <w:r>
        <w:rPr>
          <w:lang w:val="fr-FR"/>
        </w:rPr>
        <w:t>.</w:t>
      </w:r>
      <w:r>
        <w:rPr>
          <w:lang w:val="fr-FR"/>
        </w:rPr>
        <w:tab/>
        <w:t>En 2004, le Ministre du développement communautaire de l’époque a chargé un expert de la protection de l’enfance, M</w:t>
      </w:r>
      <w:r w:rsidRPr="00827042">
        <w:rPr>
          <w:vertAlign w:val="superscript"/>
          <w:lang w:val="fr-FR"/>
        </w:rPr>
        <w:t xml:space="preserve">me </w:t>
      </w:r>
      <w:r>
        <w:rPr>
          <w:lang w:val="fr-FR"/>
        </w:rPr>
        <w:t>Gwenn Murray, d’examiner les m</w:t>
      </w:r>
      <w:r w:rsidR="00AC42C9">
        <w:rPr>
          <w:lang w:val="fr-FR"/>
        </w:rPr>
        <w:t>esures prises par son Ministère lorsque les enfants placés sont victimes de préjudices</w:t>
      </w:r>
      <w:r w:rsidR="008D6B80">
        <w:rPr>
          <w:lang w:val="fr-FR"/>
        </w:rPr>
        <w:t xml:space="preserve">. </w:t>
      </w:r>
      <w:r w:rsidR="00AC42C9">
        <w:rPr>
          <w:lang w:val="fr-FR"/>
        </w:rPr>
        <w:t>Le rapport de M</w:t>
      </w:r>
      <w:r w:rsidR="00AC42C9" w:rsidRPr="00827042">
        <w:rPr>
          <w:vertAlign w:val="superscript"/>
          <w:lang w:val="fr-FR"/>
        </w:rPr>
        <w:t>me</w:t>
      </w:r>
      <w:r w:rsidR="00AC42C9">
        <w:rPr>
          <w:lang w:val="fr-FR"/>
        </w:rPr>
        <w:t xml:space="preserve"> Murray, qui a été remis au gouvernement en décembre 2005, a montré que certains changements étaient nécessaires pour assurer la protection de ces enfants</w:t>
      </w:r>
      <w:r w:rsidR="008D6B80">
        <w:rPr>
          <w:lang w:val="fr-FR"/>
        </w:rPr>
        <w:t xml:space="preserve">. </w:t>
      </w:r>
      <w:r w:rsidR="00AC42C9">
        <w:rPr>
          <w:lang w:val="fr-FR"/>
        </w:rPr>
        <w:t>Une stratégie de mise en œuvre des recommandations de M</w:t>
      </w:r>
      <w:r w:rsidR="00AC42C9" w:rsidRPr="00827042">
        <w:rPr>
          <w:vertAlign w:val="superscript"/>
          <w:lang w:val="fr-FR"/>
        </w:rPr>
        <w:t>me</w:t>
      </w:r>
      <w:r w:rsidR="00AC42C9">
        <w:rPr>
          <w:lang w:val="fr-FR"/>
        </w:rPr>
        <w:t xml:space="preserve"> Murray a été mise au point en août 2006</w:t>
      </w:r>
      <w:r w:rsidR="008D6B80">
        <w:rPr>
          <w:lang w:val="fr-FR"/>
        </w:rPr>
        <w:t xml:space="preserve">. </w:t>
      </w:r>
      <w:r w:rsidR="007C144D">
        <w:rPr>
          <w:lang w:val="fr-FR"/>
        </w:rPr>
        <w:t>Les résultats des mesures précisées dans cette stratégie sont mesurés en fonction d’indicateurs de performance et évalués de façon continue pour faire en sorte qu</w:t>
      </w:r>
      <w:r w:rsidR="00274C62">
        <w:rPr>
          <w:lang w:val="fr-FR"/>
        </w:rPr>
        <w:t>’ils puissent être améliorés</w:t>
      </w:r>
      <w:r w:rsidR="008D6B80">
        <w:rPr>
          <w:lang w:val="fr-FR"/>
        </w:rPr>
        <w:t xml:space="preserve">. </w:t>
      </w:r>
    </w:p>
    <w:p w:rsidR="00376CFA" w:rsidRDefault="00274C62" w:rsidP="005D7B68">
      <w:pPr>
        <w:tabs>
          <w:tab w:val="left" w:pos="567"/>
          <w:tab w:val="left" w:pos="1134"/>
          <w:tab w:val="left" w:pos="1701"/>
          <w:tab w:val="left" w:pos="2268"/>
          <w:tab w:val="left" w:pos="2835"/>
        </w:tabs>
        <w:rPr>
          <w:lang w:val="fr-FR"/>
        </w:rPr>
      </w:pPr>
      <w:r>
        <w:rPr>
          <w:lang w:val="fr-FR"/>
        </w:rPr>
        <w:t>88</w:t>
      </w:r>
      <w:r w:rsidR="00350D85">
        <w:rPr>
          <w:lang w:val="fr-FR"/>
        </w:rPr>
        <w:t>4</w:t>
      </w:r>
      <w:r>
        <w:rPr>
          <w:lang w:val="fr-FR"/>
        </w:rPr>
        <w:t>.</w:t>
      </w:r>
      <w:r>
        <w:rPr>
          <w:lang w:val="fr-FR"/>
        </w:rPr>
        <w:tab/>
        <w:t>Une politique ministérielle en faveur des enfants vic</w:t>
      </w:r>
      <w:r w:rsidR="003069F7">
        <w:rPr>
          <w:lang w:val="fr-FR"/>
        </w:rPr>
        <w:t xml:space="preserve">times de maltraitance et ayant besoin de protection et de soins </w:t>
      </w:r>
      <w:r>
        <w:rPr>
          <w:lang w:val="fr-FR"/>
        </w:rPr>
        <w:t>a été mise en place en 2004</w:t>
      </w:r>
      <w:r w:rsidR="008D6B80">
        <w:rPr>
          <w:lang w:val="fr-FR"/>
        </w:rPr>
        <w:t xml:space="preserve">. </w:t>
      </w:r>
      <w:r w:rsidR="003069F7">
        <w:rPr>
          <w:lang w:val="fr-FR"/>
        </w:rPr>
        <w:t>Il faut entendre par maltraitance, en l’occurrence, le fait pour un enfant ou un jeune d’avoir été soumis</w:t>
      </w:r>
      <w:r w:rsidR="00376CFA">
        <w:rPr>
          <w:lang w:val="fr-FR"/>
        </w:rPr>
        <w:t xml:space="preserve"> à des violences physiques, sexuelles, psychologiques ou d’avoir été victime d’abandon, ou les deux, lesquels, en raison de leur gravité et/ou de leur persistance, ont causé, ou sont susceptibles de causer, à cet enfant un préjudice important</w:t>
      </w:r>
      <w:r w:rsidR="008D6B80">
        <w:rPr>
          <w:lang w:val="fr-FR"/>
        </w:rPr>
        <w:t xml:space="preserve">. </w:t>
      </w:r>
      <w:r w:rsidR="00376CFA">
        <w:rPr>
          <w:lang w:val="fr-FR"/>
        </w:rPr>
        <w:t>Le Ministère fait également recours à un Défenseur des enfant</w:t>
      </w:r>
      <w:r w:rsidR="007D21FC">
        <w:rPr>
          <w:lang w:val="fr-FR"/>
        </w:rPr>
        <w:t>s placés</w:t>
      </w:r>
      <w:r w:rsidR="007A77C7">
        <w:rPr>
          <w:lang w:val="fr-FR"/>
        </w:rPr>
        <w:t xml:space="preserve"> hors de leur foyer</w:t>
      </w:r>
      <w:r w:rsidR="00D12347">
        <w:rPr>
          <w:lang w:val="fr-FR"/>
        </w:rPr>
        <w:t xml:space="preserve"> pour leur venir en aide en cas de problème ou de doléances</w:t>
      </w:r>
      <w:r w:rsidR="008D6B80">
        <w:rPr>
          <w:lang w:val="fr-FR"/>
        </w:rPr>
        <w:t xml:space="preserve">. </w:t>
      </w:r>
      <w:r w:rsidR="00D12347">
        <w:rPr>
          <w:lang w:val="fr-FR"/>
        </w:rPr>
        <w:t>Dans l’exercice de ses fonctions, il leur donne aussi des renseignements et des conseils sur la manière dont ils devraient être traités.</w:t>
      </w:r>
    </w:p>
    <w:p w:rsidR="00F9155F" w:rsidRPr="00274C62" w:rsidRDefault="00CE4D59" w:rsidP="005D7B68">
      <w:pPr>
        <w:tabs>
          <w:tab w:val="left" w:pos="567"/>
          <w:tab w:val="left" w:pos="1134"/>
          <w:tab w:val="left" w:pos="1701"/>
          <w:tab w:val="left" w:pos="2268"/>
          <w:tab w:val="left" w:pos="2835"/>
        </w:tabs>
        <w:rPr>
          <w:lang w:val="fr-FR"/>
        </w:rPr>
      </w:pPr>
      <w:r>
        <w:rPr>
          <w:lang w:val="fr-FR"/>
        </w:rPr>
        <w:t>88</w:t>
      </w:r>
      <w:r w:rsidR="00350D85">
        <w:rPr>
          <w:lang w:val="fr-FR"/>
        </w:rPr>
        <w:t>5</w:t>
      </w:r>
      <w:r>
        <w:rPr>
          <w:lang w:val="fr-FR"/>
        </w:rPr>
        <w:t>.</w:t>
      </w:r>
      <w:r>
        <w:rPr>
          <w:lang w:val="fr-FR"/>
        </w:rPr>
        <w:tab/>
        <w:t>Les châtiments corporels ne so</w:t>
      </w:r>
      <w:r w:rsidR="00B773FC">
        <w:rPr>
          <w:lang w:val="fr-FR"/>
        </w:rPr>
        <w:t>nt pas admis dans les prisons, ni dans</w:t>
      </w:r>
      <w:r>
        <w:rPr>
          <w:lang w:val="fr-FR"/>
        </w:rPr>
        <w:t xml:space="preserve"> les centres de détention d’</w:t>
      </w:r>
      <w:r w:rsidR="008E1139">
        <w:rPr>
          <w:lang w:val="fr-FR"/>
        </w:rPr>
        <w:t>Australie occidentale</w:t>
      </w:r>
      <w:r>
        <w:rPr>
          <w:lang w:val="fr-FR"/>
        </w:rPr>
        <w:t>.</w:t>
      </w:r>
    </w:p>
    <w:p w:rsidR="00F9155F" w:rsidRDefault="008E1139" w:rsidP="005D7B68">
      <w:pPr>
        <w:tabs>
          <w:tab w:val="left" w:pos="567"/>
          <w:tab w:val="left" w:pos="1134"/>
          <w:tab w:val="left" w:pos="1701"/>
          <w:tab w:val="left" w:pos="2268"/>
          <w:tab w:val="left" w:pos="2835"/>
        </w:tabs>
        <w:rPr>
          <w:b/>
          <w:bCs/>
          <w:lang w:val="fr-FR"/>
        </w:rPr>
      </w:pPr>
      <w:r>
        <w:rPr>
          <w:b/>
          <w:bCs/>
          <w:lang w:val="fr-FR"/>
        </w:rPr>
        <w:t>Australie méridionale</w:t>
      </w:r>
    </w:p>
    <w:p w:rsidR="00F9155F" w:rsidRDefault="00F9155F" w:rsidP="005D7B68">
      <w:pPr>
        <w:tabs>
          <w:tab w:val="left" w:pos="567"/>
          <w:tab w:val="left" w:pos="1134"/>
          <w:tab w:val="left" w:pos="1701"/>
          <w:tab w:val="left" w:pos="2268"/>
          <w:tab w:val="left" w:pos="2835"/>
        </w:tabs>
        <w:rPr>
          <w:lang w:val="fr-FR"/>
        </w:rPr>
      </w:pPr>
      <w:r>
        <w:rPr>
          <w:lang w:val="fr-FR"/>
        </w:rPr>
        <w:t>88</w:t>
      </w:r>
      <w:r w:rsidR="00350D85">
        <w:rPr>
          <w:lang w:val="fr-FR"/>
        </w:rPr>
        <w:t>6</w:t>
      </w:r>
      <w:r>
        <w:rPr>
          <w:lang w:val="fr-FR"/>
        </w:rPr>
        <w:t>.</w:t>
      </w:r>
      <w:r>
        <w:rPr>
          <w:lang w:val="fr-FR"/>
        </w:rPr>
        <w:tab/>
        <w:t>Le Département de l’éducation et des services en faveur des enfants d’</w:t>
      </w:r>
      <w:r w:rsidR="008E1139">
        <w:rPr>
          <w:lang w:val="fr-FR"/>
        </w:rPr>
        <w:t>Australie méridionale</w:t>
      </w:r>
      <w:r>
        <w:rPr>
          <w:lang w:val="fr-FR"/>
        </w:rPr>
        <w:t xml:space="preserve"> a modifié le règlement concernant l’éducation en juin 1991 afin d’abolir officiellement les châtiments corporel</w:t>
      </w:r>
      <w:r w:rsidR="00B773FC">
        <w:rPr>
          <w:lang w:val="fr-FR"/>
        </w:rPr>
        <w:t>s dans les écoles publiques de</w:t>
      </w:r>
      <w:r>
        <w:rPr>
          <w:lang w:val="fr-FR"/>
        </w:rPr>
        <w:t xml:space="preserve"> cet État.</w:t>
      </w:r>
    </w:p>
    <w:p w:rsidR="00F9155F" w:rsidRDefault="00F9155F" w:rsidP="005D7B68">
      <w:pPr>
        <w:tabs>
          <w:tab w:val="left" w:pos="567"/>
          <w:tab w:val="left" w:pos="1134"/>
          <w:tab w:val="left" w:pos="1701"/>
          <w:tab w:val="left" w:pos="2268"/>
          <w:tab w:val="left" w:pos="2835"/>
        </w:tabs>
        <w:rPr>
          <w:b/>
          <w:bCs/>
          <w:lang w:val="fr-FR"/>
        </w:rPr>
      </w:pPr>
      <w:r>
        <w:rPr>
          <w:b/>
          <w:bCs/>
          <w:lang w:val="fr-FR"/>
        </w:rPr>
        <w:t>Tasmanie</w:t>
      </w:r>
    </w:p>
    <w:p w:rsidR="00F9155F" w:rsidRDefault="00F9155F" w:rsidP="005D7B68">
      <w:pPr>
        <w:tabs>
          <w:tab w:val="left" w:pos="567"/>
          <w:tab w:val="left" w:pos="1134"/>
          <w:tab w:val="left" w:pos="1701"/>
          <w:tab w:val="left" w:pos="2268"/>
          <w:tab w:val="left" w:pos="2835"/>
        </w:tabs>
        <w:rPr>
          <w:lang w:val="fr-FR"/>
        </w:rPr>
      </w:pPr>
      <w:r w:rsidRPr="00F9155F">
        <w:rPr>
          <w:lang w:val="fr-FR"/>
        </w:rPr>
        <w:t>88</w:t>
      </w:r>
      <w:r w:rsidR="00350D85">
        <w:rPr>
          <w:lang w:val="fr-FR"/>
        </w:rPr>
        <w:t>7</w:t>
      </w:r>
      <w:r w:rsidRPr="00F9155F">
        <w:rPr>
          <w:lang w:val="fr-FR"/>
        </w:rPr>
        <w:t>.</w:t>
      </w:r>
      <w:r w:rsidRPr="00F9155F">
        <w:rPr>
          <w:lang w:val="fr-FR"/>
        </w:rPr>
        <w:tab/>
        <w:t>Les châtiments corporels sont interdits dans les prisons et les centres de détention.</w:t>
      </w:r>
    </w:p>
    <w:p w:rsidR="00F9155F" w:rsidRDefault="00F9155F" w:rsidP="005D7B68">
      <w:pPr>
        <w:tabs>
          <w:tab w:val="left" w:pos="567"/>
          <w:tab w:val="left" w:pos="1134"/>
          <w:tab w:val="left" w:pos="1701"/>
          <w:tab w:val="left" w:pos="2268"/>
          <w:tab w:val="left" w:pos="2835"/>
        </w:tabs>
        <w:rPr>
          <w:lang w:val="fr-FR"/>
        </w:rPr>
      </w:pPr>
      <w:r>
        <w:rPr>
          <w:lang w:val="fr-FR"/>
        </w:rPr>
        <w:t>88</w:t>
      </w:r>
      <w:r w:rsidR="00350D85">
        <w:rPr>
          <w:lang w:val="fr-FR"/>
        </w:rPr>
        <w:t>8</w:t>
      </w:r>
      <w:r>
        <w:rPr>
          <w:lang w:val="fr-FR"/>
        </w:rPr>
        <w:t>.</w:t>
      </w:r>
      <w:r>
        <w:rPr>
          <w:lang w:val="fr-FR"/>
        </w:rPr>
        <w:tab/>
        <w:t>L’article 82A de la loi de 1994 sur l’éducation porte interdiction des châtiments corporels dans les établissements scolaires.</w:t>
      </w:r>
    </w:p>
    <w:p w:rsidR="00F9155F" w:rsidRDefault="00F9155F" w:rsidP="005D7B68">
      <w:pPr>
        <w:tabs>
          <w:tab w:val="left" w:pos="567"/>
          <w:tab w:val="left" w:pos="1134"/>
          <w:tab w:val="left" w:pos="1701"/>
          <w:tab w:val="left" w:pos="2268"/>
          <w:tab w:val="left" w:pos="2835"/>
        </w:tabs>
        <w:rPr>
          <w:lang w:val="fr-FR"/>
        </w:rPr>
      </w:pPr>
      <w:r>
        <w:rPr>
          <w:lang w:val="fr-FR"/>
        </w:rPr>
        <w:t>8</w:t>
      </w:r>
      <w:r w:rsidR="00350D85">
        <w:rPr>
          <w:lang w:val="fr-FR"/>
        </w:rPr>
        <w:t>89</w:t>
      </w:r>
      <w:r>
        <w:rPr>
          <w:lang w:val="fr-FR"/>
        </w:rPr>
        <w:t>.</w:t>
      </w:r>
      <w:r>
        <w:rPr>
          <w:lang w:val="fr-FR"/>
        </w:rPr>
        <w:tab/>
        <w:t xml:space="preserve">Le personnel est informé des obligations que lui impose la loi </w:t>
      </w:r>
      <w:r w:rsidR="00600895">
        <w:rPr>
          <w:lang w:val="fr-FR"/>
        </w:rPr>
        <w:t>grâce à la publication des mesures prises et des directives.</w:t>
      </w:r>
    </w:p>
    <w:p w:rsidR="00600895" w:rsidRPr="00613358" w:rsidRDefault="00600895" w:rsidP="005D7B68">
      <w:pPr>
        <w:tabs>
          <w:tab w:val="left" w:pos="567"/>
          <w:tab w:val="left" w:pos="1134"/>
          <w:tab w:val="left" w:pos="1701"/>
          <w:tab w:val="left" w:pos="2268"/>
          <w:tab w:val="left" w:pos="2835"/>
        </w:tabs>
        <w:rPr>
          <w:lang w:val="fr-FR"/>
        </w:rPr>
      </w:pPr>
      <w:r>
        <w:rPr>
          <w:lang w:val="fr-FR"/>
        </w:rPr>
        <w:t>89</w:t>
      </w:r>
      <w:r w:rsidR="00350D85">
        <w:rPr>
          <w:lang w:val="fr-FR"/>
        </w:rPr>
        <w:t>0</w:t>
      </w:r>
      <w:r>
        <w:rPr>
          <w:lang w:val="fr-FR"/>
        </w:rPr>
        <w:t>.</w:t>
      </w:r>
      <w:r>
        <w:rPr>
          <w:lang w:val="fr-FR"/>
        </w:rPr>
        <w:tab/>
        <w:t>Le Service de protection de l’enfance interdit</w:t>
      </w:r>
      <w:r w:rsidR="00B773FC">
        <w:rPr>
          <w:lang w:val="fr-FR"/>
        </w:rPr>
        <w:t xml:space="preserve"> expressément les</w:t>
      </w:r>
      <w:r>
        <w:rPr>
          <w:lang w:val="fr-FR"/>
        </w:rPr>
        <w:t xml:space="preserve"> c</w:t>
      </w:r>
      <w:r w:rsidR="00B773FC">
        <w:rPr>
          <w:lang w:val="fr-FR"/>
        </w:rPr>
        <w:t>hâtiments corporels ainsi que l</w:t>
      </w:r>
      <w:r>
        <w:rPr>
          <w:lang w:val="fr-FR"/>
        </w:rPr>
        <w:t>es violences verbales et psychologiqu</w:t>
      </w:r>
      <w:r w:rsidR="00B773FC">
        <w:rPr>
          <w:lang w:val="fr-FR"/>
        </w:rPr>
        <w:t>es à l’égard des enfants vivant ailleurs que dans leur famille</w:t>
      </w:r>
      <w:r w:rsidR="008D6B80">
        <w:rPr>
          <w:lang w:val="fr-FR"/>
        </w:rPr>
        <w:t xml:space="preserve">. </w:t>
      </w:r>
      <w:r>
        <w:rPr>
          <w:lang w:val="fr-FR"/>
        </w:rPr>
        <w:t xml:space="preserve">Les informations publiées par le Département de la santé et des </w:t>
      </w:r>
      <w:r w:rsidR="00972E1C">
        <w:rPr>
          <w:lang w:val="fr-FR"/>
        </w:rPr>
        <w:t>services sociaux</w:t>
      </w:r>
      <w:r>
        <w:rPr>
          <w:lang w:val="fr-FR"/>
        </w:rPr>
        <w:t xml:space="preserve"> à l’intention des familles d’accueil, des travailleurs sociaux et d’autres indiquent clairement que les châtiments corporels sont interdits</w:t>
      </w:r>
      <w:r w:rsidR="008D6B80">
        <w:rPr>
          <w:lang w:val="fr-FR"/>
        </w:rPr>
        <w:t xml:space="preserve">. </w:t>
      </w:r>
      <w:r>
        <w:rPr>
          <w:lang w:val="fr-FR"/>
        </w:rPr>
        <w:t xml:space="preserve">Elles proposent également d’autres tactiques et d’autres pratiques autorisées à ces familles en matière de discipline et pour faire face aux </w:t>
      </w:r>
      <w:r w:rsidR="00142802">
        <w:rPr>
          <w:lang w:val="fr-FR"/>
        </w:rPr>
        <w:t xml:space="preserve">mauvais </w:t>
      </w:r>
      <w:r>
        <w:rPr>
          <w:lang w:val="fr-FR"/>
        </w:rPr>
        <w:t>comportements</w:t>
      </w:r>
      <w:r w:rsidR="008D6B80">
        <w:rPr>
          <w:lang w:val="fr-FR"/>
        </w:rPr>
        <w:t xml:space="preserve">. </w:t>
      </w:r>
      <w:r w:rsidR="00142802">
        <w:rPr>
          <w:lang w:val="fr-FR"/>
        </w:rPr>
        <w:t xml:space="preserve">Il s’agit, en l’occurrence, de trouver ce qui provoque ce mauvais comportement, de mettre l’accent sur les points forts de l’enfant, de détourner son attention de ce comportement, et </w:t>
      </w:r>
      <w:r w:rsidR="00613358">
        <w:rPr>
          <w:lang w:val="fr-FR"/>
        </w:rPr>
        <w:t xml:space="preserve">de voir quelles conséquences, </w:t>
      </w:r>
      <w:r w:rsidR="00380FEB" w:rsidRPr="00380FEB">
        <w:rPr>
          <w:lang w:val="fr-FR"/>
        </w:rPr>
        <w:t>comme un</w:t>
      </w:r>
      <w:r w:rsidR="00D87941">
        <w:rPr>
          <w:lang w:val="fr-FR"/>
        </w:rPr>
        <w:t>e</w:t>
      </w:r>
      <w:r w:rsidR="00380FEB" w:rsidRPr="00380FEB">
        <w:rPr>
          <w:lang w:val="fr-FR"/>
        </w:rPr>
        <w:t xml:space="preserve"> trêve dans les relations</w:t>
      </w:r>
      <w:r w:rsidR="00613358" w:rsidRPr="00380FEB">
        <w:rPr>
          <w:lang w:val="fr-FR"/>
        </w:rPr>
        <w:t>, sont acceptables</w:t>
      </w:r>
      <w:r w:rsidR="008D6B80">
        <w:rPr>
          <w:lang w:val="fr-FR"/>
        </w:rPr>
        <w:t xml:space="preserve">. </w:t>
      </w:r>
      <w:r w:rsidR="00613358" w:rsidRPr="00380FEB">
        <w:rPr>
          <w:lang w:val="fr-FR"/>
        </w:rPr>
        <w:t>Pour aller plus loin, le programme de fo</w:t>
      </w:r>
      <w:r w:rsidR="00613358">
        <w:rPr>
          <w:lang w:val="fr-FR"/>
        </w:rPr>
        <w:t xml:space="preserve">rmation du Ministère pour les familles d’accueil, intitulé </w:t>
      </w:r>
      <w:r w:rsidR="00613358">
        <w:rPr>
          <w:i/>
          <w:iCs/>
          <w:lang w:val="fr-FR"/>
        </w:rPr>
        <w:t>Step by Step</w:t>
      </w:r>
      <w:r w:rsidR="00613358">
        <w:rPr>
          <w:lang w:val="fr-FR"/>
        </w:rPr>
        <w:t xml:space="preserve"> (pas à pas), comprend des informations destinées aux familles d’accueil potentielles concernant la discipline des enfants et des jeunes faisant l’objet d’un placement</w:t>
      </w:r>
      <w:r w:rsidR="008D6B80">
        <w:rPr>
          <w:lang w:val="fr-FR"/>
        </w:rPr>
        <w:t xml:space="preserve">. </w:t>
      </w:r>
      <w:r w:rsidR="00613358">
        <w:rPr>
          <w:lang w:val="fr-FR"/>
        </w:rPr>
        <w:t>Le Manuel de formation dit ceci</w:t>
      </w:r>
      <w:r w:rsidR="00572260">
        <w:rPr>
          <w:lang w:val="fr-FR"/>
        </w:rPr>
        <w:t>:</w:t>
      </w:r>
    </w:p>
    <w:p w:rsidR="007562C6" w:rsidRDefault="00827042" w:rsidP="005D7B68">
      <w:pPr>
        <w:tabs>
          <w:tab w:val="left" w:pos="567"/>
          <w:tab w:val="left" w:pos="1134"/>
          <w:tab w:val="left" w:pos="1701"/>
          <w:tab w:val="left" w:pos="2268"/>
          <w:tab w:val="left" w:pos="2835"/>
        </w:tabs>
        <w:ind w:left="567" w:hanging="567"/>
        <w:rPr>
          <w:i/>
          <w:iCs/>
          <w:lang w:val="fr-FR"/>
        </w:rPr>
      </w:pPr>
      <w:r>
        <w:rPr>
          <w:lang w:val="fr-FR"/>
        </w:rPr>
        <w:tab/>
      </w:r>
      <w:r>
        <w:rPr>
          <w:lang w:val="fr-FR"/>
        </w:rPr>
        <w:tab/>
      </w:r>
      <w:r w:rsidR="00613358" w:rsidRPr="00613358">
        <w:rPr>
          <w:i/>
          <w:iCs/>
          <w:lang w:val="fr-FR"/>
        </w:rPr>
        <w:t>Les familles d’accueil sont tenues de travailler en collaboration ét</w:t>
      </w:r>
      <w:r w:rsidR="00613358">
        <w:rPr>
          <w:i/>
          <w:iCs/>
          <w:lang w:val="fr-FR"/>
        </w:rPr>
        <w:t xml:space="preserve">roite avec les services de protection de l’enfance afin de mettre au point des stratégies de discipline appropriées pour l’enfant ou l’adolescent qui </w:t>
      </w:r>
      <w:r w:rsidR="00380FEB">
        <w:rPr>
          <w:i/>
          <w:iCs/>
          <w:lang w:val="fr-FR"/>
        </w:rPr>
        <w:t xml:space="preserve">est </w:t>
      </w:r>
      <w:r w:rsidR="00613358">
        <w:rPr>
          <w:i/>
          <w:iCs/>
          <w:lang w:val="fr-FR"/>
        </w:rPr>
        <w:t>placé chez elles</w:t>
      </w:r>
      <w:r w:rsidR="008D6B80">
        <w:rPr>
          <w:i/>
          <w:iCs/>
          <w:lang w:val="fr-FR"/>
        </w:rPr>
        <w:t xml:space="preserve">. </w:t>
      </w:r>
      <w:r w:rsidR="00712E6B">
        <w:rPr>
          <w:i/>
          <w:iCs/>
          <w:lang w:val="fr-FR"/>
        </w:rPr>
        <w:t>Les familles d’accueil potentielles doivent montrer qu’elles sont capables de discipliner efficacement les enfants sans recourir à des châtiments corporels ou psychologiques. Il est très important que les enfants soient disciplinés d’une manière qui leur fasse comprendre qu’on les aime en dépit de leur comportement</w:t>
      </w:r>
      <w:r w:rsidR="008D6B80">
        <w:rPr>
          <w:i/>
          <w:iCs/>
          <w:lang w:val="fr-FR"/>
        </w:rPr>
        <w:t xml:space="preserve">. </w:t>
      </w:r>
      <w:r w:rsidR="00712E6B">
        <w:rPr>
          <w:i/>
          <w:iCs/>
          <w:lang w:val="fr-FR"/>
        </w:rPr>
        <w:t xml:space="preserve">L’expérience a montré que les coups ou d’autres châtiments physiques ne sont pas efficaces à l’égard d’enfants qui ont été victimes de violences ou d’abandon. </w:t>
      </w:r>
      <w:r w:rsidR="00AF3E44">
        <w:rPr>
          <w:i/>
          <w:iCs/>
          <w:lang w:val="fr-FR"/>
        </w:rPr>
        <w:t>Beaucoup de ces enfants n’ont jamais eu de parents qui s’occupent d’eux de façon cohérente. Les services de protection de l’enfance publient des directives destinées à aider les familles d’accueil à imposer efficacement une discipline aux enfants.</w:t>
      </w:r>
    </w:p>
    <w:p w:rsidR="00CE3BB8" w:rsidRDefault="00CE3BB8" w:rsidP="005D7B68">
      <w:pPr>
        <w:tabs>
          <w:tab w:val="left" w:pos="567"/>
          <w:tab w:val="left" w:pos="1134"/>
          <w:tab w:val="left" w:pos="1701"/>
          <w:tab w:val="left" w:pos="2268"/>
          <w:tab w:val="left" w:pos="2835"/>
        </w:tabs>
        <w:rPr>
          <w:lang w:val="fr-FR"/>
        </w:rPr>
      </w:pPr>
      <w:r>
        <w:rPr>
          <w:lang w:val="fr-FR"/>
        </w:rPr>
        <w:t>89</w:t>
      </w:r>
      <w:r w:rsidR="00350D85">
        <w:rPr>
          <w:lang w:val="fr-FR"/>
        </w:rPr>
        <w:t>1</w:t>
      </w:r>
      <w:r>
        <w:rPr>
          <w:lang w:val="fr-FR"/>
        </w:rPr>
        <w:t>.</w:t>
      </w:r>
      <w:r>
        <w:rPr>
          <w:lang w:val="fr-FR"/>
        </w:rPr>
        <w:tab/>
      </w:r>
      <w:r w:rsidR="00042520">
        <w:rPr>
          <w:lang w:val="fr-FR"/>
        </w:rPr>
        <w:t>En outre, le Commissaire à l’enfance de Tasmanie a également proposé un modèle pour la mise en pla</w:t>
      </w:r>
      <w:r w:rsidR="00380FEB">
        <w:rPr>
          <w:lang w:val="fr-FR"/>
        </w:rPr>
        <w:t>ce d’un programme de V</w:t>
      </w:r>
      <w:r w:rsidR="00042520">
        <w:rPr>
          <w:lang w:val="fr-FR"/>
        </w:rPr>
        <w:t>isiteur officiel des placements d’enfants, qui mettrait à la disposition des enfants</w:t>
      </w:r>
      <w:r w:rsidR="00CD446E">
        <w:rPr>
          <w:lang w:val="fr-FR"/>
        </w:rPr>
        <w:t xml:space="preserve"> fa</w:t>
      </w:r>
      <w:r w:rsidR="00380FEB">
        <w:rPr>
          <w:lang w:val="fr-FR"/>
        </w:rPr>
        <w:t>isant l’objet d’un placement un</w:t>
      </w:r>
      <w:r w:rsidR="00CD446E">
        <w:rPr>
          <w:lang w:val="fr-FR"/>
        </w:rPr>
        <w:t xml:space="preserve"> mécanisme indépendant pour leur permettre de signaler qu’ils ont été soumis à des châtiments corporels. Cette proposition est actuellement en discussion entre le</w:t>
      </w:r>
      <w:r w:rsidR="00572260">
        <w:rPr>
          <w:lang w:val="fr-FR"/>
        </w:rPr>
        <w:t xml:space="preserve"> </w:t>
      </w:r>
      <w:r w:rsidR="00CD446E">
        <w:rPr>
          <w:lang w:val="fr-FR"/>
        </w:rPr>
        <w:t>Ministère et le Bureau du Commissaire à l’enfance.</w:t>
      </w:r>
    </w:p>
    <w:p w:rsidR="00CD446E" w:rsidRPr="00CD446E" w:rsidRDefault="00CD446E" w:rsidP="005D7B68">
      <w:pPr>
        <w:tabs>
          <w:tab w:val="left" w:pos="567"/>
          <w:tab w:val="left" w:pos="1134"/>
          <w:tab w:val="left" w:pos="1701"/>
          <w:tab w:val="left" w:pos="2268"/>
          <w:tab w:val="left" w:pos="2835"/>
        </w:tabs>
        <w:rPr>
          <w:b/>
          <w:bCs/>
          <w:lang w:val="fr-FR"/>
        </w:rPr>
      </w:pPr>
      <w:r>
        <w:rPr>
          <w:b/>
          <w:bCs/>
          <w:lang w:val="fr-FR"/>
        </w:rPr>
        <w:t>Territoire de la capitale australienne</w:t>
      </w:r>
    </w:p>
    <w:p w:rsidR="00CD446E" w:rsidRDefault="00CD446E" w:rsidP="005D7B68">
      <w:pPr>
        <w:tabs>
          <w:tab w:val="left" w:pos="567"/>
          <w:tab w:val="left" w:pos="1134"/>
          <w:tab w:val="left" w:pos="1701"/>
          <w:tab w:val="left" w:pos="2268"/>
          <w:tab w:val="left" w:pos="2835"/>
        </w:tabs>
        <w:rPr>
          <w:lang w:val="fr-FR"/>
        </w:rPr>
      </w:pPr>
      <w:r>
        <w:rPr>
          <w:lang w:val="fr-FR"/>
        </w:rPr>
        <w:t>89</w:t>
      </w:r>
      <w:r w:rsidR="00350D85">
        <w:rPr>
          <w:lang w:val="fr-FR"/>
        </w:rPr>
        <w:t>2</w:t>
      </w:r>
      <w:r>
        <w:rPr>
          <w:lang w:val="fr-FR"/>
        </w:rPr>
        <w:t>.</w:t>
      </w:r>
      <w:r>
        <w:rPr>
          <w:lang w:val="fr-FR"/>
        </w:rPr>
        <w:tab/>
        <w:t>Les châtiments corporels sont interdits dans tous les établissements scolaires du Territoire de la capitale</w:t>
      </w:r>
      <w:r w:rsidR="00380FEB">
        <w:rPr>
          <w:lang w:val="fr-FR"/>
        </w:rPr>
        <w:t xml:space="preserve"> fédérale</w:t>
      </w:r>
      <w:r>
        <w:rPr>
          <w:lang w:val="fr-FR"/>
        </w:rPr>
        <w:t>, conformément à l’article 7 4) de la loi de 2004 sur l’éducation</w:t>
      </w:r>
      <w:r w:rsidR="00380FEB">
        <w:rPr>
          <w:lang w:val="fr-FR"/>
        </w:rPr>
        <w:t>,</w:t>
      </w:r>
      <w:r>
        <w:rPr>
          <w:lang w:val="fr-FR"/>
        </w:rPr>
        <w:t xml:space="preserve"> en conséq</w:t>
      </w:r>
      <w:r w:rsidR="00380FEB">
        <w:rPr>
          <w:lang w:val="fr-FR"/>
        </w:rPr>
        <w:t xml:space="preserve">uence </w:t>
      </w:r>
      <w:r w:rsidR="00B72E4C">
        <w:rPr>
          <w:lang w:val="fr-FR"/>
        </w:rPr>
        <w:t>de quoi tout</w:t>
      </w:r>
      <w:r>
        <w:rPr>
          <w:lang w:val="fr-FR"/>
        </w:rPr>
        <w:t xml:space="preserve"> châtiment corporel y serait constitutif d’une infraction de coups et blessures volontaires</w:t>
      </w:r>
      <w:r w:rsidR="008D6B80">
        <w:rPr>
          <w:lang w:val="fr-FR"/>
        </w:rPr>
        <w:t xml:space="preserve">. </w:t>
      </w:r>
      <w:r w:rsidR="00B72E4C">
        <w:rPr>
          <w:lang w:val="fr-FR"/>
        </w:rPr>
        <w:t>L’article 366 4) de la loi de 1999 sur les enfants et les jeunes érige en infraction passible de 50 unités</w:t>
      </w:r>
      <w:r w:rsidR="009B0E3B">
        <w:rPr>
          <w:lang w:val="fr-FR"/>
        </w:rPr>
        <w:t xml:space="preserve"> pénales ou d’une peine de </w:t>
      </w:r>
      <w:r w:rsidR="00380FEB">
        <w:rPr>
          <w:lang w:val="fr-FR"/>
        </w:rPr>
        <w:t xml:space="preserve">6 </w:t>
      </w:r>
      <w:r w:rsidR="009B0E3B">
        <w:rPr>
          <w:lang w:val="fr-FR"/>
        </w:rPr>
        <w:t>mois d’emprisonnement le fait de soumettre des enfants en garderie à une discipline injustifiée dans ces circonstances</w:t>
      </w:r>
      <w:r w:rsidR="008D6B80">
        <w:rPr>
          <w:lang w:val="fr-FR"/>
        </w:rPr>
        <w:t xml:space="preserve">. </w:t>
      </w:r>
      <w:r w:rsidR="009B0E3B">
        <w:rPr>
          <w:lang w:val="fr-FR"/>
        </w:rPr>
        <w:t>Dans ce cas, la personne responsable se rendrait coupable d’une infraction à ce titre même, et aussi à celui de coups et blessures volontaires</w:t>
      </w:r>
      <w:r w:rsidR="008D6B80">
        <w:rPr>
          <w:lang w:val="fr-FR"/>
        </w:rPr>
        <w:t xml:space="preserve">. </w:t>
      </w:r>
      <w:r w:rsidR="00E20BDA">
        <w:rPr>
          <w:lang w:val="fr-FR"/>
        </w:rPr>
        <w:t xml:space="preserve">Bien que le </w:t>
      </w:r>
      <w:r w:rsidR="00E20BDA" w:rsidRPr="00E20BDA">
        <w:rPr>
          <w:i/>
          <w:iCs/>
          <w:lang w:val="fr-FR"/>
        </w:rPr>
        <w:t>common law</w:t>
      </w:r>
      <w:r w:rsidR="00E20BDA" w:rsidRPr="00E20BDA">
        <w:rPr>
          <w:lang w:val="fr-FR"/>
        </w:rPr>
        <w:t>, en matière de punition raisonnable,</w:t>
      </w:r>
      <w:r w:rsidR="00E20BDA">
        <w:rPr>
          <w:lang w:val="fr-FR"/>
        </w:rPr>
        <w:t xml:space="preserve"> autorise que des châtiments corporels soient infligés à des enfants par des personnes agissant </w:t>
      </w:r>
      <w:r w:rsidR="00E20BDA">
        <w:rPr>
          <w:i/>
          <w:iCs/>
          <w:lang w:val="fr-FR"/>
        </w:rPr>
        <w:t xml:space="preserve">in loco parentis </w:t>
      </w:r>
      <w:r w:rsidR="00E20BDA">
        <w:rPr>
          <w:lang w:val="fr-FR"/>
        </w:rPr>
        <w:t xml:space="preserve">[voir </w:t>
      </w:r>
      <w:r w:rsidR="00E20BDA">
        <w:rPr>
          <w:i/>
          <w:iCs/>
          <w:lang w:val="fr-FR"/>
        </w:rPr>
        <w:t xml:space="preserve">Mansell </w:t>
      </w:r>
      <w:r w:rsidR="00E20BDA" w:rsidRPr="00380FEB">
        <w:rPr>
          <w:lang w:val="fr-FR"/>
        </w:rPr>
        <w:t>c.</w:t>
      </w:r>
      <w:r w:rsidR="00E20BDA">
        <w:rPr>
          <w:i/>
          <w:iCs/>
          <w:lang w:val="fr-FR"/>
        </w:rPr>
        <w:t xml:space="preserve"> Griffin </w:t>
      </w:r>
      <w:r w:rsidR="00380FEB">
        <w:rPr>
          <w:lang w:val="fr-FR"/>
        </w:rPr>
        <w:t>[1908] 1 KB 160]</w:t>
      </w:r>
      <w:r w:rsidR="00572260">
        <w:rPr>
          <w:lang w:val="fr-FR"/>
        </w:rPr>
        <w:t xml:space="preserve"> </w:t>
      </w:r>
      <w:r w:rsidR="009277FB">
        <w:rPr>
          <w:lang w:val="fr-FR"/>
        </w:rPr>
        <w:t xml:space="preserve">-- </w:t>
      </w:r>
      <w:r w:rsidR="00E20BDA">
        <w:rPr>
          <w:lang w:val="fr-FR"/>
        </w:rPr>
        <w:t>soit, entre aut</w:t>
      </w:r>
      <w:r w:rsidR="00380FEB">
        <w:rPr>
          <w:lang w:val="fr-FR"/>
        </w:rPr>
        <w:t>r</w:t>
      </w:r>
      <w:r w:rsidR="009277FB">
        <w:rPr>
          <w:lang w:val="fr-FR"/>
        </w:rPr>
        <w:t>es, le personnel pénitentiaire –</w:t>
      </w:r>
      <w:r w:rsidR="00E20BDA">
        <w:rPr>
          <w:lang w:val="fr-FR"/>
        </w:rPr>
        <w:t xml:space="preserve"> celui du Territoire de la capitale</w:t>
      </w:r>
      <w:r w:rsidR="00380FEB">
        <w:rPr>
          <w:lang w:val="fr-FR"/>
        </w:rPr>
        <w:t xml:space="preserve"> fédérale</w:t>
      </w:r>
      <w:r w:rsidR="00E20BDA">
        <w:rPr>
          <w:lang w:val="fr-FR"/>
        </w:rPr>
        <w:t xml:space="preserve"> a pour principe de ne jamais y recourir en aucune circonstance.</w:t>
      </w:r>
    </w:p>
    <w:p w:rsidR="00E20BDA" w:rsidRPr="00E20BDA" w:rsidRDefault="00E20BDA" w:rsidP="005D7B68">
      <w:pPr>
        <w:tabs>
          <w:tab w:val="left" w:pos="567"/>
          <w:tab w:val="left" w:pos="1134"/>
          <w:tab w:val="left" w:pos="1701"/>
          <w:tab w:val="left" w:pos="2268"/>
          <w:tab w:val="left" w:pos="2835"/>
        </w:tabs>
        <w:rPr>
          <w:lang w:val="fr-FR"/>
        </w:rPr>
      </w:pPr>
      <w:r>
        <w:rPr>
          <w:lang w:val="fr-FR"/>
        </w:rPr>
        <w:t>89</w:t>
      </w:r>
      <w:r w:rsidR="00350D85">
        <w:rPr>
          <w:lang w:val="fr-FR"/>
        </w:rPr>
        <w:t>3</w:t>
      </w:r>
      <w:r>
        <w:rPr>
          <w:lang w:val="fr-FR"/>
        </w:rPr>
        <w:t>.</w:t>
      </w:r>
      <w:r>
        <w:rPr>
          <w:lang w:val="fr-FR"/>
        </w:rPr>
        <w:tab/>
        <w:t>Une</w:t>
      </w:r>
      <w:r w:rsidR="009277FB">
        <w:rPr>
          <w:lang w:val="fr-FR"/>
        </w:rPr>
        <w:t xml:space="preserve"> directive permanente relative à</w:t>
      </w:r>
      <w:r>
        <w:rPr>
          <w:lang w:val="fr-FR"/>
        </w:rPr>
        <w:t xml:space="preserve"> l’usage de la force a été élaborée à l’intention du </w:t>
      </w:r>
      <w:r w:rsidR="009277FB">
        <w:rPr>
          <w:lang w:val="fr-FR"/>
        </w:rPr>
        <w:t>personnel de tous les</w:t>
      </w:r>
      <w:r w:rsidR="006E1698">
        <w:rPr>
          <w:lang w:val="fr-FR"/>
        </w:rPr>
        <w:t xml:space="preserve"> </w:t>
      </w:r>
      <w:r>
        <w:rPr>
          <w:lang w:val="fr-FR"/>
        </w:rPr>
        <w:t>Centre</w:t>
      </w:r>
      <w:r w:rsidR="009277FB">
        <w:rPr>
          <w:lang w:val="fr-FR"/>
        </w:rPr>
        <w:t>s de détention pour mineurs, n’autorisant</w:t>
      </w:r>
      <w:r w:rsidR="006E1698">
        <w:rPr>
          <w:lang w:val="fr-FR"/>
        </w:rPr>
        <w:t xml:space="preserve"> l’usage de la force que pour faire face à un risque inacceptable d’évasion ou d’atteinte imminente à l’intégrité de l’intéressé ou d’autres enfants, de jeunes, de visiteurs ou de membres du personnel du centre</w:t>
      </w:r>
      <w:r w:rsidR="008D6B80">
        <w:rPr>
          <w:lang w:val="fr-FR"/>
        </w:rPr>
        <w:t xml:space="preserve">. </w:t>
      </w:r>
      <w:r w:rsidR="006E1698">
        <w:rPr>
          <w:lang w:val="fr-FR"/>
        </w:rPr>
        <w:t>Tout en permettant que des mesures soient prises dans des circonstances particulières, cette directive ne prévoit pas les châtiments corporels</w:t>
      </w:r>
      <w:r w:rsidR="008D6B80">
        <w:rPr>
          <w:lang w:val="fr-FR"/>
        </w:rPr>
        <w:t xml:space="preserve">. </w:t>
      </w:r>
      <w:r w:rsidR="006E1698">
        <w:rPr>
          <w:lang w:val="fr-FR"/>
        </w:rPr>
        <w:t>Elle a été élaborée sachant que les détenus sont susceptibles d’être particulièrement vulnérables, d’être sous le coup de traumatismes</w:t>
      </w:r>
      <w:r w:rsidR="00BA4E89">
        <w:rPr>
          <w:lang w:val="fr-FR"/>
        </w:rPr>
        <w:t xml:space="preserve"> et d’épreuves</w:t>
      </w:r>
      <w:r w:rsidR="006E1698">
        <w:rPr>
          <w:lang w:val="fr-FR"/>
        </w:rPr>
        <w:t xml:space="preserve"> antérieurs graves, </w:t>
      </w:r>
      <w:r w:rsidR="00BA4E89">
        <w:rPr>
          <w:lang w:val="fr-FR"/>
        </w:rPr>
        <w:t>et que beaucoup d’entre eux souffrent de troubles mentaux</w:t>
      </w:r>
      <w:r w:rsidR="008D6B80">
        <w:rPr>
          <w:lang w:val="fr-FR"/>
        </w:rPr>
        <w:t xml:space="preserve">. </w:t>
      </w:r>
      <w:r w:rsidR="00BA4E89">
        <w:rPr>
          <w:lang w:val="fr-FR"/>
        </w:rPr>
        <w:t>Il</w:t>
      </w:r>
      <w:r w:rsidR="0068668B">
        <w:rPr>
          <w:lang w:val="fr-FR"/>
        </w:rPr>
        <w:t>s</w:t>
      </w:r>
      <w:r w:rsidR="00BA4E89">
        <w:rPr>
          <w:lang w:val="fr-FR"/>
        </w:rPr>
        <w:t xml:space="preserve"> sont aussi fort susceptibles d’éprouver des difficultés</w:t>
      </w:r>
      <w:r>
        <w:rPr>
          <w:lang w:val="fr-FR"/>
        </w:rPr>
        <w:t xml:space="preserve"> </w:t>
      </w:r>
      <w:r w:rsidR="009277FB">
        <w:rPr>
          <w:lang w:val="fr-FR"/>
        </w:rPr>
        <w:t xml:space="preserve">en matière de relations </w:t>
      </w:r>
      <w:r w:rsidR="00BA4E89">
        <w:rPr>
          <w:lang w:val="fr-FR"/>
        </w:rPr>
        <w:t xml:space="preserve">interpersonnelles, de compréhension et de contrôle de leurs émotions et de leurs impulsions. </w:t>
      </w:r>
    </w:p>
    <w:p w:rsidR="00CD446E" w:rsidRDefault="00BA4E89" w:rsidP="005D7B68">
      <w:pPr>
        <w:tabs>
          <w:tab w:val="left" w:pos="567"/>
          <w:tab w:val="left" w:pos="1134"/>
          <w:tab w:val="left" w:pos="1701"/>
          <w:tab w:val="left" w:pos="2268"/>
          <w:tab w:val="left" w:pos="2835"/>
        </w:tabs>
        <w:rPr>
          <w:lang w:val="fr-FR"/>
        </w:rPr>
      </w:pPr>
      <w:r>
        <w:rPr>
          <w:lang w:val="fr-FR"/>
        </w:rPr>
        <w:t>89</w:t>
      </w:r>
      <w:r w:rsidR="00350D85">
        <w:rPr>
          <w:lang w:val="fr-FR"/>
        </w:rPr>
        <w:t>4</w:t>
      </w:r>
      <w:r>
        <w:rPr>
          <w:lang w:val="fr-FR"/>
        </w:rPr>
        <w:t>.</w:t>
      </w:r>
      <w:r>
        <w:rPr>
          <w:lang w:val="fr-FR"/>
        </w:rPr>
        <w:tab/>
      </w:r>
      <w:r w:rsidR="00692A60">
        <w:rPr>
          <w:lang w:val="fr-FR"/>
        </w:rPr>
        <w:t>L</w:t>
      </w:r>
      <w:r w:rsidR="00DF6226">
        <w:rPr>
          <w:lang w:val="fr-FR"/>
        </w:rPr>
        <w:t>a politiqu</w:t>
      </w:r>
      <w:r w:rsidR="00692A60">
        <w:rPr>
          <w:lang w:val="fr-FR"/>
        </w:rPr>
        <w:t>e</w:t>
      </w:r>
      <w:r w:rsidR="00DF6226">
        <w:rPr>
          <w:lang w:val="fr-FR"/>
        </w:rPr>
        <w:t xml:space="preserve"> relative aux châtiments corporels repose sur les</w:t>
      </w:r>
      <w:r w:rsidR="00692A60">
        <w:rPr>
          <w:lang w:val="fr-FR"/>
        </w:rPr>
        <w:t xml:space="preserve"> normes</w:t>
      </w:r>
      <w:r w:rsidR="00DF6226">
        <w:rPr>
          <w:lang w:val="fr-FR"/>
        </w:rPr>
        <w:t xml:space="preserve"> de traitement des enfants placés hors de leur foyer</w:t>
      </w:r>
      <w:r w:rsidR="008D6B80">
        <w:rPr>
          <w:lang w:val="fr-FR"/>
        </w:rPr>
        <w:t xml:space="preserve">. </w:t>
      </w:r>
      <w:r w:rsidR="00DF6226">
        <w:rPr>
          <w:lang w:val="fr-FR"/>
        </w:rPr>
        <w:t xml:space="preserve">L’un des principes de cette politique est que les châtiments corporels, ou tous les châtiments sous forme d’immobilisation ou </w:t>
      </w:r>
      <w:r w:rsidR="0068668B">
        <w:rPr>
          <w:lang w:val="fr-FR"/>
        </w:rPr>
        <w:t>d’alimentation de force</w:t>
      </w:r>
      <w:r w:rsidR="003669D6">
        <w:rPr>
          <w:lang w:val="fr-FR"/>
        </w:rPr>
        <w:t xml:space="preserve">, sont </w:t>
      </w:r>
      <w:r w:rsidR="0068668B">
        <w:rPr>
          <w:lang w:val="fr-FR"/>
        </w:rPr>
        <w:t>inacceptable</w:t>
      </w:r>
      <w:r w:rsidR="003669D6">
        <w:rPr>
          <w:lang w:val="fr-FR"/>
        </w:rPr>
        <w:t>s</w:t>
      </w:r>
      <w:r w:rsidR="0068668B">
        <w:rPr>
          <w:lang w:val="fr-FR"/>
        </w:rPr>
        <w:t>.</w:t>
      </w:r>
    </w:p>
    <w:p w:rsidR="00054E77" w:rsidRDefault="00350D85" w:rsidP="005D7B68">
      <w:pPr>
        <w:tabs>
          <w:tab w:val="left" w:pos="567"/>
          <w:tab w:val="left" w:pos="1134"/>
          <w:tab w:val="left" w:pos="1701"/>
          <w:tab w:val="left" w:pos="2268"/>
          <w:tab w:val="left" w:pos="2835"/>
        </w:tabs>
        <w:rPr>
          <w:lang w:val="fr-FR"/>
        </w:rPr>
      </w:pPr>
      <w:r>
        <w:rPr>
          <w:lang w:val="fr-FR"/>
        </w:rPr>
        <w:t>895.</w:t>
      </w:r>
      <w:r>
        <w:rPr>
          <w:lang w:val="fr-FR"/>
        </w:rPr>
        <w:tab/>
      </w:r>
      <w:r w:rsidR="0068668B">
        <w:rPr>
          <w:lang w:val="fr-FR"/>
        </w:rPr>
        <w:t xml:space="preserve">L’éducation dans les centres de détention pour mineurs du Territoire de la capitale </w:t>
      </w:r>
      <w:r w:rsidR="003669D6">
        <w:rPr>
          <w:lang w:val="fr-FR"/>
        </w:rPr>
        <w:t xml:space="preserve">fédérale </w:t>
      </w:r>
      <w:r w:rsidR="0068668B">
        <w:rPr>
          <w:lang w:val="fr-FR"/>
        </w:rPr>
        <w:t xml:space="preserve">est actuellement dispensée selon des programmes proposés par le </w:t>
      </w:r>
      <w:r w:rsidR="0068668B">
        <w:rPr>
          <w:i/>
          <w:iCs/>
          <w:lang w:val="fr-FR"/>
        </w:rPr>
        <w:t>Hindmarsh Education Centre</w:t>
      </w:r>
      <w:r w:rsidR="008D6B80">
        <w:rPr>
          <w:lang w:val="fr-FR"/>
        </w:rPr>
        <w:t xml:space="preserve">. </w:t>
      </w:r>
      <w:r w:rsidR="0074498C">
        <w:rPr>
          <w:lang w:val="fr-FR"/>
        </w:rPr>
        <w:t>A</w:t>
      </w:r>
      <w:r w:rsidR="0068668B">
        <w:rPr>
          <w:lang w:val="fr-FR"/>
        </w:rPr>
        <w:t xml:space="preserve">daptés à l’âge des utilisateurs et basés sur leurs points forts, </w:t>
      </w:r>
      <w:r w:rsidR="0074498C">
        <w:rPr>
          <w:lang w:val="fr-FR"/>
        </w:rPr>
        <w:t xml:space="preserve">ils </w:t>
      </w:r>
      <w:r w:rsidR="0068668B">
        <w:rPr>
          <w:lang w:val="fr-FR"/>
        </w:rPr>
        <w:t>visent à répondre</w:t>
      </w:r>
      <w:r w:rsidR="00054E77">
        <w:rPr>
          <w:lang w:val="fr-FR"/>
        </w:rPr>
        <w:t xml:space="preserve"> </w:t>
      </w:r>
      <w:r w:rsidR="0068668B">
        <w:rPr>
          <w:lang w:val="fr-FR"/>
        </w:rPr>
        <w:t xml:space="preserve">aux </w:t>
      </w:r>
      <w:r w:rsidR="00054E77">
        <w:rPr>
          <w:lang w:val="fr-FR"/>
        </w:rPr>
        <w:t xml:space="preserve">divers </w:t>
      </w:r>
      <w:r w:rsidR="0068668B">
        <w:rPr>
          <w:lang w:val="fr-FR"/>
        </w:rPr>
        <w:t>besoins en matière d’éducation et de formation</w:t>
      </w:r>
      <w:r w:rsidR="00054E77">
        <w:rPr>
          <w:lang w:val="fr-FR"/>
        </w:rPr>
        <w:t xml:space="preserve"> scolaires et professionnelles des jeunes placés en détention de longue et de courte durée dans ce centre</w:t>
      </w:r>
      <w:r w:rsidR="008D6B80">
        <w:rPr>
          <w:lang w:val="fr-FR"/>
        </w:rPr>
        <w:t xml:space="preserve">. </w:t>
      </w:r>
      <w:r w:rsidR="00054E77">
        <w:rPr>
          <w:lang w:val="fr-FR"/>
        </w:rPr>
        <w:t>Ces programmes ont été élaborés en prévision de l’installation dans le nouveau centre de justice pou</w:t>
      </w:r>
      <w:r w:rsidR="00A67641">
        <w:rPr>
          <w:lang w:val="fr-FR"/>
        </w:rPr>
        <w:t>r mineurs de Bimberi en juillet </w:t>
      </w:r>
      <w:r w:rsidR="00054E77">
        <w:rPr>
          <w:lang w:val="fr-FR"/>
        </w:rPr>
        <w:t xml:space="preserve">2008. </w:t>
      </w:r>
    </w:p>
    <w:p w:rsidR="00054E77" w:rsidRDefault="00054E77" w:rsidP="005D7B68">
      <w:pPr>
        <w:keepNext/>
        <w:tabs>
          <w:tab w:val="left" w:pos="567"/>
          <w:tab w:val="left" w:pos="1134"/>
          <w:tab w:val="left" w:pos="1701"/>
          <w:tab w:val="left" w:pos="2268"/>
          <w:tab w:val="left" w:pos="2835"/>
        </w:tabs>
        <w:rPr>
          <w:b/>
          <w:bCs/>
          <w:lang w:val="fr-FR"/>
        </w:rPr>
      </w:pPr>
      <w:r>
        <w:rPr>
          <w:b/>
          <w:bCs/>
          <w:lang w:val="fr-FR"/>
        </w:rPr>
        <w:t>Territoire du Nord</w:t>
      </w:r>
    </w:p>
    <w:p w:rsidR="0020057B" w:rsidRPr="0068668B" w:rsidRDefault="00054E77" w:rsidP="005D7B68">
      <w:pPr>
        <w:keepNext/>
        <w:tabs>
          <w:tab w:val="left" w:pos="567"/>
          <w:tab w:val="left" w:pos="1134"/>
          <w:tab w:val="left" w:pos="1701"/>
          <w:tab w:val="left" w:pos="2268"/>
          <w:tab w:val="left" w:pos="2835"/>
        </w:tabs>
        <w:rPr>
          <w:lang w:val="fr-FR"/>
        </w:rPr>
      </w:pPr>
      <w:r>
        <w:rPr>
          <w:lang w:val="fr-FR"/>
        </w:rPr>
        <w:t>89</w:t>
      </w:r>
      <w:r w:rsidR="00350D85">
        <w:rPr>
          <w:lang w:val="fr-FR"/>
        </w:rPr>
        <w:t>6</w:t>
      </w:r>
      <w:r>
        <w:rPr>
          <w:lang w:val="fr-FR"/>
        </w:rPr>
        <w:t>.</w:t>
      </w:r>
      <w:r>
        <w:rPr>
          <w:lang w:val="fr-FR"/>
        </w:rPr>
        <w:tab/>
        <w:t>Les châtiments corporels ont été interdits dans tous les établissements scolaires du Territoire du Nord à partir du 23 août 2005</w:t>
      </w:r>
      <w:r w:rsidR="008D6B80">
        <w:rPr>
          <w:lang w:val="fr-FR"/>
        </w:rPr>
        <w:t xml:space="preserve">. </w:t>
      </w:r>
      <w:r w:rsidR="00A25A86">
        <w:rPr>
          <w:lang w:val="fr-FR"/>
        </w:rPr>
        <w:t>La loi sur la justice pour mineurs (Territoire du Nord) porte interdiction</w:t>
      </w:r>
      <w:r w:rsidR="00A31246">
        <w:rPr>
          <w:lang w:val="fr-FR"/>
        </w:rPr>
        <w:t xml:space="preserve"> des châtiments corporels et comporte un article relatif aux plaintes</w:t>
      </w:r>
      <w:r w:rsidR="008D6B80">
        <w:rPr>
          <w:lang w:val="fr-FR"/>
        </w:rPr>
        <w:t xml:space="preserve">. </w:t>
      </w:r>
      <w:r w:rsidR="00A31246">
        <w:rPr>
          <w:lang w:val="fr-FR"/>
        </w:rPr>
        <w:t>Certains articles présentent des di</w:t>
      </w:r>
      <w:r w:rsidR="003669D6">
        <w:rPr>
          <w:lang w:val="fr-FR"/>
        </w:rPr>
        <w:t>rectives concernant l’accès au V</w:t>
      </w:r>
      <w:r w:rsidR="00A31246">
        <w:rPr>
          <w:lang w:val="fr-FR"/>
        </w:rPr>
        <w:t>isiteur officiel, au Médiateur,</w:t>
      </w:r>
      <w:r w:rsidR="006F6B53">
        <w:rPr>
          <w:lang w:val="fr-FR"/>
        </w:rPr>
        <w:t xml:space="preserve"> ainsi que la procédure de règlement</w:t>
      </w:r>
      <w:r w:rsidR="00A31246">
        <w:rPr>
          <w:lang w:val="fr-FR"/>
        </w:rPr>
        <w:t xml:space="preserve"> des plaintes</w:t>
      </w:r>
      <w:r w:rsidR="008D6B80">
        <w:rPr>
          <w:lang w:val="fr-FR"/>
        </w:rPr>
        <w:t xml:space="preserve">. </w:t>
      </w:r>
      <w:r w:rsidR="00A31246">
        <w:rPr>
          <w:lang w:val="fr-FR"/>
        </w:rPr>
        <w:t>Les règles relatives à la justice pour mineurs contien</w:t>
      </w:r>
      <w:r w:rsidR="006F6B53">
        <w:rPr>
          <w:lang w:val="fr-FR"/>
        </w:rPr>
        <w:t>nent des directives relatives à cette procédure et à un registre des plaintes</w:t>
      </w:r>
      <w:r w:rsidR="008D6B80">
        <w:rPr>
          <w:lang w:val="fr-FR"/>
        </w:rPr>
        <w:t xml:space="preserve">. </w:t>
      </w:r>
      <w:r w:rsidR="006F6B53">
        <w:rPr>
          <w:lang w:val="fr-FR"/>
        </w:rPr>
        <w:t>Les mineurs ont accès à un travailleur social qu</w:t>
      </w:r>
      <w:r w:rsidR="003669D6">
        <w:rPr>
          <w:lang w:val="fr-FR"/>
        </w:rPr>
        <w:t>i les défend et les aide à entreprendre</w:t>
      </w:r>
      <w:r w:rsidR="006F6B53">
        <w:rPr>
          <w:lang w:val="fr-FR"/>
        </w:rPr>
        <w:t xml:space="preserve"> les démarches qui conviennent pour faire connaître leurs doléances</w:t>
      </w:r>
      <w:r w:rsidR="008D6B80">
        <w:rPr>
          <w:lang w:val="fr-FR"/>
        </w:rPr>
        <w:t>.</w:t>
      </w:r>
      <w:r w:rsidR="00572260">
        <w:rPr>
          <w:lang w:val="fr-FR"/>
        </w:rPr>
        <w:t xml:space="preserve"> </w:t>
      </w:r>
    </w:p>
    <w:p w:rsidR="0020057B" w:rsidRDefault="0020057B" w:rsidP="005D7B68">
      <w:pPr>
        <w:tabs>
          <w:tab w:val="left" w:pos="567"/>
          <w:tab w:val="left" w:pos="1134"/>
          <w:tab w:val="left" w:pos="1701"/>
          <w:tab w:val="left" w:pos="2268"/>
          <w:tab w:val="left" w:pos="2835"/>
        </w:tabs>
        <w:rPr>
          <w:b/>
          <w:bCs/>
          <w:lang w:val="fr-FR"/>
        </w:rPr>
      </w:pPr>
      <w:r>
        <w:rPr>
          <w:b/>
          <w:bCs/>
          <w:lang w:val="fr-FR"/>
        </w:rPr>
        <w:t>Question 37</w:t>
      </w:r>
    </w:p>
    <w:p w:rsidR="0020057B" w:rsidRPr="0020057B" w:rsidRDefault="0020057B" w:rsidP="005D7B68">
      <w:pPr>
        <w:tabs>
          <w:tab w:val="left" w:pos="567"/>
          <w:tab w:val="left" w:pos="1134"/>
          <w:tab w:val="left" w:pos="1701"/>
          <w:tab w:val="left" w:pos="2268"/>
          <w:tab w:val="left" w:pos="2835"/>
        </w:tabs>
        <w:rPr>
          <w:b/>
          <w:bCs/>
          <w:lang w:val="fr-FR"/>
        </w:rPr>
      </w:pPr>
      <w:r>
        <w:rPr>
          <w:b/>
          <w:bCs/>
          <w:lang w:val="fr-FR"/>
        </w:rPr>
        <w:tab/>
      </w:r>
      <w:r w:rsidRPr="0020057B">
        <w:rPr>
          <w:b/>
          <w:bCs/>
          <w:lang w:val="fr-FR"/>
        </w:rPr>
        <w:t>Fournir des informations désagrégées par sexe, âge, appartenance ethnique et origine de la victime, concernant le nombre d’enquêtes menées, de condamnations prononcées et de sanctions imposées dans les affaires de traite et d’exploitation sexuelle à des fins commerciales. Indiquer au Comité combien de victimes de la traite ont obtenu un visa de protection des témoins et combien ont bénéficié d’une assistance en vue de leur rétablissement.</w:t>
      </w:r>
    </w:p>
    <w:p w:rsidR="0020057B" w:rsidRPr="0020057B" w:rsidRDefault="0020057B" w:rsidP="005D7B68">
      <w:pPr>
        <w:tabs>
          <w:tab w:val="left" w:pos="567"/>
          <w:tab w:val="left" w:pos="1134"/>
          <w:tab w:val="left" w:pos="1701"/>
          <w:tab w:val="left" w:pos="2268"/>
          <w:tab w:val="left" w:pos="2835"/>
        </w:tabs>
        <w:rPr>
          <w:lang w:val="fr-FR"/>
        </w:rPr>
      </w:pPr>
      <w:r>
        <w:rPr>
          <w:lang w:val="fr-FR"/>
        </w:rPr>
        <w:t>89</w:t>
      </w:r>
      <w:r w:rsidR="00350D85">
        <w:rPr>
          <w:lang w:val="fr-FR"/>
        </w:rPr>
        <w:t>7</w:t>
      </w:r>
      <w:r>
        <w:rPr>
          <w:lang w:val="fr-FR"/>
        </w:rPr>
        <w:t>.</w:t>
      </w:r>
      <w:r>
        <w:rPr>
          <w:lang w:val="fr-FR"/>
        </w:rPr>
        <w:tab/>
        <w:t>Dans la première partie de la réponse, on trouvera des informations sur les enquêtes menées, les condamnations prononcées et les sanctions imposées dans les affaires de traite et d’exploitation sexuelle à des fins commerciales, ainsi que</w:t>
      </w:r>
      <w:r w:rsidR="00B07F37">
        <w:rPr>
          <w:lang w:val="fr-FR"/>
        </w:rPr>
        <w:t xml:space="preserve"> le nombre de</w:t>
      </w:r>
      <w:r w:rsidR="00D62805">
        <w:rPr>
          <w:lang w:val="fr-FR"/>
        </w:rPr>
        <w:t xml:space="preserve"> victimes de la traite qui ont </w:t>
      </w:r>
      <w:r w:rsidR="00F31E2A">
        <w:rPr>
          <w:lang w:val="fr-FR"/>
        </w:rPr>
        <w:t>obtenu un visa</w:t>
      </w:r>
      <w:r w:rsidR="00B07F37">
        <w:rPr>
          <w:lang w:val="fr-FR"/>
        </w:rPr>
        <w:t xml:space="preserve"> de protection des témoins</w:t>
      </w:r>
      <w:r w:rsidR="00D62805">
        <w:rPr>
          <w:lang w:val="fr-FR"/>
        </w:rPr>
        <w:t xml:space="preserve"> ou </w:t>
      </w:r>
      <w:r w:rsidR="00F31E2A">
        <w:rPr>
          <w:lang w:val="fr-FR"/>
        </w:rPr>
        <w:t xml:space="preserve">bénéficié </w:t>
      </w:r>
      <w:r w:rsidR="00D62805">
        <w:rPr>
          <w:lang w:val="fr-FR"/>
        </w:rPr>
        <w:t>d’une assistance en vue de leur rétablissement, cela étant suivi d’autres informations en provenan</w:t>
      </w:r>
      <w:r w:rsidR="0074498C">
        <w:rPr>
          <w:lang w:val="fr-FR"/>
        </w:rPr>
        <w:t>ce de Nouvelle-Galles du Sud, du</w:t>
      </w:r>
      <w:r w:rsidR="00D62805">
        <w:rPr>
          <w:lang w:val="fr-FR"/>
        </w:rPr>
        <w:t xml:space="preserve"> Victoria et du Queensland.</w:t>
      </w:r>
      <w:r w:rsidR="00B07F37">
        <w:rPr>
          <w:lang w:val="fr-FR"/>
        </w:rPr>
        <w:t xml:space="preserve"> </w:t>
      </w:r>
    </w:p>
    <w:p w:rsidR="0020057B" w:rsidRDefault="00B6583B" w:rsidP="005D7B68">
      <w:pPr>
        <w:tabs>
          <w:tab w:val="left" w:pos="567"/>
          <w:tab w:val="left" w:pos="1134"/>
          <w:tab w:val="left" w:pos="1701"/>
          <w:tab w:val="left" w:pos="2268"/>
          <w:tab w:val="left" w:pos="2835"/>
        </w:tabs>
        <w:rPr>
          <w:b/>
          <w:bCs/>
          <w:lang w:val="fr-FR"/>
        </w:rPr>
      </w:pPr>
      <w:r>
        <w:rPr>
          <w:b/>
          <w:bCs/>
          <w:lang w:val="fr-FR"/>
        </w:rPr>
        <w:t>Informations du Gouvernement du Commonwealth</w:t>
      </w:r>
    </w:p>
    <w:p w:rsidR="00B6583B" w:rsidRPr="001179E3" w:rsidRDefault="001179E3" w:rsidP="005D7B68">
      <w:pPr>
        <w:tabs>
          <w:tab w:val="left" w:pos="567"/>
          <w:tab w:val="left" w:pos="1134"/>
          <w:tab w:val="left" w:pos="1701"/>
          <w:tab w:val="left" w:pos="2268"/>
          <w:tab w:val="left" w:pos="2835"/>
        </w:tabs>
        <w:rPr>
          <w:lang w:val="fr-FR"/>
        </w:rPr>
      </w:pPr>
      <w:r>
        <w:rPr>
          <w:lang w:val="fr-FR"/>
        </w:rPr>
        <w:t>89</w:t>
      </w:r>
      <w:r w:rsidR="00350D85">
        <w:rPr>
          <w:lang w:val="fr-FR"/>
        </w:rPr>
        <w:t>8</w:t>
      </w:r>
      <w:r>
        <w:rPr>
          <w:lang w:val="fr-FR"/>
        </w:rPr>
        <w:t>.</w:t>
      </w:r>
      <w:r>
        <w:rPr>
          <w:lang w:val="fr-FR"/>
        </w:rPr>
        <w:tab/>
        <w:t>Le tableau ci-dessous présente les statistiques officielles relatives à la traite des personnes de janvier 2004 à septembre 2006.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tblGrid>
      <w:tr w:rsidR="001179E3" w:rsidRPr="00E8018D">
        <w:tblPrEx>
          <w:tblCellMar>
            <w:top w:w="0" w:type="dxa"/>
            <w:bottom w:w="0" w:type="dxa"/>
          </w:tblCellMar>
        </w:tblPrEx>
        <w:trPr>
          <w:trHeight w:val="20"/>
          <w:jc w:val="center"/>
        </w:trPr>
        <w:tc>
          <w:tcPr>
            <w:tcW w:w="6228" w:type="dxa"/>
            <w:gridSpan w:val="2"/>
            <w:tcBorders>
              <w:bottom w:val="single" w:sz="4" w:space="0" w:color="auto"/>
            </w:tcBorders>
          </w:tcPr>
          <w:p w:rsidR="001179E3" w:rsidRPr="00E8018D" w:rsidRDefault="00F31E2A" w:rsidP="002A7325">
            <w:pPr>
              <w:keepNext/>
              <w:tabs>
                <w:tab w:val="left" w:pos="567"/>
                <w:tab w:val="left" w:pos="1134"/>
                <w:tab w:val="left" w:pos="1701"/>
                <w:tab w:val="left" w:pos="2268"/>
                <w:tab w:val="left" w:pos="2835"/>
              </w:tabs>
              <w:spacing w:before="20" w:after="20"/>
              <w:jc w:val="center"/>
              <w:rPr>
                <w:sz w:val="22"/>
                <w:szCs w:val="22"/>
              </w:rPr>
            </w:pPr>
            <w:r w:rsidRPr="00E8018D">
              <w:rPr>
                <w:sz w:val="22"/>
                <w:szCs w:val="22"/>
              </w:rPr>
              <w:t>Nombre de personnes</w:t>
            </w:r>
          </w:p>
        </w:tc>
      </w:tr>
      <w:tr w:rsidR="001179E3" w:rsidRPr="00E8018D">
        <w:tblPrEx>
          <w:tblCellMar>
            <w:top w:w="0" w:type="dxa"/>
            <w:bottom w:w="0" w:type="dxa"/>
          </w:tblCellMar>
        </w:tblPrEx>
        <w:trPr>
          <w:trHeight w:val="189"/>
          <w:jc w:val="center"/>
        </w:trPr>
        <w:tc>
          <w:tcPr>
            <w:tcW w:w="4608" w:type="dxa"/>
            <w:tcBorders>
              <w:bottom w:val="nil"/>
            </w:tcBorders>
          </w:tcPr>
          <w:p w:rsidR="001179E3" w:rsidRPr="00E8018D" w:rsidRDefault="00F31E2A" w:rsidP="002A7325">
            <w:pPr>
              <w:keepNext/>
              <w:tabs>
                <w:tab w:val="left" w:pos="567"/>
                <w:tab w:val="left" w:pos="1134"/>
                <w:tab w:val="left" w:pos="1701"/>
                <w:tab w:val="left" w:pos="2268"/>
                <w:tab w:val="left" w:pos="2835"/>
              </w:tabs>
              <w:spacing w:before="20" w:after="20"/>
              <w:rPr>
                <w:sz w:val="22"/>
                <w:szCs w:val="22"/>
              </w:rPr>
            </w:pPr>
            <w:r w:rsidRPr="00E8018D">
              <w:rPr>
                <w:sz w:val="22"/>
                <w:szCs w:val="22"/>
              </w:rPr>
              <w:t>Enquêtes criminelles</w:t>
            </w:r>
            <w:r w:rsidR="001179E3" w:rsidRPr="00E8018D">
              <w:rPr>
                <w:sz w:val="22"/>
                <w:szCs w:val="22"/>
              </w:rPr>
              <w:t xml:space="preserve"> </w:t>
            </w:r>
          </w:p>
        </w:tc>
        <w:tc>
          <w:tcPr>
            <w:tcW w:w="1620" w:type="dxa"/>
            <w:tcBorders>
              <w:bottom w:val="nil"/>
            </w:tcBorders>
          </w:tcPr>
          <w:p w:rsidR="001179E3" w:rsidRPr="00E8018D" w:rsidRDefault="001179E3" w:rsidP="002A7325">
            <w:pPr>
              <w:keepNext/>
              <w:tabs>
                <w:tab w:val="left" w:pos="567"/>
                <w:tab w:val="left" w:pos="1134"/>
                <w:tab w:val="left" w:pos="1701"/>
                <w:tab w:val="left" w:pos="2268"/>
                <w:tab w:val="left" w:pos="2835"/>
              </w:tabs>
              <w:spacing w:before="20" w:after="20"/>
              <w:ind w:right="567"/>
              <w:jc w:val="right"/>
              <w:rPr>
                <w:sz w:val="22"/>
                <w:szCs w:val="22"/>
              </w:rPr>
            </w:pPr>
            <w:r w:rsidRPr="00E8018D">
              <w:rPr>
                <w:sz w:val="22"/>
                <w:szCs w:val="22"/>
              </w:rPr>
              <w:t>117</w:t>
            </w:r>
          </w:p>
        </w:tc>
      </w:tr>
      <w:tr w:rsidR="001179E3" w:rsidRPr="00E8018D">
        <w:tblPrEx>
          <w:tblCellMar>
            <w:top w:w="0" w:type="dxa"/>
            <w:bottom w:w="0" w:type="dxa"/>
          </w:tblCellMar>
        </w:tblPrEx>
        <w:trPr>
          <w:trHeight w:val="189"/>
          <w:jc w:val="center"/>
        </w:trPr>
        <w:tc>
          <w:tcPr>
            <w:tcW w:w="4608" w:type="dxa"/>
            <w:tcBorders>
              <w:top w:val="nil"/>
              <w:bottom w:val="nil"/>
            </w:tcBorders>
          </w:tcPr>
          <w:p w:rsidR="001179E3" w:rsidRPr="00E8018D" w:rsidRDefault="00F31E2A" w:rsidP="002A7325">
            <w:pPr>
              <w:keepNext/>
              <w:tabs>
                <w:tab w:val="left" w:pos="567"/>
                <w:tab w:val="left" w:pos="1134"/>
                <w:tab w:val="left" w:pos="1701"/>
                <w:tab w:val="left" w:pos="2268"/>
                <w:tab w:val="left" w:pos="2835"/>
              </w:tabs>
              <w:spacing w:before="20" w:after="20"/>
              <w:rPr>
                <w:sz w:val="22"/>
                <w:szCs w:val="22"/>
              </w:rPr>
            </w:pPr>
            <w:r w:rsidRPr="00E8018D">
              <w:rPr>
                <w:sz w:val="22"/>
                <w:szCs w:val="22"/>
              </w:rPr>
              <w:t>P</w:t>
            </w:r>
            <w:r w:rsidR="001179E3" w:rsidRPr="00E8018D">
              <w:rPr>
                <w:sz w:val="22"/>
                <w:szCs w:val="22"/>
              </w:rPr>
              <w:t xml:space="preserve">rogramme </w:t>
            </w:r>
            <w:r w:rsidRPr="00E8018D">
              <w:rPr>
                <w:sz w:val="22"/>
                <w:szCs w:val="22"/>
              </w:rPr>
              <w:t>d’aide aux victimes</w:t>
            </w:r>
          </w:p>
        </w:tc>
        <w:tc>
          <w:tcPr>
            <w:tcW w:w="1620" w:type="dxa"/>
            <w:tcBorders>
              <w:top w:val="nil"/>
              <w:bottom w:val="nil"/>
            </w:tcBorders>
          </w:tcPr>
          <w:p w:rsidR="001179E3" w:rsidRPr="00E8018D" w:rsidRDefault="001179E3" w:rsidP="002A7325">
            <w:pPr>
              <w:keepNext/>
              <w:tabs>
                <w:tab w:val="left" w:pos="567"/>
                <w:tab w:val="left" w:pos="1134"/>
                <w:tab w:val="left" w:pos="1701"/>
                <w:tab w:val="left" w:pos="2268"/>
                <w:tab w:val="left" w:pos="2835"/>
              </w:tabs>
              <w:spacing w:before="20" w:after="20"/>
              <w:ind w:right="483"/>
              <w:jc w:val="right"/>
              <w:rPr>
                <w:sz w:val="22"/>
                <w:szCs w:val="22"/>
              </w:rPr>
            </w:pPr>
            <w:r w:rsidRPr="00E8018D">
              <w:rPr>
                <w:sz w:val="22"/>
                <w:szCs w:val="22"/>
              </w:rPr>
              <w:t>66</w:t>
            </w:r>
            <w:r w:rsidRPr="00E8018D">
              <w:rPr>
                <w:b/>
                <w:i/>
                <w:iCs/>
                <w:sz w:val="22"/>
                <w:szCs w:val="22"/>
                <w:vertAlign w:val="superscript"/>
              </w:rPr>
              <w:t>a</w:t>
            </w:r>
          </w:p>
        </w:tc>
      </w:tr>
      <w:tr w:rsidR="001179E3" w:rsidRPr="00E8018D">
        <w:tblPrEx>
          <w:tblCellMar>
            <w:top w:w="0" w:type="dxa"/>
            <w:bottom w:w="0" w:type="dxa"/>
          </w:tblCellMar>
        </w:tblPrEx>
        <w:trPr>
          <w:trHeight w:val="189"/>
          <w:jc w:val="center"/>
        </w:trPr>
        <w:tc>
          <w:tcPr>
            <w:tcW w:w="4608" w:type="dxa"/>
            <w:tcBorders>
              <w:top w:val="nil"/>
              <w:bottom w:val="nil"/>
            </w:tcBorders>
          </w:tcPr>
          <w:p w:rsidR="001179E3" w:rsidRPr="00E8018D" w:rsidRDefault="00F31E2A" w:rsidP="002A7325">
            <w:pPr>
              <w:keepNext/>
              <w:tabs>
                <w:tab w:val="left" w:pos="567"/>
                <w:tab w:val="left" w:pos="1134"/>
                <w:tab w:val="left" w:pos="1701"/>
                <w:tab w:val="left" w:pos="2268"/>
                <w:tab w:val="left" w:pos="2835"/>
              </w:tabs>
              <w:spacing w:before="20" w:after="20"/>
              <w:rPr>
                <w:sz w:val="22"/>
                <w:szCs w:val="22"/>
              </w:rPr>
            </w:pPr>
            <w:r w:rsidRPr="00E8018D">
              <w:rPr>
                <w:sz w:val="22"/>
                <w:szCs w:val="22"/>
              </w:rPr>
              <w:t>Arrestations</w:t>
            </w:r>
            <w:r w:rsidR="001179E3" w:rsidRPr="00E8018D">
              <w:rPr>
                <w:sz w:val="22"/>
                <w:szCs w:val="22"/>
              </w:rPr>
              <w:t xml:space="preserve"> </w:t>
            </w:r>
          </w:p>
        </w:tc>
        <w:tc>
          <w:tcPr>
            <w:tcW w:w="1620" w:type="dxa"/>
            <w:tcBorders>
              <w:top w:val="nil"/>
              <w:bottom w:val="nil"/>
            </w:tcBorders>
          </w:tcPr>
          <w:p w:rsidR="001179E3" w:rsidRPr="00E8018D" w:rsidRDefault="001179E3" w:rsidP="002A7325">
            <w:pPr>
              <w:keepNext/>
              <w:tabs>
                <w:tab w:val="left" w:pos="567"/>
                <w:tab w:val="left" w:pos="1134"/>
                <w:tab w:val="left" w:pos="1701"/>
                <w:tab w:val="left" w:pos="2268"/>
                <w:tab w:val="left" w:pos="2835"/>
              </w:tabs>
              <w:spacing w:before="20" w:after="20"/>
              <w:ind w:right="567"/>
              <w:jc w:val="right"/>
              <w:rPr>
                <w:sz w:val="22"/>
                <w:szCs w:val="22"/>
              </w:rPr>
            </w:pPr>
            <w:r w:rsidRPr="00E8018D">
              <w:rPr>
                <w:sz w:val="22"/>
                <w:szCs w:val="22"/>
              </w:rPr>
              <w:t>23</w:t>
            </w:r>
          </w:p>
        </w:tc>
      </w:tr>
      <w:tr w:rsidR="001179E3" w:rsidRPr="00E8018D">
        <w:tblPrEx>
          <w:tblCellMar>
            <w:top w:w="0" w:type="dxa"/>
            <w:bottom w:w="0" w:type="dxa"/>
          </w:tblCellMar>
        </w:tblPrEx>
        <w:trPr>
          <w:trHeight w:val="189"/>
          <w:jc w:val="center"/>
        </w:trPr>
        <w:tc>
          <w:tcPr>
            <w:tcW w:w="4608" w:type="dxa"/>
            <w:tcBorders>
              <w:top w:val="nil"/>
              <w:bottom w:val="nil"/>
            </w:tcBorders>
          </w:tcPr>
          <w:p w:rsidR="001179E3" w:rsidRPr="00E8018D" w:rsidRDefault="00F31E2A" w:rsidP="002A7325">
            <w:pPr>
              <w:keepNext/>
              <w:tabs>
                <w:tab w:val="left" w:pos="567"/>
                <w:tab w:val="left" w:pos="1134"/>
                <w:tab w:val="left" w:pos="1701"/>
                <w:tab w:val="left" w:pos="2268"/>
                <w:tab w:val="left" w:pos="2835"/>
              </w:tabs>
              <w:spacing w:before="20" w:after="20"/>
              <w:rPr>
                <w:sz w:val="22"/>
                <w:szCs w:val="22"/>
              </w:rPr>
            </w:pPr>
            <w:r w:rsidRPr="00E8018D">
              <w:rPr>
                <w:sz w:val="22"/>
                <w:szCs w:val="22"/>
              </w:rPr>
              <w:t>Poursuites</w:t>
            </w:r>
            <w:r w:rsidR="001179E3" w:rsidRPr="00E8018D">
              <w:rPr>
                <w:sz w:val="22"/>
                <w:szCs w:val="22"/>
              </w:rPr>
              <w:t xml:space="preserve"> </w:t>
            </w:r>
          </w:p>
        </w:tc>
        <w:tc>
          <w:tcPr>
            <w:tcW w:w="1620" w:type="dxa"/>
            <w:tcBorders>
              <w:top w:val="nil"/>
              <w:bottom w:val="nil"/>
            </w:tcBorders>
          </w:tcPr>
          <w:p w:rsidR="001179E3" w:rsidRPr="00E8018D" w:rsidRDefault="001179E3" w:rsidP="002A7325">
            <w:pPr>
              <w:keepNext/>
              <w:tabs>
                <w:tab w:val="left" w:pos="567"/>
                <w:tab w:val="left" w:pos="1134"/>
                <w:tab w:val="left" w:pos="1701"/>
                <w:tab w:val="left" w:pos="2268"/>
                <w:tab w:val="left" w:pos="2835"/>
              </w:tabs>
              <w:spacing w:before="20" w:after="20"/>
              <w:ind w:right="567"/>
              <w:jc w:val="right"/>
              <w:rPr>
                <w:sz w:val="22"/>
                <w:szCs w:val="22"/>
              </w:rPr>
            </w:pPr>
            <w:r w:rsidRPr="00E8018D">
              <w:rPr>
                <w:sz w:val="22"/>
                <w:szCs w:val="22"/>
              </w:rPr>
              <w:t>14</w:t>
            </w:r>
          </w:p>
        </w:tc>
      </w:tr>
      <w:tr w:rsidR="001179E3" w:rsidRPr="00E8018D">
        <w:tblPrEx>
          <w:tblCellMar>
            <w:top w:w="0" w:type="dxa"/>
            <w:bottom w:w="0" w:type="dxa"/>
          </w:tblCellMar>
        </w:tblPrEx>
        <w:trPr>
          <w:trHeight w:val="189"/>
          <w:jc w:val="center"/>
        </w:trPr>
        <w:tc>
          <w:tcPr>
            <w:tcW w:w="4608" w:type="dxa"/>
            <w:tcBorders>
              <w:top w:val="nil"/>
            </w:tcBorders>
          </w:tcPr>
          <w:p w:rsidR="001179E3" w:rsidRPr="00E8018D" w:rsidRDefault="00F31E2A" w:rsidP="002A7325">
            <w:pPr>
              <w:keepNext/>
              <w:tabs>
                <w:tab w:val="left" w:pos="567"/>
                <w:tab w:val="left" w:pos="1134"/>
                <w:tab w:val="left" w:pos="1701"/>
                <w:tab w:val="left" w:pos="2268"/>
                <w:tab w:val="left" w:pos="2835"/>
              </w:tabs>
              <w:spacing w:before="20" w:after="20"/>
              <w:rPr>
                <w:sz w:val="22"/>
                <w:szCs w:val="22"/>
              </w:rPr>
            </w:pPr>
            <w:r w:rsidRPr="00E8018D">
              <w:rPr>
                <w:sz w:val="22"/>
                <w:szCs w:val="22"/>
              </w:rPr>
              <w:t>Condamnations</w:t>
            </w:r>
            <w:r w:rsidR="001179E3" w:rsidRPr="00E8018D">
              <w:rPr>
                <w:sz w:val="22"/>
                <w:szCs w:val="22"/>
              </w:rPr>
              <w:t xml:space="preserve"> </w:t>
            </w:r>
          </w:p>
        </w:tc>
        <w:tc>
          <w:tcPr>
            <w:tcW w:w="1620" w:type="dxa"/>
            <w:tcBorders>
              <w:top w:val="nil"/>
            </w:tcBorders>
          </w:tcPr>
          <w:p w:rsidR="001179E3" w:rsidRPr="00E8018D" w:rsidRDefault="001179E3" w:rsidP="002A7325">
            <w:pPr>
              <w:keepNext/>
              <w:tabs>
                <w:tab w:val="left" w:pos="567"/>
                <w:tab w:val="left" w:pos="1134"/>
                <w:tab w:val="left" w:pos="1701"/>
                <w:tab w:val="left" w:pos="2268"/>
                <w:tab w:val="left" w:pos="2835"/>
              </w:tabs>
              <w:spacing w:before="20" w:after="20"/>
              <w:ind w:right="454"/>
              <w:jc w:val="right"/>
              <w:rPr>
                <w:sz w:val="22"/>
                <w:szCs w:val="22"/>
              </w:rPr>
            </w:pPr>
            <w:r w:rsidRPr="00E8018D">
              <w:rPr>
                <w:sz w:val="22"/>
                <w:szCs w:val="22"/>
              </w:rPr>
              <w:t>4</w:t>
            </w:r>
            <w:r w:rsidRPr="00E8018D">
              <w:rPr>
                <w:b/>
                <w:i/>
                <w:iCs/>
                <w:sz w:val="22"/>
                <w:szCs w:val="22"/>
                <w:vertAlign w:val="superscript"/>
              </w:rPr>
              <w:t>b</w:t>
            </w:r>
          </w:p>
        </w:tc>
      </w:tr>
    </w:tbl>
    <w:p w:rsidR="001179E3" w:rsidRDefault="001179E3" w:rsidP="002A7325">
      <w:pPr>
        <w:keepNext/>
        <w:tabs>
          <w:tab w:val="left" w:pos="567"/>
          <w:tab w:val="left" w:pos="1134"/>
          <w:tab w:val="left" w:pos="1701"/>
          <w:tab w:val="left" w:pos="2268"/>
          <w:tab w:val="left" w:pos="2835"/>
        </w:tabs>
        <w:spacing w:before="240" w:after="120"/>
      </w:pPr>
      <w:r>
        <w:rPr>
          <w:i/>
        </w:rPr>
        <w:tab/>
      </w:r>
      <w:r w:rsidRPr="008502A7">
        <w:rPr>
          <w:i/>
        </w:rPr>
        <w:t>Source</w:t>
      </w:r>
      <w:r w:rsidRPr="00B03A77">
        <w:t xml:space="preserve">: Putt 2007 </w:t>
      </w:r>
      <w:r w:rsidR="00A67641">
        <w:t>“</w:t>
      </w:r>
      <w:r w:rsidRPr="00B03A77">
        <w:t xml:space="preserve">Human trafficking to </w:t>
      </w:r>
      <w:smartTag w:uri="urn:schemas-microsoft-com:office:smarttags" w:element="place">
        <w:smartTag w:uri="urn:schemas-microsoft-com:office:smarttags" w:element="country-region">
          <w:r w:rsidRPr="00B03A77">
            <w:t>Australia</w:t>
          </w:r>
        </w:smartTag>
      </w:smartTag>
      <w:r w:rsidRPr="00B03A77">
        <w:t>: a research challenge</w:t>
      </w:r>
      <w:r>
        <w:t>” T&amp;I no. 338.</w:t>
      </w:r>
    </w:p>
    <w:p w:rsidR="001179E3" w:rsidRPr="00F31E2A" w:rsidRDefault="001179E3" w:rsidP="002A7325">
      <w:pPr>
        <w:keepNext/>
        <w:tabs>
          <w:tab w:val="left" w:pos="567"/>
          <w:tab w:val="left" w:pos="1134"/>
          <w:tab w:val="left" w:pos="1701"/>
          <w:tab w:val="left" w:pos="2268"/>
          <w:tab w:val="left" w:pos="2835"/>
        </w:tabs>
        <w:spacing w:after="120"/>
        <w:rPr>
          <w:lang w:val="fr-FR"/>
        </w:rPr>
      </w:pPr>
      <w:r w:rsidRPr="00827042">
        <w:rPr>
          <w:b/>
          <w:i/>
          <w:iCs/>
          <w:vertAlign w:val="superscript"/>
          <w:lang w:val="fr-FR"/>
        </w:rPr>
        <w:t>a</w:t>
      </w:r>
      <w:r w:rsidR="00572260" w:rsidRPr="00827042">
        <w:rPr>
          <w:i/>
          <w:iCs/>
          <w:lang w:val="fr-FR"/>
        </w:rPr>
        <w:t xml:space="preserve"> </w:t>
      </w:r>
      <w:r w:rsidR="00827042">
        <w:rPr>
          <w:lang w:val="fr-FR"/>
        </w:rPr>
        <w:t>Quarante</w:t>
      </w:r>
      <w:r w:rsidR="00827042">
        <w:rPr>
          <w:lang w:val="fr-FR"/>
        </w:rPr>
        <w:noBreakHyphen/>
        <w:t>quatre</w:t>
      </w:r>
      <w:r w:rsidR="00827042" w:rsidRPr="00F31E2A">
        <w:rPr>
          <w:lang w:val="fr-FR"/>
        </w:rPr>
        <w:t xml:space="preserve"> </w:t>
      </w:r>
      <w:r w:rsidR="00F31E2A">
        <w:rPr>
          <w:lang w:val="fr-FR"/>
        </w:rPr>
        <w:t>ont obtenu un visa de protection des témoins</w:t>
      </w:r>
      <w:r w:rsidRPr="00F31E2A">
        <w:rPr>
          <w:lang w:val="fr-FR"/>
        </w:rPr>
        <w:t xml:space="preserve">. </w:t>
      </w:r>
    </w:p>
    <w:p w:rsidR="001179E3" w:rsidRPr="00F31E2A" w:rsidRDefault="001179E3" w:rsidP="002A7325">
      <w:pPr>
        <w:keepNext/>
        <w:tabs>
          <w:tab w:val="left" w:pos="567"/>
          <w:tab w:val="left" w:pos="1134"/>
          <w:tab w:val="left" w:pos="1701"/>
          <w:tab w:val="left" w:pos="2268"/>
          <w:tab w:val="left" w:pos="2835"/>
        </w:tabs>
        <w:spacing w:after="120"/>
        <w:rPr>
          <w:lang w:val="fr-FR"/>
        </w:rPr>
      </w:pPr>
      <w:r w:rsidRPr="00827042">
        <w:rPr>
          <w:b/>
          <w:i/>
          <w:iCs/>
          <w:vertAlign w:val="superscript"/>
          <w:lang w:val="fr-FR"/>
        </w:rPr>
        <w:t>b</w:t>
      </w:r>
      <w:r w:rsidR="00572260">
        <w:rPr>
          <w:vertAlign w:val="superscript"/>
          <w:lang w:val="fr-FR"/>
        </w:rPr>
        <w:t xml:space="preserve"> </w:t>
      </w:r>
      <w:r w:rsidR="00F31E2A" w:rsidRPr="00F31E2A">
        <w:rPr>
          <w:lang w:val="fr-FR"/>
        </w:rPr>
        <w:t>Au moment de</w:t>
      </w:r>
      <w:r w:rsidR="00F31E2A">
        <w:rPr>
          <w:lang w:val="fr-FR"/>
        </w:rPr>
        <w:t xml:space="preserve"> </w:t>
      </w:r>
      <w:r w:rsidR="00F31E2A" w:rsidRPr="00F31E2A">
        <w:rPr>
          <w:lang w:val="fr-FR"/>
        </w:rPr>
        <w:t>l’établissement du présent rapport,</w:t>
      </w:r>
      <w:r w:rsidR="00F31E2A">
        <w:rPr>
          <w:lang w:val="fr-FR"/>
        </w:rPr>
        <w:t xml:space="preserve"> trois condamnés avaient interjeté appel</w:t>
      </w:r>
      <w:r w:rsidRPr="00F31E2A">
        <w:rPr>
          <w:lang w:val="fr-FR"/>
        </w:rPr>
        <w:t>.</w:t>
      </w:r>
    </w:p>
    <w:p w:rsidR="001179E3" w:rsidRPr="00F31E2A" w:rsidRDefault="00827042" w:rsidP="002A7325">
      <w:pPr>
        <w:keepNext/>
        <w:tabs>
          <w:tab w:val="left" w:pos="567"/>
          <w:tab w:val="left" w:pos="1134"/>
          <w:tab w:val="left" w:pos="1701"/>
          <w:tab w:val="left" w:pos="2268"/>
          <w:tab w:val="left" w:pos="2835"/>
        </w:tabs>
        <w:rPr>
          <w:lang w:val="fr-FR"/>
        </w:rPr>
      </w:pPr>
      <w:r>
        <w:rPr>
          <w:lang w:val="fr-FR"/>
        </w:rPr>
        <w:tab/>
      </w:r>
      <w:r w:rsidR="00F31E2A">
        <w:rPr>
          <w:lang w:val="fr-FR"/>
        </w:rPr>
        <w:t xml:space="preserve">Les données ont été communiquées par la </w:t>
      </w:r>
      <w:r w:rsidR="00C716CA">
        <w:rPr>
          <w:lang w:val="fr-FR"/>
        </w:rPr>
        <w:t>p</w:t>
      </w:r>
      <w:r w:rsidR="00397763">
        <w:rPr>
          <w:lang w:val="fr-FR"/>
        </w:rPr>
        <w:t>olice fédérale australienne</w:t>
      </w:r>
      <w:r>
        <w:rPr>
          <w:lang w:val="fr-FR"/>
        </w:rPr>
        <w:t>.</w:t>
      </w:r>
    </w:p>
    <w:p w:rsidR="0068668B" w:rsidRDefault="00350D85" w:rsidP="005D7B68">
      <w:pPr>
        <w:tabs>
          <w:tab w:val="left" w:pos="567"/>
          <w:tab w:val="left" w:pos="1134"/>
          <w:tab w:val="left" w:pos="1701"/>
          <w:tab w:val="left" w:pos="2268"/>
          <w:tab w:val="left" w:pos="2835"/>
        </w:tabs>
        <w:rPr>
          <w:lang w:val="fr-FR"/>
        </w:rPr>
      </w:pPr>
      <w:r>
        <w:rPr>
          <w:lang w:val="fr-FR"/>
        </w:rPr>
        <w:t>899</w:t>
      </w:r>
      <w:r w:rsidR="00742048">
        <w:rPr>
          <w:lang w:val="fr-FR"/>
        </w:rPr>
        <w:t>.</w:t>
      </w:r>
      <w:r w:rsidR="00742048">
        <w:rPr>
          <w:lang w:val="fr-FR"/>
        </w:rPr>
        <w:tab/>
        <w:t>Depuis l’entrée en vigueur de la législation du Commonwealth portant interdiction de la traite des personnes, le Directeur du Parquet du Commonwealth a reçu 28 dossiers pour examen</w:t>
      </w:r>
      <w:r w:rsidR="008D6B80">
        <w:rPr>
          <w:lang w:val="fr-FR"/>
        </w:rPr>
        <w:t xml:space="preserve">. </w:t>
      </w:r>
      <w:r w:rsidR="00742048">
        <w:rPr>
          <w:lang w:val="fr-FR"/>
        </w:rPr>
        <w:t>En gros, sur les 28 accusés, 16</w:t>
      </w:r>
      <w:r w:rsidR="004203CA">
        <w:rPr>
          <w:lang w:val="fr-FR"/>
        </w:rPr>
        <w:t xml:space="preserve"> ont été inculpé</w:t>
      </w:r>
      <w:r w:rsidR="00DF4B62">
        <w:rPr>
          <w:lang w:val="fr-FR"/>
        </w:rPr>
        <w:t>s</w:t>
      </w:r>
      <w:r w:rsidR="004203CA">
        <w:rPr>
          <w:lang w:val="fr-FR"/>
        </w:rPr>
        <w:t xml:space="preserve"> de délit d’esclavage sexuel,</w:t>
      </w:r>
      <w:r w:rsidR="00DF4B62">
        <w:rPr>
          <w:lang w:val="fr-FR"/>
        </w:rPr>
        <w:t xml:space="preserve"> huit</w:t>
      </w:r>
      <w:r w:rsidR="00F030DC">
        <w:rPr>
          <w:lang w:val="fr-FR"/>
        </w:rPr>
        <w:t xml:space="preserve"> d’</w:t>
      </w:r>
      <w:r w:rsidR="004203CA">
        <w:rPr>
          <w:lang w:val="fr-FR"/>
        </w:rPr>
        <w:t>infractions liées à l’asservis</w:t>
      </w:r>
      <w:r w:rsidR="00F030DC">
        <w:rPr>
          <w:lang w:val="fr-FR"/>
        </w:rPr>
        <w:t>sement sexuel, deux de</w:t>
      </w:r>
      <w:r w:rsidR="004203CA">
        <w:rPr>
          <w:lang w:val="fr-FR"/>
        </w:rPr>
        <w:t xml:space="preserve"> délits d’esclavage non sexuel, un l’</w:t>
      </w:r>
      <w:r w:rsidR="00DF4B62">
        <w:rPr>
          <w:lang w:val="fr-FR"/>
        </w:rPr>
        <w:t xml:space="preserve">a été </w:t>
      </w:r>
      <w:r w:rsidR="00F030DC">
        <w:rPr>
          <w:lang w:val="fr-FR"/>
        </w:rPr>
        <w:t>d’</w:t>
      </w:r>
      <w:r w:rsidR="004203CA">
        <w:rPr>
          <w:lang w:val="fr-FR"/>
        </w:rPr>
        <w:t xml:space="preserve">infractions en matière de recrutement </w:t>
      </w:r>
      <w:r w:rsidR="00F030DC">
        <w:rPr>
          <w:lang w:val="fr-FR"/>
        </w:rPr>
        <w:t xml:space="preserve">fallacieux et un de trafic de main-d’œuvre. </w:t>
      </w:r>
    </w:p>
    <w:p w:rsidR="00431D0A" w:rsidRDefault="00431D0A" w:rsidP="005D7B68">
      <w:pPr>
        <w:tabs>
          <w:tab w:val="left" w:pos="567"/>
          <w:tab w:val="left" w:pos="1134"/>
          <w:tab w:val="left" w:pos="1701"/>
          <w:tab w:val="left" w:pos="2268"/>
          <w:tab w:val="left" w:pos="2835"/>
        </w:tabs>
        <w:rPr>
          <w:lang w:val="fr-FR"/>
        </w:rPr>
      </w:pPr>
      <w:r>
        <w:rPr>
          <w:lang w:val="fr-FR"/>
        </w:rPr>
        <w:t>90</w:t>
      </w:r>
      <w:r w:rsidR="00350D85">
        <w:rPr>
          <w:lang w:val="fr-FR"/>
        </w:rPr>
        <w:t>0</w:t>
      </w:r>
      <w:r>
        <w:rPr>
          <w:lang w:val="fr-FR"/>
        </w:rPr>
        <w:t>.</w:t>
      </w:r>
      <w:r>
        <w:rPr>
          <w:lang w:val="fr-FR"/>
        </w:rPr>
        <w:tab/>
        <w:t>Les tribunaux d’Australie sont actuellement saisis de huit affai</w:t>
      </w:r>
      <w:r w:rsidR="000511DA">
        <w:rPr>
          <w:lang w:val="fr-FR"/>
        </w:rPr>
        <w:t>res de trafic de personnes</w:t>
      </w:r>
      <w:r>
        <w:rPr>
          <w:lang w:val="fr-FR"/>
        </w:rPr>
        <w:t>, dont une de recrutement fallacieux, une de trafic de main-d’œuvre, et six d’esclavage ou de servitude sexuelle</w:t>
      </w:r>
      <w:r w:rsidR="008D6B80">
        <w:rPr>
          <w:lang w:val="fr-FR"/>
        </w:rPr>
        <w:t xml:space="preserve">. </w:t>
      </w:r>
      <w:r w:rsidR="00FF1BFB">
        <w:rPr>
          <w:lang w:val="fr-FR"/>
        </w:rPr>
        <w:t>L’une de ces dernières n’implique pas la traite des femmes en vue d’une exploitation sexuelle à des fins commerciales</w:t>
      </w:r>
      <w:r w:rsidR="00572260">
        <w:rPr>
          <w:lang w:val="fr-FR"/>
        </w:rPr>
        <w:t>;</w:t>
      </w:r>
      <w:r w:rsidR="00FF1BFB">
        <w:rPr>
          <w:lang w:val="fr-FR"/>
        </w:rPr>
        <w:t xml:space="preserve"> les autres sont liées à la traite des femmes d’Asie du Sud-Est à des fins de prostitution.</w:t>
      </w:r>
    </w:p>
    <w:p w:rsidR="001F3A27" w:rsidRDefault="00FF1BFB" w:rsidP="005D7B68">
      <w:pPr>
        <w:tabs>
          <w:tab w:val="left" w:pos="567"/>
          <w:tab w:val="left" w:pos="1134"/>
          <w:tab w:val="left" w:pos="1701"/>
          <w:tab w:val="left" w:pos="2268"/>
          <w:tab w:val="left" w:pos="2835"/>
        </w:tabs>
        <w:rPr>
          <w:lang w:val="fr-FR"/>
        </w:rPr>
      </w:pPr>
      <w:r>
        <w:rPr>
          <w:lang w:val="fr-FR"/>
        </w:rPr>
        <w:t>90</w:t>
      </w:r>
      <w:r w:rsidR="00350D85">
        <w:rPr>
          <w:lang w:val="fr-FR"/>
        </w:rPr>
        <w:t>1</w:t>
      </w:r>
      <w:r>
        <w:rPr>
          <w:lang w:val="fr-FR"/>
        </w:rPr>
        <w:t>.</w:t>
      </w:r>
      <w:r>
        <w:rPr>
          <w:lang w:val="fr-FR"/>
        </w:rPr>
        <w:tab/>
        <w:t>Depuis que cette législation est entrée en vigueur, trois personnes ont été condamnées</w:t>
      </w:r>
      <w:r w:rsidR="00FE36F4">
        <w:rPr>
          <w:lang w:val="fr-FR"/>
        </w:rPr>
        <w:t>, en Australie,</w:t>
      </w:r>
      <w:r>
        <w:rPr>
          <w:lang w:val="fr-FR"/>
        </w:rPr>
        <w:t xml:space="preserve"> pour tra</w:t>
      </w:r>
      <w:r w:rsidR="00FE36F4">
        <w:rPr>
          <w:lang w:val="fr-FR"/>
        </w:rPr>
        <w:t>ite de personnes</w:t>
      </w:r>
      <w:r w:rsidR="007D6519">
        <w:rPr>
          <w:lang w:val="fr-FR"/>
        </w:rPr>
        <w:t xml:space="preserve"> à des fins d’esclavage ou de servitude sexuel</w:t>
      </w:r>
      <w:r w:rsidR="00FE36F4">
        <w:rPr>
          <w:lang w:val="fr-FR"/>
        </w:rPr>
        <w:t>le</w:t>
      </w:r>
      <w:r w:rsidR="007D6519">
        <w:rPr>
          <w:lang w:val="fr-FR"/>
        </w:rPr>
        <w:t xml:space="preserve"> en application du Code pénal. L’un des accusés a plaidé coupable, et deux autres ont fait appel de leur condamnation. (Ces appels sont encore </w:t>
      </w:r>
      <w:r w:rsidR="003643A4">
        <w:rPr>
          <w:lang w:val="fr-FR"/>
        </w:rPr>
        <w:t>pendants</w:t>
      </w:r>
      <w:r w:rsidR="007D6519">
        <w:rPr>
          <w:lang w:val="fr-FR"/>
        </w:rPr>
        <w:t>). Dans une autre aff</w:t>
      </w:r>
      <w:r w:rsidR="00C46BB3">
        <w:rPr>
          <w:lang w:val="fr-FR"/>
        </w:rPr>
        <w:t>aire, le défendeur a été jugé</w:t>
      </w:r>
      <w:r w:rsidR="007D6519">
        <w:rPr>
          <w:lang w:val="fr-FR"/>
        </w:rPr>
        <w:t xml:space="preserve"> coupable (et condamné) d</w:t>
      </w:r>
      <w:r w:rsidR="00C46BB3">
        <w:rPr>
          <w:lang w:val="fr-FR"/>
        </w:rPr>
        <w:t>e</w:t>
      </w:r>
      <w:r w:rsidR="007D6519">
        <w:rPr>
          <w:lang w:val="fr-FR"/>
        </w:rPr>
        <w:t xml:space="preserve"> délit d’esclavage</w:t>
      </w:r>
      <w:r w:rsidR="008D6B80">
        <w:rPr>
          <w:lang w:val="fr-FR"/>
        </w:rPr>
        <w:t xml:space="preserve">. </w:t>
      </w:r>
      <w:r w:rsidR="00C46BB3">
        <w:rPr>
          <w:lang w:val="fr-FR"/>
        </w:rPr>
        <w:t>Il a fait appel</w:t>
      </w:r>
      <w:r w:rsidR="00311202">
        <w:rPr>
          <w:lang w:val="fr-FR"/>
        </w:rPr>
        <w:t xml:space="preserve"> de ce jugement devant la Cour d’appel </w:t>
      </w:r>
      <w:r w:rsidR="00633B1B">
        <w:rPr>
          <w:lang w:val="fr-FR"/>
        </w:rPr>
        <w:t xml:space="preserve">du </w:t>
      </w:r>
      <w:r w:rsidR="00311202">
        <w:rPr>
          <w:lang w:val="fr-FR"/>
        </w:rPr>
        <w:t>Victoria qui a annulé la condamnation, à la suite de quoi le Directeur du Parquet du Commonwealth a saisi la Haute Cour.</w:t>
      </w:r>
    </w:p>
    <w:p w:rsidR="00FF1BFB" w:rsidRPr="00AF11C0" w:rsidRDefault="001F3A27" w:rsidP="005D7B68">
      <w:pPr>
        <w:tabs>
          <w:tab w:val="left" w:pos="567"/>
          <w:tab w:val="left" w:pos="1134"/>
          <w:tab w:val="left" w:pos="1701"/>
          <w:tab w:val="left" w:pos="2268"/>
          <w:tab w:val="left" w:pos="2835"/>
        </w:tabs>
        <w:rPr>
          <w:lang w:val="fr-FR"/>
        </w:rPr>
      </w:pPr>
      <w:r>
        <w:rPr>
          <w:lang w:val="fr-FR"/>
        </w:rPr>
        <w:t>90</w:t>
      </w:r>
      <w:r w:rsidR="00350D85">
        <w:rPr>
          <w:lang w:val="fr-FR"/>
        </w:rPr>
        <w:t>2</w:t>
      </w:r>
      <w:r>
        <w:rPr>
          <w:lang w:val="fr-FR"/>
        </w:rPr>
        <w:t>.</w:t>
      </w:r>
      <w:r>
        <w:rPr>
          <w:lang w:val="fr-FR"/>
        </w:rPr>
        <w:tab/>
        <w:t xml:space="preserve">Dans l’affaire où l’accusé a plaidé coupable, il a finalement été condamné à une peine de six ans d’emprisonnement </w:t>
      </w:r>
      <w:r w:rsidRPr="00AF11C0">
        <w:rPr>
          <w:lang w:val="fr-FR"/>
        </w:rPr>
        <w:t>assortie d’une période incompressible de deux ans et demie</w:t>
      </w:r>
      <w:r w:rsidR="008D6B80">
        <w:rPr>
          <w:lang w:val="fr-FR"/>
        </w:rPr>
        <w:t xml:space="preserve">. </w:t>
      </w:r>
      <w:r w:rsidRPr="00AF11C0">
        <w:rPr>
          <w:lang w:val="fr-FR"/>
        </w:rPr>
        <w:t>Dans les deux affaires où les accusés ont fait appel de leur condamnation,</w:t>
      </w:r>
      <w:r w:rsidR="007D6519" w:rsidRPr="00AF11C0">
        <w:rPr>
          <w:lang w:val="fr-FR"/>
        </w:rPr>
        <w:t xml:space="preserve"> </w:t>
      </w:r>
      <w:r w:rsidRPr="00AF11C0">
        <w:rPr>
          <w:lang w:val="fr-FR"/>
        </w:rPr>
        <w:t>l’un a été condamné à quatre ans de prison dont deux ans incompressibles</w:t>
      </w:r>
      <w:r w:rsidR="007D6519" w:rsidRPr="00AF11C0">
        <w:rPr>
          <w:lang w:val="fr-FR"/>
        </w:rPr>
        <w:t xml:space="preserve"> </w:t>
      </w:r>
      <w:r w:rsidRPr="00AF11C0">
        <w:rPr>
          <w:lang w:val="fr-FR"/>
        </w:rPr>
        <w:t>et l’autre à cinq ans d’emprisonnement dont deux ans et demis incompressibles.</w:t>
      </w:r>
    </w:p>
    <w:p w:rsidR="000511DA" w:rsidRPr="000511DA" w:rsidRDefault="000511DA" w:rsidP="005D7B68">
      <w:pPr>
        <w:tabs>
          <w:tab w:val="left" w:pos="567"/>
          <w:tab w:val="left" w:pos="1134"/>
          <w:tab w:val="left" w:pos="1701"/>
          <w:tab w:val="left" w:pos="2268"/>
          <w:tab w:val="left" w:pos="2835"/>
        </w:tabs>
        <w:rPr>
          <w:lang w:val="fr-FR"/>
        </w:rPr>
      </w:pPr>
      <w:r>
        <w:rPr>
          <w:lang w:val="fr-FR"/>
        </w:rPr>
        <w:t>90</w:t>
      </w:r>
      <w:r w:rsidR="00350D85">
        <w:rPr>
          <w:lang w:val="fr-FR"/>
        </w:rPr>
        <w:t>3</w:t>
      </w:r>
      <w:r>
        <w:rPr>
          <w:lang w:val="fr-FR"/>
        </w:rPr>
        <w:t>.</w:t>
      </w:r>
      <w:r>
        <w:rPr>
          <w:lang w:val="fr-FR"/>
        </w:rPr>
        <w:tab/>
        <w:t>Toutes les victimes d’esclavage ou de servitude sexuel</w:t>
      </w:r>
      <w:r w:rsidR="00D845E7">
        <w:rPr>
          <w:lang w:val="fr-FR"/>
        </w:rPr>
        <w:t>le</w:t>
      </w:r>
      <w:r>
        <w:rPr>
          <w:lang w:val="fr-FR"/>
        </w:rPr>
        <w:t xml:space="preserve"> sont des femmes</w:t>
      </w:r>
      <w:r w:rsidR="008D6B80">
        <w:rPr>
          <w:lang w:val="fr-FR"/>
        </w:rPr>
        <w:t xml:space="preserve">. </w:t>
      </w:r>
      <w:r>
        <w:rPr>
          <w:lang w:val="fr-FR"/>
        </w:rPr>
        <w:t xml:space="preserve">Aucun enfant n’est impliqué dans les affaires </w:t>
      </w:r>
      <w:r w:rsidRPr="00AF11C0">
        <w:rPr>
          <w:lang w:val="fr-FR"/>
        </w:rPr>
        <w:t>d</w:t>
      </w:r>
      <w:r w:rsidR="00AF11C0" w:rsidRPr="00AF11C0">
        <w:rPr>
          <w:lang w:val="fr-FR"/>
        </w:rPr>
        <w:t>iligentées par</w:t>
      </w:r>
      <w:r w:rsidRPr="00AF11C0">
        <w:rPr>
          <w:lang w:val="fr-FR"/>
        </w:rPr>
        <w:t xml:space="preserve"> le</w:t>
      </w:r>
      <w:r>
        <w:rPr>
          <w:lang w:val="fr-FR"/>
        </w:rPr>
        <w:t xml:space="preserve"> Directeur du Parquet du Commonwealth</w:t>
      </w:r>
      <w:r w:rsidR="008D6B80">
        <w:rPr>
          <w:lang w:val="fr-FR"/>
        </w:rPr>
        <w:t xml:space="preserve">. </w:t>
      </w:r>
      <w:r>
        <w:rPr>
          <w:lang w:val="fr-FR"/>
        </w:rPr>
        <w:t>Dans les affaires de trafic de personnes à des fins non sexuelles, l’une des victimes est un homme, et l’autre une femme.</w:t>
      </w:r>
    </w:p>
    <w:p w:rsidR="000511DA" w:rsidRDefault="000511DA" w:rsidP="005D7B68">
      <w:pPr>
        <w:tabs>
          <w:tab w:val="left" w:pos="567"/>
          <w:tab w:val="left" w:pos="1134"/>
          <w:tab w:val="left" w:pos="1701"/>
          <w:tab w:val="left" w:pos="2268"/>
          <w:tab w:val="left" w:pos="2835"/>
        </w:tabs>
        <w:rPr>
          <w:lang w:val="fr-FR"/>
        </w:rPr>
      </w:pPr>
      <w:r>
        <w:rPr>
          <w:lang w:val="fr-FR"/>
        </w:rPr>
        <w:t>90</w:t>
      </w:r>
      <w:r w:rsidR="00350D85">
        <w:rPr>
          <w:lang w:val="fr-FR"/>
        </w:rPr>
        <w:t>4</w:t>
      </w:r>
      <w:r>
        <w:rPr>
          <w:lang w:val="fr-FR"/>
        </w:rPr>
        <w:t>.</w:t>
      </w:r>
      <w:r>
        <w:rPr>
          <w:lang w:val="fr-FR"/>
        </w:rPr>
        <w:tab/>
        <w:t>Au 2 août 2007, 14 personnes ont obtenu un visa temporair</w:t>
      </w:r>
      <w:r w:rsidR="00827042">
        <w:rPr>
          <w:lang w:val="fr-FR"/>
        </w:rPr>
        <w:t>e de protection des témoins (de </w:t>
      </w:r>
      <w:r>
        <w:rPr>
          <w:lang w:val="fr-FR"/>
        </w:rPr>
        <w:t>trafic).</w:t>
      </w:r>
    </w:p>
    <w:p w:rsidR="000511DA" w:rsidRPr="000511DA" w:rsidRDefault="000511DA" w:rsidP="005D7B68">
      <w:pPr>
        <w:tabs>
          <w:tab w:val="left" w:pos="567"/>
          <w:tab w:val="left" w:pos="1134"/>
          <w:tab w:val="left" w:pos="1701"/>
          <w:tab w:val="left" w:pos="2268"/>
          <w:tab w:val="left" w:pos="2835"/>
        </w:tabs>
        <w:rPr>
          <w:lang w:val="fr-FR"/>
        </w:rPr>
      </w:pPr>
      <w:r>
        <w:rPr>
          <w:lang w:val="fr-FR"/>
        </w:rPr>
        <w:t>90</w:t>
      </w:r>
      <w:r w:rsidR="007E1F36">
        <w:rPr>
          <w:lang w:val="fr-FR"/>
        </w:rPr>
        <w:t>5</w:t>
      </w:r>
      <w:r>
        <w:rPr>
          <w:lang w:val="fr-FR"/>
        </w:rPr>
        <w:t>.</w:t>
      </w:r>
      <w:r>
        <w:rPr>
          <w:lang w:val="fr-FR"/>
        </w:rPr>
        <w:tab/>
        <w:t>Au 3 juillet 2007, 81 personnes on bénéficié du programme d’assistance aux victimes de la traite des personnes.</w:t>
      </w:r>
    </w:p>
    <w:p w:rsidR="000511DA" w:rsidRDefault="000511DA" w:rsidP="005D7B68">
      <w:pPr>
        <w:tabs>
          <w:tab w:val="left" w:pos="567"/>
          <w:tab w:val="left" w:pos="1134"/>
          <w:tab w:val="left" w:pos="1701"/>
          <w:tab w:val="left" w:pos="2268"/>
          <w:tab w:val="left" w:pos="2835"/>
        </w:tabs>
        <w:rPr>
          <w:b/>
          <w:bCs/>
          <w:lang w:val="fr-FR"/>
        </w:rPr>
      </w:pPr>
      <w:r>
        <w:rPr>
          <w:b/>
          <w:bCs/>
          <w:lang w:val="fr-FR"/>
        </w:rPr>
        <w:t>Informations des États et Territoires</w:t>
      </w:r>
    </w:p>
    <w:p w:rsidR="00CF13EB" w:rsidRPr="000511DA" w:rsidRDefault="000511DA" w:rsidP="005D7B68">
      <w:pPr>
        <w:tabs>
          <w:tab w:val="left" w:pos="567"/>
          <w:tab w:val="left" w:pos="1134"/>
          <w:tab w:val="left" w:pos="1701"/>
          <w:tab w:val="left" w:pos="2268"/>
          <w:tab w:val="left" w:pos="2835"/>
        </w:tabs>
        <w:rPr>
          <w:b/>
          <w:bCs/>
          <w:lang w:val="fr-FR"/>
        </w:rPr>
      </w:pPr>
      <w:r>
        <w:rPr>
          <w:b/>
          <w:bCs/>
          <w:lang w:val="fr-FR"/>
        </w:rPr>
        <w:t>Nouvelle-Galles du Sud</w:t>
      </w:r>
    </w:p>
    <w:p w:rsidR="00CF13EB" w:rsidRDefault="00CF13EB" w:rsidP="005D7B68">
      <w:pPr>
        <w:tabs>
          <w:tab w:val="left" w:pos="567"/>
          <w:tab w:val="left" w:pos="1134"/>
          <w:tab w:val="left" w:pos="1701"/>
          <w:tab w:val="left" w:pos="2268"/>
          <w:tab w:val="left" w:pos="2835"/>
        </w:tabs>
        <w:rPr>
          <w:b/>
          <w:bCs/>
          <w:lang w:val="fr-FR"/>
        </w:rPr>
      </w:pPr>
      <w:r>
        <w:rPr>
          <w:b/>
          <w:bCs/>
          <w:lang w:val="fr-FR"/>
        </w:rPr>
        <w:t>Exploitation sexuelle à des fins commerciales</w:t>
      </w:r>
    </w:p>
    <w:p w:rsidR="00CF13EB" w:rsidRDefault="007E1F36" w:rsidP="005D7B68">
      <w:pPr>
        <w:tabs>
          <w:tab w:val="left" w:pos="567"/>
          <w:tab w:val="left" w:pos="1134"/>
          <w:tab w:val="left" w:pos="1701"/>
          <w:tab w:val="left" w:pos="2268"/>
          <w:tab w:val="left" w:pos="2835"/>
        </w:tabs>
        <w:rPr>
          <w:lang w:val="fr-FR"/>
        </w:rPr>
      </w:pPr>
      <w:r>
        <w:rPr>
          <w:lang w:val="fr-FR"/>
        </w:rPr>
        <w:t>906.</w:t>
      </w:r>
      <w:r>
        <w:rPr>
          <w:lang w:val="fr-FR"/>
        </w:rPr>
        <w:tab/>
      </w:r>
      <w:r w:rsidR="00947370">
        <w:rPr>
          <w:lang w:val="fr-FR"/>
        </w:rPr>
        <w:t>Le système de recherche sur les informations judiciaires de Nouvelle-Galles du Sud</w:t>
      </w:r>
      <w:r w:rsidR="00572260">
        <w:rPr>
          <w:lang w:val="fr-FR"/>
        </w:rPr>
        <w:t xml:space="preserve"> </w:t>
      </w:r>
      <w:r w:rsidR="00947370">
        <w:rPr>
          <w:lang w:val="fr-FR"/>
        </w:rPr>
        <w:t>permet de dégager le type de condamnations prononcées par les tribunau</w:t>
      </w:r>
      <w:r w:rsidR="00AF0E81">
        <w:rPr>
          <w:lang w:val="fr-FR"/>
        </w:rPr>
        <w:t>x de Nouvelle-Galles du Sud en répression de</w:t>
      </w:r>
      <w:r w:rsidR="00947370">
        <w:rPr>
          <w:lang w:val="fr-FR"/>
        </w:rPr>
        <w:t xml:space="preserve"> telle ou telle infraction</w:t>
      </w:r>
      <w:r w:rsidR="008D6B80">
        <w:rPr>
          <w:lang w:val="fr-FR"/>
        </w:rPr>
        <w:t xml:space="preserve">. </w:t>
      </w:r>
      <w:r w:rsidR="00947370">
        <w:rPr>
          <w:lang w:val="fr-FR"/>
        </w:rPr>
        <w:t xml:space="preserve">Il permet d’avoir un aperçu des condamnations et des sanctions correspondantes imposées par les tribunaux de cet État, mais </w:t>
      </w:r>
      <w:r w:rsidR="00D845E7">
        <w:rPr>
          <w:lang w:val="fr-FR"/>
        </w:rPr>
        <w:t>ne donne aucune indication</w:t>
      </w:r>
      <w:r w:rsidR="00947370">
        <w:rPr>
          <w:lang w:val="fr-FR"/>
        </w:rPr>
        <w:t xml:space="preserve"> sur les victimes de tel ou te</w:t>
      </w:r>
      <w:r w:rsidR="00D845E7">
        <w:rPr>
          <w:lang w:val="fr-FR"/>
        </w:rPr>
        <w:t>l</w:t>
      </w:r>
      <w:r w:rsidR="00947370">
        <w:rPr>
          <w:lang w:val="fr-FR"/>
        </w:rPr>
        <w:t xml:space="preserve"> délit.</w:t>
      </w:r>
    </w:p>
    <w:p w:rsidR="00947370" w:rsidRDefault="00D845E7" w:rsidP="00E0029F">
      <w:pPr>
        <w:numPr>
          <w:ilvl w:val="0"/>
          <w:numId w:val="5"/>
        </w:numPr>
        <w:tabs>
          <w:tab w:val="clear" w:pos="1065"/>
          <w:tab w:val="num" w:pos="-2700"/>
          <w:tab w:val="left" w:pos="567"/>
          <w:tab w:val="left" w:pos="1134"/>
          <w:tab w:val="left" w:pos="1701"/>
          <w:tab w:val="left" w:pos="2268"/>
          <w:tab w:val="left" w:pos="2835"/>
        </w:tabs>
        <w:ind w:left="0" w:firstLine="0"/>
        <w:rPr>
          <w:lang w:val="fr-FR"/>
        </w:rPr>
      </w:pPr>
      <w:r>
        <w:rPr>
          <w:lang w:val="fr-FR"/>
        </w:rPr>
        <w:t>L’article 80D et E</w:t>
      </w:r>
      <w:r w:rsidR="00947370">
        <w:rPr>
          <w:lang w:val="fr-FR"/>
        </w:rPr>
        <w:t xml:space="preserve"> de la loi de 1900 sur les infractions pénales </w:t>
      </w:r>
      <w:r>
        <w:rPr>
          <w:lang w:val="fr-FR"/>
        </w:rPr>
        <w:t>érige</w:t>
      </w:r>
      <w:r w:rsidR="00C53CF6">
        <w:rPr>
          <w:lang w:val="fr-FR"/>
        </w:rPr>
        <w:t xml:space="preserve"> en infraction la servitude sexuelle et le fait d’être à la tête d’activités</w:t>
      </w:r>
      <w:r w:rsidR="00C1455D">
        <w:rPr>
          <w:lang w:val="fr-FR"/>
        </w:rPr>
        <w:t xml:space="preserve"> commerciales</w:t>
      </w:r>
      <w:r w:rsidR="00C53CF6">
        <w:rPr>
          <w:lang w:val="fr-FR"/>
        </w:rPr>
        <w:t xml:space="preserve"> impliquant une servitude sexuelle</w:t>
      </w:r>
      <w:r w:rsidR="008D6B80">
        <w:rPr>
          <w:lang w:val="fr-FR"/>
        </w:rPr>
        <w:t xml:space="preserve">. </w:t>
      </w:r>
      <w:r w:rsidR="00C53CF6">
        <w:rPr>
          <w:lang w:val="fr-FR"/>
        </w:rPr>
        <w:t>On n’a enreg</w:t>
      </w:r>
      <w:r w:rsidR="00765789">
        <w:rPr>
          <w:lang w:val="fr-FR"/>
        </w:rPr>
        <w:t>istré aucune condamnation pour d</w:t>
      </w:r>
      <w:r w:rsidR="00C53CF6">
        <w:rPr>
          <w:lang w:val="fr-FR"/>
        </w:rPr>
        <w:t>es infractions</w:t>
      </w:r>
      <w:r w:rsidR="00765789">
        <w:rPr>
          <w:lang w:val="fr-FR"/>
        </w:rPr>
        <w:t xml:space="preserve"> de ce type</w:t>
      </w:r>
      <w:r w:rsidR="00C53CF6">
        <w:rPr>
          <w:lang w:val="fr-FR"/>
        </w:rPr>
        <w:t xml:space="preserve"> au cours de ces trois dernières années.</w:t>
      </w:r>
    </w:p>
    <w:p w:rsidR="00765789" w:rsidRPr="00094671" w:rsidRDefault="00765789" w:rsidP="00E0029F">
      <w:pPr>
        <w:numPr>
          <w:ilvl w:val="0"/>
          <w:numId w:val="5"/>
        </w:numPr>
        <w:tabs>
          <w:tab w:val="clear" w:pos="1065"/>
          <w:tab w:val="num" w:pos="-2700"/>
          <w:tab w:val="left" w:pos="567"/>
          <w:tab w:val="left" w:pos="1134"/>
          <w:tab w:val="left" w:pos="1701"/>
          <w:tab w:val="left" w:pos="2268"/>
          <w:tab w:val="left" w:pos="2835"/>
        </w:tabs>
        <w:ind w:left="0" w:firstLine="0"/>
        <w:rPr>
          <w:color w:val="0000FF"/>
          <w:lang w:val="fr-FR"/>
        </w:rPr>
      </w:pPr>
      <w:r>
        <w:rPr>
          <w:lang w:val="fr-FR"/>
        </w:rPr>
        <w:t>L’article 91A de cette loi érige en infraction le fait de livrer une personne à la prostitution par la tromperie, ou en usant de violence, de menaces ou d’abus d’autorité, ou encore de drogue ou d’alcool</w:t>
      </w:r>
      <w:r w:rsidR="008D6B80">
        <w:rPr>
          <w:lang w:val="fr-FR"/>
        </w:rPr>
        <w:t xml:space="preserve">. </w:t>
      </w:r>
      <w:r>
        <w:rPr>
          <w:lang w:val="fr-FR"/>
        </w:rPr>
        <w:t xml:space="preserve">Le système de recherche </w:t>
      </w:r>
      <w:r w:rsidR="00300614">
        <w:rPr>
          <w:lang w:val="fr-FR"/>
        </w:rPr>
        <w:t xml:space="preserve">fait apparaître, entre janvier 2003 et décembre 2006, une seule affaire, dans laquelle les poursuites engagées </w:t>
      </w:r>
      <w:r w:rsidR="00D845E7">
        <w:rPr>
          <w:lang w:val="fr-FR"/>
        </w:rPr>
        <w:t>au titre de cet article</w:t>
      </w:r>
      <w:r w:rsidR="00300614">
        <w:rPr>
          <w:lang w:val="fr-FR"/>
        </w:rPr>
        <w:t xml:space="preserve"> ont abouti à l’imposition d’une amende</w:t>
      </w:r>
      <w:r w:rsidR="008D6B80">
        <w:rPr>
          <w:lang w:val="fr-FR"/>
        </w:rPr>
        <w:t xml:space="preserve">. </w:t>
      </w:r>
      <w:r w:rsidR="00300614">
        <w:rPr>
          <w:lang w:val="fr-FR"/>
        </w:rPr>
        <w:t>On a également enregistré</w:t>
      </w:r>
      <w:r w:rsidR="00094671">
        <w:rPr>
          <w:lang w:val="fr-FR"/>
        </w:rPr>
        <w:t>, pendant la même période,</w:t>
      </w:r>
      <w:r w:rsidR="00300614">
        <w:rPr>
          <w:lang w:val="fr-FR"/>
        </w:rPr>
        <w:t xml:space="preserve"> une seule condamnation au titre de l’article 91B </w:t>
      </w:r>
      <w:r w:rsidR="00547476">
        <w:rPr>
          <w:lang w:val="fr-FR"/>
        </w:rPr>
        <w:t>avant le</w:t>
      </w:r>
      <w:r w:rsidR="00300614">
        <w:rPr>
          <w:lang w:val="fr-FR"/>
        </w:rPr>
        <w:t xml:space="preserve"> terme de laquelle</w:t>
      </w:r>
      <w:r w:rsidR="00094671">
        <w:rPr>
          <w:lang w:val="fr-FR"/>
        </w:rPr>
        <w:t xml:space="preserve"> </w:t>
      </w:r>
      <w:r w:rsidR="00094671" w:rsidRPr="00AF11C0">
        <w:rPr>
          <w:lang w:val="fr-FR"/>
        </w:rPr>
        <w:t>le condamné a été libéré sous caution pour bonne conduite.</w:t>
      </w:r>
      <w:r w:rsidR="00300614" w:rsidRPr="00094671">
        <w:rPr>
          <w:color w:val="0000FF"/>
          <w:lang w:val="fr-FR"/>
        </w:rPr>
        <w:t xml:space="preserve"> </w:t>
      </w:r>
    </w:p>
    <w:p w:rsidR="00D07CEA" w:rsidRPr="00CF13EB" w:rsidRDefault="007E1F36" w:rsidP="005D7B68">
      <w:pPr>
        <w:tabs>
          <w:tab w:val="left" w:pos="567"/>
          <w:tab w:val="left" w:pos="1134"/>
          <w:tab w:val="left" w:pos="1701"/>
          <w:tab w:val="left" w:pos="2268"/>
          <w:tab w:val="left" w:pos="2835"/>
        </w:tabs>
        <w:rPr>
          <w:lang w:val="fr-FR"/>
        </w:rPr>
      </w:pPr>
      <w:r>
        <w:rPr>
          <w:lang w:val="fr-FR"/>
        </w:rPr>
        <w:t>909.</w:t>
      </w:r>
      <w:r>
        <w:rPr>
          <w:lang w:val="fr-FR"/>
        </w:rPr>
        <w:tab/>
      </w:r>
      <w:r w:rsidR="00D845E7">
        <w:rPr>
          <w:lang w:val="fr-FR"/>
        </w:rPr>
        <w:t xml:space="preserve">L’article 91D, </w:t>
      </w:r>
      <w:r w:rsidR="00434205">
        <w:rPr>
          <w:lang w:val="fr-FR"/>
        </w:rPr>
        <w:t>E</w:t>
      </w:r>
      <w:r w:rsidR="00D845E7">
        <w:rPr>
          <w:lang w:val="fr-FR"/>
        </w:rPr>
        <w:t xml:space="preserve"> et </w:t>
      </w:r>
      <w:r w:rsidR="00601854">
        <w:rPr>
          <w:lang w:val="fr-FR"/>
        </w:rPr>
        <w:t>F érige en infraction le fait de faciliter ou de provoquer des actes de prostitution enfantine</w:t>
      </w:r>
      <w:r w:rsidR="000E3F4D">
        <w:rPr>
          <w:lang w:val="fr-FR"/>
        </w:rPr>
        <w:t>,</w:t>
      </w:r>
      <w:r w:rsidR="00434205">
        <w:rPr>
          <w:lang w:val="fr-FR"/>
        </w:rPr>
        <w:t xml:space="preserve"> d’en tirer un profit ou d’utiliser un local aux fins de prostitution enfantine</w:t>
      </w:r>
      <w:r w:rsidR="008D6B80">
        <w:rPr>
          <w:lang w:val="fr-FR"/>
        </w:rPr>
        <w:t xml:space="preserve">. </w:t>
      </w:r>
      <w:r w:rsidR="00434205">
        <w:rPr>
          <w:lang w:val="fr-FR"/>
        </w:rPr>
        <w:t xml:space="preserve">Le système de recherche sur les informations judiciaires indique que, entre janvier 2000 et décembre 2006, on a enregistré cinq condamnations au titre de l’article 91D 1) a) à des peines d’emprisonnement allant de </w:t>
      </w:r>
      <w:r w:rsidR="00827042">
        <w:rPr>
          <w:lang w:val="fr-FR"/>
        </w:rPr>
        <w:t>douze</w:t>
      </w:r>
      <w:r w:rsidR="00434205">
        <w:rPr>
          <w:lang w:val="fr-FR"/>
        </w:rPr>
        <w:t xml:space="preserve"> mois à </w:t>
      </w:r>
      <w:r w:rsidR="00827042">
        <w:rPr>
          <w:lang w:val="fr-FR"/>
        </w:rPr>
        <w:t>neuf</w:t>
      </w:r>
      <w:r w:rsidR="00434205">
        <w:rPr>
          <w:lang w:val="fr-FR"/>
        </w:rPr>
        <w:t xml:space="preserve"> ans</w:t>
      </w:r>
      <w:r w:rsidR="008D6B80">
        <w:rPr>
          <w:lang w:val="fr-FR"/>
        </w:rPr>
        <w:t xml:space="preserve">. </w:t>
      </w:r>
      <w:r w:rsidR="00434205">
        <w:rPr>
          <w:lang w:val="fr-FR"/>
        </w:rPr>
        <w:t xml:space="preserve">Il </w:t>
      </w:r>
      <w:r w:rsidR="00D845E7">
        <w:rPr>
          <w:lang w:val="fr-FR"/>
        </w:rPr>
        <w:t>y eu deux condamnations en vertu</w:t>
      </w:r>
      <w:r w:rsidR="00434205">
        <w:rPr>
          <w:lang w:val="fr-FR"/>
        </w:rPr>
        <w:t xml:space="preserve"> de l’article 91E pendant cette période</w:t>
      </w:r>
      <w:r w:rsidR="008D6B80">
        <w:rPr>
          <w:lang w:val="fr-FR"/>
        </w:rPr>
        <w:t xml:space="preserve">. </w:t>
      </w:r>
      <w:r w:rsidR="00434205">
        <w:rPr>
          <w:lang w:val="fr-FR"/>
        </w:rPr>
        <w:t>Une affaire s’est terminée par une condamnation avec sur</w:t>
      </w:r>
      <w:r w:rsidR="00827042">
        <w:rPr>
          <w:lang w:val="fr-FR"/>
        </w:rPr>
        <w:t>sis </w:t>
      </w:r>
      <w:r w:rsidR="00434205">
        <w:rPr>
          <w:lang w:val="fr-FR"/>
        </w:rPr>
        <w:t xml:space="preserve">et l’autre par une peine d’emprisonnement de </w:t>
      </w:r>
      <w:r w:rsidR="00827042">
        <w:rPr>
          <w:lang w:val="fr-FR"/>
        </w:rPr>
        <w:t>trente</w:t>
      </w:r>
      <w:r w:rsidR="00827042">
        <w:rPr>
          <w:lang w:val="fr-FR"/>
        </w:rPr>
        <w:noBreakHyphen/>
        <w:t>six</w:t>
      </w:r>
      <w:r w:rsidR="00434205">
        <w:rPr>
          <w:lang w:val="fr-FR"/>
        </w:rPr>
        <w:t xml:space="preserve"> mois</w:t>
      </w:r>
      <w:r w:rsidR="008D6B80">
        <w:rPr>
          <w:lang w:val="fr-FR"/>
        </w:rPr>
        <w:t xml:space="preserve">. </w:t>
      </w:r>
      <w:r w:rsidR="00434205">
        <w:rPr>
          <w:lang w:val="fr-FR"/>
        </w:rPr>
        <w:t>Il y a eu égale</w:t>
      </w:r>
      <w:r w:rsidR="00827042">
        <w:rPr>
          <w:lang w:val="fr-FR"/>
        </w:rPr>
        <w:t>ment deux </w:t>
      </w:r>
      <w:r w:rsidR="00D845E7">
        <w:rPr>
          <w:lang w:val="fr-FR"/>
        </w:rPr>
        <w:t>condamnations en application</w:t>
      </w:r>
      <w:r w:rsidR="00434205">
        <w:rPr>
          <w:lang w:val="fr-FR"/>
        </w:rPr>
        <w:t xml:space="preserve"> de l’article 91F au cours de la même période</w:t>
      </w:r>
      <w:r w:rsidR="008D6B80">
        <w:rPr>
          <w:lang w:val="fr-FR"/>
        </w:rPr>
        <w:t xml:space="preserve">. </w:t>
      </w:r>
      <w:r w:rsidR="007C1E15">
        <w:rPr>
          <w:lang w:val="fr-FR"/>
        </w:rPr>
        <w:t xml:space="preserve">Un délinquant a été condamné à </w:t>
      </w:r>
      <w:r w:rsidR="00827042">
        <w:rPr>
          <w:lang w:val="fr-FR"/>
        </w:rPr>
        <w:t>vingt</w:t>
      </w:r>
      <w:r w:rsidR="00827042">
        <w:rPr>
          <w:lang w:val="fr-FR"/>
        </w:rPr>
        <w:noBreakHyphen/>
        <w:t>quatre</w:t>
      </w:r>
      <w:r w:rsidR="007C1E15">
        <w:rPr>
          <w:lang w:val="fr-FR"/>
        </w:rPr>
        <w:t xml:space="preserve"> mois d’empriso</w:t>
      </w:r>
      <w:r w:rsidR="007F3332">
        <w:rPr>
          <w:lang w:val="fr-FR"/>
        </w:rPr>
        <w:t xml:space="preserve">nnement avec sursis et l’autre </w:t>
      </w:r>
      <w:r w:rsidR="00827042">
        <w:rPr>
          <w:lang w:val="fr-FR"/>
        </w:rPr>
        <w:t>vingt</w:t>
      </w:r>
      <w:r w:rsidR="00827042">
        <w:rPr>
          <w:lang w:val="fr-FR"/>
        </w:rPr>
        <w:noBreakHyphen/>
        <w:t>quatre</w:t>
      </w:r>
      <w:r w:rsidR="007F3332">
        <w:rPr>
          <w:lang w:val="fr-FR"/>
        </w:rPr>
        <w:t xml:space="preserve"> mois de </w:t>
      </w:r>
      <w:r w:rsidR="007F3332" w:rsidRPr="00367682">
        <w:rPr>
          <w:lang w:val="fr-FR"/>
        </w:rPr>
        <w:t>prison fermes</w:t>
      </w:r>
      <w:r w:rsidR="008D6B80">
        <w:rPr>
          <w:lang w:val="fr-FR"/>
        </w:rPr>
        <w:t xml:space="preserve">. </w:t>
      </w:r>
    </w:p>
    <w:p w:rsidR="00D07CEA" w:rsidRDefault="00D07CEA" w:rsidP="005D7B68">
      <w:pPr>
        <w:tabs>
          <w:tab w:val="left" w:pos="567"/>
          <w:tab w:val="left" w:pos="1134"/>
          <w:tab w:val="left" w:pos="1701"/>
          <w:tab w:val="left" w:pos="2268"/>
          <w:tab w:val="left" w:pos="2835"/>
        </w:tabs>
        <w:rPr>
          <w:b/>
          <w:bCs/>
          <w:lang w:val="fr-FR"/>
        </w:rPr>
      </w:pPr>
      <w:r>
        <w:rPr>
          <w:b/>
          <w:bCs/>
          <w:lang w:val="fr-FR"/>
        </w:rPr>
        <w:t>Victoria</w:t>
      </w:r>
    </w:p>
    <w:p w:rsidR="00D07CEA" w:rsidRPr="00D07CEA" w:rsidRDefault="00367682" w:rsidP="005D7B68">
      <w:pPr>
        <w:tabs>
          <w:tab w:val="left" w:pos="567"/>
          <w:tab w:val="left" w:pos="1134"/>
          <w:tab w:val="left" w:pos="1701"/>
          <w:tab w:val="left" w:pos="2268"/>
          <w:tab w:val="left" w:pos="2835"/>
        </w:tabs>
        <w:rPr>
          <w:lang w:val="fr-FR"/>
        </w:rPr>
      </w:pPr>
      <w:r>
        <w:rPr>
          <w:lang w:val="fr-FR"/>
        </w:rPr>
        <w:t>91</w:t>
      </w:r>
      <w:r w:rsidR="007E1F36">
        <w:rPr>
          <w:lang w:val="fr-FR"/>
        </w:rPr>
        <w:t>0</w:t>
      </w:r>
      <w:r>
        <w:rPr>
          <w:lang w:val="fr-FR"/>
        </w:rPr>
        <w:t>.</w:t>
      </w:r>
      <w:r>
        <w:rPr>
          <w:lang w:val="fr-FR"/>
        </w:rPr>
        <w:tab/>
        <w:t>La législation du</w:t>
      </w:r>
      <w:r w:rsidR="00D07CEA">
        <w:rPr>
          <w:lang w:val="fr-FR"/>
        </w:rPr>
        <w:t xml:space="preserve"> Victoria érige en infraction la servitude sexuelle et la prostitution forcée, mais la police de cet État n’a porté aucune accusation à ce titre</w:t>
      </w:r>
      <w:r w:rsidR="00B7699F">
        <w:rPr>
          <w:lang w:val="fr-FR"/>
        </w:rPr>
        <w:t xml:space="preserve"> en vertu de la législation de l’État</w:t>
      </w:r>
      <w:r>
        <w:rPr>
          <w:lang w:val="fr-FR"/>
        </w:rPr>
        <w:t>, et elle a</w:t>
      </w:r>
      <w:r w:rsidR="004D293E">
        <w:rPr>
          <w:lang w:val="fr-FR"/>
        </w:rPr>
        <w:t xml:space="preserve"> plutôt participé à </w:t>
      </w:r>
      <w:r>
        <w:rPr>
          <w:lang w:val="fr-FR"/>
        </w:rPr>
        <w:t>d</w:t>
      </w:r>
      <w:r w:rsidR="004D293E">
        <w:rPr>
          <w:lang w:val="fr-FR"/>
        </w:rPr>
        <w:t xml:space="preserve">es opérations </w:t>
      </w:r>
      <w:r w:rsidR="0082206A">
        <w:rPr>
          <w:lang w:val="fr-FR"/>
        </w:rPr>
        <w:t xml:space="preserve">en collaboration </w:t>
      </w:r>
      <w:r w:rsidR="004D293E">
        <w:rPr>
          <w:lang w:val="fr-FR"/>
        </w:rPr>
        <w:t xml:space="preserve">avec la </w:t>
      </w:r>
      <w:r>
        <w:rPr>
          <w:lang w:val="fr-FR"/>
        </w:rPr>
        <w:t>p</w:t>
      </w:r>
      <w:r w:rsidR="00397763">
        <w:rPr>
          <w:lang w:val="fr-FR"/>
        </w:rPr>
        <w:t>olice fédérale australienne</w:t>
      </w:r>
      <w:r w:rsidR="004D293E">
        <w:rPr>
          <w:lang w:val="fr-FR"/>
        </w:rPr>
        <w:t>.</w:t>
      </w:r>
    </w:p>
    <w:p w:rsidR="000511DA" w:rsidRDefault="00FE506C" w:rsidP="002A7325">
      <w:pPr>
        <w:keepNext/>
        <w:tabs>
          <w:tab w:val="left" w:pos="567"/>
          <w:tab w:val="left" w:pos="1134"/>
          <w:tab w:val="left" w:pos="1701"/>
          <w:tab w:val="left" w:pos="2268"/>
          <w:tab w:val="left" w:pos="2835"/>
        </w:tabs>
        <w:rPr>
          <w:b/>
          <w:bCs/>
          <w:lang w:val="fr-FR"/>
        </w:rPr>
      </w:pPr>
      <w:r>
        <w:rPr>
          <w:b/>
          <w:bCs/>
          <w:lang w:val="fr-FR"/>
        </w:rPr>
        <w:t>Queensland</w:t>
      </w:r>
    </w:p>
    <w:p w:rsidR="00FE506C" w:rsidRDefault="00FE506C" w:rsidP="002A7325">
      <w:pPr>
        <w:keepNext/>
        <w:tabs>
          <w:tab w:val="left" w:pos="567"/>
          <w:tab w:val="left" w:pos="1134"/>
          <w:tab w:val="left" w:pos="1701"/>
          <w:tab w:val="left" w:pos="2268"/>
          <w:tab w:val="left" w:pos="2835"/>
        </w:tabs>
        <w:rPr>
          <w:lang w:val="fr-FR"/>
        </w:rPr>
      </w:pPr>
      <w:r>
        <w:rPr>
          <w:lang w:val="fr-FR"/>
        </w:rPr>
        <w:t>91</w:t>
      </w:r>
      <w:r w:rsidR="007E1F36">
        <w:rPr>
          <w:lang w:val="fr-FR"/>
        </w:rPr>
        <w:t>1</w:t>
      </w:r>
      <w:r>
        <w:rPr>
          <w:lang w:val="fr-FR"/>
        </w:rPr>
        <w:t>.</w:t>
      </w:r>
      <w:r>
        <w:rPr>
          <w:lang w:val="fr-FR"/>
        </w:rPr>
        <w:tab/>
        <w:t>Le Code pénal du Queensland ne prévoit pas d’infractions liées à la traite des personnes</w:t>
      </w:r>
      <w:r w:rsidR="008D6B80">
        <w:rPr>
          <w:lang w:val="fr-FR"/>
        </w:rPr>
        <w:t xml:space="preserve">. </w:t>
      </w:r>
      <w:r w:rsidR="00827042">
        <w:rPr>
          <w:lang w:val="fr-FR"/>
        </w:rPr>
        <w:t>Si </w:t>
      </w:r>
      <w:r>
        <w:rPr>
          <w:lang w:val="fr-FR"/>
        </w:rPr>
        <w:t>une affaire de ce type était signa</w:t>
      </w:r>
      <w:r w:rsidR="0093770F">
        <w:rPr>
          <w:lang w:val="fr-FR"/>
        </w:rPr>
        <w:t>lée au s</w:t>
      </w:r>
      <w:r>
        <w:rPr>
          <w:lang w:val="fr-FR"/>
        </w:rPr>
        <w:t>ervice de police du Queensland ou détect</w:t>
      </w:r>
      <w:r w:rsidR="00827042">
        <w:rPr>
          <w:lang w:val="fr-FR"/>
        </w:rPr>
        <w:t>ée par lui, il </w:t>
      </w:r>
      <w:r>
        <w:rPr>
          <w:lang w:val="fr-FR"/>
        </w:rPr>
        <w:t xml:space="preserve">contacterait la </w:t>
      </w:r>
      <w:r w:rsidR="0093770F">
        <w:rPr>
          <w:lang w:val="fr-FR"/>
        </w:rPr>
        <w:t>p</w:t>
      </w:r>
      <w:r w:rsidR="00397763">
        <w:rPr>
          <w:lang w:val="fr-FR"/>
        </w:rPr>
        <w:t>olice fédérale australienne</w:t>
      </w:r>
      <w:r>
        <w:rPr>
          <w:lang w:val="fr-FR"/>
        </w:rPr>
        <w:t xml:space="preserve"> pour qu’elle mène une enquête. Ce sont les dispositions des articles 270 ou 271 (relatives au démit de servitude sexuelle) du Code pénal du Commonwealth qui s’appliqueraient.</w:t>
      </w:r>
    </w:p>
    <w:p w:rsidR="00240472" w:rsidRPr="00FE506C" w:rsidRDefault="00FE506C" w:rsidP="005D7B68">
      <w:pPr>
        <w:tabs>
          <w:tab w:val="left" w:pos="567"/>
          <w:tab w:val="left" w:pos="1134"/>
          <w:tab w:val="left" w:pos="1701"/>
          <w:tab w:val="left" w:pos="2268"/>
          <w:tab w:val="left" w:pos="2835"/>
        </w:tabs>
        <w:rPr>
          <w:lang w:val="fr-FR"/>
        </w:rPr>
      </w:pPr>
      <w:r>
        <w:rPr>
          <w:lang w:val="fr-FR"/>
        </w:rPr>
        <w:t>91</w:t>
      </w:r>
      <w:r w:rsidR="007E1F36">
        <w:rPr>
          <w:lang w:val="fr-FR"/>
        </w:rPr>
        <w:t>2</w:t>
      </w:r>
      <w:r>
        <w:rPr>
          <w:lang w:val="fr-FR"/>
        </w:rPr>
        <w:t>.</w:t>
      </w:r>
      <w:r>
        <w:rPr>
          <w:lang w:val="fr-FR"/>
        </w:rPr>
        <w:tab/>
        <w:t>Les informations relatives aux condamnations pour exploitation sexuelle à des fins commerciales figur</w:t>
      </w:r>
      <w:r w:rsidR="00ED712F">
        <w:rPr>
          <w:lang w:val="fr-FR"/>
        </w:rPr>
        <w:t>ent dans les tableaux ci-après</w:t>
      </w:r>
      <w:r>
        <w:rPr>
          <w:lang w:val="fr-FR"/>
        </w:rPr>
        <w:t>.</w:t>
      </w:r>
    </w:p>
    <w:p w:rsidR="00240472" w:rsidRPr="00240472" w:rsidRDefault="00240472" w:rsidP="005D7B68">
      <w:pPr>
        <w:tabs>
          <w:tab w:val="left" w:pos="567"/>
          <w:tab w:val="left" w:pos="1134"/>
          <w:tab w:val="left" w:pos="1701"/>
          <w:tab w:val="left" w:pos="2268"/>
          <w:tab w:val="left" w:pos="2835"/>
        </w:tabs>
        <w:rPr>
          <w:lang w:val="fr-FR"/>
        </w:rPr>
      </w:pPr>
    </w:p>
    <w:p w:rsidR="006C3629" w:rsidRDefault="006C3629" w:rsidP="005D7B68">
      <w:pPr>
        <w:tabs>
          <w:tab w:val="left" w:pos="567"/>
          <w:tab w:val="left" w:pos="1134"/>
          <w:tab w:val="left" w:pos="1230"/>
          <w:tab w:val="left" w:pos="1701"/>
          <w:tab w:val="left" w:pos="2268"/>
          <w:tab w:val="left" w:pos="2835"/>
        </w:tabs>
        <w:rPr>
          <w:lang w:val="fr-FR"/>
        </w:rPr>
        <w:sectPr w:rsidR="006C3629" w:rsidSect="0038700B">
          <w:headerReference w:type="first" r:id="rId48"/>
          <w:pgSz w:w="11906" w:h="16838"/>
          <w:pgMar w:top="1701" w:right="851" w:bottom="1985" w:left="1701" w:header="851" w:footer="1701" w:gutter="0"/>
          <w:cols w:space="708"/>
          <w:titlePg/>
          <w:docGrid w:linePitch="360"/>
        </w:sectPr>
      </w:pPr>
    </w:p>
    <w:p w:rsidR="006C3629" w:rsidRPr="006C3629" w:rsidRDefault="006C3629" w:rsidP="005D7B68">
      <w:pPr>
        <w:pStyle w:val="Heading2"/>
        <w:tabs>
          <w:tab w:val="left" w:pos="567"/>
          <w:tab w:val="left" w:pos="1134"/>
          <w:tab w:val="left" w:pos="1701"/>
          <w:tab w:val="left" w:pos="2268"/>
          <w:tab w:val="left" w:pos="2835"/>
        </w:tabs>
        <w:spacing w:after="120"/>
        <w:rPr>
          <w:sz w:val="20"/>
          <w:lang w:val="fr-FR"/>
        </w:rPr>
      </w:pPr>
      <w:r w:rsidRPr="006C3629">
        <w:rPr>
          <w:sz w:val="20"/>
          <w:lang w:val="fr-FR"/>
        </w:rPr>
        <w:t xml:space="preserve">Nombre d’accusés condamnés pour des délits </w:t>
      </w:r>
      <w:r>
        <w:rPr>
          <w:sz w:val="20"/>
          <w:lang w:val="fr-FR"/>
        </w:rPr>
        <w:t>lié</w:t>
      </w:r>
      <w:r w:rsidRPr="006C3629">
        <w:rPr>
          <w:sz w:val="20"/>
          <w:lang w:val="fr-FR"/>
        </w:rPr>
        <w:t>s à l’</w:t>
      </w:r>
      <w:r>
        <w:rPr>
          <w:sz w:val="20"/>
          <w:lang w:val="fr-FR"/>
        </w:rPr>
        <w:t>exploitation c</w:t>
      </w:r>
      <w:r w:rsidRPr="006C3629">
        <w:rPr>
          <w:sz w:val="20"/>
          <w:lang w:val="fr-FR"/>
        </w:rPr>
        <w:t>omme</w:t>
      </w:r>
      <w:r>
        <w:rPr>
          <w:sz w:val="20"/>
          <w:lang w:val="fr-FR"/>
        </w:rPr>
        <w:t>r</w:t>
      </w:r>
      <w:r w:rsidRPr="006C3629">
        <w:rPr>
          <w:sz w:val="20"/>
          <w:lang w:val="fr-FR"/>
        </w:rPr>
        <w:t>ciale</w:t>
      </w:r>
      <w:r>
        <w:rPr>
          <w:sz w:val="20"/>
          <w:lang w:val="fr-FR"/>
        </w:rPr>
        <w:t xml:space="preserve"> des enfants</w:t>
      </w:r>
      <w:r w:rsidR="00E4072D">
        <w:rPr>
          <w:sz w:val="20"/>
          <w:lang w:val="fr-FR"/>
        </w:rPr>
        <w:t xml:space="preserve"> </w:t>
      </w:r>
      <w:r>
        <w:rPr>
          <w:sz w:val="20"/>
          <w:lang w:val="fr-FR"/>
        </w:rPr>
        <w:t>par l’ensemble des tribunaux de district</w:t>
      </w:r>
      <w:r w:rsidR="00E4072D">
        <w:rPr>
          <w:sz w:val="20"/>
          <w:lang w:val="fr-FR"/>
        </w:rPr>
        <w:br/>
      </w:r>
      <w:r>
        <w:rPr>
          <w:sz w:val="20"/>
          <w:lang w:val="fr-FR"/>
        </w:rPr>
        <w:t>et la Cour Suprême du</w:t>
      </w:r>
      <w:r w:rsidRPr="006C3629">
        <w:rPr>
          <w:sz w:val="20"/>
          <w:lang w:val="fr-FR"/>
        </w:rPr>
        <w:t xml:space="preserve"> Queens</w:t>
      </w:r>
      <w:r>
        <w:rPr>
          <w:sz w:val="20"/>
          <w:lang w:val="fr-FR"/>
        </w:rPr>
        <w:t xml:space="preserve">land entre 2000 et </w:t>
      </w:r>
      <w:r w:rsidRPr="006C3629">
        <w:rPr>
          <w:sz w:val="20"/>
          <w:lang w:val="fr-FR"/>
        </w:rPr>
        <w:t>2006</w:t>
      </w:r>
      <w:r>
        <w:rPr>
          <w:sz w:val="20"/>
          <w:lang w:val="fr-FR"/>
        </w:rPr>
        <w:t xml:space="preserve"> (années calendaires)</w:t>
      </w:r>
      <w:r w:rsidRPr="006C3629">
        <w:rPr>
          <w:sz w:val="20"/>
          <w:vertAlign w:val="superscript"/>
          <w:lang w:val="fr-FR"/>
        </w:rPr>
        <w:t>1</w:t>
      </w:r>
    </w:p>
    <w:tbl>
      <w:tblPr>
        <w:tblW w:w="13467"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87"/>
        <w:gridCol w:w="32"/>
        <w:gridCol w:w="2075"/>
        <w:gridCol w:w="7"/>
        <w:gridCol w:w="1322"/>
        <w:gridCol w:w="574"/>
        <w:gridCol w:w="575"/>
        <w:gridCol w:w="575"/>
        <w:gridCol w:w="575"/>
        <w:gridCol w:w="575"/>
        <w:gridCol w:w="574"/>
        <w:gridCol w:w="575"/>
        <w:gridCol w:w="580"/>
        <w:gridCol w:w="575"/>
        <w:gridCol w:w="575"/>
        <w:gridCol w:w="574"/>
        <w:gridCol w:w="577"/>
        <w:gridCol w:w="575"/>
        <w:gridCol w:w="575"/>
        <w:gridCol w:w="587"/>
        <w:gridCol w:w="603"/>
      </w:tblGrid>
      <w:tr w:rsidR="004C41F7" w:rsidRPr="009630CD">
        <w:trPr>
          <w:tblHeader/>
        </w:trPr>
        <w:tc>
          <w:tcPr>
            <w:tcW w:w="788" w:type="dxa"/>
            <w:vMerge w:val="restart"/>
            <w:vAlign w:val="center"/>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Année de la décision</w:t>
            </w:r>
          </w:p>
        </w:tc>
        <w:tc>
          <w:tcPr>
            <w:tcW w:w="2115" w:type="dxa"/>
            <w:gridSpan w:val="3"/>
            <w:vMerge w:val="restart"/>
            <w:vAlign w:val="center"/>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Motif de la condamnation</w:t>
            </w:r>
          </w:p>
        </w:tc>
        <w:tc>
          <w:tcPr>
            <w:tcW w:w="1322" w:type="dxa"/>
            <w:vMerge w:val="restart"/>
            <w:vAlign w:val="center"/>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Jugement</w:t>
            </w:r>
          </w:p>
        </w:tc>
        <w:tc>
          <w:tcPr>
            <w:tcW w:w="4603" w:type="dxa"/>
            <w:gridSpan w:val="8"/>
            <w:tcBorders>
              <w:top w:val="single" w:sz="4" w:space="0" w:color="auto"/>
              <w:bottom w:val="single" w:sz="4" w:space="0" w:color="auto"/>
            </w:tcBorders>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Femmes</w:t>
            </w:r>
          </w:p>
        </w:tc>
        <w:tc>
          <w:tcPr>
            <w:tcW w:w="4036" w:type="dxa"/>
            <w:gridSpan w:val="7"/>
            <w:tcBorders>
              <w:top w:val="single" w:sz="4" w:space="0" w:color="auto"/>
              <w:bottom w:val="single" w:sz="4" w:space="0" w:color="auto"/>
            </w:tcBorders>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Hommes</w:t>
            </w:r>
          </w:p>
        </w:tc>
        <w:tc>
          <w:tcPr>
            <w:tcW w:w="603" w:type="dxa"/>
            <w:vMerge w:val="restart"/>
            <w:tcBorders>
              <w:top w:val="single" w:sz="4" w:space="0" w:color="auto"/>
            </w:tcBorders>
            <w:vAlign w:val="center"/>
          </w:tcPr>
          <w:p w:rsidR="006C3629" w:rsidRPr="009630CD" w:rsidRDefault="00731EFA" w:rsidP="005D7B68">
            <w:pPr>
              <w:tabs>
                <w:tab w:val="left" w:pos="567"/>
                <w:tab w:val="left" w:pos="1134"/>
                <w:tab w:val="left" w:pos="1701"/>
                <w:tab w:val="left" w:pos="2268"/>
                <w:tab w:val="left" w:pos="2835"/>
              </w:tabs>
              <w:spacing w:after="0"/>
              <w:jc w:val="center"/>
              <w:rPr>
                <w:sz w:val="16"/>
                <w:szCs w:val="18"/>
              </w:rPr>
            </w:pPr>
            <w:r>
              <w:rPr>
                <w:sz w:val="16"/>
                <w:szCs w:val="18"/>
              </w:rPr>
              <w:t>T</w:t>
            </w:r>
            <w:r w:rsidR="006C3629" w:rsidRPr="009630CD">
              <w:rPr>
                <w:sz w:val="16"/>
                <w:szCs w:val="18"/>
              </w:rPr>
              <w:t>otal</w:t>
            </w:r>
          </w:p>
        </w:tc>
      </w:tr>
      <w:tr w:rsidR="004C41F7" w:rsidRPr="009630CD">
        <w:trPr>
          <w:cantSplit/>
          <w:trHeight w:val="610"/>
          <w:tblHeader/>
        </w:trPr>
        <w:tc>
          <w:tcPr>
            <w:tcW w:w="788" w:type="dxa"/>
            <w:vMerge/>
            <w:tcBorders>
              <w:bottom w:val="single" w:sz="4" w:space="0" w:color="auto"/>
            </w:tcBorders>
            <w:textDirection w:val="btL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p>
        </w:tc>
        <w:tc>
          <w:tcPr>
            <w:tcW w:w="2115" w:type="dxa"/>
            <w:gridSpan w:val="3"/>
            <w:vMerge/>
            <w:tcBorders>
              <w:bottom w:val="single" w:sz="4" w:space="0" w:color="auto"/>
            </w:tcBorders>
            <w:textDirection w:val="btL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p>
        </w:tc>
        <w:tc>
          <w:tcPr>
            <w:tcW w:w="1322" w:type="dxa"/>
            <w:vMerge/>
            <w:tcBorders>
              <w:bottom w:val="single" w:sz="4" w:space="0" w:color="auto"/>
            </w:tcBorders>
            <w:textDirection w:val="btL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p>
        </w:tc>
        <w:tc>
          <w:tcPr>
            <w:tcW w:w="574"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20-24</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25-29</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30-34</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35-39</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40-44</w:t>
            </w:r>
          </w:p>
        </w:tc>
        <w:tc>
          <w:tcPr>
            <w:tcW w:w="574"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45-49</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55-59</w:t>
            </w:r>
          </w:p>
        </w:tc>
        <w:tc>
          <w:tcPr>
            <w:tcW w:w="580"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U</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25-29</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35-39</w:t>
            </w:r>
          </w:p>
        </w:tc>
        <w:tc>
          <w:tcPr>
            <w:tcW w:w="574"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40-44</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45-49</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50-54</w:t>
            </w:r>
          </w:p>
        </w:tc>
        <w:tc>
          <w:tcPr>
            <w:tcW w:w="575"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55-59</w:t>
            </w:r>
          </w:p>
        </w:tc>
        <w:tc>
          <w:tcPr>
            <w:tcW w:w="587" w:type="dxa"/>
            <w:tcBorders>
              <w:top w:val="single" w:sz="4" w:space="0" w:color="auto"/>
              <w:bottom w:val="single" w:sz="4" w:space="0" w:color="auto"/>
            </w:tcBorders>
            <w:textDirection w:val="btLr"/>
            <w:vAlign w:val="cente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r w:rsidRPr="009630CD">
              <w:rPr>
                <w:sz w:val="16"/>
                <w:szCs w:val="18"/>
              </w:rPr>
              <w:t>65-69</w:t>
            </w:r>
          </w:p>
        </w:tc>
        <w:tc>
          <w:tcPr>
            <w:tcW w:w="603" w:type="dxa"/>
            <w:vMerge/>
            <w:tcBorders>
              <w:bottom w:val="single" w:sz="4" w:space="0" w:color="auto"/>
            </w:tcBorders>
            <w:textDirection w:val="btLr"/>
          </w:tcPr>
          <w:p w:rsidR="006C3629" w:rsidRPr="009630CD" w:rsidRDefault="006C3629" w:rsidP="005D7B68">
            <w:pPr>
              <w:tabs>
                <w:tab w:val="left" w:pos="567"/>
                <w:tab w:val="left" w:pos="1134"/>
                <w:tab w:val="left" w:pos="1701"/>
                <w:tab w:val="left" w:pos="2268"/>
                <w:tab w:val="left" w:pos="2835"/>
              </w:tabs>
              <w:spacing w:after="0"/>
              <w:ind w:left="113" w:right="113"/>
              <w:jc w:val="center"/>
              <w:rPr>
                <w:sz w:val="16"/>
                <w:szCs w:val="18"/>
              </w:rPr>
            </w:pPr>
          </w:p>
        </w:tc>
      </w:tr>
      <w:tr w:rsidR="004C41F7" w:rsidRPr="009630CD">
        <w:tc>
          <w:tcPr>
            <w:tcW w:w="788" w:type="dxa"/>
            <w:tcBorders>
              <w:top w:val="single" w:sz="4" w:space="0" w:color="auto"/>
              <w:bottom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r w:rsidRPr="009630CD">
              <w:rPr>
                <w:sz w:val="16"/>
                <w:szCs w:val="18"/>
              </w:rPr>
              <w:t>2000</w:t>
            </w:r>
          </w:p>
        </w:tc>
        <w:tc>
          <w:tcPr>
            <w:tcW w:w="2115" w:type="dxa"/>
            <w:gridSpan w:val="3"/>
            <w:tcBorders>
              <w:top w:val="single" w:sz="4" w:space="0" w:color="auto"/>
              <w:bottom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006C3629" w:rsidRPr="00267B12">
              <w:rPr>
                <w:sz w:val="16"/>
                <w:szCs w:val="18"/>
                <w:lang w:val="fr-FR"/>
              </w:rPr>
              <w:t>prostitution, etc.</w:t>
            </w:r>
          </w:p>
        </w:tc>
        <w:tc>
          <w:tcPr>
            <w:tcW w:w="1322" w:type="dxa"/>
            <w:tcBorders>
              <w:top w:val="single" w:sz="4" w:space="0" w:color="auto"/>
              <w:bottom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Ordonnance de travail d’intérêt général</w:t>
            </w: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80"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87"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603"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2</w:t>
            </w:r>
          </w:p>
        </w:tc>
      </w:tr>
      <w:tr w:rsidR="004C41F7" w:rsidRPr="009630CD">
        <w:tc>
          <w:tcPr>
            <w:tcW w:w="788" w:type="dxa"/>
            <w:tcBorders>
              <w:top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top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nil"/>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80"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87"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603"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r>
      <w:tr w:rsidR="004C41F7" w:rsidRPr="009630CD">
        <w:tc>
          <w:tcPr>
            <w:tcW w:w="788" w:type="dxa"/>
            <w:tcBorders>
              <w:bottom w:val="single" w:sz="4" w:space="0" w:color="auto"/>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bottom w:val="single" w:sz="4" w:space="0" w:color="auto"/>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Sursis</w:t>
            </w: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80"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c>
          <w:tcPr>
            <w:tcW w:w="587"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p>
        </w:tc>
        <w:tc>
          <w:tcPr>
            <w:tcW w:w="603"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6"/>
              </w:rPr>
            </w:pPr>
            <w:r w:rsidRPr="009630CD">
              <w:rPr>
                <w:sz w:val="16"/>
                <w:szCs w:val="16"/>
              </w:rPr>
              <w:t>1</w:t>
            </w:r>
          </w:p>
        </w:tc>
      </w:tr>
      <w:tr w:rsidR="004C41F7" w:rsidRPr="00073B26">
        <w:tc>
          <w:tcPr>
            <w:tcW w:w="4225" w:type="dxa"/>
            <w:gridSpan w:val="5"/>
            <w:tcBorders>
              <w:top w:val="single" w:sz="4" w:space="0" w:color="auto"/>
              <w:bottom w:val="single" w:sz="4" w:space="0" w:color="auto"/>
            </w:tcBorders>
          </w:tcPr>
          <w:p w:rsidR="006C3629" w:rsidRPr="00073B26" w:rsidRDefault="006C3629" w:rsidP="005D7B68">
            <w:pPr>
              <w:tabs>
                <w:tab w:val="left" w:pos="567"/>
                <w:tab w:val="left" w:pos="1134"/>
                <w:tab w:val="left" w:pos="1701"/>
                <w:tab w:val="left" w:pos="2268"/>
                <w:tab w:val="left" w:pos="2835"/>
              </w:tabs>
              <w:spacing w:after="0"/>
              <w:rPr>
                <w:i/>
                <w:iCs/>
                <w:sz w:val="16"/>
                <w:szCs w:val="18"/>
              </w:rPr>
            </w:pPr>
            <w:r w:rsidRPr="00073B26">
              <w:rPr>
                <w:i/>
                <w:iCs/>
                <w:sz w:val="16"/>
                <w:szCs w:val="18"/>
              </w:rPr>
              <w:t xml:space="preserve">2000 </w:t>
            </w:r>
            <w:r w:rsidR="0017310E" w:rsidRPr="00073B26">
              <w:rPr>
                <w:i/>
                <w:iCs/>
                <w:sz w:val="16"/>
                <w:szCs w:val="18"/>
              </w:rPr>
              <w:t>Total</w:t>
            </w:r>
          </w:p>
        </w:tc>
        <w:tc>
          <w:tcPr>
            <w:tcW w:w="574"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r w:rsidRPr="00073B26">
              <w:rPr>
                <w:i/>
                <w:iCs/>
                <w:sz w:val="16"/>
                <w:szCs w:val="16"/>
              </w:rPr>
              <w:t>1</w:t>
            </w: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r w:rsidRPr="00073B26">
              <w:rPr>
                <w:i/>
                <w:iCs/>
                <w:sz w:val="16"/>
                <w:szCs w:val="16"/>
              </w:rPr>
              <w:t>1</w:t>
            </w: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4"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80"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r w:rsidRPr="00073B26">
              <w:rPr>
                <w:i/>
                <w:iCs/>
                <w:sz w:val="16"/>
                <w:szCs w:val="16"/>
              </w:rPr>
              <w:t>1</w:t>
            </w: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4"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575"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r w:rsidRPr="00073B26">
              <w:rPr>
                <w:i/>
                <w:iCs/>
                <w:sz w:val="16"/>
                <w:szCs w:val="16"/>
              </w:rPr>
              <w:t>1</w:t>
            </w:r>
          </w:p>
        </w:tc>
        <w:tc>
          <w:tcPr>
            <w:tcW w:w="587"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p>
        </w:tc>
        <w:tc>
          <w:tcPr>
            <w:tcW w:w="603" w:type="dxa"/>
            <w:tcBorders>
              <w:top w:val="single" w:sz="4" w:space="0" w:color="auto"/>
              <w:bottom w:val="single" w:sz="4" w:space="0" w:color="auto"/>
            </w:tcBorders>
            <w:vAlign w:val="bottom"/>
          </w:tcPr>
          <w:p w:rsidR="006C3629" w:rsidRPr="00073B26" w:rsidRDefault="006C3629" w:rsidP="005D7B68">
            <w:pPr>
              <w:tabs>
                <w:tab w:val="left" w:pos="567"/>
                <w:tab w:val="left" w:pos="1134"/>
                <w:tab w:val="left" w:pos="1701"/>
                <w:tab w:val="left" w:pos="2268"/>
                <w:tab w:val="left" w:pos="2835"/>
              </w:tabs>
              <w:spacing w:after="0"/>
              <w:jc w:val="center"/>
              <w:rPr>
                <w:i/>
                <w:iCs/>
                <w:sz w:val="16"/>
                <w:szCs w:val="16"/>
              </w:rPr>
            </w:pPr>
            <w:r w:rsidRPr="00073B26">
              <w:rPr>
                <w:i/>
                <w:iCs/>
                <w:sz w:val="16"/>
                <w:szCs w:val="16"/>
              </w:rPr>
              <w:t>4</w:t>
            </w:r>
          </w:p>
        </w:tc>
      </w:tr>
      <w:tr w:rsidR="004C41F7" w:rsidRPr="009630CD">
        <w:tc>
          <w:tcPr>
            <w:tcW w:w="788" w:type="dxa"/>
            <w:tcBorders>
              <w:top w:val="single" w:sz="4" w:space="0" w:color="auto"/>
              <w:bottom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r w:rsidRPr="009630CD">
              <w:rPr>
                <w:sz w:val="16"/>
                <w:szCs w:val="18"/>
              </w:rPr>
              <w:t>2001</w:t>
            </w:r>
          </w:p>
        </w:tc>
        <w:tc>
          <w:tcPr>
            <w:tcW w:w="2115" w:type="dxa"/>
            <w:gridSpan w:val="3"/>
            <w:tcBorders>
              <w:top w:val="single" w:sz="4" w:space="0" w:color="auto"/>
              <w:bottom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single" w:sz="4" w:space="0" w:color="auto"/>
              <w:bottom w:val="nil"/>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603"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3</w:t>
            </w:r>
          </w:p>
        </w:tc>
      </w:tr>
      <w:tr w:rsidR="004C41F7" w:rsidRPr="009630CD">
        <w:tc>
          <w:tcPr>
            <w:tcW w:w="788" w:type="dxa"/>
            <w:tcBorders>
              <w:top w:val="nil"/>
              <w:bottom w:val="single" w:sz="4" w:space="0" w:color="auto"/>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top w:val="nil"/>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Publications</w:t>
            </w:r>
            <w:r w:rsidR="00FD05A8">
              <w:rPr>
                <w:sz w:val="16"/>
                <w:szCs w:val="18"/>
              </w:rPr>
              <w:t xml:space="preserve"> et e</w:t>
            </w:r>
            <w:r>
              <w:rPr>
                <w:sz w:val="16"/>
                <w:szCs w:val="18"/>
              </w:rPr>
              <w:t>xpositions obscènes</w:t>
            </w:r>
          </w:p>
        </w:tc>
        <w:tc>
          <w:tcPr>
            <w:tcW w:w="1322" w:type="dxa"/>
            <w:tcBorders>
              <w:top w:val="nil"/>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Travail d’intérêt général</w:t>
            </w: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Pr>
                <w:sz w:val="16"/>
                <w:szCs w:val="18"/>
              </w:rPr>
              <w:t>1</w:t>
            </w: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4C41F7">
        <w:tc>
          <w:tcPr>
            <w:tcW w:w="4225" w:type="dxa"/>
            <w:gridSpan w:val="5"/>
            <w:tcBorders>
              <w:top w:val="single" w:sz="4" w:space="0" w:color="auto"/>
              <w:bottom w:val="single" w:sz="4" w:space="0" w:color="auto"/>
            </w:tcBorders>
          </w:tcPr>
          <w:p w:rsidR="006C3629" w:rsidRPr="004C41F7" w:rsidRDefault="006C3629" w:rsidP="005D7B68">
            <w:pPr>
              <w:tabs>
                <w:tab w:val="left" w:pos="567"/>
                <w:tab w:val="left" w:pos="1134"/>
                <w:tab w:val="left" w:pos="1701"/>
                <w:tab w:val="left" w:pos="2268"/>
                <w:tab w:val="left" w:pos="2835"/>
              </w:tabs>
              <w:spacing w:after="0"/>
              <w:rPr>
                <w:i/>
                <w:iCs/>
                <w:sz w:val="16"/>
                <w:szCs w:val="18"/>
              </w:rPr>
            </w:pPr>
            <w:r w:rsidRPr="004C41F7">
              <w:rPr>
                <w:i/>
                <w:iCs/>
                <w:sz w:val="16"/>
                <w:szCs w:val="18"/>
              </w:rPr>
              <w:t xml:space="preserve">2001 </w:t>
            </w:r>
            <w:r w:rsidR="0017310E" w:rsidRPr="004C41F7">
              <w:rPr>
                <w:i/>
                <w:iCs/>
                <w:sz w:val="16"/>
                <w:szCs w:val="18"/>
              </w:rPr>
              <w:t>Total</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0"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7"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603"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4</w:t>
            </w:r>
          </w:p>
        </w:tc>
      </w:tr>
      <w:tr w:rsidR="004C41F7" w:rsidRPr="009630CD">
        <w:tc>
          <w:tcPr>
            <w:tcW w:w="788" w:type="dxa"/>
            <w:tcBorders>
              <w:top w:val="single" w:sz="4" w:space="0" w:color="auto"/>
              <w:bottom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r w:rsidRPr="009630CD">
              <w:rPr>
                <w:sz w:val="16"/>
                <w:szCs w:val="18"/>
              </w:rPr>
              <w:t>2002</w:t>
            </w:r>
          </w:p>
        </w:tc>
        <w:tc>
          <w:tcPr>
            <w:tcW w:w="2115" w:type="dxa"/>
            <w:gridSpan w:val="3"/>
            <w:tcBorders>
              <w:top w:val="single" w:sz="4" w:space="0" w:color="auto"/>
              <w:bottom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single" w:sz="4" w:space="0" w:color="auto"/>
              <w:bottom w:val="nil"/>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Travail d’intérêt général</w:t>
            </w: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single" w:sz="4" w:space="0" w:color="auto"/>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9630CD">
        <w:tc>
          <w:tcPr>
            <w:tcW w:w="788" w:type="dxa"/>
            <w:tcBorders>
              <w:top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top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nil"/>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2</w:t>
            </w: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5</w:t>
            </w:r>
          </w:p>
        </w:tc>
      </w:tr>
      <w:tr w:rsidR="004C41F7" w:rsidRPr="009630CD">
        <w:tc>
          <w:tcPr>
            <w:tcW w:w="788" w:type="dxa"/>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Sursis</w:t>
            </w:r>
          </w:p>
        </w:tc>
        <w:tc>
          <w:tcPr>
            <w:tcW w:w="574"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9630CD">
        <w:tc>
          <w:tcPr>
            <w:tcW w:w="788" w:type="dxa"/>
            <w:tcBorders>
              <w:bottom w:val="single" w:sz="4" w:space="0" w:color="auto"/>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bottom w:val="single" w:sz="4" w:space="0" w:color="auto"/>
            </w:tcBorders>
          </w:tcPr>
          <w:p w:rsidR="006C3629" w:rsidRPr="009630CD" w:rsidRDefault="000522EF"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322" w:type="dxa"/>
            <w:tcBorders>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80"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4"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2</w:t>
            </w:r>
          </w:p>
        </w:tc>
      </w:tr>
      <w:tr w:rsidR="004C41F7" w:rsidRPr="004C41F7">
        <w:tc>
          <w:tcPr>
            <w:tcW w:w="4225" w:type="dxa"/>
            <w:gridSpan w:val="5"/>
            <w:tcBorders>
              <w:top w:val="single" w:sz="4" w:space="0" w:color="auto"/>
              <w:bottom w:val="single" w:sz="4" w:space="0" w:color="auto"/>
            </w:tcBorders>
          </w:tcPr>
          <w:p w:rsidR="006C3629" w:rsidRPr="004C41F7" w:rsidRDefault="006C3629" w:rsidP="005D7B68">
            <w:pPr>
              <w:tabs>
                <w:tab w:val="left" w:pos="567"/>
                <w:tab w:val="left" w:pos="1134"/>
                <w:tab w:val="left" w:pos="1701"/>
                <w:tab w:val="left" w:pos="2268"/>
                <w:tab w:val="left" w:pos="2835"/>
              </w:tabs>
              <w:spacing w:after="0"/>
              <w:rPr>
                <w:i/>
                <w:iCs/>
                <w:sz w:val="16"/>
                <w:szCs w:val="18"/>
              </w:rPr>
            </w:pPr>
            <w:r w:rsidRPr="004C41F7">
              <w:rPr>
                <w:i/>
                <w:iCs/>
                <w:sz w:val="16"/>
                <w:szCs w:val="18"/>
              </w:rPr>
              <w:t xml:space="preserve">2002 </w:t>
            </w:r>
            <w:r w:rsidR="0017310E" w:rsidRPr="004C41F7">
              <w:rPr>
                <w:i/>
                <w:iCs/>
                <w:sz w:val="16"/>
                <w:szCs w:val="18"/>
              </w:rPr>
              <w:t>Total</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2</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2</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80"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7"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603"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9</w:t>
            </w:r>
          </w:p>
        </w:tc>
      </w:tr>
      <w:tr w:rsidR="004C41F7" w:rsidRPr="009630CD">
        <w:tc>
          <w:tcPr>
            <w:tcW w:w="788" w:type="dxa"/>
            <w:tcBorders>
              <w:top w:val="nil"/>
              <w:bottom w:val="nil"/>
            </w:tcBorders>
          </w:tcPr>
          <w:p w:rsidR="006C3629" w:rsidRPr="009630CD" w:rsidRDefault="006C3629" w:rsidP="005D7B68">
            <w:pPr>
              <w:tabs>
                <w:tab w:val="left" w:pos="567"/>
                <w:tab w:val="left" w:pos="1134"/>
                <w:tab w:val="left" w:pos="1701"/>
                <w:tab w:val="left" w:pos="2268"/>
                <w:tab w:val="left" w:pos="2835"/>
              </w:tabs>
              <w:spacing w:after="0"/>
              <w:rPr>
                <w:sz w:val="16"/>
                <w:szCs w:val="18"/>
              </w:rPr>
            </w:pPr>
            <w:r w:rsidRPr="009630CD">
              <w:rPr>
                <w:sz w:val="16"/>
                <w:szCs w:val="18"/>
              </w:rPr>
              <w:t>2003</w:t>
            </w:r>
          </w:p>
        </w:tc>
        <w:tc>
          <w:tcPr>
            <w:tcW w:w="2115" w:type="dxa"/>
            <w:gridSpan w:val="3"/>
            <w:tcBorders>
              <w:top w:val="nil"/>
              <w:bottom w:val="nil"/>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nil"/>
              <w:bottom w:val="nil"/>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nil"/>
              <w:bottom w:val="nil"/>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9630CD">
        <w:tc>
          <w:tcPr>
            <w:tcW w:w="788" w:type="dxa"/>
            <w:tcBorders>
              <w:top w:val="nil"/>
              <w:bottom w:val="single" w:sz="4" w:space="0" w:color="auto"/>
            </w:tcBorders>
          </w:tcPr>
          <w:p w:rsidR="006C3629" w:rsidRPr="009630CD" w:rsidRDefault="006C3629" w:rsidP="005D7B68">
            <w:pPr>
              <w:tabs>
                <w:tab w:val="left" w:pos="567"/>
                <w:tab w:val="left" w:pos="1134"/>
                <w:tab w:val="left" w:pos="1701"/>
                <w:tab w:val="left" w:pos="2268"/>
                <w:tab w:val="left" w:pos="2835"/>
              </w:tabs>
              <w:spacing w:after="0"/>
              <w:rPr>
                <w:sz w:val="16"/>
                <w:szCs w:val="18"/>
              </w:rPr>
            </w:pPr>
          </w:p>
        </w:tc>
        <w:tc>
          <w:tcPr>
            <w:tcW w:w="2115" w:type="dxa"/>
            <w:gridSpan w:val="3"/>
            <w:tcBorders>
              <w:top w:val="nil"/>
              <w:bottom w:val="single" w:sz="4" w:space="0" w:color="auto"/>
            </w:tcBorders>
          </w:tcPr>
          <w:p w:rsidR="006C3629" w:rsidRPr="009630CD" w:rsidRDefault="000522EF"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322" w:type="dxa"/>
            <w:tcBorders>
              <w:top w:val="nil"/>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nil"/>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4C41F7">
        <w:tc>
          <w:tcPr>
            <w:tcW w:w="4225" w:type="dxa"/>
            <w:gridSpan w:val="5"/>
            <w:tcBorders>
              <w:top w:val="single" w:sz="4" w:space="0" w:color="auto"/>
              <w:bottom w:val="single" w:sz="4" w:space="0" w:color="auto"/>
            </w:tcBorders>
          </w:tcPr>
          <w:p w:rsidR="006C3629" w:rsidRPr="004C41F7" w:rsidRDefault="006C3629" w:rsidP="005D7B68">
            <w:pPr>
              <w:tabs>
                <w:tab w:val="left" w:pos="567"/>
                <w:tab w:val="left" w:pos="1134"/>
                <w:tab w:val="left" w:pos="1701"/>
                <w:tab w:val="left" w:pos="2268"/>
                <w:tab w:val="left" w:pos="2835"/>
              </w:tabs>
              <w:spacing w:after="0"/>
              <w:rPr>
                <w:i/>
                <w:iCs/>
                <w:sz w:val="16"/>
                <w:szCs w:val="18"/>
              </w:rPr>
            </w:pPr>
            <w:r w:rsidRPr="004C41F7">
              <w:rPr>
                <w:i/>
                <w:iCs/>
                <w:sz w:val="16"/>
                <w:szCs w:val="18"/>
              </w:rPr>
              <w:t xml:space="preserve">2003 </w:t>
            </w:r>
            <w:r w:rsidR="004C41F7" w:rsidRPr="004C41F7">
              <w:rPr>
                <w:i/>
                <w:iCs/>
                <w:sz w:val="16"/>
                <w:szCs w:val="18"/>
              </w:rPr>
              <w:t>Total</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0"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7"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603"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2</w:t>
            </w:r>
          </w:p>
        </w:tc>
      </w:tr>
      <w:tr w:rsidR="004C41F7" w:rsidRPr="009630CD">
        <w:tc>
          <w:tcPr>
            <w:tcW w:w="788" w:type="dxa"/>
            <w:tcBorders>
              <w:top w:val="single" w:sz="4" w:space="0" w:color="auto"/>
              <w:bottom w:val="single" w:sz="4" w:space="0" w:color="auto"/>
            </w:tcBorders>
          </w:tcPr>
          <w:p w:rsidR="006C3629" w:rsidRPr="009630CD" w:rsidRDefault="006C3629" w:rsidP="005D7B68">
            <w:pPr>
              <w:tabs>
                <w:tab w:val="left" w:pos="567"/>
                <w:tab w:val="left" w:pos="1134"/>
                <w:tab w:val="left" w:pos="1701"/>
                <w:tab w:val="left" w:pos="2268"/>
                <w:tab w:val="left" w:pos="2835"/>
              </w:tabs>
              <w:spacing w:after="0"/>
              <w:rPr>
                <w:sz w:val="16"/>
                <w:szCs w:val="18"/>
              </w:rPr>
            </w:pPr>
            <w:r w:rsidRPr="009630CD">
              <w:rPr>
                <w:sz w:val="16"/>
                <w:szCs w:val="18"/>
              </w:rPr>
              <w:t>2004</w:t>
            </w:r>
          </w:p>
        </w:tc>
        <w:tc>
          <w:tcPr>
            <w:tcW w:w="2115" w:type="dxa"/>
            <w:gridSpan w:val="3"/>
            <w:tcBorders>
              <w:top w:val="single" w:sz="4" w:space="0" w:color="auto"/>
              <w:bottom w:val="single" w:sz="4" w:space="0" w:color="auto"/>
            </w:tcBorders>
          </w:tcPr>
          <w:p w:rsidR="006C3629" w:rsidRPr="00267B12" w:rsidRDefault="00267B1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6C3629" w:rsidRPr="00267B12">
              <w:rPr>
                <w:sz w:val="16"/>
                <w:szCs w:val="18"/>
                <w:lang w:val="fr-FR"/>
              </w:rPr>
              <w:t>, etc.</w:t>
            </w:r>
          </w:p>
        </w:tc>
        <w:tc>
          <w:tcPr>
            <w:tcW w:w="1322" w:type="dxa"/>
            <w:tcBorders>
              <w:top w:val="single" w:sz="4" w:space="0" w:color="auto"/>
              <w:bottom w:val="single" w:sz="4" w:space="0" w:color="auto"/>
            </w:tcBorders>
          </w:tcPr>
          <w:p w:rsidR="006C3629" w:rsidRPr="009630CD" w:rsidRDefault="00267B12" w:rsidP="005D7B68">
            <w:pPr>
              <w:tabs>
                <w:tab w:val="left" w:pos="567"/>
                <w:tab w:val="left" w:pos="1134"/>
                <w:tab w:val="left" w:pos="1701"/>
                <w:tab w:val="left" w:pos="2268"/>
                <w:tab w:val="left" w:pos="2835"/>
              </w:tabs>
              <w:spacing w:after="0"/>
              <w:rPr>
                <w:sz w:val="16"/>
                <w:szCs w:val="18"/>
              </w:rPr>
            </w:pPr>
            <w:r>
              <w:rPr>
                <w:sz w:val="16"/>
                <w:szCs w:val="18"/>
              </w:rPr>
              <w:t>Peine de prison</w:t>
            </w:r>
          </w:p>
        </w:tc>
        <w:tc>
          <w:tcPr>
            <w:tcW w:w="574"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0"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Pr>
                <w:sz w:val="16"/>
                <w:szCs w:val="18"/>
              </w:rPr>
              <w:t>1</w:t>
            </w: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587"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p>
        </w:tc>
        <w:tc>
          <w:tcPr>
            <w:tcW w:w="603" w:type="dxa"/>
            <w:tcBorders>
              <w:top w:val="single" w:sz="4" w:space="0" w:color="auto"/>
              <w:bottom w:val="single" w:sz="4" w:space="0" w:color="auto"/>
            </w:tcBorders>
            <w:vAlign w:val="bottom"/>
          </w:tcPr>
          <w:p w:rsidR="006C3629" w:rsidRPr="009630CD" w:rsidRDefault="006C3629"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r>
      <w:tr w:rsidR="004C41F7" w:rsidRPr="004C41F7">
        <w:tc>
          <w:tcPr>
            <w:tcW w:w="4225" w:type="dxa"/>
            <w:gridSpan w:val="5"/>
            <w:tcBorders>
              <w:top w:val="single" w:sz="4" w:space="0" w:color="auto"/>
              <w:bottom w:val="single" w:sz="4" w:space="0" w:color="auto"/>
            </w:tcBorders>
          </w:tcPr>
          <w:p w:rsidR="006C3629" w:rsidRPr="004C41F7" w:rsidRDefault="006C3629" w:rsidP="005D7B68">
            <w:pPr>
              <w:tabs>
                <w:tab w:val="left" w:pos="567"/>
                <w:tab w:val="left" w:pos="1134"/>
                <w:tab w:val="left" w:pos="1701"/>
                <w:tab w:val="left" w:pos="2268"/>
                <w:tab w:val="left" w:pos="2835"/>
              </w:tabs>
              <w:spacing w:after="0"/>
              <w:rPr>
                <w:i/>
                <w:iCs/>
                <w:sz w:val="16"/>
                <w:szCs w:val="18"/>
              </w:rPr>
            </w:pPr>
            <w:r w:rsidRPr="004C41F7">
              <w:rPr>
                <w:i/>
                <w:iCs/>
                <w:sz w:val="16"/>
                <w:szCs w:val="18"/>
              </w:rPr>
              <w:t xml:space="preserve">2004 </w:t>
            </w:r>
            <w:r w:rsidR="004C41F7" w:rsidRPr="004C41F7">
              <w:rPr>
                <w:i/>
                <w:iCs/>
                <w:sz w:val="16"/>
                <w:szCs w:val="18"/>
              </w:rPr>
              <w:t>Total</w:t>
            </w: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0"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4"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587"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p>
        </w:tc>
        <w:tc>
          <w:tcPr>
            <w:tcW w:w="603" w:type="dxa"/>
            <w:tcBorders>
              <w:top w:val="single" w:sz="4" w:space="0" w:color="auto"/>
              <w:bottom w:val="single" w:sz="4" w:space="0" w:color="auto"/>
            </w:tcBorders>
            <w:vAlign w:val="bottom"/>
          </w:tcPr>
          <w:p w:rsidR="006C3629" w:rsidRPr="004C41F7" w:rsidRDefault="006C3629"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r>
      <w:tr w:rsidR="004C41F7" w:rsidRPr="00A71838">
        <w:tc>
          <w:tcPr>
            <w:tcW w:w="821" w:type="dxa"/>
            <w:gridSpan w:val="2"/>
            <w:tcBorders>
              <w:top w:val="nil"/>
              <w:bottom w:val="nil"/>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sidRPr="009630CD">
              <w:rPr>
                <w:sz w:val="16"/>
                <w:szCs w:val="18"/>
              </w:rPr>
              <w:t>2005</w:t>
            </w:r>
          </w:p>
        </w:tc>
        <w:tc>
          <w:tcPr>
            <w:tcW w:w="2082" w:type="dxa"/>
            <w:gridSpan w:val="2"/>
            <w:tcBorders>
              <w:top w:val="nil"/>
              <w:bottom w:val="nil"/>
            </w:tcBorders>
          </w:tcPr>
          <w:p w:rsidR="00E76C9C" w:rsidRPr="00E76C9C" w:rsidRDefault="00E76C9C" w:rsidP="005D7B68">
            <w:pPr>
              <w:tabs>
                <w:tab w:val="left" w:pos="567"/>
                <w:tab w:val="left" w:pos="1134"/>
                <w:tab w:val="left" w:pos="1701"/>
                <w:tab w:val="left" w:pos="2268"/>
                <w:tab w:val="left" w:pos="2835"/>
              </w:tabs>
              <w:spacing w:after="0"/>
              <w:rPr>
                <w:sz w:val="16"/>
                <w:szCs w:val="18"/>
                <w:lang w:val="fr-FR"/>
              </w:rPr>
            </w:pPr>
            <w:r>
              <w:rPr>
                <w:sz w:val="16"/>
                <w:szCs w:val="18"/>
                <w:lang w:val="fr-FR"/>
              </w:rPr>
              <w:t>Participation dé</w:t>
            </w:r>
            <w:r w:rsidR="005B1FDE">
              <w:rPr>
                <w:sz w:val="16"/>
                <w:szCs w:val="18"/>
                <w:lang w:val="fr-FR"/>
              </w:rPr>
              <w:t>libérée à des actes de</w:t>
            </w:r>
            <w:r w:rsidR="00572260">
              <w:rPr>
                <w:sz w:val="16"/>
                <w:szCs w:val="18"/>
                <w:lang w:val="fr-FR"/>
              </w:rPr>
              <w:t xml:space="preserve"> </w:t>
            </w:r>
            <w:r>
              <w:rPr>
                <w:sz w:val="16"/>
                <w:szCs w:val="18"/>
                <w:lang w:val="fr-FR"/>
              </w:rPr>
              <w:t>prostit</w:t>
            </w:r>
            <w:r w:rsidRPr="00E76C9C">
              <w:rPr>
                <w:sz w:val="16"/>
                <w:szCs w:val="18"/>
                <w:lang w:val="fr-FR"/>
              </w:rPr>
              <w:t>ution</w:t>
            </w:r>
          </w:p>
        </w:tc>
        <w:tc>
          <w:tcPr>
            <w:tcW w:w="1322" w:type="dxa"/>
            <w:tcBorders>
              <w:top w:val="nil"/>
              <w:bottom w:val="nil"/>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7" w:type="dxa"/>
            <w:tcBorders>
              <w:top w:val="nil"/>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3" w:type="dxa"/>
            <w:tcBorders>
              <w:top w:val="single" w:sz="4" w:space="0" w:color="auto"/>
              <w:bottom w:val="nil"/>
              <w:right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1162" w:type="dxa"/>
            <w:gridSpan w:val="2"/>
            <w:tcBorders>
              <w:top w:val="single" w:sz="4" w:space="0" w:color="auto"/>
              <w:left w:val="single" w:sz="4" w:space="0" w:color="auto"/>
              <w:bottom w:val="nil"/>
              <w:right w:val="single" w:sz="4" w:space="0" w:color="auto"/>
            </w:tcBorders>
            <w:vAlign w:val="bottom"/>
          </w:tcPr>
          <w:p w:rsidR="00E76C9C" w:rsidRPr="00A71838" w:rsidRDefault="00A71838" w:rsidP="005D7B68">
            <w:pPr>
              <w:tabs>
                <w:tab w:val="left" w:pos="567"/>
                <w:tab w:val="left" w:pos="1134"/>
                <w:tab w:val="left" w:pos="1701"/>
                <w:tab w:val="left" w:pos="2268"/>
                <w:tab w:val="left" w:pos="2835"/>
              </w:tabs>
              <w:spacing w:after="0"/>
              <w:rPr>
                <w:sz w:val="16"/>
                <w:szCs w:val="18"/>
                <w:lang w:val="fr-FR"/>
              </w:rPr>
            </w:pPr>
            <w:r w:rsidRPr="00A71838">
              <w:rPr>
                <w:sz w:val="16"/>
                <w:szCs w:val="18"/>
                <w:lang w:val="fr-FR"/>
              </w:rPr>
              <w:t xml:space="preserve">   </w:t>
            </w:r>
            <w:r w:rsidR="00E76C9C" w:rsidRPr="00A71838">
              <w:rPr>
                <w:sz w:val="16"/>
                <w:szCs w:val="18"/>
                <w:lang w:val="fr-FR"/>
              </w:rPr>
              <w:t>1</w:t>
            </w:r>
            <w:r w:rsidRPr="00A71838">
              <w:rPr>
                <w:sz w:val="16"/>
                <w:szCs w:val="18"/>
                <w:lang w:val="fr-FR"/>
              </w:rPr>
              <w:tab/>
            </w:r>
          </w:p>
        </w:tc>
        <w:tc>
          <w:tcPr>
            <w:tcW w:w="603" w:type="dxa"/>
            <w:tcBorders>
              <w:top w:val="nil"/>
              <w:left w:val="single" w:sz="4" w:space="0" w:color="auto"/>
              <w:bottom w:val="nil"/>
            </w:tcBorders>
            <w:vAlign w:val="bottom"/>
          </w:tcPr>
          <w:p w:rsidR="00E76C9C" w:rsidRPr="00A71838" w:rsidRDefault="005F42B7" w:rsidP="005D7B68">
            <w:pPr>
              <w:tabs>
                <w:tab w:val="left" w:pos="567"/>
                <w:tab w:val="left" w:pos="1134"/>
                <w:tab w:val="left" w:pos="1701"/>
                <w:tab w:val="left" w:pos="2268"/>
                <w:tab w:val="left" w:pos="2835"/>
              </w:tabs>
              <w:spacing w:after="0"/>
              <w:jc w:val="center"/>
              <w:rPr>
                <w:sz w:val="16"/>
                <w:szCs w:val="18"/>
                <w:lang w:val="fr-FR"/>
              </w:rPr>
            </w:pPr>
            <w:r w:rsidRPr="00A71838">
              <w:rPr>
                <w:sz w:val="16"/>
                <w:szCs w:val="18"/>
                <w:lang w:val="fr-FR"/>
              </w:rPr>
              <w:t>2</w:t>
            </w:r>
          </w:p>
        </w:tc>
      </w:tr>
      <w:tr w:rsidR="004C41F7" w:rsidRPr="00A71838">
        <w:tc>
          <w:tcPr>
            <w:tcW w:w="821" w:type="dxa"/>
            <w:gridSpan w:val="2"/>
            <w:tcBorders>
              <w:top w:val="nil"/>
              <w:bottom w:val="single" w:sz="4" w:space="0" w:color="auto"/>
            </w:tcBorders>
          </w:tcPr>
          <w:p w:rsidR="00E76C9C" w:rsidRPr="00A71838" w:rsidRDefault="00E76C9C" w:rsidP="005D7B68">
            <w:pPr>
              <w:tabs>
                <w:tab w:val="left" w:pos="567"/>
                <w:tab w:val="left" w:pos="1134"/>
                <w:tab w:val="left" w:pos="1701"/>
                <w:tab w:val="left" w:pos="2268"/>
                <w:tab w:val="left" w:pos="2835"/>
              </w:tabs>
              <w:spacing w:after="0"/>
              <w:rPr>
                <w:sz w:val="16"/>
                <w:szCs w:val="18"/>
                <w:lang w:val="fr-FR"/>
              </w:rPr>
            </w:pPr>
          </w:p>
        </w:tc>
        <w:tc>
          <w:tcPr>
            <w:tcW w:w="2082" w:type="dxa"/>
            <w:gridSpan w:val="2"/>
            <w:tcBorders>
              <w:top w:val="nil"/>
              <w:bottom w:val="single" w:sz="4" w:space="0" w:color="auto"/>
            </w:tcBorders>
          </w:tcPr>
          <w:p w:rsidR="00E76C9C" w:rsidRPr="00A71838" w:rsidRDefault="00E76C9C" w:rsidP="005D7B68">
            <w:pPr>
              <w:tabs>
                <w:tab w:val="left" w:pos="567"/>
                <w:tab w:val="left" w:pos="1134"/>
                <w:tab w:val="left" w:pos="1701"/>
                <w:tab w:val="left" w:pos="2268"/>
                <w:tab w:val="left" w:pos="2835"/>
              </w:tabs>
              <w:spacing w:after="0"/>
              <w:rPr>
                <w:sz w:val="16"/>
                <w:szCs w:val="18"/>
                <w:lang w:val="fr-FR"/>
              </w:rPr>
            </w:pPr>
            <w:r w:rsidRPr="00A71838">
              <w:rPr>
                <w:sz w:val="16"/>
                <w:szCs w:val="18"/>
                <w:lang w:val="fr-FR"/>
              </w:rPr>
              <w:t>Proxénétisme</w:t>
            </w:r>
          </w:p>
        </w:tc>
        <w:tc>
          <w:tcPr>
            <w:tcW w:w="1322" w:type="dxa"/>
            <w:tcBorders>
              <w:top w:val="nil"/>
              <w:bottom w:val="single" w:sz="4" w:space="0" w:color="auto"/>
            </w:tcBorders>
          </w:tcPr>
          <w:p w:rsidR="00E76C9C" w:rsidRPr="00A71838" w:rsidRDefault="00E76C9C" w:rsidP="005D7B68">
            <w:pPr>
              <w:tabs>
                <w:tab w:val="left" w:pos="567"/>
                <w:tab w:val="left" w:pos="1134"/>
                <w:tab w:val="left" w:pos="1701"/>
                <w:tab w:val="left" w:pos="2268"/>
                <w:tab w:val="left" w:pos="2835"/>
              </w:tabs>
              <w:spacing w:after="0"/>
              <w:rPr>
                <w:sz w:val="16"/>
                <w:szCs w:val="18"/>
                <w:lang w:val="fr-FR"/>
              </w:rPr>
            </w:pPr>
            <w:r w:rsidRPr="00A71838">
              <w:rPr>
                <w:sz w:val="16"/>
                <w:szCs w:val="18"/>
                <w:lang w:val="fr-FR"/>
              </w:rPr>
              <w:t>Peine de prison</w:t>
            </w:r>
          </w:p>
        </w:tc>
        <w:tc>
          <w:tcPr>
            <w:tcW w:w="574"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4"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80"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5"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4"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7"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573" w:type="dxa"/>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r w:rsidRPr="00A71838">
              <w:rPr>
                <w:sz w:val="16"/>
                <w:szCs w:val="18"/>
                <w:lang w:val="fr-FR"/>
              </w:rPr>
              <w:t>1</w:t>
            </w:r>
          </w:p>
        </w:tc>
        <w:tc>
          <w:tcPr>
            <w:tcW w:w="1162" w:type="dxa"/>
            <w:gridSpan w:val="2"/>
            <w:tcBorders>
              <w:top w:val="nil"/>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sz w:val="16"/>
                <w:szCs w:val="18"/>
                <w:lang w:val="fr-FR"/>
              </w:rPr>
            </w:pPr>
          </w:p>
        </w:tc>
        <w:tc>
          <w:tcPr>
            <w:tcW w:w="603" w:type="dxa"/>
            <w:tcBorders>
              <w:top w:val="nil"/>
              <w:bottom w:val="single" w:sz="4" w:space="0" w:color="auto"/>
            </w:tcBorders>
            <w:vAlign w:val="bottom"/>
          </w:tcPr>
          <w:p w:rsidR="00E76C9C" w:rsidRPr="00A71838" w:rsidRDefault="005F42B7" w:rsidP="005D7B68">
            <w:pPr>
              <w:tabs>
                <w:tab w:val="left" w:pos="567"/>
                <w:tab w:val="left" w:pos="1134"/>
                <w:tab w:val="left" w:pos="1701"/>
                <w:tab w:val="left" w:pos="2268"/>
                <w:tab w:val="left" w:pos="2835"/>
              </w:tabs>
              <w:spacing w:after="0"/>
              <w:jc w:val="center"/>
              <w:rPr>
                <w:sz w:val="16"/>
                <w:szCs w:val="18"/>
                <w:lang w:val="fr-FR"/>
              </w:rPr>
            </w:pPr>
            <w:r w:rsidRPr="00A71838">
              <w:rPr>
                <w:sz w:val="16"/>
                <w:szCs w:val="18"/>
                <w:lang w:val="fr-FR"/>
              </w:rPr>
              <w:t>1</w:t>
            </w:r>
          </w:p>
        </w:tc>
      </w:tr>
      <w:tr w:rsidR="004C41F7" w:rsidRPr="00A71838">
        <w:tc>
          <w:tcPr>
            <w:tcW w:w="4225" w:type="dxa"/>
            <w:gridSpan w:val="5"/>
            <w:tcBorders>
              <w:top w:val="single" w:sz="4" w:space="0" w:color="auto"/>
              <w:bottom w:val="single" w:sz="4" w:space="0" w:color="auto"/>
            </w:tcBorders>
          </w:tcPr>
          <w:p w:rsidR="00E76C9C" w:rsidRPr="00A71838" w:rsidRDefault="00E76C9C" w:rsidP="005D7B68">
            <w:pPr>
              <w:tabs>
                <w:tab w:val="left" w:pos="567"/>
                <w:tab w:val="left" w:pos="1134"/>
                <w:tab w:val="left" w:pos="1701"/>
                <w:tab w:val="left" w:pos="2268"/>
                <w:tab w:val="left" w:pos="2835"/>
              </w:tabs>
              <w:spacing w:after="0"/>
              <w:rPr>
                <w:i/>
                <w:iCs/>
                <w:sz w:val="16"/>
                <w:szCs w:val="18"/>
                <w:lang w:val="fr-FR"/>
              </w:rPr>
            </w:pPr>
            <w:r w:rsidRPr="00A71838">
              <w:rPr>
                <w:i/>
                <w:iCs/>
                <w:sz w:val="16"/>
                <w:szCs w:val="18"/>
                <w:lang w:val="fr-FR"/>
              </w:rPr>
              <w:t xml:space="preserve">2005 </w:t>
            </w:r>
            <w:r w:rsidR="004C41F7" w:rsidRPr="00A71838">
              <w:rPr>
                <w:i/>
                <w:iCs/>
                <w:sz w:val="16"/>
                <w:szCs w:val="18"/>
                <w:lang w:val="fr-FR"/>
              </w:rPr>
              <w:t>Total</w:t>
            </w:r>
          </w:p>
        </w:tc>
        <w:tc>
          <w:tcPr>
            <w:tcW w:w="574"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4"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80"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5"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4"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r w:rsidRPr="00A71838">
              <w:rPr>
                <w:i/>
                <w:iCs/>
                <w:sz w:val="16"/>
                <w:szCs w:val="18"/>
                <w:lang w:val="fr-FR"/>
              </w:rPr>
              <w:t>1</w:t>
            </w:r>
          </w:p>
        </w:tc>
        <w:tc>
          <w:tcPr>
            <w:tcW w:w="577"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p>
        </w:tc>
        <w:tc>
          <w:tcPr>
            <w:tcW w:w="573" w:type="dxa"/>
            <w:tcBorders>
              <w:top w:val="single" w:sz="4" w:space="0" w:color="auto"/>
              <w:bottom w:val="single" w:sz="4" w:space="0" w:color="auto"/>
            </w:tcBorders>
            <w:vAlign w:val="bottom"/>
          </w:tcPr>
          <w:p w:rsidR="00E76C9C" w:rsidRPr="00A71838" w:rsidRDefault="00E76C9C" w:rsidP="005D7B68">
            <w:pPr>
              <w:tabs>
                <w:tab w:val="left" w:pos="567"/>
                <w:tab w:val="left" w:pos="1134"/>
                <w:tab w:val="left" w:pos="1701"/>
                <w:tab w:val="left" w:pos="2268"/>
                <w:tab w:val="left" w:pos="2835"/>
              </w:tabs>
              <w:spacing w:after="0"/>
              <w:jc w:val="center"/>
              <w:rPr>
                <w:i/>
                <w:iCs/>
                <w:sz w:val="16"/>
                <w:szCs w:val="18"/>
                <w:lang w:val="fr-FR"/>
              </w:rPr>
            </w:pPr>
            <w:r w:rsidRPr="00A71838">
              <w:rPr>
                <w:i/>
                <w:iCs/>
                <w:sz w:val="16"/>
                <w:szCs w:val="18"/>
                <w:lang w:val="fr-FR"/>
              </w:rPr>
              <w:t>1</w:t>
            </w:r>
          </w:p>
        </w:tc>
        <w:tc>
          <w:tcPr>
            <w:tcW w:w="1162" w:type="dxa"/>
            <w:gridSpan w:val="2"/>
            <w:tcBorders>
              <w:top w:val="single" w:sz="4" w:space="0" w:color="auto"/>
              <w:bottom w:val="single" w:sz="4" w:space="0" w:color="auto"/>
            </w:tcBorders>
            <w:vAlign w:val="bottom"/>
          </w:tcPr>
          <w:p w:rsidR="00E76C9C" w:rsidRPr="00A71838" w:rsidRDefault="002C7AFB" w:rsidP="005D7B68">
            <w:pPr>
              <w:tabs>
                <w:tab w:val="left" w:pos="567"/>
                <w:tab w:val="left" w:pos="1134"/>
                <w:tab w:val="left" w:pos="1701"/>
                <w:tab w:val="left" w:pos="2268"/>
                <w:tab w:val="left" w:pos="2835"/>
              </w:tabs>
              <w:spacing w:after="0"/>
              <w:rPr>
                <w:i/>
                <w:iCs/>
                <w:sz w:val="16"/>
                <w:szCs w:val="18"/>
                <w:lang w:val="fr-FR"/>
              </w:rPr>
            </w:pPr>
            <w:r>
              <w:rPr>
                <w:i/>
                <w:iCs/>
                <w:sz w:val="16"/>
                <w:szCs w:val="18"/>
                <w:lang w:val="fr-FR"/>
              </w:rPr>
              <w:t xml:space="preserve">   </w:t>
            </w:r>
            <w:r w:rsidR="00E76C9C" w:rsidRPr="00A71838">
              <w:rPr>
                <w:i/>
                <w:iCs/>
                <w:sz w:val="16"/>
                <w:szCs w:val="18"/>
                <w:lang w:val="fr-FR"/>
              </w:rPr>
              <w:t>1</w:t>
            </w:r>
          </w:p>
        </w:tc>
        <w:tc>
          <w:tcPr>
            <w:tcW w:w="603" w:type="dxa"/>
            <w:tcBorders>
              <w:top w:val="single" w:sz="4" w:space="0" w:color="auto"/>
              <w:bottom w:val="single" w:sz="4" w:space="0" w:color="auto"/>
            </w:tcBorders>
            <w:vAlign w:val="bottom"/>
          </w:tcPr>
          <w:p w:rsidR="00E76C9C" w:rsidRPr="00A71838" w:rsidRDefault="005F42B7" w:rsidP="005D7B68">
            <w:pPr>
              <w:tabs>
                <w:tab w:val="left" w:pos="567"/>
                <w:tab w:val="left" w:pos="1134"/>
                <w:tab w:val="left" w:pos="1701"/>
                <w:tab w:val="left" w:pos="2268"/>
                <w:tab w:val="left" w:pos="2835"/>
              </w:tabs>
              <w:spacing w:after="0"/>
              <w:jc w:val="center"/>
              <w:rPr>
                <w:i/>
                <w:iCs/>
                <w:sz w:val="16"/>
                <w:szCs w:val="18"/>
                <w:lang w:val="fr-FR"/>
              </w:rPr>
            </w:pPr>
            <w:r w:rsidRPr="00A71838">
              <w:rPr>
                <w:i/>
                <w:iCs/>
                <w:sz w:val="16"/>
                <w:szCs w:val="18"/>
                <w:lang w:val="fr-FR"/>
              </w:rPr>
              <w:t>3</w:t>
            </w:r>
          </w:p>
        </w:tc>
      </w:tr>
      <w:tr w:rsidR="005F6ADB" w:rsidRPr="009630CD">
        <w:tc>
          <w:tcPr>
            <w:tcW w:w="788" w:type="dxa"/>
            <w:tcBorders>
              <w:top w:val="single" w:sz="4" w:space="0" w:color="auto"/>
              <w:bottom w:val="nil"/>
            </w:tcBorders>
          </w:tcPr>
          <w:p w:rsidR="00E76C9C" w:rsidRPr="00A71838" w:rsidRDefault="00E76C9C" w:rsidP="005D7B68">
            <w:pPr>
              <w:tabs>
                <w:tab w:val="left" w:pos="567"/>
                <w:tab w:val="left" w:pos="1134"/>
                <w:tab w:val="left" w:pos="1701"/>
                <w:tab w:val="left" w:pos="2268"/>
                <w:tab w:val="left" w:pos="2835"/>
              </w:tabs>
              <w:spacing w:after="0"/>
              <w:rPr>
                <w:sz w:val="16"/>
                <w:szCs w:val="18"/>
                <w:lang w:val="fr-FR"/>
              </w:rPr>
            </w:pPr>
            <w:r w:rsidRPr="00A71838">
              <w:rPr>
                <w:sz w:val="16"/>
                <w:szCs w:val="18"/>
                <w:lang w:val="fr-FR"/>
              </w:rPr>
              <w:t>2006</w:t>
            </w:r>
          </w:p>
        </w:tc>
        <w:tc>
          <w:tcPr>
            <w:tcW w:w="2108" w:type="dxa"/>
            <w:gridSpan w:val="2"/>
            <w:tcBorders>
              <w:top w:val="single" w:sz="4" w:space="0" w:color="auto"/>
              <w:bottom w:val="nil"/>
            </w:tcBorders>
          </w:tcPr>
          <w:p w:rsidR="00E76C9C" w:rsidRPr="00E76C9C" w:rsidRDefault="00E76C9C" w:rsidP="005D7B68">
            <w:pPr>
              <w:tabs>
                <w:tab w:val="left" w:pos="567"/>
                <w:tab w:val="left" w:pos="1134"/>
                <w:tab w:val="left" w:pos="1701"/>
                <w:tab w:val="left" w:pos="2268"/>
                <w:tab w:val="left" w:pos="2835"/>
              </w:tabs>
              <w:spacing w:after="0"/>
              <w:rPr>
                <w:sz w:val="16"/>
                <w:szCs w:val="18"/>
                <w:lang w:val="fr-FR"/>
              </w:rPr>
            </w:pPr>
            <w:r w:rsidRPr="00E76C9C">
              <w:rPr>
                <w:sz w:val="16"/>
                <w:szCs w:val="18"/>
                <w:lang w:val="fr-FR"/>
              </w:rPr>
              <w:t>Diffusion de documents relatifs à l’exploitation d’enfants</w:t>
            </w:r>
          </w:p>
        </w:tc>
        <w:tc>
          <w:tcPr>
            <w:tcW w:w="1329" w:type="dxa"/>
            <w:gridSpan w:val="2"/>
            <w:tcBorders>
              <w:top w:val="single" w:sz="4" w:space="0" w:color="auto"/>
              <w:bottom w:val="nil"/>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Pr>
                <w:sz w:val="16"/>
                <w:szCs w:val="18"/>
              </w:rPr>
              <w:t>Peine de prison</w:t>
            </w:r>
          </w:p>
        </w:tc>
        <w:tc>
          <w:tcPr>
            <w:tcW w:w="574"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80"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7"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3" w:type="dxa"/>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1162" w:type="dxa"/>
            <w:gridSpan w:val="2"/>
            <w:tcBorders>
              <w:top w:val="single" w:sz="4" w:space="0" w:color="auto"/>
              <w:bottom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603" w:type="dxa"/>
            <w:tcBorders>
              <w:top w:val="single" w:sz="4" w:space="0" w:color="auto"/>
              <w:bottom w:val="nil"/>
            </w:tcBorders>
            <w:vAlign w:val="bottom"/>
          </w:tcPr>
          <w:p w:rsidR="00E76C9C" w:rsidRPr="009630CD" w:rsidRDefault="005F42B7" w:rsidP="005D7B68">
            <w:pPr>
              <w:tabs>
                <w:tab w:val="left" w:pos="567"/>
                <w:tab w:val="left" w:pos="1134"/>
                <w:tab w:val="left" w:pos="1701"/>
                <w:tab w:val="left" w:pos="2268"/>
                <w:tab w:val="left" w:pos="2835"/>
              </w:tabs>
              <w:spacing w:after="0"/>
              <w:jc w:val="center"/>
              <w:rPr>
                <w:sz w:val="16"/>
                <w:szCs w:val="18"/>
              </w:rPr>
            </w:pPr>
            <w:r>
              <w:rPr>
                <w:sz w:val="16"/>
                <w:szCs w:val="18"/>
              </w:rPr>
              <w:t>1</w:t>
            </w:r>
          </w:p>
        </w:tc>
      </w:tr>
      <w:tr w:rsidR="005F6ADB" w:rsidRPr="009630CD">
        <w:tc>
          <w:tcPr>
            <w:tcW w:w="788" w:type="dxa"/>
            <w:tcBorders>
              <w:top w:val="nil"/>
            </w:tcBorders>
          </w:tcPr>
          <w:p w:rsidR="00E76C9C" w:rsidRPr="009630CD" w:rsidRDefault="00E76C9C" w:rsidP="005D7B68">
            <w:pPr>
              <w:tabs>
                <w:tab w:val="left" w:pos="567"/>
                <w:tab w:val="left" w:pos="1134"/>
                <w:tab w:val="left" w:pos="1701"/>
                <w:tab w:val="left" w:pos="2268"/>
                <w:tab w:val="left" w:pos="2835"/>
              </w:tabs>
              <w:spacing w:after="0"/>
              <w:rPr>
                <w:sz w:val="16"/>
                <w:szCs w:val="18"/>
              </w:rPr>
            </w:pPr>
          </w:p>
        </w:tc>
        <w:tc>
          <w:tcPr>
            <w:tcW w:w="2108" w:type="dxa"/>
            <w:gridSpan w:val="2"/>
            <w:tcBorders>
              <w:top w:val="nil"/>
            </w:tcBorders>
          </w:tcPr>
          <w:p w:rsidR="00E76C9C" w:rsidRPr="00E76C9C" w:rsidRDefault="005B1FDE" w:rsidP="005D7B68">
            <w:pPr>
              <w:tabs>
                <w:tab w:val="left" w:pos="567"/>
                <w:tab w:val="left" w:pos="1134"/>
                <w:tab w:val="left" w:pos="1701"/>
                <w:tab w:val="left" w:pos="2268"/>
                <w:tab w:val="left" w:pos="2835"/>
              </w:tabs>
              <w:spacing w:after="0"/>
              <w:rPr>
                <w:sz w:val="16"/>
                <w:szCs w:val="18"/>
                <w:lang w:val="fr-FR"/>
              </w:rPr>
            </w:pPr>
            <w:r>
              <w:rPr>
                <w:sz w:val="16"/>
                <w:szCs w:val="18"/>
                <w:lang w:val="fr-FR"/>
              </w:rPr>
              <w:t>Participation délibérée à</w:t>
            </w:r>
            <w:r w:rsidR="00572260">
              <w:rPr>
                <w:sz w:val="16"/>
                <w:szCs w:val="18"/>
                <w:lang w:val="fr-FR"/>
              </w:rPr>
              <w:t xml:space="preserve"> </w:t>
            </w:r>
            <w:r>
              <w:rPr>
                <w:sz w:val="16"/>
                <w:szCs w:val="18"/>
                <w:lang w:val="fr-FR"/>
              </w:rPr>
              <w:t xml:space="preserve">des actes de </w:t>
            </w:r>
            <w:r w:rsidR="00E76C9C" w:rsidRPr="00E76C9C">
              <w:rPr>
                <w:sz w:val="16"/>
                <w:szCs w:val="18"/>
                <w:lang w:val="fr-FR"/>
              </w:rPr>
              <w:t>prostitution</w:t>
            </w:r>
          </w:p>
        </w:tc>
        <w:tc>
          <w:tcPr>
            <w:tcW w:w="1329" w:type="dxa"/>
            <w:gridSpan w:val="2"/>
            <w:tcBorders>
              <w:top w:val="nil"/>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Pr>
                <w:sz w:val="16"/>
                <w:szCs w:val="18"/>
              </w:rPr>
              <w:t>Amende</w:t>
            </w:r>
          </w:p>
        </w:tc>
        <w:tc>
          <w:tcPr>
            <w:tcW w:w="574"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80"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4"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7"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3" w:type="dxa"/>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1162" w:type="dxa"/>
            <w:gridSpan w:val="2"/>
            <w:tcBorders>
              <w:top w:val="nil"/>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603" w:type="dxa"/>
            <w:tcBorders>
              <w:top w:val="nil"/>
            </w:tcBorders>
            <w:vAlign w:val="bottom"/>
          </w:tcPr>
          <w:p w:rsidR="00E76C9C" w:rsidRPr="009630CD" w:rsidRDefault="005F42B7" w:rsidP="005D7B68">
            <w:pPr>
              <w:tabs>
                <w:tab w:val="left" w:pos="567"/>
                <w:tab w:val="left" w:pos="1134"/>
                <w:tab w:val="left" w:pos="1701"/>
                <w:tab w:val="left" w:pos="2268"/>
                <w:tab w:val="left" w:pos="2835"/>
              </w:tabs>
              <w:spacing w:after="0"/>
              <w:jc w:val="center"/>
              <w:rPr>
                <w:sz w:val="16"/>
                <w:szCs w:val="18"/>
              </w:rPr>
            </w:pPr>
            <w:r>
              <w:rPr>
                <w:sz w:val="16"/>
                <w:szCs w:val="18"/>
              </w:rPr>
              <w:t>2</w:t>
            </w:r>
          </w:p>
        </w:tc>
      </w:tr>
      <w:tr w:rsidR="005F6ADB" w:rsidRPr="009630CD">
        <w:tc>
          <w:tcPr>
            <w:tcW w:w="788" w:type="dxa"/>
            <w:tcBorders>
              <w:bottom w:val="single" w:sz="4" w:space="0" w:color="auto"/>
            </w:tcBorders>
          </w:tcPr>
          <w:p w:rsidR="00E76C9C" w:rsidRPr="009630CD" w:rsidRDefault="00E76C9C" w:rsidP="005D7B68">
            <w:pPr>
              <w:tabs>
                <w:tab w:val="left" w:pos="567"/>
                <w:tab w:val="left" w:pos="1134"/>
                <w:tab w:val="left" w:pos="1701"/>
                <w:tab w:val="left" w:pos="2268"/>
                <w:tab w:val="left" w:pos="2835"/>
              </w:tabs>
              <w:spacing w:after="0"/>
              <w:rPr>
                <w:sz w:val="16"/>
                <w:szCs w:val="18"/>
              </w:rPr>
            </w:pPr>
          </w:p>
        </w:tc>
        <w:tc>
          <w:tcPr>
            <w:tcW w:w="2108" w:type="dxa"/>
            <w:gridSpan w:val="2"/>
            <w:tcBorders>
              <w:bottom w:val="single" w:sz="4" w:space="0" w:color="auto"/>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329" w:type="dxa"/>
            <w:gridSpan w:val="2"/>
            <w:tcBorders>
              <w:bottom w:val="single" w:sz="4" w:space="0" w:color="auto"/>
            </w:tcBorders>
          </w:tcPr>
          <w:p w:rsidR="00E76C9C" w:rsidRPr="009630CD" w:rsidRDefault="00E76C9C" w:rsidP="005D7B68">
            <w:pPr>
              <w:tabs>
                <w:tab w:val="left" w:pos="567"/>
                <w:tab w:val="left" w:pos="1134"/>
                <w:tab w:val="left" w:pos="1701"/>
                <w:tab w:val="left" w:pos="2268"/>
                <w:tab w:val="left" w:pos="2835"/>
              </w:tabs>
              <w:spacing w:after="0"/>
              <w:rPr>
                <w:sz w:val="16"/>
                <w:szCs w:val="18"/>
              </w:rPr>
            </w:pPr>
            <w:r>
              <w:rPr>
                <w:sz w:val="16"/>
                <w:szCs w:val="18"/>
              </w:rPr>
              <w:t>Peine de prison</w:t>
            </w:r>
          </w:p>
        </w:tc>
        <w:tc>
          <w:tcPr>
            <w:tcW w:w="574"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r w:rsidRPr="009630CD">
              <w:rPr>
                <w:sz w:val="16"/>
                <w:szCs w:val="18"/>
              </w:rPr>
              <w:t>1</w:t>
            </w: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80"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5"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4"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7"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573" w:type="dxa"/>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1162" w:type="dxa"/>
            <w:gridSpan w:val="2"/>
            <w:tcBorders>
              <w:bottom w:val="single" w:sz="4" w:space="0" w:color="auto"/>
            </w:tcBorders>
            <w:vAlign w:val="bottom"/>
          </w:tcPr>
          <w:p w:rsidR="00E76C9C" w:rsidRPr="009630CD" w:rsidRDefault="00E76C9C" w:rsidP="005D7B68">
            <w:pPr>
              <w:tabs>
                <w:tab w:val="left" w:pos="567"/>
                <w:tab w:val="left" w:pos="1134"/>
                <w:tab w:val="left" w:pos="1701"/>
                <w:tab w:val="left" w:pos="2268"/>
                <w:tab w:val="left" w:pos="2835"/>
              </w:tabs>
              <w:spacing w:after="0"/>
              <w:jc w:val="center"/>
              <w:rPr>
                <w:sz w:val="16"/>
                <w:szCs w:val="18"/>
              </w:rPr>
            </w:pPr>
          </w:p>
        </w:tc>
        <w:tc>
          <w:tcPr>
            <w:tcW w:w="603" w:type="dxa"/>
            <w:tcBorders>
              <w:bottom w:val="single" w:sz="4" w:space="0" w:color="auto"/>
            </w:tcBorders>
            <w:vAlign w:val="bottom"/>
          </w:tcPr>
          <w:p w:rsidR="00E76C9C" w:rsidRPr="009630CD" w:rsidRDefault="005F42B7" w:rsidP="005D7B68">
            <w:pPr>
              <w:tabs>
                <w:tab w:val="left" w:pos="567"/>
                <w:tab w:val="left" w:pos="1134"/>
                <w:tab w:val="left" w:pos="1701"/>
                <w:tab w:val="left" w:pos="2268"/>
                <w:tab w:val="left" w:pos="2835"/>
              </w:tabs>
              <w:spacing w:after="0"/>
              <w:jc w:val="center"/>
              <w:rPr>
                <w:sz w:val="16"/>
                <w:szCs w:val="18"/>
              </w:rPr>
            </w:pPr>
            <w:r>
              <w:rPr>
                <w:sz w:val="16"/>
                <w:szCs w:val="18"/>
              </w:rPr>
              <w:t>1</w:t>
            </w:r>
          </w:p>
        </w:tc>
      </w:tr>
      <w:tr w:rsidR="004C41F7" w:rsidRPr="004C41F7">
        <w:tc>
          <w:tcPr>
            <w:tcW w:w="4225" w:type="dxa"/>
            <w:gridSpan w:val="5"/>
            <w:tcBorders>
              <w:top w:val="single" w:sz="4" w:space="0" w:color="auto"/>
              <w:bottom w:val="single" w:sz="4" w:space="0" w:color="auto"/>
            </w:tcBorders>
          </w:tcPr>
          <w:p w:rsidR="00E76C9C" w:rsidRPr="004C41F7" w:rsidRDefault="00E76C9C" w:rsidP="005D7B68">
            <w:pPr>
              <w:tabs>
                <w:tab w:val="left" w:pos="567"/>
                <w:tab w:val="left" w:pos="1134"/>
                <w:tab w:val="left" w:pos="1701"/>
                <w:tab w:val="left" w:pos="2268"/>
                <w:tab w:val="left" w:pos="2835"/>
              </w:tabs>
              <w:spacing w:after="0"/>
              <w:rPr>
                <w:i/>
                <w:iCs/>
                <w:sz w:val="16"/>
                <w:szCs w:val="18"/>
              </w:rPr>
            </w:pPr>
            <w:r w:rsidRPr="004C41F7">
              <w:rPr>
                <w:i/>
                <w:iCs/>
                <w:sz w:val="16"/>
                <w:szCs w:val="18"/>
              </w:rPr>
              <w:t xml:space="preserve">2006 </w:t>
            </w:r>
            <w:r w:rsidR="0017310E" w:rsidRPr="004C41F7">
              <w:rPr>
                <w:i/>
                <w:iCs/>
                <w:sz w:val="16"/>
                <w:szCs w:val="18"/>
              </w:rPr>
              <w:t>Total</w:t>
            </w: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2</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80"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577"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r w:rsidRPr="004C41F7">
              <w:rPr>
                <w:i/>
                <w:iCs/>
                <w:sz w:val="16"/>
                <w:szCs w:val="18"/>
              </w:rPr>
              <w:t>1</w:t>
            </w:r>
          </w:p>
        </w:tc>
        <w:tc>
          <w:tcPr>
            <w:tcW w:w="573"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1162" w:type="dxa"/>
            <w:gridSpan w:val="2"/>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i/>
                <w:iCs/>
                <w:sz w:val="16"/>
                <w:szCs w:val="18"/>
              </w:rPr>
            </w:pPr>
          </w:p>
        </w:tc>
        <w:tc>
          <w:tcPr>
            <w:tcW w:w="603" w:type="dxa"/>
            <w:tcBorders>
              <w:top w:val="single" w:sz="4" w:space="0" w:color="auto"/>
              <w:bottom w:val="single" w:sz="4" w:space="0" w:color="auto"/>
            </w:tcBorders>
            <w:vAlign w:val="bottom"/>
          </w:tcPr>
          <w:p w:rsidR="00E76C9C" w:rsidRPr="004C41F7" w:rsidRDefault="005F42B7" w:rsidP="005D7B68">
            <w:pPr>
              <w:tabs>
                <w:tab w:val="left" w:pos="567"/>
                <w:tab w:val="left" w:pos="1134"/>
                <w:tab w:val="left" w:pos="1701"/>
                <w:tab w:val="left" w:pos="2268"/>
                <w:tab w:val="left" w:pos="2835"/>
              </w:tabs>
              <w:spacing w:after="0"/>
              <w:jc w:val="center"/>
              <w:rPr>
                <w:i/>
                <w:iCs/>
                <w:sz w:val="16"/>
                <w:szCs w:val="18"/>
              </w:rPr>
            </w:pPr>
            <w:r>
              <w:rPr>
                <w:i/>
                <w:iCs/>
                <w:sz w:val="16"/>
                <w:szCs w:val="18"/>
              </w:rPr>
              <w:t>4</w:t>
            </w:r>
          </w:p>
        </w:tc>
      </w:tr>
      <w:tr w:rsidR="004C41F7" w:rsidRPr="004C41F7">
        <w:tc>
          <w:tcPr>
            <w:tcW w:w="4225" w:type="dxa"/>
            <w:gridSpan w:val="5"/>
            <w:tcBorders>
              <w:top w:val="single" w:sz="4" w:space="0" w:color="auto"/>
              <w:bottom w:val="single" w:sz="4" w:space="0" w:color="auto"/>
            </w:tcBorders>
          </w:tcPr>
          <w:p w:rsidR="00E76C9C" w:rsidRPr="004C41F7" w:rsidRDefault="00E4072D" w:rsidP="005D7B68">
            <w:pPr>
              <w:tabs>
                <w:tab w:val="left" w:pos="288"/>
                <w:tab w:val="left" w:pos="567"/>
                <w:tab w:val="left" w:pos="1134"/>
                <w:tab w:val="left" w:pos="1701"/>
                <w:tab w:val="left" w:pos="2268"/>
                <w:tab w:val="left" w:pos="2835"/>
              </w:tabs>
              <w:spacing w:after="0"/>
              <w:rPr>
                <w:b/>
                <w:bCs/>
                <w:sz w:val="16"/>
                <w:szCs w:val="18"/>
              </w:rPr>
            </w:pPr>
            <w:r w:rsidRPr="004C41F7">
              <w:rPr>
                <w:b/>
                <w:bCs/>
                <w:sz w:val="16"/>
                <w:szCs w:val="18"/>
              </w:rPr>
              <w:tab/>
            </w:r>
            <w:r w:rsidR="00E76C9C" w:rsidRPr="004C41F7">
              <w:rPr>
                <w:b/>
                <w:bCs/>
                <w:sz w:val="16"/>
                <w:szCs w:val="18"/>
              </w:rPr>
              <w:t>Total</w:t>
            </w: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2</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4</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2</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2</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3</w:t>
            </w: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580"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575"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3</w:t>
            </w:r>
          </w:p>
        </w:tc>
        <w:tc>
          <w:tcPr>
            <w:tcW w:w="574"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577"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2</w:t>
            </w:r>
          </w:p>
        </w:tc>
        <w:tc>
          <w:tcPr>
            <w:tcW w:w="573" w:type="dxa"/>
            <w:tcBorders>
              <w:top w:val="single" w:sz="4" w:space="0" w:color="auto"/>
              <w:bottom w:val="single" w:sz="4" w:space="0" w:color="auto"/>
            </w:tcBorders>
            <w:vAlign w:val="bottom"/>
          </w:tcPr>
          <w:p w:rsidR="00E76C9C" w:rsidRPr="004C41F7" w:rsidRDefault="00E76C9C" w:rsidP="005D7B68">
            <w:pPr>
              <w:tabs>
                <w:tab w:val="left" w:pos="567"/>
                <w:tab w:val="left" w:pos="1134"/>
                <w:tab w:val="left" w:pos="1701"/>
                <w:tab w:val="left" w:pos="2268"/>
                <w:tab w:val="left" w:pos="2835"/>
              </w:tabs>
              <w:spacing w:after="0"/>
              <w:jc w:val="center"/>
              <w:rPr>
                <w:b/>
                <w:bCs/>
                <w:sz w:val="16"/>
                <w:szCs w:val="18"/>
              </w:rPr>
            </w:pPr>
            <w:r w:rsidRPr="004C41F7">
              <w:rPr>
                <w:b/>
                <w:bCs/>
                <w:sz w:val="16"/>
                <w:szCs w:val="18"/>
              </w:rPr>
              <w:t>1</w:t>
            </w:r>
          </w:p>
        </w:tc>
        <w:tc>
          <w:tcPr>
            <w:tcW w:w="1162" w:type="dxa"/>
            <w:gridSpan w:val="2"/>
            <w:tcBorders>
              <w:top w:val="single" w:sz="4" w:space="0" w:color="auto"/>
              <w:bottom w:val="single" w:sz="4" w:space="0" w:color="auto"/>
            </w:tcBorders>
            <w:vAlign w:val="bottom"/>
          </w:tcPr>
          <w:p w:rsidR="00E76C9C" w:rsidRPr="004C41F7" w:rsidRDefault="002C7AFB" w:rsidP="005D7B68">
            <w:pPr>
              <w:tabs>
                <w:tab w:val="left" w:pos="567"/>
                <w:tab w:val="left" w:pos="1134"/>
                <w:tab w:val="left" w:pos="1701"/>
                <w:tab w:val="left" w:pos="2268"/>
                <w:tab w:val="left" w:pos="2835"/>
              </w:tabs>
              <w:spacing w:after="0"/>
              <w:rPr>
                <w:b/>
                <w:bCs/>
                <w:sz w:val="16"/>
                <w:szCs w:val="18"/>
              </w:rPr>
            </w:pPr>
            <w:r>
              <w:rPr>
                <w:b/>
                <w:bCs/>
                <w:sz w:val="16"/>
                <w:szCs w:val="18"/>
              </w:rPr>
              <w:t xml:space="preserve">   </w:t>
            </w:r>
            <w:r w:rsidR="00E76C9C" w:rsidRPr="004C41F7">
              <w:rPr>
                <w:b/>
                <w:bCs/>
                <w:sz w:val="16"/>
                <w:szCs w:val="18"/>
              </w:rPr>
              <w:t>2</w:t>
            </w:r>
            <w:r>
              <w:rPr>
                <w:b/>
                <w:bCs/>
                <w:sz w:val="16"/>
                <w:szCs w:val="18"/>
              </w:rPr>
              <w:tab/>
              <w:t xml:space="preserve">    1</w:t>
            </w:r>
          </w:p>
        </w:tc>
        <w:tc>
          <w:tcPr>
            <w:tcW w:w="603" w:type="dxa"/>
            <w:tcBorders>
              <w:top w:val="single" w:sz="4" w:space="0" w:color="auto"/>
              <w:bottom w:val="single" w:sz="4" w:space="0" w:color="auto"/>
            </w:tcBorders>
            <w:vAlign w:val="bottom"/>
          </w:tcPr>
          <w:p w:rsidR="00E76C9C" w:rsidRPr="004C41F7" w:rsidRDefault="005F42B7" w:rsidP="005D7B68">
            <w:pPr>
              <w:tabs>
                <w:tab w:val="left" w:pos="567"/>
                <w:tab w:val="left" w:pos="1134"/>
                <w:tab w:val="left" w:pos="1701"/>
                <w:tab w:val="left" w:pos="2268"/>
                <w:tab w:val="left" w:pos="2835"/>
              </w:tabs>
              <w:spacing w:after="0"/>
              <w:jc w:val="center"/>
              <w:rPr>
                <w:b/>
                <w:bCs/>
                <w:sz w:val="16"/>
                <w:szCs w:val="18"/>
              </w:rPr>
            </w:pPr>
            <w:r>
              <w:rPr>
                <w:b/>
                <w:bCs/>
                <w:sz w:val="16"/>
                <w:szCs w:val="18"/>
              </w:rPr>
              <w:t>27</w:t>
            </w:r>
          </w:p>
        </w:tc>
      </w:tr>
    </w:tbl>
    <w:p w:rsidR="00745C49" w:rsidRPr="00745C49" w:rsidRDefault="00E4072D" w:rsidP="005D7B68">
      <w:pPr>
        <w:tabs>
          <w:tab w:val="left" w:pos="567"/>
          <w:tab w:val="left" w:pos="1134"/>
          <w:tab w:val="left" w:pos="1701"/>
          <w:tab w:val="left" w:pos="2268"/>
          <w:tab w:val="left" w:pos="2835"/>
        </w:tabs>
        <w:spacing w:before="240" w:after="120"/>
        <w:rPr>
          <w:sz w:val="20"/>
          <w:lang w:val="fr-FR"/>
        </w:rPr>
      </w:pPr>
      <w:r>
        <w:rPr>
          <w:i/>
          <w:sz w:val="20"/>
          <w:lang w:val="fr-FR"/>
        </w:rPr>
        <w:tab/>
      </w:r>
      <w:r w:rsidR="00745C49" w:rsidRPr="00745C49">
        <w:rPr>
          <w:i/>
          <w:sz w:val="20"/>
          <w:lang w:val="fr-FR"/>
        </w:rPr>
        <w:t>Source</w:t>
      </w:r>
      <w:r w:rsidR="00246CD2">
        <w:rPr>
          <w:sz w:val="20"/>
          <w:lang w:val="fr-FR"/>
        </w:rPr>
        <w:t>:</w:t>
      </w:r>
      <w:r w:rsidR="00745C49" w:rsidRPr="00745C49">
        <w:rPr>
          <w:sz w:val="20"/>
          <w:lang w:val="fr-FR"/>
        </w:rPr>
        <w:t xml:space="preserve"> Base de données des tribunaux tenue à jour par </w:t>
      </w:r>
      <w:r w:rsidR="00745C49">
        <w:rPr>
          <w:sz w:val="20"/>
          <w:lang w:val="fr-FR"/>
        </w:rPr>
        <w:t>le Bureau de la recherche économique et statistique, Département des finances</w:t>
      </w:r>
      <w:r w:rsidR="00745C49" w:rsidRPr="00745C49">
        <w:rPr>
          <w:sz w:val="20"/>
          <w:lang w:val="fr-FR"/>
        </w:rPr>
        <w:t>.</w:t>
      </w:r>
    </w:p>
    <w:p w:rsidR="00745C49" w:rsidRPr="008D6B80" w:rsidRDefault="00745C49" w:rsidP="005D7B68">
      <w:pPr>
        <w:tabs>
          <w:tab w:val="left" w:pos="567"/>
          <w:tab w:val="left" w:pos="1134"/>
          <w:tab w:val="left" w:pos="1701"/>
          <w:tab w:val="left" w:pos="2268"/>
          <w:tab w:val="left" w:pos="2835"/>
        </w:tabs>
        <w:spacing w:after="120"/>
        <w:rPr>
          <w:b/>
          <w:sz w:val="20"/>
          <w:lang w:val="fr-FR"/>
        </w:rPr>
      </w:pPr>
      <w:r w:rsidRPr="00745C49">
        <w:rPr>
          <w:b/>
          <w:sz w:val="20"/>
          <w:lang w:val="fr-FR"/>
        </w:rPr>
        <w:tab/>
      </w:r>
      <w:r w:rsidRPr="008D6B80">
        <w:rPr>
          <w:i/>
          <w:sz w:val="20"/>
          <w:lang w:val="fr-FR"/>
        </w:rPr>
        <w:t>Notes</w:t>
      </w:r>
      <w:r w:rsidRPr="008D6B80">
        <w:rPr>
          <w:sz w:val="20"/>
          <w:lang w:val="fr-FR"/>
        </w:rPr>
        <w:t>:</w:t>
      </w:r>
    </w:p>
    <w:p w:rsidR="00745C49" w:rsidRPr="00FF22D2" w:rsidRDefault="00745C49" w:rsidP="005D7B68">
      <w:pPr>
        <w:tabs>
          <w:tab w:val="left" w:pos="567"/>
          <w:tab w:val="left" w:pos="1134"/>
          <w:tab w:val="left" w:pos="1701"/>
          <w:tab w:val="left" w:pos="2268"/>
          <w:tab w:val="left" w:pos="2835"/>
        </w:tabs>
        <w:spacing w:after="120"/>
        <w:rPr>
          <w:sz w:val="20"/>
          <w:lang w:val="fr-FR"/>
        </w:rPr>
      </w:pPr>
      <w:r w:rsidRPr="008D6B80">
        <w:rPr>
          <w:sz w:val="20"/>
          <w:lang w:val="fr-FR"/>
        </w:rPr>
        <w:tab/>
      </w:r>
      <w:r w:rsidR="00FF22D2" w:rsidRPr="00FF22D2">
        <w:rPr>
          <w:sz w:val="20"/>
          <w:lang w:val="fr-FR"/>
        </w:rPr>
        <w:t>1.</w:t>
      </w:r>
      <w:r w:rsidR="00FF22D2" w:rsidRPr="00FF22D2">
        <w:rPr>
          <w:sz w:val="20"/>
          <w:lang w:val="fr-FR"/>
        </w:rPr>
        <w:tab/>
        <w:t>Les informations ne sont disponibles q</w:t>
      </w:r>
      <w:r w:rsidR="0093770F">
        <w:rPr>
          <w:sz w:val="20"/>
          <w:lang w:val="fr-FR"/>
        </w:rPr>
        <w:t>ue pour la Cour s</w:t>
      </w:r>
      <w:r w:rsidR="00FF22D2" w:rsidRPr="00FF22D2">
        <w:rPr>
          <w:sz w:val="20"/>
          <w:lang w:val="fr-FR"/>
        </w:rPr>
        <w:t>uprême et les tribunaux de district, car un système informatisé de collecte de données criminologiques</w:t>
      </w:r>
      <w:r w:rsidR="00FF22D2">
        <w:rPr>
          <w:sz w:val="20"/>
          <w:lang w:val="fr-FR"/>
        </w:rPr>
        <w:t xml:space="preserve"> a été mis en place dans ces centres</w:t>
      </w:r>
      <w:r w:rsidRPr="00FF22D2">
        <w:rPr>
          <w:sz w:val="20"/>
          <w:lang w:val="fr-FR"/>
        </w:rPr>
        <w:t xml:space="preserve">. </w:t>
      </w:r>
      <w:r w:rsidR="00FF22D2" w:rsidRPr="00FF22D2">
        <w:rPr>
          <w:sz w:val="20"/>
          <w:lang w:val="fr-FR"/>
        </w:rPr>
        <w:t>Comme il n’a pas été possible</w:t>
      </w:r>
      <w:r w:rsidRPr="00FF22D2">
        <w:rPr>
          <w:sz w:val="20"/>
          <w:lang w:val="fr-FR"/>
        </w:rPr>
        <w:t xml:space="preserve"> </w:t>
      </w:r>
      <w:r w:rsidR="00FF22D2" w:rsidRPr="00FF22D2">
        <w:rPr>
          <w:sz w:val="20"/>
          <w:lang w:val="fr-FR"/>
        </w:rPr>
        <w:t>d’entreprendre des recherches manuelles</w:t>
      </w:r>
      <w:r w:rsidR="00FF22D2">
        <w:rPr>
          <w:sz w:val="20"/>
          <w:lang w:val="fr-FR"/>
        </w:rPr>
        <w:t xml:space="preserve"> concernant tous les dossiers criminels</w:t>
      </w:r>
      <w:r w:rsidRPr="00FF22D2">
        <w:rPr>
          <w:sz w:val="20"/>
          <w:lang w:val="fr-FR"/>
        </w:rPr>
        <w:t xml:space="preserve">, </w:t>
      </w:r>
      <w:r w:rsidR="00FF22D2">
        <w:rPr>
          <w:sz w:val="20"/>
          <w:lang w:val="fr-FR"/>
        </w:rPr>
        <w:t xml:space="preserve">les </w:t>
      </w:r>
      <w:r w:rsidRPr="00FF22D2">
        <w:rPr>
          <w:sz w:val="20"/>
          <w:lang w:val="fr-FR"/>
        </w:rPr>
        <w:t>information</w:t>
      </w:r>
      <w:r w:rsidR="00FF22D2">
        <w:rPr>
          <w:sz w:val="20"/>
          <w:lang w:val="fr-FR"/>
        </w:rPr>
        <w:t xml:space="preserve">s sont accessibles dans </w:t>
      </w:r>
      <w:r w:rsidR="0093770F">
        <w:rPr>
          <w:sz w:val="20"/>
          <w:lang w:val="fr-FR"/>
        </w:rPr>
        <w:t>les centres suivants et concerne</w:t>
      </w:r>
      <w:r w:rsidR="00FF22D2">
        <w:rPr>
          <w:sz w:val="20"/>
          <w:lang w:val="fr-FR"/>
        </w:rPr>
        <w:t>nt les périodes suivantes</w:t>
      </w:r>
      <w:r w:rsidRPr="00FF22D2">
        <w:rPr>
          <w:sz w:val="20"/>
          <w:lang w:val="fr-FR"/>
        </w:rPr>
        <w:t>:</w:t>
      </w:r>
    </w:p>
    <w:p w:rsidR="00745C49" w:rsidRPr="00FF22D2" w:rsidRDefault="00415056" w:rsidP="005D7B68">
      <w:pPr>
        <w:tabs>
          <w:tab w:val="left" w:pos="567"/>
          <w:tab w:val="left" w:pos="1134"/>
          <w:tab w:val="left" w:pos="1701"/>
          <w:tab w:val="left" w:pos="2268"/>
          <w:tab w:val="left" w:pos="2835"/>
        </w:tabs>
        <w:spacing w:after="120"/>
        <w:ind w:left="567"/>
        <w:rPr>
          <w:sz w:val="20"/>
          <w:lang w:val="fr-FR"/>
        </w:rPr>
      </w:pPr>
      <w:r>
        <w:rPr>
          <w:sz w:val="20"/>
          <w:lang w:val="fr-FR"/>
        </w:rPr>
        <w:t>Brisbane: i</w:t>
      </w:r>
      <w:r w:rsidR="00745C49" w:rsidRPr="00FF22D2">
        <w:rPr>
          <w:sz w:val="20"/>
          <w:lang w:val="fr-FR"/>
        </w:rPr>
        <w:t>nformation</w:t>
      </w:r>
      <w:r w:rsidR="00FF22D2" w:rsidRPr="00FF22D2">
        <w:rPr>
          <w:sz w:val="20"/>
          <w:lang w:val="fr-FR"/>
        </w:rPr>
        <w:t>s accessib</w:t>
      </w:r>
      <w:r w:rsidR="0093770F">
        <w:rPr>
          <w:sz w:val="20"/>
          <w:lang w:val="fr-FR"/>
        </w:rPr>
        <w:t>les en ce qui concerne la Cour s</w:t>
      </w:r>
      <w:r w:rsidR="00FF22D2" w:rsidRPr="00FF22D2">
        <w:rPr>
          <w:sz w:val="20"/>
          <w:lang w:val="fr-FR"/>
        </w:rPr>
        <w:t>uprê</w:t>
      </w:r>
      <w:r w:rsidR="00FF22D2">
        <w:rPr>
          <w:sz w:val="20"/>
          <w:lang w:val="fr-FR"/>
        </w:rPr>
        <w:t>me et le tribunal de district</w:t>
      </w:r>
      <w:r>
        <w:rPr>
          <w:sz w:val="20"/>
          <w:lang w:val="fr-FR"/>
        </w:rPr>
        <w:t xml:space="preserve"> pour toute la période 2000-</w:t>
      </w:r>
      <w:r w:rsidR="00745C49" w:rsidRPr="00FF22D2">
        <w:rPr>
          <w:sz w:val="20"/>
          <w:lang w:val="fr-FR"/>
        </w:rPr>
        <w:t>2006;</w:t>
      </w:r>
    </w:p>
    <w:p w:rsidR="00745C49" w:rsidRPr="00415056" w:rsidRDefault="00745C49" w:rsidP="005D7B68">
      <w:pPr>
        <w:tabs>
          <w:tab w:val="left" w:pos="567"/>
          <w:tab w:val="left" w:pos="1134"/>
          <w:tab w:val="left" w:pos="1701"/>
          <w:tab w:val="left" w:pos="2268"/>
          <w:tab w:val="left" w:pos="2835"/>
        </w:tabs>
        <w:spacing w:after="120"/>
        <w:ind w:left="567"/>
        <w:rPr>
          <w:sz w:val="20"/>
          <w:lang w:val="fr-FR"/>
        </w:rPr>
      </w:pPr>
      <w:r w:rsidRPr="00415056">
        <w:rPr>
          <w:sz w:val="20"/>
          <w:lang w:val="fr-FR"/>
        </w:rPr>
        <w:t>Cairns</w:t>
      </w:r>
      <w:r w:rsidR="00415056">
        <w:rPr>
          <w:sz w:val="20"/>
          <w:lang w:val="fr-FR"/>
        </w:rPr>
        <w:t>, Townsville, Rockhampton:</w:t>
      </w:r>
      <w:r w:rsidR="00415056" w:rsidRPr="00415056">
        <w:rPr>
          <w:sz w:val="20"/>
          <w:lang w:val="fr-FR"/>
        </w:rPr>
        <w:t xml:space="preserve"> informations accessibles en ce qui concerne</w:t>
      </w:r>
      <w:r w:rsidR="00572260">
        <w:rPr>
          <w:sz w:val="20"/>
          <w:lang w:val="fr-FR"/>
        </w:rPr>
        <w:t xml:space="preserve"> </w:t>
      </w:r>
      <w:r w:rsidR="0093770F">
        <w:rPr>
          <w:sz w:val="20"/>
          <w:lang w:val="fr-FR"/>
        </w:rPr>
        <w:t>la Cour s</w:t>
      </w:r>
      <w:r w:rsidR="00415056" w:rsidRPr="00415056">
        <w:rPr>
          <w:sz w:val="20"/>
          <w:lang w:val="fr-FR"/>
        </w:rPr>
        <w:t>uprê</w:t>
      </w:r>
      <w:r w:rsidR="00415056">
        <w:rPr>
          <w:sz w:val="20"/>
          <w:lang w:val="fr-FR"/>
        </w:rPr>
        <w:t>me et les tribunaux de district du</w:t>
      </w:r>
      <w:r w:rsidRPr="00415056">
        <w:rPr>
          <w:sz w:val="20"/>
          <w:lang w:val="fr-FR"/>
        </w:rPr>
        <w:t xml:space="preserve"> 1</w:t>
      </w:r>
      <w:r w:rsidR="00415056">
        <w:rPr>
          <w:sz w:val="20"/>
          <w:lang w:val="fr-FR"/>
        </w:rPr>
        <w:t>er Juillet 2002 à</w:t>
      </w:r>
      <w:r w:rsidRPr="00415056">
        <w:rPr>
          <w:sz w:val="20"/>
          <w:lang w:val="fr-FR"/>
        </w:rPr>
        <w:t xml:space="preserve"> 2006;</w:t>
      </w:r>
    </w:p>
    <w:p w:rsidR="00745C49" w:rsidRPr="00415056" w:rsidRDefault="0093770F" w:rsidP="005D7B68">
      <w:pPr>
        <w:tabs>
          <w:tab w:val="left" w:pos="567"/>
          <w:tab w:val="left" w:pos="1134"/>
          <w:tab w:val="left" w:pos="1701"/>
          <w:tab w:val="left" w:pos="2268"/>
          <w:tab w:val="left" w:pos="2835"/>
        </w:tabs>
        <w:spacing w:after="120"/>
        <w:ind w:left="567"/>
        <w:rPr>
          <w:sz w:val="20"/>
          <w:lang w:val="fr-FR"/>
        </w:rPr>
      </w:pPr>
      <w:r>
        <w:rPr>
          <w:sz w:val="20"/>
          <w:lang w:val="fr-FR"/>
        </w:rPr>
        <w:t>Pour toutes les autres C</w:t>
      </w:r>
      <w:r w:rsidR="00415056" w:rsidRPr="00415056">
        <w:rPr>
          <w:sz w:val="20"/>
          <w:lang w:val="fr-FR"/>
        </w:rPr>
        <w:t>ours suprêmes et tribunaux de district du</w:t>
      </w:r>
      <w:r w:rsidR="00572260">
        <w:rPr>
          <w:sz w:val="20"/>
          <w:lang w:val="fr-FR"/>
        </w:rPr>
        <w:t xml:space="preserve"> </w:t>
      </w:r>
      <w:r w:rsidR="00745C49" w:rsidRPr="00415056">
        <w:rPr>
          <w:sz w:val="20"/>
          <w:lang w:val="fr-FR"/>
        </w:rPr>
        <w:t>Queens</w:t>
      </w:r>
      <w:r w:rsidR="00415056">
        <w:rPr>
          <w:sz w:val="20"/>
          <w:lang w:val="fr-FR"/>
        </w:rPr>
        <w:t>land</w:t>
      </w:r>
      <w:r w:rsidR="00572260">
        <w:rPr>
          <w:sz w:val="20"/>
          <w:lang w:val="fr-FR"/>
        </w:rPr>
        <w:t>:</w:t>
      </w:r>
      <w:r w:rsidR="00415056">
        <w:rPr>
          <w:sz w:val="20"/>
          <w:lang w:val="fr-FR"/>
        </w:rPr>
        <w:t xml:space="preserve"> i</w:t>
      </w:r>
      <w:r w:rsidR="00745C49" w:rsidRPr="00415056">
        <w:rPr>
          <w:sz w:val="20"/>
          <w:lang w:val="fr-FR"/>
        </w:rPr>
        <w:t>nformation</w:t>
      </w:r>
      <w:r w:rsidR="00415056">
        <w:rPr>
          <w:sz w:val="20"/>
          <w:lang w:val="fr-FR"/>
        </w:rPr>
        <w:t>s disponibles pour la période du 1</w:t>
      </w:r>
      <w:r w:rsidR="00415056" w:rsidRPr="00415056">
        <w:rPr>
          <w:sz w:val="20"/>
          <w:vertAlign w:val="superscript"/>
          <w:lang w:val="fr-FR"/>
        </w:rPr>
        <w:t>er</w:t>
      </w:r>
      <w:r w:rsidR="00415056">
        <w:rPr>
          <w:sz w:val="20"/>
          <w:lang w:val="fr-FR"/>
        </w:rPr>
        <w:t xml:space="preserve"> mars 2005 à</w:t>
      </w:r>
      <w:r w:rsidR="00745C49" w:rsidRPr="00415056">
        <w:rPr>
          <w:sz w:val="20"/>
          <w:lang w:val="fr-FR"/>
        </w:rPr>
        <w:t xml:space="preserve"> 2006.</w:t>
      </w:r>
    </w:p>
    <w:p w:rsidR="00745C49" w:rsidRPr="00415056" w:rsidRDefault="00745C49" w:rsidP="005D7B68">
      <w:pPr>
        <w:tabs>
          <w:tab w:val="left" w:pos="567"/>
          <w:tab w:val="left" w:pos="1134"/>
          <w:tab w:val="left" w:pos="1701"/>
          <w:tab w:val="left" w:pos="2268"/>
          <w:tab w:val="left" w:pos="2835"/>
        </w:tabs>
        <w:spacing w:after="120"/>
        <w:rPr>
          <w:sz w:val="20"/>
          <w:lang w:val="fr-FR"/>
        </w:rPr>
      </w:pPr>
      <w:r w:rsidRPr="00415056">
        <w:rPr>
          <w:sz w:val="20"/>
          <w:lang w:val="fr-FR"/>
        </w:rPr>
        <w:tab/>
      </w:r>
      <w:r w:rsidR="00415056" w:rsidRPr="00415056">
        <w:rPr>
          <w:sz w:val="20"/>
          <w:lang w:val="fr-FR"/>
        </w:rPr>
        <w:t>2.</w:t>
      </w:r>
      <w:r w:rsidR="00415056" w:rsidRPr="00415056">
        <w:rPr>
          <w:sz w:val="20"/>
          <w:lang w:val="fr-FR"/>
        </w:rPr>
        <w:tab/>
        <w:t>Ces données concernent à la fois les adultes et les mineurs</w:t>
      </w:r>
      <w:r w:rsidRPr="00415056">
        <w:rPr>
          <w:sz w:val="20"/>
          <w:lang w:val="fr-FR"/>
        </w:rPr>
        <w:t>.</w:t>
      </w:r>
    </w:p>
    <w:p w:rsidR="00745C49" w:rsidRPr="00525EAC" w:rsidRDefault="00745C49" w:rsidP="005D7B68">
      <w:pPr>
        <w:tabs>
          <w:tab w:val="left" w:pos="284"/>
          <w:tab w:val="left" w:pos="567"/>
          <w:tab w:val="left" w:pos="1134"/>
          <w:tab w:val="left" w:pos="1701"/>
          <w:tab w:val="left" w:pos="2268"/>
          <w:tab w:val="left" w:pos="2835"/>
        </w:tabs>
        <w:spacing w:after="120"/>
        <w:rPr>
          <w:sz w:val="20"/>
          <w:lang w:val="fr-FR"/>
        </w:rPr>
      </w:pPr>
      <w:r w:rsidRPr="00415056">
        <w:rPr>
          <w:sz w:val="20"/>
          <w:lang w:val="fr-FR"/>
        </w:rPr>
        <w:tab/>
      </w:r>
      <w:r w:rsidRPr="00415056">
        <w:rPr>
          <w:sz w:val="20"/>
          <w:lang w:val="fr-FR"/>
        </w:rPr>
        <w:tab/>
      </w:r>
      <w:r w:rsidR="0093770F">
        <w:rPr>
          <w:sz w:val="20"/>
          <w:lang w:val="fr-FR"/>
        </w:rPr>
        <w:t>3.</w:t>
      </w:r>
      <w:r w:rsidR="0093770F">
        <w:rPr>
          <w:sz w:val="20"/>
          <w:lang w:val="fr-FR"/>
        </w:rPr>
        <w:tab/>
        <w:t>Par accusé</w:t>
      </w:r>
      <w:r w:rsidR="00415056" w:rsidRPr="00525EAC">
        <w:rPr>
          <w:sz w:val="20"/>
          <w:lang w:val="fr-FR"/>
        </w:rPr>
        <w:t>, on entend toute</w:t>
      </w:r>
      <w:r w:rsidRPr="00525EAC">
        <w:rPr>
          <w:sz w:val="20"/>
          <w:lang w:val="fr-FR"/>
        </w:rPr>
        <w:t xml:space="preserve"> person</w:t>
      </w:r>
      <w:r w:rsidR="00415056" w:rsidRPr="00525EAC">
        <w:rPr>
          <w:sz w:val="20"/>
          <w:lang w:val="fr-FR"/>
        </w:rPr>
        <w:t>ne ou</w:t>
      </w:r>
      <w:r w:rsidRPr="00525EAC">
        <w:rPr>
          <w:sz w:val="20"/>
          <w:lang w:val="fr-FR"/>
        </w:rPr>
        <w:t xml:space="preserve"> </w:t>
      </w:r>
      <w:r w:rsidR="00415056" w:rsidRPr="00525EAC">
        <w:rPr>
          <w:sz w:val="20"/>
          <w:lang w:val="fr-FR"/>
        </w:rPr>
        <w:t>organisation contre laquelle</w:t>
      </w:r>
      <w:r w:rsidR="00525EAC" w:rsidRPr="00525EAC">
        <w:rPr>
          <w:sz w:val="20"/>
          <w:lang w:val="fr-FR"/>
        </w:rPr>
        <w:t xml:space="preserve"> des poursuites pénales ont été engagées</w:t>
      </w:r>
      <w:r w:rsidR="00525EAC">
        <w:rPr>
          <w:sz w:val="20"/>
          <w:lang w:val="fr-FR"/>
        </w:rPr>
        <w:t xml:space="preserve"> et qui comparaît devant un tribunal</w:t>
      </w:r>
      <w:r w:rsidRPr="00525EAC">
        <w:rPr>
          <w:sz w:val="20"/>
          <w:lang w:val="fr-FR"/>
        </w:rPr>
        <w:t xml:space="preserve">. </w:t>
      </w:r>
      <w:r w:rsidR="00525EAC" w:rsidRPr="00525EAC">
        <w:rPr>
          <w:sz w:val="20"/>
          <w:lang w:val="fr-FR"/>
        </w:rPr>
        <w:t>Il convient de noter que cette méthode ne fait pas apparaître</w:t>
      </w:r>
      <w:r w:rsidR="00525EAC">
        <w:rPr>
          <w:sz w:val="20"/>
          <w:lang w:val="fr-FR"/>
        </w:rPr>
        <w:t xml:space="preserve"> des personnes ou des organisations distinctes</w:t>
      </w:r>
      <w:r w:rsidRPr="00525EAC">
        <w:rPr>
          <w:sz w:val="20"/>
          <w:lang w:val="fr-FR"/>
        </w:rPr>
        <w:t xml:space="preserve">. </w:t>
      </w:r>
      <w:r w:rsidR="00525EAC" w:rsidRPr="00525EAC">
        <w:rPr>
          <w:sz w:val="20"/>
          <w:lang w:val="fr-FR"/>
        </w:rPr>
        <w:t>Si une personne ou une organisation est accusée</w:t>
      </w:r>
      <w:r w:rsidRPr="00525EAC">
        <w:rPr>
          <w:sz w:val="20"/>
          <w:lang w:val="fr-FR"/>
        </w:rPr>
        <w:t xml:space="preserve"> </w:t>
      </w:r>
      <w:r w:rsidR="00525EAC" w:rsidRPr="00525EAC">
        <w:rPr>
          <w:sz w:val="20"/>
          <w:lang w:val="fr-FR"/>
        </w:rPr>
        <w:t>dans le cadre d’un certain nombre d’affaires pénales</w:t>
      </w:r>
      <w:r w:rsidR="00525EAC">
        <w:rPr>
          <w:sz w:val="20"/>
          <w:lang w:val="fr-FR"/>
        </w:rPr>
        <w:t xml:space="preserve"> qui sont réglées à différentes dates, elle sera comptée plus d’une fois dans ces statistiques</w:t>
      </w:r>
      <w:r w:rsidRPr="00525EAC">
        <w:rPr>
          <w:sz w:val="20"/>
          <w:lang w:val="fr-FR"/>
        </w:rPr>
        <w:t>.</w:t>
      </w:r>
    </w:p>
    <w:p w:rsidR="00745C49" w:rsidRPr="00525EAC" w:rsidRDefault="00745C49" w:rsidP="005D7B68">
      <w:pPr>
        <w:tabs>
          <w:tab w:val="left" w:pos="567"/>
          <w:tab w:val="left" w:pos="1134"/>
          <w:tab w:val="left" w:pos="1701"/>
          <w:tab w:val="left" w:pos="2268"/>
          <w:tab w:val="left" w:pos="2835"/>
        </w:tabs>
        <w:spacing w:after="120"/>
        <w:rPr>
          <w:sz w:val="20"/>
          <w:lang w:val="fr-FR"/>
        </w:rPr>
      </w:pPr>
      <w:r w:rsidRPr="00525EAC">
        <w:rPr>
          <w:sz w:val="20"/>
          <w:lang w:val="fr-FR"/>
        </w:rPr>
        <w:tab/>
      </w:r>
      <w:r w:rsidR="00525EAC" w:rsidRPr="00525EAC">
        <w:rPr>
          <w:sz w:val="20"/>
          <w:lang w:val="fr-FR"/>
        </w:rPr>
        <w:t>4.</w:t>
      </w:r>
      <w:r w:rsidR="00525EAC" w:rsidRPr="00525EAC">
        <w:rPr>
          <w:sz w:val="20"/>
          <w:lang w:val="fr-FR"/>
        </w:rPr>
        <w:tab/>
        <w:t>Au</w:t>
      </w:r>
      <w:r w:rsidRPr="00525EAC">
        <w:rPr>
          <w:sz w:val="20"/>
          <w:lang w:val="fr-FR"/>
        </w:rPr>
        <w:t xml:space="preserve"> </w:t>
      </w:r>
      <w:r w:rsidR="00525EAC" w:rsidRPr="00525EAC">
        <w:rPr>
          <w:sz w:val="20"/>
          <w:lang w:val="fr-FR"/>
        </w:rPr>
        <w:t>Queensland, les délits relatifs à</w:t>
      </w:r>
      <w:r w:rsidR="00525EAC">
        <w:rPr>
          <w:sz w:val="20"/>
          <w:lang w:val="fr-FR"/>
        </w:rPr>
        <w:t xml:space="preserve"> l’exploitation commerciale des enfants peuvent être jugés par la </w:t>
      </w:r>
      <w:r w:rsidR="0093770F" w:rsidRPr="0093770F">
        <w:rPr>
          <w:sz w:val="20"/>
          <w:lang w:val="fr-FR"/>
        </w:rPr>
        <w:t>Cour s</w:t>
      </w:r>
      <w:r w:rsidR="00525EAC" w:rsidRPr="0093770F">
        <w:rPr>
          <w:sz w:val="20"/>
          <w:lang w:val="fr-FR"/>
        </w:rPr>
        <w:t>uprême</w:t>
      </w:r>
      <w:r w:rsidR="00525EAC">
        <w:rPr>
          <w:sz w:val="20"/>
          <w:lang w:val="fr-FR"/>
        </w:rPr>
        <w:t>, les tribunaux de district et les</w:t>
      </w:r>
      <w:r w:rsidRPr="00525EAC">
        <w:rPr>
          <w:sz w:val="20"/>
          <w:lang w:val="fr-FR"/>
        </w:rPr>
        <w:t xml:space="preserve"> </w:t>
      </w:r>
      <w:r w:rsidR="003F2FCC">
        <w:rPr>
          <w:sz w:val="20"/>
          <w:lang w:val="fr-FR"/>
        </w:rPr>
        <w:t xml:space="preserve">tribunaux de </w:t>
      </w:r>
      <w:r w:rsidR="00300804">
        <w:rPr>
          <w:sz w:val="20"/>
          <w:lang w:val="fr-FR"/>
        </w:rPr>
        <w:t>première instance</w:t>
      </w:r>
      <w:r w:rsidRPr="00525EAC">
        <w:rPr>
          <w:sz w:val="20"/>
          <w:lang w:val="fr-FR"/>
        </w:rPr>
        <w:t xml:space="preserve">. </w:t>
      </w:r>
      <w:r w:rsidR="00525EAC" w:rsidRPr="00525EAC">
        <w:rPr>
          <w:sz w:val="20"/>
          <w:lang w:val="fr-FR"/>
        </w:rPr>
        <w:t>Les données figurant dans le tableau ci-dessus</w:t>
      </w:r>
      <w:r w:rsidR="00525EAC">
        <w:rPr>
          <w:sz w:val="20"/>
          <w:lang w:val="fr-FR"/>
        </w:rPr>
        <w:t xml:space="preserve"> ne concernent que les accusés </w:t>
      </w:r>
      <w:r w:rsidR="00525EAC" w:rsidRPr="0093770F">
        <w:rPr>
          <w:sz w:val="20"/>
          <w:lang w:val="fr-FR"/>
        </w:rPr>
        <w:t xml:space="preserve">jugés </w:t>
      </w:r>
      <w:r w:rsidR="0093770F" w:rsidRPr="0093770F">
        <w:rPr>
          <w:sz w:val="20"/>
          <w:lang w:val="fr-FR"/>
        </w:rPr>
        <w:t>par les Cours s</w:t>
      </w:r>
      <w:r w:rsidR="00525EAC" w:rsidRPr="0093770F">
        <w:rPr>
          <w:sz w:val="20"/>
          <w:lang w:val="fr-FR"/>
        </w:rPr>
        <w:t>uprêmes</w:t>
      </w:r>
      <w:r w:rsidR="00525EAC">
        <w:rPr>
          <w:sz w:val="20"/>
          <w:lang w:val="fr-FR"/>
        </w:rPr>
        <w:t xml:space="preserve"> ou les tribunaux de district.</w:t>
      </w:r>
    </w:p>
    <w:p w:rsidR="00745C49" w:rsidRPr="00525EAC" w:rsidRDefault="00745C49" w:rsidP="005D7B68">
      <w:pPr>
        <w:tabs>
          <w:tab w:val="left" w:pos="567"/>
          <w:tab w:val="left" w:pos="1134"/>
          <w:tab w:val="left" w:pos="1701"/>
          <w:tab w:val="left" w:pos="2268"/>
          <w:tab w:val="left" w:pos="2835"/>
        </w:tabs>
        <w:rPr>
          <w:sz w:val="20"/>
          <w:lang w:val="fr-FR"/>
        </w:rPr>
      </w:pPr>
      <w:r w:rsidRPr="00525EAC">
        <w:rPr>
          <w:sz w:val="20"/>
          <w:lang w:val="fr-FR"/>
        </w:rPr>
        <w:tab/>
      </w:r>
      <w:r w:rsidR="00660407">
        <w:rPr>
          <w:sz w:val="20"/>
          <w:lang w:val="fr-FR"/>
        </w:rPr>
        <w:t>Tableau établi le</w:t>
      </w:r>
      <w:r w:rsidR="00572260">
        <w:rPr>
          <w:sz w:val="20"/>
          <w:lang w:val="fr-FR"/>
        </w:rPr>
        <w:t xml:space="preserve"> </w:t>
      </w:r>
      <w:r w:rsidRPr="00525EAC">
        <w:rPr>
          <w:sz w:val="20"/>
          <w:lang w:val="fr-FR"/>
        </w:rPr>
        <w:t>19/07/07.</w:t>
      </w:r>
    </w:p>
    <w:p w:rsidR="003F44D1" w:rsidRPr="003F44D1" w:rsidRDefault="00073B26" w:rsidP="005D7B68">
      <w:pPr>
        <w:pStyle w:val="Heading2"/>
        <w:tabs>
          <w:tab w:val="left" w:pos="567"/>
          <w:tab w:val="left" w:pos="1134"/>
          <w:tab w:val="left" w:pos="1701"/>
          <w:tab w:val="left" w:pos="2268"/>
          <w:tab w:val="left" w:pos="2835"/>
        </w:tabs>
        <w:rPr>
          <w:sz w:val="20"/>
          <w:lang w:val="fr-FR"/>
        </w:rPr>
      </w:pPr>
      <w:r>
        <w:rPr>
          <w:sz w:val="20"/>
          <w:lang w:val="fr-FR"/>
        </w:rPr>
        <w:br w:type="page"/>
      </w:r>
      <w:r w:rsidR="003F44D1" w:rsidRPr="003F44D1">
        <w:rPr>
          <w:sz w:val="20"/>
          <w:lang w:val="fr-FR"/>
        </w:rPr>
        <w:t>Nombre d’accusés condamnés pour des délits rela</w:t>
      </w:r>
      <w:r w:rsidR="003F44D1" w:rsidRPr="003F44D1">
        <w:rPr>
          <w:sz w:val="20"/>
          <w:lang w:val="fr-FR"/>
        </w:rPr>
        <w:tab/>
      </w:r>
      <w:r w:rsidR="003F44D1">
        <w:rPr>
          <w:sz w:val="20"/>
          <w:lang w:val="fr-FR"/>
        </w:rPr>
        <w:t>tifs à l’exploitation commerciale des enfants</w:t>
      </w:r>
      <w:r w:rsidR="003F44D1">
        <w:rPr>
          <w:sz w:val="20"/>
          <w:lang w:val="fr-FR"/>
        </w:rPr>
        <w:br/>
        <w:t>par tous les</w:t>
      </w:r>
      <w:r w:rsidR="003F44D1" w:rsidRPr="003F44D1">
        <w:rPr>
          <w:sz w:val="20"/>
          <w:lang w:val="fr-FR"/>
        </w:rPr>
        <w:t xml:space="preserve"> </w:t>
      </w:r>
      <w:r w:rsidR="00300804" w:rsidRPr="00300804">
        <w:rPr>
          <w:sz w:val="20"/>
          <w:lang w:val="fr-FR"/>
        </w:rPr>
        <w:t>tribunaux de première instance</w:t>
      </w:r>
      <w:r w:rsidR="00300804">
        <w:rPr>
          <w:sz w:val="20"/>
          <w:lang w:val="fr-FR"/>
        </w:rPr>
        <w:t xml:space="preserve"> </w:t>
      </w:r>
      <w:r w:rsidR="003F44D1">
        <w:rPr>
          <w:sz w:val="20"/>
          <w:lang w:val="fr-FR"/>
        </w:rPr>
        <w:t>entre 2001 et</w:t>
      </w:r>
      <w:r w:rsidR="00572260">
        <w:rPr>
          <w:sz w:val="20"/>
          <w:lang w:val="fr-FR"/>
        </w:rPr>
        <w:t xml:space="preserve"> </w:t>
      </w:r>
      <w:r w:rsidR="003F44D1" w:rsidRPr="003F44D1">
        <w:rPr>
          <w:sz w:val="20"/>
          <w:lang w:val="fr-FR"/>
        </w:rPr>
        <w:t>2006</w:t>
      </w:r>
      <w:r w:rsidR="003F44D1">
        <w:rPr>
          <w:sz w:val="20"/>
          <w:lang w:val="fr-FR"/>
        </w:rPr>
        <w:t xml:space="preserve"> (années calendaires)</w:t>
      </w:r>
    </w:p>
    <w:tbl>
      <w:tblPr>
        <w:tblW w:w="13396" w:type="dxa"/>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1"/>
        <w:gridCol w:w="8"/>
        <w:gridCol w:w="1873"/>
        <w:gridCol w:w="14"/>
        <w:gridCol w:w="20"/>
        <w:gridCol w:w="1261"/>
        <w:gridCol w:w="354"/>
        <w:gridCol w:w="356"/>
        <w:gridCol w:w="358"/>
        <w:gridCol w:w="359"/>
        <w:gridCol w:w="360"/>
        <w:gridCol w:w="360"/>
        <w:gridCol w:w="364"/>
        <w:gridCol w:w="363"/>
        <w:gridCol w:w="362"/>
        <w:gridCol w:w="367"/>
        <w:gridCol w:w="364"/>
        <w:gridCol w:w="362"/>
        <w:gridCol w:w="361"/>
        <w:gridCol w:w="360"/>
        <w:gridCol w:w="364"/>
        <w:gridCol w:w="363"/>
        <w:gridCol w:w="362"/>
        <w:gridCol w:w="362"/>
        <w:gridCol w:w="361"/>
        <w:gridCol w:w="360"/>
        <w:gridCol w:w="364"/>
        <w:gridCol w:w="6"/>
        <w:gridCol w:w="357"/>
        <w:gridCol w:w="362"/>
        <w:gridCol w:w="361"/>
        <w:gridCol w:w="382"/>
        <w:gridCol w:w="465"/>
        <w:gridCol w:w="10"/>
      </w:tblGrid>
      <w:tr w:rsidR="009343E6" w:rsidRPr="009630CD">
        <w:trPr>
          <w:gridAfter w:val="1"/>
          <w:wAfter w:w="10" w:type="dxa"/>
          <w:tblHeader/>
        </w:trPr>
        <w:tc>
          <w:tcPr>
            <w:tcW w:w="687" w:type="dxa"/>
            <w:vMerge w:val="restart"/>
            <w:tcBorders>
              <w:top w:val="single" w:sz="4" w:space="0" w:color="auto"/>
            </w:tcBorders>
            <w:vAlign w:val="center"/>
          </w:tcPr>
          <w:p w:rsidR="001B6652" w:rsidRPr="009630CD" w:rsidRDefault="003B51CF" w:rsidP="005D7B68">
            <w:pPr>
              <w:tabs>
                <w:tab w:val="left" w:pos="567"/>
                <w:tab w:val="left" w:pos="1134"/>
                <w:tab w:val="left" w:pos="1701"/>
                <w:tab w:val="left" w:pos="2268"/>
                <w:tab w:val="left" w:pos="2835"/>
              </w:tabs>
              <w:spacing w:after="0"/>
              <w:jc w:val="center"/>
              <w:rPr>
                <w:sz w:val="16"/>
                <w:szCs w:val="18"/>
              </w:rPr>
            </w:pPr>
            <w:r>
              <w:rPr>
                <w:sz w:val="16"/>
                <w:szCs w:val="18"/>
              </w:rPr>
              <w:t>Année du jugement</w:t>
            </w:r>
          </w:p>
        </w:tc>
        <w:tc>
          <w:tcPr>
            <w:tcW w:w="1900" w:type="dxa"/>
            <w:gridSpan w:val="3"/>
            <w:vMerge w:val="restart"/>
            <w:tcBorders>
              <w:top w:val="single" w:sz="4" w:space="0" w:color="auto"/>
            </w:tcBorders>
            <w:vAlign w:val="center"/>
          </w:tcPr>
          <w:p w:rsidR="001B6652" w:rsidRPr="009630CD" w:rsidRDefault="00095582" w:rsidP="005D7B68">
            <w:pPr>
              <w:tabs>
                <w:tab w:val="left" w:pos="567"/>
                <w:tab w:val="left" w:pos="1134"/>
                <w:tab w:val="left" w:pos="1701"/>
                <w:tab w:val="left" w:pos="2268"/>
                <w:tab w:val="left" w:pos="2835"/>
              </w:tabs>
              <w:spacing w:after="0"/>
              <w:jc w:val="center"/>
              <w:rPr>
                <w:sz w:val="16"/>
                <w:szCs w:val="18"/>
              </w:rPr>
            </w:pPr>
            <w:r>
              <w:rPr>
                <w:sz w:val="16"/>
                <w:szCs w:val="18"/>
              </w:rPr>
              <w:t>Motif de la condamnation</w:t>
            </w:r>
          </w:p>
        </w:tc>
        <w:tc>
          <w:tcPr>
            <w:tcW w:w="1284" w:type="dxa"/>
            <w:gridSpan w:val="2"/>
            <w:vMerge w:val="restart"/>
            <w:tcBorders>
              <w:top w:val="single" w:sz="4" w:space="0" w:color="auto"/>
            </w:tcBorders>
            <w:vAlign w:val="center"/>
          </w:tcPr>
          <w:p w:rsidR="001B6652" w:rsidRPr="009630CD" w:rsidRDefault="00095582" w:rsidP="005D7B68">
            <w:pPr>
              <w:tabs>
                <w:tab w:val="left" w:pos="567"/>
                <w:tab w:val="left" w:pos="1134"/>
                <w:tab w:val="left" w:pos="1701"/>
                <w:tab w:val="left" w:pos="2268"/>
                <w:tab w:val="left" w:pos="2835"/>
              </w:tabs>
              <w:spacing w:after="0"/>
              <w:jc w:val="center"/>
              <w:rPr>
                <w:sz w:val="16"/>
                <w:szCs w:val="18"/>
              </w:rPr>
            </w:pPr>
            <w:r>
              <w:rPr>
                <w:sz w:val="16"/>
                <w:szCs w:val="18"/>
              </w:rPr>
              <w:t>Jugement</w:t>
            </w:r>
          </w:p>
        </w:tc>
        <w:tc>
          <w:tcPr>
            <w:tcW w:w="3604" w:type="dxa"/>
            <w:gridSpan w:val="10"/>
            <w:tcBorders>
              <w:top w:val="single" w:sz="4" w:space="0" w:color="auto"/>
              <w:bottom w:val="nil"/>
            </w:tcBorders>
            <w:shd w:val="clear" w:color="auto" w:fill="auto"/>
            <w:vAlign w:val="center"/>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r>
              <w:rPr>
                <w:sz w:val="16"/>
                <w:szCs w:val="18"/>
              </w:rPr>
              <w:t>Fem</w:t>
            </w:r>
            <w:r w:rsidR="00095582">
              <w:rPr>
                <w:sz w:val="16"/>
                <w:szCs w:val="18"/>
              </w:rPr>
              <w:t>mes</w:t>
            </w:r>
          </w:p>
        </w:tc>
        <w:tc>
          <w:tcPr>
            <w:tcW w:w="3619" w:type="dxa"/>
            <w:gridSpan w:val="10"/>
            <w:tcBorders>
              <w:top w:val="single" w:sz="4" w:space="0" w:color="auto"/>
              <w:bottom w:val="nil"/>
            </w:tcBorders>
            <w:shd w:val="clear" w:color="auto" w:fill="auto"/>
            <w:vAlign w:val="center"/>
          </w:tcPr>
          <w:p w:rsidR="001B6652" w:rsidRPr="009630CD" w:rsidRDefault="00095582" w:rsidP="005D7B68">
            <w:pPr>
              <w:tabs>
                <w:tab w:val="left" w:pos="567"/>
                <w:tab w:val="left" w:pos="1134"/>
                <w:tab w:val="left" w:pos="1701"/>
                <w:tab w:val="left" w:pos="2268"/>
                <w:tab w:val="left" w:pos="2835"/>
              </w:tabs>
              <w:spacing w:after="0"/>
              <w:ind w:right="57"/>
              <w:jc w:val="center"/>
              <w:rPr>
                <w:sz w:val="16"/>
                <w:szCs w:val="18"/>
              </w:rPr>
            </w:pPr>
            <w:r>
              <w:rPr>
                <w:sz w:val="16"/>
                <w:szCs w:val="18"/>
              </w:rPr>
              <w:t>Hommes</w:t>
            </w:r>
          </w:p>
        </w:tc>
        <w:tc>
          <w:tcPr>
            <w:tcW w:w="1827" w:type="dxa"/>
            <w:gridSpan w:val="6"/>
            <w:tcBorders>
              <w:top w:val="single" w:sz="4" w:space="0" w:color="auto"/>
              <w:bottom w:val="nil"/>
            </w:tcBorders>
            <w:shd w:val="clear" w:color="auto" w:fill="auto"/>
            <w:vAlign w:val="center"/>
          </w:tcPr>
          <w:p w:rsidR="001B6652" w:rsidRPr="009630CD" w:rsidRDefault="00095582" w:rsidP="005D7B68">
            <w:pPr>
              <w:tabs>
                <w:tab w:val="left" w:pos="567"/>
                <w:tab w:val="left" w:pos="1134"/>
                <w:tab w:val="left" w:pos="1701"/>
                <w:tab w:val="left" w:pos="2268"/>
                <w:tab w:val="left" w:pos="2835"/>
              </w:tabs>
              <w:spacing w:after="0"/>
              <w:ind w:right="57"/>
              <w:jc w:val="center"/>
              <w:rPr>
                <w:sz w:val="16"/>
                <w:szCs w:val="18"/>
              </w:rPr>
            </w:pPr>
            <w:r>
              <w:rPr>
                <w:sz w:val="16"/>
                <w:szCs w:val="18"/>
              </w:rPr>
              <w:t>Inconnu</w:t>
            </w:r>
          </w:p>
        </w:tc>
        <w:tc>
          <w:tcPr>
            <w:tcW w:w="465" w:type="dxa"/>
            <w:vMerge w:val="restart"/>
            <w:tcBorders>
              <w:top w:val="single" w:sz="4" w:space="0" w:color="auto"/>
            </w:tcBorders>
            <w:shd w:val="clear" w:color="auto" w:fill="auto"/>
            <w:vAlign w:val="center"/>
          </w:tcPr>
          <w:p w:rsidR="001B6652" w:rsidRPr="009630CD" w:rsidRDefault="00095582" w:rsidP="005D7B68">
            <w:pPr>
              <w:tabs>
                <w:tab w:val="left" w:pos="567"/>
                <w:tab w:val="left" w:pos="1134"/>
                <w:tab w:val="left" w:pos="1701"/>
                <w:tab w:val="left" w:pos="2268"/>
                <w:tab w:val="left" w:pos="2835"/>
              </w:tabs>
              <w:spacing w:after="0"/>
              <w:ind w:left="57"/>
              <w:jc w:val="center"/>
              <w:rPr>
                <w:sz w:val="16"/>
                <w:szCs w:val="18"/>
              </w:rPr>
            </w:pPr>
            <w:r>
              <w:rPr>
                <w:sz w:val="16"/>
                <w:szCs w:val="18"/>
              </w:rPr>
              <w:t>T</w:t>
            </w:r>
            <w:r w:rsidR="001B6652">
              <w:rPr>
                <w:sz w:val="16"/>
                <w:szCs w:val="18"/>
              </w:rPr>
              <w:t>otal</w:t>
            </w:r>
          </w:p>
        </w:tc>
      </w:tr>
      <w:tr w:rsidR="003A178B" w:rsidRPr="009630CD">
        <w:trPr>
          <w:gridAfter w:val="1"/>
          <w:wAfter w:w="10" w:type="dxa"/>
          <w:cantSplit/>
          <w:trHeight w:val="590"/>
          <w:tblHeader/>
        </w:trPr>
        <w:tc>
          <w:tcPr>
            <w:tcW w:w="687" w:type="dxa"/>
            <w:vMerge/>
            <w:tcBorders>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vMerge/>
            <w:tcBorders>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284" w:type="dxa"/>
            <w:gridSpan w:val="2"/>
            <w:vMerge/>
            <w:tcBorders>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355"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U/20</w:t>
            </w:r>
          </w:p>
        </w:tc>
        <w:tc>
          <w:tcPr>
            <w:tcW w:w="356"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20-24</w:t>
            </w:r>
          </w:p>
        </w:tc>
        <w:tc>
          <w:tcPr>
            <w:tcW w:w="358"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25-29</w:t>
            </w:r>
          </w:p>
        </w:tc>
        <w:tc>
          <w:tcPr>
            <w:tcW w:w="359"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30-34</w:t>
            </w:r>
          </w:p>
        </w:tc>
        <w:tc>
          <w:tcPr>
            <w:tcW w:w="360"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35-39</w:t>
            </w:r>
          </w:p>
        </w:tc>
        <w:tc>
          <w:tcPr>
            <w:tcW w:w="360"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40-44</w:t>
            </w:r>
          </w:p>
        </w:tc>
        <w:tc>
          <w:tcPr>
            <w:tcW w:w="364"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45-49</w:t>
            </w:r>
          </w:p>
        </w:tc>
        <w:tc>
          <w:tcPr>
            <w:tcW w:w="363"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50-54</w:t>
            </w:r>
          </w:p>
        </w:tc>
        <w:tc>
          <w:tcPr>
            <w:tcW w:w="362"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55-59</w:t>
            </w:r>
          </w:p>
        </w:tc>
        <w:tc>
          <w:tcPr>
            <w:tcW w:w="367"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60-64</w:t>
            </w:r>
          </w:p>
        </w:tc>
        <w:tc>
          <w:tcPr>
            <w:tcW w:w="364"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U/20</w:t>
            </w:r>
          </w:p>
        </w:tc>
        <w:tc>
          <w:tcPr>
            <w:tcW w:w="362"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20-24</w:t>
            </w:r>
          </w:p>
        </w:tc>
        <w:tc>
          <w:tcPr>
            <w:tcW w:w="361"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25-29</w:t>
            </w:r>
          </w:p>
        </w:tc>
        <w:tc>
          <w:tcPr>
            <w:tcW w:w="360"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30-34</w:t>
            </w:r>
          </w:p>
        </w:tc>
        <w:tc>
          <w:tcPr>
            <w:tcW w:w="364"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35-39</w:t>
            </w:r>
          </w:p>
        </w:tc>
        <w:tc>
          <w:tcPr>
            <w:tcW w:w="363"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40-44</w:t>
            </w:r>
          </w:p>
        </w:tc>
        <w:tc>
          <w:tcPr>
            <w:tcW w:w="362"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45-49</w:t>
            </w:r>
          </w:p>
        </w:tc>
        <w:tc>
          <w:tcPr>
            <w:tcW w:w="362"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50-54</w:t>
            </w:r>
          </w:p>
        </w:tc>
        <w:tc>
          <w:tcPr>
            <w:tcW w:w="361"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55-59</w:t>
            </w:r>
          </w:p>
        </w:tc>
        <w:tc>
          <w:tcPr>
            <w:tcW w:w="360"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60-64</w:t>
            </w:r>
          </w:p>
        </w:tc>
        <w:tc>
          <w:tcPr>
            <w:tcW w:w="364"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65-69</w:t>
            </w:r>
          </w:p>
        </w:tc>
        <w:tc>
          <w:tcPr>
            <w:tcW w:w="363" w:type="dxa"/>
            <w:gridSpan w:val="2"/>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70-74</w:t>
            </w:r>
          </w:p>
        </w:tc>
        <w:tc>
          <w:tcPr>
            <w:tcW w:w="362"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U</w:t>
            </w:r>
          </w:p>
        </w:tc>
        <w:tc>
          <w:tcPr>
            <w:tcW w:w="361"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20-24</w:t>
            </w:r>
          </w:p>
        </w:tc>
        <w:tc>
          <w:tcPr>
            <w:tcW w:w="377" w:type="dxa"/>
            <w:tcBorders>
              <w:top w:val="single" w:sz="4" w:space="0" w:color="auto"/>
              <w:bottom w:val="nil"/>
            </w:tcBorders>
            <w:shd w:val="clear" w:color="auto" w:fill="auto"/>
            <w:textDirection w:val="btLr"/>
            <w:vAlign w:val="bottom"/>
          </w:tcPr>
          <w:p w:rsidR="001B6652" w:rsidRPr="009630CD" w:rsidRDefault="001B6652" w:rsidP="005D7B68">
            <w:pPr>
              <w:tabs>
                <w:tab w:val="left" w:pos="567"/>
                <w:tab w:val="left" w:pos="1134"/>
                <w:tab w:val="left" w:pos="1701"/>
                <w:tab w:val="left" w:pos="2268"/>
                <w:tab w:val="left" w:pos="2835"/>
              </w:tabs>
              <w:spacing w:after="0"/>
              <w:ind w:left="57"/>
              <w:rPr>
                <w:sz w:val="16"/>
                <w:szCs w:val="18"/>
              </w:rPr>
            </w:pPr>
            <w:r>
              <w:rPr>
                <w:sz w:val="16"/>
                <w:szCs w:val="18"/>
              </w:rPr>
              <w:t>25-29</w:t>
            </w:r>
          </w:p>
        </w:tc>
        <w:tc>
          <w:tcPr>
            <w:tcW w:w="465" w:type="dxa"/>
            <w:vMerge/>
            <w:tcBorders>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p>
        </w:tc>
      </w:tr>
      <w:tr w:rsidR="003A178B" w:rsidRPr="009630CD">
        <w:trPr>
          <w:gridAfter w:val="1"/>
          <w:wAfter w:w="10" w:type="dxa"/>
        </w:trPr>
        <w:tc>
          <w:tcPr>
            <w:tcW w:w="687" w:type="dxa"/>
            <w:tcBorders>
              <w:top w:val="single" w:sz="4" w:space="0" w:color="auto"/>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r w:rsidRPr="009630CD">
              <w:rPr>
                <w:sz w:val="16"/>
                <w:szCs w:val="18"/>
              </w:rPr>
              <w:t>2001</w:t>
            </w:r>
          </w:p>
        </w:tc>
        <w:tc>
          <w:tcPr>
            <w:tcW w:w="1900" w:type="dxa"/>
            <w:gridSpan w:val="3"/>
            <w:tcBorders>
              <w:top w:val="single" w:sz="4" w:space="0" w:color="auto"/>
              <w:bottom w:val="nil"/>
            </w:tcBorders>
          </w:tcPr>
          <w:p w:rsidR="001B6652" w:rsidRPr="005A2D0A" w:rsidRDefault="00095582"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1B6652" w:rsidRPr="005A2D0A">
              <w:rPr>
                <w:sz w:val="16"/>
                <w:szCs w:val="18"/>
                <w:lang w:val="fr-FR"/>
              </w:rPr>
              <w:t>, etc.</w:t>
            </w:r>
          </w:p>
        </w:tc>
        <w:tc>
          <w:tcPr>
            <w:tcW w:w="1284" w:type="dxa"/>
            <w:gridSpan w:val="2"/>
            <w:tcBorders>
              <w:top w:val="single" w:sz="4" w:space="0" w:color="auto"/>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p>
        </w:tc>
        <w:tc>
          <w:tcPr>
            <w:tcW w:w="356"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2</w:t>
            </w:r>
          </w:p>
        </w:tc>
      </w:tr>
      <w:tr w:rsidR="003A178B" w:rsidRPr="009630CD">
        <w:trPr>
          <w:gridAfter w:val="1"/>
          <w:wAfter w:w="10" w:type="dxa"/>
        </w:trPr>
        <w:tc>
          <w:tcPr>
            <w:tcW w:w="687" w:type="dxa"/>
            <w:tcBorders>
              <w:top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1B6652" w:rsidRPr="005A2D0A">
              <w:rPr>
                <w:sz w:val="16"/>
                <w:szCs w:val="18"/>
                <w:lang w:val="fr-FR"/>
              </w:rPr>
              <w:t>, etc.</w:t>
            </w:r>
          </w:p>
        </w:tc>
        <w:tc>
          <w:tcPr>
            <w:tcW w:w="1284" w:type="dxa"/>
            <w:gridSpan w:val="2"/>
            <w:tcBorders>
              <w:top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p>
        </w:tc>
        <w:tc>
          <w:tcPr>
            <w:tcW w:w="356"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16</w:t>
            </w:r>
          </w:p>
        </w:tc>
      </w:tr>
      <w:tr w:rsidR="003A178B" w:rsidRPr="009630CD">
        <w:trPr>
          <w:gridAfter w:val="1"/>
          <w:wAfter w:w="10" w:type="dxa"/>
        </w:trPr>
        <w:tc>
          <w:tcPr>
            <w:tcW w:w="687" w:type="dxa"/>
            <w:tcBorders>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r w:rsidRPr="009630CD">
              <w:rPr>
                <w:sz w:val="16"/>
                <w:szCs w:val="18"/>
              </w:rPr>
              <w:t>Probation</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40</w:t>
            </w:r>
          </w:p>
        </w:tc>
      </w:tr>
      <w:tr w:rsidR="003A178B" w:rsidRPr="009630CD">
        <w:trPr>
          <w:gridAfter w:val="1"/>
          <w:wAfter w:w="10" w:type="dxa"/>
        </w:trPr>
        <w:tc>
          <w:tcPr>
            <w:tcW w:w="687" w:type="dxa"/>
            <w:tcBorders>
              <w:top w:val="nil"/>
              <w:bottom w:val="single" w:sz="4" w:space="0" w:color="auto"/>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single" w:sz="4" w:space="0" w:color="auto"/>
            </w:tcBorders>
          </w:tcPr>
          <w:p w:rsidR="001B6652" w:rsidRPr="009630CD" w:rsidRDefault="005A2D0A"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single" w:sz="4" w:space="0" w:color="auto"/>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p>
        </w:tc>
        <w:tc>
          <w:tcPr>
            <w:tcW w:w="356"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9"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AF5DC0">
        <w:trPr>
          <w:gridAfter w:val="1"/>
          <w:wAfter w:w="10" w:type="dxa"/>
        </w:trPr>
        <w:tc>
          <w:tcPr>
            <w:tcW w:w="3871" w:type="dxa"/>
            <w:gridSpan w:val="6"/>
            <w:tcBorders>
              <w:top w:val="single" w:sz="4" w:space="0" w:color="auto"/>
              <w:bottom w:val="single" w:sz="4" w:space="0" w:color="auto"/>
            </w:tcBorders>
          </w:tcPr>
          <w:p w:rsidR="001B6652" w:rsidRPr="00AF5DC0" w:rsidRDefault="001B6652" w:rsidP="005D7B68">
            <w:pPr>
              <w:tabs>
                <w:tab w:val="left" w:pos="567"/>
                <w:tab w:val="left" w:pos="1134"/>
                <w:tab w:val="left" w:pos="1701"/>
                <w:tab w:val="left" w:pos="2268"/>
                <w:tab w:val="left" w:pos="2835"/>
              </w:tabs>
              <w:spacing w:after="0"/>
              <w:rPr>
                <w:i/>
                <w:iCs/>
                <w:sz w:val="16"/>
                <w:szCs w:val="18"/>
              </w:rPr>
            </w:pPr>
            <w:r w:rsidRPr="00AF5DC0">
              <w:rPr>
                <w:i/>
                <w:iCs/>
                <w:sz w:val="16"/>
                <w:szCs w:val="18"/>
              </w:rPr>
              <w:t>2001 Total</w:t>
            </w:r>
          </w:p>
        </w:tc>
        <w:tc>
          <w:tcPr>
            <w:tcW w:w="355"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center"/>
              <w:rPr>
                <w:i/>
                <w:iCs/>
                <w:sz w:val="16"/>
                <w:szCs w:val="18"/>
              </w:rPr>
            </w:pPr>
            <w:r w:rsidRPr="00AF5DC0">
              <w:rPr>
                <w:i/>
                <w:iCs/>
                <w:sz w:val="16"/>
                <w:szCs w:val="18"/>
              </w:rPr>
              <w:t>1</w:t>
            </w:r>
          </w:p>
        </w:tc>
        <w:tc>
          <w:tcPr>
            <w:tcW w:w="356"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58"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9</w:t>
            </w:r>
          </w:p>
        </w:tc>
        <w:tc>
          <w:tcPr>
            <w:tcW w:w="359"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10</w:t>
            </w:r>
          </w:p>
        </w:tc>
        <w:tc>
          <w:tcPr>
            <w:tcW w:w="360"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0"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4"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5</w:t>
            </w:r>
          </w:p>
        </w:tc>
        <w:tc>
          <w:tcPr>
            <w:tcW w:w="363"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2"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7"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4"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0"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4"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63"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5</w:t>
            </w:r>
          </w:p>
        </w:tc>
        <w:tc>
          <w:tcPr>
            <w:tcW w:w="362"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2"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1"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0"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3" w:type="dxa"/>
            <w:gridSpan w:val="2"/>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377"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57"/>
              <w:jc w:val="right"/>
              <w:rPr>
                <w:i/>
                <w:iCs/>
                <w:sz w:val="16"/>
                <w:szCs w:val="18"/>
              </w:rPr>
            </w:pPr>
          </w:p>
        </w:tc>
        <w:tc>
          <w:tcPr>
            <w:tcW w:w="465" w:type="dxa"/>
            <w:tcBorders>
              <w:top w:val="nil"/>
              <w:bottom w:val="single" w:sz="4" w:space="0" w:color="auto"/>
            </w:tcBorders>
            <w:shd w:val="clear" w:color="auto" w:fill="auto"/>
          </w:tcPr>
          <w:p w:rsidR="001B6652" w:rsidRPr="00AF5DC0" w:rsidRDefault="001B6652" w:rsidP="005D7B68">
            <w:pPr>
              <w:tabs>
                <w:tab w:val="left" w:pos="567"/>
                <w:tab w:val="left" w:pos="1134"/>
                <w:tab w:val="left" w:pos="1701"/>
                <w:tab w:val="left" w:pos="2268"/>
                <w:tab w:val="left" w:pos="2835"/>
              </w:tabs>
              <w:spacing w:after="0"/>
              <w:ind w:right="170"/>
              <w:jc w:val="right"/>
              <w:rPr>
                <w:i/>
                <w:iCs/>
                <w:sz w:val="16"/>
                <w:szCs w:val="18"/>
              </w:rPr>
            </w:pPr>
            <w:r w:rsidRPr="00AF5DC0">
              <w:rPr>
                <w:i/>
                <w:iCs/>
                <w:sz w:val="16"/>
                <w:szCs w:val="18"/>
              </w:rPr>
              <w:t>64</w:t>
            </w:r>
          </w:p>
        </w:tc>
      </w:tr>
      <w:tr w:rsidR="003A178B" w:rsidRPr="009630CD">
        <w:trPr>
          <w:gridAfter w:val="1"/>
          <w:wAfter w:w="10" w:type="dxa"/>
        </w:trPr>
        <w:tc>
          <w:tcPr>
            <w:tcW w:w="687" w:type="dxa"/>
            <w:tcBorders>
              <w:top w:val="single" w:sz="4" w:space="0" w:color="auto"/>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r w:rsidRPr="009630CD">
              <w:rPr>
                <w:sz w:val="16"/>
                <w:szCs w:val="18"/>
              </w:rPr>
              <w:t>2002</w:t>
            </w:r>
          </w:p>
        </w:tc>
        <w:tc>
          <w:tcPr>
            <w:tcW w:w="1900" w:type="dxa"/>
            <w:gridSpan w:val="3"/>
            <w:tcBorders>
              <w:top w:val="single" w:sz="4" w:space="0" w:color="auto"/>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1B6652" w:rsidRPr="005A2D0A">
              <w:rPr>
                <w:sz w:val="16"/>
                <w:szCs w:val="18"/>
                <w:lang w:val="fr-FR"/>
              </w:rPr>
              <w:t>, etc.</w:t>
            </w:r>
          </w:p>
        </w:tc>
        <w:tc>
          <w:tcPr>
            <w:tcW w:w="1284" w:type="dxa"/>
            <w:gridSpan w:val="2"/>
            <w:tcBorders>
              <w:top w:val="single" w:sz="4" w:space="0" w:color="auto"/>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Peine de prison</w:t>
            </w:r>
          </w:p>
        </w:tc>
        <w:tc>
          <w:tcPr>
            <w:tcW w:w="355"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single" w:sz="4" w:space="0" w:color="auto"/>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1B6652" w:rsidRPr="005A2D0A">
              <w:rPr>
                <w:sz w:val="16"/>
                <w:szCs w:val="18"/>
                <w:lang w:val="fr-FR"/>
              </w:rPr>
              <w:t>, etc.</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14</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5A2D0A" w:rsidRDefault="005A2D0A"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6</w:t>
            </w: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34</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CF45EC" w:rsidRDefault="00CF45EC" w:rsidP="005D7B68">
            <w:pPr>
              <w:tabs>
                <w:tab w:val="left" w:pos="567"/>
                <w:tab w:val="left" w:pos="1134"/>
                <w:tab w:val="left" w:pos="1701"/>
                <w:tab w:val="left" w:pos="2268"/>
                <w:tab w:val="left" w:pos="2835"/>
              </w:tabs>
              <w:spacing w:after="0"/>
              <w:rPr>
                <w:sz w:val="16"/>
                <w:szCs w:val="18"/>
                <w:lang w:val="fr-FR"/>
              </w:rPr>
            </w:pPr>
            <w:r w:rsidRPr="005A2D0A">
              <w:rPr>
                <w:sz w:val="16"/>
                <w:szCs w:val="18"/>
                <w:lang w:val="fr-FR"/>
              </w:rPr>
              <w:t>Participation délibérée à des actes de prostitution</w:t>
            </w:r>
          </w:p>
        </w:tc>
        <w:tc>
          <w:tcPr>
            <w:tcW w:w="1284" w:type="dxa"/>
            <w:gridSpan w:val="2"/>
            <w:tcBorders>
              <w:top w:val="nil"/>
              <w:bottom w:val="nil"/>
            </w:tcBorders>
          </w:tcPr>
          <w:p w:rsidR="001B6652" w:rsidRPr="00AF11C0" w:rsidRDefault="00AF11C0" w:rsidP="005D7B68">
            <w:pPr>
              <w:tabs>
                <w:tab w:val="left" w:pos="567"/>
                <w:tab w:val="left" w:pos="1134"/>
                <w:tab w:val="left" w:pos="1701"/>
                <w:tab w:val="left" w:pos="2268"/>
                <w:tab w:val="left" w:pos="2835"/>
              </w:tabs>
              <w:spacing w:after="0"/>
              <w:rPr>
                <w:sz w:val="16"/>
                <w:szCs w:val="18"/>
              </w:rPr>
            </w:pPr>
            <w:r w:rsidRPr="00AF11C0">
              <w:rPr>
                <w:sz w:val="16"/>
                <w:szCs w:val="18"/>
              </w:rPr>
              <w:t>Dispense de peine</w:t>
            </w:r>
          </w:p>
        </w:tc>
        <w:tc>
          <w:tcPr>
            <w:tcW w:w="35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6"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vAlign w:val="bottom"/>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2</w:t>
            </w:r>
          </w:p>
        </w:tc>
      </w:tr>
      <w:tr w:rsidR="003A178B" w:rsidRPr="009630CD">
        <w:trPr>
          <w:gridAfter w:val="1"/>
          <w:wAfter w:w="10" w:type="dxa"/>
        </w:trPr>
        <w:tc>
          <w:tcPr>
            <w:tcW w:w="687" w:type="dxa"/>
            <w:tcBorders>
              <w:top w:val="nil"/>
              <w:bottom w:val="nil"/>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nil"/>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p>
        </w:tc>
        <w:tc>
          <w:tcPr>
            <w:tcW w:w="356"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nil"/>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rPr>
          <w:gridAfter w:val="1"/>
          <w:wAfter w:w="10" w:type="dxa"/>
        </w:trPr>
        <w:tc>
          <w:tcPr>
            <w:tcW w:w="687" w:type="dxa"/>
            <w:tcBorders>
              <w:top w:val="nil"/>
              <w:bottom w:val="single" w:sz="4" w:space="0" w:color="auto"/>
            </w:tcBorders>
          </w:tcPr>
          <w:p w:rsidR="001B6652" w:rsidRPr="009630CD" w:rsidRDefault="001B6652"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single" w:sz="4" w:space="0" w:color="auto"/>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single" w:sz="4" w:space="0" w:color="auto"/>
            </w:tcBorders>
          </w:tcPr>
          <w:p w:rsidR="001B6652" w:rsidRPr="009630CD" w:rsidRDefault="00CF45EC"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p>
        </w:tc>
        <w:tc>
          <w:tcPr>
            <w:tcW w:w="356"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nil"/>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2</w:t>
            </w:r>
          </w:p>
        </w:tc>
      </w:tr>
      <w:tr w:rsidR="003A178B" w:rsidRPr="009630CD">
        <w:trPr>
          <w:gridAfter w:val="1"/>
          <w:wAfter w:w="10" w:type="dxa"/>
        </w:trPr>
        <w:tc>
          <w:tcPr>
            <w:tcW w:w="3871" w:type="dxa"/>
            <w:gridSpan w:val="6"/>
            <w:tcBorders>
              <w:top w:val="single" w:sz="4" w:space="0" w:color="auto"/>
              <w:bottom w:val="single" w:sz="4" w:space="0" w:color="auto"/>
            </w:tcBorders>
          </w:tcPr>
          <w:p w:rsidR="001B6652" w:rsidRPr="00AF5DC0" w:rsidRDefault="001B6652" w:rsidP="005D7B68">
            <w:pPr>
              <w:tabs>
                <w:tab w:val="left" w:pos="567"/>
                <w:tab w:val="left" w:pos="1134"/>
                <w:tab w:val="left" w:pos="1701"/>
                <w:tab w:val="left" w:pos="2268"/>
                <w:tab w:val="left" w:pos="2835"/>
              </w:tabs>
              <w:spacing w:after="0"/>
              <w:rPr>
                <w:i/>
                <w:iCs/>
                <w:sz w:val="16"/>
                <w:szCs w:val="18"/>
              </w:rPr>
            </w:pPr>
            <w:r w:rsidRPr="00AF5DC0">
              <w:rPr>
                <w:i/>
                <w:iCs/>
                <w:sz w:val="16"/>
                <w:szCs w:val="18"/>
              </w:rPr>
              <w:t xml:space="preserve">2002 </w:t>
            </w:r>
            <w:r w:rsidR="00AF5DC0" w:rsidRPr="00AF5DC0">
              <w:rPr>
                <w:i/>
                <w:iCs/>
                <w:sz w:val="16"/>
                <w:szCs w:val="18"/>
              </w:rPr>
              <w:t>Total</w:t>
            </w:r>
          </w:p>
        </w:tc>
        <w:tc>
          <w:tcPr>
            <w:tcW w:w="355"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center"/>
              <w:rPr>
                <w:sz w:val="16"/>
                <w:szCs w:val="18"/>
              </w:rPr>
            </w:pPr>
            <w:r w:rsidRPr="009630CD">
              <w:rPr>
                <w:sz w:val="16"/>
                <w:szCs w:val="18"/>
              </w:rPr>
              <w:t>1</w:t>
            </w:r>
          </w:p>
        </w:tc>
        <w:tc>
          <w:tcPr>
            <w:tcW w:w="356"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58"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8</w:t>
            </w:r>
          </w:p>
        </w:tc>
        <w:tc>
          <w:tcPr>
            <w:tcW w:w="359"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11</w:t>
            </w:r>
          </w:p>
        </w:tc>
        <w:tc>
          <w:tcPr>
            <w:tcW w:w="360"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9</w:t>
            </w:r>
          </w:p>
        </w:tc>
        <w:tc>
          <w:tcPr>
            <w:tcW w:w="360"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4"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3"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1"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4"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2"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gridSpan w:val="2"/>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57"/>
              <w:jc w:val="right"/>
              <w:rPr>
                <w:sz w:val="16"/>
                <w:szCs w:val="18"/>
              </w:rPr>
            </w:pPr>
          </w:p>
        </w:tc>
        <w:tc>
          <w:tcPr>
            <w:tcW w:w="465" w:type="dxa"/>
            <w:tcBorders>
              <w:top w:val="single" w:sz="4" w:space="0" w:color="auto"/>
              <w:bottom w:val="single" w:sz="4" w:space="0" w:color="auto"/>
            </w:tcBorders>
            <w:shd w:val="clear" w:color="auto" w:fill="auto"/>
          </w:tcPr>
          <w:p w:rsidR="001B6652" w:rsidRPr="009630CD" w:rsidRDefault="001B6652"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58</w:t>
            </w:r>
          </w:p>
        </w:tc>
      </w:tr>
      <w:tr w:rsidR="003A178B" w:rsidRPr="009630CD">
        <w:tc>
          <w:tcPr>
            <w:tcW w:w="687" w:type="dxa"/>
            <w:tcBorders>
              <w:top w:val="single" w:sz="4" w:space="0" w:color="auto"/>
              <w:bottom w:val="nil"/>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r w:rsidRPr="009630CD">
              <w:rPr>
                <w:sz w:val="16"/>
                <w:szCs w:val="18"/>
              </w:rPr>
              <w:t>2003</w:t>
            </w:r>
          </w:p>
        </w:tc>
        <w:tc>
          <w:tcPr>
            <w:tcW w:w="1900" w:type="dxa"/>
            <w:gridSpan w:val="3"/>
            <w:tcBorders>
              <w:top w:val="single" w:sz="4" w:space="0" w:color="auto"/>
              <w:bottom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Pr="001B03B4">
              <w:rPr>
                <w:sz w:val="16"/>
                <w:szCs w:val="18"/>
                <w:lang w:val="fr-FR"/>
              </w:rPr>
              <w:t>, etc.</w:t>
            </w:r>
          </w:p>
        </w:tc>
        <w:tc>
          <w:tcPr>
            <w:tcW w:w="1284" w:type="dxa"/>
            <w:gridSpan w:val="2"/>
            <w:tcBorders>
              <w:top w:val="single" w:sz="4" w:space="0" w:color="auto"/>
              <w:bottom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9</w:t>
            </w:r>
          </w:p>
        </w:tc>
      </w:tr>
      <w:tr w:rsidR="003A178B" w:rsidRPr="009630CD">
        <w:trPr>
          <w:cantSplit/>
        </w:trPr>
        <w:tc>
          <w:tcPr>
            <w:tcW w:w="687" w:type="dxa"/>
            <w:tcBorders>
              <w:top w:val="nil"/>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Borders>
              <w:top w:val="nil"/>
              <w:bottom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6"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8"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9"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7</w:t>
            </w:r>
          </w:p>
        </w:tc>
      </w:tr>
      <w:tr w:rsidR="003A178B" w:rsidRPr="009630CD">
        <w:tc>
          <w:tcPr>
            <w:tcW w:w="687" w:type="dxa"/>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single" w:sz="4" w:space="0" w:color="auto"/>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Borders>
              <w:top w:val="nil"/>
              <w:bottom w:val="single" w:sz="4" w:space="0" w:color="auto"/>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56"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8</w:t>
            </w:r>
          </w:p>
        </w:tc>
        <w:tc>
          <w:tcPr>
            <w:tcW w:w="358"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14</w:t>
            </w:r>
          </w:p>
        </w:tc>
        <w:tc>
          <w:tcPr>
            <w:tcW w:w="359"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14</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16</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9</w:t>
            </w: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6</w:t>
            </w: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83</w:t>
            </w:r>
          </w:p>
        </w:tc>
      </w:tr>
      <w:tr w:rsidR="003A178B" w:rsidRPr="009630CD">
        <w:tc>
          <w:tcPr>
            <w:tcW w:w="687" w:type="dxa"/>
            <w:tcBorders>
              <w:top w:val="single" w:sz="4" w:space="0" w:color="auto"/>
              <w:bottom w:val="nil"/>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p>
        </w:tc>
        <w:tc>
          <w:tcPr>
            <w:tcW w:w="1900" w:type="dxa"/>
            <w:gridSpan w:val="3"/>
            <w:tcBorders>
              <w:top w:val="single" w:sz="4" w:space="0" w:color="auto"/>
              <w:bottom w:val="nil"/>
            </w:tcBorders>
          </w:tcPr>
          <w:p w:rsidR="00C111C0" w:rsidRPr="001B03B4" w:rsidRDefault="00C111C0" w:rsidP="005D7B68">
            <w:pPr>
              <w:keepNext/>
              <w:keepLines/>
              <w:tabs>
                <w:tab w:val="left" w:pos="567"/>
                <w:tab w:val="left" w:pos="1134"/>
                <w:tab w:val="left" w:pos="1701"/>
                <w:tab w:val="left" w:pos="2268"/>
                <w:tab w:val="left" w:pos="2835"/>
              </w:tabs>
              <w:spacing w:after="0"/>
              <w:rPr>
                <w:sz w:val="16"/>
                <w:szCs w:val="18"/>
                <w:lang w:val="fr-FR"/>
              </w:rPr>
            </w:pPr>
            <w:r w:rsidRPr="001B03B4">
              <w:rPr>
                <w:sz w:val="16"/>
                <w:szCs w:val="18"/>
                <w:lang w:val="fr-FR"/>
              </w:rPr>
              <w:t xml:space="preserve">Participation délibérée à des </w:t>
            </w:r>
            <w:r w:rsidRPr="005F6ADB">
              <w:rPr>
                <w:sz w:val="16"/>
                <w:szCs w:val="18"/>
                <w:lang w:val="fr-FR"/>
              </w:rPr>
              <w:t>actes de prostitution</w:t>
            </w:r>
          </w:p>
        </w:tc>
        <w:tc>
          <w:tcPr>
            <w:tcW w:w="1284" w:type="dxa"/>
            <w:gridSpan w:val="2"/>
            <w:tcBorders>
              <w:top w:val="single" w:sz="4" w:space="0" w:color="auto"/>
              <w:bottom w:val="nil"/>
            </w:tcBorders>
          </w:tcPr>
          <w:p w:rsidR="00C111C0" w:rsidRPr="009630CD" w:rsidRDefault="001D4326" w:rsidP="005D7B68">
            <w:pPr>
              <w:keepNext/>
              <w:keepLines/>
              <w:tabs>
                <w:tab w:val="left" w:pos="567"/>
                <w:tab w:val="left" w:pos="1134"/>
                <w:tab w:val="left" w:pos="1701"/>
                <w:tab w:val="left" w:pos="2268"/>
                <w:tab w:val="left" w:pos="2835"/>
              </w:tabs>
              <w:spacing w:after="0"/>
              <w:rPr>
                <w:sz w:val="16"/>
                <w:szCs w:val="18"/>
              </w:rPr>
            </w:pPr>
            <w:r>
              <w:rPr>
                <w:sz w:val="16"/>
                <w:szCs w:val="18"/>
              </w:rPr>
              <w:t>Dispense de peine</w:t>
            </w:r>
          </w:p>
        </w:tc>
        <w:tc>
          <w:tcPr>
            <w:tcW w:w="355"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58"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9630CD">
        <w:tc>
          <w:tcPr>
            <w:tcW w:w="687" w:type="dxa"/>
            <w:tcBorders>
              <w:top w:val="nil"/>
              <w:bottom w:val="nil"/>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p>
        </w:tc>
        <w:tc>
          <w:tcPr>
            <w:tcW w:w="1900" w:type="dxa"/>
            <w:gridSpan w:val="3"/>
            <w:tcBorders>
              <w:top w:val="nil"/>
              <w:bottom w:val="nil"/>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nil"/>
            </w:tcBorders>
          </w:tcPr>
          <w:p w:rsidR="00C111C0" w:rsidRPr="009630CD" w:rsidRDefault="001D4326" w:rsidP="005D7B68">
            <w:pPr>
              <w:keepNext/>
              <w:keepLines/>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tcPr>
          <w:p w:rsidR="00C111C0" w:rsidRPr="009630CD" w:rsidRDefault="00C111C0" w:rsidP="005D7B68">
            <w:pPr>
              <w:keepNext/>
              <w:keepLines/>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687" w:type="dxa"/>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00" w:type="dxa"/>
            <w:gridSpan w:val="3"/>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single" w:sz="4" w:space="0" w:color="auto"/>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9"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AF5DC0">
        <w:tc>
          <w:tcPr>
            <w:tcW w:w="3871" w:type="dxa"/>
            <w:gridSpan w:val="6"/>
            <w:tcBorders>
              <w:top w:val="single" w:sz="4" w:space="0" w:color="auto"/>
              <w:bottom w:val="single" w:sz="4" w:space="0" w:color="auto"/>
            </w:tcBorders>
          </w:tcPr>
          <w:p w:rsidR="00C111C0" w:rsidRPr="00AF5DC0" w:rsidRDefault="00C111C0" w:rsidP="005D7B68">
            <w:pPr>
              <w:tabs>
                <w:tab w:val="left" w:pos="567"/>
                <w:tab w:val="left" w:pos="1134"/>
                <w:tab w:val="left" w:pos="1701"/>
                <w:tab w:val="left" w:pos="2268"/>
                <w:tab w:val="left" w:pos="2835"/>
              </w:tabs>
              <w:spacing w:after="0"/>
              <w:rPr>
                <w:i/>
                <w:iCs/>
                <w:sz w:val="16"/>
                <w:szCs w:val="18"/>
              </w:rPr>
            </w:pPr>
            <w:r w:rsidRPr="00AF5DC0">
              <w:rPr>
                <w:i/>
                <w:iCs/>
                <w:sz w:val="16"/>
                <w:szCs w:val="18"/>
              </w:rPr>
              <w:t>2003 Total</w:t>
            </w:r>
          </w:p>
        </w:tc>
        <w:tc>
          <w:tcPr>
            <w:tcW w:w="355"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56"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12</w:t>
            </w:r>
          </w:p>
        </w:tc>
        <w:tc>
          <w:tcPr>
            <w:tcW w:w="358"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16</w:t>
            </w:r>
          </w:p>
        </w:tc>
        <w:tc>
          <w:tcPr>
            <w:tcW w:w="359"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16</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17</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14</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7"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7</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3"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77"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475"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170"/>
              <w:jc w:val="right"/>
              <w:rPr>
                <w:i/>
                <w:iCs/>
                <w:sz w:val="16"/>
                <w:szCs w:val="18"/>
              </w:rPr>
            </w:pPr>
            <w:r w:rsidRPr="00AF5DC0">
              <w:rPr>
                <w:i/>
                <w:iCs/>
                <w:sz w:val="16"/>
                <w:szCs w:val="18"/>
              </w:rPr>
              <w:t>105</w:t>
            </w:r>
          </w:p>
        </w:tc>
      </w:tr>
      <w:tr w:rsidR="003A178B" w:rsidRPr="009630CD">
        <w:tc>
          <w:tcPr>
            <w:tcW w:w="702" w:type="dxa"/>
            <w:gridSpan w:val="2"/>
            <w:tcBorders>
              <w:top w:val="nil"/>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sidRPr="009630CD">
              <w:rPr>
                <w:sz w:val="16"/>
                <w:szCs w:val="18"/>
              </w:rPr>
              <w:t>2004</w:t>
            </w:r>
          </w:p>
        </w:tc>
        <w:tc>
          <w:tcPr>
            <w:tcW w:w="1885" w:type="dxa"/>
            <w:gridSpan w:val="2"/>
            <w:tcBorders>
              <w:top w:val="nil"/>
              <w:bottom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Pr="001B03B4">
              <w:rPr>
                <w:sz w:val="16"/>
                <w:szCs w:val="18"/>
                <w:lang w:val="fr-FR"/>
              </w:rPr>
              <w:t>, etc.</w:t>
            </w:r>
          </w:p>
        </w:tc>
        <w:tc>
          <w:tcPr>
            <w:tcW w:w="1284" w:type="dxa"/>
            <w:gridSpan w:val="2"/>
            <w:tcBorders>
              <w:top w:val="nil"/>
              <w:bottom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702" w:type="dxa"/>
            <w:gridSpan w:val="2"/>
            <w:tcBorders>
              <w:top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Borders>
              <w:top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Borders>
              <w:top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E</w:t>
            </w:r>
            <w:r w:rsidR="00C111C0" w:rsidRPr="009630CD">
              <w:rPr>
                <w:sz w:val="16"/>
                <w:szCs w:val="18"/>
              </w:rPr>
              <w:t>mprison</w:t>
            </w:r>
            <w:r>
              <w:rPr>
                <w:sz w:val="16"/>
                <w:szCs w:val="18"/>
              </w:rPr>
              <w:t>ne</w:t>
            </w:r>
            <w:r w:rsidR="00C111C0" w:rsidRPr="009630CD">
              <w:rPr>
                <w:sz w:val="16"/>
                <w:szCs w:val="18"/>
              </w:rPr>
              <w:t>ment</w:t>
            </w:r>
          </w:p>
        </w:tc>
        <w:tc>
          <w:tcPr>
            <w:tcW w:w="355"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702" w:type="dxa"/>
            <w:gridSpan w:val="2"/>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58"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59"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14</w:t>
            </w:r>
          </w:p>
        </w:tc>
      </w:tr>
      <w:tr w:rsidR="003A178B" w:rsidRPr="009630CD">
        <w:tc>
          <w:tcPr>
            <w:tcW w:w="702" w:type="dxa"/>
            <w:gridSpan w:val="2"/>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8"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59"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7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54</w:t>
            </w:r>
          </w:p>
        </w:tc>
      </w:tr>
      <w:tr w:rsidR="003A178B" w:rsidRPr="009630CD">
        <w:tc>
          <w:tcPr>
            <w:tcW w:w="702" w:type="dxa"/>
            <w:gridSpan w:val="2"/>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84" w:type="dxa"/>
            <w:gridSpan w:val="2"/>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Dispense de peine</w:t>
            </w:r>
          </w:p>
        </w:tc>
        <w:tc>
          <w:tcPr>
            <w:tcW w:w="355"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8"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9630CD">
        <w:tc>
          <w:tcPr>
            <w:tcW w:w="702" w:type="dxa"/>
            <w:gridSpan w:val="2"/>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Proxénétisme</w:t>
            </w:r>
          </w:p>
        </w:tc>
        <w:tc>
          <w:tcPr>
            <w:tcW w:w="1284" w:type="dxa"/>
            <w:gridSpan w:val="2"/>
            <w:tcBorders>
              <w:top w:val="nil"/>
              <w:bottom w:val="single" w:sz="4" w:space="0" w:color="auto"/>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3</w:t>
            </w:r>
          </w:p>
        </w:tc>
      </w:tr>
      <w:tr w:rsidR="003A178B" w:rsidRPr="00AF5DC0">
        <w:tc>
          <w:tcPr>
            <w:tcW w:w="3871" w:type="dxa"/>
            <w:gridSpan w:val="6"/>
            <w:tcBorders>
              <w:top w:val="single" w:sz="4" w:space="0" w:color="auto"/>
              <w:bottom w:val="single" w:sz="4" w:space="0" w:color="auto"/>
            </w:tcBorders>
          </w:tcPr>
          <w:p w:rsidR="00C111C0" w:rsidRPr="00AF5DC0" w:rsidRDefault="00C111C0" w:rsidP="005D7B68">
            <w:pPr>
              <w:tabs>
                <w:tab w:val="left" w:pos="567"/>
                <w:tab w:val="left" w:pos="1134"/>
                <w:tab w:val="left" w:pos="1701"/>
                <w:tab w:val="left" w:pos="2268"/>
                <w:tab w:val="left" w:pos="2835"/>
              </w:tabs>
              <w:spacing w:after="0"/>
              <w:rPr>
                <w:i/>
                <w:iCs/>
                <w:sz w:val="16"/>
                <w:szCs w:val="18"/>
              </w:rPr>
            </w:pPr>
            <w:r w:rsidRPr="00AF5DC0">
              <w:rPr>
                <w:i/>
                <w:iCs/>
                <w:sz w:val="16"/>
                <w:szCs w:val="18"/>
              </w:rPr>
              <w:t>2004 Total</w:t>
            </w:r>
          </w:p>
        </w:tc>
        <w:tc>
          <w:tcPr>
            <w:tcW w:w="355"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56"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58"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12</w:t>
            </w:r>
          </w:p>
        </w:tc>
        <w:tc>
          <w:tcPr>
            <w:tcW w:w="359"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9</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8</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7"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5</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3"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77"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475"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170"/>
              <w:jc w:val="right"/>
              <w:rPr>
                <w:i/>
                <w:iCs/>
                <w:sz w:val="16"/>
                <w:szCs w:val="18"/>
              </w:rPr>
            </w:pPr>
            <w:r w:rsidRPr="00AF5DC0">
              <w:rPr>
                <w:i/>
                <w:iCs/>
                <w:sz w:val="16"/>
                <w:szCs w:val="18"/>
              </w:rPr>
              <w:t>77</w:t>
            </w:r>
          </w:p>
        </w:tc>
      </w:tr>
      <w:tr w:rsidR="003A178B" w:rsidRPr="009630CD">
        <w:tc>
          <w:tcPr>
            <w:tcW w:w="702" w:type="dxa"/>
            <w:gridSpan w:val="2"/>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sidRPr="009630CD">
              <w:rPr>
                <w:sz w:val="16"/>
                <w:szCs w:val="18"/>
              </w:rPr>
              <w:t>2005</w:t>
            </w:r>
          </w:p>
        </w:tc>
        <w:tc>
          <w:tcPr>
            <w:tcW w:w="1876" w:type="dxa"/>
            <w:tcBorders>
              <w:top w:val="single" w:sz="4" w:space="0" w:color="auto"/>
              <w:bottom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Pr="001B03B4">
              <w:rPr>
                <w:sz w:val="16"/>
                <w:szCs w:val="18"/>
                <w:lang w:val="fr-FR"/>
              </w:rPr>
              <w:t>, etc.</w:t>
            </w:r>
          </w:p>
        </w:tc>
        <w:tc>
          <w:tcPr>
            <w:tcW w:w="1293" w:type="dxa"/>
            <w:gridSpan w:val="3"/>
            <w:tcBorders>
              <w:top w:val="single" w:sz="4" w:space="0" w:color="auto"/>
              <w:bottom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702" w:type="dxa"/>
            <w:gridSpan w:val="2"/>
            <w:tcBorders>
              <w:top w:val="nil"/>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76" w:type="dxa"/>
            <w:tcBorders>
              <w:top w:val="nil"/>
              <w:bottom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93" w:type="dxa"/>
            <w:gridSpan w:val="3"/>
            <w:tcBorders>
              <w:top w:val="nil"/>
              <w:bottom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E</w:t>
            </w:r>
            <w:r w:rsidR="00C111C0" w:rsidRPr="009630CD">
              <w:rPr>
                <w:sz w:val="16"/>
                <w:szCs w:val="18"/>
              </w:rPr>
              <w:t>mprison</w:t>
            </w:r>
            <w:r>
              <w:rPr>
                <w:sz w:val="16"/>
                <w:szCs w:val="18"/>
              </w:rPr>
              <w:t>ne</w:t>
            </w:r>
            <w:r w:rsidR="00C111C0" w:rsidRPr="009630CD">
              <w:rPr>
                <w:sz w:val="16"/>
                <w:szCs w:val="18"/>
              </w:rPr>
              <w:t>ment</w:t>
            </w:r>
          </w:p>
        </w:tc>
        <w:tc>
          <w:tcPr>
            <w:tcW w:w="355"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702" w:type="dxa"/>
            <w:gridSpan w:val="2"/>
            <w:tcBorders>
              <w:top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76" w:type="dxa"/>
            <w:tcBorders>
              <w:top w:val="nil"/>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93" w:type="dxa"/>
            <w:gridSpan w:val="3"/>
            <w:tcBorders>
              <w:top w:val="nil"/>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2</w:t>
            </w:r>
          </w:p>
        </w:tc>
      </w:tr>
      <w:tr w:rsidR="003A178B" w:rsidRPr="009630CD">
        <w:tc>
          <w:tcPr>
            <w:tcW w:w="702" w:type="dxa"/>
            <w:gridSpan w:val="2"/>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76" w:type="dxa"/>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93" w:type="dxa"/>
            <w:gridSpan w:val="3"/>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56"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6</w:t>
            </w:r>
          </w:p>
        </w:tc>
        <w:tc>
          <w:tcPr>
            <w:tcW w:w="358"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59"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13</w:t>
            </w: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6</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3</w:t>
            </w: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475" w:type="dxa"/>
            <w:gridSpan w:val="2"/>
            <w:tcBorders>
              <w:top w:val="nil"/>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55</w:t>
            </w:r>
          </w:p>
        </w:tc>
      </w:tr>
      <w:tr w:rsidR="003A178B" w:rsidRPr="009630CD">
        <w:trPr>
          <w:cantSplit/>
        </w:trPr>
        <w:tc>
          <w:tcPr>
            <w:tcW w:w="702" w:type="dxa"/>
            <w:gridSpan w:val="2"/>
            <w:tcBorders>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76" w:type="dxa"/>
            <w:tcBorders>
              <w:bottom w:val="single" w:sz="4" w:space="0" w:color="auto"/>
            </w:tcBorders>
          </w:tcPr>
          <w:p w:rsidR="00C111C0" w:rsidRPr="001B03B4" w:rsidRDefault="00C111C0" w:rsidP="005D7B68">
            <w:pPr>
              <w:tabs>
                <w:tab w:val="left" w:pos="567"/>
                <w:tab w:val="left" w:pos="1134"/>
                <w:tab w:val="left" w:pos="1701"/>
                <w:tab w:val="left" w:pos="2268"/>
                <w:tab w:val="left" w:pos="2835"/>
              </w:tabs>
              <w:spacing w:after="0"/>
              <w:rPr>
                <w:sz w:val="16"/>
                <w:szCs w:val="18"/>
                <w:lang w:val="fr-FR"/>
              </w:rPr>
            </w:pPr>
            <w:r w:rsidRPr="001B03B4">
              <w:rPr>
                <w:sz w:val="16"/>
                <w:szCs w:val="18"/>
                <w:lang w:val="fr-FR"/>
              </w:rPr>
              <w:t>Participation délibérée à des actes de prostitution</w:t>
            </w:r>
          </w:p>
        </w:tc>
        <w:tc>
          <w:tcPr>
            <w:tcW w:w="1293" w:type="dxa"/>
            <w:gridSpan w:val="3"/>
            <w:tcBorders>
              <w:bottom w:val="single" w:sz="4" w:space="0" w:color="auto"/>
            </w:tcBorders>
          </w:tcPr>
          <w:p w:rsidR="00C111C0" w:rsidRPr="009630CD" w:rsidRDefault="001D4326" w:rsidP="005D7B68">
            <w:pPr>
              <w:tabs>
                <w:tab w:val="left" w:pos="567"/>
                <w:tab w:val="left" w:pos="1134"/>
                <w:tab w:val="left" w:pos="1701"/>
                <w:tab w:val="left" w:pos="2268"/>
                <w:tab w:val="left" w:pos="2835"/>
              </w:tabs>
              <w:spacing w:after="0"/>
              <w:rPr>
                <w:sz w:val="16"/>
                <w:szCs w:val="18"/>
              </w:rPr>
            </w:pPr>
            <w:r>
              <w:rPr>
                <w:sz w:val="16"/>
                <w:szCs w:val="18"/>
              </w:rPr>
              <w:t>Dispense de peine</w:t>
            </w:r>
          </w:p>
        </w:tc>
        <w:tc>
          <w:tcPr>
            <w:tcW w:w="355"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2</w:t>
            </w:r>
          </w:p>
        </w:tc>
      </w:tr>
      <w:tr w:rsidR="003A178B" w:rsidRPr="009630CD">
        <w:tc>
          <w:tcPr>
            <w:tcW w:w="693" w:type="dxa"/>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Publications et expositions obscènes</w:t>
            </w:r>
          </w:p>
        </w:tc>
        <w:tc>
          <w:tcPr>
            <w:tcW w:w="1293" w:type="dxa"/>
            <w:gridSpan w:val="3"/>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0"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693" w:type="dxa"/>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885" w:type="dxa"/>
            <w:gridSpan w:val="2"/>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sidRPr="009630CD">
              <w:rPr>
                <w:sz w:val="16"/>
                <w:szCs w:val="18"/>
              </w:rPr>
              <w:t>Pr</w:t>
            </w:r>
            <w:r>
              <w:rPr>
                <w:sz w:val="16"/>
                <w:szCs w:val="18"/>
              </w:rPr>
              <w:t>oxénétisme</w:t>
            </w:r>
          </w:p>
        </w:tc>
        <w:tc>
          <w:tcPr>
            <w:tcW w:w="1293" w:type="dxa"/>
            <w:gridSpan w:val="3"/>
            <w:tcBorders>
              <w:top w:val="nil"/>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Pr>
                <w:sz w:val="16"/>
                <w:szCs w:val="18"/>
              </w:rPr>
              <w:t>1</w:t>
            </w:r>
          </w:p>
        </w:tc>
        <w:tc>
          <w:tcPr>
            <w:tcW w:w="370" w:type="dxa"/>
            <w:gridSpan w:val="2"/>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AF5DC0">
        <w:tc>
          <w:tcPr>
            <w:tcW w:w="3871" w:type="dxa"/>
            <w:gridSpan w:val="6"/>
            <w:tcBorders>
              <w:top w:val="nil"/>
              <w:bottom w:val="single" w:sz="4" w:space="0" w:color="auto"/>
            </w:tcBorders>
          </w:tcPr>
          <w:p w:rsidR="00C111C0" w:rsidRPr="00AF5DC0" w:rsidRDefault="00C111C0" w:rsidP="005D7B68">
            <w:pPr>
              <w:tabs>
                <w:tab w:val="left" w:pos="567"/>
                <w:tab w:val="left" w:pos="1134"/>
                <w:tab w:val="left" w:pos="1701"/>
                <w:tab w:val="left" w:pos="2268"/>
                <w:tab w:val="left" w:pos="2835"/>
              </w:tabs>
              <w:spacing w:after="0"/>
              <w:rPr>
                <w:i/>
                <w:iCs/>
                <w:sz w:val="16"/>
                <w:szCs w:val="18"/>
              </w:rPr>
            </w:pPr>
            <w:r w:rsidRPr="00AF5DC0">
              <w:rPr>
                <w:i/>
                <w:iCs/>
                <w:sz w:val="16"/>
                <w:szCs w:val="18"/>
              </w:rPr>
              <w:t>2005 Total</w:t>
            </w:r>
          </w:p>
        </w:tc>
        <w:tc>
          <w:tcPr>
            <w:tcW w:w="355"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56"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58"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7</w:t>
            </w:r>
          </w:p>
        </w:tc>
        <w:tc>
          <w:tcPr>
            <w:tcW w:w="359"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14</w:t>
            </w:r>
          </w:p>
        </w:tc>
        <w:tc>
          <w:tcPr>
            <w:tcW w:w="360"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3</w:t>
            </w:r>
          </w:p>
        </w:tc>
        <w:tc>
          <w:tcPr>
            <w:tcW w:w="360"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64"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63"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7"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4"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1"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0"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4"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3"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1"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0"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70" w:type="dxa"/>
            <w:gridSpan w:val="2"/>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5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1"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82" w:type="dxa"/>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475" w:type="dxa"/>
            <w:gridSpan w:val="2"/>
            <w:tcBorders>
              <w:top w:val="nil"/>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170"/>
              <w:jc w:val="right"/>
              <w:rPr>
                <w:i/>
                <w:iCs/>
                <w:sz w:val="16"/>
                <w:szCs w:val="18"/>
              </w:rPr>
            </w:pPr>
            <w:r w:rsidRPr="00AF5DC0">
              <w:rPr>
                <w:i/>
                <w:iCs/>
                <w:sz w:val="16"/>
                <w:szCs w:val="18"/>
              </w:rPr>
              <w:t>66</w:t>
            </w:r>
          </w:p>
        </w:tc>
      </w:tr>
      <w:tr w:rsidR="003A178B" w:rsidRPr="009630CD">
        <w:tc>
          <w:tcPr>
            <w:tcW w:w="693" w:type="dxa"/>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sidRPr="009630CD">
              <w:rPr>
                <w:sz w:val="16"/>
                <w:szCs w:val="18"/>
              </w:rPr>
              <w:t>2006</w:t>
            </w:r>
          </w:p>
        </w:tc>
        <w:tc>
          <w:tcPr>
            <w:tcW w:w="1921" w:type="dxa"/>
            <w:gridSpan w:val="4"/>
            <w:tcBorders>
              <w:top w:val="single" w:sz="4" w:space="0" w:color="auto"/>
              <w:bottom w:val="nil"/>
            </w:tcBorders>
          </w:tcPr>
          <w:p w:rsidR="00C111C0" w:rsidRPr="008D49B5" w:rsidRDefault="00C111C0" w:rsidP="005D7B68">
            <w:pPr>
              <w:tabs>
                <w:tab w:val="left" w:pos="567"/>
                <w:tab w:val="left" w:pos="1134"/>
                <w:tab w:val="left" w:pos="1701"/>
                <w:tab w:val="left" w:pos="2268"/>
                <w:tab w:val="left" w:pos="2835"/>
              </w:tabs>
              <w:spacing w:after="0"/>
              <w:rPr>
                <w:sz w:val="16"/>
                <w:szCs w:val="18"/>
                <w:lang w:val="fr-FR"/>
              </w:rPr>
            </w:pPr>
            <w:r w:rsidRPr="00267B12">
              <w:rPr>
                <w:sz w:val="16"/>
                <w:szCs w:val="18"/>
                <w:lang w:val="fr-FR"/>
              </w:rPr>
              <w:t xml:space="preserve">Profit tiré d’un local </w:t>
            </w:r>
            <w:r>
              <w:rPr>
                <w:sz w:val="16"/>
                <w:szCs w:val="18"/>
                <w:lang w:val="fr-FR"/>
              </w:rPr>
              <w:t>utilisé</w:t>
            </w:r>
            <w:r w:rsidRPr="00267B12">
              <w:rPr>
                <w:sz w:val="16"/>
                <w:szCs w:val="18"/>
                <w:lang w:val="fr-FR"/>
              </w:rPr>
              <w:t xml:space="preserve"> à des fins de</w:t>
            </w:r>
            <w:r>
              <w:rPr>
                <w:sz w:val="16"/>
                <w:szCs w:val="18"/>
                <w:lang w:val="fr-FR"/>
              </w:rPr>
              <w:t xml:space="preserve"> </w:t>
            </w:r>
            <w:r w:rsidRPr="00267B12">
              <w:rPr>
                <w:sz w:val="16"/>
                <w:szCs w:val="18"/>
                <w:lang w:val="fr-FR"/>
              </w:rPr>
              <w:t>prostitution</w:t>
            </w:r>
            <w:r w:rsidR="005C20AB">
              <w:rPr>
                <w:sz w:val="16"/>
                <w:szCs w:val="18"/>
                <w:lang w:val="fr-FR"/>
              </w:rPr>
              <w:t>, etc.</w:t>
            </w:r>
          </w:p>
        </w:tc>
        <w:tc>
          <w:tcPr>
            <w:tcW w:w="1257" w:type="dxa"/>
            <w:tcBorders>
              <w:top w:val="single" w:sz="4" w:space="0" w:color="auto"/>
              <w:bottom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9"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7"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Pr>
                <w:sz w:val="16"/>
                <w:szCs w:val="18"/>
              </w:rPr>
              <w:t>1</w:t>
            </w:r>
          </w:p>
        </w:tc>
        <w:tc>
          <w:tcPr>
            <w:tcW w:w="360"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0"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w:t>
            </w:r>
          </w:p>
        </w:tc>
      </w:tr>
      <w:tr w:rsidR="003A178B" w:rsidRPr="009630CD">
        <w:tc>
          <w:tcPr>
            <w:tcW w:w="693" w:type="dxa"/>
            <w:tcBorders>
              <w:top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21" w:type="dxa"/>
            <w:gridSpan w:val="4"/>
            <w:tcBorders>
              <w:top w:val="nil"/>
            </w:tcBorders>
          </w:tcPr>
          <w:p w:rsidR="00C111C0" w:rsidRPr="008D49B5" w:rsidRDefault="00C111C0" w:rsidP="005D7B68">
            <w:pPr>
              <w:tabs>
                <w:tab w:val="left" w:pos="567"/>
                <w:tab w:val="left" w:pos="1134"/>
                <w:tab w:val="left" w:pos="1701"/>
                <w:tab w:val="left" w:pos="2268"/>
                <w:tab w:val="left" w:pos="2835"/>
              </w:tabs>
              <w:spacing w:after="0"/>
              <w:rPr>
                <w:sz w:val="16"/>
                <w:szCs w:val="18"/>
                <w:lang w:val="fr-FR"/>
              </w:rPr>
            </w:pPr>
            <w:r w:rsidRPr="008D49B5">
              <w:rPr>
                <w:sz w:val="16"/>
                <w:szCs w:val="18"/>
                <w:lang w:val="fr-FR"/>
              </w:rPr>
              <w:t>Participation délibérée à des actes de prostitu</w:t>
            </w:r>
            <w:r>
              <w:rPr>
                <w:sz w:val="16"/>
                <w:szCs w:val="18"/>
                <w:lang w:val="fr-FR"/>
              </w:rPr>
              <w:t>t</w:t>
            </w:r>
            <w:r w:rsidRPr="008D49B5">
              <w:rPr>
                <w:sz w:val="16"/>
                <w:szCs w:val="18"/>
                <w:lang w:val="fr-FR"/>
              </w:rPr>
              <w:t>ion</w:t>
            </w:r>
          </w:p>
        </w:tc>
        <w:tc>
          <w:tcPr>
            <w:tcW w:w="1257" w:type="dxa"/>
            <w:tcBorders>
              <w:top w:val="nil"/>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Peine de prison</w:t>
            </w:r>
          </w:p>
        </w:tc>
        <w:tc>
          <w:tcPr>
            <w:tcW w:w="355"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0" w:type="dxa"/>
            <w:gridSpan w:val="2"/>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693" w:type="dxa"/>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21" w:type="dxa"/>
            <w:gridSpan w:val="4"/>
          </w:tcPr>
          <w:p w:rsidR="00C111C0" w:rsidRPr="008D49B5" w:rsidRDefault="00C111C0" w:rsidP="005D7B68">
            <w:pPr>
              <w:tabs>
                <w:tab w:val="left" w:pos="567"/>
                <w:tab w:val="left" w:pos="1134"/>
                <w:tab w:val="left" w:pos="1701"/>
                <w:tab w:val="left" w:pos="2268"/>
                <w:tab w:val="left" w:pos="2835"/>
              </w:tabs>
              <w:spacing w:after="0"/>
              <w:rPr>
                <w:sz w:val="16"/>
                <w:szCs w:val="18"/>
                <w:lang w:val="fr-FR"/>
              </w:rPr>
            </w:pPr>
            <w:r w:rsidRPr="008D49B5">
              <w:rPr>
                <w:sz w:val="16"/>
                <w:szCs w:val="18"/>
                <w:lang w:val="fr-FR"/>
              </w:rPr>
              <w:t>Participation délibérée à des actes de prostitu</w:t>
            </w:r>
            <w:r>
              <w:rPr>
                <w:sz w:val="16"/>
                <w:szCs w:val="18"/>
                <w:lang w:val="fr-FR"/>
              </w:rPr>
              <w:t>t</w:t>
            </w:r>
            <w:r w:rsidRPr="008D49B5">
              <w:rPr>
                <w:sz w:val="16"/>
                <w:szCs w:val="18"/>
                <w:lang w:val="fr-FR"/>
              </w:rPr>
              <w:t>ion</w:t>
            </w:r>
          </w:p>
        </w:tc>
        <w:tc>
          <w:tcPr>
            <w:tcW w:w="1257" w:type="dxa"/>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Bonne conduite</w:t>
            </w:r>
          </w:p>
        </w:tc>
        <w:tc>
          <w:tcPr>
            <w:tcW w:w="355"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6"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8"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9"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3"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70"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bottom w:val="nil"/>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3</w:t>
            </w:r>
          </w:p>
        </w:tc>
      </w:tr>
      <w:tr w:rsidR="003A178B" w:rsidRPr="009630CD">
        <w:tc>
          <w:tcPr>
            <w:tcW w:w="693" w:type="dxa"/>
            <w:tcBorders>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p>
        </w:tc>
        <w:tc>
          <w:tcPr>
            <w:tcW w:w="1921" w:type="dxa"/>
            <w:gridSpan w:val="4"/>
            <w:tcBorders>
              <w:bottom w:val="single" w:sz="4" w:space="0" w:color="auto"/>
            </w:tcBorders>
          </w:tcPr>
          <w:p w:rsidR="00C111C0" w:rsidRPr="008D49B5" w:rsidRDefault="00C111C0" w:rsidP="005D7B68">
            <w:pPr>
              <w:tabs>
                <w:tab w:val="left" w:pos="567"/>
                <w:tab w:val="left" w:pos="1134"/>
                <w:tab w:val="left" w:pos="1701"/>
                <w:tab w:val="left" w:pos="2268"/>
                <w:tab w:val="left" w:pos="2835"/>
              </w:tabs>
              <w:spacing w:after="0"/>
              <w:rPr>
                <w:sz w:val="16"/>
                <w:szCs w:val="18"/>
                <w:lang w:val="fr-FR"/>
              </w:rPr>
            </w:pPr>
            <w:r w:rsidRPr="008D49B5">
              <w:rPr>
                <w:sz w:val="16"/>
                <w:szCs w:val="18"/>
                <w:lang w:val="fr-FR"/>
              </w:rPr>
              <w:t>Participation délibérée à des actes de prostitu</w:t>
            </w:r>
            <w:r>
              <w:rPr>
                <w:sz w:val="16"/>
                <w:szCs w:val="18"/>
                <w:lang w:val="fr-FR"/>
              </w:rPr>
              <w:t>t</w:t>
            </w:r>
            <w:r w:rsidRPr="008D49B5">
              <w:rPr>
                <w:sz w:val="16"/>
                <w:szCs w:val="18"/>
                <w:lang w:val="fr-FR"/>
              </w:rPr>
              <w:t>ion</w:t>
            </w:r>
          </w:p>
        </w:tc>
        <w:tc>
          <w:tcPr>
            <w:tcW w:w="1257" w:type="dxa"/>
            <w:tcBorders>
              <w:bottom w:val="single" w:sz="4" w:space="0" w:color="auto"/>
            </w:tcBorders>
          </w:tcPr>
          <w:p w:rsidR="00C111C0" w:rsidRPr="009630CD" w:rsidRDefault="00C111C0" w:rsidP="005D7B68">
            <w:pPr>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56"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58"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5</w:t>
            </w:r>
          </w:p>
        </w:tc>
        <w:tc>
          <w:tcPr>
            <w:tcW w:w="359"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7</w:t>
            </w: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4</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3"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r w:rsidRPr="009630CD">
              <w:rPr>
                <w:sz w:val="16"/>
                <w:szCs w:val="18"/>
              </w:rPr>
              <w:t>2</w:t>
            </w:r>
          </w:p>
        </w:tc>
        <w:tc>
          <w:tcPr>
            <w:tcW w:w="370"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5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382" w:type="dxa"/>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vAlign w:val="bottom"/>
          </w:tcPr>
          <w:p w:rsidR="00C111C0" w:rsidRPr="009630CD" w:rsidRDefault="00C111C0" w:rsidP="005D7B68">
            <w:pPr>
              <w:tabs>
                <w:tab w:val="left" w:pos="567"/>
                <w:tab w:val="left" w:pos="1134"/>
                <w:tab w:val="left" w:pos="1701"/>
                <w:tab w:val="left" w:pos="2268"/>
                <w:tab w:val="left" w:pos="2835"/>
              </w:tabs>
              <w:spacing w:after="0"/>
              <w:ind w:right="170"/>
              <w:jc w:val="right"/>
              <w:rPr>
                <w:sz w:val="16"/>
                <w:szCs w:val="18"/>
              </w:rPr>
            </w:pPr>
            <w:r w:rsidRPr="009630CD">
              <w:rPr>
                <w:sz w:val="16"/>
                <w:szCs w:val="18"/>
              </w:rPr>
              <w:t>45</w:t>
            </w:r>
          </w:p>
        </w:tc>
      </w:tr>
      <w:tr w:rsidR="003A178B" w:rsidRPr="009630CD">
        <w:tc>
          <w:tcPr>
            <w:tcW w:w="693" w:type="dxa"/>
            <w:tcBorders>
              <w:top w:val="single" w:sz="4" w:space="0" w:color="auto"/>
              <w:bottom w:val="nil"/>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p>
        </w:tc>
        <w:tc>
          <w:tcPr>
            <w:tcW w:w="1921" w:type="dxa"/>
            <w:gridSpan w:val="4"/>
            <w:tcBorders>
              <w:top w:val="single" w:sz="4" w:space="0" w:color="auto"/>
              <w:bottom w:val="nil"/>
            </w:tcBorders>
          </w:tcPr>
          <w:p w:rsidR="00C111C0" w:rsidRPr="008D49B5" w:rsidRDefault="00C111C0" w:rsidP="005D7B68">
            <w:pPr>
              <w:keepNext/>
              <w:keepLines/>
              <w:tabs>
                <w:tab w:val="left" w:pos="567"/>
                <w:tab w:val="left" w:pos="1134"/>
                <w:tab w:val="left" w:pos="1701"/>
                <w:tab w:val="left" w:pos="2268"/>
                <w:tab w:val="left" w:pos="2835"/>
              </w:tabs>
              <w:spacing w:after="0"/>
              <w:rPr>
                <w:sz w:val="16"/>
                <w:szCs w:val="18"/>
                <w:lang w:val="fr-FR"/>
              </w:rPr>
            </w:pPr>
            <w:r w:rsidRPr="008D49B5">
              <w:rPr>
                <w:sz w:val="16"/>
                <w:szCs w:val="18"/>
                <w:lang w:val="fr-FR"/>
              </w:rPr>
              <w:t>Participation délibérée à des actes de prostitu</w:t>
            </w:r>
            <w:r>
              <w:rPr>
                <w:sz w:val="16"/>
                <w:szCs w:val="18"/>
                <w:lang w:val="fr-FR"/>
              </w:rPr>
              <w:t>t</w:t>
            </w:r>
            <w:r w:rsidRPr="008D49B5">
              <w:rPr>
                <w:sz w:val="16"/>
                <w:szCs w:val="18"/>
                <w:lang w:val="fr-FR"/>
              </w:rPr>
              <w:t>ion</w:t>
            </w:r>
          </w:p>
        </w:tc>
        <w:tc>
          <w:tcPr>
            <w:tcW w:w="1257" w:type="dxa"/>
            <w:tcBorders>
              <w:top w:val="single" w:sz="4" w:space="0" w:color="auto"/>
              <w:bottom w:val="nil"/>
            </w:tcBorders>
          </w:tcPr>
          <w:p w:rsidR="00C111C0" w:rsidRPr="005C20AB" w:rsidRDefault="005C20AB" w:rsidP="005D7B68">
            <w:pPr>
              <w:keepNext/>
              <w:keepLines/>
              <w:tabs>
                <w:tab w:val="left" w:pos="567"/>
                <w:tab w:val="left" w:pos="1134"/>
                <w:tab w:val="left" w:pos="1701"/>
                <w:tab w:val="left" w:pos="2268"/>
                <w:tab w:val="left" w:pos="2835"/>
              </w:tabs>
              <w:spacing w:after="0"/>
              <w:rPr>
                <w:sz w:val="16"/>
                <w:szCs w:val="18"/>
              </w:rPr>
            </w:pPr>
            <w:r w:rsidRPr="005C20AB">
              <w:rPr>
                <w:sz w:val="16"/>
                <w:szCs w:val="18"/>
              </w:rPr>
              <w:t>Dispense de peine</w:t>
            </w:r>
          </w:p>
        </w:tc>
        <w:tc>
          <w:tcPr>
            <w:tcW w:w="355"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6"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8"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9"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4"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7"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70" w:type="dxa"/>
            <w:gridSpan w:val="2"/>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82" w:type="dxa"/>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single" w:sz="4" w:space="0" w:color="auto"/>
              <w:bottom w:val="nil"/>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9630CD">
        <w:tc>
          <w:tcPr>
            <w:tcW w:w="693" w:type="dxa"/>
            <w:tcBorders>
              <w:top w:val="nil"/>
              <w:bottom w:val="single" w:sz="4" w:space="0" w:color="auto"/>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p>
        </w:tc>
        <w:tc>
          <w:tcPr>
            <w:tcW w:w="1921" w:type="dxa"/>
            <w:gridSpan w:val="4"/>
            <w:tcBorders>
              <w:top w:val="nil"/>
              <w:bottom w:val="single" w:sz="4" w:space="0" w:color="auto"/>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r>
              <w:rPr>
                <w:sz w:val="16"/>
                <w:szCs w:val="18"/>
              </w:rPr>
              <w:t>Proxénétisme</w:t>
            </w:r>
          </w:p>
        </w:tc>
        <w:tc>
          <w:tcPr>
            <w:tcW w:w="1257" w:type="dxa"/>
            <w:tcBorders>
              <w:top w:val="nil"/>
              <w:bottom w:val="single" w:sz="4" w:space="0" w:color="auto"/>
            </w:tcBorders>
          </w:tcPr>
          <w:p w:rsidR="00C111C0" w:rsidRPr="009630CD" w:rsidRDefault="00C111C0" w:rsidP="005D7B68">
            <w:pPr>
              <w:keepNext/>
              <w:keepLines/>
              <w:tabs>
                <w:tab w:val="left" w:pos="567"/>
                <w:tab w:val="left" w:pos="1134"/>
                <w:tab w:val="left" w:pos="1701"/>
                <w:tab w:val="left" w:pos="2268"/>
                <w:tab w:val="left" w:pos="2835"/>
              </w:tabs>
              <w:spacing w:after="0"/>
              <w:rPr>
                <w:sz w:val="16"/>
                <w:szCs w:val="18"/>
              </w:rPr>
            </w:pPr>
            <w:r>
              <w:rPr>
                <w:sz w:val="16"/>
                <w:szCs w:val="18"/>
              </w:rPr>
              <w:t>Amende</w:t>
            </w:r>
          </w:p>
        </w:tc>
        <w:tc>
          <w:tcPr>
            <w:tcW w:w="355"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6"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8"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9"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7"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0"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4"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3"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r w:rsidRPr="009630CD">
              <w:rPr>
                <w:sz w:val="16"/>
                <w:szCs w:val="18"/>
              </w:rPr>
              <w:t>1</w:t>
            </w:r>
          </w:p>
        </w:tc>
        <w:tc>
          <w:tcPr>
            <w:tcW w:w="360"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70" w:type="dxa"/>
            <w:gridSpan w:val="2"/>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5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61"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382" w:type="dxa"/>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57"/>
              <w:jc w:val="right"/>
              <w:rPr>
                <w:sz w:val="16"/>
                <w:szCs w:val="18"/>
              </w:rPr>
            </w:pPr>
          </w:p>
        </w:tc>
        <w:tc>
          <w:tcPr>
            <w:tcW w:w="475" w:type="dxa"/>
            <w:gridSpan w:val="2"/>
            <w:tcBorders>
              <w:top w:val="nil"/>
              <w:bottom w:val="single" w:sz="4" w:space="0" w:color="auto"/>
            </w:tcBorders>
            <w:shd w:val="clear" w:color="auto" w:fill="auto"/>
            <w:vAlign w:val="bottom"/>
          </w:tcPr>
          <w:p w:rsidR="00C111C0" w:rsidRPr="009630CD" w:rsidRDefault="00C111C0" w:rsidP="005D7B68">
            <w:pPr>
              <w:keepNext/>
              <w:keepLines/>
              <w:tabs>
                <w:tab w:val="left" w:pos="567"/>
                <w:tab w:val="left" w:pos="1134"/>
                <w:tab w:val="left" w:pos="1701"/>
                <w:tab w:val="left" w:pos="2268"/>
                <w:tab w:val="left" w:pos="2835"/>
              </w:tabs>
              <w:spacing w:after="0"/>
              <w:ind w:right="170"/>
              <w:jc w:val="right"/>
              <w:rPr>
                <w:sz w:val="16"/>
                <w:szCs w:val="18"/>
              </w:rPr>
            </w:pPr>
            <w:r w:rsidRPr="009630CD">
              <w:rPr>
                <w:sz w:val="16"/>
                <w:szCs w:val="18"/>
              </w:rPr>
              <w:t>1</w:t>
            </w:r>
          </w:p>
        </w:tc>
      </w:tr>
      <w:tr w:rsidR="003A178B" w:rsidRPr="00AF5DC0">
        <w:tc>
          <w:tcPr>
            <w:tcW w:w="3871" w:type="dxa"/>
            <w:gridSpan w:val="6"/>
            <w:tcBorders>
              <w:top w:val="single" w:sz="4" w:space="0" w:color="auto"/>
              <w:bottom w:val="single" w:sz="4" w:space="0" w:color="auto"/>
            </w:tcBorders>
          </w:tcPr>
          <w:p w:rsidR="00C111C0" w:rsidRPr="00AF5DC0" w:rsidRDefault="00C111C0" w:rsidP="005D7B68">
            <w:pPr>
              <w:tabs>
                <w:tab w:val="left" w:pos="567"/>
                <w:tab w:val="left" w:pos="1134"/>
                <w:tab w:val="left" w:pos="1701"/>
                <w:tab w:val="left" w:pos="2268"/>
                <w:tab w:val="left" w:pos="2835"/>
              </w:tabs>
              <w:spacing w:after="0"/>
              <w:rPr>
                <w:i/>
                <w:iCs/>
                <w:sz w:val="16"/>
                <w:szCs w:val="18"/>
              </w:rPr>
            </w:pPr>
            <w:r w:rsidRPr="00AF5DC0">
              <w:rPr>
                <w:i/>
                <w:iCs/>
                <w:sz w:val="16"/>
                <w:szCs w:val="18"/>
              </w:rPr>
              <w:t>2006 total</w:t>
            </w:r>
          </w:p>
        </w:tc>
        <w:tc>
          <w:tcPr>
            <w:tcW w:w="355"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56"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58"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6</w:t>
            </w:r>
          </w:p>
        </w:tc>
        <w:tc>
          <w:tcPr>
            <w:tcW w:w="359"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9</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9</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7</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4</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7"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4"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3"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1</w:t>
            </w: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60"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r w:rsidRPr="00AF5DC0">
              <w:rPr>
                <w:i/>
                <w:iCs/>
                <w:sz w:val="16"/>
                <w:szCs w:val="18"/>
              </w:rPr>
              <w:t>2</w:t>
            </w:r>
          </w:p>
        </w:tc>
        <w:tc>
          <w:tcPr>
            <w:tcW w:w="370"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5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61"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382" w:type="dxa"/>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57"/>
              <w:jc w:val="right"/>
              <w:rPr>
                <w:i/>
                <w:iCs/>
                <w:sz w:val="16"/>
                <w:szCs w:val="18"/>
              </w:rPr>
            </w:pPr>
          </w:p>
        </w:tc>
        <w:tc>
          <w:tcPr>
            <w:tcW w:w="475" w:type="dxa"/>
            <w:gridSpan w:val="2"/>
            <w:tcBorders>
              <w:top w:val="single" w:sz="4" w:space="0" w:color="auto"/>
              <w:bottom w:val="single" w:sz="4" w:space="0" w:color="auto"/>
            </w:tcBorders>
            <w:shd w:val="clear" w:color="auto" w:fill="auto"/>
          </w:tcPr>
          <w:p w:rsidR="00C111C0" w:rsidRPr="00AF5DC0" w:rsidRDefault="00C111C0" w:rsidP="005D7B68">
            <w:pPr>
              <w:tabs>
                <w:tab w:val="left" w:pos="567"/>
                <w:tab w:val="left" w:pos="1134"/>
                <w:tab w:val="left" w:pos="1701"/>
                <w:tab w:val="left" w:pos="2268"/>
                <w:tab w:val="left" w:pos="2835"/>
              </w:tabs>
              <w:spacing w:after="0"/>
              <w:ind w:right="170"/>
              <w:jc w:val="right"/>
              <w:rPr>
                <w:i/>
                <w:iCs/>
                <w:sz w:val="16"/>
                <w:szCs w:val="18"/>
              </w:rPr>
            </w:pPr>
            <w:r w:rsidRPr="00AF5DC0">
              <w:rPr>
                <w:i/>
                <w:iCs/>
                <w:sz w:val="16"/>
                <w:szCs w:val="18"/>
              </w:rPr>
              <w:t>55</w:t>
            </w:r>
          </w:p>
        </w:tc>
      </w:tr>
      <w:tr w:rsidR="003A178B" w:rsidRPr="009343E6">
        <w:tc>
          <w:tcPr>
            <w:tcW w:w="3871" w:type="dxa"/>
            <w:gridSpan w:val="6"/>
            <w:tcBorders>
              <w:top w:val="single" w:sz="4" w:space="0" w:color="auto"/>
              <w:bottom w:val="single" w:sz="4" w:space="0" w:color="auto"/>
            </w:tcBorders>
          </w:tcPr>
          <w:p w:rsidR="00C111C0" w:rsidRPr="009343E6" w:rsidRDefault="009343E6" w:rsidP="005D7B68">
            <w:pPr>
              <w:tabs>
                <w:tab w:val="left" w:pos="320"/>
                <w:tab w:val="left" w:pos="567"/>
                <w:tab w:val="left" w:pos="1134"/>
                <w:tab w:val="left" w:pos="1701"/>
                <w:tab w:val="left" w:pos="2268"/>
                <w:tab w:val="left" w:pos="2835"/>
              </w:tabs>
              <w:spacing w:after="0"/>
              <w:rPr>
                <w:b/>
                <w:bCs/>
                <w:sz w:val="16"/>
                <w:szCs w:val="16"/>
              </w:rPr>
            </w:pPr>
            <w:r w:rsidRPr="009343E6">
              <w:rPr>
                <w:b/>
                <w:bCs/>
                <w:sz w:val="16"/>
                <w:szCs w:val="16"/>
              </w:rPr>
              <w:tab/>
            </w:r>
            <w:r w:rsidR="00C111C0" w:rsidRPr="009343E6">
              <w:rPr>
                <w:b/>
                <w:bCs/>
                <w:sz w:val="16"/>
                <w:szCs w:val="16"/>
              </w:rPr>
              <w:t>Total</w:t>
            </w:r>
          </w:p>
        </w:tc>
        <w:tc>
          <w:tcPr>
            <w:tcW w:w="355"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9</w:t>
            </w:r>
          </w:p>
        </w:tc>
        <w:tc>
          <w:tcPr>
            <w:tcW w:w="356"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32</w:t>
            </w:r>
          </w:p>
        </w:tc>
        <w:tc>
          <w:tcPr>
            <w:tcW w:w="358"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58</w:t>
            </w:r>
          </w:p>
        </w:tc>
        <w:tc>
          <w:tcPr>
            <w:tcW w:w="359"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69</w:t>
            </w:r>
          </w:p>
        </w:tc>
        <w:tc>
          <w:tcPr>
            <w:tcW w:w="360"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43</w:t>
            </w:r>
          </w:p>
        </w:tc>
        <w:tc>
          <w:tcPr>
            <w:tcW w:w="360"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41</w:t>
            </w:r>
          </w:p>
        </w:tc>
        <w:tc>
          <w:tcPr>
            <w:tcW w:w="364"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30</w:t>
            </w:r>
          </w:p>
        </w:tc>
        <w:tc>
          <w:tcPr>
            <w:tcW w:w="363"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13</w:t>
            </w:r>
          </w:p>
        </w:tc>
        <w:tc>
          <w:tcPr>
            <w:tcW w:w="36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6</w:t>
            </w:r>
          </w:p>
        </w:tc>
        <w:tc>
          <w:tcPr>
            <w:tcW w:w="367"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2</w:t>
            </w:r>
          </w:p>
        </w:tc>
        <w:tc>
          <w:tcPr>
            <w:tcW w:w="364"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2</w:t>
            </w:r>
          </w:p>
        </w:tc>
        <w:tc>
          <w:tcPr>
            <w:tcW w:w="36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7</w:t>
            </w:r>
          </w:p>
        </w:tc>
        <w:tc>
          <w:tcPr>
            <w:tcW w:w="361"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11</w:t>
            </w:r>
          </w:p>
        </w:tc>
        <w:tc>
          <w:tcPr>
            <w:tcW w:w="360"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14</w:t>
            </w:r>
          </w:p>
        </w:tc>
        <w:tc>
          <w:tcPr>
            <w:tcW w:w="364"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19</w:t>
            </w:r>
          </w:p>
        </w:tc>
        <w:tc>
          <w:tcPr>
            <w:tcW w:w="363"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18</w:t>
            </w:r>
          </w:p>
        </w:tc>
        <w:tc>
          <w:tcPr>
            <w:tcW w:w="36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18</w:t>
            </w:r>
          </w:p>
        </w:tc>
        <w:tc>
          <w:tcPr>
            <w:tcW w:w="36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8</w:t>
            </w:r>
          </w:p>
        </w:tc>
        <w:tc>
          <w:tcPr>
            <w:tcW w:w="361"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8</w:t>
            </w:r>
          </w:p>
        </w:tc>
        <w:tc>
          <w:tcPr>
            <w:tcW w:w="360"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10</w:t>
            </w:r>
          </w:p>
        </w:tc>
        <w:tc>
          <w:tcPr>
            <w:tcW w:w="370" w:type="dxa"/>
            <w:gridSpan w:val="2"/>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3</w:t>
            </w:r>
          </w:p>
        </w:tc>
        <w:tc>
          <w:tcPr>
            <w:tcW w:w="35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w:t>
            </w:r>
          </w:p>
        </w:tc>
        <w:tc>
          <w:tcPr>
            <w:tcW w:w="36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w:t>
            </w:r>
          </w:p>
        </w:tc>
        <w:tc>
          <w:tcPr>
            <w:tcW w:w="361"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w:t>
            </w:r>
          </w:p>
        </w:tc>
        <w:tc>
          <w:tcPr>
            <w:tcW w:w="382" w:type="dxa"/>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57"/>
              <w:jc w:val="right"/>
              <w:rPr>
                <w:b/>
                <w:bCs/>
                <w:sz w:val="16"/>
                <w:szCs w:val="16"/>
              </w:rPr>
            </w:pPr>
            <w:r w:rsidRPr="009343E6">
              <w:rPr>
                <w:b/>
                <w:bCs/>
                <w:sz w:val="16"/>
                <w:szCs w:val="16"/>
              </w:rPr>
              <w:t>1</w:t>
            </w:r>
          </w:p>
        </w:tc>
        <w:tc>
          <w:tcPr>
            <w:tcW w:w="475" w:type="dxa"/>
            <w:gridSpan w:val="2"/>
            <w:tcBorders>
              <w:top w:val="single" w:sz="4" w:space="0" w:color="auto"/>
              <w:bottom w:val="single" w:sz="4" w:space="0" w:color="auto"/>
            </w:tcBorders>
            <w:shd w:val="clear" w:color="auto" w:fill="auto"/>
            <w:vAlign w:val="center"/>
          </w:tcPr>
          <w:p w:rsidR="00C111C0" w:rsidRPr="009343E6" w:rsidRDefault="00C111C0" w:rsidP="005D7B68">
            <w:pPr>
              <w:tabs>
                <w:tab w:val="left" w:pos="567"/>
                <w:tab w:val="left" w:pos="1134"/>
                <w:tab w:val="left" w:pos="1701"/>
                <w:tab w:val="left" w:pos="2268"/>
                <w:tab w:val="left" w:pos="2835"/>
              </w:tabs>
              <w:spacing w:after="0"/>
              <w:ind w:right="170"/>
              <w:jc w:val="right"/>
              <w:rPr>
                <w:b/>
                <w:bCs/>
                <w:sz w:val="16"/>
                <w:szCs w:val="16"/>
              </w:rPr>
            </w:pPr>
            <w:r w:rsidRPr="009343E6">
              <w:rPr>
                <w:b/>
                <w:bCs/>
                <w:sz w:val="16"/>
                <w:szCs w:val="18"/>
              </w:rPr>
              <w:t>425</w:t>
            </w:r>
          </w:p>
        </w:tc>
      </w:tr>
    </w:tbl>
    <w:p w:rsidR="00C111C0" w:rsidRPr="00745C49" w:rsidRDefault="009343E6" w:rsidP="005D7B68">
      <w:pPr>
        <w:tabs>
          <w:tab w:val="left" w:pos="567"/>
          <w:tab w:val="left" w:pos="1134"/>
          <w:tab w:val="left" w:pos="1701"/>
          <w:tab w:val="left" w:pos="2268"/>
          <w:tab w:val="left" w:pos="2835"/>
        </w:tabs>
        <w:spacing w:before="240" w:after="60"/>
        <w:rPr>
          <w:sz w:val="20"/>
          <w:lang w:val="fr-FR"/>
        </w:rPr>
      </w:pPr>
      <w:r>
        <w:rPr>
          <w:i/>
          <w:sz w:val="20"/>
          <w:lang w:val="fr-FR"/>
        </w:rPr>
        <w:tab/>
      </w:r>
      <w:r w:rsidR="00C111C0" w:rsidRPr="00745C49">
        <w:rPr>
          <w:i/>
          <w:sz w:val="20"/>
          <w:lang w:val="fr-FR"/>
        </w:rPr>
        <w:t>Source</w:t>
      </w:r>
      <w:r w:rsidR="00C111C0">
        <w:rPr>
          <w:sz w:val="20"/>
          <w:lang w:val="fr-FR"/>
        </w:rPr>
        <w:t>:</w:t>
      </w:r>
      <w:r w:rsidR="00C111C0" w:rsidRPr="00745C49">
        <w:rPr>
          <w:sz w:val="20"/>
          <w:lang w:val="fr-FR"/>
        </w:rPr>
        <w:t xml:space="preserve"> Base de données des tribunaux tenue à jour par </w:t>
      </w:r>
      <w:r w:rsidR="00C111C0">
        <w:rPr>
          <w:sz w:val="20"/>
          <w:lang w:val="fr-FR"/>
        </w:rPr>
        <w:t>le Bureau de la recherche économique et statistique, Département des finances</w:t>
      </w:r>
      <w:r w:rsidR="00C111C0" w:rsidRPr="00745C49">
        <w:rPr>
          <w:sz w:val="20"/>
          <w:lang w:val="fr-FR"/>
        </w:rPr>
        <w:t>.</w:t>
      </w:r>
    </w:p>
    <w:p w:rsidR="00C111C0" w:rsidRPr="00D725F2" w:rsidRDefault="00C111C0" w:rsidP="005D7B68">
      <w:pPr>
        <w:tabs>
          <w:tab w:val="left" w:pos="567"/>
          <w:tab w:val="left" w:pos="1134"/>
          <w:tab w:val="left" w:pos="1701"/>
          <w:tab w:val="left" w:pos="2268"/>
          <w:tab w:val="left" w:pos="2835"/>
        </w:tabs>
        <w:spacing w:after="60"/>
        <w:rPr>
          <w:b/>
          <w:sz w:val="20"/>
          <w:lang w:val="fr-FR"/>
        </w:rPr>
      </w:pPr>
      <w:r w:rsidRPr="00745C49">
        <w:rPr>
          <w:b/>
          <w:sz w:val="20"/>
          <w:lang w:val="fr-FR"/>
        </w:rPr>
        <w:tab/>
      </w:r>
      <w:r w:rsidRPr="00D725F2">
        <w:rPr>
          <w:i/>
          <w:sz w:val="20"/>
          <w:lang w:val="fr-FR"/>
        </w:rPr>
        <w:t>Notes</w:t>
      </w:r>
      <w:r w:rsidRPr="00D725F2">
        <w:rPr>
          <w:sz w:val="20"/>
          <w:lang w:val="fr-FR"/>
        </w:rPr>
        <w:t>:</w:t>
      </w:r>
    </w:p>
    <w:p w:rsidR="00C111C0" w:rsidRPr="00FF22D2" w:rsidRDefault="00C111C0" w:rsidP="005D7B68">
      <w:pPr>
        <w:tabs>
          <w:tab w:val="left" w:pos="567"/>
          <w:tab w:val="left" w:pos="1134"/>
          <w:tab w:val="left" w:pos="1701"/>
          <w:tab w:val="left" w:pos="2268"/>
          <w:tab w:val="left" w:pos="2835"/>
        </w:tabs>
        <w:spacing w:after="60"/>
        <w:rPr>
          <w:sz w:val="20"/>
          <w:lang w:val="fr-FR"/>
        </w:rPr>
      </w:pPr>
      <w:r w:rsidRPr="00D725F2">
        <w:rPr>
          <w:sz w:val="20"/>
          <w:lang w:val="fr-FR"/>
        </w:rPr>
        <w:tab/>
      </w:r>
      <w:r w:rsidRPr="00FF22D2">
        <w:rPr>
          <w:sz w:val="20"/>
          <w:lang w:val="fr-FR"/>
        </w:rPr>
        <w:t>1.</w:t>
      </w:r>
      <w:r w:rsidRPr="00FF22D2">
        <w:rPr>
          <w:sz w:val="20"/>
          <w:lang w:val="fr-FR"/>
        </w:rPr>
        <w:tab/>
        <w:t>Les informations ne sont disponibles que pour la Cour Suprême et les tribunaux de district, car un système informatisé de collecte de données criminologiques</w:t>
      </w:r>
      <w:r>
        <w:rPr>
          <w:sz w:val="20"/>
          <w:lang w:val="fr-FR"/>
        </w:rPr>
        <w:t xml:space="preserve"> a été mis en place dans ces centres</w:t>
      </w:r>
      <w:r w:rsidRPr="00FF22D2">
        <w:rPr>
          <w:sz w:val="20"/>
          <w:lang w:val="fr-FR"/>
        </w:rPr>
        <w:t>. Comme il n’a pas été possible d’entreprendre des recherches manuelles</w:t>
      </w:r>
      <w:r>
        <w:rPr>
          <w:sz w:val="20"/>
          <w:lang w:val="fr-FR"/>
        </w:rPr>
        <w:t xml:space="preserve"> concernant tous les dossiers criminels</w:t>
      </w:r>
      <w:r w:rsidRPr="00FF22D2">
        <w:rPr>
          <w:sz w:val="20"/>
          <w:lang w:val="fr-FR"/>
        </w:rPr>
        <w:t xml:space="preserve">, </w:t>
      </w:r>
      <w:r>
        <w:rPr>
          <w:sz w:val="20"/>
          <w:lang w:val="fr-FR"/>
        </w:rPr>
        <w:t xml:space="preserve">les </w:t>
      </w:r>
      <w:r w:rsidRPr="00FF22D2">
        <w:rPr>
          <w:sz w:val="20"/>
          <w:lang w:val="fr-FR"/>
        </w:rPr>
        <w:t>information</w:t>
      </w:r>
      <w:r>
        <w:rPr>
          <w:sz w:val="20"/>
          <w:lang w:val="fr-FR"/>
        </w:rPr>
        <w:t>s sont accessibles dans les centres suivants et concernant les périodes suivantes</w:t>
      </w:r>
      <w:r w:rsidRPr="00FF22D2">
        <w:rPr>
          <w:sz w:val="20"/>
          <w:lang w:val="fr-FR"/>
        </w:rPr>
        <w:t>:</w:t>
      </w:r>
    </w:p>
    <w:p w:rsidR="00C111C0" w:rsidRPr="00FF22D2" w:rsidRDefault="00C111C0" w:rsidP="005D7B68">
      <w:pPr>
        <w:tabs>
          <w:tab w:val="left" w:pos="567"/>
          <w:tab w:val="left" w:pos="1134"/>
          <w:tab w:val="left" w:pos="1701"/>
          <w:tab w:val="left" w:pos="2268"/>
          <w:tab w:val="left" w:pos="2835"/>
        </w:tabs>
        <w:spacing w:after="60"/>
        <w:ind w:left="567"/>
        <w:rPr>
          <w:sz w:val="20"/>
          <w:lang w:val="fr-FR"/>
        </w:rPr>
      </w:pPr>
      <w:r>
        <w:rPr>
          <w:sz w:val="20"/>
          <w:lang w:val="fr-FR"/>
        </w:rPr>
        <w:t>Brisbane: i</w:t>
      </w:r>
      <w:r w:rsidRPr="00FF22D2">
        <w:rPr>
          <w:sz w:val="20"/>
          <w:lang w:val="fr-FR"/>
        </w:rPr>
        <w:t>nformations accessibles en ce qui concerne la Cour Suprê</w:t>
      </w:r>
      <w:r>
        <w:rPr>
          <w:sz w:val="20"/>
          <w:lang w:val="fr-FR"/>
        </w:rPr>
        <w:t>me et le tribunal de district pour toute la période 2000-</w:t>
      </w:r>
      <w:r w:rsidRPr="00FF22D2">
        <w:rPr>
          <w:sz w:val="20"/>
          <w:lang w:val="fr-FR"/>
        </w:rPr>
        <w:t>2006;</w:t>
      </w:r>
    </w:p>
    <w:p w:rsidR="00C111C0" w:rsidRPr="00415056" w:rsidRDefault="00C111C0" w:rsidP="005D7B68">
      <w:pPr>
        <w:tabs>
          <w:tab w:val="left" w:pos="567"/>
          <w:tab w:val="left" w:pos="1134"/>
          <w:tab w:val="left" w:pos="1701"/>
          <w:tab w:val="left" w:pos="2268"/>
          <w:tab w:val="left" w:pos="2835"/>
        </w:tabs>
        <w:spacing w:after="60"/>
        <w:ind w:left="567"/>
        <w:rPr>
          <w:sz w:val="20"/>
          <w:lang w:val="fr-FR"/>
        </w:rPr>
      </w:pPr>
      <w:r w:rsidRPr="00415056">
        <w:rPr>
          <w:sz w:val="20"/>
          <w:lang w:val="fr-FR"/>
        </w:rPr>
        <w:t>Cairns</w:t>
      </w:r>
      <w:r>
        <w:rPr>
          <w:sz w:val="20"/>
          <w:lang w:val="fr-FR"/>
        </w:rPr>
        <w:t>, Townsville, Rockhampton:</w:t>
      </w:r>
      <w:r w:rsidRPr="00415056">
        <w:rPr>
          <w:sz w:val="20"/>
          <w:lang w:val="fr-FR"/>
        </w:rPr>
        <w:t xml:space="preserve"> informations accessibles en ce qui concerne</w:t>
      </w:r>
      <w:r w:rsidR="00572260">
        <w:rPr>
          <w:sz w:val="20"/>
          <w:lang w:val="fr-FR"/>
        </w:rPr>
        <w:t xml:space="preserve"> </w:t>
      </w:r>
      <w:r w:rsidRPr="00415056">
        <w:rPr>
          <w:sz w:val="20"/>
          <w:lang w:val="fr-FR"/>
        </w:rPr>
        <w:t>la Cour Suprê</w:t>
      </w:r>
      <w:r>
        <w:rPr>
          <w:sz w:val="20"/>
          <w:lang w:val="fr-FR"/>
        </w:rPr>
        <w:t>me et les tribunaux de district du</w:t>
      </w:r>
      <w:r w:rsidRPr="00415056">
        <w:rPr>
          <w:sz w:val="20"/>
          <w:lang w:val="fr-FR"/>
        </w:rPr>
        <w:t xml:space="preserve"> 1</w:t>
      </w:r>
      <w:r>
        <w:rPr>
          <w:sz w:val="20"/>
          <w:lang w:val="fr-FR"/>
        </w:rPr>
        <w:t>er Juillet 2002 à</w:t>
      </w:r>
      <w:r w:rsidRPr="00415056">
        <w:rPr>
          <w:sz w:val="20"/>
          <w:lang w:val="fr-FR"/>
        </w:rPr>
        <w:t xml:space="preserve"> 2006;</w:t>
      </w:r>
    </w:p>
    <w:p w:rsidR="00C111C0" w:rsidRPr="00415056" w:rsidRDefault="00C111C0" w:rsidP="005D7B68">
      <w:pPr>
        <w:tabs>
          <w:tab w:val="left" w:pos="567"/>
          <w:tab w:val="left" w:pos="1134"/>
          <w:tab w:val="left" w:pos="1701"/>
          <w:tab w:val="left" w:pos="2268"/>
          <w:tab w:val="left" w:pos="2835"/>
        </w:tabs>
        <w:spacing w:after="60"/>
        <w:ind w:left="567"/>
        <w:rPr>
          <w:sz w:val="20"/>
          <w:lang w:val="fr-FR"/>
        </w:rPr>
      </w:pPr>
      <w:r w:rsidRPr="00415056">
        <w:rPr>
          <w:sz w:val="20"/>
          <w:lang w:val="fr-FR"/>
        </w:rPr>
        <w:t>Pour toutes les autres cours suprêmes et tribunaux de district du</w:t>
      </w:r>
      <w:r w:rsidR="00572260">
        <w:rPr>
          <w:sz w:val="20"/>
          <w:lang w:val="fr-FR"/>
        </w:rPr>
        <w:t xml:space="preserve"> </w:t>
      </w:r>
      <w:r w:rsidRPr="00415056">
        <w:rPr>
          <w:sz w:val="20"/>
          <w:lang w:val="fr-FR"/>
        </w:rPr>
        <w:t>Queens</w:t>
      </w:r>
      <w:r>
        <w:rPr>
          <w:sz w:val="20"/>
          <w:lang w:val="fr-FR"/>
        </w:rPr>
        <w:t>land</w:t>
      </w:r>
      <w:r w:rsidR="00572260">
        <w:rPr>
          <w:sz w:val="20"/>
          <w:lang w:val="fr-FR"/>
        </w:rPr>
        <w:t>:</w:t>
      </w:r>
      <w:r>
        <w:rPr>
          <w:sz w:val="20"/>
          <w:lang w:val="fr-FR"/>
        </w:rPr>
        <w:t xml:space="preserve"> i</w:t>
      </w:r>
      <w:r w:rsidRPr="00415056">
        <w:rPr>
          <w:sz w:val="20"/>
          <w:lang w:val="fr-FR"/>
        </w:rPr>
        <w:t>nformation</w:t>
      </w:r>
      <w:r>
        <w:rPr>
          <w:sz w:val="20"/>
          <w:lang w:val="fr-FR"/>
        </w:rPr>
        <w:t>s disponibles pour la période du 1</w:t>
      </w:r>
      <w:r w:rsidRPr="00415056">
        <w:rPr>
          <w:sz w:val="20"/>
          <w:vertAlign w:val="superscript"/>
          <w:lang w:val="fr-FR"/>
        </w:rPr>
        <w:t>er</w:t>
      </w:r>
      <w:r>
        <w:rPr>
          <w:sz w:val="20"/>
          <w:lang w:val="fr-FR"/>
        </w:rPr>
        <w:t xml:space="preserve"> mars 2005 à</w:t>
      </w:r>
      <w:r w:rsidRPr="00415056">
        <w:rPr>
          <w:sz w:val="20"/>
          <w:lang w:val="fr-FR"/>
        </w:rPr>
        <w:t xml:space="preserve"> 2006.</w:t>
      </w:r>
    </w:p>
    <w:p w:rsidR="00C111C0" w:rsidRPr="00415056" w:rsidRDefault="00C111C0" w:rsidP="005D7B68">
      <w:pPr>
        <w:tabs>
          <w:tab w:val="left" w:pos="567"/>
          <w:tab w:val="left" w:pos="1134"/>
          <w:tab w:val="left" w:pos="1701"/>
          <w:tab w:val="left" w:pos="2268"/>
          <w:tab w:val="left" w:pos="2835"/>
        </w:tabs>
        <w:spacing w:after="60"/>
        <w:rPr>
          <w:sz w:val="20"/>
          <w:lang w:val="fr-FR"/>
        </w:rPr>
      </w:pPr>
      <w:r w:rsidRPr="00415056">
        <w:rPr>
          <w:sz w:val="20"/>
          <w:lang w:val="fr-FR"/>
        </w:rPr>
        <w:tab/>
        <w:t>2.</w:t>
      </w:r>
      <w:r w:rsidRPr="00415056">
        <w:rPr>
          <w:sz w:val="20"/>
          <w:lang w:val="fr-FR"/>
        </w:rPr>
        <w:tab/>
        <w:t>Ces données concernent à la fois les adultes et les mineurs.</w:t>
      </w:r>
    </w:p>
    <w:p w:rsidR="00C111C0" w:rsidRPr="00525EAC" w:rsidRDefault="00C111C0" w:rsidP="005D7B68">
      <w:pPr>
        <w:tabs>
          <w:tab w:val="left" w:pos="284"/>
          <w:tab w:val="left" w:pos="567"/>
          <w:tab w:val="left" w:pos="1134"/>
          <w:tab w:val="left" w:pos="1701"/>
          <w:tab w:val="left" w:pos="2268"/>
          <w:tab w:val="left" w:pos="2835"/>
        </w:tabs>
        <w:spacing w:after="60"/>
        <w:rPr>
          <w:sz w:val="20"/>
          <w:lang w:val="fr-FR"/>
        </w:rPr>
      </w:pPr>
      <w:r w:rsidRPr="00415056">
        <w:rPr>
          <w:sz w:val="20"/>
          <w:lang w:val="fr-FR"/>
        </w:rPr>
        <w:tab/>
      </w:r>
      <w:r w:rsidRPr="00415056">
        <w:rPr>
          <w:sz w:val="20"/>
          <w:lang w:val="fr-FR"/>
        </w:rPr>
        <w:tab/>
      </w:r>
      <w:r w:rsidRPr="00525EAC">
        <w:rPr>
          <w:sz w:val="20"/>
          <w:lang w:val="fr-FR"/>
        </w:rPr>
        <w:t>3.</w:t>
      </w:r>
      <w:r w:rsidRPr="00525EAC">
        <w:rPr>
          <w:sz w:val="20"/>
          <w:lang w:val="fr-FR"/>
        </w:rPr>
        <w:tab/>
        <w:t>Par accuse, on entend toute personne ou organisation contre laquelle des poursuites pénales ont été engagées</w:t>
      </w:r>
      <w:r>
        <w:rPr>
          <w:sz w:val="20"/>
          <w:lang w:val="fr-FR"/>
        </w:rPr>
        <w:t xml:space="preserve"> et qui comparaît devant un tribunal</w:t>
      </w:r>
      <w:r w:rsidRPr="00525EAC">
        <w:rPr>
          <w:sz w:val="20"/>
          <w:lang w:val="fr-FR"/>
        </w:rPr>
        <w:t>. Il convient de noter que cette méthode ne fait pas apparaître</w:t>
      </w:r>
      <w:r>
        <w:rPr>
          <w:sz w:val="20"/>
          <w:lang w:val="fr-FR"/>
        </w:rPr>
        <w:t xml:space="preserve"> des personnes ou des organisations distinctes</w:t>
      </w:r>
      <w:r w:rsidRPr="00525EAC">
        <w:rPr>
          <w:sz w:val="20"/>
          <w:lang w:val="fr-FR"/>
        </w:rPr>
        <w:t>. Si une personne ou une organisation est accusée dans le cadre d’un certain nombre d’affaires pénales</w:t>
      </w:r>
      <w:r>
        <w:rPr>
          <w:sz w:val="20"/>
          <w:lang w:val="fr-FR"/>
        </w:rPr>
        <w:t xml:space="preserve"> qui sont réglées à différentes dates, elle sera comptée plus d’une fois dans ces statistiques</w:t>
      </w:r>
      <w:r w:rsidRPr="00525EAC">
        <w:rPr>
          <w:sz w:val="20"/>
          <w:lang w:val="fr-FR"/>
        </w:rPr>
        <w:t>.</w:t>
      </w:r>
    </w:p>
    <w:p w:rsidR="00C111C0" w:rsidRDefault="00C111C0" w:rsidP="005D7B68">
      <w:pPr>
        <w:tabs>
          <w:tab w:val="left" w:pos="567"/>
          <w:tab w:val="left" w:pos="1134"/>
          <w:tab w:val="left" w:pos="1701"/>
          <w:tab w:val="left" w:pos="2268"/>
          <w:tab w:val="left" w:pos="2835"/>
        </w:tabs>
        <w:spacing w:after="60"/>
        <w:rPr>
          <w:sz w:val="20"/>
          <w:lang w:val="fr-FR"/>
        </w:rPr>
      </w:pPr>
      <w:r w:rsidRPr="00525EAC">
        <w:rPr>
          <w:sz w:val="20"/>
          <w:lang w:val="fr-FR"/>
        </w:rPr>
        <w:tab/>
        <w:t>4.</w:t>
      </w:r>
      <w:r w:rsidRPr="00525EAC">
        <w:rPr>
          <w:sz w:val="20"/>
          <w:lang w:val="fr-FR"/>
        </w:rPr>
        <w:tab/>
        <w:t>Au Queensland, les délits relatifs à</w:t>
      </w:r>
      <w:r>
        <w:rPr>
          <w:sz w:val="20"/>
          <w:lang w:val="fr-FR"/>
        </w:rPr>
        <w:t xml:space="preserve"> l’exploitation commerciale des enfants peuvent être jugés par la </w:t>
      </w:r>
      <w:r w:rsidR="0093770F" w:rsidRPr="0093770F">
        <w:rPr>
          <w:sz w:val="20"/>
          <w:lang w:val="fr-FR"/>
        </w:rPr>
        <w:t>Cour s</w:t>
      </w:r>
      <w:r w:rsidRPr="0093770F">
        <w:rPr>
          <w:sz w:val="20"/>
          <w:lang w:val="fr-FR"/>
        </w:rPr>
        <w:t>uprême, l</w:t>
      </w:r>
      <w:r w:rsidR="00300804">
        <w:rPr>
          <w:sz w:val="20"/>
          <w:lang w:val="fr-FR"/>
        </w:rPr>
        <w:t>es tribunaux de district et les tribunaux de première instance</w:t>
      </w:r>
      <w:r w:rsidRPr="0093770F">
        <w:rPr>
          <w:sz w:val="20"/>
          <w:lang w:val="fr-FR"/>
        </w:rPr>
        <w:t xml:space="preserve">. Les données figurant dans le tableau ci-dessus ne concernent que les accusés jugés </w:t>
      </w:r>
      <w:r w:rsidR="0093770F" w:rsidRPr="0093770F">
        <w:rPr>
          <w:sz w:val="20"/>
          <w:lang w:val="fr-FR"/>
        </w:rPr>
        <w:t>par les Cours s</w:t>
      </w:r>
      <w:r w:rsidRPr="0093770F">
        <w:rPr>
          <w:sz w:val="20"/>
          <w:lang w:val="fr-FR"/>
        </w:rPr>
        <w:t>uprêmes ou les tribunaux</w:t>
      </w:r>
      <w:r>
        <w:rPr>
          <w:sz w:val="20"/>
          <w:lang w:val="fr-FR"/>
        </w:rPr>
        <w:t xml:space="preserve"> de district.</w:t>
      </w:r>
    </w:p>
    <w:p w:rsidR="00C111C0" w:rsidRPr="00525EAC" w:rsidRDefault="00C111C0" w:rsidP="005D7B68">
      <w:pPr>
        <w:tabs>
          <w:tab w:val="left" w:pos="567"/>
          <w:tab w:val="left" w:pos="1134"/>
          <w:tab w:val="left" w:pos="1701"/>
          <w:tab w:val="left" w:pos="2268"/>
          <w:tab w:val="left" w:pos="2835"/>
        </w:tabs>
        <w:spacing w:after="60"/>
        <w:rPr>
          <w:sz w:val="20"/>
          <w:lang w:val="fr-FR"/>
        </w:rPr>
      </w:pPr>
      <w:r>
        <w:rPr>
          <w:sz w:val="20"/>
          <w:lang w:val="fr-FR"/>
        </w:rPr>
        <w:t>Tableau établi le</w:t>
      </w:r>
      <w:r w:rsidR="00572260">
        <w:rPr>
          <w:sz w:val="20"/>
          <w:lang w:val="fr-FR"/>
        </w:rPr>
        <w:t xml:space="preserve"> </w:t>
      </w:r>
      <w:r w:rsidRPr="00525EAC">
        <w:rPr>
          <w:sz w:val="20"/>
          <w:lang w:val="fr-FR"/>
        </w:rPr>
        <w:t>19/07/07.</w:t>
      </w:r>
    </w:p>
    <w:p w:rsidR="00C111C0" w:rsidRPr="008D6B80" w:rsidRDefault="00C111C0" w:rsidP="005D7B68">
      <w:pPr>
        <w:tabs>
          <w:tab w:val="left" w:pos="567"/>
          <w:tab w:val="left" w:pos="1134"/>
          <w:tab w:val="left" w:pos="1701"/>
          <w:tab w:val="left" w:pos="2268"/>
          <w:tab w:val="left" w:pos="2835"/>
        </w:tabs>
        <w:rPr>
          <w:lang w:val="fr-FR"/>
        </w:rPr>
        <w:sectPr w:rsidR="00C111C0" w:rsidRPr="008D6B80" w:rsidSect="0017310E">
          <w:headerReference w:type="even" r:id="rId49"/>
          <w:headerReference w:type="default" r:id="rId50"/>
          <w:headerReference w:type="first" r:id="rId51"/>
          <w:footerReference w:type="first" r:id="rId52"/>
          <w:pgSz w:w="16838" w:h="11906" w:orient="landscape" w:code="9"/>
          <w:pgMar w:top="1701" w:right="1701" w:bottom="1701" w:left="1701" w:header="851" w:footer="1134" w:gutter="0"/>
          <w:cols w:space="708"/>
          <w:titlePg/>
          <w:docGrid w:linePitch="360"/>
        </w:sectPr>
      </w:pPr>
    </w:p>
    <w:p w:rsidR="008D49B5"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8D236B" w:rsidRDefault="008D236B" w:rsidP="005D7B68">
      <w:pPr>
        <w:tabs>
          <w:tab w:val="left" w:pos="567"/>
          <w:tab w:val="left" w:pos="1134"/>
          <w:tab w:val="left" w:pos="1701"/>
          <w:tab w:val="left" w:pos="2268"/>
          <w:tab w:val="left" w:pos="2835"/>
        </w:tabs>
        <w:rPr>
          <w:lang w:val="fr-FR"/>
        </w:rPr>
      </w:pPr>
      <w:r>
        <w:rPr>
          <w:lang w:val="fr-FR"/>
        </w:rPr>
        <w:t>91</w:t>
      </w:r>
      <w:r w:rsidR="007E1F36">
        <w:rPr>
          <w:lang w:val="fr-FR"/>
        </w:rPr>
        <w:t>3</w:t>
      </w:r>
      <w:r>
        <w:rPr>
          <w:lang w:val="fr-FR"/>
        </w:rPr>
        <w:t>.</w:t>
      </w:r>
      <w:r>
        <w:rPr>
          <w:lang w:val="fr-FR"/>
        </w:rPr>
        <w:tab/>
        <w:t>Aucun cas n’a été signalé.</w:t>
      </w:r>
    </w:p>
    <w:p w:rsidR="008D236B" w:rsidRDefault="008D236B" w:rsidP="005D7B68">
      <w:pPr>
        <w:tabs>
          <w:tab w:val="left" w:pos="567"/>
          <w:tab w:val="left" w:pos="1134"/>
          <w:tab w:val="left" w:pos="1701"/>
          <w:tab w:val="left" w:pos="2268"/>
          <w:tab w:val="left" w:pos="2835"/>
        </w:tabs>
        <w:rPr>
          <w:b/>
          <w:bCs/>
          <w:lang w:val="fr-FR"/>
        </w:rPr>
      </w:pPr>
      <w:r>
        <w:rPr>
          <w:b/>
          <w:bCs/>
          <w:lang w:val="fr-FR"/>
        </w:rPr>
        <w:t>Australie méridionale</w:t>
      </w:r>
    </w:p>
    <w:p w:rsidR="003F3834" w:rsidRPr="003F3834" w:rsidRDefault="003F3834" w:rsidP="005D7B68">
      <w:pPr>
        <w:tabs>
          <w:tab w:val="left" w:pos="567"/>
          <w:tab w:val="left" w:pos="1134"/>
          <w:tab w:val="left" w:pos="1701"/>
          <w:tab w:val="left" w:pos="2268"/>
          <w:tab w:val="left" w:pos="2835"/>
        </w:tabs>
        <w:rPr>
          <w:lang w:val="fr-FR"/>
        </w:rPr>
      </w:pPr>
      <w:r>
        <w:rPr>
          <w:lang w:val="fr-FR"/>
        </w:rPr>
        <w:t>91</w:t>
      </w:r>
      <w:r w:rsidR="00F178A5">
        <w:rPr>
          <w:lang w:val="fr-FR"/>
        </w:rPr>
        <w:t>4</w:t>
      </w:r>
      <w:r>
        <w:rPr>
          <w:lang w:val="fr-FR"/>
        </w:rPr>
        <w:t>.</w:t>
      </w:r>
      <w:r>
        <w:rPr>
          <w:lang w:val="fr-FR"/>
        </w:rPr>
        <w:tab/>
        <w:t>Aucun cas n’a été signalé au Gouvernement fédéral de la part de l’</w:t>
      </w:r>
      <w:r w:rsidR="008E1139">
        <w:rPr>
          <w:lang w:val="fr-FR"/>
        </w:rPr>
        <w:t>Australie méridionale</w:t>
      </w:r>
      <w:r>
        <w:rPr>
          <w:lang w:val="fr-FR"/>
        </w:rPr>
        <w:t>.</w:t>
      </w:r>
    </w:p>
    <w:p w:rsidR="003F3834" w:rsidRDefault="003F3834" w:rsidP="005D7B68">
      <w:pPr>
        <w:tabs>
          <w:tab w:val="left" w:pos="567"/>
          <w:tab w:val="left" w:pos="1134"/>
          <w:tab w:val="left" w:pos="1701"/>
          <w:tab w:val="left" w:pos="2268"/>
          <w:tab w:val="left" w:pos="2835"/>
        </w:tabs>
        <w:rPr>
          <w:b/>
          <w:bCs/>
          <w:lang w:val="fr-FR"/>
        </w:rPr>
      </w:pPr>
      <w:r>
        <w:rPr>
          <w:b/>
          <w:bCs/>
          <w:lang w:val="fr-FR"/>
        </w:rPr>
        <w:t>Tasmanie</w:t>
      </w:r>
    </w:p>
    <w:p w:rsidR="003F3834" w:rsidRPr="003F3834" w:rsidRDefault="003F3834" w:rsidP="005D7B68">
      <w:pPr>
        <w:tabs>
          <w:tab w:val="left" w:pos="567"/>
          <w:tab w:val="left" w:pos="1134"/>
          <w:tab w:val="left" w:pos="1701"/>
          <w:tab w:val="left" w:pos="2268"/>
          <w:tab w:val="left" w:pos="2835"/>
        </w:tabs>
        <w:rPr>
          <w:lang w:val="fr-FR"/>
        </w:rPr>
      </w:pPr>
      <w:r>
        <w:rPr>
          <w:lang w:val="fr-FR"/>
        </w:rPr>
        <w:t>91</w:t>
      </w:r>
      <w:r w:rsidR="00F178A5">
        <w:rPr>
          <w:lang w:val="fr-FR"/>
        </w:rPr>
        <w:t>5</w:t>
      </w:r>
      <w:r>
        <w:rPr>
          <w:lang w:val="fr-FR"/>
        </w:rPr>
        <w:t>.</w:t>
      </w:r>
      <w:r>
        <w:rPr>
          <w:lang w:val="fr-FR"/>
        </w:rPr>
        <w:tab/>
        <w:t>Aucune donnée n’est disponible.</w:t>
      </w:r>
    </w:p>
    <w:p w:rsidR="008D236B" w:rsidRDefault="003F3834" w:rsidP="005D7B68">
      <w:pPr>
        <w:tabs>
          <w:tab w:val="left" w:pos="567"/>
          <w:tab w:val="left" w:pos="1134"/>
          <w:tab w:val="left" w:pos="1701"/>
          <w:tab w:val="left" w:pos="2268"/>
          <w:tab w:val="left" w:pos="2835"/>
        </w:tabs>
        <w:rPr>
          <w:b/>
          <w:bCs/>
          <w:lang w:val="fr-FR"/>
        </w:rPr>
      </w:pPr>
      <w:r>
        <w:rPr>
          <w:b/>
          <w:bCs/>
          <w:lang w:val="fr-FR"/>
        </w:rPr>
        <w:t>Territoire de la capitale australienne</w:t>
      </w:r>
    </w:p>
    <w:p w:rsidR="00D33FE6" w:rsidRPr="003F3834" w:rsidRDefault="003F3834" w:rsidP="005D7B68">
      <w:pPr>
        <w:tabs>
          <w:tab w:val="left" w:pos="567"/>
          <w:tab w:val="left" w:pos="1134"/>
          <w:tab w:val="left" w:pos="1701"/>
          <w:tab w:val="left" w:pos="2268"/>
          <w:tab w:val="left" w:pos="2835"/>
        </w:tabs>
        <w:rPr>
          <w:lang w:val="fr-FR"/>
        </w:rPr>
      </w:pPr>
      <w:r>
        <w:rPr>
          <w:lang w:val="fr-FR"/>
        </w:rPr>
        <w:t>91</w:t>
      </w:r>
      <w:r w:rsidR="00F178A5">
        <w:rPr>
          <w:lang w:val="fr-FR"/>
        </w:rPr>
        <w:t>6</w:t>
      </w:r>
      <w:r>
        <w:rPr>
          <w:lang w:val="fr-FR"/>
        </w:rPr>
        <w:t>.</w:t>
      </w:r>
      <w:r>
        <w:rPr>
          <w:lang w:val="fr-FR"/>
        </w:rPr>
        <w:tab/>
      </w:r>
      <w:r w:rsidR="00D33FE6">
        <w:rPr>
          <w:lang w:val="fr-FR"/>
        </w:rPr>
        <w:t>Trois enquêtes ont été menées sur des cas d’exploitation sexuelle à des fins commerciales pendant la période 2000-07, s’agissant de servitude sexuelle</w:t>
      </w:r>
      <w:r w:rsidR="008D6B80">
        <w:rPr>
          <w:lang w:val="fr-FR"/>
        </w:rPr>
        <w:t xml:space="preserve">. </w:t>
      </w:r>
      <w:r w:rsidR="00D33FE6">
        <w:rPr>
          <w:lang w:val="fr-FR"/>
        </w:rPr>
        <w:t>Aucune n’a débouché sur des poursuites pénales.</w:t>
      </w:r>
    </w:p>
    <w:p w:rsidR="00D33FE6" w:rsidRDefault="00D33FE6" w:rsidP="005D7B68">
      <w:pPr>
        <w:tabs>
          <w:tab w:val="left" w:pos="567"/>
          <w:tab w:val="left" w:pos="1134"/>
          <w:tab w:val="left" w:pos="1701"/>
          <w:tab w:val="left" w:pos="2268"/>
          <w:tab w:val="left" w:pos="2835"/>
        </w:tabs>
        <w:rPr>
          <w:b/>
          <w:bCs/>
          <w:lang w:val="fr-FR"/>
        </w:rPr>
      </w:pPr>
      <w:r>
        <w:rPr>
          <w:b/>
          <w:bCs/>
          <w:lang w:val="fr-FR"/>
        </w:rPr>
        <w:t>Territoire du Nord</w:t>
      </w:r>
    </w:p>
    <w:p w:rsidR="00D33FE6" w:rsidRPr="00D33FE6" w:rsidRDefault="00D33FE6" w:rsidP="005D7B68">
      <w:pPr>
        <w:tabs>
          <w:tab w:val="left" w:pos="567"/>
          <w:tab w:val="left" w:pos="1134"/>
          <w:tab w:val="left" w:pos="1701"/>
          <w:tab w:val="left" w:pos="2268"/>
          <w:tab w:val="left" w:pos="2835"/>
        </w:tabs>
        <w:rPr>
          <w:lang w:val="fr-FR"/>
        </w:rPr>
      </w:pPr>
      <w:r>
        <w:rPr>
          <w:lang w:val="fr-FR"/>
        </w:rPr>
        <w:t>91</w:t>
      </w:r>
      <w:r w:rsidR="00F178A5">
        <w:rPr>
          <w:lang w:val="fr-FR"/>
        </w:rPr>
        <w:t>7</w:t>
      </w:r>
      <w:r>
        <w:rPr>
          <w:lang w:val="fr-FR"/>
        </w:rPr>
        <w:t>.</w:t>
      </w:r>
      <w:r>
        <w:rPr>
          <w:lang w:val="fr-FR"/>
        </w:rPr>
        <w:tab/>
        <w:t>Depuis 2002, le Code pénal du Territoire du Nord (partie VI, division 6A)</w:t>
      </w:r>
      <w:r w:rsidR="00572260">
        <w:rPr>
          <w:lang w:val="fr-FR"/>
        </w:rPr>
        <w:t xml:space="preserve"> </w:t>
      </w:r>
      <w:r>
        <w:rPr>
          <w:lang w:val="fr-FR"/>
        </w:rPr>
        <w:t>crée des infractions passibles de lourdes peines (par exemple jusqu’à l’emprisonnement à vie si des enfants sont impliqués) à l’encontre des personnes qui</w:t>
      </w:r>
      <w:r w:rsidR="009D012E">
        <w:rPr>
          <w:lang w:val="fr-FR"/>
        </w:rPr>
        <w:t xml:space="preserve"> mettent ou maintiennent d’autres personnes en situation de servitude sexuelle</w:t>
      </w:r>
      <w:r w:rsidR="00C1455D">
        <w:rPr>
          <w:lang w:val="fr-FR"/>
        </w:rPr>
        <w:t>, sont à la tête d’</w:t>
      </w:r>
      <w:r w:rsidR="009D012E">
        <w:rPr>
          <w:lang w:val="fr-FR"/>
        </w:rPr>
        <w:t>activités commerciales impliquant une servitude sexuelle, ou procède</w:t>
      </w:r>
      <w:r w:rsidR="009173C1">
        <w:rPr>
          <w:lang w:val="fr-FR"/>
        </w:rPr>
        <w:t>nt</w:t>
      </w:r>
      <w:r w:rsidR="009D012E">
        <w:rPr>
          <w:lang w:val="fr-FR"/>
        </w:rPr>
        <w:t xml:space="preserve"> à un recrutement fallacieux à des fins de services sexuels.</w:t>
      </w:r>
    </w:p>
    <w:p w:rsidR="003712F5" w:rsidRPr="00D33FE6" w:rsidRDefault="00C1455D" w:rsidP="005D7B68">
      <w:pPr>
        <w:tabs>
          <w:tab w:val="left" w:pos="567"/>
          <w:tab w:val="left" w:pos="1134"/>
          <w:tab w:val="left" w:pos="1701"/>
          <w:tab w:val="left" w:pos="2268"/>
          <w:tab w:val="left" w:pos="2835"/>
        </w:tabs>
        <w:rPr>
          <w:lang w:val="fr-FR"/>
        </w:rPr>
      </w:pPr>
      <w:r>
        <w:rPr>
          <w:lang w:val="fr-FR"/>
        </w:rPr>
        <w:t>91</w:t>
      </w:r>
      <w:r w:rsidR="00F178A5">
        <w:rPr>
          <w:lang w:val="fr-FR"/>
        </w:rPr>
        <w:t>8</w:t>
      </w:r>
      <w:r>
        <w:rPr>
          <w:lang w:val="fr-FR"/>
        </w:rPr>
        <w:t>.</w:t>
      </w:r>
      <w:r>
        <w:rPr>
          <w:lang w:val="fr-FR"/>
        </w:rPr>
        <w:tab/>
      </w:r>
      <w:r w:rsidR="003712F5">
        <w:rPr>
          <w:lang w:val="fr-FR"/>
        </w:rPr>
        <w:t>La police du Territoire du Nord n’a enregistré aucun cas de traite des personnes ni d’exploitation sexuelle à des fins commerciales.</w:t>
      </w:r>
    </w:p>
    <w:p w:rsidR="003712F5" w:rsidRPr="003712F5" w:rsidRDefault="003712F5" w:rsidP="005D7B68">
      <w:pPr>
        <w:tabs>
          <w:tab w:val="left" w:pos="567"/>
          <w:tab w:val="left" w:pos="1134"/>
          <w:tab w:val="left" w:pos="1701"/>
          <w:tab w:val="left" w:pos="2268"/>
          <w:tab w:val="left" w:pos="2835"/>
        </w:tabs>
        <w:rPr>
          <w:b/>
          <w:bCs/>
          <w:lang w:val="fr-FR"/>
        </w:rPr>
      </w:pPr>
      <w:r>
        <w:rPr>
          <w:b/>
          <w:bCs/>
          <w:lang w:val="fr-FR"/>
        </w:rPr>
        <w:t>Question 38</w:t>
      </w:r>
    </w:p>
    <w:p w:rsidR="003712F5" w:rsidRPr="003712F5" w:rsidRDefault="003712F5" w:rsidP="005D7B68">
      <w:pPr>
        <w:tabs>
          <w:tab w:val="left" w:pos="567"/>
          <w:tab w:val="left" w:pos="1134"/>
          <w:tab w:val="left" w:pos="1701"/>
          <w:tab w:val="left" w:pos="2268"/>
          <w:tab w:val="left" w:pos="2835"/>
        </w:tabs>
        <w:rPr>
          <w:lang w:val="fr-FR"/>
        </w:rPr>
      </w:pPr>
      <w:r>
        <w:rPr>
          <w:lang w:val="fr-FR"/>
        </w:rPr>
        <w:tab/>
      </w:r>
      <w:r w:rsidRPr="003712F5">
        <w:rPr>
          <w:b/>
          <w:bCs/>
          <w:lang w:val="fr-FR"/>
        </w:rPr>
        <w:t>Concernant le paragraphe 22 du rapport de l’État partie, indiquer au Comité combien de cas de mutilation génitale féminine ont été signalés et ont donné lieu à l’ouverture de poursuites</w:t>
      </w:r>
      <w:r w:rsidRPr="003712F5">
        <w:rPr>
          <w:lang w:val="fr-FR"/>
        </w:rPr>
        <w:t xml:space="preserve">. </w:t>
      </w:r>
    </w:p>
    <w:p w:rsidR="003712F5" w:rsidRDefault="003712F5" w:rsidP="005D7B68">
      <w:pPr>
        <w:tabs>
          <w:tab w:val="left" w:pos="567"/>
          <w:tab w:val="left" w:pos="1134"/>
          <w:tab w:val="left" w:pos="1701"/>
          <w:tab w:val="left" w:pos="2268"/>
          <w:tab w:val="left" w:pos="2835"/>
        </w:tabs>
        <w:rPr>
          <w:lang w:val="fr-FR"/>
        </w:rPr>
      </w:pPr>
      <w:r>
        <w:rPr>
          <w:lang w:val="fr-FR"/>
        </w:rPr>
        <w:t>9</w:t>
      </w:r>
      <w:r w:rsidR="00F178A5">
        <w:rPr>
          <w:lang w:val="fr-FR"/>
        </w:rPr>
        <w:t>19</w:t>
      </w:r>
      <w:r>
        <w:rPr>
          <w:lang w:val="fr-FR"/>
        </w:rPr>
        <w:t>.</w:t>
      </w:r>
      <w:r>
        <w:rPr>
          <w:lang w:val="fr-FR"/>
        </w:rPr>
        <w:tab/>
        <w:t>La mutilation génitale féminine relève de la législation des États et Territoire</w:t>
      </w:r>
      <w:r w:rsidR="009173C1">
        <w:rPr>
          <w:lang w:val="fr-FR"/>
        </w:rPr>
        <w:t>s</w:t>
      </w:r>
      <w:r>
        <w:rPr>
          <w:lang w:val="fr-FR"/>
        </w:rPr>
        <w:t>.</w:t>
      </w:r>
    </w:p>
    <w:p w:rsidR="003712F5" w:rsidRDefault="003712F5" w:rsidP="005D7B68">
      <w:pPr>
        <w:tabs>
          <w:tab w:val="left" w:pos="567"/>
          <w:tab w:val="left" w:pos="1134"/>
          <w:tab w:val="left" w:pos="1701"/>
          <w:tab w:val="left" w:pos="2268"/>
          <w:tab w:val="left" w:pos="2835"/>
        </w:tabs>
        <w:rPr>
          <w:b/>
          <w:bCs/>
          <w:lang w:val="fr-FR"/>
        </w:rPr>
      </w:pPr>
      <w:r>
        <w:rPr>
          <w:b/>
          <w:bCs/>
          <w:lang w:val="fr-FR"/>
        </w:rPr>
        <w:t>Nouvelle-Galles du Sud</w:t>
      </w:r>
    </w:p>
    <w:p w:rsidR="00F71DB6" w:rsidRDefault="00F178A5"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lang w:val="fr-FR"/>
        </w:rPr>
        <w:t>920.</w:t>
      </w:r>
      <w:r>
        <w:rPr>
          <w:lang w:val="fr-FR"/>
        </w:rPr>
        <w:tab/>
      </w:r>
      <w:r w:rsidR="003712F5">
        <w:rPr>
          <w:lang w:val="fr-FR"/>
        </w:rPr>
        <w:t>Aucune modification n’est intervenue, en Nouvelle-Galles du Sud, dans la législation relative à la mutilation génitale féminine, qui est interdite en vertu de l’article 45 de la loi de 1900 sur les infractions pénales (Nouvelle-Galles du Sud)</w:t>
      </w:r>
      <w:r w:rsidR="008D6B80">
        <w:rPr>
          <w:lang w:val="fr-FR"/>
        </w:rPr>
        <w:t xml:space="preserve">. </w:t>
      </w:r>
      <w:r w:rsidR="003712F5">
        <w:rPr>
          <w:lang w:val="fr-FR"/>
        </w:rPr>
        <w:t xml:space="preserve">Cet article prévoit </w:t>
      </w:r>
      <w:r w:rsidR="00C728B2">
        <w:rPr>
          <w:lang w:val="fr-FR"/>
        </w:rPr>
        <w:t>que cette infraction est passible d’</w:t>
      </w:r>
      <w:r w:rsidR="003712F5">
        <w:rPr>
          <w:lang w:val="fr-FR"/>
        </w:rPr>
        <w:t>une peine maximale de sept ans d’</w:t>
      </w:r>
      <w:r w:rsidR="00C728B2">
        <w:rPr>
          <w:lang w:val="fr-FR"/>
        </w:rPr>
        <w:t>emprisonnement</w:t>
      </w:r>
      <w:r w:rsidR="008D6B80">
        <w:rPr>
          <w:lang w:val="fr-FR"/>
        </w:rPr>
        <w:t xml:space="preserve">. </w:t>
      </w:r>
      <w:r w:rsidR="007179C2">
        <w:rPr>
          <w:lang w:val="fr-FR"/>
        </w:rPr>
        <w:t>L’article 45 1) b) de la loi sur les infractions pénales</w:t>
      </w:r>
      <w:r w:rsidR="003712F5">
        <w:rPr>
          <w:lang w:val="fr-FR"/>
        </w:rPr>
        <w:t xml:space="preserve"> </w:t>
      </w:r>
      <w:r w:rsidR="007179C2">
        <w:rPr>
          <w:lang w:val="fr-FR"/>
        </w:rPr>
        <w:t>dispose que toute personne</w:t>
      </w:r>
      <w:r w:rsidR="007179C2">
        <w:rPr>
          <w:rFonts w:ascii="TimesNewRoman" w:hAnsi="TimesNewRoman" w:cs="TimesNewRoman"/>
          <w:szCs w:val="24"/>
          <w:lang w:val="fr-FR" w:eastAsia="fr-FR"/>
        </w:rPr>
        <w:t xml:space="preserve"> qui apporte son concours, son soutien, des conseils ou sert d’intermédiaire pour la réalisation d’une mutilation génitale féminine sur une autre personne encourt également une peine de sept ans d’emprisonnement</w:t>
      </w:r>
      <w:r w:rsidR="008D6B80">
        <w:rPr>
          <w:rFonts w:ascii="TimesNewRoman" w:hAnsi="TimesNewRoman" w:cs="TimesNewRoman"/>
          <w:szCs w:val="24"/>
          <w:lang w:val="fr-FR" w:eastAsia="fr-FR"/>
        </w:rPr>
        <w:t xml:space="preserve">. </w:t>
      </w:r>
      <w:r w:rsidR="007179C2">
        <w:rPr>
          <w:rFonts w:ascii="TimesNewRoman" w:hAnsi="TimesNewRoman" w:cs="TimesNewRoman"/>
          <w:szCs w:val="24"/>
          <w:lang w:val="fr-FR" w:eastAsia="fr-FR"/>
        </w:rPr>
        <w:t>Cette législation couvre les actes commis hors de Nouvelle-Galles du Sud si l’auteur de l’infraction réside habituellement dans cet État</w:t>
      </w:r>
      <w:r w:rsidR="008D6B80">
        <w:rPr>
          <w:rFonts w:ascii="TimesNewRoman" w:hAnsi="TimesNewRoman" w:cs="TimesNewRoman"/>
          <w:szCs w:val="24"/>
          <w:lang w:val="fr-FR" w:eastAsia="fr-FR"/>
        </w:rPr>
        <w:t xml:space="preserve">. </w:t>
      </w:r>
      <w:r w:rsidR="005B6C39">
        <w:rPr>
          <w:rFonts w:ascii="TimesNewRoman" w:hAnsi="TimesNewRoman" w:cs="TimesNewRoman"/>
          <w:szCs w:val="24"/>
          <w:lang w:val="fr-FR" w:eastAsia="fr-FR"/>
        </w:rPr>
        <w:t>Le consentement ne peut être invoqué comme argument de défense</w:t>
      </w:r>
      <w:r w:rsidR="00F71DB6">
        <w:rPr>
          <w:rFonts w:ascii="TimesNewRoman" w:hAnsi="TimesNewRoman" w:cs="TimesNewRoman"/>
          <w:szCs w:val="24"/>
          <w:lang w:val="fr-FR" w:eastAsia="fr-FR"/>
        </w:rPr>
        <w:t xml:space="preserve"> en vertu de cette loi.</w:t>
      </w:r>
    </w:p>
    <w:p w:rsidR="00F71DB6" w:rsidRDefault="00F71DB6" w:rsidP="005D7B68">
      <w:pPr>
        <w:tabs>
          <w:tab w:val="left" w:pos="567"/>
          <w:tab w:val="left" w:pos="1134"/>
          <w:tab w:val="left" w:pos="1701"/>
          <w:tab w:val="left" w:pos="2268"/>
          <w:tab w:val="left" w:pos="2835"/>
        </w:tabs>
        <w:autoSpaceDE w:val="0"/>
        <w:autoSpaceDN w:val="0"/>
        <w:adjustRightInd w:val="0"/>
        <w:rPr>
          <w:lang w:val="fr-FR"/>
        </w:rPr>
      </w:pPr>
      <w:r>
        <w:rPr>
          <w:rFonts w:ascii="TimesNewRoman" w:hAnsi="TimesNewRoman" w:cs="TimesNewRoman"/>
          <w:szCs w:val="24"/>
          <w:lang w:val="fr-FR" w:eastAsia="fr-FR"/>
        </w:rPr>
        <w:t>92</w:t>
      </w:r>
      <w:r w:rsidR="00F178A5">
        <w:rPr>
          <w:rFonts w:ascii="TimesNewRoman" w:hAnsi="TimesNewRoman" w:cs="TimesNewRoman"/>
          <w:szCs w:val="24"/>
          <w:lang w:val="fr-FR" w:eastAsia="fr-FR"/>
        </w:rPr>
        <w:t>1</w:t>
      </w:r>
      <w:r>
        <w:rPr>
          <w:rFonts w:ascii="TimesNewRoman" w:hAnsi="TimesNewRoman" w:cs="TimesNewRoman"/>
          <w:szCs w:val="24"/>
          <w:lang w:val="fr-FR" w:eastAsia="fr-FR"/>
        </w:rPr>
        <w:t>.</w:t>
      </w:r>
      <w:r>
        <w:rPr>
          <w:rFonts w:ascii="TimesNewRoman" w:hAnsi="TimesNewRoman" w:cs="TimesNewRoman"/>
          <w:szCs w:val="24"/>
          <w:lang w:val="fr-FR" w:eastAsia="fr-FR"/>
        </w:rPr>
        <w:tab/>
        <w:t xml:space="preserve">Ainsi qu’il a été indiqué plus haut, le système de recherche sur les informations judiciaires </w:t>
      </w:r>
      <w:r>
        <w:rPr>
          <w:lang w:val="fr-FR"/>
        </w:rPr>
        <w:t>permet de dégager le type de condamnations prononcées par les tribunau</w:t>
      </w:r>
      <w:r w:rsidR="005F7301">
        <w:rPr>
          <w:lang w:val="fr-FR"/>
        </w:rPr>
        <w:t>x de Nouvelle-Galles du Sud en répression de</w:t>
      </w:r>
      <w:r>
        <w:rPr>
          <w:lang w:val="fr-FR"/>
        </w:rPr>
        <w:t xml:space="preserve"> telle ou telle infraction</w:t>
      </w:r>
      <w:r w:rsidR="008D6B80">
        <w:rPr>
          <w:lang w:val="fr-FR"/>
        </w:rPr>
        <w:t xml:space="preserve">. </w:t>
      </w:r>
      <w:r>
        <w:rPr>
          <w:lang w:val="fr-FR"/>
        </w:rPr>
        <w:t>Aucune condamnation</w:t>
      </w:r>
      <w:r w:rsidR="005F7301">
        <w:rPr>
          <w:lang w:val="fr-FR"/>
        </w:rPr>
        <w:t xml:space="preserve"> n’a été enregistrée pour</w:t>
      </w:r>
      <w:r>
        <w:rPr>
          <w:lang w:val="fr-FR"/>
        </w:rPr>
        <w:t xml:space="preserve"> cette infraction</w:t>
      </w:r>
      <w:r w:rsidR="008D6B80">
        <w:rPr>
          <w:lang w:val="fr-FR"/>
        </w:rPr>
        <w:t xml:space="preserve">. </w:t>
      </w:r>
      <w:r>
        <w:rPr>
          <w:lang w:val="fr-FR"/>
        </w:rPr>
        <w:t>Il faudrait procéder à d’autres investigations auprès de la police de Nouvelle-Galles du Sud pour connaître le nombre de cas de mutilation génitale féminine qui lui ont été signalés.</w:t>
      </w:r>
    </w:p>
    <w:p w:rsidR="004A77C3" w:rsidRDefault="009173C1"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92</w:t>
      </w:r>
      <w:r w:rsidR="00F178A5">
        <w:rPr>
          <w:rFonts w:ascii="TimesNewRoman" w:hAnsi="TimesNewRoman" w:cs="TimesNewRoman"/>
          <w:szCs w:val="24"/>
          <w:lang w:val="fr-FR" w:eastAsia="fr-FR"/>
        </w:rPr>
        <w:t>2</w:t>
      </w:r>
      <w:r>
        <w:rPr>
          <w:rFonts w:ascii="TimesNewRoman" w:hAnsi="TimesNewRoman" w:cs="TimesNewRoman"/>
          <w:szCs w:val="24"/>
          <w:lang w:val="fr-FR" w:eastAsia="fr-FR"/>
        </w:rPr>
        <w:t>.</w:t>
      </w:r>
      <w:r>
        <w:rPr>
          <w:rFonts w:ascii="TimesNewRoman" w:hAnsi="TimesNewRoman" w:cs="TimesNewRoman"/>
          <w:szCs w:val="24"/>
          <w:lang w:val="fr-FR" w:eastAsia="fr-FR"/>
        </w:rPr>
        <w:tab/>
        <w:t>Selon l</w:t>
      </w:r>
      <w:r w:rsidR="00C8069D">
        <w:rPr>
          <w:rFonts w:ascii="TimesNewRoman" w:hAnsi="TimesNewRoman" w:cs="TimesNewRoman"/>
          <w:szCs w:val="24"/>
          <w:lang w:val="fr-FR" w:eastAsia="fr-FR"/>
        </w:rPr>
        <w:t>a loi de 1998 sur les enfants et les jeunes (</w:t>
      </w:r>
      <w:r w:rsidR="000E421C">
        <w:rPr>
          <w:rFonts w:ascii="TimesNewRoman" w:hAnsi="TimesNewRoman" w:cs="TimesNewRoman"/>
          <w:szCs w:val="24"/>
          <w:lang w:val="fr-FR" w:eastAsia="fr-FR"/>
        </w:rPr>
        <w:t>prise en cha</w:t>
      </w:r>
      <w:r>
        <w:rPr>
          <w:rFonts w:ascii="TimesNewRoman" w:hAnsi="TimesNewRoman" w:cs="TimesNewRoman"/>
          <w:szCs w:val="24"/>
          <w:lang w:val="fr-FR" w:eastAsia="fr-FR"/>
        </w:rPr>
        <w:t>rge et protection), il</w:t>
      </w:r>
      <w:r w:rsidR="000E421C">
        <w:rPr>
          <w:rFonts w:ascii="TimesNewRoman" w:hAnsi="TimesNewRoman" w:cs="TimesNewRoman"/>
          <w:szCs w:val="24"/>
          <w:lang w:val="fr-FR" w:eastAsia="fr-FR"/>
        </w:rPr>
        <w:t xml:space="preserve"> est obligatoire de signaler les enfants âgés de moins de 16 ans qui sont en danger et les Directives interadministrations de Nouvelle-Galles du Sud</w:t>
      </w:r>
      <w:r w:rsidR="00572260">
        <w:rPr>
          <w:rFonts w:ascii="TimesNewRoman" w:hAnsi="TimesNewRoman" w:cs="TimesNewRoman"/>
          <w:szCs w:val="24"/>
          <w:lang w:val="fr-FR" w:eastAsia="fr-FR"/>
        </w:rPr>
        <w:t xml:space="preserve"> </w:t>
      </w:r>
      <w:r w:rsidR="0076676C">
        <w:rPr>
          <w:rFonts w:ascii="TimesNewRoman" w:hAnsi="TimesNewRoman" w:cs="TimesNewRoman"/>
          <w:szCs w:val="24"/>
          <w:lang w:val="fr-FR" w:eastAsia="fr-FR"/>
        </w:rPr>
        <w:t>relatives aux interventions pour la</w:t>
      </w:r>
      <w:r w:rsidR="000E421C">
        <w:rPr>
          <w:rFonts w:ascii="TimesNewRoman" w:hAnsi="TimesNewRoman" w:cs="TimesNewRoman"/>
          <w:szCs w:val="24"/>
          <w:lang w:val="fr-FR" w:eastAsia="fr-FR"/>
        </w:rPr>
        <w:t xml:space="preserve"> protection des enfants mentionnent la mutilation génitale féminine parmi les indicateurs de violences physiques à enfant.</w:t>
      </w:r>
    </w:p>
    <w:p w:rsidR="00C8069D" w:rsidRDefault="004A77C3"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92</w:t>
      </w:r>
      <w:r w:rsidR="00F178A5">
        <w:rPr>
          <w:rFonts w:ascii="TimesNewRoman" w:hAnsi="TimesNewRoman" w:cs="TimesNewRoman"/>
          <w:szCs w:val="24"/>
          <w:lang w:val="fr-FR" w:eastAsia="fr-FR"/>
        </w:rPr>
        <w:t>3</w:t>
      </w:r>
      <w:r>
        <w:rPr>
          <w:rFonts w:ascii="TimesNewRoman" w:hAnsi="TimesNewRoman" w:cs="TimesNewRoman"/>
          <w:szCs w:val="24"/>
          <w:lang w:val="fr-FR" w:eastAsia="fr-FR"/>
        </w:rPr>
        <w:t>.</w:t>
      </w:r>
      <w:r>
        <w:rPr>
          <w:rFonts w:ascii="TimesNewRoman" w:hAnsi="TimesNewRoman" w:cs="TimesNewRoman"/>
          <w:szCs w:val="24"/>
          <w:lang w:val="fr-FR" w:eastAsia="fr-FR"/>
        </w:rPr>
        <w:tab/>
        <w:t xml:space="preserve">La pratique de la mutilation génitale féminine sur la personne d’enfants et de jeunes en Nouvelle-Galles du Sud doit être signalée à la police de cet </w:t>
      </w:r>
      <w:r>
        <w:rPr>
          <w:szCs w:val="24"/>
          <w:lang w:val="fr-FR" w:eastAsia="fr-FR"/>
        </w:rPr>
        <w:t>É</w:t>
      </w:r>
      <w:r>
        <w:rPr>
          <w:rFonts w:ascii="TimesNewRoman" w:hAnsi="TimesNewRoman" w:cs="TimesNewRoman"/>
          <w:szCs w:val="24"/>
          <w:lang w:val="fr-FR" w:eastAsia="fr-FR"/>
        </w:rPr>
        <w:t>tat</w:t>
      </w:r>
      <w:r w:rsidR="008D6B80">
        <w:rPr>
          <w:rFonts w:ascii="TimesNewRoman" w:hAnsi="TimesNewRoman" w:cs="TimesNewRoman"/>
          <w:szCs w:val="24"/>
          <w:lang w:val="fr-FR" w:eastAsia="fr-FR"/>
        </w:rPr>
        <w:t xml:space="preserve">. </w:t>
      </w:r>
      <w:r>
        <w:rPr>
          <w:rFonts w:ascii="TimesNewRoman" w:hAnsi="TimesNewRoman" w:cs="TimesNewRoman"/>
          <w:szCs w:val="24"/>
          <w:lang w:val="fr-FR" w:eastAsia="fr-FR"/>
        </w:rPr>
        <w:t>Si des femmes âgées de plus de 18 ans sollicitent ou subissent une mutilation génitale opérée par une tierce partie, la chose est également illégale et doit être signalée à la police.</w:t>
      </w:r>
    </w:p>
    <w:p w:rsidR="00FA705E" w:rsidRDefault="00FA705E"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92</w:t>
      </w:r>
      <w:r w:rsidR="00F178A5">
        <w:rPr>
          <w:rFonts w:ascii="TimesNewRoman" w:hAnsi="TimesNewRoman" w:cs="TimesNewRoman"/>
          <w:szCs w:val="24"/>
          <w:lang w:val="fr-FR" w:eastAsia="fr-FR"/>
        </w:rPr>
        <w:t>4</w:t>
      </w:r>
      <w:r>
        <w:rPr>
          <w:rFonts w:ascii="TimesNewRoman" w:hAnsi="TimesNewRoman" w:cs="TimesNewRoman"/>
          <w:szCs w:val="24"/>
          <w:lang w:val="fr-FR" w:eastAsia="fr-FR"/>
        </w:rPr>
        <w:t>.</w:t>
      </w:r>
      <w:r>
        <w:rPr>
          <w:rFonts w:ascii="TimesNewRoman" w:hAnsi="TimesNewRoman" w:cs="TimesNewRoman"/>
          <w:szCs w:val="24"/>
          <w:lang w:val="fr-FR" w:eastAsia="fr-FR"/>
        </w:rPr>
        <w:tab/>
        <w:t>Le Département de la santé de Nouvelle-Galles du Sud collabore étroitement avec les professionnels de la santé et les associations concernées pour prévenir la pratique de la mutilation génitale féminine et aider les femmes concernées grâce au programme d’éducation de l’État de Nouvelle-Galles du Sud en matière de mutilation génitale féminine, qui fonctionne depuis 1997 et est financé par le Département de la santé de cet État sous l’égide du Service de la santé de Sydney ouest.</w:t>
      </w:r>
    </w:p>
    <w:p w:rsidR="00990FDE" w:rsidRPr="007179C2" w:rsidRDefault="002B1AE8"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92</w:t>
      </w:r>
      <w:r w:rsidR="00F178A5">
        <w:rPr>
          <w:rFonts w:ascii="TimesNewRoman" w:hAnsi="TimesNewRoman" w:cs="TimesNewRoman"/>
          <w:szCs w:val="24"/>
          <w:lang w:val="fr-FR" w:eastAsia="fr-FR"/>
        </w:rPr>
        <w:t>5</w:t>
      </w:r>
      <w:r>
        <w:rPr>
          <w:rFonts w:ascii="TimesNewRoman" w:hAnsi="TimesNewRoman" w:cs="TimesNewRoman"/>
          <w:szCs w:val="24"/>
          <w:lang w:val="fr-FR" w:eastAsia="fr-FR"/>
        </w:rPr>
        <w:t>.</w:t>
      </w:r>
      <w:r>
        <w:rPr>
          <w:rFonts w:ascii="TimesNewRoman" w:hAnsi="TimesNewRoman" w:cs="TimesNewRoman"/>
          <w:szCs w:val="24"/>
          <w:lang w:val="fr-FR" w:eastAsia="fr-FR"/>
        </w:rPr>
        <w:tab/>
        <w:t xml:space="preserve">Le programme de lutte contre la mutilation génitale féminine de Nouvelle-Galles du Sud </w:t>
      </w:r>
      <w:r w:rsidR="00990FDE">
        <w:rPr>
          <w:rFonts w:ascii="TimesNewRoman" w:hAnsi="TimesNewRoman" w:cs="TimesNewRoman"/>
          <w:szCs w:val="24"/>
          <w:lang w:val="fr-FR" w:eastAsia="fr-FR"/>
        </w:rPr>
        <w:t>met en pratique une approche fondée sur les droits de l’homme pour aider les communautés concernées par la mutilation génitale féminine à se prendre en charge et à reconnaître le droit de la femme à son intégrité physique, ainsi que les effets de ladite mutilation pour les femmes et les jeunes filles en matière sanitaire et sociale</w:t>
      </w:r>
      <w:r w:rsidR="008D6B80">
        <w:rPr>
          <w:rFonts w:ascii="TimesNewRoman" w:hAnsi="TimesNewRoman" w:cs="TimesNewRoman"/>
          <w:szCs w:val="24"/>
          <w:lang w:val="fr-FR" w:eastAsia="fr-FR"/>
        </w:rPr>
        <w:t xml:space="preserve">. </w:t>
      </w:r>
      <w:r w:rsidR="00990FDE">
        <w:rPr>
          <w:rFonts w:ascii="TimesNewRoman" w:hAnsi="TimesNewRoman" w:cs="TimesNewRoman"/>
          <w:szCs w:val="24"/>
          <w:lang w:val="fr-FR" w:eastAsia="fr-FR"/>
        </w:rPr>
        <w:t>Ce programme de grande ampleur est composé des volets suivants</w:t>
      </w:r>
      <w:r w:rsidR="00572260">
        <w:rPr>
          <w:rFonts w:ascii="TimesNewRoman" w:hAnsi="TimesNewRoman" w:cs="TimesNewRoman"/>
          <w:szCs w:val="24"/>
          <w:lang w:val="fr-FR" w:eastAsia="fr-FR"/>
        </w:rPr>
        <w:t>:</w:t>
      </w:r>
    </w:p>
    <w:p w:rsidR="00990FDE" w:rsidRDefault="00E3226E" w:rsidP="005D7B68">
      <w:pPr>
        <w:tabs>
          <w:tab w:val="left" w:pos="567"/>
          <w:tab w:val="left" w:pos="1134"/>
          <w:tab w:val="left" w:pos="1701"/>
          <w:tab w:val="left" w:pos="2268"/>
          <w:tab w:val="left" w:pos="2835"/>
        </w:tabs>
        <w:rPr>
          <w:szCs w:val="24"/>
          <w:lang w:val="fr-FR"/>
        </w:rPr>
      </w:pPr>
      <w:r>
        <w:rPr>
          <w:szCs w:val="24"/>
          <w:lang w:val="fr-FR"/>
        </w:rPr>
        <w:tab/>
      </w:r>
      <w:r w:rsidR="009173C1">
        <w:rPr>
          <w:szCs w:val="24"/>
          <w:lang w:val="fr-FR"/>
        </w:rPr>
        <w:t>a)</w:t>
      </w:r>
      <w:r>
        <w:rPr>
          <w:szCs w:val="24"/>
          <w:lang w:val="fr-FR"/>
        </w:rPr>
        <w:tab/>
      </w:r>
      <w:r w:rsidR="00990FDE">
        <w:rPr>
          <w:szCs w:val="24"/>
          <w:lang w:val="fr-FR"/>
        </w:rPr>
        <w:t>Éducation et formation à l’intention des professionnels de la s</w:t>
      </w:r>
      <w:r w:rsidR="009173C1">
        <w:rPr>
          <w:szCs w:val="24"/>
          <w:lang w:val="fr-FR"/>
        </w:rPr>
        <w:t>anté qui travaillent auprès de f</w:t>
      </w:r>
      <w:r w:rsidR="00990FDE">
        <w:rPr>
          <w:szCs w:val="24"/>
          <w:lang w:val="fr-FR"/>
        </w:rPr>
        <w:t>emmes concernées par la mutilation génitale féminine</w:t>
      </w:r>
      <w:r w:rsidR="00572260">
        <w:rPr>
          <w:szCs w:val="24"/>
          <w:lang w:val="fr-FR"/>
        </w:rPr>
        <w:t>;</w:t>
      </w:r>
    </w:p>
    <w:p w:rsidR="00990FDE" w:rsidRPr="0014766A" w:rsidRDefault="00E3226E" w:rsidP="005D7B68">
      <w:pPr>
        <w:tabs>
          <w:tab w:val="left" w:pos="567"/>
          <w:tab w:val="left" w:pos="1134"/>
          <w:tab w:val="left" w:pos="1701"/>
          <w:tab w:val="left" w:pos="2268"/>
          <w:tab w:val="left" w:pos="2835"/>
        </w:tabs>
        <w:rPr>
          <w:szCs w:val="24"/>
          <w:lang w:val="fr-FR"/>
        </w:rPr>
      </w:pPr>
      <w:r>
        <w:rPr>
          <w:szCs w:val="24"/>
          <w:lang w:val="fr-FR"/>
        </w:rPr>
        <w:tab/>
      </w:r>
      <w:r w:rsidR="00990FDE">
        <w:rPr>
          <w:szCs w:val="24"/>
          <w:lang w:val="fr-FR"/>
        </w:rPr>
        <w:t>b)</w:t>
      </w:r>
      <w:r w:rsidR="00990FDE">
        <w:rPr>
          <w:szCs w:val="24"/>
          <w:lang w:val="fr-FR"/>
        </w:rPr>
        <w:tab/>
        <w:t>Développement communautaire pour les communautés anciennes et nouvellement arrivées de pays qui pratiquent la mutilation génitale féminine</w:t>
      </w:r>
      <w:r w:rsidR="00572260">
        <w:rPr>
          <w:szCs w:val="24"/>
          <w:lang w:val="fr-FR"/>
        </w:rPr>
        <w:t>;</w:t>
      </w:r>
    </w:p>
    <w:p w:rsidR="00990FDE" w:rsidRPr="0014766A" w:rsidRDefault="00E3226E" w:rsidP="005D7B68">
      <w:pPr>
        <w:tabs>
          <w:tab w:val="left" w:pos="567"/>
          <w:tab w:val="left" w:pos="1134"/>
          <w:tab w:val="left" w:pos="1200"/>
          <w:tab w:val="left" w:pos="1701"/>
          <w:tab w:val="left" w:pos="2268"/>
          <w:tab w:val="left" w:pos="2835"/>
        </w:tabs>
        <w:rPr>
          <w:szCs w:val="24"/>
          <w:lang w:val="fr-FR"/>
        </w:rPr>
      </w:pPr>
      <w:r>
        <w:rPr>
          <w:sz w:val="20"/>
          <w:lang w:val="fr-FR"/>
        </w:rPr>
        <w:tab/>
      </w:r>
      <w:r w:rsidR="00990FDE">
        <w:rPr>
          <w:szCs w:val="24"/>
          <w:lang w:val="fr-FR"/>
        </w:rPr>
        <w:t>c)</w:t>
      </w:r>
      <w:r w:rsidR="00990FDE">
        <w:rPr>
          <w:szCs w:val="24"/>
          <w:lang w:val="fr-FR"/>
        </w:rPr>
        <w:tab/>
        <w:t>Élaboration et distribution de documents d’appui à l’éducation à la fois des professionnels de la santé et des communautés.</w:t>
      </w:r>
    </w:p>
    <w:p w:rsidR="00990FDE" w:rsidRDefault="00990FDE" w:rsidP="005D7B68">
      <w:pPr>
        <w:tabs>
          <w:tab w:val="left" w:pos="567"/>
          <w:tab w:val="left" w:pos="1134"/>
          <w:tab w:val="left" w:pos="1701"/>
          <w:tab w:val="left" w:pos="2268"/>
          <w:tab w:val="left" w:pos="2835"/>
        </w:tabs>
        <w:rPr>
          <w:b/>
          <w:bCs/>
          <w:lang w:val="fr-FR"/>
        </w:rPr>
      </w:pPr>
      <w:r>
        <w:rPr>
          <w:b/>
          <w:bCs/>
          <w:lang w:val="fr-FR"/>
        </w:rPr>
        <w:t>Victoria</w:t>
      </w:r>
    </w:p>
    <w:p w:rsidR="00990FDE" w:rsidRDefault="00990FDE" w:rsidP="005D7B68">
      <w:pPr>
        <w:tabs>
          <w:tab w:val="left" w:pos="567"/>
          <w:tab w:val="left" w:pos="1134"/>
          <w:tab w:val="left" w:pos="1701"/>
          <w:tab w:val="left" w:pos="2268"/>
          <w:tab w:val="left" w:pos="2835"/>
        </w:tabs>
        <w:rPr>
          <w:lang w:val="fr-FR"/>
        </w:rPr>
      </w:pPr>
      <w:r>
        <w:rPr>
          <w:lang w:val="fr-FR"/>
        </w:rPr>
        <w:t>92</w:t>
      </w:r>
      <w:r w:rsidR="00F178A5">
        <w:rPr>
          <w:lang w:val="fr-FR"/>
        </w:rPr>
        <w:t>6</w:t>
      </w:r>
      <w:r>
        <w:rPr>
          <w:lang w:val="fr-FR"/>
        </w:rPr>
        <w:t>.</w:t>
      </w:r>
      <w:r>
        <w:rPr>
          <w:lang w:val="fr-FR"/>
        </w:rPr>
        <w:tab/>
        <w:t xml:space="preserve">La mutilation génitale féminine fait partie des sévices mentionnés par le Département des </w:t>
      </w:r>
      <w:r w:rsidR="00972E1C">
        <w:rPr>
          <w:lang w:val="fr-FR"/>
        </w:rPr>
        <w:t>services sociaux</w:t>
      </w:r>
      <w:r>
        <w:rPr>
          <w:lang w:val="fr-FR"/>
        </w:rPr>
        <w:t xml:space="preserve"> dans les notifications relatives à la protection de l’enfance. On a enregistré un très petit nombre de cas jusqu’à présent</w:t>
      </w:r>
      <w:r w:rsidR="008D6B80">
        <w:rPr>
          <w:lang w:val="fr-FR"/>
        </w:rPr>
        <w:t xml:space="preserve">. </w:t>
      </w:r>
      <w:r>
        <w:rPr>
          <w:lang w:val="fr-FR"/>
        </w:rPr>
        <w:t>Ce Département a établi des protocoles avec la police du Victoria pour échanger les informations sur les cas de mutilation génitale féminine.</w:t>
      </w:r>
    </w:p>
    <w:p w:rsidR="000A74F6" w:rsidRDefault="00990FDE" w:rsidP="005D7B68">
      <w:pPr>
        <w:tabs>
          <w:tab w:val="left" w:pos="567"/>
          <w:tab w:val="left" w:pos="1134"/>
          <w:tab w:val="left" w:pos="1701"/>
          <w:tab w:val="left" w:pos="2268"/>
          <w:tab w:val="left" w:pos="2835"/>
        </w:tabs>
        <w:autoSpaceDE w:val="0"/>
        <w:autoSpaceDN w:val="0"/>
        <w:adjustRightInd w:val="0"/>
        <w:rPr>
          <w:lang w:val="fr-FR"/>
        </w:rPr>
      </w:pPr>
      <w:r>
        <w:rPr>
          <w:lang w:val="fr-FR"/>
        </w:rPr>
        <w:t>92</w:t>
      </w:r>
      <w:r w:rsidR="00F771D5">
        <w:rPr>
          <w:lang w:val="fr-FR"/>
        </w:rPr>
        <w:t>7</w:t>
      </w:r>
      <w:r>
        <w:rPr>
          <w:lang w:val="fr-FR"/>
        </w:rPr>
        <w:t>.</w:t>
      </w:r>
      <w:r>
        <w:rPr>
          <w:lang w:val="fr-FR"/>
        </w:rPr>
        <w:tab/>
        <w:t>Selon la police du Victoria, bien que la mutilation génitale féminine soit une question d’actualité, il est difficile de connaître le nombre de poursuites</w:t>
      </w:r>
      <w:r w:rsidR="000A74F6">
        <w:rPr>
          <w:lang w:val="fr-FR"/>
        </w:rPr>
        <w:t xml:space="preserve"> auxquelles elle a donné lieu</w:t>
      </w:r>
      <w:r w:rsidR="008D6B80">
        <w:rPr>
          <w:lang w:val="fr-FR"/>
        </w:rPr>
        <w:t xml:space="preserve">. </w:t>
      </w:r>
      <w:r w:rsidR="00E3226E">
        <w:rPr>
          <w:lang w:val="fr-FR"/>
        </w:rPr>
        <w:t>Elle </w:t>
      </w:r>
      <w:r w:rsidR="000A74F6">
        <w:rPr>
          <w:lang w:val="fr-FR"/>
        </w:rPr>
        <w:t>n’est pas érigée en infraction en tant que telle, et ceux qui s’en rendent coupa</w:t>
      </w:r>
      <w:r w:rsidR="000B3841">
        <w:rPr>
          <w:lang w:val="fr-FR"/>
        </w:rPr>
        <w:t>bles peuvent être inculpés d’</w:t>
      </w:r>
      <w:r w:rsidR="000A74F6">
        <w:rPr>
          <w:lang w:val="fr-FR"/>
        </w:rPr>
        <w:t>un ensemble d’autres infractions connexes.</w:t>
      </w:r>
    </w:p>
    <w:p w:rsidR="000A74F6" w:rsidRDefault="000A74F6" w:rsidP="005D7B68">
      <w:pPr>
        <w:tabs>
          <w:tab w:val="left" w:pos="567"/>
          <w:tab w:val="left" w:pos="1134"/>
          <w:tab w:val="left" w:pos="1701"/>
          <w:tab w:val="left" w:pos="2268"/>
          <w:tab w:val="left" w:pos="2835"/>
        </w:tabs>
        <w:autoSpaceDE w:val="0"/>
        <w:autoSpaceDN w:val="0"/>
        <w:adjustRightInd w:val="0"/>
        <w:rPr>
          <w:b/>
          <w:bCs/>
          <w:lang w:val="fr-FR"/>
        </w:rPr>
      </w:pPr>
      <w:r>
        <w:rPr>
          <w:b/>
          <w:bCs/>
          <w:lang w:val="fr-FR"/>
        </w:rPr>
        <w:t>Queensland</w:t>
      </w:r>
    </w:p>
    <w:p w:rsidR="000A74F6" w:rsidRPr="000A74F6" w:rsidRDefault="000A74F6" w:rsidP="005D7B68">
      <w:pPr>
        <w:tabs>
          <w:tab w:val="left" w:pos="567"/>
          <w:tab w:val="left" w:pos="1134"/>
          <w:tab w:val="left" w:pos="1701"/>
          <w:tab w:val="left" w:pos="2268"/>
          <w:tab w:val="left" w:pos="2835"/>
        </w:tabs>
        <w:autoSpaceDE w:val="0"/>
        <w:autoSpaceDN w:val="0"/>
        <w:adjustRightInd w:val="0"/>
        <w:rPr>
          <w:lang w:val="fr-FR"/>
        </w:rPr>
      </w:pPr>
      <w:r>
        <w:rPr>
          <w:lang w:val="fr-FR"/>
        </w:rPr>
        <w:t>92</w:t>
      </w:r>
      <w:r w:rsidR="00F771D5">
        <w:rPr>
          <w:lang w:val="fr-FR"/>
        </w:rPr>
        <w:t>8</w:t>
      </w:r>
      <w:r>
        <w:rPr>
          <w:lang w:val="fr-FR"/>
        </w:rPr>
        <w:t>.</w:t>
      </w:r>
      <w:r>
        <w:rPr>
          <w:lang w:val="fr-FR"/>
        </w:rPr>
        <w:tab/>
        <w:t>La mutilation génitale féminine est constitutive d’une infraction en vertu du Code pénal du Queensland</w:t>
      </w:r>
      <w:r w:rsidR="008D6B80">
        <w:rPr>
          <w:lang w:val="fr-FR"/>
        </w:rPr>
        <w:t xml:space="preserve">. </w:t>
      </w:r>
      <w:r>
        <w:rPr>
          <w:lang w:val="fr-FR"/>
        </w:rPr>
        <w:t xml:space="preserve">Au cours de ces trois dernières années, le </w:t>
      </w:r>
      <w:r>
        <w:rPr>
          <w:i/>
          <w:iCs/>
          <w:lang w:val="fr-FR"/>
        </w:rPr>
        <w:t>Child Safety and Sexual Crime Group</w:t>
      </w:r>
      <w:r>
        <w:rPr>
          <w:lang w:val="fr-FR"/>
        </w:rPr>
        <w:t xml:space="preserve"> </w:t>
      </w:r>
      <w:r w:rsidR="0005615E">
        <w:rPr>
          <w:lang w:val="fr-FR"/>
        </w:rPr>
        <w:t xml:space="preserve">(groupe d’enquête sur la sécurité des enfants et les délits sexuels) </w:t>
      </w:r>
      <w:r>
        <w:rPr>
          <w:lang w:val="fr-FR"/>
        </w:rPr>
        <w:t>n’a instruit qu’une seule plainte à ce sujet et l’enquête n’a débouché sur aucune inculpation.</w:t>
      </w:r>
    </w:p>
    <w:p w:rsidR="000A74F6" w:rsidRDefault="008E1139" w:rsidP="005D7B68">
      <w:pPr>
        <w:tabs>
          <w:tab w:val="left" w:pos="567"/>
          <w:tab w:val="left" w:pos="1134"/>
          <w:tab w:val="left" w:pos="1701"/>
          <w:tab w:val="left" w:pos="2268"/>
          <w:tab w:val="left" w:pos="2835"/>
        </w:tabs>
        <w:autoSpaceDE w:val="0"/>
        <w:autoSpaceDN w:val="0"/>
        <w:adjustRightInd w:val="0"/>
        <w:rPr>
          <w:b/>
          <w:bCs/>
          <w:lang w:val="fr-FR"/>
        </w:rPr>
      </w:pPr>
      <w:r>
        <w:rPr>
          <w:b/>
          <w:bCs/>
          <w:lang w:val="fr-FR"/>
        </w:rPr>
        <w:t>Australie occidentale</w:t>
      </w:r>
    </w:p>
    <w:p w:rsidR="000A74F6" w:rsidRDefault="000A74F6" w:rsidP="005D7B68">
      <w:pPr>
        <w:tabs>
          <w:tab w:val="left" w:pos="567"/>
          <w:tab w:val="left" w:pos="1134"/>
          <w:tab w:val="left" w:pos="1701"/>
          <w:tab w:val="left" w:pos="2268"/>
          <w:tab w:val="left" w:pos="2835"/>
        </w:tabs>
        <w:autoSpaceDE w:val="0"/>
        <w:autoSpaceDN w:val="0"/>
        <w:adjustRightInd w:val="0"/>
        <w:rPr>
          <w:lang w:val="fr-FR"/>
        </w:rPr>
      </w:pPr>
      <w:r>
        <w:rPr>
          <w:lang w:val="fr-FR"/>
        </w:rPr>
        <w:t>9</w:t>
      </w:r>
      <w:r w:rsidR="00F771D5">
        <w:rPr>
          <w:lang w:val="fr-FR"/>
        </w:rPr>
        <w:t>29</w:t>
      </w:r>
      <w:r>
        <w:rPr>
          <w:lang w:val="fr-FR"/>
        </w:rPr>
        <w:t>.</w:t>
      </w:r>
      <w:r>
        <w:rPr>
          <w:lang w:val="fr-FR"/>
        </w:rPr>
        <w:tab/>
        <w:t>Aucun cas de mutilation génitale féminine n’a été signalé</w:t>
      </w:r>
      <w:r w:rsidR="00845B4B">
        <w:rPr>
          <w:lang w:val="fr-FR"/>
        </w:rPr>
        <w:t xml:space="preserve"> ni n’a donné lieu à des poursuites depuis l’entrée en vigueur de la législation y afférente </w:t>
      </w:r>
      <w:r w:rsidR="007330E2">
        <w:rPr>
          <w:lang w:val="fr-FR"/>
        </w:rPr>
        <w:t>(art.</w:t>
      </w:r>
      <w:r w:rsidR="00845B4B">
        <w:rPr>
          <w:lang w:val="fr-FR"/>
        </w:rPr>
        <w:t xml:space="preserve"> 306 du Code pénal) est entrée en vigueur en 2004. </w:t>
      </w:r>
    </w:p>
    <w:p w:rsidR="008F39BD" w:rsidRDefault="008E1139" w:rsidP="005D7B68">
      <w:pPr>
        <w:tabs>
          <w:tab w:val="left" w:pos="567"/>
          <w:tab w:val="left" w:pos="1134"/>
          <w:tab w:val="left" w:pos="1701"/>
          <w:tab w:val="left" w:pos="2268"/>
          <w:tab w:val="left" w:pos="2835"/>
        </w:tabs>
        <w:autoSpaceDE w:val="0"/>
        <w:autoSpaceDN w:val="0"/>
        <w:adjustRightInd w:val="0"/>
        <w:rPr>
          <w:rFonts w:ascii="TimesNewRoman" w:hAnsi="TimesNewRoman" w:cs="TimesNewRoman"/>
          <w:b/>
          <w:bCs/>
          <w:szCs w:val="24"/>
          <w:lang w:val="fr-FR" w:eastAsia="fr-FR"/>
        </w:rPr>
      </w:pPr>
      <w:r>
        <w:rPr>
          <w:rFonts w:ascii="TimesNewRoman" w:hAnsi="TimesNewRoman" w:cs="TimesNewRoman"/>
          <w:b/>
          <w:bCs/>
          <w:szCs w:val="24"/>
          <w:lang w:val="fr-FR" w:eastAsia="fr-FR"/>
        </w:rPr>
        <w:t>Australie méridionale</w:t>
      </w:r>
    </w:p>
    <w:p w:rsidR="008F39BD" w:rsidRDefault="008F39BD"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0</w:t>
      </w:r>
      <w:r>
        <w:rPr>
          <w:rFonts w:ascii="TimesNewRoman" w:hAnsi="TimesNewRoman" w:cs="TimesNewRoman"/>
          <w:szCs w:val="24"/>
          <w:lang w:val="fr-FR" w:eastAsia="fr-FR"/>
        </w:rPr>
        <w:t>.</w:t>
      </w:r>
      <w:r>
        <w:rPr>
          <w:rFonts w:ascii="TimesNewRoman" w:hAnsi="TimesNewRoman" w:cs="TimesNewRoman"/>
          <w:szCs w:val="24"/>
          <w:lang w:val="fr-FR" w:eastAsia="fr-FR"/>
        </w:rPr>
        <w:tab/>
        <w:t>Le Gouvernement d’</w:t>
      </w:r>
      <w:r w:rsidR="008E1139">
        <w:rPr>
          <w:rFonts w:ascii="TimesNewRoman" w:hAnsi="TimesNewRoman" w:cs="TimesNewRoman"/>
          <w:szCs w:val="24"/>
          <w:lang w:val="fr-FR" w:eastAsia="fr-FR"/>
        </w:rPr>
        <w:t>Australie méridionale</w:t>
      </w:r>
      <w:r>
        <w:rPr>
          <w:rFonts w:ascii="TimesNewRoman" w:hAnsi="TimesNewRoman" w:cs="TimesNewRoman"/>
          <w:szCs w:val="24"/>
          <w:lang w:val="fr-FR" w:eastAsia="fr-FR"/>
        </w:rPr>
        <w:t xml:space="preserve"> est résolument en faveur de l’interdiction de </w:t>
      </w:r>
      <w:r w:rsidR="00AD1F3B">
        <w:rPr>
          <w:rFonts w:ascii="TimesNewRoman" w:hAnsi="TimesNewRoman" w:cs="TimesNewRoman"/>
          <w:szCs w:val="24"/>
          <w:lang w:val="fr-FR" w:eastAsia="fr-FR"/>
        </w:rPr>
        <w:t>la muti</w:t>
      </w:r>
      <w:r w:rsidR="00AC5650">
        <w:rPr>
          <w:rFonts w:ascii="TimesNewRoman" w:hAnsi="TimesNewRoman" w:cs="TimesNewRoman"/>
          <w:szCs w:val="24"/>
          <w:lang w:val="fr-FR" w:eastAsia="fr-FR"/>
        </w:rPr>
        <w:t xml:space="preserve">lation génitale féminine, qui, </w:t>
      </w:r>
      <w:r w:rsidR="00AD1F3B">
        <w:rPr>
          <w:rFonts w:ascii="TimesNewRoman" w:hAnsi="TimesNewRoman" w:cs="TimesNewRoman"/>
          <w:szCs w:val="24"/>
          <w:lang w:val="fr-FR" w:eastAsia="fr-FR"/>
        </w:rPr>
        <w:t>d</w:t>
      </w:r>
      <w:r>
        <w:rPr>
          <w:rFonts w:ascii="TimesNewRoman" w:hAnsi="TimesNewRoman" w:cs="TimesNewRoman"/>
          <w:szCs w:val="24"/>
          <w:lang w:val="fr-FR" w:eastAsia="fr-FR"/>
        </w:rPr>
        <w:t>epuis 1995</w:t>
      </w:r>
      <w:r>
        <w:rPr>
          <w:rStyle w:val="FootnoteReference"/>
          <w:rFonts w:ascii="TimesNewRoman" w:hAnsi="TimesNewRoman" w:cs="TimesNewRoman"/>
          <w:szCs w:val="24"/>
          <w:lang w:val="fr-FR" w:eastAsia="fr-FR"/>
        </w:rPr>
        <w:footnoteReference w:id="29"/>
      </w:r>
      <w:r w:rsidR="00601A39">
        <w:rPr>
          <w:rFonts w:ascii="TimesNewRoman" w:hAnsi="TimesNewRoman" w:cs="TimesNewRoman"/>
          <w:szCs w:val="24"/>
          <w:lang w:val="fr-FR" w:eastAsia="fr-FR"/>
        </w:rPr>
        <w:t xml:space="preserve"> est constitutive d’une infraction pénale</w:t>
      </w:r>
      <w:r w:rsidR="00AD1F3B">
        <w:rPr>
          <w:rFonts w:ascii="TimesNewRoman" w:hAnsi="TimesNewRoman" w:cs="TimesNewRoman"/>
          <w:szCs w:val="24"/>
          <w:lang w:val="fr-FR" w:eastAsia="fr-FR"/>
        </w:rPr>
        <w:t>, ce qui est destiné à faire</w:t>
      </w:r>
      <w:r w:rsidR="00601A39">
        <w:rPr>
          <w:rFonts w:ascii="TimesNewRoman" w:hAnsi="TimesNewRoman" w:cs="TimesNewRoman"/>
          <w:szCs w:val="24"/>
          <w:lang w:val="fr-FR" w:eastAsia="fr-FR"/>
        </w:rPr>
        <w:t xml:space="preserve"> savoir clairement et sans équivoque qu’elle ne relèvera jamais de l’intérêt général et qu’elle n’est</w:t>
      </w:r>
      <w:r w:rsidR="00DA72D7">
        <w:rPr>
          <w:rFonts w:ascii="TimesNewRoman" w:hAnsi="TimesNewRoman" w:cs="TimesNewRoman"/>
          <w:szCs w:val="24"/>
          <w:lang w:val="fr-FR" w:eastAsia="fr-FR"/>
        </w:rPr>
        <w:t xml:space="preserve"> pas</w:t>
      </w:r>
      <w:r w:rsidR="00601A39">
        <w:rPr>
          <w:rFonts w:ascii="TimesNewRoman" w:hAnsi="TimesNewRoman" w:cs="TimesNewRoman"/>
          <w:szCs w:val="24"/>
          <w:lang w:val="fr-FR" w:eastAsia="fr-FR"/>
        </w:rPr>
        <w:t xml:space="preserve"> justifiée médicalement.</w:t>
      </w:r>
    </w:p>
    <w:p w:rsidR="0079192A" w:rsidRDefault="0079192A"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1</w:t>
      </w:r>
      <w:r>
        <w:rPr>
          <w:rFonts w:ascii="TimesNewRoman" w:hAnsi="TimesNewRoman" w:cs="TimesNewRoman"/>
          <w:szCs w:val="24"/>
          <w:lang w:val="fr-FR" w:eastAsia="fr-FR"/>
        </w:rPr>
        <w:t>.</w:t>
      </w:r>
      <w:r>
        <w:rPr>
          <w:rFonts w:ascii="TimesNewRoman" w:hAnsi="TimesNewRoman" w:cs="TimesNewRoman"/>
          <w:szCs w:val="24"/>
          <w:lang w:val="fr-FR" w:eastAsia="fr-FR"/>
        </w:rPr>
        <w:tab/>
      </w:r>
      <w:r w:rsidR="00DA72D7">
        <w:rPr>
          <w:rFonts w:ascii="TimesNewRoman" w:hAnsi="TimesNewRoman" w:cs="TimesNewRoman"/>
          <w:szCs w:val="24"/>
          <w:lang w:val="fr-FR" w:eastAsia="fr-FR"/>
        </w:rPr>
        <w:t>La loi de codification du droit pénal de 1935</w:t>
      </w:r>
      <w:r w:rsidR="00DA72D7">
        <w:rPr>
          <w:rStyle w:val="FootnoteReference"/>
          <w:rFonts w:ascii="TimesNewRoman" w:hAnsi="TimesNewRoman" w:cs="TimesNewRoman"/>
          <w:szCs w:val="24"/>
          <w:lang w:val="fr-FR" w:eastAsia="fr-FR"/>
        </w:rPr>
        <w:footnoteReference w:id="30"/>
      </w:r>
      <w:r w:rsidR="00DA72D7">
        <w:rPr>
          <w:rFonts w:ascii="TimesNewRoman" w:hAnsi="TimesNewRoman" w:cs="TimesNewRoman"/>
          <w:szCs w:val="24"/>
          <w:lang w:val="fr-FR" w:eastAsia="fr-FR"/>
        </w:rPr>
        <w:t xml:space="preserve"> mentionne deux infractions pénales relatives à la mutilation génitale féminine</w:t>
      </w:r>
      <w:r w:rsidR="008D6B80">
        <w:rPr>
          <w:rFonts w:ascii="TimesNewRoman" w:hAnsi="TimesNewRoman" w:cs="TimesNewRoman"/>
          <w:szCs w:val="24"/>
          <w:lang w:val="fr-FR" w:eastAsia="fr-FR"/>
        </w:rPr>
        <w:t xml:space="preserve">. </w:t>
      </w:r>
      <w:r w:rsidR="00DA72D7">
        <w:rPr>
          <w:rFonts w:ascii="TimesNewRoman" w:hAnsi="TimesNewRoman" w:cs="TimesNewRoman"/>
          <w:szCs w:val="24"/>
          <w:lang w:val="fr-FR" w:eastAsia="fr-FR"/>
        </w:rPr>
        <w:t>La première vise expressément ceux qui exécutent ces opérations et indique clairement que le consentement de la victime, ou de se</w:t>
      </w:r>
      <w:r w:rsidR="006117D3">
        <w:rPr>
          <w:rFonts w:ascii="TimesNewRoman" w:hAnsi="TimesNewRoman" w:cs="TimesNewRoman"/>
          <w:szCs w:val="24"/>
          <w:lang w:val="fr-FR" w:eastAsia="fr-FR"/>
        </w:rPr>
        <w:t xml:space="preserve">s parents ou tuteurs </w:t>
      </w:r>
      <w:r w:rsidR="00DA72D7" w:rsidRPr="00F1549C">
        <w:rPr>
          <w:rFonts w:ascii="TimesNewRoman" w:hAnsi="TimesNewRoman" w:cs="TimesNewRoman"/>
          <w:szCs w:val="24"/>
          <w:lang w:val="fr-FR" w:eastAsia="fr-FR"/>
        </w:rPr>
        <w:t>n</w:t>
      </w:r>
      <w:r w:rsidR="00AC5650">
        <w:rPr>
          <w:rFonts w:ascii="TimesNewRoman" w:hAnsi="TimesNewRoman" w:cs="TimesNewRoman"/>
          <w:szCs w:val="24"/>
          <w:lang w:val="fr-FR" w:eastAsia="fr-FR"/>
        </w:rPr>
        <w:t>e peut pas être invoqué comme</w:t>
      </w:r>
      <w:r w:rsidR="004B7AEC" w:rsidRPr="00F1549C">
        <w:rPr>
          <w:rFonts w:ascii="TimesNewRoman" w:hAnsi="TimesNewRoman" w:cs="TimesNewRoman"/>
          <w:szCs w:val="24"/>
          <w:lang w:val="fr-FR" w:eastAsia="fr-FR"/>
        </w:rPr>
        <w:t xml:space="preserve"> argument de défense</w:t>
      </w:r>
      <w:r w:rsidR="008D6B80">
        <w:rPr>
          <w:rFonts w:ascii="TimesNewRoman" w:hAnsi="TimesNewRoman" w:cs="TimesNewRoman"/>
          <w:szCs w:val="24"/>
          <w:lang w:val="fr-FR" w:eastAsia="fr-FR"/>
        </w:rPr>
        <w:t xml:space="preserve">. </w:t>
      </w:r>
      <w:r w:rsidR="006117D3">
        <w:rPr>
          <w:rFonts w:ascii="TimesNewRoman" w:hAnsi="TimesNewRoman" w:cs="TimesNewRoman"/>
          <w:szCs w:val="24"/>
          <w:lang w:val="fr-FR" w:eastAsia="fr-FR"/>
        </w:rPr>
        <w:t>La deuxième infraction vise à prévenir le transfert d’enfants à l’étranger vers des lieux où cette opération peut être exécutée plus librement</w:t>
      </w:r>
      <w:r w:rsidR="008D6B80">
        <w:rPr>
          <w:rFonts w:ascii="TimesNewRoman" w:hAnsi="TimesNewRoman" w:cs="TimesNewRoman"/>
          <w:szCs w:val="24"/>
          <w:lang w:val="fr-FR" w:eastAsia="fr-FR"/>
        </w:rPr>
        <w:t xml:space="preserve">. </w:t>
      </w:r>
      <w:r w:rsidR="006117D3">
        <w:rPr>
          <w:rFonts w:ascii="TimesNewRoman" w:hAnsi="TimesNewRoman" w:cs="TimesNewRoman"/>
          <w:szCs w:val="24"/>
          <w:lang w:val="fr-FR" w:eastAsia="fr-FR"/>
        </w:rPr>
        <w:t>Elle comporte une disposition visant à renverser la charge de la preuve, concernant l’intention de soum</w:t>
      </w:r>
      <w:r w:rsidR="007C0BAD">
        <w:rPr>
          <w:rFonts w:ascii="TimesNewRoman" w:hAnsi="TimesNewRoman" w:cs="TimesNewRoman"/>
          <w:szCs w:val="24"/>
          <w:lang w:val="fr-FR" w:eastAsia="fr-FR"/>
        </w:rPr>
        <w:t>ettre l’enfant à cette mutilation</w:t>
      </w:r>
      <w:r w:rsidR="006117D3">
        <w:rPr>
          <w:rFonts w:ascii="TimesNewRoman" w:hAnsi="TimesNewRoman" w:cs="TimesNewRoman"/>
          <w:szCs w:val="24"/>
          <w:lang w:val="fr-FR" w:eastAsia="fr-FR"/>
        </w:rPr>
        <w:t>, mais cette disposition n’est applicable que si l’enfant a été emmené hors de l’État et que</w:t>
      </w:r>
      <w:r w:rsidR="007C0BAD">
        <w:rPr>
          <w:rFonts w:ascii="TimesNewRoman" w:hAnsi="TimesNewRoman" w:cs="TimesNewRoman"/>
          <w:szCs w:val="24"/>
          <w:lang w:val="fr-FR" w:eastAsia="fr-FR"/>
        </w:rPr>
        <w:t> l’opération a été réalisée.</w:t>
      </w:r>
    </w:p>
    <w:p w:rsidR="00E468B7" w:rsidRDefault="007C0BAD"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2</w:t>
      </w:r>
      <w:r>
        <w:rPr>
          <w:rFonts w:ascii="TimesNewRoman" w:hAnsi="TimesNewRoman" w:cs="TimesNewRoman"/>
          <w:szCs w:val="24"/>
          <w:lang w:val="fr-FR" w:eastAsia="fr-FR"/>
        </w:rPr>
        <w:t>.</w:t>
      </w:r>
      <w:r>
        <w:rPr>
          <w:rFonts w:ascii="TimesNewRoman" w:hAnsi="TimesNewRoman" w:cs="TimesNewRoman"/>
          <w:szCs w:val="24"/>
          <w:lang w:val="fr-FR" w:eastAsia="fr-FR"/>
        </w:rPr>
        <w:tab/>
      </w:r>
      <w:r w:rsidR="00BA4511">
        <w:rPr>
          <w:rFonts w:ascii="TimesNewRoman" w:hAnsi="TimesNewRoman" w:cs="TimesNewRoman"/>
          <w:szCs w:val="24"/>
          <w:lang w:val="fr-FR" w:eastAsia="fr-FR"/>
        </w:rPr>
        <w:t>Certaines dispositions de</w:t>
      </w:r>
      <w:r w:rsidR="00292D46">
        <w:rPr>
          <w:rFonts w:ascii="TimesNewRoman" w:hAnsi="TimesNewRoman" w:cs="TimesNewRoman"/>
          <w:szCs w:val="24"/>
          <w:lang w:val="fr-FR" w:eastAsia="fr-FR"/>
        </w:rPr>
        <w:t xml:space="preserve"> la loi de 1993 sur la protection des enfants</w:t>
      </w:r>
      <w:r w:rsidR="00292D46">
        <w:rPr>
          <w:rStyle w:val="FootnoteReference"/>
          <w:rFonts w:ascii="TimesNewRoman" w:hAnsi="TimesNewRoman" w:cs="TimesNewRoman"/>
          <w:szCs w:val="24"/>
          <w:lang w:val="fr-FR" w:eastAsia="fr-FR"/>
        </w:rPr>
        <w:footnoteReference w:id="31"/>
      </w:r>
      <w:r w:rsidR="00292D46">
        <w:rPr>
          <w:rFonts w:ascii="TimesNewRoman" w:hAnsi="TimesNewRoman" w:cs="TimesNewRoman"/>
          <w:szCs w:val="24"/>
          <w:lang w:val="fr-FR" w:eastAsia="fr-FR"/>
        </w:rPr>
        <w:t xml:space="preserve"> visent à prévenir la mutilation génitale féminine plutôt qu’à sanctionner les personnes après l’opération, alors qu’il est trop tard pour l’enfant</w:t>
      </w:r>
      <w:r w:rsidR="008D6B80">
        <w:rPr>
          <w:rFonts w:ascii="TimesNewRoman" w:hAnsi="TimesNewRoman" w:cs="TimesNewRoman"/>
          <w:szCs w:val="24"/>
          <w:lang w:val="fr-FR" w:eastAsia="fr-FR"/>
        </w:rPr>
        <w:t xml:space="preserve">. </w:t>
      </w:r>
      <w:r w:rsidR="00292D46">
        <w:rPr>
          <w:rFonts w:ascii="TimesNewRoman" w:hAnsi="TimesNewRoman" w:cs="TimesNewRoman"/>
          <w:szCs w:val="24"/>
          <w:lang w:val="fr-FR" w:eastAsia="fr-FR"/>
        </w:rPr>
        <w:t>Si le tribunal pour mineurs a acquis la conviction qu’il y de bonnes raisons pour soupçonner qu’une fillette court le risque de subir une mutilation génitale, il peut rendre des ordonnances de protection en faveur de cette enfant</w:t>
      </w:r>
      <w:r w:rsidR="00292D46">
        <w:rPr>
          <w:rStyle w:val="FootnoteReference"/>
          <w:rFonts w:ascii="TimesNewRoman" w:hAnsi="TimesNewRoman" w:cs="TimesNewRoman"/>
          <w:szCs w:val="24"/>
          <w:lang w:val="fr-FR" w:eastAsia="fr-FR"/>
        </w:rPr>
        <w:footnoteReference w:id="32"/>
      </w:r>
      <w:r w:rsidR="00E3226E">
        <w:rPr>
          <w:rFonts w:ascii="TimesNewRoman" w:hAnsi="TimesNewRoman" w:cs="TimesNewRoman"/>
          <w:szCs w:val="24"/>
          <w:lang w:val="fr-FR" w:eastAsia="fr-FR"/>
        </w:rPr>
        <w:t>.</w:t>
      </w:r>
      <w:r w:rsidR="00572260">
        <w:rPr>
          <w:rFonts w:ascii="TimesNewRoman" w:hAnsi="TimesNewRoman" w:cs="TimesNewRoman"/>
          <w:szCs w:val="24"/>
          <w:lang w:val="fr-FR" w:eastAsia="fr-FR"/>
        </w:rPr>
        <w:t xml:space="preserve"> </w:t>
      </w:r>
      <w:r w:rsidR="00E468B7">
        <w:rPr>
          <w:rFonts w:ascii="TimesNewRoman" w:hAnsi="TimesNewRoman" w:cs="TimesNewRoman"/>
          <w:szCs w:val="24"/>
          <w:lang w:val="fr-FR" w:eastAsia="fr-FR"/>
        </w:rPr>
        <w:t>Dans les procès relatifs à la mutilation génitale féminine, le tribunal est tenu de considérer que</w:t>
      </w:r>
      <w:r w:rsidR="00292D46">
        <w:rPr>
          <w:rFonts w:ascii="TimesNewRoman" w:hAnsi="TimesNewRoman" w:cs="TimesNewRoman"/>
          <w:szCs w:val="24"/>
          <w:lang w:val="fr-FR" w:eastAsia="fr-FR"/>
        </w:rPr>
        <w:t xml:space="preserve"> </w:t>
      </w:r>
      <w:r w:rsidR="00E468B7">
        <w:rPr>
          <w:rFonts w:ascii="TimesNewRoman" w:hAnsi="TimesNewRoman" w:cs="TimesNewRoman"/>
          <w:szCs w:val="24"/>
          <w:lang w:val="fr-FR" w:eastAsia="fr-FR"/>
        </w:rPr>
        <w:t>l’intérêt supérieur de l’enfant consiste à résister aux pressions raciale, ethnique, religieuse, culturelle ou familiale qui pourraient conduire à cette mutilation.</w:t>
      </w:r>
    </w:p>
    <w:p w:rsidR="00E468B7" w:rsidRDefault="00E468B7" w:rsidP="005D7B68">
      <w:pPr>
        <w:tabs>
          <w:tab w:val="left" w:pos="567"/>
          <w:tab w:val="left" w:pos="1134"/>
          <w:tab w:val="left" w:pos="1701"/>
          <w:tab w:val="left" w:pos="2268"/>
          <w:tab w:val="left" w:pos="2835"/>
        </w:tabs>
        <w:autoSpaceDE w:val="0"/>
        <w:autoSpaceDN w:val="0"/>
        <w:adjustRightInd w:val="0"/>
        <w:rPr>
          <w:rFonts w:ascii="TimesNewRoman" w:hAnsi="TimesNewRoman" w:cs="TimesNewRoman"/>
          <w:b/>
          <w:bCs/>
          <w:szCs w:val="24"/>
          <w:lang w:val="fr-FR" w:eastAsia="fr-FR"/>
        </w:rPr>
      </w:pPr>
      <w:r>
        <w:rPr>
          <w:rFonts w:ascii="TimesNewRoman" w:hAnsi="TimesNewRoman" w:cs="TimesNewRoman"/>
          <w:b/>
          <w:bCs/>
          <w:szCs w:val="24"/>
          <w:lang w:val="fr-FR" w:eastAsia="fr-FR"/>
        </w:rPr>
        <w:t>Tasmanie</w:t>
      </w:r>
    </w:p>
    <w:p w:rsidR="00E05D49" w:rsidRDefault="00E468B7"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3</w:t>
      </w:r>
      <w:r>
        <w:rPr>
          <w:rFonts w:ascii="TimesNewRoman" w:hAnsi="TimesNewRoman" w:cs="TimesNewRoman"/>
          <w:szCs w:val="24"/>
          <w:lang w:val="fr-FR" w:eastAsia="fr-FR"/>
        </w:rPr>
        <w:t>.</w:t>
      </w:r>
      <w:r>
        <w:rPr>
          <w:rFonts w:ascii="TimesNewRoman" w:hAnsi="TimesNewRoman" w:cs="TimesNewRoman"/>
          <w:szCs w:val="24"/>
          <w:lang w:val="fr-FR" w:eastAsia="fr-FR"/>
        </w:rPr>
        <w:tab/>
      </w:r>
      <w:r w:rsidR="00E05D49">
        <w:rPr>
          <w:rFonts w:ascii="TimesNewRoman" w:hAnsi="TimesNewRoman" w:cs="TimesNewRoman"/>
          <w:szCs w:val="24"/>
          <w:lang w:val="fr-FR" w:eastAsia="fr-FR"/>
        </w:rPr>
        <w:t>Aucun cas de mutilation génitale féminine n’a donné lieu à des poursuites en Tasmanie.</w:t>
      </w:r>
    </w:p>
    <w:p w:rsidR="00E05D49" w:rsidRDefault="00E05D49" w:rsidP="005D7B68">
      <w:pPr>
        <w:tabs>
          <w:tab w:val="left" w:pos="567"/>
          <w:tab w:val="left" w:pos="1134"/>
          <w:tab w:val="left" w:pos="1701"/>
          <w:tab w:val="left" w:pos="2268"/>
          <w:tab w:val="left" w:pos="2835"/>
        </w:tabs>
        <w:autoSpaceDE w:val="0"/>
        <w:autoSpaceDN w:val="0"/>
        <w:adjustRightInd w:val="0"/>
        <w:rPr>
          <w:rFonts w:ascii="TimesNewRoman" w:hAnsi="TimesNewRoman" w:cs="TimesNewRoman"/>
          <w:b/>
          <w:bCs/>
          <w:szCs w:val="24"/>
          <w:lang w:val="fr-FR" w:eastAsia="fr-FR"/>
        </w:rPr>
      </w:pPr>
      <w:r>
        <w:rPr>
          <w:rFonts w:ascii="TimesNewRoman" w:hAnsi="TimesNewRoman" w:cs="TimesNewRoman"/>
          <w:b/>
          <w:bCs/>
          <w:szCs w:val="24"/>
          <w:lang w:val="fr-FR" w:eastAsia="fr-FR"/>
        </w:rPr>
        <w:t>Territoire de la capitale australienne</w:t>
      </w:r>
    </w:p>
    <w:p w:rsidR="00E05D49" w:rsidRDefault="00E05D49"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4</w:t>
      </w:r>
      <w:r>
        <w:rPr>
          <w:rFonts w:ascii="TimesNewRoman" w:hAnsi="TimesNewRoman" w:cs="TimesNewRoman"/>
          <w:szCs w:val="24"/>
          <w:lang w:val="fr-FR" w:eastAsia="fr-FR"/>
        </w:rPr>
        <w:t>.</w:t>
      </w:r>
      <w:r>
        <w:rPr>
          <w:rFonts w:ascii="TimesNewRoman" w:hAnsi="TimesNewRoman" w:cs="TimesNewRoman"/>
          <w:szCs w:val="24"/>
          <w:lang w:val="fr-FR" w:eastAsia="fr-FR"/>
        </w:rPr>
        <w:tab/>
        <w:t>L’article 74 de la loi de 1900 sur les infractions pénales (Territoire de la capitale</w:t>
      </w:r>
      <w:r w:rsidR="00AD1F3B">
        <w:rPr>
          <w:rFonts w:ascii="TimesNewRoman" w:hAnsi="TimesNewRoman" w:cs="TimesNewRoman"/>
          <w:szCs w:val="24"/>
          <w:lang w:val="fr-FR" w:eastAsia="fr-FR"/>
        </w:rPr>
        <w:t xml:space="preserve"> fédérale</w:t>
      </w:r>
      <w:r>
        <w:rPr>
          <w:rFonts w:ascii="TimesNewRoman" w:hAnsi="TimesNewRoman" w:cs="TimesNewRoman"/>
          <w:szCs w:val="24"/>
          <w:lang w:val="fr-FR" w:eastAsia="fr-FR"/>
        </w:rPr>
        <w:t>) porte interdiction de la mutilation génitale féminine, et l’article 75 interdit le transfert des enfants hors du Territoire aux fins de cette opération. Aucun cas de mutilation génitale féminine n’a été signalé ni n’y a fait l’objet de poursuites.</w:t>
      </w:r>
    </w:p>
    <w:p w:rsidR="00E05D49" w:rsidRDefault="00E05D49" w:rsidP="005D7B68">
      <w:pPr>
        <w:tabs>
          <w:tab w:val="left" w:pos="567"/>
          <w:tab w:val="left" w:pos="1134"/>
          <w:tab w:val="left" w:pos="1701"/>
          <w:tab w:val="left" w:pos="2268"/>
          <w:tab w:val="left" w:pos="2835"/>
        </w:tabs>
        <w:autoSpaceDE w:val="0"/>
        <w:autoSpaceDN w:val="0"/>
        <w:adjustRightInd w:val="0"/>
        <w:rPr>
          <w:rFonts w:ascii="TimesNewRoman" w:hAnsi="TimesNewRoman" w:cs="TimesNewRoman"/>
          <w:b/>
          <w:bCs/>
          <w:szCs w:val="24"/>
          <w:lang w:val="fr-FR" w:eastAsia="fr-FR"/>
        </w:rPr>
      </w:pPr>
      <w:r>
        <w:rPr>
          <w:rFonts w:ascii="TimesNewRoman" w:hAnsi="TimesNewRoman" w:cs="TimesNewRoman"/>
          <w:b/>
          <w:bCs/>
          <w:szCs w:val="24"/>
          <w:lang w:val="fr-FR" w:eastAsia="fr-FR"/>
        </w:rPr>
        <w:t>Territoire du Nord</w:t>
      </w:r>
    </w:p>
    <w:p w:rsidR="00E05D49" w:rsidRDefault="00E05D49"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5</w:t>
      </w:r>
      <w:r>
        <w:rPr>
          <w:rFonts w:ascii="TimesNewRoman" w:hAnsi="TimesNewRoman" w:cs="TimesNewRoman"/>
          <w:szCs w:val="24"/>
          <w:lang w:val="fr-FR" w:eastAsia="fr-FR"/>
        </w:rPr>
        <w:t>.</w:t>
      </w:r>
      <w:r>
        <w:rPr>
          <w:rFonts w:ascii="TimesNewRoman" w:hAnsi="TimesNewRoman" w:cs="TimesNewRoman"/>
          <w:szCs w:val="24"/>
          <w:lang w:val="fr-FR" w:eastAsia="fr-FR"/>
        </w:rPr>
        <w:tab/>
        <w:t>La mutilation génitale féminine est interdite en vertu de l’article 186 A à D du Code pénal du Territoire du Nord</w:t>
      </w:r>
      <w:r w:rsidR="008D6B80">
        <w:rPr>
          <w:rFonts w:ascii="TimesNewRoman" w:hAnsi="TimesNewRoman" w:cs="TimesNewRoman"/>
          <w:szCs w:val="24"/>
          <w:lang w:val="fr-FR" w:eastAsia="fr-FR"/>
        </w:rPr>
        <w:t xml:space="preserve">. </w:t>
      </w:r>
      <w:r>
        <w:rPr>
          <w:rFonts w:ascii="TimesNewRoman" w:hAnsi="TimesNewRoman" w:cs="TimesNewRoman"/>
          <w:szCs w:val="24"/>
          <w:lang w:val="fr-FR" w:eastAsia="fr-FR"/>
        </w:rPr>
        <w:t>Aucun cas de ce genre n’y a été signalé.</w:t>
      </w:r>
    </w:p>
    <w:p w:rsidR="007C0BAD" w:rsidRDefault="007626B6" w:rsidP="005D7B68">
      <w:pPr>
        <w:tabs>
          <w:tab w:val="left" w:pos="567"/>
          <w:tab w:val="left" w:pos="1134"/>
          <w:tab w:val="left" w:pos="1701"/>
          <w:tab w:val="left" w:pos="2268"/>
          <w:tab w:val="left" w:pos="2835"/>
        </w:tabs>
        <w:autoSpaceDE w:val="0"/>
        <w:autoSpaceDN w:val="0"/>
        <w:adjustRightInd w:val="0"/>
        <w:jc w:val="center"/>
        <w:rPr>
          <w:rFonts w:ascii="TimesNewRoman" w:hAnsi="TimesNewRoman" w:cs="TimesNewRoman"/>
          <w:b/>
          <w:bCs/>
          <w:szCs w:val="24"/>
          <w:lang w:val="fr-FR" w:eastAsia="fr-FR"/>
        </w:rPr>
      </w:pPr>
      <w:r>
        <w:rPr>
          <w:rFonts w:ascii="TimesNewRoman" w:hAnsi="TimesNewRoman" w:cs="TimesNewRoman"/>
          <w:b/>
          <w:bCs/>
          <w:szCs w:val="24"/>
          <w:lang w:val="fr-FR" w:eastAsia="fr-FR"/>
        </w:rPr>
        <w:t>AUTRES QUESTIONS</w:t>
      </w:r>
    </w:p>
    <w:p w:rsidR="007626B6" w:rsidRDefault="007626B6" w:rsidP="005D7B68">
      <w:pPr>
        <w:tabs>
          <w:tab w:val="left" w:pos="567"/>
          <w:tab w:val="left" w:pos="1134"/>
          <w:tab w:val="left" w:pos="1701"/>
          <w:tab w:val="left" w:pos="2268"/>
          <w:tab w:val="left" w:pos="2835"/>
        </w:tabs>
        <w:autoSpaceDE w:val="0"/>
        <w:autoSpaceDN w:val="0"/>
        <w:adjustRightInd w:val="0"/>
        <w:rPr>
          <w:rFonts w:ascii="TimesNewRoman" w:hAnsi="TimesNewRoman" w:cs="TimesNewRoman"/>
          <w:b/>
          <w:bCs/>
          <w:szCs w:val="24"/>
          <w:lang w:val="fr-FR" w:eastAsia="fr-FR"/>
        </w:rPr>
      </w:pPr>
      <w:r>
        <w:rPr>
          <w:rFonts w:ascii="TimesNewRoman" w:hAnsi="TimesNewRoman" w:cs="TimesNewRoman"/>
          <w:b/>
          <w:bCs/>
          <w:szCs w:val="24"/>
          <w:lang w:val="fr-FR" w:eastAsia="fr-FR"/>
        </w:rPr>
        <w:t xml:space="preserve">Question </w:t>
      </w:r>
      <w:r w:rsidR="00F9441F">
        <w:rPr>
          <w:rFonts w:ascii="TimesNewRoman" w:hAnsi="TimesNewRoman" w:cs="TimesNewRoman"/>
          <w:b/>
          <w:bCs/>
          <w:szCs w:val="24"/>
          <w:lang w:val="fr-FR" w:eastAsia="fr-FR"/>
        </w:rPr>
        <w:t>3</w:t>
      </w:r>
      <w:r>
        <w:rPr>
          <w:rFonts w:ascii="TimesNewRoman" w:hAnsi="TimesNewRoman" w:cs="TimesNewRoman"/>
          <w:b/>
          <w:bCs/>
          <w:szCs w:val="24"/>
          <w:lang w:val="fr-FR" w:eastAsia="fr-FR"/>
        </w:rPr>
        <w:t>9</w:t>
      </w:r>
    </w:p>
    <w:p w:rsidR="007626B6" w:rsidRPr="007626B6" w:rsidRDefault="007626B6" w:rsidP="005D7B68">
      <w:pPr>
        <w:tabs>
          <w:tab w:val="left" w:pos="567"/>
          <w:tab w:val="left" w:pos="1134"/>
          <w:tab w:val="left" w:pos="1701"/>
          <w:tab w:val="left" w:pos="2268"/>
          <w:tab w:val="left" w:pos="2835"/>
        </w:tabs>
        <w:rPr>
          <w:b/>
          <w:bCs/>
          <w:lang w:val="fr-FR"/>
        </w:rPr>
      </w:pPr>
      <w:r>
        <w:rPr>
          <w:rFonts w:ascii="TimesNewRoman" w:hAnsi="TimesNewRoman" w:cs="TimesNewRoman"/>
          <w:b/>
          <w:bCs/>
          <w:szCs w:val="24"/>
          <w:lang w:val="fr-FR" w:eastAsia="fr-FR"/>
        </w:rPr>
        <w:tab/>
      </w:r>
      <w:r w:rsidRPr="007626B6">
        <w:rPr>
          <w:b/>
          <w:bCs/>
          <w:lang w:val="fr-FR"/>
        </w:rPr>
        <w:t>Indiquer si l’Australie s’est dotée d’une législation visant à prévenir ou interdire la production, le commerce, l’exportation et l’utilisation de matériel spécialement conçu pour infliger des tortures ou d’autres peines ou traitements cruels, inhumains ou dégradants. Dans l’affirmative, donner des renseignements sur sa teneur et sa mise en œuvre. Dans la négative, indiquer s’il est envisagé de légiférer dans ce domaine.</w:t>
      </w:r>
    </w:p>
    <w:p w:rsidR="004D2D12" w:rsidRDefault="00F771D5"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936.</w:t>
      </w:r>
      <w:r>
        <w:rPr>
          <w:rFonts w:ascii="TimesNewRoman" w:hAnsi="TimesNewRoman" w:cs="TimesNewRoman"/>
          <w:szCs w:val="24"/>
          <w:lang w:val="fr-FR" w:eastAsia="fr-FR"/>
        </w:rPr>
        <w:tab/>
      </w:r>
      <w:r w:rsidR="007626B6">
        <w:rPr>
          <w:rFonts w:ascii="TimesNewRoman" w:hAnsi="TimesNewRoman" w:cs="TimesNewRoman"/>
          <w:szCs w:val="24"/>
          <w:lang w:val="fr-FR" w:eastAsia="fr-FR"/>
        </w:rPr>
        <w:t>Le Gouvernement australien n’est au courant d’aucune loi concernant cette question et il n’existe aucune proposition visant à mettre en place des contrôles relatifs à la production, au commerce, à l’exportation et à l’utilisation de matériel spécialement conçu pour infliger des tortures ou d’autres peines ou traitements cruels, inhumains ou dégradants</w:t>
      </w:r>
      <w:r w:rsidR="008D6B80">
        <w:rPr>
          <w:rFonts w:ascii="TimesNewRoman" w:hAnsi="TimesNewRoman" w:cs="TimesNewRoman"/>
          <w:szCs w:val="24"/>
          <w:lang w:val="fr-FR" w:eastAsia="fr-FR"/>
        </w:rPr>
        <w:t xml:space="preserve">. </w:t>
      </w:r>
      <w:r w:rsidR="007626B6">
        <w:rPr>
          <w:rFonts w:ascii="TimesNewRoman" w:hAnsi="TimesNewRoman" w:cs="TimesNewRoman"/>
          <w:szCs w:val="24"/>
          <w:lang w:val="fr-FR" w:eastAsia="fr-FR"/>
        </w:rPr>
        <w:t xml:space="preserve">Comme la torture est un crime contre l’humanité </w:t>
      </w:r>
      <w:r w:rsidR="007330E2">
        <w:rPr>
          <w:rFonts w:ascii="TimesNewRoman" w:hAnsi="TimesNewRoman" w:cs="TimesNewRoman"/>
          <w:szCs w:val="24"/>
          <w:lang w:val="fr-FR" w:eastAsia="fr-FR"/>
        </w:rPr>
        <w:t>(art.</w:t>
      </w:r>
      <w:r w:rsidR="007626B6">
        <w:rPr>
          <w:rFonts w:ascii="TimesNewRoman" w:hAnsi="TimesNewRoman" w:cs="TimesNewRoman"/>
          <w:szCs w:val="24"/>
          <w:lang w:val="fr-FR" w:eastAsia="fr-FR"/>
        </w:rPr>
        <w:t xml:space="preserve"> 268.13 </w:t>
      </w:r>
      <w:r w:rsidR="00AD1F3B">
        <w:rPr>
          <w:rFonts w:ascii="TimesNewRoman" w:hAnsi="TimesNewRoman" w:cs="TimesNewRoman"/>
          <w:szCs w:val="24"/>
          <w:lang w:val="fr-FR" w:eastAsia="fr-FR"/>
        </w:rPr>
        <w:t>du Code pénal),</w:t>
      </w:r>
      <w:r w:rsidR="007626B6">
        <w:rPr>
          <w:rFonts w:ascii="TimesNewRoman" w:hAnsi="TimesNewRoman" w:cs="TimesNewRoman"/>
          <w:szCs w:val="24"/>
          <w:lang w:val="fr-FR" w:eastAsia="fr-FR"/>
        </w:rPr>
        <w:t xml:space="preserve"> tout mat</w:t>
      </w:r>
      <w:r w:rsidR="00AD1F3B">
        <w:rPr>
          <w:rFonts w:ascii="TimesNewRoman" w:hAnsi="TimesNewRoman" w:cs="TimesNewRoman"/>
          <w:szCs w:val="24"/>
          <w:lang w:val="fr-FR" w:eastAsia="fr-FR"/>
        </w:rPr>
        <w:t>ériel utilisé</w:t>
      </w:r>
      <w:r w:rsidR="004D2D12">
        <w:rPr>
          <w:rFonts w:ascii="TimesNewRoman" w:hAnsi="TimesNewRoman" w:cs="TimesNewRoman"/>
          <w:szCs w:val="24"/>
          <w:lang w:val="fr-FR" w:eastAsia="fr-FR"/>
        </w:rPr>
        <w:t xml:space="preserve"> </w:t>
      </w:r>
      <w:r w:rsidR="00AD1F3B">
        <w:rPr>
          <w:rFonts w:ascii="TimesNewRoman" w:hAnsi="TimesNewRoman" w:cs="TimesNewRoman"/>
          <w:szCs w:val="24"/>
          <w:lang w:val="fr-FR" w:eastAsia="fr-FR"/>
        </w:rPr>
        <w:t xml:space="preserve">à cette fin </w:t>
      </w:r>
      <w:r w:rsidR="004D2D12">
        <w:rPr>
          <w:rFonts w:ascii="TimesNewRoman" w:hAnsi="TimesNewRoman" w:cs="TimesNewRoman"/>
          <w:szCs w:val="24"/>
          <w:lang w:val="fr-FR" w:eastAsia="fr-FR"/>
        </w:rPr>
        <w:t>serait probablement confisqué en tant qu’instrument servant à commettre un grave délit pénal.</w:t>
      </w:r>
    </w:p>
    <w:p w:rsidR="00725ACB" w:rsidRDefault="004D2D12" w:rsidP="005D7B68">
      <w:pPr>
        <w:tabs>
          <w:tab w:val="left" w:pos="567"/>
          <w:tab w:val="left" w:pos="1134"/>
          <w:tab w:val="left" w:pos="1701"/>
          <w:tab w:val="left" w:pos="2268"/>
          <w:tab w:val="left" w:pos="2835"/>
        </w:tabs>
        <w:autoSpaceDE w:val="0"/>
        <w:autoSpaceDN w:val="0"/>
        <w:adjustRightInd w:val="0"/>
        <w:rPr>
          <w:rFonts w:ascii="TimesNewRoman" w:hAnsi="TimesNewRoman" w:cs="TimesNewRoman"/>
          <w:szCs w:val="24"/>
          <w:lang w:val="fr-FR" w:eastAsia="fr-FR"/>
        </w:rPr>
      </w:pPr>
      <w:r>
        <w:rPr>
          <w:rFonts w:ascii="TimesNewRoman" w:hAnsi="TimesNewRoman" w:cs="TimesNewRoman"/>
          <w:szCs w:val="24"/>
          <w:lang w:val="fr-FR" w:eastAsia="fr-FR"/>
        </w:rPr>
        <w:t>93</w:t>
      </w:r>
      <w:r w:rsidR="00F771D5">
        <w:rPr>
          <w:rFonts w:ascii="TimesNewRoman" w:hAnsi="TimesNewRoman" w:cs="TimesNewRoman"/>
          <w:szCs w:val="24"/>
          <w:lang w:val="fr-FR" w:eastAsia="fr-FR"/>
        </w:rPr>
        <w:t>7</w:t>
      </w:r>
      <w:r>
        <w:rPr>
          <w:rFonts w:ascii="TimesNewRoman" w:hAnsi="TimesNewRoman" w:cs="TimesNewRoman"/>
          <w:szCs w:val="24"/>
          <w:lang w:val="fr-FR" w:eastAsia="fr-FR"/>
        </w:rPr>
        <w:t>.</w:t>
      </w:r>
      <w:r>
        <w:rPr>
          <w:rFonts w:ascii="TimesNewRoman" w:hAnsi="TimesNewRoman" w:cs="TimesNewRoman"/>
          <w:szCs w:val="24"/>
          <w:lang w:val="fr-FR" w:eastAsia="fr-FR"/>
        </w:rPr>
        <w:tab/>
        <w:t>Les règles de 1956 sur les douanes (importations interdi</w:t>
      </w:r>
      <w:r w:rsidR="00E3226E">
        <w:rPr>
          <w:rFonts w:ascii="TimesNewRoman" w:hAnsi="TimesNewRoman" w:cs="TimesNewRoman"/>
          <w:szCs w:val="24"/>
          <w:lang w:val="fr-FR" w:eastAsia="fr-FR"/>
        </w:rPr>
        <w:t>tes) régissent l’importation de </w:t>
      </w:r>
      <w:r>
        <w:rPr>
          <w:rFonts w:ascii="TimesNewRoman" w:hAnsi="TimesNewRoman" w:cs="TimesNewRoman"/>
          <w:szCs w:val="24"/>
          <w:lang w:val="fr-FR" w:eastAsia="fr-FR"/>
        </w:rPr>
        <w:t>cer</w:t>
      </w:r>
      <w:r w:rsidR="00811563">
        <w:rPr>
          <w:rFonts w:ascii="TimesNewRoman" w:hAnsi="TimesNewRoman" w:cs="TimesNewRoman"/>
          <w:szCs w:val="24"/>
          <w:lang w:val="fr-FR" w:eastAsia="fr-FR"/>
        </w:rPr>
        <w:t>tains biens</w:t>
      </w:r>
      <w:r>
        <w:rPr>
          <w:rFonts w:ascii="TimesNewRoman" w:hAnsi="TimesNewRoman" w:cs="TimesNewRoman"/>
          <w:szCs w:val="24"/>
          <w:lang w:val="fr-FR" w:eastAsia="fr-FR"/>
        </w:rPr>
        <w:t xml:space="preserve"> en fonction de leur nature plutôt que de leur utilisation potentielle</w:t>
      </w:r>
      <w:r w:rsidR="008D6B80">
        <w:rPr>
          <w:rFonts w:ascii="TimesNewRoman" w:hAnsi="TimesNewRoman" w:cs="TimesNewRoman"/>
          <w:szCs w:val="24"/>
          <w:lang w:val="fr-FR" w:eastAsia="fr-FR"/>
        </w:rPr>
        <w:t xml:space="preserve">. </w:t>
      </w:r>
      <w:r w:rsidR="00E3226E">
        <w:rPr>
          <w:rFonts w:ascii="TimesNewRoman" w:hAnsi="TimesNewRoman" w:cs="TimesNewRoman"/>
          <w:szCs w:val="24"/>
          <w:lang w:val="fr-FR" w:eastAsia="fr-FR"/>
        </w:rPr>
        <w:t>La quasi</w:t>
      </w:r>
      <w:r w:rsidR="00E3226E">
        <w:rPr>
          <w:rFonts w:ascii="TimesNewRoman" w:hAnsi="TimesNewRoman" w:cs="TimesNewRoman"/>
          <w:szCs w:val="24"/>
          <w:lang w:val="fr-FR" w:eastAsia="fr-FR"/>
        </w:rPr>
        <w:noBreakHyphen/>
      </w:r>
      <w:r>
        <w:rPr>
          <w:rFonts w:ascii="TimesNewRoman" w:hAnsi="TimesNewRoman" w:cs="TimesNewRoman"/>
          <w:szCs w:val="24"/>
          <w:lang w:val="fr-FR" w:eastAsia="fr-FR"/>
        </w:rPr>
        <w:t>totalité des articles ordinaires</w:t>
      </w:r>
      <w:r w:rsidR="00811563">
        <w:rPr>
          <w:rFonts w:ascii="TimesNewRoman" w:hAnsi="TimesNewRoman" w:cs="TimesNewRoman"/>
          <w:szCs w:val="24"/>
          <w:lang w:val="fr-FR" w:eastAsia="fr-FR"/>
        </w:rPr>
        <w:t xml:space="preserve"> peu</w:t>
      </w:r>
      <w:r>
        <w:rPr>
          <w:rFonts w:ascii="TimesNewRoman" w:hAnsi="TimesNewRoman" w:cs="TimesNewRoman"/>
          <w:szCs w:val="24"/>
          <w:lang w:val="fr-FR" w:eastAsia="fr-FR"/>
        </w:rPr>
        <w:t xml:space="preserve">t </w:t>
      </w:r>
      <w:r w:rsidR="00811563">
        <w:rPr>
          <w:rFonts w:ascii="TimesNewRoman" w:hAnsi="TimesNewRoman" w:cs="TimesNewRoman"/>
          <w:szCs w:val="24"/>
          <w:lang w:val="fr-FR" w:eastAsia="fr-FR"/>
        </w:rPr>
        <w:t>être utilisée</w:t>
      </w:r>
      <w:r>
        <w:rPr>
          <w:rFonts w:ascii="TimesNewRoman" w:hAnsi="TimesNewRoman" w:cs="TimesNewRoman"/>
          <w:szCs w:val="24"/>
          <w:lang w:val="fr-FR" w:eastAsia="fr-FR"/>
        </w:rPr>
        <w:t xml:space="preserve"> pour infliger des tortures et il peut être difficile de repérer un matériel spécialement conçu à cet effet</w:t>
      </w:r>
      <w:r w:rsidR="008D6B80">
        <w:rPr>
          <w:rFonts w:ascii="TimesNewRoman" w:hAnsi="TimesNewRoman" w:cs="TimesNewRoman"/>
          <w:szCs w:val="24"/>
          <w:lang w:val="fr-FR" w:eastAsia="fr-FR"/>
        </w:rPr>
        <w:t xml:space="preserve">. </w:t>
      </w:r>
      <w:r>
        <w:rPr>
          <w:rFonts w:ascii="TimesNewRoman" w:hAnsi="TimesNewRoman" w:cs="TimesNewRoman"/>
          <w:szCs w:val="24"/>
          <w:lang w:val="fr-FR" w:eastAsia="fr-FR"/>
        </w:rPr>
        <w:t>L’importation de certaines armes et marchandises stratégiques nécessite une licence délivrée par le Ministre de la justice et des douanes</w:t>
      </w:r>
      <w:r w:rsidR="008D6B80">
        <w:rPr>
          <w:rFonts w:ascii="TimesNewRoman" w:hAnsi="TimesNewRoman" w:cs="TimesNewRoman"/>
          <w:szCs w:val="24"/>
          <w:lang w:val="fr-FR" w:eastAsia="fr-FR"/>
        </w:rPr>
        <w:t xml:space="preserve">. </w:t>
      </w:r>
      <w:r w:rsidR="00725ACB">
        <w:rPr>
          <w:rFonts w:ascii="TimesNewRoman" w:hAnsi="TimesNewRoman" w:cs="TimesNewRoman"/>
          <w:szCs w:val="24"/>
          <w:lang w:val="fr-FR" w:eastAsia="fr-FR"/>
        </w:rPr>
        <w:t>Par exemple, l’annexe 2 de ces règles mentionne les objets suivants</w:t>
      </w:r>
      <w:r w:rsidR="00572260">
        <w:rPr>
          <w:rFonts w:ascii="TimesNewRoman" w:hAnsi="TimesNewRoman" w:cs="TimesNewRoman"/>
          <w:szCs w:val="24"/>
          <w:lang w:val="fr-FR" w:eastAsia="fr-FR"/>
        </w:rPr>
        <w:t>:</w:t>
      </w:r>
    </w:p>
    <w:p w:rsidR="00725ACB" w:rsidRDefault="00E3226E" w:rsidP="005D7B68">
      <w:pPr>
        <w:tabs>
          <w:tab w:val="left" w:pos="567"/>
          <w:tab w:val="left" w:pos="1134"/>
          <w:tab w:val="left" w:pos="1701"/>
          <w:tab w:val="left" w:pos="2268"/>
          <w:tab w:val="left" w:pos="2835"/>
        </w:tabs>
        <w:autoSpaceDE w:val="0"/>
        <w:autoSpaceDN w:val="0"/>
        <w:adjustRightInd w:val="0"/>
        <w:ind w:left="567" w:hanging="567"/>
        <w:rPr>
          <w:rFonts w:ascii="TimesNewRoman" w:hAnsi="TimesNewRoman" w:cs="TimesNewRoman"/>
          <w:i/>
          <w:iCs/>
          <w:szCs w:val="24"/>
          <w:lang w:val="fr-FR" w:eastAsia="fr-FR"/>
        </w:rPr>
      </w:pPr>
      <w:r>
        <w:rPr>
          <w:rFonts w:ascii="TimesNewRoman" w:hAnsi="TimesNewRoman" w:cs="TimesNewRoman"/>
          <w:i/>
          <w:iCs/>
          <w:szCs w:val="24"/>
          <w:lang w:val="fr-FR" w:eastAsia="fr-FR"/>
        </w:rPr>
        <w:tab/>
      </w:r>
      <w:r w:rsidR="00725ACB" w:rsidRPr="00725ACB">
        <w:rPr>
          <w:rFonts w:ascii="TimesNewRoman" w:hAnsi="TimesNewRoman" w:cs="TimesNewRoman"/>
          <w:i/>
          <w:iCs/>
          <w:szCs w:val="24"/>
          <w:lang w:val="fr-FR" w:eastAsia="fr-FR"/>
        </w:rPr>
        <w:t>Article 9</w:t>
      </w:r>
      <w:r w:rsidR="00572260">
        <w:rPr>
          <w:rFonts w:ascii="TimesNewRoman" w:hAnsi="TimesNewRoman" w:cs="TimesNewRoman"/>
          <w:i/>
          <w:iCs/>
          <w:szCs w:val="24"/>
          <w:lang w:val="fr-FR" w:eastAsia="fr-FR"/>
        </w:rPr>
        <w:t>:</w:t>
      </w:r>
      <w:r w:rsidR="00725ACB" w:rsidRPr="00725ACB">
        <w:rPr>
          <w:rFonts w:ascii="TimesNewRoman" w:hAnsi="TimesNewRoman" w:cs="TimesNewRoman"/>
          <w:i/>
          <w:iCs/>
          <w:szCs w:val="24"/>
          <w:lang w:val="fr-FR" w:eastAsia="fr-FR"/>
        </w:rPr>
        <w:t xml:space="preserve"> </w:t>
      </w:r>
      <w:r w:rsidR="00725ACB">
        <w:rPr>
          <w:rFonts w:ascii="TimesNewRoman" w:hAnsi="TimesNewRoman" w:cs="TimesNewRoman"/>
          <w:i/>
          <w:iCs/>
          <w:szCs w:val="24"/>
          <w:lang w:val="fr-FR" w:eastAsia="fr-FR"/>
        </w:rPr>
        <w:t>Poignards ou objets similaires, pouvant être u</w:t>
      </w:r>
      <w:r w:rsidR="00F9441F">
        <w:rPr>
          <w:rFonts w:ascii="TimesNewRoman" w:hAnsi="TimesNewRoman" w:cs="TimesNewRoman"/>
          <w:i/>
          <w:iCs/>
          <w:szCs w:val="24"/>
          <w:lang w:val="fr-FR" w:eastAsia="fr-FR"/>
        </w:rPr>
        <w:t>tilisés comme armes blanches (à </w:t>
      </w:r>
      <w:r w:rsidR="00725ACB">
        <w:rPr>
          <w:rFonts w:ascii="TimesNewRoman" w:hAnsi="TimesNewRoman" w:cs="TimesNewRoman"/>
          <w:i/>
          <w:iCs/>
          <w:szCs w:val="24"/>
          <w:lang w:val="fr-FR" w:eastAsia="fr-FR"/>
        </w:rPr>
        <w:t>l’exception des épées ou baïonnettes)</w:t>
      </w:r>
      <w:r w:rsidR="00572260">
        <w:rPr>
          <w:rFonts w:ascii="TimesNewRoman" w:hAnsi="TimesNewRoman" w:cs="TimesNewRoman"/>
          <w:i/>
          <w:iCs/>
          <w:szCs w:val="24"/>
          <w:lang w:val="fr-FR" w:eastAsia="fr-FR"/>
        </w:rPr>
        <w:t>:</w:t>
      </w:r>
      <w:r w:rsidR="00725ACB" w:rsidRPr="00725ACB">
        <w:rPr>
          <w:rFonts w:ascii="TimesNewRoman" w:hAnsi="TimesNewRoman" w:cs="TimesNewRoman"/>
          <w:i/>
          <w:iCs/>
          <w:szCs w:val="24"/>
          <w:lang w:val="fr-FR" w:eastAsia="fr-FR"/>
        </w:rPr>
        <w:t xml:space="preserve"> </w:t>
      </w:r>
    </w:p>
    <w:p w:rsidR="00725ACB" w:rsidRDefault="00725ACB" w:rsidP="005D7B68">
      <w:pPr>
        <w:tabs>
          <w:tab w:val="left" w:pos="567"/>
          <w:tab w:val="left" w:pos="1134"/>
          <w:tab w:val="left" w:pos="1701"/>
          <w:tab w:val="left" w:pos="2268"/>
          <w:tab w:val="left" w:pos="2835"/>
        </w:tabs>
        <w:autoSpaceDE w:val="0"/>
        <w:autoSpaceDN w:val="0"/>
        <w:adjustRightInd w:val="0"/>
        <w:ind w:left="720" w:hanging="720"/>
        <w:rPr>
          <w:rFonts w:ascii="TimesNewRoman" w:hAnsi="TimesNewRoman" w:cs="TimesNewRoman"/>
          <w:i/>
          <w:iCs/>
          <w:szCs w:val="24"/>
          <w:lang w:val="fr-FR" w:eastAsia="fr-FR"/>
        </w:rPr>
      </w:pP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susceptible</w:t>
      </w:r>
      <w:r w:rsidR="00FC5626">
        <w:rPr>
          <w:rFonts w:ascii="TimesNewRoman" w:hAnsi="TimesNewRoman" w:cs="TimesNewRoman"/>
          <w:i/>
          <w:iCs/>
          <w:szCs w:val="24"/>
          <w:lang w:val="fr-FR" w:eastAsia="fr-FR"/>
        </w:rPr>
        <w:t>s</w:t>
      </w:r>
      <w:r w:rsidR="00876C1A">
        <w:rPr>
          <w:rFonts w:ascii="TimesNewRoman" w:hAnsi="TimesNewRoman" w:cs="TimesNewRoman"/>
          <w:i/>
          <w:iCs/>
          <w:szCs w:val="24"/>
          <w:lang w:val="fr-FR" w:eastAsia="fr-FR"/>
        </w:rPr>
        <w:t>, habituellement, d’être dissimulées sur la personne</w:t>
      </w:r>
      <w:r w:rsidR="00572260">
        <w:rPr>
          <w:rFonts w:ascii="TimesNewRoman" w:hAnsi="TimesNewRoman" w:cs="TimesNewRoman"/>
          <w:i/>
          <w:iCs/>
          <w:szCs w:val="24"/>
          <w:lang w:val="fr-FR" w:eastAsia="fr-FR"/>
        </w:rPr>
        <w:t>;</w:t>
      </w:r>
      <w:r w:rsidR="00876C1A">
        <w:rPr>
          <w:rFonts w:ascii="TimesNewRoman" w:hAnsi="TimesNewRoman" w:cs="TimesNewRoman"/>
          <w:i/>
          <w:iCs/>
          <w:szCs w:val="24"/>
          <w:lang w:val="fr-FR" w:eastAsia="fr-FR"/>
        </w:rPr>
        <w:t xml:space="preserve"> et</w:t>
      </w:r>
    </w:p>
    <w:p w:rsidR="00876C1A"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t>a)</w:t>
      </w: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ayant</w:t>
      </w:r>
      <w:r w:rsidR="00572260">
        <w:rPr>
          <w:rFonts w:ascii="TimesNewRoman" w:hAnsi="TimesNewRoman" w:cs="TimesNewRoman"/>
          <w:i/>
          <w:iCs/>
          <w:szCs w:val="24"/>
          <w:lang w:val="fr-FR" w:eastAsia="fr-FR"/>
        </w:rPr>
        <w:t>:</w:t>
      </w:r>
    </w:p>
    <w:p w:rsidR="00876C1A" w:rsidRDefault="00E3226E" w:rsidP="005D7B68">
      <w:pPr>
        <w:tabs>
          <w:tab w:val="left" w:pos="567"/>
          <w:tab w:val="left" w:pos="1134"/>
          <w:tab w:val="left" w:pos="1701"/>
          <w:tab w:val="left" w:pos="2268"/>
          <w:tab w:val="left" w:pos="2835"/>
        </w:tabs>
        <w:autoSpaceDE w:val="0"/>
        <w:autoSpaceDN w:val="0"/>
        <w:adjustRightInd w:val="0"/>
        <w:ind w:left="2268" w:hanging="2268"/>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r>
      <w:r>
        <w:rPr>
          <w:rFonts w:ascii="TimesNewRoman" w:hAnsi="TimesNewRoman" w:cs="TimesNewRoman"/>
          <w:i/>
          <w:iCs/>
          <w:szCs w:val="24"/>
          <w:lang w:val="fr-FR" w:eastAsia="fr-FR"/>
        </w:rPr>
        <w:tab/>
        <w:t>i)</w:t>
      </w: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une lame plate avec des bords tranchants (en dents de scie ou non) sur toute leur longueur</w:t>
      </w:r>
      <w:r w:rsidR="00572260">
        <w:rPr>
          <w:rFonts w:ascii="TimesNewRoman" w:hAnsi="TimesNewRoman" w:cs="TimesNewRoman"/>
          <w:i/>
          <w:iCs/>
          <w:szCs w:val="24"/>
          <w:lang w:val="fr-FR" w:eastAsia="fr-FR"/>
        </w:rPr>
        <w:t>;</w:t>
      </w:r>
      <w:r w:rsidR="00876C1A">
        <w:rPr>
          <w:rFonts w:ascii="TimesNewRoman" w:hAnsi="TimesNewRoman" w:cs="TimesNewRoman"/>
          <w:i/>
          <w:iCs/>
          <w:szCs w:val="24"/>
          <w:lang w:val="fr-FR" w:eastAsia="fr-FR"/>
        </w:rPr>
        <w:t xml:space="preserve"> ou</w:t>
      </w:r>
    </w:p>
    <w:p w:rsidR="00876C1A"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r>
      <w:r>
        <w:rPr>
          <w:rFonts w:ascii="TimesNewRoman" w:hAnsi="TimesNewRoman" w:cs="TimesNewRoman"/>
          <w:i/>
          <w:iCs/>
          <w:szCs w:val="24"/>
          <w:lang w:val="fr-FR" w:eastAsia="fr-FR"/>
        </w:rPr>
        <w:tab/>
        <w:t>ii)</w:t>
      </w: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une lame effilée, de section elliptique ou à trois côtés ou plus</w:t>
      </w:r>
      <w:r w:rsidR="00572260">
        <w:rPr>
          <w:rFonts w:ascii="TimesNewRoman" w:hAnsi="TimesNewRoman" w:cs="TimesNewRoman"/>
          <w:i/>
          <w:iCs/>
          <w:szCs w:val="24"/>
          <w:lang w:val="fr-FR" w:eastAsia="fr-FR"/>
        </w:rPr>
        <w:t>;</w:t>
      </w:r>
      <w:r w:rsidR="00876C1A">
        <w:rPr>
          <w:rFonts w:ascii="TimesNewRoman" w:hAnsi="TimesNewRoman" w:cs="TimesNewRoman"/>
          <w:i/>
          <w:iCs/>
          <w:szCs w:val="24"/>
          <w:lang w:val="fr-FR" w:eastAsia="fr-FR"/>
        </w:rPr>
        <w:t xml:space="preserve"> et</w:t>
      </w:r>
    </w:p>
    <w:p w:rsidR="00876C1A"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t>b)</w:t>
      </w: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quelle qu’en soit la matière</w:t>
      </w:r>
      <w:r w:rsidR="00381C32">
        <w:rPr>
          <w:rFonts w:ascii="TimesNewRoman" w:hAnsi="TimesNewRoman" w:cs="TimesNewRoman"/>
          <w:i/>
          <w:iCs/>
          <w:szCs w:val="24"/>
          <w:lang w:val="fr-FR" w:eastAsia="fr-FR"/>
        </w:rPr>
        <w:t>.</w:t>
      </w:r>
    </w:p>
    <w:p w:rsidR="00876C1A" w:rsidRDefault="00876C1A" w:rsidP="005D7B68">
      <w:pPr>
        <w:tabs>
          <w:tab w:val="left" w:pos="567"/>
          <w:tab w:val="left" w:pos="1134"/>
          <w:tab w:val="left" w:pos="1701"/>
          <w:tab w:val="left" w:pos="2268"/>
          <w:tab w:val="left" w:pos="2835"/>
        </w:tabs>
        <w:autoSpaceDE w:val="0"/>
        <w:autoSpaceDN w:val="0"/>
        <w:adjustRightInd w:val="0"/>
        <w:ind w:left="708"/>
        <w:rPr>
          <w:rFonts w:ascii="TimesNewRoman" w:hAnsi="TimesNewRoman" w:cs="TimesNewRoman"/>
          <w:i/>
          <w:iCs/>
          <w:szCs w:val="24"/>
          <w:lang w:val="fr-FR" w:eastAsia="fr-FR"/>
        </w:rPr>
      </w:pPr>
      <w:r>
        <w:rPr>
          <w:rFonts w:ascii="TimesNewRoman" w:hAnsi="TimesNewRoman" w:cs="TimesNewRoman"/>
          <w:i/>
          <w:iCs/>
          <w:szCs w:val="24"/>
          <w:lang w:val="fr-FR" w:eastAsia="fr-FR"/>
        </w:rPr>
        <w:t>Article 10</w:t>
      </w:r>
      <w:r w:rsidR="00572260">
        <w:rPr>
          <w:rFonts w:ascii="TimesNewRoman" w:hAnsi="TimesNewRoman" w:cs="TimesNewRoman"/>
          <w:i/>
          <w:iCs/>
          <w:szCs w:val="24"/>
          <w:lang w:val="fr-FR" w:eastAsia="fr-FR"/>
        </w:rPr>
        <w:t>:</w:t>
      </w:r>
      <w:r>
        <w:rPr>
          <w:rFonts w:ascii="TimesNewRoman" w:hAnsi="TimesNewRoman" w:cs="TimesNewRoman"/>
          <w:i/>
          <w:iCs/>
          <w:szCs w:val="24"/>
          <w:lang w:val="fr-FR" w:eastAsia="fr-FR"/>
        </w:rPr>
        <w:t xml:space="preserve"> le</w:t>
      </w:r>
      <w:r w:rsidR="00381C32">
        <w:rPr>
          <w:rFonts w:ascii="TimesNewRoman" w:hAnsi="TimesNewRoman" w:cs="TimesNewRoman"/>
          <w:i/>
          <w:iCs/>
          <w:szCs w:val="24"/>
          <w:lang w:val="fr-FR" w:eastAsia="fr-FR"/>
        </w:rPr>
        <w:t>s</w:t>
      </w:r>
      <w:r w:rsidR="00572260">
        <w:rPr>
          <w:rFonts w:ascii="TimesNewRoman" w:hAnsi="TimesNewRoman" w:cs="TimesNewRoman"/>
          <w:i/>
          <w:iCs/>
          <w:szCs w:val="24"/>
          <w:lang w:val="fr-FR" w:eastAsia="fr-FR"/>
        </w:rPr>
        <w:t xml:space="preserve"> </w:t>
      </w:r>
      <w:r>
        <w:rPr>
          <w:rFonts w:ascii="TimesNewRoman" w:hAnsi="TimesNewRoman" w:cs="TimesNewRoman"/>
          <w:i/>
          <w:iCs/>
          <w:szCs w:val="24"/>
          <w:lang w:val="fr-FR" w:eastAsia="fr-FR"/>
        </w:rPr>
        <w:t>colliers pour chiens comprenant</w:t>
      </w:r>
      <w:r w:rsidR="00572260">
        <w:rPr>
          <w:rFonts w:ascii="TimesNewRoman" w:hAnsi="TimesNewRoman" w:cs="TimesNewRoman"/>
          <w:i/>
          <w:iCs/>
          <w:szCs w:val="24"/>
          <w:lang w:val="fr-FR" w:eastAsia="fr-FR"/>
        </w:rPr>
        <w:t>:</w:t>
      </w:r>
    </w:p>
    <w:p w:rsidR="00876C1A"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t>a)</w:t>
      </w:r>
      <w:r>
        <w:rPr>
          <w:rFonts w:ascii="TimesNewRoman" w:hAnsi="TimesNewRoman" w:cs="TimesNewRoman"/>
          <w:i/>
          <w:iCs/>
          <w:szCs w:val="24"/>
          <w:lang w:val="fr-FR" w:eastAsia="fr-FR"/>
        </w:rPr>
        <w:tab/>
      </w:r>
      <w:r w:rsidR="00876C1A">
        <w:rPr>
          <w:rFonts w:ascii="TimesNewRoman" w:hAnsi="TimesNewRoman" w:cs="TimesNewRoman"/>
          <w:i/>
          <w:iCs/>
          <w:szCs w:val="24"/>
          <w:lang w:val="fr-FR" w:eastAsia="fr-FR"/>
        </w:rPr>
        <w:t>un appareil conçu pour provoquer un choc électrique</w:t>
      </w:r>
      <w:r w:rsidR="00572260">
        <w:rPr>
          <w:rFonts w:ascii="TimesNewRoman" w:hAnsi="TimesNewRoman" w:cs="TimesNewRoman"/>
          <w:i/>
          <w:iCs/>
          <w:szCs w:val="24"/>
          <w:lang w:val="fr-FR" w:eastAsia="fr-FR"/>
        </w:rPr>
        <w:t>;</w:t>
      </w:r>
      <w:r w:rsidR="00876C1A">
        <w:rPr>
          <w:rFonts w:ascii="TimesNewRoman" w:hAnsi="TimesNewRoman" w:cs="TimesNewRoman"/>
          <w:i/>
          <w:iCs/>
          <w:szCs w:val="24"/>
          <w:lang w:val="fr-FR" w:eastAsia="fr-FR"/>
        </w:rPr>
        <w:t xml:space="preserve"> ou</w:t>
      </w:r>
    </w:p>
    <w:p w:rsidR="00876C1A"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t>b)</w:t>
      </w:r>
      <w:r>
        <w:rPr>
          <w:rFonts w:ascii="TimesNewRoman" w:hAnsi="TimesNewRoman" w:cs="TimesNewRoman"/>
          <w:i/>
          <w:iCs/>
          <w:szCs w:val="24"/>
          <w:lang w:val="fr-FR" w:eastAsia="fr-FR"/>
        </w:rPr>
        <w:tab/>
      </w:r>
      <w:r w:rsidR="00381C32">
        <w:rPr>
          <w:rFonts w:ascii="TimesNewRoman" w:hAnsi="TimesNewRoman" w:cs="TimesNewRoman"/>
          <w:i/>
          <w:iCs/>
          <w:szCs w:val="24"/>
          <w:lang w:val="fr-FR" w:eastAsia="fr-FR"/>
        </w:rPr>
        <w:t xml:space="preserve">des </w:t>
      </w:r>
      <w:r w:rsidR="006B1665">
        <w:rPr>
          <w:rFonts w:ascii="TimesNewRoman" w:hAnsi="TimesNewRoman" w:cs="TimesNewRoman"/>
          <w:i/>
          <w:iCs/>
          <w:szCs w:val="24"/>
          <w:lang w:val="fr-FR" w:eastAsia="fr-FR"/>
        </w:rPr>
        <w:t>saillies conçues pour trouer ou meurtrir la peau d’un animal</w:t>
      </w:r>
      <w:r w:rsidR="00381C32">
        <w:rPr>
          <w:rFonts w:ascii="TimesNewRoman" w:hAnsi="TimesNewRoman" w:cs="TimesNewRoman"/>
          <w:i/>
          <w:iCs/>
          <w:szCs w:val="24"/>
          <w:lang w:val="fr-FR" w:eastAsia="fr-FR"/>
        </w:rPr>
        <w:t>.</w:t>
      </w:r>
    </w:p>
    <w:p w:rsidR="006B1665" w:rsidRDefault="00E3226E" w:rsidP="005D7B68">
      <w:pPr>
        <w:tabs>
          <w:tab w:val="left" w:pos="567"/>
          <w:tab w:val="left" w:pos="1134"/>
          <w:tab w:val="left" w:pos="1701"/>
          <w:tab w:val="left" w:pos="2268"/>
          <w:tab w:val="left" w:pos="2835"/>
        </w:tabs>
        <w:autoSpaceDE w:val="0"/>
        <w:autoSpaceDN w:val="0"/>
        <w:adjustRightInd w:val="0"/>
        <w:ind w:left="567" w:hanging="567"/>
        <w:rPr>
          <w:rFonts w:ascii="TimesNewRoman" w:hAnsi="TimesNewRoman" w:cs="TimesNewRoman"/>
          <w:i/>
          <w:iCs/>
          <w:szCs w:val="24"/>
          <w:lang w:val="fr-FR" w:eastAsia="fr-FR"/>
        </w:rPr>
      </w:pPr>
      <w:r>
        <w:rPr>
          <w:rFonts w:ascii="TimesNewRoman" w:hAnsi="TimesNewRoman" w:cs="TimesNewRoman"/>
          <w:i/>
          <w:iCs/>
          <w:szCs w:val="24"/>
          <w:lang w:val="fr-FR" w:eastAsia="fr-FR"/>
        </w:rPr>
        <w:tab/>
      </w:r>
      <w:r w:rsidR="006B1665">
        <w:rPr>
          <w:rFonts w:ascii="TimesNewRoman" w:hAnsi="TimesNewRoman" w:cs="TimesNewRoman"/>
          <w:i/>
          <w:iCs/>
          <w:szCs w:val="24"/>
          <w:lang w:val="fr-FR" w:eastAsia="fr-FR"/>
        </w:rPr>
        <w:t>Article 12</w:t>
      </w:r>
      <w:r w:rsidR="00572260">
        <w:rPr>
          <w:rFonts w:ascii="TimesNewRoman" w:hAnsi="TimesNewRoman" w:cs="TimesNewRoman"/>
          <w:i/>
          <w:iCs/>
          <w:szCs w:val="24"/>
          <w:lang w:val="fr-FR" w:eastAsia="fr-FR"/>
        </w:rPr>
        <w:t>:</w:t>
      </w:r>
      <w:r w:rsidR="006B1665">
        <w:rPr>
          <w:rFonts w:ascii="TimesNewRoman" w:hAnsi="TimesNewRoman" w:cs="TimesNewRoman"/>
          <w:i/>
          <w:iCs/>
          <w:szCs w:val="24"/>
          <w:lang w:val="fr-FR" w:eastAsia="fr-FR"/>
        </w:rPr>
        <w:t xml:space="preserve"> Les appareils é</w:t>
      </w:r>
      <w:r w:rsidR="00240EFE">
        <w:rPr>
          <w:rFonts w:ascii="TimesNewRoman" w:hAnsi="TimesNewRoman" w:cs="TimesNewRoman"/>
          <w:i/>
          <w:iCs/>
          <w:szCs w:val="24"/>
          <w:lang w:val="fr-FR" w:eastAsia="fr-FR"/>
        </w:rPr>
        <w:t>lectriques portatifs destinés à</w:t>
      </w:r>
      <w:r w:rsidR="00572260">
        <w:rPr>
          <w:rFonts w:ascii="TimesNewRoman" w:hAnsi="TimesNewRoman" w:cs="TimesNewRoman"/>
          <w:i/>
          <w:iCs/>
          <w:szCs w:val="24"/>
          <w:lang w:val="fr-FR" w:eastAsia="fr-FR"/>
        </w:rPr>
        <w:t xml:space="preserve"> </w:t>
      </w:r>
      <w:r w:rsidR="006B1665">
        <w:rPr>
          <w:rFonts w:ascii="TimesNewRoman" w:hAnsi="TimesNewRoman" w:cs="TimesNewRoman"/>
          <w:i/>
          <w:iCs/>
          <w:szCs w:val="24"/>
          <w:lang w:val="fr-FR" w:eastAsia="fr-FR"/>
        </w:rPr>
        <w:t>provoquer un choc électrique au contact, autres que les aiguillons pour bétail conçu</w:t>
      </w:r>
      <w:r w:rsidR="00381C32">
        <w:rPr>
          <w:rFonts w:ascii="TimesNewRoman" w:hAnsi="TimesNewRoman" w:cs="TimesNewRoman"/>
          <w:i/>
          <w:iCs/>
          <w:szCs w:val="24"/>
          <w:lang w:val="fr-FR" w:eastAsia="fr-FR"/>
        </w:rPr>
        <w:t>s</w:t>
      </w:r>
      <w:r w:rsidR="006B1665">
        <w:rPr>
          <w:rFonts w:ascii="TimesNewRoman" w:hAnsi="TimesNewRoman" w:cs="TimesNewRoman"/>
          <w:i/>
          <w:iCs/>
          <w:szCs w:val="24"/>
          <w:lang w:val="fr-FR" w:eastAsia="fr-FR"/>
        </w:rPr>
        <w:t xml:space="preserve"> exclusivement pour être utilisés avec les animaux.</w:t>
      </w:r>
    </w:p>
    <w:p w:rsidR="006B1665" w:rsidRDefault="006B1665" w:rsidP="005D7B68">
      <w:pPr>
        <w:tabs>
          <w:tab w:val="left" w:pos="567"/>
          <w:tab w:val="left" w:pos="1134"/>
          <w:tab w:val="left" w:pos="1701"/>
          <w:tab w:val="left" w:pos="2268"/>
          <w:tab w:val="left" w:pos="2835"/>
        </w:tabs>
        <w:autoSpaceDE w:val="0"/>
        <w:autoSpaceDN w:val="0"/>
        <w:adjustRightInd w:val="0"/>
        <w:ind w:left="900" w:hanging="192"/>
        <w:rPr>
          <w:rFonts w:ascii="TimesNewRoman" w:hAnsi="TimesNewRoman" w:cs="TimesNewRoman"/>
          <w:i/>
          <w:iCs/>
          <w:szCs w:val="24"/>
          <w:lang w:val="fr-FR" w:eastAsia="fr-FR"/>
        </w:rPr>
      </w:pPr>
      <w:r>
        <w:rPr>
          <w:rFonts w:ascii="TimesNewRoman" w:hAnsi="TimesNewRoman" w:cs="TimesNewRoman"/>
          <w:i/>
          <w:iCs/>
          <w:szCs w:val="24"/>
          <w:lang w:val="fr-FR" w:eastAsia="fr-FR"/>
        </w:rPr>
        <w:t>Article 13</w:t>
      </w:r>
      <w:r w:rsidR="00572260">
        <w:rPr>
          <w:rFonts w:ascii="TimesNewRoman" w:hAnsi="TimesNewRoman" w:cs="TimesNewRoman"/>
          <w:i/>
          <w:iCs/>
          <w:szCs w:val="24"/>
          <w:lang w:val="fr-FR" w:eastAsia="fr-FR"/>
        </w:rPr>
        <w:t>:</w:t>
      </w:r>
      <w:r>
        <w:rPr>
          <w:rFonts w:ascii="TimesNewRoman" w:hAnsi="TimesNewRoman" w:cs="TimesNewRoman"/>
          <w:i/>
          <w:iCs/>
          <w:szCs w:val="24"/>
          <w:lang w:val="fr-FR" w:eastAsia="fr-FR"/>
        </w:rPr>
        <w:t xml:space="preserve"> Les appareils acoustiques antipersonnel conçus</w:t>
      </w:r>
      <w:r w:rsidR="00572260">
        <w:rPr>
          <w:rFonts w:ascii="TimesNewRoman" w:hAnsi="TimesNewRoman" w:cs="TimesNewRoman"/>
          <w:i/>
          <w:iCs/>
          <w:szCs w:val="24"/>
          <w:lang w:val="fr-FR" w:eastAsia="fr-FR"/>
        </w:rPr>
        <w:t>:</w:t>
      </w:r>
    </w:p>
    <w:p w:rsidR="00725ACB" w:rsidRDefault="00E3226E" w:rsidP="005D7B68">
      <w:pPr>
        <w:tabs>
          <w:tab w:val="left" w:pos="567"/>
          <w:tab w:val="left" w:pos="1134"/>
          <w:tab w:val="left" w:pos="1701"/>
          <w:tab w:val="left" w:pos="2268"/>
          <w:tab w:val="left" w:pos="2835"/>
        </w:tabs>
        <w:autoSpaceDE w:val="0"/>
        <w:autoSpaceDN w:val="0"/>
        <w:adjustRightInd w:val="0"/>
        <w:rPr>
          <w:rFonts w:ascii="TimesNewRoman" w:hAnsi="TimesNewRoman" w:cs="TimesNewRoman"/>
          <w:i/>
          <w:iCs/>
          <w:szCs w:val="24"/>
          <w:lang w:val="fr-FR" w:eastAsia="fr-FR"/>
        </w:rPr>
      </w:pPr>
      <w:r>
        <w:rPr>
          <w:rFonts w:ascii="TimesNewRoman" w:hAnsi="TimesNewRoman" w:cs="TimesNewRoman"/>
          <w:i/>
          <w:iCs/>
          <w:szCs w:val="24"/>
          <w:lang w:val="fr-FR" w:eastAsia="fr-FR"/>
        </w:rPr>
        <w:tab/>
      </w:r>
      <w:r>
        <w:rPr>
          <w:rFonts w:ascii="TimesNewRoman" w:hAnsi="TimesNewRoman" w:cs="TimesNewRoman"/>
          <w:i/>
          <w:iCs/>
          <w:szCs w:val="24"/>
          <w:lang w:val="fr-FR" w:eastAsia="fr-FR"/>
        </w:rPr>
        <w:tab/>
      </w:r>
      <w:r w:rsidR="006B1665">
        <w:rPr>
          <w:rFonts w:ascii="TimesNewRoman" w:hAnsi="TimesNewRoman" w:cs="TimesNewRoman"/>
          <w:i/>
          <w:iCs/>
          <w:szCs w:val="24"/>
          <w:lang w:val="fr-FR" w:eastAsia="fr-FR"/>
        </w:rPr>
        <w:t>a)</w:t>
      </w:r>
      <w:r w:rsidR="006B1665">
        <w:rPr>
          <w:rFonts w:ascii="TimesNewRoman" w:hAnsi="TimesNewRoman" w:cs="TimesNewRoman"/>
          <w:i/>
          <w:iCs/>
          <w:szCs w:val="24"/>
          <w:lang w:val="fr-FR" w:eastAsia="fr-FR"/>
        </w:rPr>
        <w:tab/>
        <w:t>pour causer une incapacité ou un handicap permanent à une personne</w:t>
      </w:r>
      <w:r w:rsidR="00572260">
        <w:rPr>
          <w:rFonts w:ascii="TimesNewRoman" w:hAnsi="TimesNewRoman" w:cs="TimesNewRoman"/>
          <w:i/>
          <w:iCs/>
          <w:szCs w:val="24"/>
          <w:lang w:val="fr-FR" w:eastAsia="fr-FR"/>
        </w:rPr>
        <w:t>;</w:t>
      </w:r>
      <w:r w:rsidR="006B1665">
        <w:rPr>
          <w:rFonts w:ascii="TimesNewRoman" w:hAnsi="TimesNewRoman" w:cs="TimesNewRoman"/>
          <w:i/>
          <w:iCs/>
          <w:szCs w:val="24"/>
          <w:lang w:val="fr-FR" w:eastAsia="fr-FR"/>
        </w:rPr>
        <w:t xml:space="preserve"> ou</w:t>
      </w:r>
    </w:p>
    <w:p w:rsidR="007C0BAD" w:rsidRDefault="00725ACB" w:rsidP="005D7B68">
      <w:pPr>
        <w:tabs>
          <w:tab w:val="left" w:pos="567"/>
          <w:tab w:val="left" w:pos="1134"/>
          <w:tab w:val="left" w:pos="1701"/>
          <w:tab w:val="left" w:pos="2268"/>
          <w:tab w:val="left" w:pos="2835"/>
        </w:tabs>
        <w:autoSpaceDE w:val="0"/>
        <w:autoSpaceDN w:val="0"/>
        <w:adjustRightInd w:val="0"/>
        <w:rPr>
          <w:i/>
          <w:iCs/>
          <w:lang w:val="fr-FR"/>
        </w:rPr>
      </w:pPr>
      <w:r>
        <w:rPr>
          <w:rFonts w:ascii="TimesNewRoman" w:hAnsi="TimesNewRoman" w:cs="TimesNewRoman"/>
          <w:i/>
          <w:iCs/>
          <w:szCs w:val="24"/>
          <w:lang w:val="fr-FR" w:eastAsia="fr-FR"/>
        </w:rPr>
        <w:tab/>
      </w:r>
      <w:r w:rsidR="006B1665">
        <w:rPr>
          <w:lang w:val="fr-FR"/>
        </w:rPr>
        <w:tab/>
      </w:r>
      <w:r w:rsidR="006B1665" w:rsidRPr="006B1665">
        <w:rPr>
          <w:i/>
          <w:iCs/>
          <w:lang w:val="fr-FR"/>
        </w:rPr>
        <w:t>b)</w:t>
      </w:r>
      <w:r w:rsidR="006B1665" w:rsidRPr="006B1665">
        <w:rPr>
          <w:i/>
          <w:iCs/>
          <w:lang w:val="fr-FR"/>
        </w:rPr>
        <w:tab/>
        <w:t>désorienter physiquement</w:t>
      </w:r>
      <w:r w:rsidR="006B1665">
        <w:rPr>
          <w:i/>
          <w:iCs/>
          <w:lang w:val="fr-FR"/>
        </w:rPr>
        <w:t xml:space="preserve"> une personne de toute autre manière.</w:t>
      </w:r>
    </w:p>
    <w:p w:rsidR="00406197" w:rsidRPr="006B1665" w:rsidRDefault="001E3850" w:rsidP="005D7B68">
      <w:pPr>
        <w:tabs>
          <w:tab w:val="left" w:pos="567"/>
          <w:tab w:val="left" w:pos="1134"/>
          <w:tab w:val="left" w:pos="1701"/>
          <w:tab w:val="left" w:pos="2268"/>
          <w:tab w:val="left" w:pos="2835"/>
        </w:tabs>
        <w:rPr>
          <w:lang w:val="fr-FR"/>
        </w:rPr>
      </w:pPr>
      <w:r>
        <w:rPr>
          <w:lang w:val="fr-FR"/>
        </w:rPr>
        <w:t>93</w:t>
      </w:r>
      <w:r w:rsidR="00F771D5">
        <w:rPr>
          <w:lang w:val="fr-FR"/>
        </w:rPr>
        <w:t>8</w:t>
      </w:r>
      <w:r>
        <w:rPr>
          <w:lang w:val="fr-FR"/>
        </w:rPr>
        <w:t>.</w:t>
      </w:r>
      <w:r>
        <w:rPr>
          <w:lang w:val="fr-FR"/>
        </w:rPr>
        <w:tab/>
        <w:t xml:space="preserve">En outre, comme certaines drogues ou stupéfiants illicites peuvent être utilisés pour infliger des tortures, la production, la possession, l’utilisation etc. de certaines </w:t>
      </w:r>
      <w:r w:rsidR="00406197">
        <w:rPr>
          <w:lang w:val="fr-FR"/>
        </w:rPr>
        <w:t>drogues ou stupéfiants illicites peut faire l’ob</w:t>
      </w:r>
      <w:r w:rsidR="009C5855">
        <w:rPr>
          <w:lang w:val="fr-FR"/>
        </w:rPr>
        <w:t>jet d’un règlement interne ou concernant le</w:t>
      </w:r>
      <w:r w:rsidR="00406197">
        <w:rPr>
          <w:lang w:val="fr-FR"/>
        </w:rPr>
        <w:t xml:space="preserve"> passage de la frontière, ou les deux</w:t>
      </w:r>
      <w:r w:rsidR="008D6B80">
        <w:rPr>
          <w:lang w:val="fr-FR"/>
        </w:rPr>
        <w:t xml:space="preserve">. </w:t>
      </w:r>
      <w:r w:rsidR="00406197">
        <w:rPr>
          <w:lang w:val="fr-FR"/>
        </w:rPr>
        <w:t>Toutefois, ces substances sont réglementées en raison de leur nature même et de leur toxicité, et pas nécessairement parce qu’elle peuvent utilisées en tant que telles à des fins de torture.</w:t>
      </w:r>
    </w:p>
    <w:p w:rsidR="006E06F6" w:rsidRDefault="00406197" w:rsidP="005D7B68">
      <w:pPr>
        <w:tabs>
          <w:tab w:val="left" w:pos="567"/>
          <w:tab w:val="left" w:pos="1134"/>
          <w:tab w:val="left" w:pos="1701"/>
          <w:tab w:val="left" w:pos="2268"/>
          <w:tab w:val="left" w:pos="2835"/>
        </w:tabs>
        <w:rPr>
          <w:lang w:val="fr-FR"/>
        </w:rPr>
      </w:pPr>
      <w:r>
        <w:rPr>
          <w:lang w:val="fr-FR"/>
        </w:rPr>
        <w:t>9</w:t>
      </w:r>
      <w:r w:rsidR="00F771D5">
        <w:rPr>
          <w:lang w:val="fr-FR"/>
        </w:rPr>
        <w:t>39</w:t>
      </w:r>
      <w:r>
        <w:rPr>
          <w:lang w:val="fr-FR"/>
        </w:rPr>
        <w:t>.</w:t>
      </w:r>
      <w:r>
        <w:rPr>
          <w:lang w:val="fr-FR"/>
        </w:rPr>
        <w:tab/>
        <w:t>Les règles de 1958 relatives aux douanes (exportations interdites) régissent l’exportation de certaines marchandises</w:t>
      </w:r>
      <w:r w:rsidR="00A10098">
        <w:rPr>
          <w:lang w:val="fr-FR"/>
        </w:rPr>
        <w:t>, laquelle est soumise à l’autorisation du Ministre de la justice et des douanes</w:t>
      </w:r>
      <w:r w:rsidR="008D6B80">
        <w:rPr>
          <w:lang w:val="fr-FR"/>
        </w:rPr>
        <w:t xml:space="preserve">. </w:t>
      </w:r>
      <w:r w:rsidR="00A10098">
        <w:rPr>
          <w:lang w:val="fr-FR"/>
        </w:rPr>
        <w:t xml:space="preserve">Il s’agit, entre autres, </w:t>
      </w:r>
      <w:r w:rsidR="00970666">
        <w:rPr>
          <w:lang w:val="fr-FR"/>
        </w:rPr>
        <w:t>des biens militaires et à double usage</w:t>
      </w:r>
      <w:r w:rsidR="00C62076">
        <w:rPr>
          <w:lang w:val="fr-FR"/>
        </w:rPr>
        <w:t xml:space="preserve"> (ces derniers pouvant servir d’armes de destruction massive), qui figurent dans la Liste des biens stratégiques et de défense, laquelle </w:t>
      </w:r>
      <w:r w:rsidR="00D94387">
        <w:rPr>
          <w:lang w:val="fr-FR"/>
        </w:rPr>
        <w:t>sert à la mise en œuvre des régimes internationaux de contrôle des armes</w:t>
      </w:r>
      <w:r w:rsidR="008D6B80">
        <w:rPr>
          <w:lang w:val="fr-FR"/>
        </w:rPr>
        <w:t xml:space="preserve">. </w:t>
      </w:r>
      <w:r w:rsidR="00D94387">
        <w:rPr>
          <w:lang w:val="fr-FR"/>
        </w:rPr>
        <w:t xml:space="preserve">De plus, </w:t>
      </w:r>
      <w:r w:rsidR="006E06F6">
        <w:rPr>
          <w:lang w:val="fr-FR"/>
        </w:rPr>
        <w:t>dans le cadre des sanctions du Conseil de sécurité des Nations Unies, l’exportation de biens paramilitaires en direction de certaines destinations faisant l’objet de sanctions est contrôlée en vertu de ces règles.</w:t>
      </w:r>
    </w:p>
    <w:p w:rsidR="006E06F6" w:rsidRDefault="007D522B" w:rsidP="005D7B68">
      <w:pPr>
        <w:tabs>
          <w:tab w:val="left" w:pos="567"/>
          <w:tab w:val="left" w:pos="1134"/>
          <w:tab w:val="left" w:pos="1701"/>
          <w:tab w:val="left" w:pos="2268"/>
          <w:tab w:val="left" w:pos="2835"/>
        </w:tabs>
        <w:rPr>
          <w:b/>
          <w:bCs/>
          <w:lang w:val="fr-FR"/>
        </w:rPr>
      </w:pPr>
      <w:r>
        <w:rPr>
          <w:b/>
          <w:bCs/>
          <w:lang w:val="fr-FR"/>
        </w:rPr>
        <w:t xml:space="preserve">Informations des États et </w:t>
      </w:r>
      <w:r w:rsidR="00E3226E">
        <w:rPr>
          <w:b/>
          <w:bCs/>
          <w:lang w:val="fr-FR"/>
        </w:rPr>
        <w:t>Territoires</w:t>
      </w:r>
    </w:p>
    <w:p w:rsidR="00406197" w:rsidRDefault="006E06F6" w:rsidP="005D7B68">
      <w:pPr>
        <w:tabs>
          <w:tab w:val="left" w:pos="567"/>
          <w:tab w:val="left" w:pos="1134"/>
          <w:tab w:val="left" w:pos="1701"/>
          <w:tab w:val="left" w:pos="2268"/>
          <w:tab w:val="left" w:pos="2835"/>
        </w:tabs>
        <w:rPr>
          <w:rFonts w:ascii="TimesNewRoman" w:hAnsi="TimesNewRoman" w:cs="TimesNewRoman"/>
          <w:szCs w:val="24"/>
          <w:lang w:val="fr-FR" w:eastAsia="fr-FR"/>
        </w:rPr>
      </w:pPr>
      <w:r>
        <w:rPr>
          <w:lang w:val="fr-FR"/>
        </w:rPr>
        <w:t>94</w:t>
      </w:r>
      <w:r w:rsidR="00F771D5">
        <w:rPr>
          <w:lang w:val="fr-FR"/>
        </w:rPr>
        <w:t>0</w:t>
      </w:r>
      <w:r>
        <w:rPr>
          <w:lang w:val="fr-FR"/>
        </w:rPr>
        <w:t>.</w:t>
      </w:r>
      <w:r>
        <w:rPr>
          <w:lang w:val="fr-FR"/>
        </w:rPr>
        <w:tab/>
        <w:t>Il n’existe aucune disposition da</w:t>
      </w:r>
      <w:r w:rsidR="007D522B">
        <w:rPr>
          <w:lang w:val="fr-FR"/>
        </w:rPr>
        <w:t>ns la législation des États et t</w:t>
      </w:r>
      <w:r>
        <w:rPr>
          <w:lang w:val="fr-FR"/>
        </w:rPr>
        <w:t>erritoires concernant spécifiquement le matériel</w:t>
      </w:r>
      <w:r w:rsidR="00C62076">
        <w:rPr>
          <w:lang w:val="fr-FR"/>
        </w:rPr>
        <w:t xml:space="preserve"> </w:t>
      </w:r>
      <w:r>
        <w:rPr>
          <w:rFonts w:ascii="TimesNewRoman" w:hAnsi="TimesNewRoman" w:cs="TimesNewRoman"/>
          <w:szCs w:val="24"/>
          <w:lang w:val="fr-FR" w:eastAsia="fr-FR"/>
        </w:rPr>
        <w:t>conçu pour infliger des tortures ou d’autres peines ou traitements cruels, inhumains ou dégradants.</w:t>
      </w:r>
    </w:p>
    <w:p w:rsidR="006E06F6" w:rsidRDefault="006E06F6" w:rsidP="005D7B68">
      <w:pPr>
        <w:tabs>
          <w:tab w:val="left" w:pos="567"/>
          <w:tab w:val="left" w:pos="1134"/>
          <w:tab w:val="left" w:pos="1701"/>
          <w:tab w:val="left" w:pos="2268"/>
          <w:tab w:val="left" w:pos="2835"/>
        </w:tabs>
        <w:rPr>
          <w:b/>
          <w:bCs/>
          <w:lang w:val="fr-FR"/>
        </w:rPr>
      </w:pPr>
      <w:r>
        <w:rPr>
          <w:b/>
          <w:bCs/>
          <w:lang w:val="fr-FR"/>
        </w:rPr>
        <w:t>Question 40</w:t>
      </w:r>
    </w:p>
    <w:p w:rsidR="006E06F6" w:rsidRPr="006E06F6" w:rsidRDefault="006E06F6" w:rsidP="005D7B68">
      <w:pPr>
        <w:tabs>
          <w:tab w:val="left" w:pos="567"/>
          <w:tab w:val="left" w:pos="1134"/>
          <w:tab w:val="left" w:pos="1701"/>
          <w:tab w:val="left" w:pos="2268"/>
          <w:tab w:val="left" w:pos="2835"/>
        </w:tabs>
        <w:rPr>
          <w:b/>
          <w:lang w:val="fr-FR"/>
        </w:rPr>
      </w:pPr>
      <w:r>
        <w:rPr>
          <w:b/>
          <w:bCs/>
          <w:lang w:val="fr-FR"/>
        </w:rPr>
        <w:tab/>
      </w:r>
      <w:r w:rsidRPr="006E06F6">
        <w:rPr>
          <w:b/>
          <w:lang w:val="fr-FR"/>
        </w:rPr>
        <w:t xml:space="preserve">Indiquer les mesures prises afin d’assurer que les personnes détenues par les forces armées australiennes stationnées à l’étranger, en particulier en Afghanistan et en Iraq, ne soient pas traitées d’une manière incompatible avec la Convention lorsqu’elles sont remises à d’autres forces armées. </w:t>
      </w:r>
    </w:p>
    <w:p w:rsidR="006E06F6" w:rsidRPr="006E06F6" w:rsidRDefault="006E06F6" w:rsidP="005D7B68">
      <w:pPr>
        <w:tabs>
          <w:tab w:val="left" w:pos="567"/>
          <w:tab w:val="left" w:pos="1134"/>
          <w:tab w:val="left" w:pos="1701"/>
          <w:tab w:val="left" w:pos="2268"/>
          <w:tab w:val="left" w:pos="2835"/>
        </w:tabs>
        <w:rPr>
          <w:lang w:val="fr-FR"/>
        </w:rPr>
      </w:pPr>
      <w:r>
        <w:rPr>
          <w:lang w:val="fr-FR"/>
        </w:rPr>
        <w:t>94</w:t>
      </w:r>
      <w:r w:rsidR="00F771D5">
        <w:rPr>
          <w:lang w:val="fr-FR"/>
        </w:rPr>
        <w:t>1</w:t>
      </w:r>
      <w:r>
        <w:rPr>
          <w:lang w:val="fr-FR"/>
        </w:rPr>
        <w:t>.</w:t>
      </w:r>
      <w:r>
        <w:rPr>
          <w:lang w:val="fr-FR"/>
        </w:rPr>
        <w:tab/>
        <w:t xml:space="preserve">Les </w:t>
      </w:r>
      <w:r w:rsidR="007761A4">
        <w:rPr>
          <w:lang w:val="fr-FR"/>
        </w:rPr>
        <w:t>force</w:t>
      </w:r>
      <w:r w:rsidR="00F62988">
        <w:rPr>
          <w:lang w:val="fr-FR"/>
        </w:rPr>
        <w:t xml:space="preserve">s armées </w:t>
      </w:r>
      <w:r w:rsidR="006A13A5">
        <w:rPr>
          <w:lang w:val="fr-FR"/>
        </w:rPr>
        <w:t xml:space="preserve">australiennes ne transféreraient une personne placée sous sa garde à l’autorité d’un autre État que si elles avaient acquis la certitude que cette personne ne serait </w:t>
      </w:r>
      <w:r w:rsidR="00381C32">
        <w:rPr>
          <w:lang w:val="fr-FR"/>
        </w:rPr>
        <w:t xml:space="preserve">pas </w:t>
      </w:r>
      <w:r w:rsidR="006A13A5">
        <w:rPr>
          <w:lang w:val="fr-FR"/>
        </w:rPr>
        <w:t>soumise à la torture ou à tout autre traitement cruel, inhumain ou dégradant.</w:t>
      </w:r>
    </w:p>
    <w:p w:rsidR="00F9178F" w:rsidRDefault="00157A6A" w:rsidP="005D7B68">
      <w:pPr>
        <w:tabs>
          <w:tab w:val="left" w:pos="567"/>
          <w:tab w:val="left" w:pos="1134"/>
          <w:tab w:val="left" w:pos="1701"/>
          <w:tab w:val="left" w:pos="2268"/>
          <w:tab w:val="left" w:pos="2835"/>
        </w:tabs>
        <w:rPr>
          <w:lang w:val="fr-FR"/>
        </w:rPr>
      </w:pPr>
      <w:r>
        <w:rPr>
          <w:lang w:val="fr-FR"/>
        </w:rPr>
        <w:t>94</w:t>
      </w:r>
      <w:r w:rsidR="00F771D5">
        <w:rPr>
          <w:lang w:val="fr-FR"/>
        </w:rPr>
        <w:t>2</w:t>
      </w:r>
      <w:r>
        <w:rPr>
          <w:lang w:val="fr-FR"/>
        </w:rPr>
        <w:t>.</w:t>
      </w:r>
      <w:r>
        <w:rPr>
          <w:lang w:val="fr-FR"/>
        </w:rPr>
        <w:tab/>
      </w:r>
      <w:r w:rsidR="00D72056">
        <w:rPr>
          <w:lang w:val="fr-FR"/>
        </w:rPr>
        <w:t xml:space="preserve">Avant et pendant son déploiement, tout le personnel des </w:t>
      </w:r>
      <w:r w:rsidR="007761A4">
        <w:rPr>
          <w:lang w:val="fr-FR"/>
        </w:rPr>
        <w:t>force</w:t>
      </w:r>
      <w:r w:rsidR="00F62988">
        <w:rPr>
          <w:lang w:val="fr-FR"/>
        </w:rPr>
        <w:t xml:space="preserve">s armées </w:t>
      </w:r>
      <w:r w:rsidR="00D72056">
        <w:rPr>
          <w:lang w:val="fr-FR"/>
        </w:rPr>
        <w:t>australienne</w:t>
      </w:r>
      <w:r w:rsidR="00381C32">
        <w:rPr>
          <w:lang w:val="fr-FR"/>
        </w:rPr>
        <w:t>s</w:t>
      </w:r>
      <w:r w:rsidR="00D72056">
        <w:rPr>
          <w:lang w:val="fr-FR"/>
        </w:rPr>
        <w:t xml:space="preserve"> reçoit une formation en matière de législation relative aux droits de l’homme et de droit des conflits armés, et une instruction</w:t>
      </w:r>
      <w:r w:rsidR="00572260">
        <w:rPr>
          <w:lang w:val="fr-FR"/>
        </w:rPr>
        <w:t xml:space="preserve"> </w:t>
      </w:r>
      <w:r w:rsidR="00D72056">
        <w:rPr>
          <w:lang w:val="fr-FR"/>
        </w:rPr>
        <w:t>spécifique sur le traitement des personnes qui ont été placées en détention</w:t>
      </w:r>
      <w:r w:rsidR="008D6B80">
        <w:rPr>
          <w:lang w:val="fr-FR"/>
        </w:rPr>
        <w:t xml:space="preserve">. </w:t>
      </w:r>
      <w:r w:rsidR="00D72056">
        <w:rPr>
          <w:lang w:val="fr-FR"/>
        </w:rPr>
        <w:t>Ces instructions sont basées sur les procédures ou instructions</w:t>
      </w:r>
      <w:r w:rsidR="00961458">
        <w:rPr>
          <w:lang w:val="fr-FR"/>
        </w:rPr>
        <w:t xml:space="preserve"> permanentes de service concernant la détention par les </w:t>
      </w:r>
      <w:r w:rsidR="007761A4">
        <w:rPr>
          <w:lang w:val="fr-FR"/>
        </w:rPr>
        <w:t>force</w:t>
      </w:r>
      <w:r w:rsidR="00F62988">
        <w:rPr>
          <w:lang w:val="fr-FR"/>
        </w:rPr>
        <w:t xml:space="preserve">s armées </w:t>
      </w:r>
      <w:r w:rsidR="00961458">
        <w:rPr>
          <w:lang w:val="fr-FR"/>
        </w:rPr>
        <w:t>qui comportent des directives et des cons</w:t>
      </w:r>
      <w:r w:rsidR="00BE6ACF">
        <w:rPr>
          <w:lang w:val="fr-FR"/>
        </w:rPr>
        <w:t>eils ayant pour origine les obl</w:t>
      </w:r>
      <w:r w:rsidR="00F9178F">
        <w:rPr>
          <w:lang w:val="fr-FR"/>
        </w:rPr>
        <w:t>igations juridiques</w:t>
      </w:r>
      <w:r w:rsidR="00961458">
        <w:rPr>
          <w:lang w:val="fr-FR"/>
        </w:rPr>
        <w:t xml:space="preserve"> et les</w:t>
      </w:r>
      <w:r w:rsidR="00F9178F">
        <w:rPr>
          <w:lang w:val="fr-FR"/>
        </w:rPr>
        <w:t xml:space="preserve"> dispositions de</w:t>
      </w:r>
      <w:r w:rsidR="00BE6ACF">
        <w:rPr>
          <w:lang w:val="fr-FR"/>
        </w:rPr>
        <w:t xml:space="preserve"> politique internationales et nationales auxquelles elles sont conformes</w:t>
      </w:r>
      <w:r w:rsidR="008D6B80">
        <w:rPr>
          <w:lang w:val="fr-FR"/>
        </w:rPr>
        <w:t xml:space="preserve">. </w:t>
      </w:r>
      <w:r w:rsidR="00BE6ACF">
        <w:rPr>
          <w:lang w:val="fr-FR"/>
        </w:rPr>
        <w:t xml:space="preserve">Les </w:t>
      </w:r>
      <w:r w:rsidR="007761A4">
        <w:rPr>
          <w:lang w:val="fr-FR"/>
        </w:rPr>
        <w:t>force</w:t>
      </w:r>
      <w:r w:rsidR="00F62988">
        <w:rPr>
          <w:lang w:val="fr-FR"/>
        </w:rPr>
        <w:t xml:space="preserve">s armées </w:t>
      </w:r>
      <w:r w:rsidR="00BE6ACF">
        <w:rPr>
          <w:lang w:val="fr-FR"/>
        </w:rPr>
        <w:t>australiennes sont tenues d’appliquer des prescriptions claires concernant les rapports relatifs aux allégations de maltraitance faites par des détenus, lesquelles allégations doivent donner lieu dans les meilleurs délais à des enquêtes efficaces et impartiales</w:t>
      </w:r>
      <w:r w:rsidR="008D6B80">
        <w:rPr>
          <w:lang w:val="fr-FR"/>
        </w:rPr>
        <w:t xml:space="preserve">. </w:t>
      </w:r>
      <w:r w:rsidR="00BE6ACF">
        <w:rPr>
          <w:lang w:val="fr-FR"/>
        </w:rPr>
        <w:t xml:space="preserve">Des juristes et des </w:t>
      </w:r>
      <w:r w:rsidR="00EA0799">
        <w:rPr>
          <w:lang w:val="fr-FR"/>
        </w:rPr>
        <w:t>conseillers en politiques sont déployés dans les opérations pour conseiller</w:t>
      </w:r>
      <w:r w:rsidR="00F9178F">
        <w:rPr>
          <w:lang w:val="fr-FR"/>
        </w:rPr>
        <w:t xml:space="preserve"> les commandants</w:t>
      </w:r>
      <w:r w:rsidR="00EA0799">
        <w:rPr>
          <w:lang w:val="fr-FR"/>
        </w:rPr>
        <w:t xml:space="preserve"> en m</w:t>
      </w:r>
      <w:r w:rsidR="00F9178F">
        <w:rPr>
          <w:lang w:val="fr-FR"/>
        </w:rPr>
        <w:t>atière de droit et de politique sur les obligations juridiques et les dispositions de politique i</w:t>
      </w:r>
      <w:r w:rsidR="00E3226E">
        <w:rPr>
          <w:lang w:val="fr-FR"/>
        </w:rPr>
        <w:t>nternationales et nationales de </w:t>
      </w:r>
      <w:r w:rsidR="00F9178F">
        <w:rPr>
          <w:lang w:val="fr-FR"/>
        </w:rPr>
        <w:t>l’Australie.</w:t>
      </w:r>
    </w:p>
    <w:p w:rsidR="00F9178F" w:rsidRDefault="00F9178F" w:rsidP="005D7B68">
      <w:pPr>
        <w:tabs>
          <w:tab w:val="left" w:pos="567"/>
          <w:tab w:val="left" w:pos="1134"/>
          <w:tab w:val="left" w:pos="1701"/>
          <w:tab w:val="left" w:pos="2268"/>
          <w:tab w:val="left" w:pos="2835"/>
        </w:tabs>
        <w:rPr>
          <w:b/>
          <w:bCs/>
          <w:lang w:val="fr-FR"/>
        </w:rPr>
      </w:pPr>
      <w:r>
        <w:rPr>
          <w:b/>
          <w:bCs/>
          <w:lang w:val="fr-FR"/>
        </w:rPr>
        <w:t>Iraq</w:t>
      </w:r>
    </w:p>
    <w:p w:rsidR="00CA53E9" w:rsidRPr="00406197" w:rsidRDefault="00F9178F" w:rsidP="005D7B68">
      <w:pPr>
        <w:tabs>
          <w:tab w:val="left" w:pos="567"/>
          <w:tab w:val="left" w:pos="1134"/>
          <w:tab w:val="left" w:pos="1701"/>
          <w:tab w:val="left" w:pos="2268"/>
          <w:tab w:val="left" w:pos="2835"/>
        </w:tabs>
        <w:rPr>
          <w:lang w:val="fr-FR"/>
        </w:rPr>
      </w:pPr>
      <w:r>
        <w:rPr>
          <w:lang w:val="fr-FR"/>
        </w:rPr>
        <w:t>94</w:t>
      </w:r>
      <w:r w:rsidR="00F771D5">
        <w:rPr>
          <w:lang w:val="fr-FR"/>
        </w:rPr>
        <w:t>3</w:t>
      </w:r>
      <w:r>
        <w:rPr>
          <w:lang w:val="fr-FR"/>
        </w:rPr>
        <w:t>.</w:t>
      </w:r>
      <w:r>
        <w:rPr>
          <w:lang w:val="fr-FR"/>
        </w:rPr>
        <w:tab/>
      </w:r>
      <w:r w:rsidR="008279EA">
        <w:rPr>
          <w:lang w:val="fr-FR"/>
        </w:rPr>
        <w:t xml:space="preserve">La plus grande partie des </w:t>
      </w:r>
      <w:r w:rsidR="007761A4">
        <w:rPr>
          <w:lang w:val="fr-FR"/>
        </w:rPr>
        <w:t>forces</w:t>
      </w:r>
      <w:r w:rsidR="00F62988">
        <w:rPr>
          <w:lang w:val="fr-FR"/>
        </w:rPr>
        <w:t xml:space="preserve"> armées </w:t>
      </w:r>
      <w:r w:rsidR="008279EA">
        <w:rPr>
          <w:lang w:val="fr-FR"/>
        </w:rPr>
        <w:t>australiennes en Iraq opèrent dans le cadre de la Division multinationale</w:t>
      </w:r>
      <w:r w:rsidR="00E3226E">
        <w:rPr>
          <w:lang w:val="fr-FR"/>
        </w:rPr>
        <w:noBreakHyphen/>
        <w:t>Sud</w:t>
      </w:r>
      <w:r w:rsidR="00E3226E">
        <w:rPr>
          <w:lang w:val="fr-FR"/>
        </w:rPr>
        <w:noBreakHyphen/>
      </w:r>
      <w:r w:rsidR="008279EA">
        <w:rPr>
          <w:lang w:val="fr-FR"/>
        </w:rPr>
        <w:t>Est</w:t>
      </w:r>
      <w:r w:rsidR="000D49A7">
        <w:rPr>
          <w:lang w:val="fr-FR"/>
        </w:rPr>
        <w:t xml:space="preserve"> en partenariat avec le Royaume</w:t>
      </w:r>
      <w:r w:rsidR="000D49A7">
        <w:rPr>
          <w:lang w:val="fr-FR"/>
        </w:rPr>
        <w:noBreakHyphen/>
      </w:r>
      <w:r w:rsidR="008279EA">
        <w:rPr>
          <w:lang w:val="fr-FR"/>
        </w:rPr>
        <w:t>Uni</w:t>
      </w:r>
      <w:r w:rsidR="008D6B80">
        <w:rPr>
          <w:lang w:val="fr-FR"/>
        </w:rPr>
        <w:t xml:space="preserve">. </w:t>
      </w:r>
      <w:r w:rsidR="008279EA">
        <w:rPr>
          <w:lang w:val="fr-FR"/>
        </w:rPr>
        <w:t>Cependant, il existe un détachement de sécurité basé à Bagdad</w:t>
      </w:r>
      <w:r w:rsidR="008D6B80">
        <w:rPr>
          <w:lang w:val="fr-FR"/>
        </w:rPr>
        <w:t xml:space="preserve">. </w:t>
      </w:r>
      <w:r w:rsidR="00890257">
        <w:rPr>
          <w:lang w:val="fr-FR"/>
        </w:rPr>
        <w:t>La Division multinationale (SE) dont fait partie la plus grande partie des forces australiennes est placée sous commandement du Royaume Uni</w:t>
      </w:r>
      <w:r w:rsidR="008D6B80">
        <w:rPr>
          <w:lang w:val="fr-FR"/>
        </w:rPr>
        <w:t xml:space="preserve">. </w:t>
      </w:r>
      <w:r w:rsidR="00890257">
        <w:rPr>
          <w:lang w:val="fr-FR"/>
        </w:rPr>
        <w:t>La politique de l’Australie en Iraq consiste à tr</w:t>
      </w:r>
      <w:r w:rsidR="00E3226E">
        <w:rPr>
          <w:lang w:val="fr-FR"/>
        </w:rPr>
        <w:t>ansférer des détenus au Royaume</w:t>
      </w:r>
      <w:r w:rsidR="00E3226E">
        <w:rPr>
          <w:lang w:val="fr-FR"/>
        </w:rPr>
        <w:noBreakHyphen/>
        <w:t>Uni. Elle a obtenu du Royaume</w:t>
      </w:r>
      <w:r w:rsidR="00E3226E">
        <w:rPr>
          <w:lang w:val="fr-FR"/>
        </w:rPr>
        <w:noBreakHyphen/>
      </w:r>
      <w:r w:rsidR="00890257">
        <w:rPr>
          <w:lang w:val="fr-FR"/>
        </w:rPr>
        <w:t>Uni des assurances concernant le traitement</w:t>
      </w:r>
      <w:r w:rsidR="008279EA">
        <w:rPr>
          <w:lang w:val="fr-FR"/>
        </w:rPr>
        <w:t xml:space="preserve"> </w:t>
      </w:r>
      <w:r w:rsidR="00890257">
        <w:rPr>
          <w:lang w:val="fr-FR"/>
        </w:rPr>
        <w:t>de ces derniers</w:t>
      </w:r>
      <w:r w:rsidR="008D6B80">
        <w:rPr>
          <w:lang w:val="fr-FR"/>
        </w:rPr>
        <w:t>.</w:t>
      </w:r>
      <w:r w:rsidR="00572260">
        <w:rPr>
          <w:lang w:val="fr-FR"/>
        </w:rPr>
        <w:t xml:space="preserve"> </w:t>
      </w:r>
    </w:p>
    <w:p w:rsidR="00CA53E9" w:rsidRDefault="00CA53E9" w:rsidP="005D7B68">
      <w:pPr>
        <w:tabs>
          <w:tab w:val="left" w:pos="567"/>
          <w:tab w:val="left" w:pos="1134"/>
          <w:tab w:val="left" w:pos="1701"/>
          <w:tab w:val="left" w:pos="2268"/>
          <w:tab w:val="left" w:pos="2835"/>
        </w:tabs>
        <w:rPr>
          <w:b/>
          <w:bCs/>
          <w:lang w:val="fr-FR"/>
        </w:rPr>
      </w:pPr>
      <w:r>
        <w:rPr>
          <w:b/>
          <w:bCs/>
          <w:lang w:val="fr-FR"/>
        </w:rPr>
        <w:t>Afghanistan</w:t>
      </w:r>
    </w:p>
    <w:p w:rsidR="00CA53E9" w:rsidRDefault="00CA53E9" w:rsidP="005D7B68">
      <w:pPr>
        <w:tabs>
          <w:tab w:val="left" w:pos="567"/>
          <w:tab w:val="left" w:pos="1134"/>
          <w:tab w:val="left" w:pos="1701"/>
          <w:tab w:val="left" w:pos="2268"/>
          <w:tab w:val="left" w:pos="2835"/>
        </w:tabs>
        <w:rPr>
          <w:lang w:val="fr-FR"/>
        </w:rPr>
      </w:pPr>
      <w:r>
        <w:rPr>
          <w:lang w:val="fr-FR"/>
        </w:rPr>
        <w:t>94</w:t>
      </w:r>
      <w:r w:rsidR="00F771D5">
        <w:rPr>
          <w:lang w:val="fr-FR"/>
        </w:rPr>
        <w:t>4</w:t>
      </w:r>
      <w:r>
        <w:rPr>
          <w:lang w:val="fr-FR"/>
        </w:rPr>
        <w:t>.</w:t>
      </w:r>
      <w:r>
        <w:rPr>
          <w:lang w:val="fr-FR"/>
        </w:rPr>
        <w:tab/>
        <w:t xml:space="preserve">Des éléments des </w:t>
      </w:r>
      <w:r w:rsidR="007761A4">
        <w:rPr>
          <w:lang w:val="fr-FR"/>
        </w:rPr>
        <w:t>forces</w:t>
      </w:r>
      <w:r w:rsidR="00F62988">
        <w:rPr>
          <w:lang w:val="fr-FR"/>
        </w:rPr>
        <w:t xml:space="preserve"> armées </w:t>
      </w:r>
      <w:r>
        <w:rPr>
          <w:lang w:val="fr-FR"/>
        </w:rPr>
        <w:t>australiennes opèrent en Afghanistan dans le cadre de la Force internationale d’assistance à la sécurité, en</w:t>
      </w:r>
      <w:r w:rsidR="00572260">
        <w:rPr>
          <w:lang w:val="fr-FR"/>
        </w:rPr>
        <w:t xml:space="preserve"> </w:t>
      </w:r>
      <w:r w:rsidR="00323549">
        <w:rPr>
          <w:lang w:val="fr-FR"/>
        </w:rPr>
        <w:t>partenariat avec les Pays-Bas, qui en assurent le commandement dans la province d’Oruzgan où est basé l’essentiel des forces australiennes</w:t>
      </w:r>
      <w:r w:rsidR="008D6B80">
        <w:rPr>
          <w:lang w:val="fr-FR"/>
        </w:rPr>
        <w:t xml:space="preserve">. </w:t>
      </w:r>
      <w:r w:rsidR="00F63218">
        <w:rPr>
          <w:lang w:val="fr-FR"/>
        </w:rPr>
        <w:t>La </w:t>
      </w:r>
      <w:r w:rsidR="00167DEA">
        <w:rPr>
          <w:lang w:val="fr-FR"/>
        </w:rPr>
        <w:t>politique de l’Australie en Afghanistan consiste à transférer les détenus aux Pays-Bas pour</w:t>
      </w:r>
      <w:r w:rsidR="001D7715">
        <w:rPr>
          <w:lang w:val="fr-FR"/>
        </w:rPr>
        <w:t xml:space="preserve"> qu’ils soient réacheminés vers l’Afghanistan</w:t>
      </w:r>
      <w:r w:rsidR="008D6B80">
        <w:rPr>
          <w:lang w:val="fr-FR"/>
        </w:rPr>
        <w:t xml:space="preserve">. </w:t>
      </w:r>
      <w:r w:rsidR="001D7715">
        <w:rPr>
          <w:lang w:val="fr-FR"/>
        </w:rPr>
        <w:t>L’Austr</w:t>
      </w:r>
      <w:r w:rsidR="00381C32">
        <w:rPr>
          <w:lang w:val="fr-FR"/>
        </w:rPr>
        <w:t xml:space="preserve">alie a passé avec les Pays-Bas </w:t>
      </w:r>
      <w:r w:rsidR="001D7715">
        <w:rPr>
          <w:lang w:val="fr-FR"/>
        </w:rPr>
        <w:t xml:space="preserve">des accords concernant le traitement des détenus des </w:t>
      </w:r>
      <w:r w:rsidR="007761A4">
        <w:rPr>
          <w:lang w:val="fr-FR"/>
        </w:rPr>
        <w:t>forces</w:t>
      </w:r>
      <w:r w:rsidR="00F62988">
        <w:rPr>
          <w:lang w:val="fr-FR"/>
        </w:rPr>
        <w:t xml:space="preserve"> armées </w:t>
      </w:r>
      <w:r w:rsidR="001D7715">
        <w:rPr>
          <w:lang w:val="fr-FR"/>
        </w:rPr>
        <w:t>australiennes, qui sont conformes à la politique de la Force internationale d’assistance à la sécurité et à ses obligations juridiques nationales et internationales.</w:t>
      </w:r>
      <w:r>
        <w:rPr>
          <w:lang w:val="fr-FR"/>
        </w:rPr>
        <w:tab/>
      </w:r>
    </w:p>
    <w:p w:rsidR="00CA53E9" w:rsidRDefault="00F866AD" w:rsidP="005D7B68">
      <w:pPr>
        <w:tabs>
          <w:tab w:val="left" w:pos="567"/>
          <w:tab w:val="left" w:pos="1134"/>
          <w:tab w:val="left" w:pos="1701"/>
          <w:tab w:val="left" w:pos="2268"/>
          <w:tab w:val="left" w:pos="2835"/>
        </w:tabs>
        <w:rPr>
          <w:b/>
          <w:bCs/>
          <w:lang w:val="fr-FR"/>
        </w:rPr>
      </w:pPr>
      <w:r>
        <w:rPr>
          <w:b/>
          <w:bCs/>
          <w:lang w:val="fr-FR"/>
        </w:rPr>
        <w:t>Timor-Leste</w:t>
      </w:r>
    </w:p>
    <w:p w:rsidR="00EC7D5F" w:rsidRDefault="00F866AD" w:rsidP="005D7B68">
      <w:pPr>
        <w:tabs>
          <w:tab w:val="left" w:pos="567"/>
          <w:tab w:val="left" w:pos="1134"/>
          <w:tab w:val="left" w:pos="1701"/>
          <w:tab w:val="left" w:pos="2268"/>
          <w:tab w:val="left" w:pos="2835"/>
        </w:tabs>
        <w:rPr>
          <w:lang w:val="fr-FR"/>
        </w:rPr>
      </w:pPr>
      <w:r>
        <w:rPr>
          <w:lang w:val="fr-FR"/>
        </w:rPr>
        <w:t>94</w:t>
      </w:r>
      <w:r w:rsidR="00F771D5">
        <w:rPr>
          <w:lang w:val="fr-FR"/>
        </w:rPr>
        <w:t>5</w:t>
      </w:r>
      <w:r>
        <w:rPr>
          <w:lang w:val="fr-FR"/>
        </w:rPr>
        <w:t>.</w:t>
      </w:r>
      <w:r>
        <w:rPr>
          <w:lang w:val="fr-FR"/>
        </w:rPr>
        <w:tab/>
        <w:t xml:space="preserve">Les éléments des </w:t>
      </w:r>
      <w:r w:rsidR="007761A4">
        <w:rPr>
          <w:lang w:val="fr-FR"/>
        </w:rPr>
        <w:t>forces</w:t>
      </w:r>
      <w:r w:rsidR="00F62988">
        <w:rPr>
          <w:lang w:val="fr-FR"/>
        </w:rPr>
        <w:t xml:space="preserve"> armées </w:t>
      </w:r>
      <w:r>
        <w:rPr>
          <w:lang w:val="fr-FR"/>
        </w:rPr>
        <w:t>australiennes au Timor-Leste opèrent</w:t>
      </w:r>
      <w:r w:rsidR="000D49A7">
        <w:rPr>
          <w:lang w:val="fr-FR"/>
        </w:rPr>
        <w:t>, avec la Nouvelle</w:t>
      </w:r>
      <w:r w:rsidR="000D49A7">
        <w:rPr>
          <w:lang w:val="fr-FR"/>
        </w:rPr>
        <w:noBreakHyphen/>
      </w:r>
      <w:r w:rsidR="00EC7D5F">
        <w:rPr>
          <w:lang w:val="fr-FR"/>
        </w:rPr>
        <w:t>Zélande,</w:t>
      </w:r>
      <w:r>
        <w:rPr>
          <w:lang w:val="fr-FR"/>
        </w:rPr>
        <w:t xml:space="preserve"> dans le cadre des Forces de sécurité internationales</w:t>
      </w:r>
      <w:r w:rsidR="008D6B80">
        <w:rPr>
          <w:lang w:val="fr-FR"/>
        </w:rPr>
        <w:t xml:space="preserve">. </w:t>
      </w:r>
      <w:r w:rsidR="007761A4">
        <w:rPr>
          <w:lang w:val="fr-FR"/>
        </w:rPr>
        <w:t>Ces dernières remettent directement les détenus à la p</w:t>
      </w:r>
      <w:r w:rsidR="00EC7D5F">
        <w:rPr>
          <w:lang w:val="fr-FR"/>
        </w:rPr>
        <w:t>olice des Nations Unies, sauf à ce d’autres accords aient été passés avec les Nations Unies et le Gouvernement de Timor-Leste</w:t>
      </w:r>
      <w:r w:rsidR="008D6B80">
        <w:rPr>
          <w:lang w:val="fr-FR"/>
        </w:rPr>
        <w:t xml:space="preserve">. </w:t>
      </w:r>
      <w:r w:rsidR="00EC7D5F">
        <w:rPr>
          <w:lang w:val="fr-FR"/>
        </w:rPr>
        <w:t>Il existe des accords entre l’Australie et les Nations Unies au sujet des détenus.</w:t>
      </w:r>
    </w:p>
    <w:p w:rsidR="00EC7D5F" w:rsidRDefault="00EC7D5F" w:rsidP="005D7B68">
      <w:pPr>
        <w:tabs>
          <w:tab w:val="left" w:pos="567"/>
          <w:tab w:val="left" w:pos="1134"/>
          <w:tab w:val="left" w:pos="1701"/>
          <w:tab w:val="left" w:pos="2268"/>
          <w:tab w:val="left" w:pos="2835"/>
        </w:tabs>
        <w:rPr>
          <w:b/>
          <w:bCs/>
          <w:lang w:val="fr-FR"/>
        </w:rPr>
      </w:pPr>
      <w:r>
        <w:rPr>
          <w:b/>
          <w:bCs/>
          <w:lang w:val="fr-FR"/>
        </w:rPr>
        <w:t>Îles Salomon</w:t>
      </w:r>
    </w:p>
    <w:p w:rsidR="00F866AD" w:rsidRPr="00F866AD" w:rsidRDefault="00EC7D5F" w:rsidP="005D7B68">
      <w:pPr>
        <w:tabs>
          <w:tab w:val="left" w:pos="567"/>
          <w:tab w:val="left" w:pos="1134"/>
          <w:tab w:val="left" w:pos="1701"/>
          <w:tab w:val="left" w:pos="2268"/>
          <w:tab w:val="left" w:pos="2835"/>
        </w:tabs>
        <w:rPr>
          <w:lang w:val="fr-FR"/>
        </w:rPr>
      </w:pPr>
      <w:r>
        <w:rPr>
          <w:lang w:val="fr-FR"/>
        </w:rPr>
        <w:t>94</w:t>
      </w:r>
      <w:r w:rsidR="00F771D5">
        <w:rPr>
          <w:lang w:val="fr-FR"/>
        </w:rPr>
        <w:t>6</w:t>
      </w:r>
      <w:r>
        <w:rPr>
          <w:lang w:val="fr-FR"/>
        </w:rPr>
        <w:t>.</w:t>
      </w:r>
      <w:r>
        <w:rPr>
          <w:lang w:val="fr-FR"/>
        </w:rPr>
        <w:tab/>
      </w:r>
      <w:r w:rsidR="00131771">
        <w:rPr>
          <w:lang w:val="fr-FR"/>
        </w:rPr>
        <w:t xml:space="preserve">Le personnel des </w:t>
      </w:r>
      <w:r w:rsidR="007761A4">
        <w:rPr>
          <w:lang w:val="fr-FR"/>
        </w:rPr>
        <w:t>forces</w:t>
      </w:r>
      <w:r w:rsidR="00F62988">
        <w:rPr>
          <w:lang w:val="fr-FR"/>
        </w:rPr>
        <w:t xml:space="preserve"> armées </w:t>
      </w:r>
      <w:r w:rsidR="00131771">
        <w:rPr>
          <w:lang w:val="fr-FR"/>
        </w:rPr>
        <w:t>australiennes dé</w:t>
      </w:r>
      <w:r w:rsidR="00381C32">
        <w:rPr>
          <w:lang w:val="fr-FR"/>
        </w:rPr>
        <w:t>ployé aux îles Salomon apporte</w:t>
      </w:r>
      <w:r w:rsidR="00131771">
        <w:rPr>
          <w:lang w:val="fr-FR"/>
        </w:rPr>
        <w:t xml:space="preserve"> un appui de sécurité militaire auprès des forces de police participantes</w:t>
      </w:r>
      <w:r>
        <w:rPr>
          <w:lang w:val="fr-FR"/>
        </w:rPr>
        <w:t xml:space="preserve"> </w:t>
      </w:r>
      <w:r w:rsidR="00131771">
        <w:rPr>
          <w:lang w:val="fr-FR"/>
        </w:rPr>
        <w:t>(Participating Police Forces) pour</w:t>
      </w:r>
      <w:r w:rsidR="004145BD">
        <w:rPr>
          <w:lang w:val="fr-FR"/>
        </w:rPr>
        <w:t xml:space="preserve"> assurer le maintien</w:t>
      </w:r>
      <w:r w:rsidR="00131771">
        <w:rPr>
          <w:lang w:val="fr-FR"/>
        </w:rPr>
        <w:t xml:space="preserve"> de l’ordre</w:t>
      </w:r>
      <w:r w:rsidR="008D6B80">
        <w:rPr>
          <w:lang w:val="fr-FR"/>
        </w:rPr>
        <w:t xml:space="preserve">. </w:t>
      </w:r>
      <w:r w:rsidR="004145BD">
        <w:rPr>
          <w:lang w:val="fr-FR"/>
        </w:rPr>
        <w:t xml:space="preserve">Les </w:t>
      </w:r>
      <w:r w:rsidR="007761A4">
        <w:rPr>
          <w:lang w:val="fr-FR"/>
        </w:rPr>
        <w:t>forces</w:t>
      </w:r>
      <w:r w:rsidR="00F62988">
        <w:rPr>
          <w:lang w:val="fr-FR"/>
        </w:rPr>
        <w:t xml:space="preserve"> armées </w:t>
      </w:r>
      <w:r w:rsidR="004145BD">
        <w:rPr>
          <w:lang w:val="fr-FR"/>
        </w:rPr>
        <w:t>australiennes remettent les détenus directement à la police des îles Salomon dès que possible</w:t>
      </w:r>
      <w:r w:rsidR="008D6B80">
        <w:rPr>
          <w:lang w:val="fr-FR"/>
        </w:rPr>
        <w:t xml:space="preserve">. </w:t>
      </w:r>
      <w:r w:rsidR="004145BD">
        <w:rPr>
          <w:lang w:val="fr-FR"/>
        </w:rPr>
        <w:t>Le traitement de ces détenus est régi par la législation des îles Salomon qui interdit la torture, conformément à la Constitution</w:t>
      </w:r>
      <w:r w:rsidR="008D6B80">
        <w:rPr>
          <w:lang w:val="fr-FR"/>
        </w:rPr>
        <w:t xml:space="preserve">. </w:t>
      </w:r>
      <w:r w:rsidR="004145BD">
        <w:rPr>
          <w:lang w:val="fr-FR"/>
        </w:rPr>
        <w:t xml:space="preserve">Aux termes de l’article 7 de la Constitution des îles Salomon, </w:t>
      </w:r>
      <w:r w:rsidR="00A619D6">
        <w:rPr>
          <w:lang w:val="fr-FR"/>
        </w:rPr>
        <w:t>«</w:t>
      </w:r>
      <w:r w:rsidR="004145BD">
        <w:rPr>
          <w:lang w:val="fr-FR"/>
        </w:rPr>
        <w:t>nul ne sera soumis à la torture ou autres peines ou traitements inhumains ou dégradants</w:t>
      </w:r>
      <w:r w:rsidR="00A619D6">
        <w:rPr>
          <w:lang w:val="fr-FR"/>
        </w:rPr>
        <w:t>»</w:t>
      </w:r>
      <w:r w:rsidR="008D6B80">
        <w:rPr>
          <w:lang w:val="fr-FR"/>
        </w:rPr>
        <w:t>.</w:t>
      </w:r>
      <w:r w:rsidR="00572260">
        <w:rPr>
          <w:lang w:val="fr-FR"/>
        </w:rPr>
        <w:t xml:space="preserve"> </w:t>
      </w:r>
    </w:p>
    <w:p w:rsidR="00CA53E9" w:rsidRDefault="006C1C93" w:rsidP="005D7B68">
      <w:pPr>
        <w:tabs>
          <w:tab w:val="left" w:pos="567"/>
          <w:tab w:val="left" w:pos="1134"/>
          <w:tab w:val="left" w:pos="1701"/>
          <w:tab w:val="left" w:pos="2268"/>
          <w:tab w:val="left" w:pos="2835"/>
        </w:tabs>
        <w:rPr>
          <w:b/>
          <w:bCs/>
          <w:lang w:val="fr-FR"/>
        </w:rPr>
      </w:pPr>
      <w:r>
        <w:rPr>
          <w:b/>
          <w:bCs/>
          <w:lang w:val="fr-FR"/>
        </w:rPr>
        <w:t>Question 41</w:t>
      </w:r>
    </w:p>
    <w:p w:rsidR="006C1C93" w:rsidRPr="006C1C93" w:rsidRDefault="006C1C93" w:rsidP="005D7B68">
      <w:pPr>
        <w:tabs>
          <w:tab w:val="left" w:pos="567"/>
          <w:tab w:val="left" w:pos="1134"/>
          <w:tab w:val="left" w:pos="1701"/>
          <w:tab w:val="left" w:pos="2268"/>
          <w:tab w:val="left" w:pos="2835"/>
        </w:tabs>
        <w:rPr>
          <w:b/>
          <w:bCs/>
          <w:lang w:val="fr-FR"/>
        </w:rPr>
      </w:pPr>
      <w:r>
        <w:rPr>
          <w:b/>
          <w:bCs/>
          <w:lang w:val="fr-FR"/>
        </w:rPr>
        <w:tab/>
      </w:r>
      <w:r w:rsidRPr="006C1C93">
        <w:rPr>
          <w:b/>
          <w:bCs/>
          <w:lang w:val="fr-FR"/>
        </w:rPr>
        <w:t>Indiquer au Comité si − à la suite de la publication en mars 2004 du rapport du Comité conjoint permanent des traités − la position de l’État partie a évolué concernant la ratification du Protocole facultatif à la Convention. À cet égard, préciser s’il existe un mécanisme ou un organe de surveillance habilité à visiter les prisons des États et des Territoires, les prisons fédérales et d’autres centres de détention et à recevoir les plaintes pour violation des droits de l’homme émanant de personnes privées de liberté.</w:t>
      </w:r>
    </w:p>
    <w:p w:rsidR="006C1C93" w:rsidRPr="006C1C93" w:rsidRDefault="006C1C93" w:rsidP="005D7B68">
      <w:pPr>
        <w:tabs>
          <w:tab w:val="left" w:pos="567"/>
          <w:tab w:val="left" w:pos="1134"/>
          <w:tab w:val="left" w:pos="1701"/>
          <w:tab w:val="left" w:pos="2268"/>
          <w:tab w:val="left" w:pos="2835"/>
        </w:tabs>
        <w:rPr>
          <w:b/>
          <w:bCs/>
          <w:lang w:val="fr-FR"/>
        </w:rPr>
      </w:pPr>
      <w:r>
        <w:rPr>
          <w:b/>
          <w:bCs/>
          <w:lang w:val="fr-FR"/>
        </w:rPr>
        <w:t>Informations du Gouvernement du Commonwealth</w:t>
      </w:r>
    </w:p>
    <w:p w:rsidR="006C1C93" w:rsidRDefault="00F77A4E" w:rsidP="005D7B68">
      <w:pPr>
        <w:tabs>
          <w:tab w:val="left" w:pos="567"/>
          <w:tab w:val="left" w:pos="1134"/>
          <w:tab w:val="left" w:pos="1701"/>
          <w:tab w:val="left" w:pos="2268"/>
          <w:tab w:val="left" w:pos="2835"/>
        </w:tabs>
        <w:rPr>
          <w:lang w:val="fr-FR"/>
        </w:rPr>
      </w:pPr>
      <w:r>
        <w:rPr>
          <w:lang w:val="fr-FR"/>
        </w:rPr>
        <w:t>94</w:t>
      </w:r>
      <w:r w:rsidR="00F771D5">
        <w:rPr>
          <w:lang w:val="fr-FR"/>
        </w:rPr>
        <w:t>7</w:t>
      </w:r>
      <w:r>
        <w:rPr>
          <w:lang w:val="fr-FR"/>
        </w:rPr>
        <w:t>.</w:t>
      </w:r>
      <w:r>
        <w:rPr>
          <w:lang w:val="fr-FR"/>
        </w:rPr>
        <w:tab/>
        <w:t>Le Gouvernement australien n’a pas encore pris de décision officielle quant à la ratification du Protocole facultatif.</w:t>
      </w:r>
    </w:p>
    <w:p w:rsidR="00F77A4E" w:rsidRDefault="00F77A4E" w:rsidP="005D7B68">
      <w:pPr>
        <w:tabs>
          <w:tab w:val="left" w:pos="567"/>
          <w:tab w:val="left" w:pos="1134"/>
          <w:tab w:val="left" w:pos="1701"/>
          <w:tab w:val="left" w:pos="2268"/>
          <w:tab w:val="left" w:pos="2835"/>
        </w:tabs>
        <w:rPr>
          <w:lang w:val="fr-FR"/>
        </w:rPr>
      </w:pPr>
      <w:r>
        <w:rPr>
          <w:lang w:val="fr-FR"/>
        </w:rPr>
        <w:t>94</w:t>
      </w:r>
      <w:r w:rsidR="00F771D5">
        <w:rPr>
          <w:lang w:val="fr-FR"/>
        </w:rPr>
        <w:t>8</w:t>
      </w:r>
      <w:r>
        <w:rPr>
          <w:lang w:val="fr-FR"/>
        </w:rPr>
        <w:t>.</w:t>
      </w:r>
      <w:r>
        <w:rPr>
          <w:lang w:val="fr-FR"/>
        </w:rPr>
        <w:tab/>
        <w:t>Le Gouvernement australien a indiqué à de nombreuses reprises que le Protocole facultatif lui pose des problèmes de procédure et de fond</w:t>
      </w:r>
      <w:r w:rsidR="008D6B80">
        <w:rPr>
          <w:lang w:val="fr-FR"/>
        </w:rPr>
        <w:t xml:space="preserve">. </w:t>
      </w:r>
      <w:r>
        <w:rPr>
          <w:lang w:val="fr-FR"/>
        </w:rPr>
        <w:t xml:space="preserve">Il a été adopté </w:t>
      </w:r>
      <w:r w:rsidR="000A3E75">
        <w:rPr>
          <w:lang w:val="fr-FR"/>
        </w:rPr>
        <w:t>au terme</w:t>
      </w:r>
      <w:r>
        <w:rPr>
          <w:lang w:val="fr-FR"/>
        </w:rPr>
        <w:t xml:space="preserve"> d’un vote et non d’un consensus</w:t>
      </w:r>
      <w:r w:rsidR="008D6B80">
        <w:rPr>
          <w:lang w:val="fr-FR"/>
        </w:rPr>
        <w:t xml:space="preserve">. </w:t>
      </w:r>
      <w:r>
        <w:rPr>
          <w:lang w:val="fr-FR"/>
        </w:rPr>
        <w:t>La Gouvernement australien préfère de beaucoup que les traités</w:t>
      </w:r>
      <w:r w:rsidR="00381C32">
        <w:rPr>
          <w:lang w:val="fr-FR"/>
        </w:rPr>
        <w:t xml:space="preserve"> relatifs aux droits de l’homme</w:t>
      </w:r>
      <w:r>
        <w:rPr>
          <w:lang w:val="fr-FR"/>
        </w:rPr>
        <w:t xml:space="preserve"> soient adoptés par consensus, plutôt que par vote, pour avoir l’assurance qu’ils jouissent d’un large appui.</w:t>
      </w:r>
    </w:p>
    <w:p w:rsidR="006B1665" w:rsidRDefault="00F77A4E" w:rsidP="005D7B68">
      <w:pPr>
        <w:tabs>
          <w:tab w:val="left" w:pos="567"/>
          <w:tab w:val="left" w:pos="1134"/>
          <w:tab w:val="left" w:pos="1701"/>
          <w:tab w:val="left" w:pos="2268"/>
          <w:tab w:val="left" w:pos="2835"/>
        </w:tabs>
        <w:rPr>
          <w:lang w:val="fr-FR"/>
        </w:rPr>
      </w:pPr>
      <w:r>
        <w:rPr>
          <w:lang w:val="fr-FR"/>
        </w:rPr>
        <w:t>9</w:t>
      </w:r>
      <w:r w:rsidR="00F771D5">
        <w:rPr>
          <w:lang w:val="fr-FR"/>
        </w:rPr>
        <w:t>49</w:t>
      </w:r>
      <w:r>
        <w:rPr>
          <w:lang w:val="fr-FR"/>
        </w:rPr>
        <w:t>.</w:t>
      </w:r>
      <w:r>
        <w:rPr>
          <w:lang w:val="fr-FR"/>
        </w:rPr>
        <w:tab/>
      </w:r>
      <w:r w:rsidR="00BC415C">
        <w:rPr>
          <w:lang w:val="fr-FR"/>
        </w:rPr>
        <w:t>Le Protocole facultatif prévoit l’établissement d’un sous-comité du Comité contre la torture, chargé de visiter les lieux où sont placés les personnes privées de liberté dans les pays qui sont parties au Protocole</w:t>
      </w:r>
      <w:r w:rsidR="008D6B80">
        <w:rPr>
          <w:lang w:val="fr-FR"/>
        </w:rPr>
        <w:t xml:space="preserve">. </w:t>
      </w:r>
      <w:r w:rsidR="00BC415C">
        <w:rPr>
          <w:lang w:val="fr-FR"/>
        </w:rPr>
        <w:t xml:space="preserve">Le fait de devenir partie au Protocole facultatif constituerait une invitation permanente à venir faire des visites adressée au Sous-comité. </w:t>
      </w:r>
    </w:p>
    <w:p w:rsidR="00FD277B" w:rsidRPr="006C1C93" w:rsidRDefault="00BC415C" w:rsidP="005D7B68">
      <w:pPr>
        <w:tabs>
          <w:tab w:val="left" w:pos="567"/>
          <w:tab w:val="left" w:pos="1134"/>
          <w:tab w:val="left" w:pos="1701"/>
          <w:tab w:val="left" w:pos="2268"/>
          <w:tab w:val="left" w:pos="2835"/>
        </w:tabs>
        <w:rPr>
          <w:lang w:val="fr-FR"/>
        </w:rPr>
      </w:pPr>
      <w:r>
        <w:rPr>
          <w:lang w:val="fr-FR"/>
        </w:rPr>
        <w:t>95</w:t>
      </w:r>
      <w:r w:rsidR="00F771D5">
        <w:rPr>
          <w:lang w:val="fr-FR"/>
        </w:rPr>
        <w:t>0</w:t>
      </w:r>
      <w:r>
        <w:rPr>
          <w:lang w:val="fr-FR"/>
        </w:rPr>
        <w:t>.</w:t>
      </w:r>
      <w:r>
        <w:rPr>
          <w:lang w:val="fr-FR"/>
        </w:rPr>
        <w:tab/>
        <w:t>Le Comité contre la torture est déjà habilité à se rendre dans les États parties à la Convention contre la torture</w:t>
      </w:r>
      <w:r w:rsidR="00FD277B">
        <w:rPr>
          <w:lang w:val="fr-FR"/>
        </w:rPr>
        <w:t xml:space="preserve"> avec leur consentement</w:t>
      </w:r>
      <w:r w:rsidR="008D6B80">
        <w:rPr>
          <w:lang w:val="fr-FR"/>
        </w:rPr>
        <w:t xml:space="preserve">. </w:t>
      </w:r>
      <w:r w:rsidR="00FD277B">
        <w:rPr>
          <w:lang w:val="fr-FR"/>
        </w:rPr>
        <w:t>Le Gouvernement australien considère que cette invitation permanente émanant du Protocole facultatif est donc inutile.</w:t>
      </w:r>
    </w:p>
    <w:p w:rsidR="00FD277B" w:rsidRDefault="00FD277B" w:rsidP="005D7B68">
      <w:pPr>
        <w:tabs>
          <w:tab w:val="left" w:pos="567"/>
          <w:tab w:val="left" w:pos="1134"/>
          <w:tab w:val="left" w:pos="1701"/>
          <w:tab w:val="left" w:pos="2268"/>
          <w:tab w:val="left" w:pos="2835"/>
        </w:tabs>
        <w:autoSpaceDE w:val="0"/>
        <w:autoSpaceDN w:val="0"/>
        <w:adjustRightInd w:val="0"/>
        <w:rPr>
          <w:szCs w:val="24"/>
          <w:lang w:val="fr-FR" w:eastAsia="fr-FR"/>
        </w:rPr>
      </w:pPr>
      <w:r>
        <w:rPr>
          <w:lang w:val="fr-FR"/>
        </w:rPr>
        <w:t>95</w:t>
      </w:r>
      <w:r w:rsidR="00F771D5">
        <w:rPr>
          <w:lang w:val="fr-FR"/>
        </w:rPr>
        <w:t>1</w:t>
      </w:r>
      <w:r>
        <w:rPr>
          <w:lang w:val="fr-FR"/>
        </w:rPr>
        <w:t>.</w:t>
      </w:r>
      <w:r>
        <w:rPr>
          <w:lang w:val="fr-FR"/>
        </w:rPr>
        <w:tab/>
        <w:t>Conformément à ses initiatives de</w:t>
      </w:r>
      <w:r w:rsidRPr="00FD277B">
        <w:rPr>
          <w:szCs w:val="24"/>
          <w:lang w:val="fr-FR" w:eastAsia="fr-FR"/>
        </w:rPr>
        <w:t xml:space="preserve"> réforme des organes créés en vertu d’instruments internationaux</w:t>
      </w:r>
      <w:r>
        <w:rPr>
          <w:szCs w:val="24"/>
          <w:lang w:val="fr-FR" w:eastAsia="fr-FR"/>
        </w:rPr>
        <w:t>, le gouvernement es</w:t>
      </w:r>
      <w:r w:rsidR="002D54F2">
        <w:rPr>
          <w:szCs w:val="24"/>
          <w:lang w:val="fr-FR" w:eastAsia="fr-FR"/>
        </w:rPr>
        <w:t>t convaincu que l</w:t>
      </w:r>
      <w:r>
        <w:rPr>
          <w:szCs w:val="24"/>
          <w:lang w:val="fr-FR" w:eastAsia="fr-FR"/>
        </w:rPr>
        <w:t xml:space="preserve">es Nations Unies devraient viser à </w:t>
      </w:r>
      <w:r w:rsidR="002D54F2">
        <w:rPr>
          <w:szCs w:val="24"/>
          <w:lang w:val="fr-FR" w:eastAsia="fr-FR"/>
        </w:rPr>
        <w:t>maximiser l’efficacité de leurs ressources, ce que ne permettrait pas de faire la création d’un nouveau sous-comité chargé de faire le tour des pays qui sont déjà parties à la Convention contre la torture.</w:t>
      </w:r>
    </w:p>
    <w:p w:rsidR="002D54F2" w:rsidRDefault="002D54F2" w:rsidP="005D7B68">
      <w:pPr>
        <w:tabs>
          <w:tab w:val="left" w:pos="567"/>
          <w:tab w:val="left" w:pos="1134"/>
          <w:tab w:val="left" w:pos="1701"/>
          <w:tab w:val="left" w:pos="2268"/>
          <w:tab w:val="left" w:pos="2835"/>
        </w:tabs>
        <w:autoSpaceDE w:val="0"/>
        <w:autoSpaceDN w:val="0"/>
        <w:adjustRightInd w:val="0"/>
        <w:rPr>
          <w:szCs w:val="24"/>
          <w:lang w:val="fr-FR" w:eastAsia="fr-FR"/>
        </w:rPr>
      </w:pPr>
      <w:r>
        <w:rPr>
          <w:szCs w:val="24"/>
          <w:lang w:val="fr-FR" w:eastAsia="fr-FR"/>
        </w:rPr>
        <w:t>95</w:t>
      </w:r>
      <w:r w:rsidR="00F771D5">
        <w:rPr>
          <w:szCs w:val="24"/>
          <w:lang w:val="fr-FR" w:eastAsia="fr-FR"/>
        </w:rPr>
        <w:t>2</w:t>
      </w:r>
      <w:r>
        <w:rPr>
          <w:szCs w:val="24"/>
          <w:lang w:val="fr-FR" w:eastAsia="fr-FR"/>
        </w:rPr>
        <w:t>.</w:t>
      </w:r>
      <w:r>
        <w:rPr>
          <w:szCs w:val="24"/>
          <w:lang w:val="fr-FR" w:eastAsia="fr-FR"/>
        </w:rPr>
        <w:tab/>
      </w:r>
      <w:r w:rsidR="00DE75CD">
        <w:rPr>
          <w:szCs w:val="24"/>
          <w:lang w:val="fr-FR" w:eastAsia="fr-FR"/>
        </w:rPr>
        <w:t>Le Gouvernement australien a pour politique d’accéder à toutes les propositions de visite des comités des droits de l’homme et à toutes les demandes de procédures spéciales sauf cas de force majeure</w:t>
      </w:r>
      <w:r w:rsidR="008D6B80">
        <w:rPr>
          <w:szCs w:val="24"/>
          <w:lang w:val="fr-FR" w:eastAsia="fr-FR"/>
        </w:rPr>
        <w:t xml:space="preserve">. </w:t>
      </w:r>
      <w:r w:rsidR="00DE75CD">
        <w:rPr>
          <w:szCs w:val="24"/>
          <w:lang w:val="fr-FR" w:eastAsia="fr-FR"/>
        </w:rPr>
        <w:t xml:space="preserve">L’Australie considère qu’il est important de garder le droit </w:t>
      </w:r>
      <w:r w:rsidR="009A0513">
        <w:rPr>
          <w:szCs w:val="24"/>
          <w:lang w:val="fr-FR" w:eastAsia="fr-FR"/>
        </w:rPr>
        <w:t>d’</w:t>
      </w:r>
      <w:r w:rsidR="00DE75CD">
        <w:rPr>
          <w:szCs w:val="24"/>
          <w:lang w:val="fr-FR" w:eastAsia="fr-FR"/>
        </w:rPr>
        <w:t>examiner</w:t>
      </w:r>
      <w:r w:rsidR="009A0513">
        <w:rPr>
          <w:szCs w:val="24"/>
          <w:lang w:val="fr-FR" w:eastAsia="fr-FR"/>
        </w:rPr>
        <w:t xml:space="preserve"> l’intérêt que présente cette visite au cas par cas.</w:t>
      </w:r>
    </w:p>
    <w:p w:rsidR="009A0513" w:rsidRDefault="009A0513" w:rsidP="005D7B68">
      <w:pPr>
        <w:tabs>
          <w:tab w:val="left" w:pos="567"/>
          <w:tab w:val="left" w:pos="1134"/>
          <w:tab w:val="left" w:pos="1701"/>
          <w:tab w:val="left" w:pos="2268"/>
          <w:tab w:val="left" w:pos="2835"/>
        </w:tabs>
        <w:autoSpaceDE w:val="0"/>
        <w:autoSpaceDN w:val="0"/>
        <w:adjustRightInd w:val="0"/>
        <w:rPr>
          <w:szCs w:val="24"/>
          <w:lang w:val="fr-FR" w:eastAsia="fr-FR"/>
        </w:rPr>
      </w:pPr>
      <w:r>
        <w:rPr>
          <w:szCs w:val="24"/>
          <w:lang w:val="fr-FR" w:eastAsia="fr-FR"/>
        </w:rPr>
        <w:t>95</w:t>
      </w:r>
      <w:r w:rsidR="00F771D5">
        <w:rPr>
          <w:szCs w:val="24"/>
          <w:lang w:val="fr-FR" w:eastAsia="fr-FR"/>
        </w:rPr>
        <w:t>3</w:t>
      </w:r>
      <w:r>
        <w:rPr>
          <w:szCs w:val="24"/>
          <w:lang w:val="fr-FR" w:eastAsia="fr-FR"/>
        </w:rPr>
        <w:t>.</w:t>
      </w:r>
      <w:r>
        <w:rPr>
          <w:szCs w:val="24"/>
          <w:lang w:val="fr-FR" w:eastAsia="fr-FR"/>
        </w:rPr>
        <w:tab/>
        <w:t>Au plan national, l’Australie a une magistrature forte et indépendante qui statue su</w:t>
      </w:r>
      <w:r w:rsidR="006B0E0E">
        <w:rPr>
          <w:szCs w:val="24"/>
          <w:lang w:val="fr-FR" w:eastAsia="fr-FR"/>
        </w:rPr>
        <w:t>r les allégations de torture</w:t>
      </w:r>
      <w:r>
        <w:rPr>
          <w:szCs w:val="24"/>
          <w:lang w:val="fr-FR" w:eastAsia="fr-FR"/>
        </w:rPr>
        <w:t xml:space="preserve"> </w:t>
      </w:r>
      <w:r w:rsidR="006B0E0E">
        <w:rPr>
          <w:szCs w:val="24"/>
          <w:lang w:val="fr-FR" w:eastAsia="fr-FR"/>
        </w:rPr>
        <w:t>constitua</w:t>
      </w:r>
      <w:r>
        <w:rPr>
          <w:szCs w:val="24"/>
          <w:lang w:val="fr-FR" w:eastAsia="fr-FR"/>
        </w:rPr>
        <w:t>nt une infraction pénale si elles sont avérées.</w:t>
      </w:r>
    </w:p>
    <w:p w:rsidR="009A0513" w:rsidRDefault="009A0513" w:rsidP="005D7B68">
      <w:pPr>
        <w:tabs>
          <w:tab w:val="left" w:pos="567"/>
          <w:tab w:val="left" w:pos="1134"/>
          <w:tab w:val="left" w:pos="1701"/>
          <w:tab w:val="left" w:pos="2268"/>
          <w:tab w:val="left" w:pos="2835"/>
        </w:tabs>
        <w:autoSpaceDE w:val="0"/>
        <w:autoSpaceDN w:val="0"/>
        <w:adjustRightInd w:val="0"/>
        <w:rPr>
          <w:szCs w:val="24"/>
          <w:lang w:val="fr-FR" w:eastAsia="fr-FR"/>
        </w:rPr>
      </w:pPr>
      <w:r>
        <w:rPr>
          <w:szCs w:val="24"/>
          <w:lang w:val="fr-FR" w:eastAsia="fr-FR"/>
        </w:rPr>
        <w:t>95</w:t>
      </w:r>
      <w:r w:rsidR="00F771D5">
        <w:rPr>
          <w:szCs w:val="24"/>
          <w:lang w:val="fr-FR" w:eastAsia="fr-FR"/>
        </w:rPr>
        <w:t>4</w:t>
      </w:r>
      <w:r>
        <w:rPr>
          <w:szCs w:val="24"/>
          <w:lang w:val="fr-FR" w:eastAsia="fr-FR"/>
        </w:rPr>
        <w:t>.</w:t>
      </w:r>
      <w:r>
        <w:rPr>
          <w:szCs w:val="24"/>
          <w:lang w:val="fr-FR" w:eastAsia="fr-FR"/>
        </w:rPr>
        <w:tab/>
        <w:t>La Commission des droits de l’homme et de l’égalité des chances peut également enquêter sur un acte ou une pratique du Gouvernement Australien incompatible avec les droits de l’homme, y compris avec l’interdiction de la torture stipulée par le Pacte international relatif aux droits civils et politiques.</w:t>
      </w:r>
    </w:p>
    <w:p w:rsidR="009A0513" w:rsidRPr="00FD277B" w:rsidRDefault="009A0513" w:rsidP="005D7B68">
      <w:pPr>
        <w:tabs>
          <w:tab w:val="left" w:pos="567"/>
          <w:tab w:val="left" w:pos="1134"/>
          <w:tab w:val="left" w:pos="1701"/>
          <w:tab w:val="left" w:pos="2268"/>
          <w:tab w:val="left" w:pos="2835"/>
        </w:tabs>
        <w:autoSpaceDE w:val="0"/>
        <w:autoSpaceDN w:val="0"/>
        <w:adjustRightInd w:val="0"/>
        <w:rPr>
          <w:szCs w:val="24"/>
          <w:lang w:val="fr-FR" w:eastAsia="fr-FR"/>
        </w:rPr>
      </w:pPr>
      <w:r>
        <w:rPr>
          <w:szCs w:val="24"/>
          <w:lang w:val="fr-FR" w:eastAsia="fr-FR"/>
        </w:rPr>
        <w:t>95</w:t>
      </w:r>
      <w:r w:rsidR="00F771D5">
        <w:rPr>
          <w:szCs w:val="24"/>
          <w:lang w:val="fr-FR" w:eastAsia="fr-FR"/>
        </w:rPr>
        <w:t>5</w:t>
      </w:r>
      <w:r>
        <w:rPr>
          <w:szCs w:val="24"/>
          <w:lang w:val="fr-FR" w:eastAsia="fr-FR"/>
        </w:rPr>
        <w:t>.</w:t>
      </w:r>
      <w:r>
        <w:rPr>
          <w:szCs w:val="24"/>
          <w:lang w:val="fr-FR" w:eastAsia="fr-FR"/>
        </w:rPr>
        <w:tab/>
        <w:t>La Commission des droits de l’homme et de l’égalité des chances n’a pas le pouvoir d’enqu</w:t>
      </w:r>
      <w:r w:rsidR="00AC0CB4">
        <w:rPr>
          <w:szCs w:val="24"/>
          <w:lang w:val="fr-FR" w:eastAsia="fr-FR"/>
        </w:rPr>
        <w:t>êter sur les actes ou pratiqu</w:t>
      </w:r>
      <w:r>
        <w:rPr>
          <w:szCs w:val="24"/>
          <w:lang w:val="fr-FR" w:eastAsia="fr-FR"/>
        </w:rPr>
        <w:t>es d’un</w:t>
      </w:r>
      <w:r w:rsidR="00AC0CB4">
        <w:rPr>
          <w:szCs w:val="24"/>
          <w:lang w:val="fr-FR" w:eastAsia="fr-FR"/>
        </w:rPr>
        <w:t xml:space="preserve"> service de renseignements</w:t>
      </w:r>
      <w:r w:rsidR="008D6B80">
        <w:rPr>
          <w:szCs w:val="24"/>
          <w:lang w:val="fr-FR" w:eastAsia="fr-FR"/>
        </w:rPr>
        <w:t xml:space="preserve">. </w:t>
      </w:r>
      <w:r w:rsidR="00AC0CB4">
        <w:rPr>
          <w:szCs w:val="24"/>
          <w:lang w:val="fr-FR" w:eastAsia="fr-FR"/>
        </w:rPr>
        <w:t>Les plaintes alléguant des violations des droits de l’homme de la part d’un service de renseignements sont transmises à l’Inspecteur général des renseignements et de la sécurité.</w:t>
      </w:r>
    </w:p>
    <w:p w:rsidR="00AC0CB4" w:rsidRPr="00FD277B" w:rsidRDefault="00AC0CB4" w:rsidP="005D7B68">
      <w:pPr>
        <w:tabs>
          <w:tab w:val="left" w:pos="567"/>
          <w:tab w:val="left" w:pos="1134"/>
          <w:tab w:val="left" w:pos="1701"/>
          <w:tab w:val="left" w:pos="2268"/>
          <w:tab w:val="left" w:pos="2835"/>
        </w:tabs>
        <w:rPr>
          <w:lang w:val="fr-FR"/>
        </w:rPr>
      </w:pPr>
      <w:r>
        <w:rPr>
          <w:lang w:val="fr-FR"/>
        </w:rPr>
        <w:t>95</w:t>
      </w:r>
      <w:r w:rsidR="00F771D5">
        <w:rPr>
          <w:lang w:val="fr-FR"/>
        </w:rPr>
        <w:t>6</w:t>
      </w:r>
      <w:r>
        <w:rPr>
          <w:lang w:val="fr-FR"/>
        </w:rPr>
        <w:t>.</w:t>
      </w:r>
      <w:r>
        <w:rPr>
          <w:lang w:val="fr-FR"/>
        </w:rPr>
        <w:tab/>
        <w:t xml:space="preserve">Le Médiateur du Commonwealth est habilité à enquêter sur les </w:t>
      </w:r>
      <w:r w:rsidR="00CF0677">
        <w:rPr>
          <w:lang w:val="fr-FR"/>
        </w:rPr>
        <w:t xml:space="preserve">plaintes relatives </w:t>
      </w:r>
      <w:r w:rsidR="00381C32">
        <w:rPr>
          <w:lang w:val="fr-FR"/>
        </w:rPr>
        <w:t xml:space="preserve">aux </w:t>
      </w:r>
      <w:r w:rsidR="00CF0677">
        <w:rPr>
          <w:lang w:val="fr-FR"/>
        </w:rPr>
        <w:t>mesures administratives des ministères et organismes du Gouvernement australien.</w:t>
      </w:r>
    </w:p>
    <w:p w:rsidR="00FD277B" w:rsidRDefault="00CF0677" w:rsidP="005D7B68">
      <w:pPr>
        <w:tabs>
          <w:tab w:val="left" w:pos="567"/>
          <w:tab w:val="left" w:pos="1134"/>
          <w:tab w:val="left" w:pos="1701"/>
          <w:tab w:val="left" w:pos="2268"/>
          <w:tab w:val="left" w:pos="2835"/>
        </w:tabs>
        <w:rPr>
          <w:b/>
          <w:bCs/>
          <w:lang w:val="fr-FR"/>
        </w:rPr>
      </w:pPr>
      <w:r>
        <w:rPr>
          <w:b/>
          <w:bCs/>
          <w:lang w:val="fr-FR"/>
        </w:rPr>
        <w:t>Mécanismes de contrôle dans les prisons et les centres de détention</w:t>
      </w:r>
    </w:p>
    <w:p w:rsidR="00CF0677" w:rsidRPr="00CF0677" w:rsidRDefault="00CF0677" w:rsidP="005D7B68">
      <w:pPr>
        <w:tabs>
          <w:tab w:val="left" w:pos="567"/>
          <w:tab w:val="left" w:pos="1134"/>
          <w:tab w:val="left" w:pos="1701"/>
          <w:tab w:val="left" w:pos="2268"/>
          <w:tab w:val="left" w:pos="2835"/>
        </w:tabs>
        <w:rPr>
          <w:lang w:val="fr-FR"/>
        </w:rPr>
      </w:pPr>
      <w:r>
        <w:rPr>
          <w:lang w:val="fr-FR"/>
        </w:rPr>
        <w:t>95</w:t>
      </w:r>
      <w:r w:rsidR="00F771D5">
        <w:rPr>
          <w:lang w:val="fr-FR"/>
        </w:rPr>
        <w:t>7</w:t>
      </w:r>
      <w:r>
        <w:rPr>
          <w:lang w:val="fr-FR"/>
        </w:rPr>
        <w:t>.</w:t>
      </w:r>
      <w:r>
        <w:rPr>
          <w:lang w:val="fr-FR"/>
        </w:rPr>
        <w:tab/>
        <w:t>Il n’y a pas de prisons fédérales en Australie</w:t>
      </w:r>
      <w:r w:rsidR="008D6B80">
        <w:rPr>
          <w:lang w:val="fr-FR"/>
        </w:rPr>
        <w:t xml:space="preserve">. </w:t>
      </w:r>
      <w:r>
        <w:rPr>
          <w:lang w:val="fr-FR"/>
        </w:rPr>
        <w:t>En vertu de la Constitution, les États et Territoires sont responsables de l’emprisonnement de</w:t>
      </w:r>
      <w:r w:rsidR="00D34B06">
        <w:rPr>
          <w:lang w:val="fr-FR"/>
        </w:rPr>
        <w:t>s délinquants relevant de la justice fédérale comme de</w:t>
      </w:r>
      <w:r>
        <w:rPr>
          <w:lang w:val="fr-FR"/>
        </w:rPr>
        <w:t xml:space="preserve"> celle de l’État, et de leurs conditions de détention.</w:t>
      </w:r>
    </w:p>
    <w:p w:rsidR="008C5B41" w:rsidRPr="00FD277B" w:rsidRDefault="004E2CF6" w:rsidP="005D7B68">
      <w:pPr>
        <w:tabs>
          <w:tab w:val="left" w:pos="567"/>
          <w:tab w:val="left" w:pos="1134"/>
          <w:tab w:val="left" w:pos="1701"/>
          <w:tab w:val="left" w:pos="2268"/>
          <w:tab w:val="left" w:pos="2835"/>
        </w:tabs>
        <w:rPr>
          <w:lang w:val="fr-FR"/>
        </w:rPr>
      </w:pPr>
      <w:r>
        <w:rPr>
          <w:lang w:val="fr-FR"/>
        </w:rPr>
        <w:t>95</w:t>
      </w:r>
      <w:r w:rsidR="00F771D5">
        <w:rPr>
          <w:lang w:val="fr-FR"/>
        </w:rPr>
        <w:t>8</w:t>
      </w:r>
      <w:r>
        <w:rPr>
          <w:lang w:val="fr-FR"/>
        </w:rPr>
        <w:t>.</w:t>
      </w:r>
      <w:r>
        <w:rPr>
          <w:lang w:val="fr-FR"/>
        </w:rPr>
        <w:tab/>
      </w:r>
      <w:r>
        <w:rPr>
          <w:szCs w:val="24"/>
          <w:lang w:val="fr-FR" w:eastAsia="fr-FR"/>
        </w:rPr>
        <w:t>La Commission des droits de l’homme et de l’égalité des chances est habilitée à instruire les plaintes des détenus</w:t>
      </w:r>
      <w:r w:rsidR="00D34B06">
        <w:rPr>
          <w:szCs w:val="24"/>
          <w:lang w:val="fr-FR" w:eastAsia="fr-FR"/>
        </w:rPr>
        <w:t xml:space="preserve"> relevant de la justice fédérale</w:t>
      </w:r>
      <w:r w:rsidR="006A3220">
        <w:rPr>
          <w:szCs w:val="24"/>
          <w:lang w:val="fr-FR" w:eastAsia="fr-FR"/>
        </w:rPr>
        <w:t xml:space="preserve"> </w:t>
      </w:r>
      <w:r w:rsidR="00381C32">
        <w:rPr>
          <w:szCs w:val="24"/>
          <w:lang w:val="fr-FR" w:eastAsia="fr-FR"/>
        </w:rPr>
        <w:t xml:space="preserve">et </w:t>
      </w:r>
      <w:r w:rsidR="006A3220">
        <w:rPr>
          <w:szCs w:val="24"/>
          <w:lang w:val="fr-FR" w:eastAsia="fr-FR"/>
        </w:rPr>
        <w:t>alléguant qu’un acte ou une pratique du Commonwealth est incompatible avec les droits de l’homme</w:t>
      </w:r>
      <w:r w:rsidR="00572260">
        <w:rPr>
          <w:szCs w:val="24"/>
          <w:lang w:val="fr-FR" w:eastAsia="fr-FR"/>
        </w:rPr>
        <w:t>;</w:t>
      </w:r>
      <w:r>
        <w:rPr>
          <w:szCs w:val="24"/>
          <w:lang w:val="fr-FR" w:eastAsia="fr-FR"/>
        </w:rPr>
        <w:t xml:space="preserve"> </w:t>
      </w:r>
    </w:p>
    <w:p w:rsidR="008C5B41" w:rsidRPr="008C5B41" w:rsidRDefault="008C5B41" w:rsidP="005D7B68">
      <w:pPr>
        <w:tabs>
          <w:tab w:val="left" w:pos="567"/>
          <w:tab w:val="left" w:pos="1134"/>
          <w:tab w:val="left" w:pos="1701"/>
          <w:tab w:val="left" w:pos="2268"/>
          <w:tab w:val="left" w:pos="2835"/>
        </w:tabs>
        <w:rPr>
          <w:lang w:val="fr-FR"/>
        </w:rPr>
      </w:pPr>
      <w:r>
        <w:rPr>
          <w:lang w:val="fr-FR"/>
        </w:rPr>
        <w:t>9</w:t>
      </w:r>
      <w:r w:rsidR="00F771D5">
        <w:rPr>
          <w:lang w:val="fr-FR"/>
        </w:rPr>
        <w:t>59</w:t>
      </w:r>
      <w:r>
        <w:rPr>
          <w:lang w:val="fr-FR"/>
        </w:rPr>
        <w:t>.</w:t>
      </w:r>
      <w:r>
        <w:rPr>
          <w:lang w:val="fr-FR"/>
        </w:rPr>
        <w:tab/>
        <w:t>Tous les immigrants placés en rétention ont le droit de déposer une plainte concernant la gestion d’un centre de rétention d’immigrants ou le traitement dont ils</w:t>
      </w:r>
      <w:r w:rsidR="00850A77">
        <w:rPr>
          <w:lang w:val="fr-FR"/>
        </w:rPr>
        <w:t xml:space="preserve"> y font l’objet</w:t>
      </w:r>
      <w:r w:rsidR="008D6B80">
        <w:rPr>
          <w:lang w:val="fr-FR"/>
        </w:rPr>
        <w:t xml:space="preserve">. </w:t>
      </w:r>
      <w:r>
        <w:rPr>
          <w:lang w:val="fr-FR"/>
        </w:rPr>
        <w:t>Ils peuvent faire valoir leurs droits librement et sans crainte de représailles.</w:t>
      </w:r>
    </w:p>
    <w:p w:rsidR="008C5B41" w:rsidRDefault="008C5B41" w:rsidP="005D7B68">
      <w:pPr>
        <w:tabs>
          <w:tab w:val="left" w:pos="567"/>
          <w:tab w:val="left" w:pos="1134"/>
          <w:tab w:val="left" w:pos="1701"/>
          <w:tab w:val="left" w:pos="2268"/>
          <w:tab w:val="left" w:pos="2835"/>
        </w:tabs>
        <w:rPr>
          <w:lang w:val="fr-FR"/>
        </w:rPr>
      </w:pPr>
      <w:r>
        <w:rPr>
          <w:lang w:val="fr-FR"/>
        </w:rPr>
        <w:t>96</w:t>
      </w:r>
      <w:r w:rsidR="00F771D5">
        <w:rPr>
          <w:lang w:val="fr-FR"/>
        </w:rPr>
        <w:t>0</w:t>
      </w:r>
      <w:r>
        <w:rPr>
          <w:lang w:val="fr-FR"/>
        </w:rPr>
        <w:t>.</w:t>
      </w:r>
      <w:r>
        <w:rPr>
          <w:lang w:val="fr-FR"/>
        </w:rPr>
        <w:tab/>
        <w:t>Les immigrants placés en rétention peuvent porter plainte auprès des services ci-après</w:t>
      </w:r>
      <w:r w:rsidR="00572260">
        <w:rPr>
          <w:lang w:val="fr-FR"/>
        </w:rPr>
        <w:t>:</w:t>
      </w:r>
    </w:p>
    <w:p w:rsidR="008C5B41" w:rsidRDefault="008C5B41" w:rsidP="005D7B68">
      <w:pPr>
        <w:tabs>
          <w:tab w:val="left" w:pos="567"/>
          <w:tab w:val="left" w:pos="1134"/>
          <w:tab w:val="left" w:pos="1701"/>
          <w:tab w:val="left" w:pos="2268"/>
          <w:tab w:val="left" w:pos="2835"/>
        </w:tabs>
        <w:rPr>
          <w:lang w:val="fr-FR"/>
        </w:rPr>
      </w:pPr>
      <w:r>
        <w:rPr>
          <w:lang w:val="fr-FR"/>
        </w:rPr>
        <w:tab/>
        <w:t>a)</w:t>
      </w:r>
      <w:r>
        <w:rPr>
          <w:lang w:val="fr-FR"/>
        </w:rPr>
        <w:tab/>
        <w:t>Le prestataire de services de détention ou le personnel du département présent au centre</w:t>
      </w:r>
      <w:r w:rsidR="00572260">
        <w:rPr>
          <w:lang w:val="fr-FR"/>
        </w:rPr>
        <w:t>;</w:t>
      </w:r>
    </w:p>
    <w:p w:rsidR="008C5B41" w:rsidRDefault="008C5B41" w:rsidP="005D7B68">
      <w:pPr>
        <w:tabs>
          <w:tab w:val="left" w:pos="567"/>
          <w:tab w:val="left" w:pos="1134"/>
          <w:tab w:val="left" w:pos="1701"/>
          <w:tab w:val="left" w:pos="2268"/>
          <w:tab w:val="left" w:pos="2835"/>
        </w:tabs>
        <w:rPr>
          <w:lang w:val="fr-FR"/>
        </w:rPr>
      </w:pPr>
      <w:r>
        <w:rPr>
          <w:lang w:val="fr-FR"/>
        </w:rPr>
        <w:tab/>
        <w:t>b)</w:t>
      </w:r>
      <w:r>
        <w:rPr>
          <w:lang w:val="fr-FR"/>
        </w:rPr>
        <w:tab/>
        <w:t>Le Médiateur du Commonwealth</w:t>
      </w:r>
      <w:r w:rsidR="00572260">
        <w:rPr>
          <w:lang w:val="fr-FR"/>
        </w:rPr>
        <w:t>;</w:t>
      </w:r>
    </w:p>
    <w:p w:rsidR="008C5B41" w:rsidRDefault="008C5B41" w:rsidP="005D7B68">
      <w:pPr>
        <w:tabs>
          <w:tab w:val="left" w:pos="567"/>
          <w:tab w:val="left" w:pos="1134"/>
          <w:tab w:val="left" w:pos="1701"/>
          <w:tab w:val="left" w:pos="2268"/>
          <w:tab w:val="left" w:pos="2835"/>
        </w:tabs>
        <w:rPr>
          <w:lang w:val="fr-FR"/>
        </w:rPr>
      </w:pPr>
      <w:r>
        <w:rPr>
          <w:lang w:val="fr-FR"/>
        </w:rPr>
        <w:tab/>
        <w:t>c)</w:t>
      </w:r>
      <w:r>
        <w:rPr>
          <w:lang w:val="fr-FR"/>
        </w:rPr>
        <w:tab/>
        <w:t>La police</w:t>
      </w:r>
      <w:r w:rsidR="00572260">
        <w:rPr>
          <w:lang w:val="fr-FR"/>
        </w:rPr>
        <w:t>;</w:t>
      </w:r>
    </w:p>
    <w:p w:rsidR="00EA2D4B" w:rsidRDefault="008C5B41" w:rsidP="005D7B68">
      <w:pPr>
        <w:tabs>
          <w:tab w:val="left" w:pos="567"/>
          <w:tab w:val="left" w:pos="1134"/>
          <w:tab w:val="left" w:pos="1701"/>
          <w:tab w:val="left" w:pos="2268"/>
          <w:tab w:val="left" w:pos="2835"/>
        </w:tabs>
        <w:rPr>
          <w:lang w:val="fr-FR"/>
        </w:rPr>
      </w:pPr>
      <w:r>
        <w:rPr>
          <w:lang w:val="fr-FR"/>
        </w:rPr>
        <w:tab/>
        <w:t>d)</w:t>
      </w:r>
      <w:r>
        <w:rPr>
          <w:lang w:val="fr-FR"/>
        </w:rPr>
        <w:tab/>
        <w:t>Les organismes de protection de l’enfance des États ou Territoires</w:t>
      </w:r>
      <w:r w:rsidR="00572260">
        <w:rPr>
          <w:lang w:val="fr-FR"/>
        </w:rPr>
        <w:t>;</w:t>
      </w:r>
      <w:r w:rsidR="00EA2D4B">
        <w:rPr>
          <w:lang w:val="fr-FR"/>
        </w:rPr>
        <w:t xml:space="preserve"> et</w:t>
      </w:r>
    </w:p>
    <w:p w:rsidR="008C5B41" w:rsidRDefault="00EA2D4B" w:rsidP="005D7B68">
      <w:pPr>
        <w:tabs>
          <w:tab w:val="left" w:pos="567"/>
          <w:tab w:val="left" w:pos="1134"/>
          <w:tab w:val="left" w:pos="1701"/>
          <w:tab w:val="left" w:pos="2268"/>
          <w:tab w:val="left" w:pos="2835"/>
        </w:tabs>
        <w:rPr>
          <w:szCs w:val="24"/>
          <w:lang w:val="fr-FR" w:eastAsia="fr-FR"/>
        </w:rPr>
      </w:pPr>
      <w:r>
        <w:rPr>
          <w:lang w:val="fr-FR"/>
        </w:rPr>
        <w:tab/>
        <w:t>e)</w:t>
      </w:r>
      <w:r>
        <w:rPr>
          <w:lang w:val="fr-FR"/>
        </w:rPr>
        <w:tab/>
        <w:t>D’autres organismes</w:t>
      </w:r>
      <w:r w:rsidR="008C5B41">
        <w:rPr>
          <w:lang w:val="fr-FR"/>
        </w:rPr>
        <w:t xml:space="preserve"> </w:t>
      </w:r>
      <w:r>
        <w:rPr>
          <w:lang w:val="fr-FR"/>
        </w:rPr>
        <w:t xml:space="preserve">extérieurs, comme </w:t>
      </w:r>
      <w:r>
        <w:rPr>
          <w:szCs w:val="24"/>
          <w:lang w:val="fr-FR" w:eastAsia="fr-FR"/>
        </w:rPr>
        <w:t>la Commission des droits de l’homme et de l’égalité des chances.</w:t>
      </w:r>
    </w:p>
    <w:p w:rsidR="00D01988" w:rsidRDefault="00D01988" w:rsidP="005D7B68">
      <w:pPr>
        <w:tabs>
          <w:tab w:val="left" w:pos="567"/>
          <w:tab w:val="left" w:pos="1134"/>
          <w:tab w:val="left" w:pos="1701"/>
          <w:tab w:val="left" w:pos="2268"/>
          <w:tab w:val="left" w:pos="2835"/>
        </w:tabs>
        <w:rPr>
          <w:szCs w:val="24"/>
          <w:lang w:val="fr-FR" w:eastAsia="fr-FR"/>
        </w:rPr>
      </w:pPr>
      <w:r>
        <w:rPr>
          <w:szCs w:val="24"/>
          <w:lang w:val="fr-FR" w:eastAsia="fr-FR"/>
        </w:rPr>
        <w:t>9</w:t>
      </w:r>
      <w:r w:rsidR="00F771D5">
        <w:rPr>
          <w:szCs w:val="24"/>
          <w:lang w:val="fr-FR" w:eastAsia="fr-FR"/>
        </w:rPr>
        <w:t>61</w:t>
      </w:r>
      <w:r>
        <w:rPr>
          <w:szCs w:val="24"/>
          <w:lang w:val="fr-FR" w:eastAsia="fr-FR"/>
        </w:rPr>
        <w:t>.</w:t>
      </w:r>
      <w:r>
        <w:rPr>
          <w:szCs w:val="24"/>
          <w:lang w:val="fr-FR" w:eastAsia="fr-FR"/>
        </w:rPr>
        <w:tab/>
        <w:t>La rétention des immigrants fait également l’objet d’une surveillance permanente de la part d’organismes extérieurs comme des comités parlementaires, la Commission des droits de l’homme et de l’égalité des chances, le Médiateur du Commonwealth, le Haut Commissariat des Nations Unies pour les réfugiés et le Groupe consultatif pour la rétention d’immigrants (Immigration Detention Advisory Group) pour vérifier que les immigrants placés dans des centres de rétention sont traités humainement, correctement et équitablement</w:t>
      </w:r>
      <w:r w:rsidR="008D6B80">
        <w:rPr>
          <w:szCs w:val="24"/>
          <w:lang w:val="fr-FR" w:eastAsia="fr-FR"/>
        </w:rPr>
        <w:t xml:space="preserve">. </w:t>
      </w:r>
      <w:r>
        <w:rPr>
          <w:szCs w:val="24"/>
          <w:lang w:val="fr-FR" w:eastAsia="fr-FR"/>
        </w:rPr>
        <w:t xml:space="preserve">En outre, des parlementaires et des comités parlementaires visitent régulièrement ces centres ainsi que </w:t>
      </w:r>
      <w:r w:rsidR="00B47732">
        <w:rPr>
          <w:szCs w:val="24"/>
          <w:lang w:val="fr-FR" w:eastAsia="fr-FR"/>
        </w:rPr>
        <w:t xml:space="preserve">les centre de logement des immigrants (Immigration Residential Housing) et établissent </w:t>
      </w:r>
      <w:r w:rsidR="00C06F72">
        <w:rPr>
          <w:szCs w:val="24"/>
          <w:lang w:val="fr-FR" w:eastAsia="fr-FR"/>
        </w:rPr>
        <w:t xml:space="preserve">ensuite </w:t>
      </w:r>
      <w:r w:rsidR="00B47732">
        <w:rPr>
          <w:szCs w:val="24"/>
          <w:lang w:val="fr-FR" w:eastAsia="fr-FR"/>
        </w:rPr>
        <w:t>des rapport</w:t>
      </w:r>
      <w:r w:rsidR="00C06F72">
        <w:rPr>
          <w:szCs w:val="24"/>
          <w:lang w:val="fr-FR" w:eastAsia="fr-FR"/>
        </w:rPr>
        <w:t>s.</w:t>
      </w:r>
    </w:p>
    <w:p w:rsidR="009E4AB4" w:rsidRPr="008C5B41" w:rsidRDefault="00C06F72" w:rsidP="005D7B68">
      <w:pPr>
        <w:tabs>
          <w:tab w:val="left" w:pos="567"/>
          <w:tab w:val="left" w:pos="1134"/>
          <w:tab w:val="left" w:pos="1701"/>
          <w:tab w:val="left" w:pos="2268"/>
          <w:tab w:val="left" w:pos="2835"/>
        </w:tabs>
        <w:rPr>
          <w:lang w:val="fr-FR"/>
        </w:rPr>
      </w:pPr>
      <w:r>
        <w:rPr>
          <w:lang w:val="fr-FR"/>
        </w:rPr>
        <w:t>96</w:t>
      </w:r>
      <w:r w:rsidR="00F771D5">
        <w:rPr>
          <w:lang w:val="fr-FR"/>
        </w:rPr>
        <w:t>2</w:t>
      </w:r>
      <w:r>
        <w:rPr>
          <w:lang w:val="fr-FR"/>
        </w:rPr>
        <w:t>.</w:t>
      </w:r>
      <w:r>
        <w:rPr>
          <w:lang w:val="fr-FR"/>
        </w:rPr>
        <w:tab/>
        <w:t xml:space="preserve">La loi autorise le Médiateur du Commonwealth et </w:t>
      </w:r>
      <w:r>
        <w:rPr>
          <w:szCs w:val="24"/>
          <w:lang w:val="fr-FR" w:eastAsia="fr-FR"/>
        </w:rPr>
        <w:t>la Commission des droits de l’homme et de l’égalité des chances à obtenir des renseignements aux fin</w:t>
      </w:r>
      <w:r w:rsidR="00850A77">
        <w:rPr>
          <w:szCs w:val="24"/>
          <w:lang w:val="fr-FR" w:eastAsia="fr-FR"/>
        </w:rPr>
        <w:t>s</w:t>
      </w:r>
      <w:r>
        <w:rPr>
          <w:szCs w:val="24"/>
          <w:lang w:val="fr-FR" w:eastAsia="fr-FR"/>
        </w:rPr>
        <w:t xml:space="preserve"> de l’instruction des plaintes, ainsi qu’à entreprendre leurs propres enquêtes sur certains aspects de la rétention d’immigrants.</w:t>
      </w:r>
    </w:p>
    <w:p w:rsidR="009E4AB4" w:rsidRPr="009E4AB4" w:rsidRDefault="009E4AB4" w:rsidP="005D7B68">
      <w:pPr>
        <w:tabs>
          <w:tab w:val="left" w:pos="567"/>
          <w:tab w:val="left" w:pos="1134"/>
          <w:tab w:val="left" w:pos="1701"/>
          <w:tab w:val="left" w:pos="2268"/>
          <w:tab w:val="left" w:pos="2835"/>
        </w:tabs>
        <w:rPr>
          <w:lang w:val="fr-FR"/>
        </w:rPr>
      </w:pPr>
      <w:r>
        <w:rPr>
          <w:lang w:val="fr-FR"/>
        </w:rPr>
        <w:t>96</w:t>
      </w:r>
      <w:r w:rsidR="00F771D5">
        <w:rPr>
          <w:lang w:val="fr-FR"/>
        </w:rPr>
        <w:t>3</w:t>
      </w:r>
      <w:r>
        <w:rPr>
          <w:lang w:val="fr-FR"/>
        </w:rPr>
        <w:t>.</w:t>
      </w:r>
      <w:r>
        <w:rPr>
          <w:lang w:val="fr-FR"/>
        </w:rPr>
        <w:tab/>
        <w:t>En l’occurrence, en vertu de l’article 14 de la loi sur le Médiateur</w:t>
      </w:r>
      <w:r w:rsidR="00E276F9">
        <w:rPr>
          <w:lang w:val="fr-FR"/>
        </w:rPr>
        <w:t xml:space="preserve"> du Commonwealth, ce dernier est autorisé à pénétrer, à une heure raisonnable de la journée, en tout lieu occupé par un ministère ou un prestataire de services du Commonwealth (dont les établissements de rétention des immigrants) pour instruire une plainte et mener sa propre enquête</w:t>
      </w:r>
      <w:r w:rsidR="008D6B80">
        <w:rPr>
          <w:lang w:val="fr-FR"/>
        </w:rPr>
        <w:t xml:space="preserve">. </w:t>
      </w:r>
      <w:r w:rsidR="00E276F9">
        <w:rPr>
          <w:lang w:val="fr-FR"/>
        </w:rPr>
        <w:t xml:space="preserve">En outre, la loi de 1986 sur la Commission des droits de l’homme et </w:t>
      </w:r>
      <w:r w:rsidR="005B7CDC">
        <w:rPr>
          <w:lang w:val="fr-FR"/>
        </w:rPr>
        <w:t xml:space="preserve">de </w:t>
      </w:r>
      <w:r w:rsidR="00E276F9">
        <w:rPr>
          <w:lang w:val="fr-FR"/>
        </w:rPr>
        <w:t xml:space="preserve">l’égalité des chances dispose que le Commissaire est autorisé à obtenir des renseignements donnés par des organismes publics. </w:t>
      </w:r>
    </w:p>
    <w:p w:rsidR="009E4AB4" w:rsidRPr="009E4AB4" w:rsidRDefault="00E276F9" w:rsidP="005D7B68">
      <w:pPr>
        <w:tabs>
          <w:tab w:val="left" w:pos="567"/>
          <w:tab w:val="left" w:pos="1134"/>
          <w:tab w:val="left" w:pos="1701"/>
          <w:tab w:val="left" w:pos="2268"/>
          <w:tab w:val="left" w:pos="2835"/>
        </w:tabs>
        <w:rPr>
          <w:lang w:val="fr-FR"/>
        </w:rPr>
      </w:pPr>
      <w:r>
        <w:rPr>
          <w:lang w:val="fr-FR"/>
        </w:rPr>
        <w:t>96</w:t>
      </w:r>
      <w:r w:rsidR="00F771D5">
        <w:rPr>
          <w:lang w:val="fr-FR"/>
        </w:rPr>
        <w:t>4</w:t>
      </w:r>
      <w:r>
        <w:rPr>
          <w:lang w:val="fr-FR"/>
        </w:rPr>
        <w:t>.</w:t>
      </w:r>
      <w:r>
        <w:rPr>
          <w:lang w:val="fr-FR"/>
        </w:rPr>
        <w:tab/>
        <w:t>D’autres informations</w:t>
      </w:r>
      <w:r w:rsidR="005B7CDC">
        <w:rPr>
          <w:lang w:val="fr-FR"/>
        </w:rPr>
        <w:t xml:space="preserve"> relatives au Médiateur du Commonwealth et à la Commission des droits de l’homme et de l’égalité des chances figurent dans la réponse à la question 26 ci-dessus.</w:t>
      </w:r>
    </w:p>
    <w:p w:rsidR="005B7CDC" w:rsidRDefault="005B7CDC" w:rsidP="005D7B68">
      <w:pPr>
        <w:tabs>
          <w:tab w:val="left" w:pos="567"/>
          <w:tab w:val="left" w:pos="1134"/>
          <w:tab w:val="left" w:pos="1701"/>
          <w:tab w:val="left" w:pos="2268"/>
          <w:tab w:val="left" w:pos="2835"/>
        </w:tabs>
        <w:rPr>
          <w:b/>
          <w:bCs/>
          <w:lang w:val="fr-FR"/>
        </w:rPr>
      </w:pPr>
      <w:r>
        <w:rPr>
          <w:b/>
          <w:bCs/>
          <w:lang w:val="fr-FR"/>
        </w:rPr>
        <w:t>Mécanismes de contrôle au niveau des États et des Territoires</w:t>
      </w:r>
    </w:p>
    <w:p w:rsidR="005B7CDC" w:rsidRPr="005B7CDC" w:rsidRDefault="005B7CDC" w:rsidP="005D7B68">
      <w:pPr>
        <w:tabs>
          <w:tab w:val="left" w:pos="567"/>
          <w:tab w:val="left" w:pos="1134"/>
          <w:tab w:val="left" w:pos="1701"/>
          <w:tab w:val="left" w:pos="2268"/>
          <w:tab w:val="left" w:pos="2835"/>
        </w:tabs>
        <w:rPr>
          <w:lang w:val="fr-FR"/>
        </w:rPr>
      </w:pPr>
      <w:r>
        <w:rPr>
          <w:lang w:val="fr-FR"/>
        </w:rPr>
        <w:t>96</w:t>
      </w:r>
      <w:r w:rsidR="00F771D5">
        <w:rPr>
          <w:lang w:val="fr-FR"/>
        </w:rPr>
        <w:t>5</w:t>
      </w:r>
      <w:r>
        <w:rPr>
          <w:lang w:val="fr-FR"/>
        </w:rPr>
        <w:t>.</w:t>
      </w:r>
      <w:r>
        <w:rPr>
          <w:lang w:val="fr-FR"/>
        </w:rPr>
        <w:tab/>
        <w:t>Tous les États et Territoires ont également leurs propres mécanismes de contrôle afin de prévenir les actes de torture dans les prisons et établissements similaires, à commencer par la formation et la surveillance des fonctionnaires de police et des établissements pénitentiaires</w:t>
      </w:r>
      <w:r w:rsidR="008D6B80">
        <w:rPr>
          <w:lang w:val="fr-FR"/>
        </w:rPr>
        <w:t xml:space="preserve">. </w:t>
      </w:r>
      <w:r w:rsidR="000D49A7">
        <w:rPr>
          <w:lang w:val="fr-FR"/>
        </w:rPr>
        <w:t>Le </w:t>
      </w:r>
      <w:r>
        <w:rPr>
          <w:lang w:val="fr-FR"/>
        </w:rPr>
        <w:t>comportement des fonctionnaires de police</w:t>
      </w:r>
      <w:r w:rsidR="000C2EEE">
        <w:rPr>
          <w:lang w:val="fr-FR"/>
        </w:rPr>
        <w:t xml:space="preserve"> et le respect des droits de l’homme dans les prisons fon</w:t>
      </w:r>
      <w:r>
        <w:rPr>
          <w:lang w:val="fr-FR"/>
        </w:rPr>
        <w:t>t l’objet d’un contrôle et d’un examen</w:t>
      </w:r>
      <w:r w:rsidR="000C2EEE">
        <w:rPr>
          <w:lang w:val="fr-FR"/>
        </w:rPr>
        <w:t xml:space="preserve"> de la part de médiateurs indépendants et d’autres organismes publics</w:t>
      </w:r>
      <w:r w:rsidR="008D6B80">
        <w:rPr>
          <w:lang w:val="fr-FR"/>
        </w:rPr>
        <w:t xml:space="preserve">. </w:t>
      </w:r>
      <w:r w:rsidR="000C2EEE">
        <w:rPr>
          <w:lang w:val="fr-FR"/>
        </w:rPr>
        <w:t>Dans le rapport de l’Australie sur la Convention contre la torture et autres peines ou traitements cruels, inhumains ou dégradants</w:t>
      </w:r>
      <w:r w:rsidR="009E673B">
        <w:rPr>
          <w:lang w:val="fr-FR"/>
        </w:rPr>
        <w:t xml:space="preserve"> (1997), figure une liste des organes de recours </w:t>
      </w:r>
      <w:r w:rsidR="00850A77">
        <w:rPr>
          <w:lang w:val="fr-FR"/>
        </w:rPr>
        <w:t xml:space="preserve">administratifs </w:t>
      </w:r>
      <w:r w:rsidR="009E673B">
        <w:rPr>
          <w:lang w:val="fr-FR"/>
        </w:rPr>
        <w:t>du Commonwealth, des États et des Territoires.</w:t>
      </w:r>
    </w:p>
    <w:p w:rsidR="004E2CF6" w:rsidRDefault="009E673B" w:rsidP="000A3E75">
      <w:pPr>
        <w:keepNext/>
        <w:tabs>
          <w:tab w:val="left" w:pos="567"/>
          <w:tab w:val="left" w:pos="1134"/>
          <w:tab w:val="left" w:pos="1701"/>
          <w:tab w:val="left" w:pos="2268"/>
          <w:tab w:val="left" w:pos="2835"/>
        </w:tabs>
        <w:rPr>
          <w:lang w:val="fr-FR"/>
        </w:rPr>
      </w:pPr>
      <w:r>
        <w:rPr>
          <w:lang w:val="fr-FR"/>
        </w:rPr>
        <w:t>96</w:t>
      </w:r>
      <w:r w:rsidR="00F771D5">
        <w:rPr>
          <w:lang w:val="fr-FR"/>
        </w:rPr>
        <w:t>6</w:t>
      </w:r>
      <w:r>
        <w:rPr>
          <w:lang w:val="fr-FR"/>
        </w:rPr>
        <w:t>.</w:t>
      </w:r>
      <w:r>
        <w:rPr>
          <w:lang w:val="fr-FR"/>
        </w:rPr>
        <w:tab/>
        <w:t xml:space="preserve">Un ensemble de directives normalisées pour les centres de détention d’Australie existe depuis 1996, dont la version actuelle peut être consultée sur le site Web </w:t>
      </w:r>
      <w:hyperlink r:id="rId53" w:history="1">
        <w:r w:rsidR="00F770FC" w:rsidRPr="00856A79">
          <w:rPr>
            <w:rStyle w:val="Hyperlink"/>
            <w:lang w:val="fr-FR"/>
          </w:rPr>
          <w:t>http://www.aic.gov.au/research/corrections/standards/aust-stand_2004.pdf</w:t>
        </w:r>
      </w:hyperlink>
      <w:r w:rsidR="008D6B80">
        <w:rPr>
          <w:lang w:val="fr-FR"/>
        </w:rPr>
        <w:t xml:space="preserve">. </w:t>
      </w:r>
      <w:r w:rsidR="00F770FC">
        <w:rPr>
          <w:lang w:val="fr-FR"/>
        </w:rPr>
        <w:t>Elles sont conformes à l’ensemble de règles minima des Nations Unies pour le traitement des détenus et aux règles minima du Conseil de l’Europe, avec quelques modifications apportées pour qu’elles conviennent à la situation de l’Australie</w:t>
      </w:r>
      <w:r w:rsidR="008D6B80">
        <w:rPr>
          <w:lang w:val="fr-FR"/>
        </w:rPr>
        <w:t xml:space="preserve">. </w:t>
      </w:r>
      <w:r w:rsidR="00F770FC">
        <w:rPr>
          <w:lang w:val="fr-FR"/>
        </w:rPr>
        <w:t>Bien que n’étant pas juridiquement contraignantes, elles constituent des textes de référence pour les assemblées législatives et les autorités pénitentiaires, y compris en ce qui concerne la protection des droits de l’homme dans les prisons, à savoir</w:t>
      </w:r>
      <w:r w:rsidR="00572260">
        <w:rPr>
          <w:lang w:val="fr-FR"/>
        </w:rPr>
        <w:t>:</w:t>
      </w:r>
    </w:p>
    <w:p w:rsidR="00A53A89" w:rsidRPr="005B7CDC" w:rsidRDefault="00F770FC" w:rsidP="000A3E75">
      <w:pPr>
        <w:keepNext/>
        <w:tabs>
          <w:tab w:val="left" w:pos="567"/>
          <w:tab w:val="left" w:pos="1134"/>
          <w:tab w:val="left" w:pos="1701"/>
          <w:tab w:val="left" w:pos="2268"/>
          <w:tab w:val="left" w:pos="2835"/>
        </w:tabs>
        <w:rPr>
          <w:lang w:val="fr-FR"/>
        </w:rPr>
      </w:pPr>
      <w:r>
        <w:rPr>
          <w:lang w:val="fr-FR"/>
        </w:rPr>
        <w:tab/>
        <w:t>a)</w:t>
      </w:r>
      <w:r>
        <w:rPr>
          <w:lang w:val="fr-FR"/>
        </w:rPr>
        <w:tab/>
        <w:t xml:space="preserve">L’interdiction de la réclusion prolongée, des châtiments corporels, </w:t>
      </w:r>
      <w:r w:rsidR="00A53A89">
        <w:rPr>
          <w:lang w:val="fr-FR"/>
        </w:rPr>
        <w:t>de la réduction des rations alimentaires et d’autres traitements cruels, inhumains ou d</w:t>
      </w:r>
      <w:r w:rsidR="00970782">
        <w:rPr>
          <w:lang w:val="fr-FR"/>
        </w:rPr>
        <w:t>égradants</w:t>
      </w:r>
      <w:r w:rsidR="00572260">
        <w:rPr>
          <w:lang w:val="fr-FR"/>
        </w:rPr>
        <w:t>;</w:t>
      </w:r>
    </w:p>
    <w:p w:rsidR="00A53A89" w:rsidRDefault="00A53A89" w:rsidP="000A3E75">
      <w:pPr>
        <w:keepNext/>
        <w:tabs>
          <w:tab w:val="left" w:pos="567"/>
          <w:tab w:val="left" w:pos="1134"/>
          <w:tab w:val="left" w:pos="1701"/>
          <w:tab w:val="left" w:pos="2268"/>
          <w:tab w:val="left" w:pos="2835"/>
        </w:tabs>
        <w:rPr>
          <w:lang w:val="fr-FR"/>
        </w:rPr>
      </w:pPr>
      <w:r>
        <w:rPr>
          <w:lang w:val="fr-FR"/>
        </w:rPr>
        <w:tab/>
        <w:t>b)</w:t>
      </w:r>
      <w:r>
        <w:rPr>
          <w:lang w:val="fr-FR"/>
        </w:rPr>
        <w:tab/>
        <w:t>La distribution d’informations écrite et verbales sur tout ce qui concerne la privation de liberté dans une langue et sous une forme que le détenu puisse comprendre</w:t>
      </w:r>
      <w:r w:rsidR="00572260">
        <w:rPr>
          <w:lang w:val="fr-FR"/>
        </w:rPr>
        <w:t>;</w:t>
      </w:r>
    </w:p>
    <w:p w:rsidR="00A53A89" w:rsidRDefault="00A53A89" w:rsidP="005D7B68">
      <w:pPr>
        <w:tabs>
          <w:tab w:val="left" w:pos="567"/>
          <w:tab w:val="left" w:pos="1134"/>
          <w:tab w:val="left" w:pos="1701"/>
          <w:tab w:val="left" w:pos="2268"/>
          <w:tab w:val="left" w:pos="2835"/>
        </w:tabs>
        <w:rPr>
          <w:lang w:val="fr-FR"/>
        </w:rPr>
      </w:pPr>
      <w:r>
        <w:rPr>
          <w:lang w:val="fr-FR"/>
        </w:rPr>
        <w:tab/>
        <w:t>c)</w:t>
      </w:r>
      <w:r>
        <w:rPr>
          <w:lang w:val="fr-FR"/>
        </w:rPr>
        <w:tab/>
        <w:t>La possibilité de déposer des plaintes ou des demandes auprès de l’autorité désignée</w:t>
      </w:r>
      <w:r w:rsidR="00572260">
        <w:rPr>
          <w:lang w:val="fr-FR"/>
        </w:rPr>
        <w:t>;</w:t>
      </w:r>
    </w:p>
    <w:p w:rsidR="00A53A89" w:rsidRDefault="00A53A89" w:rsidP="005D7B68">
      <w:pPr>
        <w:tabs>
          <w:tab w:val="left" w:pos="567"/>
          <w:tab w:val="left" w:pos="1134"/>
          <w:tab w:val="left" w:pos="1701"/>
          <w:tab w:val="left" w:pos="2268"/>
          <w:tab w:val="left" w:pos="2835"/>
        </w:tabs>
        <w:rPr>
          <w:lang w:val="fr-FR"/>
        </w:rPr>
      </w:pPr>
      <w:r>
        <w:rPr>
          <w:lang w:val="fr-FR"/>
        </w:rPr>
        <w:tab/>
        <w:t>d)</w:t>
      </w:r>
      <w:r>
        <w:rPr>
          <w:lang w:val="fr-FR"/>
        </w:rPr>
        <w:tab/>
        <w:t>Le droit pour les détenus d’informer leur famille de leur placement en détention, d’avoir accès au téléphone de façon permanente et de recevoir des visites</w:t>
      </w:r>
      <w:r w:rsidR="00572260">
        <w:rPr>
          <w:lang w:val="fr-FR"/>
        </w:rPr>
        <w:t>;</w:t>
      </w:r>
    </w:p>
    <w:p w:rsidR="00A53A89" w:rsidRDefault="00A53A89" w:rsidP="005D7B68">
      <w:pPr>
        <w:tabs>
          <w:tab w:val="left" w:pos="567"/>
          <w:tab w:val="left" w:pos="1134"/>
          <w:tab w:val="left" w:pos="1701"/>
          <w:tab w:val="left" w:pos="2268"/>
          <w:tab w:val="left" w:pos="2835"/>
        </w:tabs>
        <w:rPr>
          <w:lang w:val="fr-FR"/>
        </w:rPr>
      </w:pPr>
      <w:r>
        <w:rPr>
          <w:lang w:val="fr-FR"/>
        </w:rPr>
        <w:tab/>
        <w:t>e)</w:t>
      </w:r>
      <w:r>
        <w:rPr>
          <w:lang w:val="fr-FR"/>
        </w:rPr>
        <w:tab/>
        <w:t>Le droit de demander une assistance et de recevoir des visites d’un avocat</w:t>
      </w:r>
      <w:r w:rsidR="00572260">
        <w:rPr>
          <w:lang w:val="fr-FR"/>
        </w:rPr>
        <w:t>;</w:t>
      </w:r>
    </w:p>
    <w:p w:rsidR="00A53A89" w:rsidRDefault="00A53A89" w:rsidP="005D7B68">
      <w:pPr>
        <w:tabs>
          <w:tab w:val="left" w:pos="567"/>
          <w:tab w:val="left" w:pos="1134"/>
          <w:tab w:val="left" w:pos="1701"/>
          <w:tab w:val="left" w:pos="2268"/>
          <w:tab w:val="left" w:pos="2835"/>
        </w:tabs>
        <w:rPr>
          <w:lang w:val="fr-FR"/>
        </w:rPr>
      </w:pPr>
      <w:r>
        <w:rPr>
          <w:lang w:val="fr-FR"/>
        </w:rPr>
        <w:tab/>
        <w:t>f)</w:t>
      </w:r>
      <w:r>
        <w:rPr>
          <w:lang w:val="fr-FR"/>
        </w:rPr>
        <w:tab/>
        <w:t>Le droit d’être logé correctement et de disposer des installations nécessaire à une hygiène générale</w:t>
      </w:r>
      <w:r w:rsidR="00572260">
        <w:rPr>
          <w:lang w:val="fr-FR"/>
        </w:rPr>
        <w:t>;</w:t>
      </w:r>
    </w:p>
    <w:p w:rsidR="00A53A89" w:rsidRPr="00A53A89" w:rsidRDefault="00A53A89" w:rsidP="005D7B68">
      <w:pPr>
        <w:tabs>
          <w:tab w:val="left" w:pos="567"/>
          <w:tab w:val="left" w:pos="1134"/>
          <w:tab w:val="left" w:pos="1701"/>
          <w:tab w:val="left" w:pos="2268"/>
          <w:tab w:val="left" w:pos="2835"/>
        </w:tabs>
        <w:rPr>
          <w:lang w:val="fr-FR"/>
        </w:rPr>
      </w:pPr>
      <w:r>
        <w:rPr>
          <w:lang w:val="fr-FR"/>
        </w:rPr>
        <w:tab/>
        <w:t>g)</w:t>
      </w:r>
      <w:r>
        <w:rPr>
          <w:lang w:val="fr-FR"/>
        </w:rPr>
        <w:tab/>
        <w:t>L’interdiction des punitions collectives</w:t>
      </w:r>
      <w:r w:rsidR="00572260">
        <w:rPr>
          <w:lang w:val="fr-FR"/>
        </w:rPr>
        <w:t>;</w:t>
      </w:r>
    </w:p>
    <w:p w:rsidR="00F770FC" w:rsidRDefault="00A53A89" w:rsidP="005D7B68">
      <w:pPr>
        <w:tabs>
          <w:tab w:val="left" w:pos="567"/>
          <w:tab w:val="left" w:pos="1134"/>
          <w:tab w:val="left" w:pos="1701"/>
          <w:tab w:val="left" w:pos="2268"/>
          <w:tab w:val="left" w:pos="2835"/>
        </w:tabs>
        <w:rPr>
          <w:lang w:val="fr-FR"/>
        </w:rPr>
      </w:pPr>
      <w:r>
        <w:rPr>
          <w:lang w:val="fr-FR"/>
        </w:rPr>
        <w:tab/>
        <w:t>h)</w:t>
      </w:r>
      <w:r>
        <w:rPr>
          <w:lang w:val="fr-FR"/>
        </w:rPr>
        <w:tab/>
        <w:t>La limitation</w:t>
      </w:r>
      <w:r w:rsidR="00B03C1B">
        <w:rPr>
          <w:lang w:val="fr-FR"/>
        </w:rPr>
        <w:t xml:space="preserve"> de l’utilisation des instruments de contrainte et des produits chimiques, sauf pou</w:t>
      </w:r>
      <w:r w:rsidR="005D4115">
        <w:rPr>
          <w:lang w:val="fr-FR"/>
        </w:rPr>
        <w:t>r pouvoir maîtriser l’intéressé</w:t>
      </w:r>
      <w:r w:rsidR="00B03C1B">
        <w:rPr>
          <w:lang w:val="fr-FR"/>
        </w:rPr>
        <w:t xml:space="preserve"> si d’autres mesures ont échoué</w:t>
      </w:r>
      <w:r w:rsidR="00572260">
        <w:rPr>
          <w:lang w:val="fr-FR"/>
        </w:rPr>
        <w:t>;</w:t>
      </w:r>
    </w:p>
    <w:p w:rsidR="00B03C1B" w:rsidRDefault="00B03C1B" w:rsidP="005D7B68">
      <w:pPr>
        <w:tabs>
          <w:tab w:val="left" w:pos="567"/>
          <w:tab w:val="left" w:pos="1134"/>
          <w:tab w:val="left" w:pos="1701"/>
          <w:tab w:val="left" w:pos="2268"/>
          <w:tab w:val="left" w:pos="2835"/>
        </w:tabs>
        <w:rPr>
          <w:lang w:val="fr-FR"/>
        </w:rPr>
      </w:pPr>
      <w:r>
        <w:rPr>
          <w:lang w:val="fr-FR"/>
        </w:rPr>
        <w:tab/>
        <w:t>i)</w:t>
      </w:r>
      <w:r>
        <w:rPr>
          <w:lang w:val="fr-FR"/>
        </w:rPr>
        <w:tab/>
        <w:t>L’administration des seuls châtiments pour les infractions à l’ordre pénitentiaire qu</w:t>
      </w:r>
      <w:r w:rsidR="0068543A">
        <w:rPr>
          <w:lang w:val="fr-FR"/>
        </w:rPr>
        <w:t>i</w:t>
      </w:r>
      <w:r>
        <w:rPr>
          <w:lang w:val="fr-FR"/>
        </w:rPr>
        <w:t xml:space="preserve"> soient conformes aux lois et règlements pertinents</w:t>
      </w:r>
      <w:r w:rsidR="000B7C1C">
        <w:rPr>
          <w:lang w:val="fr-FR"/>
        </w:rPr>
        <w:t>, et selon les modalités appropriées</w:t>
      </w:r>
      <w:r w:rsidR="00572260">
        <w:rPr>
          <w:lang w:val="fr-FR"/>
        </w:rPr>
        <w:t>;</w:t>
      </w:r>
    </w:p>
    <w:p w:rsidR="000B7C1C" w:rsidRPr="00A53A89" w:rsidRDefault="000B7C1C" w:rsidP="005D7B68">
      <w:pPr>
        <w:tabs>
          <w:tab w:val="left" w:pos="567"/>
          <w:tab w:val="left" w:pos="1134"/>
          <w:tab w:val="left" w:pos="1701"/>
          <w:tab w:val="left" w:pos="2268"/>
          <w:tab w:val="left" w:pos="2835"/>
        </w:tabs>
        <w:rPr>
          <w:lang w:val="fr-FR"/>
        </w:rPr>
      </w:pPr>
      <w:r>
        <w:rPr>
          <w:lang w:val="fr-FR"/>
        </w:rPr>
        <w:tab/>
        <w:t>j)</w:t>
      </w:r>
      <w:r>
        <w:rPr>
          <w:lang w:val="fr-FR"/>
        </w:rPr>
        <w:tab/>
        <w:t>La fourniture de vêtements, d’une literie, d’une nourriture et d’une eau correcte, les détenus ayant droit à un régime alimentaire spécial quand il s’impose pour des raisons médicales ou en raison de</w:t>
      </w:r>
      <w:r w:rsidR="00F63218">
        <w:rPr>
          <w:lang w:val="fr-FR"/>
        </w:rPr>
        <w:t xml:space="preserve"> leurs obligations religieuses.</w:t>
      </w:r>
    </w:p>
    <w:p w:rsidR="000B7C1C" w:rsidRDefault="000D49A7" w:rsidP="005D7B68">
      <w:pPr>
        <w:tabs>
          <w:tab w:val="left" w:pos="567"/>
          <w:tab w:val="left" w:pos="1134"/>
          <w:tab w:val="left" w:pos="1701"/>
          <w:tab w:val="left" w:pos="2268"/>
          <w:tab w:val="left" w:pos="2835"/>
        </w:tabs>
        <w:rPr>
          <w:lang w:val="fr-FR"/>
        </w:rPr>
      </w:pPr>
      <w:r>
        <w:rPr>
          <w:lang w:val="fr-FR"/>
        </w:rPr>
        <w:tab/>
      </w:r>
      <w:r w:rsidR="0068543A">
        <w:rPr>
          <w:lang w:val="fr-FR"/>
        </w:rPr>
        <w:t>k)</w:t>
      </w:r>
      <w:r w:rsidR="0068543A">
        <w:rPr>
          <w:lang w:val="fr-FR"/>
        </w:rPr>
        <w:tab/>
        <w:t>La prestation</w:t>
      </w:r>
      <w:r w:rsidR="000B7C1C">
        <w:rPr>
          <w:lang w:val="fr-FR"/>
        </w:rPr>
        <w:t xml:space="preserve"> de services de santé corrects (médicaux et dentaires) et l’accès à des soins spécialisés et psychiatriques.</w:t>
      </w:r>
    </w:p>
    <w:p w:rsidR="00F056DD" w:rsidRDefault="00F056DD" w:rsidP="005D7B68">
      <w:pPr>
        <w:tabs>
          <w:tab w:val="left" w:pos="567"/>
          <w:tab w:val="left" w:pos="1134"/>
          <w:tab w:val="left" w:pos="1701"/>
          <w:tab w:val="left" w:pos="2268"/>
          <w:tab w:val="left" w:pos="2835"/>
        </w:tabs>
        <w:rPr>
          <w:b/>
          <w:bCs/>
          <w:lang w:val="fr-FR"/>
        </w:rPr>
      </w:pPr>
      <w:r>
        <w:rPr>
          <w:b/>
          <w:bCs/>
          <w:lang w:val="fr-FR"/>
        </w:rPr>
        <w:t>Nouvelle-Galles du Sud</w:t>
      </w:r>
    </w:p>
    <w:p w:rsidR="00F056DD" w:rsidRDefault="00F056DD" w:rsidP="005D7B68">
      <w:pPr>
        <w:tabs>
          <w:tab w:val="left" w:pos="567"/>
          <w:tab w:val="left" w:pos="1134"/>
          <w:tab w:val="left" w:pos="1701"/>
          <w:tab w:val="left" w:pos="2268"/>
          <w:tab w:val="left" w:pos="2835"/>
        </w:tabs>
        <w:rPr>
          <w:b/>
          <w:bCs/>
          <w:lang w:val="fr-FR"/>
        </w:rPr>
      </w:pPr>
      <w:r>
        <w:rPr>
          <w:b/>
          <w:bCs/>
          <w:lang w:val="fr-FR"/>
        </w:rPr>
        <w:t>Visiteurs officiels</w:t>
      </w:r>
    </w:p>
    <w:p w:rsidR="00F056DD" w:rsidRPr="00F056DD" w:rsidRDefault="00F056DD" w:rsidP="005D7B68">
      <w:pPr>
        <w:tabs>
          <w:tab w:val="left" w:pos="567"/>
          <w:tab w:val="left" w:pos="1134"/>
          <w:tab w:val="left" w:pos="1701"/>
          <w:tab w:val="left" w:pos="2268"/>
          <w:tab w:val="left" w:pos="2835"/>
        </w:tabs>
        <w:rPr>
          <w:lang w:val="fr-FR"/>
        </w:rPr>
      </w:pPr>
      <w:r>
        <w:rPr>
          <w:lang w:val="fr-FR"/>
        </w:rPr>
        <w:t>96</w:t>
      </w:r>
      <w:r w:rsidR="00F771D5">
        <w:rPr>
          <w:lang w:val="fr-FR"/>
        </w:rPr>
        <w:t>7</w:t>
      </w:r>
      <w:r>
        <w:rPr>
          <w:lang w:val="fr-FR"/>
        </w:rPr>
        <w:t>.</w:t>
      </w:r>
      <w:r>
        <w:rPr>
          <w:lang w:val="fr-FR"/>
        </w:rPr>
        <w:tab/>
      </w:r>
      <w:r w:rsidR="001B65C7">
        <w:rPr>
          <w:lang w:val="fr-FR"/>
        </w:rPr>
        <w:t xml:space="preserve">Les visiteurs officiels sont nommés par le Ministre de la justice en application de </w:t>
      </w:r>
      <w:r w:rsidR="000D49A7">
        <w:rPr>
          <w:lang w:val="fr-FR"/>
        </w:rPr>
        <w:t>l’article </w:t>
      </w:r>
      <w:r w:rsidR="001B65C7">
        <w:rPr>
          <w:lang w:val="fr-FR"/>
        </w:rPr>
        <w:t>228 de la loi de 1999 sur les infractions pénales (administration des peines)</w:t>
      </w:r>
      <w:r w:rsidR="008D6B80">
        <w:rPr>
          <w:lang w:val="fr-FR"/>
        </w:rPr>
        <w:t xml:space="preserve">. </w:t>
      </w:r>
      <w:r w:rsidR="001B65C7">
        <w:rPr>
          <w:lang w:val="fr-FR"/>
        </w:rPr>
        <w:t>En sont exclus les employés du Département des services pénitentiaires ou toute personne responsable de l’administration d’un centre pénitentiaire ou d’un centre de détention périodique, ou toute personne travaillant dans un centre de ce type ou en relation avec lui.</w:t>
      </w:r>
    </w:p>
    <w:p w:rsidR="000B7C1C" w:rsidRPr="000B7C1C" w:rsidRDefault="001B65C7" w:rsidP="005D7B68">
      <w:pPr>
        <w:tabs>
          <w:tab w:val="left" w:pos="567"/>
          <w:tab w:val="left" w:pos="1134"/>
          <w:tab w:val="left" w:pos="1701"/>
          <w:tab w:val="left" w:pos="2268"/>
          <w:tab w:val="left" w:pos="2835"/>
        </w:tabs>
        <w:rPr>
          <w:lang w:val="fr-FR"/>
        </w:rPr>
      </w:pPr>
      <w:r>
        <w:rPr>
          <w:lang w:val="fr-FR"/>
        </w:rPr>
        <w:t>96</w:t>
      </w:r>
      <w:r w:rsidR="00F771D5">
        <w:rPr>
          <w:lang w:val="fr-FR"/>
        </w:rPr>
        <w:t>8</w:t>
      </w:r>
      <w:r>
        <w:rPr>
          <w:lang w:val="fr-FR"/>
        </w:rPr>
        <w:t>.</w:t>
      </w:r>
      <w:r>
        <w:rPr>
          <w:lang w:val="fr-FR"/>
        </w:rPr>
        <w:tab/>
      </w:r>
      <w:r w:rsidR="003D1F3D">
        <w:rPr>
          <w:lang w:val="fr-FR"/>
        </w:rPr>
        <w:t>En vertu de cette loi, le</w:t>
      </w:r>
      <w:r w:rsidR="00073C52">
        <w:rPr>
          <w:lang w:val="fr-FR"/>
        </w:rPr>
        <w:t>s</w:t>
      </w:r>
      <w:r w:rsidR="003D1F3D">
        <w:rPr>
          <w:lang w:val="fr-FR"/>
        </w:rPr>
        <w:t xml:space="preserve"> visiteurs officiels sont tenus de visiter le centre auprès duquel ils sont nommés au moins un fois par mois</w:t>
      </w:r>
      <w:r w:rsidR="008D6B80">
        <w:rPr>
          <w:lang w:val="fr-FR"/>
        </w:rPr>
        <w:t xml:space="preserve">. </w:t>
      </w:r>
      <w:r w:rsidR="003D1F3D">
        <w:rPr>
          <w:lang w:val="fr-FR"/>
        </w:rPr>
        <w:t>Ils reçoivent et instruisent les plaintes des détenus (autres que les hommes de la catégorie AA et les femmes de la c</w:t>
      </w:r>
      <w:r w:rsidR="000D49A7">
        <w:rPr>
          <w:lang w:val="fr-FR"/>
        </w:rPr>
        <w:t>atégorie 5) et du personnel, et </w:t>
      </w:r>
      <w:r w:rsidR="003D1F3D">
        <w:rPr>
          <w:lang w:val="fr-FR"/>
        </w:rPr>
        <w:t>procèdent à un examen du centre</w:t>
      </w:r>
      <w:r w:rsidR="008D6B80">
        <w:rPr>
          <w:lang w:val="fr-FR"/>
        </w:rPr>
        <w:t xml:space="preserve">. </w:t>
      </w:r>
      <w:r w:rsidR="003D1F3D">
        <w:rPr>
          <w:lang w:val="fr-FR"/>
        </w:rPr>
        <w:t>Ils adressent un rapport au Ministre tous les six mois.</w:t>
      </w:r>
    </w:p>
    <w:p w:rsidR="003D1F3D" w:rsidRDefault="003D1F3D" w:rsidP="005D7B68">
      <w:pPr>
        <w:tabs>
          <w:tab w:val="left" w:pos="567"/>
          <w:tab w:val="left" w:pos="1134"/>
          <w:tab w:val="left" w:pos="1701"/>
          <w:tab w:val="left" w:pos="2268"/>
          <w:tab w:val="left" w:pos="2835"/>
        </w:tabs>
        <w:rPr>
          <w:lang w:val="fr-FR"/>
        </w:rPr>
      </w:pPr>
      <w:r>
        <w:rPr>
          <w:lang w:val="fr-FR"/>
        </w:rPr>
        <w:t>9</w:t>
      </w:r>
      <w:r w:rsidR="00F771D5">
        <w:rPr>
          <w:lang w:val="fr-FR"/>
        </w:rPr>
        <w:t>69</w:t>
      </w:r>
      <w:r>
        <w:rPr>
          <w:lang w:val="fr-FR"/>
        </w:rPr>
        <w:t>.</w:t>
      </w:r>
      <w:r>
        <w:rPr>
          <w:lang w:val="fr-FR"/>
        </w:rPr>
        <w:tab/>
        <w:t>Le règlement exige que les Directeurs généraux informent les détenus et le personnel de la date et de l’heure de la visite du visiteur officiel.</w:t>
      </w:r>
    </w:p>
    <w:p w:rsidR="003D1F3D" w:rsidRDefault="003D1F3D" w:rsidP="005D7B68">
      <w:pPr>
        <w:tabs>
          <w:tab w:val="left" w:pos="567"/>
          <w:tab w:val="left" w:pos="1134"/>
          <w:tab w:val="left" w:pos="1701"/>
          <w:tab w:val="left" w:pos="2268"/>
          <w:tab w:val="left" w:pos="2835"/>
        </w:tabs>
        <w:rPr>
          <w:b/>
          <w:bCs/>
          <w:i/>
          <w:iCs/>
          <w:lang w:val="fr-FR"/>
        </w:rPr>
      </w:pPr>
      <w:r>
        <w:rPr>
          <w:b/>
          <w:bCs/>
          <w:lang w:val="fr-FR"/>
        </w:rPr>
        <w:t xml:space="preserve">Juges et </w:t>
      </w:r>
      <w:r>
        <w:rPr>
          <w:b/>
          <w:bCs/>
          <w:i/>
          <w:iCs/>
          <w:lang w:val="fr-FR"/>
        </w:rPr>
        <w:t>Magistrates</w:t>
      </w:r>
    </w:p>
    <w:p w:rsidR="003D1F3D" w:rsidRDefault="00970782" w:rsidP="005D7B68">
      <w:pPr>
        <w:tabs>
          <w:tab w:val="left" w:pos="567"/>
          <w:tab w:val="left" w:pos="1134"/>
          <w:tab w:val="left" w:pos="1701"/>
          <w:tab w:val="left" w:pos="2268"/>
          <w:tab w:val="left" w:pos="2835"/>
        </w:tabs>
        <w:rPr>
          <w:lang w:val="fr-FR"/>
        </w:rPr>
      </w:pPr>
      <w:r>
        <w:rPr>
          <w:lang w:val="fr-FR"/>
        </w:rPr>
        <w:t>97</w:t>
      </w:r>
      <w:r w:rsidR="00F771D5">
        <w:rPr>
          <w:lang w:val="fr-FR"/>
        </w:rPr>
        <w:t>0</w:t>
      </w:r>
      <w:r>
        <w:rPr>
          <w:lang w:val="fr-FR"/>
        </w:rPr>
        <w:t>.</w:t>
      </w:r>
      <w:r>
        <w:rPr>
          <w:lang w:val="fr-FR"/>
        </w:rPr>
        <w:tab/>
        <w:t>Tout juge de la Cour suprême ou d’un</w:t>
      </w:r>
      <w:r w:rsidR="003D1F3D">
        <w:rPr>
          <w:lang w:val="fr-FR"/>
        </w:rPr>
        <w:t xml:space="preserve"> tribunal de district, et tout </w:t>
      </w:r>
      <w:r w:rsidR="003D1F3D">
        <w:rPr>
          <w:i/>
          <w:iCs/>
          <w:lang w:val="fr-FR"/>
        </w:rPr>
        <w:t>magistrate</w:t>
      </w:r>
      <w:r w:rsidR="003D1F3D">
        <w:rPr>
          <w:lang w:val="fr-FR"/>
        </w:rPr>
        <w:t xml:space="preserve"> peut à tout moment visiter et examiner tout complexe pénitentiaire, centre pénitentiaire ou centre de détention périodique </w:t>
      </w:r>
      <w:r w:rsidR="007330E2">
        <w:rPr>
          <w:lang w:val="fr-FR"/>
        </w:rPr>
        <w:t>(art.</w:t>
      </w:r>
      <w:r w:rsidR="003D1F3D">
        <w:rPr>
          <w:lang w:val="fr-FR"/>
        </w:rPr>
        <w:t xml:space="preserve"> 229 de la loi sur les infractions pénales).</w:t>
      </w:r>
    </w:p>
    <w:p w:rsidR="003D1F3D" w:rsidRDefault="003D1F3D" w:rsidP="005D7B68">
      <w:pPr>
        <w:tabs>
          <w:tab w:val="left" w:pos="567"/>
          <w:tab w:val="left" w:pos="1134"/>
          <w:tab w:val="left" w:pos="1701"/>
          <w:tab w:val="left" w:pos="2268"/>
          <w:tab w:val="left" w:pos="2835"/>
        </w:tabs>
        <w:rPr>
          <w:b/>
          <w:bCs/>
          <w:lang w:val="fr-FR"/>
        </w:rPr>
      </w:pPr>
      <w:r>
        <w:rPr>
          <w:b/>
          <w:bCs/>
          <w:lang w:val="fr-FR"/>
        </w:rPr>
        <w:t>Le Médiateur</w:t>
      </w:r>
    </w:p>
    <w:p w:rsidR="003D1F3D" w:rsidRDefault="003D1F3D" w:rsidP="005D7B68">
      <w:pPr>
        <w:tabs>
          <w:tab w:val="left" w:pos="567"/>
          <w:tab w:val="left" w:pos="1134"/>
          <w:tab w:val="left" w:pos="1701"/>
          <w:tab w:val="left" w:pos="2268"/>
          <w:tab w:val="left" w:pos="2835"/>
        </w:tabs>
        <w:rPr>
          <w:lang w:val="fr-FR"/>
        </w:rPr>
      </w:pPr>
      <w:r>
        <w:rPr>
          <w:lang w:val="fr-FR"/>
        </w:rPr>
        <w:t>97</w:t>
      </w:r>
      <w:r w:rsidR="00F771D5">
        <w:rPr>
          <w:lang w:val="fr-FR"/>
        </w:rPr>
        <w:t>1</w:t>
      </w:r>
      <w:r>
        <w:rPr>
          <w:lang w:val="fr-FR"/>
        </w:rPr>
        <w:t>.</w:t>
      </w:r>
      <w:r>
        <w:rPr>
          <w:lang w:val="fr-FR"/>
        </w:rPr>
        <w:tab/>
        <w:t>Les représentants du médiateur visitent les centres pénitentiaires toute l’année</w:t>
      </w:r>
      <w:r w:rsidR="008D6B80">
        <w:rPr>
          <w:lang w:val="fr-FR"/>
        </w:rPr>
        <w:t xml:space="preserve">. </w:t>
      </w:r>
      <w:r w:rsidR="00DB0128">
        <w:rPr>
          <w:lang w:val="fr-FR"/>
        </w:rPr>
        <w:t>Avant leur visite, des notices sont affichées pour en indiquer la date et l’heure aux détenus qui peuvent déposer une réclamation à ce moment</w:t>
      </w:r>
      <w:r w:rsidR="008D6B80">
        <w:rPr>
          <w:lang w:val="fr-FR"/>
        </w:rPr>
        <w:t xml:space="preserve">. </w:t>
      </w:r>
      <w:r w:rsidR="00DB0128">
        <w:rPr>
          <w:lang w:val="fr-FR"/>
        </w:rPr>
        <w:t>(Les détenus peuvent toujours téléphoner gratuitement et confidentiellement au Médiateur).</w:t>
      </w:r>
    </w:p>
    <w:p w:rsidR="00DB0128" w:rsidRPr="003D1F3D" w:rsidRDefault="00DB0128" w:rsidP="005D7B68">
      <w:pPr>
        <w:tabs>
          <w:tab w:val="left" w:pos="567"/>
          <w:tab w:val="left" w:pos="1134"/>
          <w:tab w:val="left" w:pos="1701"/>
          <w:tab w:val="left" w:pos="2268"/>
          <w:tab w:val="left" w:pos="2835"/>
        </w:tabs>
        <w:rPr>
          <w:lang w:val="fr-FR"/>
        </w:rPr>
      </w:pPr>
      <w:r>
        <w:rPr>
          <w:lang w:val="fr-FR"/>
        </w:rPr>
        <w:t>97</w:t>
      </w:r>
      <w:r w:rsidR="00F771D5">
        <w:rPr>
          <w:lang w:val="fr-FR"/>
        </w:rPr>
        <w:t>2</w:t>
      </w:r>
      <w:r>
        <w:rPr>
          <w:lang w:val="fr-FR"/>
        </w:rPr>
        <w:t>.</w:t>
      </w:r>
      <w:r>
        <w:rPr>
          <w:lang w:val="fr-FR"/>
        </w:rPr>
        <w:tab/>
        <w:t>Le jour de la visite, le Directeur général ou un fonctionnaire qui le représente doit veiller à ce que tous les détenus qui ont demandé à voir le représentant du Médiateur soient disponibles</w:t>
      </w:r>
      <w:r w:rsidR="008D6B80">
        <w:rPr>
          <w:lang w:val="fr-FR"/>
        </w:rPr>
        <w:t xml:space="preserve">. </w:t>
      </w:r>
      <w:r>
        <w:rPr>
          <w:lang w:val="fr-FR"/>
        </w:rPr>
        <w:t>Ce dernier peut contacter le Directeur général à n’importe quel moment de la journée pour l’interroger ou attirer son attention</w:t>
      </w:r>
      <w:r w:rsidR="000D7B15">
        <w:rPr>
          <w:lang w:val="fr-FR"/>
        </w:rPr>
        <w:t xml:space="preserve"> sur des problèmes devant être examinés et résolus si possible et si cela convient.</w:t>
      </w:r>
    </w:p>
    <w:p w:rsidR="003D1F3D" w:rsidRDefault="00491CBA" w:rsidP="005D7B68">
      <w:pPr>
        <w:tabs>
          <w:tab w:val="left" w:pos="567"/>
          <w:tab w:val="left" w:pos="1134"/>
          <w:tab w:val="left" w:pos="1701"/>
          <w:tab w:val="left" w:pos="2268"/>
          <w:tab w:val="left" w:pos="2835"/>
        </w:tabs>
        <w:rPr>
          <w:b/>
          <w:bCs/>
          <w:lang w:val="fr-FR"/>
        </w:rPr>
      </w:pPr>
      <w:r>
        <w:rPr>
          <w:b/>
          <w:bCs/>
          <w:lang w:val="fr-FR"/>
        </w:rPr>
        <w:t>Victoria</w:t>
      </w:r>
    </w:p>
    <w:p w:rsidR="00491CBA" w:rsidRPr="00491CBA" w:rsidRDefault="00491CBA" w:rsidP="005D7B68">
      <w:pPr>
        <w:tabs>
          <w:tab w:val="left" w:pos="567"/>
          <w:tab w:val="left" w:pos="1134"/>
          <w:tab w:val="left" w:pos="1701"/>
          <w:tab w:val="left" w:pos="2268"/>
          <w:tab w:val="left" w:pos="2835"/>
        </w:tabs>
        <w:rPr>
          <w:lang w:val="fr-FR"/>
        </w:rPr>
      </w:pPr>
      <w:r>
        <w:rPr>
          <w:lang w:val="fr-FR"/>
        </w:rPr>
        <w:t>97</w:t>
      </w:r>
      <w:r w:rsidR="00F771D5">
        <w:rPr>
          <w:lang w:val="fr-FR"/>
        </w:rPr>
        <w:t>3</w:t>
      </w:r>
      <w:r>
        <w:rPr>
          <w:lang w:val="fr-FR"/>
        </w:rPr>
        <w:t>.</w:t>
      </w:r>
      <w:r>
        <w:rPr>
          <w:lang w:val="fr-FR"/>
        </w:rPr>
        <w:tab/>
        <w:t>Les organismes et organisations ci-après ont accès aux prisons du Victoria pour y recevoir les plaintes relatives à des violations alléguées des droits de l’homme</w:t>
      </w:r>
      <w:r w:rsidR="00572260">
        <w:rPr>
          <w:lang w:val="fr-FR"/>
        </w:rPr>
        <w:t>:</w:t>
      </w:r>
    </w:p>
    <w:p w:rsidR="00491CBA" w:rsidRDefault="00491CBA" w:rsidP="005D7B68">
      <w:pPr>
        <w:tabs>
          <w:tab w:val="left" w:pos="567"/>
          <w:tab w:val="left" w:pos="1134"/>
          <w:tab w:val="left" w:pos="1701"/>
          <w:tab w:val="left" w:pos="2268"/>
          <w:tab w:val="left" w:pos="2835"/>
        </w:tabs>
        <w:rPr>
          <w:lang w:val="fr-FR"/>
        </w:rPr>
      </w:pPr>
      <w:r>
        <w:rPr>
          <w:lang w:val="fr-FR"/>
        </w:rPr>
        <w:tab/>
        <w:t>a)</w:t>
      </w:r>
      <w:r>
        <w:rPr>
          <w:lang w:val="fr-FR"/>
        </w:rPr>
        <w:tab/>
        <w:t>L’inspection des établissements pénitentiaires</w:t>
      </w:r>
      <w:r w:rsidR="00572260">
        <w:rPr>
          <w:lang w:val="fr-FR"/>
        </w:rPr>
        <w:t>;</w:t>
      </w:r>
    </w:p>
    <w:p w:rsidR="00491CBA" w:rsidRDefault="000D49A7" w:rsidP="005D7B68">
      <w:pPr>
        <w:tabs>
          <w:tab w:val="left" w:pos="567"/>
          <w:tab w:val="left" w:pos="1134"/>
          <w:tab w:val="left" w:pos="1701"/>
          <w:tab w:val="left" w:pos="2268"/>
          <w:tab w:val="left" w:pos="2835"/>
        </w:tabs>
        <w:rPr>
          <w:lang w:val="fr-FR"/>
        </w:rPr>
      </w:pPr>
      <w:r>
        <w:rPr>
          <w:lang w:val="fr-FR"/>
        </w:rPr>
        <w:tab/>
      </w:r>
      <w:r w:rsidR="00491CBA">
        <w:rPr>
          <w:lang w:val="fr-FR"/>
        </w:rPr>
        <w:t>b)</w:t>
      </w:r>
      <w:r w:rsidR="00491CBA">
        <w:rPr>
          <w:lang w:val="fr-FR"/>
        </w:rPr>
        <w:tab/>
        <w:t>Les visiteurs officiels (sous l’égide de l’Inspection des établissements pénitentiaires)</w:t>
      </w:r>
      <w:r w:rsidR="00572260">
        <w:rPr>
          <w:lang w:val="fr-FR"/>
        </w:rPr>
        <w:t>;</w:t>
      </w:r>
    </w:p>
    <w:p w:rsidR="00491CBA" w:rsidRDefault="000D49A7" w:rsidP="005D7B68">
      <w:pPr>
        <w:tabs>
          <w:tab w:val="left" w:pos="567"/>
          <w:tab w:val="left" w:pos="1134"/>
          <w:tab w:val="left" w:pos="1701"/>
          <w:tab w:val="left" w:pos="2268"/>
          <w:tab w:val="left" w:pos="2835"/>
        </w:tabs>
        <w:rPr>
          <w:lang w:val="fr-FR"/>
        </w:rPr>
      </w:pPr>
      <w:r>
        <w:rPr>
          <w:lang w:val="fr-FR"/>
        </w:rPr>
        <w:tab/>
      </w:r>
      <w:r w:rsidR="00491CBA">
        <w:rPr>
          <w:lang w:val="fr-FR"/>
        </w:rPr>
        <w:t>c)</w:t>
      </w:r>
      <w:r w:rsidR="00491CBA">
        <w:rPr>
          <w:lang w:val="fr-FR"/>
        </w:rPr>
        <w:tab/>
        <w:t>Le Médiateur du Victoria</w:t>
      </w:r>
      <w:r w:rsidR="00572260">
        <w:rPr>
          <w:lang w:val="fr-FR"/>
        </w:rPr>
        <w:t>;</w:t>
      </w:r>
    </w:p>
    <w:p w:rsidR="00491CBA" w:rsidRDefault="000D49A7" w:rsidP="005D7B68">
      <w:pPr>
        <w:tabs>
          <w:tab w:val="left" w:pos="567"/>
          <w:tab w:val="left" w:pos="1134"/>
          <w:tab w:val="left" w:pos="1701"/>
          <w:tab w:val="left" w:pos="2268"/>
          <w:tab w:val="left" w:pos="2835"/>
        </w:tabs>
        <w:rPr>
          <w:lang w:val="fr-FR"/>
        </w:rPr>
      </w:pPr>
      <w:r>
        <w:rPr>
          <w:lang w:val="fr-FR"/>
        </w:rPr>
        <w:tab/>
      </w:r>
      <w:r w:rsidR="00491CBA">
        <w:rPr>
          <w:lang w:val="fr-FR"/>
        </w:rPr>
        <w:t>d)</w:t>
      </w:r>
      <w:r w:rsidR="00491CBA">
        <w:rPr>
          <w:lang w:val="fr-FR"/>
        </w:rPr>
        <w:tab/>
        <w:t>La Commission des droits de l’homme et de l’égalité des chances du Victoria</w:t>
      </w:r>
      <w:r w:rsidR="00572260">
        <w:rPr>
          <w:lang w:val="fr-FR"/>
        </w:rPr>
        <w:t>;</w:t>
      </w:r>
    </w:p>
    <w:p w:rsidR="00491CBA" w:rsidRDefault="000D49A7" w:rsidP="005D7B68">
      <w:pPr>
        <w:tabs>
          <w:tab w:val="left" w:pos="567"/>
          <w:tab w:val="left" w:pos="1134"/>
          <w:tab w:val="left" w:pos="1701"/>
          <w:tab w:val="left" w:pos="2268"/>
          <w:tab w:val="left" w:pos="2835"/>
        </w:tabs>
        <w:rPr>
          <w:lang w:val="fr-FR"/>
        </w:rPr>
      </w:pPr>
      <w:r>
        <w:rPr>
          <w:lang w:val="fr-FR"/>
        </w:rPr>
        <w:tab/>
      </w:r>
      <w:r w:rsidR="00491CBA">
        <w:rPr>
          <w:lang w:val="fr-FR"/>
        </w:rPr>
        <w:t>e)</w:t>
      </w:r>
      <w:r w:rsidR="00491CBA">
        <w:rPr>
          <w:lang w:val="fr-FR"/>
        </w:rPr>
        <w:tab/>
        <w:t>La police du Victoria</w:t>
      </w:r>
      <w:r w:rsidR="00572260">
        <w:rPr>
          <w:lang w:val="fr-FR"/>
        </w:rPr>
        <w:t>;</w:t>
      </w:r>
    </w:p>
    <w:p w:rsidR="00491CBA" w:rsidRPr="00491CBA" w:rsidRDefault="000D49A7" w:rsidP="005D7B68">
      <w:pPr>
        <w:tabs>
          <w:tab w:val="left" w:pos="567"/>
          <w:tab w:val="left" w:pos="1134"/>
          <w:tab w:val="left" w:pos="1701"/>
          <w:tab w:val="left" w:pos="2268"/>
          <w:tab w:val="left" w:pos="2835"/>
        </w:tabs>
        <w:rPr>
          <w:lang w:val="fr-FR"/>
        </w:rPr>
      </w:pPr>
      <w:r>
        <w:rPr>
          <w:lang w:val="fr-FR"/>
        </w:rPr>
        <w:tab/>
      </w:r>
      <w:r w:rsidR="00491CBA">
        <w:rPr>
          <w:lang w:val="fr-FR"/>
        </w:rPr>
        <w:t>f)</w:t>
      </w:r>
      <w:r w:rsidR="00491CBA">
        <w:rPr>
          <w:lang w:val="fr-FR"/>
        </w:rPr>
        <w:tab/>
        <w:t>L’</w:t>
      </w:r>
      <w:r w:rsidR="00491CBA">
        <w:rPr>
          <w:i/>
          <w:iCs/>
          <w:lang w:val="fr-FR"/>
        </w:rPr>
        <w:t>Auditor-General</w:t>
      </w:r>
      <w:r w:rsidR="00491CBA">
        <w:rPr>
          <w:lang w:val="fr-FR"/>
        </w:rPr>
        <w:t xml:space="preserve"> du Victoria.</w:t>
      </w:r>
    </w:p>
    <w:p w:rsidR="009634B4" w:rsidRPr="009634B4" w:rsidRDefault="009634B4" w:rsidP="005D7B68">
      <w:pPr>
        <w:tabs>
          <w:tab w:val="left" w:pos="567"/>
          <w:tab w:val="left" w:pos="1134"/>
          <w:tab w:val="left" w:pos="1701"/>
          <w:tab w:val="left" w:pos="2268"/>
          <w:tab w:val="left" w:pos="2835"/>
        </w:tabs>
        <w:rPr>
          <w:b/>
          <w:bCs/>
          <w:lang w:val="fr-FR"/>
        </w:rPr>
      </w:pPr>
      <w:r>
        <w:rPr>
          <w:b/>
          <w:bCs/>
          <w:lang w:val="fr-FR"/>
        </w:rPr>
        <w:t>Queensland</w:t>
      </w:r>
    </w:p>
    <w:p w:rsidR="009634B4" w:rsidRPr="009634B4" w:rsidRDefault="009634B4" w:rsidP="005D7B68">
      <w:pPr>
        <w:tabs>
          <w:tab w:val="left" w:pos="567"/>
          <w:tab w:val="left" w:pos="1134"/>
          <w:tab w:val="left" w:pos="1701"/>
          <w:tab w:val="left" w:pos="2268"/>
          <w:tab w:val="left" w:pos="2835"/>
        </w:tabs>
        <w:rPr>
          <w:lang w:val="fr-FR"/>
        </w:rPr>
      </w:pPr>
      <w:r>
        <w:rPr>
          <w:lang w:val="fr-FR"/>
        </w:rPr>
        <w:t>97</w:t>
      </w:r>
      <w:r w:rsidR="00F771D5">
        <w:rPr>
          <w:lang w:val="fr-FR"/>
        </w:rPr>
        <w:t>4</w:t>
      </w:r>
      <w:r>
        <w:rPr>
          <w:lang w:val="fr-FR"/>
        </w:rPr>
        <w:t>.</w:t>
      </w:r>
      <w:r>
        <w:rPr>
          <w:lang w:val="fr-FR"/>
        </w:rPr>
        <w:tab/>
      </w:r>
      <w:r w:rsidR="009D1183">
        <w:rPr>
          <w:lang w:val="fr-FR"/>
        </w:rPr>
        <w:t>Le</w:t>
      </w:r>
      <w:r w:rsidR="008E5D59">
        <w:rPr>
          <w:lang w:val="fr-FR"/>
        </w:rPr>
        <w:t xml:space="preserve"> Bureau de l’Inspecteur principal des services péniten</w:t>
      </w:r>
      <w:r w:rsidR="009D1183">
        <w:rPr>
          <w:lang w:val="fr-FR"/>
        </w:rPr>
        <w:t>tiaires du Queensland a pour fonction essentielle</w:t>
      </w:r>
      <w:r w:rsidR="008E5D59">
        <w:rPr>
          <w:lang w:val="fr-FR"/>
        </w:rPr>
        <w:t xml:space="preserve"> d’exercer un</w:t>
      </w:r>
      <w:r w:rsidR="00970782">
        <w:rPr>
          <w:lang w:val="fr-FR"/>
        </w:rPr>
        <w:t xml:space="preserve">e surveillance externe indépendante et éclairée </w:t>
      </w:r>
      <w:r w:rsidR="008E5D59">
        <w:rPr>
          <w:lang w:val="fr-FR"/>
        </w:rPr>
        <w:t>du traitement des détenus et de l’application des normes et des pratiques des établissements pénitentiaires du Queensland, qui aide les services pénitentiaires à fonctionner dans la transparence et de façon responsable, à contrôler en toute sécurité les détenus d’une manière à la fois sure et humaine, et de les faire participer à des programmes de format</w:t>
      </w:r>
      <w:r w:rsidR="000A2CE6">
        <w:rPr>
          <w:lang w:val="fr-FR"/>
        </w:rPr>
        <w:t>ion et d’enseignement professionnels</w:t>
      </w:r>
      <w:r w:rsidR="008E5D59">
        <w:rPr>
          <w:lang w:val="fr-FR"/>
        </w:rPr>
        <w:t>.</w:t>
      </w:r>
    </w:p>
    <w:p w:rsidR="009634B4" w:rsidRPr="009634B4" w:rsidRDefault="000A2CE6" w:rsidP="005D7B68">
      <w:pPr>
        <w:tabs>
          <w:tab w:val="left" w:pos="567"/>
          <w:tab w:val="left" w:pos="1134"/>
          <w:tab w:val="left" w:pos="1701"/>
          <w:tab w:val="left" w:pos="2268"/>
          <w:tab w:val="left" w:pos="2835"/>
        </w:tabs>
        <w:rPr>
          <w:lang w:val="fr-FR"/>
        </w:rPr>
      </w:pPr>
      <w:r>
        <w:rPr>
          <w:lang w:val="fr-FR"/>
        </w:rPr>
        <w:t>97</w:t>
      </w:r>
      <w:r w:rsidR="00F771D5">
        <w:rPr>
          <w:lang w:val="fr-FR"/>
        </w:rPr>
        <w:t>5</w:t>
      </w:r>
      <w:r>
        <w:rPr>
          <w:lang w:val="fr-FR"/>
        </w:rPr>
        <w:t>.</w:t>
      </w:r>
      <w:r>
        <w:rPr>
          <w:lang w:val="fr-FR"/>
        </w:rPr>
        <w:tab/>
        <w:t>Le Bureau de l’Inspecteur principal assure également la coordination du programme des visiteurs officiels</w:t>
      </w:r>
      <w:r w:rsidR="008D6B80">
        <w:rPr>
          <w:lang w:val="fr-FR"/>
        </w:rPr>
        <w:t xml:space="preserve">. </w:t>
      </w:r>
      <w:r>
        <w:rPr>
          <w:lang w:val="fr-FR"/>
        </w:rPr>
        <w:t>Ces derniers, issus de la collectivité, sont nommés par les Services pénitentiaires du Queensland, conformément à la loi de 2006 sur les Services pénitentiaires, et ce programme joue un rôle important dans le système pénitentiaire de cet État en ce qu’il prévoit des visites régulière</w:t>
      </w:r>
      <w:r w:rsidR="00970782">
        <w:rPr>
          <w:lang w:val="fr-FR"/>
        </w:rPr>
        <w:t>s</w:t>
      </w:r>
      <w:r>
        <w:rPr>
          <w:lang w:val="fr-FR"/>
        </w:rPr>
        <w:t xml:space="preserve"> d’un fonctionnaire indépendant et facilement accessible pour aider les détenus</w:t>
      </w:r>
      <w:r w:rsidR="00A93A94">
        <w:rPr>
          <w:lang w:val="fr-FR"/>
        </w:rPr>
        <w:t xml:space="preserve"> en s’occupant de leurs plaintes et en s’efforçant de les régler. En tant que représentant</w:t>
      </w:r>
      <w:r w:rsidR="00970782">
        <w:rPr>
          <w:lang w:val="fr-FR"/>
        </w:rPr>
        <w:t>s</w:t>
      </w:r>
      <w:r w:rsidR="00A93A94">
        <w:rPr>
          <w:lang w:val="fr-FR"/>
        </w:rPr>
        <w:t xml:space="preserve"> de la collectivité, ils constituent un mécanisme supplémentaire pour veiller à ce que les décisions, dans les établissements pénitentiaires, soient prises en toute transparence et </w:t>
      </w:r>
      <w:r w:rsidR="00970782">
        <w:rPr>
          <w:lang w:val="fr-FR"/>
        </w:rPr>
        <w:t xml:space="preserve">soient </w:t>
      </w:r>
      <w:r w:rsidR="00A93A94">
        <w:rPr>
          <w:lang w:val="fr-FR"/>
        </w:rPr>
        <w:t>susceptibles de devoir être justifiées par les responsables</w:t>
      </w:r>
      <w:r w:rsidR="008D6B80">
        <w:rPr>
          <w:lang w:val="fr-FR"/>
        </w:rPr>
        <w:t xml:space="preserve">. </w:t>
      </w:r>
      <w:r w:rsidR="00C95858">
        <w:rPr>
          <w:lang w:val="fr-FR"/>
        </w:rPr>
        <w:t>Les visiteurs officiels rendent compte directement à l’Inspecteur principal des résultats des enquêtes et d’autres questions qui relèvent de l’exercice de leurs fonctions</w:t>
      </w:r>
      <w:r w:rsidR="008D6B80">
        <w:rPr>
          <w:lang w:val="fr-FR"/>
        </w:rPr>
        <w:t xml:space="preserve">. </w:t>
      </w:r>
      <w:r w:rsidR="00C95858">
        <w:rPr>
          <w:lang w:val="fr-FR"/>
        </w:rPr>
        <w:t>Ces rapports l’aident à repérer les problèmes systémiques et à organiser les visites d’inspection du centre</w:t>
      </w:r>
      <w:r w:rsidR="008D6B80">
        <w:rPr>
          <w:lang w:val="fr-FR"/>
        </w:rPr>
        <w:t xml:space="preserve">. </w:t>
      </w:r>
      <w:r w:rsidR="00C95858">
        <w:rPr>
          <w:lang w:val="fr-FR"/>
        </w:rPr>
        <w:t xml:space="preserve">On peut obtenir des informations plus détaillées concernant ce programme sur le site Web </w:t>
      </w:r>
      <w:hyperlink r:id="rId54" w:history="1">
        <w:r w:rsidR="00C95858" w:rsidRPr="000D49A7">
          <w:rPr>
            <w:rStyle w:val="Hyperlink"/>
            <w:sz w:val="22"/>
            <w:szCs w:val="22"/>
            <w:lang w:val="fr-FR"/>
          </w:rPr>
          <w:t>http://www.dcs.qld.gov.au/Publications/Corporate_Publications/Miscellaneous_Documents/Chief%20Inspector.pdf</w:t>
        </w:r>
      </w:hyperlink>
      <w:r w:rsidR="00C95858" w:rsidRPr="000D49A7">
        <w:rPr>
          <w:sz w:val="22"/>
          <w:szCs w:val="22"/>
          <w:lang w:val="fr-FR"/>
        </w:rPr>
        <w:t>.</w:t>
      </w:r>
      <w:r w:rsidR="00C95858">
        <w:rPr>
          <w:lang w:val="fr-FR"/>
        </w:rPr>
        <w:t xml:space="preserve"> </w:t>
      </w:r>
    </w:p>
    <w:p w:rsidR="00B03502" w:rsidRPr="002A7304" w:rsidRDefault="00B03502" w:rsidP="005D7B68">
      <w:pPr>
        <w:tabs>
          <w:tab w:val="left" w:pos="567"/>
          <w:tab w:val="left" w:pos="1134"/>
          <w:tab w:val="left" w:pos="1701"/>
          <w:tab w:val="left" w:pos="2268"/>
          <w:tab w:val="left" w:pos="2835"/>
        </w:tabs>
        <w:rPr>
          <w:lang w:val="fr-FR"/>
        </w:rPr>
      </w:pPr>
      <w:r>
        <w:rPr>
          <w:lang w:val="fr-FR"/>
        </w:rPr>
        <w:t>97</w:t>
      </w:r>
      <w:r w:rsidR="00F771D5">
        <w:rPr>
          <w:lang w:val="fr-FR"/>
        </w:rPr>
        <w:t>6</w:t>
      </w:r>
      <w:r>
        <w:rPr>
          <w:lang w:val="fr-FR"/>
        </w:rPr>
        <w:t>.</w:t>
      </w:r>
      <w:r>
        <w:rPr>
          <w:lang w:val="fr-FR"/>
        </w:rPr>
        <w:tab/>
        <w:t>Il est un autre mécanisme, à savoir le Bureau du Médiateur du Queensland</w:t>
      </w:r>
      <w:r w:rsidR="008D6B80">
        <w:rPr>
          <w:lang w:val="fr-FR"/>
        </w:rPr>
        <w:t xml:space="preserve">. </w:t>
      </w:r>
      <w:r w:rsidR="00671053">
        <w:rPr>
          <w:lang w:val="fr-FR"/>
        </w:rPr>
        <w:t>Il s’agit d’un organisme indépendant d’instruction des plaintes dont le rôle essentiel est de faire en sorte que les organismes publics (</w:t>
      </w:r>
      <w:r w:rsidR="009A408A">
        <w:rPr>
          <w:color w:val="000000"/>
          <w:lang w:val="fr-FR"/>
        </w:rPr>
        <w:t>départements</w:t>
      </w:r>
      <w:r w:rsidR="00970782">
        <w:rPr>
          <w:lang w:val="fr-FR"/>
        </w:rPr>
        <w:t xml:space="preserve"> et organ</w:t>
      </w:r>
      <w:r w:rsidR="002A7304">
        <w:rPr>
          <w:lang w:val="fr-FR"/>
        </w:rPr>
        <w:t>es publics de l’État, et conseils municipaux) agissent équitablement et prennent de bonnes décisions pour les habitants du Queensland</w:t>
      </w:r>
      <w:r w:rsidR="008D6B80">
        <w:rPr>
          <w:lang w:val="fr-FR"/>
        </w:rPr>
        <w:t xml:space="preserve">. </w:t>
      </w:r>
      <w:r w:rsidR="005A4597">
        <w:rPr>
          <w:lang w:val="fr-FR"/>
        </w:rPr>
        <w:t>La loi de 2006 sur les Services pénitentiaires autorise le Médiateur du Queensland à avoir accès aux établissements pénitentiaires</w:t>
      </w:r>
      <w:r w:rsidR="008D6B80">
        <w:rPr>
          <w:lang w:val="fr-FR"/>
        </w:rPr>
        <w:t xml:space="preserve">. </w:t>
      </w:r>
      <w:r w:rsidR="005A4597">
        <w:rPr>
          <w:lang w:val="fr-FR"/>
        </w:rPr>
        <w:t>La correspondance des détenus avec le Médiateur bénéficie d’un statut de correspondance privilégiée aux termes de la loi de 2006 sur les services pénitentiaires et ne peut être ouverte que dans certaines circonstances</w:t>
      </w:r>
      <w:r w:rsidR="008D6B80">
        <w:rPr>
          <w:lang w:val="fr-FR"/>
        </w:rPr>
        <w:t xml:space="preserve">. </w:t>
      </w:r>
      <w:r w:rsidR="005A4597">
        <w:rPr>
          <w:lang w:val="fr-FR"/>
        </w:rPr>
        <w:t>Les détenus peuvent téléphoner gratuitement au Bureau du Médiateur à des moments prévus</w:t>
      </w:r>
      <w:r w:rsidR="008D6B80">
        <w:rPr>
          <w:lang w:val="fr-FR"/>
        </w:rPr>
        <w:t xml:space="preserve">. </w:t>
      </w:r>
      <w:r w:rsidR="005A4597">
        <w:rPr>
          <w:lang w:val="fr-FR"/>
        </w:rPr>
        <w:t xml:space="preserve">On peut trouver des informations plus détaillées sur le site Web </w:t>
      </w:r>
      <w:hyperlink r:id="rId55" w:history="1">
        <w:r w:rsidR="005A4597" w:rsidRPr="000D49A7">
          <w:rPr>
            <w:rStyle w:val="Hyperlink"/>
            <w:sz w:val="22"/>
            <w:szCs w:val="22"/>
            <w:lang w:val="fr-FR"/>
          </w:rPr>
          <w:t>http://www.ombudsman.qld.gov.au/cms/index.php?option=com_content&amp;task=view&amp;24&amp;Itemid=22</w:t>
        </w:r>
      </w:hyperlink>
      <w:r w:rsidR="005A4597" w:rsidRPr="000D49A7">
        <w:rPr>
          <w:sz w:val="22"/>
          <w:szCs w:val="22"/>
          <w:lang w:val="fr-FR"/>
        </w:rPr>
        <w:t xml:space="preserve">. </w:t>
      </w:r>
    </w:p>
    <w:p w:rsidR="00B03502" w:rsidRDefault="008E1139" w:rsidP="005D7B68">
      <w:pPr>
        <w:tabs>
          <w:tab w:val="left" w:pos="567"/>
          <w:tab w:val="left" w:pos="1134"/>
          <w:tab w:val="left" w:pos="1701"/>
          <w:tab w:val="left" w:pos="2268"/>
          <w:tab w:val="left" w:pos="2835"/>
        </w:tabs>
        <w:rPr>
          <w:b/>
          <w:bCs/>
          <w:lang w:val="fr-FR"/>
        </w:rPr>
      </w:pPr>
      <w:r>
        <w:rPr>
          <w:b/>
          <w:bCs/>
          <w:lang w:val="fr-FR"/>
        </w:rPr>
        <w:t>Australie occidentale</w:t>
      </w:r>
    </w:p>
    <w:p w:rsidR="005A4597" w:rsidRDefault="008F0FA4" w:rsidP="005D7B68">
      <w:pPr>
        <w:tabs>
          <w:tab w:val="left" w:pos="567"/>
          <w:tab w:val="left" w:pos="1134"/>
          <w:tab w:val="left" w:pos="1701"/>
          <w:tab w:val="left" w:pos="2268"/>
          <w:tab w:val="left" w:pos="2835"/>
        </w:tabs>
        <w:rPr>
          <w:lang w:val="fr-FR"/>
        </w:rPr>
      </w:pPr>
      <w:r>
        <w:rPr>
          <w:lang w:val="fr-FR"/>
        </w:rPr>
        <w:t>97</w:t>
      </w:r>
      <w:r w:rsidR="00F771D5">
        <w:rPr>
          <w:lang w:val="fr-FR"/>
        </w:rPr>
        <w:t>7</w:t>
      </w:r>
      <w:r>
        <w:rPr>
          <w:lang w:val="fr-FR"/>
        </w:rPr>
        <w:t>.</w:t>
      </w:r>
      <w:r>
        <w:rPr>
          <w:lang w:val="fr-FR"/>
        </w:rPr>
        <w:tab/>
      </w:r>
      <w:r w:rsidR="00A301F5">
        <w:rPr>
          <w:lang w:val="fr-FR"/>
        </w:rPr>
        <w:t>La loi sur la santé mentale d’</w:t>
      </w:r>
      <w:r w:rsidR="008E1139">
        <w:rPr>
          <w:lang w:val="fr-FR"/>
        </w:rPr>
        <w:t>Australie occidentale</w:t>
      </w:r>
      <w:r w:rsidR="00A301F5">
        <w:rPr>
          <w:lang w:val="fr-FR"/>
        </w:rPr>
        <w:t xml:space="preserve"> prévoit un certain nombre de mécanismes de contrôle indépendants du service de santé mentale pour la protection des personnes souffrant de troubles mentaux qui ont fait l’objet d’une hospitalisation d’office.</w:t>
      </w:r>
    </w:p>
    <w:p w:rsidR="00A301F5" w:rsidRPr="005A4597" w:rsidRDefault="00A301F5" w:rsidP="005D7B68">
      <w:pPr>
        <w:tabs>
          <w:tab w:val="left" w:pos="567"/>
          <w:tab w:val="left" w:pos="1134"/>
          <w:tab w:val="left" w:pos="1701"/>
          <w:tab w:val="left" w:pos="2268"/>
          <w:tab w:val="left" w:pos="2835"/>
        </w:tabs>
        <w:rPr>
          <w:lang w:val="fr-FR"/>
        </w:rPr>
      </w:pPr>
      <w:r>
        <w:rPr>
          <w:lang w:val="fr-FR"/>
        </w:rPr>
        <w:t>97</w:t>
      </w:r>
      <w:r w:rsidR="00F771D5">
        <w:rPr>
          <w:lang w:val="fr-FR"/>
        </w:rPr>
        <w:t>8</w:t>
      </w:r>
      <w:r>
        <w:rPr>
          <w:lang w:val="fr-FR"/>
        </w:rPr>
        <w:t>.</w:t>
      </w:r>
      <w:r>
        <w:rPr>
          <w:lang w:val="fr-FR"/>
        </w:rPr>
        <w:tab/>
        <w:t>La Commission de recours de la santé mentale effectue un réexamen du statut de ces patients soit sur demande, soit en tant que réexamens obligatoires à intervalles réguliers</w:t>
      </w:r>
      <w:r w:rsidR="008D6B80">
        <w:rPr>
          <w:lang w:val="fr-FR"/>
        </w:rPr>
        <w:t xml:space="preserve">. </w:t>
      </w:r>
      <w:r>
        <w:rPr>
          <w:lang w:val="fr-FR"/>
        </w:rPr>
        <w:t>Afin de pouvoir procéder à ces réexamens, la Commission a</w:t>
      </w:r>
      <w:r w:rsidR="0024362C">
        <w:rPr>
          <w:lang w:val="fr-FR"/>
        </w:rPr>
        <w:t xml:space="preserve"> </w:t>
      </w:r>
      <w:r>
        <w:rPr>
          <w:lang w:val="fr-FR"/>
        </w:rPr>
        <w:t>plein</w:t>
      </w:r>
      <w:r w:rsidR="0024362C">
        <w:rPr>
          <w:lang w:val="fr-FR"/>
        </w:rPr>
        <w:t>ement</w:t>
      </w:r>
      <w:r>
        <w:rPr>
          <w:lang w:val="fr-FR"/>
        </w:rPr>
        <w:t xml:space="preserve"> accès </w:t>
      </w:r>
      <w:r w:rsidR="0024362C">
        <w:rPr>
          <w:lang w:val="fr-FR"/>
        </w:rPr>
        <w:t>à l’hôpital agréé et peut s’entretenir avec les patients, le personnel soignant et les cliniciens.</w:t>
      </w:r>
      <w:r>
        <w:rPr>
          <w:lang w:val="fr-FR"/>
        </w:rPr>
        <w:t xml:space="preserve"> </w:t>
      </w:r>
    </w:p>
    <w:p w:rsidR="0024362C" w:rsidRDefault="0024362C" w:rsidP="005D7B68">
      <w:pPr>
        <w:tabs>
          <w:tab w:val="left" w:pos="567"/>
          <w:tab w:val="left" w:pos="1134"/>
          <w:tab w:val="left" w:pos="1701"/>
          <w:tab w:val="left" w:pos="2268"/>
          <w:tab w:val="left" w:pos="2835"/>
        </w:tabs>
        <w:rPr>
          <w:lang w:val="fr-FR"/>
        </w:rPr>
      </w:pPr>
      <w:r>
        <w:rPr>
          <w:lang w:val="fr-FR"/>
        </w:rPr>
        <w:t>9</w:t>
      </w:r>
      <w:r w:rsidR="00F771D5">
        <w:rPr>
          <w:lang w:val="fr-FR"/>
        </w:rPr>
        <w:t>79</w:t>
      </w:r>
      <w:r>
        <w:rPr>
          <w:lang w:val="fr-FR"/>
        </w:rPr>
        <w:t>.</w:t>
      </w:r>
      <w:r>
        <w:rPr>
          <w:lang w:val="fr-FR"/>
        </w:rPr>
        <w:tab/>
        <w:t>Le Conseil des visiteurs officiels peut prendre la défense des détenus hospitalisés d’office et les assister lors du réexamen de la Commission de recours ou bien pour faire donner suite à une plai</w:t>
      </w:r>
      <w:r w:rsidR="009A408A">
        <w:rPr>
          <w:lang w:val="fr-FR"/>
        </w:rPr>
        <w:t>nte</w:t>
      </w:r>
      <w:r w:rsidR="008D6B80">
        <w:rPr>
          <w:lang w:val="fr-FR"/>
        </w:rPr>
        <w:t xml:space="preserve">. </w:t>
      </w:r>
      <w:r w:rsidR="009A408A">
        <w:rPr>
          <w:lang w:val="fr-FR"/>
        </w:rPr>
        <w:t>Les visiteurs officiels on</w:t>
      </w:r>
      <w:r>
        <w:rPr>
          <w:lang w:val="fr-FR"/>
        </w:rPr>
        <w:t>t pleinement accès à tout secteur d’un hôpital agréé à toute heure du jour ou de la nuit.</w:t>
      </w:r>
    </w:p>
    <w:p w:rsidR="0024362C" w:rsidRDefault="0024362C" w:rsidP="005D7B68">
      <w:pPr>
        <w:tabs>
          <w:tab w:val="left" w:pos="567"/>
          <w:tab w:val="left" w:pos="1134"/>
          <w:tab w:val="left" w:pos="1701"/>
          <w:tab w:val="left" w:pos="2268"/>
          <w:tab w:val="left" w:pos="2835"/>
        </w:tabs>
        <w:rPr>
          <w:lang w:val="fr-FR"/>
        </w:rPr>
      </w:pPr>
      <w:r>
        <w:rPr>
          <w:lang w:val="fr-FR"/>
        </w:rPr>
        <w:t>98</w:t>
      </w:r>
      <w:r w:rsidR="00F771D5">
        <w:rPr>
          <w:lang w:val="fr-FR"/>
        </w:rPr>
        <w:t>0</w:t>
      </w:r>
      <w:r>
        <w:rPr>
          <w:lang w:val="fr-FR"/>
        </w:rPr>
        <w:t>.</w:t>
      </w:r>
      <w:r>
        <w:rPr>
          <w:lang w:val="fr-FR"/>
        </w:rPr>
        <w:tab/>
        <w:t>Le psychiatre principal est responsable des soins médicaux dispensés à tous les patients hospitalisés d’office</w:t>
      </w:r>
      <w:r w:rsidR="006C418C">
        <w:rPr>
          <w:lang w:val="fr-FR"/>
        </w:rPr>
        <w:t xml:space="preserve"> (les détenus comme les autres),</w:t>
      </w:r>
      <w:r>
        <w:rPr>
          <w:lang w:val="fr-FR"/>
        </w:rPr>
        <w:t xml:space="preserve"> et de leur bien-</w:t>
      </w:r>
      <w:r w:rsidR="006C418C">
        <w:rPr>
          <w:lang w:val="fr-FR"/>
        </w:rPr>
        <w:t>être, ainsi que des normes des soins assurés dans les établissements de santé mentale, y compris les hôpitaux agréés</w:t>
      </w:r>
      <w:r w:rsidR="008D6B80">
        <w:rPr>
          <w:lang w:val="fr-FR"/>
        </w:rPr>
        <w:t xml:space="preserve">. </w:t>
      </w:r>
      <w:r w:rsidR="006C418C">
        <w:rPr>
          <w:lang w:val="fr-FR"/>
        </w:rPr>
        <w:t>Á c</w:t>
      </w:r>
      <w:r w:rsidR="001F1EFD">
        <w:rPr>
          <w:lang w:val="fr-FR"/>
        </w:rPr>
        <w:t>e titre, lui-même</w:t>
      </w:r>
      <w:r w:rsidR="006C418C">
        <w:rPr>
          <w:lang w:val="fr-FR"/>
        </w:rPr>
        <w:t xml:space="preserve"> et les membre</w:t>
      </w:r>
      <w:r w:rsidR="002B226B">
        <w:rPr>
          <w:lang w:val="fr-FR"/>
        </w:rPr>
        <w:t xml:space="preserve">s du personnel de son service </w:t>
      </w:r>
      <w:r w:rsidR="006C418C">
        <w:rPr>
          <w:lang w:val="fr-FR"/>
        </w:rPr>
        <w:t>ont pleinement accès à tous les hôpitaux agréés de l’État</w:t>
      </w:r>
      <w:r w:rsidR="008D6B80">
        <w:rPr>
          <w:lang w:val="fr-FR"/>
        </w:rPr>
        <w:t xml:space="preserve">. </w:t>
      </w:r>
      <w:r w:rsidR="006C418C">
        <w:rPr>
          <w:lang w:val="fr-FR"/>
        </w:rPr>
        <w:t>Ledit psychiatre principal contrôle les normes des services fournis aux détenus hospitalisés d’office</w:t>
      </w:r>
      <w:r w:rsidR="008504CE">
        <w:rPr>
          <w:lang w:val="fr-FR"/>
        </w:rPr>
        <w:t xml:space="preserve"> à intervalles réguliers dans un</w:t>
      </w:r>
      <w:r w:rsidR="006C418C">
        <w:rPr>
          <w:lang w:val="fr-FR"/>
        </w:rPr>
        <w:t xml:space="preserve"> cadre</w:t>
      </w:r>
      <w:r w:rsidR="008504CE">
        <w:rPr>
          <w:lang w:val="fr-FR"/>
        </w:rPr>
        <w:t xml:space="preserve"> d’administration hospitalière.</w:t>
      </w:r>
    </w:p>
    <w:p w:rsidR="008504CE" w:rsidRDefault="008504CE" w:rsidP="005D7B68">
      <w:pPr>
        <w:tabs>
          <w:tab w:val="left" w:pos="567"/>
          <w:tab w:val="left" w:pos="1134"/>
          <w:tab w:val="left" w:pos="1701"/>
          <w:tab w:val="left" w:pos="2268"/>
          <w:tab w:val="left" w:pos="2835"/>
        </w:tabs>
        <w:spacing w:after="160"/>
        <w:rPr>
          <w:lang w:val="fr-FR"/>
        </w:rPr>
      </w:pPr>
      <w:r>
        <w:rPr>
          <w:lang w:val="fr-FR"/>
        </w:rPr>
        <w:t>98</w:t>
      </w:r>
      <w:r w:rsidR="00F771D5">
        <w:rPr>
          <w:lang w:val="fr-FR"/>
        </w:rPr>
        <w:t>1</w:t>
      </w:r>
      <w:r>
        <w:rPr>
          <w:lang w:val="fr-FR"/>
        </w:rPr>
        <w:t>.</w:t>
      </w:r>
      <w:r>
        <w:rPr>
          <w:lang w:val="fr-FR"/>
        </w:rPr>
        <w:tab/>
        <w:t>Pour un surcroît d’informations concernant l’Inspecteur des services pénitentiaires d’</w:t>
      </w:r>
      <w:r w:rsidR="008E1139">
        <w:rPr>
          <w:lang w:val="fr-FR"/>
        </w:rPr>
        <w:t>Australie occidentale</w:t>
      </w:r>
      <w:r>
        <w:rPr>
          <w:lang w:val="fr-FR"/>
        </w:rPr>
        <w:t xml:space="preserve">, le Comité </w:t>
      </w:r>
      <w:r w:rsidR="002B226B">
        <w:rPr>
          <w:lang w:val="fr-FR"/>
        </w:rPr>
        <w:t xml:space="preserve">est prié </w:t>
      </w:r>
      <w:r>
        <w:rPr>
          <w:lang w:val="fr-FR"/>
        </w:rPr>
        <w:t>de se reporter à la contribution de l’</w:t>
      </w:r>
      <w:r w:rsidR="008E1139">
        <w:rPr>
          <w:lang w:val="fr-FR"/>
        </w:rPr>
        <w:t>Australie occidentale</w:t>
      </w:r>
      <w:r>
        <w:rPr>
          <w:lang w:val="fr-FR"/>
        </w:rPr>
        <w:t xml:space="preserve"> à la réponse à la question 22.</w:t>
      </w:r>
    </w:p>
    <w:p w:rsidR="008504CE" w:rsidRPr="008504CE" w:rsidRDefault="008E1139" w:rsidP="005D7B68">
      <w:pPr>
        <w:tabs>
          <w:tab w:val="left" w:pos="567"/>
          <w:tab w:val="left" w:pos="1134"/>
          <w:tab w:val="left" w:pos="1701"/>
          <w:tab w:val="left" w:pos="2268"/>
          <w:tab w:val="left" w:pos="2835"/>
        </w:tabs>
        <w:spacing w:after="160"/>
        <w:rPr>
          <w:b/>
          <w:bCs/>
          <w:lang w:val="fr-FR"/>
        </w:rPr>
      </w:pPr>
      <w:r>
        <w:rPr>
          <w:b/>
          <w:bCs/>
          <w:lang w:val="fr-FR"/>
        </w:rPr>
        <w:t>Australie méridionale</w:t>
      </w:r>
    </w:p>
    <w:p w:rsidR="008504CE" w:rsidRDefault="008504CE" w:rsidP="005D7B68">
      <w:pPr>
        <w:tabs>
          <w:tab w:val="left" w:pos="567"/>
          <w:tab w:val="left" w:pos="1134"/>
          <w:tab w:val="left" w:pos="1701"/>
          <w:tab w:val="left" w:pos="2268"/>
          <w:tab w:val="left" w:pos="2835"/>
        </w:tabs>
        <w:spacing w:after="160"/>
        <w:rPr>
          <w:lang w:val="fr-FR"/>
        </w:rPr>
      </w:pPr>
      <w:r>
        <w:rPr>
          <w:lang w:val="fr-FR"/>
        </w:rPr>
        <w:t>98</w:t>
      </w:r>
      <w:r w:rsidR="00F771D5">
        <w:rPr>
          <w:lang w:val="fr-FR"/>
        </w:rPr>
        <w:t>2</w:t>
      </w:r>
      <w:r>
        <w:rPr>
          <w:lang w:val="fr-FR"/>
        </w:rPr>
        <w:t>.</w:t>
      </w:r>
      <w:r>
        <w:rPr>
          <w:lang w:val="fr-FR"/>
        </w:rPr>
        <w:tab/>
        <w:t xml:space="preserve">En </w:t>
      </w:r>
      <w:r w:rsidR="008E1139">
        <w:rPr>
          <w:lang w:val="fr-FR"/>
        </w:rPr>
        <w:t>Australie méridionale</w:t>
      </w:r>
      <w:r>
        <w:rPr>
          <w:lang w:val="fr-FR"/>
        </w:rPr>
        <w:t>, il existe plusieurs organes de contrôle autorisés à pénétrer dans toutes les prisons de l’État pour</w:t>
      </w:r>
      <w:r w:rsidR="00572260">
        <w:rPr>
          <w:lang w:val="fr-FR"/>
        </w:rPr>
        <w:t xml:space="preserve"> </w:t>
      </w:r>
      <w:r>
        <w:rPr>
          <w:lang w:val="fr-FR"/>
        </w:rPr>
        <w:t>recevoir et traiter les plaintes des détenus, à savoir</w:t>
      </w:r>
      <w:r w:rsidR="00572260">
        <w:rPr>
          <w:lang w:val="fr-FR"/>
        </w:rPr>
        <w:t>:</w:t>
      </w:r>
    </w:p>
    <w:p w:rsidR="000D49A7" w:rsidRDefault="008504CE" w:rsidP="005D7B68">
      <w:pPr>
        <w:tabs>
          <w:tab w:val="left" w:pos="567"/>
          <w:tab w:val="left" w:pos="1134"/>
          <w:tab w:val="left" w:pos="1701"/>
          <w:tab w:val="left" w:pos="2268"/>
          <w:tab w:val="left" w:pos="2835"/>
        </w:tabs>
        <w:spacing w:after="160"/>
        <w:rPr>
          <w:lang w:val="fr-FR"/>
        </w:rPr>
      </w:pPr>
      <w:r>
        <w:rPr>
          <w:lang w:val="fr-FR"/>
        </w:rPr>
        <w:tab/>
        <w:t>a)</w:t>
      </w:r>
      <w:r>
        <w:rPr>
          <w:lang w:val="fr-FR"/>
        </w:rPr>
        <w:tab/>
        <w:t>Les inspecteurs visiteurs nomm</w:t>
      </w:r>
      <w:r w:rsidR="002B226B">
        <w:rPr>
          <w:lang w:val="fr-FR"/>
        </w:rPr>
        <w:t>és par le Ministre, qui se rendent dans</w:t>
      </w:r>
      <w:r>
        <w:rPr>
          <w:lang w:val="fr-FR"/>
        </w:rPr>
        <w:t xml:space="preserve"> chaque prison une fois par semaine et s’entretiennent avec les détenus</w:t>
      </w:r>
      <w:r w:rsidR="00572260">
        <w:rPr>
          <w:lang w:val="fr-FR"/>
        </w:rPr>
        <w:t>;</w:t>
      </w:r>
    </w:p>
    <w:p w:rsidR="008504CE" w:rsidRDefault="008504CE" w:rsidP="005D7B68">
      <w:pPr>
        <w:tabs>
          <w:tab w:val="left" w:pos="567"/>
          <w:tab w:val="left" w:pos="1134"/>
          <w:tab w:val="left" w:pos="1701"/>
          <w:tab w:val="left" w:pos="2268"/>
          <w:tab w:val="left" w:pos="2835"/>
        </w:tabs>
        <w:spacing w:after="160"/>
        <w:rPr>
          <w:lang w:val="fr-FR"/>
        </w:rPr>
      </w:pPr>
      <w:r>
        <w:rPr>
          <w:lang w:val="fr-FR"/>
        </w:rPr>
        <w:tab/>
        <w:t>b)</w:t>
      </w:r>
      <w:r>
        <w:rPr>
          <w:lang w:val="fr-FR"/>
        </w:rPr>
        <w:tab/>
        <w:t>Les aumôniers</w:t>
      </w:r>
      <w:r w:rsidR="00572260">
        <w:rPr>
          <w:lang w:val="fr-FR"/>
        </w:rPr>
        <w:t>;</w:t>
      </w:r>
    </w:p>
    <w:p w:rsidR="008504CE" w:rsidRDefault="008504CE" w:rsidP="005D7B68">
      <w:pPr>
        <w:tabs>
          <w:tab w:val="left" w:pos="567"/>
          <w:tab w:val="left" w:pos="1134"/>
          <w:tab w:val="left" w:pos="1701"/>
          <w:tab w:val="left" w:pos="2268"/>
          <w:tab w:val="left" w:pos="2835"/>
        </w:tabs>
        <w:spacing w:after="160"/>
        <w:rPr>
          <w:lang w:val="fr-FR"/>
        </w:rPr>
      </w:pPr>
      <w:r>
        <w:rPr>
          <w:lang w:val="fr-FR"/>
        </w:rPr>
        <w:tab/>
        <w:t>c)</w:t>
      </w:r>
      <w:r>
        <w:rPr>
          <w:lang w:val="fr-FR"/>
        </w:rPr>
        <w:tab/>
        <w:t>Le Médiateur</w:t>
      </w:r>
      <w:r w:rsidR="00572260">
        <w:rPr>
          <w:lang w:val="fr-FR"/>
        </w:rPr>
        <w:t>;</w:t>
      </w:r>
    </w:p>
    <w:p w:rsidR="008504CE" w:rsidRDefault="008504CE" w:rsidP="005D7B68">
      <w:pPr>
        <w:tabs>
          <w:tab w:val="left" w:pos="567"/>
          <w:tab w:val="left" w:pos="1134"/>
          <w:tab w:val="left" w:pos="1701"/>
          <w:tab w:val="left" w:pos="2268"/>
          <w:tab w:val="left" w:pos="2835"/>
        </w:tabs>
        <w:spacing w:after="160"/>
        <w:rPr>
          <w:lang w:val="fr-FR"/>
        </w:rPr>
      </w:pPr>
      <w:r>
        <w:rPr>
          <w:lang w:val="fr-FR"/>
        </w:rPr>
        <w:tab/>
        <w:t>d)</w:t>
      </w:r>
      <w:r>
        <w:rPr>
          <w:lang w:val="fr-FR"/>
        </w:rPr>
        <w:tab/>
        <w:t>Le Conseil consultatif des services pénitentiaires, organe indépendant qui dépend directement du Ministre pour surveiller et évaluer la mise en œuvre</w:t>
      </w:r>
      <w:r w:rsidR="00572260">
        <w:rPr>
          <w:lang w:val="fr-FR"/>
        </w:rPr>
        <w:t xml:space="preserve"> </w:t>
      </w:r>
      <w:r>
        <w:rPr>
          <w:lang w:val="fr-FR"/>
        </w:rPr>
        <w:t>et le fonctionnement de la loi de 1982 sur les services pénitentiaires</w:t>
      </w:r>
      <w:r w:rsidR="00572260">
        <w:rPr>
          <w:lang w:val="fr-FR"/>
        </w:rPr>
        <w:t>;</w:t>
      </w:r>
    </w:p>
    <w:p w:rsidR="008504CE" w:rsidRDefault="008504CE" w:rsidP="005D7B68">
      <w:pPr>
        <w:tabs>
          <w:tab w:val="left" w:pos="567"/>
          <w:tab w:val="left" w:pos="1134"/>
          <w:tab w:val="left" w:pos="1701"/>
          <w:tab w:val="left" w:pos="2268"/>
          <w:tab w:val="left" w:pos="2835"/>
        </w:tabs>
        <w:spacing w:after="160"/>
        <w:rPr>
          <w:lang w:val="fr-FR"/>
        </w:rPr>
      </w:pPr>
      <w:r>
        <w:rPr>
          <w:lang w:val="fr-FR"/>
        </w:rPr>
        <w:tab/>
        <w:t>e)</w:t>
      </w:r>
      <w:r>
        <w:rPr>
          <w:lang w:val="fr-FR"/>
        </w:rPr>
        <w:tab/>
        <w:t>Le Ministre</w:t>
      </w:r>
      <w:r w:rsidR="00572260">
        <w:rPr>
          <w:lang w:val="fr-FR"/>
        </w:rPr>
        <w:t>;</w:t>
      </w:r>
    </w:p>
    <w:p w:rsidR="008504CE" w:rsidRDefault="008504CE" w:rsidP="005D7B68">
      <w:pPr>
        <w:tabs>
          <w:tab w:val="left" w:pos="567"/>
          <w:tab w:val="left" w:pos="1134"/>
          <w:tab w:val="left" w:pos="1701"/>
          <w:tab w:val="left" w:pos="2268"/>
          <w:tab w:val="left" w:pos="2835"/>
        </w:tabs>
        <w:spacing w:after="160"/>
        <w:rPr>
          <w:lang w:val="fr-FR"/>
        </w:rPr>
      </w:pPr>
      <w:r>
        <w:rPr>
          <w:lang w:val="fr-FR"/>
        </w:rPr>
        <w:tab/>
        <w:t>f)</w:t>
      </w:r>
      <w:r>
        <w:rPr>
          <w:lang w:val="fr-FR"/>
        </w:rPr>
        <w:tab/>
      </w:r>
      <w:r w:rsidR="00CA107D">
        <w:rPr>
          <w:lang w:val="fr-FR"/>
        </w:rPr>
        <w:t>L</w:t>
      </w:r>
      <w:r w:rsidR="00B92806">
        <w:rPr>
          <w:lang w:val="fr-FR"/>
        </w:rPr>
        <w:t>es services d’appui aux détenus et délinquants aborigènes, et</w:t>
      </w:r>
    </w:p>
    <w:p w:rsidR="00B92806" w:rsidRDefault="00B92806" w:rsidP="005D7B68">
      <w:pPr>
        <w:tabs>
          <w:tab w:val="left" w:pos="567"/>
          <w:tab w:val="left" w:pos="1134"/>
          <w:tab w:val="left" w:pos="1701"/>
          <w:tab w:val="left" w:pos="2268"/>
          <w:tab w:val="left" w:pos="2835"/>
        </w:tabs>
        <w:spacing w:after="160"/>
        <w:rPr>
          <w:lang w:val="fr-FR"/>
        </w:rPr>
      </w:pPr>
      <w:r>
        <w:rPr>
          <w:lang w:val="fr-FR"/>
        </w:rPr>
        <w:tab/>
        <w:t>g)</w:t>
      </w:r>
      <w:r>
        <w:rPr>
          <w:lang w:val="fr-FR"/>
        </w:rPr>
        <w:tab/>
        <w:t>Le Mouvement des droits juridiques des aborigènes.</w:t>
      </w:r>
    </w:p>
    <w:p w:rsidR="008504CE" w:rsidRDefault="00B92806" w:rsidP="005D7B68">
      <w:pPr>
        <w:tabs>
          <w:tab w:val="left" w:pos="567"/>
          <w:tab w:val="left" w:pos="1134"/>
          <w:tab w:val="left" w:pos="1701"/>
          <w:tab w:val="left" w:pos="2268"/>
          <w:tab w:val="left" w:pos="2835"/>
        </w:tabs>
        <w:spacing w:after="160"/>
        <w:rPr>
          <w:b/>
          <w:bCs/>
          <w:lang w:val="fr-FR"/>
        </w:rPr>
      </w:pPr>
      <w:r>
        <w:rPr>
          <w:b/>
          <w:bCs/>
          <w:lang w:val="fr-FR"/>
        </w:rPr>
        <w:t>Tasmanie</w:t>
      </w:r>
    </w:p>
    <w:p w:rsidR="00B92806" w:rsidRDefault="00B92806" w:rsidP="005D7B68">
      <w:pPr>
        <w:tabs>
          <w:tab w:val="left" w:pos="567"/>
          <w:tab w:val="left" w:pos="1134"/>
          <w:tab w:val="left" w:pos="1701"/>
          <w:tab w:val="left" w:pos="2268"/>
          <w:tab w:val="left" w:pos="2835"/>
        </w:tabs>
        <w:spacing w:after="160"/>
        <w:rPr>
          <w:lang w:val="fr-FR"/>
        </w:rPr>
      </w:pPr>
      <w:r>
        <w:rPr>
          <w:lang w:val="fr-FR"/>
        </w:rPr>
        <w:t>98</w:t>
      </w:r>
      <w:r w:rsidR="00F771D5">
        <w:rPr>
          <w:lang w:val="fr-FR"/>
        </w:rPr>
        <w:t>3</w:t>
      </w:r>
      <w:r>
        <w:rPr>
          <w:lang w:val="fr-FR"/>
        </w:rPr>
        <w:t>.</w:t>
      </w:r>
      <w:r>
        <w:rPr>
          <w:lang w:val="fr-FR"/>
        </w:rPr>
        <w:tab/>
        <w:t>En février 2006, le Gouvernement de Tasmanie a établi, en application de la loi de 1996 sur la santé mentale, le programme des visiteurs officiels de Tasmanie, organe indépendant chargé de visiter l’unité sécurisée de santé mentale de l’État, le Centre Wilfred Lopes de santé mentale médico-légal, afin d’évaluer l’efficacité des soins dispensés aux patients et d’instruire les plaintes des personnes qui y sont traitées pour des troubles mentaux.</w:t>
      </w:r>
    </w:p>
    <w:p w:rsidR="00B92806" w:rsidRPr="00B92806" w:rsidRDefault="00B92806" w:rsidP="005D7B68">
      <w:pPr>
        <w:tabs>
          <w:tab w:val="left" w:pos="567"/>
          <w:tab w:val="left" w:pos="1134"/>
          <w:tab w:val="left" w:pos="1701"/>
          <w:tab w:val="left" w:pos="2268"/>
          <w:tab w:val="left" w:pos="2835"/>
        </w:tabs>
        <w:spacing w:after="160"/>
        <w:rPr>
          <w:lang w:val="fr-FR"/>
        </w:rPr>
      </w:pPr>
      <w:r>
        <w:rPr>
          <w:lang w:val="fr-FR"/>
        </w:rPr>
        <w:t>98</w:t>
      </w:r>
      <w:r w:rsidR="00F771D5">
        <w:rPr>
          <w:lang w:val="fr-FR"/>
        </w:rPr>
        <w:t>4</w:t>
      </w:r>
      <w:r>
        <w:rPr>
          <w:lang w:val="fr-FR"/>
        </w:rPr>
        <w:t>.</w:t>
      </w:r>
      <w:r>
        <w:rPr>
          <w:lang w:val="fr-FR"/>
        </w:rPr>
        <w:tab/>
        <w:t>Le Médiateur a compétence pour réexaminer les mesures administratives prises par un</w:t>
      </w:r>
      <w:r w:rsidR="00CA107D">
        <w:rPr>
          <w:lang w:val="fr-FR"/>
        </w:rPr>
        <w:t>e</w:t>
      </w:r>
      <w:r>
        <w:rPr>
          <w:lang w:val="fr-FR"/>
        </w:rPr>
        <w:t xml:space="preserve"> autorité publique ou en son nom, et donc, entre autres, celles qui sont relatives à la détention des personnes dans le cadre du système pénitentiaire.</w:t>
      </w:r>
    </w:p>
    <w:p w:rsidR="0024362C" w:rsidRPr="00C44A48" w:rsidRDefault="00C44A48" w:rsidP="005D7B68">
      <w:pPr>
        <w:tabs>
          <w:tab w:val="left" w:pos="567"/>
          <w:tab w:val="left" w:pos="1134"/>
          <w:tab w:val="left" w:pos="1701"/>
          <w:tab w:val="left" w:pos="2268"/>
          <w:tab w:val="left" w:pos="2835"/>
        </w:tabs>
        <w:spacing w:after="160"/>
        <w:rPr>
          <w:b/>
          <w:bCs/>
          <w:lang w:val="fr-FR"/>
        </w:rPr>
      </w:pPr>
      <w:r w:rsidRPr="00C44A48">
        <w:rPr>
          <w:b/>
          <w:bCs/>
          <w:lang w:val="fr-FR"/>
        </w:rPr>
        <w:t>Territoire de la capitale australienne</w:t>
      </w:r>
    </w:p>
    <w:p w:rsidR="00C44A48" w:rsidRDefault="00C44A48" w:rsidP="005D7B68">
      <w:pPr>
        <w:tabs>
          <w:tab w:val="left" w:pos="567"/>
          <w:tab w:val="left" w:pos="1134"/>
          <w:tab w:val="left" w:pos="1701"/>
          <w:tab w:val="left" w:pos="2268"/>
          <w:tab w:val="left" w:pos="2835"/>
        </w:tabs>
        <w:spacing w:after="160"/>
        <w:rPr>
          <w:lang w:val="fr-FR"/>
        </w:rPr>
      </w:pPr>
      <w:r>
        <w:rPr>
          <w:lang w:val="fr-FR"/>
        </w:rPr>
        <w:t>98</w:t>
      </w:r>
      <w:r w:rsidR="00F771D5">
        <w:rPr>
          <w:lang w:val="fr-FR"/>
        </w:rPr>
        <w:t>5</w:t>
      </w:r>
      <w:r>
        <w:rPr>
          <w:lang w:val="fr-FR"/>
        </w:rPr>
        <w:t>.</w:t>
      </w:r>
      <w:r>
        <w:rPr>
          <w:lang w:val="fr-FR"/>
        </w:rPr>
        <w:tab/>
      </w:r>
      <w:r w:rsidR="00F1669F">
        <w:rPr>
          <w:lang w:val="fr-FR"/>
        </w:rPr>
        <w:t>La loi de 2007 sur l’administration des établissements pénitentiaires dispose que le représentant du Bureau du Visiteur officiel peut inspecter les établissements de détention, s’entretenir avec les détenus et instruire les plaintes</w:t>
      </w:r>
      <w:r w:rsidR="008D6B80">
        <w:rPr>
          <w:lang w:val="fr-FR"/>
        </w:rPr>
        <w:t xml:space="preserve">. </w:t>
      </w:r>
      <w:r w:rsidR="00F1669F">
        <w:rPr>
          <w:lang w:val="fr-FR"/>
        </w:rPr>
        <w:t>En ce qui conc</w:t>
      </w:r>
      <w:r w:rsidR="000D49A7">
        <w:rPr>
          <w:lang w:val="fr-FR"/>
        </w:rPr>
        <w:t>erne les jeunes délinquants, la </w:t>
      </w:r>
      <w:r w:rsidR="00F1669F">
        <w:rPr>
          <w:lang w:val="fr-FR"/>
        </w:rPr>
        <w:t>nomination d’un visiteur officiel est prévue par l’article 41 de la loi de 1999 sur les enfants et les jeunes</w:t>
      </w:r>
      <w:r w:rsidR="008D6B80">
        <w:rPr>
          <w:lang w:val="fr-FR"/>
        </w:rPr>
        <w:t xml:space="preserve">. </w:t>
      </w:r>
      <w:r w:rsidR="00F1669F">
        <w:rPr>
          <w:lang w:val="fr-FR"/>
        </w:rPr>
        <w:t>Il a pour rôle de visiter et d’inspecter les foyers d’hébergement et les institutions pour enfants et jeunes, d’aller voir les enfants et les jeunes qui bénéficient d’une protection thérapeutique et d’entendre, d’instruire ou de transmettre les pl</w:t>
      </w:r>
      <w:r w:rsidR="000D49A7">
        <w:rPr>
          <w:lang w:val="fr-FR"/>
        </w:rPr>
        <w:t>aintes concernant les soins, la </w:t>
      </w:r>
      <w:r w:rsidR="00F1669F">
        <w:rPr>
          <w:lang w:val="fr-FR"/>
        </w:rPr>
        <w:t>détention ou le traitement</w:t>
      </w:r>
      <w:r w:rsidR="00BD4148">
        <w:rPr>
          <w:lang w:val="fr-FR"/>
        </w:rPr>
        <w:t xml:space="preserve"> des intéressés</w:t>
      </w:r>
      <w:r w:rsidR="008D6B80">
        <w:rPr>
          <w:lang w:val="fr-FR"/>
        </w:rPr>
        <w:t xml:space="preserve">. </w:t>
      </w:r>
      <w:r w:rsidR="001559EF">
        <w:rPr>
          <w:lang w:val="fr-FR"/>
        </w:rPr>
        <w:t>Les doléan</w:t>
      </w:r>
      <w:r w:rsidR="00CA107D">
        <w:rPr>
          <w:lang w:val="fr-FR"/>
        </w:rPr>
        <w:t>ces reçues par le v</w:t>
      </w:r>
      <w:r w:rsidR="001559EF">
        <w:rPr>
          <w:lang w:val="fr-FR"/>
        </w:rPr>
        <w:t>isiteur officiel concernent généralement les besoins</w:t>
      </w:r>
      <w:r w:rsidR="00A5300A">
        <w:rPr>
          <w:lang w:val="fr-FR"/>
        </w:rPr>
        <w:t xml:space="preserve"> sociaux et environnementaux des jeunes qui ont été placés dans le Centre de détention pour mineurs</w:t>
      </w:r>
      <w:r w:rsidR="008D6B80">
        <w:rPr>
          <w:lang w:val="fr-FR"/>
        </w:rPr>
        <w:t xml:space="preserve">. </w:t>
      </w:r>
      <w:r w:rsidR="00A5300A">
        <w:rPr>
          <w:lang w:val="fr-FR"/>
        </w:rPr>
        <w:t>De même, le Médiateur peut examiner les mesures prises par la police et les autorités pénitentiaires et formuler des recommandations.</w:t>
      </w:r>
    </w:p>
    <w:p w:rsidR="00A5300A" w:rsidRPr="0024362C" w:rsidRDefault="00F771D5" w:rsidP="005D7B68">
      <w:pPr>
        <w:tabs>
          <w:tab w:val="left" w:pos="567"/>
          <w:tab w:val="left" w:pos="1134"/>
          <w:tab w:val="left" w:pos="1701"/>
          <w:tab w:val="left" w:pos="2268"/>
          <w:tab w:val="left" w:pos="2835"/>
        </w:tabs>
        <w:spacing w:after="160"/>
        <w:rPr>
          <w:lang w:val="fr-FR"/>
        </w:rPr>
      </w:pPr>
      <w:r>
        <w:rPr>
          <w:lang w:val="fr-FR"/>
        </w:rPr>
        <w:t>986</w:t>
      </w:r>
      <w:r w:rsidR="00A5300A">
        <w:rPr>
          <w:lang w:val="fr-FR"/>
        </w:rPr>
        <w:t>.</w:t>
      </w:r>
      <w:r w:rsidR="00A5300A">
        <w:rPr>
          <w:lang w:val="fr-FR"/>
        </w:rPr>
        <w:tab/>
        <w:t>La loi de 2006 sur le terrorisme (pouvoirs exceptionnels temporaires) prévoit que le Commissaire aux droits de l’homme et le Médiateur doivent être informés de la dé</w:t>
      </w:r>
      <w:r w:rsidR="00CA107D">
        <w:rPr>
          <w:lang w:val="fr-FR"/>
        </w:rPr>
        <w:t>tention des personnes faisant l’</w:t>
      </w:r>
      <w:r w:rsidR="00A5300A">
        <w:rPr>
          <w:lang w:val="fr-FR"/>
        </w:rPr>
        <w:t>objet d’une ordonnance de placement en détention préventive, et le Médiateur peut entendre les plaintes des détenus.</w:t>
      </w:r>
    </w:p>
    <w:p w:rsidR="00C44A48" w:rsidRPr="00C44A48" w:rsidRDefault="00865E28" w:rsidP="005D7B68">
      <w:pPr>
        <w:tabs>
          <w:tab w:val="left" w:pos="567"/>
          <w:tab w:val="left" w:pos="1134"/>
          <w:tab w:val="left" w:pos="1701"/>
          <w:tab w:val="left" w:pos="2268"/>
          <w:tab w:val="left" w:pos="2835"/>
        </w:tabs>
        <w:spacing w:after="160"/>
        <w:rPr>
          <w:lang w:val="fr-FR"/>
        </w:rPr>
      </w:pPr>
      <w:r>
        <w:rPr>
          <w:lang w:val="fr-FR"/>
        </w:rPr>
        <w:t>98</w:t>
      </w:r>
      <w:r w:rsidR="00F771D5">
        <w:rPr>
          <w:lang w:val="fr-FR"/>
        </w:rPr>
        <w:t>7</w:t>
      </w:r>
      <w:r>
        <w:rPr>
          <w:lang w:val="fr-FR"/>
        </w:rPr>
        <w:t>.</w:t>
      </w:r>
      <w:r>
        <w:rPr>
          <w:lang w:val="fr-FR"/>
        </w:rPr>
        <w:tab/>
        <w:t xml:space="preserve">La loi de 2004 sur les droits de l’homme dispose que la Commission des droits de l’homme du Territoire de la capitale </w:t>
      </w:r>
      <w:r w:rsidR="00CA107D">
        <w:rPr>
          <w:lang w:val="fr-FR"/>
        </w:rPr>
        <w:t xml:space="preserve">fédérale </w:t>
      </w:r>
      <w:r>
        <w:rPr>
          <w:lang w:val="fr-FR"/>
        </w:rPr>
        <w:t>est habilitée à examiner les effets des lois et d</w:t>
      </w:r>
      <w:r w:rsidR="00A73700">
        <w:rPr>
          <w:lang w:val="fr-FR"/>
        </w:rPr>
        <w:t>e procéder pour cela à des évaluations de la situati</w:t>
      </w:r>
      <w:r w:rsidR="00CA107D">
        <w:rPr>
          <w:lang w:val="fr-FR"/>
        </w:rPr>
        <w:t>on des droits de l’homme</w:t>
      </w:r>
      <w:r w:rsidR="008D6B80">
        <w:rPr>
          <w:lang w:val="fr-FR"/>
        </w:rPr>
        <w:t xml:space="preserve">. </w:t>
      </w:r>
      <w:r w:rsidR="00CA107D">
        <w:rPr>
          <w:lang w:val="fr-FR"/>
        </w:rPr>
        <w:t>En 2</w:t>
      </w:r>
      <w:r w:rsidR="00A73700">
        <w:rPr>
          <w:lang w:val="fr-FR"/>
        </w:rPr>
        <w:t>005, le Commissaire aux droits de l’homme du Territoire de la capitale a effectué un audit du Centre de détention pour mineurs de Quamby en application de la loi sur les droits de l’homme</w:t>
      </w:r>
      <w:r w:rsidR="008D6B80">
        <w:rPr>
          <w:lang w:val="fr-FR"/>
        </w:rPr>
        <w:t xml:space="preserve">. </w:t>
      </w:r>
      <w:r w:rsidR="00A73700">
        <w:rPr>
          <w:lang w:val="fr-FR"/>
        </w:rPr>
        <w:t>Cet audit a révélé plusieurs violations de ces droits, notamment en raison de la fouille à corps des</w:t>
      </w:r>
      <w:r w:rsidR="005B61BE">
        <w:rPr>
          <w:lang w:val="fr-FR"/>
        </w:rPr>
        <w:t xml:space="preserve"> détenus pratiquée régulièrement et non pas simplement quand il y avait de bo</w:t>
      </w:r>
      <w:r w:rsidR="0052069C">
        <w:rPr>
          <w:lang w:val="fr-FR"/>
        </w:rPr>
        <w:t>nnes raisons de soupçonner qu’ils</w:t>
      </w:r>
      <w:r w:rsidR="005B61BE">
        <w:rPr>
          <w:lang w:val="fr-FR"/>
        </w:rPr>
        <w:t xml:space="preserve"> possédaient des biens dangereux ou des objets de contrebande,</w:t>
      </w:r>
      <w:r w:rsidR="0052069C">
        <w:rPr>
          <w:lang w:val="fr-FR"/>
        </w:rPr>
        <w:t xml:space="preserve"> et le mélange du système préconisé pour faire face au comportement des jeunes avec la remise de peine</w:t>
      </w:r>
      <w:r w:rsidR="008D6B80">
        <w:rPr>
          <w:lang w:val="fr-FR"/>
        </w:rPr>
        <w:t xml:space="preserve">. </w:t>
      </w:r>
      <w:r w:rsidR="0052069C">
        <w:rPr>
          <w:lang w:val="fr-FR"/>
        </w:rPr>
        <w:t>Le Gouvernement du Territoire de la capitale</w:t>
      </w:r>
      <w:r w:rsidR="00CA107D">
        <w:rPr>
          <w:lang w:val="fr-FR"/>
        </w:rPr>
        <w:t xml:space="preserve"> fédérale</w:t>
      </w:r>
      <w:r w:rsidR="0052069C">
        <w:rPr>
          <w:lang w:val="fr-FR"/>
        </w:rPr>
        <w:t xml:space="preserve"> met en œuvre </w:t>
      </w:r>
      <w:r w:rsidR="00905DB5">
        <w:rPr>
          <w:lang w:val="fr-FR"/>
        </w:rPr>
        <w:t>un vaste ensemble de recommandations destinées à l’amélioration des conditions de détention</w:t>
      </w:r>
      <w:r w:rsidR="005B61BE">
        <w:rPr>
          <w:lang w:val="fr-FR"/>
        </w:rPr>
        <w:t xml:space="preserve"> </w:t>
      </w:r>
      <w:r w:rsidR="00905DB5">
        <w:rPr>
          <w:lang w:val="fr-FR"/>
        </w:rPr>
        <w:t>par l’intermédiaire de l’Office d’aide aux enfants, aux jeunes et aux familles. (Pour trouver des informations plus détaillées, voir la réponse à la question 23 ci-dessus).</w:t>
      </w:r>
      <w:r>
        <w:rPr>
          <w:lang w:val="fr-FR"/>
        </w:rPr>
        <w:t xml:space="preserve"> </w:t>
      </w:r>
    </w:p>
    <w:p w:rsidR="00905DB5" w:rsidRDefault="00905DB5" w:rsidP="005D7B68">
      <w:pPr>
        <w:tabs>
          <w:tab w:val="left" w:pos="567"/>
          <w:tab w:val="left" w:pos="1134"/>
          <w:tab w:val="left" w:pos="1701"/>
          <w:tab w:val="left" w:pos="2268"/>
          <w:tab w:val="left" w:pos="2835"/>
        </w:tabs>
        <w:spacing w:after="160"/>
        <w:rPr>
          <w:lang w:val="fr-FR"/>
        </w:rPr>
      </w:pPr>
      <w:r>
        <w:rPr>
          <w:lang w:val="fr-FR"/>
        </w:rPr>
        <w:t>98</w:t>
      </w:r>
      <w:r w:rsidR="00F771D5">
        <w:rPr>
          <w:lang w:val="fr-FR"/>
        </w:rPr>
        <w:t>8</w:t>
      </w:r>
      <w:r>
        <w:rPr>
          <w:lang w:val="fr-FR"/>
        </w:rPr>
        <w:t>.</w:t>
      </w:r>
      <w:r>
        <w:rPr>
          <w:lang w:val="fr-FR"/>
        </w:rPr>
        <w:tab/>
        <w:t>Á la suite de l’entrée en vigueur de la loi de juillet 2004 sur les droits de l’homme, le Commissaire à la discrimination a été également nommé Commissaire aux droits de l’homme</w:t>
      </w:r>
      <w:r w:rsidR="008D6B80">
        <w:rPr>
          <w:lang w:val="fr-FR"/>
        </w:rPr>
        <w:t xml:space="preserve">. </w:t>
      </w:r>
      <w:r>
        <w:rPr>
          <w:lang w:val="fr-FR"/>
        </w:rPr>
        <w:t>Depuis lors, le Bureau des droits de l’homme s’est développé pour devenir la Commission de</w:t>
      </w:r>
      <w:r w:rsidR="00CA107D">
        <w:rPr>
          <w:lang w:val="fr-FR"/>
        </w:rPr>
        <w:t>s droits de l’homme, laquelle englobe</w:t>
      </w:r>
      <w:r>
        <w:rPr>
          <w:lang w:val="fr-FR"/>
        </w:rPr>
        <w:t xml:space="preserve"> un certain nombre de rôle</w:t>
      </w:r>
      <w:r w:rsidR="00CA107D">
        <w:rPr>
          <w:lang w:val="fr-FR"/>
        </w:rPr>
        <w:t>s</w:t>
      </w:r>
      <w:r>
        <w:rPr>
          <w:lang w:val="fr-FR"/>
        </w:rPr>
        <w:t xml:space="preserve"> tenus par des membres supplémentaires qui s’occupent des services</w:t>
      </w:r>
      <w:r w:rsidR="00F10E18">
        <w:rPr>
          <w:lang w:val="fr-FR"/>
        </w:rPr>
        <w:t xml:space="preserve"> aux personnes handicapées, des services collectifs, des enfants et des jeunes</w:t>
      </w:r>
      <w:r w:rsidR="008D6B80">
        <w:rPr>
          <w:lang w:val="fr-FR"/>
        </w:rPr>
        <w:t xml:space="preserve">. </w:t>
      </w:r>
      <w:r w:rsidR="00F10E18">
        <w:rPr>
          <w:lang w:val="fr-FR"/>
        </w:rPr>
        <w:t>En vertu de la loi de 2005</w:t>
      </w:r>
      <w:r w:rsidR="00CA107D">
        <w:rPr>
          <w:lang w:val="fr-FR"/>
        </w:rPr>
        <w:t xml:space="preserve"> </w:t>
      </w:r>
      <w:r w:rsidR="00F10E18">
        <w:rPr>
          <w:lang w:val="fr-FR"/>
        </w:rPr>
        <w:t xml:space="preserve">sur la Commission des droits de l’homme, chacun de ces membres exerce de vastes fonctions </w:t>
      </w:r>
      <w:r w:rsidR="00731DD2">
        <w:rPr>
          <w:lang w:val="fr-FR"/>
        </w:rPr>
        <w:t>c</w:t>
      </w:r>
      <w:r w:rsidR="00F10E18">
        <w:rPr>
          <w:lang w:val="fr-FR"/>
        </w:rPr>
        <w:t>onsistant à traiter les plaintes</w:t>
      </w:r>
      <w:r w:rsidR="00731DD2">
        <w:rPr>
          <w:lang w:val="fr-FR"/>
        </w:rPr>
        <w:t xml:space="preserve"> et à superviser les améliorations du système des prestations de services aux enfants et aux jeunes vulnérables.</w:t>
      </w:r>
    </w:p>
    <w:p w:rsidR="00731DD2" w:rsidRPr="00C44A48" w:rsidRDefault="00F771D5" w:rsidP="005D7B68">
      <w:pPr>
        <w:tabs>
          <w:tab w:val="left" w:pos="567"/>
          <w:tab w:val="left" w:pos="1134"/>
          <w:tab w:val="left" w:pos="1701"/>
          <w:tab w:val="left" w:pos="2268"/>
          <w:tab w:val="left" w:pos="2835"/>
        </w:tabs>
        <w:spacing w:after="160"/>
        <w:rPr>
          <w:lang w:val="fr-FR"/>
        </w:rPr>
      </w:pPr>
      <w:r>
        <w:rPr>
          <w:lang w:val="fr-FR"/>
        </w:rPr>
        <w:t>989</w:t>
      </w:r>
      <w:r w:rsidR="00731DD2">
        <w:rPr>
          <w:lang w:val="fr-FR"/>
        </w:rPr>
        <w:t>.</w:t>
      </w:r>
      <w:r w:rsidR="00731DD2">
        <w:rPr>
          <w:lang w:val="fr-FR"/>
        </w:rPr>
        <w:tab/>
        <w:t>La défense de certaines personnes relève du rôle du Défenseur public (autrefois dénommé Défenseur communautaire), qui exerce une fonction officielle</w:t>
      </w:r>
      <w:r w:rsidR="008D6B80">
        <w:rPr>
          <w:lang w:val="fr-FR"/>
        </w:rPr>
        <w:t xml:space="preserve">. </w:t>
      </w:r>
      <w:r w:rsidR="00731DD2">
        <w:rPr>
          <w:lang w:val="fr-FR"/>
        </w:rPr>
        <w:t>Ses représentants</w:t>
      </w:r>
      <w:r w:rsidR="00572260">
        <w:rPr>
          <w:lang w:val="fr-FR"/>
        </w:rPr>
        <w:t xml:space="preserve"> </w:t>
      </w:r>
      <w:r w:rsidR="00731DD2">
        <w:rPr>
          <w:lang w:val="fr-FR"/>
        </w:rPr>
        <w:t>visitent le Centre de détention pour mineurs une fois par mois dans le cadre d’un mémorandum d’accord et, le cas échéant, s’occupent des plaintes sérieuses au mieux de l’inté</w:t>
      </w:r>
      <w:r w:rsidR="000D49A7">
        <w:rPr>
          <w:lang w:val="fr-FR"/>
        </w:rPr>
        <w:t>rêt supérieur de l’enfant ou du </w:t>
      </w:r>
      <w:r w:rsidR="00731DD2">
        <w:rPr>
          <w:lang w:val="fr-FR"/>
        </w:rPr>
        <w:t>jeune.</w:t>
      </w:r>
    </w:p>
    <w:p w:rsidR="00905DB5" w:rsidRDefault="00731DD2" w:rsidP="005D7B68">
      <w:pPr>
        <w:tabs>
          <w:tab w:val="left" w:pos="567"/>
          <w:tab w:val="left" w:pos="1134"/>
          <w:tab w:val="left" w:pos="1701"/>
          <w:tab w:val="left" w:pos="2268"/>
          <w:tab w:val="left" w:pos="2835"/>
        </w:tabs>
        <w:spacing w:after="160"/>
        <w:rPr>
          <w:b/>
          <w:bCs/>
          <w:lang w:val="fr-FR"/>
        </w:rPr>
      </w:pPr>
      <w:r>
        <w:rPr>
          <w:b/>
          <w:bCs/>
          <w:lang w:val="fr-FR"/>
        </w:rPr>
        <w:t>Territoire du Nord</w:t>
      </w:r>
    </w:p>
    <w:p w:rsidR="00731DD2" w:rsidRPr="00731DD2" w:rsidRDefault="00731DD2" w:rsidP="005D7B68">
      <w:pPr>
        <w:tabs>
          <w:tab w:val="left" w:pos="567"/>
          <w:tab w:val="left" w:pos="1134"/>
          <w:tab w:val="left" w:pos="1701"/>
          <w:tab w:val="left" w:pos="2268"/>
          <w:tab w:val="left" w:pos="2835"/>
        </w:tabs>
        <w:spacing w:after="160"/>
        <w:rPr>
          <w:lang w:val="fr-FR"/>
        </w:rPr>
      </w:pPr>
      <w:r>
        <w:rPr>
          <w:lang w:val="fr-FR"/>
        </w:rPr>
        <w:t>99</w:t>
      </w:r>
      <w:r w:rsidR="00F771D5">
        <w:rPr>
          <w:lang w:val="fr-FR"/>
        </w:rPr>
        <w:t>0</w:t>
      </w:r>
      <w:r>
        <w:rPr>
          <w:lang w:val="fr-FR"/>
        </w:rPr>
        <w:t>.</w:t>
      </w:r>
      <w:r>
        <w:rPr>
          <w:lang w:val="fr-FR"/>
        </w:rPr>
        <w:tab/>
        <w:t>Le Départem</w:t>
      </w:r>
      <w:r w:rsidR="00CA107D">
        <w:rPr>
          <w:lang w:val="fr-FR"/>
        </w:rPr>
        <w:t xml:space="preserve">ent de la justice met en œuvre </w:t>
      </w:r>
      <w:r>
        <w:rPr>
          <w:lang w:val="fr-FR"/>
        </w:rPr>
        <w:t>un Programme de visiteurs officiels dans tous les établissements de détention pour adultes et pour mineurs</w:t>
      </w:r>
      <w:r w:rsidR="00E30E3B">
        <w:rPr>
          <w:lang w:val="fr-FR"/>
        </w:rPr>
        <w:t>, qui prévoit un contrôle mensuel indépendant en application de la loi sur les prisons (</w:t>
      </w:r>
      <w:r w:rsidR="00FA68DA">
        <w:rPr>
          <w:lang w:val="fr-FR"/>
        </w:rPr>
        <w:t>services pénitentiaires) (titre</w:t>
      </w:r>
      <w:r w:rsidR="00E30E3B">
        <w:rPr>
          <w:lang w:val="fr-FR"/>
        </w:rPr>
        <w:t xml:space="preserve"> V, art</w:t>
      </w:r>
      <w:r w:rsidR="000D49A7">
        <w:rPr>
          <w:lang w:val="fr-FR"/>
        </w:rPr>
        <w:t>.</w:t>
      </w:r>
      <w:r w:rsidR="00E30E3B">
        <w:rPr>
          <w:lang w:val="fr-FR"/>
        </w:rPr>
        <w:t xml:space="preserve"> 22 à 26) et de la loi sur</w:t>
      </w:r>
      <w:r w:rsidR="00FA68DA">
        <w:rPr>
          <w:lang w:val="fr-FR"/>
        </w:rPr>
        <w:t xml:space="preserve"> la justice pour mineurs (titre</w:t>
      </w:r>
      <w:r w:rsidR="00E30E3B">
        <w:rPr>
          <w:lang w:val="fr-FR"/>
        </w:rPr>
        <w:t xml:space="preserve"> 9, art</w:t>
      </w:r>
      <w:r w:rsidR="000D49A7">
        <w:rPr>
          <w:lang w:val="fr-FR"/>
        </w:rPr>
        <w:t>.</w:t>
      </w:r>
      <w:r w:rsidR="00E30E3B">
        <w:rPr>
          <w:lang w:val="fr-FR"/>
        </w:rPr>
        <w:t xml:space="preserve"> 169 à 172)</w:t>
      </w:r>
      <w:r w:rsidR="008D6B80">
        <w:rPr>
          <w:lang w:val="fr-FR"/>
        </w:rPr>
        <w:t xml:space="preserve">. </w:t>
      </w:r>
      <w:r w:rsidR="00E30E3B">
        <w:rPr>
          <w:lang w:val="fr-FR"/>
        </w:rPr>
        <w:t>Ce programme a pour objectif de faire en sorte que les droits des détenus soient préservés conformément aux intentions du gouvernement.</w:t>
      </w:r>
    </w:p>
    <w:p w:rsidR="008D7ADF" w:rsidRDefault="00E30E3B" w:rsidP="005D7B68">
      <w:pPr>
        <w:tabs>
          <w:tab w:val="left" w:pos="567"/>
          <w:tab w:val="left" w:pos="1134"/>
          <w:tab w:val="left" w:pos="1701"/>
          <w:tab w:val="left" w:pos="2268"/>
          <w:tab w:val="left" w:pos="2835"/>
        </w:tabs>
        <w:spacing w:after="160"/>
        <w:rPr>
          <w:lang w:val="fr-FR"/>
        </w:rPr>
      </w:pPr>
      <w:r>
        <w:rPr>
          <w:lang w:val="fr-FR"/>
        </w:rPr>
        <w:t>99</w:t>
      </w:r>
      <w:r w:rsidR="00F771D5">
        <w:rPr>
          <w:lang w:val="fr-FR"/>
        </w:rPr>
        <w:t>1</w:t>
      </w:r>
      <w:r>
        <w:rPr>
          <w:lang w:val="fr-FR"/>
        </w:rPr>
        <w:t>.</w:t>
      </w:r>
      <w:r>
        <w:rPr>
          <w:lang w:val="fr-FR"/>
        </w:rPr>
        <w:tab/>
        <w:t xml:space="preserve">Les visiteurs officiels suivent une formation et sont tenus au courant des modifications des normes et des prescriptions, car des améliorations progressives sont apportées à la situation et aux conditions de détention des condamnés </w:t>
      </w:r>
      <w:r w:rsidR="00125D19">
        <w:rPr>
          <w:lang w:val="fr-FR"/>
        </w:rPr>
        <w:t>au fur et à mesure que la direction s’emploie à résoudre les problèmes systémiques.</w:t>
      </w:r>
    </w:p>
    <w:p w:rsidR="00497F45" w:rsidRPr="002C72B2" w:rsidRDefault="00CB0F00" w:rsidP="005D7B68">
      <w:pPr>
        <w:tabs>
          <w:tab w:val="left" w:pos="567"/>
          <w:tab w:val="left" w:pos="1134"/>
          <w:tab w:val="left" w:pos="1701"/>
          <w:tab w:val="left" w:pos="2268"/>
          <w:tab w:val="left" w:pos="2835"/>
        </w:tabs>
        <w:spacing w:after="120"/>
        <w:jc w:val="center"/>
        <w:rPr>
          <w:lang w:val="fr-FR"/>
        </w:rPr>
      </w:pPr>
      <w:r>
        <w:rPr>
          <w:lang w:val="fr-FR"/>
        </w:rPr>
        <w:t>-----</w:t>
      </w:r>
    </w:p>
    <w:sectPr w:rsidR="00497F45" w:rsidRPr="002C72B2" w:rsidSect="0038700B">
      <w:headerReference w:type="even" r:id="rId56"/>
      <w:headerReference w:type="default" r:id="rId57"/>
      <w:headerReference w:type="first" r:id="rId58"/>
      <w:pgSz w:w="11906" w:h="16838"/>
      <w:pgMar w:top="1701"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A9" w:rsidRDefault="001057A9">
      <w:r>
        <w:separator/>
      </w:r>
    </w:p>
  </w:endnote>
  <w:endnote w:type="continuationSeparator" w:id="0">
    <w:p w:rsidR="001057A9" w:rsidRDefault="0010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7C1C79" w:rsidRDefault="00CC46D2" w:rsidP="005D7B68">
    <w:pPr>
      <w:pStyle w:val="Footer"/>
      <w:rPr>
        <w:lang w:val="fr-CH"/>
      </w:rPr>
    </w:pPr>
    <w:r>
      <w:rPr>
        <w:lang w:val="fr-CH"/>
      </w:rPr>
      <w:t>GE.07-</w:t>
    </w:r>
    <w:r w:rsidR="005D7B68">
      <w:rPr>
        <w:lang w:val="fr-CH"/>
      </w:rPr>
      <w:t>44292</w:t>
    </w:r>
    <w:r>
      <w:rPr>
        <w:lang w:val="fr-CH"/>
      </w:rPr>
      <w:t xml:space="preserve"> </w:t>
    </w:r>
    <w:r w:rsidR="005D7B68">
      <w:rPr>
        <w:lang w:val="fr-CH"/>
      </w:rPr>
      <w:t xml:space="preserve"> </w:t>
    </w:r>
    <w:r>
      <w:rPr>
        <w:lang w:val="fr-CH"/>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6500D" w:rsidRDefault="00CC46D2" w:rsidP="00F6500D">
    <w:pPr>
      <w:pStyle w:val="Footer"/>
    </w:pPr>
    <w:r>
      <w:rPr>
        <w:noProof/>
        <w:lang w:val="fr-FR" w:eastAsia="fr-FR"/>
      </w:rPr>
      <w:pict>
        <v:shapetype id="_x0000_t202" coordsize="21600,21600" o:spt="202" path="m,l,21600r21600,l21600,xe">
          <v:stroke joinstyle="miter"/>
          <v:path gradientshapeok="t" o:connecttype="rect"/>
        </v:shapetype>
        <v:shape id="_x0000_s2058" type="#_x0000_t202" style="position:absolute;margin-left:297pt;margin-top:163.25pt;width:45pt;height:126pt;z-index:4" stroked="f">
          <v:textbox style="layout-flow:vertical;mso-next-textbox:#_x0000_s2058">
            <w:txbxContent>
              <w:p w:rsidR="00CC46D2" w:rsidRPr="00115A68" w:rsidRDefault="00CC46D2" w:rsidP="00C44B6D">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91</w:t>
                </w:r>
                <w:r>
                  <w:rPr>
                    <w:rStyle w:val="PageNumber"/>
                  </w:rPr>
                  <w:fldChar w:fldCharType="end"/>
                </w:r>
                <w:r w:rsidRPr="00115A68">
                  <w:rPr>
                    <w:lang w:val="fr-FR"/>
                  </w:rPr>
                  <w:t xml:space="preserve"> </w:t>
                </w:r>
              </w:p>
            </w:txbxContent>
          </v:textbox>
        </v:shape>
      </w:pict>
    </w:r>
    <w:r>
      <w:rPr>
        <w:noProof/>
        <w:lang w:val="fr-FR" w:eastAsia="fr-FR"/>
      </w:rPr>
      <w:pict>
        <v:shape id="_x0000_s2057" type="#_x0000_t202" style="position:absolute;margin-left:3in;margin-top:269.65pt;width:45pt;height:126pt;z-index:3" stroked="f">
          <v:textbox style="layout-flow:vertical;mso-next-textbox:#_x0000_s2057">
            <w:txbxContent>
              <w:p w:rsidR="00CC46D2" w:rsidRPr="00115A68" w:rsidRDefault="00CC46D2" w:rsidP="00C44B6D">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91</w:t>
                </w:r>
                <w:r>
                  <w:rPr>
                    <w:rStyle w:val="PageNumber"/>
                  </w:rPr>
                  <w:fldChar w:fldCharType="end"/>
                </w:r>
                <w:r w:rsidRPr="00115A68">
                  <w:rPr>
                    <w:lang w:val="fr-FR"/>
                  </w:rPr>
                  <w:t xml:space="preserve"> </w:t>
                </w:r>
              </w:p>
            </w:txbxContent>
          </v:textbox>
        </v:shape>
      </w:pict>
    </w:r>
    <w:r>
      <w:rPr>
        <w:noProof/>
        <w:lang w:val="fr-FR" w:eastAsia="fr-FR"/>
      </w:rPr>
      <w:pict>
        <v:shape id="_x0000_s2056" type="#_x0000_t202" style="position:absolute;margin-left:675pt;margin-top:658.25pt;width:45pt;height:126pt;z-index:2" stroked="f">
          <v:textbox style="layout-flow:vertical;mso-next-textbox:#_x0000_s2056">
            <w:txbxContent>
              <w:p w:rsidR="00CC46D2" w:rsidRPr="00C44B6D" w:rsidRDefault="00CC46D2" w:rsidP="00C44B6D">
                <w:pPr>
                  <w:rPr>
                    <w:lang w:val="fr-FR"/>
                  </w:rPr>
                </w:pPr>
                <w:r w:rsidRPr="00C44B6D">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75pt;height:85.5pt">
                      <v:imagedata r:id="rId1" o:title=""/>
                    </v:shape>
                  </w:pict>
                </w:r>
              </w:p>
            </w:txbxContent>
          </v:textbox>
        </v:shape>
      </w:pict>
    </w:r>
    <w:r>
      <w:rPr>
        <w:noProof/>
        <w:lang w:val="fr-FR" w:eastAsia="fr-FR"/>
      </w:rPr>
      <w:pict>
        <v:shape id="_x0000_s2054" type="#_x0000_t202" style="position:absolute;margin-left:675pt;margin-top:1306.25pt;width:45pt;height:126pt;z-index:1" stroked="f">
          <v:textbox style="layout-flow:vertical;mso-next-textbox:#_x0000_s2054">
            <w:txbxContent>
              <w:p w:rsidR="00CC46D2" w:rsidRPr="00115A68" w:rsidRDefault="00CC46D2" w:rsidP="00115A68">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91</w:t>
                </w:r>
                <w:r>
                  <w:rPr>
                    <w:rStyle w:val="PageNumber"/>
                  </w:rPr>
                  <w:fldChar w:fldCharType="end"/>
                </w:r>
                <w:r w:rsidRPr="00115A68">
                  <w:rPr>
                    <w:lang w:val="fr-FR"/>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Default="00CC46D2">
    <w:pPr>
      <w:pStyle w:val="Footer"/>
    </w:pPr>
    <w:r>
      <w:rPr>
        <w:noProof/>
        <w:lang w:val="fr-FR" w:eastAsia="fr-FR"/>
      </w:rPr>
      <w:pict>
        <v:shapetype id="_x0000_t202" coordsize="21600,21600" o:spt="202" path="m,l,21600r21600,l21600,xe">
          <v:stroke joinstyle="miter"/>
          <v:path gradientshapeok="t" o:connecttype="rect"/>
        </v:shapetype>
        <v:shape id="_x0000_s2068" type="#_x0000_t202" style="position:absolute;margin-left:693pt;margin-top:-142.75pt;width:36pt;height:114pt;z-index:6" stroked="f">
          <v:textbox style="layout-flow:vertical;mso-next-textbox:#_x0000_s2068" inset="0,0,0,0">
            <w:txbxContent>
              <w:p w:rsidR="00CC46D2" w:rsidRPr="006267E8" w:rsidRDefault="00CC46D2" w:rsidP="00C44B6D">
                <w:pPr>
                  <w:rPr>
                    <w:sz w:val="22"/>
                    <w:szCs w:val="22"/>
                    <w:lang w:val="fr-FR"/>
                  </w:rPr>
                </w:pPr>
                <w:r w:rsidRPr="006267E8">
                  <w:rPr>
                    <w:sz w:val="22"/>
                    <w:szCs w:val="22"/>
                    <w:lang w:val="fr-FR"/>
                  </w:rPr>
                  <w:t>CAT/C/AUS/Q/4/Add.1</w:t>
                </w:r>
                <w:r w:rsidRPr="006267E8">
                  <w:rPr>
                    <w:sz w:val="22"/>
                    <w:szCs w:val="22"/>
                    <w:lang w:val="fr-FR"/>
                  </w:rPr>
                  <w:br/>
                  <w:t xml:space="preserve">page </w:t>
                </w:r>
                <w:r w:rsidRPr="006267E8">
                  <w:rPr>
                    <w:rStyle w:val="PageNumber"/>
                    <w:sz w:val="22"/>
                    <w:szCs w:val="22"/>
                  </w:rPr>
                  <w:fldChar w:fldCharType="begin"/>
                </w:r>
                <w:r w:rsidRPr="006267E8">
                  <w:rPr>
                    <w:rStyle w:val="PageNumber"/>
                    <w:sz w:val="22"/>
                    <w:szCs w:val="22"/>
                    <w:lang w:val="fr-FR"/>
                  </w:rPr>
                  <w:instrText xml:space="preserve"> PAGE </w:instrText>
                </w:r>
                <w:r w:rsidRPr="006267E8">
                  <w:rPr>
                    <w:rStyle w:val="PageNumber"/>
                    <w:sz w:val="22"/>
                    <w:szCs w:val="22"/>
                  </w:rPr>
                  <w:fldChar w:fldCharType="separate"/>
                </w:r>
                <w:r w:rsidR="00AF7E51">
                  <w:rPr>
                    <w:rStyle w:val="PageNumber"/>
                    <w:noProof/>
                    <w:sz w:val="22"/>
                    <w:szCs w:val="22"/>
                    <w:lang w:val="fr-FR"/>
                  </w:rPr>
                  <w:t>217</w:t>
                </w:r>
                <w:r w:rsidRPr="006267E8">
                  <w:rPr>
                    <w:rStyle w:val="PageNumber"/>
                    <w:sz w:val="22"/>
                    <w:szCs w:val="22"/>
                  </w:rPr>
                  <w:fldChar w:fldCharType="end"/>
                </w:r>
                <w:r w:rsidRPr="006267E8">
                  <w:rPr>
                    <w:sz w:val="22"/>
                    <w:szCs w:val="22"/>
                    <w:lang w:val="fr-FR"/>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6500D" w:rsidRDefault="00A8628C" w:rsidP="00F6500D">
    <w:pPr>
      <w:pStyle w:val="Footer"/>
    </w:pPr>
    <w:r>
      <w:rPr>
        <w:noProof/>
        <w:lang w:val="fr-FR" w:eastAsia="fr-FR"/>
      </w:rPr>
      <w:pict>
        <v:rect id="_x0000_s2120" style="position:absolute;margin-left:684pt;margin-top:-160.75pt;width:47.55pt;height:135.75pt;z-index:15" stroked="f">
          <v:textbox style="layout-flow:vertical;mso-next-textbox:#_x0000_s2120">
            <w:txbxContent>
              <w:p w:rsidR="00CC46D2" w:rsidRPr="006267E8" w:rsidRDefault="00CC46D2" w:rsidP="00CC46D2">
                <w:pPr>
                  <w:pStyle w:val="Header"/>
                  <w:rPr>
                    <w:sz w:val="22"/>
                    <w:szCs w:val="22"/>
                    <w:lang w:val="fr-FR"/>
                  </w:rPr>
                </w:pPr>
                <w:r w:rsidRPr="006267E8">
                  <w:rPr>
                    <w:sz w:val="22"/>
                    <w:szCs w:val="22"/>
                    <w:lang w:val="fr-FR"/>
                  </w:rPr>
                  <w:t>CAT/C/AUS/Q/4/Add.1</w:t>
                </w:r>
                <w:r w:rsidRPr="006267E8">
                  <w:rPr>
                    <w:sz w:val="22"/>
                    <w:szCs w:val="22"/>
                    <w:lang w:val="fr-FR"/>
                  </w:rPr>
                  <w:br/>
                  <w:t xml:space="preserve">page </w:t>
                </w:r>
                <w:r w:rsidRPr="006267E8">
                  <w:rPr>
                    <w:rStyle w:val="PageNumber"/>
                    <w:sz w:val="22"/>
                    <w:szCs w:val="22"/>
                  </w:rPr>
                  <w:fldChar w:fldCharType="begin"/>
                </w:r>
                <w:r w:rsidRPr="006267E8">
                  <w:rPr>
                    <w:rStyle w:val="PageNumber"/>
                    <w:sz w:val="22"/>
                    <w:szCs w:val="22"/>
                    <w:lang w:val="fr-FR"/>
                  </w:rPr>
                  <w:instrText xml:space="preserve"> PAGE </w:instrText>
                </w:r>
                <w:r w:rsidRPr="006267E8">
                  <w:rPr>
                    <w:rStyle w:val="PageNumber"/>
                    <w:sz w:val="22"/>
                    <w:szCs w:val="22"/>
                  </w:rPr>
                  <w:fldChar w:fldCharType="separate"/>
                </w:r>
                <w:r w:rsidR="00AF7E51">
                  <w:rPr>
                    <w:rStyle w:val="PageNumber"/>
                    <w:noProof/>
                    <w:sz w:val="22"/>
                    <w:szCs w:val="22"/>
                    <w:lang w:val="fr-FR"/>
                  </w:rPr>
                  <w:t>160</w:t>
                </w:r>
                <w:r w:rsidRPr="006267E8">
                  <w:rPr>
                    <w:rStyle w:val="PageNumber"/>
                    <w:sz w:val="22"/>
                    <w:szCs w:val="22"/>
                  </w:rPr>
                  <w:fldChar w:fldCharType="end"/>
                </w:r>
              </w:p>
              <w:p w:rsidR="00CC46D2" w:rsidRPr="006267E8" w:rsidRDefault="00CC46D2">
                <w:pPr>
                  <w:rPr>
                    <w:sz w:val="22"/>
                    <w:szCs w:val="22"/>
                    <w:lang w:val="fr-FR"/>
                  </w:rPr>
                </w:pPr>
              </w:p>
            </w:txbxContent>
          </v:textbox>
        </v:rect>
      </w:pict>
    </w:r>
    <w:r w:rsidR="00CC46D2">
      <w:rPr>
        <w:noProof/>
        <w:lang w:val="fr-FR" w:eastAsia="fr-FR"/>
      </w:rPr>
      <w:pict>
        <v:shapetype id="_x0000_t202" coordsize="21600,21600" o:spt="202" path="m,l,21600r21600,l21600,xe">
          <v:stroke joinstyle="miter"/>
          <v:path gradientshapeok="t" o:connecttype="rect"/>
        </v:shapetype>
        <v:shape id="_x0000_s2099" type="#_x0000_t202" style="position:absolute;margin-left:297pt;margin-top:163.25pt;width:45pt;height:126pt;z-index:10" stroked="f">
          <v:textbox style="layout-flow:vertical;mso-next-textbox:#_x0000_s2099">
            <w:txbxContent>
              <w:p w:rsidR="00CC46D2" w:rsidRPr="00115A68" w:rsidRDefault="00CC46D2" w:rsidP="00C44B6D">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160</w:t>
                </w:r>
                <w:r>
                  <w:rPr>
                    <w:rStyle w:val="PageNumber"/>
                  </w:rPr>
                  <w:fldChar w:fldCharType="end"/>
                </w:r>
                <w:r w:rsidRPr="00115A68">
                  <w:rPr>
                    <w:lang w:val="fr-FR"/>
                  </w:rPr>
                  <w:t xml:space="preserve"> </w:t>
                </w:r>
              </w:p>
            </w:txbxContent>
          </v:textbox>
        </v:shape>
      </w:pict>
    </w:r>
    <w:r w:rsidR="00CC46D2">
      <w:rPr>
        <w:noProof/>
        <w:lang w:val="fr-FR" w:eastAsia="fr-FR"/>
      </w:rPr>
      <w:pict>
        <v:shape id="_x0000_s2098" type="#_x0000_t202" style="position:absolute;margin-left:3in;margin-top:269.65pt;width:45pt;height:126pt;z-index:9" stroked="f">
          <v:textbox style="layout-flow:vertical;mso-next-textbox:#_x0000_s2098">
            <w:txbxContent>
              <w:p w:rsidR="00CC46D2" w:rsidRPr="00115A68" w:rsidRDefault="00CC46D2" w:rsidP="00C44B6D">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160</w:t>
                </w:r>
                <w:r>
                  <w:rPr>
                    <w:rStyle w:val="PageNumber"/>
                  </w:rPr>
                  <w:fldChar w:fldCharType="end"/>
                </w:r>
                <w:r w:rsidRPr="00115A68">
                  <w:rPr>
                    <w:lang w:val="fr-FR"/>
                  </w:rPr>
                  <w:t xml:space="preserve"> </w:t>
                </w:r>
              </w:p>
            </w:txbxContent>
          </v:textbox>
        </v:shape>
      </w:pict>
    </w:r>
    <w:r w:rsidR="00CC46D2">
      <w:rPr>
        <w:noProof/>
        <w:lang w:val="fr-FR" w:eastAsia="fr-FR"/>
      </w:rPr>
      <w:pict>
        <v:shape id="_x0000_s2097" type="#_x0000_t202" style="position:absolute;margin-left:675pt;margin-top:658.25pt;width:45pt;height:126pt;z-index:8" stroked="f">
          <v:textbox style="layout-flow:vertical;mso-next-textbox:#_x0000_s2097">
            <w:txbxContent>
              <w:p w:rsidR="00CC46D2" w:rsidRPr="00C44B6D" w:rsidRDefault="00CC46D2" w:rsidP="00C44B6D">
                <w:pPr>
                  <w:rPr>
                    <w:lang w:val="fr-FR"/>
                  </w:rPr>
                </w:pPr>
                <w:r w:rsidRPr="00C44B6D">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75pt;height:85.5pt">
                      <v:imagedata r:id="rId1" o:title=""/>
                    </v:shape>
                  </w:pict>
                </w:r>
              </w:p>
            </w:txbxContent>
          </v:textbox>
        </v:shape>
      </w:pict>
    </w:r>
    <w:r w:rsidR="00CC46D2">
      <w:rPr>
        <w:noProof/>
        <w:lang w:val="fr-FR" w:eastAsia="fr-FR"/>
      </w:rPr>
      <w:pict>
        <v:shape id="_x0000_s2096" type="#_x0000_t202" style="position:absolute;margin-left:675pt;margin-top:1306.25pt;width:45pt;height:126pt;z-index:7" stroked="f">
          <v:textbox style="layout-flow:vertical;mso-next-textbox:#_x0000_s2096">
            <w:txbxContent>
              <w:p w:rsidR="00CC46D2" w:rsidRPr="00115A68" w:rsidRDefault="00CC46D2" w:rsidP="00115A68">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160</w:t>
                </w:r>
                <w:r>
                  <w:rPr>
                    <w:rStyle w:val="PageNumber"/>
                  </w:rPr>
                  <w:fldChar w:fldCharType="end"/>
                </w:r>
                <w:r w:rsidRPr="00115A68">
                  <w:rPr>
                    <w:lang w:val="fr-FR"/>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121975" w:rsidRDefault="00004BE2" w:rsidP="00121975">
    <w:pPr>
      <w:pStyle w:val="Footer"/>
    </w:pPr>
    <w:r>
      <w:rPr>
        <w:noProof/>
        <w:lang w:val="fr-FR" w:eastAsia="fr-FR"/>
      </w:rPr>
      <w:pict>
        <v:rect id="_x0000_s2108" style="position:absolute;margin-left:693pt;margin-top:-151.75pt;width:45pt;height:135pt;z-index:11" stroked="f">
          <v:textbox style="layout-flow:vertical;mso-next-textbox:#_x0000_s2108">
            <w:txbxContent>
              <w:p w:rsidR="00CC46D2" w:rsidRPr="00CB09AD" w:rsidRDefault="00CC46D2">
                <w:pPr>
                  <w:rPr>
                    <w:lang w:val="fr-FR"/>
                  </w:rPr>
                </w:pP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E2" w:rsidRPr="00121975" w:rsidRDefault="00004BE2" w:rsidP="00121975">
    <w:pPr>
      <w:pStyle w:val="Footer"/>
    </w:pPr>
    <w:r>
      <w:rPr>
        <w:noProof/>
        <w:lang w:val="fr-FR" w:eastAsia="fr-FR"/>
      </w:rPr>
      <w:pict>
        <v:rect id="_x0000_s2148" style="position:absolute;margin-left:693pt;margin-top:-151.75pt;width:45pt;height:135pt;z-index:21" stroked="f">
          <v:textbox style="layout-flow:vertical;mso-next-textbox:#_x0000_s2148">
            <w:txbxContent>
              <w:p w:rsidR="00004BE2" w:rsidRPr="00CB09AD" w:rsidRDefault="00004BE2">
                <w:pPr>
                  <w:rPr>
                    <w:lang w:val="fr-FR"/>
                  </w:rPr>
                </w:pPr>
                <w:r w:rsidRPr="00115A68">
                  <w:rPr>
                    <w:lang w:val="fr-FR"/>
                  </w:rPr>
                  <w:t>CAT/C/AUS/Q/4/Add.1</w:t>
                </w:r>
                <w:r>
                  <w:rPr>
                    <w:lang w:val="fr-FR"/>
                  </w:rPr>
                  <w:br/>
                  <w:t xml:space="preserve">page </w:t>
                </w:r>
                <w:r>
                  <w:rPr>
                    <w:rStyle w:val="PageNumber"/>
                  </w:rPr>
                  <w:fldChar w:fldCharType="begin"/>
                </w:r>
                <w:r w:rsidRPr="00CB09AD">
                  <w:rPr>
                    <w:rStyle w:val="PageNumber"/>
                    <w:lang w:val="fr-FR"/>
                  </w:rPr>
                  <w:instrText xml:space="preserve"> PAGE </w:instrText>
                </w:r>
                <w:r>
                  <w:rPr>
                    <w:rStyle w:val="PageNumber"/>
                  </w:rPr>
                  <w:fldChar w:fldCharType="separate"/>
                </w:r>
                <w:r w:rsidR="00A8628C">
                  <w:rPr>
                    <w:rStyle w:val="PageNumber"/>
                    <w:noProof/>
                    <w:lang w:val="fr-FR"/>
                  </w:rPr>
                  <w:t>226</w:t>
                </w:r>
                <w:r>
                  <w:rPr>
                    <w:rStyle w:val="PageNumber"/>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A9" w:rsidRDefault="001057A9">
      <w:r>
        <w:separator/>
      </w:r>
    </w:p>
  </w:footnote>
  <w:footnote w:type="continuationSeparator" w:id="0">
    <w:p w:rsidR="001057A9" w:rsidRDefault="001057A9">
      <w:r>
        <w:continuationSeparator/>
      </w:r>
    </w:p>
  </w:footnote>
  <w:footnote w:id="1">
    <w:p w:rsidR="00CC46D2" w:rsidRPr="008D6B80" w:rsidRDefault="00CC46D2" w:rsidP="008D6B80">
      <w:pPr>
        <w:pStyle w:val="FootnoteText"/>
        <w:tabs>
          <w:tab w:val="left" w:pos="567"/>
          <w:tab w:val="left" w:pos="1134"/>
          <w:tab w:val="left" w:pos="1701"/>
        </w:tabs>
        <w:rPr>
          <w:lang w:val="fr-CH"/>
        </w:rPr>
      </w:pPr>
      <w:r w:rsidRPr="008D6B80">
        <w:rPr>
          <w:rStyle w:val="FootnoteReference"/>
          <w:lang w:val="fr-FR"/>
        </w:rPr>
        <w:t>*</w:t>
      </w:r>
      <w:r w:rsidRPr="008D6B80">
        <w:rPr>
          <w:lang w:val="fr-FR"/>
        </w:rPr>
        <w:t xml:space="preserve"> </w:t>
      </w:r>
      <w:r w:rsidRPr="00FE1B62">
        <w:rPr>
          <w:sz w:val="24"/>
          <w:szCs w:val="24"/>
          <w:lang w:val="fr-FR"/>
        </w:rPr>
        <w:t>Conformément aux informations transmises aux États parties concernant le traitement de leurs rapports, le présent document n’a pas fait l’objet d’une mise au point rédactionnelle formelle avant d’être envoyé aux services de traduction des Nations Unies.</w:t>
      </w:r>
    </w:p>
  </w:footnote>
  <w:footnote w:id="2">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Pr>
          <w:sz w:val="24"/>
          <w:szCs w:val="24"/>
          <w:lang w:val="fr-FR"/>
        </w:rPr>
        <w:t xml:space="preserve"> Dont voici le contenu</w:t>
      </w:r>
      <w:r w:rsidRPr="00FE1B62">
        <w:rPr>
          <w:sz w:val="24"/>
          <w:szCs w:val="24"/>
          <w:lang w:val="fr-FR"/>
        </w:rPr>
        <w:t>:</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1)</w:t>
      </w:r>
      <w:r>
        <w:rPr>
          <w:sz w:val="24"/>
          <w:szCs w:val="24"/>
          <w:lang w:val="fr-FR"/>
        </w:rPr>
        <w:tab/>
      </w:r>
      <w:r w:rsidRPr="00FE1B62">
        <w:rPr>
          <w:sz w:val="24"/>
          <w:szCs w:val="24"/>
          <w:lang w:val="fr-FR"/>
        </w:rPr>
        <w:t>Quand un aborigène est interrogé en tant que suspect, s’il ne parle anglais aussi couramment qu’une personne moyenne d’origine anglaise, un interprète doit être présent, et on doit avoir recours à lui toutes les fois que c’est nécessaire pour garantir une compréhension mutuelle totale</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2)</w:t>
      </w:r>
      <w:r>
        <w:rPr>
          <w:sz w:val="24"/>
          <w:szCs w:val="24"/>
          <w:lang w:val="fr-FR"/>
        </w:rPr>
        <w:tab/>
      </w:r>
      <w:r w:rsidRPr="00FE1B62">
        <w:rPr>
          <w:sz w:val="24"/>
          <w:szCs w:val="24"/>
          <w:lang w:val="fr-FR"/>
        </w:rPr>
        <w:t>Il est souhaitable, si possible, qu’un ami du détenu (qui peut également être l’interprète) soit présent</w:t>
      </w:r>
      <w:r>
        <w:rPr>
          <w:sz w:val="24"/>
          <w:szCs w:val="24"/>
          <w:lang w:val="fr-FR"/>
        </w:rPr>
        <w:t xml:space="preserve">. </w:t>
      </w:r>
      <w:r w:rsidRPr="00FE1B62">
        <w:rPr>
          <w:sz w:val="24"/>
          <w:szCs w:val="24"/>
          <w:lang w:val="fr-FR"/>
        </w:rPr>
        <w:t>Il devrait s’agir d’une personne en qui l’aborigène a apparemment confiance et qui pourra lui apporter un certain réconfort.</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r>
      <w:r w:rsidRPr="00FE1B62">
        <w:rPr>
          <w:sz w:val="24"/>
          <w:szCs w:val="24"/>
          <w:lang w:val="fr-FR"/>
        </w:rPr>
        <w:t>3)</w:t>
      </w:r>
      <w:r>
        <w:rPr>
          <w:sz w:val="24"/>
          <w:szCs w:val="24"/>
          <w:lang w:val="fr-FR"/>
        </w:rPr>
        <w:tab/>
      </w:r>
      <w:r w:rsidRPr="00FE1B62">
        <w:rPr>
          <w:sz w:val="24"/>
          <w:szCs w:val="24"/>
          <w:lang w:val="fr-FR"/>
        </w:rPr>
        <w:t>Il convient de procéder très soigneusement à la mise en garde</w:t>
      </w:r>
      <w:r>
        <w:rPr>
          <w:sz w:val="24"/>
          <w:szCs w:val="24"/>
          <w:lang w:val="fr-FR"/>
        </w:rPr>
        <w:t xml:space="preserve">. </w:t>
      </w:r>
      <w:r w:rsidRPr="00FE1B62">
        <w:rPr>
          <w:sz w:val="24"/>
          <w:szCs w:val="24"/>
          <w:lang w:val="fr-FR"/>
        </w:rPr>
        <w:t xml:space="preserve">Il ne suffit pas de prononcer la formule habituelle et d’ajouter </w:t>
      </w:r>
      <w:r>
        <w:rPr>
          <w:sz w:val="24"/>
          <w:szCs w:val="24"/>
          <w:lang w:val="fr-FR"/>
        </w:rPr>
        <w:t>«</w:t>
      </w:r>
      <w:r w:rsidRPr="00FE1B62">
        <w:rPr>
          <w:sz w:val="24"/>
          <w:szCs w:val="24"/>
          <w:lang w:val="fr-FR"/>
        </w:rPr>
        <w:t>Comprenez-vous cela</w:t>
      </w:r>
      <w:r>
        <w:rPr>
          <w:sz w:val="24"/>
          <w:szCs w:val="24"/>
          <w:lang w:val="fr-FR"/>
        </w:rPr>
        <w:t>?</w:t>
      </w:r>
      <w:r w:rsidRPr="00FE1B62">
        <w:rPr>
          <w:sz w:val="24"/>
          <w:szCs w:val="24"/>
          <w:lang w:val="fr-FR"/>
        </w:rPr>
        <w:t>» ou bien</w:t>
      </w:r>
      <w:r>
        <w:rPr>
          <w:sz w:val="24"/>
          <w:szCs w:val="24"/>
          <w:lang w:val="fr-FR"/>
        </w:rPr>
        <w:t xml:space="preserve"> «</w:t>
      </w:r>
      <w:r w:rsidRPr="00FE1B62">
        <w:rPr>
          <w:sz w:val="24"/>
          <w:szCs w:val="24"/>
          <w:lang w:val="fr-FR"/>
        </w:rPr>
        <w:t>Comprenez-vous que vous n’êtes pas obligé de répondre aux questions</w:t>
      </w:r>
      <w:r>
        <w:rPr>
          <w:sz w:val="24"/>
          <w:szCs w:val="24"/>
          <w:lang w:val="fr-FR"/>
        </w:rPr>
        <w:t>?</w:t>
      </w:r>
      <w:r w:rsidRPr="00FE1B62">
        <w:rPr>
          <w:sz w:val="24"/>
          <w:szCs w:val="24"/>
          <w:lang w:val="fr-FR"/>
        </w:rPr>
        <w:t>»</w:t>
      </w:r>
      <w:r>
        <w:rPr>
          <w:sz w:val="24"/>
          <w:szCs w:val="24"/>
          <w:lang w:val="fr-FR"/>
        </w:rPr>
        <w:t xml:space="preserve"> </w:t>
      </w:r>
      <w:r w:rsidRPr="00FE1B62">
        <w:rPr>
          <w:sz w:val="24"/>
          <w:szCs w:val="24"/>
          <w:lang w:val="fr-FR"/>
        </w:rPr>
        <w:t>Les policiers qui procèdent à l’interrogatoire, après avoir fait la mise en garde en termes simples, devraient demander à l’aborigène de leur expliquer ce qu’elle signifie, un membre de phrase après l’autre, et ne devraient pas entreprendre l’interrogatoire avant qu’il apparaisse clairement que l’intéressé comprend qu’il a le droit de garder le silence.</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4)</w:t>
      </w:r>
      <w:r>
        <w:rPr>
          <w:sz w:val="24"/>
          <w:szCs w:val="24"/>
          <w:lang w:val="fr-FR"/>
        </w:rPr>
        <w:tab/>
      </w:r>
      <w:r w:rsidRPr="00FE1B62">
        <w:rPr>
          <w:sz w:val="24"/>
          <w:szCs w:val="24"/>
          <w:lang w:val="fr-FR"/>
        </w:rPr>
        <w:t>Il faut formuler les questions très soigneusement, de manière à ce que, dans la mesure du possible, la réponse souhaitée ou attendue ne soit en aucune manière suggérée</w:t>
      </w:r>
      <w:r>
        <w:rPr>
          <w:sz w:val="24"/>
          <w:szCs w:val="24"/>
          <w:lang w:val="fr-FR"/>
        </w:rPr>
        <w:t xml:space="preserve">. </w:t>
      </w:r>
      <w:r w:rsidRPr="00FE1B62">
        <w:rPr>
          <w:sz w:val="24"/>
          <w:szCs w:val="24"/>
          <w:lang w:val="fr-FR"/>
        </w:rPr>
        <w:t>Tout ce qui ressemble à un contre-interrogatoire devrait être scrupuleusement évité, car les réponses ainsi obtenues n’ont aucune valeur probatoire.</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r>
      <w:r w:rsidRPr="00FE1B62">
        <w:rPr>
          <w:sz w:val="24"/>
          <w:szCs w:val="24"/>
          <w:lang w:val="fr-FR"/>
        </w:rPr>
        <w:t>5)</w:t>
      </w:r>
      <w:r>
        <w:rPr>
          <w:sz w:val="24"/>
          <w:szCs w:val="24"/>
          <w:lang w:val="fr-FR"/>
        </w:rPr>
        <w:tab/>
      </w:r>
      <w:r w:rsidRPr="00FE1B62">
        <w:rPr>
          <w:sz w:val="24"/>
          <w:szCs w:val="24"/>
          <w:lang w:val="fr-FR"/>
        </w:rPr>
        <w:t>Même si des aveux apparemment francs et spontanés ont été obtenus concernant la commission d’une infraction, la police devrait poursuivre l’enquête afin d’obtenir des preuves provenant d’autres sources.</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6)</w:t>
      </w:r>
      <w:r>
        <w:rPr>
          <w:sz w:val="24"/>
          <w:szCs w:val="24"/>
          <w:lang w:val="fr-FR"/>
        </w:rPr>
        <w:tab/>
      </w:r>
      <w:r w:rsidRPr="00FE1B62">
        <w:rPr>
          <w:sz w:val="24"/>
          <w:szCs w:val="24"/>
          <w:lang w:val="fr-FR"/>
        </w:rPr>
        <w:t>Les suspects peuvent être anxieux et mal à l’aise en présence de représentants de l’autorité comme les policiers</w:t>
      </w:r>
      <w:r>
        <w:rPr>
          <w:sz w:val="24"/>
          <w:szCs w:val="24"/>
          <w:lang w:val="fr-FR"/>
        </w:rPr>
        <w:t xml:space="preserve">. </w:t>
      </w:r>
      <w:r w:rsidRPr="00FE1B62">
        <w:rPr>
          <w:sz w:val="24"/>
          <w:szCs w:val="24"/>
          <w:lang w:val="fr-FR"/>
        </w:rPr>
        <w:t>Il est important qu’on leur offre de la nourriture s’ils sont interrogés ou placés en garde à vue à l’heure d’un repas</w:t>
      </w:r>
      <w:r>
        <w:rPr>
          <w:sz w:val="24"/>
          <w:szCs w:val="24"/>
          <w:lang w:val="fr-FR"/>
        </w:rPr>
        <w:t xml:space="preserve">. </w:t>
      </w:r>
      <w:r w:rsidRPr="00FE1B62">
        <w:rPr>
          <w:sz w:val="24"/>
          <w:szCs w:val="24"/>
          <w:lang w:val="fr-FR"/>
        </w:rPr>
        <w:t>Il conviendrait également qu’on</w:t>
      </w:r>
      <w:r>
        <w:rPr>
          <w:sz w:val="24"/>
          <w:szCs w:val="24"/>
          <w:lang w:val="fr-FR"/>
        </w:rPr>
        <w:t xml:space="preserve"> </w:t>
      </w:r>
      <w:r w:rsidRPr="00FE1B62">
        <w:rPr>
          <w:sz w:val="24"/>
          <w:szCs w:val="24"/>
          <w:lang w:val="fr-FR"/>
        </w:rPr>
        <w:t>leur offre du thé ou du café s’il est possible d’en préparer</w:t>
      </w:r>
      <w:r>
        <w:rPr>
          <w:sz w:val="24"/>
          <w:szCs w:val="24"/>
          <w:lang w:val="fr-FR"/>
        </w:rPr>
        <w:t xml:space="preserve">. </w:t>
      </w:r>
      <w:r w:rsidRPr="00FE1B62">
        <w:rPr>
          <w:sz w:val="24"/>
          <w:szCs w:val="24"/>
          <w:lang w:val="fr-FR"/>
        </w:rPr>
        <w:t>Il faut toujours leur offrir de l’eau, et leur demander s’ils souhaitent aller aux toilettes.</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7)</w:t>
      </w:r>
      <w:r>
        <w:rPr>
          <w:sz w:val="24"/>
          <w:szCs w:val="24"/>
          <w:lang w:val="fr-FR"/>
        </w:rPr>
        <w:tab/>
      </w:r>
      <w:r w:rsidRPr="00FE1B62">
        <w:rPr>
          <w:sz w:val="24"/>
          <w:szCs w:val="24"/>
          <w:lang w:val="fr-FR"/>
        </w:rPr>
        <w:t>Les aborigènes, comme les autres personnes, ne devraient pas être soumis à un interrogatoire s’ils sont handicapés par une maladie, l’ivresse ou la fatigue</w:t>
      </w:r>
      <w:r>
        <w:rPr>
          <w:sz w:val="24"/>
          <w:szCs w:val="24"/>
          <w:lang w:val="fr-FR"/>
        </w:rPr>
        <w:t xml:space="preserve">. </w:t>
      </w:r>
      <w:r w:rsidRPr="00FE1B62">
        <w:rPr>
          <w:sz w:val="24"/>
          <w:szCs w:val="24"/>
          <w:lang w:val="fr-FR"/>
        </w:rPr>
        <w:t>L’interrogatoire ne doit pas être exagérément long.</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8)</w:t>
      </w:r>
      <w:r>
        <w:rPr>
          <w:sz w:val="24"/>
          <w:szCs w:val="24"/>
          <w:lang w:val="fr-FR"/>
        </w:rPr>
        <w:tab/>
      </w:r>
      <w:r w:rsidRPr="00FE1B62">
        <w:rPr>
          <w:sz w:val="24"/>
          <w:szCs w:val="24"/>
          <w:lang w:val="fr-FR"/>
        </w:rPr>
        <w:t>Si un aborigène demande de pouvoir consulter un avocat, il convient de prendre des mesures raisonnables pour qu’il l’obtienne</w:t>
      </w:r>
      <w:r>
        <w:rPr>
          <w:sz w:val="24"/>
          <w:szCs w:val="24"/>
          <w:lang w:val="fr-FR"/>
        </w:rPr>
        <w:t xml:space="preserve">. </w:t>
      </w:r>
      <w:r w:rsidRPr="00FE1B62">
        <w:rPr>
          <w:sz w:val="24"/>
          <w:szCs w:val="24"/>
          <w:lang w:val="fr-FR"/>
        </w:rPr>
        <w:t>Si l’intéressé déclare qu’il ne souhaite pas continuer à répondre aux questions, l’interrogatoire doit être interrompu.</w:t>
      </w:r>
    </w:p>
    <w:p w:rsidR="00CC46D2" w:rsidRPr="00FE1B62" w:rsidRDefault="00CC46D2" w:rsidP="007D6300">
      <w:pPr>
        <w:pStyle w:val="FootnoteText"/>
        <w:tabs>
          <w:tab w:val="left" w:pos="567"/>
          <w:tab w:val="left" w:pos="1134"/>
          <w:tab w:val="left" w:pos="1701"/>
        </w:tabs>
        <w:spacing w:after="160"/>
        <w:rPr>
          <w:sz w:val="24"/>
          <w:szCs w:val="24"/>
          <w:lang w:val="fr-FR"/>
        </w:rPr>
      </w:pPr>
      <w:r>
        <w:rPr>
          <w:sz w:val="24"/>
          <w:szCs w:val="24"/>
          <w:lang w:val="fr-FR"/>
        </w:rPr>
        <w:tab/>
        <w:t>9)</w:t>
      </w:r>
      <w:r>
        <w:rPr>
          <w:sz w:val="24"/>
          <w:szCs w:val="24"/>
          <w:lang w:val="fr-FR"/>
        </w:rPr>
        <w:tab/>
      </w:r>
      <w:r w:rsidRPr="00FE1B62">
        <w:rPr>
          <w:sz w:val="24"/>
          <w:szCs w:val="24"/>
          <w:lang w:val="fr-FR"/>
        </w:rPr>
        <w:t>S’il est nécessaire que le suspect se dévête aux fins d’un examen médico-légal, il faut lui fournir des vêtements de remplacement.</w:t>
      </w:r>
    </w:p>
  </w:footnote>
  <w:footnote w:id="3">
    <w:p w:rsidR="00CC46D2" w:rsidRPr="00FE1B62" w:rsidRDefault="00CC46D2" w:rsidP="007D630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Département des services pénitentiaires de Nouvelle-Galles du Sud, des recherches sur l’institution, des év</w:t>
      </w:r>
      <w:r>
        <w:rPr>
          <w:sz w:val="24"/>
          <w:szCs w:val="24"/>
          <w:lang w:val="fr-FR"/>
        </w:rPr>
        <w:t>aluations et des statistiques, «</w:t>
      </w:r>
      <w:r w:rsidRPr="00FE1B62">
        <w:rPr>
          <w:i/>
          <w:iCs/>
          <w:sz w:val="24"/>
          <w:szCs w:val="24"/>
          <w:lang w:val="fr-FR"/>
        </w:rPr>
        <w:t>Offender Population Report</w:t>
      </w:r>
      <w:r>
        <w:rPr>
          <w:sz w:val="24"/>
          <w:szCs w:val="24"/>
          <w:lang w:val="fr-FR"/>
        </w:rPr>
        <w:t>»</w:t>
      </w:r>
      <w:r w:rsidRPr="00FE1B62">
        <w:rPr>
          <w:sz w:val="24"/>
          <w:szCs w:val="24"/>
          <w:lang w:val="fr-FR"/>
        </w:rPr>
        <w:t xml:space="preserve"> (rapport sur les délinquants), 1</w:t>
      </w:r>
      <w:r w:rsidRPr="00FE1B62">
        <w:rPr>
          <w:sz w:val="24"/>
          <w:szCs w:val="24"/>
          <w:vertAlign w:val="superscript"/>
          <w:lang w:val="fr-FR"/>
        </w:rPr>
        <w:t>er</w:t>
      </w:r>
      <w:r w:rsidRPr="00FE1B62">
        <w:rPr>
          <w:sz w:val="24"/>
          <w:szCs w:val="24"/>
          <w:lang w:val="fr-FR"/>
        </w:rPr>
        <w:t xml:space="preserve"> juillet 2007.</w:t>
      </w:r>
    </w:p>
  </w:footnote>
  <w:footnote w:id="4">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Les chiffres proviennent du Département des services pénitentiaires de Nouvelle-Galles du Sud, du recensement des détenus de Nouvelle-Galles du Sud 1997-2006 et du Rapport sur les délinquants (</w:t>
      </w:r>
      <w:r w:rsidRPr="00FE1B62">
        <w:rPr>
          <w:i/>
          <w:iCs/>
          <w:sz w:val="24"/>
          <w:szCs w:val="24"/>
          <w:lang w:val="fr-FR"/>
        </w:rPr>
        <w:t>Offender Population Report</w:t>
      </w:r>
      <w:r w:rsidRPr="00FE1B62">
        <w:rPr>
          <w:sz w:val="24"/>
          <w:szCs w:val="24"/>
          <w:lang w:val="fr-FR"/>
        </w:rPr>
        <w:t>) du 1</w:t>
      </w:r>
      <w:r w:rsidRPr="00FE1B62">
        <w:rPr>
          <w:sz w:val="24"/>
          <w:szCs w:val="24"/>
          <w:vertAlign w:val="superscript"/>
          <w:lang w:val="fr-FR"/>
        </w:rPr>
        <w:t>er</w:t>
      </w:r>
      <w:r w:rsidRPr="00FE1B62">
        <w:rPr>
          <w:sz w:val="24"/>
          <w:szCs w:val="24"/>
          <w:lang w:val="fr-FR"/>
        </w:rPr>
        <w:t xml:space="preserve"> juillet 2007.</w:t>
      </w:r>
    </w:p>
  </w:footnote>
  <w:footnote w:id="5">
    <w:p w:rsidR="00CC46D2" w:rsidRPr="00FE1B62" w:rsidRDefault="00CC46D2" w:rsidP="008D6B80">
      <w:pPr>
        <w:pStyle w:val="FootnoteText"/>
        <w:tabs>
          <w:tab w:val="left" w:pos="567"/>
          <w:tab w:val="left" w:pos="1134"/>
          <w:tab w:val="left" w:pos="1701"/>
        </w:tabs>
        <w:rPr>
          <w:i/>
          <w:iCs/>
          <w:sz w:val="24"/>
          <w:szCs w:val="24"/>
        </w:rPr>
      </w:pPr>
      <w:r w:rsidRPr="00FE1B62">
        <w:rPr>
          <w:rStyle w:val="FootnoteReference"/>
          <w:sz w:val="24"/>
          <w:szCs w:val="24"/>
        </w:rPr>
        <w:footnoteRef/>
      </w:r>
      <w:r w:rsidRPr="00FE1B62">
        <w:rPr>
          <w:sz w:val="24"/>
          <w:szCs w:val="24"/>
        </w:rPr>
        <w:t xml:space="preserve"> BOCSAR NSW, </w:t>
      </w:r>
      <w:r w:rsidRPr="00FE1B62">
        <w:rPr>
          <w:i/>
          <w:iCs/>
          <w:sz w:val="24"/>
          <w:szCs w:val="24"/>
        </w:rPr>
        <w:t>Criminal Court Statistics 2007.</w:t>
      </w:r>
    </w:p>
  </w:footnote>
  <w:footnote w:id="6">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Art</w:t>
      </w:r>
      <w:r>
        <w:rPr>
          <w:sz w:val="24"/>
          <w:szCs w:val="24"/>
          <w:lang w:val="fr-FR"/>
        </w:rPr>
        <w:t>.</w:t>
      </w:r>
      <w:r w:rsidRPr="00FE1B62">
        <w:rPr>
          <w:sz w:val="24"/>
          <w:szCs w:val="24"/>
          <w:lang w:val="fr-FR"/>
        </w:rPr>
        <w:t xml:space="preserve"> 13 3) de la loi de 1985 sur la libération sous caution.</w:t>
      </w:r>
    </w:p>
  </w:footnote>
  <w:footnote w:id="7">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A</w:t>
      </w:r>
      <w:r>
        <w:rPr>
          <w:i/>
          <w:iCs/>
          <w:sz w:val="24"/>
          <w:szCs w:val="24"/>
          <w:lang w:val="fr-FR"/>
        </w:rPr>
        <w:t xml:space="preserve"> </w:t>
      </w:r>
      <w:r w:rsidRPr="00FE1B62">
        <w:rPr>
          <w:sz w:val="24"/>
          <w:szCs w:val="24"/>
          <w:lang w:val="fr-FR"/>
        </w:rPr>
        <w:t>c</w:t>
      </w:r>
      <w:r>
        <w:rPr>
          <w:sz w:val="24"/>
          <w:szCs w:val="24"/>
          <w:lang w:val="fr-FR"/>
        </w:rPr>
        <w:t xml:space="preserve">. </w:t>
      </w:r>
      <w:r w:rsidRPr="00FE1B62">
        <w:rPr>
          <w:i/>
          <w:iCs/>
          <w:sz w:val="24"/>
          <w:szCs w:val="24"/>
          <w:lang w:val="fr-FR"/>
        </w:rPr>
        <w:t>Australie</w:t>
      </w:r>
      <w:r w:rsidRPr="00FE1B62">
        <w:rPr>
          <w:sz w:val="24"/>
          <w:szCs w:val="24"/>
          <w:lang w:val="fr-FR"/>
        </w:rPr>
        <w:t xml:space="preserve">, </w:t>
      </w:r>
      <w:r>
        <w:rPr>
          <w:sz w:val="24"/>
          <w:szCs w:val="24"/>
          <w:lang w:val="fr-FR"/>
        </w:rPr>
        <w:t>n</w:t>
      </w:r>
      <w:r w:rsidRPr="00A619D6">
        <w:rPr>
          <w:sz w:val="24"/>
          <w:szCs w:val="24"/>
          <w:vertAlign w:val="superscript"/>
          <w:lang w:val="fr-FR"/>
        </w:rPr>
        <w:t>o</w:t>
      </w:r>
      <w:r w:rsidRPr="00FE1B62">
        <w:rPr>
          <w:sz w:val="24"/>
          <w:szCs w:val="24"/>
          <w:lang w:val="fr-FR"/>
        </w:rPr>
        <w:t xml:space="preserve"> 560/1993, par</w:t>
      </w:r>
      <w:r>
        <w:rPr>
          <w:sz w:val="24"/>
          <w:szCs w:val="24"/>
          <w:lang w:val="fr-FR"/>
        </w:rPr>
        <w:t>.</w:t>
      </w:r>
      <w:r w:rsidRPr="00FE1B62">
        <w:rPr>
          <w:sz w:val="24"/>
          <w:szCs w:val="24"/>
          <w:lang w:val="fr-FR"/>
        </w:rPr>
        <w:t xml:space="preserve"> 9.4.</w:t>
      </w:r>
    </w:p>
  </w:footnote>
  <w:footnote w:id="8">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 xml:space="preserve">A </w:t>
      </w:r>
      <w:r w:rsidRPr="00FE1B62">
        <w:rPr>
          <w:sz w:val="24"/>
          <w:szCs w:val="24"/>
          <w:lang w:val="fr-FR"/>
        </w:rPr>
        <w:t>c.</w:t>
      </w:r>
      <w:r w:rsidRPr="00FE1B62">
        <w:rPr>
          <w:i/>
          <w:iCs/>
          <w:sz w:val="24"/>
          <w:szCs w:val="24"/>
          <w:lang w:val="fr-FR"/>
        </w:rPr>
        <w:t xml:space="preserve"> Australie (</w:t>
      </w:r>
      <w:r>
        <w:rPr>
          <w:sz w:val="24"/>
          <w:szCs w:val="24"/>
          <w:lang w:val="fr-FR"/>
        </w:rPr>
        <w:t>c</w:t>
      </w:r>
      <w:r w:rsidRPr="00FE1B62">
        <w:rPr>
          <w:sz w:val="24"/>
          <w:szCs w:val="24"/>
          <w:lang w:val="fr-FR"/>
        </w:rPr>
        <w:t xml:space="preserve">ommunication </w:t>
      </w:r>
      <w:r>
        <w:rPr>
          <w:sz w:val="24"/>
          <w:szCs w:val="24"/>
          <w:lang w:val="fr-FR"/>
        </w:rPr>
        <w:t>n</w:t>
      </w:r>
      <w:r w:rsidRPr="00A619D6">
        <w:rPr>
          <w:sz w:val="24"/>
          <w:szCs w:val="24"/>
          <w:vertAlign w:val="superscript"/>
          <w:lang w:val="fr-FR"/>
        </w:rPr>
        <w:t>o</w:t>
      </w:r>
      <w:r w:rsidRPr="00FE1B62">
        <w:rPr>
          <w:sz w:val="24"/>
          <w:szCs w:val="24"/>
          <w:lang w:val="fr-FR"/>
        </w:rPr>
        <w:t xml:space="preserve"> 560/1993, </w:t>
      </w:r>
      <w:r>
        <w:rPr>
          <w:sz w:val="24"/>
          <w:szCs w:val="24"/>
          <w:lang w:val="fr-FR"/>
        </w:rPr>
        <w:t>par.</w:t>
      </w:r>
      <w:r w:rsidRPr="00FE1B62">
        <w:rPr>
          <w:sz w:val="24"/>
          <w:szCs w:val="24"/>
          <w:lang w:val="fr-FR"/>
        </w:rPr>
        <w:t xml:space="preserve"> 9.2).</w:t>
      </w:r>
    </w:p>
  </w:footnote>
  <w:footnote w:id="9">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A</w:t>
      </w:r>
      <w:r>
        <w:rPr>
          <w:i/>
          <w:iCs/>
          <w:sz w:val="24"/>
          <w:szCs w:val="24"/>
          <w:lang w:val="fr-FR"/>
        </w:rPr>
        <w:t xml:space="preserve"> </w:t>
      </w:r>
      <w:r w:rsidRPr="00FE1B62">
        <w:rPr>
          <w:sz w:val="24"/>
          <w:szCs w:val="24"/>
          <w:lang w:val="fr-FR"/>
        </w:rPr>
        <w:t>c</w:t>
      </w:r>
      <w:r>
        <w:rPr>
          <w:sz w:val="24"/>
          <w:szCs w:val="24"/>
          <w:lang w:val="fr-FR"/>
        </w:rPr>
        <w:t xml:space="preserve">. </w:t>
      </w:r>
      <w:r w:rsidRPr="00FE1B62">
        <w:rPr>
          <w:i/>
          <w:iCs/>
          <w:sz w:val="24"/>
          <w:szCs w:val="24"/>
          <w:lang w:val="fr-FR"/>
        </w:rPr>
        <w:t xml:space="preserve">Australie </w:t>
      </w:r>
      <w:r>
        <w:rPr>
          <w:sz w:val="24"/>
          <w:szCs w:val="24"/>
          <w:lang w:val="fr-FR"/>
        </w:rPr>
        <w:t>(c</w:t>
      </w:r>
      <w:r w:rsidRPr="00FE1B62">
        <w:rPr>
          <w:sz w:val="24"/>
          <w:szCs w:val="24"/>
          <w:lang w:val="fr-FR"/>
        </w:rPr>
        <w:t xml:space="preserve">ommunication </w:t>
      </w:r>
      <w:r>
        <w:rPr>
          <w:sz w:val="24"/>
          <w:szCs w:val="24"/>
          <w:lang w:val="fr-FR"/>
        </w:rPr>
        <w:t>n</w:t>
      </w:r>
      <w:r w:rsidRPr="00A619D6">
        <w:rPr>
          <w:sz w:val="24"/>
          <w:szCs w:val="24"/>
          <w:vertAlign w:val="superscript"/>
          <w:lang w:val="fr-FR"/>
        </w:rPr>
        <w:t>o</w:t>
      </w:r>
      <w:r w:rsidRPr="00FE1B62">
        <w:rPr>
          <w:sz w:val="24"/>
          <w:szCs w:val="24"/>
          <w:lang w:val="fr-FR"/>
        </w:rPr>
        <w:t xml:space="preserve"> 560/1993, </w:t>
      </w:r>
      <w:r>
        <w:rPr>
          <w:sz w:val="24"/>
          <w:szCs w:val="24"/>
          <w:lang w:val="fr-FR"/>
        </w:rPr>
        <w:t>par.</w:t>
      </w:r>
      <w:r w:rsidRPr="00FE1B62">
        <w:rPr>
          <w:sz w:val="24"/>
          <w:szCs w:val="24"/>
          <w:lang w:val="fr-FR"/>
        </w:rPr>
        <w:t xml:space="preserve"> 9.4).</w:t>
      </w:r>
    </w:p>
  </w:footnote>
  <w:footnote w:id="10">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 xml:space="preserve">CT et KM </w:t>
      </w:r>
      <w:r w:rsidRPr="00FE1B62">
        <w:rPr>
          <w:sz w:val="24"/>
          <w:szCs w:val="24"/>
          <w:lang w:val="fr-FR"/>
        </w:rPr>
        <w:t>c</w:t>
      </w:r>
      <w:r w:rsidRPr="00FE1B62">
        <w:rPr>
          <w:i/>
          <w:iCs/>
          <w:sz w:val="24"/>
          <w:szCs w:val="24"/>
          <w:lang w:val="fr-FR"/>
        </w:rPr>
        <w:t>. Suède,</w:t>
      </w:r>
      <w:r>
        <w:rPr>
          <w:i/>
          <w:iCs/>
          <w:sz w:val="24"/>
          <w:szCs w:val="24"/>
          <w:lang w:val="fr-FR"/>
        </w:rPr>
        <w:t xml:space="preserve"> </w:t>
      </w:r>
      <w:r>
        <w:rPr>
          <w:sz w:val="24"/>
          <w:szCs w:val="24"/>
          <w:lang w:val="fr-FR"/>
        </w:rPr>
        <w:t>c</w:t>
      </w:r>
      <w:r w:rsidRPr="00FE1B62">
        <w:rPr>
          <w:sz w:val="24"/>
          <w:szCs w:val="24"/>
          <w:lang w:val="fr-FR"/>
        </w:rPr>
        <w:t>ommunication du Comité contre la torture 279/2005, constatations adoptées le 17 novembre 2006, par. 7.2.</w:t>
      </w:r>
    </w:p>
  </w:footnote>
  <w:footnote w:id="11">
    <w:p w:rsidR="00CC46D2" w:rsidRPr="00FE1B62" w:rsidRDefault="00CC46D2" w:rsidP="00B7519D">
      <w:pPr>
        <w:pStyle w:val="FootnoteText"/>
        <w:tabs>
          <w:tab w:val="left" w:pos="567"/>
          <w:tab w:val="left" w:pos="1134"/>
          <w:tab w:val="left" w:pos="1701"/>
        </w:tabs>
        <w:rPr>
          <w:i/>
          <w:iCs/>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 xml:space="preserve">CT et KM </w:t>
      </w:r>
      <w:r w:rsidRPr="00FE1B62">
        <w:rPr>
          <w:sz w:val="24"/>
          <w:szCs w:val="24"/>
          <w:lang w:val="fr-FR"/>
        </w:rPr>
        <w:t>c</w:t>
      </w:r>
      <w:r w:rsidRPr="00FE1B62">
        <w:rPr>
          <w:i/>
          <w:iCs/>
          <w:sz w:val="24"/>
          <w:szCs w:val="24"/>
          <w:lang w:val="fr-FR"/>
        </w:rPr>
        <w:t>. Suède</w:t>
      </w:r>
      <w:r w:rsidRPr="00FE1B62">
        <w:rPr>
          <w:sz w:val="24"/>
          <w:szCs w:val="24"/>
          <w:lang w:val="fr-FR"/>
        </w:rPr>
        <w:t xml:space="preserve">, </w:t>
      </w:r>
      <w:r>
        <w:rPr>
          <w:sz w:val="24"/>
          <w:szCs w:val="24"/>
          <w:lang w:val="fr-FR"/>
        </w:rPr>
        <w:t>c</w:t>
      </w:r>
      <w:r w:rsidRPr="00FE1B62">
        <w:rPr>
          <w:sz w:val="24"/>
          <w:szCs w:val="24"/>
          <w:lang w:val="fr-FR"/>
        </w:rPr>
        <w:t>ommunication du Comité contre la torture 279/2005, constatations adoptées le 17 novembre 2006, par. 7.3.</w:t>
      </w:r>
    </w:p>
  </w:footnote>
  <w:footnote w:id="12">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Rapport de l’État partie, par. 35.</w:t>
      </w:r>
    </w:p>
  </w:footnote>
  <w:footnote w:id="13">
    <w:p w:rsidR="00CC46D2" w:rsidRPr="004A3CE0" w:rsidRDefault="00CC46D2" w:rsidP="008D6B80">
      <w:pPr>
        <w:pStyle w:val="FootnoteText"/>
        <w:tabs>
          <w:tab w:val="left" w:pos="567"/>
          <w:tab w:val="left" w:pos="1134"/>
          <w:tab w:val="left" w:pos="1701"/>
        </w:tabs>
        <w:rPr>
          <w:lang w:val="fr-FR"/>
        </w:rPr>
      </w:pPr>
      <w:r w:rsidRPr="004A3CE0">
        <w:rPr>
          <w:rStyle w:val="FootnoteReference"/>
        </w:rPr>
        <w:footnoteRef/>
      </w:r>
      <w:r w:rsidRPr="004A3CE0">
        <w:rPr>
          <w:lang w:val="fr-FR"/>
        </w:rPr>
        <w:t xml:space="preserve"> MGF – Mutilation génitale féminine.</w:t>
      </w:r>
    </w:p>
  </w:footnote>
  <w:footnote w:id="14">
    <w:p w:rsidR="00CC46D2" w:rsidRPr="00FE1B62" w:rsidRDefault="00CC46D2" w:rsidP="008D6B80">
      <w:pPr>
        <w:pStyle w:val="Footer"/>
        <w:tabs>
          <w:tab w:val="left" w:pos="567"/>
          <w:tab w:val="left" w:pos="1134"/>
          <w:tab w:val="left" w:pos="1701"/>
        </w:tabs>
        <w:rPr>
          <w:szCs w:val="24"/>
          <w:lang w:val="fr-FR"/>
        </w:rPr>
      </w:pPr>
      <w:r w:rsidRPr="00FE1B62">
        <w:rPr>
          <w:rStyle w:val="FootnoteReference"/>
          <w:szCs w:val="24"/>
        </w:rPr>
        <w:footnoteRef/>
      </w:r>
      <w:r>
        <w:rPr>
          <w:szCs w:val="24"/>
          <w:lang w:val="fr-FR"/>
        </w:rPr>
        <w:t xml:space="preserve"> </w:t>
      </w:r>
      <w:r w:rsidRPr="00FE1B62">
        <w:rPr>
          <w:szCs w:val="24"/>
          <w:lang w:val="fr-FR"/>
        </w:rPr>
        <w:t>Nombre de jours: cette population comprend les enfants et les jeunes placés en détention provisoire et sous mandat de dépôt, et tient compte du nombre d’enfants et de jeunes détenus dans le Centre de détention pour mineurs de Quamby.</w:t>
      </w:r>
    </w:p>
  </w:footnote>
  <w:footnote w:id="15">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J. Joudo, Décès survenus en dé</w:t>
      </w:r>
      <w:r>
        <w:rPr>
          <w:sz w:val="24"/>
          <w:szCs w:val="24"/>
          <w:lang w:val="fr-FR"/>
        </w:rPr>
        <w:t>tention préventive en Australie</w:t>
      </w:r>
      <w:r w:rsidRPr="00FE1B62">
        <w:rPr>
          <w:sz w:val="24"/>
          <w:szCs w:val="24"/>
          <w:lang w:val="fr-FR"/>
        </w:rPr>
        <w:t xml:space="preserve">: rapport annuel de 2005 sur le Programme national relatif aux décès en détention, collection de documents techniques et de synthèse </w:t>
      </w:r>
      <w:r>
        <w:rPr>
          <w:sz w:val="24"/>
          <w:szCs w:val="24"/>
          <w:lang w:val="fr-FR"/>
        </w:rPr>
        <w:t>n</w:t>
      </w:r>
      <w:r w:rsidRPr="00A619D6">
        <w:rPr>
          <w:sz w:val="24"/>
          <w:szCs w:val="24"/>
          <w:vertAlign w:val="superscript"/>
          <w:lang w:val="fr-FR"/>
        </w:rPr>
        <w:t>o</w:t>
      </w:r>
      <w:r w:rsidRPr="00FE1B62">
        <w:rPr>
          <w:sz w:val="24"/>
          <w:szCs w:val="24"/>
          <w:lang w:val="fr-FR"/>
        </w:rPr>
        <w:t xml:space="preserve"> 21 (AIC ).</w:t>
      </w:r>
    </w:p>
  </w:footnote>
  <w:footnote w:id="16">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J. Joudo, Décès en dé</w:t>
      </w:r>
      <w:r>
        <w:rPr>
          <w:sz w:val="24"/>
          <w:szCs w:val="24"/>
          <w:lang w:val="fr-FR"/>
        </w:rPr>
        <w:t>tention préventive en Australie</w:t>
      </w:r>
      <w:r w:rsidRPr="00FE1B62">
        <w:rPr>
          <w:sz w:val="24"/>
          <w:szCs w:val="24"/>
          <w:lang w:val="fr-FR"/>
        </w:rPr>
        <w:t xml:space="preserve">: rapport annuel de 2005 sur le Programme national relatif aux décès en détention, collection de documents techniques et de synthèse </w:t>
      </w:r>
      <w:r>
        <w:rPr>
          <w:sz w:val="24"/>
          <w:szCs w:val="24"/>
          <w:lang w:val="fr-FR"/>
        </w:rPr>
        <w:t>n</w:t>
      </w:r>
      <w:r w:rsidRPr="00A619D6">
        <w:rPr>
          <w:sz w:val="24"/>
          <w:szCs w:val="24"/>
          <w:vertAlign w:val="superscript"/>
          <w:lang w:val="fr-FR"/>
        </w:rPr>
        <w:t>o</w:t>
      </w:r>
      <w:r w:rsidRPr="00FE1B62">
        <w:rPr>
          <w:sz w:val="24"/>
          <w:szCs w:val="24"/>
          <w:lang w:val="fr-FR"/>
        </w:rPr>
        <w:t xml:space="preserve"> 21 (AIC).</w:t>
      </w:r>
    </w:p>
  </w:footnote>
  <w:footnote w:id="17">
    <w:p w:rsidR="00CC46D2" w:rsidRPr="00FE1B62" w:rsidRDefault="00CC46D2" w:rsidP="008D6B80">
      <w:pPr>
        <w:pStyle w:val="FootnoteText"/>
        <w:tabs>
          <w:tab w:val="left" w:pos="567"/>
          <w:tab w:val="left" w:pos="1134"/>
          <w:tab w:val="left" w:pos="1701"/>
        </w:tabs>
        <w:rPr>
          <w:i/>
          <w:iCs/>
          <w:sz w:val="24"/>
          <w:szCs w:val="24"/>
          <w:lang w:val="fr-FR"/>
        </w:rPr>
      </w:pPr>
      <w:r w:rsidRPr="00FE1B62">
        <w:rPr>
          <w:rStyle w:val="FootnoteReference"/>
          <w:sz w:val="24"/>
          <w:szCs w:val="24"/>
        </w:rPr>
        <w:footnoteRef/>
      </w:r>
      <w:r w:rsidRPr="00FE1B62">
        <w:rPr>
          <w:sz w:val="24"/>
          <w:szCs w:val="24"/>
          <w:lang w:val="fr-FR"/>
        </w:rPr>
        <w:t xml:space="preserve"> Rapport sur les services publics (2007), recueil d’informations sur les autochtones, Comité directeur de la </w:t>
      </w:r>
      <w:r w:rsidRPr="00FE1B62">
        <w:rPr>
          <w:i/>
          <w:iCs/>
          <w:sz w:val="24"/>
          <w:szCs w:val="24"/>
          <w:lang w:val="fr-FR"/>
        </w:rPr>
        <w:t>Review of Government Service Provision.</w:t>
      </w:r>
    </w:p>
  </w:footnote>
  <w:footnote w:id="18">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J. Joudo, Décès en dé</w:t>
      </w:r>
      <w:r>
        <w:rPr>
          <w:sz w:val="24"/>
          <w:szCs w:val="24"/>
          <w:lang w:val="fr-FR"/>
        </w:rPr>
        <w:t>tention préventive en Australie</w:t>
      </w:r>
      <w:r w:rsidRPr="00FE1B62">
        <w:rPr>
          <w:sz w:val="24"/>
          <w:szCs w:val="24"/>
          <w:lang w:val="fr-FR"/>
        </w:rPr>
        <w:t xml:space="preserve">: rapport annuel de 2005 sur le Programme national relatif aux décès en détention, collection de documents techniques et de synthèse </w:t>
      </w:r>
      <w:r>
        <w:rPr>
          <w:sz w:val="24"/>
          <w:szCs w:val="24"/>
          <w:lang w:val="fr-FR"/>
        </w:rPr>
        <w:t>n</w:t>
      </w:r>
      <w:r w:rsidRPr="00A619D6">
        <w:rPr>
          <w:sz w:val="24"/>
          <w:szCs w:val="24"/>
          <w:vertAlign w:val="superscript"/>
          <w:lang w:val="fr-FR"/>
        </w:rPr>
        <w:t>o</w:t>
      </w:r>
      <w:r w:rsidRPr="00FE1B62">
        <w:rPr>
          <w:sz w:val="24"/>
          <w:szCs w:val="24"/>
          <w:lang w:val="fr-FR"/>
        </w:rPr>
        <w:t xml:space="preserve"> 21 (AIC).</w:t>
      </w:r>
    </w:p>
  </w:footnote>
  <w:footnote w:id="19">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Pr>
          <w:sz w:val="24"/>
          <w:szCs w:val="24"/>
          <w:lang w:val="fr-FR"/>
        </w:rPr>
        <w:t xml:space="preserve"> Note</w:t>
      </w:r>
      <w:r w:rsidRPr="00FE1B62">
        <w:rPr>
          <w:sz w:val="24"/>
          <w:szCs w:val="24"/>
          <w:lang w:val="fr-FR"/>
        </w:rPr>
        <w:t>: ce département est devenu le Département de l’immigration et de la citoyenneté.</w:t>
      </w:r>
    </w:p>
  </w:footnote>
  <w:footnote w:id="20">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Dans la réponse à la question 30, veuillez noter que le terme </w:t>
      </w:r>
      <w:r>
        <w:rPr>
          <w:sz w:val="24"/>
          <w:szCs w:val="24"/>
          <w:lang w:val="fr-FR"/>
        </w:rPr>
        <w:t>«</w:t>
      </w:r>
      <w:r w:rsidRPr="00FE1B62">
        <w:rPr>
          <w:sz w:val="24"/>
          <w:szCs w:val="24"/>
          <w:lang w:val="fr-FR"/>
        </w:rPr>
        <w:t>plainte</w:t>
      </w:r>
      <w:r>
        <w:rPr>
          <w:sz w:val="24"/>
          <w:szCs w:val="24"/>
          <w:lang w:val="fr-FR"/>
        </w:rPr>
        <w:t>»</w:t>
      </w:r>
      <w:r w:rsidRPr="00FE1B62">
        <w:rPr>
          <w:sz w:val="24"/>
          <w:szCs w:val="24"/>
          <w:lang w:val="fr-FR"/>
        </w:rPr>
        <w:t xml:space="preserve"> ne concerne pas les plaintes déposées auprès des organes des Nations Unies spécialisés dans les droits de l’homme.</w:t>
      </w:r>
    </w:p>
  </w:footnote>
  <w:footnote w:id="21">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Une attache Rilsan</w:t>
      </w:r>
      <w:r w:rsidRPr="00FE1B62">
        <w:rPr>
          <w:color w:val="FF0000"/>
          <w:sz w:val="24"/>
          <w:szCs w:val="24"/>
          <w:lang w:val="fr-FR"/>
        </w:rPr>
        <w:t xml:space="preserve"> </w:t>
      </w:r>
      <w:r w:rsidRPr="00FE1B62">
        <w:rPr>
          <w:sz w:val="24"/>
          <w:szCs w:val="24"/>
          <w:lang w:val="fr-FR"/>
        </w:rPr>
        <w:t>est une espèce d’attache utilisée surtout pour réunir plusieurs câbles électroniques ou plusieurs fils de fer, et pour les organiser ensemble, mais pouvant servir également de menottes de fortune</w:t>
      </w:r>
      <w:r>
        <w:rPr>
          <w:sz w:val="24"/>
          <w:szCs w:val="24"/>
          <w:lang w:val="fr-FR"/>
        </w:rPr>
        <w:t xml:space="preserve">. </w:t>
      </w:r>
      <w:r w:rsidRPr="00FE1B62">
        <w:rPr>
          <w:sz w:val="24"/>
          <w:szCs w:val="24"/>
          <w:lang w:val="fr-FR"/>
        </w:rPr>
        <w:t>Ces attaches ont été</w:t>
      </w:r>
      <w:r>
        <w:rPr>
          <w:sz w:val="24"/>
          <w:szCs w:val="24"/>
          <w:lang w:val="fr-FR"/>
        </w:rPr>
        <w:t xml:space="preserve"> </w:t>
      </w:r>
      <w:r w:rsidRPr="00FE1B62">
        <w:rPr>
          <w:sz w:val="24"/>
          <w:szCs w:val="24"/>
          <w:lang w:val="fr-FR"/>
        </w:rPr>
        <w:t>remplacées, depuis, par des menottes en plastique qui sont plus humaines.</w:t>
      </w:r>
    </w:p>
  </w:footnote>
  <w:footnote w:id="22">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Arrêt non encore publié, Tribunal fédéral d’Australie, Greffe du tribunal de district de Nouvelle-Galles du Sud,</w:t>
      </w:r>
      <w:r>
        <w:rPr>
          <w:sz w:val="24"/>
          <w:szCs w:val="24"/>
          <w:lang w:val="fr-FR"/>
        </w:rPr>
        <w:t xml:space="preserve"> </w:t>
      </w:r>
      <w:r w:rsidRPr="00FE1B62">
        <w:rPr>
          <w:sz w:val="24"/>
          <w:szCs w:val="24"/>
          <w:lang w:val="fr-FR"/>
        </w:rPr>
        <w:t>mars 1998.</w:t>
      </w:r>
    </w:p>
  </w:footnote>
  <w:footnote w:id="23">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rPr>
        <w:t xml:space="preserve"> </w:t>
      </w:r>
      <w:r w:rsidRPr="00FE1B62">
        <w:rPr>
          <w:sz w:val="24"/>
          <w:szCs w:val="24"/>
          <w:lang w:val="fr-FR"/>
        </w:rPr>
        <w:t>[2007] NSWCCA 56.</w:t>
      </w:r>
    </w:p>
  </w:footnote>
  <w:footnote w:id="24">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w:t>
      </w:r>
      <w:r w:rsidRPr="00FE1B62">
        <w:rPr>
          <w:i/>
          <w:iCs/>
          <w:sz w:val="24"/>
          <w:szCs w:val="24"/>
          <w:lang w:val="fr-FR"/>
        </w:rPr>
        <w:t xml:space="preserve">A. </w:t>
      </w:r>
      <w:r w:rsidRPr="00FE1B62">
        <w:rPr>
          <w:sz w:val="24"/>
          <w:szCs w:val="24"/>
          <w:lang w:val="fr-FR"/>
        </w:rPr>
        <w:t>c.</w:t>
      </w:r>
      <w:r w:rsidRPr="00FE1B62">
        <w:rPr>
          <w:i/>
          <w:iCs/>
          <w:sz w:val="24"/>
          <w:szCs w:val="24"/>
          <w:lang w:val="fr-FR"/>
        </w:rPr>
        <w:t xml:space="preserve"> Royaume Uni</w:t>
      </w:r>
      <w:r w:rsidRPr="00FE1B62">
        <w:rPr>
          <w:sz w:val="24"/>
          <w:szCs w:val="24"/>
          <w:lang w:val="fr-FR"/>
        </w:rPr>
        <w:t>, ECHR, 13/10/86.</w:t>
      </w:r>
    </w:p>
  </w:footnote>
  <w:footnote w:id="25">
    <w:p w:rsidR="00CC46D2" w:rsidRPr="00FE1B62" w:rsidRDefault="00CC46D2" w:rsidP="008D6B80">
      <w:pPr>
        <w:pStyle w:val="FootnoteText"/>
        <w:tabs>
          <w:tab w:val="left" w:pos="567"/>
          <w:tab w:val="left" w:pos="1134"/>
          <w:tab w:val="left" w:pos="1701"/>
        </w:tabs>
        <w:rPr>
          <w:i/>
          <w:iCs/>
          <w:sz w:val="24"/>
          <w:szCs w:val="24"/>
        </w:rPr>
      </w:pPr>
      <w:r w:rsidRPr="00FE1B62">
        <w:rPr>
          <w:rStyle w:val="FootnoteReference"/>
          <w:sz w:val="24"/>
          <w:szCs w:val="24"/>
        </w:rPr>
        <w:footnoteRef/>
      </w:r>
      <w:r w:rsidRPr="00FE1B62">
        <w:rPr>
          <w:sz w:val="24"/>
          <w:szCs w:val="24"/>
        </w:rPr>
        <w:t xml:space="preserve"> </w:t>
      </w:r>
      <w:r w:rsidRPr="00FE1B62">
        <w:rPr>
          <w:i/>
          <w:iCs/>
          <w:sz w:val="24"/>
          <w:szCs w:val="24"/>
        </w:rPr>
        <w:t xml:space="preserve">R. </w:t>
      </w:r>
      <w:r w:rsidRPr="00FE1B62">
        <w:rPr>
          <w:sz w:val="24"/>
          <w:szCs w:val="24"/>
        </w:rPr>
        <w:t>c</w:t>
      </w:r>
      <w:r w:rsidRPr="00FE1B62">
        <w:rPr>
          <w:i/>
          <w:iCs/>
          <w:sz w:val="24"/>
          <w:szCs w:val="24"/>
        </w:rPr>
        <w:t xml:space="preserve">. </w:t>
      </w:r>
      <w:smartTag w:uri="urn:schemas-microsoft-com:office:smarttags" w:element="place">
        <w:r w:rsidRPr="00FE1B62">
          <w:rPr>
            <w:i/>
            <w:iCs/>
            <w:sz w:val="24"/>
            <w:szCs w:val="24"/>
          </w:rPr>
          <w:t>Clark</w:t>
        </w:r>
      </w:smartTag>
      <w:r w:rsidRPr="00FE1B62">
        <w:rPr>
          <w:i/>
          <w:iCs/>
          <w:sz w:val="24"/>
          <w:szCs w:val="24"/>
        </w:rPr>
        <w:t xml:space="preserve"> 97 A Crim R 27.</w:t>
      </w:r>
    </w:p>
  </w:footnote>
  <w:footnote w:id="26">
    <w:p w:rsidR="00CC46D2" w:rsidRPr="00FE1B62" w:rsidRDefault="00CC46D2" w:rsidP="008D6B80">
      <w:pPr>
        <w:pStyle w:val="FootnoteText"/>
        <w:tabs>
          <w:tab w:val="left" w:pos="567"/>
          <w:tab w:val="left" w:pos="1134"/>
          <w:tab w:val="left" w:pos="1701"/>
        </w:tabs>
        <w:rPr>
          <w:sz w:val="24"/>
          <w:szCs w:val="24"/>
        </w:rPr>
      </w:pPr>
      <w:r w:rsidRPr="00FE1B62">
        <w:rPr>
          <w:rStyle w:val="FootnoteReference"/>
          <w:sz w:val="24"/>
          <w:szCs w:val="24"/>
        </w:rPr>
        <w:footnoteRef/>
      </w:r>
      <w:r w:rsidRPr="00FE1B62">
        <w:rPr>
          <w:sz w:val="24"/>
          <w:szCs w:val="24"/>
        </w:rPr>
        <w:t xml:space="preserve"> </w:t>
      </w:r>
      <w:r w:rsidRPr="00980822">
        <w:rPr>
          <w:i/>
          <w:iCs/>
          <w:sz w:val="24"/>
          <w:szCs w:val="24"/>
        </w:rPr>
        <w:t>R</w:t>
      </w:r>
      <w:r w:rsidRPr="00FE1B62">
        <w:rPr>
          <w:sz w:val="24"/>
          <w:szCs w:val="24"/>
        </w:rPr>
        <w:t xml:space="preserve">. </w:t>
      </w:r>
      <w:r w:rsidRPr="00980822">
        <w:rPr>
          <w:sz w:val="24"/>
          <w:szCs w:val="24"/>
        </w:rPr>
        <w:t>c</w:t>
      </w:r>
      <w:r w:rsidRPr="00FE1B62">
        <w:rPr>
          <w:i/>
          <w:iCs/>
          <w:sz w:val="24"/>
          <w:szCs w:val="24"/>
        </w:rPr>
        <w:t>.</w:t>
      </w:r>
      <w:r w:rsidRPr="00FE1B62">
        <w:rPr>
          <w:sz w:val="24"/>
          <w:szCs w:val="24"/>
        </w:rPr>
        <w:t xml:space="preserve"> </w:t>
      </w:r>
      <w:smartTag w:uri="urn:schemas-microsoft-com:office:smarttags" w:element="place">
        <w:smartTag w:uri="urn:schemas-microsoft-com:office:smarttags" w:element="City">
          <w:r w:rsidRPr="00980822">
            <w:rPr>
              <w:i/>
              <w:iCs/>
              <w:sz w:val="24"/>
              <w:szCs w:val="24"/>
            </w:rPr>
            <w:t>Salem</w:t>
          </w:r>
        </w:smartTag>
      </w:smartTag>
      <w:r w:rsidRPr="00FE1B62">
        <w:rPr>
          <w:sz w:val="24"/>
          <w:szCs w:val="24"/>
        </w:rPr>
        <w:t xml:space="preserve"> (1997) 96 A Crim R 421, 430 per Hidden J.</w:t>
      </w:r>
    </w:p>
  </w:footnote>
  <w:footnote w:id="27">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L’article 138 de la loi de 1995 sur les éléments de preuve (Commonwealth, Nouvelle-Galles du Sud, Tasmanie) dispose que les preuves </w:t>
      </w:r>
      <w:r>
        <w:rPr>
          <w:sz w:val="24"/>
          <w:szCs w:val="24"/>
          <w:lang w:val="fr-FR"/>
        </w:rPr>
        <w:t>«</w:t>
      </w:r>
      <w:r w:rsidRPr="00FE1B62">
        <w:rPr>
          <w:sz w:val="24"/>
          <w:szCs w:val="24"/>
          <w:lang w:val="fr-FR"/>
        </w:rPr>
        <w:t>obtenues illégalement … sont irrecevables, sauf s’il paraît plus sage d’admettre que de ne pas admettre les éléments de preuve obtenus comme ils l’ont été</w:t>
      </w:r>
      <w:r>
        <w:rPr>
          <w:sz w:val="24"/>
          <w:szCs w:val="24"/>
          <w:lang w:val="fr-FR"/>
        </w:rPr>
        <w:t xml:space="preserve">». </w:t>
      </w:r>
      <w:r w:rsidRPr="00FE1B62">
        <w:rPr>
          <w:sz w:val="24"/>
          <w:szCs w:val="24"/>
          <w:lang w:val="fr-FR"/>
        </w:rPr>
        <w:t>L’un des facteurs à considérer est de savoir si l’irrégularité ou l’infraction était contraire à l’un des droits énoncés dans le Pacte international relatif aux droits civils et politiques ou incompatible avec ce droit (art.138 3) f)).</w:t>
      </w:r>
    </w:p>
  </w:footnote>
  <w:footnote w:id="28">
    <w:p w:rsidR="00CC46D2" w:rsidRPr="00FE1B62" w:rsidRDefault="00CC46D2" w:rsidP="008D6B80">
      <w:pPr>
        <w:pStyle w:val="FootnoteText"/>
        <w:tabs>
          <w:tab w:val="left" w:pos="567"/>
          <w:tab w:val="left" w:pos="1134"/>
          <w:tab w:val="left" w:pos="1701"/>
        </w:tabs>
        <w:rPr>
          <w:sz w:val="24"/>
          <w:szCs w:val="24"/>
        </w:rPr>
      </w:pPr>
      <w:r w:rsidRPr="00FE1B62">
        <w:rPr>
          <w:rStyle w:val="FootnoteReference"/>
          <w:sz w:val="24"/>
          <w:szCs w:val="24"/>
        </w:rPr>
        <w:footnoteRef/>
      </w:r>
      <w:r w:rsidRPr="00FE1B62">
        <w:rPr>
          <w:sz w:val="24"/>
          <w:szCs w:val="24"/>
        </w:rPr>
        <w:t xml:space="preserve"> Voir </w:t>
      </w:r>
      <w:r w:rsidRPr="00FE1B62">
        <w:rPr>
          <w:i/>
          <w:iCs/>
          <w:sz w:val="24"/>
          <w:szCs w:val="24"/>
        </w:rPr>
        <w:t>Bunning c. Cross</w:t>
      </w:r>
      <w:r w:rsidRPr="00FE1B62">
        <w:rPr>
          <w:sz w:val="24"/>
          <w:szCs w:val="24"/>
        </w:rPr>
        <w:t xml:space="preserve"> (1978) 141 CLR 54 et </w:t>
      </w:r>
      <w:r w:rsidRPr="00FE1B62">
        <w:rPr>
          <w:i/>
          <w:iCs/>
          <w:sz w:val="24"/>
          <w:szCs w:val="24"/>
        </w:rPr>
        <w:t xml:space="preserve">Ridgeway c. R </w:t>
      </w:r>
      <w:r w:rsidRPr="00FE1B62">
        <w:rPr>
          <w:sz w:val="24"/>
          <w:szCs w:val="24"/>
        </w:rPr>
        <w:t>(1995) 84 CLR 19.</w:t>
      </w:r>
    </w:p>
  </w:footnote>
  <w:footnote w:id="29">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La loi de codification du droit pénal de 1935 et la loi de 1993 sur la protection des enfants ont été amendées par la loi de 1995 portant modification des lois sur la mutilation génitale féminine et la protection des enfants.</w:t>
      </w:r>
    </w:p>
  </w:footnote>
  <w:footnote w:id="30">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Voir l’article 33, 33A et 33B.</w:t>
      </w:r>
    </w:p>
  </w:footnote>
  <w:footnote w:id="31">
    <w:p w:rsidR="00CC46D2" w:rsidRPr="00FE1B62" w:rsidRDefault="00CC46D2" w:rsidP="003D0ACD">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Voir l</w:t>
      </w:r>
      <w:r>
        <w:rPr>
          <w:sz w:val="24"/>
          <w:szCs w:val="24"/>
          <w:lang w:val="fr-FR"/>
        </w:rPr>
        <w:t xml:space="preserve">es </w:t>
      </w:r>
      <w:r w:rsidRPr="00FE1B62">
        <w:rPr>
          <w:sz w:val="24"/>
          <w:szCs w:val="24"/>
          <w:lang w:val="fr-FR"/>
        </w:rPr>
        <w:t>article</w:t>
      </w:r>
      <w:r>
        <w:rPr>
          <w:sz w:val="24"/>
          <w:szCs w:val="24"/>
          <w:lang w:val="fr-FR"/>
        </w:rPr>
        <w:t>s</w:t>
      </w:r>
      <w:r w:rsidRPr="00FE1B62">
        <w:rPr>
          <w:sz w:val="24"/>
          <w:szCs w:val="24"/>
          <w:lang w:val="fr-FR"/>
        </w:rPr>
        <w:t xml:space="preserve"> 26A et 26B.</w:t>
      </w:r>
    </w:p>
  </w:footnote>
  <w:footnote w:id="32">
    <w:p w:rsidR="00CC46D2" w:rsidRPr="00FE1B62" w:rsidRDefault="00CC46D2" w:rsidP="008D6B80">
      <w:pPr>
        <w:pStyle w:val="FootnoteText"/>
        <w:tabs>
          <w:tab w:val="left" w:pos="567"/>
          <w:tab w:val="left" w:pos="1134"/>
          <w:tab w:val="left" w:pos="1701"/>
        </w:tabs>
        <w:rPr>
          <w:sz w:val="24"/>
          <w:szCs w:val="24"/>
          <w:lang w:val="fr-FR"/>
        </w:rPr>
      </w:pPr>
      <w:r w:rsidRPr="00FE1B62">
        <w:rPr>
          <w:rStyle w:val="FootnoteReference"/>
          <w:sz w:val="24"/>
          <w:szCs w:val="24"/>
        </w:rPr>
        <w:footnoteRef/>
      </w:r>
      <w:r w:rsidRPr="00FE1B62">
        <w:rPr>
          <w:sz w:val="24"/>
          <w:szCs w:val="24"/>
          <w:lang w:val="fr-FR"/>
        </w:rPr>
        <w:t xml:space="preserve"> Par exemple, il peut rendre une ordonnance interdisant à toute personne d’emmener l’enfant hors de l’État ou ordonner qu’elle soit soumise à un examen périodique pour veiller à ce qu’elle ne soit pas victime d’une mutilation génitale.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341C63" w:rsidRDefault="00CC46D2" w:rsidP="00341C63">
    <w:pPr>
      <w:pStyle w:val="Header"/>
      <w:rPr>
        <w:lang w:val="fr-CH"/>
      </w:rPr>
    </w:pPr>
    <w:r w:rsidRPr="003100DB">
      <w:rPr>
        <w:lang w:val="fr-FR"/>
      </w:rPr>
      <w:t>CAT/C/AUS/Q/4/Add.1</w:t>
    </w:r>
    <w:r w:rsidRPr="003100DB">
      <w:rPr>
        <w:lang w:val="fr-FR"/>
      </w:rPr>
      <w:br/>
      <w:t>page</w:t>
    </w:r>
    <w:r>
      <w:rPr>
        <w:lang w:val="fr-FR"/>
      </w:rPr>
      <w:t xml:space="preserve"> </w:t>
    </w:r>
    <w:r>
      <w:rPr>
        <w:rStyle w:val="PageNumber"/>
      </w:rPr>
      <w:fldChar w:fldCharType="begin"/>
    </w:r>
    <w:r w:rsidRPr="003549AB">
      <w:rPr>
        <w:rStyle w:val="PageNumber"/>
        <w:lang w:val="fr-FR"/>
      </w:rPr>
      <w:instrText xml:space="preserve"> PAGE </w:instrText>
    </w:r>
    <w:r>
      <w:rPr>
        <w:rStyle w:val="PageNumber"/>
      </w:rPr>
      <w:fldChar w:fldCharType="separate"/>
    </w:r>
    <w:r w:rsidR="00AF7E51">
      <w:rPr>
        <w:rStyle w:val="PageNumber"/>
        <w:noProof/>
        <w:lang w:val="fr-FR"/>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3549AB" w:rsidRDefault="00CC46D2" w:rsidP="00906F56">
    <w:pPr>
      <w:pStyle w:val="Header"/>
      <w:tabs>
        <w:tab w:val="clear" w:pos="4536"/>
      </w:tabs>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CC46D2">
      <w:rPr>
        <w:rStyle w:val="PageNumber"/>
        <w:lang w:val="fr-FR"/>
      </w:rPr>
      <w:instrText xml:space="preserve"> PAGE </w:instrText>
    </w:r>
    <w:r>
      <w:rPr>
        <w:rStyle w:val="PageNumber"/>
      </w:rPr>
      <w:fldChar w:fldCharType="separate"/>
    </w:r>
    <w:r w:rsidR="00AF7E51">
      <w:rPr>
        <w:rStyle w:val="PageNumber"/>
        <w:noProof/>
        <w:lang w:val="fr-FR"/>
      </w:rPr>
      <w:t>154</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08" w:rsidRPr="00CC46D2" w:rsidRDefault="00466E08" w:rsidP="00466E08">
    <w:pPr>
      <w:pStyle w:val="Header"/>
      <w:rPr>
        <w:lang w:val="fr-FR"/>
      </w:rPr>
    </w:pPr>
    <w:r>
      <w:rPr>
        <w:noProof/>
        <w:lang w:val="fr-FR" w:eastAsia="fr-FR"/>
      </w:rPr>
      <w:pict>
        <v:shapetype id="_x0000_t202" coordsize="21600,21600" o:spt="202" path="m,l,21600r21600,l21600,xe">
          <v:stroke joinstyle="miter"/>
          <v:path gradientshapeok="t" o:connecttype="rect"/>
        </v:shapetype>
        <v:shape id="_x0000_s2138" type="#_x0000_t202" style="position:absolute;margin-left:684pt;margin-top:-2.5pt;width:42.9pt;height:141.9pt;z-index:16" stroked="f">
          <v:textbox style="layout-flow:vertical;mso-next-textbox:#_x0000_s2138">
            <w:txbxContent>
              <w:p w:rsidR="00466E08" w:rsidRPr="00CC46D2" w:rsidRDefault="00466E08" w:rsidP="00466E08">
                <w:pPr>
                  <w:pStyle w:val="Header"/>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466E08">
                  <w:rPr>
                    <w:rStyle w:val="PageNumber"/>
                    <w:lang w:val="fr-FR"/>
                  </w:rPr>
                  <w:instrText xml:space="preserve"> PAGE </w:instrText>
                </w:r>
                <w:r>
                  <w:rPr>
                    <w:rStyle w:val="PageNumber"/>
                  </w:rPr>
                  <w:fldChar w:fldCharType="separate"/>
                </w:r>
                <w:r w:rsidR="00004BE2">
                  <w:rPr>
                    <w:rStyle w:val="PageNumber"/>
                    <w:noProof/>
                    <w:lang w:val="fr-FR"/>
                  </w:rPr>
                  <w:t>158</w:t>
                </w:r>
                <w:r>
                  <w:rPr>
                    <w:rStyle w:val="PageNumber"/>
                  </w:rPr>
                  <w:fldChar w:fldCharType="end"/>
                </w:r>
              </w:p>
              <w:p w:rsidR="00466E08" w:rsidRPr="00466E08" w:rsidRDefault="00466E08">
                <w:pPr>
                  <w:rPr>
                    <w:lang w:val="fr-FR"/>
                  </w:rPr>
                </w:pP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8" w:rsidRPr="00986EE8" w:rsidRDefault="00986EE8" w:rsidP="00986EE8">
    <w:pPr>
      <w:pStyle w:val="Header"/>
      <w:tabs>
        <w:tab w:val="clear" w:pos="4536"/>
        <w:tab w:val="left" w:pos="6480"/>
      </w:tabs>
      <w:spacing w:after="0"/>
      <w:rPr>
        <w:lang w:val="fr-CH"/>
      </w:rPr>
    </w:pPr>
    <w:r>
      <w:rPr>
        <w:lang w:val="fr-CH"/>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C46D2" w:rsidRDefault="00044608" w:rsidP="00CC46D2">
    <w:pPr>
      <w:pStyle w:val="Header"/>
    </w:pPr>
    <w:r>
      <w:rPr>
        <w:noProof/>
        <w:lang w:val="en-US" w:eastAsia="zh-CN"/>
      </w:rPr>
      <w:pict>
        <v:shapetype id="_x0000_t202" coordsize="21600,21600" o:spt="202" path="m,l,21600r21600,l21600,xe">
          <v:stroke joinstyle="miter"/>
          <v:path gradientshapeok="t" o:connecttype="rect"/>
        </v:shapetype>
        <v:shape id="_x0000_s2144" type="#_x0000_t202" style="position:absolute;margin-left:702pt;margin-top:78.5pt;width:42.9pt;height:141.9pt;z-index:18" stroked="f">
          <v:textbox style="layout-flow:vertical;mso-next-textbox:#_x0000_s2144">
            <w:txbxContent>
              <w:p w:rsidR="00041B3A" w:rsidRPr="00CC46D2" w:rsidRDefault="00041B3A" w:rsidP="00041B3A">
                <w:pPr>
                  <w:pStyle w:val="Header"/>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466E08">
                  <w:rPr>
                    <w:rStyle w:val="PageNumber"/>
                    <w:lang w:val="fr-FR"/>
                  </w:rPr>
                  <w:instrText xml:space="preserve"> PAGE </w:instrText>
                </w:r>
                <w:r>
                  <w:rPr>
                    <w:rStyle w:val="PageNumber"/>
                  </w:rPr>
                  <w:fldChar w:fldCharType="separate"/>
                </w:r>
                <w:r w:rsidR="00AF7E51">
                  <w:rPr>
                    <w:rStyle w:val="PageNumber"/>
                    <w:noProof/>
                    <w:lang w:val="fr-FR"/>
                  </w:rPr>
                  <w:t>158</w:t>
                </w:r>
                <w:r>
                  <w:rPr>
                    <w:rStyle w:val="PageNumber"/>
                  </w:rPr>
                  <w:fldChar w:fldCharType="end"/>
                </w:r>
              </w:p>
              <w:p w:rsidR="00041B3A" w:rsidRPr="00466E08" w:rsidRDefault="00041B3A" w:rsidP="00041B3A">
                <w:pPr>
                  <w:rPr>
                    <w:lang w:val="fr-FR"/>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08" w:rsidRPr="00CC46D2" w:rsidRDefault="00466E08" w:rsidP="00466E08">
    <w:pPr>
      <w:pStyle w:val="Header"/>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466E08">
      <w:rPr>
        <w:rStyle w:val="PageNumber"/>
        <w:lang w:val="fr-FR"/>
      </w:rPr>
      <w:instrText xml:space="preserve"> PAGE </w:instrText>
    </w:r>
    <w:r>
      <w:rPr>
        <w:rStyle w:val="PageNumber"/>
      </w:rPr>
      <w:fldChar w:fldCharType="separate"/>
    </w:r>
    <w:r w:rsidR="00AF7E51">
      <w:rPr>
        <w:rStyle w:val="PageNumber"/>
        <w:noProof/>
        <w:lang w:val="fr-FR"/>
      </w:rPr>
      <w:t>216</w:t>
    </w:r>
    <w:r>
      <w:rPr>
        <w:rStyle w:val="PageNumber"/>
      </w:rPr>
      <w:fldChar w:fldCharType="end"/>
    </w:r>
    <w:r>
      <w:rPr>
        <w:noProof/>
        <w:lang w:val="fr-FR" w:eastAsia="fr-FR"/>
      </w:rPr>
      <w:pict>
        <v:shapetype id="_x0000_t202" coordsize="21600,21600" o:spt="202" path="m,l,21600r21600,l21600,xe">
          <v:stroke joinstyle="miter"/>
          <v:path gradientshapeok="t" o:connecttype="rect"/>
        </v:shapetype>
        <v:shape id="_x0000_s2139" type="#_x0000_t202" style="position:absolute;margin-left:684pt;margin-top:-2.5pt;width:42.9pt;height:141.9pt;z-index:17;mso-position-horizontal-relative:text;mso-position-vertical-relative:text" stroked="f">
          <v:textbox style="layout-flow:vertical;mso-next-textbox:#_x0000_s2139">
            <w:txbxContent>
              <w:p w:rsidR="00466E08" w:rsidRPr="00CC46D2" w:rsidRDefault="00466E08" w:rsidP="00466E08">
                <w:pPr>
                  <w:pStyle w:val="Header"/>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466E08">
                  <w:rPr>
                    <w:rStyle w:val="PageNumber"/>
                    <w:lang w:val="fr-FR"/>
                  </w:rPr>
                  <w:instrText xml:space="preserve"> PAGE </w:instrText>
                </w:r>
                <w:r>
                  <w:rPr>
                    <w:rStyle w:val="PageNumber"/>
                  </w:rPr>
                  <w:fldChar w:fldCharType="separate"/>
                </w:r>
                <w:r w:rsidR="00AF7E51">
                  <w:rPr>
                    <w:rStyle w:val="PageNumber"/>
                    <w:noProof/>
                    <w:lang w:val="fr-FR"/>
                  </w:rPr>
                  <w:t>216</w:t>
                </w:r>
                <w:r>
                  <w:rPr>
                    <w:rStyle w:val="PageNumber"/>
                  </w:rPr>
                  <w:fldChar w:fldCharType="end"/>
                </w:r>
              </w:p>
              <w:p w:rsidR="00466E08" w:rsidRPr="00466E08" w:rsidRDefault="00466E08">
                <w:pPr>
                  <w:rPr>
                    <w:lang w:val="fr-FR"/>
                  </w:rPr>
                </w:pP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8" w:rsidRDefault="00986EE8" w:rsidP="00986EE8">
    <w:pPr>
      <w:pStyle w:val="Header"/>
      <w:tabs>
        <w:tab w:val="clear" w:pos="4536"/>
        <w:tab w:val="left" w:pos="6480"/>
      </w:tabs>
      <w:spacing w:after="0"/>
      <w:rPr>
        <w:lang w:val="fr-CH"/>
      </w:rPr>
    </w:pPr>
    <w:r>
      <w:rPr>
        <w:lang w:val="fr-CH"/>
      </w:rPr>
      <w:tab/>
    </w:r>
    <w:r w:rsidRPr="007E1F36">
      <w:rPr>
        <w:lang w:val="fr-FR"/>
      </w:rPr>
      <w:t>CAT/C/AUS/Q/4/Add.1</w:t>
    </w:r>
  </w:p>
  <w:p w:rsidR="00986EE8" w:rsidRPr="00986EE8" w:rsidRDefault="00986EE8" w:rsidP="00906F56">
    <w:pPr>
      <w:pStyle w:val="Header"/>
      <w:tabs>
        <w:tab w:val="clear" w:pos="4536"/>
        <w:tab w:val="left" w:pos="6480"/>
      </w:tabs>
      <w:spacing w:after="0"/>
      <w:rPr>
        <w:lang w:val="fr-CH"/>
      </w:rPr>
    </w:pPr>
    <w:r>
      <w:rPr>
        <w:lang w:val="fr-CH"/>
      </w:rPr>
      <w:tab/>
    </w:r>
    <w:r w:rsidR="00906F56">
      <w:rPr>
        <w:lang w:val="fr-CH"/>
      </w:rPr>
      <w:t>p</w:t>
    </w:r>
    <w:r>
      <w:rPr>
        <w:lang w:val="fr-CH"/>
      </w:rPr>
      <w:t xml:space="preserve">age </w:t>
    </w:r>
    <w:r>
      <w:rPr>
        <w:rStyle w:val="PageNumber"/>
      </w:rPr>
      <w:fldChar w:fldCharType="begin"/>
    </w:r>
    <w:r>
      <w:rPr>
        <w:rStyle w:val="PageNumber"/>
      </w:rPr>
      <w:instrText xml:space="preserve"> PAGE </w:instrText>
    </w:r>
    <w:r>
      <w:rPr>
        <w:rStyle w:val="PageNumber"/>
      </w:rPr>
      <w:fldChar w:fldCharType="separate"/>
    </w:r>
    <w:r w:rsidR="00AF7E51">
      <w:rPr>
        <w:rStyle w:val="PageNumber"/>
        <w:noProof/>
      </w:rPr>
      <w:t>217</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C46D2" w:rsidRDefault="00CC46D2" w:rsidP="00986EE8">
    <w:pPr>
      <w:pStyle w:val="Header"/>
      <w:tabs>
        <w:tab w:val="clear" w:pos="4536"/>
        <w:tab w:val="left" w:pos="6480"/>
      </w:tabs>
      <w:rPr>
        <w:lang w:val="fr-FR"/>
      </w:rPr>
    </w:pPr>
    <w:r w:rsidRPr="007E1F36">
      <w:rPr>
        <w:lang w:val="fr-FR"/>
      </w:rPr>
      <w:t>CAT/C/AUS/Q/4/Add.1</w:t>
    </w:r>
    <w:r w:rsidRPr="007E1F36">
      <w:rPr>
        <w:lang w:val="fr-FR"/>
      </w:rPr>
      <w:br/>
      <w:t>page</w:t>
    </w:r>
    <w:r>
      <w:rPr>
        <w:rStyle w:val="PageNumber"/>
      </w:rPr>
      <w:fldChar w:fldCharType="begin"/>
    </w:r>
    <w:r w:rsidRPr="00CC46D2">
      <w:rPr>
        <w:rStyle w:val="PageNumber"/>
        <w:lang w:val="fr-FR"/>
      </w:rPr>
      <w:instrText xml:space="preserve"> PAGE </w:instrText>
    </w:r>
    <w:r>
      <w:rPr>
        <w:rStyle w:val="PageNumber"/>
      </w:rPr>
      <w:fldChar w:fldCharType="separate"/>
    </w:r>
    <w:r w:rsidR="00AF7E51">
      <w:rPr>
        <w:rStyle w:val="PageNumber"/>
        <w:noProof/>
        <w:lang w:val="fr-FR"/>
      </w:rPr>
      <w:t>160</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3549AB" w:rsidRDefault="0039239A" w:rsidP="002A6CEC">
    <w:pPr>
      <w:pStyle w:val="Header"/>
      <w:tabs>
        <w:tab w:val="left" w:pos="6840"/>
      </w:tabs>
      <w:rPr>
        <w:lang w:val="fr-FR"/>
      </w:rPr>
    </w:pPr>
    <w:r>
      <w:rPr>
        <w:noProof/>
        <w:lang w:val="fr-FR" w:eastAsia="fr-FR"/>
      </w:rPr>
      <w:pict>
        <v:shapetype id="_x0000_t202" coordsize="21600,21600" o:spt="202" path="m,l,21600r21600,l21600,xe">
          <v:stroke joinstyle="miter"/>
          <v:path gradientshapeok="t" o:connecttype="rect"/>
        </v:shapetype>
        <v:shape id="_x0000_s2146" type="#_x0000_t202" style="position:absolute;margin-left:657pt;margin-top:42.5pt;width:45pt;height:135pt;z-index:20" stroked="f">
          <v:textbox style="layout-flow:vertical;mso-next-textbox:#_x0000_s2146" inset=",0,,0">
            <w:txbxContent>
              <w:p w:rsidR="0039239A" w:rsidRPr="00F81A5E" w:rsidRDefault="0039239A">
                <w:pPr>
                  <w:rPr>
                    <w:sz w:val="22"/>
                    <w:szCs w:val="22"/>
                    <w:lang w:val="fr-CH"/>
                  </w:rPr>
                </w:pPr>
                <w:r w:rsidRPr="00F81A5E">
                  <w:rPr>
                    <w:sz w:val="22"/>
                    <w:szCs w:val="22"/>
                    <w:lang w:val="fr-CH"/>
                  </w:rPr>
                  <w:t>CAT/C/AUS/Q/4/Add.1</w:t>
                </w:r>
                <w:r w:rsidRPr="00F81A5E">
                  <w:rPr>
                    <w:sz w:val="22"/>
                    <w:szCs w:val="22"/>
                    <w:lang w:val="fr-CH"/>
                  </w:rPr>
                  <w:br/>
                  <w:t xml:space="preserve">page </w:t>
                </w:r>
                <w:r w:rsidRPr="0039239A">
                  <w:rPr>
                    <w:rStyle w:val="PageNumber"/>
                    <w:sz w:val="22"/>
                    <w:szCs w:val="22"/>
                  </w:rPr>
                  <w:fldChar w:fldCharType="begin"/>
                </w:r>
                <w:r w:rsidRPr="00F81A5E">
                  <w:rPr>
                    <w:rStyle w:val="PageNumber"/>
                    <w:sz w:val="22"/>
                    <w:szCs w:val="22"/>
                    <w:lang w:val="fr-CH"/>
                  </w:rPr>
                  <w:instrText xml:space="preserve"> PAGE </w:instrText>
                </w:r>
                <w:r w:rsidRPr="0039239A">
                  <w:rPr>
                    <w:rStyle w:val="PageNumber"/>
                    <w:sz w:val="22"/>
                    <w:szCs w:val="22"/>
                  </w:rPr>
                  <w:fldChar w:fldCharType="separate"/>
                </w:r>
                <w:r w:rsidR="00AF7E51">
                  <w:rPr>
                    <w:rStyle w:val="PageNumber"/>
                    <w:noProof/>
                    <w:sz w:val="22"/>
                    <w:szCs w:val="22"/>
                    <w:lang w:val="fr-CH"/>
                  </w:rPr>
                  <w:t>184</w:t>
                </w:r>
                <w:r w:rsidRPr="0039239A">
                  <w:rPr>
                    <w:rStyle w:val="PageNumber"/>
                    <w:sz w:val="22"/>
                    <w:szCs w:val="22"/>
                  </w:rPr>
                  <w:fldChar w:fldCharType="end"/>
                </w:r>
              </w:p>
            </w:txbxContent>
          </v:textbox>
        </v:shape>
      </w:pict>
    </w:r>
    <w:r>
      <w:rPr>
        <w:noProof/>
        <w:lang w:val="fr-FR" w:eastAsia="fr-FR"/>
      </w:rPr>
      <w:pict>
        <v:rect id="_x0000_s2145" style="position:absolute;margin-left:9in;margin-top:78.5pt;width:54pt;height:2in;z-index:19" stroked="f"/>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7E7868" w:rsidRDefault="00D83B75" w:rsidP="00D83B75">
    <w:pPr>
      <w:pStyle w:val="Header"/>
      <w:tabs>
        <w:tab w:val="left" w:pos="6840"/>
      </w:tabs>
      <w:ind w:left="6840"/>
      <w:rPr>
        <w:lang w:val="fr-FR"/>
      </w:rPr>
    </w:pPr>
    <w:r>
      <w:rPr>
        <w:lang w:val="fr-FR"/>
      </w:rPr>
      <w:tab/>
    </w:r>
    <w:r w:rsidR="007E7868" w:rsidRPr="007E1F36">
      <w:rPr>
        <w:lang w:val="fr-FR"/>
      </w:rPr>
      <w:t>CAT/C/AUS/Q/4/Add.1</w:t>
    </w:r>
    <w:r w:rsidR="007E7868" w:rsidRPr="007E1F36">
      <w:rPr>
        <w:lang w:val="fr-FR"/>
      </w:rPr>
      <w:br/>
      <w:t>page</w:t>
    </w:r>
    <w:r w:rsidR="007E7868">
      <w:rPr>
        <w:lang w:val="fr-FR"/>
      </w:rPr>
      <w:t xml:space="preserve"> </w:t>
    </w:r>
    <w:r w:rsidR="007E7868">
      <w:rPr>
        <w:rStyle w:val="PageNumber"/>
      </w:rPr>
      <w:fldChar w:fldCharType="begin"/>
    </w:r>
    <w:r w:rsidR="007E7868" w:rsidRPr="007E7868">
      <w:rPr>
        <w:rStyle w:val="PageNumber"/>
        <w:lang w:val="fr-FR"/>
      </w:rPr>
      <w:instrText xml:space="preserve"> PAGE </w:instrText>
    </w:r>
    <w:r w:rsidR="007E7868">
      <w:rPr>
        <w:rStyle w:val="PageNumber"/>
      </w:rPr>
      <w:fldChar w:fldCharType="separate"/>
    </w:r>
    <w:r w:rsidR="00AF7E51">
      <w:rPr>
        <w:rStyle w:val="PageNumber"/>
        <w:noProof/>
        <w:lang w:val="fr-FR"/>
      </w:rPr>
      <w:t>185</w:t>
    </w:r>
    <w:r w:rsidR="007E7868">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7E1F36" w:rsidRDefault="00CC46D2" w:rsidP="007E1F36">
    <w:pPr>
      <w:pStyle w:val="Header"/>
    </w:pPr>
    <w:r>
      <w:rPr>
        <w:noProof/>
        <w:lang w:val="fr-FR" w:eastAsia="fr-FR"/>
      </w:rPr>
      <w:pict>
        <v:rect id="_x0000_s2111" style="position:absolute;margin-left:684pt;margin-top:42.5pt;width:54pt;height:135.15pt;z-index:12" stroked="f">
          <v:textbox style="layout-flow:vertical;mso-next-textbox:#_x0000_s2111">
            <w:txbxContent>
              <w:p w:rsidR="00CC46D2" w:rsidRPr="007E1F36" w:rsidRDefault="00CC46D2">
                <w:pPr>
                  <w:rPr>
                    <w:lang w:val="fr-FR"/>
                  </w:rPr>
                </w:pPr>
                <w:r w:rsidRPr="003100DB">
                  <w:rPr>
                    <w:lang w:val="fr-FR"/>
                  </w:rPr>
                  <w:t>CAT/C/AUS/Q/4/Add.1</w:t>
                </w:r>
                <w:r w:rsidRPr="003100DB">
                  <w:rPr>
                    <w:lang w:val="fr-FR"/>
                  </w:rPr>
                  <w:br/>
                  <w:t>page</w:t>
                </w:r>
                <w:r>
                  <w:rPr>
                    <w:lang w:val="fr-FR"/>
                  </w:rPr>
                  <w:t xml:space="preserve"> </w:t>
                </w:r>
                <w:r>
                  <w:rPr>
                    <w:rStyle w:val="PageNumber"/>
                  </w:rPr>
                  <w:fldChar w:fldCharType="begin"/>
                </w:r>
                <w:r w:rsidRPr="003549AB">
                  <w:rPr>
                    <w:rStyle w:val="PageNumber"/>
                    <w:lang w:val="fr-FR"/>
                  </w:rPr>
                  <w:instrText xml:space="preserve"> PAGE </w:instrText>
                </w:r>
                <w:r>
                  <w:rPr>
                    <w:rStyle w:val="PageNumber"/>
                  </w:rPr>
                  <w:fldChar w:fldCharType="separate"/>
                </w:r>
                <w:r w:rsidR="00A8628C">
                  <w:rPr>
                    <w:rStyle w:val="PageNumber"/>
                    <w:noProof/>
                    <w:lang w:val="fr-FR"/>
                  </w:rPr>
                  <w:t>224</w:t>
                </w:r>
                <w:r>
                  <w:rPr>
                    <w:rStyle w:val="PageNumber"/>
                  </w:rPr>
                  <w:fldChar w:fldCharType="end"/>
                </w: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5B21C3" w:rsidRDefault="00CC46D2" w:rsidP="00CB09AD">
    <w:pPr>
      <w:pStyle w:val="Header"/>
      <w:tabs>
        <w:tab w:val="left" w:pos="6840"/>
      </w:tabs>
      <w:rPr>
        <w:lang w:val="fr-FR"/>
      </w:rPr>
    </w:pPr>
    <w:r>
      <w:rPr>
        <w:noProof/>
        <w:lang w:val="fr-FR" w:eastAsia="fr-FR"/>
      </w:rPr>
      <w:pict>
        <v:shapetype id="_x0000_t202" coordsize="21600,21600" o:spt="202" path="m,l,21600r21600,l21600,xe">
          <v:stroke joinstyle="miter"/>
          <v:path gradientshapeok="t" o:connecttype="rect"/>
        </v:shapetype>
        <v:shape id="_x0000_s2059" type="#_x0000_t202" style="position:absolute;margin-left:684pt;margin-top:60.5pt;width:45pt;height:126pt;z-index:5" stroked="f">
          <v:textbox style="layout-flow:vertical;mso-next-textbox:#_x0000_s2059">
            <w:txbxContent>
              <w:p w:rsidR="00CC46D2" w:rsidRPr="00115A68" w:rsidRDefault="00CC46D2" w:rsidP="00C44B6D">
                <w:pPr>
                  <w:rPr>
                    <w:lang w:val="fr-FR"/>
                  </w:rPr>
                </w:pPr>
                <w:r w:rsidRPr="00115A68">
                  <w:rPr>
                    <w:lang w:val="fr-FR"/>
                  </w:rPr>
                  <w:t>CAT/C/AUS/Q/4/Add.1</w:t>
                </w:r>
                <w:r w:rsidRPr="00115A68">
                  <w:rPr>
                    <w:lang w:val="fr-FR"/>
                  </w:rPr>
                  <w:br/>
                  <w:t xml:space="preserve">page </w:t>
                </w:r>
                <w:r>
                  <w:rPr>
                    <w:rStyle w:val="PageNumber"/>
                  </w:rPr>
                  <w:fldChar w:fldCharType="begin"/>
                </w:r>
                <w:r w:rsidRPr="00115A68">
                  <w:rPr>
                    <w:rStyle w:val="PageNumber"/>
                    <w:lang w:val="fr-FR"/>
                  </w:rPr>
                  <w:instrText xml:space="preserve"> PAGE </w:instrText>
                </w:r>
                <w:r>
                  <w:rPr>
                    <w:rStyle w:val="PageNumber"/>
                  </w:rPr>
                  <w:fldChar w:fldCharType="separate"/>
                </w:r>
                <w:r w:rsidR="00AF7E51">
                  <w:rPr>
                    <w:rStyle w:val="PageNumber"/>
                    <w:noProof/>
                    <w:lang w:val="fr-FR"/>
                  </w:rPr>
                  <w:t>3</w:t>
                </w:r>
                <w:r>
                  <w:rPr>
                    <w:rStyle w:val="PageNumber"/>
                  </w:rPr>
                  <w:fldChar w:fldCharType="end"/>
                </w:r>
                <w:r w:rsidRPr="00115A68">
                  <w:rPr>
                    <w:lang w:val="fr-FR"/>
                  </w:rPr>
                  <w:t xml:space="preserve"> </w:t>
                </w:r>
              </w:p>
            </w:txbxContent>
          </v:textbox>
        </v:shape>
      </w:pict>
    </w:r>
    <w:r w:rsidRPr="005B21C3">
      <w:rPr>
        <w:lang w:val="fr-FR"/>
      </w:rPr>
      <w:tab/>
    </w:r>
    <w:r w:rsidRPr="005B21C3">
      <w:rPr>
        <w:lang w:val="fr-FR"/>
      </w:rPr>
      <w:tab/>
      <w:t>CAT/C/AUS/Q/4/Add.1</w:t>
    </w:r>
    <w:r w:rsidRPr="005B21C3">
      <w:rPr>
        <w:lang w:val="fr-FR"/>
      </w:rPr>
      <w:br/>
    </w:r>
    <w:r w:rsidRPr="005B21C3">
      <w:rPr>
        <w:lang w:val="fr-FR"/>
      </w:rPr>
      <w:tab/>
    </w:r>
    <w:r w:rsidRPr="005B21C3">
      <w:rPr>
        <w:lang w:val="fr-FR"/>
      </w:rPr>
      <w:tab/>
      <w:t xml:space="preserve">page </w:t>
    </w:r>
    <w:r>
      <w:rPr>
        <w:rStyle w:val="PageNumber"/>
      </w:rPr>
      <w:fldChar w:fldCharType="begin"/>
    </w:r>
    <w:r>
      <w:rPr>
        <w:rStyle w:val="PageNumber"/>
      </w:rPr>
      <w:instrText xml:space="preserve"> PAGE </w:instrText>
    </w:r>
    <w:r>
      <w:rPr>
        <w:rStyle w:val="PageNumber"/>
      </w:rPr>
      <w:fldChar w:fldCharType="separate"/>
    </w:r>
    <w:r w:rsidR="00AF7E51">
      <w:rPr>
        <w:rStyle w:val="PageNumber"/>
        <w:noProof/>
      </w:rPr>
      <w:t>3</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A5296" w:rsidRDefault="00CC46D2" w:rsidP="00FA529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178A5" w:rsidRDefault="00CC46D2" w:rsidP="00F178A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A5296" w:rsidRDefault="00FA5296" w:rsidP="00FA5296">
    <w:pPr>
      <w:pStyle w:val="Header"/>
      <w:rPr>
        <w:lang w:val="fr-FR"/>
      </w:rPr>
    </w:pPr>
    <w:r w:rsidRPr="00F178A5">
      <w:rPr>
        <w:lang w:val="fr-FR"/>
      </w:rPr>
      <w:t>CAT/C/AUS/Q/4/Add.1</w:t>
    </w:r>
    <w:r>
      <w:rPr>
        <w:lang w:val="fr-FR"/>
      </w:rPr>
      <w:br/>
      <w:t xml:space="preserve">page </w:t>
    </w:r>
    <w:r>
      <w:rPr>
        <w:rStyle w:val="PageNumber"/>
      </w:rPr>
      <w:fldChar w:fldCharType="begin"/>
    </w:r>
    <w:r w:rsidRPr="00FA5296">
      <w:rPr>
        <w:rStyle w:val="PageNumber"/>
        <w:lang w:val="fr-FR"/>
      </w:rPr>
      <w:instrText xml:space="preserve"> PAGE </w:instrText>
    </w:r>
    <w:r>
      <w:rPr>
        <w:rStyle w:val="PageNumber"/>
      </w:rPr>
      <w:fldChar w:fldCharType="separate"/>
    </w:r>
    <w:r w:rsidR="00A8628C">
      <w:rPr>
        <w:rStyle w:val="PageNumber"/>
        <w:noProof/>
        <w:lang w:val="fr-FR"/>
      </w:rPr>
      <w:t>240</w:t>
    </w:r>
    <w:r>
      <w:rPr>
        <w:rStyle w:val="PageNumber"/>
      </w:rPr>
      <w:fldChar w:fldCharType="end"/>
    </w:r>
    <w:r w:rsidR="00CC46D2">
      <w:rPr>
        <w:noProof/>
        <w:lang w:val="fr-FR" w:eastAsia="fr-FR"/>
      </w:rPr>
      <w:pict>
        <v:rect id="_x0000_s2113" style="position:absolute;margin-left:684pt;margin-top:-2.5pt;width:40.35pt;height:135.15pt;z-index:13;mso-position-horizontal-relative:text;mso-position-vertical-relative:text" stroked="f">
          <v:textbox style="layout-flow:vertical">
            <w:txbxContent>
              <w:p w:rsidR="00CC46D2" w:rsidRPr="007E1F36" w:rsidRDefault="00CC46D2">
                <w:pPr>
                  <w:rPr>
                    <w:lang w:val="fr-FR"/>
                  </w:rPr>
                </w:pPr>
                <w:r w:rsidRPr="003100DB">
                  <w:rPr>
                    <w:lang w:val="fr-FR"/>
                  </w:rPr>
                  <w:t>CAT/C/AUS/Q/4/Add.1</w:t>
                </w:r>
                <w:r w:rsidRPr="003100DB">
                  <w:rPr>
                    <w:lang w:val="fr-FR"/>
                  </w:rPr>
                  <w:br/>
                  <w:t>page</w:t>
                </w:r>
                <w:r>
                  <w:rPr>
                    <w:lang w:val="fr-FR"/>
                  </w:rPr>
                  <w:t xml:space="preserve"> </w:t>
                </w:r>
                <w:r>
                  <w:rPr>
                    <w:rStyle w:val="PageNumber"/>
                  </w:rPr>
                  <w:fldChar w:fldCharType="begin"/>
                </w:r>
                <w:r w:rsidRPr="003549AB">
                  <w:rPr>
                    <w:rStyle w:val="PageNumber"/>
                    <w:lang w:val="fr-FR"/>
                  </w:rPr>
                  <w:instrText xml:space="preserve"> PAGE </w:instrText>
                </w:r>
                <w:r>
                  <w:rPr>
                    <w:rStyle w:val="PageNumber"/>
                  </w:rPr>
                  <w:fldChar w:fldCharType="separate"/>
                </w:r>
                <w:r w:rsidR="00A8628C">
                  <w:rPr>
                    <w:rStyle w:val="PageNumber"/>
                    <w:noProof/>
                    <w:lang w:val="fr-FR"/>
                  </w:rPr>
                  <w:t>240</w:t>
                </w:r>
                <w:r>
                  <w:rPr>
                    <w:rStyle w:val="PageNumber"/>
                  </w:rPr>
                  <w:fldChar w:fldCharType="end"/>
                </w:r>
              </w:p>
            </w:txbxContent>
          </v:textbox>
        </v:rect>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96" w:rsidRPr="00FA5296" w:rsidRDefault="00FA5296" w:rsidP="00FA5296">
    <w:pPr>
      <w:pStyle w:val="Header"/>
      <w:tabs>
        <w:tab w:val="clear" w:pos="4536"/>
        <w:tab w:val="left" w:pos="6840"/>
      </w:tabs>
      <w:rPr>
        <w:lang w:val="fr-FR"/>
      </w:rPr>
    </w:pPr>
    <w:r>
      <w:rPr>
        <w:lang w:val="fr-CH"/>
      </w:rPr>
      <w:tab/>
    </w:r>
    <w:r w:rsidRPr="00FA5296">
      <w:rPr>
        <w:lang w:val="fr-FR"/>
      </w:rPr>
      <w:t>CAT/C/AUS/Q/4/Add.1</w:t>
    </w:r>
    <w:r w:rsidRPr="00FA5296">
      <w:rPr>
        <w:lang w:val="fr-FR"/>
      </w:rPr>
      <w:br/>
    </w:r>
    <w:r w:rsidRPr="00FA5296">
      <w:rPr>
        <w:lang w:val="fr-FR"/>
      </w:rPr>
      <w:tab/>
      <w:t xml:space="preserve">page </w:t>
    </w:r>
    <w:r>
      <w:rPr>
        <w:rStyle w:val="PageNumber"/>
      </w:rPr>
      <w:fldChar w:fldCharType="begin"/>
    </w:r>
    <w:r w:rsidRPr="00FA5296">
      <w:rPr>
        <w:rStyle w:val="PageNumber"/>
        <w:lang w:val="fr-FR"/>
      </w:rPr>
      <w:instrText xml:space="preserve"> PAGE </w:instrText>
    </w:r>
    <w:r>
      <w:rPr>
        <w:rStyle w:val="PageNumber"/>
      </w:rPr>
      <w:fldChar w:fldCharType="separate"/>
    </w:r>
    <w:r w:rsidR="00A8628C">
      <w:rPr>
        <w:rStyle w:val="PageNumber"/>
        <w:noProof/>
        <w:lang w:val="fr-FR"/>
      </w:rPr>
      <w:t>239</w:t>
    </w:r>
    <w:r>
      <w:rPr>
        <w:rStyle w:val="PageNumber"/>
      </w:rPr>
      <w:fldChar w:fldCharType="end"/>
    </w:r>
    <w:r w:rsidRPr="00FA5296">
      <w:rPr>
        <w:lang w:val="fr-FR"/>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F178A5" w:rsidRDefault="000A3E75" w:rsidP="000A3E75">
    <w:pPr>
      <w:pStyle w:val="Header"/>
      <w:tabs>
        <w:tab w:val="clear" w:pos="4536"/>
        <w:tab w:val="left" w:pos="6480"/>
      </w:tabs>
      <w:rPr>
        <w:lang w:val="fr-FR"/>
      </w:rPr>
    </w:pPr>
    <w:r>
      <w:rPr>
        <w:lang w:val="fr-FR"/>
      </w:rPr>
      <w:tab/>
    </w:r>
    <w:r w:rsidR="00CC46D2" w:rsidRPr="00F178A5">
      <w:rPr>
        <w:lang w:val="fr-FR"/>
      </w:rPr>
      <w:t>CAT/C/AUS/Q/4/Add.1</w:t>
    </w:r>
    <w:r w:rsidR="00CC46D2" w:rsidRPr="00F178A5">
      <w:rPr>
        <w:lang w:val="fr-FR"/>
      </w:rPr>
      <w:br/>
    </w:r>
    <w:r>
      <w:rPr>
        <w:lang w:val="fr-FR"/>
      </w:rPr>
      <w:tab/>
    </w:r>
    <w:r w:rsidR="00CC46D2" w:rsidRPr="00F178A5">
      <w:rPr>
        <w:lang w:val="fr-FR"/>
      </w:rPr>
      <w:t xml:space="preserve">page </w:t>
    </w:r>
    <w:r w:rsidR="00CC46D2">
      <w:rPr>
        <w:rStyle w:val="PageNumber"/>
      </w:rPr>
      <w:fldChar w:fldCharType="begin"/>
    </w:r>
    <w:r w:rsidR="00CC46D2" w:rsidRPr="00F178A5">
      <w:rPr>
        <w:rStyle w:val="PageNumber"/>
        <w:lang w:val="fr-FR"/>
      </w:rPr>
      <w:instrText xml:space="preserve"> PAGE </w:instrText>
    </w:r>
    <w:r w:rsidR="00CC46D2">
      <w:rPr>
        <w:rStyle w:val="PageNumber"/>
      </w:rPr>
      <w:fldChar w:fldCharType="separate"/>
    </w:r>
    <w:r w:rsidR="00A8628C">
      <w:rPr>
        <w:rStyle w:val="PageNumber"/>
        <w:noProof/>
        <w:lang w:val="fr-FR"/>
      </w:rPr>
      <w:t>226</w:t>
    </w:r>
    <w:r w:rsidR="00CC46D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Default="00AB4C28">
    <w:pPr>
      <w:pStyle w:val="Header"/>
    </w:pPr>
    <w:r>
      <w:rPr>
        <w:noProof/>
        <w:lang w:val="fr-FR" w:eastAsia="fr-FR"/>
      </w:rPr>
      <w:pict>
        <v:rect id="_x0000_s2116" style="position:absolute;margin-left:693pt;margin-top:42.5pt;width:45pt;height:135pt;z-index:14" stroked="f">
          <v:textbox style="layout-flow:vertical;mso-next-textbox:#_x0000_s2116">
            <w:txbxContent>
              <w:p w:rsidR="00CC46D2" w:rsidRPr="00F178A5" w:rsidRDefault="00CC46D2" w:rsidP="00A92113">
                <w:pPr>
                  <w:pStyle w:val="Header"/>
                  <w:rPr>
                    <w:lang w:val="fr-FR"/>
                  </w:rPr>
                </w:pPr>
                <w:r w:rsidRPr="00F178A5">
                  <w:rPr>
                    <w:lang w:val="fr-FR"/>
                  </w:rPr>
                  <w:t>CAT/C/AUS/Q/4/Add.1</w:t>
                </w:r>
                <w:r w:rsidRPr="00F178A5">
                  <w:rPr>
                    <w:lang w:val="fr-FR"/>
                  </w:rPr>
                  <w:br/>
                  <w:t xml:space="preserve">page </w:t>
                </w:r>
                <w:r>
                  <w:rPr>
                    <w:rStyle w:val="PageNumber"/>
                  </w:rPr>
                  <w:fldChar w:fldCharType="begin"/>
                </w:r>
                <w:r w:rsidRPr="00A92113">
                  <w:rPr>
                    <w:rStyle w:val="PageNumber"/>
                    <w:lang w:val="fr-FR"/>
                  </w:rPr>
                  <w:instrText xml:space="preserve"> PAGE </w:instrText>
                </w:r>
                <w:r>
                  <w:rPr>
                    <w:rStyle w:val="PageNumber"/>
                  </w:rPr>
                  <w:fldChar w:fldCharType="separate"/>
                </w:r>
                <w:r w:rsidR="00AF7E51">
                  <w:rPr>
                    <w:rStyle w:val="PageNumber"/>
                    <w:noProof/>
                    <w:lang w:val="fr-FR"/>
                  </w:rPr>
                  <w:t>90</w:t>
                </w:r>
                <w:r>
                  <w:rPr>
                    <w:rStyle w:val="PageNumber"/>
                  </w:rPr>
                  <w:fldChar w:fldCharType="end"/>
                </w:r>
              </w:p>
              <w:p w:rsidR="00CC46D2" w:rsidRPr="00A92113" w:rsidRDefault="00CC46D2">
                <w:pPr>
                  <w:rPr>
                    <w:lang w:val="fr-FR"/>
                  </w:rPr>
                </w:pPr>
              </w:p>
            </w:txbxContent>
          </v:textbox>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B09AD" w:rsidRDefault="00AB4C28" w:rsidP="00AB4C28">
    <w:pPr>
      <w:pStyle w:val="Header"/>
      <w:tabs>
        <w:tab w:val="clear" w:pos="4536"/>
        <w:tab w:val="clear" w:pos="9072"/>
        <w:tab w:val="left" w:pos="6480"/>
      </w:tabs>
      <w:rPr>
        <w:lang w:val="fr-FR"/>
      </w:rPr>
    </w:pPr>
    <w:r>
      <w:rPr>
        <w:lang w:val="fr-FR"/>
      </w:rPr>
      <w:tab/>
    </w:r>
    <w:r>
      <w:rPr>
        <w:lang w:val="fr-FR"/>
      </w:rPr>
      <w:tab/>
    </w:r>
    <w:r w:rsidR="00CC46D2" w:rsidRPr="00CB09AD">
      <w:rPr>
        <w:lang w:val="fr-FR"/>
      </w:rPr>
      <w:t>CAT/C/AUS/Q/4/Add.1</w:t>
    </w:r>
    <w:r w:rsidR="00CC46D2" w:rsidRPr="00CB09AD">
      <w:rPr>
        <w:lang w:val="fr-FR"/>
      </w:rPr>
      <w:br/>
    </w:r>
    <w:r>
      <w:rPr>
        <w:lang w:val="fr-FR"/>
      </w:rPr>
      <w:tab/>
    </w:r>
    <w:r w:rsidR="00CC46D2" w:rsidRPr="00CB09AD">
      <w:rPr>
        <w:lang w:val="fr-FR"/>
      </w:rPr>
      <w:t xml:space="preserve">page </w:t>
    </w:r>
    <w:r w:rsidR="00CC46D2">
      <w:rPr>
        <w:rStyle w:val="PageNumber"/>
      </w:rPr>
      <w:fldChar w:fldCharType="begin"/>
    </w:r>
    <w:r w:rsidR="00CC46D2" w:rsidRPr="00CB09AD">
      <w:rPr>
        <w:rStyle w:val="PageNumber"/>
        <w:lang w:val="fr-FR"/>
      </w:rPr>
      <w:instrText xml:space="preserve"> PAGE </w:instrText>
    </w:r>
    <w:r w:rsidR="00CC46D2">
      <w:rPr>
        <w:rStyle w:val="PageNumber"/>
      </w:rPr>
      <w:fldChar w:fldCharType="separate"/>
    </w:r>
    <w:r w:rsidR="00AF7E51">
      <w:rPr>
        <w:rStyle w:val="PageNumber"/>
        <w:noProof/>
        <w:lang w:val="fr-FR"/>
      </w:rPr>
      <w:t>91</w:t>
    </w:r>
    <w:r w:rsidR="00CC46D2">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542DCF" w:rsidRDefault="00CC46D2" w:rsidP="00542D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B09AD" w:rsidRDefault="00CC46D2" w:rsidP="00341C63">
    <w:pPr>
      <w:pStyle w:val="Header"/>
      <w:tabs>
        <w:tab w:val="left" w:pos="6840"/>
      </w:tabs>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B09AD" w:rsidRDefault="00CC46D2" w:rsidP="00CB09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Pr="00CC46D2" w:rsidRDefault="00CC46D2" w:rsidP="00CC46D2">
    <w:pPr>
      <w:pStyle w:val="Header"/>
      <w:rPr>
        <w:lang w:val="fr-FR"/>
      </w:rPr>
    </w:pPr>
    <w:r w:rsidRPr="007E1F36">
      <w:rPr>
        <w:lang w:val="fr-FR"/>
      </w:rPr>
      <w:t>CAT/C/AUS/Q/4/Add.1</w:t>
    </w:r>
    <w:r w:rsidRPr="007E1F36">
      <w:rPr>
        <w:lang w:val="fr-FR"/>
      </w:rPr>
      <w:br/>
      <w:t>page</w:t>
    </w:r>
    <w:r>
      <w:rPr>
        <w:lang w:val="fr-FR"/>
      </w:rPr>
      <w:t xml:space="preserve"> </w:t>
    </w:r>
    <w:r>
      <w:rPr>
        <w:rStyle w:val="PageNumber"/>
      </w:rPr>
      <w:fldChar w:fldCharType="begin"/>
    </w:r>
    <w:r w:rsidRPr="00CC46D2">
      <w:rPr>
        <w:rStyle w:val="PageNumber"/>
        <w:lang w:val="fr-FR"/>
      </w:rPr>
      <w:instrText xml:space="preserve"> PAGE </w:instrText>
    </w:r>
    <w:r>
      <w:rPr>
        <w:rStyle w:val="PageNumber"/>
      </w:rPr>
      <w:fldChar w:fldCharType="separate"/>
    </w:r>
    <w:r w:rsidR="00AF7E51">
      <w:rPr>
        <w:rStyle w:val="PageNumber"/>
        <w:noProof/>
        <w:lang w:val="fr-FR"/>
      </w:rPr>
      <w:t>156</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D2" w:rsidRDefault="00986EE8" w:rsidP="00986EE8">
    <w:pPr>
      <w:pStyle w:val="Header"/>
      <w:tabs>
        <w:tab w:val="clear" w:pos="4536"/>
        <w:tab w:val="left" w:pos="6480"/>
      </w:tabs>
      <w:spacing w:after="0"/>
      <w:rPr>
        <w:lang w:val="fr-FR"/>
      </w:rPr>
    </w:pPr>
    <w:r>
      <w:rPr>
        <w:lang w:val="fr-CH"/>
      </w:rPr>
      <w:tab/>
    </w:r>
    <w:r w:rsidRPr="007E1F36">
      <w:rPr>
        <w:lang w:val="fr-FR"/>
      </w:rPr>
      <w:t>CAT/C/AUS/Q/4/Add.1</w:t>
    </w:r>
  </w:p>
  <w:p w:rsidR="00986EE8" w:rsidRPr="00986EE8" w:rsidRDefault="00986EE8" w:rsidP="00906F56">
    <w:pPr>
      <w:pStyle w:val="Header"/>
      <w:tabs>
        <w:tab w:val="clear" w:pos="4536"/>
        <w:tab w:val="left" w:pos="6480"/>
      </w:tabs>
      <w:rPr>
        <w:lang w:val="fr-CH"/>
      </w:rPr>
    </w:pPr>
    <w:r>
      <w:rPr>
        <w:lang w:val="fr-FR"/>
      </w:rPr>
      <w:tab/>
    </w:r>
    <w:r w:rsidR="00906F56">
      <w:rPr>
        <w:lang w:val="fr-FR"/>
      </w:rPr>
      <w:t>page</w:t>
    </w:r>
    <w:r>
      <w:rPr>
        <w:lang w:val="fr-FR"/>
      </w:rPr>
      <w:t xml:space="preserve"> </w:t>
    </w:r>
    <w:r>
      <w:rPr>
        <w:rStyle w:val="PageNumber"/>
      </w:rPr>
      <w:fldChar w:fldCharType="begin"/>
    </w:r>
    <w:r>
      <w:rPr>
        <w:rStyle w:val="PageNumber"/>
      </w:rPr>
      <w:instrText xml:space="preserve"> PAGE </w:instrText>
    </w:r>
    <w:r>
      <w:rPr>
        <w:rStyle w:val="PageNumber"/>
      </w:rPr>
      <w:fldChar w:fldCharType="separate"/>
    </w:r>
    <w:r w:rsidR="00AF7E51">
      <w:rPr>
        <w:rStyle w:val="PageNumber"/>
        <w:noProof/>
      </w:rPr>
      <w:t>157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8C7"/>
    <w:multiLevelType w:val="hybridMultilevel"/>
    <w:tmpl w:val="AEF0C896"/>
    <w:lvl w:ilvl="0" w:tplc="169EF150">
      <w:start w:val="1"/>
      <w:numFmt w:val="lowerLetter"/>
      <w:lvlText w:val="%1)"/>
      <w:lvlJc w:val="left"/>
      <w:pPr>
        <w:tabs>
          <w:tab w:val="num" w:pos="567"/>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E5E9D"/>
    <w:multiLevelType w:val="hybridMultilevel"/>
    <w:tmpl w:val="9DDC7F26"/>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314C9BAA">
      <w:start w:val="1"/>
      <w:numFmt w:val="lowerRoman"/>
      <w:lvlText w:val="%2)"/>
      <w:lvlJc w:val="left"/>
      <w:pPr>
        <w:tabs>
          <w:tab w:val="num" w:pos="1647"/>
        </w:tabs>
        <w:ind w:left="1701" w:hanging="567"/>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D7332"/>
    <w:multiLevelType w:val="hybridMultilevel"/>
    <w:tmpl w:val="40A0C97E"/>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C3A5E"/>
    <w:multiLevelType w:val="hybridMultilevel"/>
    <w:tmpl w:val="B2226754"/>
    <w:lvl w:ilvl="0" w:tplc="2A78C9B8">
      <w:start w:val="1"/>
      <w:numFmt w:val="lowerLetter"/>
      <w:lvlText w:val="%1)"/>
      <w:lvlJc w:val="left"/>
      <w:pPr>
        <w:tabs>
          <w:tab w:val="num" w:pos="2217"/>
        </w:tabs>
        <w:ind w:left="0" w:firstLine="567"/>
      </w:pPr>
      <w:rPr>
        <w:rFonts w:ascii="Times New Roman" w:hAnsi="Times New Roman" w:cs="Angsana New" w:hint="default"/>
        <w:b w:val="0"/>
        <w:i w:val="0"/>
        <w:sz w:val="24"/>
      </w:rPr>
    </w:lvl>
    <w:lvl w:ilvl="1" w:tplc="709ED89C">
      <w:start w:val="1"/>
      <w:numFmt w:val="lowerLetter"/>
      <w:lvlText w:val="%2)"/>
      <w:lvlJc w:val="left"/>
      <w:pPr>
        <w:tabs>
          <w:tab w:val="num" w:pos="2730"/>
        </w:tabs>
        <w:ind w:left="0" w:firstLine="567"/>
      </w:pPr>
      <w:rPr>
        <w:rFonts w:ascii="Times New Roman" w:hAnsi="Times New Roman" w:cs="Angsana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3124F"/>
    <w:multiLevelType w:val="hybridMultilevel"/>
    <w:tmpl w:val="29A054DC"/>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B7D0F"/>
    <w:multiLevelType w:val="hybridMultilevel"/>
    <w:tmpl w:val="0CDEF4F0"/>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7E054D"/>
    <w:multiLevelType w:val="multilevel"/>
    <w:tmpl w:val="44B6518E"/>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B1B7782"/>
    <w:multiLevelType w:val="hybridMultilevel"/>
    <w:tmpl w:val="09265F48"/>
    <w:lvl w:ilvl="0" w:tplc="EC7E52AA">
      <w:start w:val="907"/>
      <w:numFmt w:val="decimal"/>
      <w:lvlText w:val="%1."/>
      <w:lvlJc w:val="left"/>
      <w:pPr>
        <w:tabs>
          <w:tab w:val="num" w:pos="1065"/>
        </w:tabs>
        <w:ind w:left="1065" w:hanging="705"/>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E9E7C6B"/>
    <w:multiLevelType w:val="hybridMultilevel"/>
    <w:tmpl w:val="06F4F9F0"/>
    <w:lvl w:ilvl="0" w:tplc="01381614">
      <w:start w:val="1"/>
      <w:numFmt w:val="lowerLetter"/>
      <w:lvlText w:val="%1)"/>
      <w:lvlJc w:val="left"/>
      <w:pPr>
        <w:tabs>
          <w:tab w:val="num" w:pos="1704"/>
        </w:tabs>
        <w:ind w:left="0" w:firstLine="567"/>
      </w:pPr>
      <w:rPr>
        <w:rFonts w:ascii="Times New Roman" w:hAnsi="Times New Roman" w:cs="Angsana New" w:hint="default"/>
        <w:b w:val="0"/>
        <w:i w:val="0"/>
        <w:sz w:val="24"/>
      </w:rPr>
    </w:lvl>
    <w:lvl w:ilvl="1" w:tplc="D94E3AB6">
      <w:start w:val="1"/>
      <w:numFmt w:val="lowerLetter"/>
      <w:lvlText w:val="%2)"/>
      <w:lvlJc w:val="left"/>
      <w:pPr>
        <w:tabs>
          <w:tab w:val="num" w:pos="2217"/>
        </w:tabs>
        <w:ind w:left="0" w:firstLine="567"/>
      </w:pPr>
      <w:rPr>
        <w:rFonts w:ascii="Times New Roman" w:hAnsi="Times New Roman" w:cs="Angsana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624FD"/>
    <w:multiLevelType w:val="hybridMultilevel"/>
    <w:tmpl w:val="9BA819D4"/>
    <w:lvl w:ilvl="0" w:tplc="A90E081E">
      <w:start w:val="1"/>
      <w:numFmt w:val="lowerLetter"/>
      <w:lvlText w:val="%1)"/>
      <w:lvlJc w:val="left"/>
      <w:pPr>
        <w:tabs>
          <w:tab w:val="num" w:pos="567"/>
        </w:tabs>
        <w:ind w:left="0" w:firstLine="567"/>
      </w:pPr>
      <w:rPr>
        <w:rFonts w:ascii="Times New Roman" w:hAnsi="Times New Roman" w:cs="Angsana New" w:hint="default"/>
        <w:b w:val="0"/>
        <w:i w:val="0"/>
        <w:sz w:val="24"/>
      </w:rPr>
    </w:lvl>
    <w:lvl w:ilvl="1" w:tplc="1CA2D382">
      <w:start w:val="1"/>
      <w:numFmt w:val="lowerRoman"/>
      <w:lvlText w:val="%2)"/>
      <w:lvlJc w:val="left"/>
      <w:pPr>
        <w:tabs>
          <w:tab w:val="num" w:pos="1593"/>
        </w:tabs>
        <w:ind w:left="1701" w:hanging="567"/>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370563"/>
    <w:multiLevelType w:val="hybridMultilevel"/>
    <w:tmpl w:val="293096DE"/>
    <w:lvl w:ilvl="0" w:tplc="1D56F404">
      <w:start w:val="634"/>
      <w:numFmt w:val="decimal"/>
      <w:lvlText w:val="%1."/>
      <w:lvlJc w:val="left"/>
      <w:pPr>
        <w:tabs>
          <w:tab w:val="num" w:pos="1065"/>
        </w:tabs>
        <w:ind w:left="1065" w:hanging="705"/>
      </w:pPr>
      <w:rPr>
        <w:rFonts w:hint="default"/>
      </w:rPr>
    </w:lvl>
    <w:lvl w:ilvl="1" w:tplc="33943B08">
      <w:start w:val="3"/>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86456CD"/>
    <w:multiLevelType w:val="hybridMultilevel"/>
    <w:tmpl w:val="9E14FD58"/>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976122"/>
    <w:multiLevelType w:val="multilevel"/>
    <w:tmpl w:val="44B6518E"/>
    <w:lvl w:ilvl="0">
      <w:start w:val="1"/>
      <w:numFmt w:val="lowerRoman"/>
      <w:lvlText w:val="%1)"/>
      <w:lvlJc w:val="left"/>
      <w:pPr>
        <w:tabs>
          <w:tab w:val="num" w:pos="360"/>
        </w:tabs>
        <w:ind w:left="1701"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115488D"/>
    <w:multiLevelType w:val="hybridMultilevel"/>
    <w:tmpl w:val="3336F81C"/>
    <w:lvl w:ilvl="0" w:tplc="470E4B5A">
      <w:start w:val="538"/>
      <w:numFmt w:val="decimal"/>
      <w:lvlText w:val="%1."/>
      <w:lvlJc w:val="left"/>
      <w:pPr>
        <w:tabs>
          <w:tab w:val="num" w:pos="1065"/>
        </w:tabs>
        <w:ind w:left="1065" w:hanging="705"/>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3ED7B51"/>
    <w:multiLevelType w:val="hybridMultilevel"/>
    <w:tmpl w:val="3D6251EE"/>
    <w:lvl w:ilvl="0" w:tplc="BE06703C">
      <w:start w:val="1"/>
      <w:numFmt w:val="lowerLetter"/>
      <w:lvlText w:val="%1)"/>
      <w:lvlJc w:val="left"/>
      <w:pPr>
        <w:tabs>
          <w:tab w:val="num" w:pos="1134"/>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5830BD"/>
    <w:multiLevelType w:val="hybridMultilevel"/>
    <w:tmpl w:val="C94E6910"/>
    <w:lvl w:ilvl="0" w:tplc="33BC10B0">
      <w:start w:val="601"/>
      <w:numFmt w:val="decimal"/>
      <w:lvlText w:val="%1."/>
      <w:lvlJc w:val="left"/>
      <w:pPr>
        <w:tabs>
          <w:tab w:val="num" w:pos="1065"/>
        </w:tabs>
        <w:ind w:left="1065" w:hanging="705"/>
      </w:pPr>
      <w:rPr>
        <w:rFonts w:hint="default"/>
      </w:rPr>
    </w:lvl>
    <w:lvl w:ilvl="1" w:tplc="E2DCB8C0">
      <w:start w:val="1"/>
      <w:numFmt w:val="lowerLetter"/>
      <w:lvlText w:val="%2)"/>
      <w:lvlJc w:val="left"/>
      <w:pPr>
        <w:tabs>
          <w:tab w:val="num" w:pos="1785"/>
        </w:tabs>
        <w:ind w:left="1785" w:hanging="70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3B85CC0"/>
    <w:multiLevelType w:val="hybridMultilevel"/>
    <w:tmpl w:val="CD105B96"/>
    <w:lvl w:ilvl="0" w:tplc="5DE8080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4C354C4"/>
    <w:multiLevelType w:val="hybridMultilevel"/>
    <w:tmpl w:val="F5124B7E"/>
    <w:lvl w:ilvl="0" w:tplc="F266B930">
      <w:start w:val="72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15A5AA7"/>
    <w:multiLevelType w:val="hybridMultilevel"/>
    <w:tmpl w:val="ABC2D0F4"/>
    <w:lvl w:ilvl="0" w:tplc="169EF150">
      <w:start w:val="1"/>
      <w:numFmt w:val="lowerLetter"/>
      <w:lvlText w:val="%1)"/>
      <w:lvlJc w:val="left"/>
      <w:pPr>
        <w:tabs>
          <w:tab w:val="num" w:pos="567"/>
        </w:tabs>
        <w:ind w:left="0" w:firstLine="567"/>
      </w:pPr>
      <w:rPr>
        <w:rFonts w:ascii="Times New Roman" w:hAnsi="Times New Roman" w:cs="Angsana New"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4F06A86"/>
    <w:multiLevelType w:val="hybridMultilevel"/>
    <w:tmpl w:val="A7B8EADA"/>
    <w:lvl w:ilvl="0" w:tplc="D94E3AB6">
      <w:start w:val="1"/>
      <w:numFmt w:val="lowerLetter"/>
      <w:lvlText w:val="%1)"/>
      <w:lvlJc w:val="left"/>
      <w:pPr>
        <w:tabs>
          <w:tab w:val="num" w:pos="2217"/>
        </w:tabs>
        <w:ind w:left="0" w:firstLine="567"/>
      </w:pPr>
      <w:rPr>
        <w:rFonts w:ascii="Times New Roman" w:hAnsi="Times New Roman" w:cs="Angsana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405972"/>
    <w:multiLevelType w:val="multilevel"/>
    <w:tmpl w:val="104C746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3"/>
  </w:num>
  <w:num w:numId="3">
    <w:abstractNumId w:val="15"/>
  </w:num>
  <w:num w:numId="4">
    <w:abstractNumId w:val="10"/>
  </w:num>
  <w:num w:numId="5">
    <w:abstractNumId w:val="7"/>
  </w:num>
  <w:num w:numId="6">
    <w:abstractNumId w:val="17"/>
  </w:num>
  <w:num w:numId="7">
    <w:abstractNumId w:val="20"/>
  </w:num>
  <w:num w:numId="8">
    <w:abstractNumId w:val="6"/>
  </w:num>
  <w:num w:numId="9">
    <w:abstractNumId w:val="12"/>
  </w:num>
  <w:num w:numId="10">
    <w:abstractNumId w:val="5"/>
  </w:num>
  <w:num w:numId="11">
    <w:abstractNumId w:val="4"/>
  </w:num>
  <w:num w:numId="12">
    <w:abstractNumId w:val="2"/>
  </w:num>
  <w:num w:numId="13">
    <w:abstractNumId w:val="14"/>
  </w:num>
  <w:num w:numId="14">
    <w:abstractNumId w:val="11"/>
  </w:num>
  <w:num w:numId="15">
    <w:abstractNumId w:val="1"/>
  </w:num>
  <w:num w:numId="16">
    <w:abstractNumId w:val="8"/>
  </w:num>
  <w:num w:numId="17">
    <w:abstractNumId w:val="19"/>
  </w:num>
  <w:num w:numId="18">
    <w:abstractNumId w:val="3"/>
  </w:num>
  <w:num w:numId="19">
    <w:abstractNumId w:val="18"/>
  </w:num>
  <w:num w:numId="20">
    <w:abstractNumId w:val="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82F"/>
    <w:rsid w:val="0000376B"/>
    <w:rsid w:val="00003AC8"/>
    <w:rsid w:val="00004890"/>
    <w:rsid w:val="00004BE2"/>
    <w:rsid w:val="00005FE3"/>
    <w:rsid w:val="00006134"/>
    <w:rsid w:val="00006FB1"/>
    <w:rsid w:val="00007212"/>
    <w:rsid w:val="00007CF9"/>
    <w:rsid w:val="00007EDB"/>
    <w:rsid w:val="00014E44"/>
    <w:rsid w:val="00015D50"/>
    <w:rsid w:val="00016485"/>
    <w:rsid w:val="0002048F"/>
    <w:rsid w:val="000204F7"/>
    <w:rsid w:val="00024120"/>
    <w:rsid w:val="000242BE"/>
    <w:rsid w:val="00024552"/>
    <w:rsid w:val="0002631F"/>
    <w:rsid w:val="00026CBE"/>
    <w:rsid w:val="000300C9"/>
    <w:rsid w:val="000312C5"/>
    <w:rsid w:val="000318C0"/>
    <w:rsid w:val="00031DAE"/>
    <w:rsid w:val="00032245"/>
    <w:rsid w:val="000325DD"/>
    <w:rsid w:val="000328CF"/>
    <w:rsid w:val="00033888"/>
    <w:rsid w:val="000353FA"/>
    <w:rsid w:val="00035E11"/>
    <w:rsid w:val="00036886"/>
    <w:rsid w:val="00036925"/>
    <w:rsid w:val="00036EF2"/>
    <w:rsid w:val="000374FD"/>
    <w:rsid w:val="00037B21"/>
    <w:rsid w:val="00037F73"/>
    <w:rsid w:val="00040770"/>
    <w:rsid w:val="000408C5"/>
    <w:rsid w:val="000412C4"/>
    <w:rsid w:val="00041B3A"/>
    <w:rsid w:val="00042520"/>
    <w:rsid w:val="00042C94"/>
    <w:rsid w:val="00043303"/>
    <w:rsid w:val="00043F8B"/>
    <w:rsid w:val="00044608"/>
    <w:rsid w:val="00045122"/>
    <w:rsid w:val="0004568E"/>
    <w:rsid w:val="000465CF"/>
    <w:rsid w:val="00046C69"/>
    <w:rsid w:val="0004724C"/>
    <w:rsid w:val="0005101F"/>
    <w:rsid w:val="000511DA"/>
    <w:rsid w:val="000519CB"/>
    <w:rsid w:val="000522EF"/>
    <w:rsid w:val="000525B4"/>
    <w:rsid w:val="00052D53"/>
    <w:rsid w:val="00052F89"/>
    <w:rsid w:val="0005361D"/>
    <w:rsid w:val="00053C88"/>
    <w:rsid w:val="000545E1"/>
    <w:rsid w:val="00054E77"/>
    <w:rsid w:val="000550CA"/>
    <w:rsid w:val="00055C54"/>
    <w:rsid w:val="00055F14"/>
    <w:rsid w:val="0005615E"/>
    <w:rsid w:val="00056296"/>
    <w:rsid w:val="0005687F"/>
    <w:rsid w:val="00057980"/>
    <w:rsid w:val="00060030"/>
    <w:rsid w:val="000612C8"/>
    <w:rsid w:val="000619F2"/>
    <w:rsid w:val="00062BA7"/>
    <w:rsid w:val="00063665"/>
    <w:rsid w:val="00065483"/>
    <w:rsid w:val="00065743"/>
    <w:rsid w:val="000657FC"/>
    <w:rsid w:val="00067AA2"/>
    <w:rsid w:val="00070689"/>
    <w:rsid w:val="0007127A"/>
    <w:rsid w:val="000713BF"/>
    <w:rsid w:val="00071694"/>
    <w:rsid w:val="000717A9"/>
    <w:rsid w:val="000717E3"/>
    <w:rsid w:val="00071BE1"/>
    <w:rsid w:val="00072BBB"/>
    <w:rsid w:val="00072EFC"/>
    <w:rsid w:val="000732FB"/>
    <w:rsid w:val="000733FB"/>
    <w:rsid w:val="00073B26"/>
    <w:rsid w:val="00073C52"/>
    <w:rsid w:val="00073EC1"/>
    <w:rsid w:val="000744E7"/>
    <w:rsid w:val="000749F5"/>
    <w:rsid w:val="0007558C"/>
    <w:rsid w:val="00076220"/>
    <w:rsid w:val="00076CE2"/>
    <w:rsid w:val="0007742F"/>
    <w:rsid w:val="00077C07"/>
    <w:rsid w:val="000804CF"/>
    <w:rsid w:val="000821C9"/>
    <w:rsid w:val="000828FC"/>
    <w:rsid w:val="00084CB4"/>
    <w:rsid w:val="0008519C"/>
    <w:rsid w:val="00085A24"/>
    <w:rsid w:val="000860C6"/>
    <w:rsid w:val="000868B5"/>
    <w:rsid w:val="00086FF0"/>
    <w:rsid w:val="00087051"/>
    <w:rsid w:val="000877EA"/>
    <w:rsid w:val="000905A1"/>
    <w:rsid w:val="00090C29"/>
    <w:rsid w:val="000919F1"/>
    <w:rsid w:val="0009266F"/>
    <w:rsid w:val="00092F44"/>
    <w:rsid w:val="0009316A"/>
    <w:rsid w:val="00093856"/>
    <w:rsid w:val="0009417A"/>
    <w:rsid w:val="0009418A"/>
    <w:rsid w:val="00094671"/>
    <w:rsid w:val="0009543D"/>
    <w:rsid w:val="00095582"/>
    <w:rsid w:val="00095B2E"/>
    <w:rsid w:val="00096B1A"/>
    <w:rsid w:val="000A035C"/>
    <w:rsid w:val="000A0935"/>
    <w:rsid w:val="000A2685"/>
    <w:rsid w:val="000A2CE6"/>
    <w:rsid w:val="000A30C3"/>
    <w:rsid w:val="000A317E"/>
    <w:rsid w:val="000A31BF"/>
    <w:rsid w:val="000A3E75"/>
    <w:rsid w:val="000A55E8"/>
    <w:rsid w:val="000A5D83"/>
    <w:rsid w:val="000A66DB"/>
    <w:rsid w:val="000A74F6"/>
    <w:rsid w:val="000A7D77"/>
    <w:rsid w:val="000B0E5F"/>
    <w:rsid w:val="000B23BE"/>
    <w:rsid w:val="000B2E1A"/>
    <w:rsid w:val="000B3841"/>
    <w:rsid w:val="000B3B0E"/>
    <w:rsid w:val="000B3C70"/>
    <w:rsid w:val="000B4486"/>
    <w:rsid w:val="000B4C72"/>
    <w:rsid w:val="000B4FFD"/>
    <w:rsid w:val="000B7484"/>
    <w:rsid w:val="000B7C1C"/>
    <w:rsid w:val="000C0974"/>
    <w:rsid w:val="000C1744"/>
    <w:rsid w:val="000C1EBF"/>
    <w:rsid w:val="000C23DD"/>
    <w:rsid w:val="000C26DD"/>
    <w:rsid w:val="000C2DE4"/>
    <w:rsid w:val="000C2EEE"/>
    <w:rsid w:val="000C4096"/>
    <w:rsid w:val="000C4A2D"/>
    <w:rsid w:val="000C5342"/>
    <w:rsid w:val="000C54BB"/>
    <w:rsid w:val="000C6451"/>
    <w:rsid w:val="000C65A1"/>
    <w:rsid w:val="000C66F3"/>
    <w:rsid w:val="000C6820"/>
    <w:rsid w:val="000C6918"/>
    <w:rsid w:val="000C6DC4"/>
    <w:rsid w:val="000C7817"/>
    <w:rsid w:val="000D2E96"/>
    <w:rsid w:val="000D3185"/>
    <w:rsid w:val="000D47C8"/>
    <w:rsid w:val="000D49A7"/>
    <w:rsid w:val="000D53BE"/>
    <w:rsid w:val="000D5451"/>
    <w:rsid w:val="000D5EDF"/>
    <w:rsid w:val="000D65ED"/>
    <w:rsid w:val="000D7B15"/>
    <w:rsid w:val="000D7D24"/>
    <w:rsid w:val="000E072F"/>
    <w:rsid w:val="000E13EC"/>
    <w:rsid w:val="000E1C55"/>
    <w:rsid w:val="000E1FED"/>
    <w:rsid w:val="000E2E51"/>
    <w:rsid w:val="000E3CCB"/>
    <w:rsid w:val="000E3F4D"/>
    <w:rsid w:val="000E400D"/>
    <w:rsid w:val="000E421C"/>
    <w:rsid w:val="000E512D"/>
    <w:rsid w:val="000E5653"/>
    <w:rsid w:val="000E6C25"/>
    <w:rsid w:val="000E6DA2"/>
    <w:rsid w:val="000E74F4"/>
    <w:rsid w:val="000E7BED"/>
    <w:rsid w:val="000F0022"/>
    <w:rsid w:val="000F15D9"/>
    <w:rsid w:val="000F17FA"/>
    <w:rsid w:val="000F2F13"/>
    <w:rsid w:val="000F3336"/>
    <w:rsid w:val="000F381B"/>
    <w:rsid w:val="000F455D"/>
    <w:rsid w:val="000F4573"/>
    <w:rsid w:val="000F4AE7"/>
    <w:rsid w:val="000F5030"/>
    <w:rsid w:val="000F5BE4"/>
    <w:rsid w:val="000F67DE"/>
    <w:rsid w:val="000F6961"/>
    <w:rsid w:val="000F7143"/>
    <w:rsid w:val="001003C4"/>
    <w:rsid w:val="0010155E"/>
    <w:rsid w:val="00101E41"/>
    <w:rsid w:val="00102072"/>
    <w:rsid w:val="00102CEE"/>
    <w:rsid w:val="001042F5"/>
    <w:rsid w:val="00104A9F"/>
    <w:rsid w:val="0010505F"/>
    <w:rsid w:val="001057A9"/>
    <w:rsid w:val="00105CB3"/>
    <w:rsid w:val="001064CB"/>
    <w:rsid w:val="001070F9"/>
    <w:rsid w:val="00107740"/>
    <w:rsid w:val="001108FE"/>
    <w:rsid w:val="00110DA4"/>
    <w:rsid w:val="001111FE"/>
    <w:rsid w:val="00111C15"/>
    <w:rsid w:val="00111F65"/>
    <w:rsid w:val="001129E3"/>
    <w:rsid w:val="00112C0B"/>
    <w:rsid w:val="00113AD6"/>
    <w:rsid w:val="0011438C"/>
    <w:rsid w:val="0011457B"/>
    <w:rsid w:val="001158E1"/>
    <w:rsid w:val="00115A68"/>
    <w:rsid w:val="00116C8A"/>
    <w:rsid w:val="001179E3"/>
    <w:rsid w:val="00120154"/>
    <w:rsid w:val="001204E0"/>
    <w:rsid w:val="00120B01"/>
    <w:rsid w:val="001212BA"/>
    <w:rsid w:val="00121894"/>
    <w:rsid w:val="00121975"/>
    <w:rsid w:val="00121EAB"/>
    <w:rsid w:val="00122FD1"/>
    <w:rsid w:val="00123412"/>
    <w:rsid w:val="00123448"/>
    <w:rsid w:val="001236CB"/>
    <w:rsid w:val="001238BD"/>
    <w:rsid w:val="00123E15"/>
    <w:rsid w:val="00124656"/>
    <w:rsid w:val="001251CE"/>
    <w:rsid w:val="00125D19"/>
    <w:rsid w:val="001269EF"/>
    <w:rsid w:val="00126D5F"/>
    <w:rsid w:val="0012704C"/>
    <w:rsid w:val="00127D9B"/>
    <w:rsid w:val="0013019A"/>
    <w:rsid w:val="00130CF0"/>
    <w:rsid w:val="001312AD"/>
    <w:rsid w:val="001313C2"/>
    <w:rsid w:val="00131771"/>
    <w:rsid w:val="00131B8E"/>
    <w:rsid w:val="00131B97"/>
    <w:rsid w:val="0013242E"/>
    <w:rsid w:val="0013466E"/>
    <w:rsid w:val="00134714"/>
    <w:rsid w:val="0013510C"/>
    <w:rsid w:val="00137B31"/>
    <w:rsid w:val="00140531"/>
    <w:rsid w:val="0014156A"/>
    <w:rsid w:val="00141915"/>
    <w:rsid w:val="00141ABC"/>
    <w:rsid w:val="00141B9C"/>
    <w:rsid w:val="00141DEC"/>
    <w:rsid w:val="00142802"/>
    <w:rsid w:val="00142E81"/>
    <w:rsid w:val="0014330A"/>
    <w:rsid w:val="001445C0"/>
    <w:rsid w:val="00145981"/>
    <w:rsid w:val="00145A1B"/>
    <w:rsid w:val="00147CDB"/>
    <w:rsid w:val="001502C6"/>
    <w:rsid w:val="00150547"/>
    <w:rsid w:val="00151AB0"/>
    <w:rsid w:val="00151BFB"/>
    <w:rsid w:val="00152033"/>
    <w:rsid w:val="001529AA"/>
    <w:rsid w:val="00153016"/>
    <w:rsid w:val="00153457"/>
    <w:rsid w:val="00153FE7"/>
    <w:rsid w:val="0015408C"/>
    <w:rsid w:val="0015410E"/>
    <w:rsid w:val="001543F4"/>
    <w:rsid w:val="001559EF"/>
    <w:rsid w:val="00155C18"/>
    <w:rsid w:val="00156F7A"/>
    <w:rsid w:val="00157858"/>
    <w:rsid w:val="0015788C"/>
    <w:rsid w:val="001578E4"/>
    <w:rsid w:val="00157A6A"/>
    <w:rsid w:val="00160B4F"/>
    <w:rsid w:val="0016188C"/>
    <w:rsid w:val="0016271A"/>
    <w:rsid w:val="001629F5"/>
    <w:rsid w:val="00163204"/>
    <w:rsid w:val="0016499F"/>
    <w:rsid w:val="001653F8"/>
    <w:rsid w:val="00165D11"/>
    <w:rsid w:val="00166388"/>
    <w:rsid w:val="00167BB4"/>
    <w:rsid w:val="00167DEA"/>
    <w:rsid w:val="00167F98"/>
    <w:rsid w:val="00170ECF"/>
    <w:rsid w:val="00170F3B"/>
    <w:rsid w:val="001715C7"/>
    <w:rsid w:val="00172418"/>
    <w:rsid w:val="001726FE"/>
    <w:rsid w:val="00172732"/>
    <w:rsid w:val="0017310E"/>
    <w:rsid w:val="00173819"/>
    <w:rsid w:val="001744E5"/>
    <w:rsid w:val="001745F1"/>
    <w:rsid w:val="001769A7"/>
    <w:rsid w:val="00176B01"/>
    <w:rsid w:val="00176C08"/>
    <w:rsid w:val="00180215"/>
    <w:rsid w:val="00180793"/>
    <w:rsid w:val="00180C5D"/>
    <w:rsid w:val="00183E4B"/>
    <w:rsid w:val="00184F90"/>
    <w:rsid w:val="00187B22"/>
    <w:rsid w:val="00187E8F"/>
    <w:rsid w:val="001904F2"/>
    <w:rsid w:val="00191036"/>
    <w:rsid w:val="00191FA8"/>
    <w:rsid w:val="001929B8"/>
    <w:rsid w:val="00194973"/>
    <w:rsid w:val="001956C1"/>
    <w:rsid w:val="001976B3"/>
    <w:rsid w:val="00197AED"/>
    <w:rsid w:val="00197CD9"/>
    <w:rsid w:val="001A1D76"/>
    <w:rsid w:val="001A2AA3"/>
    <w:rsid w:val="001A43E0"/>
    <w:rsid w:val="001A4B7C"/>
    <w:rsid w:val="001A55CE"/>
    <w:rsid w:val="001A5A5E"/>
    <w:rsid w:val="001A615A"/>
    <w:rsid w:val="001A61ED"/>
    <w:rsid w:val="001B090B"/>
    <w:rsid w:val="001B1FDD"/>
    <w:rsid w:val="001B279A"/>
    <w:rsid w:val="001B2CD3"/>
    <w:rsid w:val="001B324F"/>
    <w:rsid w:val="001B32F1"/>
    <w:rsid w:val="001B43B6"/>
    <w:rsid w:val="001B4619"/>
    <w:rsid w:val="001B4CBA"/>
    <w:rsid w:val="001B513C"/>
    <w:rsid w:val="001B5E26"/>
    <w:rsid w:val="001B65C7"/>
    <w:rsid w:val="001B6652"/>
    <w:rsid w:val="001B6D43"/>
    <w:rsid w:val="001B6DFE"/>
    <w:rsid w:val="001B7B66"/>
    <w:rsid w:val="001B7E7B"/>
    <w:rsid w:val="001B7FA6"/>
    <w:rsid w:val="001C01E6"/>
    <w:rsid w:val="001C10BB"/>
    <w:rsid w:val="001C1941"/>
    <w:rsid w:val="001C3D5E"/>
    <w:rsid w:val="001C5118"/>
    <w:rsid w:val="001C60FF"/>
    <w:rsid w:val="001C61C0"/>
    <w:rsid w:val="001C6B89"/>
    <w:rsid w:val="001C781D"/>
    <w:rsid w:val="001D0947"/>
    <w:rsid w:val="001D0ACD"/>
    <w:rsid w:val="001D1682"/>
    <w:rsid w:val="001D4326"/>
    <w:rsid w:val="001D4823"/>
    <w:rsid w:val="001D4991"/>
    <w:rsid w:val="001D7715"/>
    <w:rsid w:val="001E091E"/>
    <w:rsid w:val="001E2A6B"/>
    <w:rsid w:val="001E2CD2"/>
    <w:rsid w:val="001E3104"/>
    <w:rsid w:val="001E374E"/>
    <w:rsid w:val="001E3850"/>
    <w:rsid w:val="001E3D9B"/>
    <w:rsid w:val="001E3FDF"/>
    <w:rsid w:val="001E4497"/>
    <w:rsid w:val="001E498A"/>
    <w:rsid w:val="001E6CFE"/>
    <w:rsid w:val="001E72F4"/>
    <w:rsid w:val="001E74C1"/>
    <w:rsid w:val="001F0613"/>
    <w:rsid w:val="001F1EFD"/>
    <w:rsid w:val="001F256F"/>
    <w:rsid w:val="001F2E31"/>
    <w:rsid w:val="001F2F9C"/>
    <w:rsid w:val="001F2FB1"/>
    <w:rsid w:val="001F3083"/>
    <w:rsid w:val="001F3A27"/>
    <w:rsid w:val="001F4097"/>
    <w:rsid w:val="001F47B0"/>
    <w:rsid w:val="001F48EA"/>
    <w:rsid w:val="001F506B"/>
    <w:rsid w:val="001F577B"/>
    <w:rsid w:val="001F5929"/>
    <w:rsid w:val="001F60FF"/>
    <w:rsid w:val="001F6CC0"/>
    <w:rsid w:val="0020057B"/>
    <w:rsid w:val="00200637"/>
    <w:rsid w:val="00200B09"/>
    <w:rsid w:val="00201511"/>
    <w:rsid w:val="0020187F"/>
    <w:rsid w:val="00201FEB"/>
    <w:rsid w:val="00203575"/>
    <w:rsid w:val="00203D7E"/>
    <w:rsid w:val="00205DFB"/>
    <w:rsid w:val="002060B5"/>
    <w:rsid w:val="002106D7"/>
    <w:rsid w:val="002110A4"/>
    <w:rsid w:val="002126D3"/>
    <w:rsid w:val="002133CB"/>
    <w:rsid w:val="00213888"/>
    <w:rsid w:val="00213B77"/>
    <w:rsid w:val="00214024"/>
    <w:rsid w:val="00214402"/>
    <w:rsid w:val="00214AD3"/>
    <w:rsid w:val="00214FEA"/>
    <w:rsid w:val="0021532F"/>
    <w:rsid w:val="002159AD"/>
    <w:rsid w:val="002172FE"/>
    <w:rsid w:val="002173CC"/>
    <w:rsid w:val="002174B8"/>
    <w:rsid w:val="00220D85"/>
    <w:rsid w:val="00221944"/>
    <w:rsid w:val="00222EB4"/>
    <w:rsid w:val="00223204"/>
    <w:rsid w:val="0022372B"/>
    <w:rsid w:val="002239D5"/>
    <w:rsid w:val="00223DD8"/>
    <w:rsid w:val="00224144"/>
    <w:rsid w:val="002245BA"/>
    <w:rsid w:val="0022460C"/>
    <w:rsid w:val="00224C36"/>
    <w:rsid w:val="00225B38"/>
    <w:rsid w:val="00226131"/>
    <w:rsid w:val="00227085"/>
    <w:rsid w:val="00227B39"/>
    <w:rsid w:val="00227FDA"/>
    <w:rsid w:val="002302C3"/>
    <w:rsid w:val="00230392"/>
    <w:rsid w:val="0023226F"/>
    <w:rsid w:val="00232450"/>
    <w:rsid w:val="00232ABD"/>
    <w:rsid w:val="00232E49"/>
    <w:rsid w:val="00232E83"/>
    <w:rsid w:val="002331C4"/>
    <w:rsid w:val="0023418F"/>
    <w:rsid w:val="00234B33"/>
    <w:rsid w:val="00235A3C"/>
    <w:rsid w:val="00235B39"/>
    <w:rsid w:val="00235D8C"/>
    <w:rsid w:val="002360B8"/>
    <w:rsid w:val="00236BE0"/>
    <w:rsid w:val="00237807"/>
    <w:rsid w:val="00237FE1"/>
    <w:rsid w:val="002400F9"/>
    <w:rsid w:val="00240472"/>
    <w:rsid w:val="00240EFE"/>
    <w:rsid w:val="0024106A"/>
    <w:rsid w:val="00241AE9"/>
    <w:rsid w:val="00242824"/>
    <w:rsid w:val="0024362C"/>
    <w:rsid w:val="0024383B"/>
    <w:rsid w:val="00245ECD"/>
    <w:rsid w:val="00246CD2"/>
    <w:rsid w:val="00246E29"/>
    <w:rsid w:val="00250296"/>
    <w:rsid w:val="00250B16"/>
    <w:rsid w:val="00251C4C"/>
    <w:rsid w:val="00251D52"/>
    <w:rsid w:val="00252696"/>
    <w:rsid w:val="002529D0"/>
    <w:rsid w:val="00252BBB"/>
    <w:rsid w:val="002532B0"/>
    <w:rsid w:val="002536DD"/>
    <w:rsid w:val="0025408E"/>
    <w:rsid w:val="002543B2"/>
    <w:rsid w:val="0025539C"/>
    <w:rsid w:val="00256399"/>
    <w:rsid w:val="00256805"/>
    <w:rsid w:val="00257FE2"/>
    <w:rsid w:val="00260C87"/>
    <w:rsid w:val="00260FF1"/>
    <w:rsid w:val="00261651"/>
    <w:rsid w:val="00261C4C"/>
    <w:rsid w:val="00261D2B"/>
    <w:rsid w:val="0026242E"/>
    <w:rsid w:val="00262F19"/>
    <w:rsid w:val="00265772"/>
    <w:rsid w:val="002663E0"/>
    <w:rsid w:val="00267B12"/>
    <w:rsid w:val="00273050"/>
    <w:rsid w:val="00273D44"/>
    <w:rsid w:val="00274C62"/>
    <w:rsid w:val="0027578B"/>
    <w:rsid w:val="00275F5A"/>
    <w:rsid w:val="002762DB"/>
    <w:rsid w:val="00276BCC"/>
    <w:rsid w:val="00276DC2"/>
    <w:rsid w:val="00276EE8"/>
    <w:rsid w:val="0028052C"/>
    <w:rsid w:val="002807BC"/>
    <w:rsid w:val="002810E5"/>
    <w:rsid w:val="00281CAB"/>
    <w:rsid w:val="00282092"/>
    <w:rsid w:val="00282552"/>
    <w:rsid w:val="00283009"/>
    <w:rsid w:val="002832E9"/>
    <w:rsid w:val="002834D6"/>
    <w:rsid w:val="00283919"/>
    <w:rsid w:val="002841E0"/>
    <w:rsid w:val="002850A2"/>
    <w:rsid w:val="002850EE"/>
    <w:rsid w:val="0028530C"/>
    <w:rsid w:val="00285B3D"/>
    <w:rsid w:val="00286DB5"/>
    <w:rsid w:val="002871FF"/>
    <w:rsid w:val="0029062F"/>
    <w:rsid w:val="00290EF8"/>
    <w:rsid w:val="00292AA0"/>
    <w:rsid w:val="00292BB1"/>
    <w:rsid w:val="00292D46"/>
    <w:rsid w:val="00292ECD"/>
    <w:rsid w:val="00294BE5"/>
    <w:rsid w:val="00295C5C"/>
    <w:rsid w:val="00296ACE"/>
    <w:rsid w:val="00297A0E"/>
    <w:rsid w:val="002A0FA8"/>
    <w:rsid w:val="002A22D9"/>
    <w:rsid w:val="002A2F32"/>
    <w:rsid w:val="002A3059"/>
    <w:rsid w:val="002A3290"/>
    <w:rsid w:val="002A3C12"/>
    <w:rsid w:val="002A3E3C"/>
    <w:rsid w:val="002A4FBE"/>
    <w:rsid w:val="002A5473"/>
    <w:rsid w:val="002A56B5"/>
    <w:rsid w:val="002A5D50"/>
    <w:rsid w:val="002A6202"/>
    <w:rsid w:val="002A6559"/>
    <w:rsid w:val="002A6CEC"/>
    <w:rsid w:val="002A7304"/>
    <w:rsid w:val="002A7325"/>
    <w:rsid w:val="002B11A6"/>
    <w:rsid w:val="002B1AE8"/>
    <w:rsid w:val="002B226B"/>
    <w:rsid w:val="002B420F"/>
    <w:rsid w:val="002B43E9"/>
    <w:rsid w:val="002B4E2A"/>
    <w:rsid w:val="002B6D49"/>
    <w:rsid w:val="002B70BB"/>
    <w:rsid w:val="002B7282"/>
    <w:rsid w:val="002B7A87"/>
    <w:rsid w:val="002C1248"/>
    <w:rsid w:val="002C1E95"/>
    <w:rsid w:val="002C2254"/>
    <w:rsid w:val="002C2AC5"/>
    <w:rsid w:val="002C72B2"/>
    <w:rsid w:val="002C7543"/>
    <w:rsid w:val="002C7AFB"/>
    <w:rsid w:val="002D033E"/>
    <w:rsid w:val="002D16CE"/>
    <w:rsid w:val="002D2981"/>
    <w:rsid w:val="002D3965"/>
    <w:rsid w:val="002D3978"/>
    <w:rsid w:val="002D54F2"/>
    <w:rsid w:val="002D6717"/>
    <w:rsid w:val="002D7FA8"/>
    <w:rsid w:val="002E0B78"/>
    <w:rsid w:val="002E36DA"/>
    <w:rsid w:val="002E3834"/>
    <w:rsid w:val="002E3A41"/>
    <w:rsid w:val="002E5CC3"/>
    <w:rsid w:val="002E64C5"/>
    <w:rsid w:val="002E780C"/>
    <w:rsid w:val="002E7C3F"/>
    <w:rsid w:val="002E7D99"/>
    <w:rsid w:val="002F0629"/>
    <w:rsid w:val="002F07DF"/>
    <w:rsid w:val="002F0BF7"/>
    <w:rsid w:val="002F104D"/>
    <w:rsid w:val="002F286C"/>
    <w:rsid w:val="002F2A05"/>
    <w:rsid w:val="002F60D5"/>
    <w:rsid w:val="002F673B"/>
    <w:rsid w:val="002F6E85"/>
    <w:rsid w:val="00300614"/>
    <w:rsid w:val="00300804"/>
    <w:rsid w:val="00301E0E"/>
    <w:rsid w:val="003020D3"/>
    <w:rsid w:val="003043F9"/>
    <w:rsid w:val="00304A09"/>
    <w:rsid w:val="00305C98"/>
    <w:rsid w:val="00306710"/>
    <w:rsid w:val="003069F7"/>
    <w:rsid w:val="003100DB"/>
    <w:rsid w:val="0031029B"/>
    <w:rsid w:val="00310509"/>
    <w:rsid w:val="003108B7"/>
    <w:rsid w:val="00311202"/>
    <w:rsid w:val="003119D2"/>
    <w:rsid w:val="00311A74"/>
    <w:rsid w:val="00311C83"/>
    <w:rsid w:val="00312A5E"/>
    <w:rsid w:val="003134A6"/>
    <w:rsid w:val="0031369A"/>
    <w:rsid w:val="003143BF"/>
    <w:rsid w:val="00314921"/>
    <w:rsid w:val="00315AE9"/>
    <w:rsid w:val="00316E7A"/>
    <w:rsid w:val="00317857"/>
    <w:rsid w:val="00320ACD"/>
    <w:rsid w:val="003229DE"/>
    <w:rsid w:val="00322D9E"/>
    <w:rsid w:val="003231D7"/>
    <w:rsid w:val="00323549"/>
    <w:rsid w:val="00323BAA"/>
    <w:rsid w:val="00323D2E"/>
    <w:rsid w:val="003243F9"/>
    <w:rsid w:val="0032593F"/>
    <w:rsid w:val="003268D7"/>
    <w:rsid w:val="00326D76"/>
    <w:rsid w:val="00327216"/>
    <w:rsid w:val="00330227"/>
    <w:rsid w:val="0033170C"/>
    <w:rsid w:val="00332417"/>
    <w:rsid w:val="003324AA"/>
    <w:rsid w:val="00332924"/>
    <w:rsid w:val="0033298F"/>
    <w:rsid w:val="00332C5B"/>
    <w:rsid w:val="003337E8"/>
    <w:rsid w:val="00333CDB"/>
    <w:rsid w:val="00333F45"/>
    <w:rsid w:val="003344A5"/>
    <w:rsid w:val="00335D98"/>
    <w:rsid w:val="00337A08"/>
    <w:rsid w:val="0034023C"/>
    <w:rsid w:val="0034032B"/>
    <w:rsid w:val="0034081E"/>
    <w:rsid w:val="00340A5F"/>
    <w:rsid w:val="00340AEA"/>
    <w:rsid w:val="00341C63"/>
    <w:rsid w:val="00342941"/>
    <w:rsid w:val="00342D77"/>
    <w:rsid w:val="00343326"/>
    <w:rsid w:val="00343B70"/>
    <w:rsid w:val="003450A5"/>
    <w:rsid w:val="00345424"/>
    <w:rsid w:val="00345A0A"/>
    <w:rsid w:val="00346711"/>
    <w:rsid w:val="00346C04"/>
    <w:rsid w:val="00350106"/>
    <w:rsid w:val="003501A6"/>
    <w:rsid w:val="00350D85"/>
    <w:rsid w:val="003519A9"/>
    <w:rsid w:val="00352396"/>
    <w:rsid w:val="00353E9C"/>
    <w:rsid w:val="003549AB"/>
    <w:rsid w:val="00355D86"/>
    <w:rsid w:val="0035648C"/>
    <w:rsid w:val="003572CB"/>
    <w:rsid w:val="003579F1"/>
    <w:rsid w:val="00361E1B"/>
    <w:rsid w:val="00362388"/>
    <w:rsid w:val="00362662"/>
    <w:rsid w:val="00362F16"/>
    <w:rsid w:val="003643A4"/>
    <w:rsid w:val="00364BA2"/>
    <w:rsid w:val="00364BF1"/>
    <w:rsid w:val="00365401"/>
    <w:rsid w:val="003669D6"/>
    <w:rsid w:val="00366F67"/>
    <w:rsid w:val="00367278"/>
    <w:rsid w:val="00367682"/>
    <w:rsid w:val="003676E1"/>
    <w:rsid w:val="0037005D"/>
    <w:rsid w:val="00370BED"/>
    <w:rsid w:val="003711C2"/>
    <w:rsid w:val="003712F5"/>
    <w:rsid w:val="003728A8"/>
    <w:rsid w:val="00374730"/>
    <w:rsid w:val="0037478F"/>
    <w:rsid w:val="00374F4C"/>
    <w:rsid w:val="003751AA"/>
    <w:rsid w:val="00376CFA"/>
    <w:rsid w:val="00377AB8"/>
    <w:rsid w:val="00380077"/>
    <w:rsid w:val="0038016A"/>
    <w:rsid w:val="00380269"/>
    <w:rsid w:val="00380FEB"/>
    <w:rsid w:val="00381492"/>
    <w:rsid w:val="0038161E"/>
    <w:rsid w:val="00381C32"/>
    <w:rsid w:val="00381D6A"/>
    <w:rsid w:val="00382A21"/>
    <w:rsid w:val="00382E5B"/>
    <w:rsid w:val="0038370D"/>
    <w:rsid w:val="00384CB2"/>
    <w:rsid w:val="00385D26"/>
    <w:rsid w:val="00385F25"/>
    <w:rsid w:val="00386AE3"/>
    <w:rsid w:val="00386E82"/>
    <w:rsid w:val="0038700B"/>
    <w:rsid w:val="00387FE3"/>
    <w:rsid w:val="003919DE"/>
    <w:rsid w:val="0039239A"/>
    <w:rsid w:val="00392E48"/>
    <w:rsid w:val="00393D7A"/>
    <w:rsid w:val="003941C9"/>
    <w:rsid w:val="003945FE"/>
    <w:rsid w:val="003953DC"/>
    <w:rsid w:val="00396A06"/>
    <w:rsid w:val="00397763"/>
    <w:rsid w:val="003A1634"/>
    <w:rsid w:val="003A178B"/>
    <w:rsid w:val="003A1B4F"/>
    <w:rsid w:val="003A2C5A"/>
    <w:rsid w:val="003A39EE"/>
    <w:rsid w:val="003A40D7"/>
    <w:rsid w:val="003A4103"/>
    <w:rsid w:val="003A440F"/>
    <w:rsid w:val="003A4902"/>
    <w:rsid w:val="003A4B80"/>
    <w:rsid w:val="003A505B"/>
    <w:rsid w:val="003A51C4"/>
    <w:rsid w:val="003A54EB"/>
    <w:rsid w:val="003A5B65"/>
    <w:rsid w:val="003A7590"/>
    <w:rsid w:val="003A79E0"/>
    <w:rsid w:val="003B1825"/>
    <w:rsid w:val="003B1E0E"/>
    <w:rsid w:val="003B2409"/>
    <w:rsid w:val="003B2B28"/>
    <w:rsid w:val="003B2EA3"/>
    <w:rsid w:val="003B44DA"/>
    <w:rsid w:val="003B495E"/>
    <w:rsid w:val="003B4ABF"/>
    <w:rsid w:val="003B51CF"/>
    <w:rsid w:val="003B7105"/>
    <w:rsid w:val="003B7A56"/>
    <w:rsid w:val="003B7BC1"/>
    <w:rsid w:val="003B7C2D"/>
    <w:rsid w:val="003B7E37"/>
    <w:rsid w:val="003C21F3"/>
    <w:rsid w:val="003C26B9"/>
    <w:rsid w:val="003C2A3F"/>
    <w:rsid w:val="003C30E5"/>
    <w:rsid w:val="003C3A0F"/>
    <w:rsid w:val="003C473F"/>
    <w:rsid w:val="003C549F"/>
    <w:rsid w:val="003C60F9"/>
    <w:rsid w:val="003C6569"/>
    <w:rsid w:val="003C6D47"/>
    <w:rsid w:val="003C7203"/>
    <w:rsid w:val="003C7EC1"/>
    <w:rsid w:val="003D0928"/>
    <w:rsid w:val="003D0ACD"/>
    <w:rsid w:val="003D12F0"/>
    <w:rsid w:val="003D18D4"/>
    <w:rsid w:val="003D1F3D"/>
    <w:rsid w:val="003D232D"/>
    <w:rsid w:val="003D24A9"/>
    <w:rsid w:val="003D3A7B"/>
    <w:rsid w:val="003D3F72"/>
    <w:rsid w:val="003D5E52"/>
    <w:rsid w:val="003D6F39"/>
    <w:rsid w:val="003D7573"/>
    <w:rsid w:val="003D78C0"/>
    <w:rsid w:val="003E1365"/>
    <w:rsid w:val="003E5E44"/>
    <w:rsid w:val="003E6395"/>
    <w:rsid w:val="003E6546"/>
    <w:rsid w:val="003F0166"/>
    <w:rsid w:val="003F0274"/>
    <w:rsid w:val="003F0EEE"/>
    <w:rsid w:val="003F1A04"/>
    <w:rsid w:val="003F2301"/>
    <w:rsid w:val="003F2925"/>
    <w:rsid w:val="003F2FCC"/>
    <w:rsid w:val="003F3392"/>
    <w:rsid w:val="003F3834"/>
    <w:rsid w:val="003F3D2F"/>
    <w:rsid w:val="003F44D1"/>
    <w:rsid w:val="003F459F"/>
    <w:rsid w:val="003F4B95"/>
    <w:rsid w:val="003F5010"/>
    <w:rsid w:val="003F5AE1"/>
    <w:rsid w:val="003F6060"/>
    <w:rsid w:val="003F7FFC"/>
    <w:rsid w:val="00400E3D"/>
    <w:rsid w:val="004024D6"/>
    <w:rsid w:val="00403C24"/>
    <w:rsid w:val="00404507"/>
    <w:rsid w:val="004059B4"/>
    <w:rsid w:val="00405BD0"/>
    <w:rsid w:val="00406197"/>
    <w:rsid w:val="00406BF5"/>
    <w:rsid w:val="004075EF"/>
    <w:rsid w:val="004108B2"/>
    <w:rsid w:val="00411125"/>
    <w:rsid w:val="00411420"/>
    <w:rsid w:val="0041142D"/>
    <w:rsid w:val="0041270E"/>
    <w:rsid w:val="00412DDB"/>
    <w:rsid w:val="00412F53"/>
    <w:rsid w:val="0041354C"/>
    <w:rsid w:val="00413575"/>
    <w:rsid w:val="0041447B"/>
    <w:rsid w:val="004145BD"/>
    <w:rsid w:val="0041464D"/>
    <w:rsid w:val="00415056"/>
    <w:rsid w:val="00415260"/>
    <w:rsid w:val="004164D1"/>
    <w:rsid w:val="004175AD"/>
    <w:rsid w:val="00420002"/>
    <w:rsid w:val="00420085"/>
    <w:rsid w:val="0042028C"/>
    <w:rsid w:val="004203CA"/>
    <w:rsid w:val="0042196D"/>
    <w:rsid w:val="0042277E"/>
    <w:rsid w:val="004229F4"/>
    <w:rsid w:val="00422FF1"/>
    <w:rsid w:val="004241EB"/>
    <w:rsid w:val="00424EC0"/>
    <w:rsid w:val="00424FB7"/>
    <w:rsid w:val="00425026"/>
    <w:rsid w:val="004251D1"/>
    <w:rsid w:val="00425781"/>
    <w:rsid w:val="00426761"/>
    <w:rsid w:val="00427E73"/>
    <w:rsid w:val="00430240"/>
    <w:rsid w:val="004303E0"/>
    <w:rsid w:val="004306ED"/>
    <w:rsid w:val="00430C0A"/>
    <w:rsid w:val="00431010"/>
    <w:rsid w:val="00431AB6"/>
    <w:rsid w:val="00431D0A"/>
    <w:rsid w:val="00432BFD"/>
    <w:rsid w:val="00432EC3"/>
    <w:rsid w:val="00433665"/>
    <w:rsid w:val="0043401A"/>
    <w:rsid w:val="00434164"/>
    <w:rsid w:val="00434205"/>
    <w:rsid w:val="00435736"/>
    <w:rsid w:val="004377D8"/>
    <w:rsid w:val="00437CCA"/>
    <w:rsid w:val="00440383"/>
    <w:rsid w:val="004405F4"/>
    <w:rsid w:val="004406A6"/>
    <w:rsid w:val="00440839"/>
    <w:rsid w:val="00440F5D"/>
    <w:rsid w:val="00441217"/>
    <w:rsid w:val="00441284"/>
    <w:rsid w:val="00442990"/>
    <w:rsid w:val="00444AC8"/>
    <w:rsid w:val="00445D1A"/>
    <w:rsid w:val="004464F7"/>
    <w:rsid w:val="00447F81"/>
    <w:rsid w:val="004508A0"/>
    <w:rsid w:val="0045191D"/>
    <w:rsid w:val="004522F8"/>
    <w:rsid w:val="004543AD"/>
    <w:rsid w:val="004548C5"/>
    <w:rsid w:val="00456792"/>
    <w:rsid w:val="00456CE4"/>
    <w:rsid w:val="00456EDB"/>
    <w:rsid w:val="00457323"/>
    <w:rsid w:val="00460115"/>
    <w:rsid w:val="0046079D"/>
    <w:rsid w:val="00463337"/>
    <w:rsid w:val="0046594C"/>
    <w:rsid w:val="00465E79"/>
    <w:rsid w:val="00466E08"/>
    <w:rsid w:val="00466E89"/>
    <w:rsid w:val="00466F89"/>
    <w:rsid w:val="00467203"/>
    <w:rsid w:val="0046742B"/>
    <w:rsid w:val="00467463"/>
    <w:rsid w:val="00467EA6"/>
    <w:rsid w:val="004701B5"/>
    <w:rsid w:val="0047026E"/>
    <w:rsid w:val="00470363"/>
    <w:rsid w:val="00471680"/>
    <w:rsid w:val="004734D7"/>
    <w:rsid w:val="00473B09"/>
    <w:rsid w:val="00473C13"/>
    <w:rsid w:val="00474FF6"/>
    <w:rsid w:val="004760E3"/>
    <w:rsid w:val="004764A4"/>
    <w:rsid w:val="00476F67"/>
    <w:rsid w:val="0047710E"/>
    <w:rsid w:val="00477B7C"/>
    <w:rsid w:val="00481518"/>
    <w:rsid w:val="00482341"/>
    <w:rsid w:val="00482450"/>
    <w:rsid w:val="00483EDB"/>
    <w:rsid w:val="00484EFB"/>
    <w:rsid w:val="00484F52"/>
    <w:rsid w:val="00485064"/>
    <w:rsid w:val="004855D1"/>
    <w:rsid w:val="00486D69"/>
    <w:rsid w:val="00487964"/>
    <w:rsid w:val="004907CE"/>
    <w:rsid w:val="00490C1C"/>
    <w:rsid w:val="00491CBA"/>
    <w:rsid w:val="00492400"/>
    <w:rsid w:val="004925CF"/>
    <w:rsid w:val="0049277A"/>
    <w:rsid w:val="004928F9"/>
    <w:rsid w:val="00492BFC"/>
    <w:rsid w:val="00493022"/>
    <w:rsid w:val="0049323F"/>
    <w:rsid w:val="00493DBF"/>
    <w:rsid w:val="00493DE4"/>
    <w:rsid w:val="00494AE8"/>
    <w:rsid w:val="00494F2E"/>
    <w:rsid w:val="00495ADA"/>
    <w:rsid w:val="00496B2D"/>
    <w:rsid w:val="00496C72"/>
    <w:rsid w:val="00497F45"/>
    <w:rsid w:val="004A04B9"/>
    <w:rsid w:val="004A0875"/>
    <w:rsid w:val="004A0DCD"/>
    <w:rsid w:val="004A0F0A"/>
    <w:rsid w:val="004A1BA6"/>
    <w:rsid w:val="004A2F5E"/>
    <w:rsid w:val="004A34AD"/>
    <w:rsid w:val="004A3CE0"/>
    <w:rsid w:val="004A4939"/>
    <w:rsid w:val="004A56EB"/>
    <w:rsid w:val="004A65FA"/>
    <w:rsid w:val="004A68F4"/>
    <w:rsid w:val="004A6C28"/>
    <w:rsid w:val="004A6F60"/>
    <w:rsid w:val="004A77C3"/>
    <w:rsid w:val="004B0B8E"/>
    <w:rsid w:val="004B0BAB"/>
    <w:rsid w:val="004B2431"/>
    <w:rsid w:val="004B2A81"/>
    <w:rsid w:val="004B2D30"/>
    <w:rsid w:val="004B2FA5"/>
    <w:rsid w:val="004B3D2E"/>
    <w:rsid w:val="004B404C"/>
    <w:rsid w:val="004B5D6E"/>
    <w:rsid w:val="004B5ED8"/>
    <w:rsid w:val="004B73D9"/>
    <w:rsid w:val="004B7AEC"/>
    <w:rsid w:val="004B7C90"/>
    <w:rsid w:val="004C028A"/>
    <w:rsid w:val="004C0F9B"/>
    <w:rsid w:val="004C313C"/>
    <w:rsid w:val="004C31AF"/>
    <w:rsid w:val="004C3525"/>
    <w:rsid w:val="004C41F7"/>
    <w:rsid w:val="004C5B93"/>
    <w:rsid w:val="004C7962"/>
    <w:rsid w:val="004C79C4"/>
    <w:rsid w:val="004D0079"/>
    <w:rsid w:val="004D014B"/>
    <w:rsid w:val="004D095E"/>
    <w:rsid w:val="004D1FF0"/>
    <w:rsid w:val="004D25C8"/>
    <w:rsid w:val="004D289E"/>
    <w:rsid w:val="004D293E"/>
    <w:rsid w:val="004D2D12"/>
    <w:rsid w:val="004D332A"/>
    <w:rsid w:val="004D34C4"/>
    <w:rsid w:val="004D35E6"/>
    <w:rsid w:val="004D3A85"/>
    <w:rsid w:val="004D3F18"/>
    <w:rsid w:val="004D43F1"/>
    <w:rsid w:val="004D45C2"/>
    <w:rsid w:val="004D4C4B"/>
    <w:rsid w:val="004D5B82"/>
    <w:rsid w:val="004D65E2"/>
    <w:rsid w:val="004D662E"/>
    <w:rsid w:val="004D6AA7"/>
    <w:rsid w:val="004D753E"/>
    <w:rsid w:val="004E0093"/>
    <w:rsid w:val="004E22ED"/>
    <w:rsid w:val="004E2CF6"/>
    <w:rsid w:val="004E37AF"/>
    <w:rsid w:val="004E422E"/>
    <w:rsid w:val="004E6703"/>
    <w:rsid w:val="004E7D65"/>
    <w:rsid w:val="004F0217"/>
    <w:rsid w:val="004F18B6"/>
    <w:rsid w:val="004F32E4"/>
    <w:rsid w:val="004F42DF"/>
    <w:rsid w:val="004F479B"/>
    <w:rsid w:val="004F5C11"/>
    <w:rsid w:val="004F61C5"/>
    <w:rsid w:val="004F6DC5"/>
    <w:rsid w:val="004F778E"/>
    <w:rsid w:val="005007CD"/>
    <w:rsid w:val="00500B52"/>
    <w:rsid w:val="0050140E"/>
    <w:rsid w:val="00501E5E"/>
    <w:rsid w:val="00502EE9"/>
    <w:rsid w:val="00503E13"/>
    <w:rsid w:val="005055EC"/>
    <w:rsid w:val="005059EC"/>
    <w:rsid w:val="0050795F"/>
    <w:rsid w:val="00507A13"/>
    <w:rsid w:val="00510BE6"/>
    <w:rsid w:val="00511662"/>
    <w:rsid w:val="00511B2D"/>
    <w:rsid w:val="00511B39"/>
    <w:rsid w:val="00512B22"/>
    <w:rsid w:val="005134BE"/>
    <w:rsid w:val="00513F4F"/>
    <w:rsid w:val="005144E8"/>
    <w:rsid w:val="00516013"/>
    <w:rsid w:val="0051618C"/>
    <w:rsid w:val="00517188"/>
    <w:rsid w:val="005202FF"/>
    <w:rsid w:val="0052069C"/>
    <w:rsid w:val="00520CAB"/>
    <w:rsid w:val="00521B09"/>
    <w:rsid w:val="00521FCA"/>
    <w:rsid w:val="00522588"/>
    <w:rsid w:val="005233AF"/>
    <w:rsid w:val="00523AD3"/>
    <w:rsid w:val="0052573F"/>
    <w:rsid w:val="00525EAC"/>
    <w:rsid w:val="00525EC3"/>
    <w:rsid w:val="0052627F"/>
    <w:rsid w:val="00526579"/>
    <w:rsid w:val="00526B2E"/>
    <w:rsid w:val="00530B75"/>
    <w:rsid w:val="00531231"/>
    <w:rsid w:val="00533689"/>
    <w:rsid w:val="005338E3"/>
    <w:rsid w:val="005347C0"/>
    <w:rsid w:val="0053535F"/>
    <w:rsid w:val="00535899"/>
    <w:rsid w:val="00535B57"/>
    <w:rsid w:val="0054094F"/>
    <w:rsid w:val="00541472"/>
    <w:rsid w:val="00541B59"/>
    <w:rsid w:val="00542DCF"/>
    <w:rsid w:val="00543CA4"/>
    <w:rsid w:val="005446EF"/>
    <w:rsid w:val="005448BE"/>
    <w:rsid w:val="00545CE4"/>
    <w:rsid w:val="00546137"/>
    <w:rsid w:val="005462BC"/>
    <w:rsid w:val="00546444"/>
    <w:rsid w:val="00547476"/>
    <w:rsid w:val="00547B6F"/>
    <w:rsid w:val="00550255"/>
    <w:rsid w:val="0055060D"/>
    <w:rsid w:val="00553122"/>
    <w:rsid w:val="00553A37"/>
    <w:rsid w:val="005544E2"/>
    <w:rsid w:val="0055475B"/>
    <w:rsid w:val="00555879"/>
    <w:rsid w:val="00556152"/>
    <w:rsid w:val="00556436"/>
    <w:rsid w:val="00556EDA"/>
    <w:rsid w:val="00560C5E"/>
    <w:rsid w:val="00561109"/>
    <w:rsid w:val="0056149B"/>
    <w:rsid w:val="0056224D"/>
    <w:rsid w:val="00562E09"/>
    <w:rsid w:val="00563703"/>
    <w:rsid w:val="00563CA2"/>
    <w:rsid w:val="00564D22"/>
    <w:rsid w:val="005657DA"/>
    <w:rsid w:val="00567134"/>
    <w:rsid w:val="00567560"/>
    <w:rsid w:val="005716E0"/>
    <w:rsid w:val="005721D2"/>
    <w:rsid w:val="00572260"/>
    <w:rsid w:val="005724C1"/>
    <w:rsid w:val="00572739"/>
    <w:rsid w:val="00572FDF"/>
    <w:rsid w:val="00573402"/>
    <w:rsid w:val="0057361B"/>
    <w:rsid w:val="00575A52"/>
    <w:rsid w:val="00575C7D"/>
    <w:rsid w:val="005768DB"/>
    <w:rsid w:val="005769BC"/>
    <w:rsid w:val="005773D4"/>
    <w:rsid w:val="00577A09"/>
    <w:rsid w:val="00577B8C"/>
    <w:rsid w:val="0058027B"/>
    <w:rsid w:val="00580B1E"/>
    <w:rsid w:val="00582190"/>
    <w:rsid w:val="00583646"/>
    <w:rsid w:val="00583C9C"/>
    <w:rsid w:val="005842BE"/>
    <w:rsid w:val="0058473D"/>
    <w:rsid w:val="00584EB9"/>
    <w:rsid w:val="00585316"/>
    <w:rsid w:val="005855D3"/>
    <w:rsid w:val="005868A1"/>
    <w:rsid w:val="0058732F"/>
    <w:rsid w:val="005909BA"/>
    <w:rsid w:val="00591A00"/>
    <w:rsid w:val="005944D2"/>
    <w:rsid w:val="005967EB"/>
    <w:rsid w:val="00596FEC"/>
    <w:rsid w:val="00597052"/>
    <w:rsid w:val="005A0A5E"/>
    <w:rsid w:val="005A1499"/>
    <w:rsid w:val="005A1743"/>
    <w:rsid w:val="005A1925"/>
    <w:rsid w:val="005A2D0A"/>
    <w:rsid w:val="005A3050"/>
    <w:rsid w:val="005A4597"/>
    <w:rsid w:val="005A4718"/>
    <w:rsid w:val="005A4EB0"/>
    <w:rsid w:val="005A5EE2"/>
    <w:rsid w:val="005A6467"/>
    <w:rsid w:val="005A6DCF"/>
    <w:rsid w:val="005A7591"/>
    <w:rsid w:val="005B041D"/>
    <w:rsid w:val="005B0EDC"/>
    <w:rsid w:val="005B169B"/>
    <w:rsid w:val="005B1B40"/>
    <w:rsid w:val="005B1CED"/>
    <w:rsid w:val="005B1FDE"/>
    <w:rsid w:val="005B21C3"/>
    <w:rsid w:val="005B32F4"/>
    <w:rsid w:val="005B4773"/>
    <w:rsid w:val="005B4ED0"/>
    <w:rsid w:val="005B5550"/>
    <w:rsid w:val="005B61BE"/>
    <w:rsid w:val="005B6C39"/>
    <w:rsid w:val="005B6F00"/>
    <w:rsid w:val="005B7CDC"/>
    <w:rsid w:val="005B7D04"/>
    <w:rsid w:val="005B7E96"/>
    <w:rsid w:val="005C1456"/>
    <w:rsid w:val="005C19C1"/>
    <w:rsid w:val="005C20AB"/>
    <w:rsid w:val="005C226E"/>
    <w:rsid w:val="005C252F"/>
    <w:rsid w:val="005C27B7"/>
    <w:rsid w:val="005C2969"/>
    <w:rsid w:val="005C3B8D"/>
    <w:rsid w:val="005C3C69"/>
    <w:rsid w:val="005C4647"/>
    <w:rsid w:val="005C5AEE"/>
    <w:rsid w:val="005C5B00"/>
    <w:rsid w:val="005D12A4"/>
    <w:rsid w:val="005D16FD"/>
    <w:rsid w:val="005D18B8"/>
    <w:rsid w:val="005D30AB"/>
    <w:rsid w:val="005D382C"/>
    <w:rsid w:val="005D4115"/>
    <w:rsid w:val="005D4A9D"/>
    <w:rsid w:val="005D6015"/>
    <w:rsid w:val="005D64EA"/>
    <w:rsid w:val="005D6AAD"/>
    <w:rsid w:val="005D6FB0"/>
    <w:rsid w:val="005D793F"/>
    <w:rsid w:val="005D7B68"/>
    <w:rsid w:val="005D7CD8"/>
    <w:rsid w:val="005E1B58"/>
    <w:rsid w:val="005E289F"/>
    <w:rsid w:val="005E2AA5"/>
    <w:rsid w:val="005E54A6"/>
    <w:rsid w:val="005E5581"/>
    <w:rsid w:val="005E57A9"/>
    <w:rsid w:val="005E648C"/>
    <w:rsid w:val="005E7191"/>
    <w:rsid w:val="005E7AEB"/>
    <w:rsid w:val="005E7BC2"/>
    <w:rsid w:val="005F0655"/>
    <w:rsid w:val="005F09E2"/>
    <w:rsid w:val="005F13CB"/>
    <w:rsid w:val="005F2E47"/>
    <w:rsid w:val="005F386F"/>
    <w:rsid w:val="005F42B7"/>
    <w:rsid w:val="005F4AD3"/>
    <w:rsid w:val="005F582F"/>
    <w:rsid w:val="005F6754"/>
    <w:rsid w:val="005F6ADB"/>
    <w:rsid w:val="005F7301"/>
    <w:rsid w:val="005F7FE3"/>
    <w:rsid w:val="006001F9"/>
    <w:rsid w:val="00600895"/>
    <w:rsid w:val="00601854"/>
    <w:rsid w:val="00601981"/>
    <w:rsid w:val="00601A39"/>
    <w:rsid w:val="00602E71"/>
    <w:rsid w:val="00602F1D"/>
    <w:rsid w:val="00602F99"/>
    <w:rsid w:val="00603724"/>
    <w:rsid w:val="00603A2A"/>
    <w:rsid w:val="00604C1A"/>
    <w:rsid w:val="00605745"/>
    <w:rsid w:val="00605782"/>
    <w:rsid w:val="00605A74"/>
    <w:rsid w:val="00606C14"/>
    <w:rsid w:val="006117D3"/>
    <w:rsid w:val="00612242"/>
    <w:rsid w:val="00612CC4"/>
    <w:rsid w:val="00613358"/>
    <w:rsid w:val="0061435B"/>
    <w:rsid w:val="0061439A"/>
    <w:rsid w:val="0061466D"/>
    <w:rsid w:val="0061635E"/>
    <w:rsid w:val="00616849"/>
    <w:rsid w:val="00617A24"/>
    <w:rsid w:val="00617DB1"/>
    <w:rsid w:val="00620C66"/>
    <w:rsid w:val="00621F8F"/>
    <w:rsid w:val="0062233F"/>
    <w:rsid w:val="00622997"/>
    <w:rsid w:val="00623404"/>
    <w:rsid w:val="0062367F"/>
    <w:rsid w:val="00624178"/>
    <w:rsid w:val="006253D9"/>
    <w:rsid w:val="0062581A"/>
    <w:rsid w:val="00625EA2"/>
    <w:rsid w:val="006261DA"/>
    <w:rsid w:val="006267E8"/>
    <w:rsid w:val="0062710A"/>
    <w:rsid w:val="00627C16"/>
    <w:rsid w:val="00632005"/>
    <w:rsid w:val="00632D10"/>
    <w:rsid w:val="00632FBD"/>
    <w:rsid w:val="00633B1B"/>
    <w:rsid w:val="00635495"/>
    <w:rsid w:val="0063562E"/>
    <w:rsid w:val="00636200"/>
    <w:rsid w:val="00636262"/>
    <w:rsid w:val="0063667E"/>
    <w:rsid w:val="006366EF"/>
    <w:rsid w:val="0064051D"/>
    <w:rsid w:val="00640C9E"/>
    <w:rsid w:val="00641902"/>
    <w:rsid w:val="00641B03"/>
    <w:rsid w:val="00641C9E"/>
    <w:rsid w:val="00642239"/>
    <w:rsid w:val="0064316C"/>
    <w:rsid w:val="00643EDF"/>
    <w:rsid w:val="00644F2A"/>
    <w:rsid w:val="0064523D"/>
    <w:rsid w:val="00645E78"/>
    <w:rsid w:val="00647572"/>
    <w:rsid w:val="006479F4"/>
    <w:rsid w:val="00650CBA"/>
    <w:rsid w:val="00651654"/>
    <w:rsid w:val="00652BA7"/>
    <w:rsid w:val="00653E24"/>
    <w:rsid w:val="00656450"/>
    <w:rsid w:val="006577AE"/>
    <w:rsid w:val="00657CCC"/>
    <w:rsid w:val="00660407"/>
    <w:rsid w:val="0066104D"/>
    <w:rsid w:val="006616BB"/>
    <w:rsid w:val="00661E89"/>
    <w:rsid w:val="0066256E"/>
    <w:rsid w:val="00662AE7"/>
    <w:rsid w:val="00663C40"/>
    <w:rsid w:val="00665797"/>
    <w:rsid w:val="00667135"/>
    <w:rsid w:val="0066730C"/>
    <w:rsid w:val="00667D87"/>
    <w:rsid w:val="006702BB"/>
    <w:rsid w:val="00671053"/>
    <w:rsid w:val="006712AC"/>
    <w:rsid w:val="00671AE3"/>
    <w:rsid w:val="00671F71"/>
    <w:rsid w:val="0067358C"/>
    <w:rsid w:val="006736E0"/>
    <w:rsid w:val="006740A9"/>
    <w:rsid w:val="006747B9"/>
    <w:rsid w:val="00674F50"/>
    <w:rsid w:val="00675399"/>
    <w:rsid w:val="00675712"/>
    <w:rsid w:val="00675A28"/>
    <w:rsid w:val="00675FF2"/>
    <w:rsid w:val="00676296"/>
    <w:rsid w:val="00677522"/>
    <w:rsid w:val="00680966"/>
    <w:rsid w:val="006814C8"/>
    <w:rsid w:val="00681C3D"/>
    <w:rsid w:val="00682A00"/>
    <w:rsid w:val="00683A3D"/>
    <w:rsid w:val="00683EC1"/>
    <w:rsid w:val="0068543A"/>
    <w:rsid w:val="006856AF"/>
    <w:rsid w:val="0068668B"/>
    <w:rsid w:val="00686A7C"/>
    <w:rsid w:val="0068759B"/>
    <w:rsid w:val="00687FB2"/>
    <w:rsid w:val="00690550"/>
    <w:rsid w:val="00690CB1"/>
    <w:rsid w:val="00691227"/>
    <w:rsid w:val="00691435"/>
    <w:rsid w:val="0069150D"/>
    <w:rsid w:val="00691BD2"/>
    <w:rsid w:val="00692A60"/>
    <w:rsid w:val="00692C56"/>
    <w:rsid w:val="006945C4"/>
    <w:rsid w:val="006970C6"/>
    <w:rsid w:val="00697562"/>
    <w:rsid w:val="006A13A5"/>
    <w:rsid w:val="006A144F"/>
    <w:rsid w:val="006A1C1E"/>
    <w:rsid w:val="006A1F17"/>
    <w:rsid w:val="006A3220"/>
    <w:rsid w:val="006A340A"/>
    <w:rsid w:val="006A34ED"/>
    <w:rsid w:val="006A38CD"/>
    <w:rsid w:val="006A3B90"/>
    <w:rsid w:val="006A4D5D"/>
    <w:rsid w:val="006A5A32"/>
    <w:rsid w:val="006A6A06"/>
    <w:rsid w:val="006A727E"/>
    <w:rsid w:val="006A7309"/>
    <w:rsid w:val="006A7E5D"/>
    <w:rsid w:val="006B0C42"/>
    <w:rsid w:val="006B0E0E"/>
    <w:rsid w:val="006B1038"/>
    <w:rsid w:val="006B1110"/>
    <w:rsid w:val="006B1665"/>
    <w:rsid w:val="006B2A73"/>
    <w:rsid w:val="006B2BD8"/>
    <w:rsid w:val="006B3CF5"/>
    <w:rsid w:val="006B49AE"/>
    <w:rsid w:val="006B57D4"/>
    <w:rsid w:val="006B6948"/>
    <w:rsid w:val="006B708C"/>
    <w:rsid w:val="006C02C3"/>
    <w:rsid w:val="006C0A17"/>
    <w:rsid w:val="006C0BC1"/>
    <w:rsid w:val="006C0D21"/>
    <w:rsid w:val="006C114D"/>
    <w:rsid w:val="006C1C93"/>
    <w:rsid w:val="006C1FE0"/>
    <w:rsid w:val="006C26E0"/>
    <w:rsid w:val="006C3250"/>
    <w:rsid w:val="006C3629"/>
    <w:rsid w:val="006C418C"/>
    <w:rsid w:val="006C4AE0"/>
    <w:rsid w:val="006C544F"/>
    <w:rsid w:val="006C562F"/>
    <w:rsid w:val="006C5676"/>
    <w:rsid w:val="006C5CB9"/>
    <w:rsid w:val="006C601D"/>
    <w:rsid w:val="006C616C"/>
    <w:rsid w:val="006C6FD6"/>
    <w:rsid w:val="006C7E69"/>
    <w:rsid w:val="006D0587"/>
    <w:rsid w:val="006D0AFA"/>
    <w:rsid w:val="006D1C90"/>
    <w:rsid w:val="006D27D8"/>
    <w:rsid w:val="006D2BCD"/>
    <w:rsid w:val="006D3788"/>
    <w:rsid w:val="006D3AA3"/>
    <w:rsid w:val="006D4C1F"/>
    <w:rsid w:val="006D52CA"/>
    <w:rsid w:val="006E06F6"/>
    <w:rsid w:val="006E0F6E"/>
    <w:rsid w:val="006E107E"/>
    <w:rsid w:val="006E1698"/>
    <w:rsid w:val="006E1884"/>
    <w:rsid w:val="006E45BC"/>
    <w:rsid w:val="006E4764"/>
    <w:rsid w:val="006E57D8"/>
    <w:rsid w:val="006E73D2"/>
    <w:rsid w:val="006E76BC"/>
    <w:rsid w:val="006F0D84"/>
    <w:rsid w:val="006F1AE3"/>
    <w:rsid w:val="006F1BEA"/>
    <w:rsid w:val="006F1D2F"/>
    <w:rsid w:val="006F3518"/>
    <w:rsid w:val="006F4829"/>
    <w:rsid w:val="006F5E04"/>
    <w:rsid w:val="006F68E7"/>
    <w:rsid w:val="006F6B53"/>
    <w:rsid w:val="00701C6E"/>
    <w:rsid w:val="007020F4"/>
    <w:rsid w:val="007027C2"/>
    <w:rsid w:val="007037D7"/>
    <w:rsid w:val="0070429F"/>
    <w:rsid w:val="0070435B"/>
    <w:rsid w:val="007050DA"/>
    <w:rsid w:val="00705330"/>
    <w:rsid w:val="00707EF1"/>
    <w:rsid w:val="007107C6"/>
    <w:rsid w:val="00712E6B"/>
    <w:rsid w:val="00713D0E"/>
    <w:rsid w:val="007143BA"/>
    <w:rsid w:val="0071457C"/>
    <w:rsid w:val="00716A1E"/>
    <w:rsid w:val="00717361"/>
    <w:rsid w:val="00717860"/>
    <w:rsid w:val="007179C2"/>
    <w:rsid w:val="00717F27"/>
    <w:rsid w:val="00720252"/>
    <w:rsid w:val="007202D9"/>
    <w:rsid w:val="00722567"/>
    <w:rsid w:val="00722A89"/>
    <w:rsid w:val="00723F25"/>
    <w:rsid w:val="00725230"/>
    <w:rsid w:val="00725AA2"/>
    <w:rsid w:val="00725ACB"/>
    <w:rsid w:val="00725FFE"/>
    <w:rsid w:val="00726012"/>
    <w:rsid w:val="007306BC"/>
    <w:rsid w:val="00731DD2"/>
    <w:rsid w:val="00731EFA"/>
    <w:rsid w:val="0073208C"/>
    <w:rsid w:val="0073263A"/>
    <w:rsid w:val="0073269B"/>
    <w:rsid w:val="00732D3F"/>
    <w:rsid w:val="007330E2"/>
    <w:rsid w:val="0073325A"/>
    <w:rsid w:val="00733A6E"/>
    <w:rsid w:val="0073403D"/>
    <w:rsid w:val="00735A38"/>
    <w:rsid w:val="00735A4B"/>
    <w:rsid w:val="00736420"/>
    <w:rsid w:val="00737D4D"/>
    <w:rsid w:val="00741010"/>
    <w:rsid w:val="00742048"/>
    <w:rsid w:val="00742736"/>
    <w:rsid w:val="007436F4"/>
    <w:rsid w:val="00743FBF"/>
    <w:rsid w:val="007443B7"/>
    <w:rsid w:val="0074498C"/>
    <w:rsid w:val="00744BF2"/>
    <w:rsid w:val="00744C57"/>
    <w:rsid w:val="0074560F"/>
    <w:rsid w:val="00745C49"/>
    <w:rsid w:val="007462DA"/>
    <w:rsid w:val="0074747C"/>
    <w:rsid w:val="00747C2F"/>
    <w:rsid w:val="00747F68"/>
    <w:rsid w:val="00751A52"/>
    <w:rsid w:val="00752407"/>
    <w:rsid w:val="00754489"/>
    <w:rsid w:val="00755714"/>
    <w:rsid w:val="007562C6"/>
    <w:rsid w:val="00756C71"/>
    <w:rsid w:val="00756D42"/>
    <w:rsid w:val="007601E6"/>
    <w:rsid w:val="00760C44"/>
    <w:rsid w:val="0076107C"/>
    <w:rsid w:val="007610E4"/>
    <w:rsid w:val="00761859"/>
    <w:rsid w:val="00761EC2"/>
    <w:rsid w:val="007626B6"/>
    <w:rsid w:val="00762CF4"/>
    <w:rsid w:val="00763462"/>
    <w:rsid w:val="007649BB"/>
    <w:rsid w:val="00764A22"/>
    <w:rsid w:val="007651FF"/>
    <w:rsid w:val="00765651"/>
    <w:rsid w:val="00765789"/>
    <w:rsid w:val="00765C1A"/>
    <w:rsid w:val="007660D0"/>
    <w:rsid w:val="0076639F"/>
    <w:rsid w:val="0076676C"/>
    <w:rsid w:val="00767BF4"/>
    <w:rsid w:val="00767CDA"/>
    <w:rsid w:val="00767E69"/>
    <w:rsid w:val="00770300"/>
    <w:rsid w:val="0077052A"/>
    <w:rsid w:val="007707DD"/>
    <w:rsid w:val="00771537"/>
    <w:rsid w:val="00772603"/>
    <w:rsid w:val="007728D6"/>
    <w:rsid w:val="00772D02"/>
    <w:rsid w:val="00773872"/>
    <w:rsid w:val="00773CDE"/>
    <w:rsid w:val="00773EB7"/>
    <w:rsid w:val="00774683"/>
    <w:rsid w:val="00774E59"/>
    <w:rsid w:val="00775A4D"/>
    <w:rsid w:val="00775F72"/>
    <w:rsid w:val="007761A4"/>
    <w:rsid w:val="00776446"/>
    <w:rsid w:val="00780E8A"/>
    <w:rsid w:val="00781F20"/>
    <w:rsid w:val="00782562"/>
    <w:rsid w:val="00782935"/>
    <w:rsid w:val="00783C2A"/>
    <w:rsid w:val="007843B0"/>
    <w:rsid w:val="00784B6B"/>
    <w:rsid w:val="00785511"/>
    <w:rsid w:val="00785787"/>
    <w:rsid w:val="007859E4"/>
    <w:rsid w:val="00785D61"/>
    <w:rsid w:val="00786174"/>
    <w:rsid w:val="0078621E"/>
    <w:rsid w:val="0078717E"/>
    <w:rsid w:val="00787214"/>
    <w:rsid w:val="0078787D"/>
    <w:rsid w:val="00790E49"/>
    <w:rsid w:val="0079192A"/>
    <w:rsid w:val="007929F0"/>
    <w:rsid w:val="00792FBA"/>
    <w:rsid w:val="00793810"/>
    <w:rsid w:val="00793D17"/>
    <w:rsid w:val="00795A43"/>
    <w:rsid w:val="00795E6D"/>
    <w:rsid w:val="007962DE"/>
    <w:rsid w:val="0079663A"/>
    <w:rsid w:val="00796A74"/>
    <w:rsid w:val="0079752E"/>
    <w:rsid w:val="007A04FA"/>
    <w:rsid w:val="007A3A97"/>
    <w:rsid w:val="007A3BE4"/>
    <w:rsid w:val="007A3C0C"/>
    <w:rsid w:val="007A433D"/>
    <w:rsid w:val="007A4F56"/>
    <w:rsid w:val="007A4F88"/>
    <w:rsid w:val="007A59CE"/>
    <w:rsid w:val="007A5C8F"/>
    <w:rsid w:val="007A6C7F"/>
    <w:rsid w:val="007A6D6D"/>
    <w:rsid w:val="007A77C7"/>
    <w:rsid w:val="007A7FDA"/>
    <w:rsid w:val="007B03F5"/>
    <w:rsid w:val="007B07BF"/>
    <w:rsid w:val="007B07E2"/>
    <w:rsid w:val="007B1B10"/>
    <w:rsid w:val="007B2DE7"/>
    <w:rsid w:val="007B3750"/>
    <w:rsid w:val="007B558D"/>
    <w:rsid w:val="007B6599"/>
    <w:rsid w:val="007B75EF"/>
    <w:rsid w:val="007B7C96"/>
    <w:rsid w:val="007B7ED5"/>
    <w:rsid w:val="007C0924"/>
    <w:rsid w:val="007C0BAD"/>
    <w:rsid w:val="007C104F"/>
    <w:rsid w:val="007C1129"/>
    <w:rsid w:val="007C144D"/>
    <w:rsid w:val="007C1589"/>
    <w:rsid w:val="007C187A"/>
    <w:rsid w:val="007C1C79"/>
    <w:rsid w:val="007C1E15"/>
    <w:rsid w:val="007C26DE"/>
    <w:rsid w:val="007C30C1"/>
    <w:rsid w:val="007C3135"/>
    <w:rsid w:val="007C41AA"/>
    <w:rsid w:val="007C5B94"/>
    <w:rsid w:val="007C6B42"/>
    <w:rsid w:val="007C74C5"/>
    <w:rsid w:val="007C75AD"/>
    <w:rsid w:val="007C75BD"/>
    <w:rsid w:val="007D0242"/>
    <w:rsid w:val="007D088F"/>
    <w:rsid w:val="007D0935"/>
    <w:rsid w:val="007D17D5"/>
    <w:rsid w:val="007D21FC"/>
    <w:rsid w:val="007D3B12"/>
    <w:rsid w:val="007D46EC"/>
    <w:rsid w:val="007D475F"/>
    <w:rsid w:val="007D49DA"/>
    <w:rsid w:val="007D522B"/>
    <w:rsid w:val="007D5D18"/>
    <w:rsid w:val="007D6300"/>
    <w:rsid w:val="007D6519"/>
    <w:rsid w:val="007D66FC"/>
    <w:rsid w:val="007D6BC0"/>
    <w:rsid w:val="007D704F"/>
    <w:rsid w:val="007D7534"/>
    <w:rsid w:val="007D7A1E"/>
    <w:rsid w:val="007E0363"/>
    <w:rsid w:val="007E1F36"/>
    <w:rsid w:val="007E2DC3"/>
    <w:rsid w:val="007E33B3"/>
    <w:rsid w:val="007E4540"/>
    <w:rsid w:val="007E4C6C"/>
    <w:rsid w:val="007E4D9B"/>
    <w:rsid w:val="007E5170"/>
    <w:rsid w:val="007E7868"/>
    <w:rsid w:val="007F0804"/>
    <w:rsid w:val="007F0AB6"/>
    <w:rsid w:val="007F0F90"/>
    <w:rsid w:val="007F1786"/>
    <w:rsid w:val="007F3332"/>
    <w:rsid w:val="007F4140"/>
    <w:rsid w:val="007F5237"/>
    <w:rsid w:val="007F5DCF"/>
    <w:rsid w:val="007F5E1B"/>
    <w:rsid w:val="007F61AA"/>
    <w:rsid w:val="007F6765"/>
    <w:rsid w:val="007F6F6A"/>
    <w:rsid w:val="007F7AFB"/>
    <w:rsid w:val="007F7C79"/>
    <w:rsid w:val="00801C35"/>
    <w:rsid w:val="008031D6"/>
    <w:rsid w:val="00803C20"/>
    <w:rsid w:val="00804232"/>
    <w:rsid w:val="00804281"/>
    <w:rsid w:val="0080457F"/>
    <w:rsid w:val="008051F6"/>
    <w:rsid w:val="00805AAE"/>
    <w:rsid w:val="00806754"/>
    <w:rsid w:val="00810205"/>
    <w:rsid w:val="00810D7F"/>
    <w:rsid w:val="00811464"/>
    <w:rsid w:val="00811536"/>
    <w:rsid w:val="00811563"/>
    <w:rsid w:val="00812522"/>
    <w:rsid w:val="00813601"/>
    <w:rsid w:val="00813BB7"/>
    <w:rsid w:val="008141E0"/>
    <w:rsid w:val="00815CD0"/>
    <w:rsid w:val="008208FA"/>
    <w:rsid w:val="00821AFE"/>
    <w:rsid w:val="0082206A"/>
    <w:rsid w:val="00822624"/>
    <w:rsid w:val="00822B9F"/>
    <w:rsid w:val="00823054"/>
    <w:rsid w:val="008236C9"/>
    <w:rsid w:val="00824B52"/>
    <w:rsid w:val="00825BC0"/>
    <w:rsid w:val="00825CA1"/>
    <w:rsid w:val="00826714"/>
    <w:rsid w:val="00827042"/>
    <w:rsid w:val="008279EA"/>
    <w:rsid w:val="008300C9"/>
    <w:rsid w:val="00830797"/>
    <w:rsid w:val="00830892"/>
    <w:rsid w:val="00830930"/>
    <w:rsid w:val="0083110C"/>
    <w:rsid w:val="008317E1"/>
    <w:rsid w:val="0083329B"/>
    <w:rsid w:val="00834C8D"/>
    <w:rsid w:val="0083571E"/>
    <w:rsid w:val="008407EF"/>
    <w:rsid w:val="00841103"/>
    <w:rsid w:val="00841165"/>
    <w:rsid w:val="008411E6"/>
    <w:rsid w:val="00841A59"/>
    <w:rsid w:val="008432C6"/>
    <w:rsid w:val="008433AD"/>
    <w:rsid w:val="00844215"/>
    <w:rsid w:val="00844962"/>
    <w:rsid w:val="00845317"/>
    <w:rsid w:val="008457DD"/>
    <w:rsid w:val="00845B4B"/>
    <w:rsid w:val="00845E42"/>
    <w:rsid w:val="00845F58"/>
    <w:rsid w:val="008478BB"/>
    <w:rsid w:val="0084790C"/>
    <w:rsid w:val="00850399"/>
    <w:rsid w:val="008503E6"/>
    <w:rsid w:val="008504CE"/>
    <w:rsid w:val="008508C4"/>
    <w:rsid w:val="00850A77"/>
    <w:rsid w:val="00851E2E"/>
    <w:rsid w:val="00852FCA"/>
    <w:rsid w:val="00853A3D"/>
    <w:rsid w:val="00854628"/>
    <w:rsid w:val="0086089D"/>
    <w:rsid w:val="00860995"/>
    <w:rsid w:val="00860E57"/>
    <w:rsid w:val="008632AC"/>
    <w:rsid w:val="00864A20"/>
    <w:rsid w:val="00864F9B"/>
    <w:rsid w:val="00865665"/>
    <w:rsid w:val="00865E28"/>
    <w:rsid w:val="0086603C"/>
    <w:rsid w:val="00866E99"/>
    <w:rsid w:val="0086741C"/>
    <w:rsid w:val="0086791C"/>
    <w:rsid w:val="00867977"/>
    <w:rsid w:val="00867DD8"/>
    <w:rsid w:val="008718AD"/>
    <w:rsid w:val="008722D0"/>
    <w:rsid w:val="008725C1"/>
    <w:rsid w:val="008725FC"/>
    <w:rsid w:val="00873692"/>
    <w:rsid w:val="0087370C"/>
    <w:rsid w:val="0087434A"/>
    <w:rsid w:val="00874394"/>
    <w:rsid w:val="00875EC3"/>
    <w:rsid w:val="00876206"/>
    <w:rsid w:val="008768D9"/>
    <w:rsid w:val="00876C1A"/>
    <w:rsid w:val="008801C2"/>
    <w:rsid w:val="00880A94"/>
    <w:rsid w:val="00881484"/>
    <w:rsid w:val="00881828"/>
    <w:rsid w:val="00881B7C"/>
    <w:rsid w:val="0088285A"/>
    <w:rsid w:val="00882C07"/>
    <w:rsid w:val="00882F81"/>
    <w:rsid w:val="008831B9"/>
    <w:rsid w:val="00883440"/>
    <w:rsid w:val="00883B30"/>
    <w:rsid w:val="00883E08"/>
    <w:rsid w:val="00884205"/>
    <w:rsid w:val="00884C7A"/>
    <w:rsid w:val="00886254"/>
    <w:rsid w:val="0088693A"/>
    <w:rsid w:val="008871A1"/>
    <w:rsid w:val="0088724D"/>
    <w:rsid w:val="00887380"/>
    <w:rsid w:val="00887A28"/>
    <w:rsid w:val="00887BC9"/>
    <w:rsid w:val="0089002D"/>
    <w:rsid w:val="00890257"/>
    <w:rsid w:val="00890693"/>
    <w:rsid w:val="008914AD"/>
    <w:rsid w:val="00892EE6"/>
    <w:rsid w:val="00893F70"/>
    <w:rsid w:val="008946AB"/>
    <w:rsid w:val="00895B08"/>
    <w:rsid w:val="00896603"/>
    <w:rsid w:val="00896E16"/>
    <w:rsid w:val="0089718E"/>
    <w:rsid w:val="00897FF5"/>
    <w:rsid w:val="008A047C"/>
    <w:rsid w:val="008A164F"/>
    <w:rsid w:val="008A17BA"/>
    <w:rsid w:val="008A1E90"/>
    <w:rsid w:val="008A2CD0"/>
    <w:rsid w:val="008A5166"/>
    <w:rsid w:val="008A5B4C"/>
    <w:rsid w:val="008A6DB4"/>
    <w:rsid w:val="008A7ABC"/>
    <w:rsid w:val="008B0ECC"/>
    <w:rsid w:val="008B1341"/>
    <w:rsid w:val="008B2FBC"/>
    <w:rsid w:val="008B3292"/>
    <w:rsid w:val="008B3B88"/>
    <w:rsid w:val="008B56DA"/>
    <w:rsid w:val="008B66BA"/>
    <w:rsid w:val="008B760E"/>
    <w:rsid w:val="008C1415"/>
    <w:rsid w:val="008C177F"/>
    <w:rsid w:val="008C224C"/>
    <w:rsid w:val="008C254E"/>
    <w:rsid w:val="008C3B9F"/>
    <w:rsid w:val="008C3EA8"/>
    <w:rsid w:val="008C4B98"/>
    <w:rsid w:val="008C52F6"/>
    <w:rsid w:val="008C5B41"/>
    <w:rsid w:val="008C604F"/>
    <w:rsid w:val="008C63E0"/>
    <w:rsid w:val="008C643E"/>
    <w:rsid w:val="008C6E08"/>
    <w:rsid w:val="008D0DA4"/>
    <w:rsid w:val="008D236B"/>
    <w:rsid w:val="008D24E2"/>
    <w:rsid w:val="008D39B8"/>
    <w:rsid w:val="008D47DA"/>
    <w:rsid w:val="008D49B5"/>
    <w:rsid w:val="008D5548"/>
    <w:rsid w:val="008D5BAF"/>
    <w:rsid w:val="008D6B80"/>
    <w:rsid w:val="008D7847"/>
    <w:rsid w:val="008D7ADF"/>
    <w:rsid w:val="008D7C15"/>
    <w:rsid w:val="008E0004"/>
    <w:rsid w:val="008E1139"/>
    <w:rsid w:val="008E1C0F"/>
    <w:rsid w:val="008E206E"/>
    <w:rsid w:val="008E2660"/>
    <w:rsid w:val="008E3DD8"/>
    <w:rsid w:val="008E4293"/>
    <w:rsid w:val="008E5D59"/>
    <w:rsid w:val="008E6B70"/>
    <w:rsid w:val="008E76CE"/>
    <w:rsid w:val="008F00B5"/>
    <w:rsid w:val="008F018A"/>
    <w:rsid w:val="008F0793"/>
    <w:rsid w:val="008F0FA4"/>
    <w:rsid w:val="008F1D37"/>
    <w:rsid w:val="008F1F1A"/>
    <w:rsid w:val="008F36BB"/>
    <w:rsid w:val="008F39BD"/>
    <w:rsid w:val="008F4789"/>
    <w:rsid w:val="008F47FA"/>
    <w:rsid w:val="008F48DE"/>
    <w:rsid w:val="008F5A4D"/>
    <w:rsid w:val="008F5A6B"/>
    <w:rsid w:val="008F5A8D"/>
    <w:rsid w:val="008F6450"/>
    <w:rsid w:val="008F6B3F"/>
    <w:rsid w:val="008F7FBA"/>
    <w:rsid w:val="00900444"/>
    <w:rsid w:val="009014F3"/>
    <w:rsid w:val="009017AA"/>
    <w:rsid w:val="00901BBB"/>
    <w:rsid w:val="00902BCC"/>
    <w:rsid w:val="009030A8"/>
    <w:rsid w:val="00903D54"/>
    <w:rsid w:val="009055C0"/>
    <w:rsid w:val="009057E6"/>
    <w:rsid w:val="00905DB5"/>
    <w:rsid w:val="00906F56"/>
    <w:rsid w:val="00906F76"/>
    <w:rsid w:val="00907F79"/>
    <w:rsid w:val="00910874"/>
    <w:rsid w:val="009113E3"/>
    <w:rsid w:val="00911F07"/>
    <w:rsid w:val="00912219"/>
    <w:rsid w:val="0091314E"/>
    <w:rsid w:val="009133E7"/>
    <w:rsid w:val="00915812"/>
    <w:rsid w:val="00915A22"/>
    <w:rsid w:val="009173C1"/>
    <w:rsid w:val="00917817"/>
    <w:rsid w:val="00917E76"/>
    <w:rsid w:val="0092135C"/>
    <w:rsid w:val="00921C49"/>
    <w:rsid w:val="00922162"/>
    <w:rsid w:val="00922C8B"/>
    <w:rsid w:val="00923723"/>
    <w:rsid w:val="009239BF"/>
    <w:rsid w:val="009247B3"/>
    <w:rsid w:val="0092483B"/>
    <w:rsid w:val="00924881"/>
    <w:rsid w:val="00924CBC"/>
    <w:rsid w:val="00924DB0"/>
    <w:rsid w:val="009252DE"/>
    <w:rsid w:val="00925474"/>
    <w:rsid w:val="00925890"/>
    <w:rsid w:val="00925F43"/>
    <w:rsid w:val="0092664D"/>
    <w:rsid w:val="0092671E"/>
    <w:rsid w:val="009277FB"/>
    <w:rsid w:val="00927925"/>
    <w:rsid w:val="0093154B"/>
    <w:rsid w:val="009334D5"/>
    <w:rsid w:val="00933AAB"/>
    <w:rsid w:val="009343E6"/>
    <w:rsid w:val="00935339"/>
    <w:rsid w:val="00935E2B"/>
    <w:rsid w:val="00936BC2"/>
    <w:rsid w:val="0093770F"/>
    <w:rsid w:val="00937766"/>
    <w:rsid w:val="00937D10"/>
    <w:rsid w:val="00937D38"/>
    <w:rsid w:val="0094070D"/>
    <w:rsid w:val="00940BD3"/>
    <w:rsid w:val="00941633"/>
    <w:rsid w:val="009418FC"/>
    <w:rsid w:val="0094447B"/>
    <w:rsid w:val="00944770"/>
    <w:rsid w:val="00944870"/>
    <w:rsid w:val="009466FD"/>
    <w:rsid w:val="00947370"/>
    <w:rsid w:val="00947867"/>
    <w:rsid w:val="00947C07"/>
    <w:rsid w:val="00947C52"/>
    <w:rsid w:val="0095092D"/>
    <w:rsid w:val="0095120D"/>
    <w:rsid w:val="00951BAD"/>
    <w:rsid w:val="0095203B"/>
    <w:rsid w:val="009546A3"/>
    <w:rsid w:val="00955245"/>
    <w:rsid w:val="00955821"/>
    <w:rsid w:val="009558C4"/>
    <w:rsid w:val="00955B8B"/>
    <w:rsid w:val="009562FF"/>
    <w:rsid w:val="00957612"/>
    <w:rsid w:val="0096088B"/>
    <w:rsid w:val="00960B85"/>
    <w:rsid w:val="00961458"/>
    <w:rsid w:val="00961A1C"/>
    <w:rsid w:val="00961D2F"/>
    <w:rsid w:val="00962DE7"/>
    <w:rsid w:val="00962EFF"/>
    <w:rsid w:val="009634B4"/>
    <w:rsid w:val="0096520E"/>
    <w:rsid w:val="00965B84"/>
    <w:rsid w:val="0096635F"/>
    <w:rsid w:val="00966890"/>
    <w:rsid w:val="00966A11"/>
    <w:rsid w:val="00970377"/>
    <w:rsid w:val="009703C8"/>
    <w:rsid w:val="00970666"/>
    <w:rsid w:val="00970782"/>
    <w:rsid w:val="00970D8A"/>
    <w:rsid w:val="009715B5"/>
    <w:rsid w:val="009727F8"/>
    <w:rsid w:val="00972C89"/>
    <w:rsid w:val="00972E1C"/>
    <w:rsid w:val="0097406E"/>
    <w:rsid w:val="00975EEA"/>
    <w:rsid w:val="0097604C"/>
    <w:rsid w:val="00976BC3"/>
    <w:rsid w:val="00976F5C"/>
    <w:rsid w:val="00977608"/>
    <w:rsid w:val="0097775A"/>
    <w:rsid w:val="00977BE8"/>
    <w:rsid w:val="00977D46"/>
    <w:rsid w:val="00980822"/>
    <w:rsid w:val="00981014"/>
    <w:rsid w:val="00981AEA"/>
    <w:rsid w:val="00983D88"/>
    <w:rsid w:val="00983D92"/>
    <w:rsid w:val="009840DD"/>
    <w:rsid w:val="00985359"/>
    <w:rsid w:val="00985370"/>
    <w:rsid w:val="00986001"/>
    <w:rsid w:val="0098678E"/>
    <w:rsid w:val="00986EE8"/>
    <w:rsid w:val="00987862"/>
    <w:rsid w:val="009878E5"/>
    <w:rsid w:val="0099028E"/>
    <w:rsid w:val="00990FDE"/>
    <w:rsid w:val="009918FA"/>
    <w:rsid w:val="009924C0"/>
    <w:rsid w:val="009927BC"/>
    <w:rsid w:val="00992CA6"/>
    <w:rsid w:val="0099540E"/>
    <w:rsid w:val="00995DE8"/>
    <w:rsid w:val="00995E62"/>
    <w:rsid w:val="00995ECF"/>
    <w:rsid w:val="00996E79"/>
    <w:rsid w:val="0099722C"/>
    <w:rsid w:val="0099730B"/>
    <w:rsid w:val="009A022B"/>
    <w:rsid w:val="009A0513"/>
    <w:rsid w:val="009A11D2"/>
    <w:rsid w:val="009A1296"/>
    <w:rsid w:val="009A1BEA"/>
    <w:rsid w:val="009A2A3D"/>
    <w:rsid w:val="009A2C12"/>
    <w:rsid w:val="009A3F4B"/>
    <w:rsid w:val="009A3F6C"/>
    <w:rsid w:val="009A401A"/>
    <w:rsid w:val="009A408A"/>
    <w:rsid w:val="009A4D2E"/>
    <w:rsid w:val="009A4E90"/>
    <w:rsid w:val="009A52C8"/>
    <w:rsid w:val="009A5958"/>
    <w:rsid w:val="009A5BAB"/>
    <w:rsid w:val="009A6111"/>
    <w:rsid w:val="009A7121"/>
    <w:rsid w:val="009A7252"/>
    <w:rsid w:val="009A7C33"/>
    <w:rsid w:val="009A7F42"/>
    <w:rsid w:val="009B04EA"/>
    <w:rsid w:val="009B0E3B"/>
    <w:rsid w:val="009B2473"/>
    <w:rsid w:val="009B2EB8"/>
    <w:rsid w:val="009B4343"/>
    <w:rsid w:val="009B6966"/>
    <w:rsid w:val="009B704F"/>
    <w:rsid w:val="009B78CA"/>
    <w:rsid w:val="009B7E08"/>
    <w:rsid w:val="009C0F84"/>
    <w:rsid w:val="009C1BE8"/>
    <w:rsid w:val="009C2038"/>
    <w:rsid w:val="009C288B"/>
    <w:rsid w:val="009C3109"/>
    <w:rsid w:val="009C32D6"/>
    <w:rsid w:val="009C3370"/>
    <w:rsid w:val="009C3C53"/>
    <w:rsid w:val="009C4971"/>
    <w:rsid w:val="009C4B94"/>
    <w:rsid w:val="009C567B"/>
    <w:rsid w:val="009C5855"/>
    <w:rsid w:val="009C6A3A"/>
    <w:rsid w:val="009C6E67"/>
    <w:rsid w:val="009C70B7"/>
    <w:rsid w:val="009C7670"/>
    <w:rsid w:val="009C77EB"/>
    <w:rsid w:val="009C7B4A"/>
    <w:rsid w:val="009C7CE1"/>
    <w:rsid w:val="009D012E"/>
    <w:rsid w:val="009D07A3"/>
    <w:rsid w:val="009D1183"/>
    <w:rsid w:val="009D25DF"/>
    <w:rsid w:val="009D282E"/>
    <w:rsid w:val="009D3AD3"/>
    <w:rsid w:val="009D3D55"/>
    <w:rsid w:val="009D3ED8"/>
    <w:rsid w:val="009D5859"/>
    <w:rsid w:val="009D7D15"/>
    <w:rsid w:val="009D7E10"/>
    <w:rsid w:val="009E054B"/>
    <w:rsid w:val="009E16ED"/>
    <w:rsid w:val="009E1D21"/>
    <w:rsid w:val="009E21B7"/>
    <w:rsid w:val="009E231B"/>
    <w:rsid w:val="009E4921"/>
    <w:rsid w:val="009E4AB4"/>
    <w:rsid w:val="009E54EE"/>
    <w:rsid w:val="009E629B"/>
    <w:rsid w:val="009E673B"/>
    <w:rsid w:val="009F0AB8"/>
    <w:rsid w:val="009F158F"/>
    <w:rsid w:val="009F2695"/>
    <w:rsid w:val="009F2C05"/>
    <w:rsid w:val="009F39F2"/>
    <w:rsid w:val="009F3E9D"/>
    <w:rsid w:val="009F480D"/>
    <w:rsid w:val="009F4F1C"/>
    <w:rsid w:val="009F5A22"/>
    <w:rsid w:val="009F5EFE"/>
    <w:rsid w:val="009F5FC8"/>
    <w:rsid w:val="009F75BB"/>
    <w:rsid w:val="009F767E"/>
    <w:rsid w:val="00A0000D"/>
    <w:rsid w:val="00A000C9"/>
    <w:rsid w:val="00A003B5"/>
    <w:rsid w:val="00A005D3"/>
    <w:rsid w:val="00A01710"/>
    <w:rsid w:val="00A01AE0"/>
    <w:rsid w:val="00A03186"/>
    <w:rsid w:val="00A03523"/>
    <w:rsid w:val="00A03680"/>
    <w:rsid w:val="00A03FDF"/>
    <w:rsid w:val="00A047FA"/>
    <w:rsid w:val="00A04839"/>
    <w:rsid w:val="00A04EB4"/>
    <w:rsid w:val="00A04FD9"/>
    <w:rsid w:val="00A05188"/>
    <w:rsid w:val="00A05F01"/>
    <w:rsid w:val="00A06F70"/>
    <w:rsid w:val="00A07BE6"/>
    <w:rsid w:val="00A07F1E"/>
    <w:rsid w:val="00A07FDF"/>
    <w:rsid w:val="00A10098"/>
    <w:rsid w:val="00A10550"/>
    <w:rsid w:val="00A11120"/>
    <w:rsid w:val="00A11912"/>
    <w:rsid w:val="00A13AAF"/>
    <w:rsid w:val="00A13E6C"/>
    <w:rsid w:val="00A148DF"/>
    <w:rsid w:val="00A15E00"/>
    <w:rsid w:val="00A163EB"/>
    <w:rsid w:val="00A17AFD"/>
    <w:rsid w:val="00A20B4E"/>
    <w:rsid w:val="00A2220F"/>
    <w:rsid w:val="00A2256D"/>
    <w:rsid w:val="00A2275D"/>
    <w:rsid w:val="00A22AA2"/>
    <w:rsid w:val="00A23125"/>
    <w:rsid w:val="00A23187"/>
    <w:rsid w:val="00A24DFC"/>
    <w:rsid w:val="00A25A86"/>
    <w:rsid w:val="00A26A1D"/>
    <w:rsid w:val="00A270F1"/>
    <w:rsid w:val="00A301F5"/>
    <w:rsid w:val="00A30373"/>
    <w:rsid w:val="00A30390"/>
    <w:rsid w:val="00A303C4"/>
    <w:rsid w:val="00A30DA4"/>
    <w:rsid w:val="00A31246"/>
    <w:rsid w:val="00A32645"/>
    <w:rsid w:val="00A32C94"/>
    <w:rsid w:val="00A336F1"/>
    <w:rsid w:val="00A33FE2"/>
    <w:rsid w:val="00A3466C"/>
    <w:rsid w:val="00A34FDE"/>
    <w:rsid w:val="00A3585B"/>
    <w:rsid w:val="00A36320"/>
    <w:rsid w:val="00A40E94"/>
    <w:rsid w:val="00A41D3A"/>
    <w:rsid w:val="00A42B56"/>
    <w:rsid w:val="00A43353"/>
    <w:rsid w:val="00A453AC"/>
    <w:rsid w:val="00A458A2"/>
    <w:rsid w:val="00A458AD"/>
    <w:rsid w:val="00A47316"/>
    <w:rsid w:val="00A500CE"/>
    <w:rsid w:val="00A5093F"/>
    <w:rsid w:val="00A51628"/>
    <w:rsid w:val="00A5225F"/>
    <w:rsid w:val="00A527F3"/>
    <w:rsid w:val="00A5284F"/>
    <w:rsid w:val="00A5300A"/>
    <w:rsid w:val="00A53A89"/>
    <w:rsid w:val="00A53C57"/>
    <w:rsid w:val="00A55761"/>
    <w:rsid w:val="00A55BA7"/>
    <w:rsid w:val="00A56057"/>
    <w:rsid w:val="00A56165"/>
    <w:rsid w:val="00A56EDF"/>
    <w:rsid w:val="00A57490"/>
    <w:rsid w:val="00A5780A"/>
    <w:rsid w:val="00A57FA7"/>
    <w:rsid w:val="00A60802"/>
    <w:rsid w:val="00A619D6"/>
    <w:rsid w:val="00A61DCC"/>
    <w:rsid w:val="00A64086"/>
    <w:rsid w:val="00A649D7"/>
    <w:rsid w:val="00A64E3C"/>
    <w:rsid w:val="00A67641"/>
    <w:rsid w:val="00A67CD6"/>
    <w:rsid w:val="00A7114F"/>
    <w:rsid w:val="00A71838"/>
    <w:rsid w:val="00A72B04"/>
    <w:rsid w:val="00A730E8"/>
    <w:rsid w:val="00A730F1"/>
    <w:rsid w:val="00A73700"/>
    <w:rsid w:val="00A74381"/>
    <w:rsid w:val="00A743D9"/>
    <w:rsid w:val="00A746C5"/>
    <w:rsid w:val="00A757C0"/>
    <w:rsid w:val="00A765DA"/>
    <w:rsid w:val="00A8119F"/>
    <w:rsid w:val="00A8191D"/>
    <w:rsid w:val="00A829A5"/>
    <w:rsid w:val="00A834FF"/>
    <w:rsid w:val="00A83945"/>
    <w:rsid w:val="00A8548B"/>
    <w:rsid w:val="00A8628C"/>
    <w:rsid w:val="00A86443"/>
    <w:rsid w:val="00A87284"/>
    <w:rsid w:val="00A8768B"/>
    <w:rsid w:val="00A87766"/>
    <w:rsid w:val="00A8785A"/>
    <w:rsid w:val="00A87ED4"/>
    <w:rsid w:val="00A90C77"/>
    <w:rsid w:val="00A90CD2"/>
    <w:rsid w:val="00A911E1"/>
    <w:rsid w:val="00A91892"/>
    <w:rsid w:val="00A91CA8"/>
    <w:rsid w:val="00A92113"/>
    <w:rsid w:val="00A93A94"/>
    <w:rsid w:val="00A93FC3"/>
    <w:rsid w:val="00A944D3"/>
    <w:rsid w:val="00A94E28"/>
    <w:rsid w:val="00A96805"/>
    <w:rsid w:val="00AA14A3"/>
    <w:rsid w:val="00AA17DA"/>
    <w:rsid w:val="00AA1ED6"/>
    <w:rsid w:val="00AA305D"/>
    <w:rsid w:val="00AA330F"/>
    <w:rsid w:val="00AA6199"/>
    <w:rsid w:val="00AA63ED"/>
    <w:rsid w:val="00AA676A"/>
    <w:rsid w:val="00AA7AA2"/>
    <w:rsid w:val="00AB0139"/>
    <w:rsid w:val="00AB01FE"/>
    <w:rsid w:val="00AB0CD3"/>
    <w:rsid w:val="00AB1729"/>
    <w:rsid w:val="00AB1A6B"/>
    <w:rsid w:val="00AB2B18"/>
    <w:rsid w:val="00AB2C76"/>
    <w:rsid w:val="00AB4C28"/>
    <w:rsid w:val="00AB4F73"/>
    <w:rsid w:val="00AB5304"/>
    <w:rsid w:val="00AB53BE"/>
    <w:rsid w:val="00AB54BC"/>
    <w:rsid w:val="00AB558E"/>
    <w:rsid w:val="00AB633E"/>
    <w:rsid w:val="00AB697E"/>
    <w:rsid w:val="00AB6E3E"/>
    <w:rsid w:val="00AB76F4"/>
    <w:rsid w:val="00AB77A7"/>
    <w:rsid w:val="00AB7804"/>
    <w:rsid w:val="00AC066E"/>
    <w:rsid w:val="00AC0AB5"/>
    <w:rsid w:val="00AC0C2C"/>
    <w:rsid w:val="00AC0CB4"/>
    <w:rsid w:val="00AC373E"/>
    <w:rsid w:val="00AC42C9"/>
    <w:rsid w:val="00AC4369"/>
    <w:rsid w:val="00AC4966"/>
    <w:rsid w:val="00AC53B9"/>
    <w:rsid w:val="00AC5650"/>
    <w:rsid w:val="00AC5BF3"/>
    <w:rsid w:val="00AC60AF"/>
    <w:rsid w:val="00AC6505"/>
    <w:rsid w:val="00AC7C39"/>
    <w:rsid w:val="00AD046F"/>
    <w:rsid w:val="00AD0F29"/>
    <w:rsid w:val="00AD1F3B"/>
    <w:rsid w:val="00AD259A"/>
    <w:rsid w:val="00AD2870"/>
    <w:rsid w:val="00AD3AD8"/>
    <w:rsid w:val="00AD41FA"/>
    <w:rsid w:val="00AD587B"/>
    <w:rsid w:val="00AD5AD0"/>
    <w:rsid w:val="00AD5FDD"/>
    <w:rsid w:val="00AD641A"/>
    <w:rsid w:val="00AD72BF"/>
    <w:rsid w:val="00AD79C7"/>
    <w:rsid w:val="00AE00DC"/>
    <w:rsid w:val="00AE080F"/>
    <w:rsid w:val="00AE10AC"/>
    <w:rsid w:val="00AE215D"/>
    <w:rsid w:val="00AE2C60"/>
    <w:rsid w:val="00AE2EE6"/>
    <w:rsid w:val="00AE34FE"/>
    <w:rsid w:val="00AE4807"/>
    <w:rsid w:val="00AE557A"/>
    <w:rsid w:val="00AE6315"/>
    <w:rsid w:val="00AE77AD"/>
    <w:rsid w:val="00AF0E81"/>
    <w:rsid w:val="00AF11C0"/>
    <w:rsid w:val="00AF1721"/>
    <w:rsid w:val="00AF1AD0"/>
    <w:rsid w:val="00AF1E00"/>
    <w:rsid w:val="00AF30C0"/>
    <w:rsid w:val="00AF35E2"/>
    <w:rsid w:val="00AF3E44"/>
    <w:rsid w:val="00AF5DC0"/>
    <w:rsid w:val="00AF62AB"/>
    <w:rsid w:val="00AF730B"/>
    <w:rsid w:val="00AF74F0"/>
    <w:rsid w:val="00AF7670"/>
    <w:rsid w:val="00AF799D"/>
    <w:rsid w:val="00AF7E51"/>
    <w:rsid w:val="00B01047"/>
    <w:rsid w:val="00B010E0"/>
    <w:rsid w:val="00B026E6"/>
    <w:rsid w:val="00B03502"/>
    <w:rsid w:val="00B03AA3"/>
    <w:rsid w:val="00B03C1B"/>
    <w:rsid w:val="00B03CD2"/>
    <w:rsid w:val="00B03E31"/>
    <w:rsid w:val="00B0649A"/>
    <w:rsid w:val="00B06696"/>
    <w:rsid w:val="00B07820"/>
    <w:rsid w:val="00B07A6D"/>
    <w:rsid w:val="00B07F37"/>
    <w:rsid w:val="00B102D7"/>
    <w:rsid w:val="00B10FBC"/>
    <w:rsid w:val="00B114E9"/>
    <w:rsid w:val="00B11F00"/>
    <w:rsid w:val="00B1253E"/>
    <w:rsid w:val="00B126B3"/>
    <w:rsid w:val="00B13240"/>
    <w:rsid w:val="00B14847"/>
    <w:rsid w:val="00B14FCC"/>
    <w:rsid w:val="00B177CD"/>
    <w:rsid w:val="00B17983"/>
    <w:rsid w:val="00B17F63"/>
    <w:rsid w:val="00B20BB7"/>
    <w:rsid w:val="00B20F5B"/>
    <w:rsid w:val="00B211B3"/>
    <w:rsid w:val="00B212AA"/>
    <w:rsid w:val="00B21E58"/>
    <w:rsid w:val="00B22E91"/>
    <w:rsid w:val="00B23FFF"/>
    <w:rsid w:val="00B244FD"/>
    <w:rsid w:val="00B249C5"/>
    <w:rsid w:val="00B24E83"/>
    <w:rsid w:val="00B25633"/>
    <w:rsid w:val="00B25D1C"/>
    <w:rsid w:val="00B25F33"/>
    <w:rsid w:val="00B267CD"/>
    <w:rsid w:val="00B27A8F"/>
    <w:rsid w:val="00B301A8"/>
    <w:rsid w:val="00B3070D"/>
    <w:rsid w:val="00B30B7B"/>
    <w:rsid w:val="00B315BA"/>
    <w:rsid w:val="00B31A81"/>
    <w:rsid w:val="00B32044"/>
    <w:rsid w:val="00B33504"/>
    <w:rsid w:val="00B348E4"/>
    <w:rsid w:val="00B3518C"/>
    <w:rsid w:val="00B364C4"/>
    <w:rsid w:val="00B36C15"/>
    <w:rsid w:val="00B3799C"/>
    <w:rsid w:val="00B403CE"/>
    <w:rsid w:val="00B4066F"/>
    <w:rsid w:val="00B41790"/>
    <w:rsid w:val="00B4282F"/>
    <w:rsid w:val="00B43CE8"/>
    <w:rsid w:val="00B4438B"/>
    <w:rsid w:val="00B45083"/>
    <w:rsid w:val="00B4526C"/>
    <w:rsid w:val="00B453AD"/>
    <w:rsid w:val="00B45423"/>
    <w:rsid w:val="00B46CA8"/>
    <w:rsid w:val="00B47732"/>
    <w:rsid w:val="00B479B3"/>
    <w:rsid w:val="00B47D0F"/>
    <w:rsid w:val="00B47D37"/>
    <w:rsid w:val="00B52C1F"/>
    <w:rsid w:val="00B53640"/>
    <w:rsid w:val="00B53978"/>
    <w:rsid w:val="00B54325"/>
    <w:rsid w:val="00B54385"/>
    <w:rsid w:val="00B5439D"/>
    <w:rsid w:val="00B54484"/>
    <w:rsid w:val="00B545FC"/>
    <w:rsid w:val="00B56FB3"/>
    <w:rsid w:val="00B5748B"/>
    <w:rsid w:val="00B603A1"/>
    <w:rsid w:val="00B60675"/>
    <w:rsid w:val="00B606B8"/>
    <w:rsid w:val="00B62AFA"/>
    <w:rsid w:val="00B6451B"/>
    <w:rsid w:val="00B645FD"/>
    <w:rsid w:val="00B64CF1"/>
    <w:rsid w:val="00B650EF"/>
    <w:rsid w:val="00B65554"/>
    <w:rsid w:val="00B655E9"/>
    <w:rsid w:val="00B6583B"/>
    <w:rsid w:val="00B65EAA"/>
    <w:rsid w:val="00B664F4"/>
    <w:rsid w:val="00B66628"/>
    <w:rsid w:val="00B72E4C"/>
    <w:rsid w:val="00B73F4D"/>
    <w:rsid w:val="00B748AC"/>
    <w:rsid w:val="00B74DAC"/>
    <w:rsid w:val="00B7519D"/>
    <w:rsid w:val="00B75EF8"/>
    <w:rsid w:val="00B76303"/>
    <w:rsid w:val="00B76585"/>
    <w:rsid w:val="00B7699F"/>
    <w:rsid w:val="00B76A81"/>
    <w:rsid w:val="00B773FC"/>
    <w:rsid w:val="00B77D35"/>
    <w:rsid w:val="00B77D4A"/>
    <w:rsid w:val="00B819A8"/>
    <w:rsid w:val="00B822A8"/>
    <w:rsid w:val="00B822AD"/>
    <w:rsid w:val="00B82E3A"/>
    <w:rsid w:val="00B8341C"/>
    <w:rsid w:val="00B83F02"/>
    <w:rsid w:val="00B84314"/>
    <w:rsid w:val="00B850CA"/>
    <w:rsid w:val="00B85273"/>
    <w:rsid w:val="00B853AA"/>
    <w:rsid w:val="00B85829"/>
    <w:rsid w:val="00B85A0D"/>
    <w:rsid w:val="00B86B47"/>
    <w:rsid w:val="00B87DBC"/>
    <w:rsid w:val="00B90FA4"/>
    <w:rsid w:val="00B91E17"/>
    <w:rsid w:val="00B91FA0"/>
    <w:rsid w:val="00B91FC1"/>
    <w:rsid w:val="00B92806"/>
    <w:rsid w:val="00B92D8B"/>
    <w:rsid w:val="00B9311B"/>
    <w:rsid w:val="00B935C4"/>
    <w:rsid w:val="00B93B09"/>
    <w:rsid w:val="00B9445B"/>
    <w:rsid w:val="00B956A8"/>
    <w:rsid w:val="00B9576A"/>
    <w:rsid w:val="00B95A0C"/>
    <w:rsid w:val="00B95DDB"/>
    <w:rsid w:val="00B95F15"/>
    <w:rsid w:val="00B96219"/>
    <w:rsid w:val="00B9776E"/>
    <w:rsid w:val="00BA0022"/>
    <w:rsid w:val="00BA0308"/>
    <w:rsid w:val="00BA0E34"/>
    <w:rsid w:val="00BA1D10"/>
    <w:rsid w:val="00BA1F65"/>
    <w:rsid w:val="00BA2BB4"/>
    <w:rsid w:val="00BA3CD3"/>
    <w:rsid w:val="00BA3F78"/>
    <w:rsid w:val="00BA4388"/>
    <w:rsid w:val="00BA4511"/>
    <w:rsid w:val="00BA4E89"/>
    <w:rsid w:val="00BA5A4B"/>
    <w:rsid w:val="00BA5D74"/>
    <w:rsid w:val="00BA5DB0"/>
    <w:rsid w:val="00BA633A"/>
    <w:rsid w:val="00BA7E0C"/>
    <w:rsid w:val="00BB03F1"/>
    <w:rsid w:val="00BB04DE"/>
    <w:rsid w:val="00BB1015"/>
    <w:rsid w:val="00BB1D7F"/>
    <w:rsid w:val="00BB2725"/>
    <w:rsid w:val="00BB297A"/>
    <w:rsid w:val="00BB3E6F"/>
    <w:rsid w:val="00BB4F1E"/>
    <w:rsid w:val="00BB522A"/>
    <w:rsid w:val="00BB733F"/>
    <w:rsid w:val="00BC2CF3"/>
    <w:rsid w:val="00BC2D0E"/>
    <w:rsid w:val="00BC3C99"/>
    <w:rsid w:val="00BC415C"/>
    <w:rsid w:val="00BC5A7F"/>
    <w:rsid w:val="00BC5D10"/>
    <w:rsid w:val="00BC7487"/>
    <w:rsid w:val="00BD1B8E"/>
    <w:rsid w:val="00BD22E0"/>
    <w:rsid w:val="00BD394B"/>
    <w:rsid w:val="00BD3A50"/>
    <w:rsid w:val="00BD3A57"/>
    <w:rsid w:val="00BD4148"/>
    <w:rsid w:val="00BD42BE"/>
    <w:rsid w:val="00BD479B"/>
    <w:rsid w:val="00BD5505"/>
    <w:rsid w:val="00BD6053"/>
    <w:rsid w:val="00BD69BA"/>
    <w:rsid w:val="00BD719C"/>
    <w:rsid w:val="00BD7B5A"/>
    <w:rsid w:val="00BE00B4"/>
    <w:rsid w:val="00BE07AE"/>
    <w:rsid w:val="00BE0CB3"/>
    <w:rsid w:val="00BE197B"/>
    <w:rsid w:val="00BE25C5"/>
    <w:rsid w:val="00BE3094"/>
    <w:rsid w:val="00BE321B"/>
    <w:rsid w:val="00BE382F"/>
    <w:rsid w:val="00BE4690"/>
    <w:rsid w:val="00BE4EEB"/>
    <w:rsid w:val="00BE59E7"/>
    <w:rsid w:val="00BE59FB"/>
    <w:rsid w:val="00BE63B7"/>
    <w:rsid w:val="00BE6635"/>
    <w:rsid w:val="00BE6ACF"/>
    <w:rsid w:val="00BE6C54"/>
    <w:rsid w:val="00BF0002"/>
    <w:rsid w:val="00BF0403"/>
    <w:rsid w:val="00BF0BA1"/>
    <w:rsid w:val="00BF1856"/>
    <w:rsid w:val="00BF1BDD"/>
    <w:rsid w:val="00BF2901"/>
    <w:rsid w:val="00BF2943"/>
    <w:rsid w:val="00BF63E8"/>
    <w:rsid w:val="00BF6EED"/>
    <w:rsid w:val="00BF72CE"/>
    <w:rsid w:val="00C00459"/>
    <w:rsid w:val="00C007EE"/>
    <w:rsid w:val="00C01624"/>
    <w:rsid w:val="00C024C5"/>
    <w:rsid w:val="00C02590"/>
    <w:rsid w:val="00C029BA"/>
    <w:rsid w:val="00C03375"/>
    <w:rsid w:val="00C039C4"/>
    <w:rsid w:val="00C04043"/>
    <w:rsid w:val="00C04F02"/>
    <w:rsid w:val="00C04F6B"/>
    <w:rsid w:val="00C05422"/>
    <w:rsid w:val="00C055CC"/>
    <w:rsid w:val="00C06F72"/>
    <w:rsid w:val="00C10F8D"/>
    <w:rsid w:val="00C111C0"/>
    <w:rsid w:val="00C1157E"/>
    <w:rsid w:val="00C11C23"/>
    <w:rsid w:val="00C12E56"/>
    <w:rsid w:val="00C13B3B"/>
    <w:rsid w:val="00C1455D"/>
    <w:rsid w:val="00C151D2"/>
    <w:rsid w:val="00C171DF"/>
    <w:rsid w:val="00C20DE4"/>
    <w:rsid w:val="00C21205"/>
    <w:rsid w:val="00C21457"/>
    <w:rsid w:val="00C215E5"/>
    <w:rsid w:val="00C21C1F"/>
    <w:rsid w:val="00C231AD"/>
    <w:rsid w:val="00C23FA1"/>
    <w:rsid w:val="00C243BF"/>
    <w:rsid w:val="00C24485"/>
    <w:rsid w:val="00C2451E"/>
    <w:rsid w:val="00C253E4"/>
    <w:rsid w:val="00C25E4E"/>
    <w:rsid w:val="00C26967"/>
    <w:rsid w:val="00C26FFC"/>
    <w:rsid w:val="00C273A3"/>
    <w:rsid w:val="00C30616"/>
    <w:rsid w:val="00C321E9"/>
    <w:rsid w:val="00C32966"/>
    <w:rsid w:val="00C3328D"/>
    <w:rsid w:val="00C3477A"/>
    <w:rsid w:val="00C35C93"/>
    <w:rsid w:val="00C369FE"/>
    <w:rsid w:val="00C36FD9"/>
    <w:rsid w:val="00C408FC"/>
    <w:rsid w:val="00C40DCC"/>
    <w:rsid w:val="00C41338"/>
    <w:rsid w:val="00C42990"/>
    <w:rsid w:val="00C44A48"/>
    <w:rsid w:val="00C44B6D"/>
    <w:rsid w:val="00C45F81"/>
    <w:rsid w:val="00C46BB3"/>
    <w:rsid w:val="00C47616"/>
    <w:rsid w:val="00C5313A"/>
    <w:rsid w:val="00C5375E"/>
    <w:rsid w:val="00C53CF6"/>
    <w:rsid w:val="00C54AC6"/>
    <w:rsid w:val="00C55623"/>
    <w:rsid w:val="00C55800"/>
    <w:rsid w:val="00C55A39"/>
    <w:rsid w:val="00C55A55"/>
    <w:rsid w:val="00C57445"/>
    <w:rsid w:val="00C57CE6"/>
    <w:rsid w:val="00C57FCE"/>
    <w:rsid w:val="00C60478"/>
    <w:rsid w:val="00C60F16"/>
    <w:rsid w:val="00C6134B"/>
    <w:rsid w:val="00C613F8"/>
    <w:rsid w:val="00C61415"/>
    <w:rsid w:val="00C62076"/>
    <w:rsid w:val="00C62270"/>
    <w:rsid w:val="00C630E2"/>
    <w:rsid w:val="00C634FF"/>
    <w:rsid w:val="00C65BCF"/>
    <w:rsid w:val="00C65D99"/>
    <w:rsid w:val="00C65DC5"/>
    <w:rsid w:val="00C6646D"/>
    <w:rsid w:val="00C664AB"/>
    <w:rsid w:val="00C6787A"/>
    <w:rsid w:val="00C7068A"/>
    <w:rsid w:val="00C716CA"/>
    <w:rsid w:val="00C728B2"/>
    <w:rsid w:val="00C72AD6"/>
    <w:rsid w:val="00C7398B"/>
    <w:rsid w:val="00C73BC3"/>
    <w:rsid w:val="00C74028"/>
    <w:rsid w:val="00C74EA4"/>
    <w:rsid w:val="00C756D2"/>
    <w:rsid w:val="00C77222"/>
    <w:rsid w:val="00C80442"/>
    <w:rsid w:val="00C8069D"/>
    <w:rsid w:val="00C81ED9"/>
    <w:rsid w:val="00C82245"/>
    <w:rsid w:val="00C82760"/>
    <w:rsid w:val="00C84AC8"/>
    <w:rsid w:val="00C86499"/>
    <w:rsid w:val="00C87ED3"/>
    <w:rsid w:val="00C90F04"/>
    <w:rsid w:val="00C9188B"/>
    <w:rsid w:val="00C924D0"/>
    <w:rsid w:val="00C930F7"/>
    <w:rsid w:val="00C9381B"/>
    <w:rsid w:val="00C93DD2"/>
    <w:rsid w:val="00C94D38"/>
    <w:rsid w:val="00C95858"/>
    <w:rsid w:val="00C97A02"/>
    <w:rsid w:val="00CA0CA4"/>
    <w:rsid w:val="00CA107D"/>
    <w:rsid w:val="00CA183E"/>
    <w:rsid w:val="00CA18EE"/>
    <w:rsid w:val="00CA1D47"/>
    <w:rsid w:val="00CA41AF"/>
    <w:rsid w:val="00CA46DB"/>
    <w:rsid w:val="00CA4F6A"/>
    <w:rsid w:val="00CA53E9"/>
    <w:rsid w:val="00CA5733"/>
    <w:rsid w:val="00CA64E6"/>
    <w:rsid w:val="00CA687D"/>
    <w:rsid w:val="00CA7DCA"/>
    <w:rsid w:val="00CB05C1"/>
    <w:rsid w:val="00CB09AD"/>
    <w:rsid w:val="00CB0F00"/>
    <w:rsid w:val="00CB1942"/>
    <w:rsid w:val="00CB31BE"/>
    <w:rsid w:val="00CB3DBB"/>
    <w:rsid w:val="00CB4CE3"/>
    <w:rsid w:val="00CB50C1"/>
    <w:rsid w:val="00CB5CC4"/>
    <w:rsid w:val="00CB6140"/>
    <w:rsid w:val="00CB7589"/>
    <w:rsid w:val="00CB77C9"/>
    <w:rsid w:val="00CC0376"/>
    <w:rsid w:val="00CC1F54"/>
    <w:rsid w:val="00CC2723"/>
    <w:rsid w:val="00CC2A24"/>
    <w:rsid w:val="00CC327C"/>
    <w:rsid w:val="00CC3DA7"/>
    <w:rsid w:val="00CC46D2"/>
    <w:rsid w:val="00CC4A36"/>
    <w:rsid w:val="00CC4EF8"/>
    <w:rsid w:val="00CC5116"/>
    <w:rsid w:val="00CC5ABC"/>
    <w:rsid w:val="00CC5E07"/>
    <w:rsid w:val="00CC6948"/>
    <w:rsid w:val="00CC6F04"/>
    <w:rsid w:val="00CC76A7"/>
    <w:rsid w:val="00CC7BF3"/>
    <w:rsid w:val="00CC7C57"/>
    <w:rsid w:val="00CD0FE3"/>
    <w:rsid w:val="00CD28BC"/>
    <w:rsid w:val="00CD3C40"/>
    <w:rsid w:val="00CD446E"/>
    <w:rsid w:val="00CD461C"/>
    <w:rsid w:val="00CD5962"/>
    <w:rsid w:val="00CD64CC"/>
    <w:rsid w:val="00CD6611"/>
    <w:rsid w:val="00CD6F7F"/>
    <w:rsid w:val="00CD7627"/>
    <w:rsid w:val="00CE061F"/>
    <w:rsid w:val="00CE15C5"/>
    <w:rsid w:val="00CE3846"/>
    <w:rsid w:val="00CE3BB8"/>
    <w:rsid w:val="00CE41DD"/>
    <w:rsid w:val="00CE4C2E"/>
    <w:rsid w:val="00CE4D59"/>
    <w:rsid w:val="00CE5427"/>
    <w:rsid w:val="00CE5553"/>
    <w:rsid w:val="00CE566D"/>
    <w:rsid w:val="00CE7230"/>
    <w:rsid w:val="00CE72DA"/>
    <w:rsid w:val="00CE7EE4"/>
    <w:rsid w:val="00CF0677"/>
    <w:rsid w:val="00CF13EB"/>
    <w:rsid w:val="00CF26AA"/>
    <w:rsid w:val="00CF2CB8"/>
    <w:rsid w:val="00CF30DF"/>
    <w:rsid w:val="00CF3161"/>
    <w:rsid w:val="00CF38A6"/>
    <w:rsid w:val="00CF3909"/>
    <w:rsid w:val="00CF4130"/>
    <w:rsid w:val="00CF42B0"/>
    <w:rsid w:val="00CF45EC"/>
    <w:rsid w:val="00CF4EF0"/>
    <w:rsid w:val="00CF58E6"/>
    <w:rsid w:val="00CF5C2A"/>
    <w:rsid w:val="00CF6173"/>
    <w:rsid w:val="00CF6A77"/>
    <w:rsid w:val="00D00B3B"/>
    <w:rsid w:val="00D01988"/>
    <w:rsid w:val="00D02866"/>
    <w:rsid w:val="00D04712"/>
    <w:rsid w:val="00D04943"/>
    <w:rsid w:val="00D052B8"/>
    <w:rsid w:val="00D056DE"/>
    <w:rsid w:val="00D05947"/>
    <w:rsid w:val="00D069DE"/>
    <w:rsid w:val="00D06F87"/>
    <w:rsid w:val="00D07CEA"/>
    <w:rsid w:val="00D07E34"/>
    <w:rsid w:val="00D10587"/>
    <w:rsid w:val="00D1092C"/>
    <w:rsid w:val="00D11C47"/>
    <w:rsid w:val="00D12347"/>
    <w:rsid w:val="00D12954"/>
    <w:rsid w:val="00D12A47"/>
    <w:rsid w:val="00D13028"/>
    <w:rsid w:val="00D135A7"/>
    <w:rsid w:val="00D13E4E"/>
    <w:rsid w:val="00D13FF3"/>
    <w:rsid w:val="00D15DB9"/>
    <w:rsid w:val="00D16972"/>
    <w:rsid w:val="00D1747C"/>
    <w:rsid w:val="00D20AC0"/>
    <w:rsid w:val="00D22657"/>
    <w:rsid w:val="00D230F8"/>
    <w:rsid w:val="00D23C7C"/>
    <w:rsid w:val="00D241C4"/>
    <w:rsid w:val="00D24425"/>
    <w:rsid w:val="00D24E73"/>
    <w:rsid w:val="00D26345"/>
    <w:rsid w:val="00D26C28"/>
    <w:rsid w:val="00D26D8D"/>
    <w:rsid w:val="00D270D6"/>
    <w:rsid w:val="00D273F2"/>
    <w:rsid w:val="00D308CD"/>
    <w:rsid w:val="00D30C3B"/>
    <w:rsid w:val="00D30F9F"/>
    <w:rsid w:val="00D3191F"/>
    <w:rsid w:val="00D31C54"/>
    <w:rsid w:val="00D325C8"/>
    <w:rsid w:val="00D326EF"/>
    <w:rsid w:val="00D33FE6"/>
    <w:rsid w:val="00D34992"/>
    <w:rsid w:val="00D34B06"/>
    <w:rsid w:val="00D35BB2"/>
    <w:rsid w:val="00D35BF6"/>
    <w:rsid w:val="00D35FA9"/>
    <w:rsid w:val="00D36068"/>
    <w:rsid w:val="00D369AA"/>
    <w:rsid w:val="00D36FC4"/>
    <w:rsid w:val="00D3745A"/>
    <w:rsid w:val="00D40630"/>
    <w:rsid w:val="00D40AB2"/>
    <w:rsid w:val="00D41F92"/>
    <w:rsid w:val="00D4246E"/>
    <w:rsid w:val="00D42567"/>
    <w:rsid w:val="00D42D71"/>
    <w:rsid w:val="00D4407B"/>
    <w:rsid w:val="00D44229"/>
    <w:rsid w:val="00D44540"/>
    <w:rsid w:val="00D456B0"/>
    <w:rsid w:val="00D45DF4"/>
    <w:rsid w:val="00D464CE"/>
    <w:rsid w:val="00D50AA7"/>
    <w:rsid w:val="00D515C7"/>
    <w:rsid w:val="00D51F74"/>
    <w:rsid w:val="00D523E5"/>
    <w:rsid w:val="00D5263F"/>
    <w:rsid w:val="00D52A82"/>
    <w:rsid w:val="00D52DB0"/>
    <w:rsid w:val="00D5399A"/>
    <w:rsid w:val="00D54155"/>
    <w:rsid w:val="00D55A2D"/>
    <w:rsid w:val="00D57BEC"/>
    <w:rsid w:val="00D6133F"/>
    <w:rsid w:val="00D61F98"/>
    <w:rsid w:val="00D620E9"/>
    <w:rsid w:val="00D62805"/>
    <w:rsid w:val="00D6394F"/>
    <w:rsid w:val="00D63A87"/>
    <w:rsid w:val="00D64182"/>
    <w:rsid w:val="00D6424B"/>
    <w:rsid w:val="00D646DC"/>
    <w:rsid w:val="00D64EB8"/>
    <w:rsid w:val="00D64FFB"/>
    <w:rsid w:val="00D654CA"/>
    <w:rsid w:val="00D66396"/>
    <w:rsid w:val="00D66B0C"/>
    <w:rsid w:val="00D67018"/>
    <w:rsid w:val="00D706F0"/>
    <w:rsid w:val="00D714EA"/>
    <w:rsid w:val="00D71A53"/>
    <w:rsid w:val="00D72056"/>
    <w:rsid w:val="00D725F2"/>
    <w:rsid w:val="00D726D0"/>
    <w:rsid w:val="00D72B41"/>
    <w:rsid w:val="00D73D55"/>
    <w:rsid w:val="00D74B17"/>
    <w:rsid w:val="00D74BDB"/>
    <w:rsid w:val="00D75261"/>
    <w:rsid w:val="00D75952"/>
    <w:rsid w:val="00D75EAA"/>
    <w:rsid w:val="00D7755D"/>
    <w:rsid w:val="00D77C1F"/>
    <w:rsid w:val="00D77D70"/>
    <w:rsid w:val="00D81C79"/>
    <w:rsid w:val="00D81D6D"/>
    <w:rsid w:val="00D81E44"/>
    <w:rsid w:val="00D81FE6"/>
    <w:rsid w:val="00D83B75"/>
    <w:rsid w:val="00D84182"/>
    <w:rsid w:val="00D845E7"/>
    <w:rsid w:val="00D85972"/>
    <w:rsid w:val="00D85A28"/>
    <w:rsid w:val="00D872C1"/>
    <w:rsid w:val="00D87941"/>
    <w:rsid w:val="00D87B6D"/>
    <w:rsid w:val="00D91A5A"/>
    <w:rsid w:val="00D92D61"/>
    <w:rsid w:val="00D93093"/>
    <w:rsid w:val="00D93E32"/>
    <w:rsid w:val="00D94387"/>
    <w:rsid w:val="00D94F9B"/>
    <w:rsid w:val="00D95C4B"/>
    <w:rsid w:val="00D95D5D"/>
    <w:rsid w:val="00D96920"/>
    <w:rsid w:val="00D971AE"/>
    <w:rsid w:val="00D97D71"/>
    <w:rsid w:val="00DA0CCD"/>
    <w:rsid w:val="00DA2475"/>
    <w:rsid w:val="00DA3596"/>
    <w:rsid w:val="00DA3CAE"/>
    <w:rsid w:val="00DA4501"/>
    <w:rsid w:val="00DA6349"/>
    <w:rsid w:val="00DA6A2F"/>
    <w:rsid w:val="00DA6A5C"/>
    <w:rsid w:val="00DA72D7"/>
    <w:rsid w:val="00DB0128"/>
    <w:rsid w:val="00DB0230"/>
    <w:rsid w:val="00DB0B89"/>
    <w:rsid w:val="00DB0FDF"/>
    <w:rsid w:val="00DB123B"/>
    <w:rsid w:val="00DB1E68"/>
    <w:rsid w:val="00DB36B2"/>
    <w:rsid w:val="00DB46B1"/>
    <w:rsid w:val="00DB4C4A"/>
    <w:rsid w:val="00DB5AC9"/>
    <w:rsid w:val="00DB5BE2"/>
    <w:rsid w:val="00DB637B"/>
    <w:rsid w:val="00DB74A3"/>
    <w:rsid w:val="00DC0172"/>
    <w:rsid w:val="00DC11AC"/>
    <w:rsid w:val="00DC148D"/>
    <w:rsid w:val="00DC164A"/>
    <w:rsid w:val="00DC21D8"/>
    <w:rsid w:val="00DC2EFD"/>
    <w:rsid w:val="00DC4C19"/>
    <w:rsid w:val="00DC4E7B"/>
    <w:rsid w:val="00DC58DA"/>
    <w:rsid w:val="00DC5E61"/>
    <w:rsid w:val="00DC739D"/>
    <w:rsid w:val="00DC7734"/>
    <w:rsid w:val="00DD06D7"/>
    <w:rsid w:val="00DD109C"/>
    <w:rsid w:val="00DD2484"/>
    <w:rsid w:val="00DD2C55"/>
    <w:rsid w:val="00DD3105"/>
    <w:rsid w:val="00DD34D2"/>
    <w:rsid w:val="00DD40AF"/>
    <w:rsid w:val="00DD40D8"/>
    <w:rsid w:val="00DD484D"/>
    <w:rsid w:val="00DD4935"/>
    <w:rsid w:val="00DD4D8F"/>
    <w:rsid w:val="00DD5DFC"/>
    <w:rsid w:val="00DD5F68"/>
    <w:rsid w:val="00DD6C9D"/>
    <w:rsid w:val="00DD7372"/>
    <w:rsid w:val="00DE008F"/>
    <w:rsid w:val="00DE1745"/>
    <w:rsid w:val="00DE3048"/>
    <w:rsid w:val="00DE4A2C"/>
    <w:rsid w:val="00DE4C66"/>
    <w:rsid w:val="00DE52E2"/>
    <w:rsid w:val="00DE5D69"/>
    <w:rsid w:val="00DE6574"/>
    <w:rsid w:val="00DE6AAF"/>
    <w:rsid w:val="00DE6DA5"/>
    <w:rsid w:val="00DE75CD"/>
    <w:rsid w:val="00DE772A"/>
    <w:rsid w:val="00DF06CC"/>
    <w:rsid w:val="00DF0966"/>
    <w:rsid w:val="00DF1085"/>
    <w:rsid w:val="00DF1715"/>
    <w:rsid w:val="00DF1804"/>
    <w:rsid w:val="00DF26D2"/>
    <w:rsid w:val="00DF2E91"/>
    <w:rsid w:val="00DF2EB8"/>
    <w:rsid w:val="00DF376B"/>
    <w:rsid w:val="00DF4B62"/>
    <w:rsid w:val="00DF52DD"/>
    <w:rsid w:val="00DF594E"/>
    <w:rsid w:val="00DF6226"/>
    <w:rsid w:val="00DF6E2D"/>
    <w:rsid w:val="00E0029F"/>
    <w:rsid w:val="00E0034A"/>
    <w:rsid w:val="00E0125B"/>
    <w:rsid w:val="00E0261B"/>
    <w:rsid w:val="00E0313E"/>
    <w:rsid w:val="00E032BF"/>
    <w:rsid w:val="00E03349"/>
    <w:rsid w:val="00E03B0A"/>
    <w:rsid w:val="00E03F22"/>
    <w:rsid w:val="00E04BEF"/>
    <w:rsid w:val="00E04FFE"/>
    <w:rsid w:val="00E05CBF"/>
    <w:rsid w:val="00E05D49"/>
    <w:rsid w:val="00E111C5"/>
    <w:rsid w:val="00E11A7E"/>
    <w:rsid w:val="00E12644"/>
    <w:rsid w:val="00E13909"/>
    <w:rsid w:val="00E14141"/>
    <w:rsid w:val="00E14E46"/>
    <w:rsid w:val="00E1548F"/>
    <w:rsid w:val="00E1592B"/>
    <w:rsid w:val="00E15E74"/>
    <w:rsid w:val="00E164F7"/>
    <w:rsid w:val="00E1768A"/>
    <w:rsid w:val="00E2044C"/>
    <w:rsid w:val="00E20BDA"/>
    <w:rsid w:val="00E214DE"/>
    <w:rsid w:val="00E21B46"/>
    <w:rsid w:val="00E225ED"/>
    <w:rsid w:val="00E22EFC"/>
    <w:rsid w:val="00E236B8"/>
    <w:rsid w:val="00E23808"/>
    <w:rsid w:val="00E24800"/>
    <w:rsid w:val="00E26131"/>
    <w:rsid w:val="00E2647F"/>
    <w:rsid w:val="00E26907"/>
    <w:rsid w:val="00E26A16"/>
    <w:rsid w:val="00E26EE0"/>
    <w:rsid w:val="00E27362"/>
    <w:rsid w:val="00E276F9"/>
    <w:rsid w:val="00E30A4F"/>
    <w:rsid w:val="00E30E3B"/>
    <w:rsid w:val="00E311C8"/>
    <w:rsid w:val="00E31965"/>
    <w:rsid w:val="00E31B08"/>
    <w:rsid w:val="00E3226E"/>
    <w:rsid w:val="00E32C91"/>
    <w:rsid w:val="00E34EBE"/>
    <w:rsid w:val="00E354BB"/>
    <w:rsid w:val="00E35D03"/>
    <w:rsid w:val="00E35E55"/>
    <w:rsid w:val="00E362A0"/>
    <w:rsid w:val="00E3634E"/>
    <w:rsid w:val="00E36E1E"/>
    <w:rsid w:val="00E374C5"/>
    <w:rsid w:val="00E37EBA"/>
    <w:rsid w:val="00E4072C"/>
    <w:rsid w:val="00E4072D"/>
    <w:rsid w:val="00E40BE5"/>
    <w:rsid w:val="00E414F9"/>
    <w:rsid w:val="00E41A20"/>
    <w:rsid w:val="00E42058"/>
    <w:rsid w:val="00E45093"/>
    <w:rsid w:val="00E45A88"/>
    <w:rsid w:val="00E45D23"/>
    <w:rsid w:val="00E45E53"/>
    <w:rsid w:val="00E468B7"/>
    <w:rsid w:val="00E46CF6"/>
    <w:rsid w:val="00E47018"/>
    <w:rsid w:val="00E5004F"/>
    <w:rsid w:val="00E502D1"/>
    <w:rsid w:val="00E51077"/>
    <w:rsid w:val="00E51250"/>
    <w:rsid w:val="00E513BE"/>
    <w:rsid w:val="00E5211E"/>
    <w:rsid w:val="00E526E4"/>
    <w:rsid w:val="00E53FC6"/>
    <w:rsid w:val="00E5409D"/>
    <w:rsid w:val="00E54A76"/>
    <w:rsid w:val="00E54BF4"/>
    <w:rsid w:val="00E56047"/>
    <w:rsid w:val="00E560D2"/>
    <w:rsid w:val="00E562C0"/>
    <w:rsid w:val="00E5632B"/>
    <w:rsid w:val="00E5742F"/>
    <w:rsid w:val="00E57CD9"/>
    <w:rsid w:val="00E57D66"/>
    <w:rsid w:val="00E607E0"/>
    <w:rsid w:val="00E60938"/>
    <w:rsid w:val="00E60AF3"/>
    <w:rsid w:val="00E60B9F"/>
    <w:rsid w:val="00E60D15"/>
    <w:rsid w:val="00E60DC8"/>
    <w:rsid w:val="00E61660"/>
    <w:rsid w:val="00E62574"/>
    <w:rsid w:val="00E62A0F"/>
    <w:rsid w:val="00E63107"/>
    <w:rsid w:val="00E63B2E"/>
    <w:rsid w:val="00E63D82"/>
    <w:rsid w:val="00E642A2"/>
    <w:rsid w:val="00E6486B"/>
    <w:rsid w:val="00E64A08"/>
    <w:rsid w:val="00E654B1"/>
    <w:rsid w:val="00E67D8D"/>
    <w:rsid w:val="00E70328"/>
    <w:rsid w:val="00E7035C"/>
    <w:rsid w:val="00E70CB6"/>
    <w:rsid w:val="00E71785"/>
    <w:rsid w:val="00E723AE"/>
    <w:rsid w:val="00E7307A"/>
    <w:rsid w:val="00E732D8"/>
    <w:rsid w:val="00E7483C"/>
    <w:rsid w:val="00E74BFD"/>
    <w:rsid w:val="00E74C47"/>
    <w:rsid w:val="00E74C6A"/>
    <w:rsid w:val="00E756B8"/>
    <w:rsid w:val="00E75B19"/>
    <w:rsid w:val="00E76C9C"/>
    <w:rsid w:val="00E77386"/>
    <w:rsid w:val="00E77798"/>
    <w:rsid w:val="00E8001D"/>
    <w:rsid w:val="00E8018D"/>
    <w:rsid w:val="00E80CED"/>
    <w:rsid w:val="00E81DF0"/>
    <w:rsid w:val="00E82B93"/>
    <w:rsid w:val="00E833B8"/>
    <w:rsid w:val="00E84274"/>
    <w:rsid w:val="00E84AA0"/>
    <w:rsid w:val="00E854C8"/>
    <w:rsid w:val="00E85D42"/>
    <w:rsid w:val="00E8615B"/>
    <w:rsid w:val="00E90C44"/>
    <w:rsid w:val="00E91B2C"/>
    <w:rsid w:val="00E91E33"/>
    <w:rsid w:val="00E9291D"/>
    <w:rsid w:val="00E9305A"/>
    <w:rsid w:val="00E93414"/>
    <w:rsid w:val="00E93FFF"/>
    <w:rsid w:val="00E9470E"/>
    <w:rsid w:val="00E94BDA"/>
    <w:rsid w:val="00E9561E"/>
    <w:rsid w:val="00E966BF"/>
    <w:rsid w:val="00E966C4"/>
    <w:rsid w:val="00E96BAF"/>
    <w:rsid w:val="00E9773F"/>
    <w:rsid w:val="00E97C35"/>
    <w:rsid w:val="00E97F01"/>
    <w:rsid w:val="00EA0799"/>
    <w:rsid w:val="00EA087D"/>
    <w:rsid w:val="00EA0F40"/>
    <w:rsid w:val="00EA1905"/>
    <w:rsid w:val="00EA1CB8"/>
    <w:rsid w:val="00EA2CE8"/>
    <w:rsid w:val="00EA2D4B"/>
    <w:rsid w:val="00EA2FCF"/>
    <w:rsid w:val="00EA3F01"/>
    <w:rsid w:val="00EA408C"/>
    <w:rsid w:val="00EA6E0C"/>
    <w:rsid w:val="00EA7492"/>
    <w:rsid w:val="00EA7525"/>
    <w:rsid w:val="00EA7E9B"/>
    <w:rsid w:val="00EB0159"/>
    <w:rsid w:val="00EB0D03"/>
    <w:rsid w:val="00EB11D5"/>
    <w:rsid w:val="00EB140F"/>
    <w:rsid w:val="00EB2871"/>
    <w:rsid w:val="00EB353A"/>
    <w:rsid w:val="00EB42B4"/>
    <w:rsid w:val="00EB4E26"/>
    <w:rsid w:val="00EB4F51"/>
    <w:rsid w:val="00EB56D9"/>
    <w:rsid w:val="00EB684E"/>
    <w:rsid w:val="00EC0DA4"/>
    <w:rsid w:val="00EC32CF"/>
    <w:rsid w:val="00EC3505"/>
    <w:rsid w:val="00EC3606"/>
    <w:rsid w:val="00EC3E30"/>
    <w:rsid w:val="00EC4461"/>
    <w:rsid w:val="00EC5047"/>
    <w:rsid w:val="00EC595F"/>
    <w:rsid w:val="00EC5DD4"/>
    <w:rsid w:val="00EC7105"/>
    <w:rsid w:val="00EC7990"/>
    <w:rsid w:val="00EC7B21"/>
    <w:rsid w:val="00EC7D5F"/>
    <w:rsid w:val="00ED148B"/>
    <w:rsid w:val="00ED2509"/>
    <w:rsid w:val="00ED38C6"/>
    <w:rsid w:val="00ED3F5E"/>
    <w:rsid w:val="00ED4D81"/>
    <w:rsid w:val="00ED60FD"/>
    <w:rsid w:val="00ED6A8C"/>
    <w:rsid w:val="00ED6AE4"/>
    <w:rsid w:val="00ED6B39"/>
    <w:rsid w:val="00ED712F"/>
    <w:rsid w:val="00EE0ACB"/>
    <w:rsid w:val="00EE1C3C"/>
    <w:rsid w:val="00EE20CE"/>
    <w:rsid w:val="00EE2D7A"/>
    <w:rsid w:val="00EE358D"/>
    <w:rsid w:val="00EE3D27"/>
    <w:rsid w:val="00EE45D2"/>
    <w:rsid w:val="00EE46A7"/>
    <w:rsid w:val="00EE47BF"/>
    <w:rsid w:val="00EE490A"/>
    <w:rsid w:val="00EE54C4"/>
    <w:rsid w:val="00EE6742"/>
    <w:rsid w:val="00EE6774"/>
    <w:rsid w:val="00EE6876"/>
    <w:rsid w:val="00EE6B74"/>
    <w:rsid w:val="00EE6D7B"/>
    <w:rsid w:val="00EE7EA0"/>
    <w:rsid w:val="00EF03D3"/>
    <w:rsid w:val="00EF08E8"/>
    <w:rsid w:val="00EF0D98"/>
    <w:rsid w:val="00EF1247"/>
    <w:rsid w:val="00EF157E"/>
    <w:rsid w:val="00EF1BB1"/>
    <w:rsid w:val="00EF23F8"/>
    <w:rsid w:val="00EF2E19"/>
    <w:rsid w:val="00EF66DA"/>
    <w:rsid w:val="00EF6880"/>
    <w:rsid w:val="00F006EB"/>
    <w:rsid w:val="00F00C6C"/>
    <w:rsid w:val="00F0105A"/>
    <w:rsid w:val="00F0112A"/>
    <w:rsid w:val="00F014A2"/>
    <w:rsid w:val="00F02938"/>
    <w:rsid w:val="00F030DC"/>
    <w:rsid w:val="00F0350A"/>
    <w:rsid w:val="00F03F92"/>
    <w:rsid w:val="00F040AF"/>
    <w:rsid w:val="00F0528F"/>
    <w:rsid w:val="00F05341"/>
    <w:rsid w:val="00F056DD"/>
    <w:rsid w:val="00F05E7E"/>
    <w:rsid w:val="00F069F4"/>
    <w:rsid w:val="00F06ED1"/>
    <w:rsid w:val="00F074A7"/>
    <w:rsid w:val="00F100B1"/>
    <w:rsid w:val="00F102AE"/>
    <w:rsid w:val="00F107E7"/>
    <w:rsid w:val="00F10E18"/>
    <w:rsid w:val="00F111A4"/>
    <w:rsid w:val="00F11AD6"/>
    <w:rsid w:val="00F13A1D"/>
    <w:rsid w:val="00F143BD"/>
    <w:rsid w:val="00F1549C"/>
    <w:rsid w:val="00F162BB"/>
    <w:rsid w:val="00F1669F"/>
    <w:rsid w:val="00F178A5"/>
    <w:rsid w:val="00F20662"/>
    <w:rsid w:val="00F20DA9"/>
    <w:rsid w:val="00F21324"/>
    <w:rsid w:val="00F21FFF"/>
    <w:rsid w:val="00F231AC"/>
    <w:rsid w:val="00F2779B"/>
    <w:rsid w:val="00F27AF7"/>
    <w:rsid w:val="00F30BE6"/>
    <w:rsid w:val="00F30F0F"/>
    <w:rsid w:val="00F316CC"/>
    <w:rsid w:val="00F3192F"/>
    <w:rsid w:val="00F31B4C"/>
    <w:rsid w:val="00F31DB9"/>
    <w:rsid w:val="00F31E2A"/>
    <w:rsid w:val="00F333D5"/>
    <w:rsid w:val="00F33484"/>
    <w:rsid w:val="00F3373A"/>
    <w:rsid w:val="00F33A9B"/>
    <w:rsid w:val="00F35591"/>
    <w:rsid w:val="00F37801"/>
    <w:rsid w:val="00F37A37"/>
    <w:rsid w:val="00F4086E"/>
    <w:rsid w:val="00F41100"/>
    <w:rsid w:val="00F418B1"/>
    <w:rsid w:val="00F423AE"/>
    <w:rsid w:val="00F424BB"/>
    <w:rsid w:val="00F4254D"/>
    <w:rsid w:val="00F42801"/>
    <w:rsid w:val="00F4292C"/>
    <w:rsid w:val="00F4360C"/>
    <w:rsid w:val="00F43913"/>
    <w:rsid w:val="00F44326"/>
    <w:rsid w:val="00F46244"/>
    <w:rsid w:val="00F4768D"/>
    <w:rsid w:val="00F4778A"/>
    <w:rsid w:val="00F47B6D"/>
    <w:rsid w:val="00F503B7"/>
    <w:rsid w:val="00F50847"/>
    <w:rsid w:val="00F50AB8"/>
    <w:rsid w:val="00F51615"/>
    <w:rsid w:val="00F518F1"/>
    <w:rsid w:val="00F5190F"/>
    <w:rsid w:val="00F52E5D"/>
    <w:rsid w:val="00F53028"/>
    <w:rsid w:val="00F53EB0"/>
    <w:rsid w:val="00F54E1A"/>
    <w:rsid w:val="00F550B1"/>
    <w:rsid w:val="00F60195"/>
    <w:rsid w:val="00F60288"/>
    <w:rsid w:val="00F60DBB"/>
    <w:rsid w:val="00F618A9"/>
    <w:rsid w:val="00F624EA"/>
    <w:rsid w:val="00F62988"/>
    <w:rsid w:val="00F63218"/>
    <w:rsid w:val="00F63522"/>
    <w:rsid w:val="00F6500D"/>
    <w:rsid w:val="00F65298"/>
    <w:rsid w:val="00F656E5"/>
    <w:rsid w:val="00F65D96"/>
    <w:rsid w:val="00F661ED"/>
    <w:rsid w:val="00F671D6"/>
    <w:rsid w:val="00F67B7D"/>
    <w:rsid w:val="00F67B83"/>
    <w:rsid w:val="00F704F1"/>
    <w:rsid w:val="00F70A4C"/>
    <w:rsid w:val="00F71DB6"/>
    <w:rsid w:val="00F721A5"/>
    <w:rsid w:val="00F726A9"/>
    <w:rsid w:val="00F72B62"/>
    <w:rsid w:val="00F72E9E"/>
    <w:rsid w:val="00F7328F"/>
    <w:rsid w:val="00F73C1C"/>
    <w:rsid w:val="00F741F9"/>
    <w:rsid w:val="00F744C7"/>
    <w:rsid w:val="00F7559B"/>
    <w:rsid w:val="00F769D3"/>
    <w:rsid w:val="00F770FC"/>
    <w:rsid w:val="00F770FF"/>
    <w:rsid w:val="00F771D5"/>
    <w:rsid w:val="00F77566"/>
    <w:rsid w:val="00F77A4E"/>
    <w:rsid w:val="00F80DD5"/>
    <w:rsid w:val="00F81A5E"/>
    <w:rsid w:val="00F82B1D"/>
    <w:rsid w:val="00F832B2"/>
    <w:rsid w:val="00F83CB2"/>
    <w:rsid w:val="00F866AD"/>
    <w:rsid w:val="00F90151"/>
    <w:rsid w:val="00F905A6"/>
    <w:rsid w:val="00F908A3"/>
    <w:rsid w:val="00F90C97"/>
    <w:rsid w:val="00F9155F"/>
    <w:rsid w:val="00F9178F"/>
    <w:rsid w:val="00F91B4A"/>
    <w:rsid w:val="00F91C84"/>
    <w:rsid w:val="00F92465"/>
    <w:rsid w:val="00F934BC"/>
    <w:rsid w:val="00F9441F"/>
    <w:rsid w:val="00F946EC"/>
    <w:rsid w:val="00F948BB"/>
    <w:rsid w:val="00F9526E"/>
    <w:rsid w:val="00F96013"/>
    <w:rsid w:val="00F97B5D"/>
    <w:rsid w:val="00FA0CD1"/>
    <w:rsid w:val="00FA2153"/>
    <w:rsid w:val="00FA26D2"/>
    <w:rsid w:val="00FA3C1A"/>
    <w:rsid w:val="00FA3E7E"/>
    <w:rsid w:val="00FA3EF8"/>
    <w:rsid w:val="00FA5296"/>
    <w:rsid w:val="00FA57D2"/>
    <w:rsid w:val="00FA5E3D"/>
    <w:rsid w:val="00FA68DA"/>
    <w:rsid w:val="00FA705E"/>
    <w:rsid w:val="00FA7881"/>
    <w:rsid w:val="00FB14E9"/>
    <w:rsid w:val="00FB1985"/>
    <w:rsid w:val="00FB35F5"/>
    <w:rsid w:val="00FB398E"/>
    <w:rsid w:val="00FB402E"/>
    <w:rsid w:val="00FC085B"/>
    <w:rsid w:val="00FC092E"/>
    <w:rsid w:val="00FC0E1F"/>
    <w:rsid w:val="00FC0F7B"/>
    <w:rsid w:val="00FC1A62"/>
    <w:rsid w:val="00FC278D"/>
    <w:rsid w:val="00FC27CD"/>
    <w:rsid w:val="00FC2BB5"/>
    <w:rsid w:val="00FC490D"/>
    <w:rsid w:val="00FC529B"/>
    <w:rsid w:val="00FC5626"/>
    <w:rsid w:val="00FC56A7"/>
    <w:rsid w:val="00FC6893"/>
    <w:rsid w:val="00FC6E96"/>
    <w:rsid w:val="00FD0080"/>
    <w:rsid w:val="00FD05A8"/>
    <w:rsid w:val="00FD1174"/>
    <w:rsid w:val="00FD20FC"/>
    <w:rsid w:val="00FD277B"/>
    <w:rsid w:val="00FD3983"/>
    <w:rsid w:val="00FD3D29"/>
    <w:rsid w:val="00FD44B4"/>
    <w:rsid w:val="00FD4F8C"/>
    <w:rsid w:val="00FD6490"/>
    <w:rsid w:val="00FD6939"/>
    <w:rsid w:val="00FD7AC9"/>
    <w:rsid w:val="00FE0692"/>
    <w:rsid w:val="00FE0D77"/>
    <w:rsid w:val="00FE103A"/>
    <w:rsid w:val="00FE1B62"/>
    <w:rsid w:val="00FE2B3A"/>
    <w:rsid w:val="00FE2DE2"/>
    <w:rsid w:val="00FE36F4"/>
    <w:rsid w:val="00FE418D"/>
    <w:rsid w:val="00FE506C"/>
    <w:rsid w:val="00FE50C7"/>
    <w:rsid w:val="00FE612B"/>
    <w:rsid w:val="00FE6637"/>
    <w:rsid w:val="00FE74BC"/>
    <w:rsid w:val="00FF0551"/>
    <w:rsid w:val="00FF1BFB"/>
    <w:rsid w:val="00FF20F5"/>
    <w:rsid w:val="00FF22D2"/>
    <w:rsid w:val="00FF29EC"/>
    <w:rsid w:val="00FF369E"/>
    <w:rsid w:val="00FF36A0"/>
    <w:rsid w:val="00FF617E"/>
    <w:rsid w:val="00FF6ABB"/>
    <w:rsid w:val="00FF6C21"/>
    <w:rsid w:val="00FF75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82F"/>
    <w:pPr>
      <w:spacing w:after="240"/>
    </w:pPr>
    <w:rPr>
      <w:sz w:val="24"/>
      <w:lang w:val="en-GB" w:eastAsia="en-US"/>
    </w:rPr>
  </w:style>
  <w:style w:type="paragraph" w:styleId="Heading2">
    <w:name w:val="heading 2"/>
    <w:aliases w:val=" Car"/>
    <w:basedOn w:val="Normal"/>
    <w:next w:val="Normal"/>
    <w:link w:val="Heading2Char"/>
    <w:qFormat/>
    <w:rsid w:val="00BE382F"/>
    <w:pPr>
      <w:keepNext/>
      <w:jc w:val="center"/>
      <w:outlineLvl w:val="1"/>
    </w:pPr>
    <w:rPr>
      <w:b/>
    </w:rPr>
  </w:style>
  <w:style w:type="paragraph" w:styleId="Heading3">
    <w:name w:val="heading 3"/>
    <w:basedOn w:val="Normal"/>
    <w:next w:val="Normal"/>
    <w:qFormat/>
    <w:rsid w:val="0024282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aliases w:val=" Car Char"/>
    <w:link w:val="Heading2"/>
    <w:rsid w:val="00BE382F"/>
    <w:rPr>
      <w:b/>
      <w:sz w:val="24"/>
      <w:lang w:val="en-GB" w:eastAsia="en-US" w:bidi="ar-SA"/>
    </w:rPr>
  </w:style>
  <w:style w:type="character" w:styleId="Hyperlink">
    <w:name w:val="Hyperlink"/>
    <w:rsid w:val="00D64182"/>
    <w:rPr>
      <w:color w:val="0000FF"/>
      <w:u w:val="single"/>
    </w:rPr>
  </w:style>
  <w:style w:type="paragraph" w:styleId="FootnoteText">
    <w:name w:val="footnote text"/>
    <w:aliases w:val="stile 1 Car Car,stile 1 Car"/>
    <w:basedOn w:val="Normal"/>
    <w:link w:val="FootnoteTextChar"/>
    <w:semiHidden/>
    <w:rsid w:val="00625EA2"/>
    <w:rPr>
      <w:sz w:val="20"/>
    </w:rPr>
  </w:style>
  <w:style w:type="character" w:styleId="FootnoteReference">
    <w:name w:val="footnote reference"/>
    <w:semiHidden/>
    <w:rsid w:val="00625EA2"/>
    <w:rPr>
      <w:vertAlign w:val="superscript"/>
    </w:rPr>
  </w:style>
  <w:style w:type="paragraph" w:styleId="BalloonText">
    <w:name w:val="Balloon Text"/>
    <w:basedOn w:val="Normal"/>
    <w:semiHidden/>
    <w:rsid w:val="004F42DF"/>
    <w:rPr>
      <w:rFonts w:ascii="Tahoma" w:hAnsi="Tahoma" w:cs="Tahoma"/>
      <w:sz w:val="16"/>
      <w:szCs w:val="16"/>
    </w:rPr>
  </w:style>
  <w:style w:type="table" w:styleId="TableGrid">
    <w:name w:val="Table Grid"/>
    <w:basedOn w:val="TableNormal"/>
    <w:semiHidden/>
    <w:rsid w:val="00A55BA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stile 1 Car Car Char,stile 1 Car Char"/>
    <w:link w:val="FootnoteText"/>
    <w:rsid w:val="00D35BF6"/>
    <w:rPr>
      <w:lang w:val="en-GB" w:eastAsia="en-US" w:bidi="ar-SA"/>
    </w:rPr>
  </w:style>
  <w:style w:type="paragraph" w:styleId="BodyText2">
    <w:name w:val="Body Text 2"/>
    <w:basedOn w:val="Normal"/>
    <w:next w:val="Normal"/>
    <w:semiHidden/>
    <w:rsid w:val="00D52DB0"/>
  </w:style>
  <w:style w:type="paragraph" w:styleId="Footer">
    <w:name w:val="footer"/>
    <w:basedOn w:val="Normal"/>
    <w:next w:val="Normal"/>
    <w:rsid w:val="008E0004"/>
    <w:pPr>
      <w:tabs>
        <w:tab w:val="center" w:pos="4320"/>
        <w:tab w:val="right" w:pos="8640"/>
      </w:tabs>
      <w:spacing w:after="0"/>
    </w:pPr>
  </w:style>
  <w:style w:type="paragraph" w:styleId="DocumentMap">
    <w:name w:val="Document Map"/>
    <w:basedOn w:val="Normal"/>
    <w:semiHidden/>
    <w:rsid w:val="00EB4F51"/>
    <w:pPr>
      <w:shd w:val="clear" w:color="auto" w:fill="000080"/>
    </w:pPr>
    <w:rPr>
      <w:rFonts w:ascii="Tahoma" w:hAnsi="Tahoma" w:cs="Tahoma"/>
    </w:rPr>
  </w:style>
  <w:style w:type="paragraph" w:styleId="Header">
    <w:name w:val="header"/>
    <w:basedOn w:val="Normal"/>
    <w:rsid w:val="0038700B"/>
    <w:pPr>
      <w:tabs>
        <w:tab w:val="center" w:pos="4536"/>
        <w:tab w:val="right" w:pos="9072"/>
      </w:tabs>
    </w:pPr>
  </w:style>
  <w:style w:type="character" w:styleId="PageNumber">
    <w:name w:val="page number"/>
    <w:basedOn w:val="DefaultParagraphFont"/>
    <w:rsid w:val="0038700B"/>
  </w:style>
  <w:style w:type="character" w:customStyle="1" w:styleId="ParagraphnumberedChar">
    <w:name w:val="Paragraph numbered Char"/>
    <w:rsid w:val="00234B33"/>
    <w:rPr>
      <w:sz w:val="24"/>
      <w:lang w:val="en-AU" w:eastAsia="en-AU" w:bidi="ar-SA"/>
    </w:rPr>
  </w:style>
  <w:style w:type="paragraph" w:customStyle="1" w:styleId="CATparanumbered">
    <w:name w:val="CAT para numbered"/>
    <w:basedOn w:val="Normal"/>
    <w:link w:val="CATparanumberedCar"/>
    <w:rsid w:val="00234B33"/>
    <w:pPr>
      <w:numPr>
        <w:numId w:val="6"/>
      </w:numPr>
      <w:tabs>
        <w:tab w:val="num" w:pos="360"/>
        <w:tab w:val="left" w:pos="567"/>
      </w:tabs>
      <w:spacing w:after="0"/>
      <w:ind w:left="0" w:firstLine="0"/>
    </w:pPr>
    <w:rPr>
      <w:lang w:val="en-AU" w:eastAsia="en-AU"/>
    </w:rPr>
  </w:style>
  <w:style w:type="character" w:customStyle="1" w:styleId="CATparanumberedCar">
    <w:name w:val="CAT para numbered Car"/>
    <w:basedOn w:val="ParagraphnumberedChar"/>
    <w:link w:val="CATparanumbered"/>
    <w:rsid w:val="00234B33"/>
    <w:rPr>
      <w:sz w:val="24"/>
      <w:lang w:val="en-AU" w:eastAsia="en-AU" w:bidi="ar-SA"/>
    </w:rPr>
  </w:style>
  <w:style w:type="character" w:customStyle="1" w:styleId="CATparanumberedChar">
    <w:name w:val="CAT para numbered Char"/>
    <w:basedOn w:val="ParagraphnumberedChar"/>
    <w:rsid w:val="00234B33"/>
    <w:rPr>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pcz"/><Relationship Id="rId18" Type="http://schemas.openxmlformats.org/officeDocument/2006/relationships/image" Target="media/image10.pcz"/><Relationship Id="rId26" Type="http://schemas.openxmlformats.org/officeDocument/2006/relationships/header" Target="header5.xml"/><Relationship Id="rId39" Type="http://schemas.openxmlformats.org/officeDocument/2006/relationships/hyperlink" Target="http://www.coronerscourt.wa.gov.au" TargetMode="External"/><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yperlink" Target="http://www.dest.gov.au/schools/nssf" TargetMode="External"/><Relationship Id="rId50" Type="http://schemas.openxmlformats.org/officeDocument/2006/relationships/header" Target="header20.xml"/><Relationship Id="rId55" Type="http://schemas.openxmlformats.org/officeDocument/2006/relationships/hyperlink" Target="http://www.ombudsman.qld.gov.au/cms/index.php?option=com_content&amp;task=view&amp;24&amp;Itemid=22" TargetMode="Externa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image" Target="media/image13.pcz"/><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yperlink" Target="http://www.dcs.qld.gov.au/Publications/Corporate_Publications/Miscellaneous_Documents/Chief%20Inspecto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mmi.gov.au" TargetMode="External"/><Relationship Id="rId32" Type="http://schemas.openxmlformats.org/officeDocument/2006/relationships/hyperlink" Target="http://www.parliamemnt.qld.gov.au/view/legislativeassembly/tableOffice/documents/tp_PDFS/TP381-2006.pdf"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image" Target="media/image12.emf"/><Relationship Id="rId53" Type="http://schemas.openxmlformats.org/officeDocument/2006/relationships/hyperlink" Target="http://www.aic.gov.au/research/corrections/standards/aust-stand_2004.pdf" TargetMode="External"/><Relationship Id="rId58"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image" Target="media/image7.pcz"/><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eader" Target="header11.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yperlink" Target="http://www.nswccl.org.au/issues/bill_of_rights/other.php" TargetMode="External"/><Relationship Id="rId19" Type="http://schemas.openxmlformats.org/officeDocument/2006/relationships/header" Target="header1.xml"/><Relationship Id="rId31" Type="http://schemas.openxmlformats.org/officeDocument/2006/relationships/hyperlink" Target="http://www.justice.qnl.gov.au/courts/coroner/findings/mulrunji270906.doc" TargetMode="External"/><Relationship Id="rId44" Type="http://schemas.openxmlformats.org/officeDocument/2006/relationships/footer" Target="footer5.xml"/><Relationship Id="rId52" Type="http://schemas.openxmlformats.org/officeDocument/2006/relationships/footer" Target="footer6.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18.xml"/><Relationship Id="rId56" Type="http://schemas.openxmlformats.org/officeDocument/2006/relationships/header" Target="header22.xml"/><Relationship Id="rId8" Type="http://schemas.openxmlformats.org/officeDocument/2006/relationships/image" Target="media/image2.pcz"/><Relationship Id="rId51" Type="http://schemas.openxmlformats.org/officeDocument/2006/relationships/header" Target="header2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91402</Words>
  <Characters>520994</Characters>
  <Application>Microsoft Office Word</Application>
  <DocSecurity>4</DocSecurity>
  <Lines>4341</Lines>
  <Paragraphs>1222</Paragraphs>
  <ScaleCrop>false</ScaleCrop>
  <HeadingPairs>
    <vt:vector size="2" baseType="variant">
      <vt:variant>
        <vt:lpstr>Title</vt:lpstr>
      </vt:variant>
      <vt:variant>
        <vt:i4>1</vt:i4>
      </vt:variant>
    </vt:vector>
  </HeadingPairs>
  <TitlesOfParts>
    <vt:vector size="1" baseType="lpstr">
      <vt:lpstr>NATIONS</vt:lpstr>
    </vt:vector>
  </TitlesOfParts>
  <Company/>
  <LinksUpToDate>false</LinksUpToDate>
  <CharactersWithSpaces>611174</CharactersWithSpaces>
  <SharedDoc>false</SharedDoc>
  <HLinks>
    <vt:vector size="54" baseType="variant">
      <vt:variant>
        <vt:i4>2162718</vt:i4>
      </vt:variant>
      <vt:variant>
        <vt:i4>30</vt:i4>
      </vt:variant>
      <vt:variant>
        <vt:i4>0</vt:i4>
      </vt:variant>
      <vt:variant>
        <vt:i4>5</vt:i4>
      </vt:variant>
      <vt:variant>
        <vt:lpwstr>http://www.ombudsman.qld.gov.au/cms/index.php?option=com_content&amp;task=view&amp;24&amp;Itemid=22</vt:lpwstr>
      </vt:variant>
      <vt:variant>
        <vt:lpwstr/>
      </vt:variant>
      <vt:variant>
        <vt:i4>3473530</vt:i4>
      </vt:variant>
      <vt:variant>
        <vt:i4>27</vt:i4>
      </vt:variant>
      <vt:variant>
        <vt:i4>0</vt:i4>
      </vt:variant>
      <vt:variant>
        <vt:i4>5</vt:i4>
      </vt:variant>
      <vt:variant>
        <vt:lpwstr>http://www.dcs.qld.gov.au/Publications/Corporate_Publications/Miscellaneous_Documents/Chief Inspector.pdf</vt:lpwstr>
      </vt:variant>
      <vt:variant>
        <vt:lpwstr/>
      </vt:variant>
      <vt:variant>
        <vt:i4>7274582</vt:i4>
      </vt:variant>
      <vt:variant>
        <vt:i4>24</vt:i4>
      </vt:variant>
      <vt:variant>
        <vt:i4>0</vt:i4>
      </vt:variant>
      <vt:variant>
        <vt:i4>5</vt:i4>
      </vt:variant>
      <vt:variant>
        <vt:lpwstr>http://www.aic.gov.au/research/corrections/standards/aust-stand_2004.pdf</vt:lpwstr>
      </vt:variant>
      <vt:variant>
        <vt:lpwstr/>
      </vt:variant>
      <vt:variant>
        <vt:i4>3932194</vt:i4>
      </vt:variant>
      <vt:variant>
        <vt:i4>21</vt:i4>
      </vt:variant>
      <vt:variant>
        <vt:i4>0</vt:i4>
      </vt:variant>
      <vt:variant>
        <vt:i4>5</vt:i4>
      </vt:variant>
      <vt:variant>
        <vt:lpwstr>http://www.dest.gov.au/schools/nssf</vt:lpwstr>
      </vt:variant>
      <vt:variant>
        <vt:lpwstr/>
      </vt:variant>
      <vt:variant>
        <vt:i4>2687076</vt:i4>
      </vt:variant>
      <vt:variant>
        <vt:i4>18</vt:i4>
      </vt:variant>
      <vt:variant>
        <vt:i4>0</vt:i4>
      </vt:variant>
      <vt:variant>
        <vt:i4>5</vt:i4>
      </vt:variant>
      <vt:variant>
        <vt:lpwstr>http://www.coronerscourt.wa.gov.au/</vt:lpwstr>
      </vt:variant>
      <vt:variant>
        <vt:lpwstr/>
      </vt:variant>
      <vt:variant>
        <vt:i4>1310779</vt:i4>
      </vt:variant>
      <vt:variant>
        <vt:i4>15</vt:i4>
      </vt:variant>
      <vt:variant>
        <vt:i4>0</vt:i4>
      </vt:variant>
      <vt:variant>
        <vt:i4>5</vt:i4>
      </vt:variant>
      <vt:variant>
        <vt:lpwstr>http://www.parliamemnt.qld.gov.au/view/legislativeassembly/tableOffice/documents/tp_PDFS/TP381-2006.pdf</vt:lpwstr>
      </vt:variant>
      <vt:variant>
        <vt:lpwstr/>
      </vt:variant>
      <vt:variant>
        <vt:i4>589842</vt:i4>
      </vt:variant>
      <vt:variant>
        <vt:i4>12</vt:i4>
      </vt:variant>
      <vt:variant>
        <vt:i4>0</vt:i4>
      </vt:variant>
      <vt:variant>
        <vt:i4>5</vt:i4>
      </vt:variant>
      <vt:variant>
        <vt:lpwstr>http://www.justice.qnl.gov.au/courts/coroner/findings/mulrunji270906.doc</vt:lpwstr>
      </vt:variant>
      <vt:variant>
        <vt:lpwstr/>
      </vt:variant>
      <vt:variant>
        <vt:i4>3473444</vt:i4>
      </vt:variant>
      <vt:variant>
        <vt:i4>9</vt:i4>
      </vt:variant>
      <vt:variant>
        <vt:i4>0</vt:i4>
      </vt:variant>
      <vt:variant>
        <vt:i4>5</vt:i4>
      </vt:variant>
      <vt:variant>
        <vt:lpwstr>http://www.immi.gov.au/</vt:lpwstr>
      </vt:variant>
      <vt:variant>
        <vt:lpwstr/>
      </vt:variant>
      <vt:variant>
        <vt:i4>3407921</vt:i4>
      </vt:variant>
      <vt:variant>
        <vt:i4>3</vt:i4>
      </vt:variant>
      <vt:variant>
        <vt:i4>0</vt:i4>
      </vt:variant>
      <vt:variant>
        <vt:i4>5</vt:i4>
      </vt:variant>
      <vt:variant>
        <vt:lpwstr>http://www.nswccl.org.au/issues/bill_of_rights/other.php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dc:creator>
  <cp:keywords/>
  <dc:description/>
  <cp:lastModifiedBy>CSD</cp:lastModifiedBy>
  <cp:revision>3</cp:revision>
  <cp:lastPrinted>2008-05-14T16:24:00Z</cp:lastPrinted>
  <dcterms:created xsi:type="dcterms:W3CDTF">2008-05-14T16:24:00Z</dcterms:created>
  <dcterms:modified xsi:type="dcterms:W3CDTF">2008-05-14T16:25:00Z</dcterms:modified>
</cp:coreProperties>
</file>