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1F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1F05" w:rsidP="00421F05">
            <w:pPr>
              <w:jc w:val="right"/>
            </w:pPr>
            <w:r w:rsidRPr="00421F05">
              <w:rPr>
                <w:sz w:val="40"/>
              </w:rPr>
              <w:t>CED</w:t>
            </w:r>
            <w:r>
              <w:t>/C/12/2</w:t>
            </w:r>
          </w:p>
        </w:tc>
      </w:tr>
      <w:tr w:rsidR="002D5AAC" w:rsidRPr="001875D9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9F2F6D" wp14:editId="61EB4A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21F05" w:rsidRDefault="00421F05" w:rsidP="00877609">
            <w:pPr>
              <w:spacing w:before="240"/>
              <w:rPr>
                <w:lang w:val="en-US"/>
              </w:rPr>
            </w:pPr>
            <w:r w:rsidRPr="00421F05">
              <w:rPr>
                <w:lang w:val="en-US"/>
              </w:rPr>
              <w:t>Distr.: General</w:t>
            </w:r>
          </w:p>
          <w:p w:rsidR="00421F05" w:rsidRPr="00421F05" w:rsidRDefault="00421F05" w:rsidP="00421F05">
            <w:pPr>
              <w:spacing w:line="240" w:lineRule="exact"/>
              <w:rPr>
                <w:lang w:val="en-US"/>
              </w:rPr>
            </w:pPr>
            <w:r w:rsidRPr="00421F05">
              <w:rPr>
                <w:lang w:val="en-US"/>
              </w:rPr>
              <w:t>6 April 2017</w:t>
            </w:r>
          </w:p>
          <w:p w:rsidR="00421F05" w:rsidRPr="00421F05" w:rsidRDefault="00421F05" w:rsidP="00421F05">
            <w:pPr>
              <w:spacing w:line="240" w:lineRule="exact"/>
              <w:rPr>
                <w:lang w:val="en-US"/>
              </w:rPr>
            </w:pPr>
            <w:r w:rsidRPr="00421F05">
              <w:rPr>
                <w:lang w:val="en-US"/>
              </w:rPr>
              <w:t>Russian</w:t>
            </w:r>
          </w:p>
          <w:p w:rsidR="00421F05" w:rsidRPr="00421F05" w:rsidRDefault="00421F05" w:rsidP="00421F05">
            <w:pPr>
              <w:spacing w:line="240" w:lineRule="exact"/>
              <w:rPr>
                <w:lang w:val="en-US"/>
              </w:rPr>
            </w:pPr>
            <w:r w:rsidRPr="00421F05">
              <w:rPr>
                <w:lang w:val="en-US"/>
              </w:rPr>
              <w:t>Original: Spanish</w:t>
            </w:r>
          </w:p>
        </w:tc>
      </w:tr>
    </w:tbl>
    <w:p w:rsidR="00180178" w:rsidRPr="00180178" w:rsidRDefault="00180178" w:rsidP="00180178">
      <w:pPr>
        <w:spacing w:before="120"/>
        <w:rPr>
          <w:b/>
          <w:sz w:val="24"/>
          <w:szCs w:val="24"/>
        </w:rPr>
      </w:pPr>
      <w:r w:rsidRPr="00180178">
        <w:rPr>
          <w:b/>
          <w:bCs/>
          <w:sz w:val="24"/>
          <w:szCs w:val="24"/>
        </w:rPr>
        <w:t>Комитет по насильственным исчезновениям</w:t>
      </w:r>
    </w:p>
    <w:p w:rsidR="00180178" w:rsidRPr="00180178" w:rsidRDefault="00180178" w:rsidP="00180178">
      <w:pPr>
        <w:pStyle w:val="HChGR"/>
      </w:pPr>
      <w:r w:rsidRPr="00180178">
        <w:tab/>
      </w:r>
      <w:r w:rsidRPr="00180178">
        <w:tab/>
        <w:t>Доклад о просьбах о принятии срочных мер, полученн</w:t>
      </w:r>
      <w:r w:rsidR="00CC6A53">
        <w:t>ых в соответствии со статьей 30</w:t>
      </w:r>
      <w:r w:rsidR="00CC6A53">
        <w:br/>
      </w:r>
      <w:r w:rsidRPr="00180178">
        <w:t>Конвенции</w:t>
      </w:r>
      <w:r w:rsidRPr="00CC6A53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:rsidR="00180178" w:rsidRPr="00180178" w:rsidRDefault="00180178" w:rsidP="00180178">
      <w:pPr>
        <w:pStyle w:val="H1GR"/>
      </w:pPr>
      <w:r w:rsidRPr="00180178">
        <w:tab/>
        <w:t>A.</w:t>
      </w:r>
      <w:r w:rsidRPr="00180178">
        <w:tab/>
        <w:t>Введение</w:t>
      </w:r>
    </w:p>
    <w:p w:rsidR="00180178" w:rsidRPr="00180178" w:rsidRDefault="00180178" w:rsidP="00180178">
      <w:pPr>
        <w:pStyle w:val="SingleTxtGR"/>
      </w:pPr>
      <w:r w:rsidRPr="00180178">
        <w:t>1.</w:t>
      </w:r>
      <w:r w:rsidRPr="00180178">
        <w:tab/>
        <w:t>В статьях 57 и 58 правил процеду</w:t>
      </w:r>
      <w:r w:rsidR="00CC6A53">
        <w:t>ры Комитета (CED/C/1) говорится</w:t>
      </w:r>
      <w:r w:rsidR="00CC6A53">
        <w:br/>
      </w:r>
      <w:r w:rsidRPr="00180178">
        <w:t>о том, что</w:t>
      </w:r>
      <w:r>
        <w:t xml:space="preserve"> </w:t>
      </w:r>
      <w:r w:rsidRPr="00180178">
        <w:t>до сведения Комитета доводятся все просьбы о принятии срочных мер, которые переданы на его рассмотрение в соответствии со статьей 30 Ко</w:t>
      </w:r>
      <w:r w:rsidRPr="00180178">
        <w:t>н</w:t>
      </w:r>
      <w:r w:rsidRPr="00180178">
        <w:t>венции. Полный текст любой из этих просьб может быть предоставлен на том языке, на котором она была получена, каждому члену Комитета, который п</w:t>
      </w:r>
      <w:r w:rsidRPr="00180178">
        <w:t>о</w:t>
      </w:r>
      <w:r w:rsidRPr="00180178">
        <w:t>просит об этом. В настоящем докладе кратко изложены основные темы, кот</w:t>
      </w:r>
      <w:r w:rsidRPr="00180178">
        <w:t>о</w:t>
      </w:r>
      <w:r w:rsidRPr="00180178">
        <w:t>рые были затронуты докладчиками по вопросу о срочных мерах в отношении полученных Комитетом после его одиннадцатой сессии просьб о принятии т</w:t>
      </w:r>
      <w:r w:rsidRPr="00180178">
        <w:t>а</w:t>
      </w:r>
      <w:r w:rsidRPr="00180178">
        <w:t>ких мер, а также о вынесенных решениях в этой связи в соответствии со стат</w:t>
      </w:r>
      <w:r w:rsidRPr="00180178">
        <w:t>ь</w:t>
      </w:r>
      <w:r w:rsidRPr="00180178">
        <w:t>ей 30 Конвенции. Доклад был одобрен Комитетом 16 марта 2017 года.</w:t>
      </w:r>
    </w:p>
    <w:p w:rsidR="00180178" w:rsidRPr="00180178" w:rsidRDefault="00180178" w:rsidP="00180178">
      <w:pPr>
        <w:pStyle w:val="H1GR"/>
      </w:pPr>
      <w:r w:rsidRPr="00180178">
        <w:tab/>
        <w:t>B.</w:t>
      </w:r>
      <w:r w:rsidRPr="00180178">
        <w:tab/>
        <w:t>Просьбы о п</w:t>
      </w:r>
      <w:r w:rsidR="00CC6A53">
        <w:t>ринятии срочных мер, полученные</w:t>
      </w:r>
      <w:r w:rsidR="00CC6A53">
        <w:br/>
      </w:r>
      <w:r w:rsidRPr="00180178">
        <w:t>после одиннадцатой сессии Комитета</w:t>
      </w:r>
    </w:p>
    <w:p w:rsidR="00180178" w:rsidRPr="00180178" w:rsidRDefault="00180178" w:rsidP="00A6117A">
      <w:pPr>
        <w:pStyle w:val="SingleTxtGR"/>
      </w:pPr>
      <w:r w:rsidRPr="00180178">
        <w:t>2.</w:t>
      </w:r>
      <w:r w:rsidRPr="00180178">
        <w:tab/>
        <w:t>Комитет включил информацию о решениях, принятых по 342 просьбам о принятии срочных мер, которые были получены до 11 октября 2016 года,</w:t>
      </w:r>
      <w:r w:rsidR="00A6117A">
        <w:t xml:space="preserve"> в</w:t>
      </w:r>
      <w:r w:rsidR="00A6117A">
        <w:rPr>
          <w:lang w:val="en-US"/>
        </w:rPr>
        <w:t> </w:t>
      </w:r>
      <w:r w:rsidRPr="00180178">
        <w:t>свою записку, посвященную просьбам о принятии срочных мер и принятую на его одиннадцатой сессии. В период с 11 октября 2016 года по 18 января 2017</w:t>
      </w:r>
      <w:r w:rsidR="00A6117A">
        <w:rPr>
          <w:lang w:val="en-US"/>
        </w:rPr>
        <w:t> </w:t>
      </w:r>
      <w:r w:rsidRPr="00180178">
        <w:t xml:space="preserve">года Комитет получил 21 новую просьбу о принятии срочных мер, </w:t>
      </w:r>
      <w:r w:rsidR="00317FF6">
        <w:br/>
      </w:r>
      <w:r w:rsidRPr="00180178">
        <w:t>17 из которых были зарегистрированы. Все они были связаны с событиями, произошедшими в Аргентине и Мексике. К настоящему докладу прилагается перечень просьб о принятии срочных мер, зарегистрированных до 20 марта 2017 года.</w:t>
      </w:r>
    </w:p>
    <w:p w:rsidR="00180178" w:rsidRPr="00180178" w:rsidRDefault="00180178" w:rsidP="00180178">
      <w:pPr>
        <w:pStyle w:val="SingleTxtGR"/>
      </w:pPr>
      <w:r w:rsidRPr="00180178">
        <w:t>3.</w:t>
      </w:r>
      <w:r w:rsidRPr="00180178">
        <w:tab/>
        <w:t>На момент подготовки настоящего доклада Комитет зарегистрировал в общей сложности 359 просьб о принятии срочных мер, информация о которых приведена ниже в разбивке по году и стране.</w:t>
      </w:r>
    </w:p>
    <w:p w:rsidR="00180178" w:rsidRPr="00180178" w:rsidRDefault="00A6117A" w:rsidP="00C832AC">
      <w:pPr>
        <w:pStyle w:val="H23GR"/>
        <w:pageBreakBefore/>
        <w:rPr>
          <w:i/>
        </w:rPr>
      </w:pPr>
      <w:r w:rsidRPr="00C832AC">
        <w:rPr>
          <w:b w:val="0"/>
          <w:bCs/>
        </w:rPr>
        <w:lastRenderedPageBreak/>
        <w:tab/>
      </w:r>
      <w:r w:rsidRPr="00C832AC">
        <w:rPr>
          <w:b w:val="0"/>
          <w:bCs/>
        </w:rPr>
        <w:tab/>
      </w:r>
      <w:r w:rsidR="00180178" w:rsidRPr="00A6117A">
        <w:rPr>
          <w:b w:val="0"/>
          <w:bCs/>
        </w:rPr>
        <w:t>Таблица</w:t>
      </w:r>
      <w:r w:rsidRPr="00A6117A">
        <w:rPr>
          <w:b w:val="0"/>
          <w:bCs/>
        </w:rPr>
        <w:br/>
      </w:r>
      <w:r w:rsidR="00180178" w:rsidRPr="00180178">
        <w:rPr>
          <w:bCs/>
        </w:rPr>
        <w:t xml:space="preserve">Зарегистрированные просьбы о </w:t>
      </w:r>
      <w:r w:rsidR="00D93F33">
        <w:rPr>
          <w:bCs/>
        </w:rPr>
        <w:t>принятии срочных мер в разбивке</w:t>
      </w:r>
      <w:r w:rsidR="00D93F33">
        <w:rPr>
          <w:bCs/>
        </w:rPr>
        <w:br/>
      </w:r>
      <w:r w:rsidR="00180178" w:rsidRPr="00180178">
        <w:rPr>
          <w:bCs/>
        </w:rPr>
        <w:t>по году и стране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910"/>
        <w:gridCol w:w="868"/>
        <w:gridCol w:w="868"/>
        <w:gridCol w:w="1022"/>
        <w:gridCol w:w="923"/>
        <w:gridCol w:w="546"/>
        <w:gridCol w:w="812"/>
        <w:gridCol w:w="826"/>
        <w:gridCol w:w="595"/>
      </w:tblGrid>
      <w:tr w:rsidR="00C832AC" w:rsidRPr="00A6117A" w:rsidTr="00D93F33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Год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Аргентина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Бразилия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Камбоджа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Колумбия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Ирак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Мексика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Марокко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117A">
              <w:rPr>
                <w:i/>
                <w:sz w:val="16"/>
              </w:rPr>
              <w:t>Всего</w:t>
            </w:r>
          </w:p>
        </w:tc>
      </w:tr>
      <w:tr w:rsidR="00C832AC" w:rsidRPr="00180178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12" w:space="0" w:color="auto"/>
            </w:tcBorders>
          </w:tcPr>
          <w:p w:rsidR="00180178" w:rsidRPr="00C832AC" w:rsidRDefault="00180178" w:rsidP="00A6117A">
            <w:pPr>
              <w:rPr>
                <w:lang w:val="en-US"/>
              </w:rPr>
            </w:pPr>
            <w:r w:rsidRPr="00180178">
              <w:t>2012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5</w:t>
            </w:r>
          </w:p>
        </w:tc>
      </w:tr>
      <w:tr w:rsidR="00C832AC" w:rsidRPr="00180178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180178" w:rsidRPr="00C832AC" w:rsidRDefault="00180178" w:rsidP="00A6117A">
            <w:pPr>
              <w:rPr>
                <w:lang w:val="en-US"/>
              </w:rPr>
            </w:pPr>
            <w:r w:rsidRPr="00180178">
              <w:t>2013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022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23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  <w:tc>
          <w:tcPr>
            <w:tcW w:w="546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12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5</w:t>
            </w:r>
            <w:r w:rsidRPr="00A6117A">
              <w:rPr>
                <w:i/>
                <w:iCs/>
                <w:vertAlign w:val="superscript"/>
              </w:rPr>
              <w:t>а</w:t>
            </w:r>
          </w:p>
        </w:tc>
        <w:tc>
          <w:tcPr>
            <w:tcW w:w="826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95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6</w:t>
            </w:r>
          </w:p>
        </w:tc>
      </w:tr>
      <w:tr w:rsidR="00C832AC" w:rsidRPr="00180178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180178" w:rsidRPr="00C832AC" w:rsidRDefault="00180178" w:rsidP="00A6117A">
            <w:pPr>
              <w:rPr>
                <w:lang w:val="en-US"/>
              </w:rPr>
            </w:pPr>
            <w:r w:rsidRPr="00180178">
              <w:t>2014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68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  <w:tc>
          <w:tcPr>
            <w:tcW w:w="1022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  <w:tc>
          <w:tcPr>
            <w:tcW w:w="923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  <w:tc>
          <w:tcPr>
            <w:tcW w:w="546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5</w:t>
            </w:r>
          </w:p>
        </w:tc>
        <w:tc>
          <w:tcPr>
            <w:tcW w:w="812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43</w:t>
            </w:r>
          </w:p>
        </w:tc>
        <w:tc>
          <w:tcPr>
            <w:tcW w:w="826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95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51</w:t>
            </w:r>
          </w:p>
        </w:tc>
      </w:tr>
      <w:tr w:rsidR="00C832AC" w:rsidRPr="00180178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180178" w:rsidRPr="00C832AC" w:rsidRDefault="00180178" w:rsidP="00A6117A">
            <w:pPr>
              <w:rPr>
                <w:lang w:val="en-US"/>
              </w:rPr>
            </w:pPr>
            <w:r w:rsidRPr="00180178">
              <w:t>2015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022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23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3</w:t>
            </w:r>
          </w:p>
        </w:tc>
        <w:tc>
          <w:tcPr>
            <w:tcW w:w="546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42</w:t>
            </w:r>
          </w:p>
        </w:tc>
        <w:tc>
          <w:tcPr>
            <w:tcW w:w="812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166</w:t>
            </w:r>
          </w:p>
        </w:tc>
        <w:tc>
          <w:tcPr>
            <w:tcW w:w="826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95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211</w:t>
            </w:r>
          </w:p>
        </w:tc>
      </w:tr>
      <w:tr w:rsidR="00C832AC" w:rsidRPr="00180178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180178" w:rsidRPr="00C832AC" w:rsidRDefault="00180178" w:rsidP="00A6117A">
            <w:pPr>
              <w:rPr>
                <w:lang w:val="en-US"/>
              </w:rPr>
            </w:pPr>
            <w:r w:rsidRPr="00180178">
              <w:t>2016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68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022" w:type="dxa"/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23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4</w:t>
            </w:r>
          </w:p>
        </w:tc>
        <w:tc>
          <w:tcPr>
            <w:tcW w:w="546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 xml:space="preserve"> 21</w:t>
            </w:r>
          </w:p>
        </w:tc>
        <w:tc>
          <w:tcPr>
            <w:tcW w:w="812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58</w:t>
            </w:r>
          </w:p>
        </w:tc>
        <w:tc>
          <w:tcPr>
            <w:tcW w:w="826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  <w:tc>
          <w:tcPr>
            <w:tcW w:w="595" w:type="dxa"/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68</w:t>
            </w:r>
          </w:p>
        </w:tc>
      </w:tr>
      <w:tr w:rsidR="00C832AC" w:rsidRPr="00180178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bottom w:val="single" w:sz="4" w:space="0" w:color="auto"/>
            </w:tcBorders>
          </w:tcPr>
          <w:p w:rsidR="00180178" w:rsidRPr="00180178" w:rsidRDefault="00A6117A" w:rsidP="00A6117A">
            <w:r>
              <w:t>2017</w:t>
            </w:r>
            <w:r w:rsidR="00180178" w:rsidRPr="00A6117A">
              <w:rPr>
                <w:i/>
                <w:iCs/>
                <w:vertAlign w:val="superscript"/>
              </w:rPr>
              <w:t>b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180178" w:rsidRPr="00180178" w:rsidRDefault="00775E42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80178" w:rsidRPr="00180178" w:rsidRDefault="00180178" w:rsidP="0018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178">
              <w:t>1</w:t>
            </w:r>
          </w:p>
        </w:tc>
      </w:tr>
      <w:tr w:rsidR="00C832AC" w:rsidRPr="00A6117A" w:rsidTr="00D93F3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ind w:left="283"/>
              <w:rPr>
                <w:b/>
              </w:rPr>
            </w:pPr>
            <w:r w:rsidRPr="00A6117A">
              <w:rPr>
                <w:b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277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178" w:rsidRPr="00A6117A" w:rsidRDefault="00180178" w:rsidP="00A611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17A">
              <w:rPr>
                <w:b/>
              </w:rPr>
              <w:t>359</w:t>
            </w:r>
          </w:p>
        </w:tc>
      </w:tr>
    </w:tbl>
    <w:p w:rsidR="00180178" w:rsidRPr="00775E42" w:rsidRDefault="00180178" w:rsidP="00775E42">
      <w:pPr>
        <w:pStyle w:val="SingleTxtGR"/>
        <w:suppressAutoHyphens/>
        <w:spacing w:before="120" w:after="0" w:line="220" w:lineRule="exact"/>
        <w:ind w:firstLine="170"/>
        <w:jc w:val="left"/>
        <w:rPr>
          <w:sz w:val="18"/>
          <w:szCs w:val="18"/>
        </w:rPr>
      </w:pPr>
      <w:r w:rsidRPr="00775E42">
        <w:rPr>
          <w:i/>
          <w:iCs/>
          <w:sz w:val="18"/>
          <w:szCs w:val="18"/>
          <w:vertAlign w:val="superscript"/>
        </w:rPr>
        <w:t>а</w:t>
      </w:r>
      <w:r w:rsidR="00620599">
        <w:rPr>
          <w:sz w:val="18"/>
          <w:szCs w:val="18"/>
        </w:rPr>
        <w:t>  </w:t>
      </w:r>
      <w:r w:rsidR="001875D9">
        <w:rPr>
          <w:sz w:val="18"/>
          <w:szCs w:val="18"/>
        </w:rPr>
        <w:t>Просьба</w:t>
      </w:r>
      <w:bookmarkStart w:id="0" w:name="_GoBack"/>
      <w:bookmarkEnd w:id="0"/>
      <w:r w:rsidRPr="00775E42">
        <w:rPr>
          <w:sz w:val="18"/>
          <w:szCs w:val="18"/>
        </w:rPr>
        <w:t xml:space="preserve"> о принятии срочных мер № 9/2013 касается двух лиц. Поэтому она рассматривается как две отдельные просьбы.</w:t>
      </w:r>
    </w:p>
    <w:p w:rsidR="00180178" w:rsidRPr="00775E42" w:rsidRDefault="00180178" w:rsidP="00775E42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775E42">
        <w:rPr>
          <w:i/>
          <w:iCs/>
          <w:sz w:val="18"/>
          <w:szCs w:val="18"/>
          <w:vertAlign w:val="superscript"/>
        </w:rPr>
        <w:t>b</w:t>
      </w:r>
      <w:r w:rsidR="00620599">
        <w:rPr>
          <w:sz w:val="18"/>
          <w:szCs w:val="18"/>
        </w:rPr>
        <w:t>  </w:t>
      </w:r>
      <w:r w:rsidRPr="00775E42">
        <w:rPr>
          <w:sz w:val="18"/>
          <w:szCs w:val="18"/>
        </w:rPr>
        <w:t>По состоянию на 18 января 2017 года.</w:t>
      </w:r>
    </w:p>
    <w:p w:rsidR="00180178" w:rsidRPr="00180178" w:rsidRDefault="00180178" w:rsidP="00775E42">
      <w:pPr>
        <w:pStyle w:val="H1GR"/>
      </w:pPr>
      <w:r w:rsidRPr="00180178">
        <w:tab/>
        <w:t>C.</w:t>
      </w:r>
      <w:r w:rsidRPr="00180178">
        <w:tab/>
        <w:t>Вопросы, касающиес</w:t>
      </w:r>
      <w:r w:rsidR="00620599">
        <w:t>я критериев регистрации</w:t>
      </w:r>
      <w:r w:rsidR="00620599">
        <w:br/>
      </w:r>
      <w:r w:rsidR="00D93F33">
        <w:t>и сферы</w:t>
      </w:r>
      <w:r w:rsidR="00620599">
        <w:t xml:space="preserve"> </w:t>
      </w:r>
      <w:r w:rsidRPr="00180178">
        <w:t>охвата срочных мер</w:t>
      </w:r>
    </w:p>
    <w:p w:rsidR="00180178" w:rsidRPr="00180178" w:rsidRDefault="00180178" w:rsidP="00CD6195">
      <w:pPr>
        <w:pStyle w:val="H23GR"/>
      </w:pPr>
      <w:r w:rsidRPr="00180178">
        <w:tab/>
        <w:t>1.</w:t>
      </w:r>
      <w:r w:rsidRPr="00180178">
        <w:tab/>
        <w:t>Просьбы, не соответствующие критериям регистрации</w:t>
      </w:r>
    </w:p>
    <w:p w:rsidR="00180178" w:rsidRPr="00180178" w:rsidRDefault="00180178" w:rsidP="00775E42">
      <w:pPr>
        <w:pStyle w:val="SingleTxtGR"/>
      </w:pPr>
      <w:r w:rsidRPr="00180178">
        <w:t>4.</w:t>
      </w:r>
      <w:r w:rsidRPr="00180178">
        <w:tab/>
        <w:t>Большинство просьб о принятии срочных мер, представленных после одиннадцатой сессии, соответствовали критериям приемлемости, начиная с первого представления. Тем не менее четыре из них не были зарегистрированы в связи с тем, что местонахождение предполагаемых</w:t>
      </w:r>
      <w:r w:rsidR="00CD6195">
        <w:t xml:space="preserve"> жертв было установлено раньше </w:t>
      </w:r>
      <w:r w:rsidR="00CD6195" w:rsidRPr="00CD6195">
        <w:t>–</w:t>
      </w:r>
      <w:r w:rsidRPr="00180178">
        <w:t xml:space="preserve"> через несколько часов после представления просьбы авторами.</w:t>
      </w:r>
    </w:p>
    <w:p w:rsidR="00180178" w:rsidRPr="00180178" w:rsidRDefault="00180178" w:rsidP="00CD6195">
      <w:pPr>
        <w:pStyle w:val="H23GR"/>
      </w:pPr>
      <w:r w:rsidRPr="00180178">
        <w:tab/>
        <w:t>2.</w:t>
      </w:r>
      <w:r w:rsidRPr="00180178">
        <w:tab/>
        <w:t>Просьбы о принятии срочных мер, в которых не содержится информации о</w:t>
      </w:r>
      <w:r w:rsidR="00CD6195">
        <w:rPr>
          <w:lang w:val="en-US"/>
        </w:rPr>
        <w:t> </w:t>
      </w:r>
      <w:r w:rsidRPr="00180178">
        <w:t>возможных виновных или утверждается потенциальная причастность негосударственных субъектов</w:t>
      </w:r>
    </w:p>
    <w:p w:rsidR="00180178" w:rsidRPr="00C832AC" w:rsidRDefault="00180178" w:rsidP="00775E42">
      <w:pPr>
        <w:pStyle w:val="SingleTxtGR"/>
      </w:pPr>
      <w:r w:rsidRPr="00180178">
        <w:t>5.</w:t>
      </w:r>
      <w:r w:rsidRPr="00180178">
        <w:tab/>
        <w:t>Как и на предыдущих сессиях, личность лиц, виновных в исчезновениях, в большинстве случаев остается неизвестной. Авторы просьб выдвигают ве</w:t>
      </w:r>
      <w:r w:rsidRPr="00180178">
        <w:t>р</w:t>
      </w:r>
      <w:r w:rsidRPr="00180178">
        <w:t>сии главным образом на основании показаний или обстоятельств исчезновения. Основная проблема возникает, когда в просьбе напрямую говорится о возмо</w:t>
      </w:r>
      <w:r w:rsidRPr="00180178">
        <w:t>ж</w:t>
      </w:r>
      <w:r w:rsidRPr="00180178">
        <w:t>ном участии в деле негосударственных субъектов, действующих без какой-либо</w:t>
      </w:r>
      <w:r w:rsidR="00C832AC">
        <w:t xml:space="preserve"> поддержки или попустительства.</w:t>
      </w:r>
    </w:p>
    <w:p w:rsidR="00180178" w:rsidRPr="00180178" w:rsidRDefault="00180178" w:rsidP="00775E42">
      <w:pPr>
        <w:pStyle w:val="SingleTxtGR"/>
      </w:pPr>
      <w:r w:rsidRPr="00180178">
        <w:t>6.</w:t>
      </w:r>
      <w:r w:rsidRPr="00180178">
        <w:tab/>
        <w:t>В этой связи докладчики приводят следующие примеры:</w:t>
      </w:r>
    </w:p>
    <w:p w:rsidR="00180178" w:rsidRPr="00C832AC" w:rsidRDefault="00180178" w:rsidP="00CD6195">
      <w:pPr>
        <w:pStyle w:val="SingleTxtGR"/>
      </w:pPr>
      <w:r w:rsidRPr="00180178">
        <w:tab/>
        <w:t>a)</w:t>
      </w:r>
      <w:r w:rsidRPr="00180178">
        <w:tab/>
        <w:t>авторы одной из просьб о принятии срочных мер выдвинули н</w:t>
      </w:r>
      <w:r w:rsidRPr="00180178">
        <w:t>е</w:t>
      </w:r>
      <w:r w:rsidRPr="00180178">
        <w:t>сколько предположений, включая возможность того, что жертва исчезла в р</w:t>
      </w:r>
      <w:r w:rsidRPr="00180178">
        <w:t>е</w:t>
      </w:r>
      <w:r w:rsidRPr="00180178">
        <w:t>зультате проблем со своим бывшим женихом. В другом случае авторы ссыл</w:t>
      </w:r>
      <w:r w:rsidRPr="00180178">
        <w:t>а</w:t>
      </w:r>
      <w:r w:rsidRPr="00180178">
        <w:t>лись на ссору между предполагаемым потерпевшим и другим лицом из-за участка земли. Тем не менее в обоих случаях авторы также подчеркивали, что их утверждения являются</w:t>
      </w:r>
      <w:r w:rsidR="00CD6195">
        <w:t xml:space="preserve"> просто предположениями и что, «</w:t>
      </w:r>
      <w:r w:rsidRPr="00180178">
        <w:t>учитывая обсто</w:t>
      </w:r>
      <w:r w:rsidRPr="00180178">
        <w:t>я</w:t>
      </w:r>
      <w:r w:rsidRPr="00180178">
        <w:t>тельства дела</w:t>
      </w:r>
      <w:r w:rsidR="00CD6195">
        <w:t>»</w:t>
      </w:r>
      <w:r w:rsidRPr="00180178">
        <w:t xml:space="preserve">, нельзя исключать возможность причастности к исчезновениям </w:t>
      </w:r>
      <w:r w:rsidR="00C832AC">
        <w:t>государственных должностных лиц;</w:t>
      </w:r>
    </w:p>
    <w:p w:rsidR="00180178" w:rsidRPr="00180178" w:rsidRDefault="00180178" w:rsidP="00CD6195">
      <w:pPr>
        <w:pStyle w:val="SingleTxtGR"/>
      </w:pPr>
      <w:r w:rsidRPr="00180178">
        <w:tab/>
        <w:t>b)</w:t>
      </w:r>
      <w:r w:rsidRPr="00180178">
        <w:tab/>
        <w:t>в другой просьбе авторы не говорили напрямую о причастности государства-участника, однако из текста просьбы было ясно, что исчезнувшие лица были общественными лидерами, находившимися в конфликте с госуда</w:t>
      </w:r>
      <w:r w:rsidRPr="00180178">
        <w:t>р</w:t>
      </w:r>
      <w:r w:rsidRPr="00180178">
        <w:t>ственными субъектами.</w:t>
      </w:r>
    </w:p>
    <w:p w:rsidR="00180178" w:rsidRPr="00180178" w:rsidRDefault="00180178" w:rsidP="00775E42">
      <w:pPr>
        <w:pStyle w:val="SingleTxtGR"/>
      </w:pPr>
      <w:r w:rsidRPr="00180178">
        <w:t>7.</w:t>
      </w:r>
      <w:r w:rsidRPr="00180178">
        <w:tab/>
        <w:t>По этим делам были приняты следующие решения:</w:t>
      </w:r>
    </w:p>
    <w:p w:rsidR="00180178" w:rsidRPr="00180178" w:rsidRDefault="00180178" w:rsidP="00CD6195">
      <w:pPr>
        <w:pStyle w:val="SingleTxtGR"/>
      </w:pPr>
      <w:r w:rsidRPr="00180178">
        <w:tab/>
        <w:t>a)</w:t>
      </w:r>
      <w:r w:rsidRPr="00180178">
        <w:tab/>
        <w:t>учитывая, что возможная причастность государственных лиц п</w:t>
      </w:r>
      <w:r w:rsidRPr="00180178">
        <w:t>о</w:t>
      </w:r>
      <w:r w:rsidRPr="00180178">
        <w:t>средством их действий, поддержки или попустительства не может быть доказ</w:t>
      </w:r>
      <w:r w:rsidRPr="00180178">
        <w:t>а</w:t>
      </w:r>
      <w:r w:rsidRPr="00180178">
        <w:lastRenderedPageBreak/>
        <w:t>на до тех пор, пока не будет завершено расследование, обе просьбы о принятии срочных мер не были зарегистрированы, а у государства-участника была з</w:t>
      </w:r>
      <w:r w:rsidRPr="00180178">
        <w:t>а</w:t>
      </w:r>
      <w:r w:rsidRPr="00180178">
        <w:t>прошена информация о следственных действиях, направленных на установл</w:t>
      </w:r>
      <w:r w:rsidRPr="00180178">
        <w:t>е</w:t>
      </w:r>
      <w:r w:rsidRPr="00180178">
        <w:t>ние местонахождения жертв;</w:t>
      </w:r>
    </w:p>
    <w:p w:rsidR="00180178" w:rsidRPr="00180178" w:rsidRDefault="00CD6195" w:rsidP="00775E42">
      <w:pPr>
        <w:pStyle w:val="SingleTxtGR"/>
      </w:pPr>
      <w:r>
        <w:tab/>
      </w:r>
      <w:r w:rsidR="00180178" w:rsidRPr="00180178">
        <w:t>b)</w:t>
      </w:r>
      <w:r w:rsidR="00180178" w:rsidRPr="00180178">
        <w:tab/>
        <w:t>в случае с общественными лидерами докладчики сочли, что</w:t>
      </w:r>
      <w:r w:rsidR="00C832AC">
        <w:t>,</w:t>
      </w:r>
      <w:r w:rsidR="00180178" w:rsidRPr="00180178">
        <w:t xml:space="preserve"> хотя Комитет и не может сделать вывод о возможной причастности государственных лиц к описываемым событиям, направленная государству-участнику нота с</w:t>
      </w:r>
      <w:r w:rsidR="00180178" w:rsidRPr="00180178">
        <w:t>о</w:t>
      </w:r>
      <w:r w:rsidR="00180178" w:rsidRPr="00180178">
        <w:t>держала всю имеющуюся информацию о местах, в которых бывали жертвы и об их последних встречах с государственными</w:t>
      </w:r>
      <w:r w:rsidR="00C832AC">
        <w:t xml:space="preserve"> субъектами.</w:t>
      </w:r>
    </w:p>
    <w:p w:rsidR="00180178" w:rsidRPr="00180178" w:rsidRDefault="00180178" w:rsidP="00775E42">
      <w:pPr>
        <w:pStyle w:val="SingleTxtGR"/>
      </w:pPr>
      <w:r w:rsidRPr="00180178">
        <w:t>8.</w:t>
      </w:r>
      <w:r w:rsidRPr="00180178">
        <w:tab/>
        <w:t>В свете вышеизложенного докладчики рекомендуют:</w:t>
      </w:r>
    </w:p>
    <w:p w:rsidR="00180178" w:rsidRPr="00180178" w:rsidRDefault="00CD6195" w:rsidP="00775E42">
      <w:pPr>
        <w:pStyle w:val="SingleTxtGR"/>
      </w:pPr>
      <w:r>
        <w:tab/>
      </w:r>
      <w:r w:rsidR="00180178" w:rsidRPr="00180178">
        <w:t>a)</w:t>
      </w:r>
      <w:r w:rsidR="00180178" w:rsidRPr="00180178">
        <w:tab/>
        <w:t>принять два новых критерия регистрации просьб о принятии сро</w:t>
      </w:r>
      <w:r w:rsidR="00180178" w:rsidRPr="00180178">
        <w:t>ч</w:t>
      </w:r>
      <w:r w:rsidR="00180178" w:rsidRPr="00180178">
        <w:t>ных мер, поданных в соответствии со статьей 30 Конвенции: в случаях отсу</w:t>
      </w:r>
      <w:r w:rsidR="00180178" w:rsidRPr="00180178">
        <w:t>т</w:t>
      </w:r>
      <w:r w:rsidR="00180178" w:rsidRPr="00180178">
        <w:t>ствия ясности относительно лиц, виновных в исчезновении</w:t>
      </w:r>
      <w:r w:rsidR="00C832AC">
        <w:t>,</w:t>
      </w:r>
      <w:r w:rsidR="00180178" w:rsidRPr="00180178">
        <w:t xml:space="preserve"> просьба будет з</w:t>
      </w:r>
      <w:r w:rsidR="00180178" w:rsidRPr="00180178">
        <w:t>а</w:t>
      </w:r>
      <w:r w:rsidR="00180178" w:rsidRPr="00180178">
        <w:t>регистрирована, если:</w:t>
      </w:r>
    </w:p>
    <w:p w:rsidR="00180178" w:rsidRPr="00180178" w:rsidRDefault="00180178" w:rsidP="00CD6195">
      <w:pPr>
        <w:pStyle w:val="SingleTxtGR"/>
        <w:ind w:left="1701" w:hanging="567"/>
      </w:pPr>
      <w:r w:rsidRPr="00180178">
        <w:tab/>
        <w:t>i)</w:t>
      </w:r>
      <w:r w:rsidRPr="00180178">
        <w:tab/>
        <w:t>возможная причастность негосударственных субъектов, действу</w:t>
      </w:r>
      <w:r w:rsidRPr="00180178">
        <w:t>ю</w:t>
      </w:r>
      <w:r w:rsidRPr="00180178">
        <w:t>щих без явной поддержки или попустительства, выдвигается в качестве предположения, которое не может быть подтверждено или опровергнуто без проведения тщательного расследования компетентными органами;</w:t>
      </w:r>
    </w:p>
    <w:p w:rsidR="00180178" w:rsidRPr="00180178" w:rsidRDefault="00CD6195" w:rsidP="00CD6195">
      <w:pPr>
        <w:pStyle w:val="SingleTxtGR"/>
        <w:ind w:left="1701" w:hanging="567"/>
      </w:pPr>
      <w:r>
        <w:tab/>
      </w:r>
      <w:r w:rsidR="00180178" w:rsidRPr="00180178">
        <w:t>ii)</w:t>
      </w:r>
      <w:r w:rsidR="00180178" w:rsidRPr="00180178">
        <w:tab/>
        <w:t>пропавшее без вести лицо находилось в конфликте, имело напр</w:t>
      </w:r>
      <w:r w:rsidR="00180178" w:rsidRPr="00180178">
        <w:t>я</w:t>
      </w:r>
      <w:r w:rsidR="00180178" w:rsidRPr="00180178">
        <w:t>женные отношения или какую-либо связь</w:t>
      </w:r>
      <w:r w:rsidR="00180178">
        <w:t xml:space="preserve"> </w:t>
      </w:r>
      <w:r w:rsidR="00180178" w:rsidRPr="00180178">
        <w:t>с государственными субъект</w:t>
      </w:r>
      <w:r w:rsidR="00180178" w:rsidRPr="00180178">
        <w:t>а</w:t>
      </w:r>
      <w:r w:rsidR="00180178" w:rsidRPr="00180178">
        <w:t>ми, что, с учетом обстоятельств дела, позволяет предположить, что имело место насильственное исчезновение;</w:t>
      </w:r>
    </w:p>
    <w:p w:rsidR="00180178" w:rsidRPr="00180178" w:rsidRDefault="00CD6195" w:rsidP="00775E42">
      <w:pPr>
        <w:pStyle w:val="SingleTxtGR"/>
      </w:pPr>
      <w:r>
        <w:tab/>
      </w:r>
      <w:r w:rsidR="00180178" w:rsidRPr="00180178">
        <w:t>b)</w:t>
      </w:r>
      <w:r w:rsidR="00180178" w:rsidRPr="00180178">
        <w:tab/>
        <w:t>в обоих случаях, если представленная сторонами в рамках проц</w:t>
      </w:r>
      <w:r w:rsidR="00180178" w:rsidRPr="00180178">
        <w:t>е</w:t>
      </w:r>
      <w:r w:rsidR="00180178" w:rsidRPr="00180178">
        <w:t>дуры принятия срочных мер информация свидетельствует о том, что госуда</w:t>
      </w:r>
      <w:r w:rsidR="00180178" w:rsidRPr="00180178">
        <w:t>р</w:t>
      </w:r>
      <w:r w:rsidR="00180178" w:rsidRPr="00180178">
        <w:t xml:space="preserve">ственные субъекты не причастны к делу, в том числе посредством поддержки или попустительства с их стороны, Комитет прекращает рассмотрение </w:t>
      </w:r>
      <w:r w:rsidR="00D93F33">
        <w:t>просьбы о принятии срочных мер.</w:t>
      </w:r>
    </w:p>
    <w:p w:rsidR="00180178" w:rsidRPr="00180178" w:rsidRDefault="00180178" w:rsidP="00CD6195">
      <w:pPr>
        <w:pStyle w:val="H23GR"/>
      </w:pPr>
      <w:r w:rsidRPr="00180178">
        <w:tab/>
        <w:t>3.</w:t>
      </w:r>
      <w:r w:rsidRPr="00180178">
        <w:tab/>
        <w:t>Просьбы о принятии срочны</w:t>
      </w:r>
      <w:r w:rsidR="00C832AC">
        <w:t>х мер, зарегистрированные после</w:t>
      </w:r>
      <w:r w:rsidR="00C832AC">
        <w:br/>
      </w:r>
      <w:r w:rsidRPr="00180178">
        <w:t>выявления виновных: сфера охвата срочных мер в отношении расследований, направленных на квалификацию преступления</w:t>
      </w:r>
      <w:r w:rsidR="00C832AC">
        <w:br/>
      </w:r>
      <w:r w:rsidRPr="00180178">
        <w:t>и установления виновных</w:t>
      </w:r>
    </w:p>
    <w:p w:rsidR="00180178" w:rsidRPr="00180178" w:rsidRDefault="00180178" w:rsidP="00775E42">
      <w:pPr>
        <w:pStyle w:val="SingleTxtGR"/>
      </w:pPr>
      <w:r w:rsidRPr="00180178">
        <w:t>9.</w:t>
      </w:r>
      <w:r w:rsidRPr="00180178">
        <w:tab/>
        <w:t>Обстоятельства одной из просьб о принятии срочных мер несколько о</w:t>
      </w:r>
      <w:r w:rsidRPr="00180178">
        <w:t>т</w:t>
      </w:r>
      <w:r w:rsidRPr="00180178">
        <w:t>личались от большинства других зарегистрированных просьб. В этом деле жертва пропала без вести в ноябре 2013 года. Семья подала жалобу в комп</w:t>
      </w:r>
      <w:r w:rsidRPr="00180178">
        <w:t>е</w:t>
      </w:r>
      <w:r w:rsidRPr="00180178">
        <w:t>тентные органы. В результате проведенного расследования трое сотрудников полиции были осуждены и привлечены к уголовной ответственности за это и</w:t>
      </w:r>
      <w:r w:rsidRPr="00180178">
        <w:t>с</w:t>
      </w:r>
      <w:r w:rsidRPr="00180178">
        <w:t xml:space="preserve">чезновение. Тем </w:t>
      </w:r>
      <w:r w:rsidR="00CD6195">
        <w:t>не менее</w:t>
      </w:r>
      <w:r w:rsidRPr="00180178">
        <w:t xml:space="preserve"> местонахождение жертвы так и не было установлено. Кроме того, на момент подачи просьбы авторы были обеспокоены тем, что, с</w:t>
      </w:r>
      <w:r w:rsidRPr="00180178">
        <w:t>о</w:t>
      </w:r>
      <w:r w:rsidRPr="00180178">
        <w:t>гласно имеющейся у них информации, другой полицейский, который, возмо</w:t>
      </w:r>
      <w:r w:rsidRPr="00180178">
        <w:t>ж</w:t>
      </w:r>
      <w:r w:rsidRPr="00180178">
        <w:t>но, был причастен к делу, все еще находится на свободе. В настоящий момент существует также вероятность того, что трое осужденных</w:t>
      </w:r>
      <w:r>
        <w:t xml:space="preserve"> </w:t>
      </w:r>
      <w:r w:rsidRPr="00180178">
        <w:t>сотрудников полиции будут освобождены, в то время как о местонахождении жертвы по-прежнему ничего не известно.</w:t>
      </w:r>
    </w:p>
    <w:p w:rsidR="00180178" w:rsidRPr="00180178" w:rsidRDefault="00180178" w:rsidP="00775E42">
      <w:pPr>
        <w:pStyle w:val="SingleTxtGR"/>
      </w:pPr>
      <w:r w:rsidRPr="00180178">
        <w:t>10.</w:t>
      </w:r>
      <w:r w:rsidRPr="00180178">
        <w:tab/>
        <w:t>Принятые меры: в данном случае представленные факты позволяют К</w:t>
      </w:r>
      <w:r w:rsidRPr="00180178">
        <w:t>о</w:t>
      </w:r>
      <w:r w:rsidRPr="00180178">
        <w:t>митету провести четкое различие между расследованием, направленным на установление уголовной ответственности виновных, и поиском пропавшего без вести лица. Авторы просьб и затрагиваемые государства-участники зачастую путают эти две процедуры. В записке, посвященной регистрации этой просьбы о принятии срочных мер, Комит</w:t>
      </w:r>
      <w:r w:rsidR="00620599">
        <w:t>ет просил государство-участник:</w:t>
      </w:r>
    </w:p>
    <w:p w:rsidR="00180178" w:rsidRPr="00180178" w:rsidRDefault="00CD6195" w:rsidP="00775E42">
      <w:pPr>
        <w:pStyle w:val="SingleTxtGR"/>
      </w:pPr>
      <w:r>
        <w:tab/>
      </w:r>
      <w:r w:rsidR="00180178" w:rsidRPr="00180178">
        <w:t>a)</w:t>
      </w:r>
      <w:r w:rsidR="00180178" w:rsidRPr="00180178">
        <w:tab/>
        <w:t>принять все необходимые меры по поиску и установлению мест</w:t>
      </w:r>
      <w:r w:rsidR="00180178" w:rsidRPr="00180178">
        <w:t>о</w:t>
      </w:r>
      <w:r w:rsidR="00180178" w:rsidRPr="00180178">
        <w:t>нахождения жертвы;</w:t>
      </w:r>
    </w:p>
    <w:p w:rsidR="00180178" w:rsidRPr="00180178" w:rsidRDefault="00180178" w:rsidP="00CD6195">
      <w:pPr>
        <w:pStyle w:val="SingleTxtGR"/>
      </w:pPr>
      <w:r w:rsidRPr="00180178">
        <w:tab/>
        <w:t>b)</w:t>
      </w:r>
      <w:r w:rsidRPr="00180178">
        <w:tab/>
        <w:t>обеспечить, чтобы вынесенные по данному делу решения не пр</w:t>
      </w:r>
      <w:r w:rsidRPr="00180178">
        <w:t>и</w:t>
      </w:r>
      <w:r w:rsidRPr="00180178">
        <w:t>вели к безнаказанности и к утрате необходимых доказательств для поиска жертвы;</w:t>
      </w:r>
    </w:p>
    <w:p w:rsidR="00180178" w:rsidRPr="00180178" w:rsidRDefault="00180178" w:rsidP="00CD6195">
      <w:pPr>
        <w:pStyle w:val="SingleTxtGR"/>
      </w:pPr>
      <w:r w:rsidRPr="00180178">
        <w:tab/>
        <w:t>c)</w:t>
      </w:r>
      <w:r w:rsidRPr="00180178">
        <w:tab/>
        <w:t>принять все необходимые меры</w:t>
      </w:r>
      <w:r w:rsidR="00D93F33">
        <w:t>, для того</w:t>
      </w:r>
      <w:r w:rsidRPr="00180178">
        <w:t xml:space="preserve"> чтобы найти четвертого сотрудника полиции, предположительно причастного к делу, и привести в и</w:t>
      </w:r>
      <w:r w:rsidRPr="00180178">
        <w:t>с</w:t>
      </w:r>
      <w:r w:rsidRPr="00180178">
        <w:t>полнение выданный в его отношении ордер на его арест.</w:t>
      </w:r>
    </w:p>
    <w:p w:rsidR="00180178" w:rsidRPr="00180178" w:rsidRDefault="00180178" w:rsidP="00775E42">
      <w:pPr>
        <w:pStyle w:val="SingleTxtGR"/>
      </w:pPr>
      <w:r w:rsidRPr="00180178">
        <w:t>11.</w:t>
      </w:r>
      <w:r w:rsidRPr="00180178">
        <w:tab/>
        <w:t>Наконец, в контексте срочных мер докладчики особо отметили важность ограничения вмешательства Комитета в области, входящие в их компетенцию согласно статье 30 Конвенции. В этой связи следует четко понимать, что в соо</w:t>
      </w:r>
      <w:r w:rsidRPr="00180178">
        <w:t>т</w:t>
      </w:r>
      <w:r w:rsidRPr="00180178">
        <w:t>ветствии с этой статьей сфера уголовной ответственности не входит в комп</w:t>
      </w:r>
      <w:r w:rsidRPr="00180178">
        <w:t>е</w:t>
      </w:r>
      <w:r w:rsidRPr="00180178">
        <w:t>тенцию Комитета. Тем не менее докладчики считают, что в большинстве случ</w:t>
      </w:r>
      <w:r w:rsidRPr="00180178">
        <w:t>а</w:t>
      </w:r>
      <w:r w:rsidRPr="00180178">
        <w:t>ев речь идет о расследованиях в целях квалификации преступления и устано</w:t>
      </w:r>
      <w:r w:rsidRPr="00180178">
        <w:t>в</w:t>
      </w:r>
      <w:r w:rsidRPr="00180178">
        <w:t>ления виновных, так как зачастую в ходе таких расследований не учитываются элементы, которые могли бы способствовать поиску жертв (знание обстоятел</w:t>
      </w:r>
      <w:r w:rsidRPr="00180178">
        <w:t>ь</w:t>
      </w:r>
      <w:r w:rsidRPr="00180178">
        <w:t>ств дела и личности виновных облегчает доступ к информации, необходимой для установления местонахождения исчезнувшего лица).</w:t>
      </w:r>
    </w:p>
    <w:p w:rsidR="00180178" w:rsidRPr="00180178" w:rsidRDefault="00180178" w:rsidP="00CD6195">
      <w:pPr>
        <w:pStyle w:val="H1GR"/>
      </w:pPr>
      <w:r w:rsidRPr="00180178">
        <w:tab/>
        <w:t>D.</w:t>
      </w:r>
      <w:r w:rsidRPr="00180178">
        <w:tab/>
        <w:t xml:space="preserve">Порядок принятия срочных мер после регистрации просьбы: тенденции, имевшие </w:t>
      </w:r>
      <w:r w:rsidR="00620599">
        <w:t>место после одиннадцатой сессии</w:t>
      </w:r>
      <w:r w:rsidR="00CD6195">
        <w:br/>
      </w:r>
      <w:r w:rsidRPr="00180178">
        <w:t>(до 18 января 2017 года)</w:t>
      </w:r>
    </w:p>
    <w:p w:rsidR="00180178" w:rsidRPr="00180178" w:rsidRDefault="00180178" w:rsidP="00CD6195">
      <w:pPr>
        <w:pStyle w:val="H23GR"/>
      </w:pPr>
      <w:r w:rsidRPr="00180178">
        <w:tab/>
        <w:t>1.</w:t>
      </w:r>
      <w:r w:rsidRPr="00180178">
        <w:tab/>
        <w:t>Взаимодействие с государствами-участниками</w:t>
      </w:r>
    </w:p>
    <w:p w:rsidR="00180178" w:rsidRPr="00180178" w:rsidRDefault="00180178" w:rsidP="00775E42">
      <w:pPr>
        <w:pStyle w:val="SingleTxtGR"/>
      </w:pPr>
      <w:r w:rsidRPr="00180178">
        <w:t>12.</w:t>
      </w:r>
      <w:r w:rsidRPr="00180178">
        <w:tab/>
        <w:t>Комитет поддерживает контакты с государствами-участниками через их соответствующие постоянные представительства, главным образом в форме вербальных нот. В некоторых случаях (чрезвычайные ситуации или необход</w:t>
      </w:r>
      <w:r w:rsidRPr="00180178">
        <w:t>и</w:t>
      </w:r>
      <w:r w:rsidRPr="00180178">
        <w:t>мость прояснить какой-либо вопрос, связанный с процедурой принятия сро</w:t>
      </w:r>
      <w:r w:rsidRPr="00180178">
        <w:t>ч</w:t>
      </w:r>
      <w:r w:rsidRPr="00180178">
        <w:t>ных мер) проводятся совещания членов постоянных представительств с д</w:t>
      </w:r>
      <w:r w:rsidRPr="00180178">
        <w:t>о</w:t>
      </w:r>
      <w:r w:rsidR="00D93F33">
        <w:t>кладчиками или с</w:t>
      </w:r>
      <w:r w:rsidRPr="00180178">
        <w:t>екретариатом Комитета в присутствии докладчиков.</w:t>
      </w:r>
    </w:p>
    <w:p w:rsidR="00180178" w:rsidRPr="00180178" w:rsidRDefault="00180178" w:rsidP="00775E42">
      <w:pPr>
        <w:pStyle w:val="SingleTxtGR"/>
      </w:pPr>
      <w:r w:rsidRPr="00180178">
        <w:t>13.</w:t>
      </w:r>
      <w:r w:rsidRPr="00180178">
        <w:tab/>
        <w:t>Авторы ряда просьб о принятии срочных мер продолжают выражать обеспокоенность тем фактом, что власти, отвечающие за поиск и проведение расследований не знают ни о том, что соответствующая просьба была зарег</w:t>
      </w:r>
      <w:r w:rsidRPr="00180178">
        <w:t>и</w:t>
      </w:r>
      <w:r w:rsidRPr="00180178">
        <w:t>стрирована, ни о рекомендациях Комитета. В соответствии с решением, прин</w:t>
      </w:r>
      <w:r w:rsidRPr="00180178">
        <w:t>я</w:t>
      </w:r>
      <w:r w:rsidRPr="00180178">
        <w:t>тым на пленарном заседании в ходе одиннадцатой сессии</w:t>
      </w:r>
      <w:r w:rsidR="00D93F33">
        <w:t>, с</w:t>
      </w:r>
      <w:r w:rsidRPr="00180178">
        <w:t>екретариат обрати</w:t>
      </w:r>
      <w:r w:rsidRPr="00180178">
        <w:t>л</w:t>
      </w:r>
      <w:r w:rsidRPr="00180178">
        <w:t>ся к постоянным представительствам двух государств-участников, в отношении которых Комитет зарегистрировал наибольшее число срочных мер (Мексика и Ирак), с тем чтобы наметить различные варианты действий в этой связи. На с</w:t>
      </w:r>
      <w:r w:rsidRPr="00180178">
        <w:t>е</w:t>
      </w:r>
      <w:r w:rsidRPr="00180178">
        <w:t>годняшний день это взаимодействие так и не привело к созданию канала пр</w:t>
      </w:r>
      <w:r w:rsidRPr="00180178">
        <w:t>я</w:t>
      </w:r>
      <w:r w:rsidRPr="00180178">
        <w:t>мого контакта с компетентными органами государств-участников.</w:t>
      </w:r>
    </w:p>
    <w:p w:rsidR="00180178" w:rsidRPr="00180178" w:rsidRDefault="00180178" w:rsidP="008D2C81">
      <w:pPr>
        <w:pStyle w:val="H23GR"/>
      </w:pPr>
      <w:r w:rsidRPr="00180178">
        <w:tab/>
        <w:t>2.</w:t>
      </w:r>
      <w:r w:rsidRPr="00180178">
        <w:tab/>
        <w:t>Ответы государств-участников</w:t>
      </w:r>
    </w:p>
    <w:p w:rsidR="00180178" w:rsidRPr="00180178" w:rsidRDefault="00180178" w:rsidP="00775E42">
      <w:pPr>
        <w:pStyle w:val="SingleTxtGR"/>
      </w:pPr>
      <w:r w:rsidRPr="00180178">
        <w:t>14.</w:t>
      </w:r>
      <w:r w:rsidRPr="00180178">
        <w:tab/>
        <w:t>Государства-участники по-прежнему реагируют на подавляющее бол</w:t>
      </w:r>
      <w:r w:rsidRPr="00180178">
        <w:t>ь</w:t>
      </w:r>
      <w:r w:rsidRPr="00180178">
        <w:t>шинство зарегистрированных просьб о принятии срочных мер. В тех случаях, когда они этого не делают, им направляются письма с напоминанием. На своей одиннадцатой сессии Комитет принял решение сократить частоту отправки напоминаний в тех случаях, когда отдельные государства-участники не реаг</w:t>
      </w:r>
      <w:r w:rsidRPr="00180178">
        <w:t>и</w:t>
      </w:r>
      <w:r w:rsidRPr="00180178">
        <w:t>руют на ноты Комитета.</w:t>
      </w:r>
    </w:p>
    <w:p w:rsidR="00180178" w:rsidRPr="00180178" w:rsidRDefault="00D93F33" w:rsidP="00775E42">
      <w:pPr>
        <w:pStyle w:val="SingleTxtGR"/>
      </w:pPr>
      <w:r>
        <w:t>15.</w:t>
      </w:r>
      <w:r>
        <w:tab/>
        <w:t>После одиннадцатой сессии с</w:t>
      </w:r>
      <w:r w:rsidR="00180178" w:rsidRPr="00180178">
        <w:t>екретариат приступил к осуществлению этого решения, руков</w:t>
      </w:r>
      <w:r>
        <w:t>одствуясь следующими правилами: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a)</w:t>
      </w:r>
      <w:r w:rsidR="00180178" w:rsidRPr="00180178">
        <w:tab/>
        <w:t>в случае отсутствия ответа от государства-участника ему напра</w:t>
      </w:r>
      <w:r w:rsidR="00180178" w:rsidRPr="00180178">
        <w:t>в</w:t>
      </w:r>
      <w:r w:rsidR="00180178" w:rsidRPr="00180178">
        <w:t>ляются три напоминания;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b)</w:t>
      </w:r>
      <w:r w:rsidR="00180178" w:rsidRPr="00180178">
        <w:tab/>
        <w:t>если государство-участник не реагирует на первую зарегистрир</w:t>
      </w:r>
      <w:r w:rsidR="00180178" w:rsidRPr="00180178">
        <w:t>о</w:t>
      </w:r>
      <w:r w:rsidR="00180178" w:rsidRPr="00180178">
        <w:t xml:space="preserve">ванную просьбу о принятии срочных мер в отношении событий, произошедших на его территории, получив при этом три напоминания, то созывается собрание </w:t>
      </w:r>
      <w:r w:rsidR="00D93F33">
        <w:t>докладчиков (или с</w:t>
      </w:r>
      <w:r w:rsidR="00180178" w:rsidRPr="00180178">
        <w:t>екретариата в присутствии докладчиков) с членами пост</w:t>
      </w:r>
      <w:r w:rsidR="00180178" w:rsidRPr="00180178">
        <w:t>о</w:t>
      </w:r>
      <w:r w:rsidR="00180178" w:rsidRPr="00180178">
        <w:t>янного представительства;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c)</w:t>
      </w:r>
      <w:r w:rsidR="00180178" w:rsidRPr="00180178">
        <w:tab/>
        <w:t>если государство-участник не реагирует на зарегистрированную просьбу о принятии срочных мер в отношении событий, произошедших на его территории в прошлом, при наличии новых зарегистрированных просьб, то с</w:t>
      </w:r>
      <w:r w:rsidR="00180178" w:rsidRPr="00180178">
        <w:t>о</w:t>
      </w:r>
      <w:r w:rsidR="00180178" w:rsidRPr="00180178">
        <w:t>брание докладч</w:t>
      </w:r>
      <w:r w:rsidR="00CB1693">
        <w:t>иков (или с</w:t>
      </w:r>
      <w:r w:rsidR="00180178" w:rsidRPr="00180178">
        <w:t>екретариата в присутствии докладчиков) с членами постоянного представительства</w:t>
      </w:r>
      <w:r w:rsidR="00180178">
        <w:t xml:space="preserve"> </w:t>
      </w:r>
      <w:r w:rsidR="00180178" w:rsidRPr="00180178">
        <w:t>созывается лишь в том случае, если имеются особые обстоятельства, позволяющие предположить, что такое собрание прин</w:t>
      </w:r>
      <w:r w:rsidR="00180178" w:rsidRPr="00180178">
        <w:t>е</w:t>
      </w:r>
      <w:r w:rsidR="00180178" w:rsidRPr="00180178">
        <w:t>сет результат;</w:t>
      </w:r>
    </w:p>
    <w:p w:rsidR="00180178" w:rsidRPr="00180178" w:rsidRDefault="008D2C81" w:rsidP="008D2C81">
      <w:pPr>
        <w:pStyle w:val="SingleTxtGR"/>
      </w:pPr>
      <w:r>
        <w:tab/>
      </w:r>
      <w:r w:rsidR="00180178" w:rsidRPr="00180178">
        <w:t>d)</w:t>
      </w:r>
      <w:r w:rsidR="00180178" w:rsidRPr="00180178">
        <w:tab/>
        <w:t>в остальных случаях государству-участнику направляется четве</w:t>
      </w:r>
      <w:r w:rsidR="00180178" w:rsidRPr="00180178">
        <w:t>р</w:t>
      </w:r>
      <w:r w:rsidR="00180178" w:rsidRPr="00180178">
        <w:t>тое напоминание. В этом напоминании Ком</w:t>
      </w:r>
      <w:r>
        <w:t>итет ссылается на первые три, а </w:t>
      </w:r>
      <w:r w:rsidR="00180178" w:rsidRPr="00180178">
        <w:t>также на договорное обязательство государства-участника по предоставлению информации в сроки, установленные Комитетом в соответствии с пунктами 2 и</w:t>
      </w:r>
      <w:r>
        <w:t> </w:t>
      </w:r>
      <w:r w:rsidR="00180178" w:rsidRPr="00180178">
        <w:t>3 статьи 30 Конвенции. Кроме того, государство-участник информируют о том, что если Комитет не получит его ответ в указанный срок, то он может пр</w:t>
      </w:r>
      <w:r w:rsidR="00180178" w:rsidRPr="00180178">
        <w:t>и</w:t>
      </w:r>
      <w:r w:rsidR="00180178" w:rsidRPr="00180178">
        <w:t>нять решение сообщить об этом в своем докладе о работе сессии, посвященной срочным мерам, и в своем следующем докладе Генеральной Ассамблее. Такое решение принимает</w:t>
      </w:r>
      <w:r w:rsidR="00D93F33">
        <w:t>ся на следующей сессии Комитета;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e)</w:t>
      </w:r>
      <w:r w:rsidR="00180178" w:rsidRPr="00180178">
        <w:tab/>
        <w:t>независимо от того, включит ли Комитет информацию об отсу</w:t>
      </w:r>
      <w:r w:rsidR="00180178" w:rsidRPr="00180178">
        <w:t>т</w:t>
      </w:r>
      <w:r w:rsidR="00180178" w:rsidRPr="00180178">
        <w:t>ствии ответа со стороны государства-участника в свои доклады, частота о</w:t>
      </w:r>
      <w:r w:rsidR="00180178" w:rsidRPr="00180178">
        <w:t>т</w:t>
      </w:r>
      <w:r w:rsidR="00180178" w:rsidRPr="00180178">
        <w:t>правки напоминаний является ограниченной (одно напоминание раз в шесть месяцев), а перед началом каждой сессии Комитет проверяет, не был ли пол</w:t>
      </w:r>
      <w:r w:rsidR="00180178" w:rsidRPr="00180178">
        <w:t>у</w:t>
      </w:r>
      <w:r w:rsidR="00620599">
        <w:t>чен ответ.</w:t>
      </w:r>
    </w:p>
    <w:p w:rsidR="00180178" w:rsidRPr="00180178" w:rsidRDefault="00180178" w:rsidP="00775E42">
      <w:pPr>
        <w:pStyle w:val="SingleTxtGR"/>
      </w:pPr>
      <w:r w:rsidRPr="00180178">
        <w:t>16.</w:t>
      </w:r>
      <w:r w:rsidRPr="00180178">
        <w:tab/>
        <w:t>В течение периода, охватываемого настоящим докладом, Ираку было направлено четвертое письмо с напоминанием относительно 23 просьб о пр</w:t>
      </w:r>
      <w:r w:rsidRPr="00180178">
        <w:t>и</w:t>
      </w:r>
      <w:r w:rsidRPr="00180178">
        <w:t>нятии срочных мер в отношении событий, произошедших на его территории. На своей двенадцатой сессии Комитет провел двустороннее совещание с пост</w:t>
      </w:r>
      <w:r w:rsidRPr="00180178">
        <w:t>о</w:t>
      </w:r>
      <w:r w:rsidRPr="00180178">
        <w:t>янным представительством Ирака, с тем чтобы предоставить государству-участнику возможность сообщить о причинах, по которым оно не отвеча</w:t>
      </w:r>
      <w:r w:rsidR="00D93F33">
        <w:t>ло на ноты Комитета. После того</w:t>
      </w:r>
      <w:r w:rsidRPr="00180178">
        <w:t xml:space="preserve"> как процедурные вопросы в отношении просьб о принятии срочных мер были прояснены, государство-участник обязалось пре</w:t>
      </w:r>
      <w:r w:rsidRPr="00180178">
        <w:t>д</w:t>
      </w:r>
      <w:r w:rsidRPr="00180178">
        <w:t>ставить соответствующую информацию в течение нескольких недель после окончания сессии</w:t>
      </w:r>
      <w:r w:rsidR="00620599">
        <w:t>.</w:t>
      </w:r>
    </w:p>
    <w:p w:rsidR="00180178" w:rsidRPr="00180178" w:rsidRDefault="00180178" w:rsidP="00775E42">
      <w:pPr>
        <w:pStyle w:val="SingleTxtGR"/>
      </w:pPr>
      <w:r w:rsidRPr="00180178">
        <w:t>17.</w:t>
      </w:r>
      <w:r w:rsidRPr="00180178">
        <w:tab/>
        <w:t>Что касается содержания ответов государств-участников, то наблюдаются те же тенденции, которые были отмечены в докладе, принятом на одиннадцатой сессии (см. CED/C/11/3). Стоит отметить отсутствие ответов на вопросы и р</w:t>
      </w:r>
      <w:r w:rsidRPr="00180178">
        <w:t>е</w:t>
      </w:r>
      <w:r w:rsidRPr="00180178">
        <w:t>комендации Комитета и ответов по существу. Вместе с тем было подчеркнуто, что в ряде случаев информация, представленная государством-участником в контексте срочных мер, позволила авторам получить доступ к ключевой и</w:t>
      </w:r>
      <w:r w:rsidRPr="00180178">
        <w:t>н</w:t>
      </w:r>
      <w:r w:rsidRPr="00180178">
        <w:t>формации, касающейся поиска жертв и ведения следствия, которого они до эт</w:t>
      </w:r>
      <w:r w:rsidRPr="00180178">
        <w:t>о</w:t>
      </w:r>
      <w:r w:rsidR="00620599">
        <w:t>го не имели.</w:t>
      </w:r>
    </w:p>
    <w:p w:rsidR="00180178" w:rsidRPr="00180178" w:rsidRDefault="00180178" w:rsidP="00775E42">
      <w:pPr>
        <w:pStyle w:val="SingleTxtGR"/>
      </w:pPr>
      <w:r w:rsidRPr="00180178">
        <w:t>18.</w:t>
      </w:r>
      <w:r w:rsidRPr="00180178">
        <w:tab/>
        <w:t>Рекомендация докладчиков: создать дополнительные возможности для обмена информацией и укрепления потенциала национальных органов власти по процедурам и целям принятия срочных мер в координации с полевыми отд</w:t>
      </w:r>
      <w:r w:rsidRPr="00180178">
        <w:t>е</w:t>
      </w:r>
      <w:r w:rsidRPr="00180178">
        <w:t>лениями Управления Верховного Комиссара Организации Объединенных Наций по правам человека и программой по наращиванию потенциала догово</w:t>
      </w:r>
      <w:r w:rsidRPr="00180178">
        <w:t>р</w:t>
      </w:r>
      <w:r w:rsidRPr="00180178">
        <w:t>ных органов в целях повышения их осведомленности о сфере охвата и целях принятия срочных мер.</w:t>
      </w:r>
    </w:p>
    <w:p w:rsidR="00180178" w:rsidRPr="00180178" w:rsidRDefault="00180178" w:rsidP="008D2C81">
      <w:pPr>
        <w:pStyle w:val="H23GR"/>
      </w:pPr>
      <w:r w:rsidRPr="00180178">
        <w:tab/>
        <w:t>3.</w:t>
      </w:r>
      <w:r w:rsidRPr="00180178">
        <w:tab/>
        <w:t>Взаимодействие с авторами</w:t>
      </w:r>
    </w:p>
    <w:p w:rsidR="00180178" w:rsidRPr="00180178" w:rsidRDefault="00180178" w:rsidP="00775E42">
      <w:pPr>
        <w:pStyle w:val="SingleTxtGR"/>
      </w:pPr>
      <w:r w:rsidRPr="00180178">
        <w:t>19.</w:t>
      </w:r>
      <w:r w:rsidRPr="00180178">
        <w:tab/>
        <w:t>Секретариат поддерживает постоянный контакт с авторами просьб о пр</w:t>
      </w:r>
      <w:r w:rsidRPr="00180178">
        <w:t>и</w:t>
      </w:r>
      <w:r w:rsidRPr="00180178">
        <w:t>нятии срочных мер, главным образом путем направления им писем от имени Комитета, а также более прямым путем – по электронной почте и по телефону. Эти обмены позволяют выявить тенденции, о которых будет сказано ниже.</w:t>
      </w:r>
    </w:p>
    <w:p w:rsidR="00180178" w:rsidRPr="00180178" w:rsidRDefault="00180178" w:rsidP="00775E42">
      <w:pPr>
        <w:pStyle w:val="SingleTxtGR"/>
      </w:pPr>
      <w:r w:rsidRPr="00180178">
        <w:t>20.</w:t>
      </w:r>
      <w:r w:rsidRPr="00180178">
        <w:tab/>
        <w:t>Авторы по-прежнему подчеркивают важность получения поддержки со стороны Комитета, в лице которого они обрели слушателя, после нескольких неудачных попыток обращения за помощью к национальным органам. В нек</w:t>
      </w:r>
      <w:r w:rsidRPr="00180178">
        <w:t>о</w:t>
      </w:r>
      <w:r w:rsidRPr="00180178">
        <w:t>торых случаях авторы (как правило, члены семей) просят о прямой поддержке Комитета в качестве посредника при взаимодействии с национальными орган</w:t>
      </w:r>
      <w:r w:rsidRPr="00180178">
        <w:t>а</w:t>
      </w:r>
      <w:r w:rsidR="00CB1693">
        <w:t>ми власти. В таких случаях с</w:t>
      </w:r>
      <w:r w:rsidRPr="00180178">
        <w:t>екретариат всегда стремится помочь авторам в рамках компетенции Комитета в соответствии со статьей 30 Конвенции.</w:t>
      </w:r>
    </w:p>
    <w:p w:rsidR="00180178" w:rsidRPr="00180178" w:rsidRDefault="00180178" w:rsidP="008D2C81">
      <w:pPr>
        <w:pStyle w:val="H23GR"/>
      </w:pPr>
      <w:r w:rsidRPr="00180178">
        <w:tab/>
        <w:t>4.</w:t>
      </w:r>
      <w:r w:rsidRPr="00180178">
        <w:tab/>
        <w:t>Ответы авторов</w:t>
      </w:r>
    </w:p>
    <w:p w:rsidR="00180178" w:rsidRPr="00180178" w:rsidRDefault="00180178" w:rsidP="00775E42">
      <w:pPr>
        <w:pStyle w:val="SingleTxtGR"/>
      </w:pPr>
      <w:r w:rsidRPr="00180178">
        <w:t>21.</w:t>
      </w:r>
      <w:r w:rsidRPr="00180178">
        <w:tab/>
        <w:t>В большинстве случаев авторы выражают свое разочарование по поводу отсутствия прогресса в осуществлении государством его обязанностей по пои</w:t>
      </w:r>
      <w:r w:rsidRPr="00180178">
        <w:t>с</w:t>
      </w:r>
      <w:r w:rsidRPr="00180178">
        <w:t>ку пропавших без вести лиц и проведению расследований (см. раздел E выше).</w:t>
      </w:r>
    </w:p>
    <w:p w:rsidR="00180178" w:rsidRPr="00180178" w:rsidRDefault="00180178" w:rsidP="00775E42">
      <w:pPr>
        <w:pStyle w:val="SingleTxtGR"/>
      </w:pPr>
      <w:r w:rsidRPr="00180178">
        <w:t>22.</w:t>
      </w:r>
      <w:r w:rsidRPr="00180178">
        <w:tab/>
        <w:t>В некоторых случаях авторы просят о конкретной помощи со стороны Комитета. Ниже приводятся примеры таких просьб и ответы докладчиков: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a)</w:t>
      </w:r>
      <w:r w:rsidR="00180178" w:rsidRPr="00180178">
        <w:tab/>
        <w:t>к одной из просьб о принятии срочных мер автор приложил запи</w:t>
      </w:r>
      <w:r w:rsidR="00180178" w:rsidRPr="00180178">
        <w:t>с</w:t>
      </w:r>
      <w:r w:rsidR="00180178" w:rsidRPr="00180178">
        <w:t>ку, в которой говорилось о том, что его ходатайство о принятии мер защиты б</w:t>
      </w:r>
      <w:r w:rsidR="00180178" w:rsidRPr="00180178">
        <w:t>ы</w:t>
      </w:r>
      <w:r w:rsidR="00180178" w:rsidRPr="00180178">
        <w:t>ло отклонено одним из органов, предположительно компетентным в сфере з</w:t>
      </w:r>
      <w:r w:rsidR="00180178" w:rsidRPr="00180178">
        <w:t>а</w:t>
      </w:r>
      <w:r w:rsidR="00180178" w:rsidRPr="00180178">
        <w:t>щиты лиц (Национальная служба защиты). Ответ органа защиты гласил, что д</w:t>
      </w:r>
      <w:r w:rsidR="00180178" w:rsidRPr="00180178">
        <w:t>е</w:t>
      </w:r>
      <w:r w:rsidR="00180178" w:rsidRPr="00180178">
        <w:t>ло было передано национальной полиции, которая также компетентна рассма</w:t>
      </w:r>
      <w:r w:rsidR="00180178" w:rsidRPr="00180178">
        <w:t>т</w:t>
      </w:r>
      <w:r w:rsidR="00180178" w:rsidRPr="00180178">
        <w:t>ривать некоторые из подобных случаев. Автор просил Комитет вмешаться и п</w:t>
      </w:r>
      <w:r w:rsidR="00180178" w:rsidRPr="00180178">
        <w:t>о</w:t>
      </w:r>
      <w:r w:rsidR="00180178" w:rsidRPr="00180178">
        <w:t>требовать у Национальной программы предоставить ему защиту. Докладчики выразили мнение о том, что Комитет не компетентен принимать решения в о</w:t>
      </w:r>
      <w:r w:rsidR="00180178" w:rsidRPr="00180178">
        <w:t>т</w:t>
      </w:r>
      <w:r w:rsidR="00180178" w:rsidRPr="00180178">
        <w:t>ношении государственных органов защиты, за исключением тех случаев, когда предоставление такой защиты становится причиной проблем в области бе</w:t>
      </w:r>
      <w:r w:rsidR="00180178" w:rsidRPr="00180178">
        <w:t>з</w:t>
      </w:r>
      <w:r w:rsidR="00180178" w:rsidRPr="00180178">
        <w:t>опасности для отдельных лиц. В данном случае авторы сообщения не предст</w:t>
      </w:r>
      <w:r w:rsidR="00180178" w:rsidRPr="00180178">
        <w:t>а</w:t>
      </w:r>
      <w:r w:rsidR="00180178" w:rsidRPr="00180178">
        <w:t>вил</w:t>
      </w:r>
      <w:r w:rsidR="00D93F33">
        <w:t>и какой-либо информации об этом;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b)</w:t>
      </w:r>
      <w:r w:rsidR="00180178" w:rsidRPr="00180178">
        <w:tab/>
        <w:t>в другой просьбе автор просил Комитет потребовать от госуда</w:t>
      </w:r>
      <w:r w:rsidR="00180178" w:rsidRPr="00180178">
        <w:t>р</w:t>
      </w:r>
      <w:r w:rsidR="00180178" w:rsidRPr="00180178">
        <w:t>ства-участника в срочном порядке провести расследование в отношении стр</w:t>
      </w:r>
      <w:r w:rsidR="00180178" w:rsidRPr="00180178">
        <w:t>а</w:t>
      </w:r>
      <w:r w:rsidR="00180178" w:rsidRPr="00180178">
        <w:t xml:space="preserve">ницы пропавшего без вести лица в социальной сети </w:t>
      </w:r>
      <w:r w:rsidR="00CD6195">
        <w:t>«</w:t>
      </w:r>
      <w:r w:rsidR="00180178" w:rsidRPr="00180178">
        <w:t>Facebook</w:t>
      </w:r>
      <w:r w:rsidR="00CD6195">
        <w:t>»</w:t>
      </w:r>
      <w:r w:rsidR="00180178" w:rsidRPr="00180178">
        <w:t>, так как были получены сообщения о том, что страница по-прежнему активна. Комитет п</w:t>
      </w:r>
      <w:r w:rsidR="00180178" w:rsidRPr="00180178">
        <w:t>о</w:t>
      </w:r>
      <w:r w:rsidR="00180178" w:rsidRPr="00180178">
        <w:t xml:space="preserve">считал, что такое расследование могло бы </w:t>
      </w:r>
      <w:r w:rsidR="00D93F33">
        <w:t xml:space="preserve">быть </w:t>
      </w:r>
      <w:r w:rsidR="00180178" w:rsidRPr="00180178">
        <w:t>полезным для получения и</w:t>
      </w:r>
      <w:r w:rsidR="00180178" w:rsidRPr="00180178">
        <w:t>н</w:t>
      </w:r>
      <w:r w:rsidR="00180178" w:rsidRPr="00180178">
        <w:t>формации о возможном местонахождении упомянутого лица. В этой связи он просил государство-участник продолжить это расследование в качестве необх</w:t>
      </w:r>
      <w:r w:rsidR="00180178" w:rsidRPr="00180178">
        <w:t>о</w:t>
      </w:r>
      <w:r w:rsidR="00180178" w:rsidRPr="00180178">
        <w:t>димой меры по поиску и установлению ме</w:t>
      </w:r>
      <w:r w:rsidR="00620599">
        <w:t>стонахождения исчезнувшего лица;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c)</w:t>
      </w:r>
      <w:r w:rsidR="00180178" w:rsidRPr="00180178">
        <w:tab/>
        <w:t>в трех просьбах о принятии срочных мер авторы неоднократно о</w:t>
      </w:r>
      <w:r w:rsidR="00180178" w:rsidRPr="00180178">
        <w:t>б</w:t>
      </w:r>
      <w:r w:rsidR="00180178" w:rsidRPr="00180178">
        <w:t>ращались к Комитету и просили предоставить им материальную и психолог</w:t>
      </w:r>
      <w:r w:rsidR="00180178" w:rsidRPr="00180178">
        <w:t>и</w:t>
      </w:r>
      <w:r w:rsidR="00180178" w:rsidRPr="00180178">
        <w:t>ческую помощь. В этих случаях Комитет всегда находил время для того, чтобы выслушать их и ответить на их вопросы в отношении соответствующих проц</w:t>
      </w:r>
      <w:r w:rsidR="00180178" w:rsidRPr="00180178">
        <w:t>е</w:t>
      </w:r>
      <w:r w:rsidR="00180178" w:rsidRPr="00180178">
        <w:t>дур, разъясняя при этом границы своего мандата. Полевые отделения Управл</w:t>
      </w:r>
      <w:r w:rsidR="00180178" w:rsidRPr="00180178">
        <w:t>е</w:t>
      </w:r>
      <w:r w:rsidR="00180178" w:rsidRPr="00180178">
        <w:t>ния Верховного комиссара Организации Объединенных Наций по правам чел</w:t>
      </w:r>
      <w:r w:rsidR="00180178" w:rsidRPr="00180178">
        <w:t>о</w:t>
      </w:r>
      <w:r w:rsidR="00180178" w:rsidRPr="00180178">
        <w:t>века также принимают авторов</w:t>
      </w:r>
      <w:r w:rsidR="00D93F33">
        <w:t xml:space="preserve"> и реагируют на их потребности.</w:t>
      </w:r>
    </w:p>
    <w:p w:rsidR="00180178" w:rsidRPr="00180178" w:rsidRDefault="00180178" w:rsidP="00775E42">
      <w:pPr>
        <w:pStyle w:val="SingleTxtGR"/>
      </w:pPr>
      <w:r w:rsidRPr="00180178">
        <w:t>23.</w:t>
      </w:r>
      <w:r w:rsidRPr="00180178">
        <w:tab/>
        <w:t>Авторы некоторых просьб о принятии срочных мер не представили ко</w:t>
      </w:r>
      <w:r w:rsidRPr="00180178">
        <w:t>м</w:t>
      </w:r>
      <w:r w:rsidRPr="00180178">
        <w:t>ментариев по замечаниям государства-участника, что ограничивает возможн</w:t>
      </w:r>
      <w:r w:rsidRPr="00180178">
        <w:t>о</w:t>
      </w:r>
      <w:r w:rsidRPr="00180178">
        <w:t>сти Комитета по принятию соответствующих мер. Вместе с тем в соответствии с пунктом 4 статьи 30 Конвенции эти просьбы по-прежнему находятся на ра</w:t>
      </w:r>
      <w:r w:rsidRPr="00180178">
        <w:t>с</w:t>
      </w:r>
      <w:r w:rsidRPr="00180178">
        <w:t>смотрении.</w:t>
      </w:r>
    </w:p>
    <w:p w:rsidR="00180178" w:rsidRPr="00180178" w:rsidRDefault="00180178" w:rsidP="00775E42">
      <w:pPr>
        <w:pStyle w:val="SingleTxtGR"/>
      </w:pPr>
      <w:r w:rsidRPr="00180178">
        <w:t>24.</w:t>
      </w:r>
      <w:r w:rsidRPr="00180178">
        <w:tab/>
        <w:t>Такая ситуация возникает, в основном, в двух случаях:</w:t>
      </w:r>
    </w:p>
    <w:p w:rsidR="00180178" w:rsidRPr="00180178" w:rsidRDefault="00180178" w:rsidP="008D2C81">
      <w:pPr>
        <w:pStyle w:val="SingleTxtGR"/>
      </w:pPr>
      <w:r w:rsidRPr="00180178">
        <w:tab/>
        <w:t>a)</w:t>
      </w:r>
      <w:r w:rsidRPr="00180178">
        <w:tab/>
        <w:t>ситуация №1: в шести просьбах о принятии срочных мер, пре</w:t>
      </w:r>
      <w:r w:rsidRPr="00180178">
        <w:t>д</w:t>
      </w:r>
      <w:r w:rsidRPr="00180178">
        <w:t>ставленных неправительственными организациями, последние сталкивались с трудностями при поддержании контакта с родственниками пропавших без вести лиц или при получении доступа к следственным материалам по делу. В этих случаях Комитет направлял авторам напоминания. Еще в двух случаях по ист</w:t>
      </w:r>
      <w:r w:rsidRPr="00180178">
        <w:t>е</w:t>
      </w:r>
      <w:r w:rsidRPr="00180178">
        <w:t>чении года с момента непредставления авторами своего ответа докладчики принимали решение о необходимости направить государству-участнику ноту о последующей деятельности, с тем чтобы запросить у него обновленную и</w:t>
      </w:r>
      <w:r w:rsidRPr="00180178">
        <w:t>н</w:t>
      </w:r>
      <w:r w:rsidRPr="00180178">
        <w:t>формацию о ходе расследования и поиска. Авторам были предоставлены копии нот, направленных государствам. После э</w:t>
      </w:r>
      <w:r w:rsidR="00CB1693">
        <w:t>того авторы вновь обратились к с</w:t>
      </w:r>
      <w:r w:rsidRPr="00180178">
        <w:t>екр</w:t>
      </w:r>
      <w:r w:rsidRPr="00180178">
        <w:t>е</w:t>
      </w:r>
      <w:r w:rsidRPr="00180178">
        <w:t>тариату, благодаря его за ноту и информируя его о том, что это дало им возмо</w:t>
      </w:r>
      <w:r w:rsidRPr="00180178">
        <w:t>ж</w:t>
      </w:r>
      <w:r w:rsidRPr="00180178">
        <w:t>ность вновь установить контакт со следственными органами;</w:t>
      </w:r>
    </w:p>
    <w:p w:rsidR="00180178" w:rsidRPr="00180178" w:rsidRDefault="00180178" w:rsidP="008D2C81">
      <w:pPr>
        <w:pStyle w:val="SingleTxtGR"/>
      </w:pPr>
      <w:r w:rsidRPr="00180178">
        <w:tab/>
        <w:t>b)</w:t>
      </w:r>
      <w:r w:rsidRPr="00180178">
        <w:tab/>
        <w:t>ситуация № 2: в других случаях авторы просьб не предоставили ответа, так как не могли принять последующих мер, не умели писать или имели трудности в плане доступа к Интернету. П</w:t>
      </w:r>
      <w:r w:rsidR="00CB1693">
        <w:t>осле рассылки трех напоминаний с</w:t>
      </w:r>
      <w:r w:rsidRPr="00180178">
        <w:t>екретариат связался по телефону с некоторыми авторами для того, чтобы пр</w:t>
      </w:r>
      <w:r w:rsidRPr="00180178">
        <w:t>о</w:t>
      </w:r>
      <w:r w:rsidRPr="00180178">
        <w:t>анализировать их возможности по предоставлению комментариев по замечан</w:t>
      </w:r>
      <w:r w:rsidRPr="00180178">
        <w:t>и</w:t>
      </w:r>
      <w:r w:rsidRPr="00180178">
        <w:t>ям государства-участника в устной форме</w:t>
      </w:r>
      <w:r w:rsidR="008D2C81">
        <w:t xml:space="preserve"> или каким-либо иным образом. В </w:t>
      </w:r>
      <w:r w:rsidR="00CB1693">
        <w:t>связи с еще двумя просьбами с</w:t>
      </w:r>
      <w:r w:rsidRPr="00180178">
        <w:t>екретариат провел телефонную конференцию с авторами, с тем чтобы получить их комментарии. Принимая во внимание кол</w:t>
      </w:r>
      <w:r w:rsidRPr="00180178">
        <w:t>и</w:t>
      </w:r>
      <w:r w:rsidRPr="00180178">
        <w:t>чество просьб о принятии срочных мер, такие методы могут применяться лишь в исключительных обстоятельствах.</w:t>
      </w:r>
    </w:p>
    <w:p w:rsidR="00180178" w:rsidRPr="00180178" w:rsidRDefault="00180178" w:rsidP="00775E42">
      <w:pPr>
        <w:pStyle w:val="SingleTxtGR"/>
      </w:pPr>
      <w:r w:rsidRPr="00180178">
        <w:t>25.</w:t>
      </w:r>
      <w:r w:rsidRPr="00180178">
        <w:tab/>
        <w:t>В свете вышесказанного докладчики рекомендуют принять новые прав</w:t>
      </w:r>
      <w:r w:rsidRPr="00180178">
        <w:t>и</w:t>
      </w:r>
      <w:r w:rsidRPr="00180178">
        <w:t>ла процедуры в тех случаях, когда авторы не отвечают на ноты Комитета: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a)</w:t>
      </w:r>
      <w:r w:rsidR="00180178" w:rsidRPr="00180178">
        <w:tab/>
        <w:t>авторам направляются три напоминания;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b)</w:t>
      </w:r>
      <w:r w:rsidR="00180178" w:rsidRPr="00180178">
        <w:tab/>
        <w:t>если автор не отвечает в течение трех месяцев с момента получ</w:t>
      </w:r>
      <w:r w:rsidR="00180178" w:rsidRPr="00180178">
        <w:t>е</w:t>
      </w:r>
      <w:r w:rsidR="00180178" w:rsidRPr="00180178">
        <w:t>ния третьего напоминания, секретариат предпринимает попытки связаться с ним другим способом и просит его сообщить, почему он не представил свой о</w:t>
      </w:r>
      <w:r w:rsidR="00180178" w:rsidRPr="00180178">
        <w:t>т</w:t>
      </w:r>
      <w:r w:rsidR="00D93F33">
        <w:t>вет Комитету;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c)</w:t>
      </w:r>
      <w:r w:rsidR="00180178" w:rsidRPr="00180178">
        <w:tab/>
        <w:t>если автор утверждает, что он не в состоянии представить ответ в письменном виде, но располагает информацией, которой стоит поделиться с Комитетом, секретариат стремится получить эту информацию в устной форме (например, по телефону) и направляет государству-участнику ноту о послед</w:t>
      </w:r>
      <w:r w:rsidR="00180178" w:rsidRPr="00180178">
        <w:t>у</w:t>
      </w:r>
      <w:r w:rsidR="00180178" w:rsidRPr="00180178">
        <w:t>ющей деятельности с учетом полученных свед</w:t>
      </w:r>
      <w:r w:rsidR="00D93F33">
        <w:t>ений;</w:t>
      </w:r>
    </w:p>
    <w:p w:rsidR="00180178" w:rsidRPr="00180178" w:rsidRDefault="008D2C81" w:rsidP="00775E42">
      <w:pPr>
        <w:pStyle w:val="SingleTxtGR"/>
      </w:pPr>
      <w:r>
        <w:tab/>
      </w:r>
      <w:r w:rsidR="00D93F33">
        <w:t>d)</w:t>
      </w:r>
      <w:r w:rsidR="00D93F33">
        <w:tab/>
        <w:t>если по истечении</w:t>
      </w:r>
      <w:r w:rsidR="00180178" w:rsidRPr="00180178">
        <w:t xml:space="preserve"> шести месяцев после получения третьего нап</w:t>
      </w:r>
      <w:r w:rsidR="00180178" w:rsidRPr="00180178">
        <w:t>о</w:t>
      </w:r>
      <w:r w:rsidR="00180178" w:rsidRPr="00180178">
        <w:t>минания с автором не удается связаться или же он не располагает информацией, Комитет направляет государству-участнику ноту на основе полученных свед</w:t>
      </w:r>
      <w:r w:rsidR="00180178" w:rsidRPr="00180178">
        <w:t>е</w:t>
      </w:r>
      <w:r w:rsidR="00180178" w:rsidRPr="00180178">
        <w:t xml:space="preserve">ний и устанавливает новый срок для представления </w:t>
      </w:r>
      <w:r w:rsidR="00D93F33">
        <w:t>обновленной информации по делу.</w:t>
      </w:r>
    </w:p>
    <w:p w:rsidR="00180178" w:rsidRPr="00180178" w:rsidRDefault="00180178" w:rsidP="008D2C81">
      <w:pPr>
        <w:pStyle w:val="H1GR"/>
      </w:pPr>
      <w:r w:rsidRPr="00180178">
        <w:tab/>
        <w:t>E.</w:t>
      </w:r>
      <w:r w:rsidRPr="00180178">
        <w:tab/>
        <w:t>Вопро</w:t>
      </w:r>
      <w:r w:rsidR="00620599">
        <w:t>сы, вызывающие обеспокоенность,</w:t>
      </w:r>
      <w:r w:rsidR="00620599">
        <w:br/>
      </w:r>
      <w:r w:rsidRPr="00180178">
        <w:t>в</w:t>
      </w:r>
      <w:r w:rsidR="00620599">
        <w:t xml:space="preserve"> </w:t>
      </w:r>
      <w:r w:rsidRPr="00180178">
        <w:t>зарегис</w:t>
      </w:r>
      <w:r w:rsidR="00620599">
        <w:t>трированных просьбах о принятии</w:t>
      </w:r>
      <w:r w:rsidR="00620599">
        <w:br/>
      </w:r>
      <w:r w:rsidRPr="00180178">
        <w:t>срочных мер</w:t>
      </w:r>
    </w:p>
    <w:p w:rsidR="00180178" w:rsidRPr="00180178" w:rsidRDefault="00180178" w:rsidP="00775E42">
      <w:pPr>
        <w:pStyle w:val="SingleTxtGR"/>
      </w:pPr>
      <w:r w:rsidRPr="00180178">
        <w:t>26.</w:t>
      </w:r>
      <w:r w:rsidRPr="00180178">
        <w:tab/>
        <w:t>Бездействие органов, отвечающих за поиск и проведение расследований: в большинстве случаев государственные органы, занимающиеся поиском и</w:t>
      </w:r>
      <w:r w:rsidRPr="00180178">
        <w:t>с</w:t>
      </w:r>
      <w:r w:rsidRPr="00180178">
        <w:t>чезнувших лиц и проведением расследований, не принимают никаких мер. Обеспокоенность касается, в основном, пяти случаев:</w:t>
      </w:r>
    </w:p>
    <w:p w:rsidR="00180178" w:rsidRPr="00180178" w:rsidRDefault="00180178" w:rsidP="008D2C81">
      <w:pPr>
        <w:pStyle w:val="SingleTxtGR"/>
      </w:pPr>
      <w:r w:rsidRPr="00180178">
        <w:tab/>
        <w:t>a)</w:t>
      </w:r>
      <w:r w:rsidRPr="00180178">
        <w:tab/>
        <w:t>бездействия властей в следую</w:t>
      </w:r>
      <w:r w:rsidR="00D93F33">
        <w:t>щие 72 часа после исчезновения:</w:t>
      </w:r>
      <w:r w:rsidR="00D93F33">
        <w:br/>
      </w:r>
      <w:r w:rsidRPr="00180178">
        <w:t>в более чем 25 просьбах о принятии срочных мер авторы выразили обеспокое</w:t>
      </w:r>
      <w:r w:rsidRPr="00180178">
        <w:t>н</w:t>
      </w:r>
      <w:r w:rsidRPr="00180178">
        <w:t>ность в связи с отказом властей принимать какие-либо меры в течение 72</w:t>
      </w:r>
      <w:r w:rsidR="008D2C81">
        <w:t> </w:t>
      </w:r>
      <w:r w:rsidRPr="00180178">
        <w:t>часов после исчезновения. Во всех упомянутых случаях Комитет подчеркивал свою обеспокоенность такой практикой. В одном из таких случаев Комитет рекоме</w:t>
      </w:r>
      <w:r w:rsidRPr="00180178">
        <w:t>н</w:t>
      </w:r>
      <w:r w:rsidRPr="00180178">
        <w:t>довал государству-участнику принять необходимые меры для того, чтобы г</w:t>
      </w:r>
      <w:r w:rsidRPr="00180178">
        <w:t>а</w:t>
      </w:r>
      <w:r w:rsidRPr="00180178">
        <w:t>рантировать незамедлительное рассмотрение властями каждой поступающей им жалобы о насильственном исчезновении в соответствии со статьей 12 Ко</w:t>
      </w:r>
      <w:r w:rsidRPr="00180178">
        <w:t>н</w:t>
      </w:r>
      <w:r w:rsidR="00D93F33">
        <w:t>венции;</w:t>
      </w:r>
    </w:p>
    <w:p w:rsidR="00180178" w:rsidRPr="00180178" w:rsidRDefault="008D2C81" w:rsidP="008D2C81">
      <w:pPr>
        <w:pStyle w:val="SingleTxtGR"/>
      </w:pPr>
      <w:r>
        <w:tab/>
      </w:r>
      <w:r w:rsidR="00180178" w:rsidRPr="00180178">
        <w:t>b)</w:t>
      </w:r>
      <w:r w:rsidR="00180178" w:rsidRPr="00180178">
        <w:tab/>
        <w:t>отсутствия процедуры поиска и проведения расследований: и</w:t>
      </w:r>
      <w:r w:rsidR="00180178" w:rsidRPr="00180178">
        <w:t>н</w:t>
      </w:r>
      <w:r w:rsidR="00180178" w:rsidRPr="00180178">
        <w:t>формация, представленная авторами и государствами-участниками практически во всех зарегистрированных просьбах о принятии срочных мер, свидетельств</w:t>
      </w:r>
      <w:r w:rsidR="00180178" w:rsidRPr="00180178">
        <w:t>у</w:t>
      </w:r>
      <w:r w:rsidR="00180178" w:rsidRPr="00180178">
        <w:t>ет об отсутствии соответствующей процедуры. В таких случаях Комитет нап</w:t>
      </w:r>
      <w:r w:rsidR="00180178" w:rsidRPr="00180178">
        <w:t>о</w:t>
      </w:r>
      <w:r w:rsidR="00180178" w:rsidRPr="00180178">
        <w:t>минает государствам-участникам об их договорных обязательствах по стат</w:t>
      </w:r>
      <w:r w:rsidR="00180178" w:rsidRPr="00180178">
        <w:t>ь</w:t>
      </w:r>
      <w:r w:rsidR="00180178" w:rsidRPr="00180178">
        <w:t>ям</w:t>
      </w:r>
      <w:r>
        <w:t> </w:t>
      </w:r>
      <w:r w:rsidR="00180178" w:rsidRPr="00180178">
        <w:t>12 и 24 Конвенции и о необходимости руководствоваться предположением о том, что расследование насильственного исчезновения является способом п</w:t>
      </w:r>
      <w:r w:rsidR="00180178" w:rsidRPr="00180178">
        <w:t>о</w:t>
      </w:r>
      <w:r w:rsidR="00180178" w:rsidRPr="00180178">
        <w:t>лучения информации, необходимой для поиска и установления местонахожд</w:t>
      </w:r>
      <w:r w:rsidR="00180178" w:rsidRPr="00180178">
        <w:t>е</w:t>
      </w:r>
      <w:r w:rsidR="00D93F33">
        <w:t>ния жертвы;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c)</w:t>
      </w:r>
      <w:r w:rsidR="00180178" w:rsidRPr="00180178">
        <w:tab/>
        <w:t>неисполнения судебных решений, вынесенных по отдельным д</w:t>
      </w:r>
      <w:r w:rsidR="00180178" w:rsidRPr="00180178">
        <w:t>е</w:t>
      </w:r>
      <w:r w:rsidR="00180178" w:rsidRPr="00180178">
        <w:t>лам: в 12 зарегистрированных просьбах о принятии срочных мер авторы отм</w:t>
      </w:r>
      <w:r w:rsidR="00180178" w:rsidRPr="00180178">
        <w:t>е</w:t>
      </w:r>
      <w:r w:rsidR="00180178" w:rsidRPr="00180178">
        <w:t>тили, что принятые в суде решения не исполняются компетентными органами по причине отсутствия необходимых ресурсов или же из-за того, что эти органы напрямую или косвенно причастны к совершенному преступлению. В четырех случаях заявители сообщили о том, что ордер на арест предполагаемых вино</w:t>
      </w:r>
      <w:r w:rsidR="00180178" w:rsidRPr="00180178">
        <w:t>в</w:t>
      </w:r>
      <w:r w:rsidR="00180178" w:rsidRPr="00180178">
        <w:t>ных не приводился в исполнение на протяжении нескольких месяцев, несмотря на присутствие на местах соответствующих</w:t>
      </w:r>
      <w:r w:rsidR="00180178">
        <w:t xml:space="preserve"> </w:t>
      </w:r>
      <w:r w:rsidR="00180178" w:rsidRPr="00180178">
        <w:t>государственных должностных лиц. В своих нотах государству-участнику Комитет выражает обеспокоенность тем, что отмеченные выше меры не были приняты, и напоминает о договорных обязательствах гос</w:t>
      </w:r>
      <w:r w:rsidR="00D93F33">
        <w:t>ударства-участника в этой связи;</w:t>
      </w:r>
    </w:p>
    <w:p w:rsidR="00180178" w:rsidRPr="00180178" w:rsidRDefault="008D2C81" w:rsidP="00775E42">
      <w:pPr>
        <w:pStyle w:val="SingleTxtGR"/>
      </w:pPr>
      <w:r>
        <w:tab/>
      </w:r>
      <w:r w:rsidR="00180178" w:rsidRPr="00180178">
        <w:t>d)</w:t>
      </w:r>
      <w:r w:rsidR="00180178" w:rsidRPr="00180178">
        <w:tab/>
        <w:t>непроведения расследования на месте: авторы примерно 19 просьб о принятии срочных мер выразили свою обеспокоенность в связи с тем, что о</w:t>
      </w:r>
      <w:r w:rsidR="00180178" w:rsidRPr="00180178">
        <w:t>р</w:t>
      </w:r>
      <w:r w:rsidR="00180178" w:rsidRPr="00180178">
        <w:t>ганы власти, отвечающие за проведение расследований, зачастую ограничив</w:t>
      </w:r>
      <w:r w:rsidR="00180178" w:rsidRPr="00180178">
        <w:t>а</w:t>
      </w:r>
      <w:r w:rsidR="00180178" w:rsidRPr="00180178">
        <w:t>ются лишь направлением запросов о предоставлении информации в приюты, больницы и места содержания под стражей, что не приносит никаких результ</w:t>
      </w:r>
      <w:r w:rsidR="00180178" w:rsidRPr="00180178">
        <w:t>а</w:t>
      </w:r>
      <w:r w:rsidR="00180178" w:rsidRPr="00180178">
        <w:t>тов. Они также отметили, что</w:t>
      </w:r>
      <w:r w:rsidR="00D93F33">
        <w:t>,</w:t>
      </w:r>
      <w:r w:rsidR="00180178" w:rsidRPr="00180178">
        <w:t xml:space="preserve"> хотя эти запросы зачастую содержат указания по проведению расследований по итогам поездок на места, эти указания не собл</w:t>
      </w:r>
      <w:r w:rsidR="00180178" w:rsidRPr="00180178">
        <w:t>ю</w:t>
      </w:r>
      <w:r w:rsidR="00180178" w:rsidRPr="00180178">
        <w:t>даются. В таких случаях Комитет рекомендует государству-участнику просл</w:t>
      </w:r>
      <w:r w:rsidR="00180178" w:rsidRPr="00180178">
        <w:t>е</w:t>
      </w:r>
      <w:r w:rsidR="00180178" w:rsidRPr="00180178">
        <w:t>дить за тем, чтобы компетентные органы: i) в полной мере использовали свои полномочия, в том числе в отношении принятия срочных мер, для получения от соответствующих органов информации, необходимой для проведения расслед</w:t>
      </w:r>
      <w:r w:rsidR="00180178" w:rsidRPr="00180178">
        <w:t>о</w:t>
      </w:r>
      <w:r w:rsidR="00180178" w:rsidRPr="00180178">
        <w:t>ваний и осуществления деятельности по поиску проп</w:t>
      </w:r>
      <w:r>
        <w:t>авших без вести лиц; ii) </w:t>
      </w:r>
      <w:r w:rsidR="00180178" w:rsidRPr="00180178">
        <w:t>проводили всеобъемлющие расследования на месте в целях повышения э</w:t>
      </w:r>
      <w:r w:rsidR="00180178" w:rsidRPr="00180178">
        <w:t>ф</w:t>
      </w:r>
      <w:r w:rsidR="00180178" w:rsidRPr="00180178">
        <w:t>фективности поиска, не ограничиваясь запросами в различные органы и и</w:t>
      </w:r>
      <w:r w:rsidR="00180178" w:rsidRPr="00180178">
        <w:t>н</w:t>
      </w:r>
      <w:r w:rsidR="00180178" w:rsidRPr="00180178">
        <w:t>формацией и</w:t>
      </w:r>
      <w:r w:rsidR="00D93F33">
        <w:t>з архивов государства-участника;</w:t>
      </w:r>
    </w:p>
    <w:p w:rsidR="00180178" w:rsidRPr="00180178" w:rsidRDefault="00180178" w:rsidP="008D2C81">
      <w:pPr>
        <w:pStyle w:val="SingleTxtGR"/>
      </w:pPr>
      <w:r w:rsidRPr="00180178">
        <w:tab/>
        <w:t>e)</w:t>
      </w:r>
      <w:r w:rsidRPr="00180178">
        <w:tab/>
        <w:t>сложностями в использовании имеющихся доказательств: авторы подавляющего большинства зарегистрированных просьб о принятии срочных мер выразили свое разочарование по поводу того, что власти не делают ничего для того, чтобы обеспечить использование и подробный анализ имеющихся д</w:t>
      </w:r>
      <w:r w:rsidRPr="00180178">
        <w:t>о</w:t>
      </w:r>
      <w:r w:rsidRPr="00180178">
        <w:t>казательств. Так, например, анализ телефонных звонков или электронных п</w:t>
      </w:r>
      <w:r w:rsidRPr="00180178">
        <w:t>и</w:t>
      </w:r>
      <w:r w:rsidRPr="00180178">
        <w:t>сем проводится редко или не проводится вообще; места, в которых, как предп</w:t>
      </w:r>
      <w:r w:rsidRPr="00180178">
        <w:t>о</w:t>
      </w:r>
      <w:r w:rsidRPr="00180178">
        <w:t>лагается, можно найти какие-либо доказательства, осматриваются лишь ч</w:t>
      </w:r>
      <w:r w:rsidRPr="00180178">
        <w:t>а</w:t>
      </w:r>
      <w:r w:rsidRPr="00180178">
        <w:t>стично; не проводится анализ найденных останков; а некоторые органы власти отказываются проводить допрос свидетелей, указанных родственниками или друзьями пропавших без вести лиц. В таких случаях Комитет анализирует имеющуюся информацию. После того как информация была проверена, Ком</w:t>
      </w:r>
      <w:r w:rsidRPr="00180178">
        <w:t>и</w:t>
      </w:r>
      <w:r w:rsidRPr="00180178">
        <w:t>тет рассматривает соответствующие вопросы, вызывающие обеспокоенность, и предлагает органам, занимающимся поиском и проведением расследований, д</w:t>
      </w:r>
      <w:r w:rsidRPr="00180178">
        <w:t>о</w:t>
      </w:r>
      <w:r w:rsidRPr="00180178">
        <w:t>вести до конца соответ</w:t>
      </w:r>
      <w:r w:rsidR="00D93F33">
        <w:t>ствующие следственные действия.</w:t>
      </w:r>
    </w:p>
    <w:p w:rsidR="00180178" w:rsidRPr="00180178" w:rsidRDefault="00180178" w:rsidP="00775E42">
      <w:pPr>
        <w:pStyle w:val="SingleTxtGR"/>
      </w:pPr>
      <w:r w:rsidRPr="00180178">
        <w:t>27.</w:t>
      </w:r>
      <w:r w:rsidRPr="00180178">
        <w:tab/>
        <w:t>Проведение расследований некомпетентными органами: авторы часто выражают обеспокоенность в связи с тем, что расследование случаев насил</w:t>
      </w:r>
      <w:r w:rsidRPr="00180178">
        <w:t>ь</w:t>
      </w:r>
      <w:r w:rsidR="00D93F33">
        <w:t>ственного исчезновения</w:t>
      </w:r>
      <w:r w:rsidRPr="00180178">
        <w:t xml:space="preserve"> проводится не компетентными в этой сфере органами. В качестве примера можно упомянуть случаи, когда такие расследования пр</w:t>
      </w:r>
      <w:r w:rsidRPr="00180178">
        <w:t>о</w:t>
      </w:r>
      <w:r w:rsidRPr="00180178">
        <w:t>водились подразделениями, занимающимися организованной прес</w:t>
      </w:r>
      <w:r w:rsidR="008D2C81">
        <w:t>тупностью. В </w:t>
      </w:r>
      <w:r w:rsidRPr="00180178">
        <w:t>таких случаях Комитет просит государство-участник объяснить, почему ра</w:t>
      </w:r>
      <w:r w:rsidRPr="00180178">
        <w:t>с</w:t>
      </w:r>
      <w:r w:rsidRPr="00180178">
        <w:t>следование было поручено именно этим органам, и сообщить, препятствует ли это проведению расследования случаев насильственного исчезновения, которые входят в компетенцию других органов, и могут ли эти органы проводит</w:t>
      </w:r>
      <w:r w:rsidR="00D93F33">
        <w:t>ь</w:t>
      </w:r>
      <w:r w:rsidRPr="00180178">
        <w:t xml:space="preserve"> пара</w:t>
      </w:r>
      <w:r w:rsidRPr="00180178">
        <w:t>л</w:t>
      </w:r>
      <w:r w:rsidRPr="00180178">
        <w:t>лельный анализ фактов, указывающих на возможное насильственное исчезн</w:t>
      </w:r>
      <w:r w:rsidRPr="00180178">
        <w:t>о</w:t>
      </w:r>
      <w:r w:rsidRPr="00180178">
        <w:t>вение, как оно определено в Конвенции.</w:t>
      </w:r>
    </w:p>
    <w:p w:rsidR="00180178" w:rsidRPr="00180178" w:rsidRDefault="00180178" w:rsidP="00D93F33">
      <w:pPr>
        <w:pStyle w:val="SingleTxtGR"/>
        <w:spacing w:line="234" w:lineRule="atLeast"/>
      </w:pPr>
      <w:r w:rsidRPr="00180178">
        <w:t>28.</w:t>
      </w:r>
      <w:r w:rsidRPr="00180178">
        <w:tab/>
        <w:t>Отсутствие межведомственной координации: почти во всех зарегистр</w:t>
      </w:r>
      <w:r w:rsidRPr="00180178">
        <w:t>и</w:t>
      </w:r>
      <w:r w:rsidRPr="00180178">
        <w:t>рованных просьбах о принятии срочных мер авторы выражают свою обеспок</w:t>
      </w:r>
      <w:r w:rsidRPr="00180178">
        <w:t>о</w:t>
      </w:r>
      <w:r w:rsidRPr="00180178">
        <w:t>енность в связи с отсутствием согласованности действий различных ведомств, рассматривающих одно и то же дело. В федеративных государствах наблюдае</w:t>
      </w:r>
      <w:r w:rsidRPr="00180178">
        <w:t>т</w:t>
      </w:r>
      <w:r w:rsidRPr="00180178">
        <w:t>ся также отсутствие взаимодействия между органами власти на региональном и федеральном уровне, что напрямую сказывается на эффективности поиска и проведении расследований. В этих случаях Комитет напоминает государствам-участникам о необходимости обеспечения межведомственной координации между всеми органами, участвующими в поиске и проведении расследований.</w:t>
      </w:r>
    </w:p>
    <w:p w:rsidR="00180178" w:rsidRPr="00180178" w:rsidRDefault="00180178" w:rsidP="00D93F33">
      <w:pPr>
        <w:pStyle w:val="SingleTxtGR"/>
        <w:spacing w:line="234" w:lineRule="atLeast"/>
      </w:pPr>
      <w:r w:rsidRPr="00180178">
        <w:t>29.</w:t>
      </w:r>
      <w:r w:rsidRPr="00180178">
        <w:tab/>
        <w:t>Роль органов военной юстиции: авторы просьб о принятии срочных мер по делам, в которых в качестве возможных виновных или жертв участвуют представители военной власти, систематически выражают свою обеспокое</w:t>
      </w:r>
      <w:r w:rsidRPr="00180178">
        <w:t>н</w:t>
      </w:r>
      <w:r w:rsidRPr="00180178">
        <w:t>ность в связи с участием органов военной юстиции в проведении расследов</w:t>
      </w:r>
      <w:r w:rsidRPr="00180178">
        <w:t>а</w:t>
      </w:r>
      <w:r w:rsidRPr="00180178">
        <w:t>ний по таким делам. В таких случаях Комитет напоминает государству-участнику о его обязанности принять необходимые меры для того, чтобы гара</w:t>
      </w:r>
      <w:r w:rsidRPr="00180178">
        <w:t>н</w:t>
      </w:r>
      <w:r w:rsidRPr="00180178">
        <w:t>тировать рассмотрение таких дел судами общей юрисдикции. В тех случаях, к</w:t>
      </w:r>
      <w:r w:rsidRPr="00180178">
        <w:t>о</w:t>
      </w:r>
      <w:r w:rsidRPr="00180178">
        <w:t>гда это представляется необходимым, он также просит государство-участник обеспечить сотрудничество военных властей с гражданскими органами, кот</w:t>
      </w:r>
      <w:r w:rsidRPr="00180178">
        <w:t>о</w:t>
      </w:r>
      <w:r w:rsidRPr="00180178">
        <w:t>рые должны заниматься расследованием и его координацией. Это уточнение основывается на необходимости предотвращения ситуации, в которой под предлогом запрета на вмешательство военных последние не могут оказывать помощь или делиться имеющейся у них информацией.</w:t>
      </w:r>
    </w:p>
    <w:p w:rsidR="00180178" w:rsidRPr="00180178" w:rsidRDefault="00180178" w:rsidP="00D93F33">
      <w:pPr>
        <w:pStyle w:val="SingleTxtGR"/>
        <w:spacing w:line="234" w:lineRule="atLeast"/>
      </w:pPr>
      <w:r w:rsidRPr="00180178">
        <w:t>30.</w:t>
      </w:r>
      <w:r w:rsidRPr="00180178">
        <w:tab/>
        <w:t>Необходимость укрепления межгосударственной правовой помощи в п</w:t>
      </w:r>
      <w:r w:rsidRPr="00180178">
        <w:t>о</w:t>
      </w:r>
      <w:r w:rsidRPr="00180178">
        <w:t>иске исчезнувших лиц: в десяти просьбах о принятии срочных мер, в которых утверждается, что лицо пропало без вести не в той стране, в которой его видели в последний раз, авторы выражают свою обеспокоенность в связи с трудност</w:t>
      </w:r>
      <w:r w:rsidRPr="00180178">
        <w:t>я</w:t>
      </w:r>
      <w:r w:rsidRPr="00180178">
        <w:t>ми, возникающими при взаимодействии с затрагиваемыми государствами. В т</w:t>
      </w:r>
      <w:r w:rsidRPr="00180178">
        <w:t>а</w:t>
      </w:r>
      <w:r w:rsidRPr="00180178">
        <w:t>ких случаях Комитет просит государство-участник активизировать оказание н</w:t>
      </w:r>
      <w:r w:rsidRPr="00180178">
        <w:t>е</w:t>
      </w:r>
      <w:r w:rsidRPr="00180178">
        <w:t>обходимой межгосударственной правовой помощи в соотве</w:t>
      </w:r>
      <w:r w:rsidR="00D93F33">
        <w:t>тствии со статьей 14 Конвенции.</w:t>
      </w:r>
    </w:p>
    <w:p w:rsidR="00180178" w:rsidRPr="00180178" w:rsidRDefault="00180178" w:rsidP="00D93F33">
      <w:pPr>
        <w:pStyle w:val="SingleTxtGR"/>
        <w:spacing w:line="234" w:lineRule="atLeast"/>
      </w:pPr>
      <w:r w:rsidRPr="00180178">
        <w:t>31.</w:t>
      </w:r>
      <w:r w:rsidRPr="00180178">
        <w:tab/>
        <w:t>Отсутствие доступа родственников и друзей пропавших без вести лиц</w:t>
      </w:r>
      <w:r>
        <w:t xml:space="preserve"> </w:t>
      </w:r>
      <w:r w:rsidRPr="00180178">
        <w:t xml:space="preserve">к </w:t>
      </w:r>
      <w:r w:rsidR="008D2C81">
        <w:t>информации о</w:t>
      </w:r>
      <w:r w:rsidRPr="00180178">
        <w:t xml:space="preserve"> ходе поиска и невозможность участвовать в нем: авторы практ</w:t>
      </w:r>
      <w:r w:rsidRPr="00180178">
        <w:t>и</w:t>
      </w:r>
      <w:r w:rsidRPr="00180178">
        <w:t>чески всех просьб о принятии срочных мер отметили сложности, с которыми родственники и друзья исчезнувших лиц сталкиваются при попытке получения доступа к информации о ходе расследования насильственного исчезновения и поиска исчезнувшего лица, а также при попыт</w:t>
      </w:r>
      <w:r w:rsidR="008D2C81">
        <w:t>ках принять участие в поиске. В </w:t>
      </w:r>
      <w:r w:rsidRPr="00180178">
        <w:t xml:space="preserve">таких случаях Комитет напоминает государству-участнику о его договорных </w:t>
      </w:r>
      <w:r w:rsidR="00D93F33">
        <w:t>обязательствах по статьям 12 и 2</w:t>
      </w:r>
      <w:r w:rsidRPr="00180178">
        <w:t>4 Конвенции: a) гарантировать доступ ро</w:t>
      </w:r>
      <w:r w:rsidRPr="00180178">
        <w:t>д</w:t>
      </w:r>
      <w:r w:rsidRPr="00180178">
        <w:t>ственников и друзей исчезнувшего лица к регулярной информации о ходе пои</w:t>
      </w:r>
      <w:r w:rsidRPr="00180178">
        <w:t>с</w:t>
      </w:r>
      <w:r w:rsidRPr="00180178">
        <w:t>ка и проведения расследований и достигнутых результатах, включая совещания с властями, занимающимися рассмотрением дела, в тех случаях, когда это цел</w:t>
      </w:r>
      <w:r w:rsidRPr="00180178">
        <w:t>е</w:t>
      </w:r>
      <w:r w:rsidRPr="00180178">
        <w:t>сообразно; и b) обеспечить и поощрять их активное участие в процессе поиска.</w:t>
      </w:r>
    </w:p>
    <w:p w:rsidR="00180178" w:rsidRPr="00180178" w:rsidRDefault="00180178" w:rsidP="00D93F33">
      <w:pPr>
        <w:pStyle w:val="SingleTxtGR"/>
        <w:spacing w:line="234" w:lineRule="atLeast"/>
      </w:pPr>
      <w:r w:rsidRPr="00180178">
        <w:t>32.</w:t>
      </w:r>
      <w:r w:rsidRPr="00180178">
        <w:tab/>
        <w:t>Просьба о принятии временных мер: авторы большинства просьб о пр</w:t>
      </w:r>
      <w:r w:rsidRPr="00180178">
        <w:t>и</w:t>
      </w:r>
      <w:r w:rsidRPr="00180178">
        <w:t>нятии срочных мер просят принять временные меры для защиты родственников и друзей исчезнувших лиц от получаемых ими угроз и обеспечить их информ</w:t>
      </w:r>
      <w:r w:rsidRPr="00180178">
        <w:t>и</w:t>
      </w:r>
      <w:r w:rsidRPr="00180178">
        <w:t>рованность о ходе поиска и установления местонахождения таких лиц. В п</w:t>
      </w:r>
      <w:r w:rsidRPr="00180178">
        <w:t>о</w:t>
      </w:r>
      <w:r w:rsidRPr="00180178">
        <w:t>давляющем большинстве случаев на родственников и друзей оказывается сер</w:t>
      </w:r>
      <w:r w:rsidRPr="00180178">
        <w:t>ь</w:t>
      </w:r>
      <w:r w:rsidR="00D93F33">
        <w:t>езное давление, зачастую –</w:t>
      </w:r>
      <w:r w:rsidRPr="00180178">
        <w:t xml:space="preserve"> непосредственно со стороны государственных орг</w:t>
      </w:r>
      <w:r w:rsidRPr="00180178">
        <w:t>а</w:t>
      </w:r>
      <w:r w:rsidRPr="00180178">
        <w:t>нов, которые, возможно, причастны к исчезновению. В этой связи отмечаются ночные обходы или слежка за их домами, телефонные звонки или электронные письма с угрозами, оказание давления на несовершеннолетних детей и прямые угрозы, направленные на то, чтобы они не сообщали о случившемся или пр</w:t>
      </w:r>
      <w:r w:rsidRPr="00180178">
        <w:t>е</w:t>
      </w:r>
      <w:r w:rsidRPr="00180178">
        <w:t>кратили свою деятельность по поиску исчезнувшего лица. В некоторых случаях авторы также сообщают о физическом насилии в отношении их представителей или о смерти тех, кто напрямую участвовал в поиске исчезнувших лиц. Запр</w:t>
      </w:r>
      <w:r w:rsidRPr="00180178">
        <w:t>а</w:t>
      </w:r>
      <w:r w:rsidRPr="00180178">
        <w:t>шиваемые временные меры защиты предоставляются в том случае, если пре</w:t>
      </w:r>
      <w:r w:rsidRPr="00180178">
        <w:t>д</w:t>
      </w:r>
      <w:r w:rsidRPr="00180178">
        <w:t>ставленная информация свидетельствует о том, что отдельные лица сталкив</w:t>
      </w:r>
      <w:r w:rsidRPr="00180178">
        <w:t>а</w:t>
      </w:r>
      <w:r w:rsidRPr="00180178">
        <w:t>ются с угрозой причинения непоправимого ущерба их жизни или физической и психической неприкосновенности. Во всех случаях перед принятием каких-либо мер защиты затрагиваемое государство просят принять во внимание п</w:t>
      </w:r>
      <w:r w:rsidRPr="00180178">
        <w:t>о</w:t>
      </w:r>
      <w:r w:rsidRPr="00180178">
        <w:t>требности и мнение нуждающегося в защите лица.</w:t>
      </w:r>
    </w:p>
    <w:p w:rsidR="00180178" w:rsidRPr="00180178" w:rsidRDefault="00180178" w:rsidP="008D2C81">
      <w:pPr>
        <w:pStyle w:val="H1GR"/>
      </w:pPr>
      <w:r w:rsidRPr="00180178">
        <w:tab/>
        <w:t>F.</w:t>
      </w:r>
      <w:r w:rsidRPr="00180178">
        <w:tab/>
        <w:t>Приостановление, прекращение или продолжение рассмотрени</w:t>
      </w:r>
      <w:r w:rsidR="00620599">
        <w:t>я просьб о принятии срочных мер</w:t>
      </w:r>
      <w:r w:rsidR="00620599">
        <w:br/>
      </w:r>
      <w:r w:rsidRPr="00180178">
        <w:t>по защите лиц, в отношении которых были приняты временные меры</w:t>
      </w:r>
    </w:p>
    <w:p w:rsidR="00180178" w:rsidRPr="00180178" w:rsidRDefault="00180178" w:rsidP="00775E42">
      <w:pPr>
        <w:pStyle w:val="SingleTxtGR"/>
      </w:pPr>
      <w:r w:rsidRPr="00180178">
        <w:t>33.</w:t>
      </w:r>
      <w:r w:rsidRPr="00180178">
        <w:tab/>
        <w:t>В соответствии с критериями, принятыми на пленарном заседании Ком</w:t>
      </w:r>
      <w:r w:rsidRPr="00180178">
        <w:t>и</w:t>
      </w:r>
      <w:r w:rsidRPr="00180178">
        <w:t>тета в ходе его восьмой сессии:</w:t>
      </w:r>
    </w:p>
    <w:p w:rsidR="00180178" w:rsidRPr="00180178" w:rsidRDefault="00180178" w:rsidP="00D147D4">
      <w:pPr>
        <w:pStyle w:val="SingleTxtGR"/>
      </w:pPr>
      <w:r w:rsidRPr="00180178">
        <w:tab/>
        <w:t>a)</w:t>
      </w:r>
      <w:r w:rsidRPr="00180178">
        <w:tab/>
        <w:t>рассмотрение просьбы о принятии срочных мер приостанавливае</w:t>
      </w:r>
      <w:r w:rsidRPr="00180178">
        <w:t>т</w:t>
      </w:r>
      <w:r w:rsidRPr="00180178">
        <w:t>ся, когда исчезнувшее лицо обнаруживается, но пока остается под стражей. Причиной этого является повышенная опасность вновь подвергнуться исчезн</w:t>
      </w:r>
      <w:r w:rsidRPr="00180178">
        <w:t>о</w:t>
      </w:r>
      <w:r w:rsidRPr="00180178">
        <w:t>вению и оказать</w:t>
      </w:r>
      <w:r w:rsidR="00D93F33">
        <w:t>ся вне защиты со стороны закона;</w:t>
      </w:r>
    </w:p>
    <w:p w:rsidR="00180178" w:rsidRPr="00180178" w:rsidRDefault="00180178" w:rsidP="00775E42">
      <w:pPr>
        <w:pStyle w:val="SingleTxtGR"/>
      </w:pPr>
      <w:r w:rsidRPr="00180178">
        <w:tab/>
        <w:t>b)</w:t>
      </w:r>
      <w:r w:rsidRPr="00180178">
        <w:tab/>
        <w:t>рассмотрение просьбы о принятии срочных мер прекращается, к</w:t>
      </w:r>
      <w:r w:rsidRPr="00180178">
        <w:t>о</w:t>
      </w:r>
      <w:r w:rsidRPr="00180178">
        <w:t>гда исчезнувшее лицо обнаруживается на свободе, обнаруживается и затем освобожда</w:t>
      </w:r>
      <w:r w:rsidR="00D93F33">
        <w:t>ется или обнаруживается мертвым;</w:t>
      </w:r>
    </w:p>
    <w:p w:rsidR="00180178" w:rsidRPr="00180178" w:rsidRDefault="00180178" w:rsidP="00775E42">
      <w:pPr>
        <w:pStyle w:val="SingleTxtGR"/>
      </w:pPr>
      <w:r w:rsidRPr="00180178">
        <w:tab/>
        <w:t>c)</w:t>
      </w:r>
      <w:r w:rsidRPr="00180178">
        <w:tab/>
        <w:t>просьба о принятии срочных мер остается в стадии рассмотрения, когда исчезнувшее лицо обнаруживается, но лица, в отношении которых было рекомендовано принять временные меры защиты в контексте срочных мер, по-прежнему находятся под угрозой. В этих случаях вмешательство Комитета ограничивается содействием осуществлению принятых временных мер.</w:t>
      </w:r>
    </w:p>
    <w:p w:rsidR="00180178" w:rsidRPr="00180178" w:rsidRDefault="00180178" w:rsidP="00D147D4">
      <w:pPr>
        <w:pStyle w:val="SingleTxtGR"/>
      </w:pPr>
      <w:r w:rsidRPr="00180178">
        <w:t>34.</w:t>
      </w:r>
      <w:r w:rsidRPr="00180178">
        <w:tab/>
        <w:t xml:space="preserve">После одиннадцатой сессии Комитет прекратил рассмотрение шести просьб о принятии срочных мер, в которых жертвы были обнаружены живыми: пять из них касаются Мексики и одна </w:t>
      </w:r>
      <w:r w:rsidR="00D147D4">
        <w:t>–</w:t>
      </w:r>
      <w:r w:rsidRPr="00180178">
        <w:t xml:space="preserve"> Ирака. Таким образом, на момент по</w:t>
      </w:r>
      <w:r w:rsidRPr="00180178">
        <w:t>д</w:t>
      </w:r>
      <w:r w:rsidRPr="00180178">
        <w:t xml:space="preserve">готовки настоящего доклада, было приостановлено или прекращено принятие срочных мер по 13 просьбам: </w:t>
      </w:r>
      <w:r w:rsidR="00D147D4">
        <w:t>3</w:t>
      </w:r>
      <w:r w:rsidRPr="00180178">
        <w:t xml:space="preserve"> из них были приостановлены (исчезнувшее л</w:t>
      </w:r>
      <w:r w:rsidRPr="00180178">
        <w:t>и</w:t>
      </w:r>
      <w:r w:rsidRPr="00180178">
        <w:t xml:space="preserve">цо было обнаружено, но оставалось под стражей), а </w:t>
      </w:r>
      <w:r w:rsidR="00D147D4">
        <w:t>10 –</w:t>
      </w:r>
      <w:r w:rsidRPr="00180178">
        <w:t xml:space="preserve"> прекращены (исче</w:t>
      </w:r>
      <w:r w:rsidRPr="00180178">
        <w:t>з</w:t>
      </w:r>
      <w:r w:rsidRPr="00180178">
        <w:t>нувшие лица были обнаружены живыми и освобождены (</w:t>
      </w:r>
      <w:r w:rsidR="00D147D4">
        <w:t>8</w:t>
      </w:r>
      <w:r w:rsidRPr="00180178">
        <w:t xml:space="preserve"> случаев) или были обнаружены мертвыми (</w:t>
      </w:r>
      <w:r w:rsidR="00D147D4">
        <w:t>2</w:t>
      </w:r>
      <w:r w:rsidR="00D93F33">
        <w:t xml:space="preserve"> случая)).</w:t>
      </w:r>
    </w:p>
    <w:p w:rsidR="00381C24" w:rsidRDefault="00180178" w:rsidP="00775E42">
      <w:pPr>
        <w:pStyle w:val="SingleTxtGR"/>
      </w:pPr>
      <w:r w:rsidRPr="00180178">
        <w:t>35.</w:t>
      </w:r>
      <w:r w:rsidRPr="00180178">
        <w:tab/>
        <w:t>Комитет посчитал необходимым продолжить рассмотрение трех просьб о принятии срочных мер после обнаружения исчезнувшего лица, поскольку лица, в отношении которых было рекомендовано принять временные меры защиты, по-прежнему находятся под угрозой.</w:t>
      </w:r>
    </w:p>
    <w:p w:rsidR="00D147D4" w:rsidRPr="00D147D4" w:rsidRDefault="00D147D4" w:rsidP="00D147D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7D4" w:rsidRPr="00D147D4" w:rsidSect="00421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2" w:rsidRPr="00A312BC" w:rsidRDefault="00775E42" w:rsidP="00A312BC"/>
  </w:endnote>
  <w:endnote w:type="continuationSeparator" w:id="0">
    <w:p w:rsidR="00775E42" w:rsidRPr="00A312BC" w:rsidRDefault="00775E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2" w:rsidRPr="00421F05" w:rsidRDefault="00775E42">
    <w:pPr>
      <w:pStyle w:val="a8"/>
    </w:pPr>
    <w:r w:rsidRPr="00421F05">
      <w:rPr>
        <w:b/>
        <w:sz w:val="18"/>
      </w:rPr>
      <w:fldChar w:fldCharType="begin"/>
    </w:r>
    <w:r w:rsidRPr="00421F05">
      <w:rPr>
        <w:b/>
        <w:sz w:val="18"/>
      </w:rPr>
      <w:instrText xml:space="preserve"> PAGE  \* MERGEFORMAT </w:instrText>
    </w:r>
    <w:r w:rsidRPr="00421F05">
      <w:rPr>
        <w:b/>
        <w:sz w:val="18"/>
      </w:rPr>
      <w:fldChar w:fldCharType="separate"/>
    </w:r>
    <w:r w:rsidR="00633EE3">
      <w:rPr>
        <w:b/>
        <w:noProof/>
        <w:sz w:val="18"/>
      </w:rPr>
      <w:t>2</w:t>
    </w:r>
    <w:r w:rsidRPr="00421F05">
      <w:rPr>
        <w:b/>
        <w:sz w:val="18"/>
      </w:rPr>
      <w:fldChar w:fldCharType="end"/>
    </w:r>
    <w:r>
      <w:rPr>
        <w:b/>
        <w:sz w:val="18"/>
      </w:rPr>
      <w:tab/>
    </w:r>
    <w:r>
      <w:t>GE.17-05576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2" w:rsidRPr="00421F05" w:rsidRDefault="00775E42" w:rsidP="00421F05">
    <w:pPr>
      <w:pStyle w:val="a8"/>
      <w:tabs>
        <w:tab w:val="clear" w:pos="9639"/>
        <w:tab w:val="right" w:pos="9638"/>
      </w:tabs>
      <w:rPr>
        <w:b/>
        <w:sz w:val="18"/>
      </w:rPr>
    </w:pPr>
    <w:r>
      <w:t>GE.17-05576</w:t>
    </w:r>
    <w:r>
      <w:tab/>
    </w:r>
    <w:r w:rsidRPr="00421F05">
      <w:rPr>
        <w:b/>
        <w:sz w:val="18"/>
      </w:rPr>
      <w:fldChar w:fldCharType="begin"/>
    </w:r>
    <w:r w:rsidRPr="00421F05">
      <w:rPr>
        <w:b/>
        <w:sz w:val="18"/>
      </w:rPr>
      <w:instrText xml:space="preserve"> PAGE  \* MERGEFORMAT </w:instrText>
    </w:r>
    <w:r w:rsidRPr="00421F05">
      <w:rPr>
        <w:b/>
        <w:sz w:val="18"/>
      </w:rPr>
      <w:fldChar w:fldCharType="separate"/>
    </w:r>
    <w:r w:rsidR="00633EE3">
      <w:rPr>
        <w:b/>
        <w:noProof/>
        <w:sz w:val="18"/>
      </w:rPr>
      <w:t>9</w:t>
    </w:r>
    <w:r w:rsidRPr="00421F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2" w:rsidRPr="00421F05" w:rsidRDefault="00775E42" w:rsidP="00421F05">
    <w:pPr>
      <w:spacing w:before="120" w:line="240" w:lineRule="auto"/>
      <w:rPr>
        <w:lang w:val="en-US"/>
      </w:rPr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0A5F6ED" wp14:editId="49FE8F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17-05576  (R)</w:t>
    </w:r>
    <w:r w:rsidR="0034021E">
      <w:rPr>
        <w:lang w:val="en-US"/>
      </w:rPr>
      <w:t xml:space="preserve">  110517  </w:t>
    </w:r>
    <w:r w:rsidR="00C832AC">
      <w:rPr>
        <w:lang w:val="en-US"/>
      </w:rPr>
      <w:t>11</w:t>
    </w:r>
    <w:r>
      <w:rPr>
        <w:lang w:val="en-US"/>
      </w:rPr>
      <w:t>0517</w:t>
    </w:r>
    <w:r>
      <w:br/>
    </w:r>
    <w:r w:rsidRPr="00421F05">
      <w:rPr>
        <w:rFonts w:ascii="C39T30Lfz" w:hAnsi="C39T30Lfz"/>
        <w:spacing w:val="0"/>
        <w:w w:val="100"/>
        <w:sz w:val="56"/>
      </w:rPr>
      <w:t></w:t>
    </w:r>
    <w:r w:rsidRPr="00421F05">
      <w:rPr>
        <w:rFonts w:ascii="C39T30Lfz" w:hAnsi="C39T30Lfz"/>
        <w:spacing w:val="0"/>
        <w:w w:val="100"/>
        <w:sz w:val="56"/>
      </w:rPr>
      <w:t></w:t>
    </w:r>
    <w:r w:rsidRPr="00421F05">
      <w:rPr>
        <w:rFonts w:ascii="C39T30Lfz" w:hAnsi="C39T30Lfz"/>
        <w:spacing w:val="0"/>
        <w:w w:val="100"/>
        <w:sz w:val="56"/>
      </w:rPr>
      <w:t></w:t>
    </w:r>
    <w:r w:rsidRPr="00421F05">
      <w:rPr>
        <w:rFonts w:ascii="C39T30Lfz" w:hAnsi="C39T30Lfz"/>
        <w:spacing w:val="0"/>
        <w:w w:val="100"/>
        <w:sz w:val="56"/>
      </w:rPr>
      <w:t></w:t>
    </w:r>
    <w:r w:rsidRPr="00421F05">
      <w:rPr>
        <w:rFonts w:ascii="C39T30Lfz" w:hAnsi="C39T30Lfz"/>
        <w:spacing w:val="0"/>
        <w:w w:val="100"/>
        <w:sz w:val="56"/>
      </w:rPr>
      <w:t></w:t>
    </w:r>
    <w:r w:rsidRPr="00421F05">
      <w:rPr>
        <w:rFonts w:ascii="C39T30Lfz" w:hAnsi="C39T30Lfz"/>
        <w:spacing w:val="0"/>
        <w:w w:val="100"/>
        <w:sz w:val="56"/>
      </w:rPr>
      <w:t></w:t>
    </w:r>
    <w:r w:rsidRPr="00421F05">
      <w:rPr>
        <w:rFonts w:ascii="C39T30Lfz" w:hAnsi="C39T30Lfz"/>
        <w:spacing w:val="0"/>
        <w:w w:val="100"/>
        <w:sz w:val="56"/>
      </w:rPr>
      <w:t></w:t>
    </w:r>
    <w:r w:rsidRPr="00421F05">
      <w:rPr>
        <w:rFonts w:ascii="C39T30Lfz" w:hAnsi="C39T30Lfz"/>
        <w:spacing w:val="0"/>
        <w:w w:val="100"/>
        <w:sz w:val="56"/>
      </w:rPr>
      <w:t></w:t>
    </w:r>
    <w:r w:rsidRPr="00421F0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12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12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2" w:rsidRPr="001075E9" w:rsidRDefault="00775E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5E42" w:rsidRDefault="00775E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5E42" w:rsidRPr="00C832AC" w:rsidRDefault="00775E42" w:rsidP="00C832AC">
      <w:pPr>
        <w:pStyle w:val="ad"/>
        <w:spacing w:after="120"/>
        <w:rPr>
          <w:lang w:val="ru-RU"/>
        </w:rPr>
      </w:pPr>
      <w:r>
        <w:tab/>
      </w:r>
      <w:r w:rsidRPr="00CC6A53">
        <w:rPr>
          <w:szCs w:val="18"/>
          <w:lang w:val="ru-RU"/>
        </w:rPr>
        <w:t>*</w:t>
      </w:r>
      <w:r w:rsidRPr="00C832AC">
        <w:rPr>
          <w:lang w:val="ru-RU"/>
        </w:rPr>
        <w:tab/>
        <w:t>Принят Комитетом на его двенадцатой сессии (6–</w:t>
      </w:r>
      <w:r w:rsidR="00C832AC" w:rsidRPr="00C832AC">
        <w:rPr>
          <w:lang w:val="ru-RU"/>
        </w:rPr>
        <w:t>1</w:t>
      </w:r>
      <w:r w:rsidRPr="00C832AC">
        <w:rPr>
          <w:lang w:val="ru-RU"/>
        </w:rPr>
        <w:t>7 марта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2" w:rsidRPr="00421F05" w:rsidRDefault="00633EE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CED/C/12/2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2" w:rsidRPr="00421F05" w:rsidRDefault="00633EE3" w:rsidP="00421F0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CED/C/12/2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1E" w:rsidRDefault="0034021E" w:rsidP="00317F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D2264"/>
    <w:multiLevelType w:val="hybridMultilevel"/>
    <w:tmpl w:val="499C51A6"/>
    <w:lvl w:ilvl="0" w:tplc="ADAE57DE">
      <w:start w:val="1"/>
      <w:numFmt w:val="lowerRoman"/>
      <w:lvlText w:val="%1)"/>
      <w:lvlJc w:val="left"/>
      <w:pPr>
        <w:ind w:left="12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3D20CBE"/>
    <w:multiLevelType w:val="hybridMultilevel"/>
    <w:tmpl w:val="B6685956"/>
    <w:lvl w:ilvl="0" w:tplc="85EAC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6D"/>
    <w:rsid w:val="00033EE1"/>
    <w:rsid w:val="00042B72"/>
    <w:rsid w:val="00046E2F"/>
    <w:rsid w:val="00052360"/>
    <w:rsid w:val="000558BD"/>
    <w:rsid w:val="000B57E7"/>
    <w:rsid w:val="000B6373"/>
    <w:rsid w:val="000F09DF"/>
    <w:rsid w:val="000F61B2"/>
    <w:rsid w:val="001075E9"/>
    <w:rsid w:val="00180178"/>
    <w:rsid w:val="00180183"/>
    <w:rsid w:val="0018024D"/>
    <w:rsid w:val="0018649F"/>
    <w:rsid w:val="001875D9"/>
    <w:rsid w:val="00196389"/>
    <w:rsid w:val="001B3EF6"/>
    <w:rsid w:val="001C7A89"/>
    <w:rsid w:val="00206F9C"/>
    <w:rsid w:val="00215F21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FF6"/>
    <w:rsid w:val="00322004"/>
    <w:rsid w:val="0034021E"/>
    <w:rsid w:val="003402C2"/>
    <w:rsid w:val="00381C24"/>
    <w:rsid w:val="003958D0"/>
    <w:rsid w:val="003B00E5"/>
    <w:rsid w:val="003B68A5"/>
    <w:rsid w:val="00407B78"/>
    <w:rsid w:val="00421F05"/>
    <w:rsid w:val="00424203"/>
    <w:rsid w:val="00452493"/>
    <w:rsid w:val="00454E07"/>
    <w:rsid w:val="004562D1"/>
    <w:rsid w:val="00472C5C"/>
    <w:rsid w:val="00475A37"/>
    <w:rsid w:val="004E4CB3"/>
    <w:rsid w:val="004F21B5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620599"/>
    <w:rsid w:val="00633EE3"/>
    <w:rsid w:val="00642C6D"/>
    <w:rsid w:val="00681A10"/>
    <w:rsid w:val="006A1ED8"/>
    <w:rsid w:val="006C2031"/>
    <w:rsid w:val="006D461A"/>
    <w:rsid w:val="006F35EE"/>
    <w:rsid w:val="007021FF"/>
    <w:rsid w:val="00712895"/>
    <w:rsid w:val="00757357"/>
    <w:rsid w:val="00775E42"/>
    <w:rsid w:val="00825F8D"/>
    <w:rsid w:val="00834B71"/>
    <w:rsid w:val="0086445C"/>
    <w:rsid w:val="00877609"/>
    <w:rsid w:val="00894693"/>
    <w:rsid w:val="008A08D7"/>
    <w:rsid w:val="008A09B2"/>
    <w:rsid w:val="008B6909"/>
    <w:rsid w:val="008D2C81"/>
    <w:rsid w:val="00906890"/>
    <w:rsid w:val="009109F2"/>
    <w:rsid w:val="00911BE4"/>
    <w:rsid w:val="00942A43"/>
    <w:rsid w:val="00951972"/>
    <w:rsid w:val="009608F3"/>
    <w:rsid w:val="009A24AC"/>
    <w:rsid w:val="00A14DA8"/>
    <w:rsid w:val="00A312BC"/>
    <w:rsid w:val="00A6117A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C18B2"/>
    <w:rsid w:val="00BD33EE"/>
    <w:rsid w:val="00C106D6"/>
    <w:rsid w:val="00C60F0C"/>
    <w:rsid w:val="00C66311"/>
    <w:rsid w:val="00C805C9"/>
    <w:rsid w:val="00C832AC"/>
    <w:rsid w:val="00C92939"/>
    <w:rsid w:val="00CA1679"/>
    <w:rsid w:val="00CB151C"/>
    <w:rsid w:val="00CB1693"/>
    <w:rsid w:val="00CC6A53"/>
    <w:rsid w:val="00CD6195"/>
    <w:rsid w:val="00CE5A1A"/>
    <w:rsid w:val="00CF55F6"/>
    <w:rsid w:val="00D147D4"/>
    <w:rsid w:val="00D33D63"/>
    <w:rsid w:val="00D36B65"/>
    <w:rsid w:val="00D55C9D"/>
    <w:rsid w:val="00D90028"/>
    <w:rsid w:val="00D90138"/>
    <w:rsid w:val="00D93F33"/>
    <w:rsid w:val="00DB0902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rsid w:val="00180178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sid w:val="00180178"/>
    <w:rPr>
      <w:rFonts w:eastAsiaTheme="minorHAnsi" w:cstheme="minorBidi"/>
      <w:spacing w:val="4"/>
      <w:w w:val="103"/>
      <w:kern w:val="14"/>
      <w:lang w:val="ru-RU" w:eastAsia="en-US"/>
    </w:rPr>
  </w:style>
  <w:style w:type="paragraph" w:styleId="af5">
    <w:name w:val="Normal (Web)"/>
    <w:basedOn w:val="a"/>
    <w:uiPriority w:val="99"/>
    <w:rsid w:val="00180178"/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character" w:styleId="af6">
    <w:name w:val="annotation reference"/>
    <w:uiPriority w:val="99"/>
    <w:rsid w:val="001801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rsid w:val="00180178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sid w:val="00180178"/>
    <w:rPr>
      <w:rFonts w:eastAsiaTheme="minorHAnsi" w:cstheme="minorBidi"/>
      <w:spacing w:val="4"/>
      <w:w w:val="103"/>
      <w:kern w:val="14"/>
      <w:lang w:val="ru-RU" w:eastAsia="en-US"/>
    </w:rPr>
  </w:style>
  <w:style w:type="paragraph" w:styleId="af5">
    <w:name w:val="Normal (Web)"/>
    <w:basedOn w:val="a"/>
    <w:uiPriority w:val="99"/>
    <w:rsid w:val="00180178"/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character" w:styleId="af6">
    <w:name w:val="annotation reference"/>
    <w:uiPriority w:val="99"/>
    <w:rsid w:val="00180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0</TotalTime>
  <Pages>10</Pages>
  <Words>4097</Words>
  <Characters>26965</Characters>
  <Application>Microsoft Office Word</Application>
  <DocSecurity>0</DocSecurity>
  <Lines>561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CED/C/12/2</vt:lpstr>
      <vt:lpstr>A/</vt:lpstr>
    </vt:vector>
  </TitlesOfParts>
  <Company>DCM</Company>
  <LinksUpToDate>false</LinksUpToDate>
  <CharactersWithSpaces>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CED/C/12/2</dc:title>
  <dc:subject/>
  <dc:creator>Ekaterina SALYNSKAYA</dc:creator>
  <cp:keywords/>
  <cp:lastModifiedBy>Kisseleva</cp:lastModifiedBy>
  <cp:revision>3</cp:revision>
  <cp:lastPrinted>2017-05-11T15:37:00Z</cp:lastPrinted>
  <dcterms:created xsi:type="dcterms:W3CDTF">2017-05-11T15:37:00Z</dcterms:created>
  <dcterms:modified xsi:type="dcterms:W3CDTF">2017-05-11T15:37:00Z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