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98598D" w:rsidTr="0098598D">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98598D" w:rsidRDefault="0098598D" w:rsidP="0098598D">
            <w:pPr>
              <w:jc w:val="right"/>
              <w:rPr>
                <w:lang w:val="en-GB"/>
              </w:rPr>
            </w:pPr>
            <w:r w:rsidRPr="0098598D">
              <w:rPr>
                <w:sz w:val="40"/>
                <w:lang w:val="en-GB"/>
              </w:rPr>
              <w:t>CERD</w:t>
            </w:r>
            <w:r w:rsidRPr="0098598D">
              <w:rPr>
                <w:lang w:val="en-GB"/>
              </w:rPr>
              <w:t>/C/AUS/CO/15-17/Add.1</w:t>
            </w:r>
          </w:p>
        </w:tc>
      </w:tr>
      <w:tr w:rsidR="002D5AAC" w:rsidTr="0098598D">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98598D" w:rsidRDefault="0098598D" w:rsidP="00B778C8">
            <w:pPr>
              <w:spacing w:before="240"/>
            </w:pPr>
            <w:r>
              <w:t>Distr. general</w:t>
            </w:r>
          </w:p>
          <w:p w:rsidR="0098598D" w:rsidRDefault="0098598D" w:rsidP="0098598D">
            <w:pPr>
              <w:spacing w:line="240" w:lineRule="exact"/>
            </w:pPr>
            <w:r>
              <w:t>4 de octubre de 2011</w:t>
            </w:r>
          </w:p>
          <w:p w:rsidR="0098598D" w:rsidRDefault="0098598D" w:rsidP="0098598D">
            <w:pPr>
              <w:spacing w:line="240" w:lineRule="exact"/>
            </w:pPr>
            <w:r>
              <w:t>Español</w:t>
            </w:r>
          </w:p>
          <w:p w:rsidR="002D5AAC" w:rsidRDefault="0098598D" w:rsidP="0098598D">
            <w:pPr>
              <w:spacing w:line="240" w:lineRule="exact"/>
            </w:pPr>
            <w:r>
              <w:t>Original: inglés</w:t>
            </w:r>
          </w:p>
        </w:tc>
      </w:tr>
    </w:tbl>
    <w:p w:rsidR="0098598D" w:rsidRPr="00825DD2" w:rsidRDefault="0098598D" w:rsidP="0098598D">
      <w:pPr>
        <w:spacing w:before="120"/>
        <w:rPr>
          <w:b/>
          <w:sz w:val="24"/>
          <w:szCs w:val="24"/>
        </w:rPr>
      </w:pPr>
      <w:r w:rsidRPr="00825DD2">
        <w:rPr>
          <w:b/>
          <w:sz w:val="24"/>
          <w:szCs w:val="24"/>
        </w:rPr>
        <w:t>Comité para la Eliminación de la Discriminación Racial</w:t>
      </w:r>
    </w:p>
    <w:p w:rsidR="0098598D" w:rsidRPr="002530A8" w:rsidRDefault="0098598D" w:rsidP="0098598D">
      <w:r w:rsidRPr="002530A8">
        <w:rPr>
          <w:b/>
        </w:rPr>
        <w:t>80º período de sesiones</w:t>
      </w:r>
      <w:r>
        <w:rPr>
          <w:b/>
        </w:rPr>
        <w:br/>
      </w:r>
      <w:r>
        <w:t>13 de febrero a 9 de marzo de 2012</w:t>
      </w:r>
    </w:p>
    <w:p w:rsidR="0098598D" w:rsidRPr="002530A8" w:rsidRDefault="0098598D" w:rsidP="0098598D">
      <w:pPr>
        <w:pStyle w:val="HChG"/>
      </w:pPr>
      <w:r>
        <w:tab/>
      </w:r>
      <w:r>
        <w:tab/>
      </w:r>
      <w:r w:rsidRPr="002530A8">
        <w:t>Examen de los informes presentados por los Estados</w:t>
      </w:r>
      <w:r>
        <w:br/>
      </w:r>
      <w:r w:rsidRPr="002530A8">
        <w:t xml:space="preserve">partes </w:t>
      </w:r>
      <w:r>
        <w:t xml:space="preserve">de conformidad con el </w:t>
      </w:r>
      <w:r w:rsidRPr="002530A8">
        <w:t>artículo 9 de la Convención</w:t>
      </w:r>
    </w:p>
    <w:p w:rsidR="0098598D" w:rsidRDefault="0098598D" w:rsidP="0098598D">
      <w:pPr>
        <w:pStyle w:val="H1G"/>
      </w:pPr>
      <w:r>
        <w:tab/>
      </w:r>
      <w:r>
        <w:tab/>
        <w:t>Observ</w:t>
      </w:r>
      <w:r w:rsidRPr="002530A8">
        <w:t>aciones finales del Comité para la Eliminación</w:t>
      </w:r>
      <w:r>
        <w:t xml:space="preserve"> </w:t>
      </w:r>
      <w:r w:rsidRPr="002530A8">
        <w:t>de la Discriminación Racial</w:t>
      </w:r>
      <w:r>
        <w:t>: Australia</w:t>
      </w:r>
    </w:p>
    <w:p w:rsidR="0098598D" w:rsidRDefault="0098598D" w:rsidP="0098598D">
      <w:pPr>
        <w:pStyle w:val="H23G"/>
      </w:pPr>
      <w:r>
        <w:tab/>
      </w:r>
      <w:r>
        <w:tab/>
        <w:t>Adición</w:t>
      </w:r>
    </w:p>
    <w:p w:rsidR="0098598D" w:rsidRDefault="0098598D" w:rsidP="0098598D">
      <w:pPr>
        <w:pStyle w:val="H1G"/>
        <w:spacing w:after="480"/>
      </w:pPr>
      <w:r>
        <w:tab/>
      </w:r>
      <w:r>
        <w:tab/>
        <w:t>Información recibida del Gobierno de Australia sobre la aplicación</w:t>
      </w:r>
      <w:r>
        <w:br/>
        <w:t>de las observaciones finales</w:t>
      </w:r>
      <w:r w:rsidRPr="00F335F9">
        <w:rPr>
          <w:rStyle w:val="FootnoteReference"/>
          <w:b w:val="0"/>
          <w:sz w:val="20"/>
          <w:vertAlign w:val="baseline"/>
        </w:rPr>
        <w:footnoteReference w:customMarkFollows="1" w:id="1"/>
        <w:t>*</w:t>
      </w:r>
    </w:p>
    <w:p w:rsidR="0098598D" w:rsidRDefault="0098598D" w:rsidP="0098598D">
      <w:pPr>
        <w:jc w:val="right"/>
      </w:pPr>
      <w:r>
        <w:t>[29 de agosto de 2011]</w:t>
      </w:r>
    </w:p>
    <w:p w:rsidR="0098598D" w:rsidRDefault="0098598D" w:rsidP="0098598D">
      <w:pPr>
        <w:pStyle w:val="H1G"/>
      </w:pPr>
      <w:r>
        <w:tab/>
      </w:r>
      <w:r>
        <w:tab/>
        <w:t>Respuesta a las recomendaciones que figuran en el párrafo 11 de</w:t>
      </w:r>
      <w:r>
        <w:br/>
        <w:t>las observaciones finales</w:t>
      </w:r>
    </w:p>
    <w:p w:rsidR="0098598D" w:rsidRDefault="0098598D" w:rsidP="0098598D">
      <w:pPr>
        <w:pStyle w:val="H23G"/>
      </w:pPr>
      <w:r>
        <w:tab/>
      </w:r>
      <w:r>
        <w:tab/>
        <w:t>Facultades y funciones de la Comisión de Derechos Humanos de Australia</w:t>
      </w:r>
    </w:p>
    <w:p w:rsidR="0098598D" w:rsidRDefault="0098598D" w:rsidP="0098598D">
      <w:pPr>
        <w:pStyle w:val="SingleTxtG"/>
      </w:pPr>
      <w:r>
        <w:t>1.</w:t>
      </w:r>
      <w:r>
        <w:tab/>
        <w:t>La Comisión de Derechos Humanos de Australia (AHRC) es un órgano legal independiente que responde a los criterios sobre las instituciones independientes de derechos humanos establecidos en los Principios de París. La AHRC tiene la acreditación en la categoría "A" ante el Subcomité de Acreditación del Comité Internacional de Coordinación.</w:t>
      </w:r>
    </w:p>
    <w:p w:rsidR="0098598D" w:rsidRDefault="0098598D" w:rsidP="0098598D">
      <w:pPr>
        <w:pStyle w:val="SingleTxtG"/>
      </w:pPr>
      <w:r>
        <w:t>2.</w:t>
      </w:r>
      <w:r>
        <w:tab/>
        <w:t>Entre las funciones de la Comisión de Derechos Humanos figuran: la educación y sensibilización, la investigación y conciliación de las denuncias sobre discriminación ilegal, la realización de investigaciones a nivel nacional y la preparación de informes sobre las principales cuestiones de interés en relación con los derechos humanos. La Comisión también asesora al Gobierno sobre las leyes en vigor o propuestas y su compatibilidad con las normas de derechos humanos reconocidas por Australia.</w:t>
      </w:r>
    </w:p>
    <w:p w:rsidR="0098598D" w:rsidRDefault="0098598D" w:rsidP="0098598D">
      <w:pPr>
        <w:pStyle w:val="SingleTxtG"/>
      </w:pPr>
      <w:r>
        <w:t>3.</w:t>
      </w:r>
      <w:r>
        <w:tab/>
        <w:t>En el marco del proyecto de consolidación de las leyes del Commonwealth/Australia destinadas a combatir la discriminación se revisará el procedimiento para la tramitación de las denuncias y el papel y las funciones correspondientes de la AHRC.</w:t>
      </w:r>
    </w:p>
    <w:p w:rsidR="0098598D" w:rsidRDefault="0098598D" w:rsidP="0098598D">
      <w:pPr>
        <w:pStyle w:val="SingleTxtG"/>
      </w:pPr>
      <w:r>
        <w:t>4.</w:t>
      </w:r>
      <w:r>
        <w:tab/>
        <w:t>El Gobierno de Australia reconoce el valioso papel que desempeña la AHRC para promover y proteger los derechos humanos en Australia. El Gobierno coopera con la AHRC para fortalecer la capacidad en materia de derechos humanos en Australia y en el extranjero.</w:t>
      </w:r>
    </w:p>
    <w:p w:rsidR="0098598D" w:rsidRDefault="0098598D" w:rsidP="0098598D">
      <w:pPr>
        <w:pStyle w:val="SingleTxtG"/>
      </w:pPr>
      <w:r>
        <w:t>5.</w:t>
      </w:r>
      <w:r>
        <w:tab/>
        <w:t>A título de ejemplo, como parte del Marco de Derechos Humanos de Australia, la AHRC:</w:t>
      </w:r>
    </w:p>
    <w:p w:rsidR="0098598D" w:rsidRDefault="0098598D" w:rsidP="0098598D">
      <w:pPr>
        <w:pStyle w:val="SingleTxtG"/>
      </w:pPr>
      <w:r>
        <w:tab/>
        <w:t>a)</w:t>
      </w:r>
      <w:r>
        <w:tab/>
        <w:t>Contribuye al desarrollo de nuevo material para la enseñanza de derechos humanos y a la evaluación de la estrategia del Programa de enseñanza de los derechos humanos en el sector público;</w:t>
      </w:r>
    </w:p>
    <w:p w:rsidR="0098598D" w:rsidRDefault="0098598D" w:rsidP="0098598D">
      <w:pPr>
        <w:pStyle w:val="SingleTxtG"/>
      </w:pPr>
      <w:r>
        <w:tab/>
        <w:t>b)</w:t>
      </w:r>
      <w:r>
        <w:tab/>
        <w:t>Ofrece asesoramiento sobre el objetivo de los subsidios en relación con el Programa de subsidios de Australia para la enseñanza en el Marco de Derechos Humanos.</w:t>
      </w:r>
    </w:p>
    <w:p w:rsidR="0098598D" w:rsidRDefault="0098598D" w:rsidP="0098598D">
      <w:pPr>
        <w:pStyle w:val="SingleTxtG"/>
      </w:pPr>
      <w:r>
        <w:t>6.</w:t>
      </w:r>
      <w:r>
        <w:tab/>
        <w:t>El Gobierno también coopera con la AHRC, con el Foro de Instituciones Nacionales de Derechos Humanos de Asia y el Pacífico, con otros gobiernos, con la sociedad civil y con las organizaciones gubernamentales regionales para establecer y fortalecer la capacidad de las instituciones nacionales de derechos humanos en la región. En octubre de 2010, el Gobierno se comprometió a ampliar su cooperación con la AHRC a fin de fortalecer la capacidad de la Comisión Intergubernamental de Derechos Humanos de la Asociación de Naciones de Asia Sudoriental.</w:t>
      </w:r>
    </w:p>
    <w:p w:rsidR="0098598D" w:rsidRDefault="0098598D" w:rsidP="0098598D">
      <w:pPr>
        <w:pStyle w:val="H23G"/>
      </w:pPr>
      <w:r>
        <w:tab/>
      </w:r>
      <w:r>
        <w:tab/>
        <w:t>Financiación</w:t>
      </w:r>
    </w:p>
    <w:p w:rsidR="0098598D" w:rsidRDefault="0098598D" w:rsidP="0098598D">
      <w:pPr>
        <w:pStyle w:val="SingleTxtG"/>
      </w:pPr>
      <w:r>
        <w:t>7.</w:t>
      </w:r>
      <w:r>
        <w:tab/>
        <w:t>El Gobierno es consciente de las preocupaciones planteadas por la AHRC con respecto a su nivel de financiación.</w:t>
      </w:r>
    </w:p>
    <w:p w:rsidR="0098598D" w:rsidRDefault="0098598D" w:rsidP="0098598D">
      <w:pPr>
        <w:pStyle w:val="SingleTxtG"/>
      </w:pPr>
      <w:r>
        <w:t>8.</w:t>
      </w:r>
      <w:r>
        <w:tab/>
        <w:t>Para el ejercicio económico de 2011/12, la AHRC recibió 16,49 millones de dólares australianos en concepto de créditos y tiene, como promedio, una plantilla de 118 funcionarios a tiempo completo en cualquier momento dado.</w:t>
      </w:r>
    </w:p>
    <w:p w:rsidR="0098598D" w:rsidRDefault="0098598D" w:rsidP="0098598D">
      <w:pPr>
        <w:pStyle w:val="SingleTxtG"/>
      </w:pPr>
      <w:r>
        <w:t>9.</w:t>
      </w:r>
      <w:r>
        <w:tab/>
        <w:t>El Marco de Derechos Humanos de Australia, establecido en abril de 2010, ha facilitado nuevos fondos a la AHRC, por valor de 6,6 millones de dólares australianos, para el período de 2010 a 2014, con el fin de ampliar su función de enseñanza de los derechos humanos y mejorar su capacidad para responder a las consultas y actuar como mediadora en las denuncias.</w:t>
      </w:r>
    </w:p>
    <w:p w:rsidR="0098598D" w:rsidRDefault="0098598D" w:rsidP="0098598D">
      <w:pPr>
        <w:pStyle w:val="SingleTxtG"/>
      </w:pPr>
      <w:r>
        <w:t>10.</w:t>
      </w:r>
      <w:r>
        <w:tab/>
        <w:t>La AHRC también ha recibido nuevos fondos por valor de 4,3 millones de dólares australianos, durante un período de cuatro años para proseguir su lucha contra la marginación y exclusión de los estudiantes internacionales, los jóvenes y las mujeres de comunidades nuevas y emergentes (por ejemplo, comunidades africanas).</w:t>
      </w:r>
    </w:p>
    <w:p w:rsidR="0098598D" w:rsidRDefault="0098598D" w:rsidP="0098598D">
      <w:pPr>
        <w:pStyle w:val="SingleTxtG"/>
      </w:pPr>
      <w:r>
        <w:t>11.</w:t>
      </w:r>
      <w:r>
        <w:tab/>
        <w:t>El Gobierno facilitará también 5,7 millones de dólares australianos, durante un período de cuatro años, en concepto de nuevos fondos para la AHRC, con el fin de:</w:t>
      </w:r>
    </w:p>
    <w:p w:rsidR="0098598D" w:rsidRDefault="0098598D" w:rsidP="0098598D">
      <w:pPr>
        <w:pStyle w:val="SingleTxtG"/>
      </w:pPr>
      <w:r>
        <w:tab/>
        <w:t>a)</w:t>
      </w:r>
      <w:r>
        <w:tab/>
        <w:t>Restablecer la autonomía de los comisionados para combatir la discriminación por motivos de raza y discapacidad; y</w:t>
      </w:r>
    </w:p>
    <w:p w:rsidR="0098598D" w:rsidRDefault="0098598D" w:rsidP="0098598D">
      <w:pPr>
        <w:pStyle w:val="SingleTxtG"/>
      </w:pPr>
      <w:r>
        <w:tab/>
        <w:t>b)</w:t>
      </w:r>
      <w:r>
        <w:tab/>
        <w:t>Financiar la labor de la primera Comisionada autónoma para combatir la discriminación por razón de edad, Susan Ryan AO, así como un equipo de apoyo en el AHRC.</w:t>
      </w:r>
    </w:p>
    <w:p w:rsidR="0098598D" w:rsidRDefault="0098598D" w:rsidP="0098598D">
      <w:pPr>
        <w:pStyle w:val="SingleTxtG"/>
      </w:pPr>
      <w:r>
        <w:t>12.</w:t>
      </w:r>
      <w:r>
        <w:tab/>
        <w:t>El Gobierno de Australia continuará facilitando la debida financiación a la AHRC.</w:t>
      </w:r>
    </w:p>
    <w:p w:rsidR="0098598D" w:rsidRDefault="0098598D" w:rsidP="0098598D">
      <w:pPr>
        <w:pStyle w:val="H23G"/>
      </w:pPr>
      <w:r>
        <w:tab/>
      </w:r>
      <w:r>
        <w:tab/>
        <w:t>Comisionada para combatir la discriminación racial</w:t>
      </w:r>
    </w:p>
    <w:p w:rsidR="0098598D" w:rsidRDefault="0098598D" w:rsidP="0098598D">
      <w:pPr>
        <w:pStyle w:val="SingleTxtG"/>
      </w:pPr>
      <w:r>
        <w:t>13.</w:t>
      </w:r>
      <w:r>
        <w:tab/>
        <w:t>El 29 de julio de 2011, el Gobierno de Australia designó a la Dra. Helen Szoke como Comisionada autónoma para combatir la discriminación racial. La Dra. Szoke asumirá su cargo el 5 de septiembre de 2011.</w:t>
      </w:r>
    </w:p>
    <w:p w:rsidR="0098598D" w:rsidRPr="00146E07" w:rsidRDefault="0098598D" w:rsidP="0098598D">
      <w:pPr>
        <w:pStyle w:val="SingleTxtG"/>
      </w:pPr>
      <w:r>
        <w:t>14.</w:t>
      </w:r>
      <w:r>
        <w:tab/>
        <w:t>Como Comisionada para combatir la discriminación racial, la Dra. Szoke cooperará con los miembros de la comunidad, los funcionarios y el Gobierno para luchar contra el racismo y la intolerancia, promover la igualdad racial y la diversidad cultural, y hablar en nombre de todos aquellos que han sufrido discriminación.</w:t>
      </w:r>
    </w:p>
    <w:p w:rsidR="0098598D" w:rsidRPr="00AC24A2" w:rsidRDefault="0098598D" w:rsidP="0098598D">
      <w:pPr>
        <w:pStyle w:val="SingleTxtG"/>
      </w:pPr>
      <w:r w:rsidRPr="00AC24A2">
        <w:t>15.</w:t>
      </w:r>
      <w:r w:rsidRPr="00AC24A2">
        <w:tab/>
        <w:t>El Sr. Graeme Innes seguirá desempeñando la función de Comisionado para combatir la discriminación racial hasta que la Dra. Szoke empiece a trabajar con la AHRC. El nombramiento de la Dra. Szoke permitirá al Sr. Innes centrar su atención en las cuestiones que afectan a los australianos con discapacidades.</w:t>
      </w:r>
    </w:p>
    <w:p w:rsidR="0098598D" w:rsidRPr="00AC24A2" w:rsidRDefault="0098598D" w:rsidP="0098598D">
      <w:pPr>
        <w:pStyle w:val="H1G"/>
      </w:pPr>
      <w:r>
        <w:tab/>
      </w:r>
      <w:r>
        <w:tab/>
      </w:r>
      <w:r w:rsidRPr="00AC24A2">
        <w:t>Respuesta a las recomendaciones que figuran en el párrafo 16 de</w:t>
      </w:r>
      <w:r>
        <w:br/>
      </w:r>
      <w:r w:rsidRPr="00AC24A2">
        <w:t>las observaciones finales</w:t>
      </w:r>
    </w:p>
    <w:p w:rsidR="0098598D" w:rsidRPr="00AC24A2" w:rsidRDefault="0098598D" w:rsidP="0098598D">
      <w:pPr>
        <w:pStyle w:val="SingleTxtG"/>
      </w:pPr>
      <w:r w:rsidRPr="00AC24A2">
        <w:t>16.</w:t>
      </w:r>
      <w:r w:rsidRPr="00AC24A2">
        <w:tab/>
        <w:t xml:space="preserve">El Gobierno de Australia ha </w:t>
      </w:r>
      <w:r>
        <w:t>restablecido</w:t>
      </w:r>
      <w:r w:rsidRPr="00AC24A2">
        <w:t xml:space="preserve"> plenamente los derechos y </w:t>
      </w:r>
      <w:r>
        <w:t>garantías de la población conforme a</w:t>
      </w:r>
      <w:r w:rsidRPr="00AC24A2">
        <w:t xml:space="preserve"> la Ley de </w:t>
      </w:r>
      <w:r>
        <w:t xml:space="preserve">lucha contra la </w:t>
      </w:r>
      <w:r w:rsidRPr="00AC24A2">
        <w:t xml:space="preserve">discriminación racial (RDA) de 1975 </w:t>
      </w:r>
      <w:r>
        <w:t>en relación con la</w:t>
      </w:r>
      <w:r w:rsidRPr="00AC24A2">
        <w:t xml:space="preserve"> Respuesta de Emergencia en el Territorio del Norte (NTER). De acuerdo con la le</w:t>
      </w:r>
      <w:r>
        <w:t>y</w:t>
      </w:r>
      <w:r w:rsidRPr="00AC24A2">
        <w:t xml:space="preserve"> aprobada por el Parlamento el 21 de junio de 2010, se eliminaron todas las disposiciones de la </w:t>
      </w:r>
      <w:r>
        <w:t>Respuesta de Emergencia</w:t>
      </w:r>
      <w:r w:rsidRPr="00AC24A2">
        <w:t xml:space="preserve"> que suspendían la aplicación de la Ley de </w:t>
      </w:r>
      <w:r>
        <w:t xml:space="preserve">lucha contra la </w:t>
      </w:r>
      <w:r w:rsidRPr="00AC24A2">
        <w:t xml:space="preserve">discriminación racial. Además, se revocaron todas las disposiciones de la Respuesta de Emergencia en el Territorio del Norte que consideraban </w:t>
      </w:r>
      <w:r>
        <w:t>como medidas especiales determinadas medidas</w:t>
      </w:r>
      <w:r w:rsidRPr="00AC24A2">
        <w:t xml:space="preserve">, como la gestión de </w:t>
      </w:r>
      <w:r>
        <w:t xml:space="preserve">los </w:t>
      </w:r>
      <w:r w:rsidRPr="00AC24A2">
        <w:t>ingresos, los arrendamientos por cinco años</w:t>
      </w:r>
      <w:r>
        <w:t>,</w:t>
      </w:r>
      <w:r w:rsidRPr="00AC24A2">
        <w:t xml:space="preserve"> las restricciones sobre el consumo de alcohol y la pornografía. La revocación de estas disposiciones entró en vigor a partir del 31 de diciembre de 2010. </w:t>
      </w:r>
      <w:r>
        <w:t>Los afectados</w:t>
      </w:r>
      <w:r w:rsidRPr="00AC24A2">
        <w:t xml:space="preserve"> tienen ahora derecho a iniciar las acciones oportunas de conformidad con la Ley de </w:t>
      </w:r>
      <w:r>
        <w:t xml:space="preserve">lucha contra la </w:t>
      </w:r>
      <w:r w:rsidRPr="00AC24A2">
        <w:t xml:space="preserve">discriminación racial ante la Comisión de Derechos Humanos de Australia y </w:t>
      </w:r>
      <w:r>
        <w:t xml:space="preserve">ante </w:t>
      </w:r>
      <w:r w:rsidRPr="00AC24A2">
        <w:t xml:space="preserve">los tribunales. La Comisión de Derechos Humanos y los tribunales deberán considerar si ha </w:t>
      </w:r>
      <w:r>
        <w:t xml:space="preserve">infringido la </w:t>
      </w:r>
      <w:r w:rsidRPr="00AC24A2">
        <w:t xml:space="preserve">Ley de </w:t>
      </w:r>
      <w:r>
        <w:t xml:space="preserve">lucha contra la </w:t>
      </w:r>
      <w:r w:rsidRPr="00AC24A2">
        <w:t>discriminación racial.</w:t>
      </w:r>
    </w:p>
    <w:p w:rsidR="0098598D" w:rsidRPr="00AC24A2" w:rsidRDefault="0098598D" w:rsidP="0098598D">
      <w:pPr>
        <w:pStyle w:val="SingleTxtG"/>
      </w:pPr>
      <w:r w:rsidRPr="00AC24A2">
        <w:t>17.</w:t>
      </w:r>
      <w:r w:rsidRPr="00AC24A2">
        <w:tab/>
        <w:t xml:space="preserve">El 1º de julio de 2010, se estableció un nuevo </w:t>
      </w:r>
      <w:r>
        <w:t>sistema</w:t>
      </w:r>
      <w:r w:rsidRPr="00AC24A2">
        <w:t xml:space="preserve"> no discriminatorio </w:t>
      </w:r>
      <w:r>
        <w:t>para la</w:t>
      </w:r>
      <w:r w:rsidRPr="00AC24A2">
        <w:t xml:space="preserve"> gestión de </w:t>
      </w:r>
      <w:r>
        <w:t xml:space="preserve">los </w:t>
      </w:r>
      <w:r w:rsidRPr="00AC24A2">
        <w:t xml:space="preserve">ingresos. Este nuevo </w:t>
      </w:r>
      <w:r>
        <w:t>sistema</w:t>
      </w:r>
      <w:r w:rsidRPr="00AC24A2">
        <w:t xml:space="preserve"> de gestión de </w:t>
      </w:r>
      <w:r>
        <w:t xml:space="preserve">los </w:t>
      </w:r>
      <w:r w:rsidRPr="00AC24A2">
        <w:t xml:space="preserve">ingresos se ajusta a la Ley de </w:t>
      </w:r>
      <w:r>
        <w:t xml:space="preserve">lucha contra la </w:t>
      </w:r>
      <w:r w:rsidRPr="00AC24A2">
        <w:t xml:space="preserve">discriminación racial. Antes de </w:t>
      </w:r>
      <w:r>
        <w:t>adoptar</w:t>
      </w:r>
      <w:r w:rsidRPr="00AC24A2">
        <w:t xml:space="preserve"> las nuevas disposiciones, el Gobierno </w:t>
      </w:r>
      <w:r>
        <w:t>celebr</w:t>
      </w:r>
      <w:r w:rsidRPr="00AC24A2">
        <w:t>ó</w:t>
      </w:r>
      <w:r>
        <w:t xml:space="preserve"> extensas</w:t>
      </w:r>
      <w:r w:rsidRPr="00AC24A2">
        <w:t xml:space="preserve"> consultas con los pueblos indígenas en todo el Territorio del Norte (NT).</w:t>
      </w:r>
    </w:p>
    <w:p w:rsidR="0098598D" w:rsidRPr="00AC24A2" w:rsidRDefault="0098598D" w:rsidP="0098598D">
      <w:pPr>
        <w:pStyle w:val="SingleTxtG"/>
      </w:pPr>
      <w:r w:rsidRPr="00AC24A2">
        <w:t>18.</w:t>
      </w:r>
      <w:r w:rsidRPr="00AC24A2">
        <w:tab/>
        <w:t>El Gobierno de Australia firmó</w:t>
      </w:r>
      <w:r>
        <w:t>,</w:t>
      </w:r>
      <w:r w:rsidRPr="00AC24A2">
        <w:t xml:space="preserve"> en virtud de la nueva ley</w:t>
      </w:r>
      <w:r>
        <w:t>,</w:t>
      </w:r>
      <w:r w:rsidRPr="00AC24A2">
        <w:t xml:space="preserve"> </w:t>
      </w:r>
      <w:r>
        <w:t xml:space="preserve">contratos de </w:t>
      </w:r>
      <w:r w:rsidRPr="00AC24A2">
        <w:t>arrendamiento por cinco años en más de 64 comunidades</w:t>
      </w:r>
      <w:r>
        <w:t>,</w:t>
      </w:r>
      <w:r w:rsidRPr="00AC24A2">
        <w:t xml:space="preserve"> como parte de la </w:t>
      </w:r>
      <w:r>
        <w:t>Respuesta de Emergencia en el Territorio del Norte</w:t>
      </w:r>
      <w:r w:rsidRPr="00AC24A2">
        <w:t xml:space="preserve">, como medida provisional </w:t>
      </w:r>
      <w:r>
        <w:t>para</w:t>
      </w:r>
      <w:r w:rsidRPr="00AC24A2">
        <w:t xml:space="preserve"> garantizar los contratos de las instalaciones del Gobierno</w:t>
      </w:r>
      <w:r>
        <w:t>,</w:t>
      </w:r>
      <w:r w:rsidRPr="00AC24A2">
        <w:t xml:space="preserve"> la puesta en marcha de las reformas, la gestión de las tierras en propiedad y en arrendamiento</w:t>
      </w:r>
      <w:r>
        <w:t>,</w:t>
      </w:r>
      <w:r w:rsidRPr="00AC24A2">
        <w:t xml:space="preserve"> y la </w:t>
      </w:r>
      <w:r>
        <w:t>aplic</w:t>
      </w:r>
      <w:r w:rsidRPr="00AC24A2">
        <w:t xml:space="preserve">ación de los programas del Gobierno que dependen de la seguridad </w:t>
      </w:r>
      <w:r>
        <w:t>de los títulos sobre las</w:t>
      </w:r>
      <w:r w:rsidRPr="00AC24A2">
        <w:t xml:space="preserve"> tierras. Como resultado de los nuevos </w:t>
      </w:r>
      <w:r>
        <w:t xml:space="preserve">contratos de </w:t>
      </w:r>
      <w:r w:rsidRPr="00AC24A2">
        <w:t xml:space="preserve">arrendamiento ningún residente u ocupante </w:t>
      </w:r>
      <w:r>
        <w:t xml:space="preserve">fue expulsado </w:t>
      </w:r>
      <w:r w:rsidRPr="00AC24A2">
        <w:t>de las zonas arrendadas. El Gobierno de Australia se ha comprometido a pagar una renta justa a los propietarios de las tierras de las comunidades arrendadas por cinco años. L</w:t>
      </w:r>
      <w:r>
        <w:t>a cuantía de l</w:t>
      </w:r>
      <w:r w:rsidRPr="00AC24A2">
        <w:t xml:space="preserve">os pagos en concepto de renta </w:t>
      </w:r>
      <w:r>
        <w:t>la fijó</w:t>
      </w:r>
      <w:r w:rsidRPr="00AC24A2">
        <w:t xml:space="preserve"> el </w:t>
      </w:r>
      <w:r>
        <w:t>Tas</w:t>
      </w:r>
      <w:r w:rsidRPr="00AC24A2">
        <w:t>ador General del Territorio del Norte</w:t>
      </w:r>
      <w:r>
        <w:t>,</w:t>
      </w:r>
      <w:r w:rsidRPr="00AC24A2">
        <w:t xml:space="preserve"> y el Gobierno de Australia comenzó a pagar la renta estipulada de conformidad con las disposiciones de la Respuesta de Emergencia en el Territorio del Norte. El Gobierno de Australia ha venido cooperando con el Consejo de Tierras del Norte, el Consejo de Tierras del Centro y el Tasador General de</w:t>
      </w:r>
      <w:r>
        <w:t>l</w:t>
      </w:r>
      <w:r w:rsidRPr="00AC24A2">
        <w:t xml:space="preserve"> Territorio del Norte con el fin de abordar los problemas relacionados con la cuantía de las rentas.</w:t>
      </w:r>
    </w:p>
    <w:p w:rsidR="0098598D" w:rsidRPr="00AC24A2" w:rsidRDefault="0098598D" w:rsidP="0098598D">
      <w:pPr>
        <w:pStyle w:val="SingleTxtG"/>
      </w:pPr>
      <w:r w:rsidRPr="00AC24A2">
        <w:t>19.</w:t>
      </w:r>
      <w:r w:rsidRPr="00AC24A2">
        <w:tab/>
        <w:t xml:space="preserve">El Gobierno de Australia no prorrogará </w:t>
      </w:r>
      <w:r>
        <w:t>est</w:t>
      </w:r>
      <w:r w:rsidRPr="00AC24A2">
        <w:t xml:space="preserve">os </w:t>
      </w:r>
      <w:r>
        <w:t xml:space="preserve">contratos de </w:t>
      </w:r>
      <w:r w:rsidRPr="00AC24A2">
        <w:t>arrendamiento por cinco años una vez que expiren</w:t>
      </w:r>
      <w:r>
        <w:t>,</w:t>
      </w:r>
      <w:r w:rsidRPr="00AC24A2">
        <w:t xml:space="preserve"> en agosto de 2012 y está negociando con las comunidades otros </w:t>
      </w:r>
      <w:r>
        <w:t xml:space="preserve">contratos de </w:t>
      </w:r>
      <w:r w:rsidRPr="00AC24A2">
        <w:t>arrendamiento voluntarios a más largo plazo.</w:t>
      </w:r>
    </w:p>
    <w:p w:rsidR="0098598D" w:rsidRPr="00AC24A2" w:rsidRDefault="0098598D" w:rsidP="0098598D">
      <w:pPr>
        <w:pStyle w:val="SingleTxtG"/>
      </w:pPr>
      <w:r w:rsidRPr="00AC24A2">
        <w:t>20.</w:t>
      </w:r>
      <w:r w:rsidRPr="00AC24A2">
        <w:tab/>
        <w:t xml:space="preserve">Los </w:t>
      </w:r>
      <w:r>
        <w:t xml:space="preserve">contratos de </w:t>
      </w:r>
      <w:r w:rsidRPr="00AC24A2">
        <w:t xml:space="preserve">arrendamiento reconocen </w:t>
      </w:r>
      <w:r>
        <w:t>el</w:t>
      </w:r>
      <w:r w:rsidRPr="00AC24A2">
        <w:t xml:space="preserve"> derecho de los pueblos </w:t>
      </w:r>
      <w:r>
        <w:t>abor</w:t>
      </w:r>
      <w:r w:rsidRPr="00AC24A2">
        <w:t>ígen</w:t>
      </w:r>
      <w:r>
        <w:t>e</w:t>
      </w:r>
      <w:r w:rsidRPr="00AC24A2">
        <w:t>s</w:t>
      </w:r>
      <w:r>
        <w:t>,</w:t>
      </w:r>
      <w:r w:rsidRPr="00AC24A2">
        <w:t xml:space="preserve"> como propietarios de la tierra</w:t>
      </w:r>
      <w:r>
        <w:t>,</w:t>
      </w:r>
      <w:r w:rsidRPr="00AC24A2">
        <w:t xml:space="preserve"> a negociar acuerdos sobre un uso convenido de la tierra con los propietarios tradicionales antes de construir nuevas viviendas e infraestructuras en las tierras </w:t>
      </w:r>
      <w:r>
        <w:t>abor</w:t>
      </w:r>
      <w:r w:rsidRPr="00AC24A2">
        <w:t>ígen</w:t>
      </w:r>
      <w:r>
        <w:t>e</w:t>
      </w:r>
      <w:r w:rsidRPr="00AC24A2">
        <w:t xml:space="preserve">s. La propiedad de las tierras arrendadas sigue siendo de los propietarios </w:t>
      </w:r>
      <w:r>
        <w:t>abor</w:t>
      </w:r>
      <w:r w:rsidRPr="00AC24A2">
        <w:t>ígen</w:t>
      </w:r>
      <w:r>
        <w:t>e</w:t>
      </w:r>
      <w:r w:rsidRPr="00AC24A2">
        <w:t>s. La adopción de nuevas disposiciones sobre la tenencia de tierras que ofrezcan seguridad a los propietario</w:t>
      </w:r>
      <w:r>
        <w:t>s</w:t>
      </w:r>
      <w:r w:rsidRPr="00AC24A2">
        <w:t xml:space="preserve"> a los inversionistas y a los usuarios de las tierras, </w:t>
      </w:r>
      <w:r>
        <w:t>a través de</w:t>
      </w:r>
      <w:r w:rsidRPr="00AC24A2">
        <w:t xml:space="preserve"> mecanismos tales como los </w:t>
      </w:r>
      <w:r>
        <w:t xml:space="preserve">contratos de </w:t>
      </w:r>
      <w:r w:rsidRPr="00AC24A2">
        <w:t xml:space="preserve">arrendamiento voluntarios a largo plazo, es una medida esencial para reconocer la propiedad de los </w:t>
      </w:r>
      <w:r>
        <w:t>abor</w:t>
      </w:r>
      <w:r w:rsidRPr="00AC24A2">
        <w:t>ígen</w:t>
      </w:r>
      <w:r>
        <w:t>e</w:t>
      </w:r>
      <w:r w:rsidRPr="00AC24A2">
        <w:t xml:space="preserve">s y </w:t>
      </w:r>
      <w:r>
        <w:t xml:space="preserve">exigir responsabilidades a los usuarios de la tierra. </w:t>
      </w:r>
      <w:r w:rsidRPr="00AC24A2">
        <w:t xml:space="preserve">Por lo que respecta a las viviendas de las comunidades, los contratos de arrendamiento garantizan que la responsabilidad la </w:t>
      </w:r>
      <w:r>
        <w:t>a</w:t>
      </w:r>
      <w:r w:rsidRPr="00AC24A2">
        <w:t>sum</w:t>
      </w:r>
      <w:r>
        <w:t>a</w:t>
      </w:r>
      <w:r w:rsidRPr="00AC24A2">
        <w:t>n los gobiernos</w:t>
      </w:r>
      <w:r>
        <w:t>,</w:t>
      </w:r>
      <w:r w:rsidRPr="00AC24A2">
        <w:t xml:space="preserve"> más que los propietarios de la tierra, y que los gobiernos s</w:t>
      </w:r>
      <w:r>
        <w:t>ea</w:t>
      </w:r>
      <w:r w:rsidRPr="00AC24A2">
        <w:t xml:space="preserve">n responsables de respetar las normas </w:t>
      </w:r>
      <w:r>
        <w:t>sobre</w:t>
      </w:r>
      <w:r w:rsidRPr="00AC24A2">
        <w:t xml:space="preserve"> la construcción de las viviendas</w:t>
      </w:r>
      <w:r>
        <w:t>,</w:t>
      </w:r>
      <w:r w:rsidRPr="00AC24A2">
        <w:t xml:space="preserve"> así como de las reparaciones a largo plazo y de los programas de mantenimiento y de</w:t>
      </w:r>
      <w:r>
        <w:t xml:space="preserve"> </w:t>
      </w:r>
      <w:r w:rsidRPr="00AC24A2">
        <w:t>l</w:t>
      </w:r>
      <w:r>
        <w:t>os</w:t>
      </w:r>
      <w:r w:rsidRPr="00AC24A2">
        <w:t xml:space="preserve"> sistema</w:t>
      </w:r>
      <w:r>
        <w:t>s</w:t>
      </w:r>
      <w:r w:rsidRPr="00AC24A2">
        <w:t xml:space="preserve"> de gestión. Antes de que se introdujeran estos </w:t>
      </w:r>
      <w:r>
        <w:t xml:space="preserve">contratos de </w:t>
      </w:r>
      <w:r w:rsidRPr="00AC24A2">
        <w:t xml:space="preserve">arrendamiento la responsabilidad </w:t>
      </w:r>
      <w:r>
        <w:t>en cuanto al</w:t>
      </w:r>
      <w:r w:rsidRPr="00AC24A2">
        <w:t xml:space="preserve"> mantenimiento de las viviendas con frecuencia no estaba clara.</w:t>
      </w:r>
    </w:p>
    <w:p w:rsidR="0098598D" w:rsidRPr="00AC24A2" w:rsidRDefault="0098598D" w:rsidP="0098598D">
      <w:pPr>
        <w:pStyle w:val="SingleTxtG"/>
      </w:pPr>
      <w:r w:rsidRPr="00AC24A2">
        <w:t>21.</w:t>
      </w:r>
      <w:r w:rsidRPr="00AC24A2">
        <w:tab/>
        <w:t xml:space="preserve">Las inversiones comerciales en tierras </w:t>
      </w:r>
      <w:r>
        <w:t>de los abor</w:t>
      </w:r>
      <w:r w:rsidRPr="00AC24A2">
        <w:t>ígen</w:t>
      </w:r>
      <w:r>
        <w:t>e</w:t>
      </w:r>
      <w:r w:rsidRPr="00AC24A2">
        <w:t>s se ven obstaculizadas por el hecho de que en general se trata de tierras comunales no enajenables</w:t>
      </w:r>
      <w:r>
        <w:t>,</w:t>
      </w:r>
      <w:r w:rsidRPr="00AC24A2">
        <w:t xml:space="preserve"> lo que impide a los propietarios, </w:t>
      </w:r>
      <w:r>
        <w:t>a título individual o colectivo</w:t>
      </w:r>
      <w:r w:rsidRPr="00AC24A2">
        <w:t xml:space="preserve">, obtener créditos para </w:t>
      </w:r>
      <w:r>
        <w:t>actividades</w:t>
      </w:r>
      <w:r w:rsidRPr="00AC24A2">
        <w:t xml:space="preserve"> comerciales o para comprar las viviendas. Sin embargo, los </w:t>
      </w:r>
      <w:r>
        <w:t xml:space="preserve">contratos de </w:t>
      </w:r>
      <w:r w:rsidRPr="00AC24A2">
        <w:t>arrendamiento voluntarios a largo plazo permite</w:t>
      </w:r>
      <w:r>
        <w:t>n</w:t>
      </w:r>
      <w:r w:rsidRPr="00AC24A2">
        <w:t xml:space="preserve"> que los particulares tengan acceso a la propiedad de sus </w:t>
      </w:r>
      <w:r>
        <w:t>viviendas</w:t>
      </w:r>
      <w:r w:rsidRPr="00AC24A2">
        <w:t xml:space="preserve"> así como oportunidades comerciales en las tierras </w:t>
      </w:r>
      <w:r>
        <w:t>abor</w:t>
      </w:r>
      <w:r w:rsidRPr="00AC24A2">
        <w:t>ígen</w:t>
      </w:r>
      <w:r>
        <w:t>e</w:t>
      </w:r>
      <w:r w:rsidRPr="00AC24A2">
        <w:t>s al igual que en otras partes de Australia.</w:t>
      </w:r>
    </w:p>
    <w:p w:rsidR="0098598D" w:rsidRPr="00AC24A2" w:rsidRDefault="0098598D" w:rsidP="0098598D">
      <w:pPr>
        <w:pStyle w:val="SingleTxtG"/>
      </w:pPr>
      <w:r w:rsidRPr="00AC24A2">
        <w:t>22.</w:t>
      </w:r>
      <w:r w:rsidRPr="00AC24A2">
        <w:tab/>
        <w:t xml:space="preserve">El Gobierno de Australia ha comprometido fondos importantes para combatir las desigualdades sociales de los </w:t>
      </w:r>
      <w:r>
        <w:t>abor</w:t>
      </w:r>
      <w:r w:rsidRPr="00AC24A2">
        <w:t>ígen</w:t>
      </w:r>
      <w:r>
        <w:t>e</w:t>
      </w:r>
      <w:r w:rsidRPr="00AC24A2">
        <w:t xml:space="preserve">s en el Territorio del Norte, </w:t>
      </w:r>
      <w:r>
        <w:t>en particular</w:t>
      </w:r>
      <w:r w:rsidRPr="00AC24A2">
        <w:t xml:space="preserve"> 1.200 millones de dólares australianos en el marco de la </w:t>
      </w:r>
      <w:r>
        <w:t>Respuesta de Emergencia en el Territorio del Norte.</w:t>
      </w:r>
    </w:p>
    <w:p w:rsidR="0098598D" w:rsidRPr="00AC24A2" w:rsidRDefault="0098598D" w:rsidP="0098598D">
      <w:pPr>
        <w:pStyle w:val="SingleTxtG"/>
      </w:pPr>
      <w:r w:rsidRPr="00AC24A2">
        <w:t>23.</w:t>
      </w:r>
      <w:r w:rsidRPr="00AC24A2">
        <w:tab/>
        <w:t>A fines de 2010, estos fondos habían permitido, por ejemplo, financiar:</w:t>
      </w:r>
    </w:p>
    <w:p w:rsidR="0098598D" w:rsidRPr="00AC24A2" w:rsidRDefault="0098598D" w:rsidP="0098598D">
      <w:pPr>
        <w:pStyle w:val="Bullet1G"/>
      </w:pPr>
      <w:r w:rsidRPr="00AC24A2">
        <w:t>Más de 60 nuevos policías</w:t>
      </w:r>
      <w:r>
        <w:t>;</w:t>
      </w:r>
    </w:p>
    <w:p w:rsidR="0098598D" w:rsidRPr="00AC24A2" w:rsidRDefault="0098598D" w:rsidP="0098598D">
      <w:pPr>
        <w:pStyle w:val="Bullet1G"/>
      </w:pPr>
      <w:r w:rsidRPr="00AC24A2">
        <w:t xml:space="preserve">18 </w:t>
      </w:r>
      <w:r>
        <w:t>nuevas comisarías;</w:t>
      </w:r>
    </w:p>
    <w:p w:rsidR="0098598D" w:rsidRPr="00AC24A2" w:rsidRDefault="0098598D" w:rsidP="0098598D">
      <w:pPr>
        <w:pStyle w:val="Bullet1G"/>
      </w:pPr>
      <w:r w:rsidRPr="00AC24A2">
        <w:t>Llevar a cabo patrullas nocturnas en 80 comunidades</w:t>
      </w:r>
      <w:r>
        <w:t>;</w:t>
      </w:r>
    </w:p>
    <w:p w:rsidR="0098598D" w:rsidRPr="00AC24A2" w:rsidRDefault="0098598D" w:rsidP="0098598D">
      <w:pPr>
        <w:pStyle w:val="Bullet1G"/>
      </w:pPr>
      <w:r>
        <w:t xml:space="preserve">Crear </w:t>
      </w:r>
      <w:r w:rsidRPr="00AC24A2">
        <w:t>22 centros de acogida</w:t>
      </w:r>
      <w:r>
        <w:t>;</w:t>
      </w:r>
    </w:p>
    <w:p w:rsidR="0098598D" w:rsidRPr="00AC24A2" w:rsidRDefault="0098598D" w:rsidP="0098598D">
      <w:pPr>
        <w:pStyle w:val="Bullet1G"/>
      </w:pPr>
      <w:r>
        <w:t>Contratar 1</w:t>
      </w:r>
      <w:r w:rsidRPr="00AC24A2">
        <w:t>46 maestros más en escuelas del Territorio del Norte</w:t>
      </w:r>
      <w:r>
        <w:t>;</w:t>
      </w:r>
    </w:p>
    <w:p w:rsidR="0098598D" w:rsidRPr="00AC24A2" w:rsidRDefault="0098598D" w:rsidP="0098598D">
      <w:pPr>
        <w:pStyle w:val="Bullet1G"/>
      </w:pPr>
      <w:r w:rsidRPr="00AC24A2">
        <w:t>Suministrar más de 7.000 comidas escolares al día para niños en comunidades remotas</w:t>
      </w:r>
      <w:r>
        <w:t>;</w:t>
      </w:r>
    </w:p>
    <w:p w:rsidR="0098598D" w:rsidRPr="00AC24A2" w:rsidRDefault="0098598D" w:rsidP="0098598D">
      <w:pPr>
        <w:pStyle w:val="Bullet1G"/>
      </w:pPr>
      <w:r w:rsidRPr="00AC24A2">
        <w:t>Establecer 92 almacenes comunitarios mediante la concesión de licencias para suministrar una mayor variedad de alimentos sanos</w:t>
      </w:r>
      <w:r>
        <w:t>;</w:t>
      </w:r>
      <w:r w:rsidRPr="00AC24A2">
        <w:t xml:space="preserve"> y</w:t>
      </w:r>
    </w:p>
    <w:p w:rsidR="0098598D" w:rsidRPr="00AC24A2" w:rsidRDefault="0098598D" w:rsidP="0098598D">
      <w:pPr>
        <w:pStyle w:val="Bullet1G"/>
      </w:pPr>
      <w:r>
        <w:t>Adoptar u</w:t>
      </w:r>
      <w:r w:rsidRPr="00AC24A2">
        <w:t xml:space="preserve">n programa global para </w:t>
      </w:r>
      <w:r>
        <w:t>efectuar</w:t>
      </w:r>
      <w:r w:rsidRPr="00AC24A2">
        <w:t xml:space="preserve"> controles de salud de más de 10.600 niños y prestar más de 24.000 servicios especializados de seguimiento.</w:t>
      </w:r>
    </w:p>
    <w:p w:rsidR="0098598D" w:rsidRPr="00AC24A2" w:rsidRDefault="0098598D" w:rsidP="0098598D">
      <w:pPr>
        <w:pStyle w:val="SingleTxtG"/>
      </w:pPr>
      <w:r w:rsidRPr="00AC24A2">
        <w:t>24.</w:t>
      </w:r>
      <w:r w:rsidRPr="00AC24A2">
        <w:tab/>
      </w:r>
      <w:r>
        <w:t>En l</w:t>
      </w:r>
      <w:r w:rsidRPr="00AC24A2">
        <w:t xml:space="preserve">as extensas consultas celebradas en 2009, la opinión general manifestada era que los niños, las personas de edad y las mujeres sentían ahora una mayor seguridad, estaban mejor alimentados y vestidos, dormían mejor y era menor la presión a que se veían sometidos los beneficiarios de ayudas en efectivo. La población consideraba que esto se debía al efecto combinado de las diversas </w:t>
      </w:r>
      <w:r>
        <w:t xml:space="preserve">medidas </w:t>
      </w:r>
      <w:r w:rsidRPr="00AC24A2">
        <w:t xml:space="preserve">de la </w:t>
      </w:r>
      <w:r>
        <w:t>Respuesta de Emergencia</w:t>
      </w:r>
      <w:r w:rsidRPr="00AC24A2">
        <w:t>, incluidas las restricciones al consumo de alcohol, las licencias concedidas a los almacenes de la comunidad, la mayor presencia de la policía en comunidades remotas y la gestión de los ingresos (que en el momento de llevarse a cabo estas consultas era una de las medidas previstas en la R</w:t>
      </w:r>
      <w:r>
        <w:t>espuesta de Emergencia</w:t>
      </w:r>
      <w:r w:rsidRPr="00AC24A2">
        <w:t>).</w:t>
      </w:r>
    </w:p>
    <w:p w:rsidR="0098598D" w:rsidRPr="00AC24A2" w:rsidRDefault="0098598D" w:rsidP="0098598D">
      <w:pPr>
        <w:pStyle w:val="SingleTxtG"/>
      </w:pPr>
      <w:r w:rsidRPr="00AC24A2">
        <w:t>25.</w:t>
      </w:r>
      <w:r w:rsidRPr="00AC24A2">
        <w:tab/>
        <w:t xml:space="preserve">Además el Gobierno ha comprometido 1.700 millones de dólares australianos para viviendas en zonas </w:t>
      </w:r>
      <w:r>
        <w:t>abor</w:t>
      </w:r>
      <w:r w:rsidRPr="00AC24A2">
        <w:t>ígen</w:t>
      </w:r>
      <w:r>
        <w:t>e</w:t>
      </w:r>
      <w:r w:rsidRPr="00AC24A2">
        <w:t xml:space="preserve">s remotas del Territorio del Norte, durante un período de diez años. A mediados de mayo de 2011, </w:t>
      </w:r>
      <w:r>
        <w:t xml:space="preserve">había </w:t>
      </w:r>
      <w:r w:rsidRPr="00AC24A2">
        <w:t xml:space="preserve">más de 1.050 </w:t>
      </w:r>
      <w:r>
        <w:t>abor</w:t>
      </w:r>
      <w:r w:rsidRPr="00AC24A2">
        <w:t>ígen</w:t>
      </w:r>
      <w:r>
        <w:t>e</w:t>
      </w:r>
      <w:r w:rsidRPr="00AC24A2">
        <w:t>s empleados en la construcción de viviendas y otros trabajos de construcción como resultado de estas inversiones.</w:t>
      </w:r>
    </w:p>
    <w:p w:rsidR="0098598D" w:rsidRPr="00AC24A2" w:rsidRDefault="0098598D" w:rsidP="0098598D">
      <w:pPr>
        <w:pStyle w:val="SingleTxtG"/>
      </w:pPr>
      <w:r w:rsidRPr="00AC24A2">
        <w:t>26.</w:t>
      </w:r>
      <w:r w:rsidRPr="00AC24A2">
        <w:tab/>
      </w:r>
      <w:r>
        <w:t>Por otra parte</w:t>
      </w:r>
      <w:r w:rsidRPr="00AC24A2">
        <w:t xml:space="preserve">, se habían creado 2.241 empleos en servicios del Gobierno de Australia y del Territorio del Norte, lo que permitió que algunas personas que trabajaban en proyectos de desarrollo de la comunidad encontraran empleo </w:t>
      </w:r>
      <w:r>
        <w:t>remunerado, con</w:t>
      </w:r>
      <w:r w:rsidRPr="00AC24A2">
        <w:t xml:space="preserve"> jubilación y otras prestaciones.</w:t>
      </w:r>
    </w:p>
    <w:p w:rsidR="0098598D" w:rsidRPr="00AC24A2" w:rsidRDefault="0098598D" w:rsidP="0098598D">
      <w:pPr>
        <w:pStyle w:val="SingleTxtG"/>
      </w:pPr>
      <w:r w:rsidRPr="00AC24A2">
        <w:t>27.</w:t>
      </w:r>
      <w:r w:rsidRPr="00AC24A2">
        <w:tab/>
        <w:t>Ninguna de las disposiciones de la R</w:t>
      </w:r>
      <w:r>
        <w:t>espuesta de Emergencia</w:t>
      </w:r>
      <w:r w:rsidRPr="00AC24A2">
        <w:t xml:space="preserve"> tiene por objeto limitar el desarrollo cultural de los </w:t>
      </w:r>
      <w:r>
        <w:t>abor</w:t>
      </w:r>
      <w:r w:rsidRPr="00AC24A2">
        <w:t>ígen</w:t>
      </w:r>
      <w:r>
        <w:t>e</w:t>
      </w:r>
      <w:r w:rsidRPr="00AC24A2">
        <w:t xml:space="preserve">s. El programa </w:t>
      </w:r>
      <w:r w:rsidRPr="0098598D">
        <w:t>"Closing the Gap"</w:t>
      </w:r>
      <w:r w:rsidRPr="00AC24A2">
        <w:t xml:space="preserve"> (Colmar la </w:t>
      </w:r>
      <w:r>
        <w:t>b</w:t>
      </w:r>
      <w:r w:rsidRPr="00AC24A2">
        <w:t xml:space="preserve">recha) reconoce y aprovecha las ventajas de las culturas e identidades </w:t>
      </w:r>
      <w:r>
        <w:t>abor</w:t>
      </w:r>
      <w:r w:rsidRPr="00AC24A2">
        <w:t>ígen</w:t>
      </w:r>
      <w:r>
        <w:t>e</w:t>
      </w:r>
      <w:r w:rsidRPr="00AC24A2">
        <w:t xml:space="preserve">s, y el Gobierno de Australia sigue prestando apoyo a la cultura, los idiomas, la música y las emisiones de radio </w:t>
      </w:r>
      <w:r>
        <w:t xml:space="preserve">y </w:t>
      </w:r>
      <w:r w:rsidRPr="00AC24A2">
        <w:t xml:space="preserve">de televisión </w:t>
      </w:r>
      <w:r>
        <w:t>abori</w:t>
      </w:r>
      <w:r w:rsidRPr="00AC24A2">
        <w:t>gen mediante la financiación y programas de subvenciones a las organizaciones artísticas y culturales</w:t>
      </w:r>
      <w:r>
        <w:t>,</w:t>
      </w:r>
      <w:r w:rsidRPr="00AC24A2">
        <w:t xml:space="preserve"> así como a artistas de toda Australia.</w:t>
      </w:r>
    </w:p>
    <w:p w:rsidR="0098598D" w:rsidRPr="00AC24A2" w:rsidRDefault="0098598D" w:rsidP="0098598D">
      <w:pPr>
        <w:pStyle w:val="SingleTxtG"/>
      </w:pPr>
      <w:r w:rsidRPr="00AC24A2">
        <w:t>28.</w:t>
      </w:r>
      <w:r w:rsidRPr="00AC24A2">
        <w:tab/>
        <w:t xml:space="preserve">El 22 de junio de 2011, el Gobierno anunció sus </w:t>
      </w:r>
      <w:r>
        <w:t>siguientes</w:t>
      </w:r>
      <w:r w:rsidRPr="00AC24A2">
        <w:t xml:space="preserve"> medidas para mejorar el futuro de los </w:t>
      </w:r>
      <w:r>
        <w:t>abor</w:t>
      </w:r>
      <w:r w:rsidRPr="00AC24A2">
        <w:t>ígen</w:t>
      </w:r>
      <w:r>
        <w:t>e</w:t>
      </w:r>
      <w:r w:rsidRPr="00AC24A2">
        <w:t>s australianos que viven en el Territorio del Norte. El Gobierno llevará a cabo consultas con los pueblos y comunidades aborígenes sobre los planes futuros para ayudar a los grupos desfavorecidos, prestando especial atención a la</w:t>
      </w:r>
      <w:r>
        <w:t>s</w:t>
      </w:r>
      <w:r w:rsidRPr="00AC24A2">
        <w:t xml:space="preserve"> mejora</w:t>
      </w:r>
      <w:r>
        <w:t>s</w:t>
      </w:r>
      <w:r w:rsidRPr="00AC24A2">
        <w:t xml:space="preserve"> </w:t>
      </w:r>
      <w:r>
        <w:t>en</w:t>
      </w:r>
      <w:r w:rsidRPr="00AC24A2">
        <w:t xml:space="preserve"> la educación para los niños, </w:t>
      </w:r>
      <w:r>
        <w:t xml:space="preserve">a </w:t>
      </w:r>
      <w:r w:rsidRPr="00AC24A2">
        <w:t xml:space="preserve">mejorar las oportunidades de empleo y </w:t>
      </w:r>
      <w:r>
        <w:t xml:space="preserve">a </w:t>
      </w:r>
      <w:r w:rsidRPr="00AC24A2">
        <w:t xml:space="preserve">combatir el uso indebido de alcohol. El Gobierno </w:t>
      </w:r>
      <w:r>
        <w:t xml:space="preserve">ha </w:t>
      </w:r>
      <w:r w:rsidRPr="00AC24A2">
        <w:t>public</w:t>
      </w:r>
      <w:r>
        <w:t>ado</w:t>
      </w:r>
      <w:r w:rsidRPr="00AC24A2">
        <w:t xml:space="preserve"> un documento de debate</w:t>
      </w:r>
      <w:r>
        <w:t>,</w:t>
      </w:r>
      <w:r w:rsidRPr="00AC24A2">
        <w:t xml:space="preserve"> </w:t>
      </w:r>
      <w:r w:rsidRPr="00AC24A2">
        <w:rPr>
          <w:i/>
        </w:rPr>
        <w:t>Un futuro más sólido en el Territorio del Norte</w:t>
      </w:r>
      <w:r w:rsidRPr="00AC24A2">
        <w:t>, como base para las consultas en los próximos meses. En este documento se recaba</w:t>
      </w:r>
      <w:r>
        <w:t>n</w:t>
      </w:r>
      <w:r w:rsidRPr="00AC24A2">
        <w:t xml:space="preserve"> las opiniones de la comunidad sobre los resultados de la R</w:t>
      </w:r>
      <w:r>
        <w:t>espuesta de Emergencia</w:t>
      </w:r>
      <w:r w:rsidRPr="00AC24A2">
        <w:t>, las posibles mejoras y qué más puede hacerse en el futuro.</w:t>
      </w:r>
    </w:p>
    <w:p w:rsidR="0098598D" w:rsidRPr="007D1AB8" w:rsidRDefault="0098598D" w:rsidP="0098598D">
      <w:pPr>
        <w:pStyle w:val="H1G"/>
      </w:pPr>
      <w:r>
        <w:tab/>
      </w:r>
      <w:r>
        <w:tab/>
      </w:r>
      <w:r w:rsidRPr="007D1AB8">
        <w:t xml:space="preserve">Respuesta a </w:t>
      </w:r>
      <w:r>
        <w:t xml:space="preserve">las </w:t>
      </w:r>
      <w:r w:rsidRPr="007D1AB8">
        <w:t>recomendaciones que figuran en el párrafo 23 de</w:t>
      </w:r>
      <w:r>
        <w:br/>
      </w:r>
      <w:r w:rsidRPr="007D1AB8">
        <w:t>las obs</w:t>
      </w:r>
      <w:r>
        <w:t>ervaciones finales</w:t>
      </w:r>
    </w:p>
    <w:p w:rsidR="0098598D" w:rsidRPr="007D1AB8" w:rsidRDefault="0098598D" w:rsidP="0098598D">
      <w:pPr>
        <w:pStyle w:val="SingleTxtG"/>
      </w:pPr>
      <w:r w:rsidRPr="007D1AB8">
        <w:t>29.</w:t>
      </w:r>
      <w:r w:rsidRPr="007D1AB8">
        <w:tab/>
        <w:t>El Gobierno de Australia desearía hacer los siguientes comentarios a</w:t>
      </w:r>
      <w:r>
        <w:t>cerca de</w:t>
      </w:r>
      <w:r w:rsidRPr="007D1AB8">
        <w:t xml:space="preserve"> la preocupación por la seguridad de los estudiantes internacionales y la "motivación racial" atribuida por el Comité a las agresiones contra estudiantes internacionales en Australia.</w:t>
      </w:r>
    </w:p>
    <w:p w:rsidR="0098598D" w:rsidRPr="007D1AB8" w:rsidRDefault="0098598D" w:rsidP="0098598D">
      <w:pPr>
        <w:pStyle w:val="H23G"/>
      </w:pPr>
      <w:r>
        <w:tab/>
      </w:r>
      <w:r>
        <w:tab/>
      </w:r>
      <w:r w:rsidRPr="007D1AB8">
        <w:t>Fallecimiento de un estudiante en el estado de Victoria</w:t>
      </w:r>
    </w:p>
    <w:p w:rsidR="0098598D" w:rsidRPr="007D1AB8" w:rsidRDefault="0098598D" w:rsidP="0098598D">
      <w:pPr>
        <w:pStyle w:val="SingleTxtG"/>
      </w:pPr>
      <w:r w:rsidRPr="007D1AB8">
        <w:t>30.</w:t>
      </w:r>
      <w:r w:rsidRPr="007D1AB8">
        <w:tab/>
        <w:t xml:space="preserve">El Comité se refiere a lo que describe como una "serie de casos de agresión, incluida una muerte de estudiantes indios por motivos raciales en el </w:t>
      </w:r>
      <w:r>
        <w:t>e</w:t>
      </w:r>
      <w:r w:rsidRPr="007D1AB8">
        <w:t xml:space="preserve">stado de Victoria". Se supone que esta referencia es al trágico asesinato </w:t>
      </w:r>
      <w:r>
        <w:t>de</w:t>
      </w:r>
      <w:r w:rsidRPr="007D1AB8">
        <w:t>l estudiante indio Nitin Garg</w:t>
      </w:r>
      <w:r>
        <w:t>,</w:t>
      </w:r>
      <w:r w:rsidRPr="007D1AB8">
        <w:t xml:space="preserve"> el 2 de enero de 2010, que sigue pendiente ante los tribunales de Victoria. En las distintas audiencias sobre este asesinato celebradas durante el período 2010-</w:t>
      </w:r>
      <w:r>
        <w:t>20</w:t>
      </w:r>
      <w:r w:rsidRPr="007D1AB8">
        <w:t>11, no se han presentado pruebas que indi</w:t>
      </w:r>
      <w:r>
        <w:t>qu</w:t>
      </w:r>
      <w:r w:rsidRPr="007D1AB8">
        <w:t xml:space="preserve">en que </w:t>
      </w:r>
      <w:r>
        <w:t>se trataba de un</w:t>
      </w:r>
      <w:r w:rsidRPr="007D1AB8">
        <w:t xml:space="preserve"> crimen de motivación racial. El 20 de abril de 2011, un adolescente australiano se declaró culpable del asesinato</w:t>
      </w:r>
      <w:r>
        <w:t>, declar</w:t>
      </w:r>
      <w:r w:rsidRPr="007D1AB8">
        <w:t xml:space="preserve">ó </w:t>
      </w:r>
      <w:r>
        <w:t>ante e</w:t>
      </w:r>
      <w:r w:rsidRPr="007D1AB8">
        <w:t>l Tribunal Supremo de Victoria que el motivo fue el robo del teléfono móvil del Sr. Garg. El 6 de junio de 2011, la fiscal Amanda Forrester dijo al tribunal que no había "ninguna prueba de motivación racial en este crimen". Una persona ya ha sido condenada y sentenciada como cómplic</w:t>
      </w:r>
      <w:r>
        <w:t>e de este delito. En este caso tampoc</w:t>
      </w:r>
      <w:r w:rsidRPr="007D1AB8">
        <w:t>o hubo pruebas de motivación racial.</w:t>
      </w:r>
    </w:p>
    <w:p w:rsidR="0098598D" w:rsidRPr="007D1AB8" w:rsidRDefault="0098598D" w:rsidP="0098598D">
      <w:pPr>
        <w:pStyle w:val="H23G"/>
      </w:pPr>
      <w:r>
        <w:tab/>
      </w:r>
      <w:r>
        <w:tab/>
        <w:t>Alegación de que no se</w:t>
      </w:r>
      <w:r w:rsidRPr="007D1AB8">
        <w:t xml:space="preserve"> reconoce la "motivación racial de la violencia"</w:t>
      </w:r>
    </w:p>
    <w:p w:rsidR="0098598D" w:rsidRPr="007D1AB8" w:rsidRDefault="0098598D" w:rsidP="0098598D">
      <w:pPr>
        <w:pStyle w:val="SingleTxtG"/>
      </w:pPr>
      <w:r>
        <w:t>31.</w:t>
      </w:r>
      <w:r>
        <w:tab/>
      </w:r>
      <w:r w:rsidRPr="007D1AB8">
        <w:t>El Gobierno de Australia rechaza la afirmación del Comité de que las autoridades</w:t>
      </w:r>
      <w:r>
        <w:t>,</w:t>
      </w:r>
      <w:r w:rsidRPr="007D1AB8">
        <w:t xml:space="preserve"> tanto a nivel estatal como federal</w:t>
      </w:r>
      <w:r>
        <w:t>,</w:t>
      </w:r>
      <w:r w:rsidRPr="007D1AB8">
        <w:t xml:space="preserve"> no han reconocido la motivación racial de las agresiones contra los estudiantes internacionales en Australia.</w:t>
      </w:r>
    </w:p>
    <w:p w:rsidR="0098598D" w:rsidRPr="007D1AB8" w:rsidRDefault="0098598D" w:rsidP="0098598D">
      <w:pPr>
        <w:pStyle w:val="SingleTxtG"/>
      </w:pPr>
      <w:r w:rsidRPr="007D1AB8">
        <w:t>32.</w:t>
      </w:r>
      <w:r w:rsidRPr="007D1AB8">
        <w:tab/>
        <w:t>Australia tiene una política de tolerancia cero del racismo. Es cierto que algunas agresiones en Australia, al igual que en otros países, tienen connotaciones raciales. Los responsables se enfrentan en este caso a toda la fuerza de la ley. E</w:t>
      </w:r>
      <w:r>
        <w:t>l</w:t>
      </w:r>
      <w:r w:rsidRPr="007D1AB8">
        <w:t xml:space="preserve"> Gobierno de Australia y la comunidad condenan todas las agresiones, independientemente de la nacionalidad o etnicidad. Estos crímenes </w:t>
      </w:r>
      <w:r>
        <w:t>constituyen una afrenta</w:t>
      </w:r>
      <w:r w:rsidRPr="007D1AB8">
        <w:t xml:space="preserve"> a nuestros valores y son condenables </w:t>
      </w:r>
      <w:r>
        <w:t>conforme a nuestra idea</w:t>
      </w:r>
      <w:r w:rsidRPr="007D1AB8">
        <w:t xml:space="preserve"> de una Australia moderna. En Australia, el </w:t>
      </w:r>
      <w:r>
        <w:t xml:space="preserve">respeto del </w:t>
      </w:r>
      <w:r w:rsidRPr="007D1AB8">
        <w:t>e</w:t>
      </w:r>
      <w:r>
        <w:t>stado de derecho es fundamental y se d</w:t>
      </w:r>
      <w:r w:rsidRPr="007D1AB8">
        <w:t>eja que los procesos de investigación</w:t>
      </w:r>
      <w:r>
        <w:t>,</w:t>
      </w:r>
      <w:r w:rsidRPr="007D1AB8">
        <w:t xml:space="preserve"> enjuiciamiento y condena sigan su curso.</w:t>
      </w:r>
    </w:p>
    <w:p w:rsidR="0098598D" w:rsidRPr="007D1AB8" w:rsidRDefault="0098598D" w:rsidP="0098598D">
      <w:pPr>
        <w:pStyle w:val="SingleTxtG"/>
      </w:pPr>
      <w:r w:rsidRPr="007D1AB8">
        <w:t>33.</w:t>
      </w:r>
      <w:r w:rsidRPr="007D1AB8">
        <w:tab/>
        <w:t xml:space="preserve">Las jurisdicciones </w:t>
      </w:r>
      <w:r>
        <w:t>de A</w:t>
      </w:r>
      <w:r w:rsidRPr="007D1AB8">
        <w:t xml:space="preserve">ustralia cuentan con disposiciones legales para </w:t>
      </w:r>
      <w:r>
        <w:t>combatir</w:t>
      </w:r>
      <w:r w:rsidRPr="007D1AB8">
        <w:t xml:space="preserve"> las manifestaciones de odio étnico</w:t>
      </w:r>
      <w:r>
        <w:t>,</w:t>
      </w:r>
      <w:r w:rsidRPr="007D1AB8">
        <w:t xml:space="preserve"> racial y religioso dondequiera que se produzcan. El Estado australiano y las autoridades encargadas de hacer cumplir la ley del territorio han reaccionado </w:t>
      </w:r>
      <w:r>
        <w:t>en particular</w:t>
      </w:r>
      <w:r w:rsidRPr="007D1AB8">
        <w:t xml:space="preserve"> ante las preocupaciones</w:t>
      </w:r>
      <w:r>
        <w:t xml:space="preserve"> a nivel </w:t>
      </w:r>
      <w:r w:rsidRPr="007D1AB8">
        <w:t>internacional y de la comunidad de que las agresiones contra estudiantes internacionales pudieran haber tenido una motivación racial</w:t>
      </w:r>
      <w:r>
        <w:t>,</w:t>
      </w:r>
      <w:r w:rsidRPr="007D1AB8">
        <w:t xml:space="preserve"> étnica o religiosa.</w:t>
      </w:r>
    </w:p>
    <w:p w:rsidR="0098598D" w:rsidRPr="007D1AB8" w:rsidRDefault="0098598D" w:rsidP="0098598D">
      <w:pPr>
        <w:pStyle w:val="SingleTxtG"/>
      </w:pPr>
      <w:r w:rsidRPr="007D1AB8">
        <w:t>34.</w:t>
      </w:r>
      <w:r w:rsidRPr="007D1AB8">
        <w:tab/>
        <w:t xml:space="preserve">Victoria acoge aproximadamente a la mitad de todos los estudiantes indios en Australia. El Gobierno de Victoria ha tratado de reforzar las medidas para hacer cumplir la ley en respuesta a las alegaciones de agresiones raciales contra los estudiantes indios en Victoria. En 2009, Victoria reforzó </w:t>
      </w:r>
      <w:r>
        <w:t>las sanciones legales</w:t>
      </w:r>
      <w:r w:rsidRPr="007D1AB8">
        <w:t xml:space="preserve"> con el fin de </w:t>
      </w:r>
      <w:r>
        <w:t>garantiz</w:t>
      </w:r>
      <w:r w:rsidRPr="007D1AB8">
        <w:t xml:space="preserve">ar que los jueces tuvieran en cuenta la motivación de odio o prejuicio contra un grupo determinado al sentenciar a cualquier persona acusada de agresión criminal u otras agresiones </w:t>
      </w:r>
      <w:r>
        <w:t>similares</w:t>
      </w:r>
      <w:r w:rsidRPr="007D1AB8">
        <w:t>.</w:t>
      </w:r>
    </w:p>
    <w:p w:rsidR="0098598D" w:rsidRPr="007D1AB8" w:rsidRDefault="0098598D" w:rsidP="0098598D">
      <w:pPr>
        <w:pStyle w:val="SingleTxtG"/>
      </w:pPr>
      <w:r>
        <w:t>35.</w:t>
      </w:r>
      <w:r>
        <w:tab/>
      </w:r>
      <w:r w:rsidRPr="007D1AB8">
        <w:t xml:space="preserve">En abril de 2010, el Gobierno de Victoria anunció que </w:t>
      </w:r>
      <w:r>
        <w:t>la fuerza</w:t>
      </w:r>
      <w:r w:rsidRPr="007D1AB8">
        <w:t xml:space="preserve"> de policía aumentaría en 1966 </w:t>
      </w:r>
      <w:r>
        <w:t xml:space="preserve">contingentes </w:t>
      </w:r>
      <w:r w:rsidRPr="007D1AB8">
        <w:t xml:space="preserve">durante los próximos cinco años, el mayor aumento </w:t>
      </w:r>
      <w:r>
        <w:t xml:space="preserve">de una sola vez </w:t>
      </w:r>
      <w:r w:rsidRPr="007D1AB8">
        <w:t xml:space="preserve">del número de policías en la historia del Estado. Ya se han desplegado aproximadamente 600 </w:t>
      </w:r>
      <w:r>
        <w:t xml:space="preserve">nuevos </w:t>
      </w:r>
      <w:r w:rsidRPr="007D1AB8">
        <w:t>agentes de policías, en particular en l</w:t>
      </w:r>
      <w:r>
        <w:t>a</w:t>
      </w:r>
      <w:r w:rsidRPr="007D1AB8">
        <w:t xml:space="preserve">s </w:t>
      </w:r>
      <w:r>
        <w:t>zonas</w:t>
      </w:r>
      <w:r w:rsidRPr="007D1AB8">
        <w:t xml:space="preserve"> de mayor delincuencia y en el transporte público. La policía ha recibido también mayores </w:t>
      </w:r>
      <w:r>
        <w:t>poderes</w:t>
      </w:r>
      <w:r w:rsidRPr="007D1AB8">
        <w:t xml:space="preserve"> para combatir la violencia y el comportamiento antisocial, incluso nuevas atribuciones para hacer registros en busca de armas en determinadas </w:t>
      </w:r>
      <w:r>
        <w:t>z</w:t>
      </w:r>
      <w:r w:rsidRPr="007D1AB8">
        <w:t>o</w:t>
      </w:r>
      <w:r>
        <w:t>n</w:t>
      </w:r>
      <w:r w:rsidRPr="007D1AB8">
        <w:t>as.</w:t>
      </w:r>
    </w:p>
    <w:p w:rsidR="0098598D" w:rsidRPr="007D1AB8" w:rsidRDefault="0098598D" w:rsidP="0098598D">
      <w:pPr>
        <w:pStyle w:val="SingleTxtG"/>
      </w:pPr>
      <w:r w:rsidRPr="007D1AB8">
        <w:t>36.</w:t>
      </w:r>
      <w:r w:rsidRPr="007D1AB8">
        <w:tab/>
        <w:t xml:space="preserve">El Gobierno </w:t>
      </w:r>
      <w:r>
        <w:t xml:space="preserve">de </w:t>
      </w:r>
      <w:r w:rsidRPr="007D1AB8">
        <w:t>Australia</w:t>
      </w:r>
      <w:r>
        <w:t xml:space="preserve"> ha</w:t>
      </w:r>
      <w:r w:rsidRPr="007D1AB8">
        <w:t xml:space="preserve"> toma</w:t>
      </w:r>
      <w:r>
        <w:t>do</w:t>
      </w:r>
      <w:r w:rsidRPr="007D1AB8">
        <w:t xml:space="preserve"> además medidas de prevención para combatir el racismo. Así</w:t>
      </w:r>
      <w:r>
        <w:t>,</w:t>
      </w:r>
      <w:r w:rsidRPr="007D1AB8">
        <w:t xml:space="preserve"> por ejemplo, como parte de la nueva política multicultural del Gobierno, </w:t>
      </w:r>
      <w:r>
        <w:t>se está desarrollando</w:t>
      </w:r>
      <w:r w:rsidRPr="007D1AB8">
        <w:t xml:space="preserve"> una estrategia nacional de colaboración para combatir el racismo. Esta estrategia nacional se centrará en cinco esferas claves: investigación y consultas, recursos para la enseñanza, sensibilización pública, participación de los jóvenes, y evaluación continua.</w:t>
      </w:r>
    </w:p>
    <w:p w:rsidR="0098598D" w:rsidRPr="007D1AB8" w:rsidRDefault="0098598D" w:rsidP="0098598D">
      <w:pPr>
        <w:pStyle w:val="H23G"/>
      </w:pPr>
      <w:r>
        <w:tab/>
      </w:r>
      <w:r>
        <w:tab/>
      </w:r>
      <w:r w:rsidRPr="007D1AB8">
        <w:t>Falta de datos nacionales pertinentes sobre las víctimas</w:t>
      </w:r>
      <w:r>
        <w:t xml:space="preserve"> de la delincuencia</w:t>
      </w:r>
    </w:p>
    <w:p w:rsidR="0098598D" w:rsidRPr="007D1AB8" w:rsidRDefault="0098598D" w:rsidP="0098598D">
      <w:pPr>
        <w:pStyle w:val="SingleTxtG"/>
      </w:pPr>
      <w:r w:rsidRPr="007D1AB8">
        <w:t>37.</w:t>
      </w:r>
      <w:r w:rsidRPr="007D1AB8">
        <w:tab/>
        <w:t>Las fuerzas de policía australiana</w:t>
      </w:r>
      <w:r>
        <w:t>s</w:t>
      </w:r>
      <w:r w:rsidRPr="007D1AB8">
        <w:t xml:space="preserve"> no compilan normalmente datos sobre la nacionalidad, </w:t>
      </w:r>
      <w:r>
        <w:t xml:space="preserve">la </w:t>
      </w:r>
      <w:r w:rsidRPr="007D1AB8">
        <w:t xml:space="preserve">pertenencia étnica o </w:t>
      </w:r>
      <w:r>
        <w:t xml:space="preserve">la </w:t>
      </w:r>
      <w:r w:rsidRPr="007D1AB8">
        <w:t>situación de inmigración de las víctimas, pero el Gobierno de Australia ha reconocido la necesidad de disponer de datos fiables sobre los delitos contra los estudiantes internacionales. Antes de que el Comité para la Eliminación de la Discriminación Racial abordase esta cuestión</w:t>
      </w:r>
      <w:r>
        <w:t xml:space="preserve"> </w:t>
      </w:r>
      <w:r w:rsidRPr="007D1AB8">
        <w:t>ya se estaba llevando a cabo</w:t>
      </w:r>
      <w:r>
        <w:t xml:space="preserve"> u</w:t>
      </w:r>
      <w:r w:rsidRPr="007D1AB8">
        <w:t>n estudio del Instituto Australiano de Criminología (AIC) sobre los delitos contra estudiantes internacionales</w:t>
      </w:r>
      <w:r>
        <w:t>.</w:t>
      </w:r>
      <w:r w:rsidRPr="007D1AB8">
        <w:t xml:space="preserve"> El estudio del AIC se publicó el 11 de agosto de 2011. Con nuestra respuesta actual hemos incluido un</w:t>
      </w:r>
      <w:r>
        <w:t>a copia de</w:t>
      </w:r>
      <w:r w:rsidRPr="007D1AB8">
        <w:t xml:space="preserve"> este informe de 172 páginas. El informe está disponible en la Web del AIC (www.aic.gov.au).</w:t>
      </w:r>
    </w:p>
    <w:p w:rsidR="0098598D" w:rsidRPr="007D1AB8" w:rsidRDefault="0098598D" w:rsidP="0098598D">
      <w:pPr>
        <w:pStyle w:val="SingleTxtG"/>
      </w:pPr>
      <w:r>
        <w:t>38.</w:t>
      </w:r>
      <w:r>
        <w:tab/>
      </w:r>
      <w:r w:rsidRPr="007D1AB8">
        <w:t xml:space="preserve">El análisis se basó en un estudio </w:t>
      </w:r>
      <w:r>
        <w:t>en que se contrastaban</w:t>
      </w:r>
      <w:r w:rsidRPr="007D1AB8">
        <w:t xml:space="preserve"> los visados de </w:t>
      </w:r>
      <w:r>
        <w:t xml:space="preserve">los </w:t>
      </w:r>
      <w:r w:rsidRPr="007D1AB8">
        <w:t xml:space="preserve">estudiantes de los cinco principales países de procedencia (China, India, República de Corea, Malasia, Estados Unidos) durante </w:t>
      </w:r>
      <w:r>
        <w:t>e</w:t>
      </w:r>
      <w:r w:rsidRPr="007D1AB8">
        <w:t xml:space="preserve">l período de julio de 2004 a mayo de 2010, con los datos de la policía de la jurisdicción de Australia. El Departamento de Inmigración y Ciudadanía de Australia </w:t>
      </w:r>
      <w:r>
        <w:t>solicit</w:t>
      </w:r>
      <w:r w:rsidRPr="007D1AB8">
        <w:t xml:space="preserve">ó al Comisionado de Protección de la Intimidad que hiciese una Declaración de Interés Público para poder utilizar los datos de los visados de los estudiantes en el estudio, solicitud que se concedió en mayo de 2010. No se publicó ninguna información personal del estudio del </w:t>
      </w:r>
      <w:r>
        <w:t>AIC</w:t>
      </w:r>
      <w:r w:rsidRPr="007D1AB8">
        <w:t xml:space="preserve">. Se concedió un período de reflexión de 21 días para que los estudiantes o antiguos estudiantes afectados pudieran </w:t>
      </w:r>
      <w:r>
        <w:t>renunciar a</w:t>
      </w:r>
      <w:r w:rsidRPr="007D1AB8">
        <w:t xml:space="preserve"> participar.</w:t>
      </w:r>
    </w:p>
    <w:p w:rsidR="0098598D" w:rsidRPr="007D1AB8" w:rsidRDefault="0098598D" w:rsidP="0098598D">
      <w:pPr>
        <w:pStyle w:val="SingleTxtG"/>
      </w:pPr>
      <w:r w:rsidRPr="007D1AB8">
        <w:t>39.</w:t>
      </w:r>
      <w:r w:rsidRPr="007D1AB8">
        <w:tab/>
        <w:t xml:space="preserve">La naturaleza de los datos compilados no permitió al AIC proceder a un análisis específico de la motivación racial. Dicho esto, las conclusiones generales del análisis de los datos </w:t>
      </w:r>
      <w:r>
        <w:t>tampoco</w:t>
      </w:r>
      <w:r w:rsidRPr="007D1AB8">
        <w:t xml:space="preserve"> permitían en modo alguno afirmar que los estudiantes indios hubiesen sido agredidos primordialmente por motivos raciales.</w:t>
      </w:r>
    </w:p>
    <w:p w:rsidR="0098598D" w:rsidRPr="007D1AB8" w:rsidRDefault="0098598D" w:rsidP="0098598D">
      <w:pPr>
        <w:pStyle w:val="SingleTxtG"/>
      </w:pPr>
      <w:r w:rsidRPr="007D1AB8">
        <w:t>40.</w:t>
      </w:r>
      <w:r w:rsidRPr="007D1AB8">
        <w:tab/>
        <w:t xml:space="preserve">Las principales conclusiones del estudio fueron que </w:t>
      </w:r>
      <w:r>
        <w:t>la tasa</w:t>
      </w:r>
      <w:r w:rsidRPr="007D1AB8">
        <w:t xml:space="preserve"> de agresiones de los estudiantes indios era inferior o similar a</w:t>
      </w:r>
      <w:r>
        <w:t xml:space="preserve"> </w:t>
      </w:r>
      <w:r w:rsidRPr="007D1AB8">
        <w:t>l</w:t>
      </w:r>
      <w:r>
        <w:t>a</w:t>
      </w:r>
      <w:r w:rsidRPr="007D1AB8">
        <w:t xml:space="preserve"> de agresiones de la población australiana en general. </w:t>
      </w:r>
      <w:r>
        <w:t>Las tasas</w:t>
      </w:r>
      <w:r w:rsidRPr="007D1AB8">
        <w:t xml:space="preserve"> de robos contra estudiantes indios era</w:t>
      </w:r>
      <w:r>
        <w:t>n</w:t>
      </w:r>
      <w:r w:rsidRPr="007D1AB8">
        <w:t xml:space="preserve"> superior</w:t>
      </w:r>
      <w:r>
        <w:t>es</w:t>
      </w:r>
      <w:r w:rsidRPr="007D1AB8">
        <w:t xml:space="preserve"> </w:t>
      </w:r>
      <w:r>
        <w:t>a</w:t>
      </w:r>
      <w:r w:rsidRPr="007D1AB8">
        <w:t xml:space="preserve">l promedio para los australianos en los </w:t>
      </w:r>
      <w:r>
        <w:t>principales e</w:t>
      </w:r>
      <w:r w:rsidRPr="007D1AB8">
        <w:t xml:space="preserve">stados durante la mayoría de los años. La </w:t>
      </w:r>
      <w:r>
        <w:t>tasa</w:t>
      </w:r>
      <w:r w:rsidRPr="007D1AB8">
        <w:t xml:space="preserve"> de robos contra los estudiantes indios en locales comerciales era aproximadamente el doble que la registrada </w:t>
      </w:r>
      <w:r>
        <w:t>contra</w:t>
      </w:r>
      <w:r w:rsidRPr="007D1AB8">
        <w:t xml:space="preserve"> estudiantes de otros países. Más de la mitad de los robos contra estudiantes indios </w:t>
      </w:r>
      <w:r>
        <w:t xml:space="preserve">registrados </w:t>
      </w:r>
      <w:r w:rsidRPr="007D1AB8">
        <w:t xml:space="preserve">en locales comerciales </w:t>
      </w:r>
      <w:r>
        <w:t>ten</w:t>
      </w:r>
      <w:r w:rsidRPr="007D1AB8">
        <w:t xml:space="preserve">ían </w:t>
      </w:r>
      <w:r>
        <w:t xml:space="preserve">lugar </w:t>
      </w:r>
      <w:r w:rsidRPr="007D1AB8">
        <w:t>en las estaciones de servicio.</w:t>
      </w:r>
    </w:p>
    <w:p w:rsidR="0098598D" w:rsidRPr="007D1AB8" w:rsidRDefault="0098598D" w:rsidP="0098598D">
      <w:pPr>
        <w:pStyle w:val="SingleTxtG"/>
      </w:pPr>
      <w:r w:rsidRPr="007D1AB8">
        <w:t>41</w:t>
      </w:r>
      <w:r w:rsidR="00E771A2">
        <w:t>.</w:t>
      </w:r>
      <w:r w:rsidRPr="007D1AB8">
        <w:tab/>
        <w:t>En el informe se señalaba que el robo es un delito de oportunidad. Las mayores tasas de robos contra estudiantes indios, en comparación con otros estudiantes internacionales y con la población australiana</w:t>
      </w:r>
      <w:r>
        <w:t>,</w:t>
      </w:r>
      <w:r w:rsidRPr="007D1AB8">
        <w:t xml:space="preserve"> parecían </w:t>
      </w:r>
      <w:r>
        <w:t>obedecer</w:t>
      </w:r>
      <w:r w:rsidRPr="007D1AB8">
        <w:t xml:space="preserve"> probablemente a </w:t>
      </w:r>
      <w:r>
        <w:t>diversos</w:t>
      </w:r>
      <w:r w:rsidRPr="007D1AB8">
        <w:t xml:space="preserve"> factores: en particular </w:t>
      </w:r>
      <w:r>
        <w:t xml:space="preserve">a </w:t>
      </w:r>
      <w:r w:rsidRPr="007D1AB8">
        <w:t xml:space="preserve">las diferencias </w:t>
      </w:r>
      <w:r>
        <w:t>de</w:t>
      </w:r>
      <w:r w:rsidRPr="007D1AB8">
        <w:t xml:space="preserve"> empleo, ya que muchos estudiantes indios trabajaban en empleos de alto riesgo (conductores de taxi tiendas abiertas </w:t>
      </w:r>
      <w:r>
        <w:t xml:space="preserve">las </w:t>
      </w:r>
      <w:r w:rsidRPr="007D1AB8">
        <w:t xml:space="preserve">24 horas, </w:t>
      </w:r>
      <w:r>
        <w:t>despachos</w:t>
      </w:r>
      <w:r w:rsidRPr="007D1AB8">
        <w:t xml:space="preserve"> de comidas rápidas y estaciones de servicio)</w:t>
      </w:r>
      <w:r>
        <w:t>,</w:t>
      </w:r>
      <w:r w:rsidRPr="007D1AB8">
        <w:t xml:space="preserve"> trabaja</w:t>
      </w:r>
      <w:r>
        <w:t>ba</w:t>
      </w:r>
      <w:r w:rsidRPr="007D1AB8">
        <w:t>n en turnos de noche y utiliza</w:t>
      </w:r>
      <w:r>
        <w:t>ba</w:t>
      </w:r>
      <w:r w:rsidRPr="007D1AB8">
        <w:t>n los transportes públicos.</w:t>
      </w:r>
    </w:p>
    <w:p w:rsidR="0098598D" w:rsidRPr="007D1AB8" w:rsidRDefault="0098598D" w:rsidP="0098598D">
      <w:pPr>
        <w:pStyle w:val="SingleTxtG"/>
      </w:pPr>
      <w:r w:rsidRPr="007D1AB8">
        <w:t>42</w:t>
      </w:r>
      <w:r w:rsidR="00E771A2">
        <w:t>.</w:t>
      </w:r>
      <w:r w:rsidRPr="007D1AB8">
        <w:tab/>
        <w:t xml:space="preserve">Como los datos </w:t>
      </w:r>
      <w:r>
        <w:t>en que se basó</w:t>
      </w:r>
      <w:r w:rsidRPr="007D1AB8">
        <w:t xml:space="preserve"> el estudio no incluían perfiles de los delincuentes, el AIC no pudo llevar a cabo un análisis específico de la motivación racial. El hecho de que </w:t>
      </w:r>
      <w:r>
        <w:t>las tasas</w:t>
      </w:r>
      <w:r w:rsidRPr="007D1AB8">
        <w:t xml:space="preserve"> de agresión de </w:t>
      </w:r>
      <w:r>
        <w:t xml:space="preserve">los </w:t>
      </w:r>
      <w:r w:rsidRPr="007D1AB8">
        <w:t xml:space="preserve">estudiantes indios fuesen inferiores o iguales a </w:t>
      </w:r>
      <w:r>
        <w:t>las tasas</w:t>
      </w:r>
      <w:r w:rsidRPr="007D1AB8">
        <w:t xml:space="preserve"> de agresión entre la comunidad australiana en general parece indicar que la raza no era la motivación primordial.</w:t>
      </w:r>
    </w:p>
    <w:p w:rsidR="0098598D" w:rsidRPr="007D1AB8" w:rsidRDefault="0098598D" w:rsidP="0098598D">
      <w:pPr>
        <w:pStyle w:val="SingleTxtG"/>
      </w:pPr>
      <w:r w:rsidRPr="007D1AB8">
        <w:t>43</w:t>
      </w:r>
      <w:r w:rsidR="00E771A2">
        <w:t>.</w:t>
      </w:r>
      <w:r w:rsidRPr="007D1AB8">
        <w:tab/>
        <w:t xml:space="preserve">El Gobierno </w:t>
      </w:r>
      <w:r>
        <w:t xml:space="preserve">de </w:t>
      </w:r>
      <w:r w:rsidRPr="007D1AB8">
        <w:t xml:space="preserve">Australia considerará otras opciones para la compilación y análisis de datos sobre las víctimas de la delincuencia. El estudio del AIC servirá de orientación </w:t>
      </w:r>
      <w:r>
        <w:t>a este respecto</w:t>
      </w:r>
      <w:r w:rsidRPr="007D1AB8">
        <w:t>.</w:t>
      </w:r>
    </w:p>
    <w:p w:rsidR="0098598D" w:rsidRPr="007D1AB8" w:rsidRDefault="0098598D" w:rsidP="0098598D">
      <w:pPr>
        <w:pStyle w:val="H23G"/>
      </w:pPr>
      <w:r>
        <w:tab/>
      </w:r>
      <w:r>
        <w:tab/>
      </w:r>
      <w:r w:rsidRPr="007D1AB8">
        <w:t>Bienestar de los estudiantes internacionales</w:t>
      </w:r>
    </w:p>
    <w:p w:rsidR="0098598D" w:rsidRPr="00C132E7" w:rsidRDefault="0098598D" w:rsidP="0098598D">
      <w:pPr>
        <w:pStyle w:val="SingleTxtG"/>
      </w:pPr>
      <w:r w:rsidRPr="007D1AB8">
        <w:t>44</w:t>
      </w:r>
      <w:r w:rsidR="00E771A2">
        <w:t>.</w:t>
      </w:r>
      <w:r w:rsidRPr="007D1AB8">
        <w:tab/>
        <w:t>En 2009, el Consejo de Gobiernos Australianos encargó una Estrategia para los estudiantes internacionales de Australia</w:t>
      </w:r>
      <w:r>
        <w:t>,</w:t>
      </w:r>
      <w:r w:rsidRPr="007D1AB8">
        <w:t xml:space="preserve"> que se inició en octubre de 2010. E</w:t>
      </w:r>
      <w:r>
        <w:t>n e</w:t>
      </w:r>
      <w:r w:rsidRPr="007D1AB8">
        <w:t xml:space="preserve">sta Estrategia </w:t>
      </w:r>
      <w:r>
        <w:t xml:space="preserve">se </w:t>
      </w:r>
      <w:r w:rsidRPr="007D1AB8">
        <w:t>destaca</w:t>
      </w:r>
      <w:r>
        <w:t>n</w:t>
      </w:r>
      <w:r w:rsidRPr="007D1AB8">
        <w:t xml:space="preserve"> las iniciativas para </w:t>
      </w:r>
      <w:r>
        <w:t>enfrentar</w:t>
      </w:r>
      <w:r w:rsidRPr="007D1AB8">
        <w:t xml:space="preserve"> cuatro esferas claves de preocupación, </w:t>
      </w:r>
      <w:r>
        <w:t>a saber:</w:t>
      </w:r>
      <w:r w:rsidRPr="007D1AB8">
        <w:t xml:space="preserve"> el bienestar de los estudiantes, la protección de los consumidores, la calidad de la enseñanza y la disponibilidad de mejor información </w:t>
      </w:r>
      <w:r>
        <w:t>para</w:t>
      </w:r>
      <w:r w:rsidRPr="007D1AB8">
        <w:t xml:space="preserve"> los estudiantes. Estas iniciativas incluyen una guía de seguridad personal para los estudiantes, un portal de información, una estrategia nacional de participación de la comunidad y el requisito de que toda la enseñanza internacional incluya un plan de seguridad para los estudiantes.</w:t>
      </w:r>
      <w:r>
        <w:t xml:space="preserve"> </w:t>
      </w:r>
      <w:r w:rsidRPr="00C132E7">
        <w:t xml:space="preserve">Estás iniciativas </w:t>
      </w:r>
      <w:r>
        <w:t>aprovech</w:t>
      </w:r>
      <w:r w:rsidRPr="00C132E7">
        <w:t>arán las medidas ya adoptadas por los gobiernos australianos para garantizar la seguridad de los estudiantes internacionales</w:t>
      </w:r>
      <w:r>
        <w:t>,</w:t>
      </w:r>
      <w:r w:rsidRPr="00C132E7">
        <w:t xml:space="preserve"> y que </w:t>
      </w:r>
      <w:r>
        <w:t xml:space="preserve">estos </w:t>
      </w:r>
      <w:r w:rsidRPr="00C132E7">
        <w:t>puedan regresar a su</w:t>
      </w:r>
      <w:r>
        <w:t>s</w:t>
      </w:r>
      <w:r w:rsidRPr="00C132E7">
        <w:t xml:space="preserve"> hogar</w:t>
      </w:r>
      <w:r>
        <w:t>es</w:t>
      </w:r>
      <w:r w:rsidRPr="00C132E7">
        <w:t xml:space="preserve"> con una educación de primera clase y una gran experiencia australiana.</w:t>
      </w:r>
    </w:p>
    <w:p w:rsidR="0098598D" w:rsidRPr="00C132E7" w:rsidRDefault="0098598D" w:rsidP="0098598D">
      <w:pPr>
        <w:pStyle w:val="SingleTxtG"/>
      </w:pPr>
      <w:r w:rsidRPr="00C132E7">
        <w:t>45.</w:t>
      </w:r>
      <w:r w:rsidRPr="00C132E7">
        <w:tab/>
        <w:t xml:space="preserve">En enero de 2010, el </w:t>
      </w:r>
      <w:r w:rsidR="00E771A2" w:rsidRPr="00C132E7">
        <w:t xml:space="preserve">gobierno </w:t>
      </w:r>
      <w:r w:rsidRPr="00C132E7">
        <w:t xml:space="preserve">de Victoria </w:t>
      </w:r>
      <w:r>
        <w:t>creó</w:t>
      </w:r>
      <w:r w:rsidRPr="00C132E7">
        <w:t xml:space="preserve"> el Servicio de atención a los estudiantes internacionales, un servicio de 24 horas al que los estudiantes internacionales pueden recurrir para tener mayor</w:t>
      </w:r>
      <w:r>
        <w:t>es posibilidades de</w:t>
      </w:r>
      <w:r w:rsidRPr="00C132E7">
        <w:t xml:space="preserve"> acceso al alojamiento</w:t>
      </w:r>
      <w:r>
        <w:t>, a</w:t>
      </w:r>
      <w:r w:rsidRPr="00C132E7">
        <w:t>l asesoramiento</w:t>
      </w:r>
      <w:r>
        <w:t>,</w:t>
      </w:r>
      <w:r w:rsidRPr="00C132E7">
        <w:t xml:space="preserve"> a los servicios legales</w:t>
      </w:r>
      <w:r>
        <w:t>, a la</w:t>
      </w:r>
      <w:r w:rsidRPr="00C132E7">
        <w:t xml:space="preserve"> asistencia en caso de emergencias y </w:t>
      </w:r>
      <w:r>
        <w:t xml:space="preserve">a </w:t>
      </w:r>
      <w:r w:rsidRPr="00C132E7">
        <w:t>la asistencia social. En mayo de 2011, el gobierno de Victoria anunció una financiación por valor de 3,7 millones de dólares australianos durante un período de cuatro años para mantener el Servicio de atención a los estudiantes internacionales.</w:t>
      </w:r>
    </w:p>
    <w:p w:rsidR="0098598D" w:rsidRPr="00C132E7" w:rsidRDefault="0098598D" w:rsidP="0098598D">
      <w:pPr>
        <w:pStyle w:val="SingleTxtG"/>
      </w:pPr>
      <w:r w:rsidRPr="00C132E7">
        <w:t>46.</w:t>
      </w:r>
      <w:r w:rsidRPr="00C132E7">
        <w:tab/>
        <w:t xml:space="preserve">El Ministro Federal de Educación Terciaria, Formación Profesional, Empleo y Relaciones en el Lugar de Trabajo publicó un estudio sobre los estudiantes internacionales en diciembre de 2010. Las principales conclusiones de este estudio </w:t>
      </w:r>
      <w:r>
        <w:t>eran</w:t>
      </w:r>
      <w:r w:rsidRPr="00C132E7">
        <w:t xml:space="preserve"> que un 84% de los estudiantes internacionales encuestados estaban "satisfechos" o "muy satisfechos" con su experiencia docente</w:t>
      </w:r>
      <w:r>
        <w:t>,</w:t>
      </w:r>
      <w:r w:rsidRPr="00C132E7">
        <w:t xml:space="preserve"> y que el 86% estaban satisfechos con su experiencia en general sobre la vida en Australia. El 85% de los </w:t>
      </w:r>
      <w:r>
        <w:t>estudiantes</w:t>
      </w:r>
      <w:r w:rsidRPr="00C132E7">
        <w:t xml:space="preserve"> de enseñanza terciaria que respondieron indicaban que estaban satisfechos con el nivel de apoyo que habían recibido a su llegada a Australia. La gran mayoría de los estudiantes internacionales indicaron que se consideraban "bastante seguros" o "muy seguros" en el campus universitario, una opinión que expresaron </w:t>
      </w:r>
      <w:r>
        <w:t>u</w:t>
      </w:r>
      <w:r w:rsidRPr="00C132E7">
        <w:t xml:space="preserve">n 96,8% de los varones y </w:t>
      </w:r>
      <w:r>
        <w:t xml:space="preserve">un </w:t>
      </w:r>
      <w:r w:rsidRPr="00C132E7">
        <w:t>95,6% de las mujeres que respondieron.</w:t>
      </w:r>
    </w:p>
    <w:p w:rsidR="0098598D" w:rsidRPr="00C132E7" w:rsidRDefault="0098598D" w:rsidP="0098598D">
      <w:pPr>
        <w:pStyle w:val="SingleTxtG"/>
      </w:pPr>
      <w:r w:rsidRPr="00C132E7">
        <w:t>47.</w:t>
      </w:r>
      <w:r w:rsidRPr="00C132E7">
        <w:tab/>
        <w:t xml:space="preserve">El Gobierno de Australia sigue aplicando las recomendaciones </w:t>
      </w:r>
      <w:r>
        <w:t>formuladas en</w:t>
      </w:r>
      <w:r w:rsidRPr="00C132E7">
        <w:t xml:space="preserve"> la revisión de la Ley de servicios educativos para los estudiantes extranjeros (ESOS)</w:t>
      </w:r>
      <w:r>
        <w:t>,</w:t>
      </w:r>
      <w:r w:rsidRPr="00C132E7">
        <w:t xml:space="preserve"> llevada a cabo por Bruce Baird AO, que complement</w:t>
      </w:r>
      <w:r>
        <w:t>a</w:t>
      </w:r>
      <w:r w:rsidRPr="00C132E7">
        <w:t xml:space="preserve"> los objetivos </w:t>
      </w:r>
      <w:r>
        <w:t>de</w:t>
      </w:r>
      <w:r w:rsidRPr="00C132E7">
        <w:t xml:space="preserve"> bienestar de la Estrategia para los estudiantes internacionales de Australia. Con la puesta en práctica de la primera parte de </w:t>
      </w:r>
      <w:r>
        <w:t>la reforma</w:t>
      </w:r>
      <w:r w:rsidRPr="00C132E7">
        <w:t xml:space="preserve"> legislativ</w:t>
      </w:r>
      <w:r>
        <w:t>a</w:t>
      </w:r>
      <w:r w:rsidRPr="00C132E7">
        <w:t xml:space="preserve"> recomendad</w:t>
      </w:r>
      <w:r>
        <w:t>a</w:t>
      </w:r>
      <w:r w:rsidRPr="00C132E7">
        <w:t xml:space="preserve"> por la Revisión Baird</w:t>
      </w:r>
      <w:r>
        <w:t>,</w:t>
      </w:r>
      <w:r w:rsidRPr="00C132E7">
        <w:t xml:space="preserve"> los estudiantes internacionales gozarán de una mayor protección. La Ley de enmienda de la ESOS</w:t>
      </w:r>
      <w:r>
        <w:t>,</w:t>
      </w:r>
      <w:r w:rsidRPr="00C132E7">
        <w:t xml:space="preserve"> que </w:t>
      </w:r>
      <w:r>
        <w:t>entr</w:t>
      </w:r>
      <w:r w:rsidRPr="00C132E7">
        <w:t xml:space="preserve">ó </w:t>
      </w:r>
      <w:r>
        <w:t xml:space="preserve">en vigor </w:t>
      </w:r>
      <w:r w:rsidRPr="00C132E7">
        <w:t>el 8 de abril de 2011</w:t>
      </w:r>
      <w:r>
        <w:t>,</w:t>
      </w:r>
      <w:r w:rsidRPr="00C132E7">
        <w:t xml:space="preserve"> tiene por objetivo proteger a los estudiantes internacionales fortaleciendo los requisitos de registro de los docentes y ampliando la función del </w:t>
      </w:r>
      <w:r w:rsidRPr="00135E45">
        <w:t>Ombudsman</w:t>
      </w:r>
      <w:r w:rsidRPr="00C132E7">
        <w:t xml:space="preserve"> del Commonwealth para considerar las quejas de los estudiantes internacionales en relación con los docentes privados.</w:t>
      </w:r>
    </w:p>
    <w:p w:rsidR="0098598D" w:rsidRPr="00C132E7" w:rsidRDefault="0098598D" w:rsidP="0098598D">
      <w:pPr>
        <w:pStyle w:val="SingleTxtG"/>
      </w:pPr>
      <w:r w:rsidRPr="00C132E7">
        <w:t>48.</w:t>
      </w:r>
      <w:r w:rsidRPr="00C132E7">
        <w:tab/>
        <w:t>Por lo que respecta al bienestar de los estudiantes el Gobierno de Australia designó también a Michael Knight AO para que llevase a cabo una revisión estratégica del programa de visados de Australia para los estudiantes en 2011, y el Gobierno examina actualmente e</w:t>
      </w:r>
      <w:r>
        <w:t>l</w:t>
      </w:r>
      <w:r w:rsidRPr="00C132E7">
        <w:t xml:space="preserve"> informe. Australia tendrá mucho gusto en seguir informando al Comité de la evolución de la situación por lo que respecta al bienestar de los estudiantes internacionales en Australia.</w:t>
      </w:r>
    </w:p>
    <w:p w:rsidR="0098598D" w:rsidRPr="00C132E7" w:rsidRDefault="0098598D" w:rsidP="0098598D">
      <w:pPr>
        <w:spacing w:before="240" w:after="120"/>
        <w:jc w:val="center"/>
        <w:rPr>
          <w:u w:val="single"/>
        </w:rPr>
      </w:pPr>
      <w:r w:rsidRPr="00C132E7">
        <w:rPr>
          <w:u w:val="single"/>
        </w:rPr>
        <w:tab/>
      </w:r>
      <w:r w:rsidRPr="00C132E7">
        <w:rPr>
          <w:u w:val="single"/>
        </w:rPr>
        <w:tab/>
      </w:r>
      <w:r w:rsidRPr="00C132E7">
        <w:rPr>
          <w:u w:val="single"/>
        </w:rPr>
        <w:tab/>
      </w:r>
    </w:p>
    <w:p w:rsidR="0098598D" w:rsidRPr="007D1AB8" w:rsidRDefault="0098598D" w:rsidP="0098598D">
      <w:pPr>
        <w:spacing w:after="240" w:line="840" w:lineRule="auto"/>
      </w:pPr>
    </w:p>
    <w:p w:rsidR="0098598D" w:rsidRDefault="0098598D" w:rsidP="001075E9"/>
    <w:p w:rsidR="006F35EE" w:rsidRDefault="006F35EE" w:rsidP="001075E9"/>
    <w:p w:rsidR="00381C24" w:rsidRPr="001075E9" w:rsidRDefault="00381C24" w:rsidP="001075E9"/>
    <w:sectPr w:rsidR="00381C24" w:rsidRPr="001075E9" w:rsidSect="0098598D">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E33" w:rsidRDefault="000F5E33">
      <w:r>
        <w:separator/>
      </w:r>
    </w:p>
  </w:endnote>
  <w:endnote w:type="continuationSeparator" w:id="0">
    <w:p w:rsidR="000F5E33" w:rsidRDefault="000F5E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8D" w:rsidRPr="0098598D" w:rsidRDefault="0098598D" w:rsidP="0098598D">
    <w:pPr>
      <w:pStyle w:val="Footer"/>
      <w:tabs>
        <w:tab w:val="right" w:pos="9638"/>
      </w:tabs>
    </w:pPr>
    <w:r w:rsidRPr="0098598D">
      <w:rPr>
        <w:b/>
        <w:sz w:val="18"/>
      </w:rPr>
      <w:fldChar w:fldCharType="begin"/>
    </w:r>
    <w:r w:rsidRPr="0098598D">
      <w:rPr>
        <w:b/>
        <w:sz w:val="18"/>
      </w:rPr>
      <w:instrText xml:space="preserve"> PAGE  \* MERGEFORMAT </w:instrText>
    </w:r>
    <w:r w:rsidRPr="0098598D">
      <w:rPr>
        <w:b/>
        <w:sz w:val="18"/>
      </w:rPr>
      <w:fldChar w:fldCharType="separate"/>
    </w:r>
    <w:r w:rsidR="007C4221">
      <w:rPr>
        <w:b/>
        <w:noProof/>
        <w:sz w:val="18"/>
      </w:rPr>
      <w:t>8</w:t>
    </w:r>
    <w:r w:rsidRPr="0098598D">
      <w:rPr>
        <w:b/>
        <w:sz w:val="18"/>
      </w:rPr>
      <w:fldChar w:fldCharType="end"/>
    </w:r>
    <w:r>
      <w:rPr>
        <w:b/>
        <w:sz w:val="18"/>
      </w:rPr>
      <w:tab/>
    </w:r>
    <w:r>
      <w:t>GE.11-46102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8D" w:rsidRPr="0098598D" w:rsidRDefault="0098598D" w:rsidP="0098598D">
    <w:pPr>
      <w:pStyle w:val="Footer"/>
      <w:tabs>
        <w:tab w:val="right" w:pos="9638"/>
      </w:tabs>
      <w:rPr>
        <w:b/>
        <w:sz w:val="18"/>
      </w:rPr>
    </w:pPr>
    <w:r>
      <w:t>GE.11-46102</w:t>
    </w:r>
    <w:r>
      <w:tab/>
    </w:r>
    <w:r w:rsidRPr="0098598D">
      <w:rPr>
        <w:b/>
        <w:sz w:val="18"/>
      </w:rPr>
      <w:fldChar w:fldCharType="begin"/>
    </w:r>
    <w:r w:rsidRPr="0098598D">
      <w:rPr>
        <w:b/>
        <w:sz w:val="18"/>
      </w:rPr>
      <w:instrText xml:space="preserve"> PAGE  \* MERGEFORMAT </w:instrText>
    </w:r>
    <w:r w:rsidRPr="0098598D">
      <w:rPr>
        <w:b/>
        <w:sz w:val="18"/>
      </w:rPr>
      <w:fldChar w:fldCharType="separate"/>
    </w:r>
    <w:r w:rsidR="007C4221">
      <w:rPr>
        <w:b/>
        <w:noProof/>
        <w:sz w:val="18"/>
      </w:rPr>
      <w:t>7</w:t>
    </w:r>
    <w:r w:rsidRPr="0098598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EB2" w:rsidRPr="0098598D" w:rsidRDefault="0098598D">
    <w:pPr>
      <w:pStyle w:val="Footer"/>
      <w:rPr>
        <w:sz w:val="20"/>
      </w:rPr>
    </w:pPr>
    <w:r>
      <w:rPr>
        <w:sz w:val="20"/>
      </w:rPr>
      <w:t>GE.</w:t>
    </w:r>
    <w:r w:rsidR="00CE6EB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11-46102  (S)    261011    311011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E33" w:rsidRPr="001075E9" w:rsidRDefault="000F5E33" w:rsidP="001075E9">
      <w:pPr>
        <w:tabs>
          <w:tab w:val="right" w:pos="2155"/>
        </w:tabs>
        <w:spacing w:after="80" w:line="240" w:lineRule="auto"/>
        <w:ind w:left="680"/>
        <w:rPr>
          <w:u w:val="single"/>
        </w:rPr>
      </w:pPr>
      <w:r>
        <w:rPr>
          <w:u w:val="single"/>
        </w:rPr>
        <w:tab/>
      </w:r>
    </w:p>
  </w:footnote>
  <w:footnote w:type="continuationSeparator" w:id="0">
    <w:p w:rsidR="000F5E33" w:rsidRDefault="000F5E33">
      <w:r>
        <w:continuationSeparator/>
      </w:r>
    </w:p>
  </w:footnote>
  <w:footnote w:id="1">
    <w:p w:rsidR="0098598D" w:rsidRPr="00F335F9" w:rsidRDefault="0098598D" w:rsidP="0098598D">
      <w:pPr>
        <w:pStyle w:val="FootnoteText"/>
        <w:rPr>
          <w:sz w:val="20"/>
        </w:rPr>
      </w:pPr>
      <w:r>
        <w:tab/>
      </w:r>
      <w:r w:rsidRPr="00F335F9">
        <w:rPr>
          <w:rStyle w:val="FootnoteReference"/>
          <w:sz w:val="20"/>
          <w:vertAlign w:val="baseline"/>
        </w:rPr>
        <w:t>*</w:t>
      </w:r>
      <w:r w:rsidRPr="00F335F9">
        <w:tab/>
      </w:r>
      <w:r w:rsidRPr="00F335F9">
        <w:rPr>
          <w:szCs w:val="18"/>
        </w:rPr>
        <w:t xml:space="preserve">Con arreglo a la información transmitida a los Estados partes acerca de la </w:t>
      </w:r>
      <w:r>
        <w:rPr>
          <w:szCs w:val="18"/>
        </w:rPr>
        <w:t>public</w:t>
      </w:r>
      <w:r w:rsidRPr="00F335F9">
        <w:rPr>
          <w:szCs w:val="18"/>
        </w:rPr>
        <w:t>ación de sus informes, el presente documento no fue objeto de revisión editorial antes de ser enviado a los servicios de traducción de las Naciones Unidas.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8D" w:rsidRPr="0098598D" w:rsidRDefault="0098598D">
    <w:pPr>
      <w:pStyle w:val="Header"/>
      <w:rPr>
        <w:lang w:val="en-GB"/>
      </w:rPr>
    </w:pPr>
    <w:r w:rsidRPr="0098598D">
      <w:rPr>
        <w:lang w:val="en-GB"/>
      </w:rPr>
      <w:t>CERD/C/AUS/CO/15-17/Add.1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98D" w:rsidRPr="0098598D" w:rsidRDefault="0098598D" w:rsidP="0098598D">
    <w:pPr>
      <w:pStyle w:val="Header"/>
      <w:jc w:val="right"/>
      <w:rPr>
        <w:lang w:val="en-GB"/>
      </w:rPr>
    </w:pPr>
    <w:r w:rsidRPr="0098598D">
      <w:rPr>
        <w:lang w:val="en-GB"/>
      </w:rPr>
      <w:t>CERD/C/AUS/CO/15-17/Add.1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6EB2"/>
    <w:rsid w:val="00006BB9"/>
    <w:rsid w:val="000107A1"/>
    <w:rsid w:val="0002339D"/>
    <w:rsid w:val="00036733"/>
    <w:rsid w:val="000B57E7"/>
    <w:rsid w:val="000F09DF"/>
    <w:rsid w:val="000F5E33"/>
    <w:rsid w:val="000F61B2"/>
    <w:rsid w:val="000F6D49"/>
    <w:rsid w:val="001075E9"/>
    <w:rsid w:val="00145F2F"/>
    <w:rsid w:val="00160FF7"/>
    <w:rsid w:val="00180183"/>
    <w:rsid w:val="00196389"/>
    <w:rsid w:val="001C7A89"/>
    <w:rsid w:val="00201F1A"/>
    <w:rsid w:val="002433EC"/>
    <w:rsid w:val="0025226E"/>
    <w:rsid w:val="002A2EFC"/>
    <w:rsid w:val="002C0E18"/>
    <w:rsid w:val="002C33BB"/>
    <w:rsid w:val="002D5AAC"/>
    <w:rsid w:val="00301299"/>
    <w:rsid w:val="00322004"/>
    <w:rsid w:val="003402C2"/>
    <w:rsid w:val="00381C24"/>
    <w:rsid w:val="003958D0"/>
    <w:rsid w:val="004031F0"/>
    <w:rsid w:val="00454E07"/>
    <w:rsid w:val="00471CB3"/>
    <w:rsid w:val="0050108D"/>
    <w:rsid w:val="0051740C"/>
    <w:rsid w:val="00572E19"/>
    <w:rsid w:val="005F0B42"/>
    <w:rsid w:val="00634841"/>
    <w:rsid w:val="00655A21"/>
    <w:rsid w:val="006725B3"/>
    <w:rsid w:val="006808A9"/>
    <w:rsid w:val="006B01C0"/>
    <w:rsid w:val="006D631C"/>
    <w:rsid w:val="006F35EE"/>
    <w:rsid w:val="007021FF"/>
    <w:rsid w:val="007076CB"/>
    <w:rsid w:val="007967DF"/>
    <w:rsid w:val="007C4221"/>
    <w:rsid w:val="00834B71"/>
    <w:rsid w:val="0086445C"/>
    <w:rsid w:val="00865FAC"/>
    <w:rsid w:val="008728CD"/>
    <w:rsid w:val="008A08D7"/>
    <w:rsid w:val="008A13F9"/>
    <w:rsid w:val="008A6826"/>
    <w:rsid w:val="008C0F65"/>
    <w:rsid w:val="00906890"/>
    <w:rsid w:val="00951972"/>
    <w:rsid w:val="00954E65"/>
    <w:rsid w:val="0098598D"/>
    <w:rsid w:val="00A17DFD"/>
    <w:rsid w:val="00A24780"/>
    <w:rsid w:val="00A3186A"/>
    <w:rsid w:val="00A4674B"/>
    <w:rsid w:val="00A917B3"/>
    <w:rsid w:val="00AB4B51"/>
    <w:rsid w:val="00B066FC"/>
    <w:rsid w:val="00B10CC7"/>
    <w:rsid w:val="00B62458"/>
    <w:rsid w:val="00B778C8"/>
    <w:rsid w:val="00BB36EA"/>
    <w:rsid w:val="00BD33EE"/>
    <w:rsid w:val="00C60F0C"/>
    <w:rsid w:val="00C63C2A"/>
    <w:rsid w:val="00C805C9"/>
    <w:rsid w:val="00CA1679"/>
    <w:rsid w:val="00CE6EB2"/>
    <w:rsid w:val="00D05347"/>
    <w:rsid w:val="00D90138"/>
    <w:rsid w:val="00D95521"/>
    <w:rsid w:val="00E73F76"/>
    <w:rsid w:val="00E771A2"/>
    <w:rsid w:val="00EA31D8"/>
    <w:rsid w:val="00EA5579"/>
    <w:rsid w:val="00EF1360"/>
    <w:rsid w:val="00EF3220"/>
    <w:rsid w:val="00EF7198"/>
    <w:rsid w:val="00F4188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basedOn w:val="DefaultParagraphFont"/>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semiHidden/>
    <w:rsid w:val="00EA31D8"/>
    <w:rPr>
      <w:color w:val="0000FF"/>
      <w:u w:val="single"/>
    </w:rPr>
  </w:style>
  <w:style w:type="character" w:styleId="FollowedHyperlink">
    <w:name w:val="FollowedHyperlink"/>
    <w:basedOn w:val="DefaultParagraphFont"/>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8</Pages>
  <Words>4112</Words>
  <Characters>21917</Characters>
  <Application>Microsoft Office Outlook</Application>
  <DocSecurity>4</DocSecurity>
  <Lines>353</Lines>
  <Paragraphs>99</Paragraphs>
  <ScaleCrop>false</ScaleCrop>
  <HeadingPairs>
    <vt:vector size="2" baseType="variant">
      <vt:variant>
        <vt:lpstr>Título</vt:lpstr>
      </vt:variant>
      <vt:variant>
        <vt:i4>1</vt:i4>
      </vt:variant>
    </vt:vector>
  </HeadingPairs>
  <TitlesOfParts>
    <vt:vector size="1" baseType="lpstr">
      <vt:lpstr>CERD/C/AUS/CO/15-17/Add.1   -1146102</vt:lpstr>
    </vt:vector>
  </TitlesOfParts>
  <Company/>
  <LinksUpToDate>false</LinksUpToDate>
  <CharactersWithSpaces>25930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CERD/C/AUS/CO/15-17/Add.1   -1146102</dc:title>
  <dc:subject>FINAL</dc:subject>
  <dc:creator>Maruchi Zeballos</dc:creator>
  <cp:keywords/>
  <dc:description/>
  <cp:lastModifiedBy>Maruchi Zeballos</cp:lastModifiedBy>
  <cp:revision>2</cp:revision>
  <cp:lastPrinted>2011-10-31T09:33:00Z</cp:lastPrinted>
  <dcterms:created xsi:type="dcterms:W3CDTF">2011-10-31T09:34:00Z</dcterms:created>
  <dcterms:modified xsi:type="dcterms:W3CDTF">2011-10-31T09:34:00Z</dcterms:modified>
</cp:coreProperties>
</file>