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1532E3" w:rsidP="001532E3">
            <w:pPr>
              <w:bidi w:val="0"/>
              <w:spacing w:after="20"/>
              <w:jc w:val="left"/>
              <w:rPr>
                <w:szCs w:val="20"/>
              </w:rPr>
            </w:pPr>
            <w:r w:rsidRPr="001532E3">
              <w:rPr>
                <w:sz w:val="40"/>
                <w:szCs w:val="20"/>
              </w:rPr>
              <w:t>CERD</w:t>
            </w:r>
            <w:r>
              <w:rPr>
                <w:szCs w:val="20"/>
              </w:rPr>
              <w:t>/C/AUT/CO/18-20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1532E3" w:rsidRDefault="001532E3" w:rsidP="001532E3">
            <w:pPr>
              <w:bidi w:val="0"/>
              <w:spacing w:before="240"/>
              <w:jc w:val="left"/>
            </w:pPr>
            <w:r>
              <w:t>Distr.:</w:t>
            </w:r>
            <w:r>
              <w:rPr>
                <w:rtl/>
              </w:rPr>
              <w:t xml:space="preserve"> </w:t>
            </w:r>
            <w:r>
              <w:t>General</w:t>
            </w:r>
          </w:p>
          <w:p w:rsidR="001532E3" w:rsidRDefault="001532E3" w:rsidP="001532E3">
            <w:pPr>
              <w:bidi w:val="0"/>
              <w:jc w:val="left"/>
            </w:pPr>
            <w:r>
              <w:t>23 October 2012</w:t>
            </w:r>
          </w:p>
          <w:p w:rsidR="001532E3" w:rsidRDefault="001532E3" w:rsidP="001532E3">
            <w:pPr>
              <w:bidi w:val="0"/>
              <w:jc w:val="left"/>
            </w:pPr>
            <w:r>
              <w:t>Arabic</w:t>
            </w:r>
          </w:p>
          <w:p w:rsidR="00257225" w:rsidRPr="008B4BC6" w:rsidRDefault="001532E3" w:rsidP="001532E3">
            <w:pPr>
              <w:bidi w:val="0"/>
              <w:jc w:val="left"/>
            </w:pPr>
            <w:r>
              <w:t>Original: English</w:t>
            </w:r>
          </w:p>
        </w:tc>
      </w:tr>
    </w:tbl>
    <w:p w:rsidR="001532E3" w:rsidRPr="001532E3" w:rsidRDefault="001532E3" w:rsidP="001532E3">
      <w:pPr>
        <w:spacing w:before="120" w:after="240" w:line="380" w:lineRule="exact"/>
        <w:rPr>
          <w:rFonts w:hint="cs"/>
          <w:b/>
          <w:bCs/>
          <w:sz w:val="26"/>
          <w:szCs w:val="36"/>
          <w:rtl/>
          <w:lang w:val="fr-CH"/>
        </w:rPr>
      </w:pPr>
      <w:r w:rsidRPr="001532E3">
        <w:rPr>
          <w:rFonts w:hint="cs"/>
          <w:b/>
          <w:bCs/>
          <w:sz w:val="26"/>
          <w:szCs w:val="36"/>
          <w:rtl/>
          <w:lang w:val="fr-CH"/>
        </w:rPr>
        <w:t>لجنة القضاء على التمييز العنصري</w:t>
      </w:r>
    </w:p>
    <w:p w:rsidR="001532E3" w:rsidRDefault="001532E3" w:rsidP="001532E3">
      <w:pPr>
        <w:pStyle w:val="HChGA"/>
        <w:rPr>
          <w:rFonts w:hint="cs"/>
          <w:rtl/>
          <w:lang w:val="fr-CH"/>
        </w:rPr>
      </w:pPr>
      <w:r>
        <w:rPr>
          <w:rFonts w:hint="cs"/>
          <w:rtl/>
          <w:lang w:val="fr-CH"/>
        </w:rPr>
        <w:tab/>
      </w:r>
      <w:r>
        <w:rPr>
          <w:rFonts w:hint="cs"/>
          <w:rtl/>
          <w:lang w:val="fr-CH"/>
        </w:rPr>
        <w:tab/>
        <w:t xml:space="preserve">الملاحظات الختامية التي اعتمدتها اللجنة في جلستها الحادية والثمانين (6-13 </w:t>
      </w:r>
      <w:r w:rsidRPr="009A568A">
        <w:rPr>
          <w:rFonts w:hint="cs"/>
          <w:sz w:val="30"/>
          <w:rtl/>
          <w:lang w:val="fr-CH"/>
        </w:rPr>
        <w:t xml:space="preserve">آب/أغسطس </w:t>
      </w:r>
      <w:r>
        <w:rPr>
          <w:rFonts w:hint="cs"/>
          <w:rtl/>
          <w:lang w:val="fr-CH"/>
        </w:rPr>
        <w:t>2012) بشأن التقارير الدورية للنمسا من الثامن عشر إلى العشرين</w:t>
      </w:r>
    </w:p>
    <w:p w:rsidR="001532E3" w:rsidRDefault="001532E3" w:rsidP="001532E3">
      <w:pPr>
        <w:pStyle w:val="SingleTxtGA"/>
        <w:rPr>
          <w:rFonts w:hint="cs"/>
          <w:rtl/>
          <w:lang w:val="fr-CH"/>
        </w:rPr>
      </w:pPr>
      <w:r>
        <w:rPr>
          <w:rFonts w:hint="cs"/>
          <w:rtl/>
          <w:lang w:val="fr-CH"/>
        </w:rPr>
        <w:t>1-</w:t>
      </w:r>
      <w:r>
        <w:rPr>
          <w:rFonts w:hint="cs"/>
          <w:rtl/>
          <w:lang w:val="fr-CH"/>
        </w:rPr>
        <w:tab/>
        <w:t xml:space="preserve">نظرت اللجنة في التقارير الدورية من الثامن عشر إلى العشرين المقدمة من النمسا </w:t>
      </w:r>
      <w:r w:rsidRPr="00990961">
        <w:rPr>
          <w:rFonts w:hint="cs"/>
          <w:spacing w:val="-4"/>
          <w:rtl/>
          <w:lang w:val="fr-CH"/>
        </w:rPr>
        <w:t>(</w:t>
      </w:r>
      <w:r w:rsidRPr="00990961">
        <w:rPr>
          <w:spacing w:val="-4"/>
        </w:rPr>
        <w:t>CERD/C/AUT/18-20</w:t>
      </w:r>
      <w:r w:rsidRPr="00990961">
        <w:rPr>
          <w:rFonts w:hint="cs"/>
          <w:spacing w:val="-4"/>
          <w:rtl/>
        </w:rPr>
        <w:t>)، في وثيقة واحدة، في جلستيها 2189 و2190</w:t>
      </w:r>
      <w:r>
        <w:rPr>
          <w:rFonts w:hint="cs"/>
          <w:rtl/>
        </w:rPr>
        <w:t xml:space="preserve"> (</w:t>
      </w:r>
      <w:r>
        <w:t>CERD/C/SR.2189</w:t>
      </w:r>
      <w:r>
        <w:rPr>
          <w:rFonts w:hint="cs"/>
          <w:rtl/>
        </w:rPr>
        <w:t xml:space="preserve"> </w:t>
      </w:r>
      <w:r w:rsidRPr="00666D88">
        <w:rPr>
          <w:rFonts w:hint="cs"/>
          <w:spacing w:val="-2"/>
          <w:rtl/>
        </w:rPr>
        <w:t>و</w:t>
      </w:r>
      <w:r w:rsidRPr="00666D88">
        <w:rPr>
          <w:spacing w:val="-2"/>
        </w:rPr>
        <w:t>2190</w:t>
      </w:r>
      <w:r w:rsidRPr="00666D88">
        <w:rPr>
          <w:rFonts w:hint="cs"/>
          <w:spacing w:val="-2"/>
          <w:rtl/>
        </w:rPr>
        <w:t xml:space="preserve">)، المعقودتين في 22 و23 </w:t>
      </w:r>
      <w:r w:rsidRPr="00666D88">
        <w:rPr>
          <w:rFonts w:hint="cs"/>
          <w:spacing w:val="-2"/>
          <w:sz w:val="30"/>
          <w:rtl/>
        </w:rPr>
        <w:t xml:space="preserve">آب/أغسطس </w:t>
      </w:r>
      <w:r w:rsidRPr="00666D88">
        <w:rPr>
          <w:rFonts w:hint="cs"/>
          <w:spacing w:val="-2"/>
          <w:rtl/>
        </w:rPr>
        <w:t>2012. واعتمدت اللجنة في جلستها</w:t>
      </w:r>
      <w:r>
        <w:rPr>
          <w:rFonts w:hint="cs"/>
          <w:rtl/>
        </w:rPr>
        <w:t xml:space="preserve"> 2200 (</w:t>
      </w:r>
      <w:r>
        <w:t>CERD/C/SR.2200</w:t>
      </w:r>
      <w:r>
        <w:rPr>
          <w:rFonts w:hint="cs"/>
          <w:rtl/>
          <w:lang w:val="fr-CH"/>
        </w:rPr>
        <w:t xml:space="preserve">)، المعقودة في 30 </w:t>
      </w:r>
      <w:r w:rsidRPr="009A568A">
        <w:rPr>
          <w:rFonts w:hint="cs"/>
          <w:sz w:val="30"/>
          <w:rtl/>
          <w:lang w:val="fr-CH"/>
        </w:rPr>
        <w:t xml:space="preserve">آب/أغسطس </w:t>
      </w:r>
      <w:r>
        <w:rPr>
          <w:rFonts w:hint="cs"/>
          <w:rtl/>
          <w:lang w:val="fr-CH"/>
        </w:rPr>
        <w:t>2</w:t>
      </w:r>
      <w:r w:rsidR="00B92F1B">
        <w:rPr>
          <w:rFonts w:hint="cs"/>
          <w:rtl/>
          <w:lang w:val="fr-CH"/>
        </w:rPr>
        <w:t>012، الملاحظات الختامية التالية.</w:t>
      </w:r>
    </w:p>
    <w:p w:rsidR="001532E3" w:rsidRDefault="001532E3" w:rsidP="0068336D">
      <w:pPr>
        <w:pStyle w:val="H1GA"/>
        <w:rPr>
          <w:rFonts w:hint="cs"/>
          <w:rtl/>
        </w:rPr>
      </w:pPr>
      <w:r>
        <w:rPr>
          <w:rFonts w:hint="cs"/>
          <w:rtl/>
        </w:rPr>
        <w:tab/>
        <w:t>ألف-</w:t>
      </w:r>
      <w:r>
        <w:rPr>
          <w:rFonts w:hint="cs"/>
          <w:rtl/>
        </w:rPr>
        <w:tab/>
      </w:r>
      <w:r w:rsidRPr="0068336D">
        <w:rPr>
          <w:rFonts w:hint="cs"/>
          <w:rtl/>
        </w:rPr>
        <w:t>مقدمة</w:t>
      </w:r>
    </w:p>
    <w:p w:rsidR="001532E3" w:rsidRDefault="001532E3" w:rsidP="001532E3">
      <w:pPr>
        <w:pStyle w:val="SingleTxtGA"/>
        <w:rPr>
          <w:rFonts w:hint="cs"/>
          <w:rtl/>
          <w:lang w:val="fr-CH"/>
        </w:rPr>
      </w:pPr>
      <w:r>
        <w:rPr>
          <w:rFonts w:hint="cs"/>
          <w:rtl/>
          <w:lang w:val="fr-CH"/>
        </w:rPr>
        <w:t>2-</w:t>
      </w:r>
      <w:r>
        <w:rPr>
          <w:rFonts w:hint="cs"/>
          <w:rtl/>
          <w:lang w:val="fr-CH"/>
        </w:rPr>
        <w:tab/>
        <w:t>ترحب اللجنة بتقديم الدولة الطرف في الوقت المطلوب لتقاريرها الدورية من الثامن عشر إلى العشرين، التي أعدت وفقاً للمبادئ التوجيهية للجنة بشأن إعداد التقارير. وترحب اللجنة أيضاً بالحوار المفتوح مع وفد الدولة الطرف وكذلك بما بذلته من جهود لتقديم ردود شاملة وتكميلية على القضايا التي أثارها أعضاء اللجنة أثناء الحوار.</w:t>
      </w:r>
    </w:p>
    <w:p w:rsidR="001532E3" w:rsidRDefault="001532E3" w:rsidP="001532E3">
      <w:pPr>
        <w:pStyle w:val="H1GA"/>
        <w:rPr>
          <w:rFonts w:hint="cs"/>
          <w:rtl/>
          <w:lang w:val="fr-CH"/>
        </w:rPr>
      </w:pPr>
      <w:r>
        <w:rPr>
          <w:rFonts w:hint="cs"/>
          <w:rtl/>
          <w:lang w:val="fr-CH"/>
        </w:rPr>
        <w:tab/>
        <w:t>باء-</w:t>
      </w:r>
      <w:r>
        <w:rPr>
          <w:rFonts w:hint="cs"/>
          <w:rtl/>
          <w:lang w:val="fr-CH"/>
        </w:rPr>
        <w:tab/>
        <w:t>الجوانب الإيجابية</w:t>
      </w:r>
    </w:p>
    <w:p w:rsidR="001532E3" w:rsidRDefault="001532E3" w:rsidP="00B92F1B">
      <w:pPr>
        <w:pStyle w:val="SingleTxtGA"/>
        <w:rPr>
          <w:rFonts w:hint="cs"/>
          <w:rtl/>
          <w:lang w:val="fr-CH"/>
        </w:rPr>
      </w:pPr>
      <w:r>
        <w:rPr>
          <w:rFonts w:hint="cs"/>
          <w:rtl/>
          <w:lang w:val="fr-CH"/>
        </w:rPr>
        <w:t>3-</w:t>
      </w:r>
      <w:r>
        <w:rPr>
          <w:rFonts w:hint="cs"/>
          <w:rtl/>
          <w:lang w:val="fr-CH"/>
        </w:rPr>
        <w:tab/>
        <w:t xml:space="preserve">تشير اللجنة مع التقدير إلى التطورات التشريعية والسياسية التي حدثت في الدولة الطرف منذ تقديم تقريرها الأخير المتعلق بمكافحة التمييز العنصري، ومنها ما يلي: </w:t>
      </w:r>
    </w:p>
    <w:p w:rsidR="001532E3" w:rsidRDefault="001532E3" w:rsidP="001532E3">
      <w:pPr>
        <w:pStyle w:val="SingleTxtGA"/>
        <w:rPr>
          <w:rFonts w:hint="cs"/>
          <w:rtl/>
          <w:lang w:val="fr-CH"/>
        </w:rPr>
      </w:pPr>
      <w:r>
        <w:rPr>
          <w:rFonts w:hint="cs"/>
          <w:rtl/>
          <w:lang w:val="fr-CH"/>
        </w:rPr>
        <w:tab/>
        <w:t>(أ)</w:t>
      </w:r>
      <w:r>
        <w:rPr>
          <w:rFonts w:hint="cs"/>
          <w:rtl/>
          <w:lang w:val="fr-CH"/>
        </w:rPr>
        <w:tab/>
        <w:t>تعديل قانون توظيف الأجانب في عام 2011، الذي ألغى المادة 8(2) التي تنص على تسريح العاملين الأجانب أولاً في حال تسريح العاملين؛</w:t>
      </w:r>
    </w:p>
    <w:p w:rsidR="001532E3" w:rsidRDefault="001532E3" w:rsidP="0068336D">
      <w:pPr>
        <w:pStyle w:val="SingleTxtGA"/>
        <w:rPr>
          <w:rFonts w:hint="cs"/>
          <w:rtl/>
          <w:lang w:val="fr-CH"/>
        </w:rPr>
      </w:pPr>
      <w:r>
        <w:rPr>
          <w:rFonts w:hint="cs"/>
          <w:rtl/>
          <w:lang w:val="fr-CH"/>
        </w:rPr>
        <w:tab/>
        <w:t>(ب)</w:t>
      </w:r>
      <w:r>
        <w:rPr>
          <w:rFonts w:hint="cs"/>
          <w:rtl/>
          <w:lang w:val="fr-CH"/>
        </w:rPr>
        <w:tab/>
        <w:t>إجراء تعديلات على قانون المساواة في المعاملة والقانون الاتحادي المتعلق بلجنة المساواة في المعاملة، في عام 2008، الذي رفع قيمة التعويضات التي يمكن المطالبة بها عن انتهاكات حقوق الإنسان ومدد فترة التقادم بالنسبة لقضايا التحرش من ستة أشهر إلى</w:t>
      </w:r>
      <w:r w:rsidR="0068336D">
        <w:rPr>
          <w:rFonts w:hint="eastAsia"/>
          <w:rtl/>
          <w:lang w:val="fr-CH"/>
        </w:rPr>
        <w:t> </w:t>
      </w:r>
      <w:r>
        <w:rPr>
          <w:rFonts w:hint="cs"/>
          <w:rtl/>
          <w:lang w:val="fr-CH"/>
        </w:rPr>
        <w:t>سنة؛</w:t>
      </w:r>
    </w:p>
    <w:p w:rsidR="001532E3" w:rsidRDefault="001532E3" w:rsidP="001532E3">
      <w:pPr>
        <w:pStyle w:val="SingleTxtGA"/>
        <w:rPr>
          <w:rFonts w:hint="cs"/>
          <w:rtl/>
          <w:lang w:val="fr-CH"/>
        </w:rPr>
      </w:pPr>
      <w:r>
        <w:rPr>
          <w:rFonts w:hint="cs"/>
          <w:rtl/>
          <w:lang w:val="fr-CH"/>
        </w:rPr>
        <w:tab/>
        <w:t>(ج)</w:t>
      </w:r>
      <w:r>
        <w:rPr>
          <w:rFonts w:hint="cs"/>
          <w:rtl/>
          <w:lang w:val="fr-CH"/>
        </w:rPr>
        <w:tab/>
        <w:t>اعتماد خطة عمل وطنية للاندماج وإنشاء لجنة استشارية للاندماج في عام</w:t>
      </w:r>
      <w:r>
        <w:rPr>
          <w:rFonts w:hint="eastAsia"/>
          <w:rtl/>
          <w:lang w:val="fr-CH"/>
        </w:rPr>
        <w:t> </w:t>
      </w:r>
      <w:r>
        <w:rPr>
          <w:rFonts w:hint="cs"/>
          <w:rtl/>
          <w:lang w:val="fr-CH"/>
        </w:rPr>
        <w:t>2010؛</w:t>
      </w:r>
    </w:p>
    <w:p w:rsidR="001532E3" w:rsidRDefault="001532E3" w:rsidP="001532E3">
      <w:pPr>
        <w:pStyle w:val="SingleTxtGA"/>
        <w:rPr>
          <w:rFonts w:hint="cs"/>
          <w:rtl/>
          <w:lang w:val="fr-CH"/>
        </w:rPr>
      </w:pPr>
      <w:r>
        <w:rPr>
          <w:rFonts w:hint="cs"/>
          <w:rtl/>
          <w:lang w:val="fr-CH"/>
        </w:rPr>
        <w:tab/>
        <w:t>(د)</w:t>
      </w:r>
      <w:r>
        <w:rPr>
          <w:rFonts w:hint="cs"/>
          <w:rtl/>
          <w:lang w:val="fr-CH"/>
        </w:rPr>
        <w:tab/>
        <w:t>وضع برامج واستراتيجيات مختلفة وغيرها من المبادرات الرامية إلى بث الوعي في صفوف السكان فيما يتعلق بالتمييز العنصري، والاندماج والتسامح والتعددية الثقافية؛</w:t>
      </w:r>
    </w:p>
    <w:p w:rsidR="001532E3" w:rsidRDefault="001532E3" w:rsidP="001532E3">
      <w:pPr>
        <w:pStyle w:val="SingleTxtGA"/>
        <w:rPr>
          <w:rFonts w:hint="cs"/>
          <w:rtl/>
          <w:lang w:val="fr-CH"/>
        </w:rPr>
      </w:pPr>
      <w:r>
        <w:rPr>
          <w:rFonts w:hint="cs"/>
          <w:rtl/>
          <w:lang w:val="fr-CH"/>
        </w:rPr>
        <w:tab/>
        <w:t>(</w:t>
      </w:r>
      <w:r w:rsidRPr="001532E3">
        <w:rPr>
          <w:rFonts w:hint="cs"/>
          <w:rtl/>
          <w:lang w:val="fr-CH"/>
        </w:rPr>
        <w:t>ﻫ</w:t>
      </w:r>
      <w:r>
        <w:rPr>
          <w:rFonts w:hint="cs"/>
          <w:rtl/>
          <w:lang w:val="fr-CH"/>
        </w:rPr>
        <w:t>)</w:t>
      </w:r>
      <w:r>
        <w:rPr>
          <w:rFonts w:hint="cs"/>
          <w:rtl/>
          <w:lang w:val="fr-CH"/>
        </w:rPr>
        <w:tab/>
        <w:t xml:space="preserve">الترتيب الذي اعتمد بشأن موضوع اللافتات باللغتين الألمانية والسلوفينية في </w:t>
      </w:r>
      <w:proofErr w:type="spellStart"/>
      <w:r>
        <w:rPr>
          <w:rFonts w:hint="cs"/>
          <w:rtl/>
          <w:lang w:val="fr-CH"/>
        </w:rPr>
        <w:t>كارينثيا</w:t>
      </w:r>
      <w:proofErr w:type="spellEnd"/>
      <w:r>
        <w:rPr>
          <w:rFonts w:hint="cs"/>
          <w:rtl/>
          <w:lang w:val="fr-CH"/>
        </w:rPr>
        <w:t>.</w:t>
      </w:r>
    </w:p>
    <w:p w:rsidR="001532E3" w:rsidRDefault="001532E3" w:rsidP="001532E3">
      <w:pPr>
        <w:pStyle w:val="H1GA"/>
        <w:rPr>
          <w:rFonts w:hint="cs"/>
          <w:rtl/>
          <w:lang w:val="fr-CH"/>
        </w:rPr>
      </w:pPr>
      <w:r>
        <w:rPr>
          <w:rFonts w:hint="cs"/>
          <w:rtl/>
          <w:lang w:val="fr-CH"/>
        </w:rPr>
        <w:tab/>
        <w:t>جيم-</w:t>
      </w:r>
      <w:r>
        <w:rPr>
          <w:rFonts w:hint="cs"/>
          <w:rtl/>
          <w:lang w:val="fr-CH"/>
        </w:rPr>
        <w:tab/>
        <w:t>الشواغل والتوصيات</w:t>
      </w:r>
    </w:p>
    <w:p w:rsidR="001532E3" w:rsidRPr="0068336D" w:rsidRDefault="001532E3" w:rsidP="001532E3">
      <w:pPr>
        <w:pStyle w:val="H23GA"/>
        <w:rPr>
          <w:rFonts w:hint="cs"/>
          <w:rtl/>
        </w:rPr>
      </w:pPr>
      <w:r w:rsidRPr="0068336D">
        <w:rPr>
          <w:rFonts w:hint="cs"/>
          <w:rtl/>
        </w:rPr>
        <w:tab/>
      </w:r>
      <w:r w:rsidRPr="0068336D">
        <w:rPr>
          <w:rFonts w:hint="cs"/>
          <w:rtl/>
        </w:rPr>
        <w:tab/>
        <w:t>البيانات الإحصائية بشأن التركيبة السكانية</w:t>
      </w:r>
    </w:p>
    <w:p w:rsidR="001532E3" w:rsidRPr="001532E3" w:rsidRDefault="001532E3" w:rsidP="001532E3">
      <w:pPr>
        <w:pStyle w:val="SingleTxtGA"/>
        <w:rPr>
          <w:rFonts w:hint="cs"/>
          <w:rtl/>
          <w:lang w:val="fr-CH"/>
        </w:rPr>
      </w:pPr>
      <w:r>
        <w:rPr>
          <w:rFonts w:hint="cs"/>
          <w:rtl/>
          <w:lang w:val="fr-CH"/>
        </w:rPr>
        <w:t>4-</w:t>
      </w:r>
      <w:r>
        <w:rPr>
          <w:rFonts w:hint="cs"/>
          <w:rtl/>
          <w:lang w:val="fr-CH"/>
        </w:rPr>
        <w:tab/>
        <w:t>تذكر اللجنة بتوصيتها السابقة (</w:t>
      </w:r>
      <w:r w:rsidRPr="001532E3">
        <w:rPr>
          <w:lang w:val="fr-CH"/>
        </w:rPr>
        <w:t>CERD/C/AUT/</w:t>
      </w:r>
      <w:r w:rsidR="00B92F1B">
        <w:rPr>
          <w:lang w:val="fr-CH"/>
        </w:rPr>
        <w:t>CO</w:t>
      </w:r>
      <w:r w:rsidR="00B92F1B">
        <w:t>/</w:t>
      </w:r>
      <w:r w:rsidRPr="001532E3">
        <w:rPr>
          <w:lang w:val="fr-CH"/>
        </w:rPr>
        <w:t>17</w:t>
      </w:r>
      <w:r w:rsidRPr="001532E3">
        <w:rPr>
          <w:rFonts w:hint="cs"/>
          <w:rtl/>
          <w:lang w:val="fr-CH"/>
        </w:rPr>
        <w:t>، الفقرة 9) ولا تزال تشعر بالقلق لأن تقرير الدولة الطرف لا يتضمن بيانات إحصائية شاملة عن التركيبة الإثنية لسكانها (المادة 2).</w:t>
      </w:r>
    </w:p>
    <w:p w:rsidR="001532E3" w:rsidRDefault="001532E3" w:rsidP="001532E3">
      <w:pPr>
        <w:pStyle w:val="SingleTxtGA"/>
        <w:rPr>
          <w:rFonts w:hint="cs"/>
          <w:b/>
          <w:bCs/>
          <w:rtl/>
        </w:rPr>
      </w:pPr>
      <w:r w:rsidRPr="001532E3">
        <w:rPr>
          <w:rFonts w:hint="cs"/>
          <w:b/>
          <w:bCs/>
          <w:rtl/>
          <w:lang w:val="fr-CH"/>
        </w:rPr>
        <w:tab/>
        <w:t>ووفقاً للفقرات من 10 إلى 12 من المبادئ التوجيهية المنقحة لتقديم التقارير (</w:t>
      </w:r>
      <w:r w:rsidRPr="001532E3">
        <w:rPr>
          <w:b/>
          <w:bCs/>
          <w:lang w:val="fr-CH"/>
        </w:rPr>
        <w:t>CERD/C/2007/1</w:t>
      </w:r>
      <w:r w:rsidRPr="001532E3">
        <w:rPr>
          <w:rFonts w:hint="cs"/>
          <w:b/>
          <w:bCs/>
          <w:rtl/>
          <w:lang w:val="fr-CH"/>
        </w:rPr>
        <w:t>)، تكرر اللجنة توصياتها السابقة (</w:t>
      </w:r>
      <w:r w:rsidRPr="001532E3">
        <w:rPr>
          <w:b/>
          <w:bCs/>
          <w:lang w:val="fr-CH"/>
        </w:rPr>
        <w:t>CERD/C/AUT/CO/17</w:t>
      </w:r>
      <w:r w:rsidRPr="001532E3">
        <w:rPr>
          <w:rFonts w:hint="cs"/>
          <w:b/>
          <w:bCs/>
          <w:rtl/>
          <w:lang w:val="fr-CH"/>
        </w:rPr>
        <w:t xml:space="preserve">، الفقرة 9) بأن تقوم الدولة الطرف بجمع بيانات مصنفة، بما في ذلك </w:t>
      </w:r>
      <w:r>
        <w:rPr>
          <w:rFonts w:hint="cs"/>
          <w:b/>
          <w:bCs/>
          <w:rtl/>
          <w:lang w:val="fr-CH"/>
        </w:rPr>
        <w:t xml:space="preserve">بحسب اللغات </w:t>
      </w:r>
      <w:r w:rsidRPr="001532E3">
        <w:rPr>
          <w:rFonts w:hint="cs"/>
          <w:b/>
          <w:bCs/>
          <w:rtl/>
          <w:lang w:val="fr-CH"/>
        </w:rPr>
        <w:t xml:space="preserve">الأم المستخدمة، واللغات </w:t>
      </w:r>
      <w:r>
        <w:rPr>
          <w:rFonts w:hint="cs"/>
          <w:b/>
          <w:bCs/>
          <w:rtl/>
          <w:lang w:val="fr-CH"/>
        </w:rPr>
        <w:t>الشائعة الاستخدام أو غير ذلك من م</w:t>
      </w:r>
      <w:r w:rsidRPr="001532E3">
        <w:rPr>
          <w:rFonts w:hint="cs"/>
          <w:b/>
          <w:bCs/>
          <w:rtl/>
          <w:lang w:val="fr-CH"/>
        </w:rPr>
        <w:t xml:space="preserve">ؤشرات التنوع الإثني. وتوصي اللجنة أيضاً بالاضطلاع على أساس طوعي بهذه الأنشطة المتعلقة بجمع البيانات والمعلومات الأخرى المستمدة من </w:t>
      </w:r>
      <w:r>
        <w:rPr>
          <w:rFonts w:hint="cs"/>
          <w:b/>
          <w:bCs/>
          <w:rtl/>
          <w:lang w:val="fr-CH"/>
        </w:rPr>
        <w:t>دراسات استقصائية محددة الهدف</w:t>
      </w:r>
      <w:r w:rsidRPr="001532E3">
        <w:rPr>
          <w:rFonts w:hint="cs"/>
          <w:b/>
          <w:bCs/>
          <w:rtl/>
          <w:lang w:val="fr-CH"/>
        </w:rPr>
        <w:t>، مع الاحترام الواجب</w:t>
      </w:r>
      <w:r w:rsidRPr="001532E3">
        <w:rPr>
          <w:rFonts w:hint="cs"/>
          <w:b/>
          <w:bCs/>
          <w:rtl/>
        </w:rPr>
        <w:t xml:space="preserve"> للخصوصية</w:t>
      </w:r>
      <w:r>
        <w:rPr>
          <w:rFonts w:hint="cs"/>
          <w:b/>
          <w:bCs/>
          <w:rtl/>
        </w:rPr>
        <w:t xml:space="preserve"> وسرية هوية الأشخاص المعنيين، وينبغي لها أن تسعى إلى الحصول على معلومات دقيقة عن جميع المجموعات الإثنية التي تعيش في أراضي الدولة الطرف.</w:t>
      </w:r>
    </w:p>
    <w:p w:rsidR="001532E3" w:rsidRDefault="0068336D" w:rsidP="0068336D">
      <w:pPr>
        <w:pStyle w:val="H23GA"/>
        <w:rPr>
          <w:rFonts w:hint="cs"/>
          <w:rtl/>
        </w:rPr>
      </w:pPr>
      <w:r>
        <w:rPr>
          <w:rFonts w:hint="cs"/>
          <w:rtl/>
        </w:rPr>
        <w:tab/>
      </w:r>
      <w:r>
        <w:rPr>
          <w:rFonts w:hint="cs"/>
          <w:rtl/>
        </w:rPr>
        <w:tab/>
      </w:r>
      <w:r w:rsidR="001532E3">
        <w:rPr>
          <w:rFonts w:hint="cs"/>
          <w:rtl/>
        </w:rPr>
        <w:t>انطباق الاتفاقية في إطار القانون المحلي</w:t>
      </w:r>
    </w:p>
    <w:p w:rsidR="001532E3" w:rsidRPr="00A90F74" w:rsidRDefault="001532E3" w:rsidP="00E31622">
      <w:pPr>
        <w:pStyle w:val="SingleTxtGA"/>
        <w:rPr>
          <w:rFonts w:hint="cs"/>
          <w:rtl/>
        </w:rPr>
      </w:pPr>
      <w:r>
        <w:rPr>
          <w:rFonts w:hint="cs"/>
          <w:rtl/>
        </w:rPr>
        <w:t>5-</w:t>
      </w:r>
      <w:r>
        <w:rPr>
          <w:rFonts w:hint="cs"/>
          <w:rtl/>
        </w:rPr>
        <w:tab/>
        <w:t xml:space="preserve">تشير اللجنة إلى أن الاتفاقية الأوروبية لحماية حقوق الإنسان والحريات الأساسية </w:t>
      </w:r>
      <w:r w:rsidRPr="001532E3">
        <w:rPr>
          <w:rFonts w:hint="cs"/>
          <w:rtl/>
          <w:lang w:val="fr-CH"/>
        </w:rPr>
        <w:t>تتمتع</w:t>
      </w:r>
      <w:r>
        <w:rPr>
          <w:rFonts w:hint="cs"/>
          <w:rtl/>
        </w:rPr>
        <w:t xml:space="preserve"> بمركز القانون الدستوري في الدولة الطرف وأنها قابلة للتطبيق مباشرة في المحاكم المحلية، </w:t>
      </w:r>
      <w:r w:rsidR="00E31622">
        <w:rPr>
          <w:rFonts w:hint="cs"/>
          <w:rtl/>
        </w:rPr>
        <w:t xml:space="preserve">فضلاً عن </w:t>
      </w:r>
      <w:r>
        <w:rPr>
          <w:rFonts w:hint="cs"/>
          <w:rtl/>
        </w:rPr>
        <w:t>مراعاة أن القانون الاتحادي الدستوري لعام 1973 المتعلق بتنفيذ الاتفاقية لم</w:t>
      </w:r>
      <w:r>
        <w:rPr>
          <w:rFonts w:hint="eastAsia"/>
          <w:rtl/>
        </w:rPr>
        <w:t> </w:t>
      </w:r>
      <w:r>
        <w:rPr>
          <w:rFonts w:hint="cs"/>
          <w:rtl/>
        </w:rPr>
        <w:t xml:space="preserve">يدمج الاتفاقية في مجملها في النظام القانوني المحلي النمساوي، </w:t>
      </w:r>
      <w:r w:rsidR="00E31622">
        <w:rPr>
          <w:rFonts w:hint="cs"/>
          <w:rtl/>
        </w:rPr>
        <w:t xml:space="preserve">لكنها </w:t>
      </w:r>
      <w:r>
        <w:rPr>
          <w:rFonts w:hint="cs"/>
          <w:rtl/>
        </w:rPr>
        <w:t>تشعر بالقلق إزاء عدم وجود أمثلة عن حالات تمييز عنصري طبقت فيها المحاكم المحلية أحكام الاتفاقية (المادتان 2 و6).</w:t>
      </w:r>
    </w:p>
    <w:p w:rsidR="001532E3" w:rsidRDefault="001532E3" w:rsidP="001532E3">
      <w:pPr>
        <w:pStyle w:val="SingleTxtGA"/>
        <w:rPr>
          <w:rFonts w:hint="cs"/>
          <w:b/>
          <w:bCs/>
          <w:rtl/>
          <w:lang w:val="fr-CH"/>
        </w:rPr>
      </w:pPr>
      <w:r>
        <w:rPr>
          <w:rFonts w:hint="cs"/>
          <w:rtl/>
          <w:lang w:val="fr-CH"/>
        </w:rPr>
        <w:tab/>
      </w:r>
      <w:r>
        <w:rPr>
          <w:rFonts w:hint="cs"/>
          <w:b/>
          <w:bCs/>
          <w:rtl/>
          <w:lang w:val="fr-CH"/>
        </w:rPr>
        <w:t>ينبغي للدولة الطرف أن تتخذ جميع التدابير اللازمة لضمان معرفة القضاة والمدعين العامين والمحامين بأحكام الاتفاقية لتمكينهم من تطبيق الاتفاقية في الحالات ذات الصلة. وتحث اللجنة الدولة الطرف على أن تدرج في تقريرها الدوري المقبل أمثلة محددة على تطبيق الاتفاقية من جانب المحاكم المحلية ووصول الأفراد إلى سبل الانتصاف المنصوص عليها في التشريع المتعلق بانتهاكات الحقوق الواردة في الاتفاقية.</w:t>
      </w:r>
    </w:p>
    <w:p w:rsidR="001532E3" w:rsidRDefault="001532E3" w:rsidP="00B92F1B">
      <w:pPr>
        <w:pStyle w:val="SingleTxtGA"/>
        <w:rPr>
          <w:rFonts w:hint="cs"/>
          <w:rtl/>
          <w:lang w:val="fr-CH"/>
        </w:rPr>
      </w:pPr>
      <w:r>
        <w:rPr>
          <w:rFonts w:hint="cs"/>
          <w:rtl/>
          <w:lang w:val="fr-CH"/>
        </w:rPr>
        <w:t>6-</w:t>
      </w:r>
      <w:r>
        <w:rPr>
          <w:rFonts w:hint="cs"/>
          <w:rtl/>
          <w:lang w:val="fr-CH"/>
        </w:rPr>
        <w:tab/>
        <w:t xml:space="preserve">وتشعر اللجنة بالقلق </w:t>
      </w:r>
      <w:r w:rsidR="00E31622">
        <w:rPr>
          <w:rFonts w:hint="cs"/>
          <w:rtl/>
          <w:lang w:val="fr-CH"/>
        </w:rPr>
        <w:t xml:space="preserve">إزاء توزيع مختلف الأحكام المتعلقة بحظر </w:t>
      </w:r>
      <w:r>
        <w:rPr>
          <w:rFonts w:hint="cs"/>
          <w:rtl/>
          <w:lang w:val="fr-CH"/>
        </w:rPr>
        <w:t xml:space="preserve">التمييز </w:t>
      </w:r>
      <w:r w:rsidR="00547446">
        <w:rPr>
          <w:rFonts w:hint="cs"/>
          <w:rtl/>
          <w:lang w:val="fr-CH"/>
        </w:rPr>
        <w:t xml:space="preserve">العنصري </w:t>
      </w:r>
      <w:r>
        <w:rPr>
          <w:rFonts w:hint="cs"/>
          <w:rtl/>
          <w:lang w:val="fr-CH"/>
        </w:rPr>
        <w:t>في قوانين عديدة</w:t>
      </w:r>
      <w:r w:rsidR="00E31622">
        <w:rPr>
          <w:rFonts w:hint="cs"/>
          <w:rtl/>
          <w:lang w:val="fr-CH"/>
        </w:rPr>
        <w:t>،</w:t>
      </w:r>
      <w:r>
        <w:rPr>
          <w:rFonts w:hint="cs"/>
          <w:rtl/>
          <w:lang w:val="fr-CH"/>
        </w:rPr>
        <w:t xml:space="preserve"> وذلك لا يضمن، فيما يبدو، التماسك والاتساق اللازمين (المادة 2).</w:t>
      </w:r>
    </w:p>
    <w:p w:rsidR="001532E3" w:rsidRDefault="001532E3" w:rsidP="00E31622">
      <w:pPr>
        <w:pStyle w:val="SingleTxtGA"/>
        <w:rPr>
          <w:rFonts w:hint="cs"/>
          <w:b/>
          <w:bCs/>
          <w:rtl/>
          <w:lang w:val="fr-CH"/>
        </w:rPr>
      </w:pPr>
      <w:r>
        <w:rPr>
          <w:rFonts w:hint="cs"/>
          <w:b/>
          <w:bCs/>
          <w:rtl/>
          <w:lang w:val="fr-CH"/>
        </w:rPr>
        <w:tab/>
        <w:t xml:space="preserve">توصي اللجنة الدولة الطرف بتنسيق </w:t>
      </w:r>
      <w:r w:rsidR="00E31622">
        <w:rPr>
          <w:rFonts w:hint="cs"/>
          <w:b/>
          <w:bCs/>
          <w:rtl/>
          <w:lang w:val="fr-CH"/>
        </w:rPr>
        <w:t xml:space="preserve">تشريعاتها لكي تشمل </w:t>
      </w:r>
      <w:r>
        <w:rPr>
          <w:rFonts w:hint="cs"/>
          <w:b/>
          <w:bCs/>
          <w:rtl/>
          <w:lang w:val="fr-CH"/>
        </w:rPr>
        <w:t>جميع أحكام الاتفاقية مع مراعاة التوصيات العامة ذات الصلة.</w:t>
      </w:r>
    </w:p>
    <w:p w:rsidR="001532E3" w:rsidRDefault="001532E3" w:rsidP="00E31622">
      <w:pPr>
        <w:pStyle w:val="SingleTxtGA"/>
        <w:rPr>
          <w:rFonts w:hint="cs"/>
          <w:rtl/>
          <w:lang w:val="fr-CH"/>
        </w:rPr>
      </w:pPr>
      <w:r>
        <w:rPr>
          <w:rFonts w:hint="cs"/>
          <w:rtl/>
          <w:lang w:val="fr-CH"/>
        </w:rPr>
        <w:t>7-</w:t>
      </w:r>
      <w:r>
        <w:rPr>
          <w:rFonts w:hint="cs"/>
          <w:rtl/>
          <w:lang w:val="fr-CH"/>
        </w:rPr>
        <w:tab/>
        <w:t>ت</w:t>
      </w:r>
      <w:r w:rsidR="00E31622">
        <w:rPr>
          <w:rFonts w:hint="cs"/>
          <w:rtl/>
          <w:lang w:val="fr-CH"/>
        </w:rPr>
        <w:t xml:space="preserve">شير اللجنة إلى </w:t>
      </w:r>
      <w:r>
        <w:rPr>
          <w:rFonts w:hint="cs"/>
          <w:rtl/>
          <w:lang w:val="fr-CH"/>
        </w:rPr>
        <w:t xml:space="preserve">الشرط الدستوري </w:t>
      </w:r>
      <w:r w:rsidR="00E31622">
        <w:rPr>
          <w:rFonts w:hint="cs"/>
          <w:rtl/>
          <w:lang w:val="fr-CH"/>
        </w:rPr>
        <w:t xml:space="preserve">الذي يلزم </w:t>
      </w:r>
      <w:r>
        <w:rPr>
          <w:rFonts w:hint="cs"/>
          <w:rtl/>
          <w:lang w:val="fr-CH"/>
        </w:rPr>
        <w:t xml:space="preserve">المقاطعات </w:t>
      </w:r>
      <w:r w:rsidR="00E31622">
        <w:rPr>
          <w:rFonts w:hint="cs"/>
          <w:rtl/>
          <w:lang w:val="fr-CH"/>
        </w:rPr>
        <w:t xml:space="preserve">بتنفيذ </w:t>
      </w:r>
      <w:r>
        <w:rPr>
          <w:rFonts w:hint="cs"/>
          <w:rtl/>
          <w:lang w:val="fr-CH"/>
        </w:rPr>
        <w:t xml:space="preserve">التزامات الدولة الطرف بموجب الاتفاقية. ومع ذلك، يساورها القلق </w:t>
      </w:r>
      <w:r w:rsidR="00E31622">
        <w:rPr>
          <w:rFonts w:hint="cs"/>
          <w:rtl/>
          <w:lang w:val="fr-CH"/>
        </w:rPr>
        <w:t xml:space="preserve">إزاء عدم تطبيق المقاطعات لهذه القاعدة بشكل موحد </w:t>
      </w:r>
      <w:r>
        <w:rPr>
          <w:rFonts w:hint="cs"/>
          <w:rtl/>
          <w:lang w:val="fr-CH"/>
        </w:rPr>
        <w:t>في حالة الاتفاقية (المادة 2).</w:t>
      </w:r>
    </w:p>
    <w:p w:rsidR="001532E3" w:rsidRDefault="001532E3" w:rsidP="00E31622">
      <w:pPr>
        <w:pStyle w:val="SingleTxtGA"/>
        <w:rPr>
          <w:rFonts w:hint="cs"/>
          <w:b/>
          <w:bCs/>
          <w:rtl/>
          <w:lang w:val="fr-CH"/>
        </w:rPr>
      </w:pPr>
      <w:r>
        <w:rPr>
          <w:rFonts w:hint="cs"/>
          <w:b/>
          <w:bCs/>
          <w:rtl/>
          <w:lang w:val="fr-CH"/>
        </w:rPr>
        <w:tab/>
        <w:t>تكرر اللجنة توصيتها بأن تكفل الدولة الطرف امتثال</w:t>
      </w:r>
      <w:r w:rsidRPr="00724545">
        <w:rPr>
          <w:rFonts w:hint="cs"/>
          <w:b/>
          <w:bCs/>
          <w:rtl/>
          <w:lang w:val="fr-CH"/>
        </w:rPr>
        <w:t xml:space="preserve"> </w:t>
      </w:r>
      <w:r w:rsidR="00E31622">
        <w:rPr>
          <w:rFonts w:hint="cs"/>
          <w:b/>
          <w:bCs/>
          <w:rtl/>
          <w:lang w:val="fr-CH"/>
        </w:rPr>
        <w:t xml:space="preserve">مقاطعاتها </w:t>
      </w:r>
      <w:r>
        <w:rPr>
          <w:rFonts w:hint="cs"/>
          <w:b/>
          <w:bCs/>
          <w:rtl/>
          <w:lang w:val="fr-CH"/>
        </w:rPr>
        <w:t>الاتحادية بالكامل للمقتضيات القانونية والإدارية والسياسية المتعلقة بتنفيذ الاتفاقية.</w:t>
      </w:r>
    </w:p>
    <w:p w:rsidR="001532E3" w:rsidRPr="0068336D" w:rsidRDefault="001532E3" w:rsidP="001532E3">
      <w:pPr>
        <w:pStyle w:val="H23GA"/>
        <w:rPr>
          <w:rFonts w:hint="cs"/>
          <w:rtl/>
        </w:rPr>
      </w:pPr>
      <w:r w:rsidRPr="0068336D">
        <w:rPr>
          <w:rFonts w:hint="cs"/>
          <w:rtl/>
        </w:rPr>
        <w:tab/>
      </w:r>
      <w:r w:rsidRPr="0068336D">
        <w:rPr>
          <w:rFonts w:hint="cs"/>
          <w:rtl/>
        </w:rPr>
        <w:tab/>
        <w:t>المؤسسة الوطنية لحقوق الإنسان والأطر السياسية</w:t>
      </w:r>
    </w:p>
    <w:p w:rsidR="001532E3" w:rsidRDefault="00E31622" w:rsidP="00E31622">
      <w:pPr>
        <w:pStyle w:val="SingleTxtGA"/>
        <w:rPr>
          <w:rFonts w:hint="cs"/>
          <w:rtl/>
          <w:lang w:val="fr-CH"/>
        </w:rPr>
      </w:pPr>
      <w:r>
        <w:rPr>
          <w:rFonts w:hint="cs"/>
          <w:rtl/>
          <w:lang w:val="fr-CH"/>
        </w:rPr>
        <w:t>8-</w:t>
      </w:r>
      <w:r>
        <w:rPr>
          <w:rFonts w:hint="cs"/>
          <w:rtl/>
          <w:lang w:val="fr-CH"/>
        </w:rPr>
        <w:tab/>
      </w:r>
      <w:r w:rsidR="001532E3">
        <w:rPr>
          <w:rFonts w:hint="cs"/>
          <w:rtl/>
          <w:lang w:val="fr-CH"/>
        </w:rPr>
        <w:t xml:space="preserve">ترحب اللجنة بالتدابير التي اتخذتها الدولة الطرف لتوسيع نطاق ولاية مجلس أمين المظالم النمساوي </w:t>
      </w:r>
      <w:r>
        <w:rPr>
          <w:rFonts w:hint="cs"/>
          <w:rtl/>
          <w:lang w:val="fr-CH"/>
        </w:rPr>
        <w:t xml:space="preserve">ليكون بمثابة </w:t>
      </w:r>
      <w:r w:rsidR="001532E3">
        <w:rPr>
          <w:rFonts w:hint="cs"/>
          <w:rtl/>
          <w:lang w:val="fr-CH"/>
        </w:rPr>
        <w:t>مؤسسة وطنية لحقوق الإنسان وآلية وطنية وقائية بموجب البروتوكول الاخ</w:t>
      </w:r>
      <w:r>
        <w:rPr>
          <w:rFonts w:hint="cs"/>
          <w:rtl/>
          <w:lang w:val="fr-CH"/>
        </w:rPr>
        <w:t xml:space="preserve">تياري لاتفاقية مناهضة التعذيب، لكنها تشعر بالقلق </w:t>
      </w:r>
      <w:r w:rsidR="001532E3">
        <w:rPr>
          <w:rFonts w:hint="cs"/>
          <w:rtl/>
          <w:lang w:val="fr-CH"/>
        </w:rPr>
        <w:t>لأن طريقة تعيين أعضاء مجلس أمين المظالم لا تزال تثير قضايا تتعلق باستقلاليتهم. وتلاحظ اللجنة أن المجلس لم يُعتمد في الفئة "ألف" من قبل لجنة التنسيق الدولية (المادة 2).</w:t>
      </w:r>
    </w:p>
    <w:p w:rsidR="001532E3" w:rsidRPr="007A4E50" w:rsidRDefault="001532E3" w:rsidP="00B92F1B">
      <w:pPr>
        <w:pStyle w:val="SingleTxtGA"/>
        <w:rPr>
          <w:rFonts w:hint="cs"/>
          <w:b/>
          <w:bCs/>
          <w:rtl/>
          <w:lang w:val="fr-CH"/>
        </w:rPr>
      </w:pPr>
      <w:r>
        <w:rPr>
          <w:rFonts w:hint="cs"/>
          <w:b/>
          <w:bCs/>
          <w:rtl/>
          <w:lang w:val="fr-CH"/>
        </w:rPr>
        <w:tab/>
        <w:t xml:space="preserve">توصي اللجنة الدولة الطرف بأن تكفل تعيين أعضاء مجلس أمين المظالم النمساوي </w:t>
      </w:r>
      <w:r w:rsidR="00E31622">
        <w:rPr>
          <w:rFonts w:hint="cs"/>
          <w:b/>
          <w:bCs/>
          <w:rtl/>
          <w:lang w:val="fr-CH"/>
        </w:rPr>
        <w:t xml:space="preserve">بطريقة تمتثل </w:t>
      </w:r>
      <w:r>
        <w:rPr>
          <w:rFonts w:hint="cs"/>
          <w:b/>
          <w:bCs/>
          <w:rtl/>
          <w:lang w:val="fr-CH"/>
        </w:rPr>
        <w:t>بالكامل لمبادئ باريس المنصوص عليها في قرار الجمعية العامة</w:t>
      </w:r>
      <w:r w:rsidR="0068336D">
        <w:rPr>
          <w:rFonts w:hint="eastAsia"/>
          <w:b/>
          <w:bCs/>
          <w:rtl/>
          <w:lang w:val="fr-CH"/>
        </w:rPr>
        <w:t> </w:t>
      </w:r>
      <w:r>
        <w:rPr>
          <w:rFonts w:hint="cs"/>
          <w:b/>
          <w:bCs/>
          <w:rtl/>
          <w:lang w:val="fr-CH"/>
        </w:rPr>
        <w:t xml:space="preserve">48/134. ويتعين على الدولة الطرف أن تعتمد تدابير ملموسة لتحسين مركز </w:t>
      </w:r>
      <w:r w:rsidR="00E31622">
        <w:rPr>
          <w:rFonts w:hint="cs"/>
          <w:b/>
          <w:bCs/>
          <w:rtl/>
          <w:lang w:val="fr-CH"/>
        </w:rPr>
        <w:t xml:space="preserve">المجلس </w:t>
      </w:r>
      <w:r>
        <w:rPr>
          <w:rFonts w:hint="cs"/>
          <w:b/>
          <w:bCs/>
          <w:rtl/>
          <w:lang w:val="fr-CH"/>
        </w:rPr>
        <w:t xml:space="preserve">الذي منحته </w:t>
      </w:r>
      <w:r w:rsidR="00B92F1B">
        <w:rPr>
          <w:rFonts w:hint="cs"/>
          <w:b/>
          <w:bCs/>
          <w:rtl/>
          <w:lang w:val="fr-CH"/>
        </w:rPr>
        <w:t>إ</w:t>
      </w:r>
      <w:r>
        <w:rPr>
          <w:rFonts w:hint="cs"/>
          <w:b/>
          <w:bCs/>
          <w:rtl/>
          <w:lang w:val="fr-CH"/>
        </w:rPr>
        <w:t>ياه لجنة التنسيق الدولية بموجب مبادئ باريس</w:t>
      </w:r>
      <w:r w:rsidR="00E31622">
        <w:rPr>
          <w:rFonts w:hint="cs"/>
          <w:b/>
          <w:bCs/>
          <w:rtl/>
          <w:lang w:val="fr-CH"/>
        </w:rPr>
        <w:t>،</w:t>
      </w:r>
      <w:r>
        <w:rPr>
          <w:rFonts w:hint="cs"/>
          <w:b/>
          <w:bCs/>
          <w:rtl/>
          <w:lang w:val="fr-CH"/>
        </w:rPr>
        <w:t xml:space="preserve"> وأن تخصص الموارد الكافية </w:t>
      </w:r>
      <w:r w:rsidR="00E31622">
        <w:rPr>
          <w:rFonts w:hint="cs"/>
          <w:b/>
          <w:bCs/>
          <w:rtl/>
          <w:lang w:val="fr-CH"/>
        </w:rPr>
        <w:t xml:space="preserve">لتمكينه من الاضطلاع </w:t>
      </w:r>
      <w:r>
        <w:rPr>
          <w:rFonts w:hint="cs"/>
          <w:b/>
          <w:bCs/>
          <w:rtl/>
          <w:lang w:val="fr-CH"/>
        </w:rPr>
        <w:t xml:space="preserve">بمهامه. </w:t>
      </w:r>
    </w:p>
    <w:p w:rsidR="001532E3" w:rsidRPr="0068336D" w:rsidRDefault="001532E3" w:rsidP="001532E3">
      <w:pPr>
        <w:pStyle w:val="H23GA"/>
        <w:rPr>
          <w:rFonts w:hint="cs"/>
          <w:rtl/>
        </w:rPr>
      </w:pPr>
      <w:r w:rsidRPr="0068336D">
        <w:rPr>
          <w:rFonts w:hint="cs"/>
          <w:rtl/>
        </w:rPr>
        <w:tab/>
      </w:r>
      <w:r w:rsidRPr="0068336D">
        <w:rPr>
          <w:rFonts w:hint="cs"/>
          <w:rtl/>
        </w:rPr>
        <w:tab/>
        <w:t>خطة العمل الو</w:t>
      </w:r>
      <w:r w:rsidRPr="008523AC">
        <w:rPr>
          <w:rFonts w:hint="cs"/>
          <w:rtl/>
        </w:rPr>
        <w:t>ط</w:t>
      </w:r>
      <w:r w:rsidRPr="0068336D">
        <w:rPr>
          <w:rFonts w:hint="cs"/>
          <w:rtl/>
        </w:rPr>
        <w:t>نية</w:t>
      </w:r>
    </w:p>
    <w:p w:rsidR="001532E3" w:rsidRDefault="001532E3" w:rsidP="00E31622">
      <w:pPr>
        <w:pStyle w:val="SingleTxtGA"/>
        <w:rPr>
          <w:rFonts w:hint="cs"/>
          <w:rtl/>
          <w:lang w:val="fr-CH"/>
        </w:rPr>
      </w:pPr>
      <w:r>
        <w:rPr>
          <w:rFonts w:hint="cs"/>
          <w:rtl/>
          <w:lang w:val="fr-CH"/>
        </w:rPr>
        <w:t>9-</w:t>
      </w:r>
      <w:r>
        <w:rPr>
          <w:rFonts w:hint="cs"/>
          <w:rtl/>
          <w:lang w:val="fr-CH"/>
        </w:rPr>
        <w:tab/>
        <w:t>إن اللجنة إذ تذكر بتوصيتها العامة رقم 28(2002) بشأن متابعة المؤتمر العالمي لمكافحة العنصرية والتمييز العنصري وكراهية</w:t>
      </w:r>
      <w:r w:rsidR="00E31622">
        <w:rPr>
          <w:rFonts w:hint="cs"/>
          <w:rtl/>
          <w:lang w:val="fr-CH"/>
        </w:rPr>
        <w:t xml:space="preserve"> الأجانب وما يتصل بذلك من تعصب، وتوصيتها </w:t>
      </w:r>
      <w:r>
        <w:rPr>
          <w:rFonts w:hint="cs"/>
          <w:rtl/>
          <w:lang w:val="fr-CH"/>
        </w:rPr>
        <w:t xml:space="preserve">رقم 33(2009) المتعلقة بمتابعة مؤتمر استعراض نتائج </w:t>
      </w:r>
      <w:proofErr w:type="spellStart"/>
      <w:r>
        <w:rPr>
          <w:rFonts w:hint="cs"/>
          <w:rtl/>
          <w:lang w:val="fr-CH"/>
        </w:rPr>
        <w:t>ديربان</w:t>
      </w:r>
      <w:proofErr w:type="spellEnd"/>
      <w:r>
        <w:rPr>
          <w:rFonts w:hint="cs"/>
          <w:rtl/>
          <w:lang w:val="fr-CH"/>
        </w:rPr>
        <w:t xml:space="preserve">، يساورها القلق إزاء موقف الدولة الطرف لأنها لا تعتزم اعتماد خطة عمل وطنية لمكافحة العنصرية وفق ما هو مطلوب في إعلان وبرنامج عمل </w:t>
      </w:r>
      <w:proofErr w:type="spellStart"/>
      <w:r>
        <w:rPr>
          <w:rFonts w:hint="cs"/>
          <w:rtl/>
          <w:lang w:val="fr-CH"/>
        </w:rPr>
        <w:t>ديربان</w:t>
      </w:r>
      <w:proofErr w:type="spellEnd"/>
      <w:r>
        <w:rPr>
          <w:rFonts w:hint="cs"/>
          <w:rtl/>
          <w:lang w:val="fr-CH"/>
        </w:rPr>
        <w:t xml:space="preserve">، المعتمدين في </w:t>
      </w:r>
      <w:r w:rsidRPr="00B14CD1">
        <w:rPr>
          <w:rFonts w:hint="cs"/>
          <w:sz w:val="30"/>
          <w:rtl/>
          <w:lang w:val="fr-CH"/>
        </w:rPr>
        <w:t xml:space="preserve">أيلول/سبتمبر </w:t>
      </w:r>
      <w:r>
        <w:rPr>
          <w:rFonts w:hint="cs"/>
          <w:rtl/>
          <w:lang w:val="fr-CH"/>
        </w:rPr>
        <w:t xml:space="preserve">2001 (المادة 2). </w:t>
      </w:r>
    </w:p>
    <w:p w:rsidR="001532E3" w:rsidRDefault="001532E3" w:rsidP="00E31622">
      <w:pPr>
        <w:pStyle w:val="SingleTxtGA"/>
        <w:rPr>
          <w:rFonts w:hint="cs"/>
          <w:b/>
          <w:bCs/>
          <w:sz w:val="30"/>
          <w:rtl/>
        </w:rPr>
      </w:pPr>
      <w:r>
        <w:rPr>
          <w:rFonts w:hint="cs"/>
          <w:b/>
          <w:bCs/>
          <w:rtl/>
          <w:lang w:val="fr-CH"/>
        </w:rPr>
        <w:tab/>
        <w:t>تكرر اللجنة توصيتها السابقة (</w:t>
      </w:r>
      <w:r>
        <w:rPr>
          <w:b/>
          <w:bCs/>
        </w:rPr>
        <w:t>CERD/C/AUT/CO/17</w:t>
      </w:r>
      <w:r>
        <w:rPr>
          <w:rFonts w:hint="cs"/>
          <w:b/>
          <w:bCs/>
          <w:rtl/>
        </w:rPr>
        <w:t xml:space="preserve">، الفقرة </w:t>
      </w:r>
      <w:r w:rsidR="00E31622">
        <w:rPr>
          <w:rFonts w:hint="cs"/>
          <w:b/>
          <w:bCs/>
          <w:rtl/>
        </w:rPr>
        <w:t>2</w:t>
      </w:r>
      <w:r>
        <w:rPr>
          <w:rFonts w:hint="cs"/>
          <w:b/>
          <w:bCs/>
          <w:rtl/>
        </w:rPr>
        <w:t xml:space="preserve">8) وتحث الدولة الطرف على إعادة النظر في قرارها واعتماد خطة عمل وطنية لمكافحة العنصرية تتمشى مع إعلان وبرنامج عمل </w:t>
      </w:r>
      <w:proofErr w:type="spellStart"/>
      <w:r>
        <w:rPr>
          <w:rFonts w:hint="cs"/>
          <w:b/>
          <w:bCs/>
          <w:rtl/>
        </w:rPr>
        <w:t>ديربان</w:t>
      </w:r>
      <w:proofErr w:type="spellEnd"/>
      <w:r>
        <w:rPr>
          <w:rFonts w:hint="cs"/>
          <w:b/>
          <w:bCs/>
          <w:rtl/>
        </w:rPr>
        <w:t xml:space="preserve">. ويتعين على الدولة الطرف أن تنفذ إعلان وبرنامج عمل </w:t>
      </w:r>
      <w:proofErr w:type="spellStart"/>
      <w:r>
        <w:rPr>
          <w:rFonts w:hint="cs"/>
          <w:b/>
          <w:bCs/>
          <w:rtl/>
        </w:rPr>
        <w:t>ديربان</w:t>
      </w:r>
      <w:proofErr w:type="spellEnd"/>
      <w:r>
        <w:rPr>
          <w:rFonts w:hint="cs"/>
          <w:b/>
          <w:bCs/>
          <w:rtl/>
        </w:rPr>
        <w:t xml:space="preserve"> الذين اعتمدهما في </w:t>
      </w:r>
      <w:r w:rsidRPr="00B14CD1">
        <w:rPr>
          <w:rFonts w:hint="cs"/>
          <w:b/>
          <w:bCs/>
          <w:sz w:val="30"/>
          <w:rtl/>
        </w:rPr>
        <w:t xml:space="preserve">أيلول/سبتمبر </w:t>
      </w:r>
      <w:r>
        <w:rPr>
          <w:rFonts w:hint="cs"/>
          <w:b/>
          <w:bCs/>
          <w:rtl/>
        </w:rPr>
        <w:t>2001 المؤتمر العالمي لمكافحة العنصرية والتمييز العنصري وكراهية الأجانب وما يتصل بذلك من</w:t>
      </w:r>
      <w:r w:rsidR="0068336D">
        <w:rPr>
          <w:rFonts w:hint="cs"/>
          <w:b/>
          <w:bCs/>
          <w:rtl/>
        </w:rPr>
        <w:t xml:space="preserve"> </w:t>
      </w:r>
      <w:r>
        <w:rPr>
          <w:rFonts w:hint="cs"/>
          <w:b/>
          <w:bCs/>
          <w:rtl/>
        </w:rPr>
        <w:t xml:space="preserve">تعصب، مع مراعاة الوثيقة الختامية لمؤتمر استعراض نتائج </w:t>
      </w:r>
      <w:proofErr w:type="spellStart"/>
      <w:r>
        <w:rPr>
          <w:rFonts w:hint="cs"/>
          <w:b/>
          <w:bCs/>
          <w:rtl/>
        </w:rPr>
        <w:t>ديربان</w:t>
      </w:r>
      <w:proofErr w:type="spellEnd"/>
      <w:r>
        <w:rPr>
          <w:rFonts w:hint="cs"/>
          <w:b/>
          <w:bCs/>
          <w:rtl/>
        </w:rPr>
        <w:t xml:space="preserve">، المعقود في جنيف في </w:t>
      </w:r>
      <w:r w:rsidRPr="00B14CD1">
        <w:rPr>
          <w:rFonts w:hint="cs"/>
          <w:b/>
          <w:bCs/>
          <w:sz w:val="30"/>
          <w:rtl/>
        </w:rPr>
        <w:t xml:space="preserve">نيسان/أبريل </w:t>
      </w:r>
      <w:r>
        <w:rPr>
          <w:rFonts w:hint="cs"/>
          <w:b/>
          <w:bCs/>
          <w:sz w:val="30"/>
          <w:rtl/>
        </w:rPr>
        <w:t xml:space="preserve">2009، عند تنفيذ الاتفاقية في </w:t>
      </w:r>
      <w:r w:rsidR="00E31622">
        <w:rPr>
          <w:rFonts w:hint="cs"/>
          <w:b/>
          <w:bCs/>
          <w:sz w:val="30"/>
          <w:rtl/>
        </w:rPr>
        <w:t xml:space="preserve">إطار </w:t>
      </w:r>
      <w:r>
        <w:rPr>
          <w:rFonts w:hint="cs"/>
          <w:b/>
          <w:bCs/>
          <w:sz w:val="30"/>
          <w:rtl/>
        </w:rPr>
        <w:t xml:space="preserve">نظامها القانوني المحلي. وتحث اللجنة الدولة الطرف على أن تدرج في تقريرها الدوري المقبل معلومات محددة عن التدابير المتخذة لتنفيذ الأحكام المتعلقة بالعنصرية الواردة في إعلان وبرنامج عمل </w:t>
      </w:r>
      <w:proofErr w:type="spellStart"/>
      <w:r>
        <w:rPr>
          <w:rFonts w:hint="cs"/>
          <w:b/>
          <w:bCs/>
          <w:sz w:val="30"/>
          <w:rtl/>
        </w:rPr>
        <w:t>ديربان</w:t>
      </w:r>
      <w:proofErr w:type="spellEnd"/>
      <w:r>
        <w:rPr>
          <w:rFonts w:hint="cs"/>
          <w:b/>
          <w:bCs/>
          <w:sz w:val="30"/>
          <w:rtl/>
        </w:rPr>
        <w:t>.</w:t>
      </w:r>
    </w:p>
    <w:p w:rsidR="001532E3" w:rsidRDefault="001532E3" w:rsidP="001532E3">
      <w:pPr>
        <w:pStyle w:val="H23GA"/>
        <w:rPr>
          <w:rFonts w:hint="cs"/>
          <w:rtl/>
        </w:rPr>
      </w:pPr>
      <w:r>
        <w:rPr>
          <w:rFonts w:hint="cs"/>
          <w:rtl/>
        </w:rPr>
        <w:tab/>
      </w:r>
      <w:r>
        <w:rPr>
          <w:rFonts w:hint="cs"/>
          <w:rtl/>
        </w:rPr>
        <w:tab/>
        <w:t xml:space="preserve">التحريض على الكراهية العرقية والعنف </w:t>
      </w:r>
    </w:p>
    <w:p w:rsidR="001532E3" w:rsidRDefault="001532E3" w:rsidP="00B92F1B">
      <w:pPr>
        <w:pStyle w:val="SingleTxtGA"/>
        <w:rPr>
          <w:rFonts w:hint="cs"/>
          <w:sz w:val="30"/>
          <w:rtl/>
        </w:rPr>
      </w:pPr>
      <w:r>
        <w:rPr>
          <w:rFonts w:hint="cs"/>
          <w:sz w:val="30"/>
          <w:rtl/>
        </w:rPr>
        <w:t>10-</w:t>
      </w:r>
      <w:r>
        <w:rPr>
          <w:rFonts w:hint="cs"/>
          <w:sz w:val="30"/>
          <w:rtl/>
        </w:rPr>
        <w:tab/>
        <w:t xml:space="preserve">ترحب اللجنة </w:t>
      </w:r>
      <w:r w:rsidR="00E31622">
        <w:rPr>
          <w:rFonts w:hint="cs"/>
          <w:sz w:val="30"/>
          <w:rtl/>
        </w:rPr>
        <w:t xml:space="preserve">باعتزام </w:t>
      </w:r>
      <w:r>
        <w:rPr>
          <w:rFonts w:hint="cs"/>
          <w:sz w:val="30"/>
          <w:rtl/>
        </w:rPr>
        <w:t>الدولة الطرف سحب تحفظها على المادة 4 و</w:t>
      </w:r>
      <w:r w:rsidR="00E31622">
        <w:rPr>
          <w:rFonts w:hint="cs"/>
          <w:sz w:val="30"/>
          <w:rtl/>
        </w:rPr>
        <w:t xml:space="preserve">تشير </w:t>
      </w:r>
      <w:r w:rsidR="00B92F1B">
        <w:rPr>
          <w:rFonts w:hint="cs"/>
          <w:sz w:val="30"/>
          <w:rtl/>
        </w:rPr>
        <w:t>إ</w:t>
      </w:r>
      <w:r w:rsidR="00E31622">
        <w:rPr>
          <w:rFonts w:hint="cs"/>
          <w:sz w:val="30"/>
          <w:rtl/>
        </w:rPr>
        <w:t xml:space="preserve">لى </w:t>
      </w:r>
      <w:r>
        <w:rPr>
          <w:rFonts w:hint="cs"/>
          <w:sz w:val="30"/>
          <w:rtl/>
        </w:rPr>
        <w:t xml:space="preserve">جهود الدولة الطرف الرامية إلى تحسين التشريع الذي يحظر التحريض </w:t>
      </w:r>
      <w:r w:rsidR="00E31622">
        <w:rPr>
          <w:rFonts w:hint="cs"/>
          <w:sz w:val="30"/>
          <w:rtl/>
        </w:rPr>
        <w:t xml:space="preserve">على الكراهية العنصرية والعنف، عقب صدور التوصية السابقة للجنة </w:t>
      </w:r>
      <w:r>
        <w:rPr>
          <w:rFonts w:hint="cs"/>
          <w:sz w:val="30"/>
          <w:rtl/>
        </w:rPr>
        <w:t>(</w:t>
      </w:r>
      <w:r w:rsidRPr="00E31622">
        <w:rPr>
          <w:szCs w:val="20"/>
        </w:rPr>
        <w:t>CERD/C/AUT/CO/17</w:t>
      </w:r>
      <w:r>
        <w:rPr>
          <w:rFonts w:hint="cs"/>
          <w:sz w:val="30"/>
          <w:rtl/>
        </w:rPr>
        <w:t>، الفقرة 15)</w:t>
      </w:r>
      <w:r w:rsidR="00E31622">
        <w:rPr>
          <w:rFonts w:hint="cs"/>
          <w:sz w:val="30"/>
          <w:rtl/>
        </w:rPr>
        <w:t>،</w:t>
      </w:r>
      <w:r>
        <w:rPr>
          <w:rFonts w:hint="cs"/>
          <w:sz w:val="30"/>
          <w:rtl/>
        </w:rPr>
        <w:t xml:space="preserve"> مثل تعديل المادة 283 لإلغاء الطابع الإلزامي للشرط الذي يقضي بأنه لا يجوز رفع دعاوى بموجب هذه المادة إلا إذا كان هناك تهديد محتمل للأمن العام، </w:t>
      </w:r>
      <w:r w:rsidR="00E31622">
        <w:rPr>
          <w:rFonts w:hint="cs"/>
          <w:sz w:val="30"/>
          <w:rtl/>
        </w:rPr>
        <w:t xml:space="preserve">بيد أن اللجنة تشعر بالقلق </w:t>
      </w:r>
      <w:r>
        <w:rPr>
          <w:rFonts w:hint="cs"/>
          <w:sz w:val="30"/>
          <w:rtl/>
        </w:rPr>
        <w:t>لأن التعديل الأخير للمادة 283 من القانون الجنائي لحظر بعض أفعال الكراهية العنصرية والتمييز، الذي يفهم على هذا النحو من جانب "جمهور عريض</w:t>
      </w:r>
      <w:r w:rsidR="00B92F1B">
        <w:rPr>
          <w:rFonts w:hint="cs"/>
          <w:sz w:val="30"/>
          <w:rtl/>
        </w:rPr>
        <w:t>"</w:t>
      </w:r>
      <w:r>
        <w:rPr>
          <w:rFonts w:hint="cs"/>
          <w:sz w:val="30"/>
          <w:rtl/>
        </w:rPr>
        <w:t xml:space="preserve"> قد </w:t>
      </w:r>
      <w:r w:rsidR="00E31622">
        <w:rPr>
          <w:rFonts w:hint="cs"/>
          <w:sz w:val="30"/>
          <w:rtl/>
        </w:rPr>
        <w:t xml:space="preserve">يؤدي إلى </w:t>
      </w:r>
      <w:r>
        <w:rPr>
          <w:rFonts w:hint="cs"/>
          <w:sz w:val="30"/>
          <w:rtl/>
        </w:rPr>
        <w:t>تحويل أفعال الكراهية العنصرية والتمييز هذه إلى أفعال مسموح بها إذا لم يتم الحصول على العدد الكافي من الأفراد اللازم لاعتبار هذا الفعل فعلاً يشكل جريمة بموجب المادة الجديدة في القانون المعدل (المادتان 2 و4).</w:t>
      </w:r>
    </w:p>
    <w:p w:rsidR="001532E3" w:rsidRDefault="001532E3" w:rsidP="001532E3">
      <w:pPr>
        <w:pStyle w:val="SingleTxtGA"/>
        <w:rPr>
          <w:rFonts w:hint="cs"/>
          <w:b/>
          <w:bCs/>
          <w:sz w:val="30"/>
          <w:rtl/>
        </w:rPr>
      </w:pPr>
      <w:r>
        <w:rPr>
          <w:rFonts w:hint="cs"/>
          <w:b/>
          <w:bCs/>
          <w:sz w:val="30"/>
          <w:rtl/>
        </w:rPr>
        <w:tab/>
        <w:t>توصي اللجنة الدولة الطرف بتعديل نطاق المادة 283 من القانون الجنائي لتوضيح أنها تحظر بالفعل جميع أشكال الكراهية العنصرية والتمييز على النحو المنصوص عليه في المادة 4 من الاتفاقية.</w:t>
      </w:r>
    </w:p>
    <w:p w:rsidR="001532E3" w:rsidRDefault="001532E3" w:rsidP="001532E3">
      <w:pPr>
        <w:pStyle w:val="H23GA"/>
        <w:rPr>
          <w:rFonts w:hint="cs"/>
          <w:rtl/>
        </w:rPr>
      </w:pPr>
      <w:r>
        <w:rPr>
          <w:rFonts w:hint="cs"/>
          <w:rtl/>
        </w:rPr>
        <w:tab/>
      </w:r>
      <w:r>
        <w:rPr>
          <w:rFonts w:hint="cs"/>
          <w:rtl/>
        </w:rPr>
        <w:tab/>
        <w:t>التطرف اليميني والنازية الجديدة</w:t>
      </w:r>
    </w:p>
    <w:p w:rsidR="001532E3" w:rsidRDefault="001532E3" w:rsidP="00E31622">
      <w:pPr>
        <w:pStyle w:val="SingleTxtGA"/>
        <w:rPr>
          <w:rFonts w:hint="cs"/>
          <w:sz w:val="30"/>
          <w:rtl/>
        </w:rPr>
      </w:pPr>
      <w:r>
        <w:rPr>
          <w:rFonts w:hint="cs"/>
          <w:sz w:val="30"/>
          <w:rtl/>
        </w:rPr>
        <w:t>11-</w:t>
      </w:r>
      <w:r>
        <w:rPr>
          <w:rFonts w:hint="cs"/>
          <w:sz w:val="30"/>
          <w:rtl/>
        </w:rPr>
        <w:tab/>
      </w:r>
      <w:r w:rsidR="00E31622">
        <w:rPr>
          <w:rFonts w:hint="cs"/>
          <w:sz w:val="30"/>
          <w:rtl/>
        </w:rPr>
        <w:t xml:space="preserve">تشير اللجنة إلى جهود </w:t>
      </w:r>
      <w:r>
        <w:rPr>
          <w:rFonts w:hint="cs"/>
          <w:sz w:val="30"/>
          <w:rtl/>
        </w:rPr>
        <w:t xml:space="preserve">الدولة الطرف لتحسين وعي الجمهور بالأشكال الجديدة للعنصرية في الدولة الطرف، </w:t>
      </w:r>
      <w:r w:rsidR="00E31622">
        <w:rPr>
          <w:rFonts w:hint="cs"/>
          <w:sz w:val="30"/>
          <w:rtl/>
        </w:rPr>
        <w:t>لكنها تشعر ب</w:t>
      </w:r>
      <w:r>
        <w:rPr>
          <w:rFonts w:hint="cs"/>
          <w:sz w:val="30"/>
          <w:rtl/>
        </w:rPr>
        <w:t xml:space="preserve">القلق إزاء عودة ظهور حليقي الرؤوس ومجموعات اليمين المتطرف وغيرها من المجموعات </w:t>
      </w:r>
      <w:r w:rsidR="00E31622">
        <w:rPr>
          <w:rFonts w:hint="cs"/>
          <w:sz w:val="30"/>
          <w:rtl/>
        </w:rPr>
        <w:t>التي تسترشد ب</w:t>
      </w:r>
      <w:r>
        <w:rPr>
          <w:rFonts w:hint="cs"/>
          <w:sz w:val="30"/>
          <w:rtl/>
        </w:rPr>
        <w:t>إيديولوجيا</w:t>
      </w:r>
      <w:r>
        <w:rPr>
          <w:rFonts w:hint="eastAsia"/>
          <w:sz w:val="30"/>
          <w:rtl/>
        </w:rPr>
        <w:t>ت</w:t>
      </w:r>
      <w:r>
        <w:rPr>
          <w:rFonts w:hint="cs"/>
          <w:sz w:val="30"/>
          <w:rtl/>
        </w:rPr>
        <w:t xml:space="preserve"> الاشتراكية الوطنية المتطرفة والنازية الجديدة. ويساور اللجنة القلق أيضاً إزاء التقارير التي تشير إلى الإساءة اللفظية الموجهة إلى لاعبي كرة القدم من أصل أفريقي وعرض شعارات معادية للسامية في ملاعب كرة القدم (المادتان 2 و4).</w:t>
      </w:r>
    </w:p>
    <w:p w:rsidR="001532E3" w:rsidRDefault="001532E3" w:rsidP="00B92F1B">
      <w:pPr>
        <w:pStyle w:val="SingleTxtGA"/>
        <w:rPr>
          <w:rFonts w:hint="cs"/>
          <w:b/>
          <w:bCs/>
          <w:sz w:val="30"/>
          <w:rtl/>
        </w:rPr>
      </w:pPr>
      <w:r>
        <w:rPr>
          <w:rFonts w:hint="cs"/>
          <w:b/>
          <w:bCs/>
          <w:sz w:val="30"/>
          <w:rtl/>
        </w:rPr>
        <w:tab/>
        <w:t xml:space="preserve">توصي اللجنة الدولة الطرف باتخاذ تدابير فعالة لحظر التحريض على الكراهية العرقية على أراضيها ومضاعفة جهودها للتشجيع على التسامح تجاه الأشخاص من أصول عرقية مختلفة. وتوصي اللجنة الدولة الطرف أيضاً بمواصلة العمل مع الجمعيات الرياضية لاستئصال </w:t>
      </w:r>
      <w:proofErr w:type="spellStart"/>
      <w:r>
        <w:rPr>
          <w:rFonts w:hint="cs"/>
          <w:b/>
          <w:bCs/>
          <w:sz w:val="30"/>
          <w:rtl/>
        </w:rPr>
        <w:t>ش</w:t>
      </w:r>
      <w:r w:rsidR="00B92F1B">
        <w:rPr>
          <w:rFonts w:hint="cs"/>
          <w:b/>
          <w:bCs/>
          <w:sz w:val="30"/>
          <w:rtl/>
        </w:rPr>
        <w:t>أ</w:t>
      </w:r>
      <w:r w:rsidR="00E31622">
        <w:rPr>
          <w:rFonts w:hint="cs"/>
          <w:b/>
          <w:bCs/>
          <w:sz w:val="30"/>
          <w:rtl/>
        </w:rPr>
        <w:t>فة</w:t>
      </w:r>
      <w:proofErr w:type="spellEnd"/>
      <w:r w:rsidR="00E31622">
        <w:rPr>
          <w:rFonts w:hint="cs"/>
          <w:b/>
          <w:bCs/>
          <w:sz w:val="30"/>
          <w:rtl/>
        </w:rPr>
        <w:t xml:space="preserve"> العنصرية في جميع المجالات </w:t>
      </w:r>
      <w:r>
        <w:rPr>
          <w:rFonts w:hint="cs"/>
          <w:b/>
          <w:bCs/>
          <w:sz w:val="30"/>
          <w:rtl/>
        </w:rPr>
        <w:t>الرياضية.</w:t>
      </w:r>
    </w:p>
    <w:p w:rsidR="001532E3" w:rsidRPr="0068336D" w:rsidRDefault="00B92F1B" w:rsidP="0068336D">
      <w:pPr>
        <w:pStyle w:val="H23GA"/>
        <w:rPr>
          <w:rFonts w:hint="cs"/>
          <w:rtl/>
        </w:rPr>
      </w:pPr>
      <w:r>
        <w:rPr>
          <w:rFonts w:hint="cs"/>
          <w:rtl/>
        </w:rPr>
        <w:tab/>
      </w:r>
      <w:r>
        <w:rPr>
          <w:rFonts w:hint="cs"/>
          <w:rtl/>
        </w:rPr>
        <w:tab/>
      </w:r>
      <w:r w:rsidR="001532E3" w:rsidRPr="0068336D">
        <w:rPr>
          <w:rFonts w:hint="cs"/>
          <w:rtl/>
        </w:rPr>
        <w:t>الخطب العنصرية السياسية</w:t>
      </w:r>
    </w:p>
    <w:p w:rsidR="001532E3" w:rsidRDefault="001532E3" w:rsidP="00B92F1B">
      <w:pPr>
        <w:pStyle w:val="SingleTxtGA"/>
        <w:rPr>
          <w:rFonts w:hint="cs"/>
          <w:sz w:val="30"/>
          <w:rtl/>
        </w:rPr>
      </w:pPr>
      <w:r>
        <w:rPr>
          <w:rFonts w:hint="cs"/>
          <w:sz w:val="30"/>
          <w:rtl/>
        </w:rPr>
        <w:t>12-</w:t>
      </w:r>
      <w:r>
        <w:rPr>
          <w:rFonts w:hint="cs"/>
          <w:sz w:val="30"/>
          <w:rtl/>
        </w:rPr>
        <w:tab/>
        <w:t xml:space="preserve">تأسف اللجنة لأن رجال السياسة يستخدمون لغة </w:t>
      </w:r>
      <w:r>
        <w:rPr>
          <w:rFonts w:hint="cs"/>
          <w:rtl/>
          <w:lang w:bidi="ar"/>
        </w:rPr>
        <w:t>تحريضية</w:t>
      </w:r>
      <w:r>
        <w:rPr>
          <w:rFonts w:hint="cs"/>
          <w:sz w:val="30"/>
          <w:rtl/>
        </w:rPr>
        <w:t xml:space="preserve"> أثناء الحملات الانتخابية</w:t>
      </w:r>
      <w:r>
        <w:rPr>
          <w:rFonts w:hint="eastAsia"/>
          <w:sz w:val="30"/>
          <w:rtl/>
        </w:rPr>
        <w:t> </w:t>
      </w:r>
      <w:r>
        <w:rPr>
          <w:rFonts w:hint="cs"/>
          <w:sz w:val="30"/>
          <w:rtl/>
        </w:rPr>
        <w:t xml:space="preserve">تسيء </w:t>
      </w:r>
      <w:r w:rsidR="00E31622">
        <w:rPr>
          <w:rFonts w:hint="cs"/>
          <w:sz w:val="30"/>
          <w:rtl/>
        </w:rPr>
        <w:t xml:space="preserve">إلى </w:t>
      </w:r>
      <w:r>
        <w:rPr>
          <w:rFonts w:hint="cs"/>
          <w:sz w:val="30"/>
          <w:rtl/>
        </w:rPr>
        <w:t>الأشخاص المنتمين إلى أقليات إثنية في الدولة الطرف</w:t>
      </w:r>
      <w:r w:rsidR="00E31622">
        <w:rPr>
          <w:rFonts w:hint="cs"/>
          <w:sz w:val="30"/>
          <w:rtl/>
        </w:rPr>
        <w:t xml:space="preserve"> وتؤدي إلى زيا</w:t>
      </w:r>
      <w:r w:rsidR="00B92F1B">
        <w:rPr>
          <w:rFonts w:hint="cs"/>
          <w:sz w:val="30"/>
          <w:rtl/>
        </w:rPr>
        <w:t>د</w:t>
      </w:r>
      <w:r w:rsidR="00E31622">
        <w:rPr>
          <w:rFonts w:hint="cs"/>
          <w:sz w:val="30"/>
          <w:rtl/>
        </w:rPr>
        <w:t>ة الت</w:t>
      </w:r>
      <w:r w:rsidR="00B92F1B">
        <w:rPr>
          <w:rFonts w:hint="cs"/>
          <w:sz w:val="30"/>
          <w:rtl/>
        </w:rPr>
        <w:t>ح</w:t>
      </w:r>
      <w:r w:rsidR="00E31622">
        <w:rPr>
          <w:rFonts w:hint="cs"/>
          <w:sz w:val="30"/>
          <w:rtl/>
        </w:rPr>
        <w:t>امل ضدهم</w:t>
      </w:r>
      <w:r>
        <w:rPr>
          <w:rFonts w:hint="cs"/>
          <w:sz w:val="30"/>
          <w:rtl/>
        </w:rPr>
        <w:t xml:space="preserve"> (المادتان 4 و5).</w:t>
      </w:r>
    </w:p>
    <w:p w:rsidR="001532E3" w:rsidRDefault="001532E3" w:rsidP="00E31622">
      <w:pPr>
        <w:pStyle w:val="SingleTxtGA"/>
        <w:rPr>
          <w:rFonts w:hint="cs"/>
          <w:b/>
          <w:bCs/>
          <w:sz w:val="30"/>
          <w:rtl/>
        </w:rPr>
      </w:pPr>
      <w:r>
        <w:rPr>
          <w:rFonts w:hint="cs"/>
          <w:sz w:val="30"/>
          <w:rtl/>
        </w:rPr>
        <w:tab/>
      </w:r>
      <w:r>
        <w:rPr>
          <w:rFonts w:hint="cs"/>
          <w:b/>
          <w:bCs/>
          <w:sz w:val="30"/>
          <w:rtl/>
        </w:rPr>
        <w:t xml:space="preserve">تحث اللجنة الدولة الطرف على إجراء تحقيق شامل والقيام، عند الاقتضاء، بمقاضاة السياسيين الذين </w:t>
      </w:r>
      <w:r w:rsidR="00E31622">
        <w:rPr>
          <w:rFonts w:hint="cs"/>
          <w:b/>
          <w:bCs/>
          <w:sz w:val="30"/>
          <w:rtl/>
        </w:rPr>
        <w:t xml:space="preserve">يدلون بتصريحات </w:t>
      </w:r>
      <w:r>
        <w:rPr>
          <w:rFonts w:hint="cs"/>
          <w:b/>
          <w:bCs/>
          <w:sz w:val="30"/>
          <w:rtl/>
        </w:rPr>
        <w:t xml:space="preserve">أثناء </w:t>
      </w:r>
      <w:r w:rsidR="00E31622">
        <w:rPr>
          <w:rFonts w:hint="cs"/>
          <w:b/>
          <w:bCs/>
          <w:sz w:val="30"/>
          <w:rtl/>
        </w:rPr>
        <w:t>ال</w:t>
      </w:r>
      <w:r>
        <w:rPr>
          <w:rFonts w:hint="cs"/>
          <w:b/>
          <w:bCs/>
          <w:sz w:val="30"/>
          <w:rtl/>
        </w:rPr>
        <w:t>حملات الانتخا</w:t>
      </w:r>
      <w:r w:rsidR="00E31622">
        <w:rPr>
          <w:rFonts w:hint="cs"/>
          <w:b/>
          <w:bCs/>
          <w:sz w:val="30"/>
          <w:rtl/>
        </w:rPr>
        <w:t>بية تحرض على الكراهية</w:t>
      </w:r>
      <w:r w:rsidR="0068336D">
        <w:rPr>
          <w:rFonts w:hint="cs"/>
          <w:b/>
          <w:bCs/>
          <w:sz w:val="30"/>
          <w:rtl/>
        </w:rPr>
        <w:t xml:space="preserve"> </w:t>
      </w:r>
      <w:r>
        <w:rPr>
          <w:rFonts w:hint="cs"/>
          <w:b/>
          <w:bCs/>
          <w:sz w:val="30"/>
          <w:rtl/>
        </w:rPr>
        <w:t>ضد الأشخاص المنتمين إلى أقليات إثنية. وفي هذا الصدد، يتعين على الدولة الطرف أن تتخذ خطوات</w:t>
      </w:r>
      <w:r w:rsidR="00E31622">
        <w:rPr>
          <w:rFonts w:hint="cs"/>
          <w:b/>
          <w:bCs/>
          <w:sz w:val="30"/>
          <w:rtl/>
        </w:rPr>
        <w:t xml:space="preserve"> فعالة</w:t>
      </w:r>
      <w:r>
        <w:rPr>
          <w:rFonts w:hint="cs"/>
          <w:b/>
          <w:bCs/>
          <w:sz w:val="30"/>
          <w:rtl/>
        </w:rPr>
        <w:t xml:space="preserve"> لمنع المرشحين والمنظمات من التشجيع والتحريض على التمييز العنصري. </w:t>
      </w:r>
    </w:p>
    <w:p w:rsidR="001532E3" w:rsidRDefault="0068336D" w:rsidP="0068336D">
      <w:pPr>
        <w:pStyle w:val="H23GA"/>
        <w:rPr>
          <w:rFonts w:hint="cs"/>
          <w:rtl/>
        </w:rPr>
      </w:pPr>
      <w:r>
        <w:rPr>
          <w:rFonts w:hint="cs"/>
          <w:rtl/>
        </w:rPr>
        <w:tab/>
      </w:r>
      <w:r>
        <w:rPr>
          <w:rFonts w:hint="cs"/>
          <w:rtl/>
        </w:rPr>
        <w:tab/>
      </w:r>
      <w:r w:rsidR="001532E3">
        <w:rPr>
          <w:rFonts w:hint="cs"/>
          <w:rtl/>
        </w:rPr>
        <w:t>إقامة العدل</w:t>
      </w:r>
    </w:p>
    <w:p w:rsidR="001532E3" w:rsidRDefault="001532E3" w:rsidP="00B92F1B">
      <w:pPr>
        <w:pStyle w:val="SingleTxtGA"/>
        <w:rPr>
          <w:rFonts w:hint="cs"/>
          <w:sz w:val="30"/>
          <w:rtl/>
        </w:rPr>
      </w:pPr>
      <w:r>
        <w:rPr>
          <w:rFonts w:hint="cs"/>
          <w:sz w:val="30"/>
          <w:rtl/>
        </w:rPr>
        <w:t>13-</w:t>
      </w:r>
      <w:r>
        <w:rPr>
          <w:rFonts w:hint="cs"/>
          <w:sz w:val="30"/>
          <w:rtl/>
        </w:rPr>
        <w:tab/>
        <w:t>يساور اللجنة القلق إزاء ارتفاع معدلات حبس غير المواطنين بشكل غير متناسب</w:t>
      </w:r>
      <w:r w:rsidR="00E31622">
        <w:rPr>
          <w:rFonts w:hint="cs"/>
          <w:sz w:val="30"/>
          <w:rtl/>
        </w:rPr>
        <w:t xml:space="preserve">، وهو ما يعزى جزئياً </w:t>
      </w:r>
      <w:r>
        <w:rPr>
          <w:rFonts w:hint="cs"/>
          <w:sz w:val="30"/>
          <w:rtl/>
        </w:rPr>
        <w:t xml:space="preserve">وفقاً للدولة الطرف </w:t>
      </w:r>
      <w:r w:rsidR="00E31622">
        <w:rPr>
          <w:rFonts w:hint="cs"/>
          <w:sz w:val="30"/>
          <w:rtl/>
        </w:rPr>
        <w:t xml:space="preserve">إلى عدم قدرة </w:t>
      </w:r>
      <w:r>
        <w:rPr>
          <w:rFonts w:hint="cs"/>
          <w:sz w:val="30"/>
          <w:rtl/>
        </w:rPr>
        <w:t xml:space="preserve">المحتجزين في الحبس الاحتياطي </w:t>
      </w:r>
      <w:r w:rsidR="00E31622">
        <w:rPr>
          <w:rFonts w:hint="cs"/>
          <w:sz w:val="30"/>
          <w:rtl/>
        </w:rPr>
        <w:t xml:space="preserve">على استيفاء شروط </w:t>
      </w:r>
      <w:r>
        <w:rPr>
          <w:rFonts w:hint="cs"/>
          <w:sz w:val="30"/>
          <w:rtl/>
        </w:rPr>
        <w:t>الإفراج المشروط</w:t>
      </w:r>
      <w:r w:rsidR="00E31622">
        <w:rPr>
          <w:rFonts w:hint="cs"/>
          <w:sz w:val="30"/>
          <w:rtl/>
        </w:rPr>
        <w:t>،</w:t>
      </w:r>
      <w:r>
        <w:rPr>
          <w:rFonts w:hint="cs"/>
          <w:sz w:val="30"/>
          <w:rtl/>
        </w:rPr>
        <w:t xml:space="preserve"> مثل عدم حصولهم على إقامة دائمة و</w:t>
      </w:r>
      <w:r w:rsidR="00E31622">
        <w:rPr>
          <w:rFonts w:hint="cs"/>
          <w:sz w:val="30"/>
          <w:rtl/>
        </w:rPr>
        <w:t xml:space="preserve">احتمال </w:t>
      </w:r>
      <w:r w:rsidR="00B92F1B">
        <w:rPr>
          <w:rFonts w:hint="cs"/>
          <w:sz w:val="30"/>
          <w:rtl/>
        </w:rPr>
        <w:t>ف</w:t>
      </w:r>
      <w:r w:rsidR="00E31622">
        <w:rPr>
          <w:rFonts w:hint="cs"/>
          <w:sz w:val="30"/>
          <w:rtl/>
        </w:rPr>
        <w:t xml:space="preserve">رارهم قبل انتهاء الإجراءات </w:t>
      </w:r>
      <w:r>
        <w:rPr>
          <w:rFonts w:hint="cs"/>
          <w:sz w:val="30"/>
          <w:rtl/>
        </w:rPr>
        <w:t xml:space="preserve">الجنائية. ويساور اللجنة القلق أيضاً إزاء التقارير عن التنميط العنصري واستخدام نقاط </w:t>
      </w:r>
      <w:r w:rsidR="00E31622">
        <w:rPr>
          <w:rFonts w:hint="cs"/>
          <w:sz w:val="30"/>
          <w:rtl/>
        </w:rPr>
        <w:t xml:space="preserve">لتوقيف </w:t>
      </w:r>
      <w:r>
        <w:rPr>
          <w:rFonts w:hint="cs"/>
          <w:sz w:val="30"/>
          <w:rtl/>
        </w:rPr>
        <w:t xml:space="preserve">وتفتيش الأشخاص </w:t>
      </w:r>
      <w:r w:rsidR="00E31622">
        <w:rPr>
          <w:rFonts w:hint="cs"/>
          <w:sz w:val="30"/>
          <w:rtl/>
        </w:rPr>
        <w:t xml:space="preserve">غير المنتمين إلى </w:t>
      </w:r>
      <w:r>
        <w:rPr>
          <w:rFonts w:hint="cs"/>
          <w:sz w:val="30"/>
          <w:rtl/>
        </w:rPr>
        <w:t xml:space="preserve">الغالبية العرقية. ويساور اللجنة القلق أيضاً </w:t>
      </w:r>
      <w:r w:rsidR="00E31622">
        <w:rPr>
          <w:rFonts w:hint="cs"/>
          <w:sz w:val="30"/>
          <w:rtl/>
        </w:rPr>
        <w:t xml:space="preserve">إزاء عدم قيام </w:t>
      </w:r>
      <w:r>
        <w:rPr>
          <w:rFonts w:hint="cs"/>
          <w:sz w:val="30"/>
          <w:rtl/>
        </w:rPr>
        <w:t>الدولة الطرف،</w:t>
      </w:r>
      <w:r w:rsidR="00E31622">
        <w:rPr>
          <w:rFonts w:hint="cs"/>
          <w:sz w:val="30"/>
          <w:rtl/>
        </w:rPr>
        <w:t xml:space="preserve"> </w:t>
      </w:r>
      <w:r>
        <w:rPr>
          <w:rFonts w:hint="cs"/>
          <w:sz w:val="30"/>
          <w:rtl/>
        </w:rPr>
        <w:t xml:space="preserve">على النحو الواجب، </w:t>
      </w:r>
      <w:r w:rsidR="00E31622">
        <w:rPr>
          <w:rFonts w:hint="cs"/>
          <w:sz w:val="30"/>
          <w:rtl/>
        </w:rPr>
        <w:t>ب</w:t>
      </w:r>
      <w:r>
        <w:rPr>
          <w:rFonts w:hint="cs"/>
          <w:sz w:val="30"/>
          <w:rtl/>
        </w:rPr>
        <w:t>محاكمة ومعاقبة الموظفين المكلفين بإنفاذ القوانين الذين يرتكبون جرائم ضد الأشخاص من أصول</w:t>
      </w:r>
      <w:r w:rsidR="00E31622">
        <w:rPr>
          <w:rFonts w:hint="cs"/>
          <w:sz w:val="30"/>
          <w:rtl/>
        </w:rPr>
        <w:t xml:space="preserve"> مهاجرة، وعدم </w:t>
      </w:r>
      <w:r>
        <w:rPr>
          <w:rFonts w:hint="cs"/>
          <w:sz w:val="30"/>
          <w:rtl/>
        </w:rPr>
        <w:t xml:space="preserve">تقديم الحماية المتساوية بموجب القانون. </w:t>
      </w:r>
      <w:r w:rsidR="00B24D1D">
        <w:rPr>
          <w:rFonts w:hint="cs"/>
          <w:sz w:val="30"/>
          <w:rtl/>
        </w:rPr>
        <w:t xml:space="preserve">فضلاً عن </w:t>
      </w:r>
      <w:r>
        <w:rPr>
          <w:rFonts w:hint="cs"/>
          <w:sz w:val="30"/>
          <w:rtl/>
        </w:rPr>
        <w:t xml:space="preserve">عدم ملاحقة </w:t>
      </w:r>
      <w:r w:rsidR="00B24D1D">
        <w:rPr>
          <w:rFonts w:hint="cs"/>
          <w:sz w:val="30"/>
          <w:rtl/>
        </w:rPr>
        <w:t xml:space="preserve">مرتكبي </w:t>
      </w:r>
      <w:r>
        <w:rPr>
          <w:rFonts w:hint="cs"/>
          <w:sz w:val="30"/>
          <w:rtl/>
        </w:rPr>
        <w:t>العديد من الانتهاكات المتعلقة بحظر التمييز العنصري معتبرة أنها "جرائم بسيطة" (المواد 2 و4 و5 و6).</w:t>
      </w:r>
    </w:p>
    <w:p w:rsidR="001532E3" w:rsidRDefault="001532E3" w:rsidP="00B24D1D">
      <w:pPr>
        <w:pStyle w:val="SingleTxtGA"/>
        <w:rPr>
          <w:rFonts w:hint="cs"/>
          <w:b/>
          <w:bCs/>
          <w:sz w:val="30"/>
          <w:rtl/>
        </w:rPr>
      </w:pPr>
      <w:r>
        <w:rPr>
          <w:rFonts w:hint="cs"/>
          <w:b/>
          <w:bCs/>
          <w:sz w:val="30"/>
          <w:rtl/>
        </w:rPr>
        <w:tab/>
        <w:t>تحث اللجنة الدولة الطرف، في ضوء توصيتها العامة رقم 31(200</w:t>
      </w:r>
      <w:r w:rsidR="00B24D1D">
        <w:rPr>
          <w:rFonts w:hint="cs"/>
          <w:b/>
          <w:bCs/>
          <w:sz w:val="30"/>
          <w:rtl/>
        </w:rPr>
        <w:t>5) بشأن منع التمييز العنصري في سياق إ</w:t>
      </w:r>
      <w:r>
        <w:rPr>
          <w:rFonts w:hint="cs"/>
          <w:b/>
          <w:bCs/>
          <w:sz w:val="30"/>
          <w:rtl/>
        </w:rPr>
        <w:t xml:space="preserve">دارة وسير عمل نظام القضاء الجنائي، على إجراء دراسة شاملة عن الأسباب الجذرية </w:t>
      </w:r>
      <w:r w:rsidR="00B24D1D">
        <w:rPr>
          <w:rFonts w:hint="cs"/>
          <w:b/>
          <w:bCs/>
          <w:sz w:val="30"/>
          <w:rtl/>
        </w:rPr>
        <w:t xml:space="preserve">للزيادة غير المتناسبة في أعداد </w:t>
      </w:r>
      <w:r>
        <w:rPr>
          <w:rFonts w:hint="cs"/>
          <w:b/>
          <w:bCs/>
          <w:sz w:val="30"/>
          <w:rtl/>
        </w:rPr>
        <w:t>غير المواطنين الذين يتم تقديمهم إلى نظام القضاء الجنائي وأسباب التنميط العرقي. وتوصي اللجنة الدولة الطرف بما يلي:</w:t>
      </w:r>
    </w:p>
    <w:p w:rsidR="001532E3" w:rsidRDefault="001532E3" w:rsidP="00B24D1D">
      <w:pPr>
        <w:pStyle w:val="SingleTxtGA"/>
        <w:rPr>
          <w:rFonts w:hint="cs"/>
          <w:b/>
          <w:bCs/>
          <w:sz w:val="30"/>
          <w:rtl/>
        </w:rPr>
      </w:pPr>
      <w:r>
        <w:rPr>
          <w:rFonts w:hint="cs"/>
          <w:b/>
          <w:bCs/>
          <w:sz w:val="30"/>
          <w:rtl/>
        </w:rPr>
        <w:tab/>
        <w:t>(أ)</w:t>
      </w:r>
      <w:r>
        <w:rPr>
          <w:rFonts w:hint="cs"/>
          <w:b/>
          <w:bCs/>
          <w:sz w:val="30"/>
          <w:rtl/>
        </w:rPr>
        <w:tab/>
        <w:t xml:space="preserve">اتخاذ الخطوات اللازمة </w:t>
      </w:r>
      <w:r w:rsidR="00B24D1D">
        <w:rPr>
          <w:rFonts w:hint="cs"/>
          <w:b/>
          <w:bCs/>
          <w:sz w:val="30"/>
          <w:rtl/>
        </w:rPr>
        <w:t xml:space="preserve">لوقف عمليات الاعتقال </w:t>
      </w:r>
      <w:r>
        <w:rPr>
          <w:rFonts w:hint="cs"/>
          <w:b/>
          <w:bCs/>
          <w:sz w:val="30"/>
          <w:rtl/>
        </w:rPr>
        <w:t xml:space="preserve">والتوقيف والتفتيش والتحقيق </w:t>
      </w:r>
      <w:r w:rsidR="00B24D1D">
        <w:rPr>
          <w:rFonts w:hint="cs"/>
          <w:b/>
          <w:bCs/>
          <w:sz w:val="30"/>
          <w:rtl/>
        </w:rPr>
        <w:t xml:space="preserve">على أساس </w:t>
      </w:r>
      <w:r>
        <w:rPr>
          <w:rFonts w:hint="cs"/>
          <w:b/>
          <w:bCs/>
          <w:sz w:val="30"/>
          <w:rtl/>
        </w:rPr>
        <w:t xml:space="preserve">المظهر أو اللون أو الانتماء إلى مجموعات وطنية </w:t>
      </w:r>
      <w:proofErr w:type="spellStart"/>
      <w:r>
        <w:rPr>
          <w:rFonts w:hint="cs"/>
          <w:b/>
          <w:bCs/>
          <w:sz w:val="30"/>
          <w:rtl/>
        </w:rPr>
        <w:t>وإثنية</w:t>
      </w:r>
      <w:proofErr w:type="spellEnd"/>
      <w:r>
        <w:rPr>
          <w:rFonts w:hint="cs"/>
          <w:b/>
          <w:bCs/>
          <w:sz w:val="30"/>
          <w:rtl/>
        </w:rPr>
        <w:t>؛</w:t>
      </w:r>
    </w:p>
    <w:p w:rsidR="001532E3" w:rsidRPr="0068336D" w:rsidRDefault="001532E3" w:rsidP="00B24D1D">
      <w:pPr>
        <w:pStyle w:val="SingleTxtGA"/>
        <w:rPr>
          <w:rFonts w:hint="cs"/>
          <w:b/>
          <w:bCs/>
          <w:rtl/>
        </w:rPr>
      </w:pPr>
      <w:r>
        <w:rPr>
          <w:rFonts w:hint="cs"/>
          <w:b/>
          <w:bCs/>
          <w:sz w:val="30"/>
          <w:rtl/>
        </w:rPr>
        <w:tab/>
        <w:t>(ب)</w:t>
      </w:r>
      <w:r>
        <w:rPr>
          <w:rFonts w:hint="cs"/>
          <w:b/>
          <w:bCs/>
          <w:sz w:val="30"/>
          <w:rtl/>
        </w:rPr>
        <w:tab/>
        <w:t xml:space="preserve">التحقيق في حالات التنميط العرقي والمعاقبة عليها وضمان التحقيق الكامل في </w:t>
      </w:r>
      <w:r w:rsidR="00B24D1D">
        <w:rPr>
          <w:rFonts w:hint="cs"/>
          <w:b/>
          <w:bCs/>
          <w:sz w:val="30"/>
          <w:rtl/>
        </w:rPr>
        <w:t>ال</w:t>
      </w:r>
      <w:r>
        <w:rPr>
          <w:rFonts w:hint="cs"/>
          <w:b/>
          <w:bCs/>
          <w:sz w:val="30"/>
          <w:rtl/>
        </w:rPr>
        <w:t xml:space="preserve">جرائم </w:t>
      </w:r>
      <w:r w:rsidR="00B24D1D">
        <w:rPr>
          <w:rFonts w:hint="cs"/>
          <w:b/>
          <w:bCs/>
          <w:sz w:val="30"/>
          <w:rtl/>
        </w:rPr>
        <w:t xml:space="preserve">التي </w:t>
      </w:r>
      <w:r>
        <w:rPr>
          <w:rFonts w:hint="cs"/>
          <w:b/>
          <w:bCs/>
          <w:sz w:val="30"/>
          <w:rtl/>
        </w:rPr>
        <w:t>يرتكبها المكلفون بإنفاذ القوانين</w:t>
      </w:r>
      <w:r w:rsidR="00B24D1D">
        <w:rPr>
          <w:rFonts w:hint="cs"/>
          <w:b/>
          <w:bCs/>
          <w:sz w:val="30"/>
          <w:rtl/>
        </w:rPr>
        <w:t>،</w:t>
      </w:r>
      <w:r>
        <w:rPr>
          <w:rFonts w:hint="cs"/>
          <w:b/>
          <w:bCs/>
          <w:sz w:val="30"/>
          <w:rtl/>
        </w:rPr>
        <w:t xml:space="preserve"> بما في ذلك </w:t>
      </w:r>
      <w:r w:rsidR="00B24D1D">
        <w:rPr>
          <w:rFonts w:hint="cs"/>
          <w:b/>
          <w:bCs/>
          <w:sz w:val="30"/>
          <w:rtl/>
        </w:rPr>
        <w:t>ا</w:t>
      </w:r>
      <w:r>
        <w:rPr>
          <w:rFonts w:hint="cs"/>
          <w:b/>
          <w:bCs/>
          <w:sz w:val="30"/>
          <w:rtl/>
        </w:rPr>
        <w:t xml:space="preserve">دعاءات </w:t>
      </w:r>
      <w:r w:rsidR="00B24D1D">
        <w:rPr>
          <w:rFonts w:hint="cs"/>
          <w:b/>
          <w:bCs/>
          <w:sz w:val="30"/>
          <w:rtl/>
        </w:rPr>
        <w:t xml:space="preserve">التعرض </w:t>
      </w:r>
      <w:r w:rsidR="00B24D1D" w:rsidRPr="0068336D">
        <w:rPr>
          <w:rFonts w:hint="cs"/>
          <w:b/>
          <w:bCs/>
          <w:sz w:val="30"/>
          <w:rtl/>
        </w:rPr>
        <w:t xml:space="preserve">للتمييز </w:t>
      </w:r>
      <w:r w:rsidRPr="0068336D">
        <w:rPr>
          <w:rFonts w:hint="cs"/>
          <w:b/>
          <w:bCs/>
          <w:sz w:val="30"/>
          <w:rtl/>
        </w:rPr>
        <w:t>العرقي، والمعاقبة عليها بعقوبات مناسبة؛</w:t>
      </w:r>
    </w:p>
    <w:p w:rsidR="001532E3" w:rsidRPr="0068336D" w:rsidRDefault="0068336D" w:rsidP="001532E3">
      <w:pPr>
        <w:pStyle w:val="SingleTxtGA"/>
        <w:rPr>
          <w:rFonts w:hint="cs"/>
          <w:b/>
          <w:bCs/>
          <w:rtl/>
          <w:lang w:val="fr-CH"/>
        </w:rPr>
      </w:pPr>
      <w:r w:rsidRPr="0068336D">
        <w:rPr>
          <w:rFonts w:hint="cs"/>
          <w:b/>
          <w:bCs/>
          <w:rtl/>
          <w:lang w:val="fr-CH"/>
        </w:rPr>
        <w:tab/>
      </w:r>
      <w:r w:rsidR="001532E3" w:rsidRPr="0068336D">
        <w:rPr>
          <w:rFonts w:hint="cs"/>
          <w:b/>
          <w:bCs/>
          <w:rtl/>
          <w:lang w:val="fr-CH"/>
        </w:rPr>
        <w:t>(ج)</w:t>
      </w:r>
      <w:r w:rsidR="001532E3" w:rsidRPr="0068336D">
        <w:rPr>
          <w:rFonts w:hint="cs"/>
          <w:b/>
          <w:bCs/>
          <w:rtl/>
          <w:lang w:val="fr-CH"/>
        </w:rPr>
        <w:tab/>
        <w:t xml:space="preserve">زيادة </w:t>
      </w:r>
      <w:r w:rsidR="00B24D1D" w:rsidRPr="0068336D">
        <w:rPr>
          <w:rFonts w:hint="cs"/>
          <w:b/>
          <w:bCs/>
          <w:rtl/>
          <w:lang w:val="fr-CH"/>
        </w:rPr>
        <w:t xml:space="preserve">الجهود المبذولة لمحاكمة ومعاقبة مرتكبي </w:t>
      </w:r>
      <w:r w:rsidR="001532E3" w:rsidRPr="0068336D">
        <w:rPr>
          <w:rFonts w:hint="cs"/>
          <w:b/>
          <w:bCs/>
          <w:rtl/>
          <w:lang w:val="fr-CH"/>
        </w:rPr>
        <w:t>جميع الانتهاكات المتعلقة بحظر التمييز العنصري، وفقاً للمواد 4 و5 و6 من الاتفاقية؛</w:t>
      </w:r>
    </w:p>
    <w:p w:rsidR="001532E3" w:rsidRPr="0068336D" w:rsidRDefault="001532E3" w:rsidP="00B24D1D">
      <w:pPr>
        <w:pStyle w:val="SingleTxtGA"/>
        <w:rPr>
          <w:rFonts w:hint="cs"/>
          <w:b/>
          <w:bCs/>
          <w:rtl/>
          <w:lang w:val="fr-CH"/>
        </w:rPr>
      </w:pPr>
      <w:r w:rsidRPr="0068336D">
        <w:rPr>
          <w:rFonts w:hint="cs"/>
          <w:b/>
          <w:bCs/>
          <w:rtl/>
          <w:lang w:val="fr-CH"/>
        </w:rPr>
        <w:tab/>
        <w:t>(د)</w:t>
      </w:r>
      <w:r w:rsidRPr="0068336D">
        <w:rPr>
          <w:rFonts w:hint="cs"/>
          <w:b/>
          <w:bCs/>
          <w:rtl/>
          <w:lang w:val="fr-CH"/>
        </w:rPr>
        <w:tab/>
        <w:t xml:space="preserve">تكثيف </w:t>
      </w:r>
      <w:r w:rsidR="00B24D1D" w:rsidRPr="0068336D">
        <w:rPr>
          <w:rFonts w:hint="cs"/>
          <w:b/>
          <w:bCs/>
          <w:rtl/>
          <w:lang w:val="fr-CH"/>
        </w:rPr>
        <w:t>ال</w:t>
      </w:r>
      <w:r w:rsidRPr="0068336D">
        <w:rPr>
          <w:rFonts w:hint="cs"/>
          <w:b/>
          <w:bCs/>
          <w:rtl/>
          <w:lang w:val="fr-CH"/>
        </w:rPr>
        <w:t xml:space="preserve">تدريب </w:t>
      </w:r>
      <w:r w:rsidR="00B24D1D" w:rsidRPr="0068336D">
        <w:rPr>
          <w:rFonts w:hint="cs"/>
          <w:b/>
          <w:bCs/>
          <w:rtl/>
          <w:lang w:val="fr-CH"/>
        </w:rPr>
        <w:t>على مبادئ الاتفاقية</w:t>
      </w:r>
      <w:r w:rsidR="0068336D" w:rsidRPr="0068336D">
        <w:rPr>
          <w:rFonts w:hint="cs"/>
          <w:b/>
          <w:bCs/>
          <w:rtl/>
          <w:lang w:val="fr-CH"/>
        </w:rPr>
        <w:t xml:space="preserve"> </w:t>
      </w:r>
      <w:r w:rsidR="00B24D1D" w:rsidRPr="0068336D">
        <w:rPr>
          <w:rFonts w:hint="cs"/>
          <w:b/>
          <w:bCs/>
          <w:rtl/>
          <w:lang w:val="fr-CH"/>
        </w:rPr>
        <w:t xml:space="preserve">والتوعية </w:t>
      </w:r>
      <w:r w:rsidR="00B92F1B">
        <w:rPr>
          <w:rFonts w:hint="cs"/>
          <w:b/>
          <w:bCs/>
          <w:rtl/>
          <w:lang w:val="fr-CH"/>
        </w:rPr>
        <w:t xml:space="preserve">بها </w:t>
      </w:r>
      <w:r w:rsidR="00B24D1D" w:rsidRPr="0068336D">
        <w:rPr>
          <w:rFonts w:hint="cs"/>
          <w:b/>
          <w:bCs/>
          <w:rtl/>
          <w:lang w:val="fr-CH"/>
        </w:rPr>
        <w:t>ل</w:t>
      </w:r>
      <w:r w:rsidRPr="0068336D">
        <w:rPr>
          <w:rFonts w:hint="cs"/>
          <w:b/>
          <w:bCs/>
          <w:rtl/>
          <w:lang w:val="fr-CH"/>
        </w:rPr>
        <w:t xml:space="preserve">لمدعين العامين والقضاة والمحامين وغيرهم من موظفي القضاء والشرطة </w:t>
      </w:r>
      <w:r w:rsidR="00B24D1D" w:rsidRPr="0068336D">
        <w:rPr>
          <w:rFonts w:hint="cs"/>
          <w:b/>
          <w:bCs/>
          <w:rtl/>
          <w:lang w:val="fr-CH"/>
        </w:rPr>
        <w:t xml:space="preserve">العاملين </w:t>
      </w:r>
      <w:r w:rsidRPr="0068336D">
        <w:rPr>
          <w:rFonts w:hint="cs"/>
          <w:b/>
          <w:bCs/>
          <w:rtl/>
          <w:lang w:val="fr-CH"/>
        </w:rPr>
        <w:t>في نظام العدالة الجنائية</w:t>
      </w:r>
      <w:r w:rsidR="00B24D1D" w:rsidRPr="0068336D">
        <w:rPr>
          <w:rFonts w:hint="cs"/>
          <w:b/>
          <w:bCs/>
          <w:rtl/>
          <w:lang w:val="fr-CH"/>
        </w:rPr>
        <w:t>.</w:t>
      </w:r>
    </w:p>
    <w:p w:rsidR="001532E3" w:rsidRPr="0068336D" w:rsidRDefault="001532E3" w:rsidP="0068336D">
      <w:pPr>
        <w:pStyle w:val="H23GA"/>
        <w:rPr>
          <w:rFonts w:hint="cs"/>
          <w:rtl/>
        </w:rPr>
      </w:pPr>
      <w:r w:rsidRPr="0068336D">
        <w:rPr>
          <w:rFonts w:hint="cs"/>
          <w:rtl/>
        </w:rPr>
        <w:tab/>
      </w:r>
      <w:r w:rsidRPr="0068336D">
        <w:rPr>
          <w:rFonts w:hint="cs"/>
          <w:rtl/>
        </w:rPr>
        <w:tab/>
        <w:t>التمييز المباشر وغير المباشر</w:t>
      </w:r>
    </w:p>
    <w:p w:rsidR="001532E3" w:rsidRDefault="001532E3" w:rsidP="00647653">
      <w:pPr>
        <w:pStyle w:val="SingleTxtGA"/>
        <w:rPr>
          <w:rFonts w:hint="cs"/>
          <w:rtl/>
          <w:lang w:val="fr-CH"/>
        </w:rPr>
      </w:pPr>
      <w:r>
        <w:rPr>
          <w:rFonts w:hint="cs"/>
          <w:rtl/>
          <w:lang w:val="fr-CH"/>
        </w:rPr>
        <w:t>14-</w:t>
      </w:r>
      <w:r>
        <w:rPr>
          <w:rFonts w:hint="cs"/>
          <w:rtl/>
          <w:lang w:val="fr-CH"/>
        </w:rPr>
        <w:tab/>
        <w:t xml:space="preserve">ترحب اللجنة بالإصلاحات الرامية إلى زيادة </w:t>
      </w:r>
      <w:r w:rsidR="00B24D1D">
        <w:rPr>
          <w:rFonts w:hint="cs"/>
          <w:rtl/>
          <w:lang w:val="fr-CH"/>
        </w:rPr>
        <w:t xml:space="preserve">قيمة </w:t>
      </w:r>
      <w:r>
        <w:rPr>
          <w:rFonts w:hint="cs"/>
          <w:rtl/>
          <w:lang w:val="fr-CH"/>
        </w:rPr>
        <w:t>التعويض عن الأضرار المترتبة على أفعال التمييز العنصري التي تبت فيها لجنة المساواة في المعاملة وغيرها من الهيئات،</w:t>
      </w:r>
      <w:r w:rsidR="00B24D1D">
        <w:rPr>
          <w:rFonts w:hint="cs"/>
          <w:rtl/>
          <w:lang w:val="fr-CH"/>
        </w:rPr>
        <w:t xml:space="preserve"> لكنها</w:t>
      </w:r>
      <w:r>
        <w:rPr>
          <w:rFonts w:hint="cs"/>
          <w:rtl/>
          <w:lang w:val="fr-CH"/>
        </w:rPr>
        <w:t xml:space="preserve"> تأسف لاستمرار </w:t>
      </w:r>
      <w:r w:rsidR="00B24D1D">
        <w:rPr>
          <w:rFonts w:hint="cs"/>
          <w:rtl/>
          <w:lang w:val="fr-CH"/>
        </w:rPr>
        <w:t xml:space="preserve">مديري المنشآت في </w:t>
      </w:r>
      <w:r>
        <w:rPr>
          <w:rFonts w:hint="cs"/>
          <w:rtl/>
          <w:lang w:val="fr-CH"/>
        </w:rPr>
        <w:t>تقييد وصول الأشخاص المهاجرين إلى الأماكن العامة</w:t>
      </w:r>
      <w:r w:rsidR="00B24D1D">
        <w:rPr>
          <w:rFonts w:hint="cs"/>
          <w:rtl/>
          <w:lang w:val="fr-CH"/>
        </w:rPr>
        <w:t xml:space="preserve"> عن طريق تحديد "حصص للأجانب"</w:t>
      </w:r>
      <w:r>
        <w:rPr>
          <w:rFonts w:hint="cs"/>
          <w:rtl/>
          <w:lang w:val="fr-CH"/>
        </w:rPr>
        <w:t>. وتأسف اللجنة أيضاً لأنه على الرغم من وجود المادة</w:t>
      </w:r>
      <w:r w:rsidR="00647653">
        <w:rPr>
          <w:rFonts w:hint="eastAsia"/>
          <w:rtl/>
          <w:lang w:val="fr-CH"/>
        </w:rPr>
        <w:t> </w:t>
      </w:r>
      <w:r>
        <w:rPr>
          <w:rFonts w:hint="cs"/>
          <w:rtl/>
          <w:lang w:val="fr-CH"/>
        </w:rPr>
        <w:t xml:space="preserve">87 من قانون الصناعة النمساوي التي تخول السلطات رفض </w:t>
      </w:r>
      <w:r w:rsidR="00B24D1D">
        <w:rPr>
          <w:rFonts w:hint="cs"/>
          <w:rtl/>
          <w:lang w:val="fr-CH"/>
        </w:rPr>
        <w:t xml:space="preserve">منح </w:t>
      </w:r>
      <w:r>
        <w:rPr>
          <w:rFonts w:hint="cs"/>
          <w:rtl/>
          <w:lang w:val="fr-CH"/>
        </w:rPr>
        <w:t xml:space="preserve">تراخيص العمل التجاري في حالة حدوث انتهاكات صارخة لحظر التمييز العنصري، </w:t>
      </w:r>
      <w:r w:rsidR="00B24D1D">
        <w:rPr>
          <w:rFonts w:hint="cs"/>
          <w:rtl/>
          <w:lang w:val="fr-CH"/>
        </w:rPr>
        <w:t xml:space="preserve">فإن هذه المادة </w:t>
      </w:r>
      <w:r>
        <w:rPr>
          <w:rFonts w:hint="cs"/>
          <w:rtl/>
          <w:lang w:val="fr-CH"/>
        </w:rPr>
        <w:t xml:space="preserve">لم تطبق مطلقاً على أي كيان تجاري على الرغم </w:t>
      </w:r>
      <w:r w:rsidR="00B24D1D">
        <w:rPr>
          <w:rFonts w:hint="cs"/>
          <w:rtl/>
          <w:lang w:val="fr-CH"/>
        </w:rPr>
        <w:t xml:space="preserve">من تقديم عدد من الادعاءات في هذا </w:t>
      </w:r>
      <w:r>
        <w:rPr>
          <w:rFonts w:hint="cs"/>
          <w:rtl/>
          <w:lang w:val="fr-CH"/>
        </w:rPr>
        <w:t>المجال (المادة</w:t>
      </w:r>
      <w:r w:rsidR="00647653">
        <w:rPr>
          <w:rFonts w:hint="eastAsia"/>
          <w:rtl/>
          <w:lang w:val="fr-CH"/>
        </w:rPr>
        <w:t> </w:t>
      </w:r>
      <w:r>
        <w:rPr>
          <w:rFonts w:hint="cs"/>
          <w:rtl/>
          <w:lang w:val="fr-CH"/>
        </w:rPr>
        <w:t>5).</w:t>
      </w:r>
    </w:p>
    <w:p w:rsidR="001532E3" w:rsidRDefault="001532E3" w:rsidP="00B24D1D">
      <w:pPr>
        <w:pStyle w:val="SingleTxtGA"/>
        <w:rPr>
          <w:rFonts w:hint="cs"/>
          <w:bCs/>
          <w:rtl/>
        </w:rPr>
      </w:pPr>
      <w:r>
        <w:rPr>
          <w:rFonts w:hint="cs"/>
          <w:rtl/>
          <w:lang w:val="fr-CH"/>
        </w:rPr>
        <w:tab/>
      </w:r>
      <w:r>
        <w:rPr>
          <w:rFonts w:hint="cs"/>
          <w:b/>
          <w:bCs/>
          <w:rtl/>
          <w:lang w:val="fr-CH"/>
        </w:rPr>
        <w:t xml:space="preserve">تكرر اللجنة توصيتها السابقة </w:t>
      </w:r>
      <w:r w:rsidRPr="00BE580F">
        <w:rPr>
          <w:b/>
        </w:rPr>
        <w:t>CERD/C/AUT/CO/17</w:t>
      </w:r>
      <w:r w:rsidRPr="00FB62C7">
        <w:rPr>
          <w:bCs/>
        </w:rPr>
        <w:t>)</w:t>
      </w:r>
      <w:r w:rsidRPr="00FB62C7">
        <w:rPr>
          <w:rFonts w:hint="cs"/>
          <w:bCs/>
          <w:rtl/>
        </w:rPr>
        <w:t>، الفقرة 21) وتحث الدولة الطرف</w:t>
      </w:r>
      <w:r>
        <w:rPr>
          <w:rFonts w:hint="cs"/>
          <w:bCs/>
          <w:rtl/>
        </w:rPr>
        <w:t xml:space="preserve"> على مضاعفة جهودها للتحقيق في إدعاءات </w:t>
      </w:r>
      <w:r w:rsidR="00B24D1D">
        <w:rPr>
          <w:rFonts w:hint="cs"/>
          <w:bCs/>
          <w:rtl/>
        </w:rPr>
        <w:t>ال</w:t>
      </w:r>
      <w:r>
        <w:rPr>
          <w:rFonts w:hint="cs"/>
          <w:bCs/>
          <w:rtl/>
        </w:rPr>
        <w:t xml:space="preserve">حرمان </w:t>
      </w:r>
      <w:r w:rsidR="00B24D1D">
        <w:rPr>
          <w:rFonts w:hint="cs"/>
          <w:bCs/>
          <w:rtl/>
        </w:rPr>
        <w:t>التعسفي ل</w:t>
      </w:r>
      <w:r>
        <w:rPr>
          <w:rFonts w:hint="cs"/>
          <w:bCs/>
          <w:rtl/>
        </w:rPr>
        <w:t>لأشخاص من أصل مهاجر</w:t>
      </w:r>
      <w:r w:rsidR="00B24D1D">
        <w:rPr>
          <w:rFonts w:hint="cs"/>
          <w:bCs/>
          <w:rtl/>
        </w:rPr>
        <w:t xml:space="preserve"> من ارتياد </w:t>
      </w:r>
      <w:r>
        <w:rPr>
          <w:rFonts w:hint="cs"/>
          <w:bCs/>
          <w:rtl/>
        </w:rPr>
        <w:t>الأماكن العامة بالاستناد إلى المظهر</w:t>
      </w:r>
      <w:r w:rsidR="00B24D1D">
        <w:rPr>
          <w:rFonts w:hint="cs"/>
          <w:bCs/>
          <w:rtl/>
        </w:rPr>
        <w:t>،</w:t>
      </w:r>
      <w:r>
        <w:rPr>
          <w:rFonts w:hint="cs"/>
          <w:bCs/>
          <w:rtl/>
        </w:rPr>
        <w:t xml:space="preserve"> والمعاقبة على مثل هذا التمييز بجزاءات مناسبة.</w:t>
      </w:r>
    </w:p>
    <w:p w:rsidR="001532E3" w:rsidRDefault="001532E3" w:rsidP="0068336D">
      <w:pPr>
        <w:pStyle w:val="H23GA"/>
        <w:rPr>
          <w:rFonts w:hint="cs"/>
          <w:rtl/>
        </w:rPr>
      </w:pPr>
      <w:r>
        <w:rPr>
          <w:rFonts w:hint="cs"/>
          <w:rtl/>
        </w:rPr>
        <w:tab/>
      </w:r>
      <w:r>
        <w:rPr>
          <w:rFonts w:hint="cs"/>
          <w:rtl/>
        </w:rPr>
        <w:tab/>
        <w:t>الإعلانات العنصرية</w:t>
      </w:r>
    </w:p>
    <w:p w:rsidR="001532E3" w:rsidRDefault="001532E3" w:rsidP="00B24D1D">
      <w:pPr>
        <w:pStyle w:val="SingleTxtGA"/>
        <w:rPr>
          <w:rFonts w:hint="cs"/>
          <w:rtl/>
        </w:rPr>
      </w:pPr>
      <w:r>
        <w:rPr>
          <w:rFonts w:hint="cs"/>
          <w:rtl/>
        </w:rPr>
        <w:t>15-</w:t>
      </w:r>
      <w:r>
        <w:rPr>
          <w:rFonts w:hint="cs"/>
          <w:rtl/>
        </w:rPr>
        <w:tab/>
        <w:t xml:space="preserve">تأسف اللجنة </w:t>
      </w:r>
      <w:r w:rsidR="00B24D1D">
        <w:rPr>
          <w:rFonts w:hint="cs"/>
          <w:rtl/>
        </w:rPr>
        <w:t xml:space="preserve">لما يرد من </w:t>
      </w:r>
      <w:r>
        <w:rPr>
          <w:rFonts w:hint="cs"/>
          <w:rtl/>
        </w:rPr>
        <w:t xml:space="preserve">تقارير عن </w:t>
      </w:r>
      <w:r w:rsidR="00B24D1D">
        <w:rPr>
          <w:rFonts w:hint="cs"/>
          <w:rtl/>
        </w:rPr>
        <w:t xml:space="preserve">وجود </w:t>
      </w:r>
      <w:r>
        <w:rPr>
          <w:rFonts w:hint="cs"/>
          <w:rtl/>
        </w:rPr>
        <w:t>إعلانات عنصرية في وسائل الإعلام</w:t>
      </w:r>
      <w:r w:rsidR="00B24D1D">
        <w:rPr>
          <w:rFonts w:hint="cs"/>
          <w:rtl/>
        </w:rPr>
        <w:t>،</w:t>
      </w:r>
      <w:r>
        <w:rPr>
          <w:rFonts w:hint="cs"/>
          <w:rtl/>
        </w:rPr>
        <w:t xml:space="preserve"> ولا</w:t>
      </w:r>
      <w:r w:rsidR="00B24D1D">
        <w:rPr>
          <w:rFonts w:hint="eastAsia"/>
          <w:rtl/>
        </w:rPr>
        <w:t> </w:t>
      </w:r>
      <w:r>
        <w:rPr>
          <w:rFonts w:hint="cs"/>
          <w:rtl/>
        </w:rPr>
        <w:t xml:space="preserve">سيما المتعلقة بفرص السكن والعمل التي تشترط أن يكون مقدم الطلب "نمساوياً فقط". ويساور اللجنة القلق لأن مثل هذه الإعلانات تثير ما هو قائم من </w:t>
      </w:r>
      <w:r w:rsidR="00B24D1D">
        <w:rPr>
          <w:rFonts w:hint="cs"/>
          <w:rtl/>
        </w:rPr>
        <w:t xml:space="preserve">تحامل </w:t>
      </w:r>
      <w:r>
        <w:rPr>
          <w:rFonts w:hint="cs"/>
          <w:rtl/>
        </w:rPr>
        <w:t>عنصري وقوالب نمطية ضد بعض مجموعات الأقليات (المادتان 2 و5).</w:t>
      </w:r>
    </w:p>
    <w:p w:rsidR="001532E3" w:rsidRPr="0068336D" w:rsidRDefault="00666D88" w:rsidP="00B24D1D">
      <w:pPr>
        <w:pStyle w:val="SingleTxtGA"/>
        <w:rPr>
          <w:rFonts w:hint="cs"/>
          <w:b/>
          <w:bCs/>
          <w:rtl/>
        </w:rPr>
      </w:pPr>
      <w:r>
        <w:rPr>
          <w:b/>
          <w:bCs/>
          <w:rtl/>
        </w:rPr>
        <w:br w:type="page"/>
      </w:r>
      <w:r w:rsidR="001532E3" w:rsidRPr="0068336D">
        <w:rPr>
          <w:rFonts w:hint="cs"/>
          <w:b/>
          <w:bCs/>
          <w:rtl/>
        </w:rPr>
        <w:tab/>
        <w:t xml:space="preserve">ينبغي للدولة الطرف أن تتخذ تدابير لمنع مثل هذه الإعلانات العنصرية </w:t>
      </w:r>
      <w:r w:rsidR="00B24D1D" w:rsidRPr="0068336D">
        <w:rPr>
          <w:rFonts w:hint="cs"/>
          <w:b/>
          <w:bCs/>
          <w:rtl/>
        </w:rPr>
        <w:t xml:space="preserve">في وسائل الإعلام، وذلك عن طريق </w:t>
      </w:r>
      <w:r w:rsidR="001532E3" w:rsidRPr="0068336D">
        <w:rPr>
          <w:rFonts w:hint="cs"/>
          <w:b/>
          <w:bCs/>
          <w:rtl/>
        </w:rPr>
        <w:t>التحقيق وفرض العقوبات المناسبة. وينبغي للدولة الطرف أيضاً أن تكثف حملات التوعية بهدف</w:t>
      </w:r>
      <w:r w:rsidR="00B24D1D" w:rsidRPr="0068336D">
        <w:rPr>
          <w:rFonts w:hint="cs"/>
          <w:b/>
          <w:bCs/>
          <w:rtl/>
        </w:rPr>
        <w:t xml:space="preserve"> تغيير</w:t>
      </w:r>
      <w:r w:rsidR="001532E3" w:rsidRPr="0068336D">
        <w:rPr>
          <w:rFonts w:hint="cs"/>
          <w:b/>
          <w:bCs/>
          <w:rtl/>
        </w:rPr>
        <w:t xml:space="preserve"> </w:t>
      </w:r>
      <w:r w:rsidR="00B24D1D" w:rsidRPr="0068336D">
        <w:rPr>
          <w:rFonts w:hint="cs"/>
          <w:b/>
          <w:bCs/>
          <w:rtl/>
        </w:rPr>
        <w:t xml:space="preserve">التحامل </w:t>
      </w:r>
      <w:r w:rsidR="001532E3" w:rsidRPr="0068336D">
        <w:rPr>
          <w:rFonts w:hint="cs"/>
          <w:b/>
          <w:bCs/>
          <w:rtl/>
        </w:rPr>
        <w:t>والقوالب النمطية القائمة ضد مجموعات الأقليات الإثنية.</w:t>
      </w:r>
    </w:p>
    <w:p w:rsidR="001532E3" w:rsidRDefault="001532E3" w:rsidP="001532E3">
      <w:pPr>
        <w:pStyle w:val="H23GA"/>
        <w:rPr>
          <w:rFonts w:hint="cs"/>
          <w:rtl/>
        </w:rPr>
      </w:pPr>
      <w:r>
        <w:rPr>
          <w:rFonts w:hint="cs"/>
          <w:rtl/>
        </w:rPr>
        <w:tab/>
      </w:r>
      <w:r>
        <w:rPr>
          <w:rFonts w:hint="cs"/>
          <w:rtl/>
        </w:rPr>
        <w:tab/>
        <w:t>لم شمل الأسرة</w:t>
      </w:r>
    </w:p>
    <w:p w:rsidR="001532E3" w:rsidRDefault="001532E3" w:rsidP="00B92F1B">
      <w:pPr>
        <w:pStyle w:val="SingleTxtGA"/>
        <w:rPr>
          <w:rFonts w:hint="cs"/>
          <w:rtl/>
        </w:rPr>
      </w:pPr>
      <w:r>
        <w:rPr>
          <w:rFonts w:hint="cs"/>
          <w:rtl/>
        </w:rPr>
        <w:t>16-</w:t>
      </w:r>
      <w:r>
        <w:rPr>
          <w:rFonts w:hint="cs"/>
          <w:rtl/>
        </w:rPr>
        <w:tab/>
      </w:r>
      <w:r w:rsidR="00B24D1D">
        <w:rPr>
          <w:rFonts w:hint="cs"/>
          <w:rtl/>
        </w:rPr>
        <w:t>تشير اللجنة إلى ال</w:t>
      </w:r>
      <w:r>
        <w:rPr>
          <w:rFonts w:hint="cs"/>
          <w:rtl/>
        </w:rPr>
        <w:t xml:space="preserve">جهود الأخيرة المبذولة لإلغاء فترة الانتظار </w:t>
      </w:r>
      <w:r w:rsidR="00B24D1D">
        <w:rPr>
          <w:rFonts w:hint="cs"/>
          <w:rtl/>
        </w:rPr>
        <w:t xml:space="preserve">لمدة </w:t>
      </w:r>
      <w:r>
        <w:rPr>
          <w:rFonts w:hint="cs"/>
          <w:rtl/>
        </w:rPr>
        <w:t xml:space="preserve">سنة واحدة قبل </w:t>
      </w:r>
      <w:r w:rsidR="00B24D1D">
        <w:rPr>
          <w:rFonts w:hint="cs"/>
          <w:rtl/>
        </w:rPr>
        <w:t xml:space="preserve">لم شمل الأسرة، لكنها </w:t>
      </w:r>
      <w:r>
        <w:rPr>
          <w:rFonts w:hint="cs"/>
          <w:rtl/>
        </w:rPr>
        <w:t xml:space="preserve">لا تزال تشعر بالقلق إزاء التقارير التي تشير إلى استخدام الحصص لكل ولاية، بحيث يتعين على الأفراد أن ينتظروا عدة سنوات </w:t>
      </w:r>
      <w:r w:rsidR="00B24D1D">
        <w:rPr>
          <w:rFonts w:hint="cs"/>
          <w:rtl/>
        </w:rPr>
        <w:t>بعد استيفاء الحصة</w:t>
      </w:r>
      <w:r w:rsidR="00B92F1B">
        <w:rPr>
          <w:rFonts w:hint="cs"/>
          <w:rtl/>
        </w:rPr>
        <w:t>،</w:t>
      </w:r>
      <w:r w:rsidR="00B24D1D">
        <w:rPr>
          <w:rFonts w:hint="cs"/>
          <w:rtl/>
        </w:rPr>
        <w:t xml:space="preserve"> </w:t>
      </w:r>
      <w:r>
        <w:rPr>
          <w:rFonts w:hint="cs"/>
          <w:rtl/>
        </w:rPr>
        <w:t xml:space="preserve">للاستفادة من سياسة </w:t>
      </w:r>
      <w:r w:rsidR="00B24D1D">
        <w:rPr>
          <w:rFonts w:hint="cs"/>
          <w:rtl/>
        </w:rPr>
        <w:t>لم</w:t>
      </w:r>
      <w:r>
        <w:rPr>
          <w:rFonts w:hint="cs"/>
          <w:rtl/>
        </w:rPr>
        <w:t xml:space="preserve"> شمل الأسرة (المادتان 2 و5).</w:t>
      </w:r>
    </w:p>
    <w:p w:rsidR="001532E3" w:rsidRDefault="001532E3" w:rsidP="00B24D1D">
      <w:pPr>
        <w:pStyle w:val="SingleTxtGA"/>
        <w:rPr>
          <w:rFonts w:hint="cs"/>
          <w:bCs/>
          <w:rtl/>
        </w:rPr>
      </w:pPr>
      <w:r>
        <w:rPr>
          <w:rFonts w:hint="cs"/>
          <w:rtl/>
        </w:rPr>
        <w:tab/>
      </w:r>
      <w:r>
        <w:rPr>
          <w:rFonts w:hint="cs"/>
          <w:bCs/>
          <w:rtl/>
        </w:rPr>
        <w:t xml:space="preserve">ينبغي للدولة الطرف أن تلغي </w:t>
      </w:r>
      <w:r w:rsidR="00B24D1D">
        <w:rPr>
          <w:rFonts w:hint="cs"/>
          <w:bCs/>
          <w:rtl/>
        </w:rPr>
        <w:t xml:space="preserve">تحديد </w:t>
      </w:r>
      <w:r>
        <w:rPr>
          <w:rFonts w:hint="cs"/>
          <w:bCs/>
          <w:rtl/>
        </w:rPr>
        <w:t xml:space="preserve">الحصص لكل ولاية لكي لا </w:t>
      </w:r>
      <w:r w:rsidR="00B24D1D">
        <w:rPr>
          <w:rFonts w:hint="cs"/>
          <w:bCs/>
          <w:rtl/>
        </w:rPr>
        <w:t>ي</w:t>
      </w:r>
      <w:r>
        <w:rPr>
          <w:rFonts w:hint="cs"/>
          <w:bCs/>
          <w:rtl/>
        </w:rPr>
        <w:t xml:space="preserve">عتمد </w:t>
      </w:r>
      <w:r w:rsidR="00B24D1D">
        <w:rPr>
          <w:rFonts w:hint="cs"/>
          <w:bCs/>
          <w:rtl/>
        </w:rPr>
        <w:t xml:space="preserve">لم </w:t>
      </w:r>
      <w:r>
        <w:rPr>
          <w:rFonts w:hint="cs"/>
          <w:bCs/>
          <w:rtl/>
        </w:rPr>
        <w:t xml:space="preserve">شمل الأسرة على عدد الطلبات المقبولة في فترة محددة </w:t>
      </w:r>
      <w:r w:rsidR="00B24D1D">
        <w:rPr>
          <w:rFonts w:hint="cs"/>
          <w:bCs/>
          <w:rtl/>
        </w:rPr>
        <w:t xml:space="preserve">بحسب الولاية </w:t>
      </w:r>
    </w:p>
    <w:p w:rsidR="001532E3" w:rsidRPr="0068336D" w:rsidRDefault="001532E3" w:rsidP="001532E3">
      <w:pPr>
        <w:pStyle w:val="H23GA"/>
        <w:rPr>
          <w:rFonts w:hint="cs"/>
          <w:rtl/>
        </w:rPr>
      </w:pPr>
      <w:r w:rsidRPr="0068336D">
        <w:rPr>
          <w:rFonts w:hint="cs"/>
          <w:rtl/>
        </w:rPr>
        <w:tab/>
      </w:r>
      <w:r w:rsidRPr="0068336D">
        <w:rPr>
          <w:rFonts w:hint="cs"/>
          <w:rtl/>
        </w:rPr>
        <w:tab/>
        <w:t>التعليم</w:t>
      </w:r>
    </w:p>
    <w:p w:rsidR="001532E3" w:rsidRDefault="001532E3" w:rsidP="00647653">
      <w:pPr>
        <w:pStyle w:val="SingleTxtGA"/>
        <w:rPr>
          <w:rFonts w:hint="cs"/>
          <w:rtl/>
        </w:rPr>
      </w:pPr>
      <w:r>
        <w:rPr>
          <w:rFonts w:hint="cs"/>
          <w:rtl/>
        </w:rPr>
        <w:t>17-</w:t>
      </w:r>
      <w:r>
        <w:rPr>
          <w:rFonts w:hint="cs"/>
          <w:rtl/>
        </w:rPr>
        <w:tab/>
      </w:r>
      <w:r w:rsidR="00B24D1D">
        <w:rPr>
          <w:rFonts w:hint="cs"/>
          <w:rtl/>
        </w:rPr>
        <w:t xml:space="preserve">تشير </w:t>
      </w:r>
      <w:r>
        <w:rPr>
          <w:rFonts w:hint="cs"/>
          <w:rtl/>
        </w:rPr>
        <w:t xml:space="preserve">اللجنة </w:t>
      </w:r>
      <w:r w:rsidR="00B24D1D">
        <w:rPr>
          <w:rFonts w:hint="cs"/>
          <w:rtl/>
        </w:rPr>
        <w:t xml:space="preserve">إلى جهود </w:t>
      </w:r>
      <w:r>
        <w:rPr>
          <w:rFonts w:hint="cs"/>
          <w:rtl/>
        </w:rPr>
        <w:t xml:space="preserve">الدولة الطرف لتحسين إمكانية الوصول إلى التعليم ونوعيته، </w:t>
      </w:r>
      <w:r w:rsidR="00B24D1D">
        <w:rPr>
          <w:rFonts w:hint="cs"/>
          <w:rtl/>
        </w:rPr>
        <w:t xml:space="preserve">لكنها </w:t>
      </w:r>
      <w:r>
        <w:rPr>
          <w:rFonts w:hint="cs"/>
          <w:rtl/>
        </w:rPr>
        <w:t xml:space="preserve">تشعر بالقلق إزاء ارتفاع معدلات التسرب من الدراسة في صفوف </w:t>
      </w:r>
      <w:r w:rsidR="00B24D1D">
        <w:rPr>
          <w:rFonts w:hint="cs"/>
          <w:rtl/>
        </w:rPr>
        <w:t>ال</w:t>
      </w:r>
      <w:r>
        <w:rPr>
          <w:rFonts w:hint="cs"/>
          <w:rtl/>
        </w:rPr>
        <w:t xml:space="preserve">طلاب </w:t>
      </w:r>
      <w:r w:rsidR="00B24D1D">
        <w:rPr>
          <w:rFonts w:hint="cs"/>
          <w:rtl/>
        </w:rPr>
        <w:t xml:space="preserve">من </w:t>
      </w:r>
      <w:r>
        <w:rPr>
          <w:rFonts w:hint="cs"/>
          <w:rtl/>
        </w:rPr>
        <w:t xml:space="preserve">الروما والأطفال من أصول مهاجرة. وتشعر اللجنة بالقلق أيضاً إزاء </w:t>
      </w:r>
      <w:r w:rsidR="00B24D1D">
        <w:rPr>
          <w:rFonts w:hint="cs"/>
          <w:rtl/>
        </w:rPr>
        <w:t xml:space="preserve">الزيادة غير المتناسبة في أعداد أطفال الروما </w:t>
      </w:r>
      <w:r>
        <w:rPr>
          <w:rFonts w:hint="cs"/>
          <w:rtl/>
        </w:rPr>
        <w:t xml:space="preserve">والأطفال المنتمين للمجموعات الإثنية في المدارس </w:t>
      </w:r>
      <w:r w:rsidR="00B24D1D">
        <w:rPr>
          <w:rFonts w:hint="cs"/>
          <w:rtl/>
        </w:rPr>
        <w:t xml:space="preserve">المخصصة لذوي </w:t>
      </w:r>
      <w:r>
        <w:rPr>
          <w:rFonts w:hint="cs"/>
          <w:rtl/>
        </w:rPr>
        <w:t xml:space="preserve">الاحتياجات الخاصة. وتلاحظ اللجنة أيضاً </w:t>
      </w:r>
      <w:r w:rsidR="00B24D1D">
        <w:rPr>
          <w:rFonts w:hint="cs"/>
          <w:rtl/>
        </w:rPr>
        <w:t xml:space="preserve">عدم وجود </w:t>
      </w:r>
      <w:r>
        <w:rPr>
          <w:rFonts w:hint="cs"/>
          <w:rtl/>
        </w:rPr>
        <w:t xml:space="preserve">تدابير لتعليم أطفال الروما الذين يعيشون خارج منطقة </w:t>
      </w:r>
      <w:proofErr w:type="spellStart"/>
      <w:r>
        <w:rPr>
          <w:rFonts w:hint="cs"/>
          <w:rtl/>
        </w:rPr>
        <w:t>بورغنلاند</w:t>
      </w:r>
      <w:proofErr w:type="spellEnd"/>
      <w:r>
        <w:rPr>
          <w:rFonts w:hint="cs"/>
          <w:rtl/>
        </w:rPr>
        <w:t xml:space="preserve"> (المادة 5).</w:t>
      </w:r>
    </w:p>
    <w:p w:rsidR="001532E3" w:rsidRPr="00666D88" w:rsidRDefault="001532E3" w:rsidP="00647653">
      <w:pPr>
        <w:pStyle w:val="SingleTxtGA"/>
        <w:rPr>
          <w:rFonts w:hint="cs"/>
          <w:bCs/>
          <w:spacing w:val="-2"/>
          <w:rtl/>
        </w:rPr>
      </w:pPr>
      <w:r>
        <w:rPr>
          <w:rFonts w:hint="cs"/>
          <w:rtl/>
        </w:rPr>
        <w:tab/>
      </w:r>
      <w:r>
        <w:rPr>
          <w:rFonts w:hint="cs"/>
          <w:bCs/>
          <w:rtl/>
        </w:rPr>
        <w:t>توصي اللجنة الدولة الطرف بتعزيز تدابيرها الخاصة لزيادة مستوى التحصيل العلمي لأطفال المهاجرين</w:t>
      </w:r>
      <w:r w:rsidR="00B92F1B">
        <w:rPr>
          <w:rFonts w:hint="cs"/>
          <w:bCs/>
          <w:rtl/>
        </w:rPr>
        <w:t>،</w:t>
      </w:r>
      <w:r>
        <w:rPr>
          <w:rFonts w:hint="cs"/>
          <w:bCs/>
          <w:rtl/>
        </w:rPr>
        <w:t xml:space="preserve"> ولا سيما </w:t>
      </w:r>
      <w:r w:rsidR="00647653">
        <w:rPr>
          <w:rFonts w:hint="cs"/>
          <w:bCs/>
          <w:rtl/>
        </w:rPr>
        <w:t xml:space="preserve">عن طريق </w:t>
      </w:r>
      <w:r>
        <w:rPr>
          <w:rFonts w:hint="cs"/>
          <w:bCs/>
          <w:rtl/>
        </w:rPr>
        <w:t>منع تهميشهم والحد من معدلات التسرب من الدراسة. وترجو اللجنة من الدولة الطرف تزويدها بمعلومات في تقريرها الدوري المقبل بشأن التدابير المحددة المتخذة لتنفيذ التعميم رقم 19/2008 الصادر عن الوزارة الاتح</w:t>
      </w:r>
      <w:r w:rsidR="00647653">
        <w:rPr>
          <w:rFonts w:hint="cs"/>
          <w:bCs/>
          <w:rtl/>
        </w:rPr>
        <w:t xml:space="preserve">ادية للتعليم في 5 آب/أغسطس 2008، </w:t>
      </w:r>
      <w:r>
        <w:rPr>
          <w:rFonts w:hint="cs"/>
          <w:bCs/>
          <w:rtl/>
        </w:rPr>
        <w:t xml:space="preserve">والذي يشترط </w:t>
      </w:r>
      <w:r w:rsidR="00647653">
        <w:rPr>
          <w:rFonts w:hint="cs"/>
          <w:bCs/>
          <w:rtl/>
        </w:rPr>
        <w:t>أ</w:t>
      </w:r>
      <w:r w:rsidR="00B92F1B">
        <w:rPr>
          <w:rFonts w:hint="cs"/>
          <w:bCs/>
          <w:rtl/>
        </w:rPr>
        <w:t>لا</w:t>
      </w:r>
      <w:r w:rsidR="00647653">
        <w:rPr>
          <w:rFonts w:hint="cs"/>
          <w:bCs/>
          <w:rtl/>
        </w:rPr>
        <w:t xml:space="preserve"> يكون عدم إتقان لغة </w:t>
      </w:r>
      <w:r w:rsidRPr="00666D88">
        <w:rPr>
          <w:rFonts w:hint="cs"/>
          <w:bCs/>
          <w:spacing w:val="-2"/>
          <w:rtl/>
        </w:rPr>
        <w:t xml:space="preserve">التعليم معياراً لتوجيه الطلاب إلى المدارس </w:t>
      </w:r>
      <w:r w:rsidR="00647653" w:rsidRPr="00666D88">
        <w:rPr>
          <w:rFonts w:hint="cs"/>
          <w:bCs/>
          <w:spacing w:val="-2"/>
          <w:rtl/>
        </w:rPr>
        <w:t xml:space="preserve">المخصصة لذوي </w:t>
      </w:r>
      <w:r w:rsidRPr="00666D88">
        <w:rPr>
          <w:rFonts w:hint="cs"/>
          <w:bCs/>
          <w:spacing w:val="-2"/>
          <w:rtl/>
        </w:rPr>
        <w:t xml:space="preserve">الاحتجاجات الخاصة. وتطلب اللجنة أيضاً تقديم معلومات عن تعليم أطفال الروما الذين يعيشون خارج منطقة </w:t>
      </w:r>
      <w:proofErr w:type="spellStart"/>
      <w:r w:rsidRPr="00666D88">
        <w:rPr>
          <w:rFonts w:hint="cs"/>
          <w:bCs/>
          <w:spacing w:val="-2"/>
          <w:rtl/>
        </w:rPr>
        <w:t>بورغنلاند</w:t>
      </w:r>
      <w:proofErr w:type="spellEnd"/>
    </w:p>
    <w:p w:rsidR="001532E3" w:rsidRDefault="001532E3" w:rsidP="0068336D">
      <w:pPr>
        <w:pStyle w:val="H1GA"/>
        <w:rPr>
          <w:rFonts w:hint="cs"/>
          <w:rtl/>
        </w:rPr>
      </w:pPr>
      <w:r>
        <w:rPr>
          <w:rFonts w:hint="cs"/>
          <w:rtl/>
        </w:rPr>
        <w:tab/>
        <w:t>دال-</w:t>
      </w:r>
      <w:r>
        <w:rPr>
          <w:rFonts w:hint="cs"/>
          <w:rtl/>
        </w:rPr>
        <w:tab/>
      </w:r>
      <w:r w:rsidRPr="0068336D">
        <w:rPr>
          <w:rFonts w:hint="cs"/>
          <w:rtl/>
        </w:rPr>
        <w:t>توصيات</w:t>
      </w:r>
      <w:r>
        <w:rPr>
          <w:rFonts w:hint="cs"/>
          <w:rtl/>
        </w:rPr>
        <w:t xml:space="preserve"> أخرى</w:t>
      </w:r>
    </w:p>
    <w:p w:rsidR="001532E3" w:rsidRDefault="001532E3" w:rsidP="0068336D">
      <w:pPr>
        <w:pStyle w:val="H23GA"/>
        <w:rPr>
          <w:rFonts w:hint="cs"/>
          <w:rtl/>
        </w:rPr>
      </w:pPr>
      <w:r>
        <w:rPr>
          <w:rFonts w:hint="cs"/>
          <w:rtl/>
        </w:rPr>
        <w:tab/>
      </w:r>
      <w:r>
        <w:rPr>
          <w:rFonts w:hint="cs"/>
          <w:rtl/>
        </w:rPr>
        <w:tab/>
        <w:t>التصديق على معاهدات أخرى</w:t>
      </w:r>
    </w:p>
    <w:p w:rsidR="001532E3" w:rsidRDefault="001532E3" w:rsidP="00647653">
      <w:pPr>
        <w:pStyle w:val="SingleTxtGA"/>
        <w:rPr>
          <w:rFonts w:hint="cs"/>
          <w:rtl/>
        </w:rPr>
      </w:pPr>
      <w:r>
        <w:rPr>
          <w:rFonts w:hint="cs"/>
          <w:rtl/>
        </w:rPr>
        <w:t>18-</w:t>
      </w:r>
      <w:r>
        <w:rPr>
          <w:rFonts w:hint="cs"/>
          <w:rtl/>
        </w:rPr>
        <w:tab/>
        <w:t xml:space="preserve">إن اللجنة، إذ تضع في اعتبارها عدم قابلية جميع حقوق الإنسان للتجزئة، تشجع الدولة الطرف على النظر في التصديق على المعاهدات الدولية لحقوق الإنسان التي لم تصدق عليها بعد، ولا سيما المعاهدات ذات الأحكام التي لها صلة مباشرة بالمجتمعات التي قد </w:t>
      </w:r>
      <w:r w:rsidR="00647653">
        <w:rPr>
          <w:rFonts w:hint="cs"/>
          <w:rtl/>
        </w:rPr>
        <w:t xml:space="preserve">تتعرض لتمييز عنصري، </w:t>
      </w:r>
      <w:r>
        <w:rPr>
          <w:rFonts w:hint="cs"/>
          <w:rtl/>
        </w:rPr>
        <w:t xml:space="preserve">مثل الاتفاقية الدولية لحماية </w:t>
      </w:r>
      <w:r w:rsidR="00647653">
        <w:rPr>
          <w:rFonts w:hint="cs"/>
          <w:rtl/>
        </w:rPr>
        <w:t xml:space="preserve">حقوق </w:t>
      </w:r>
      <w:r>
        <w:rPr>
          <w:rFonts w:hint="cs"/>
          <w:rtl/>
        </w:rPr>
        <w:t>جميع العمال المهاجرين وأفراد أسرهم</w:t>
      </w:r>
      <w:r w:rsidR="00647653">
        <w:rPr>
          <w:rFonts w:hint="cs"/>
          <w:rtl/>
        </w:rPr>
        <w:t>،</w:t>
      </w:r>
      <w:r>
        <w:rPr>
          <w:rFonts w:hint="cs"/>
          <w:rtl/>
        </w:rPr>
        <w:t xml:space="preserve"> واتفاقية اليونسكو لمكافحة التمييز في مجال التعليم.</w:t>
      </w:r>
    </w:p>
    <w:p w:rsidR="001532E3" w:rsidRDefault="001532E3" w:rsidP="0068336D">
      <w:pPr>
        <w:pStyle w:val="H23GA"/>
        <w:rPr>
          <w:rFonts w:hint="cs"/>
          <w:rtl/>
        </w:rPr>
      </w:pPr>
      <w:r>
        <w:rPr>
          <w:rFonts w:hint="cs"/>
          <w:rtl/>
        </w:rPr>
        <w:tab/>
      </w:r>
      <w:r>
        <w:rPr>
          <w:rFonts w:hint="cs"/>
          <w:rtl/>
        </w:rPr>
        <w:tab/>
        <w:t>تعديل المادة 8 من الاتفاقية</w:t>
      </w:r>
    </w:p>
    <w:p w:rsidR="001532E3" w:rsidRDefault="001532E3" w:rsidP="00647653">
      <w:pPr>
        <w:pStyle w:val="SingleTxtGA"/>
        <w:rPr>
          <w:rFonts w:hint="cs"/>
          <w:rtl/>
        </w:rPr>
      </w:pPr>
      <w:r>
        <w:rPr>
          <w:rFonts w:hint="cs"/>
          <w:rtl/>
        </w:rPr>
        <w:t>19-</w:t>
      </w:r>
      <w:r>
        <w:rPr>
          <w:rFonts w:hint="cs"/>
          <w:rtl/>
        </w:rPr>
        <w:tab/>
        <w:t>توصي اللجنة الدولة الطرف بأن تصدق على التعديلات على</w:t>
      </w:r>
      <w:r w:rsidR="00647653">
        <w:rPr>
          <w:rFonts w:hint="cs"/>
          <w:rtl/>
        </w:rPr>
        <w:t xml:space="preserve"> الفقرة 6 من </w:t>
      </w:r>
      <w:r>
        <w:rPr>
          <w:rFonts w:hint="cs"/>
          <w:rtl/>
        </w:rPr>
        <w:t>المادة 8، من الاتفاقية، التي اعتمدت في 15 كانون الثاني/يناير 1992 في الاجتماع الرابع ع</w:t>
      </w:r>
      <w:r w:rsidR="00647653">
        <w:rPr>
          <w:rFonts w:hint="cs"/>
          <w:rtl/>
        </w:rPr>
        <w:t>شر للدول الأطراف في الاتفاقية و</w:t>
      </w:r>
      <w:r>
        <w:rPr>
          <w:rFonts w:hint="cs"/>
          <w:rtl/>
        </w:rPr>
        <w:t>اعتمدتها الجمعية العامة في قراراها 47/111 الصادر في 16 كانون الأول/ديسمبر 1992. وفي هذا الصدد، تشير اللجنة إلى قرارات الجمعية العامة 61/148 و63/243 و65/200</w:t>
      </w:r>
      <w:r w:rsidR="004770A2">
        <w:rPr>
          <w:rFonts w:hint="cs"/>
          <w:rtl/>
        </w:rPr>
        <w:t xml:space="preserve">، </w:t>
      </w:r>
      <w:r>
        <w:rPr>
          <w:rFonts w:hint="cs"/>
          <w:rtl/>
        </w:rPr>
        <w:t xml:space="preserve">التي تحث فيها الجمعية العامة بقوة الدول الأطراف على </w:t>
      </w:r>
      <w:r w:rsidR="00647653">
        <w:rPr>
          <w:rFonts w:hint="cs"/>
          <w:rtl/>
        </w:rPr>
        <w:t xml:space="preserve">تسريع إجراءاتها الداخلية المتعلقة بالتصديق على تعديل الاتفاقية الخاص بتمويل اللجنة، </w:t>
      </w:r>
      <w:r>
        <w:rPr>
          <w:rFonts w:hint="cs"/>
          <w:rtl/>
        </w:rPr>
        <w:t>وإخطار الأمين العام كتابة على وجه السرعة بموافقتها على التعديل.</w:t>
      </w:r>
    </w:p>
    <w:p w:rsidR="001532E3" w:rsidRDefault="001532E3" w:rsidP="0068336D">
      <w:pPr>
        <w:pStyle w:val="H23GA"/>
        <w:rPr>
          <w:rFonts w:hint="cs"/>
          <w:rtl/>
        </w:rPr>
      </w:pPr>
      <w:r>
        <w:rPr>
          <w:rFonts w:hint="cs"/>
          <w:rtl/>
        </w:rPr>
        <w:tab/>
      </w:r>
      <w:r>
        <w:rPr>
          <w:rFonts w:hint="cs"/>
          <w:rtl/>
        </w:rPr>
        <w:tab/>
        <w:t>النشر</w:t>
      </w:r>
    </w:p>
    <w:p w:rsidR="001532E3" w:rsidRDefault="001532E3" w:rsidP="001532E3">
      <w:pPr>
        <w:pStyle w:val="SingleTxtGA"/>
        <w:rPr>
          <w:rFonts w:hint="cs"/>
          <w:rtl/>
        </w:rPr>
      </w:pPr>
      <w:r>
        <w:rPr>
          <w:rFonts w:hint="cs"/>
          <w:rtl/>
        </w:rPr>
        <w:t>20-</w:t>
      </w:r>
      <w:r>
        <w:rPr>
          <w:rFonts w:hint="cs"/>
          <w:rtl/>
        </w:rPr>
        <w:tab/>
        <w:t>توصي اللجنة الدولة الطرف بأن تيسر إتاحة تقاريرها لعامة الجمهور وإطلاعه عليها وقت تقديمها، وأن تعمم كذلك ملاحظات اللجنة على تلك التقارير باللغة الرسمية واللغات الأخرى الشائع استخدامها، حسب الاقتضاء.</w:t>
      </w:r>
    </w:p>
    <w:p w:rsidR="001532E3" w:rsidRDefault="001532E3" w:rsidP="0068336D">
      <w:pPr>
        <w:pStyle w:val="H23GA"/>
        <w:rPr>
          <w:rFonts w:hint="cs"/>
          <w:rtl/>
        </w:rPr>
      </w:pPr>
      <w:r>
        <w:rPr>
          <w:rFonts w:hint="cs"/>
          <w:rtl/>
        </w:rPr>
        <w:tab/>
      </w:r>
      <w:r>
        <w:rPr>
          <w:rFonts w:hint="cs"/>
          <w:rtl/>
        </w:rPr>
        <w:tab/>
        <w:t>الوثيقة الأساسية المشتركة</w:t>
      </w:r>
    </w:p>
    <w:p w:rsidR="001532E3" w:rsidRDefault="001532E3" w:rsidP="001532E3">
      <w:pPr>
        <w:pStyle w:val="SingleTxtGA"/>
        <w:rPr>
          <w:rFonts w:hint="cs"/>
          <w:rtl/>
        </w:rPr>
      </w:pPr>
      <w:r>
        <w:rPr>
          <w:rFonts w:hint="cs"/>
          <w:rtl/>
        </w:rPr>
        <w:t>21-</w:t>
      </w:r>
      <w:r>
        <w:rPr>
          <w:rFonts w:hint="cs"/>
          <w:rtl/>
        </w:rPr>
        <w:tab/>
        <w:t xml:space="preserve">إن اللجنة إذ تلاحظ أن الدولة الطرف قدمت وثيقتها الأساسية في عام 1992، تحثها على تقديم وثيقة أساسية محدثة وفقاً للمبادئ التوجيهية المنسقة لتقديم التقارير بموجب المعاهدات الدولية لحقوق الإنسان، ولا سيما تلك التي تتعلق بالوثيقة الأساسية المشتركة التي اعتمدت في الاجتماع الخامس المشترك بين اللجان لهيئات معاهدات حقوق الإنسان الذي عُقد في حزيران/يونيه 2006 </w:t>
      </w:r>
      <w:r w:rsidRPr="00585CB5">
        <w:t>HRI/</w:t>
      </w:r>
      <w:r>
        <w:t>GEN.2/Rev.6)</w:t>
      </w:r>
      <w:r>
        <w:rPr>
          <w:rFonts w:hint="cs"/>
          <w:rtl/>
        </w:rPr>
        <w:t>، الفصل الأول).</w:t>
      </w:r>
    </w:p>
    <w:p w:rsidR="001532E3" w:rsidRDefault="001532E3" w:rsidP="0068336D">
      <w:pPr>
        <w:pStyle w:val="H23GA"/>
        <w:rPr>
          <w:rFonts w:hint="cs"/>
          <w:rtl/>
        </w:rPr>
      </w:pPr>
      <w:r>
        <w:rPr>
          <w:rFonts w:hint="cs"/>
          <w:rtl/>
        </w:rPr>
        <w:tab/>
      </w:r>
      <w:r>
        <w:rPr>
          <w:rFonts w:hint="cs"/>
          <w:rtl/>
        </w:rPr>
        <w:tab/>
        <w:t xml:space="preserve">متابعة </w:t>
      </w:r>
      <w:r w:rsidRPr="0068336D">
        <w:rPr>
          <w:rFonts w:hint="cs"/>
          <w:rtl/>
        </w:rPr>
        <w:t>الملاحظات</w:t>
      </w:r>
      <w:r>
        <w:rPr>
          <w:rFonts w:hint="cs"/>
          <w:rtl/>
        </w:rPr>
        <w:t xml:space="preserve"> الختامية</w:t>
      </w:r>
    </w:p>
    <w:p w:rsidR="001532E3" w:rsidRDefault="001532E3" w:rsidP="00647653">
      <w:pPr>
        <w:pStyle w:val="SingleTxtGA"/>
        <w:rPr>
          <w:rFonts w:hint="cs"/>
          <w:rtl/>
        </w:rPr>
      </w:pPr>
      <w:r w:rsidRPr="001532E3">
        <w:rPr>
          <w:rFonts w:hint="cs"/>
          <w:rtl/>
          <w:lang w:val="fr-CH"/>
        </w:rPr>
        <w:t>22</w:t>
      </w:r>
      <w:r>
        <w:rPr>
          <w:rFonts w:hint="cs"/>
          <w:rtl/>
        </w:rPr>
        <w:t>-</w:t>
      </w:r>
      <w:r>
        <w:rPr>
          <w:rFonts w:hint="cs"/>
          <w:rtl/>
        </w:rPr>
        <w:tab/>
        <w:t>تطلب اللجنة إلى الدولة الطرف، عملاً بالفقرة 1 من المادة 9 من الاتفاقية والمادة</w:t>
      </w:r>
      <w:r w:rsidR="00647653">
        <w:rPr>
          <w:rFonts w:hint="eastAsia"/>
          <w:rtl/>
        </w:rPr>
        <w:t> </w:t>
      </w:r>
      <w:r>
        <w:rPr>
          <w:rFonts w:hint="cs"/>
          <w:rtl/>
        </w:rPr>
        <w:t xml:space="preserve">65 من نظامها الداخلي المعدل، أن توافيها في غضون سنة واحدة من اعتماد الاستنتاجات الحالية بمعلومات عن متابعتها </w:t>
      </w:r>
      <w:r w:rsidR="00647653">
        <w:rPr>
          <w:rFonts w:hint="cs"/>
          <w:rtl/>
        </w:rPr>
        <w:t xml:space="preserve">لتنفيذ </w:t>
      </w:r>
      <w:r>
        <w:rPr>
          <w:rFonts w:hint="cs"/>
          <w:rtl/>
        </w:rPr>
        <w:t>التوصيات المدرجة في الفقرات 8 و15 و16 أعلاه.</w:t>
      </w:r>
    </w:p>
    <w:p w:rsidR="001532E3" w:rsidRPr="0068336D" w:rsidRDefault="00666D88" w:rsidP="0068336D">
      <w:pPr>
        <w:pStyle w:val="H23GA"/>
        <w:rPr>
          <w:rFonts w:hint="cs"/>
          <w:szCs w:val="20"/>
          <w:rtl/>
        </w:rPr>
      </w:pPr>
      <w:r>
        <w:rPr>
          <w:rtl/>
        </w:rPr>
        <w:br w:type="page"/>
      </w:r>
      <w:r w:rsidR="001532E3">
        <w:rPr>
          <w:rFonts w:hint="cs"/>
          <w:rtl/>
        </w:rPr>
        <w:tab/>
      </w:r>
      <w:r w:rsidR="001532E3">
        <w:rPr>
          <w:rFonts w:hint="cs"/>
          <w:rtl/>
        </w:rPr>
        <w:tab/>
        <w:t>الفقرات ذات الأهمية الخاصة</w:t>
      </w:r>
    </w:p>
    <w:p w:rsidR="001532E3" w:rsidRDefault="00647653" w:rsidP="001532E3">
      <w:pPr>
        <w:pStyle w:val="SingleTxtGA"/>
        <w:rPr>
          <w:rFonts w:hint="cs"/>
          <w:rtl/>
        </w:rPr>
      </w:pPr>
      <w:r>
        <w:rPr>
          <w:rFonts w:hint="cs"/>
          <w:rtl/>
        </w:rPr>
        <w:t>23-</w:t>
      </w:r>
      <w:r>
        <w:rPr>
          <w:rFonts w:hint="cs"/>
          <w:rtl/>
        </w:rPr>
        <w:tab/>
      </w:r>
      <w:r w:rsidR="001532E3">
        <w:rPr>
          <w:rFonts w:hint="cs"/>
          <w:rtl/>
        </w:rPr>
        <w:t>تود اللجنة أيضاً أن تلفت انتباه الدولة الطرف إلى الأهمية البالغة للتوصيات الواردة في الفقرات 4 و5 و13 وترجو منها تقديم معلومات مفصلة في تقريرها الدوري المقبل عن التدابير الملموسة المتخذة لتنفيذ هذه التوصيات.</w:t>
      </w:r>
    </w:p>
    <w:p w:rsidR="001532E3" w:rsidRDefault="0068336D" w:rsidP="0068336D">
      <w:pPr>
        <w:pStyle w:val="H23GA"/>
        <w:rPr>
          <w:rFonts w:hint="cs"/>
          <w:rtl/>
        </w:rPr>
      </w:pPr>
      <w:r>
        <w:rPr>
          <w:rFonts w:hint="cs"/>
          <w:rtl/>
        </w:rPr>
        <w:tab/>
      </w:r>
      <w:r>
        <w:rPr>
          <w:rFonts w:hint="cs"/>
          <w:rtl/>
        </w:rPr>
        <w:tab/>
      </w:r>
      <w:r w:rsidR="001532E3">
        <w:rPr>
          <w:rFonts w:hint="cs"/>
          <w:rtl/>
        </w:rPr>
        <w:t>إعداد التقرير الدوري المقبل</w:t>
      </w:r>
    </w:p>
    <w:p w:rsidR="001532E3" w:rsidRPr="0002670A" w:rsidRDefault="001532E3" w:rsidP="004770A2">
      <w:pPr>
        <w:pStyle w:val="SingleTxtGA"/>
        <w:rPr>
          <w:rFonts w:hint="cs"/>
          <w:rtl/>
        </w:rPr>
      </w:pPr>
      <w:r>
        <w:rPr>
          <w:rFonts w:hint="cs"/>
          <w:rtl/>
        </w:rPr>
        <w:t>24-</w:t>
      </w:r>
      <w:r>
        <w:rPr>
          <w:rFonts w:hint="cs"/>
          <w:rtl/>
        </w:rPr>
        <w:tab/>
        <w:t>وتوصي اللجنة الدولة الطرف بأن تقدم تقرير</w:t>
      </w:r>
      <w:r w:rsidR="00647653">
        <w:rPr>
          <w:rFonts w:hint="cs"/>
          <w:rtl/>
        </w:rPr>
        <w:t>ي</w:t>
      </w:r>
      <w:r>
        <w:rPr>
          <w:rFonts w:hint="cs"/>
          <w:rtl/>
        </w:rPr>
        <w:t xml:space="preserve">ها الدوريين الحادي والعشرين والثاني والعشرين في وثيقة واحدة، بحلول 8 حزيران/يونيه 2015، على أن تأخذ في الاعتبار المبادئ التوجيهية المتعلقة </w:t>
      </w:r>
      <w:r w:rsidR="00647653">
        <w:rPr>
          <w:rFonts w:hint="cs"/>
          <w:rtl/>
        </w:rPr>
        <w:t xml:space="preserve">بالوثيقة الموجهة إلى اللجنة المعنية بالقضاء على </w:t>
      </w:r>
      <w:r>
        <w:rPr>
          <w:rFonts w:hint="cs"/>
          <w:rtl/>
        </w:rPr>
        <w:t xml:space="preserve">التمييز العنصري </w:t>
      </w:r>
      <w:r w:rsidRPr="00585CB5">
        <w:t>(CERD/C/2007/1)</w:t>
      </w:r>
      <w:r>
        <w:rPr>
          <w:rFonts w:hint="cs"/>
          <w:rtl/>
        </w:rPr>
        <w:t>، التي اعتمدتها اللجنة في دورتها الحادية والسبعين، وأن يتناول التقرير جميع النقاط التي أثيرت في هذه الملاحظات الختامية. وتحث اللجنة الدولة الطرف أيضاً على مراعاة الحد الأقصى لعدد صفحات التقارير المتعلقة بمعاهدة بعينها وهو 40 صفحة</w:t>
      </w:r>
      <w:r w:rsidR="00647653">
        <w:rPr>
          <w:rFonts w:hint="cs"/>
          <w:rtl/>
        </w:rPr>
        <w:t xml:space="preserve">، </w:t>
      </w:r>
      <w:r>
        <w:rPr>
          <w:rFonts w:hint="cs"/>
          <w:rtl/>
        </w:rPr>
        <w:t>والحد الأقصى لعدد صفحات الوثيقة الأساسية الموحدة الذي يتراوح بين 60 و80 صفحة (انظر</w:t>
      </w:r>
      <w:r w:rsidR="004770A2">
        <w:rPr>
          <w:rFonts w:hint="eastAsia"/>
          <w:rtl/>
        </w:rPr>
        <w:t> </w:t>
      </w:r>
      <w:r>
        <w:rPr>
          <w:rFonts w:hint="cs"/>
          <w:rtl/>
        </w:rPr>
        <w:t xml:space="preserve">المبادئ التوجيهية المنسقة لتقديم التقارير، الواردة في الوثيقة </w:t>
      </w:r>
      <w:r w:rsidRPr="00585CB5">
        <w:t>HRI/GEN.2/Rev.6</w:t>
      </w:r>
      <w:r>
        <w:rPr>
          <w:rFonts w:hint="cs"/>
          <w:rtl/>
        </w:rPr>
        <w:t>، الفصل الأول، الفقرة 19).</w:t>
      </w:r>
    </w:p>
    <w:p w:rsidR="001532E3" w:rsidRPr="00647653" w:rsidRDefault="00647653" w:rsidP="00647653">
      <w:pPr>
        <w:spacing w:before="120"/>
        <w:jc w:val="center"/>
        <w:rPr>
          <w:rFonts w:hint="cs"/>
          <w:u w:val="single"/>
          <w:rtl/>
        </w:rPr>
      </w:pPr>
      <w:r>
        <w:rPr>
          <w:u w:val="single"/>
          <w:rtl/>
        </w:rPr>
        <w:tab/>
      </w:r>
      <w:r>
        <w:rPr>
          <w:u w:val="single"/>
          <w:rtl/>
        </w:rPr>
        <w:tab/>
      </w:r>
      <w:r>
        <w:rPr>
          <w:u w:val="single"/>
          <w:rtl/>
        </w:rPr>
        <w:tab/>
      </w:r>
    </w:p>
    <w:p w:rsidR="001532E3" w:rsidRDefault="001532E3" w:rsidP="001532E3">
      <w:pPr>
        <w:pStyle w:val="SingleTxtGA"/>
        <w:spacing w:line="360" w:lineRule="auto"/>
        <w:rPr>
          <w:rFonts w:hint="cs"/>
          <w:rtl/>
          <w:lang w:val="fr-CH"/>
        </w:rPr>
      </w:pPr>
    </w:p>
    <w:p w:rsidR="001532E3" w:rsidRDefault="001532E3" w:rsidP="00DB39E0">
      <w:pPr>
        <w:pStyle w:val="SingleTxtGA"/>
        <w:spacing w:line="360" w:lineRule="auto"/>
        <w:ind w:left="0"/>
        <w:rPr>
          <w:rFonts w:hint="cs"/>
          <w:rtl/>
          <w:lang w:val="fr-CH"/>
        </w:rPr>
      </w:pPr>
    </w:p>
    <w:sectPr w:rsidR="001532E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2A" w:rsidRPr="00FE6865" w:rsidRDefault="0073622A" w:rsidP="00FE6865">
      <w:pPr>
        <w:pStyle w:val="Footer"/>
      </w:pPr>
    </w:p>
  </w:endnote>
  <w:endnote w:type="continuationSeparator" w:id="0">
    <w:p w:rsidR="0073622A" w:rsidRDefault="0073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E3" w:rsidRPr="001532E3" w:rsidRDefault="001532E3" w:rsidP="001532E3">
    <w:pPr>
      <w:pStyle w:val="Footer"/>
      <w:tabs>
        <w:tab w:val="right" w:pos="9598"/>
      </w:tabs>
    </w:pPr>
    <w:r>
      <w:t>GE</w:t>
    </w:r>
    <w:r>
      <w:rPr>
        <w:rtl/>
      </w:rPr>
      <w:t>.</w:t>
    </w:r>
    <w:r>
      <w:t>12</w:t>
    </w:r>
    <w:r>
      <w:rPr>
        <w:rtl/>
      </w:rPr>
      <w:t>-</w:t>
    </w:r>
    <w:r>
      <w:t>46851</w:t>
    </w:r>
    <w:r>
      <w:rPr>
        <w:rtl/>
      </w:rPr>
      <w:tab/>
    </w:r>
    <w:r w:rsidRPr="001532E3">
      <w:rPr>
        <w:b/>
        <w:sz w:val="18"/>
      </w:rPr>
      <w:fldChar w:fldCharType="begin"/>
    </w:r>
    <w:r w:rsidRPr="001532E3">
      <w:rPr>
        <w:b/>
        <w:sz w:val="18"/>
        <w:rtl/>
      </w:rPr>
      <w:instrText xml:space="preserve"> </w:instrText>
    </w:r>
    <w:r w:rsidRPr="001532E3">
      <w:rPr>
        <w:b/>
        <w:sz w:val="18"/>
      </w:rPr>
      <w:instrText>PAGE</w:instrText>
    </w:r>
    <w:r w:rsidRPr="001532E3">
      <w:rPr>
        <w:b/>
        <w:sz w:val="18"/>
        <w:rtl/>
      </w:rPr>
      <w:instrText xml:space="preserve">  \* </w:instrText>
    </w:r>
    <w:r w:rsidRPr="001532E3">
      <w:rPr>
        <w:b/>
        <w:sz w:val="18"/>
      </w:rPr>
      <w:instrText>MERGEFORMAT</w:instrText>
    </w:r>
    <w:r w:rsidRPr="001532E3">
      <w:rPr>
        <w:b/>
        <w:sz w:val="18"/>
        <w:rtl/>
      </w:rPr>
      <w:instrText xml:space="preserve"> </w:instrText>
    </w:r>
    <w:r w:rsidRPr="001532E3">
      <w:rPr>
        <w:b/>
        <w:sz w:val="18"/>
      </w:rPr>
      <w:fldChar w:fldCharType="separate"/>
    </w:r>
    <w:r w:rsidR="00A12636">
      <w:rPr>
        <w:b/>
        <w:noProof/>
        <w:sz w:val="18"/>
      </w:rPr>
      <w:t>2</w:t>
    </w:r>
    <w:r w:rsidRPr="001532E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E3" w:rsidRPr="001532E3" w:rsidRDefault="001532E3" w:rsidP="001532E3">
    <w:pPr>
      <w:pStyle w:val="Footer"/>
      <w:tabs>
        <w:tab w:val="right" w:pos="9598"/>
      </w:tabs>
      <w:rPr>
        <w:b/>
        <w:sz w:val="18"/>
      </w:rPr>
    </w:pPr>
    <w:r w:rsidRPr="001532E3">
      <w:rPr>
        <w:b/>
        <w:sz w:val="18"/>
        <w:rtl/>
      </w:rPr>
      <w:fldChar w:fldCharType="begin"/>
    </w:r>
    <w:r w:rsidRPr="001532E3">
      <w:rPr>
        <w:b/>
        <w:sz w:val="18"/>
        <w:rtl/>
      </w:rPr>
      <w:instrText xml:space="preserve"> </w:instrText>
    </w:r>
    <w:r w:rsidRPr="001532E3">
      <w:rPr>
        <w:b/>
        <w:sz w:val="18"/>
      </w:rPr>
      <w:instrText>PAGE</w:instrText>
    </w:r>
    <w:r w:rsidRPr="001532E3">
      <w:rPr>
        <w:b/>
        <w:sz w:val="18"/>
        <w:rtl/>
      </w:rPr>
      <w:instrText xml:space="preserve">  \* </w:instrText>
    </w:r>
    <w:r w:rsidRPr="001532E3">
      <w:rPr>
        <w:b/>
        <w:sz w:val="18"/>
      </w:rPr>
      <w:instrText>MERGEFORMAT</w:instrText>
    </w:r>
    <w:r w:rsidRPr="001532E3">
      <w:rPr>
        <w:b/>
        <w:sz w:val="18"/>
        <w:rtl/>
      </w:rPr>
      <w:instrText xml:space="preserve"> </w:instrText>
    </w:r>
    <w:r w:rsidRPr="001532E3">
      <w:rPr>
        <w:b/>
        <w:sz w:val="18"/>
        <w:rtl/>
      </w:rPr>
      <w:fldChar w:fldCharType="separate"/>
    </w:r>
    <w:r w:rsidR="00A12636">
      <w:rPr>
        <w:b/>
        <w:noProof/>
        <w:sz w:val="18"/>
      </w:rPr>
      <w:t>3</w:t>
    </w:r>
    <w:r w:rsidRPr="001532E3">
      <w:rPr>
        <w:b/>
        <w:sz w:val="18"/>
        <w:rtl/>
      </w:rPr>
      <w:fldChar w:fldCharType="end"/>
    </w:r>
    <w:r>
      <w:rPr>
        <w:b/>
        <w:sz w:val="18"/>
        <w:rtl/>
      </w:rPr>
      <w:tab/>
    </w:r>
    <w:r>
      <w:t>GE</w:t>
    </w:r>
    <w:r>
      <w:rPr>
        <w:rtl/>
      </w:rPr>
      <w:t>.</w:t>
    </w:r>
    <w:r>
      <w:t>12</w:t>
    </w:r>
    <w:r>
      <w:rPr>
        <w:rtl/>
      </w:rPr>
      <w:t>-</w:t>
    </w:r>
    <w:r>
      <w:t>46851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B2" w:rsidRDefault="001532E3" w:rsidP="001532E3">
    <w:pPr>
      <w:pStyle w:val="Footer"/>
      <w:jc w:val="right"/>
    </w:pPr>
    <w:r>
      <w:rPr>
        <w:sz w:val="20"/>
      </w:rPr>
      <w:t xml:space="preserve"> (A)   GE</w:t>
    </w:r>
    <w:r>
      <w:rPr>
        <w:sz w:val="20"/>
        <w:rtl/>
      </w:rPr>
      <w:t>.</w:t>
    </w:r>
    <w:r>
      <w:rPr>
        <w:sz w:val="20"/>
      </w:rPr>
      <w:t>12</w:t>
    </w:r>
    <w:r>
      <w:rPr>
        <w:sz w:val="20"/>
        <w:rtl/>
      </w:rPr>
      <w:t>-</w:t>
    </w:r>
    <w:r>
      <w:rPr>
        <w:sz w:val="20"/>
      </w:rPr>
      <w:t>46851</w:t>
    </w:r>
    <w:r w:rsidR="00C049B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121112    141112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2A" w:rsidRDefault="0073622A" w:rsidP="00300142">
      <w:pPr>
        <w:pStyle w:val="Footer"/>
        <w:bidi/>
        <w:spacing w:after="80" w:line="200" w:lineRule="exact"/>
        <w:ind w:left="680"/>
      </w:pPr>
      <w:r>
        <w:rPr>
          <w:rFonts w:hint="cs"/>
          <w:rtl/>
        </w:rPr>
        <w:t>__________</w:t>
      </w:r>
    </w:p>
  </w:footnote>
  <w:footnote w:type="continuationSeparator" w:id="0">
    <w:p w:rsidR="0073622A" w:rsidRDefault="0073622A" w:rsidP="00300142">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E3" w:rsidRPr="001532E3" w:rsidRDefault="001532E3" w:rsidP="001532E3">
    <w:pPr>
      <w:pStyle w:val="Header"/>
      <w:jc w:val="right"/>
    </w:pPr>
    <w:r w:rsidRPr="001532E3">
      <w:t>CERD/C/AUT/CO/18-20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B2" w:rsidRPr="001532E3" w:rsidRDefault="001532E3" w:rsidP="001532E3">
    <w:pPr>
      <w:pStyle w:val="Header"/>
      <w:jc w:val="left"/>
    </w:pPr>
    <w:r w:rsidRPr="001532E3">
      <w:t>CERD/C/AUT/CO/18-20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B2" w:rsidRDefault="00C049B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C049B2" w:rsidRPr="00A85A54" w:rsidRDefault="00C049B2"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9B2"/>
    <w:rsid w:val="00040E25"/>
    <w:rsid w:val="00042149"/>
    <w:rsid w:val="000648EA"/>
    <w:rsid w:val="00076443"/>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532E3"/>
    <w:rsid w:val="001602A3"/>
    <w:rsid w:val="001A5161"/>
    <w:rsid w:val="001A60BD"/>
    <w:rsid w:val="001C0FB6"/>
    <w:rsid w:val="00232277"/>
    <w:rsid w:val="0023736D"/>
    <w:rsid w:val="00257225"/>
    <w:rsid w:val="002A1090"/>
    <w:rsid w:val="00300142"/>
    <w:rsid w:val="00310160"/>
    <w:rsid w:val="00341A8C"/>
    <w:rsid w:val="003519E6"/>
    <w:rsid w:val="00355F81"/>
    <w:rsid w:val="003B4356"/>
    <w:rsid w:val="003F08A8"/>
    <w:rsid w:val="004250E3"/>
    <w:rsid w:val="00450332"/>
    <w:rsid w:val="00472A81"/>
    <w:rsid w:val="004770A2"/>
    <w:rsid w:val="004A20A6"/>
    <w:rsid w:val="004B2C92"/>
    <w:rsid w:val="004D6A3A"/>
    <w:rsid w:val="004F4AD7"/>
    <w:rsid w:val="00543BB8"/>
    <w:rsid w:val="00547446"/>
    <w:rsid w:val="0054755A"/>
    <w:rsid w:val="00557CD3"/>
    <w:rsid w:val="00571432"/>
    <w:rsid w:val="005732A2"/>
    <w:rsid w:val="005762A5"/>
    <w:rsid w:val="00590BA3"/>
    <w:rsid w:val="005B46D9"/>
    <w:rsid w:val="005B7AE0"/>
    <w:rsid w:val="005E23F5"/>
    <w:rsid w:val="005F146F"/>
    <w:rsid w:val="005F71B6"/>
    <w:rsid w:val="00647653"/>
    <w:rsid w:val="00654786"/>
    <w:rsid w:val="00660FD4"/>
    <w:rsid w:val="00665BE4"/>
    <w:rsid w:val="00666D88"/>
    <w:rsid w:val="0068336D"/>
    <w:rsid w:val="006A4425"/>
    <w:rsid w:val="006A6F1D"/>
    <w:rsid w:val="006B00A4"/>
    <w:rsid w:val="006B4669"/>
    <w:rsid w:val="006D3CFA"/>
    <w:rsid w:val="006F6BF8"/>
    <w:rsid w:val="00707BDF"/>
    <w:rsid w:val="00710727"/>
    <w:rsid w:val="00715F45"/>
    <w:rsid w:val="00731815"/>
    <w:rsid w:val="00731B84"/>
    <w:rsid w:val="00734AE7"/>
    <w:rsid w:val="0073622A"/>
    <w:rsid w:val="0079344E"/>
    <w:rsid w:val="007E197F"/>
    <w:rsid w:val="007F68C4"/>
    <w:rsid w:val="008153DE"/>
    <w:rsid w:val="00852A10"/>
    <w:rsid w:val="00862634"/>
    <w:rsid w:val="00866C59"/>
    <w:rsid w:val="00877306"/>
    <w:rsid w:val="00885524"/>
    <w:rsid w:val="008A6242"/>
    <w:rsid w:val="008B4BC6"/>
    <w:rsid w:val="008F6743"/>
    <w:rsid w:val="00901E57"/>
    <w:rsid w:val="009070DF"/>
    <w:rsid w:val="00935F0E"/>
    <w:rsid w:val="00945899"/>
    <w:rsid w:val="0095208F"/>
    <w:rsid w:val="00977B3F"/>
    <w:rsid w:val="009814AE"/>
    <w:rsid w:val="009901D3"/>
    <w:rsid w:val="00990961"/>
    <w:rsid w:val="00996BBE"/>
    <w:rsid w:val="009B2C03"/>
    <w:rsid w:val="009D17B9"/>
    <w:rsid w:val="009D1DD5"/>
    <w:rsid w:val="009F722C"/>
    <w:rsid w:val="00A12636"/>
    <w:rsid w:val="00A26157"/>
    <w:rsid w:val="00A265C3"/>
    <w:rsid w:val="00A43F9A"/>
    <w:rsid w:val="00A53F38"/>
    <w:rsid w:val="00A543D4"/>
    <w:rsid w:val="00A85A54"/>
    <w:rsid w:val="00AD0014"/>
    <w:rsid w:val="00AD4CF2"/>
    <w:rsid w:val="00AF0BBA"/>
    <w:rsid w:val="00B24D1D"/>
    <w:rsid w:val="00B25159"/>
    <w:rsid w:val="00B30468"/>
    <w:rsid w:val="00B44E31"/>
    <w:rsid w:val="00B92F1B"/>
    <w:rsid w:val="00B97D2C"/>
    <w:rsid w:val="00BA4F7E"/>
    <w:rsid w:val="00BB2C41"/>
    <w:rsid w:val="00BC55C8"/>
    <w:rsid w:val="00BC5C10"/>
    <w:rsid w:val="00BE2964"/>
    <w:rsid w:val="00C049B2"/>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39E0"/>
    <w:rsid w:val="00DB7679"/>
    <w:rsid w:val="00DC5058"/>
    <w:rsid w:val="00DF1702"/>
    <w:rsid w:val="00DF4DD8"/>
    <w:rsid w:val="00DF668E"/>
    <w:rsid w:val="00E04826"/>
    <w:rsid w:val="00E14D2B"/>
    <w:rsid w:val="00E20DBA"/>
    <w:rsid w:val="00E31622"/>
    <w:rsid w:val="00E6524A"/>
    <w:rsid w:val="00E660D6"/>
    <w:rsid w:val="00E74D55"/>
    <w:rsid w:val="00E771AB"/>
    <w:rsid w:val="00EA796F"/>
    <w:rsid w:val="00EB077B"/>
    <w:rsid w:val="00EC50B9"/>
    <w:rsid w:val="00ED26A0"/>
    <w:rsid w:val="00F1727A"/>
    <w:rsid w:val="00F34764"/>
    <w:rsid w:val="00F54E3C"/>
    <w:rsid w:val="00F73227"/>
    <w:rsid w:val="00F874BD"/>
    <w:rsid w:val="00FB1D0B"/>
    <w:rsid w:val="00FD224A"/>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23GAChar">
    <w:name w:val="_ H_2/3_GA Char"/>
    <w:link w:val="H23GA"/>
    <w:rsid w:val="001532E3"/>
    <w:rPr>
      <w:rFonts w:cs="Traditional Arabic"/>
      <w:b/>
      <w:bCs/>
      <w:szCs w:val="3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9</Pages>
  <Words>2323</Words>
  <Characters>13243</Characters>
  <Application>Microsoft Office Word</Application>
  <DocSecurity>4</DocSecurity>
  <Lines>110</Lines>
  <Paragraphs>31</Paragraphs>
  <ScaleCrop>false</ScaleCrop>
  <HeadingPairs>
    <vt:vector size="2" baseType="variant">
      <vt:variant>
        <vt:lpstr>العنوان</vt:lpstr>
      </vt:variant>
      <vt:variant>
        <vt:i4>1</vt:i4>
      </vt:variant>
    </vt:vector>
  </HeadingPairs>
  <TitlesOfParts>
    <vt:vector size="1" baseType="lpstr">
      <vt:lpstr>CERD/C/AUT/CO/18-20</vt:lpstr>
    </vt:vector>
  </TitlesOfParts>
  <Company>CSD</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CERD/C/AUT/CO/18-20</dc:title>
  <dc:subject>BOORAN-ABD AL SHAKOUR</dc:subject>
  <dc:creator>BUHNAM</dc:creator>
  <cp:keywords/>
  <dc:description/>
  <cp:lastModifiedBy>SMADI</cp:lastModifiedBy>
  <cp:revision>2</cp:revision>
  <cp:lastPrinted>2012-11-14T07:31:00Z</cp:lastPrinted>
  <dcterms:created xsi:type="dcterms:W3CDTF">2012-11-14T13:35:00Z</dcterms:created>
  <dcterms:modified xsi:type="dcterms:W3CDTF">2012-11-14T13:35:00Z</dcterms:modified>
</cp:coreProperties>
</file>