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3349E4">
        <w:trPr>
          <w:trHeight w:hRule="exact" w:val="851"/>
        </w:trPr>
        <w:tc>
          <w:tcPr>
            <w:tcW w:w="142" w:type="dxa"/>
            <w:tcBorders>
              <w:bottom w:val="single" w:sz="4" w:space="0" w:color="auto"/>
            </w:tcBorders>
          </w:tcPr>
          <w:p w:rsidR="002D5AAC" w:rsidRDefault="002D5AAC" w:rsidP="00AC4452">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AC4452" w:rsidP="00AC4452">
            <w:pPr>
              <w:jc w:val="right"/>
            </w:pPr>
            <w:r w:rsidRPr="00AC4452">
              <w:rPr>
                <w:sz w:val="40"/>
              </w:rPr>
              <w:t>CRPD</w:t>
            </w:r>
            <w:r>
              <w:t>/C/AUS/2-3</w:t>
            </w:r>
          </w:p>
        </w:tc>
      </w:tr>
      <w:tr w:rsidR="002D5AAC" w:rsidRPr="00D574B3" w:rsidTr="003349E4">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eastAsia="ru-RU"/>
              </w:rPr>
              <w:drawing>
                <wp:inline distT="0" distB="0" distL="0" distR="0" wp14:anchorId="0BD2C18D" wp14:editId="2F57F6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rsidR="002D5AAC" w:rsidRDefault="00AC4452" w:rsidP="003349E4">
            <w:pPr>
              <w:spacing w:before="240"/>
              <w:rPr>
                <w:lang w:val="en-US"/>
              </w:rPr>
            </w:pPr>
            <w:r>
              <w:rPr>
                <w:lang w:val="en-US"/>
              </w:rPr>
              <w:t>Distr.: General</w:t>
            </w:r>
          </w:p>
          <w:p w:rsidR="00AC4452" w:rsidRDefault="00AC4452" w:rsidP="00AC4452">
            <w:pPr>
              <w:spacing w:line="240" w:lineRule="exact"/>
              <w:rPr>
                <w:lang w:val="en-US"/>
              </w:rPr>
            </w:pPr>
            <w:r>
              <w:rPr>
                <w:lang w:val="en-US"/>
              </w:rPr>
              <w:t>5 February 2019</w:t>
            </w:r>
          </w:p>
          <w:p w:rsidR="00AC4452" w:rsidRDefault="00AC4452" w:rsidP="00AC4452">
            <w:pPr>
              <w:spacing w:line="240" w:lineRule="exact"/>
              <w:rPr>
                <w:lang w:val="en-US"/>
              </w:rPr>
            </w:pPr>
            <w:r>
              <w:rPr>
                <w:lang w:val="en-US"/>
              </w:rPr>
              <w:t>Russian</w:t>
            </w:r>
          </w:p>
          <w:p w:rsidR="00AC4452" w:rsidRDefault="00AC4452" w:rsidP="00AC4452">
            <w:pPr>
              <w:spacing w:line="240" w:lineRule="exact"/>
              <w:rPr>
                <w:lang w:val="en-US"/>
              </w:rPr>
            </w:pPr>
            <w:r>
              <w:rPr>
                <w:lang w:val="en-US"/>
              </w:rPr>
              <w:t>Original: English</w:t>
            </w:r>
          </w:p>
          <w:p w:rsidR="006C77FE" w:rsidRPr="008934D2" w:rsidRDefault="006C77FE" w:rsidP="00AC4452">
            <w:pPr>
              <w:spacing w:line="240" w:lineRule="exact"/>
              <w:rPr>
                <w:lang w:val="en-US"/>
              </w:rPr>
            </w:pPr>
            <w:r>
              <w:rPr>
                <w:lang w:val="en-US"/>
              </w:rPr>
              <w:t>English, Russian and Spanish only</w:t>
            </w:r>
          </w:p>
        </w:tc>
      </w:tr>
    </w:tbl>
    <w:p w:rsidR="006C77FE" w:rsidRPr="00A76CF2" w:rsidRDefault="006C77FE" w:rsidP="006C77FE">
      <w:pPr>
        <w:spacing w:before="120"/>
        <w:rPr>
          <w:b/>
          <w:sz w:val="22"/>
        </w:rPr>
      </w:pPr>
      <w:r w:rsidRPr="00A76CF2">
        <w:rPr>
          <w:b/>
          <w:sz w:val="22"/>
        </w:rPr>
        <w:t>Комитет по правам инвалидов</w:t>
      </w:r>
      <w:bookmarkStart w:id="0" w:name="_GoBack"/>
      <w:bookmarkEnd w:id="0"/>
    </w:p>
    <w:p w:rsidR="006C77FE" w:rsidRPr="006C77FE" w:rsidRDefault="006C77FE" w:rsidP="006C77FE">
      <w:pPr>
        <w:pStyle w:val="HMGR"/>
      </w:pPr>
      <w:r w:rsidRPr="006C77FE">
        <w:tab/>
      </w:r>
      <w:r w:rsidRPr="006C77FE">
        <w:tab/>
      </w:r>
      <w:r w:rsidRPr="006C77FE">
        <w:tab/>
        <w:t>Объединенные второй и третий периодические доклады Австралии, подлежавшие представлению в 2018 году в </w:t>
      </w:r>
      <w:r>
        <w:t>соответствии со </w:t>
      </w:r>
      <w:r w:rsidRPr="006C77FE">
        <w:t>статьей 35 Конвенции</w:t>
      </w:r>
      <w:r w:rsidRPr="006C77FE">
        <w:rPr>
          <w:b w:val="0"/>
          <w:bCs/>
          <w:sz w:val="20"/>
        </w:rPr>
        <w:footnoteReference w:customMarkFollows="1" w:id="1"/>
        <w:t>*</w:t>
      </w:r>
    </w:p>
    <w:p w:rsidR="006C77FE" w:rsidRPr="006C77FE" w:rsidRDefault="006C77FE" w:rsidP="006C77FE">
      <w:pPr>
        <w:pStyle w:val="SingleTxtGR"/>
        <w:jc w:val="right"/>
      </w:pPr>
      <w:r w:rsidRPr="006C77FE">
        <w:t>[Дата получения: 7 сентября 2018 года]</w:t>
      </w:r>
    </w:p>
    <w:p w:rsidR="006C77FE" w:rsidRDefault="006C77FE">
      <w:pPr>
        <w:suppressAutoHyphens w:val="0"/>
        <w:spacing w:line="240" w:lineRule="auto"/>
      </w:pPr>
      <w:r>
        <w:br w:type="page"/>
      </w:r>
    </w:p>
    <w:p w:rsidR="006C77FE" w:rsidRPr="00D574B3" w:rsidRDefault="006C77FE" w:rsidP="006C77FE">
      <w:pPr>
        <w:pStyle w:val="HChG"/>
        <w:rPr>
          <w:lang w:val="ru-RU"/>
        </w:rPr>
      </w:pPr>
      <w:r w:rsidRPr="00D574B3">
        <w:rPr>
          <w:lang w:val="ru-RU"/>
        </w:rPr>
        <w:lastRenderedPageBreak/>
        <w:tab/>
      </w:r>
      <w:r w:rsidRPr="00D574B3">
        <w:rPr>
          <w:lang w:val="ru-RU"/>
        </w:rPr>
        <w:tab/>
        <w:t>Введение</w:t>
      </w:r>
    </w:p>
    <w:p w:rsidR="006C77FE" w:rsidRPr="006C77FE" w:rsidRDefault="006C77FE" w:rsidP="006C77FE">
      <w:pPr>
        <w:pStyle w:val="SingleTxtGR"/>
      </w:pPr>
      <w:r w:rsidRPr="006C77FE">
        <w:t>1.</w:t>
      </w:r>
      <w:r w:rsidRPr="006C77FE">
        <w:tab/>
        <w:t>Правительство Австралии с удовлетворением представляет Комитету по правам инвалидов (Комитет) второй и третий периодические доклады в соответствии с Конвенцией о правах инвалидов (Конвенция). Австралия ратифицировала Конвенцию 17 июля 2008 года, и она вступила для нее в силу 16 августа 2008 года. Австралия представила первоначальный доклад в соответствии с Конвенцией, который был опубликован 3 декабря 2010 года.</w:t>
      </w:r>
    </w:p>
    <w:p w:rsidR="006C77FE" w:rsidRPr="006C77FE" w:rsidRDefault="006C77FE" w:rsidP="006C77FE">
      <w:pPr>
        <w:pStyle w:val="SingleTxtGR"/>
      </w:pPr>
      <w:r w:rsidRPr="006C77FE">
        <w:t>2.</w:t>
      </w:r>
      <w:r w:rsidRPr="006C77FE">
        <w:tab/>
        <w:t>Настоящий доклад свидетельствует о приверженности Австралии делу соблюдения прав инвалидов, а также о ее значительных усилиях по обеспечению инвалидам в Австралии возможностей для осуществления наравне с другими всех прав человека и основных свобод согласно Конвенции.</w:t>
      </w:r>
    </w:p>
    <w:p w:rsidR="006C77FE" w:rsidRPr="00D574B3" w:rsidRDefault="006C77FE" w:rsidP="006C77FE">
      <w:pPr>
        <w:pStyle w:val="H1G"/>
        <w:rPr>
          <w:lang w:val="ru-RU"/>
        </w:rPr>
      </w:pPr>
      <w:bookmarkStart w:id="1" w:name="_Toc523914913"/>
      <w:r w:rsidRPr="00D574B3">
        <w:rPr>
          <w:lang w:val="ru-RU"/>
        </w:rPr>
        <w:tab/>
      </w:r>
      <w:bookmarkEnd w:id="1"/>
      <w:r w:rsidRPr="00D574B3">
        <w:rPr>
          <w:lang w:val="ru-RU"/>
        </w:rPr>
        <w:tab/>
      </w:r>
      <w:r w:rsidRPr="00D574B3">
        <w:rPr>
          <w:lang w:val="ru-RU"/>
        </w:rPr>
        <w:tab/>
        <w:t>Подготовка доклада</w:t>
      </w:r>
    </w:p>
    <w:p w:rsidR="006C77FE" w:rsidRPr="006C77FE" w:rsidRDefault="006C77FE" w:rsidP="006C77FE">
      <w:pPr>
        <w:pStyle w:val="SingleTxtGR"/>
      </w:pPr>
      <w:r w:rsidRPr="006C77FE">
        <w:t>3.</w:t>
      </w:r>
      <w:r w:rsidRPr="006C77FE">
        <w:tab/>
        <w:t>Настоящий доклад подготовлен в соответствии с Руководящими принципами представления периодических докладов Комитету по правам инвалидов, в том числе в рамках упрощенной процедуры представления докладов</w:t>
      </w:r>
      <w:r w:rsidRPr="006C77FE">
        <w:rPr>
          <w:sz w:val="18"/>
          <w:vertAlign w:val="superscript"/>
        </w:rPr>
        <w:footnoteReference w:id="2"/>
      </w:r>
      <w:r w:rsidRPr="006C77FE">
        <w:t>, а также согласно Руководящим принципам подготовки расширенного базового документа и документов по конкретным договорам, и согласованным принципам представления докладов в соответствии с международными договорами по правам человека</w:t>
      </w:r>
      <w:r w:rsidRPr="006C77FE">
        <w:rPr>
          <w:sz w:val="18"/>
          <w:vertAlign w:val="superscript"/>
        </w:rPr>
        <w:footnoteReference w:id="3"/>
      </w:r>
      <w:r w:rsidRPr="006C77FE">
        <w:t xml:space="preserve">. </w:t>
      </w:r>
    </w:p>
    <w:p w:rsidR="006C77FE" w:rsidRPr="006C77FE" w:rsidRDefault="006C77FE" w:rsidP="006C77FE">
      <w:pPr>
        <w:pStyle w:val="SingleTxtGR"/>
      </w:pPr>
      <w:r w:rsidRPr="006C77FE">
        <w:t>4.</w:t>
      </w:r>
      <w:r w:rsidRPr="006C77FE">
        <w:tab/>
        <w:t>Рассматриваемые в настоящих докладах вопросы изложены в Перечне вопросов, подготовленном до представления объединенных второго и третьего периодических докладов Австралии (Перечень вопросов)</w:t>
      </w:r>
      <w:r w:rsidRPr="006C77FE">
        <w:rPr>
          <w:sz w:val="18"/>
          <w:vertAlign w:val="superscript"/>
        </w:rPr>
        <w:footnoteReference w:id="4"/>
      </w:r>
      <w:r w:rsidRPr="006C77FE">
        <w:t xml:space="preserve">. </w:t>
      </w:r>
    </w:p>
    <w:p w:rsidR="006C77FE" w:rsidRPr="006C77FE" w:rsidRDefault="006C77FE" w:rsidP="006C77FE">
      <w:pPr>
        <w:pStyle w:val="SingleTxtGR"/>
      </w:pPr>
      <w:r w:rsidRPr="006C77FE">
        <w:t>5.</w:t>
      </w:r>
      <w:r w:rsidRPr="006C77FE">
        <w:tab/>
        <w:t>Настоящий доклад следует рассматривать в совокупности с общим базовым документом Австралии</w:t>
      </w:r>
      <w:r w:rsidRPr="006C77FE">
        <w:rPr>
          <w:sz w:val="18"/>
          <w:vertAlign w:val="superscript"/>
        </w:rPr>
        <w:footnoteReference w:id="5"/>
      </w:r>
      <w:r w:rsidRPr="006C77FE">
        <w:t xml:space="preserve">. </w:t>
      </w:r>
    </w:p>
    <w:p w:rsidR="006C77FE" w:rsidRPr="00D574B3" w:rsidRDefault="006C77FE" w:rsidP="006C77FE">
      <w:pPr>
        <w:pStyle w:val="H1G"/>
        <w:rPr>
          <w:lang w:val="ru-RU"/>
        </w:rPr>
      </w:pPr>
      <w:r w:rsidRPr="00D574B3">
        <w:rPr>
          <w:lang w:val="ru-RU"/>
        </w:rPr>
        <w:tab/>
      </w:r>
      <w:r w:rsidRPr="00D574B3">
        <w:rPr>
          <w:lang w:val="ru-RU"/>
        </w:rPr>
        <w:tab/>
        <w:t>Консультации по докладу</w:t>
      </w:r>
    </w:p>
    <w:p w:rsidR="006C77FE" w:rsidRPr="006C77FE" w:rsidRDefault="006C77FE" w:rsidP="006C77FE">
      <w:pPr>
        <w:pStyle w:val="SingleTxtGR"/>
      </w:pPr>
      <w:r w:rsidRPr="006C77FE">
        <w:t>6.</w:t>
      </w:r>
      <w:r w:rsidRPr="006C77FE">
        <w:tab/>
        <w:t>При подготовке настоящего доклада правительство Австралии проводило широкие консультации с правительствами штатов и территорий, которые отвечают за проведение многих мероприятий по осуществлению Конвенции. Консультации проводились также и с Австралийской комиссией по правам человека (АКПЧ).</w:t>
      </w:r>
    </w:p>
    <w:p w:rsidR="006C77FE" w:rsidRPr="006C77FE" w:rsidRDefault="006C77FE" w:rsidP="006C77FE">
      <w:pPr>
        <w:pStyle w:val="SingleTxtGR"/>
      </w:pPr>
      <w:r w:rsidRPr="006C77FE">
        <w:t>7.</w:t>
      </w:r>
      <w:r w:rsidRPr="006C77FE">
        <w:tab/>
        <w:t xml:space="preserve">Правительство Австралии признает ключевую роль в деле осуществления Конвенции неправительственных организаций, с которыми оно консультировалось при подготовке доклада. На первоначальном этапе подготовительной работы 36 НПО было предложено представить информацию для ее учета в ходе выработки проекта ответа на Перечень вопросов. На основе этого правительство Австралии подготовило и разместило в Интернете первый проект доклада, предложив НПО и представителям общественности сообщить свои замечания. </w:t>
      </w:r>
    </w:p>
    <w:p w:rsidR="006C77FE" w:rsidRPr="00D574B3" w:rsidRDefault="006C77FE" w:rsidP="006C77FE">
      <w:pPr>
        <w:pStyle w:val="H1G"/>
        <w:rPr>
          <w:lang w:val="ru-RU"/>
        </w:rPr>
      </w:pPr>
      <w:bookmarkStart w:id="2" w:name="OLE_LINK13"/>
      <w:r w:rsidRPr="00D574B3">
        <w:rPr>
          <w:lang w:val="ru-RU"/>
        </w:rPr>
        <w:tab/>
      </w:r>
      <w:r w:rsidRPr="00D574B3">
        <w:rPr>
          <w:lang w:val="ru-RU"/>
        </w:rPr>
        <w:tab/>
        <w:t>Статус Факультативного протокола</w:t>
      </w:r>
    </w:p>
    <w:p w:rsidR="006C77FE" w:rsidRPr="006C77FE" w:rsidRDefault="006C77FE" w:rsidP="006C77FE">
      <w:pPr>
        <w:pStyle w:val="SingleTxtGR"/>
      </w:pPr>
      <w:r w:rsidRPr="006C77FE">
        <w:t>8.</w:t>
      </w:r>
      <w:r w:rsidRPr="006C77FE">
        <w:tab/>
        <w:t>После того как 20 сентября 2009 года Факультативный протокол вступил в силу для Австралии, Австралия получила 13 отдельных сообщений о предполагаемых нарушениях Конвенции</w:t>
      </w:r>
      <w:r w:rsidRPr="006C77FE">
        <w:rPr>
          <w:sz w:val="18"/>
          <w:vertAlign w:val="superscript"/>
        </w:rPr>
        <w:footnoteReference w:id="6"/>
      </w:r>
      <w:r w:rsidRPr="006C77FE">
        <w:t>.</w:t>
      </w:r>
    </w:p>
    <w:p w:rsidR="006C77FE" w:rsidRPr="006C77FE" w:rsidRDefault="006C77FE" w:rsidP="006C77FE">
      <w:pPr>
        <w:pStyle w:val="SingleTxtGR"/>
        <w:keepNext/>
      </w:pPr>
      <w:r w:rsidRPr="006C77FE">
        <w:lastRenderedPageBreak/>
        <w:t>9.</w:t>
      </w:r>
      <w:r w:rsidRPr="006C77FE">
        <w:tab/>
        <w:t>Из числа рассматриваемых в этих сообщениях случаев Комитет:</w:t>
      </w:r>
    </w:p>
    <w:p w:rsidR="006C77FE" w:rsidRPr="006C77FE" w:rsidRDefault="006C77FE" w:rsidP="006C77FE">
      <w:pPr>
        <w:pStyle w:val="SingleTxtGR"/>
      </w:pPr>
      <w:r w:rsidRPr="006C77FE">
        <w:tab/>
        <w:t>а)</w:t>
      </w:r>
      <w:r w:rsidRPr="006C77FE">
        <w:tab/>
        <w:t>признал два дела неприемлемыми (</w:t>
      </w:r>
      <w:r w:rsidRPr="006C77FE">
        <w:rPr>
          <w:i/>
        </w:rPr>
        <w:t>А.М. против Австралии</w:t>
      </w:r>
      <w:r>
        <w:t xml:space="preserve"> (CRPD № </w:t>
      </w:r>
      <w:r w:rsidRPr="006C77FE">
        <w:t xml:space="preserve">12/2013) и </w:t>
      </w:r>
      <w:r w:rsidRPr="006C77FE">
        <w:rPr>
          <w:i/>
        </w:rPr>
        <w:t>Д.Р. против Австралии</w:t>
      </w:r>
      <w:r w:rsidRPr="006C77FE">
        <w:t xml:space="preserve"> (CRPD № 14/2013)</w:t>
      </w:r>
      <w:r w:rsidR="00EB4373">
        <w:t>)</w:t>
      </w:r>
      <w:r w:rsidRPr="006C77FE">
        <w:t>, и</w:t>
      </w:r>
    </w:p>
    <w:p w:rsidR="006C77FE" w:rsidRPr="006C77FE" w:rsidRDefault="006C77FE" w:rsidP="006C77FE">
      <w:pPr>
        <w:pStyle w:val="SingleTxtGR"/>
      </w:pPr>
      <w:r w:rsidRPr="006C77FE">
        <w:tab/>
        <w:t>b)</w:t>
      </w:r>
      <w:r w:rsidRPr="006C77FE">
        <w:tab/>
        <w:t>принял негативные заключения в отношении Австралии по четырем делам (</w:t>
      </w:r>
      <w:r w:rsidRPr="006C77FE">
        <w:rPr>
          <w:i/>
        </w:rPr>
        <w:t>Ноубл против Австралии</w:t>
      </w:r>
      <w:r w:rsidRPr="006C77FE">
        <w:t xml:space="preserve"> (CRPD № 7/2012), </w:t>
      </w:r>
      <w:r w:rsidRPr="006C77FE">
        <w:rPr>
          <w:i/>
        </w:rPr>
        <w:t>Ф.Дж. против Австралии</w:t>
      </w:r>
      <w:r w:rsidRPr="006C77FE">
        <w:t xml:space="preserve"> (CRPD № 19/2014), </w:t>
      </w:r>
      <w:r w:rsidRPr="006C77FE">
        <w:rPr>
          <w:i/>
        </w:rPr>
        <w:t>Дж.Б. против Австралии</w:t>
      </w:r>
      <w:r w:rsidRPr="006C77FE">
        <w:t xml:space="preserve"> (CRPD № 11/2013) и </w:t>
      </w:r>
      <w:r w:rsidRPr="006C77FE">
        <w:rPr>
          <w:i/>
        </w:rPr>
        <w:t>М.Л. против Австралии</w:t>
      </w:r>
      <w:r w:rsidRPr="006C77FE">
        <w:t xml:space="preserve"> (CRPD № 13/2013)</w:t>
      </w:r>
      <w:r w:rsidR="00EB4373">
        <w:t>)</w:t>
      </w:r>
      <w:r w:rsidRPr="006C77FE">
        <w:t>.</w:t>
      </w:r>
    </w:p>
    <w:p w:rsidR="006C77FE" w:rsidRPr="006C77FE" w:rsidRDefault="006C77FE" w:rsidP="006C77FE">
      <w:pPr>
        <w:pStyle w:val="SingleTxtGR"/>
      </w:pPr>
      <w:r w:rsidRPr="006C77FE">
        <w:t>10.</w:t>
      </w:r>
      <w:r w:rsidRPr="006C77FE">
        <w:tab/>
        <w:t>Шесть дел еще находятся на рассмотрении Комитета, и одно дело было прекращено.</w:t>
      </w:r>
    </w:p>
    <w:p w:rsidR="006C77FE" w:rsidRPr="006C77FE" w:rsidRDefault="006C77FE" w:rsidP="006C77FE">
      <w:pPr>
        <w:pStyle w:val="SingleTxtGR"/>
      </w:pPr>
      <w:r w:rsidRPr="006C77FE">
        <w:t>11.</w:t>
      </w:r>
      <w:r w:rsidRPr="006C77FE">
        <w:tab/>
        <w:t>Австралийское правительство осуществляет комплексное и добросовестное сотрудничество с договорными органами Организации Объединенных Наций (ООН) в связи с индивидуальными сообщениями, реагирует на негативные заключения и выполняет основанные на таких заключениях рекомендации, когда считает это целесообразным.</w:t>
      </w:r>
    </w:p>
    <w:bookmarkEnd w:id="2"/>
    <w:p w:rsidR="006C77FE" w:rsidRPr="00D574B3" w:rsidRDefault="006C77FE" w:rsidP="00DF72E3">
      <w:pPr>
        <w:pStyle w:val="H1G"/>
        <w:rPr>
          <w:lang w:val="ru-RU"/>
        </w:rPr>
      </w:pPr>
      <w:r w:rsidRPr="00D574B3">
        <w:rPr>
          <w:lang w:val="ru-RU"/>
        </w:rPr>
        <w:tab/>
        <w:t>А.</w:t>
      </w:r>
      <w:r w:rsidRPr="00D574B3">
        <w:rPr>
          <w:lang w:val="ru-RU"/>
        </w:rPr>
        <w:tab/>
        <w:t>Цель и общие обязательства (статьи 1–4)</w:t>
      </w:r>
    </w:p>
    <w:p w:rsidR="006C77FE" w:rsidRPr="00D574B3" w:rsidRDefault="006C77FE" w:rsidP="00DF72E3">
      <w:pPr>
        <w:pStyle w:val="H1G"/>
        <w:rPr>
          <w:lang w:val="ru-RU"/>
        </w:rPr>
      </w:pPr>
      <w:r w:rsidRPr="00D574B3">
        <w:rPr>
          <w:lang w:val="ru-RU"/>
        </w:rPr>
        <w:tab/>
      </w:r>
      <w:r w:rsidRPr="00D574B3">
        <w:rPr>
          <w:lang w:val="ru-RU"/>
        </w:rPr>
        <w:tab/>
        <w:t>Цель, определение и принципы</w:t>
      </w:r>
    </w:p>
    <w:p w:rsidR="006C77FE" w:rsidRPr="00D574B3" w:rsidRDefault="006C77FE" w:rsidP="00DF72E3">
      <w:pPr>
        <w:pStyle w:val="H23G"/>
        <w:rPr>
          <w:lang w:val="ru-RU"/>
        </w:rPr>
      </w:pPr>
      <w:r w:rsidRPr="00D574B3">
        <w:rPr>
          <w:lang w:val="ru-RU"/>
        </w:rPr>
        <w:tab/>
      </w:r>
      <w:r w:rsidRPr="00D574B3">
        <w:rPr>
          <w:lang w:val="ru-RU"/>
        </w:rPr>
        <w:tab/>
        <w:t>Вопрос 1</w:t>
      </w:r>
    </w:p>
    <w:p w:rsidR="006C77FE" w:rsidRPr="00D574B3" w:rsidRDefault="006C77FE" w:rsidP="00DF72E3">
      <w:pPr>
        <w:pStyle w:val="H56G"/>
        <w:rPr>
          <w:lang w:val="ru-RU"/>
        </w:rPr>
      </w:pPr>
      <w:r w:rsidRPr="00D574B3">
        <w:rPr>
          <w:lang w:val="ru-RU"/>
        </w:rPr>
        <w:tab/>
      </w:r>
      <w:r w:rsidRPr="00D574B3">
        <w:rPr>
          <w:lang w:val="ru-RU"/>
        </w:rPr>
        <w:tab/>
        <w:t xml:space="preserve">Инкорпорирование Конвенции </w:t>
      </w:r>
    </w:p>
    <w:p w:rsidR="006C77FE" w:rsidRPr="006C77FE" w:rsidRDefault="006C77FE" w:rsidP="006C77FE">
      <w:pPr>
        <w:pStyle w:val="SingleTxtGR"/>
      </w:pPr>
      <w:r w:rsidRPr="006C77FE">
        <w:t>12.</w:t>
      </w:r>
      <w:r w:rsidRPr="006C77FE">
        <w:tab/>
        <w:t>Закрепленные в Конвенции права были включены во внутреннее законодательство Австралийского Союза, штатов и территорий.</w:t>
      </w:r>
    </w:p>
    <w:p w:rsidR="006C77FE" w:rsidRPr="006C77FE" w:rsidRDefault="006C77FE" w:rsidP="006C77FE">
      <w:pPr>
        <w:pStyle w:val="SingleTxtGR"/>
      </w:pPr>
      <w:r w:rsidRPr="006C77FE">
        <w:t>13.</w:t>
      </w:r>
      <w:r w:rsidRPr="006C77FE">
        <w:tab/>
        <w:t>Закон (АС) 1992 года о дискриминации в отношении инвалидов (ЗДИ) действует применительно к Австралийскому Союзу, штатам и территориям, а также структурам частного сектора. Согласно этому Закону прямая и косвенная дискриминация по признаку инвалидности признается незаконной в части, касающейся труда и занятости, образования, доступа к помещениям, предоставления товаров, услуг и объектов, жилья, права собственности или землевладения, членства в клубах и зарегистрированных ассоциациях, спорта, а также в сфере осуществления законов и программ Австралийского Союза. В соответствии с ЗДИ АКПЧ имеет право проводить расследования по жалобам на дискриминацию по признаку инвалидности и принимать меры по их урегулированию.</w:t>
      </w:r>
    </w:p>
    <w:p w:rsidR="006C77FE" w:rsidRPr="006C77FE" w:rsidRDefault="006C77FE" w:rsidP="006C77FE">
      <w:pPr>
        <w:pStyle w:val="SingleTxtGR"/>
      </w:pPr>
      <w:r w:rsidRPr="006C77FE">
        <w:t>14.</w:t>
      </w:r>
      <w:r w:rsidRPr="006C77FE">
        <w:tab/>
        <w:t>Каждый штат и территория также имеют собственное законодательство, запрещающее дискриминацию по признаку инвалидности</w:t>
      </w:r>
      <w:r w:rsidRPr="00DF72E3">
        <w:rPr>
          <w:sz w:val="18"/>
          <w:vertAlign w:val="superscript"/>
        </w:rPr>
        <w:footnoteReference w:id="7"/>
      </w:r>
      <w:r w:rsidRPr="006C77FE">
        <w:t>. Его осуществлением занимаются органы штатов и территорий, выполняющие соответствующие функции согласно законодательству, включая задачи, связанные с расследованием жалоб и примирения сторон</w:t>
      </w:r>
      <w:r w:rsidRPr="00DF72E3">
        <w:rPr>
          <w:sz w:val="18"/>
          <w:vertAlign w:val="superscript"/>
        </w:rPr>
        <w:footnoteReference w:id="8"/>
      </w:r>
      <w:r w:rsidRPr="006C77FE">
        <w:t xml:space="preserve">. В Виктории и на Австралийской столичной территории (АСТ) также имеется собственное законодательство по правам человека, согласно которому государственные органы обязаны учитывать права человека при принятии решений, </w:t>
      </w:r>
      <w:r w:rsidRPr="006C77FE">
        <w:lastRenderedPageBreak/>
        <w:t>должны действовать в соответствии с правами человека и признавать права человека инвалидов</w:t>
      </w:r>
      <w:r w:rsidRPr="00DF72E3">
        <w:rPr>
          <w:sz w:val="18"/>
          <w:vertAlign w:val="superscript"/>
        </w:rPr>
        <w:footnoteReference w:id="9"/>
      </w:r>
      <w:r w:rsidRPr="006C77FE">
        <w:t xml:space="preserve">. </w:t>
      </w:r>
    </w:p>
    <w:p w:rsidR="006C77FE" w:rsidRPr="00D574B3" w:rsidRDefault="006C77FE" w:rsidP="00DF72E3">
      <w:pPr>
        <w:pStyle w:val="H56G"/>
        <w:rPr>
          <w:lang w:val="ru-RU"/>
        </w:rPr>
      </w:pPr>
      <w:r w:rsidRPr="00D574B3">
        <w:rPr>
          <w:lang w:val="ru-RU"/>
        </w:rPr>
        <w:tab/>
      </w:r>
      <w:r w:rsidRPr="00D574B3">
        <w:rPr>
          <w:lang w:val="ru-RU"/>
        </w:rPr>
        <w:tab/>
        <w:t>Заявления о толковании</w:t>
      </w:r>
    </w:p>
    <w:p w:rsidR="006C77FE" w:rsidRPr="006C77FE" w:rsidRDefault="006C77FE" w:rsidP="006C77FE">
      <w:pPr>
        <w:pStyle w:val="SingleTxtGR"/>
      </w:pPr>
      <w:r w:rsidRPr="006C77FE">
        <w:t>15.</w:t>
      </w:r>
      <w:r w:rsidRPr="006C77FE">
        <w:tab/>
        <w:t>Австралийское правительство сделало заявление о толковании Конвенции, касающееся статей 12, 17 и 18, и не намеревается его отзывать. Это заявление не преследует цель исключать или изменять пр</w:t>
      </w:r>
      <w:r w:rsidR="00DF72E3">
        <w:t>авовые последствия Конвенции, а </w:t>
      </w:r>
      <w:r w:rsidRPr="006C77FE">
        <w:t>направлено на уточнение понимания Австралией того, что Конвенция:</w:t>
      </w:r>
    </w:p>
    <w:p w:rsidR="006C77FE" w:rsidRPr="006C77FE" w:rsidRDefault="006C77FE" w:rsidP="006C77FE">
      <w:pPr>
        <w:pStyle w:val="SingleTxtGR"/>
      </w:pPr>
      <w:r w:rsidRPr="006C77FE">
        <w:tab/>
        <w:t>а)</w:t>
      </w:r>
      <w:r w:rsidRPr="006C77FE">
        <w:tab/>
        <w:t xml:space="preserve">когда это необходимо, допускает полностью суппортивную или субститутивную модель принятия решений в качестве крайней меры и при наличии надлежащих гарантий; </w:t>
      </w:r>
    </w:p>
    <w:p w:rsidR="006C77FE" w:rsidRPr="006C77FE" w:rsidRDefault="006C77FE" w:rsidP="006C77FE">
      <w:pPr>
        <w:pStyle w:val="SingleTxtGR"/>
      </w:pPr>
      <w:r w:rsidRPr="006C77FE">
        <w:tab/>
      </w:r>
      <w:r w:rsidRPr="006C77FE">
        <w:rPr>
          <w:lang w:val="en-US"/>
        </w:rPr>
        <w:t>b</w:t>
      </w:r>
      <w:r w:rsidRPr="006C77FE">
        <w:t>)</w:t>
      </w:r>
      <w:r w:rsidRPr="006C77FE">
        <w:tab/>
        <w:t xml:space="preserve">когда это необходимо, допускает обязательную помощь или лечение в качестве крайней меры и при наличии надлежащих гарантий; и </w:t>
      </w:r>
    </w:p>
    <w:p w:rsidR="006C77FE" w:rsidRPr="006C77FE" w:rsidRDefault="006C77FE" w:rsidP="006C77FE">
      <w:pPr>
        <w:pStyle w:val="SingleTxtGR"/>
      </w:pPr>
      <w:r w:rsidRPr="006C77FE">
        <w:tab/>
        <w:t>с)</w:t>
      </w:r>
      <w:r w:rsidRPr="006C77FE">
        <w:tab/>
        <w:t>не создает право неграждан на въезд в Австралию или нахождение в ней и не умаляет действующие в Австралии требования в отношении здоровья, когда таковые основываются на законных, объективных и разумных критериях.</w:t>
      </w:r>
    </w:p>
    <w:p w:rsidR="006C77FE" w:rsidRPr="006C77FE" w:rsidRDefault="006C77FE" w:rsidP="006C77FE">
      <w:pPr>
        <w:pStyle w:val="SingleTxtGR"/>
      </w:pPr>
      <w:r w:rsidRPr="006C77FE">
        <w:t>16.</w:t>
      </w:r>
      <w:r w:rsidRPr="006C77FE">
        <w:tab/>
        <w:t>Австралия всецело поддерживает права и</w:t>
      </w:r>
      <w:r w:rsidR="00EB4373">
        <w:t>нвалидов на правоспособность. В </w:t>
      </w:r>
      <w:r w:rsidRPr="006C77FE">
        <w:t>некоторых случаях при ее осуществлении лица с когнитивными расстройствами или лица, испытывающие трудности при принятии решений, могут нуждаться в поддержке.</w:t>
      </w:r>
    </w:p>
    <w:p w:rsidR="006C77FE" w:rsidRPr="006C77FE" w:rsidRDefault="006C77FE" w:rsidP="006C77FE">
      <w:pPr>
        <w:pStyle w:val="SingleTxtGR"/>
      </w:pPr>
      <w:r w:rsidRPr="006C77FE">
        <w:t>17.</w:t>
      </w:r>
      <w:r w:rsidRPr="006C77FE">
        <w:tab/>
        <w:t xml:space="preserve">В Австралии модель субститутивного принятия решений применяется только в качестве крайней меры, когда она признается необходимой и подкрепляется гарантиями в соответствии с пунктом 4 статьи 12 Конвенции. Например, она используется как крайняя мера для обеспечения того, чтобы инвалиды не были лишены доступа к надлежащему медицинскому обслуживанию из-за неспособности оценивать свои потребности и предпочтения либо сообщать о них. </w:t>
      </w:r>
    </w:p>
    <w:p w:rsidR="006C77FE" w:rsidRPr="006C77FE" w:rsidRDefault="006C77FE" w:rsidP="006C77FE">
      <w:pPr>
        <w:pStyle w:val="SingleTxtGR"/>
      </w:pPr>
      <w:r w:rsidRPr="006C77FE">
        <w:t>18.</w:t>
      </w:r>
      <w:r w:rsidRPr="006C77FE">
        <w:tab/>
        <w:t xml:space="preserve">Согласно статье 16 Конвенции действующие в Австралии законы об опеке предусматривают гарантии для предотвращения надругательства, эксплуатации и пренебрежения нуждами инвалидов. Все распоряжения о передаче под опеку имеют ограниченный срок действия и подлежат рассмотрению по запросу и по завершении их исполнения. Существуют также положения о пересмотре распоряжений о передаче под опеку по инициативе совершеннолетнего или иного заинтересованного лица, например члена семьи. Законодательство базируется на основополагающем принципе наименьшего вмешательства, необходимого для удовлетворения явно выраженных потребностей лица, испытывающего трудности при принятии решений. </w:t>
      </w:r>
    </w:p>
    <w:p w:rsidR="006C77FE" w:rsidRPr="006C77FE" w:rsidRDefault="006C77FE" w:rsidP="006C77FE">
      <w:pPr>
        <w:pStyle w:val="SingleTxtGR"/>
      </w:pPr>
      <w:r w:rsidRPr="006C77FE">
        <w:t>19.</w:t>
      </w:r>
      <w:r w:rsidRPr="006C77FE">
        <w:tab/>
        <w:t>В некоторых юрисдикциях законы об опеке периодически пересматриваются либо в них вносятся изменения в целях обеспечения защиты прав и интересов ограниченно дееспособных лиц. Так</w:t>
      </w:r>
      <w:r w:rsidR="00DF72E3">
        <w:t>,</w:t>
      </w:r>
      <w:r w:rsidRPr="006C77FE">
        <w:t xml:space="preserve"> например, в марте 2018 года правительство Виктории внесло законопроект о замене действующего Закона об опеке и ее осуществлении 1986 года (ВИК) нормативно-правовыми положениями, которые основаны на более современном понимании способности принимать решения и инвалидности и предусматривают юридическое признание суппортивной модели принятия решений.</w:t>
      </w:r>
    </w:p>
    <w:p w:rsidR="006C77FE" w:rsidRPr="006C77FE" w:rsidRDefault="006C77FE" w:rsidP="006C77FE">
      <w:pPr>
        <w:pStyle w:val="SingleTxtGR"/>
      </w:pPr>
      <w:r w:rsidRPr="006C77FE">
        <w:t>20.</w:t>
      </w:r>
      <w:r w:rsidRPr="006C77FE">
        <w:tab/>
        <w:t>В Австралии обязательная помощь или принудительное лечение используются только, когда это строго необходимо в качестве крайней меры и с учетом гарантий согласно пункту 2 статьи 14 Конвенции.</w:t>
      </w:r>
    </w:p>
    <w:p w:rsidR="006C77FE" w:rsidRPr="006C77FE" w:rsidRDefault="006C77FE" w:rsidP="006C77FE">
      <w:pPr>
        <w:pStyle w:val="SingleTxtGR"/>
      </w:pPr>
      <w:r w:rsidRPr="006C77FE">
        <w:t>21.</w:t>
      </w:r>
      <w:r w:rsidRPr="006C77FE">
        <w:tab/>
        <w:t>В законодательстве штатов и территорий прописаны критерии назначения помощников для субститутивного принятия решений по вопросам, касающимся лечения совершеннолетних лиц, которые считаются н</w:t>
      </w:r>
      <w:r w:rsidR="00DF72E3">
        <w:t>е способными к даче согласия. В </w:t>
      </w:r>
      <w:r w:rsidRPr="006C77FE">
        <w:t xml:space="preserve">большинстве юрисдикций существуют положения о помощниках по принятию решений, которые отбираются (например, долговременный опекун), устанавливаются </w:t>
      </w:r>
      <w:r w:rsidRPr="006C77FE">
        <w:lastRenderedPageBreak/>
        <w:t>по закону (например, супруг или родственник) или назначаются (например, по решению суда) в целях принятия решений по вопросам охраны здоровья в интересах совершеннолетнего лица, которое не способно к даче согласия</w:t>
      </w:r>
      <w:r w:rsidRPr="00DF72E3">
        <w:rPr>
          <w:sz w:val="18"/>
          <w:vertAlign w:val="superscript"/>
        </w:rPr>
        <w:footnoteReference w:id="10"/>
      </w:r>
      <w:r w:rsidRPr="006C77FE">
        <w:t>.</w:t>
      </w:r>
    </w:p>
    <w:p w:rsidR="006C77FE" w:rsidRPr="006C77FE" w:rsidRDefault="006C77FE" w:rsidP="006C77FE">
      <w:pPr>
        <w:pStyle w:val="SingleTxtGR"/>
      </w:pPr>
      <w:r w:rsidRPr="006C77FE">
        <w:t>22.</w:t>
      </w:r>
      <w:r w:rsidRPr="006C77FE">
        <w:tab/>
        <w:t>При осуществлении своих функций помощники по субститутивному принятию решений, должны проходить один из двух тестов или оба теста. Тест на понимание наилучших интересов (при котором необходимо сопоставить выгоды пациента с риском предложенного лечения) и тест на субститутивное принятие решений (который предполагает принятие решения на основе предположения о том, какое именно решение приняло бы опекаемое лицо, если бы оно было на это способно, и опираясь на имеющуюся информацию и факты, будь то заблаговременное получение инструкций по вопросам ухода, религиозные убеждения и сведения о предыдущем лечении).</w:t>
      </w:r>
    </w:p>
    <w:p w:rsidR="006C77FE" w:rsidRPr="006C77FE" w:rsidRDefault="006C77FE" w:rsidP="006C77FE">
      <w:pPr>
        <w:pStyle w:val="SingleTxtGR"/>
      </w:pPr>
      <w:r w:rsidRPr="006C77FE">
        <w:t>23.</w:t>
      </w:r>
      <w:r w:rsidRPr="006C77FE">
        <w:tab/>
        <w:t>Согласно действующим в Австралии требованиям в отношении здоровья все обращающиеся с прошениями о выдаче виз лица должны, когда это требуется, проходить медицинское освидетельствование, и состояние их здоровья должно признаваться соответствующим определенному уровню, отвечающему продолжительности их предполагаемого нахождения в Австралии и деятельности в ней.</w:t>
      </w:r>
    </w:p>
    <w:p w:rsidR="006C77FE" w:rsidRPr="006C77FE" w:rsidRDefault="006C77FE" w:rsidP="006C77FE">
      <w:pPr>
        <w:pStyle w:val="SingleTxtGR"/>
      </w:pPr>
      <w:r w:rsidRPr="006C77FE">
        <w:t>24.</w:t>
      </w:r>
      <w:r w:rsidRPr="006C77FE">
        <w:tab/>
        <w:t xml:space="preserve">Такие требования призваны обеспечить минимизацию рисков для здоровья населения Австралии, экономию государственных расходов на здравоохранение и медицинское обслуживание общин, а также обеспечивать доступ к медицинским и другим общественным услугам жителей Австралии, включая австралийцев-инвалидов. </w:t>
      </w:r>
    </w:p>
    <w:p w:rsidR="006C77FE" w:rsidRPr="006C77FE" w:rsidRDefault="006C77FE" w:rsidP="006C77FE">
      <w:pPr>
        <w:pStyle w:val="SingleTxtGR"/>
      </w:pPr>
      <w:r w:rsidRPr="006C77FE">
        <w:t>25.</w:t>
      </w:r>
      <w:r w:rsidRPr="006C77FE">
        <w:tab/>
        <w:t>При предоставлении и регистрации гражданства Австралия не осуществляет дискриминации в отношении инвалидов. Инвалиды могут запрашивать и получать гражданство наравне с другими лицами, в том числе по рождению. Сказанное справедливо и в части регистрации гражданина по родителю.</w:t>
      </w:r>
    </w:p>
    <w:p w:rsidR="006C77FE" w:rsidRPr="006C77FE" w:rsidRDefault="006C77FE" w:rsidP="006C77FE">
      <w:pPr>
        <w:pStyle w:val="SingleTxtGR"/>
      </w:pPr>
      <w:r w:rsidRPr="006C77FE">
        <w:t>26.</w:t>
      </w:r>
      <w:r w:rsidRPr="006C77FE">
        <w:tab/>
        <w:t>Австралия считает свои требования в отношении здоровья неграждан основанными на законных, объективных и разумных критериях и соответствующими положениям статьи 18.</w:t>
      </w:r>
    </w:p>
    <w:p w:rsidR="006C77FE" w:rsidRPr="00D574B3" w:rsidRDefault="006C77FE" w:rsidP="00DF72E3">
      <w:pPr>
        <w:pStyle w:val="H23G"/>
        <w:rPr>
          <w:lang w:val="ru-RU"/>
        </w:rPr>
      </w:pPr>
      <w:bookmarkStart w:id="3" w:name="_Toc523914919"/>
      <w:r w:rsidRPr="00D574B3">
        <w:rPr>
          <w:lang w:val="ru-RU"/>
        </w:rPr>
        <w:tab/>
      </w:r>
      <w:r w:rsidRPr="00D574B3">
        <w:rPr>
          <w:lang w:val="ru-RU"/>
        </w:rPr>
        <w:tab/>
      </w:r>
      <w:bookmarkEnd w:id="3"/>
      <w:r w:rsidRPr="00D574B3">
        <w:rPr>
          <w:lang w:val="ru-RU"/>
        </w:rPr>
        <w:t>Вопрос 2</w:t>
      </w:r>
    </w:p>
    <w:p w:rsidR="006C77FE" w:rsidRPr="006C77FE" w:rsidRDefault="006C77FE" w:rsidP="006C77FE">
      <w:pPr>
        <w:pStyle w:val="SingleTxtGR"/>
      </w:pPr>
      <w:r w:rsidRPr="006C77FE">
        <w:t>27.</w:t>
      </w:r>
      <w:r w:rsidRPr="006C77FE">
        <w:tab/>
        <w:t>Правительство Австралии не планирует прекратить финансирование Национальной программы по защите прав инвалидов (НПЗПИ).</w:t>
      </w:r>
    </w:p>
    <w:p w:rsidR="006C77FE" w:rsidRPr="006C77FE" w:rsidRDefault="006C77FE" w:rsidP="006C77FE">
      <w:pPr>
        <w:pStyle w:val="SingleTxtGR"/>
      </w:pPr>
      <w:r w:rsidRPr="006C77FE">
        <w:t>28.</w:t>
      </w:r>
      <w:r w:rsidRPr="006C77FE">
        <w:tab/>
        <w:t xml:space="preserve">Правительство Австралии твердо привержено предоставлению инвалидам услуг по защите их прав и в этой связи создает механизмы содействия полному и эффективному участию инвалидов в деятельности по поощрению, защите и обеспечению осуществления ими всех предусмотренных Конвенцией прав. </w:t>
      </w:r>
    </w:p>
    <w:p w:rsidR="006C77FE" w:rsidRPr="006C77FE" w:rsidRDefault="006C77FE" w:rsidP="006C77FE">
      <w:pPr>
        <w:pStyle w:val="SingleTxtGR"/>
      </w:pPr>
      <w:r w:rsidRPr="006C77FE">
        <w:t>29.</w:t>
      </w:r>
      <w:r w:rsidRPr="006C77FE">
        <w:tab/>
        <w:t>В 2018/19 финансовом году правительство Австралии ассигновало:</w:t>
      </w:r>
    </w:p>
    <w:p w:rsidR="006C77FE" w:rsidRPr="006C77FE" w:rsidRDefault="006C77FE" w:rsidP="006C77FE">
      <w:pPr>
        <w:pStyle w:val="SingleTxtGR"/>
      </w:pPr>
      <w:r w:rsidRPr="006C77FE">
        <w:tab/>
        <w:t>а)</w:t>
      </w:r>
      <w:r w:rsidRPr="006C77FE">
        <w:tab/>
        <w:t>20,8</w:t>
      </w:r>
      <w:r w:rsidR="00D86A17">
        <w:t xml:space="preserve"> млн</w:t>
      </w:r>
      <w:r w:rsidRPr="006C77FE">
        <w:t xml:space="preserve"> долл. по линии НПЗПИ для финансирования 60 организаций на всей территории Австралии;</w:t>
      </w:r>
    </w:p>
    <w:p w:rsidR="006C77FE" w:rsidRPr="006C77FE" w:rsidRDefault="006C77FE" w:rsidP="006C77FE">
      <w:pPr>
        <w:pStyle w:val="SingleTxtGR"/>
      </w:pPr>
      <w:r w:rsidRPr="006C77FE">
        <w:tab/>
      </w:r>
      <w:r w:rsidRPr="006C77FE">
        <w:rPr>
          <w:lang w:val="en-US"/>
        </w:rPr>
        <w:t>b</w:t>
      </w:r>
      <w:r w:rsidRPr="006C77FE">
        <w:t>)</w:t>
      </w:r>
      <w:r w:rsidRPr="006C77FE">
        <w:tab/>
        <w:t xml:space="preserve">2,125 млн долл. представительным организациям инвалидов (ПОИ); и </w:t>
      </w:r>
    </w:p>
    <w:p w:rsidR="006C77FE" w:rsidRPr="006C77FE" w:rsidRDefault="006C77FE" w:rsidP="006C77FE">
      <w:pPr>
        <w:pStyle w:val="SingleTxtGR"/>
      </w:pPr>
      <w:r w:rsidRPr="006C77FE">
        <w:tab/>
        <w:t>с)</w:t>
      </w:r>
      <w:r w:rsidRPr="006C77FE">
        <w:tab/>
        <w:t>более 9 млн долл. на программу апелляционных обжалований в рамках Национальной системы страхования по инвалидности (НССИ).</w:t>
      </w:r>
    </w:p>
    <w:p w:rsidR="006C77FE" w:rsidRPr="006C77FE" w:rsidRDefault="006C77FE" w:rsidP="006C77FE">
      <w:pPr>
        <w:pStyle w:val="SingleTxtGR"/>
      </w:pPr>
      <w:r w:rsidRPr="006C77FE">
        <w:t>30.</w:t>
      </w:r>
      <w:r w:rsidRPr="006C77FE">
        <w:tab/>
        <w:t>Все три упомянутые программы финансируются по линии соглашений о предоставлении грантов, срок действия которых истекает 30 июня 2020 года. Они обеспечивают доступ инвалидов к эффективной поддержке в сфере поощрения и защиты их прав, а также представленность различных кругов в процессах принятия австралийским правительством решений и разработки политики.</w:t>
      </w:r>
    </w:p>
    <w:p w:rsidR="006C77FE" w:rsidRPr="006C77FE" w:rsidRDefault="006C77FE" w:rsidP="006C77FE">
      <w:pPr>
        <w:pStyle w:val="SingleTxtGR"/>
      </w:pPr>
      <w:r w:rsidRPr="006C77FE">
        <w:lastRenderedPageBreak/>
        <w:t>31.</w:t>
      </w:r>
      <w:r w:rsidRPr="006C77FE">
        <w:tab/>
        <w:t>Программа апелляционных обжалований НССИ обеспечивает всем инвалидам (а также другим лицам, например, родителям и ухаживающими за инвалидами помощникам), интересы которых были затронуты каким-либо подлежащим пересмотру решением Национального управления по страхованию инвалидов (НУСИ), доступ к поддержке в случаях, когда они добиваются пересмотра того или иного решения в Административном апелляционном суде (ААС). В том числе доступ к опытному адвокату, выступающему в качестве помощника, и к юридическим услугам, если в рамках дела возникают сложные юридические вопросы или новеллы.</w:t>
      </w:r>
    </w:p>
    <w:p w:rsidR="006C77FE" w:rsidRPr="006C77FE" w:rsidRDefault="006C77FE" w:rsidP="006C77FE">
      <w:pPr>
        <w:pStyle w:val="SingleTxtGR"/>
      </w:pPr>
      <w:r w:rsidRPr="006C77FE">
        <w:t>32.</w:t>
      </w:r>
      <w:r w:rsidRPr="006C77FE">
        <w:tab/>
        <w:t>ПОИ могут использовать получаемое ими финансирование в целях:</w:t>
      </w:r>
    </w:p>
    <w:p w:rsidR="006C77FE" w:rsidRPr="006C77FE" w:rsidRDefault="006C77FE" w:rsidP="006C77FE">
      <w:pPr>
        <w:pStyle w:val="SingleTxtGR"/>
      </w:pPr>
      <w:r w:rsidRPr="006C77FE">
        <w:tab/>
        <w:t>а)</w:t>
      </w:r>
      <w:r w:rsidRPr="006C77FE">
        <w:tab/>
        <w:t>поощрения понимания образа жизни инвалидов;</w:t>
      </w:r>
    </w:p>
    <w:p w:rsidR="006C77FE" w:rsidRPr="006C77FE" w:rsidRDefault="006C77FE" w:rsidP="006C77FE">
      <w:pPr>
        <w:pStyle w:val="SingleTxtGR"/>
      </w:pPr>
      <w:r w:rsidRPr="006C77FE">
        <w:tab/>
      </w:r>
      <w:r w:rsidRPr="006C77FE">
        <w:rPr>
          <w:lang w:val="en-US"/>
        </w:rPr>
        <w:t>b</w:t>
      </w:r>
      <w:r w:rsidRPr="006C77FE">
        <w:t>)</w:t>
      </w:r>
      <w:r w:rsidRPr="006C77FE">
        <w:tab/>
        <w:t>поощрения и защиты прав и достоинства инвалидов и активизации поддержки их достоинства, прав, благополучия и участия во всех аспектах общественной жизни;</w:t>
      </w:r>
    </w:p>
    <w:p w:rsidR="006C77FE" w:rsidRPr="006C77FE" w:rsidRDefault="006C77FE" w:rsidP="006C77FE">
      <w:pPr>
        <w:pStyle w:val="SingleTxtGR"/>
      </w:pPr>
      <w:r w:rsidRPr="006C77FE">
        <w:tab/>
        <w:t>с)</w:t>
      </w:r>
      <w:r w:rsidRPr="006C77FE">
        <w:tab/>
        <w:t>поддержки концепции доступности в интересах инвалидов и формирования альтернативных форм соответствующих ресурсов;</w:t>
      </w:r>
    </w:p>
    <w:p w:rsidR="006C77FE" w:rsidRPr="006C77FE" w:rsidRDefault="006C77FE" w:rsidP="006C77FE">
      <w:pPr>
        <w:pStyle w:val="SingleTxtGR"/>
      </w:pPr>
      <w:r w:rsidRPr="006C77FE">
        <w:tab/>
      </w:r>
      <w:r w:rsidRPr="006C77FE">
        <w:rPr>
          <w:lang w:val="en-US"/>
        </w:rPr>
        <w:t>d</w:t>
      </w:r>
      <w:r w:rsidRPr="006C77FE">
        <w:t>)</w:t>
      </w:r>
      <w:r w:rsidRPr="006C77FE">
        <w:tab/>
        <w:t>проведения кампаний в СМИ в целях поощрения понимания интересов инвалидов;</w:t>
      </w:r>
    </w:p>
    <w:p w:rsidR="006C77FE" w:rsidRPr="006C77FE" w:rsidRDefault="006C77FE" w:rsidP="006C77FE">
      <w:pPr>
        <w:pStyle w:val="SingleTxtGR"/>
      </w:pPr>
      <w:r w:rsidRPr="006C77FE">
        <w:tab/>
        <w:t>е)</w:t>
      </w:r>
      <w:r w:rsidRPr="006C77FE">
        <w:tab/>
        <w:t>пропаганды конкретных целей Конвенции, в частности, максимального увеличения возможностей инвалидов для участия наравне с другими гражданами;</w:t>
      </w:r>
    </w:p>
    <w:p w:rsidR="006C77FE" w:rsidRPr="006C77FE" w:rsidRDefault="006C77FE" w:rsidP="006C77FE">
      <w:pPr>
        <w:pStyle w:val="SingleTxtGR"/>
      </w:pPr>
      <w:r w:rsidRPr="006C77FE">
        <w:tab/>
      </w:r>
      <w:r w:rsidRPr="006C77FE">
        <w:rPr>
          <w:lang w:val="en-US"/>
        </w:rPr>
        <w:t>f</w:t>
      </w:r>
      <w:r w:rsidRPr="006C77FE">
        <w:t>)</w:t>
      </w:r>
      <w:r w:rsidRPr="006C77FE">
        <w:tab/>
        <w:t>проведения внутренних консультаций с инвалидами, их семьями, ухаживающими за ними лицами, а также с представляющими их организациями по вопросам, касающимся осуществления в Австралии Конвенции; и</w:t>
      </w:r>
    </w:p>
    <w:p w:rsidR="006C77FE" w:rsidRPr="006C77FE" w:rsidRDefault="006C77FE" w:rsidP="006C77FE">
      <w:pPr>
        <w:pStyle w:val="SingleTxtGR"/>
      </w:pPr>
      <w:r w:rsidRPr="006C77FE">
        <w:tab/>
      </w:r>
      <w:r w:rsidRPr="006C77FE">
        <w:rPr>
          <w:lang w:val="en-US"/>
        </w:rPr>
        <w:t>g</w:t>
      </w:r>
      <w:r w:rsidRPr="006C77FE">
        <w:t>)</w:t>
      </w:r>
      <w:r w:rsidRPr="006C77FE">
        <w:tab/>
        <w:t xml:space="preserve">осуществления мониторинга и представления докладов в соответствии с Конвенцией и связанными с ней договорными обязательствами, принятыми в рамках ООН. </w:t>
      </w:r>
    </w:p>
    <w:p w:rsidR="006C77FE" w:rsidRPr="00D574B3" w:rsidRDefault="006C77FE" w:rsidP="00DF72E3">
      <w:pPr>
        <w:pStyle w:val="H23G"/>
        <w:rPr>
          <w:lang w:val="ru-RU"/>
        </w:rPr>
      </w:pPr>
      <w:r w:rsidRPr="00D574B3">
        <w:rPr>
          <w:lang w:val="ru-RU"/>
        </w:rPr>
        <w:tab/>
      </w:r>
      <w:r w:rsidRPr="00D574B3">
        <w:rPr>
          <w:lang w:val="ru-RU"/>
        </w:rPr>
        <w:tab/>
        <w:t>Вопрос 3</w:t>
      </w:r>
    </w:p>
    <w:p w:rsidR="006C77FE" w:rsidRPr="006C77FE" w:rsidRDefault="006C77FE" w:rsidP="006C77FE">
      <w:pPr>
        <w:pStyle w:val="SingleTxtGR"/>
      </w:pPr>
      <w:r w:rsidRPr="006C77FE">
        <w:t>33.</w:t>
      </w:r>
      <w:r w:rsidRPr="006C77FE">
        <w:tab/>
        <w:t>Национальная стратегия поддержки инвалидов на 2010–2020 годы (НСПИ) представляет собой комплексную политическую основу реформирования положения дел в области инвалидности и ключевой механизм разработки более инклюзивной политики и планирования программ на всех уровнях государственного управления. Она согласуется с принципами Конвенции и служит рамочной базой для мониторинга ее осуществления в Австралии. Стратегию подписали правительства всех штатов и территорий.</w:t>
      </w:r>
    </w:p>
    <w:p w:rsidR="006C77FE" w:rsidRPr="006C77FE" w:rsidRDefault="006C77FE" w:rsidP="006C77FE">
      <w:pPr>
        <w:pStyle w:val="SingleTxtGR"/>
      </w:pPr>
      <w:r w:rsidRPr="006C77FE">
        <w:t>34.</w:t>
      </w:r>
      <w:r w:rsidRPr="006C77FE">
        <w:tab/>
        <w:t>Национальная стратегия поддержки инвалидов (НСПИ) отражает выводы, полученные в результате процесса широких консультаций с австралийским обществом (в частности, с инвалидами, их семьями и ухаживающими за ними лицами), ведущими национальными организациями инвалидов и организациями по медико-санитарному уходу, работодателями и профильными экспертами. Постоянное взаимодействие и консультации с инвалидами и представляющими их организациями являются важным элементом осуществления этой Стратегии.</w:t>
      </w:r>
    </w:p>
    <w:p w:rsidR="006C77FE" w:rsidRPr="006C77FE" w:rsidRDefault="006C77FE" w:rsidP="006C77FE">
      <w:pPr>
        <w:pStyle w:val="SingleTxtGR"/>
      </w:pPr>
      <w:r w:rsidRPr="006C77FE">
        <w:t>35.</w:t>
      </w:r>
      <w:r w:rsidRPr="006C77FE">
        <w:tab/>
        <w:t xml:space="preserve">Первый план по осуществлению Стратегии «Закладка фундамента на </w:t>
      </w:r>
      <w:r w:rsidR="00DF72E3">
        <w:br/>
      </w:r>
      <w:r w:rsidRPr="006C77FE">
        <w:t>2011–2014 годы» послужил основой для действий на всех направлениях политики и оказания услуг в течение всех десяти лет осуществления НСПИ.</w:t>
      </w:r>
    </w:p>
    <w:p w:rsidR="006C77FE" w:rsidRPr="006C77FE" w:rsidRDefault="006C77FE" w:rsidP="006C77FE">
      <w:pPr>
        <w:pStyle w:val="SingleTxtGR"/>
      </w:pPr>
      <w:r w:rsidRPr="006C77FE">
        <w:t>36.</w:t>
      </w:r>
      <w:r w:rsidRPr="006C77FE">
        <w:tab/>
        <w:t>Второй план по осуществлению «Активизация работы в 2015–2018 годах» предусматривает продолжение настойчивой деятельности в этой области и определение четырех областей сотрудничества на национальном уровне:</w:t>
      </w:r>
    </w:p>
    <w:p w:rsidR="006C77FE" w:rsidRPr="006C77FE" w:rsidRDefault="006C77FE" w:rsidP="006C77FE">
      <w:pPr>
        <w:pStyle w:val="SingleTxtGR"/>
      </w:pPr>
      <w:r w:rsidRPr="006C77FE">
        <w:tab/>
        <w:t>а)</w:t>
      </w:r>
      <w:r w:rsidRPr="006C77FE">
        <w:tab/>
        <w:t>расширение возможностей для занятости;</w:t>
      </w:r>
    </w:p>
    <w:p w:rsidR="006C77FE" w:rsidRPr="006C77FE" w:rsidRDefault="006C77FE" w:rsidP="006C77FE">
      <w:pPr>
        <w:pStyle w:val="SingleTxtGR"/>
      </w:pPr>
      <w:r w:rsidRPr="006C77FE">
        <w:tab/>
      </w:r>
      <w:r w:rsidRPr="006C77FE">
        <w:rPr>
          <w:lang w:val="en-US"/>
        </w:rPr>
        <w:t>b</w:t>
      </w:r>
      <w:r w:rsidRPr="006C77FE">
        <w:t>)</w:t>
      </w:r>
      <w:r w:rsidRPr="006C77FE">
        <w:tab/>
        <w:t>улучшение положения инвалидов из числа коренного населения и жителей островов Торресова пролива;</w:t>
      </w:r>
    </w:p>
    <w:p w:rsidR="006C77FE" w:rsidRPr="006C77FE" w:rsidRDefault="006C77FE" w:rsidP="00DF72E3">
      <w:pPr>
        <w:pStyle w:val="SingleTxtGR"/>
        <w:keepNext/>
      </w:pPr>
      <w:r w:rsidRPr="006C77FE">
        <w:lastRenderedPageBreak/>
        <w:tab/>
      </w:r>
      <w:r w:rsidRPr="006C77FE">
        <w:rPr>
          <w:lang w:val="en-US"/>
        </w:rPr>
        <w:t>c</w:t>
      </w:r>
      <w:r w:rsidRPr="006C77FE">
        <w:t>)</w:t>
      </w:r>
      <w:r w:rsidRPr="006C77FE">
        <w:tab/>
        <w:t xml:space="preserve">последовательное осуществление НССИ; и </w:t>
      </w:r>
    </w:p>
    <w:p w:rsidR="006C77FE" w:rsidRPr="006C77FE" w:rsidRDefault="006C77FE" w:rsidP="006C77FE">
      <w:pPr>
        <w:pStyle w:val="SingleTxtGR"/>
      </w:pPr>
      <w:r w:rsidRPr="006C77FE">
        <w:tab/>
      </w:r>
      <w:r w:rsidRPr="006C77FE">
        <w:rPr>
          <w:lang w:val="en-US"/>
        </w:rPr>
        <w:t>d</w:t>
      </w:r>
      <w:r w:rsidRPr="006C77FE">
        <w:t>)</w:t>
      </w:r>
      <w:r w:rsidRPr="006C77FE">
        <w:tab/>
        <w:t>пропаганда целей НСПИ среди всего общества.</w:t>
      </w:r>
    </w:p>
    <w:p w:rsidR="006C77FE" w:rsidRPr="006C77FE" w:rsidRDefault="006C77FE" w:rsidP="006C77FE">
      <w:pPr>
        <w:pStyle w:val="SingleTxtGR"/>
      </w:pPr>
      <w:r w:rsidRPr="006C77FE">
        <w:t>37.</w:t>
      </w:r>
      <w:r w:rsidRPr="006C77FE">
        <w:tab/>
        <w:t>Второй план по осуществлению подкрепляется планом действий правительства Австралии и планами действий штатов и территорий по поддержке инвалидов, равно как и планами местных органов власти. Правительство Австралии также разработало план по расширению возможностей инвалидов из числа коренных жителей в части получения более эффективного доступа к системам поддержки, учитывающим культурные особенности населения. Этот план был обнародован в октябре 2017 года и предусматривает выделение в течение трех ле</w:t>
      </w:r>
      <w:r w:rsidR="00D86A17">
        <w:t>т до 3 млн</w:t>
      </w:r>
      <w:r w:rsidRPr="006C77FE">
        <w:t xml:space="preserve"> долл. на финансирование двух целевых проектов:</w:t>
      </w:r>
    </w:p>
    <w:p w:rsidR="006C77FE" w:rsidRPr="006C77FE" w:rsidRDefault="006C77FE" w:rsidP="006C77FE">
      <w:pPr>
        <w:pStyle w:val="SingleTxtGR"/>
      </w:pPr>
      <w:r w:rsidRPr="006C77FE">
        <w:tab/>
        <w:t>а)</w:t>
      </w:r>
      <w:r w:rsidRPr="006C77FE">
        <w:tab/>
        <w:t>экспериментальный проект по комплексному медицинскому обслуживанию учеников из числа коренных жителей с поведенческими расстройствами и другими функциональными нарушениями в расположенных в удаленных районах школах;</w:t>
      </w:r>
    </w:p>
    <w:p w:rsidR="006C77FE" w:rsidRPr="006C77FE" w:rsidRDefault="006C77FE" w:rsidP="006C77FE">
      <w:pPr>
        <w:pStyle w:val="SingleTxtGR"/>
      </w:pPr>
      <w:r w:rsidRPr="006C77FE">
        <w:tab/>
      </w:r>
      <w:r w:rsidRPr="006C77FE">
        <w:rPr>
          <w:lang w:val="en-US"/>
        </w:rPr>
        <w:t>b</w:t>
      </w:r>
      <w:r w:rsidRPr="006C77FE">
        <w:t>)</w:t>
      </w:r>
      <w:r w:rsidRPr="006C77FE">
        <w:tab/>
        <w:t>исследовательский проект по формированию понимания последствий не выявленных симптомов инвалидности и/или нетрудоспособности для заключенных, принадлежащих к коренному населению или к жителям островов Торресова пролива, направленный на сокращение потенциальных барьеров, препятствующих успешному возвращению к жизни в обществе и трудоустройству.</w:t>
      </w:r>
    </w:p>
    <w:p w:rsidR="006C77FE" w:rsidRPr="006C77FE" w:rsidRDefault="006C77FE" w:rsidP="006C77FE">
      <w:pPr>
        <w:pStyle w:val="SingleTxtGR"/>
      </w:pPr>
      <w:r w:rsidRPr="006C77FE">
        <w:t>38.</w:t>
      </w:r>
      <w:r w:rsidRPr="006C77FE">
        <w:tab/>
        <w:t xml:space="preserve">В настоящее время ведется работа по составлению третьего и окончательного плана по осуществлению под названием «Оценка достигнутого прогресса на </w:t>
      </w:r>
      <w:r w:rsidR="00EB4373">
        <w:br/>
      </w:r>
      <w:r w:rsidRPr="006C77FE">
        <w:t>2019–2020 годы».</w:t>
      </w:r>
    </w:p>
    <w:p w:rsidR="006C77FE" w:rsidRPr="006C77FE" w:rsidRDefault="006C77FE" w:rsidP="006C77FE">
      <w:pPr>
        <w:pStyle w:val="SingleTxtGR"/>
      </w:pPr>
      <w:r w:rsidRPr="006C77FE">
        <w:t>39.</w:t>
      </w:r>
      <w:r w:rsidRPr="006C77FE">
        <w:tab/>
        <w:t>Совет австралийских правительств по вопросам реформы в области поддержки инвалидов (ДРС) является ключевым механизмом по вопросам координации политики и оказания услуг, затрагивающих интересы инвалидов, их семей и ухаживающих за ними лиц, во всех аспектах работы правительства Австралии, а также правительств всех штатов и территорий. ДРС проводит широкий диапазон реформ на основе НСПИ в интересах обеспечения инклюзивности и доступности для инвалидов, их семей и ухаживающих за ними лиц предоставляемых им услуг и соответствующих систем.</w:t>
      </w:r>
    </w:p>
    <w:p w:rsidR="006C77FE" w:rsidRPr="006C77FE" w:rsidRDefault="006C77FE" w:rsidP="006C77FE">
      <w:pPr>
        <w:pStyle w:val="SingleTxtGR"/>
      </w:pPr>
      <w:r w:rsidRPr="006C77FE">
        <w:t>40.</w:t>
      </w:r>
      <w:r w:rsidRPr="006C77FE">
        <w:tab/>
        <w:t>Выпущенный в 2015 году в рамках НСПИ первый двухгодичный доклад высокого уровня о ходе работы содержит подробные данные о достигнутых результатах в деле ее осуществления и проведения реформ в части планирования и порядка оказания основных видов услуг в течение первого периода ее реализации. Второй доклад о ходе работы будет опубликован в середине 2018 года.</w:t>
      </w:r>
    </w:p>
    <w:p w:rsidR="006C77FE" w:rsidRPr="006C77FE" w:rsidRDefault="006C77FE" w:rsidP="006C77FE">
      <w:pPr>
        <w:pStyle w:val="SingleTxtGR"/>
      </w:pPr>
      <w:r w:rsidRPr="006C77FE">
        <w:t>41.</w:t>
      </w:r>
      <w:r w:rsidRPr="006C77FE">
        <w:tab/>
        <w:t>В ноябре 2017 года ДРС согласовал дальнейшие мероприятия по активизации осуществления НСПИ, в том числе путем разрешения проблем взаимодействия между НССИ и другими службами, которые оказывают содействие инвалидам. ДРС также согласился начать работу по подготовке новых национальных рамок в области поддержки инвалидов на период после 2020 года. Такая работа будет проведена на основе аналитической оценки в 2018 году НСПИ.</w:t>
      </w:r>
    </w:p>
    <w:p w:rsidR="006C77FE" w:rsidRPr="00D574B3" w:rsidRDefault="006C77FE" w:rsidP="00DF72E3">
      <w:pPr>
        <w:pStyle w:val="H23G"/>
        <w:rPr>
          <w:lang w:val="ru-RU"/>
        </w:rPr>
      </w:pPr>
      <w:r w:rsidRPr="00D574B3">
        <w:rPr>
          <w:lang w:val="ru-RU"/>
        </w:rPr>
        <w:tab/>
      </w:r>
      <w:r w:rsidRPr="00D574B3">
        <w:rPr>
          <w:lang w:val="ru-RU"/>
        </w:rPr>
        <w:tab/>
        <w:t>Вопрос 4</w:t>
      </w:r>
    </w:p>
    <w:p w:rsidR="006C77FE" w:rsidRPr="006C77FE" w:rsidRDefault="006C77FE" w:rsidP="006C77FE">
      <w:pPr>
        <w:pStyle w:val="SingleTxtGR"/>
      </w:pPr>
      <w:r w:rsidRPr="006C77FE">
        <w:t>42.</w:t>
      </w:r>
      <w:r w:rsidRPr="006C77FE">
        <w:tab/>
        <w:t>В Законе 2013 года о Национальной системе страхования инвалидов (Закон о Н</w:t>
      </w:r>
      <w:r w:rsidRPr="006C77FE">
        <w:rPr>
          <w:lang w:val="en-US"/>
        </w:rPr>
        <w:t>CC</w:t>
      </w:r>
      <w:r w:rsidRPr="006C77FE">
        <w:t>И) (АС) изложены критерии оценки НССИ. Лицо удовлетворяет этим критериям, если:</w:t>
      </w:r>
    </w:p>
    <w:p w:rsidR="006C77FE" w:rsidRPr="006C77FE" w:rsidRDefault="006C77FE" w:rsidP="006C77FE">
      <w:pPr>
        <w:pStyle w:val="SingleTxtGR"/>
      </w:pPr>
      <w:r w:rsidRPr="006C77FE">
        <w:tab/>
        <w:t>а)</w:t>
      </w:r>
      <w:r w:rsidRPr="006C77FE">
        <w:tab/>
        <w:t>оно младше 65 лет;</w:t>
      </w:r>
    </w:p>
    <w:p w:rsidR="006C77FE" w:rsidRPr="006C77FE" w:rsidRDefault="006C77FE" w:rsidP="006C77FE">
      <w:pPr>
        <w:pStyle w:val="SingleTxtGR"/>
      </w:pPr>
      <w:r w:rsidRPr="006C77FE">
        <w:tab/>
      </w:r>
      <w:r w:rsidRPr="006C77FE">
        <w:rPr>
          <w:lang w:val="en-US"/>
        </w:rPr>
        <w:t>b</w:t>
      </w:r>
      <w:r w:rsidRPr="006C77FE">
        <w:t>)</w:t>
      </w:r>
      <w:r w:rsidRPr="006C77FE">
        <w:tab/>
        <w:t>имеет ту или иную форму инвалидности в силу нарушения какой-либо из функций организма, которая может носить постоянный или пожизненный характер;</w:t>
      </w:r>
    </w:p>
    <w:p w:rsidR="006C77FE" w:rsidRPr="006C77FE" w:rsidRDefault="006C77FE" w:rsidP="006C77FE">
      <w:pPr>
        <w:pStyle w:val="SingleTxtGR"/>
      </w:pPr>
      <w:r w:rsidRPr="006C77FE">
        <w:tab/>
        <w:t>с)</w:t>
      </w:r>
      <w:r w:rsidRPr="006C77FE">
        <w:tab/>
        <w:t>такое нарушение функций организма человека существенно ограничивает его способность эффективно участвовать в повседневной жизни;</w:t>
      </w:r>
    </w:p>
    <w:p w:rsidR="006C77FE" w:rsidRPr="006C77FE" w:rsidRDefault="006C77FE" w:rsidP="006C77FE">
      <w:pPr>
        <w:pStyle w:val="SingleTxtGR"/>
      </w:pPr>
      <w:r w:rsidRPr="006C77FE">
        <w:tab/>
      </w:r>
      <w:r w:rsidRPr="006C77FE">
        <w:rPr>
          <w:lang w:val="en-US"/>
        </w:rPr>
        <w:t>d</w:t>
      </w:r>
      <w:r w:rsidRPr="006C77FE">
        <w:t>)</w:t>
      </w:r>
      <w:r w:rsidRPr="006C77FE">
        <w:tab/>
        <w:t>оно является гражданином Австралии или имеет постоянный вид на жительство в ней; и</w:t>
      </w:r>
    </w:p>
    <w:p w:rsidR="006C77FE" w:rsidRPr="006C77FE" w:rsidRDefault="006C77FE" w:rsidP="006C77FE">
      <w:pPr>
        <w:pStyle w:val="SingleTxtGR"/>
      </w:pPr>
      <w:r w:rsidRPr="006C77FE">
        <w:lastRenderedPageBreak/>
        <w:tab/>
        <w:t>е)</w:t>
      </w:r>
      <w:r w:rsidRPr="006C77FE">
        <w:tab/>
        <w:t>оно нуждается в разумной и необходимой поддержке для ведения нормального образа жизни.</w:t>
      </w:r>
    </w:p>
    <w:p w:rsidR="006C77FE" w:rsidRPr="006C77FE" w:rsidRDefault="006C77FE" w:rsidP="006C77FE">
      <w:pPr>
        <w:pStyle w:val="SingleTxtGR"/>
      </w:pPr>
      <w:r w:rsidRPr="006C77FE">
        <w:t>43.</w:t>
      </w:r>
      <w:r w:rsidRPr="006C77FE">
        <w:tab/>
        <w:t>Лицо, удовлетворяющее этим критериям, может стать участником НССИ и получать индивидуальную комплексную поддержку. В рамках этой системы помощь также может быть оказана лицам с постоянным поражением каких-либо функций организма или с задержкой в развитии, вследствие чего раннее вмешательство поможет уменьшить их будущие потребности в поддержке.</w:t>
      </w:r>
    </w:p>
    <w:p w:rsidR="006C77FE" w:rsidRPr="006C77FE" w:rsidRDefault="006C77FE" w:rsidP="006C77FE">
      <w:pPr>
        <w:pStyle w:val="SingleTxtGR"/>
      </w:pPr>
      <w:r w:rsidRPr="006C77FE">
        <w:t>44.</w:t>
      </w:r>
      <w:r w:rsidRPr="006C77FE">
        <w:tab/>
        <w:t>Правительство Австралии также взаимодействует с Национальной организацией здравоохранения общин коренного населения (НОЗКН) в рамках осуществляемого по линии Фонда секторального развития НССИ проекта по обеспечению инвалидам из числа представителей коренного населения доступа к безопасным с культурной точки зрения услугам. В контексте этого проекта будут определены проблемы и изысканы их решения, с тем чтобы медико-санитарные организации аборигенных общин и другие организации и предприятия коренных народов могли оказывать услуги по линии НССИ.</w:t>
      </w:r>
    </w:p>
    <w:p w:rsidR="006C77FE" w:rsidRPr="00D574B3" w:rsidRDefault="006C77FE" w:rsidP="00DF72E3">
      <w:pPr>
        <w:pStyle w:val="H56G"/>
        <w:rPr>
          <w:lang w:val="ru-RU"/>
        </w:rPr>
      </w:pPr>
      <w:r w:rsidRPr="00D574B3">
        <w:rPr>
          <w:lang w:val="ru-RU"/>
        </w:rPr>
        <w:tab/>
      </w:r>
      <w:r w:rsidRPr="00D574B3">
        <w:rPr>
          <w:lang w:val="ru-RU"/>
        </w:rPr>
        <w:tab/>
        <w:t>Меры поддержки лиц, не соответствующих вышеупомянутым критериям</w:t>
      </w:r>
    </w:p>
    <w:p w:rsidR="006C77FE" w:rsidRPr="006C77FE" w:rsidRDefault="006C77FE" w:rsidP="006C77FE">
      <w:pPr>
        <w:pStyle w:val="SingleTxtGR"/>
      </w:pPr>
      <w:r w:rsidRPr="006C77FE">
        <w:t>45.</w:t>
      </w:r>
      <w:r w:rsidRPr="006C77FE">
        <w:tab/>
        <w:t>Осуществляемая НУСИ программа в области информации, связей и наращивания потенциала (ИСП) обеспечивает инвалидам возможность поддерживать связь со своими общинами посредством придания им более доступного и инклюзивного характера. ИСП включает четыре направления работы по поддержке инвалидов, независимо от того, являются ли они участниками НССИ:</w:t>
      </w:r>
    </w:p>
    <w:p w:rsidR="006C77FE" w:rsidRPr="006C77FE" w:rsidRDefault="006C77FE" w:rsidP="006C77FE">
      <w:pPr>
        <w:pStyle w:val="SingleTxtGR"/>
      </w:pPr>
      <w:r w:rsidRPr="006C77FE">
        <w:tab/>
        <w:t>а)</w:t>
      </w:r>
      <w:r w:rsidRPr="006C77FE">
        <w:tab/>
        <w:t>распространение информации, поддержание связей и направление в соответствующие организации в целях установления контактов с массовыми и общинными программами поддержки;</w:t>
      </w:r>
    </w:p>
    <w:p w:rsidR="006C77FE" w:rsidRPr="006C77FE" w:rsidRDefault="006C77FE" w:rsidP="006C77FE">
      <w:pPr>
        <w:pStyle w:val="SingleTxtGR"/>
      </w:pPr>
      <w:r w:rsidRPr="006C77FE">
        <w:tab/>
      </w:r>
      <w:r w:rsidRPr="006C77FE">
        <w:rPr>
          <w:lang w:val="en-US"/>
        </w:rPr>
        <w:t>b</w:t>
      </w:r>
      <w:r w:rsidRPr="006C77FE">
        <w:t>)</w:t>
      </w:r>
      <w:r w:rsidRPr="006C77FE">
        <w:tab/>
        <w:t>наращивание потенциала массовых услуг;</w:t>
      </w:r>
    </w:p>
    <w:p w:rsidR="006C77FE" w:rsidRPr="006C77FE" w:rsidRDefault="006C77FE" w:rsidP="006C77FE">
      <w:pPr>
        <w:pStyle w:val="SingleTxtGR"/>
      </w:pPr>
      <w:r w:rsidRPr="006C77FE">
        <w:tab/>
        <w:t>c)</w:t>
      </w:r>
      <w:r w:rsidRPr="006C77FE">
        <w:tab/>
        <w:t>информационно-разъяснительная работа в общинах; и</w:t>
      </w:r>
    </w:p>
    <w:p w:rsidR="006C77FE" w:rsidRPr="006C77FE" w:rsidRDefault="006C77FE" w:rsidP="006C77FE">
      <w:pPr>
        <w:pStyle w:val="SingleTxtGR"/>
      </w:pPr>
      <w:r w:rsidRPr="006C77FE">
        <w:tab/>
        <w:t>d)</w:t>
      </w:r>
      <w:r w:rsidRPr="006C77FE">
        <w:tab/>
        <w:t>индивидуальные мероприятия по наращиванию потенциала инвалидов.</w:t>
      </w:r>
    </w:p>
    <w:p w:rsidR="006C77FE" w:rsidRPr="006C77FE" w:rsidRDefault="006C77FE" w:rsidP="006C77FE">
      <w:pPr>
        <w:pStyle w:val="SingleTxtGR"/>
      </w:pPr>
      <w:r w:rsidRPr="006C77FE">
        <w:t>46.</w:t>
      </w:r>
      <w:r w:rsidRPr="006C77FE">
        <w:tab/>
        <w:t>НУСИ предоставляет гранты организациям, которые осуществляют мероприятия и программы по линии ИСП. В 2018/19 году ассиг</w:t>
      </w:r>
      <w:r w:rsidR="00D86A17">
        <w:t>нования на ИСП составят 114 млн</w:t>
      </w:r>
      <w:r w:rsidRPr="006C77FE">
        <w:t xml:space="preserve"> долл., а начиная с 2019/20 года превысят 131 млн долл</w:t>
      </w:r>
      <w:r w:rsidR="00EB4373">
        <w:t>аров</w:t>
      </w:r>
      <w:r w:rsidRPr="006C77FE">
        <w:t xml:space="preserve">. </w:t>
      </w:r>
    </w:p>
    <w:p w:rsidR="006C77FE" w:rsidRPr="00D574B3" w:rsidRDefault="006C77FE" w:rsidP="00DF72E3">
      <w:pPr>
        <w:pStyle w:val="H56G"/>
        <w:rPr>
          <w:lang w:val="ru-RU"/>
        </w:rPr>
      </w:pPr>
      <w:r w:rsidRPr="00D574B3">
        <w:rPr>
          <w:lang w:val="ru-RU"/>
        </w:rPr>
        <w:tab/>
      </w:r>
      <w:r w:rsidRPr="00D574B3">
        <w:rPr>
          <w:lang w:val="ru-RU"/>
        </w:rPr>
        <w:tab/>
        <w:t>Непрерывность поддержки (НП)</w:t>
      </w:r>
    </w:p>
    <w:p w:rsidR="006C77FE" w:rsidRPr="006C77FE" w:rsidRDefault="006C77FE" w:rsidP="006C77FE">
      <w:pPr>
        <w:pStyle w:val="SingleTxtGR"/>
      </w:pPr>
      <w:r w:rsidRPr="006C77FE">
        <w:t>47.</w:t>
      </w:r>
      <w:r w:rsidRPr="006C77FE">
        <w:tab/>
        <w:t>Правительство Австралии объявило о выделении в 2018/19 год</w:t>
      </w:r>
      <w:r w:rsidR="00D86A17">
        <w:t>у пакета ассигнований на 92 млн</w:t>
      </w:r>
      <w:r w:rsidRPr="006C77FE">
        <w:t xml:space="preserve"> долл. в порядке выполнения одного из элементов своего текущего обязательства об оказании непрерывной помощи инвалидам, которым в настоящее время предоставляются услуги по линии Австралийского Союза и которые не отвечают критериям участия в НССИ. Это позволит не допустить ухудшения их положения в процессе перехода к НССИ и поможет им получать аналогичную поддержку той, которую они рассчитывали получить до введения НССИ.</w:t>
      </w:r>
    </w:p>
    <w:p w:rsidR="006C77FE" w:rsidRPr="006C77FE" w:rsidRDefault="006C77FE" w:rsidP="006C77FE">
      <w:pPr>
        <w:pStyle w:val="SingleTxtGR"/>
      </w:pPr>
      <w:r w:rsidRPr="006C77FE">
        <w:t>48.</w:t>
      </w:r>
      <w:r w:rsidRPr="006C77FE">
        <w:tab/>
        <w:t>Программа НП правительства Австралии была начата 1 июля 2016 года в интересах лиц старше 65 лет, которые не отвечают критериям участия в НССИ. Эта программа предполагает административную ответственность за лиц старше 65 лет в рамках государственной системы обслуживания инвалидов в процессе их перехода к НССИ в интересах оказания им постоянной поддержки. Услуги, предоставляемые в контексте государственных программ, аналогичны оказываемым в рамках осуществляемой австралийским правительством программы услуг по уходу за престарелыми.</w:t>
      </w:r>
    </w:p>
    <w:p w:rsidR="006C77FE" w:rsidRPr="006C77FE" w:rsidRDefault="006C77FE" w:rsidP="006C77FE">
      <w:pPr>
        <w:pStyle w:val="SingleTxtGR"/>
      </w:pPr>
      <w:r w:rsidRPr="006C77FE">
        <w:t>49.</w:t>
      </w:r>
      <w:r w:rsidRPr="006C77FE">
        <w:tab/>
        <w:t>Правительства штатов и территорий будут оказывать постоянную поддержку клиентам государственной системы обслуживания инвалидов в возрасте до 65 лет, которые считаются не соответствующими критериям участия в НССИ.</w:t>
      </w:r>
    </w:p>
    <w:p w:rsidR="006C77FE" w:rsidRPr="006C77FE" w:rsidRDefault="006C77FE" w:rsidP="006C77FE">
      <w:pPr>
        <w:pStyle w:val="SingleTxtGR"/>
      </w:pPr>
      <w:r w:rsidRPr="006C77FE">
        <w:t>50.</w:t>
      </w:r>
      <w:r w:rsidRPr="006C77FE">
        <w:tab/>
        <w:t xml:space="preserve">Постоянная поддержка проживающих в Австралийском Союзе клиентов, не отвечающих критериям НССИ, будет осуществляться в рамках существующих </w:t>
      </w:r>
      <w:r w:rsidRPr="006C77FE">
        <w:lastRenderedPageBreak/>
        <w:t>программ до 30 июня 2019 года, когда, как ожидается, будет полностью развернута НССИ и у всех существующих клиентов будет возможность доступа к ней</w:t>
      </w:r>
      <w:r w:rsidRPr="006C77FE">
        <w:rPr>
          <w:vertAlign w:val="superscript"/>
        </w:rPr>
        <w:footnoteReference w:id="11"/>
      </w:r>
      <w:r w:rsidRPr="006C77FE">
        <w:t xml:space="preserve">. </w:t>
      </w:r>
    </w:p>
    <w:p w:rsidR="006C77FE" w:rsidRPr="006C77FE" w:rsidRDefault="006C77FE" w:rsidP="006C77FE">
      <w:pPr>
        <w:pStyle w:val="SingleTxtGR"/>
      </w:pPr>
      <w:r w:rsidRPr="006C77FE">
        <w:t>51.</w:t>
      </w:r>
      <w:r w:rsidRPr="006C77FE">
        <w:tab/>
        <w:t>Порядок осуществления НП будет введен в действие 1 июля 2019 года. Ожидается, что начиная с 1 июля 2019 года постоянную поддержку будут получать примерно 27 000 нынешних клиентов правительства Австралии.</w:t>
      </w:r>
    </w:p>
    <w:p w:rsidR="006C77FE" w:rsidRPr="00D574B3" w:rsidRDefault="006C77FE" w:rsidP="00DF72E3">
      <w:pPr>
        <w:pStyle w:val="H56G"/>
        <w:rPr>
          <w:lang w:val="ru-RU"/>
        </w:rPr>
      </w:pPr>
      <w:r w:rsidRPr="00D574B3">
        <w:rPr>
          <w:lang w:val="ru-RU"/>
        </w:rPr>
        <w:tab/>
      </w:r>
      <w:r w:rsidRPr="00D574B3">
        <w:rPr>
          <w:lang w:val="ru-RU"/>
        </w:rPr>
        <w:tab/>
        <w:t>Мониторинг и оценка НССИ</w:t>
      </w:r>
    </w:p>
    <w:p w:rsidR="006C77FE" w:rsidRPr="006C77FE" w:rsidRDefault="006C77FE" w:rsidP="006C77FE">
      <w:pPr>
        <w:pStyle w:val="SingleTxtGR"/>
      </w:pPr>
      <w:r w:rsidRPr="006C77FE">
        <w:t>52.</w:t>
      </w:r>
      <w:r w:rsidRPr="006C77FE">
        <w:tab/>
        <w:t>Консорциум во главе с Национальным институтом изучения трудовых отношений Флиндерского университета произвел оценку экспериментального применения НССИ в порядке внешнего признания опыта участников и полученных результатов. В ходе этой работы был проана</w:t>
      </w:r>
      <w:r w:rsidR="00DF72E3">
        <w:t>лизирован опыт более чем 10 000 </w:t>
      </w:r>
      <w:r w:rsidRPr="006C77FE">
        <w:t>участников и 1 000 обслуживающих организаций за период с 2013 по 2017 год.</w:t>
      </w:r>
    </w:p>
    <w:p w:rsidR="006C77FE" w:rsidRPr="006C77FE" w:rsidRDefault="006C77FE" w:rsidP="006C77FE">
      <w:pPr>
        <w:pStyle w:val="SingleTxtGR"/>
      </w:pPr>
      <w:r w:rsidRPr="006C77FE">
        <w:t>53.</w:t>
      </w:r>
      <w:r w:rsidRPr="006C77FE">
        <w:tab/>
        <w:t>30 апреля 2018 года правительство Австралии выпустило окончательный доклад по оценке НССИ. В докладе делается вывод о том, что в целом система НССИ работает эффективно для большей части участников и что большинство из них ощутили повышенный уровень поддержки, более широкий выбор услуг и контроль за их исполнением, а также определенное улучшение своего благосостояния. Вместе с тем имеются возможности для улучшения ее работы применительно к некоторым категориям инвалидов более старшего возраста, страдающим психосоциальными или умственными расстройствами, обладающими комплексными потребностями и/или являющимися выходцами из культурно или лингвистически разнообразной среды (КЛРС) или из коренного населения.</w:t>
      </w:r>
    </w:p>
    <w:p w:rsidR="006C77FE" w:rsidRPr="006C77FE" w:rsidRDefault="006C77FE" w:rsidP="006C77FE">
      <w:pPr>
        <w:pStyle w:val="SingleTxtGR"/>
      </w:pPr>
      <w:r w:rsidRPr="006C77FE">
        <w:t>54.</w:t>
      </w:r>
      <w:r w:rsidRPr="006C77FE">
        <w:tab/>
        <w:t>Соглашение между главами правительств Австралии, штатов и территорий предусматривает проведение обзора расходов на НССИ в 2017 году Комиссией по вопросам продуктивности в интересах окончательной отработки структуры этой системы. Комиссия провела консультации с участниками НССИ, группами поддержки, головными органами, обслуживающими организациями, работниками по уходу за инвалидами и оказанию им поддержки, академическими кругами, а также с департаментами и агентствами правительств Австралийского Союза, штатов и территорий.</w:t>
      </w:r>
    </w:p>
    <w:p w:rsidR="006C77FE" w:rsidRPr="006C77FE" w:rsidRDefault="006C77FE" w:rsidP="006C77FE">
      <w:pPr>
        <w:pStyle w:val="SingleTxtGR"/>
      </w:pPr>
      <w:r w:rsidRPr="006C77FE">
        <w:t>55.</w:t>
      </w:r>
      <w:r w:rsidRPr="006C77FE">
        <w:tab/>
        <w:t>Правительство Австралии тесно сотрудничает с НУСИ, а также с правительствами штатов и территорий в части проработки основных выводов обзора. НССИ будет вновь рассмотрена в 2023 году в рамках пятилетнего обзора расходов НССИ.</w:t>
      </w:r>
    </w:p>
    <w:p w:rsidR="006C77FE" w:rsidRPr="006C77FE" w:rsidRDefault="006C77FE" w:rsidP="006C77FE">
      <w:pPr>
        <w:pStyle w:val="SingleTxtGR"/>
      </w:pPr>
      <w:r w:rsidRPr="006C77FE">
        <w:t>56.</w:t>
      </w:r>
      <w:r w:rsidRPr="006C77FE">
        <w:tab/>
        <w:t>Вместе с тем НУСИ осуществляет мониторинг и оценку процесса развертывания НССИ. Такая работа включает изучение новых участников и методики оказания помощи обслуживающими организациями, направленной на значительное улучшение опыта людей и организаций в части использования НССИ, включая представителей коренного населения и КЛРС групп, а также лиц с комплексными потребностями. Разработка такой методики осуществлялась на основе широких консультаций более чем с 1 100 участниками, семьями и опекунами, обслуживающими организациями и другими заинтересованными сторонами с целью получения информации о полученном ими опыте.</w:t>
      </w:r>
    </w:p>
    <w:p w:rsidR="006C77FE" w:rsidRPr="006C77FE" w:rsidRDefault="006C77FE" w:rsidP="006C77FE">
      <w:pPr>
        <w:pStyle w:val="SingleTxtGR"/>
      </w:pPr>
      <w:r w:rsidRPr="006C77FE">
        <w:t>57.</w:t>
      </w:r>
      <w:r w:rsidRPr="006C77FE">
        <w:tab/>
        <w:t>В рамках НУСИ осуществляется также сбор мнений участников в формате обратной связи после создания их первого плана.</w:t>
      </w:r>
    </w:p>
    <w:p w:rsidR="006C77FE" w:rsidRPr="00D574B3" w:rsidRDefault="006C77FE" w:rsidP="00DF72E3">
      <w:pPr>
        <w:pStyle w:val="H1G"/>
        <w:rPr>
          <w:lang w:val="ru-RU"/>
        </w:rPr>
      </w:pPr>
      <w:r w:rsidRPr="00D574B3">
        <w:rPr>
          <w:lang w:val="ru-RU"/>
        </w:rPr>
        <w:lastRenderedPageBreak/>
        <w:tab/>
        <w:t>В.</w:t>
      </w:r>
      <w:r w:rsidRPr="00D574B3">
        <w:rPr>
          <w:lang w:val="ru-RU"/>
        </w:rPr>
        <w:tab/>
        <w:t>Конкретные права (статьи 5–30)</w:t>
      </w:r>
    </w:p>
    <w:p w:rsidR="006C77FE" w:rsidRPr="00D574B3" w:rsidRDefault="006C77FE" w:rsidP="00DF72E3">
      <w:pPr>
        <w:pStyle w:val="H1G"/>
        <w:rPr>
          <w:lang w:val="ru-RU"/>
        </w:rPr>
      </w:pPr>
      <w:r w:rsidRPr="00D574B3">
        <w:rPr>
          <w:lang w:val="ru-RU"/>
        </w:rPr>
        <w:tab/>
      </w:r>
      <w:r w:rsidRPr="00D574B3">
        <w:rPr>
          <w:lang w:val="ru-RU"/>
        </w:rPr>
        <w:tab/>
        <w:t>Равенство и недискриминация (статья 5)</w:t>
      </w:r>
    </w:p>
    <w:p w:rsidR="006C77FE" w:rsidRPr="00D574B3" w:rsidRDefault="006C77FE" w:rsidP="00DF72E3">
      <w:pPr>
        <w:pStyle w:val="H23G"/>
        <w:rPr>
          <w:lang w:val="ru-RU"/>
        </w:rPr>
      </w:pPr>
      <w:r w:rsidRPr="00D574B3">
        <w:rPr>
          <w:lang w:val="ru-RU"/>
        </w:rPr>
        <w:tab/>
      </w:r>
      <w:r w:rsidRPr="00D574B3">
        <w:rPr>
          <w:lang w:val="ru-RU"/>
        </w:rPr>
        <w:tab/>
        <w:t>Вопрос 5</w:t>
      </w:r>
    </w:p>
    <w:p w:rsidR="006C77FE" w:rsidRPr="006C77FE" w:rsidRDefault="006C77FE" w:rsidP="006C77FE">
      <w:pPr>
        <w:pStyle w:val="SingleTxtGR"/>
      </w:pPr>
      <w:r w:rsidRPr="006C77FE">
        <w:t>58.</w:t>
      </w:r>
      <w:r w:rsidRPr="006C77FE">
        <w:tab/>
        <w:t>В Австралии действуют многочисленные законы Австралийского Союза, штатов и территорий, предусматривающих меры защиты от дискриминации по признаку инвалидности. Нормативно-правовую базу Австралийского Союза в области борьбы с дискриминацией составляют Закон о расовой дискриминации 1975 года, Закон о дискриминации по признаку пола 1984 года, Закон о дискриминации по признаку возраста 2004 года и Закон о дискриминации по признаку инвалидности (ЗДИ).</w:t>
      </w:r>
    </w:p>
    <w:p w:rsidR="006C77FE" w:rsidRPr="006C77FE" w:rsidRDefault="006C77FE" w:rsidP="006C77FE">
      <w:pPr>
        <w:pStyle w:val="SingleTxtGR"/>
      </w:pPr>
      <w:r w:rsidRPr="006C77FE">
        <w:t>59.</w:t>
      </w:r>
      <w:r w:rsidRPr="006C77FE">
        <w:tab/>
        <w:t>Эти законы не позволяют заявителям подавать единую жалобу на дискриминацию по множественным признакам. Австралийское правительство в настоящее время не планирует изменять законодат</w:t>
      </w:r>
      <w:r w:rsidR="00DF72E3">
        <w:t>ельство Австралийского Союза, с </w:t>
      </w:r>
      <w:r w:rsidRPr="006C77FE">
        <w:t xml:space="preserve">тем чтобы разрешить заявителям подавать единую жалобу по множественным признакам. </w:t>
      </w:r>
    </w:p>
    <w:p w:rsidR="006C77FE" w:rsidRPr="006C77FE" w:rsidRDefault="006C77FE" w:rsidP="006C77FE">
      <w:pPr>
        <w:pStyle w:val="SingleTxtGR"/>
      </w:pPr>
      <w:r w:rsidRPr="006C77FE">
        <w:t>60.</w:t>
      </w:r>
      <w:r w:rsidRPr="006C77FE">
        <w:tab/>
        <w:t>В Виктории жалоба на дискриминацию по множественным признакам может быть подана согласно Закону о равенстве возможностей 2010 года (ВИК), который запрещает дискриминацию на основе 18 личных признаков, включая инвалидность, возраст, пол и расовую принадлежность.</w:t>
      </w:r>
    </w:p>
    <w:p w:rsidR="006C77FE" w:rsidRPr="00D574B3" w:rsidRDefault="006C77FE" w:rsidP="00DF72E3">
      <w:pPr>
        <w:pStyle w:val="H56G"/>
        <w:rPr>
          <w:lang w:val="ru-RU"/>
        </w:rPr>
      </w:pPr>
      <w:r w:rsidRPr="00D574B3">
        <w:rPr>
          <w:lang w:val="ru-RU"/>
        </w:rPr>
        <w:tab/>
      </w:r>
      <w:r w:rsidRPr="00D574B3">
        <w:rPr>
          <w:lang w:val="ru-RU"/>
        </w:rPr>
        <w:tab/>
        <w:t>Расовая дискриминация</w:t>
      </w:r>
    </w:p>
    <w:p w:rsidR="006C77FE" w:rsidRPr="006C77FE" w:rsidRDefault="006C77FE" w:rsidP="006C77FE">
      <w:pPr>
        <w:pStyle w:val="SingleTxtGR"/>
      </w:pPr>
      <w:r w:rsidRPr="006C77FE">
        <w:t>61.</w:t>
      </w:r>
      <w:r w:rsidRPr="006C77FE">
        <w:tab/>
        <w:t>Закон о расовой дискриминации 1975 года (АС) объявляет незаконным дискриминацию по признаку расы, цвета кожи, национального или этнического происхождения в любой сфере общественной жизни.</w:t>
      </w:r>
    </w:p>
    <w:p w:rsidR="006C77FE" w:rsidRPr="006C77FE" w:rsidRDefault="006C77FE" w:rsidP="006C77FE">
      <w:pPr>
        <w:pStyle w:val="SingleTxtGR"/>
      </w:pPr>
      <w:r w:rsidRPr="006C77FE">
        <w:t>62.</w:t>
      </w:r>
      <w:r w:rsidRPr="006C77FE">
        <w:tab/>
        <w:t>На уровне Австралийского Союза любое лицо может подать в АКПЧ жалобу на предполагаемую незаконную расовую дискриминацию. В свою очередь АКПЧ может провести расследование по жалобе и предпринять попытку ее урегулирования. При невозможности примирения сторон истец может обратиться с жалобой в федеральные суды.</w:t>
      </w:r>
    </w:p>
    <w:p w:rsidR="006C77FE" w:rsidRPr="00D574B3" w:rsidRDefault="006C77FE" w:rsidP="00DF72E3">
      <w:pPr>
        <w:pStyle w:val="H56G"/>
        <w:rPr>
          <w:lang w:val="ru-RU"/>
        </w:rPr>
      </w:pPr>
      <w:r w:rsidRPr="00D574B3">
        <w:rPr>
          <w:lang w:val="ru-RU"/>
        </w:rPr>
        <w:tab/>
      </w:r>
      <w:r w:rsidRPr="00D574B3">
        <w:rPr>
          <w:lang w:val="ru-RU"/>
        </w:rPr>
        <w:tab/>
        <w:t>НССИ</w:t>
      </w:r>
    </w:p>
    <w:p w:rsidR="006C77FE" w:rsidRPr="006C77FE" w:rsidRDefault="006C77FE" w:rsidP="006C77FE">
      <w:pPr>
        <w:pStyle w:val="SingleTxtGR"/>
      </w:pPr>
      <w:r w:rsidRPr="006C77FE">
        <w:t>63.</w:t>
      </w:r>
      <w:r w:rsidRPr="006C77FE">
        <w:tab/>
        <w:t>Закон о НССИ направлен на осуществление обязательств Австралии по Международной конвенции о ликвидации всех форм расовой дискриминации.</w:t>
      </w:r>
    </w:p>
    <w:p w:rsidR="006C77FE" w:rsidRPr="006C77FE" w:rsidRDefault="006C77FE" w:rsidP="006C77FE">
      <w:pPr>
        <w:pStyle w:val="SingleTxtGR"/>
      </w:pPr>
      <w:r w:rsidRPr="006C77FE">
        <w:t>64.</w:t>
      </w:r>
      <w:r w:rsidRPr="006C77FE">
        <w:tab/>
        <w:t>По состоянию на 31 марта 2018 года более 7 600 участников (5,2%) считали себя принадлежащими к коренному населению. НУСИ присоединилось к различным инициативам с целью обеспечения уважительного взаимодействия с общинами коренного населения при оказании услуг по линии НССИ, в том числе с помощью:</w:t>
      </w:r>
    </w:p>
    <w:p w:rsidR="006C77FE" w:rsidRPr="006C77FE" w:rsidRDefault="006C77FE" w:rsidP="006C77FE">
      <w:pPr>
        <w:pStyle w:val="SingleTxtGR"/>
      </w:pPr>
      <w:r w:rsidRPr="006C77FE">
        <w:tab/>
        <w:t>а)</w:t>
      </w:r>
      <w:r w:rsidRPr="006C77FE">
        <w:tab/>
        <w:t>привлечения на договорной основе общинных координаторов из числа сотрудников местных организаций коренного населения, действующих в наиболее удаленных районах;</w:t>
      </w:r>
    </w:p>
    <w:p w:rsidR="006C77FE" w:rsidRPr="006C77FE" w:rsidRDefault="006C77FE" w:rsidP="006C77FE">
      <w:pPr>
        <w:pStyle w:val="SingleTxtGR"/>
      </w:pPr>
      <w:r w:rsidRPr="006C77FE">
        <w:tab/>
      </w:r>
      <w:r w:rsidRPr="006C77FE">
        <w:rPr>
          <w:lang w:val="en-US"/>
        </w:rPr>
        <w:t>b</w:t>
      </w:r>
      <w:r w:rsidRPr="006C77FE">
        <w:t>)</w:t>
      </w:r>
      <w:r w:rsidRPr="006C77FE">
        <w:tab/>
        <w:t>разработки и опытной проверки методики охвата лиц из состава общин коренных народов а также общин, расположенных в удаленных районах; и</w:t>
      </w:r>
    </w:p>
    <w:p w:rsidR="006C77FE" w:rsidRPr="006C77FE" w:rsidRDefault="006C77FE" w:rsidP="006C77FE">
      <w:pPr>
        <w:pStyle w:val="SingleTxtGR"/>
      </w:pPr>
      <w:r w:rsidRPr="006C77FE">
        <w:tab/>
      </w:r>
      <w:r w:rsidRPr="006C77FE">
        <w:rPr>
          <w:lang w:val="en-US"/>
        </w:rPr>
        <w:t>c</w:t>
      </w:r>
      <w:r w:rsidRPr="006C77FE">
        <w:t>)</w:t>
      </w:r>
      <w:r w:rsidRPr="006C77FE">
        <w:tab/>
        <w:t>реферативной группы участников, состав которой отражает разнообразные потребности инвалидов, в том числе коренных жителей.</w:t>
      </w:r>
    </w:p>
    <w:p w:rsidR="006C77FE" w:rsidRPr="00D574B3" w:rsidRDefault="00070719" w:rsidP="00DF72E3">
      <w:pPr>
        <w:pStyle w:val="H1G"/>
        <w:rPr>
          <w:lang w:val="ru-RU"/>
        </w:rPr>
      </w:pPr>
      <w:r w:rsidRPr="00D574B3">
        <w:rPr>
          <w:lang w:val="ru-RU"/>
        </w:rPr>
        <w:lastRenderedPageBreak/>
        <w:tab/>
      </w:r>
      <w:r w:rsidRPr="00D574B3">
        <w:rPr>
          <w:lang w:val="ru-RU"/>
        </w:rPr>
        <w:tab/>
        <w:t>Женщины-инвалиды (статья</w:t>
      </w:r>
      <w:r w:rsidR="006C77FE" w:rsidRPr="00D574B3">
        <w:rPr>
          <w:lang w:val="ru-RU"/>
        </w:rPr>
        <w:t xml:space="preserve"> 6)</w:t>
      </w:r>
    </w:p>
    <w:p w:rsidR="006C77FE" w:rsidRPr="00D574B3" w:rsidRDefault="006C77FE" w:rsidP="00DF72E3">
      <w:pPr>
        <w:pStyle w:val="H23G"/>
        <w:rPr>
          <w:lang w:val="ru-RU"/>
        </w:rPr>
      </w:pPr>
      <w:r w:rsidRPr="00D574B3">
        <w:rPr>
          <w:lang w:val="ru-RU"/>
        </w:rPr>
        <w:tab/>
      </w:r>
      <w:r w:rsidRPr="00D574B3">
        <w:rPr>
          <w:lang w:val="ru-RU"/>
        </w:rPr>
        <w:tab/>
        <w:t>Вопрос 6</w:t>
      </w:r>
    </w:p>
    <w:p w:rsidR="006C77FE" w:rsidRPr="006C77FE" w:rsidRDefault="006C77FE" w:rsidP="006C77FE">
      <w:pPr>
        <w:pStyle w:val="SingleTxtGR"/>
      </w:pPr>
      <w:r w:rsidRPr="006C77FE">
        <w:t>65.</w:t>
      </w:r>
      <w:r w:rsidRPr="006C77FE">
        <w:tab/>
        <w:t>Австралийское правительство уделяет первостепенное внимание безопасности женщин и предупреждению гендерного насилия, признавая при этом, что женщины и девочки-инвалиды относятся к наиболее уязвимым группам.</w:t>
      </w:r>
    </w:p>
    <w:p w:rsidR="006C77FE" w:rsidRPr="006C77FE" w:rsidRDefault="006C77FE" w:rsidP="006C77FE">
      <w:pPr>
        <w:pStyle w:val="SingleTxtGR"/>
      </w:pPr>
      <w:r w:rsidRPr="006C77FE">
        <w:t>66.</w:t>
      </w:r>
      <w:r w:rsidRPr="006C77FE">
        <w:tab/>
        <w:t>НСПИ включает программы по сокращению масштабов насилия, надругательств и игнорирования нужд инвалидов, а также по обеспечению таким лицам всех необходимых возможностей для полноценного и активного участия в жизни общины. Кроме этого, австралийские правительства разработали Национальный план по сокращению масштабов насилия в отношении женщин и их детей на 2010–2022 годы (Национальный план по сокращению масштабов насилия) в целях повышения уровня безопасности и благополучия женщин и детей, в том числе имеющих функциональные нарушения организма человека, предусматривающий принятие конкретных мер по случаям бытового, семейного и сексуального насилия.</w:t>
      </w:r>
    </w:p>
    <w:p w:rsidR="006C77FE" w:rsidRPr="00D574B3" w:rsidRDefault="006C77FE" w:rsidP="00DF72E3">
      <w:pPr>
        <w:pStyle w:val="H56G"/>
        <w:rPr>
          <w:lang w:val="ru-RU"/>
        </w:rPr>
      </w:pPr>
      <w:r w:rsidRPr="00D574B3">
        <w:rPr>
          <w:lang w:val="ru-RU"/>
        </w:rPr>
        <w:tab/>
      </w:r>
      <w:r w:rsidRPr="00D574B3">
        <w:rPr>
          <w:lang w:val="ru-RU"/>
        </w:rPr>
        <w:tab/>
        <w:t>Национальный план по сокращению масштабов насилия – Третий план действий</w:t>
      </w:r>
    </w:p>
    <w:p w:rsidR="006C77FE" w:rsidRPr="006C77FE" w:rsidRDefault="006C77FE" w:rsidP="006C77FE">
      <w:pPr>
        <w:pStyle w:val="SingleTxtGR"/>
      </w:pPr>
      <w:r w:rsidRPr="006C77FE">
        <w:t>67.</w:t>
      </w:r>
      <w:r w:rsidRPr="006C77FE">
        <w:tab/>
        <w:t>Третий план действий был введен в действие 28 октября 2016 года. Он предусматривает целый ряд мероприятий, непосредственно направленных на признание и ликвидацию форм насилия, которому подвергаются женщины-инвалиды.</w:t>
      </w:r>
    </w:p>
    <w:p w:rsidR="006C77FE" w:rsidRPr="006C77FE" w:rsidRDefault="006C77FE" w:rsidP="006C77FE">
      <w:pPr>
        <w:pStyle w:val="SingleTxtGR"/>
      </w:pPr>
      <w:r w:rsidRPr="006C77FE">
        <w:t>68.</w:t>
      </w:r>
      <w:r w:rsidRPr="006C77FE">
        <w:tab/>
        <w:t>Основные мероприятия ориентированы на совершенствование поддержки женщин-инвалидов, которые сталкиваются или могут сталкиваться с насилием, на основе проведения работы непосредственно с ними, с сектором помощи инвалидам, специализированными службами по поддержке семей и борьбе с насилием в семье, а также с основным сектором услуг. Эти задачи будут решаться путем:</w:t>
      </w:r>
    </w:p>
    <w:p w:rsidR="006C77FE" w:rsidRPr="006C77FE" w:rsidRDefault="006C77FE" w:rsidP="006C77FE">
      <w:pPr>
        <w:pStyle w:val="SingleTxtGR"/>
      </w:pPr>
      <w:r w:rsidRPr="006C77FE">
        <w:tab/>
        <w:t>а)</w:t>
      </w:r>
      <w:r w:rsidRPr="006C77FE">
        <w:tab/>
        <w:t>взаимодействия с женщинами-инвалидами, исследователями и сектором помощи инвалидам в целях формирования более глубокого понимания их опыта и видов насилия в отношении женщин-инвалидов (ассигновано 0,7 млн долл.);</w:t>
      </w:r>
    </w:p>
    <w:p w:rsidR="006C77FE" w:rsidRPr="006C77FE" w:rsidRDefault="006C77FE" w:rsidP="006C77FE">
      <w:pPr>
        <w:pStyle w:val="SingleTxtGR"/>
      </w:pPr>
      <w:r w:rsidRPr="006C77FE">
        <w:tab/>
      </w:r>
      <w:r w:rsidRPr="006C77FE">
        <w:rPr>
          <w:lang w:val="en-US"/>
        </w:rPr>
        <w:t>b</w:t>
      </w:r>
      <w:r w:rsidRPr="006C77FE">
        <w:t>)</w:t>
      </w:r>
      <w:r w:rsidRPr="006C77FE">
        <w:tab/>
        <w:t>разработки аккредитованных курсов подготовки персонала в секторе охраны здоровья инвалидов в целях расширения потенциала поддержки женщин-инвалидов (ассигновано 1,5 млн долл.);</w:t>
      </w:r>
    </w:p>
    <w:p w:rsidR="006C77FE" w:rsidRPr="006C77FE" w:rsidRDefault="006C77FE" w:rsidP="006C77FE">
      <w:pPr>
        <w:pStyle w:val="SingleTxtGR"/>
      </w:pPr>
      <w:r w:rsidRPr="006C77FE">
        <w:tab/>
        <w:t>с)</w:t>
      </w:r>
      <w:r w:rsidRPr="006C77FE">
        <w:tab/>
        <w:t>выработки инновационных и коллективных методов оказания услуг и просветительской работы в целях повышения качества и доступнос</w:t>
      </w:r>
      <w:r w:rsidR="00D86A17">
        <w:t>ти услуг (ассигновано 2 058 млн</w:t>
      </w:r>
      <w:r w:rsidRPr="006C77FE">
        <w:t xml:space="preserve"> долл.).</w:t>
      </w:r>
    </w:p>
    <w:p w:rsidR="006C77FE" w:rsidRPr="006C77FE" w:rsidRDefault="006C77FE" w:rsidP="006C77FE">
      <w:pPr>
        <w:pStyle w:val="SingleTxtGR"/>
      </w:pPr>
      <w:r w:rsidRPr="006C77FE">
        <w:t>69.</w:t>
      </w:r>
      <w:r w:rsidRPr="006C77FE">
        <w:tab/>
        <w:t>Планируется также разработать соответствующую технологию для поддержки страдающих от насилия женщин, включая женщин-инвалидов, на основе использования видео- и интернет форматов для оказания консультативных услуг и поддержки в реальном времени.</w:t>
      </w:r>
    </w:p>
    <w:p w:rsidR="006C77FE" w:rsidRPr="00D574B3" w:rsidRDefault="006C77FE" w:rsidP="00DF72E3">
      <w:pPr>
        <w:pStyle w:val="H56G"/>
        <w:rPr>
          <w:lang w:val="ru-RU"/>
        </w:rPr>
      </w:pPr>
      <w:r w:rsidRPr="00D574B3">
        <w:rPr>
          <w:lang w:val="ru-RU"/>
        </w:rPr>
        <w:tab/>
      </w:r>
      <w:r w:rsidRPr="00D574B3">
        <w:rPr>
          <w:lang w:val="ru-RU"/>
        </w:rPr>
        <w:tab/>
        <w:t>Подготовка кадров по вопросам борьбы с насилием в семье</w:t>
      </w:r>
    </w:p>
    <w:p w:rsidR="006C77FE" w:rsidRPr="006C77FE" w:rsidRDefault="006C77FE" w:rsidP="006C77FE">
      <w:pPr>
        <w:pStyle w:val="SingleTxtGR"/>
      </w:pPr>
      <w:r w:rsidRPr="006C77FE">
        <w:t>70.</w:t>
      </w:r>
      <w:r w:rsidRPr="006C77FE">
        <w:tab/>
        <w:t>Курс обучения методам борьбы с насилием в семье («DV-alert») представляет собой программу подготовки кадров, направленную на расширение знаний и повышение потенциала практических работников по вопросам признания и реагирования на бытовое или семейное насилие, а также направления женщин и их детей, которые подвергаются или могут подвергаться такому насилию, соответствующим службам поддержки. Существующая программа «DV-alert», осуществляемая организацией «Лайфлайн Аустралиа», была расширена и преобразована в новый, бесплатный и получивший национальную аккредитацию двухдневный учебный курс «Работа с женщинами-инвалидами», предназначенный для работников сектора поддержки инвалидов.</w:t>
      </w:r>
    </w:p>
    <w:p w:rsidR="006C77FE" w:rsidRPr="00D574B3" w:rsidRDefault="006C77FE" w:rsidP="00DF72E3">
      <w:pPr>
        <w:pStyle w:val="H56G"/>
        <w:rPr>
          <w:lang w:val="ru-RU"/>
        </w:rPr>
      </w:pPr>
      <w:r w:rsidRPr="00D574B3">
        <w:rPr>
          <w:lang w:val="ru-RU"/>
        </w:rPr>
        <w:lastRenderedPageBreak/>
        <w:tab/>
      </w:r>
      <w:r w:rsidRPr="00D574B3">
        <w:rPr>
          <w:lang w:val="ru-RU"/>
        </w:rPr>
        <w:tab/>
        <w:t>Рамочная основа НССИ по обеспечению качества и защиты (рамочная основа гарантий)</w:t>
      </w:r>
    </w:p>
    <w:p w:rsidR="006C77FE" w:rsidRPr="006C77FE" w:rsidRDefault="006C77FE" w:rsidP="006C77FE">
      <w:pPr>
        <w:pStyle w:val="SingleTxtGR"/>
      </w:pPr>
      <w:r w:rsidRPr="006C77FE">
        <w:t>71.</w:t>
      </w:r>
      <w:r w:rsidRPr="006C77FE">
        <w:tab/>
        <w:t>Рамочная основа защиты предусматривает применение согласованного на общенациональном уровне подхода к жалобам, сообщениям об инцидентах и мониторингу ограничительной практики. Она также налагает на обслуживающие организации обязательства в части представления сообщений о случаях насилия, надругательств или игнорирования нужд инвалидов, включая женщин и девочек, а также разработки более эффективных методов предотвращения и выявления таких случаев и реагирования на них.</w:t>
      </w:r>
    </w:p>
    <w:p w:rsidR="006C77FE" w:rsidRPr="006C77FE" w:rsidRDefault="006C77FE" w:rsidP="006C77FE">
      <w:pPr>
        <w:pStyle w:val="SingleTxtGR"/>
      </w:pPr>
      <w:r w:rsidRPr="006C77FE">
        <w:t>72.</w:t>
      </w:r>
      <w:r w:rsidRPr="006C77FE">
        <w:tab/>
        <w:t>Комиссия НССИ установит обязанности правительства Австралии в контексте Рамочной основы защиты посредством регистрации обслуживающих организаций, содействия урегулированию жалоб, получения и анализа уведомлений об инцидентах, о которых надлежит представлять сообщения, регулирования стандартов качества и обеспечения соблюдения кодекса поведения структурами и сотрудниками НССИ.</w:t>
      </w:r>
    </w:p>
    <w:p w:rsidR="006C77FE" w:rsidRPr="00D574B3" w:rsidRDefault="006C77FE" w:rsidP="0044580E">
      <w:pPr>
        <w:pStyle w:val="H56G"/>
        <w:rPr>
          <w:lang w:val="ru-RU"/>
        </w:rPr>
      </w:pPr>
      <w:r w:rsidRPr="00D574B3">
        <w:rPr>
          <w:lang w:val="ru-RU"/>
        </w:rPr>
        <w:tab/>
      </w:r>
      <w:r w:rsidRPr="00D574B3">
        <w:rPr>
          <w:lang w:val="ru-RU"/>
        </w:rPr>
        <w:tab/>
        <w:t>Комплекс мер по обеспечению безопасности женщин</w:t>
      </w:r>
    </w:p>
    <w:p w:rsidR="006C77FE" w:rsidRPr="006C77FE" w:rsidRDefault="006C77FE" w:rsidP="006C77FE">
      <w:pPr>
        <w:pStyle w:val="SingleTxtGR"/>
      </w:pPr>
      <w:r w:rsidRPr="006C77FE">
        <w:t>73.</w:t>
      </w:r>
      <w:r w:rsidRPr="006C77FE">
        <w:tab/>
        <w:t>В 2015 году была принята комплексная программа по обеспечению безоп</w:t>
      </w:r>
      <w:r w:rsidR="00D86A17">
        <w:t>асности женщин в объеме 100 млн</w:t>
      </w:r>
      <w:r w:rsidRPr="006C77FE">
        <w:t xml:space="preserve"> долл., включая ассигнования на:</w:t>
      </w:r>
    </w:p>
    <w:p w:rsidR="006C77FE" w:rsidRPr="006C77FE" w:rsidRDefault="006C77FE" w:rsidP="006C77FE">
      <w:pPr>
        <w:pStyle w:val="SingleTxtGR"/>
      </w:pPr>
      <w:r w:rsidRPr="006C77FE">
        <w:tab/>
        <w:t>а)</w:t>
      </w:r>
      <w:r w:rsidRPr="006C77FE">
        <w:tab/>
        <w:t>распределение 20 000 смартфонов и обучение жертв бытового насилия. Распространено более 9 111 телефонов, при этом 8% реципиентов считали себя женщинами-инвалидами;</w:t>
      </w:r>
    </w:p>
    <w:p w:rsidR="006C77FE" w:rsidRPr="006C77FE" w:rsidRDefault="006C77FE" w:rsidP="006C77FE">
      <w:pPr>
        <w:pStyle w:val="SingleTxtGR"/>
      </w:pPr>
      <w:r w:rsidRPr="006C77FE">
        <w:tab/>
      </w:r>
      <w:r w:rsidRPr="006C77FE">
        <w:rPr>
          <w:lang w:val="en-US"/>
        </w:rPr>
        <w:t>b</w:t>
      </w:r>
      <w:r w:rsidRPr="006C77FE">
        <w:t>)</w:t>
      </w:r>
      <w:r w:rsidRPr="006C77FE">
        <w:tab/>
        <w:t>разработку приложения «1800</w:t>
      </w:r>
      <w:r w:rsidRPr="006C77FE">
        <w:rPr>
          <w:lang w:val="en-US"/>
        </w:rPr>
        <w:t>RESPECT</w:t>
      </w:r>
      <w:r w:rsidRPr="006C77FE">
        <w:t>» для мобильных телефонов для поддержки женщин-инвалидов, страдающих от бытового и семейного насилия и сексуальных посягательств;</w:t>
      </w:r>
    </w:p>
    <w:p w:rsidR="006C77FE" w:rsidRPr="006C77FE" w:rsidRDefault="006C77FE" w:rsidP="006C77FE">
      <w:pPr>
        <w:pStyle w:val="SingleTxtGR"/>
      </w:pPr>
      <w:r w:rsidRPr="006C77FE">
        <w:tab/>
        <w:t>с)</w:t>
      </w:r>
      <w:r w:rsidRPr="006C77FE">
        <w:tab/>
        <w:t>создание специализированных групп по вопросам бытового насилия в целях оказания комплексной юридической и прочей помощи женщинам, находящимся в уязвимом и неблагоприятном положении.</w:t>
      </w:r>
    </w:p>
    <w:p w:rsidR="006C77FE" w:rsidRPr="00D574B3" w:rsidRDefault="006C77FE" w:rsidP="0044580E">
      <w:pPr>
        <w:pStyle w:val="H56G"/>
        <w:rPr>
          <w:lang w:val="ru-RU"/>
        </w:rPr>
      </w:pPr>
      <w:r w:rsidRPr="00D574B3">
        <w:rPr>
          <w:lang w:val="ru-RU"/>
        </w:rPr>
        <w:tab/>
      </w:r>
      <w:r w:rsidRPr="00D574B3">
        <w:rPr>
          <w:lang w:val="ru-RU"/>
        </w:rPr>
        <w:tab/>
        <w:t>Штаты и территории</w:t>
      </w:r>
    </w:p>
    <w:p w:rsidR="006C77FE" w:rsidRPr="006C77FE" w:rsidRDefault="006C77FE" w:rsidP="006C77FE">
      <w:pPr>
        <w:pStyle w:val="SingleTxtGR"/>
      </w:pPr>
      <w:r w:rsidRPr="006C77FE">
        <w:t>74.</w:t>
      </w:r>
      <w:r w:rsidRPr="006C77FE">
        <w:tab/>
        <w:t>В штатах и территориях осуществляются собственные стратегии содействия защите женщин и детей, которые подвергаются или могут подвергаться насилию и сексуальным надругательствам, в том числе инвалидов</w:t>
      </w:r>
      <w:r w:rsidRPr="006C77FE">
        <w:rPr>
          <w:vertAlign w:val="superscript"/>
        </w:rPr>
        <w:footnoteReference w:id="12"/>
      </w:r>
      <w:r w:rsidRPr="006C77FE">
        <w:t xml:space="preserve">. </w:t>
      </w:r>
    </w:p>
    <w:p w:rsidR="006C77FE" w:rsidRPr="006C77FE" w:rsidRDefault="006C77FE" w:rsidP="006C77FE">
      <w:pPr>
        <w:pStyle w:val="SingleTxtGR"/>
      </w:pPr>
      <w:r w:rsidRPr="006C77FE">
        <w:t>75.</w:t>
      </w:r>
      <w:r w:rsidRPr="006C77FE">
        <w:tab/>
        <w:t>Во всех штатах и территориях организовано оказание инвалидам услуг в условиях кризисов (например, путем предоставления доступного жилья в кризисных ситуациях).</w:t>
      </w:r>
    </w:p>
    <w:p w:rsidR="006C77FE" w:rsidRPr="006C77FE" w:rsidRDefault="006C77FE" w:rsidP="006C77FE">
      <w:pPr>
        <w:pStyle w:val="SingleTxtGR"/>
      </w:pPr>
      <w:r w:rsidRPr="006C77FE">
        <w:t>76.</w:t>
      </w:r>
      <w:r w:rsidRPr="006C77FE">
        <w:tab/>
        <w:t xml:space="preserve">Помимо этого, штаты и территории проводят собственные программы обучения и подготовки, в рамках которых рассматриваются вопросы уважительных отношений, а также сексуального и репродуктивного здоровья. Как например, программа под названием «Сексуальная жизнь в Новом Южном Уэльсе (НЮУ): уважительные отношения», которую осуществляют Ассоциация поддержки мультикультурного развития и инвалидов совместно с Сетью женщин-инвалидов. </w:t>
      </w:r>
    </w:p>
    <w:p w:rsidR="006C77FE" w:rsidRPr="00D574B3" w:rsidRDefault="006C77FE" w:rsidP="0044580E">
      <w:pPr>
        <w:pStyle w:val="H1G"/>
        <w:rPr>
          <w:lang w:val="ru-RU"/>
        </w:rPr>
      </w:pPr>
      <w:r w:rsidRPr="00D574B3">
        <w:rPr>
          <w:lang w:val="ru-RU"/>
        </w:rPr>
        <w:lastRenderedPageBreak/>
        <w:tab/>
      </w:r>
      <w:r w:rsidRPr="00D574B3">
        <w:rPr>
          <w:lang w:val="ru-RU"/>
        </w:rPr>
        <w:tab/>
        <w:t>Дети-инвалиды (статья 7)</w:t>
      </w:r>
    </w:p>
    <w:p w:rsidR="006C77FE" w:rsidRPr="006C77FE" w:rsidRDefault="006C77FE" w:rsidP="0044580E">
      <w:pPr>
        <w:pStyle w:val="H23GR"/>
      </w:pPr>
      <w:r w:rsidRPr="006C77FE">
        <w:tab/>
      </w:r>
      <w:r w:rsidRPr="006C77FE">
        <w:tab/>
        <w:t>Вопрос 7</w:t>
      </w:r>
    </w:p>
    <w:p w:rsidR="006C77FE" w:rsidRPr="006C77FE" w:rsidRDefault="006C77FE" w:rsidP="006C77FE">
      <w:pPr>
        <w:pStyle w:val="SingleTxtGR"/>
      </w:pPr>
      <w:r w:rsidRPr="006C77FE">
        <w:t>77.</w:t>
      </w:r>
      <w:r w:rsidRPr="006C77FE">
        <w:tab/>
        <w:t>Австралия обеспечивает защиту и поощрение прав детей-инвалидов на основе своего законодательства, а также широкого диапазона политики и программ на уровне Австралийского Союза, штатов и территорий.</w:t>
      </w:r>
    </w:p>
    <w:p w:rsidR="006C77FE" w:rsidRPr="00D574B3" w:rsidRDefault="006C77FE" w:rsidP="0044580E">
      <w:pPr>
        <w:pStyle w:val="H56G"/>
        <w:rPr>
          <w:lang w:val="ru-RU"/>
        </w:rPr>
      </w:pPr>
      <w:r w:rsidRPr="00D574B3">
        <w:rPr>
          <w:lang w:val="ru-RU"/>
        </w:rPr>
        <w:tab/>
      </w:r>
      <w:r w:rsidRPr="00D574B3">
        <w:rPr>
          <w:lang w:val="ru-RU"/>
        </w:rPr>
        <w:tab/>
        <w:t>Национальные принципы организаций по обеспечению безопасности детей (Национальные принципы безопасности детей)</w:t>
      </w:r>
    </w:p>
    <w:p w:rsidR="006C77FE" w:rsidRPr="006C77FE" w:rsidRDefault="006C77FE" w:rsidP="006C77FE">
      <w:pPr>
        <w:pStyle w:val="SingleTxtGR"/>
      </w:pPr>
      <w:r w:rsidRPr="006C77FE">
        <w:t>78.</w:t>
      </w:r>
      <w:r w:rsidRPr="006C77FE">
        <w:tab/>
        <w:t xml:space="preserve">Правительство Австралии во взаимодействии с правительством Нового Южного Уэльса возглавило разработку национальных принципов безопасности детей в целях формирования согласованного на общенациональном уровне подхода к воспитанию организационной культуры, способствующей обеспечению безопасности и благополучия детей во всех секторах, затрагивающих интересы детей и молодежи. Принцип 4 непосредственно касается необходимости уделения организациями особого внимания детям-инвалидам. </w:t>
      </w:r>
    </w:p>
    <w:p w:rsidR="006C77FE" w:rsidRPr="006C77FE" w:rsidRDefault="006C77FE" w:rsidP="006C77FE">
      <w:pPr>
        <w:pStyle w:val="SingleTxtGR"/>
      </w:pPr>
      <w:r w:rsidRPr="006C77FE">
        <w:t>79.</w:t>
      </w:r>
      <w:r w:rsidRPr="006C77FE">
        <w:tab/>
        <w:t>Ожидается, что в середине 2018 года проект национальных принципов обеспечения безопасности детей будет одобрен Советом австралийских правительств (САП).</w:t>
      </w:r>
    </w:p>
    <w:p w:rsidR="006C77FE" w:rsidRPr="00D574B3" w:rsidRDefault="006C77FE" w:rsidP="0044580E">
      <w:pPr>
        <w:pStyle w:val="H56G"/>
        <w:rPr>
          <w:lang w:val="ru-RU"/>
        </w:rPr>
      </w:pPr>
      <w:r w:rsidRPr="00D574B3">
        <w:rPr>
          <w:lang w:val="ru-RU"/>
        </w:rPr>
        <w:tab/>
      </w:r>
      <w:r w:rsidRPr="00D574B3">
        <w:rPr>
          <w:lang w:val="ru-RU"/>
        </w:rPr>
        <w:tab/>
        <w:t>Национальная рамочная программа по защите детей Австралии на 2009–2020 годы</w:t>
      </w:r>
    </w:p>
    <w:p w:rsidR="006C77FE" w:rsidRPr="006C77FE" w:rsidRDefault="006C77FE" w:rsidP="006C77FE">
      <w:pPr>
        <w:pStyle w:val="SingleTxtGR"/>
      </w:pPr>
      <w:r w:rsidRPr="006C77FE">
        <w:t>80.</w:t>
      </w:r>
      <w:r w:rsidRPr="006C77FE">
        <w:tab/>
        <w:t xml:space="preserve">В разработанной австралийскими правительствами в соответствии со НСПИ Национальной рамочной программе по защите детей Австралии на 2009–2020 годы признается, что инвалидность у детей является фактором риска с точки зрения надругательств и безнадзорности. В соответствии с Третьим планом действий раннее вмешательство представляет собой ключевую стратегию, мероприятия в рамках которой сосредоточены на поддержке семей в целях устранения факторов, включая инвалидность, которые могут способствовать повышению уязвимости. </w:t>
      </w:r>
    </w:p>
    <w:p w:rsidR="006C77FE" w:rsidRPr="00D574B3" w:rsidRDefault="006C77FE" w:rsidP="0044580E">
      <w:pPr>
        <w:pStyle w:val="H56G"/>
        <w:rPr>
          <w:lang w:val="ru-RU"/>
        </w:rPr>
      </w:pPr>
      <w:r w:rsidRPr="00D574B3">
        <w:rPr>
          <w:lang w:val="ru-RU"/>
        </w:rPr>
        <w:tab/>
      </w:r>
      <w:r w:rsidRPr="00D574B3">
        <w:rPr>
          <w:lang w:val="ru-RU"/>
        </w:rPr>
        <w:tab/>
        <w:t>НССИ</w:t>
      </w:r>
    </w:p>
    <w:p w:rsidR="006C77FE" w:rsidRPr="006C77FE" w:rsidRDefault="006C77FE" w:rsidP="006C77FE">
      <w:pPr>
        <w:pStyle w:val="SingleTxtGR"/>
      </w:pPr>
      <w:r w:rsidRPr="006C77FE">
        <w:t>81.</w:t>
      </w:r>
      <w:r w:rsidRPr="006C77FE">
        <w:tab/>
        <w:t xml:space="preserve">В соответствии с НССИ лицам с постоянной или значительной потерей трудоспособности, включая детей, предоставляется разумная и необходимая поддержка, в которой они нуждаются для ведения нормального образа жизни. </w:t>
      </w:r>
    </w:p>
    <w:p w:rsidR="006C77FE" w:rsidRPr="006C77FE" w:rsidRDefault="006C77FE" w:rsidP="006C77FE">
      <w:pPr>
        <w:pStyle w:val="SingleTxtGR"/>
      </w:pPr>
      <w:r w:rsidRPr="006C77FE">
        <w:t>82.</w:t>
      </w:r>
      <w:r w:rsidRPr="006C77FE">
        <w:tab/>
        <w:t xml:space="preserve">В НССИ прямо признается необходимость доступа малолетних детей, их семей и опекунов к раннему вмешательству. Программа упреждающих действий в интересах малолетних детей (ПУМД), (обнародованная в феврале 2016 года), предусматривает возможность обследования детей с задержкой развития или инвалидностью с рождения и до шести лет и оказание им непосредственной терапевтической помощи без предварительного установления диагноза или получения официального допуска к НССИ. </w:t>
      </w:r>
    </w:p>
    <w:p w:rsidR="006C77FE" w:rsidRPr="006C77FE" w:rsidRDefault="006C77FE" w:rsidP="006C77FE">
      <w:pPr>
        <w:pStyle w:val="SingleTxtGR"/>
      </w:pPr>
      <w:r w:rsidRPr="006C77FE">
        <w:t>83.</w:t>
      </w:r>
      <w:r w:rsidRPr="006C77FE">
        <w:tab/>
        <w:t>По состоянию на 31 марта 2018 года в рамках НССИ осуществлялась поддержка почти 80 000 участников НССИ в возрасте до 18 лет. В том числе по линии ПУМД помощь получали 10 253 ребенка. Участники НССИ в возрасте до 18 лет составляют 49% из общего числа участников НССИ (включая детей, принятых по линии ПУМД).</w:t>
      </w:r>
    </w:p>
    <w:p w:rsidR="006C77FE" w:rsidRPr="006C77FE" w:rsidRDefault="006C77FE" w:rsidP="006C77FE">
      <w:pPr>
        <w:pStyle w:val="SingleTxtGR"/>
      </w:pPr>
      <w:r w:rsidRPr="006C77FE">
        <w:t>84.</w:t>
      </w:r>
      <w:r w:rsidRPr="006C77FE">
        <w:tab/>
        <w:t>После полного введения НССИ в действие поддержка будет оказываться примерно 160 000 детей с серьезными или постоянными расстройствами функций организма человека.</w:t>
      </w:r>
    </w:p>
    <w:p w:rsidR="006C77FE" w:rsidRPr="00D574B3" w:rsidRDefault="006C77FE" w:rsidP="0044580E">
      <w:pPr>
        <w:pStyle w:val="H56G"/>
        <w:rPr>
          <w:lang w:val="ru-RU"/>
        </w:rPr>
      </w:pPr>
      <w:r w:rsidRPr="00D574B3">
        <w:rPr>
          <w:lang w:val="ru-RU"/>
        </w:rPr>
        <w:tab/>
      </w:r>
      <w:r w:rsidRPr="00D574B3">
        <w:rPr>
          <w:lang w:val="ru-RU"/>
        </w:rPr>
        <w:tab/>
        <w:t>Образование и раннее детство</w:t>
      </w:r>
    </w:p>
    <w:p w:rsidR="006C77FE" w:rsidRPr="006C77FE" w:rsidRDefault="006C77FE" w:rsidP="006C77FE">
      <w:pPr>
        <w:pStyle w:val="SingleTxtGR"/>
      </w:pPr>
      <w:r w:rsidRPr="006C77FE">
        <w:t>85.</w:t>
      </w:r>
      <w:r w:rsidRPr="006C77FE">
        <w:tab/>
        <w:t xml:space="preserve">В Австралии все дети школьного возраста имеют право на поступление в безопасную и обеспечивающую их поддержку школу. Большинство учащихся-инвалидов посещают обычные общеобразовательные школы. В «Стандартах признания инвалидности в сфере образования 2005 года» (Стандарты инвалидности в сфере образования) уточняются обязательства образовательных и учебных </w:t>
      </w:r>
      <w:r w:rsidRPr="006C77FE">
        <w:lastRenderedPageBreak/>
        <w:t>учреждений в соответствии с ЗДИ, а также права инвалидов в части, касающейся образования и профессиональной подготовки.</w:t>
      </w:r>
    </w:p>
    <w:p w:rsidR="006C77FE" w:rsidRPr="006C77FE" w:rsidRDefault="006C77FE" w:rsidP="006C77FE">
      <w:pPr>
        <w:pStyle w:val="SingleTxtGR"/>
      </w:pPr>
      <w:r w:rsidRPr="006C77FE">
        <w:t>86.</w:t>
      </w:r>
      <w:r w:rsidRPr="006C77FE">
        <w:tab/>
        <w:t xml:space="preserve">Согласно Стратегии НСПИ австралийские правительства договорились сосредоточить усилия на: </w:t>
      </w:r>
    </w:p>
    <w:p w:rsidR="006C77FE" w:rsidRPr="006C77FE" w:rsidRDefault="006C77FE" w:rsidP="006C77FE">
      <w:pPr>
        <w:pStyle w:val="SingleTxtGR"/>
      </w:pPr>
      <w:r w:rsidRPr="006C77FE">
        <w:tab/>
        <w:t>а)</w:t>
      </w:r>
      <w:r w:rsidRPr="006C77FE">
        <w:tab/>
        <w:t>укреплении потенциала всех образовательных учреждений в части осуществления инклюзивных высококачественных образовательных программ с раннего детства до совершеннолетия;</w:t>
      </w:r>
    </w:p>
    <w:p w:rsidR="006C77FE" w:rsidRPr="006C77FE" w:rsidRDefault="006C77FE" w:rsidP="006C77FE">
      <w:pPr>
        <w:pStyle w:val="SingleTxtGR"/>
      </w:pPr>
      <w:r w:rsidRPr="006C77FE">
        <w:tab/>
      </w:r>
      <w:r w:rsidRPr="006C77FE">
        <w:rPr>
          <w:lang w:val="en-US"/>
        </w:rPr>
        <w:t>b</w:t>
      </w:r>
      <w:r w:rsidRPr="006C77FE">
        <w:t>)</w:t>
      </w:r>
      <w:r w:rsidRPr="006C77FE">
        <w:tab/>
        <w:t>сокращении разрыва в результатах образования между учащимися-инвалидами и другими учащимися и обеспечении учета потребностей инвалидов в рамках проводимых государственных реформ и инициатив, касающихся малолетних детей, образования, подготовки и развития трудовых навыков; и</w:t>
      </w:r>
    </w:p>
    <w:p w:rsidR="006C77FE" w:rsidRPr="006C77FE" w:rsidRDefault="006C77FE" w:rsidP="006C77FE">
      <w:pPr>
        <w:pStyle w:val="SingleTxtGR"/>
      </w:pPr>
      <w:r w:rsidRPr="006C77FE">
        <w:tab/>
        <w:t>с)</w:t>
      </w:r>
      <w:r w:rsidRPr="006C77FE">
        <w:tab/>
        <w:t>расширении возможностей учащихся-инвалидов в плане получения дальнейшего образования после окончания школы, трудоустройства и непрерывного обучения.</w:t>
      </w:r>
    </w:p>
    <w:p w:rsidR="006C77FE" w:rsidRPr="006C77FE" w:rsidRDefault="006C77FE" w:rsidP="006C77FE">
      <w:pPr>
        <w:pStyle w:val="SingleTxtGR"/>
      </w:pPr>
      <w:r w:rsidRPr="006C77FE">
        <w:t>87.</w:t>
      </w:r>
      <w:r w:rsidRPr="006C77FE">
        <w:tab/>
        <w:t>В контексте реформ с целью создания «Качественных школ» правительство Австралии ассигнует на нужды учащихся-инвалидов на 2018–2027 годы приблизительно 22,1 млрд долл., при этом ежегодно увеличивая финансирование в среднем на 5,7%. Начиная с 2018 года финансирование учащихся-инвалидов приобретет более целевой характер благодаря использованию согласованного на национальном уровне свода данных о школьниках-инвалидах.</w:t>
      </w:r>
    </w:p>
    <w:p w:rsidR="006C77FE" w:rsidRPr="006C77FE" w:rsidRDefault="006C77FE" w:rsidP="006C77FE">
      <w:pPr>
        <w:pStyle w:val="SingleTxtGR"/>
      </w:pPr>
      <w:r w:rsidRPr="006C77FE">
        <w:t>88.</w:t>
      </w:r>
      <w:r w:rsidRPr="006C77FE">
        <w:tab/>
        <w:t>Начиная с 2018/19 года правительство Австралии в течение четырех лет выделит примерно 550 млн долл. на Программу поддержки инклюзивного обучения (ППИ) для дошкольного сектора. Осуществление этой Программы началось 1 июля 2016 года, и она направлена на расширение доступа к уходу и участия детей с дополнительными потребностями, включая детей-инвалидов, на основе разработки и формирования навыков оказания услуг детям с дополнительными потребностями наравне с их нормально развивающимися сверстниками.</w:t>
      </w:r>
    </w:p>
    <w:p w:rsidR="006C77FE" w:rsidRPr="00D574B3" w:rsidRDefault="006C77FE" w:rsidP="0044580E">
      <w:pPr>
        <w:pStyle w:val="H56G"/>
        <w:rPr>
          <w:lang w:val="ru-RU"/>
        </w:rPr>
      </w:pPr>
      <w:r w:rsidRPr="00D574B3">
        <w:rPr>
          <w:lang w:val="ru-RU"/>
        </w:rPr>
        <w:tab/>
      </w:r>
      <w:r w:rsidRPr="00D574B3">
        <w:rPr>
          <w:lang w:val="ru-RU"/>
        </w:rPr>
        <w:tab/>
        <w:t>Мнения детей</w:t>
      </w:r>
    </w:p>
    <w:p w:rsidR="006C77FE" w:rsidRPr="006C77FE" w:rsidRDefault="006C77FE" w:rsidP="006C77FE">
      <w:pPr>
        <w:pStyle w:val="SingleTxtGR"/>
      </w:pPr>
      <w:r w:rsidRPr="006C77FE">
        <w:t>89.</w:t>
      </w:r>
      <w:r w:rsidRPr="006C77FE">
        <w:tab/>
        <w:t>Правительство Австралии поддерживает право детей-инвалидов на выражение своих мнений по затрагивающим их вопросам.</w:t>
      </w:r>
    </w:p>
    <w:p w:rsidR="006C77FE" w:rsidRPr="006C77FE" w:rsidRDefault="006C77FE" w:rsidP="006C77FE">
      <w:pPr>
        <w:pStyle w:val="SingleTxtGR"/>
      </w:pPr>
      <w:r w:rsidRPr="006C77FE">
        <w:t>90.</w:t>
      </w:r>
      <w:r w:rsidRPr="006C77FE">
        <w:tab/>
        <w:t>Национальный уполномоченный по делам детей проводит обследования по вопросам, затрагивающим детей, в том числе детей-инвалидов, вносит предложения по проведению таких обследований и осуществляет такие, касающиеся прав детей проекты, как диалоги с молодежью и учебные проекты. Уполномоченный проводит широкие консультации с детьми и молодежью и их представителями.</w:t>
      </w:r>
    </w:p>
    <w:p w:rsidR="006C77FE" w:rsidRPr="006C77FE" w:rsidRDefault="006C77FE" w:rsidP="006C77FE">
      <w:pPr>
        <w:pStyle w:val="SingleTxtGR"/>
      </w:pPr>
      <w:r w:rsidRPr="006C77FE">
        <w:t>91.</w:t>
      </w:r>
      <w:r w:rsidRPr="006C77FE">
        <w:tab/>
        <w:t>Во всех штатах и территориях имеются независимые органы, осуществляющие мониторинг и защиту потребностей детей, в частности входящих в группы риска, в которые могут входить и дети-инвалиды.</w:t>
      </w:r>
    </w:p>
    <w:p w:rsidR="006C77FE" w:rsidRPr="006C77FE" w:rsidRDefault="006C77FE" w:rsidP="006C77FE">
      <w:pPr>
        <w:pStyle w:val="SingleTxtGR"/>
      </w:pPr>
      <w:r w:rsidRPr="006C77FE">
        <w:t>92.</w:t>
      </w:r>
      <w:r w:rsidRPr="006C77FE">
        <w:tab/>
        <w:t>Что касается споров по поводу родительских прав, то в Законе о семейном праве 1975 года (АС) прописано, что первоочередное внимание следует уделять наилучшему обеспечению интересов ребенка. При принятии решений о том, что отвечает наилучшим интересам ребенка, суд должен среди прочего учитывать любые выраженные ребенком мнения и все соответствующие факторы, в частности степень развития ребенка или уровень понимания.</w:t>
      </w:r>
    </w:p>
    <w:p w:rsidR="006C77FE" w:rsidRPr="006C77FE" w:rsidRDefault="006C77FE" w:rsidP="006C77FE">
      <w:pPr>
        <w:pStyle w:val="SingleTxtGR"/>
      </w:pPr>
      <w:r w:rsidRPr="006C77FE">
        <w:t>93.</w:t>
      </w:r>
      <w:r w:rsidRPr="006C77FE">
        <w:tab/>
        <w:t>Существует целый ряд возможностей для выражения детьми в суде своих мнений: при содействии независимого адвоката по делам детей (НАД), в рамках доклада семейного консультанта, во время опроса судьей ребенка или в других формах, которые суд сочтет целесообразными.</w:t>
      </w:r>
    </w:p>
    <w:p w:rsidR="006C77FE" w:rsidRPr="006C77FE" w:rsidRDefault="006C77FE" w:rsidP="006C77FE">
      <w:pPr>
        <w:pStyle w:val="SingleTxtGR"/>
      </w:pPr>
      <w:r w:rsidRPr="006C77FE">
        <w:t>94.</w:t>
      </w:r>
      <w:r w:rsidRPr="006C77FE">
        <w:tab/>
        <w:t xml:space="preserve">В Руководящих принципах деятельности независимых адвокатов по делам детей отмечается необходимость проявлять особую тактичность для обеспечения того, чтобы дети с физическими, умственными, психическими и/или эмоциональными </w:t>
      </w:r>
      <w:r w:rsidRPr="006C77FE">
        <w:lastRenderedPageBreak/>
        <w:t>расстройствами по мере своих способностей могли участвовать в процессах принятия решений.</w:t>
      </w:r>
    </w:p>
    <w:p w:rsidR="006C77FE" w:rsidRPr="006C77FE" w:rsidRDefault="006C77FE" w:rsidP="006C77FE">
      <w:pPr>
        <w:pStyle w:val="SingleTxtGR"/>
      </w:pPr>
      <w:r w:rsidRPr="006C77FE">
        <w:t>95.</w:t>
      </w:r>
      <w:r w:rsidRPr="006C77FE">
        <w:tab/>
        <w:t xml:space="preserve">Правительство Австралии поручило Австралийской комиссии по реформе законодательства (АКРЗ) провести комплексный обзор системы семейного права. При этом главный вопрос заключается в том, каким образом можно наиболее эффективно информировать принимающие решения инстанции о наилучших интересах детей, а также сообщать им мнения детей по поводу семейных споров. АКРЗ изучит также возможности повышения доступности судов и взаимодействия с детьми-инвалидами. Предполагается, что АКРЗ представит свой доклад 31 марта 2019 года. </w:t>
      </w:r>
    </w:p>
    <w:p w:rsidR="006C77FE" w:rsidRPr="006C77FE" w:rsidRDefault="006C77FE" w:rsidP="006C77FE">
      <w:pPr>
        <w:pStyle w:val="SingleTxtGR"/>
      </w:pPr>
      <w:r w:rsidRPr="006C77FE">
        <w:t>96.</w:t>
      </w:r>
      <w:r w:rsidRPr="006C77FE">
        <w:tab/>
        <w:t>Защиту интересов детей обеспечивают также системы правосудия штатов и территорий посредством целого ряда мер, включая суды по делам детей, в которых допускается представление детьми доказательств в соответствующей их возрасту форме.</w:t>
      </w:r>
    </w:p>
    <w:p w:rsidR="006C77FE" w:rsidRPr="00D574B3" w:rsidRDefault="006C77FE" w:rsidP="0044580E">
      <w:pPr>
        <w:pStyle w:val="H56G"/>
        <w:rPr>
          <w:lang w:val="ru-RU"/>
        </w:rPr>
      </w:pPr>
      <w:r w:rsidRPr="00D574B3">
        <w:rPr>
          <w:lang w:val="ru-RU"/>
        </w:rPr>
        <w:tab/>
      </w:r>
      <w:r w:rsidRPr="00D574B3">
        <w:rPr>
          <w:lang w:val="ru-RU"/>
        </w:rPr>
        <w:tab/>
        <w:t>Сбор данных</w:t>
      </w:r>
    </w:p>
    <w:p w:rsidR="006C77FE" w:rsidRPr="006C77FE" w:rsidRDefault="006C77FE" w:rsidP="006C77FE">
      <w:pPr>
        <w:pStyle w:val="SingleTxtGR"/>
      </w:pPr>
      <w:r w:rsidRPr="006C77FE">
        <w:t>97.</w:t>
      </w:r>
      <w:r w:rsidRPr="006C77FE">
        <w:tab/>
        <w:t xml:space="preserve">Правительство Австралии стремится к совершенствованию национальной системы представления отчетности о благополучии детей. Австралийский институт здравоохранения и социального обеспечения (АИЗС) и Австралийский научно-исследовательский институт семьи (АИС) (независимые по закону органы) осуществляют сбор данных, проводят исследования и представляют доклады по широкому кругу вопросов, касающихся здоровья и благополучия детей. Все австралийские правительства дают прямые поручения о проведении исследований в интересах разработки и оценки профильной передовой практики и программ. </w:t>
      </w:r>
    </w:p>
    <w:p w:rsidR="006C77FE" w:rsidRPr="006C77FE" w:rsidRDefault="006C77FE" w:rsidP="006C77FE">
      <w:pPr>
        <w:pStyle w:val="SingleTxtGR"/>
      </w:pPr>
      <w:r w:rsidRPr="006C77FE">
        <w:t>98.</w:t>
      </w:r>
      <w:r w:rsidRPr="006C77FE">
        <w:tab/>
        <w:t>В Австралии данные о детях представляются в разбивке по ряду категорий в зависимости от методики их сбора и предназначения. Такими категориями могут среди прочего быть: возраст, пол, принадлежность к коренному населению, владение другими языками помимо английского, географическое расположение и страна рождения.</w:t>
      </w:r>
    </w:p>
    <w:p w:rsidR="006C77FE" w:rsidRPr="006C77FE" w:rsidRDefault="006C77FE" w:rsidP="006C77FE">
      <w:pPr>
        <w:pStyle w:val="SingleTxtGR"/>
      </w:pPr>
      <w:r w:rsidRPr="006C77FE">
        <w:t>99.</w:t>
      </w:r>
      <w:r w:rsidRPr="006C77FE">
        <w:tab/>
        <w:t>Во всех штатах и территориях осуществляется сбор данных о количестве детей, охваченных системами защиты ребенка и ухода за детьми вне дома (УДВД) в каждой юрисдикции.</w:t>
      </w:r>
    </w:p>
    <w:p w:rsidR="006C77FE" w:rsidRPr="006C77FE" w:rsidRDefault="006C77FE" w:rsidP="006C77FE">
      <w:pPr>
        <w:pStyle w:val="SingleTxtGR"/>
      </w:pPr>
      <w:r w:rsidRPr="006C77FE">
        <w:t>100.</w:t>
      </w:r>
      <w:r w:rsidRPr="006C77FE">
        <w:tab/>
        <w:t>АИЗС осуществляет сбор и публикацию общенациональных данных о детях в системе УДВД в разбивке по возрасту, полу, принадлежности к коренным народам, юридическому статусу, условиям жизни, местонахождению, основному типу надругательств или безнадзорности и т.</w:t>
      </w:r>
      <w:r w:rsidR="00EB4373">
        <w:t xml:space="preserve"> </w:t>
      </w:r>
      <w:r w:rsidRPr="006C77FE">
        <w:t>д.</w:t>
      </w:r>
    </w:p>
    <w:p w:rsidR="006C77FE" w:rsidRPr="00D574B3" w:rsidRDefault="006C77FE" w:rsidP="0044580E">
      <w:pPr>
        <w:pStyle w:val="H56G"/>
        <w:rPr>
          <w:lang w:val="ru-RU"/>
        </w:rPr>
      </w:pPr>
      <w:bookmarkStart w:id="4" w:name="OLE_LINK23"/>
      <w:r w:rsidRPr="00D574B3">
        <w:rPr>
          <w:lang w:val="ru-RU"/>
        </w:rPr>
        <w:tab/>
      </w:r>
      <w:r w:rsidRPr="00D574B3">
        <w:rPr>
          <w:lang w:val="ru-RU"/>
        </w:rPr>
        <w:tab/>
        <w:t>Уход за детьми вне дома</w:t>
      </w:r>
    </w:p>
    <w:p w:rsidR="006C77FE" w:rsidRPr="006C77FE" w:rsidRDefault="006C77FE" w:rsidP="006C77FE">
      <w:pPr>
        <w:pStyle w:val="SingleTxtGR"/>
      </w:pPr>
      <w:r w:rsidRPr="006C77FE">
        <w:t>101.</w:t>
      </w:r>
      <w:r w:rsidRPr="006C77FE">
        <w:tab/>
        <w:t>Австралийские правительства прилагают различные усилия для защиты детей, в том числе детей-инвалидов, от потенциально опасных ситуаций, связанных с надругательствами в условиях патронажного воспитания или в учреждениях интернатного типа.</w:t>
      </w:r>
    </w:p>
    <w:p w:rsidR="006C77FE" w:rsidRPr="006C77FE" w:rsidRDefault="006C77FE" w:rsidP="006C77FE">
      <w:pPr>
        <w:pStyle w:val="SingleTxtGR"/>
      </w:pPr>
      <w:r w:rsidRPr="006C77FE">
        <w:t>102.</w:t>
      </w:r>
      <w:r w:rsidRPr="006C77FE">
        <w:tab/>
        <w:t>Австралия признает существование проблем с охватом большого количества детей системой ухода и защиты вне дома. Правительства штатов и территорий используют собственные методы защиты детей в целях оказания помощи уязвимым детям, которые могут подвергаться надругательствам, быть безнадзорными или испытывать иные лишения, либо родители которых не могут обеспечивать надлежащий уход за детьми или их защиту, в том числе за детьми-инвалидами.</w:t>
      </w:r>
    </w:p>
    <w:p w:rsidR="006C77FE" w:rsidRPr="006C77FE" w:rsidRDefault="006C77FE" w:rsidP="006C77FE">
      <w:pPr>
        <w:pStyle w:val="SingleTxtGR"/>
      </w:pPr>
      <w:r w:rsidRPr="006C77FE">
        <w:t>103.</w:t>
      </w:r>
      <w:r w:rsidRPr="006C77FE">
        <w:tab/>
        <w:t>Во всех юрисдикциях ухаживающие за детьми лица из числа опекунов или родственников обязаны проходить проверку на владение «методикой работы с детьми», и в них также предусмотрены механизмы пересмотра решений о помещении детей в учреждения интернатного типа. Во всех юрисдикциях службы защиты детей сотрудничают с другими соответствующими органами в интересах поддержания благополучия детей.</w:t>
      </w:r>
    </w:p>
    <w:p w:rsidR="006C77FE" w:rsidRPr="006C77FE" w:rsidRDefault="006C77FE" w:rsidP="006C77FE">
      <w:pPr>
        <w:pStyle w:val="SingleTxtGR"/>
      </w:pPr>
      <w:r w:rsidRPr="006C77FE">
        <w:lastRenderedPageBreak/>
        <w:t>104.</w:t>
      </w:r>
      <w:r w:rsidRPr="006C77FE">
        <w:tab/>
        <w:t>Третий план действий в контексте Национальной рамочной программы по защите детей Австралии направлен на сокращение масштабов надругательств над детьми и безнадзорности среди детей. При этом правительства считают своей главной задачей посредством профилактических и упреждающих мер добиться того, чтобы дети оставались в безопасных условиях своей семьи, и рассматривают УДВД в качестве крайней меры.</w:t>
      </w:r>
    </w:p>
    <w:bookmarkEnd w:id="4"/>
    <w:p w:rsidR="006C77FE" w:rsidRPr="006C77FE" w:rsidRDefault="006C77FE" w:rsidP="006C77FE">
      <w:pPr>
        <w:pStyle w:val="SingleTxtGR"/>
      </w:pPr>
      <w:r w:rsidRPr="006C77FE">
        <w:t>105.</w:t>
      </w:r>
      <w:r w:rsidRPr="006C77FE">
        <w:tab/>
        <w:t xml:space="preserve">Общенациональные текущие расходы на защиту детей и услуги по уходу в формате УДВД в </w:t>
      </w:r>
      <w:r w:rsidR="0044580E">
        <w:t>2016/17 году составили 4,3 млрд</w:t>
      </w:r>
      <w:r w:rsidRPr="006C77FE">
        <w:t xml:space="preserve"> долл. при реальном их увеличении на 327,3 млн долл. (8%) по сравнению с 2015/16 годом</w:t>
      </w:r>
      <w:r w:rsidRPr="006C77FE">
        <w:rPr>
          <w:vertAlign w:val="superscript"/>
        </w:rPr>
        <w:footnoteReference w:id="13"/>
      </w:r>
      <w:r w:rsidRPr="006C77FE">
        <w:t>.</w:t>
      </w:r>
    </w:p>
    <w:p w:rsidR="006C77FE" w:rsidRPr="00D574B3" w:rsidRDefault="006C77FE" w:rsidP="0044580E">
      <w:pPr>
        <w:pStyle w:val="H1G"/>
        <w:rPr>
          <w:lang w:val="ru-RU"/>
        </w:rPr>
      </w:pPr>
      <w:r w:rsidRPr="00D574B3">
        <w:rPr>
          <w:lang w:val="ru-RU"/>
        </w:rPr>
        <w:tab/>
      </w:r>
      <w:r w:rsidRPr="00D574B3">
        <w:rPr>
          <w:lang w:val="ru-RU"/>
        </w:rPr>
        <w:tab/>
        <w:t>Просветительно-воспитательная работа (ст</w:t>
      </w:r>
      <w:r w:rsidR="00070719">
        <w:rPr>
          <w:lang w:val="ru-RU"/>
        </w:rPr>
        <w:t>атья</w:t>
      </w:r>
      <w:r w:rsidRPr="00D574B3">
        <w:rPr>
          <w:lang w:val="ru-RU"/>
        </w:rPr>
        <w:t xml:space="preserve"> 8)</w:t>
      </w:r>
    </w:p>
    <w:p w:rsidR="006C77FE" w:rsidRPr="00D574B3" w:rsidRDefault="006C77FE" w:rsidP="0044580E">
      <w:pPr>
        <w:pStyle w:val="H23G"/>
        <w:rPr>
          <w:lang w:val="ru-RU"/>
        </w:rPr>
      </w:pPr>
      <w:r w:rsidRPr="00D574B3">
        <w:rPr>
          <w:lang w:val="ru-RU"/>
        </w:rPr>
        <w:tab/>
      </w:r>
      <w:r w:rsidRPr="00D574B3">
        <w:rPr>
          <w:lang w:val="ru-RU"/>
        </w:rPr>
        <w:tab/>
        <w:t>Вопрос 8</w:t>
      </w:r>
    </w:p>
    <w:p w:rsidR="006C77FE" w:rsidRPr="006C77FE" w:rsidRDefault="006C77FE" w:rsidP="006C77FE">
      <w:pPr>
        <w:pStyle w:val="SingleTxtGR"/>
      </w:pPr>
      <w:r w:rsidRPr="006C77FE">
        <w:t>106.</w:t>
      </w:r>
      <w:r w:rsidRPr="006C77FE">
        <w:tab/>
        <w:t>Австралия реализует ряд инициатив по повышению осведомленности населения по вопросам прав и достоинства инвалидов, их способностей и их вклада в жизнь общества. Они основываются на правозащитном подходе, соответствующим ЗДИ и Конвенции.</w:t>
      </w:r>
    </w:p>
    <w:p w:rsidR="006C77FE" w:rsidRPr="006C77FE" w:rsidRDefault="006C77FE" w:rsidP="006C77FE">
      <w:pPr>
        <w:pStyle w:val="SingleTxtGR"/>
      </w:pPr>
      <w:r w:rsidRPr="006C77FE">
        <w:t>107.</w:t>
      </w:r>
      <w:r w:rsidRPr="006C77FE">
        <w:tab/>
        <w:t>Правительство Австралии поддерживает ряд национальных программ и премий в контексте празднования Международного дня инвалидов в интересах повышения осведомленности общественности и признания д</w:t>
      </w:r>
      <w:r w:rsidR="0044580E">
        <w:t>остижений и вклада инвалидов, а </w:t>
      </w:r>
      <w:r w:rsidRPr="006C77FE">
        <w:t xml:space="preserve">также формирования доступной и инклюзивной среды. </w:t>
      </w:r>
    </w:p>
    <w:p w:rsidR="006C77FE" w:rsidRPr="006C77FE" w:rsidRDefault="006C77FE" w:rsidP="006C77FE">
      <w:pPr>
        <w:pStyle w:val="SingleTxtGR"/>
      </w:pPr>
      <w:r w:rsidRPr="006C77FE">
        <w:t>108.</w:t>
      </w:r>
      <w:r w:rsidRPr="006C77FE">
        <w:tab/>
        <w:t>Помимо этого, правительство Австралии финансирует ПОИ в целях обеспечения представленности австралийских инвалидов в жизни страны, в том числе по линии проводимых в средствах массовой информации просветительских кампаний и формирования у населения понимания прав инвалидов.</w:t>
      </w:r>
    </w:p>
    <w:p w:rsidR="006C77FE" w:rsidRPr="006C77FE" w:rsidRDefault="006C77FE" w:rsidP="006C77FE">
      <w:pPr>
        <w:pStyle w:val="SingleTxtGR"/>
      </w:pPr>
      <w:r w:rsidRPr="006C77FE">
        <w:t>109.</w:t>
      </w:r>
      <w:r w:rsidRPr="006C77FE">
        <w:tab/>
        <w:t>АКПЧ и Уполномоченный по борьбе с дискриминацией по признаку инвалидности играют важную роль в области информационно-просветительной работы. АКПЧ осуществляет образовательные программы по повышению осведомленности о правах инвалидов. АКПЧ обеспечивает активное участие инвалидов и их представленность в рамках осуществляемых им информационно-просветительских кампаний и стратегий. Публикуемые АКПЧ материалы должны быть доступны для инвалидов.</w:t>
      </w:r>
    </w:p>
    <w:p w:rsidR="006C77FE" w:rsidRPr="006C77FE" w:rsidRDefault="006C77FE" w:rsidP="006C77FE">
      <w:pPr>
        <w:pStyle w:val="SingleTxtGR"/>
      </w:pPr>
      <w:r w:rsidRPr="006C77FE">
        <w:t>110.</w:t>
      </w:r>
      <w:r w:rsidRPr="006C77FE">
        <w:tab/>
        <w:t>В период с октября 2016 года по март 2017 года Уполномоченный по борьбе с дискриминацией по признаку инвалидности провел общенациональные консультации в целях определения своих первоочередных задач и ознакомления с мнениями сообщества инвалидов о методах наиболее эффективного поощрения их прав. Уполномоченный встретился более чем с 1 000 человек по всей Австралии и получил 85 письменных материалов.</w:t>
      </w:r>
    </w:p>
    <w:p w:rsidR="006C77FE" w:rsidRPr="006C77FE" w:rsidRDefault="006C77FE" w:rsidP="006C77FE">
      <w:pPr>
        <w:pStyle w:val="SingleTxtGR"/>
      </w:pPr>
      <w:r w:rsidRPr="006C77FE">
        <w:t>111.</w:t>
      </w:r>
      <w:r w:rsidRPr="006C77FE">
        <w:tab/>
        <w:t xml:space="preserve">АКПЧ активно задействует знания и опыт инвалидов и их представителей в интересах осуществления своих проектов и кампаний, включая референтные группы экспертов. Примером в этой связи служит экспертная референтная группа, которая на текущей основе оказывает консультативное содействие по вопросам разработки, осуществления и мониторинга проекта АКПЧ по борьбе с насилием в отношении инвалидов в условиях учреждений закрытого типа. В ней участвуют представители организаций инвалидов и правительственные эксперты, обладающие соответствующим опытом и знаниями. </w:t>
      </w:r>
    </w:p>
    <w:p w:rsidR="006C77FE" w:rsidRPr="006C77FE" w:rsidRDefault="006C77FE" w:rsidP="006C77FE">
      <w:pPr>
        <w:pStyle w:val="SingleTxtGR"/>
      </w:pPr>
      <w:r w:rsidRPr="006C77FE">
        <w:t>112.</w:t>
      </w:r>
      <w:r w:rsidRPr="006C77FE">
        <w:tab/>
        <w:t xml:space="preserve">В свою очередь штаты и территории также проводят мероприятия по повышению осведомленности общественности в целях поощрения прав человека и расширения доступа и интеграции инвалидов. В НЮУ вот уже 14 лет проводится </w:t>
      </w:r>
      <w:r w:rsidRPr="006C77FE">
        <w:lastRenderedPageBreak/>
        <w:t>кампания под лозунгом «Не отказывайте мне в способностях», направленная на активную интеграцию инвалидов и распространение сведений об их опыте, воздавая должное их разнообразию.</w:t>
      </w:r>
    </w:p>
    <w:p w:rsidR="006C77FE" w:rsidRPr="00D574B3" w:rsidRDefault="006C77FE" w:rsidP="0044580E">
      <w:pPr>
        <w:pStyle w:val="H1G"/>
        <w:rPr>
          <w:lang w:val="ru-RU"/>
        </w:rPr>
      </w:pPr>
      <w:r w:rsidRPr="00D574B3">
        <w:rPr>
          <w:lang w:val="ru-RU"/>
        </w:rPr>
        <w:tab/>
      </w:r>
      <w:r w:rsidRPr="00D574B3">
        <w:rPr>
          <w:lang w:val="ru-RU"/>
        </w:rPr>
        <w:tab/>
        <w:t>Доступность (статья 9)</w:t>
      </w:r>
    </w:p>
    <w:p w:rsidR="006C77FE" w:rsidRPr="00D574B3" w:rsidRDefault="006C77FE" w:rsidP="0044580E">
      <w:pPr>
        <w:pStyle w:val="H23G"/>
        <w:rPr>
          <w:lang w:val="ru-RU"/>
        </w:rPr>
      </w:pPr>
      <w:r w:rsidRPr="00D574B3">
        <w:rPr>
          <w:lang w:val="ru-RU"/>
        </w:rPr>
        <w:tab/>
      </w:r>
      <w:r w:rsidRPr="00D574B3">
        <w:rPr>
          <w:lang w:val="ru-RU"/>
        </w:rPr>
        <w:tab/>
        <w:t>Вопрос 9</w:t>
      </w:r>
    </w:p>
    <w:p w:rsidR="006C77FE" w:rsidRPr="00D574B3" w:rsidRDefault="006C77FE" w:rsidP="0044580E">
      <w:pPr>
        <w:pStyle w:val="H56G"/>
        <w:rPr>
          <w:lang w:val="ru-RU"/>
        </w:rPr>
      </w:pPr>
      <w:r w:rsidRPr="00D574B3">
        <w:rPr>
          <w:lang w:val="ru-RU"/>
        </w:rPr>
        <w:tab/>
      </w:r>
      <w:r w:rsidRPr="00D574B3">
        <w:rPr>
          <w:lang w:val="ru-RU"/>
        </w:rPr>
        <w:tab/>
        <w:t>Национальные стандарты предоставления услуг инвалидам 2014 года (НСУИ)</w:t>
      </w:r>
    </w:p>
    <w:p w:rsidR="006C77FE" w:rsidRPr="006C77FE" w:rsidRDefault="006C77FE" w:rsidP="006C77FE">
      <w:pPr>
        <w:pStyle w:val="SingleTxtGR"/>
      </w:pPr>
      <w:r w:rsidRPr="006C77FE">
        <w:t>113.</w:t>
      </w:r>
      <w:r w:rsidRPr="006C77FE">
        <w:tab/>
        <w:t>Правительство Австралии приняло НСУИ применительно ко всем услугам по трудоустройству инвалидов и защите их интересов, которые финансируются на основании Закона об оказании услуг инвалидам 1986 года (АС) (ЗОУИ). НСУИ помогают пропаганде и активному внедрению согласованного на национальном уровне подхода к повышению качества таких услуг, основное внимание в рамках которых уделяется правам инвалидов и практической помощи.</w:t>
      </w:r>
    </w:p>
    <w:p w:rsidR="006C77FE" w:rsidRPr="006C77FE" w:rsidRDefault="006C77FE" w:rsidP="006C77FE">
      <w:pPr>
        <w:pStyle w:val="SingleTxtGR"/>
      </w:pPr>
      <w:r w:rsidRPr="006C77FE">
        <w:t>114.</w:t>
      </w:r>
      <w:r w:rsidRPr="006C77FE">
        <w:tab/>
        <w:t>Для получения финансовых средств от правительства Австралии услуги должны быть сертифицированы на соответствие НСУИ, а новые организации, решившие оказывать такие услуги, должны прох</w:t>
      </w:r>
      <w:r w:rsidR="0044580E">
        <w:t>одить сертификацию в течение 12 </w:t>
      </w:r>
      <w:r w:rsidRPr="006C77FE">
        <w:t>месяцев после начала финансирования услуг по</w:t>
      </w:r>
      <w:r w:rsidR="0044580E">
        <w:t xml:space="preserve"> трудоустройству и в течение 18 </w:t>
      </w:r>
      <w:r w:rsidRPr="006C77FE">
        <w:t>месяцев применительно к услугам по защите прав и интересов.</w:t>
      </w:r>
    </w:p>
    <w:p w:rsidR="006C77FE" w:rsidRPr="006C77FE" w:rsidRDefault="006C77FE" w:rsidP="006C77FE">
      <w:pPr>
        <w:pStyle w:val="SingleTxtGR"/>
      </w:pPr>
      <w:r w:rsidRPr="006C77FE">
        <w:t>115.</w:t>
      </w:r>
      <w:r w:rsidRPr="006C77FE">
        <w:tab/>
        <w:t>Аккредитованные независимой Совместной аккредитационной системой Австралии и Новой Зеландии независимые сертификационные органы в качестве третьей стороны проводят регулярные проверки услуг на соответствие НСУИ и по результатам представляют доклады правительству Австралии.</w:t>
      </w:r>
    </w:p>
    <w:p w:rsidR="006C77FE" w:rsidRPr="006C77FE" w:rsidRDefault="006C77FE" w:rsidP="006C77FE">
      <w:pPr>
        <w:pStyle w:val="SingleTxtGR"/>
      </w:pPr>
      <w:r w:rsidRPr="006C77FE">
        <w:t>116.</w:t>
      </w:r>
      <w:r w:rsidRPr="006C77FE">
        <w:tab/>
        <w:t xml:space="preserve">Правительство Австралии вносит финансовые взносы на покрытие расходов по проверкам финансируемых обслуживающих организаций и внимательно следит за результатами таких проверок и сертификационным статусом всех финансируемых им услуг по трудоустройству инвалидов и защите их интересов. Согласно ЗОУИ не прошедшая сертификацию и лишившаяся финансирования услуга подлежит повторной сертификации для рассмотрения возможности возобновления ее финансирования. </w:t>
      </w:r>
    </w:p>
    <w:p w:rsidR="006C77FE" w:rsidRPr="00D574B3" w:rsidRDefault="006C77FE" w:rsidP="0044580E">
      <w:pPr>
        <w:pStyle w:val="H56G"/>
        <w:rPr>
          <w:lang w:val="ru-RU"/>
        </w:rPr>
      </w:pPr>
      <w:r w:rsidRPr="00D574B3">
        <w:rPr>
          <w:lang w:val="ru-RU"/>
        </w:rPr>
        <w:tab/>
      </w:r>
      <w:r w:rsidRPr="00D574B3">
        <w:rPr>
          <w:lang w:val="ru-RU"/>
        </w:rPr>
        <w:tab/>
        <w:t>Стандарты доступности общественного транспорта для инвалидов 2002 года (транспортные стандарты)</w:t>
      </w:r>
    </w:p>
    <w:p w:rsidR="006C77FE" w:rsidRPr="006C77FE" w:rsidRDefault="006C77FE" w:rsidP="006C77FE">
      <w:pPr>
        <w:pStyle w:val="SingleTxtGR"/>
      </w:pPr>
      <w:r w:rsidRPr="006C77FE">
        <w:t>117.</w:t>
      </w:r>
      <w:r w:rsidRPr="006C77FE">
        <w:tab/>
        <w:t>Транспортные стандарты представляют собой минимальные требования к доступности, которые должны соблюдать транспортные организации и операторы средств общественного транспорта, инфраструктуры и зданий.</w:t>
      </w:r>
    </w:p>
    <w:p w:rsidR="006C77FE" w:rsidRPr="006C77FE" w:rsidRDefault="006C77FE" w:rsidP="006C77FE">
      <w:pPr>
        <w:pStyle w:val="SingleTxtGR"/>
      </w:pPr>
      <w:r w:rsidRPr="006C77FE">
        <w:t>118.</w:t>
      </w:r>
      <w:r w:rsidRPr="006C77FE">
        <w:tab/>
        <w:t>Все построенные после 2002 года средства транспорта, элементы инфраструктуры и здания должны полностью соответствовать транспортным стандартам. Относительно построенных до 2002 года транспортных средств, зданий и инфраструктурных сооружений в транспортных стандартах предусмотрен рас</w:t>
      </w:r>
      <w:r w:rsidRPr="006C77FE">
        <w:rPr>
          <w:lang w:val="en-US"/>
        </w:rPr>
        <w:t>c</w:t>
      </w:r>
      <w:r w:rsidRPr="006C77FE">
        <w:t xml:space="preserve">читанный на 30 лет график их соблюдения, предусматривающий постепенное повышение процентной доли соблюдения стандартов. </w:t>
      </w:r>
    </w:p>
    <w:p w:rsidR="006C77FE" w:rsidRPr="006C77FE" w:rsidRDefault="006C77FE" w:rsidP="006C77FE">
      <w:pPr>
        <w:pStyle w:val="SingleTxtGR"/>
      </w:pPr>
      <w:r w:rsidRPr="006C77FE">
        <w:t>119.</w:t>
      </w:r>
      <w:r w:rsidRPr="006C77FE">
        <w:tab/>
        <w:t>Транспортные стандарты также предусматривают механизм, с помощью которого операторы транспортных средств и обслуживающие организации могут добиваться соблюдения стандартов на основе положения об «эквивалентном доступе»</w:t>
      </w:r>
      <w:r w:rsidRPr="0044580E">
        <w:rPr>
          <w:sz w:val="18"/>
          <w:vertAlign w:val="superscript"/>
        </w:rPr>
        <w:footnoteReference w:id="14"/>
      </w:r>
      <w:r w:rsidRPr="006C77FE">
        <w:t xml:space="preserve">. Эквивалентный доступ предполагает использование методов, оборудования и объектов, обеспечивающих альтернативные средства доступа к соответствующим услугам общественного транспорта при надлежащем уровне культуры поведения, комфорта, удобств, достоинства, цены и безопасности. Эквивалентный доступ может также предполагать оказание непосредственной помощи по согласованию с инвалидами. </w:t>
      </w:r>
    </w:p>
    <w:p w:rsidR="006C77FE" w:rsidRPr="006C77FE" w:rsidRDefault="006C77FE" w:rsidP="006C77FE">
      <w:pPr>
        <w:pStyle w:val="SingleTxtGR"/>
      </w:pPr>
      <w:r w:rsidRPr="006C77FE">
        <w:lastRenderedPageBreak/>
        <w:t>120.</w:t>
      </w:r>
      <w:r w:rsidRPr="006C77FE">
        <w:tab/>
        <w:t>При условии и в той мере, в какой соблюдение стандартов создает для оператора или обслуживающей организации необоснованные трудности, они могут не выполнять транспортные стандарты, и это не считается незаконным.</w:t>
      </w:r>
    </w:p>
    <w:p w:rsidR="006C77FE" w:rsidRPr="006C77FE" w:rsidRDefault="006C77FE" w:rsidP="006C77FE">
      <w:pPr>
        <w:pStyle w:val="SingleTxtGR"/>
      </w:pPr>
      <w:r w:rsidRPr="006C77FE">
        <w:t>121.</w:t>
      </w:r>
      <w:r w:rsidRPr="006C77FE">
        <w:tab/>
        <w:t>Транспортные стандарты предоставляют АКПЧ право временно освобождать от их соблюдения в течение конкретного периода времени, не превышающего пять лет. Решения АКПЧ могут быть пересмотрены ААС.</w:t>
      </w:r>
    </w:p>
    <w:p w:rsidR="006C77FE" w:rsidRPr="006C77FE" w:rsidRDefault="006C77FE" w:rsidP="006C77FE">
      <w:pPr>
        <w:pStyle w:val="SingleTxtGR"/>
      </w:pPr>
      <w:r w:rsidRPr="006C77FE">
        <w:t>122.</w:t>
      </w:r>
      <w:r w:rsidRPr="006C77FE">
        <w:tab/>
        <w:t xml:space="preserve">В рамках процесса пересмотра транспортных стандартов правительствам штатов и территорий каждые пять лет предлагается представить сведения о соблюдении стандартов в их юрисдикции. Каждое правительство представляет доклад о степени ликвидации дискриминации в его системе общественного транспорта, а также о предпринятых инициативах и мерах, позволивших повысить уровень доступности выше уровня соответствия транспортным стандартам. Такие доклады обнародуются, а содержащаяся в них информация находит свое отражение в докладе по итогам пересмотра стандартов. </w:t>
      </w:r>
    </w:p>
    <w:p w:rsidR="006C77FE" w:rsidRPr="00D574B3" w:rsidRDefault="006C77FE" w:rsidP="0044580E">
      <w:pPr>
        <w:pStyle w:val="H56G"/>
        <w:rPr>
          <w:lang w:val="ru-RU"/>
        </w:rPr>
      </w:pPr>
      <w:r w:rsidRPr="00D574B3">
        <w:rPr>
          <w:lang w:val="ru-RU"/>
        </w:rPr>
        <w:tab/>
      </w:r>
      <w:r w:rsidRPr="00D574B3">
        <w:rPr>
          <w:lang w:val="ru-RU"/>
        </w:rPr>
        <w:tab/>
        <w:t>Стандарты защиты инвалидов (доступ к помещениям – зданиям) 2010 года (стандарты помещений)</w:t>
      </w:r>
    </w:p>
    <w:p w:rsidR="006C77FE" w:rsidRPr="006C77FE" w:rsidRDefault="006C77FE" w:rsidP="006C77FE">
      <w:pPr>
        <w:pStyle w:val="SingleTxtGR"/>
      </w:pPr>
      <w:r w:rsidRPr="006C77FE">
        <w:t>123.</w:t>
      </w:r>
      <w:r w:rsidRPr="006C77FE">
        <w:tab/>
        <w:t xml:space="preserve">Стандарты помещений обеспечивают минимальные национальные нормы требований к доступности в целях обеспечения достойного доступа инвалидов к зданиям и пользования ими. </w:t>
      </w:r>
    </w:p>
    <w:p w:rsidR="006C77FE" w:rsidRPr="006C77FE" w:rsidRDefault="006C77FE" w:rsidP="006C77FE">
      <w:pPr>
        <w:pStyle w:val="SingleTxtGR"/>
      </w:pPr>
      <w:r w:rsidRPr="006C77FE">
        <w:t>124.</w:t>
      </w:r>
      <w:r w:rsidRPr="006C77FE">
        <w:tab/>
        <w:t xml:space="preserve">Технические требования изложены в Кодексе доступности к зданиям в соответствии со стандартами помещений. Как частные, так и государственные строительные инспекторы несут главную ответственность за обеспечение возведения зданий в соответствии со всеми законодательными и нормативными требованиями, включая требования к доступности. </w:t>
      </w:r>
    </w:p>
    <w:p w:rsidR="006C77FE" w:rsidRPr="006C77FE" w:rsidRDefault="006C77FE" w:rsidP="006C77FE">
      <w:pPr>
        <w:pStyle w:val="SingleTxtGR"/>
      </w:pPr>
      <w:r w:rsidRPr="006C77FE">
        <w:t>125.</w:t>
      </w:r>
      <w:r w:rsidRPr="006C77FE">
        <w:tab/>
        <w:t>Строительные органы штатов и территорий отвечают за мониторинг и соблюдение требований к доступности в контексте более широкой деятельности по вопросам регулирования, соблюдения, мониторинга и обеспечения исполнения соответствующих требований к строительству. Необходимые для такой деятельности механизмы и ресурсы зависят от особенностей применяемой в каждой юрисдикции системы контроля соблюдения требований.</w:t>
      </w:r>
    </w:p>
    <w:p w:rsidR="006C77FE" w:rsidRPr="006C77FE" w:rsidRDefault="006C77FE" w:rsidP="006C77FE">
      <w:pPr>
        <w:pStyle w:val="SingleTxtGR"/>
      </w:pPr>
      <w:r w:rsidRPr="006C77FE">
        <w:t>126.</w:t>
      </w:r>
      <w:r w:rsidRPr="006C77FE">
        <w:tab/>
        <w:t>АКПЧ вправе освобождать от соблюдения некоторых или всех положений части Н2 Кодекса доступности (содержащей требования в отношении зданий системы общественного транспорта). Такое освобождение может производиться на какой-либо четко определенный период времени не свыше пяти лет и может быть пересмотрено ААС.</w:t>
      </w:r>
    </w:p>
    <w:p w:rsidR="006C77FE" w:rsidRPr="00D574B3" w:rsidRDefault="006C77FE" w:rsidP="0044580E">
      <w:pPr>
        <w:pStyle w:val="H56G"/>
        <w:rPr>
          <w:lang w:val="ru-RU"/>
        </w:rPr>
      </w:pPr>
      <w:r w:rsidRPr="00D574B3">
        <w:rPr>
          <w:lang w:val="ru-RU"/>
        </w:rPr>
        <w:tab/>
      </w:r>
      <w:r w:rsidRPr="00D574B3">
        <w:rPr>
          <w:lang w:val="ru-RU"/>
        </w:rPr>
        <w:tab/>
        <w:t>Деятельность АКПЧ по рассмотрению жалоб и примирению сторон</w:t>
      </w:r>
    </w:p>
    <w:p w:rsidR="006C77FE" w:rsidRPr="006C77FE" w:rsidRDefault="006C77FE" w:rsidP="006C77FE">
      <w:pPr>
        <w:pStyle w:val="SingleTxtGR"/>
      </w:pPr>
      <w:r w:rsidRPr="006C77FE">
        <w:t>127.</w:t>
      </w:r>
      <w:r w:rsidRPr="006C77FE">
        <w:tab/>
        <w:t>Любое лицо может подать в АКПЧ жалобу, если считает, что его права по ЗДИ, включая стандарты, были нарушены.</w:t>
      </w:r>
    </w:p>
    <w:p w:rsidR="006C77FE" w:rsidRPr="006C77FE" w:rsidRDefault="006C77FE" w:rsidP="006C77FE">
      <w:pPr>
        <w:pStyle w:val="SingleTxtGR"/>
      </w:pPr>
      <w:r w:rsidRPr="006C77FE">
        <w:t>128.</w:t>
      </w:r>
      <w:r w:rsidRPr="006C77FE">
        <w:tab/>
        <w:t>АКПЧ вправе проводить расследования и содействовать примирению сторон, и при невозможности урегулирования спора стороны могут обратиться в Федеральный суд Австралии или Федеральный окружной суд Австралии. Процесс примирения силами АКПЧ носит инклюзивный характер и направлен на достижение взаимоприемлемых результатов. В 2016/17 году удалось добиться успеха в примирении споров примерно по 75% жалоб.</w:t>
      </w:r>
    </w:p>
    <w:p w:rsidR="006C77FE" w:rsidRPr="00D574B3" w:rsidRDefault="006C77FE" w:rsidP="0044580E">
      <w:pPr>
        <w:pStyle w:val="H23G"/>
        <w:rPr>
          <w:lang w:val="ru-RU"/>
        </w:rPr>
      </w:pPr>
      <w:r w:rsidRPr="00D574B3">
        <w:rPr>
          <w:lang w:val="ru-RU"/>
        </w:rPr>
        <w:tab/>
      </w:r>
      <w:r w:rsidRPr="00D574B3">
        <w:rPr>
          <w:lang w:val="ru-RU"/>
        </w:rPr>
        <w:tab/>
        <w:t>Вопрос 10</w:t>
      </w:r>
    </w:p>
    <w:p w:rsidR="006C77FE" w:rsidRPr="006C77FE" w:rsidRDefault="006C77FE" w:rsidP="006C77FE">
      <w:pPr>
        <w:pStyle w:val="SingleTxtGR"/>
      </w:pPr>
      <w:r w:rsidRPr="006C77FE">
        <w:t>129.</w:t>
      </w:r>
      <w:r w:rsidRPr="006C77FE">
        <w:tab/>
        <w:t>Австралия признает основополагающее значение обеспечения доступности для инвалидов наравне с другими ко всем объектам и услугам, открытым или предоставляемым для общественности. В Австралии имеется комплексная и согласованная нормативно-правовая база для достижения этой цели (законодательная база – см. вопросы 1 и 9).</w:t>
      </w:r>
    </w:p>
    <w:p w:rsidR="006C77FE" w:rsidRPr="00D574B3" w:rsidRDefault="006C77FE" w:rsidP="0044580E">
      <w:pPr>
        <w:pStyle w:val="H56G"/>
        <w:rPr>
          <w:lang w:val="ru-RU"/>
        </w:rPr>
      </w:pPr>
      <w:r w:rsidRPr="00D574B3">
        <w:rPr>
          <w:lang w:val="ru-RU"/>
        </w:rPr>
        <w:lastRenderedPageBreak/>
        <w:tab/>
      </w:r>
      <w:r w:rsidRPr="00D574B3">
        <w:rPr>
          <w:lang w:val="ru-RU"/>
        </w:rPr>
        <w:tab/>
        <w:t>Политические рамки</w:t>
      </w:r>
    </w:p>
    <w:p w:rsidR="006C77FE" w:rsidRPr="006C77FE" w:rsidRDefault="006C77FE" w:rsidP="006C77FE">
      <w:pPr>
        <w:pStyle w:val="SingleTxtGR"/>
      </w:pPr>
      <w:r w:rsidRPr="006C77FE">
        <w:t>130.</w:t>
      </w:r>
      <w:r w:rsidRPr="006C77FE">
        <w:tab/>
        <w:t>НСПИ направлена на активное применение более инклюзивного подхода к разработке политики, программ и инфраструктуры в целях создания возможностей для участия инвалидов во всех сферах жизни австралийского общества.</w:t>
      </w:r>
    </w:p>
    <w:p w:rsidR="006C77FE" w:rsidRPr="006C77FE" w:rsidRDefault="006C77FE" w:rsidP="006C77FE">
      <w:pPr>
        <w:pStyle w:val="SingleTxtGR"/>
      </w:pPr>
      <w:r w:rsidRPr="006C77FE">
        <w:t>131.</w:t>
      </w:r>
      <w:r w:rsidRPr="006C77FE">
        <w:tab/>
        <w:t>Одна из основных задач НСПИ состоит в обеспечении проживания инвалидов в условиях доступных и благоустроенных общин с возможностью полноценного участия в общественной, экономической, спортивной и культурной жизни. НСПИ предусматривает направления действий по решению этой задачи с уделением повышенного внимания:</w:t>
      </w:r>
    </w:p>
    <w:p w:rsidR="006C77FE" w:rsidRPr="006C77FE" w:rsidRDefault="006C77FE" w:rsidP="006C77FE">
      <w:pPr>
        <w:pStyle w:val="SingleTxtGR"/>
      </w:pPr>
      <w:r w:rsidRPr="006C77FE">
        <w:tab/>
      </w:r>
      <w:r w:rsidRPr="006C77FE">
        <w:rPr>
          <w:lang w:val="en-US"/>
        </w:rPr>
        <w:t>a</w:t>
      </w:r>
      <w:r w:rsidRPr="006C77FE">
        <w:t>)</w:t>
      </w:r>
      <w:r w:rsidRPr="006C77FE">
        <w:tab/>
        <w:t>улучшению доступа и расширению участия инвалидов в широком круге спортивных рекреационных и общественных мероприятий;</w:t>
      </w:r>
    </w:p>
    <w:p w:rsidR="006C77FE" w:rsidRPr="006C77FE" w:rsidRDefault="006C77FE" w:rsidP="006C77FE">
      <w:pPr>
        <w:pStyle w:val="SingleTxtGR"/>
      </w:pPr>
      <w:r w:rsidRPr="006C77FE">
        <w:tab/>
      </w:r>
      <w:r w:rsidRPr="006C77FE">
        <w:rPr>
          <w:lang w:val="en-US"/>
        </w:rPr>
        <w:t>b</w:t>
      </w:r>
      <w:r w:rsidRPr="006C77FE">
        <w:t>)</w:t>
      </w:r>
      <w:r w:rsidRPr="006C77FE">
        <w:tab/>
        <w:t>мониторингу и оценке эффективности соблюдения стандартов доступности; и</w:t>
      </w:r>
    </w:p>
    <w:p w:rsidR="006C77FE" w:rsidRPr="006C77FE" w:rsidRDefault="006C77FE" w:rsidP="006C77FE">
      <w:pPr>
        <w:pStyle w:val="SingleTxtGR"/>
      </w:pPr>
      <w:r w:rsidRPr="006C77FE">
        <w:tab/>
        <w:t>с)</w:t>
      </w:r>
      <w:r w:rsidRPr="006C77FE">
        <w:tab/>
        <w:t>более широкому применению методов универсального дизайна и его более активной пропаганде в общинах.</w:t>
      </w:r>
    </w:p>
    <w:p w:rsidR="006C77FE" w:rsidRPr="006C77FE" w:rsidRDefault="006C77FE" w:rsidP="006C77FE">
      <w:pPr>
        <w:pStyle w:val="SingleTxtGR"/>
      </w:pPr>
      <w:r w:rsidRPr="006C77FE">
        <w:t>132.</w:t>
      </w:r>
      <w:r w:rsidRPr="006C77FE">
        <w:tab/>
        <w:t>Правительство Австралии продолжает работать с Форумом по вопросам авиационной доступности (ФАД), который созывается каждые два года для выработки рекомендаций в отношении политики обеспечения доступа для инвалидов, а также оперативных и административных аспектов доступа инвалидов к авиационным перевозкам. ФАД служит площадкой для обмена информацией между представителями работающих в интересах инвалидов организаций, авиационной индустрии и австралийских правительственных органов в качестве механизма дальнейшего совершенствования доступа для инвалидов.</w:t>
      </w:r>
    </w:p>
    <w:p w:rsidR="006C77FE" w:rsidRPr="006C77FE" w:rsidRDefault="006C77FE" w:rsidP="006C77FE">
      <w:pPr>
        <w:pStyle w:val="SingleTxtGR"/>
      </w:pPr>
      <w:r w:rsidRPr="006C77FE">
        <w:t>133.</w:t>
      </w:r>
      <w:r w:rsidRPr="006C77FE">
        <w:tab/>
        <w:t>Все правительственные органы Австралии обязаны соблюдать стандарт цифровых услуг, установленный Агентством по развитию цифровых технологий. Согласно этому стандарту государственные интернет-услуги, которые были разработаны или пересмотрены после 6 мая 2016 года, должны быть доступны для всех пользователей, независимо от их способностей и условий. Стандарт цифровых услуг требует соблюдения руководящих принципов доступности веб-контента (РПДВК) 2.0 уровня АА.</w:t>
      </w:r>
    </w:p>
    <w:p w:rsidR="006C77FE" w:rsidRPr="006C77FE" w:rsidRDefault="006C77FE" w:rsidP="006C77FE">
      <w:pPr>
        <w:pStyle w:val="SingleTxtGR"/>
      </w:pPr>
      <w:r w:rsidRPr="006C77FE">
        <w:t>134.</w:t>
      </w:r>
      <w:r w:rsidRPr="006C77FE">
        <w:tab/>
        <w:t>Вместе с тем правительства штатов и территорий имеют собственную политику и стратегии по сокращению барьеров, с которыми сталкиваются инвалиды при доступе к образованию, занятости и другим услугам.</w:t>
      </w:r>
    </w:p>
    <w:p w:rsidR="006C77FE" w:rsidRPr="006C77FE" w:rsidRDefault="006C77FE" w:rsidP="006C77FE">
      <w:pPr>
        <w:pStyle w:val="SingleTxtGR"/>
      </w:pPr>
      <w:r w:rsidRPr="006C77FE">
        <w:t>135.</w:t>
      </w:r>
      <w:r w:rsidRPr="006C77FE">
        <w:tab/>
        <w:t>В нескольких штатах и территориях имеются планы и стратегии интеграции инвалидов, направленные на содействие интегрированию инвалидов в жизнь общества и их доступу к основным услугам.</w:t>
      </w:r>
    </w:p>
    <w:p w:rsidR="006C77FE" w:rsidRPr="006C77FE" w:rsidRDefault="006C77FE" w:rsidP="006C77FE">
      <w:pPr>
        <w:pStyle w:val="SingleTxtGR"/>
      </w:pPr>
      <w:r w:rsidRPr="006C77FE">
        <w:t>136.</w:t>
      </w:r>
      <w:r w:rsidRPr="006C77FE">
        <w:tab/>
        <w:t xml:space="preserve">Правительство НЮУ приняло программное постановление по вопросам удовлетворения потребностей инвалидов во время их госпитализации, в котором определяются инструменты и принципы, призванные содействовать обеспечению инвалидов доступными средствами коммуникации, включая шрифт Брайля, тактильные направляющие планки, слуховые аппараты в медицинских учреждениях, материалы в легко читаемых форматах, переводчиков на австралийский язык жестов при демонстрации видеоматериалов для обеспечения доступности информационных бюллетеней, а также использование экранного диктора для чтения электронных документов. </w:t>
      </w:r>
    </w:p>
    <w:p w:rsidR="006C77FE" w:rsidRPr="006C77FE" w:rsidRDefault="006C77FE" w:rsidP="0044580E">
      <w:pPr>
        <w:pStyle w:val="H23GR"/>
      </w:pPr>
      <w:bookmarkStart w:id="5" w:name="OLE_LINK3"/>
      <w:r w:rsidRPr="006C77FE">
        <w:tab/>
      </w:r>
      <w:r w:rsidRPr="006C77FE">
        <w:tab/>
        <w:t>Вопрос 11</w:t>
      </w:r>
    </w:p>
    <w:p w:rsidR="006C77FE" w:rsidRPr="006C77FE" w:rsidRDefault="006C77FE" w:rsidP="006C77FE">
      <w:pPr>
        <w:pStyle w:val="SingleTxtGR"/>
      </w:pPr>
      <w:r w:rsidRPr="006C77FE">
        <w:t>137.</w:t>
      </w:r>
      <w:r w:rsidRPr="006C77FE">
        <w:tab/>
        <w:t>Австралия проводит работу по формированию достаточного фонда доступного для инвалидов жилья. В 2017 году правительство Австралии объявило о мерах в рамках его плана по уменьшению остроты проблемы экономической доступности жилья в целях улучшения положения с жильем. К ним относится национальное соглашение по вопросам обеспечения жильем и бездомности (НСЖБ), а также созданная 30 июня 2018 года независимая Национальная корпорация финансирования жилищного строительства и инвестиционной деятельностью (НКФЖИ).</w:t>
      </w:r>
    </w:p>
    <w:p w:rsidR="006C77FE" w:rsidRPr="006C77FE" w:rsidRDefault="006C77FE" w:rsidP="006C77FE">
      <w:pPr>
        <w:pStyle w:val="SingleTxtGR"/>
      </w:pPr>
      <w:r w:rsidRPr="006C77FE">
        <w:lastRenderedPageBreak/>
        <w:t xml:space="preserve">138. </w:t>
      </w:r>
      <w:r w:rsidRPr="006C77FE">
        <w:tab/>
        <w:t>Задача НКФЖИ состоит в улучшении положения с жильем за счет средств Национального фонда развития жилой</w:t>
      </w:r>
      <w:r w:rsidR="00D86A17">
        <w:t xml:space="preserve"> инфраструктуры в объеме 1 млрд</w:t>
      </w:r>
      <w:r w:rsidRPr="006C77FE">
        <w:t xml:space="preserve"> долл. (НФРЖИ) и агрегатора облигаций доступного жилья (агрегатор облигаций). НФРЖИ будет помогать в финансировании жизненно важных объектов инфраструктуры, необходимых для начала и ускорения строительства нового жилого фонда, который может включать доступное жилье. Агрегатор облигаций будет способствовать повышению эффективности финансирования застройщиков социального жилья, что позволит им улучшить жилищное положение своих клиентов, в том числе инвалидов. </w:t>
      </w:r>
    </w:p>
    <w:p w:rsidR="006C77FE" w:rsidRPr="006C77FE" w:rsidRDefault="006C77FE" w:rsidP="006C77FE">
      <w:pPr>
        <w:pStyle w:val="SingleTxtGR"/>
      </w:pPr>
      <w:r w:rsidRPr="006C77FE">
        <w:t>139.</w:t>
      </w:r>
      <w:r w:rsidRPr="006C77FE">
        <w:tab/>
        <w:t xml:space="preserve">В 2016/17 году правительство Австралии израсходовало около 4,4 млрд долл. на Программу субсидий (Австралийского Союза) на аренду жилья, благодаря которой помощь была предоставлена более чем 1,3 млн человек и семей, включая примерно 260 000 физических лиц и семей, получающих пенсии по линии Программы пенсионной поддержки инвалидов (ПППИ). </w:t>
      </w:r>
    </w:p>
    <w:p w:rsidR="006C77FE" w:rsidRPr="00D574B3" w:rsidRDefault="006C77FE" w:rsidP="0044580E">
      <w:pPr>
        <w:pStyle w:val="H56G"/>
        <w:rPr>
          <w:lang w:val="ru-RU"/>
        </w:rPr>
      </w:pPr>
      <w:r w:rsidRPr="00D574B3">
        <w:rPr>
          <w:lang w:val="ru-RU"/>
        </w:rPr>
        <w:tab/>
      </w:r>
      <w:r w:rsidRPr="00D574B3">
        <w:rPr>
          <w:lang w:val="ru-RU"/>
        </w:rPr>
        <w:tab/>
        <w:t>Универсальный дизайн жилья</w:t>
      </w:r>
    </w:p>
    <w:p w:rsidR="006C77FE" w:rsidRPr="006C77FE" w:rsidRDefault="006C77FE" w:rsidP="006C77FE">
      <w:pPr>
        <w:pStyle w:val="SingleTxtGR"/>
      </w:pPr>
      <w:r w:rsidRPr="006C77FE">
        <w:t>140.</w:t>
      </w:r>
      <w:r w:rsidRPr="006C77FE">
        <w:tab/>
        <w:t xml:space="preserve">Правительство Австралии сотрудничает со штатами и территориями (которые несут ответственность за создание нормативно-правовой базы регулирования архитектурной среды) в интересах применения согласованного на национальном уровне и экономически эффективного подхода к регулированию строительства зданий и сооружений. </w:t>
      </w:r>
    </w:p>
    <w:p w:rsidR="006C77FE" w:rsidRPr="006C77FE" w:rsidRDefault="006C77FE" w:rsidP="006C77FE">
      <w:pPr>
        <w:pStyle w:val="SingleTxtGR"/>
      </w:pPr>
      <w:r w:rsidRPr="006C77FE">
        <w:t>141.</w:t>
      </w:r>
      <w:r w:rsidRPr="006C77FE">
        <w:tab/>
        <w:t>Правительство Австралии руководит сотрудничеством через механизм Форума министров строительства (ФМС), в состав которого входят министры строительства из каждой юрисдикции. ФМС занимается широким кругом вопросов политики в области строительства, включая разработку Национального строительного кодекса (НСК) и проблемы доступности.</w:t>
      </w:r>
    </w:p>
    <w:p w:rsidR="006C77FE" w:rsidRPr="006C77FE" w:rsidRDefault="006C77FE" w:rsidP="006C77FE">
      <w:pPr>
        <w:pStyle w:val="SingleTxtGR"/>
      </w:pPr>
      <w:r w:rsidRPr="006C77FE">
        <w:t>142.</w:t>
      </w:r>
      <w:r w:rsidRPr="006C77FE">
        <w:tab/>
        <w:t>В феврале 2011 года САП согласовал амбициозную цель в контексте Национальной стратегии поддержки инвалидов (НСПИ), согласно которой к 2020 году все новые жилые дома должны соответствовать согласованным стандартам универсального дизайна в области доступности. Правительства штатов и территорий достигли определенного прогресса в деле увеличения жилого фонда, который соответствует нормам универсального дизайна и доступности, особенно в части муниципального и социального жилья. Так</w:t>
      </w:r>
      <w:r w:rsidR="0044580E">
        <w:t>,</w:t>
      </w:r>
      <w:r w:rsidRPr="006C77FE">
        <w:t xml:space="preserve"> например, согласно принятым Департаментом жилищного строительства и коммунального хозяйства Северной территории «Принципам дизайна городского социального жилья» все новое жилье в городах должно соответствовать предусмотренному в них «серебряному рейтингу».</w:t>
      </w:r>
    </w:p>
    <w:p w:rsidR="006C77FE" w:rsidRPr="006C77FE" w:rsidRDefault="006C77FE" w:rsidP="006C77FE">
      <w:pPr>
        <w:pStyle w:val="SingleTxtGR"/>
      </w:pPr>
      <w:r w:rsidRPr="006C77FE">
        <w:t>143.</w:t>
      </w:r>
      <w:r w:rsidRPr="006C77FE">
        <w:tab/>
        <w:t xml:space="preserve">В октябре 2017 года ФМС поручил Австралийскому совету по разработке строительных кодексов (АССК) в консультации с министрами по делам инвалидов произвести на национальном уровне оценку эффективности нормативного регулирования (ОЭНР) в интересах включения в них минимальных стандартов доступности жилья. АССК подготовит для целей ОЭНР документ с изложением многовариантных сценариев с использованием материалов Совета по реформированию системы поддержки инвалидов, с тем чтобы ФМС смог рассмотреть его на следующем заседании. </w:t>
      </w:r>
    </w:p>
    <w:bookmarkEnd w:id="5"/>
    <w:p w:rsidR="006C77FE" w:rsidRPr="00D574B3" w:rsidRDefault="006C77FE" w:rsidP="0044580E">
      <w:pPr>
        <w:pStyle w:val="H1G"/>
        <w:rPr>
          <w:lang w:val="ru-RU"/>
        </w:rPr>
      </w:pPr>
      <w:r w:rsidRPr="00D574B3">
        <w:rPr>
          <w:lang w:val="ru-RU"/>
        </w:rPr>
        <w:tab/>
      </w:r>
      <w:r w:rsidRPr="00D574B3">
        <w:rPr>
          <w:lang w:val="ru-RU"/>
        </w:rPr>
        <w:tab/>
        <w:t>Ситуации риска и чрезвычайны</w:t>
      </w:r>
      <w:r w:rsidR="0044580E" w:rsidRPr="00D574B3">
        <w:rPr>
          <w:lang w:val="ru-RU"/>
        </w:rPr>
        <w:t>е гуманитарные ситуации (статья</w:t>
      </w:r>
      <w:r w:rsidR="0044580E">
        <w:t> </w:t>
      </w:r>
      <w:r w:rsidRPr="00D574B3">
        <w:rPr>
          <w:lang w:val="ru-RU"/>
        </w:rPr>
        <w:t>11)</w:t>
      </w:r>
    </w:p>
    <w:p w:rsidR="006C77FE" w:rsidRPr="00D574B3" w:rsidRDefault="006C77FE" w:rsidP="0044580E">
      <w:pPr>
        <w:pStyle w:val="H23G"/>
        <w:rPr>
          <w:lang w:val="ru-RU"/>
        </w:rPr>
      </w:pPr>
      <w:r w:rsidRPr="00D574B3">
        <w:rPr>
          <w:lang w:val="ru-RU"/>
        </w:rPr>
        <w:tab/>
      </w:r>
      <w:r w:rsidRPr="00D574B3">
        <w:rPr>
          <w:lang w:val="ru-RU"/>
        </w:rPr>
        <w:tab/>
        <w:t>Вопрос 12</w:t>
      </w:r>
    </w:p>
    <w:p w:rsidR="006C77FE" w:rsidRPr="006C77FE" w:rsidRDefault="006C77FE" w:rsidP="006C77FE">
      <w:pPr>
        <w:pStyle w:val="SingleTxtGR"/>
      </w:pPr>
      <w:r w:rsidRPr="006C77FE">
        <w:t>144.</w:t>
      </w:r>
      <w:r w:rsidRPr="006C77FE">
        <w:tab/>
        <w:t xml:space="preserve">Национальная стратегия обеспечения устойчивости к бедствиям (НСУБ) предполагает доступность и учет находящихся в уязвимом положении лиц, включая инвалидов, во всех ситуациях риска. В НСУБ признается, что от бедствий зачастую сильнее всего страдают именно находящиеся в уязвимом положении члены общин, и подчеркивается, что эта группа требует к себе приоритетного внимания. Под этим подразумевается выявление наиболее уязвимых лиц, ознакомление их с факторами риска, разработка плана по уменьшению опасности бедствий с учетом их </w:t>
      </w:r>
      <w:r w:rsidRPr="006C77FE">
        <w:lastRenderedPageBreak/>
        <w:t xml:space="preserve">потребностей и оказание им на первоочередной основе помощи в чрезвычайных ситуациях. </w:t>
      </w:r>
    </w:p>
    <w:p w:rsidR="006C77FE" w:rsidRPr="006C77FE" w:rsidRDefault="006C77FE" w:rsidP="006C77FE">
      <w:pPr>
        <w:pStyle w:val="SingleTxtGR"/>
      </w:pPr>
      <w:r w:rsidRPr="006C77FE">
        <w:t>145.</w:t>
      </w:r>
      <w:r w:rsidRPr="006C77FE">
        <w:tab/>
        <w:t xml:space="preserve">Правительство Австралии поддерживает 38 показателей Сендайской рамочной программы, которые служат важным механизмом информирования по вопросам уменьшения опасности бедствий и побудительным фактором соответствующей деятельности. Австралия тесно сотрудничает с заинтересованными сторонами в целях изучения наиболее прагматичных и эффективных методов представления докладов об осуществлении Сендайской рамочной программы. Такая работа ведется на постоянной основе и по-прежнему является одним из национальных приоритетов. </w:t>
      </w:r>
    </w:p>
    <w:p w:rsidR="006C77FE" w:rsidRPr="006C77FE" w:rsidRDefault="006C77FE" w:rsidP="006C77FE">
      <w:pPr>
        <w:pStyle w:val="SingleTxtGR"/>
      </w:pPr>
      <w:r w:rsidRPr="006C77FE">
        <w:t>146.</w:t>
      </w:r>
      <w:r w:rsidRPr="006C77FE">
        <w:tab/>
        <w:t>Правительство Австралии недавно создало Национальную целевую группу по вопросам устойчивости к бедствиям для разработки пятилетней национальной программы по уменьшению опасности бедствий в качестве основы для осуществления общенациональных реформ, а также для сокращения последствий и финансового бремени бедствий. Разработка новой программы будет осуществляться под руководством правительства Австралии, действующим в сотрудничестве с правительствами штатов и территорий, группами общин и частным сектором. При этом оно будет руководствоваться Сендайской рамочной программой, в том числе в части, касающейся инвалидов.</w:t>
      </w:r>
    </w:p>
    <w:p w:rsidR="006C77FE" w:rsidRPr="00D574B3" w:rsidRDefault="006C77FE" w:rsidP="0044580E">
      <w:pPr>
        <w:pStyle w:val="H1G"/>
        <w:rPr>
          <w:lang w:val="ru-RU"/>
        </w:rPr>
      </w:pPr>
      <w:bookmarkStart w:id="6" w:name="OLE_LINK12"/>
      <w:r w:rsidRPr="00D574B3">
        <w:rPr>
          <w:lang w:val="ru-RU"/>
        </w:rPr>
        <w:tab/>
      </w:r>
      <w:r w:rsidRPr="00D574B3">
        <w:rPr>
          <w:lang w:val="ru-RU"/>
        </w:rPr>
        <w:tab/>
        <w:t>Равенство перед законом (статья 12)</w:t>
      </w:r>
    </w:p>
    <w:p w:rsidR="006C77FE" w:rsidRPr="00D574B3" w:rsidRDefault="006C77FE" w:rsidP="0044580E">
      <w:pPr>
        <w:pStyle w:val="H23G"/>
        <w:rPr>
          <w:lang w:val="ru-RU"/>
        </w:rPr>
      </w:pPr>
      <w:bookmarkStart w:id="7" w:name="OLE_LINK15"/>
      <w:r w:rsidRPr="00D574B3">
        <w:rPr>
          <w:lang w:val="ru-RU"/>
        </w:rPr>
        <w:tab/>
      </w:r>
      <w:r w:rsidRPr="00D574B3">
        <w:rPr>
          <w:lang w:val="ru-RU"/>
        </w:rPr>
        <w:tab/>
        <w:t>Вопрос 13</w:t>
      </w:r>
    </w:p>
    <w:p w:rsidR="006C77FE" w:rsidRPr="006C77FE" w:rsidRDefault="006C77FE" w:rsidP="006C77FE">
      <w:pPr>
        <w:pStyle w:val="SingleTxtGR"/>
      </w:pPr>
      <w:bookmarkStart w:id="8" w:name="OLE_LINK17"/>
      <w:bookmarkEnd w:id="6"/>
      <w:bookmarkEnd w:id="7"/>
      <w:r w:rsidRPr="006C77FE">
        <w:t>147.</w:t>
      </w:r>
      <w:r w:rsidRPr="006C77FE">
        <w:tab/>
        <w:t xml:space="preserve">Правительство Австралии изучает рекомендации, внесенные австралийской Комиссией по реформе законодательства (АКРЗ) в докладе «Вопросы равенства, потенциала и инвалидности в законах Австралийского союза» (доклад АКРЗ 124), в том числе рекомендацию закрепить в соответствующих законах и нормативно-правовых положениях такую модель принятия решений, которая бы способствовала суппортивному принятию решений. Результаты такого изучения лягут в основу будущей работы с правительствами штатов и территорий по данной проблеме. </w:t>
      </w:r>
    </w:p>
    <w:p w:rsidR="006C77FE" w:rsidRPr="00D574B3" w:rsidRDefault="006C77FE" w:rsidP="0044580E">
      <w:pPr>
        <w:pStyle w:val="H56G"/>
        <w:rPr>
          <w:lang w:val="ru-RU"/>
        </w:rPr>
      </w:pPr>
      <w:r w:rsidRPr="00D574B3">
        <w:rPr>
          <w:lang w:val="ru-RU"/>
        </w:rPr>
        <w:tab/>
      </w:r>
      <w:r w:rsidRPr="00D574B3">
        <w:rPr>
          <w:lang w:val="ru-RU"/>
        </w:rPr>
        <w:tab/>
        <w:t>Правоспособность</w:t>
      </w:r>
    </w:p>
    <w:p w:rsidR="006C77FE" w:rsidRPr="006C77FE" w:rsidRDefault="006C77FE" w:rsidP="006C77FE">
      <w:pPr>
        <w:pStyle w:val="SingleTxtGR"/>
      </w:pPr>
      <w:r w:rsidRPr="006C77FE">
        <w:t>148.</w:t>
      </w:r>
      <w:r w:rsidRPr="006C77FE">
        <w:tab/>
        <w:t>Австралия решительно поддерживает права ин</w:t>
      </w:r>
      <w:r w:rsidR="0044580E">
        <w:t>валидов на правоспособность. На </w:t>
      </w:r>
      <w:r w:rsidRPr="006C77FE">
        <w:t xml:space="preserve">уровне Австралийского союза, штатов и территорий осуществляются программы подготовки по вопросам работы с инвалидами и признания их правоспособности наравне с другими. Подготовку по таким программам могут проходить самые разные специалисты, включая судебных работников, сотрудников федерального суда, полицейских, гражданских служащих и социальных работников. </w:t>
      </w:r>
    </w:p>
    <w:p w:rsidR="006C77FE" w:rsidRPr="00D574B3" w:rsidRDefault="006C77FE" w:rsidP="0044580E">
      <w:pPr>
        <w:pStyle w:val="H56G"/>
        <w:rPr>
          <w:lang w:val="ru-RU"/>
        </w:rPr>
      </w:pPr>
      <w:r w:rsidRPr="00D574B3">
        <w:rPr>
          <w:lang w:val="ru-RU"/>
        </w:rPr>
        <w:tab/>
      </w:r>
      <w:r w:rsidRPr="00D574B3">
        <w:rPr>
          <w:lang w:val="ru-RU"/>
        </w:rPr>
        <w:tab/>
        <w:t xml:space="preserve">Должностные лица и персонал судов </w:t>
      </w:r>
    </w:p>
    <w:p w:rsidR="006C77FE" w:rsidRPr="006C77FE" w:rsidRDefault="006C77FE" w:rsidP="006C77FE">
      <w:pPr>
        <w:pStyle w:val="SingleTxtGR"/>
      </w:pPr>
      <w:r w:rsidRPr="006C77FE">
        <w:t>149.</w:t>
      </w:r>
      <w:r w:rsidRPr="006C77FE">
        <w:tab/>
        <w:t xml:space="preserve">Для сотрудников федеральных судов разработана комплексная информационно-просветительская интерактивная программа по вопросам инвалидности под названием «Давайте поговорим об инвалидности». Она призвана помочь сотрудникам федерального суда в формировании знаний, навыков и осведомленности в интересах их эффективной работы с инвалидами и содействовать доступу инвалидов к правосудию в судах. </w:t>
      </w:r>
    </w:p>
    <w:p w:rsidR="006C77FE" w:rsidRPr="006C77FE" w:rsidRDefault="006C77FE" w:rsidP="006C77FE">
      <w:pPr>
        <w:pStyle w:val="SingleTxtGR"/>
      </w:pPr>
      <w:r w:rsidRPr="006C77FE">
        <w:t>150.</w:t>
      </w:r>
      <w:r w:rsidRPr="006C77FE">
        <w:tab/>
        <w:t xml:space="preserve">В марте 2018 года Генеральный прокурор Австралийского Союза объявил о реализации стратегии Прокуратуры в области интеграции инвалидов на </w:t>
      </w:r>
      <w:r w:rsidR="0044580E">
        <w:br/>
      </w:r>
      <w:r w:rsidRPr="006C77FE">
        <w:t>2018–2020 годы, включающей целевые программы, в частности подготовку персонала, которые будут проводиться на основе доклада АКРЗ 124.</w:t>
      </w:r>
    </w:p>
    <w:p w:rsidR="006C77FE" w:rsidRPr="006C77FE" w:rsidRDefault="006C77FE" w:rsidP="006C77FE">
      <w:pPr>
        <w:pStyle w:val="SingleTxtGR"/>
      </w:pPr>
      <w:r w:rsidRPr="006C77FE">
        <w:t>151.</w:t>
      </w:r>
      <w:r w:rsidRPr="006C77FE">
        <w:tab/>
        <w:t xml:space="preserve">В свою очередь в штатах и территориях также налажена подготовка сотрудников судебных органов в целях выработки у них понимания потенциальных трудностей, барьеров или проявлений неравенства, с которыми могут сталкиваются представители разных слоев населения (включая инвалидов) в части процессуальных норм и процессуальной практики. Такая подготовка включает курсы повышения квалификации и ознакомление с руководствами, специальные разделы которых </w:t>
      </w:r>
      <w:r w:rsidRPr="006C77FE">
        <w:lastRenderedPageBreak/>
        <w:t>содержат информацию и инструктивные указания, касающиеся роли сотрудников судебных органов в обеспечении доступности судебной системы для инвалидов</w:t>
      </w:r>
      <w:r w:rsidRPr="0044580E">
        <w:rPr>
          <w:sz w:val="18"/>
          <w:vertAlign w:val="superscript"/>
        </w:rPr>
        <w:footnoteReference w:id="15"/>
      </w:r>
      <w:r w:rsidRPr="006C77FE">
        <w:t xml:space="preserve">. </w:t>
      </w:r>
    </w:p>
    <w:p w:rsidR="006C77FE" w:rsidRPr="00D574B3" w:rsidRDefault="006C77FE" w:rsidP="0044580E">
      <w:pPr>
        <w:pStyle w:val="H56G"/>
        <w:rPr>
          <w:lang w:val="ru-RU"/>
        </w:rPr>
      </w:pPr>
      <w:r w:rsidRPr="00D574B3">
        <w:rPr>
          <w:lang w:val="ru-RU"/>
        </w:rPr>
        <w:tab/>
      </w:r>
      <w:r w:rsidRPr="00D574B3">
        <w:rPr>
          <w:lang w:val="ru-RU"/>
        </w:rPr>
        <w:tab/>
        <w:t>Сотрудники полиции</w:t>
      </w:r>
    </w:p>
    <w:p w:rsidR="006C77FE" w:rsidRPr="006C77FE" w:rsidRDefault="006C77FE" w:rsidP="006C77FE">
      <w:pPr>
        <w:pStyle w:val="SingleTxtGR"/>
      </w:pPr>
      <w:r w:rsidRPr="006C77FE">
        <w:t xml:space="preserve">152. </w:t>
      </w:r>
      <w:r w:rsidRPr="006C77FE">
        <w:tab/>
        <w:t>Программа Федеральной полиции Австралии по методике допроса находящихся в уязвимом положении свидетелей включает занятие по выработке понимания типов психических (и в определенной степени физических) расстройств, которые могут способствовать слабоумию. На занятии разъясняются меры помощи таким лицам и приводится информация о том, куда следует обращаться за помощью.</w:t>
      </w:r>
    </w:p>
    <w:p w:rsidR="006C77FE" w:rsidRPr="006C77FE" w:rsidRDefault="006C77FE" w:rsidP="006C77FE">
      <w:pPr>
        <w:pStyle w:val="SingleTxtGR"/>
      </w:pPr>
      <w:r w:rsidRPr="006C77FE">
        <w:t>153.</w:t>
      </w:r>
      <w:r w:rsidRPr="006C77FE">
        <w:tab/>
        <w:t xml:space="preserve">В штатах и территориях проводятся программы подготовки сотрудников судебной системы, включая сотрудников службы исполнения наказаний, системы ювенальной юстиции, исправительных учреждений в ведении местных общин, полиции, а также медицинских работников или вспомогательного медицинского персонала. Такие программы разрабатываются в консультации с соответствующими общественными группами и предназначены для обучения методам работы с инвалидами. Они охватывают такие темы, как собеседования с детьми и лицами с психическими расстройствами, работа с пострадавшими из числа инвалидов, лицами с нарушениями функции общения или другими расстройствами. Некоторые программы включают выступления приглашенных сотрудников неправительственных организаций, например компаний, оказывающих услуги глухим. </w:t>
      </w:r>
    </w:p>
    <w:p w:rsidR="006C77FE" w:rsidRPr="006C77FE" w:rsidRDefault="006C77FE" w:rsidP="006C77FE">
      <w:pPr>
        <w:pStyle w:val="SingleTxtGR"/>
      </w:pPr>
      <w:r w:rsidRPr="006C77FE">
        <w:t>154.</w:t>
      </w:r>
      <w:r w:rsidRPr="006C77FE">
        <w:tab/>
        <w:t>В Западной Австралии (ЗА) Департамент по делам общин осуществляет программу подготовки персонала системы правосудия по вопросам инвалидности с целью выработки у взаимодействующих с инвалидами сотрудников навыков оказания им надлежащей поддержки в различных условиях (например, в тюрьмах и полицейских участках).</w:t>
      </w:r>
    </w:p>
    <w:p w:rsidR="006C77FE" w:rsidRPr="00D574B3" w:rsidRDefault="006C77FE" w:rsidP="0044580E">
      <w:pPr>
        <w:pStyle w:val="H56G"/>
        <w:rPr>
          <w:lang w:val="ru-RU"/>
        </w:rPr>
      </w:pPr>
      <w:r w:rsidRPr="00D574B3">
        <w:rPr>
          <w:lang w:val="ru-RU"/>
        </w:rPr>
        <w:tab/>
      </w:r>
      <w:r w:rsidRPr="00D574B3">
        <w:rPr>
          <w:lang w:val="ru-RU"/>
        </w:rPr>
        <w:tab/>
        <w:t>Государственные служащие и социальные работники</w:t>
      </w:r>
    </w:p>
    <w:p w:rsidR="006C77FE" w:rsidRPr="006C77FE" w:rsidRDefault="006C77FE" w:rsidP="006C77FE">
      <w:pPr>
        <w:pStyle w:val="SingleTxtGR"/>
      </w:pPr>
      <w:r w:rsidRPr="006C77FE">
        <w:t>155.</w:t>
      </w:r>
      <w:r w:rsidRPr="006C77FE">
        <w:tab/>
        <w:t>Сотрудники правительств Австралийского Союза, штатов и территорий обязаны соблюдать кодексы поведения, содержащие положения о разнообразии, уважении и правах человека (включая права инвалидов). При этом в некоторых юрисдикциях действуют также хартии прав человека, в которых закреплены основные права человека (в том числе права инвалидов)</w:t>
      </w:r>
      <w:r w:rsidRPr="0044580E">
        <w:rPr>
          <w:sz w:val="18"/>
          <w:vertAlign w:val="superscript"/>
        </w:rPr>
        <w:footnoteReference w:id="16"/>
      </w:r>
      <w:r w:rsidRPr="006C77FE">
        <w:t xml:space="preserve">. </w:t>
      </w:r>
    </w:p>
    <w:p w:rsidR="006C77FE" w:rsidRPr="006C77FE" w:rsidRDefault="006C77FE" w:rsidP="006C77FE">
      <w:pPr>
        <w:pStyle w:val="SingleTxtGR"/>
      </w:pPr>
      <w:r w:rsidRPr="006C77FE">
        <w:t>156.</w:t>
      </w:r>
      <w:r w:rsidRPr="006C77FE">
        <w:tab/>
        <w:t>АКПЧ проводит просветительскую работу по правам инвалидов среди организаций частного сектора и структур государственного аппарата по вопросам конкретных обязательств по Конвенции, ЗДИ и соответствующим стандартам, а также НСПИ. Так</w:t>
      </w:r>
      <w:r w:rsidR="0044580E">
        <w:t>,</w:t>
      </w:r>
      <w:r w:rsidRPr="006C77FE">
        <w:t xml:space="preserve"> например, АКПЧ в сотрудничестве с Департаментом НЮУ по делам семьи и коммунально-бытовому обслуживанию недавно организовала занятия с целью повышения осведомленности о проблемах инвалидов для сотрудников общепрограммного и проектного персонала органов государственного управления Нового Южного Уэльса. </w:t>
      </w:r>
    </w:p>
    <w:p w:rsidR="006C77FE" w:rsidRPr="006C77FE" w:rsidRDefault="006C77FE" w:rsidP="006C77FE">
      <w:pPr>
        <w:pStyle w:val="SingleTxtGR"/>
      </w:pPr>
      <w:r w:rsidRPr="006C77FE">
        <w:t>157.</w:t>
      </w:r>
      <w:r w:rsidRPr="006C77FE">
        <w:tab/>
        <w:t>Правительственные органы штатов и территорий проводят соответствующие программы подготовки по вопросам помощи инв</w:t>
      </w:r>
      <w:r w:rsidR="0044580E">
        <w:t>алидам для своих сотрудников. В </w:t>
      </w:r>
      <w:r w:rsidRPr="006C77FE">
        <w:t xml:space="preserve">Квинсленде в Центре переподготовки по проблемам клинических инноваций и поведенческой поддержки для всех обслуживающих инвалидов структур проводятся семинары в целях содействия наращиванию потенциала этого сектора. Центр также взаимодействует с Уполномоченным по опеке с целью поощрения суппортивной модели принятия решений как инструмента оказания помощи инвалидам в осуществлении ими своего права на принятие самостоятельных решений. </w:t>
      </w:r>
    </w:p>
    <w:bookmarkEnd w:id="8"/>
    <w:p w:rsidR="006C77FE" w:rsidRPr="00D574B3" w:rsidRDefault="006C77FE" w:rsidP="0044580E">
      <w:pPr>
        <w:pStyle w:val="H1G"/>
        <w:rPr>
          <w:lang w:val="ru-RU"/>
        </w:rPr>
      </w:pPr>
      <w:r w:rsidRPr="00D574B3">
        <w:rPr>
          <w:lang w:val="ru-RU"/>
        </w:rPr>
        <w:lastRenderedPageBreak/>
        <w:tab/>
      </w:r>
      <w:r w:rsidRPr="00D574B3">
        <w:rPr>
          <w:lang w:val="ru-RU"/>
        </w:rPr>
        <w:tab/>
        <w:t>Доступ к правосудию (статья 13)</w:t>
      </w:r>
    </w:p>
    <w:p w:rsidR="006C77FE" w:rsidRPr="00D574B3" w:rsidRDefault="006C77FE" w:rsidP="0044580E">
      <w:pPr>
        <w:pStyle w:val="H23G"/>
        <w:rPr>
          <w:lang w:val="ru-RU"/>
        </w:rPr>
      </w:pPr>
      <w:r w:rsidRPr="00D574B3">
        <w:rPr>
          <w:lang w:val="ru-RU"/>
        </w:rPr>
        <w:tab/>
      </w:r>
      <w:r w:rsidRPr="00D574B3">
        <w:rPr>
          <w:lang w:val="ru-RU"/>
        </w:rPr>
        <w:tab/>
        <w:t>Вопрос 14</w:t>
      </w:r>
    </w:p>
    <w:p w:rsidR="006C77FE" w:rsidRPr="006C77FE" w:rsidRDefault="006C77FE" w:rsidP="006C77FE">
      <w:pPr>
        <w:pStyle w:val="SingleTxtGR"/>
      </w:pPr>
      <w:r w:rsidRPr="006C77FE">
        <w:t>158.</w:t>
      </w:r>
      <w:r w:rsidRPr="006C77FE">
        <w:tab/>
        <w:t xml:space="preserve">«Состояние здоровья заключенных в Австралии» за 2015 год (Доклад о заключенных) является четвертым по счету докладом АИЗС о национальных показателях здоровья заключенных, которые были разработаны в целях упрощения мониторинга состояния здоровья заключенных и накопления опорных данных для планирования и осуществления медицинского обслуживания в тюрьмах, а также для оценки такого обслуживания и его качества. В этот доклад впервые включены данные об инвалидности заключенных в Австралии. </w:t>
      </w:r>
    </w:p>
    <w:p w:rsidR="006C77FE" w:rsidRPr="006C77FE" w:rsidRDefault="006C77FE" w:rsidP="006C77FE">
      <w:pPr>
        <w:pStyle w:val="SingleTxtGR"/>
      </w:pPr>
      <w:r w:rsidRPr="006C77FE">
        <w:t>159.</w:t>
      </w:r>
      <w:r w:rsidRPr="006C77FE">
        <w:tab/>
        <w:t xml:space="preserve">Доклад о заключенных содержит поступившие из тюрем всех штатов и территорий Австралии сведения, в сборе которых приняли участие 84% тюрем, а также примерно 49% новопоступивших осужденных и 42% освобожденных заключенных. АИЗС сотрудничает со штатами и территориями в целях расширения диапазона собираемых данных для будущих докладов. </w:t>
      </w:r>
    </w:p>
    <w:p w:rsidR="006C77FE" w:rsidRPr="006C77FE" w:rsidRDefault="006C77FE" w:rsidP="006C77FE">
      <w:pPr>
        <w:pStyle w:val="SingleTxtGR"/>
      </w:pPr>
      <w:r w:rsidRPr="006C77FE">
        <w:t>160.</w:t>
      </w:r>
      <w:r w:rsidRPr="006C77FE">
        <w:tab/>
        <w:t>Доклад о заключенных содержит сведения о целом ряде проведенных в Австралии исследований, согласно которым совершеннолетние лица с умственными расстройствами чрезвычайно широко представлены среди заключенных, особенно принадлежащих к коренному населению. В</w:t>
      </w:r>
      <w:r w:rsidR="0044580E">
        <w:t xml:space="preserve"> Докладе отмечается, что до 12% </w:t>
      </w:r>
      <w:r w:rsidRPr="006C77FE">
        <w:t>заключенных имеют низкий коэффициент умственного развития, что свидетельствует об их интеллектуальной инвалидности, а коэффициент умственного развития до 30% заключенных указывает на пограничное состояние их интеллекта. Умственными расстройствами чаще всего страдают мужчины, коренные жители, лица, имеющие менее десяти классов формального образования, с неустойчивым жилищным положением непосредственно перед их заключением в тюрьму, а также имевшими судимости в подростковом возрасте, с низким уровнем самооценки своего здоровья, депрессивными состояниями или наркозависимостью.</w:t>
      </w:r>
    </w:p>
    <w:p w:rsidR="006C77FE" w:rsidRPr="006C77FE" w:rsidRDefault="006C77FE" w:rsidP="006C77FE">
      <w:pPr>
        <w:pStyle w:val="SingleTxtGR"/>
      </w:pPr>
      <w:r w:rsidRPr="006C77FE">
        <w:t>161.</w:t>
      </w:r>
      <w:r w:rsidRPr="006C77FE">
        <w:tab/>
        <w:t>На данный момент накоплена ограниченная информация о заключенных с физическими расстройствами организма. Согласно Доклад</w:t>
      </w:r>
      <w:r w:rsidR="0044580E">
        <w:t>у о заключенных почти 1/3 </w:t>
      </w:r>
      <w:r w:rsidRPr="006C77FE">
        <w:t>(30%) участников сообщили о застарелых заболеваниях или инвалидности, которые ограничивают их повседневную активность и/или влияют на их участие в образовательной или трудовой деятельности.</w:t>
      </w:r>
    </w:p>
    <w:p w:rsidR="006C77FE" w:rsidRDefault="006C77FE" w:rsidP="0044580E">
      <w:pPr>
        <w:pStyle w:val="1"/>
        <w:numPr>
          <w:ilvl w:val="0"/>
          <w:numId w:val="0"/>
        </w:numPr>
        <w:spacing w:before="240" w:after="120"/>
        <w:ind w:left="1134" w:hanging="1134"/>
        <w:jc w:val="left"/>
      </w:pPr>
      <w:r w:rsidRPr="0044580E">
        <w:rPr>
          <w:b w:val="0"/>
        </w:rPr>
        <w:tab/>
      </w:r>
      <w:r w:rsidRPr="0044580E">
        <w:rPr>
          <w:b w:val="0"/>
        </w:rPr>
        <w:tab/>
        <w:t>Таблица 10.2</w:t>
      </w:r>
      <w:r w:rsidR="0044580E" w:rsidRPr="0044580E">
        <w:rPr>
          <w:b w:val="0"/>
        </w:rPr>
        <w:br/>
      </w:r>
      <w:r w:rsidRPr="006C77FE">
        <w:t>Новопоступившие заключенные, степень ограни</w:t>
      </w:r>
      <w:r w:rsidR="0044580E">
        <w:t>чения деятельности, 2015 год (в </w:t>
      </w:r>
      <w:r w:rsidRPr="006C77FE">
        <w:t>процентах)</w:t>
      </w:r>
      <w:r w:rsidRPr="0044580E">
        <w:rPr>
          <w:b w:val="0"/>
          <w:sz w:val="18"/>
          <w:vertAlign w:val="superscript"/>
        </w:rPr>
        <w:footnoteReference w:id="17"/>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7"/>
        <w:gridCol w:w="850"/>
        <w:gridCol w:w="929"/>
        <w:gridCol w:w="1441"/>
        <w:gridCol w:w="1316"/>
        <w:gridCol w:w="707"/>
      </w:tblGrid>
      <w:tr w:rsidR="00B14CE0" w:rsidRPr="0044580E" w:rsidTr="00B14CE0">
        <w:trPr>
          <w:tblHeader/>
        </w:trPr>
        <w:tc>
          <w:tcPr>
            <w:tcW w:w="2127" w:type="dxa"/>
            <w:tcBorders>
              <w:top w:val="single" w:sz="4" w:space="0" w:color="auto"/>
              <w:bottom w:val="single" w:sz="12" w:space="0" w:color="auto"/>
            </w:tcBorders>
            <w:shd w:val="clear" w:color="auto" w:fill="auto"/>
            <w:vAlign w:val="bottom"/>
          </w:tcPr>
          <w:p w:rsidR="0044580E" w:rsidRPr="0044580E" w:rsidRDefault="0044580E" w:rsidP="00B93743">
            <w:pPr>
              <w:spacing w:before="80" w:after="80" w:line="200" w:lineRule="exact"/>
              <w:ind w:right="113"/>
              <w:rPr>
                <w:i/>
                <w:sz w:val="16"/>
              </w:rPr>
            </w:pPr>
          </w:p>
        </w:tc>
        <w:tc>
          <w:tcPr>
            <w:tcW w:w="850" w:type="dxa"/>
            <w:tcBorders>
              <w:top w:val="single" w:sz="4" w:space="0" w:color="auto"/>
              <w:bottom w:val="single" w:sz="12" w:space="0" w:color="auto"/>
            </w:tcBorders>
            <w:shd w:val="clear" w:color="auto" w:fill="auto"/>
            <w:vAlign w:val="bottom"/>
          </w:tcPr>
          <w:p w:rsidR="0044580E" w:rsidRPr="0044580E" w:rsidRDefault="0044580E" w:rsidP="00B93743">
            <w:pPr>
              <w:spacing w:before="80" w:after="80" w:line="200" w:lineRule="exact"/>
              <w:ind w:right="113"/>
              <w:jc w:val="right"/>
              <w:rPr>
                <w:i/>
                <w:sz w:val="16"/>
              </w:rPr>
            </w:pPr>
            <w:r w:rsidRPr="0044580E">
              <w:rPr>
                <w:i/>
                <w:sz w:val="16"/>
              </w:rPr>
              <w:t>Тяжелая/</w:t>
            </w:r>
            <w:r w:rsidRPr="0044580E">
              <w:rPr>
                <w:i/>
                <w:sz w:val="16"/>
              </w:rPr>
              <w:br/>
              <w:t>острая</w:t>
            </w:r>
          </w:p>
        </w:tc>
        <w:tc>
          <w:tcPr>
            <w:tcW w:w="929" w:type="dxa"/>
            <w:tcBorders>
              <w:top w:val="single" w:sz="4" w:space="0" w:color="auto"/>
              <w:bottom w:val="single" w:sz="12" w:space="0" w:color="auto"/>
            </w:tcBorders>
            <w:shd w:val="clear" w:color="auto" w:fill="auto"/>
            <w:vAlign w:val="bottom"/>
          </w:tcPr>
          <w:p w:rsidR="0044580E" w:rsidRPr="0044580E" w:rsidRDefault="0044580E" w:rsidP="00B93743">
            <w:pPr>
              <w:spacing w:before="80" w:after="80" w:line="200" w:lineRule="exact"/>
              <w:ind w:right="113"/>
              <w:jc w:val="right"/>
              <w:rPr>
                <w:i/>
                <w:sz w:val="16"/>
              </w:rPr>
            </w:pPr>
            <w:r w:rsidRPr="0044580E">
              <w:rPr>
                <w:i/>
                <w:sz w:val="16"/>
              </w:rPr>
              <w:t>Средняя</w:t>
            </w:r>
          </w:p>
        </w:tc>
        <w:tc>
          <w:tcPr>
            <w:tcW w:w="1441" w:type="dxa"/>
            <w:tcBorders>
              <w:top w:val="single" w:sz="4" w:space="0" w:color="auto"/>
              <w:bottom w:val="single" w:sz="12" w:space="0" w:color="auto"/>
            </w:tcBorders>
            <w:shd w:val="clear" w:color="auto" w:fill="auto"/>
            <w:vAlign w:val="bottom"/>
          </w:tcPr>
          <w:p w:rsidR="0044580E" w:rsidRPr="0044580E" w:rsidRDefault="0044580E" w:rsidP="00B93743">
            <w:pPr>
              <w:spacing w:before="80" w:after="80" w:line="200" w:lineRule="exact"/>
              <w:ind w:right="113"/>
              <w:jc w:val="right"/>
              <w:rPr>
                <w:i/>
                <w:sz w:val="16"/>
              </w:rPr>
            </w:pPr>
            <w:r w:rsidRPr="0044580E">
              <w:rPr>
                <w:i/>
                <w:sz w:val="16"/>
              </w:rPr>
              <w:t>Незначительная</w:t>
            </w:r>
          </w:p>
        </w:tc>
        <w:tc>
          <w:tcPr>
            <w:tcW w:w="1316" w:type="dxa"/>
            <w:tcBorders>
              <w:top w:val="single" w:sz="4" w:space="0" w:color="auto"/>
              <w:bottom w:val="single" w:sz="12" w:space="0" w:color="auto"/>
            </w:tcBorders>
            <w:shd w:val="clear" w:color="auto" w:fill="auto"/>
            <w:vAlign w:val="bottom"/>
          </w:tcPr>
          <w:p w:rsidR="0044580E" w:rsidRPr="0044580E" w:rsidRDefault="0044580E" w:rsidP="00B93743">
            <w:pPr>
              <w:spacing w:before="80" w:after="80" w:line="200" w:lineRule="exact"/>
              <w:ind w:right="113"/>
              <w:jc w:val="right"/>
              <w:rPr>
                <w:i/>
                <w:sz w:val="16"/>
              </w:rPr>
            </w:pPr>
            <w:r w:rsidRPr="0044580E">
              <w:rPr>
                <w:i/>
                <w:sz w:val="16"/>
              </w:rPr>
              <w:t>Отсутствует</w:t>
            </w:r>
          </w:p>
        </w:tc>
        <w:tc>
          <w:tcPr>
            <w:tcW w:w="707" w:type="dxa"/>
            <w:tcBorders>
              <w:top w:val="single" w:sz="4" w:space="0" w:color="auto"/>
              <w:bottom w:val="single" w:sz="12" w:space="0" w:color="auto"/>
            </w:tcBorders>
            <w:shd w:val="clear" w:color="auto" w:fill="auto"/>
            <w:vAlign w:val="bottom"/>
          </w:tcPr>
          <w:p w:rsidR="0044580E" w:rsidRPr="0044580E" w:rsidRDefault="0044580E" w:rsidP="00B93743">
            <w:pPr>
              <w:spacing w:before="80" w:after="80" w:line="200" w:lineRule="exact"/>
              <w:ind w:right="113"/>
              <w:jc w:val="right"/>
              <w:rPr>
                <w:i/>
                <w:sz w:val="16"/>
              </w:rPr>
            </w:pPr>
            <w:r w:rsidRPr="0044580E">
              <w:rPr>
                <w:i/>
                <w:sz w:val="16"/>
              </w:rPr>
              <w:t>Всего</w:t>
            </w:r>
          </w:p>
        </w:tc>
      </w:tr>
      <w:tr w:rsidR="00B14CE0" w:rsidRPr="0044580E" w:rsidTr="00B14CE0">
        <w:tc>
          <w:tcPr>
            <w:tcW w:w="2127" w:type="dxa"/>
            <w:tcBorders>
              <w:top w:val="single" w:sz="12" w:space="0" w:color="auto"/>
            </w:tcBorders>
            <w:shd w:val="clear" w:color="auto" w:fill="auto"/>
            <w:vAlign w:val="bottom"/>
          </w:tcPr>
          <w:p w:rsidR="0044580E" w:rsidRPr="0044580E" w:rsidRDefault="0044580E" w:rsidP="00B93743">
            <w:pPr>
              <w:spacing w:before="40" w:after="40" w:line="220" w:lineRule="exact"/>
              <w:ind w:right="113"/>
              <w:rPr>
                <w:sz w:val="18"/>
                <w:szCs w:val="18"/>
                <w:lang w:eastAsia="en-AU"/>
              </w:rPr>
            </w:pPr>
            <w:r w:rsidRPr="0044580E">
              <w:rPr>
                <w:sz w:val="18"/>
                <w:szCs w:val="18"/>
                <w:lang w:eastAsia="en-AU"/>
              </w:rPr>
              <w:t>Пол</w:t>
            </w:r>
          </w:p>
        </w:tc>
        <w:tc>
          <w:tcPr>
            <w:tcW w:w="850" w:type="dxa"/>
            <w:tcBorders>
              <w:top w:val="single" w:sz="12" w:space="0" w:color="auto"/>
            </w:tcBorders>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p>
        </w:tc>
        <w:tc>
          <w:tcPr>
            <w:tcW w:w="929" w:type="dxa"/>
            <w:tcBorders>
              <w:top w:val="single" w:sz="12" w:space="0" w:color="auto"/>
            </w:tcBorders>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p>
        </w:tc>
        <w:tc>
          <w:tcPr>
            <w:tcW w:w="1441" w:type="dxa"/>
            <w:tcBorders>
              <w:top w:val="single" w:sz="12" w:space="0" w:color="auto"/>
            </w:tcBorders>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p>
        </w:tc>
        <w:tc>
          <w:tcPr>
            <w:tcW w:w="1316" w:type="dxa"/>
            <w:tcBorders>
              <w:top w:val="single" w:sz="12" w:space="0" w:color="auto"/>
            </w:tcBorders>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p>
        </w:tc>
        <w:tc>
          <w:tcPr>
            <w:tcW w:w="707" w:type="dxa"/>
            <w:tcBorders>
              <w:top w:val="single" w:sz="12" w:space="0" w:color="auto"/>
            </w:tcBorders>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p>
        </w:tc>
      </w:tr>
      <w:tr w:rsidR="00B14CE0" w:rsidRPr="0044580E" w:rsidTr="00B14CE0">
        <w:tc>
          <w:tcPr>
            <w:tcW w:w="2127" w:type="dxa"/>
            <w:shd w:val="clear" w:color="auto" w:fill="auto"/>
            <w:vAlign w:val="bottom"/>
          </w:tcPr>
          <w:p w:rsidR="0044580E" w:rsidRPr="0044580E" w:rsidRDefault="0044580E" w:rsidP="00B93743">
            <w:pPr>
              <w:spacing w:before="40" w:after="40" w:line="220" w:lineRule="exact"/>
              <w:ind w:right="113"/>
              <w:rPr>
                <w:sz w:val="18"/>
                <w:szCs w:val="18"/>
                <w:lang w:eastAsia="en-AU"/>
              </w:rPr>
            </w:pPr>
            <w:r w:rsidRPr="0044580E">
              <w:rPr>
                <w:sz w:val="18"/>
                <w:szCs w:val="18"/>
                <w:lang w:eastAsia="en-AU"/>
              </w:rPr>
              <w:t>Мужской</w:t>
            </w:r>
          </w:p>
        </w:tc>
        <w:tc>
          <w:tcPr>
            <w:tcW w:w="850" w:type="dxa"/>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r w:rsidRPr="0044580E">
              <w:rPr>
                <w:sz w:val="18"/>
                <w:szCs w:val="18"/>
                <w:lang w:eastAsia="en-AU"/>
              </w:rPr>
              <w:t>6</w:t>
            </w:r>
          </w:p>
        </w:tc>
        <w:tc>
          <w:tcPr>
            <w:tcW w:w="929" w:type="dxa"/>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r w:rsidRPr="0044580E">
              <w:rPr>
                <w:sz w:val="18"/>
                <w:szCs w:val="18"/>
                <w:lang w:eastAsia="en-AU"/>
              </w:rPr>
              <w:t>14</w:t>
            </w:r>
          </w:p>
        </w:tc>
        <w:tc>
          <w:tcPr>
            <w:tcW w:w="1441" w:type="dxa"/>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r w:rsidRPr="0044580E">
              <w:rPr>
                <w:sz w:val="18"/>
                <w:szCs w:val="18"/>
                <w:lang w:eastAsia="en-AU"/>
              </w:rPr>
              <w:t>3</w:t>
            </w:r>
          </w:p>
        </w:tc>
        <w:tc>
          <w:tcPr>
            <w:tcW w:w="1316" w:type="dxa"/>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r w:rsidRPr="0044580E">
              <w:rPr>
                <w:sz w:val="18"/>
                <w:szCs w:val="18"/>
                <w:lang w:eastAsia="en-AU"/>
              </w:rPr>
              <w:t>75</w:t>
            </w:r>
          </w:p>
        </w:tc>
        <w:tc>
          <w:tcPr>
            <w:tcW w:w="707" w:type="dxa"/>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r w:rsidRPr="0044580E">
              <w:rPr>
                <w:sz w:val="18"/>
                <w:szCs w:val="18"/>
                <w:lang w:eastAsia="en-AU"/>
              </w:rPr>
              <w:t>100</w:t>
            </w:r>
          </w:p>
        </w:tc>
      </w:tr>
      <w:tr w:rsidR="00B14CE0" w:rsidRPr="0044580E" w:rsidTr="00B14CE0">
        <w:tc>
          <w:tcPr>
            <w:tcW w:w="2127" w:type="dxa"/>
            <w:shd w:val="clear" w:color="auto" w:fill="auto"/>
            <w:vAlign w:val="bottom"/>
          </w:tcPr>
          <w:p w:rsidR="0044580E" w:rsidRPr="0044580E" w:rsidRDefault="0044580E" w:rsidP="00B93743">
            <w:pPr>
              <w:spacing w:before="40" w:after="40" w:line="220" w:lineRule="exact"/>
              <w:ind w:right="113"/>
              <w:rPr>
                <w:sz w:val="18"/>
                <w:szCs w:val="18"/>
                <w:lang w:eastAsia="en-AU"/>
              </w:rPr>
            </w:pPr>
            <w:r w:rsidRPr="0044580E">
              <w:rPr>
                <w:sz w:val="18"/>
                <w:szCs w:val="18"/>
                <w:lang w:eastAsia="en-AU"/>
              </w:rPr>
              <w:t>Женский</w:t>
            </w:r>
          </w:p>
        </w:tc>
        <w:tc>
          <w:tcPr>
            <w:tcW w:w="850" w:type="dxa"/>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r w:rsidRPr="0044580E">
              <w:rPr>
                <w:sz w:val="18"/>
                <w:szCs w:val="18"/>
                <w:lang w:eastAsia="en-AU"/>
              </w:rPr>
              <w:t>7</w:t>
            </w:r>
          </w:p>
        </w:tc>
        <w:tc>
          <w:tcPr>
            <w:tcW w:w="929" w:type="dxa"/>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r w:rsidRPr="0044580E">
              <w:rPr>
                <w:sz w:val="18"/>
                <w:szCs w:val="18"/>
                <w:lang w:eastAsia="en-AU"/>
              </w:rPr>
              <w:t>21</w:t>
            </w:r>
          </w:p>
        </w:tc>
        <w:tc>
          <w:tcPr>
            <w:tcW w:w="1441" w:type="dxa"/>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r w:rsidRPr="0044580E">
              <w:rPr>
                <w:sz w:val="18"/>
                <w:szCs w:val="18"/>
                <w:lang w:eastAsia="en-AU"/>
              </w:rPr>
              <w:t>5</w:t>
            </w:r>
          </w:p>
        </w:tc>
        <w:tc>
          <w:tcPr>
            <w:tcW w:w="1316" w:type="dxa"/>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r w:rsidRPr="0044580E">
              <w:rPr>
                <w:sz w:val="18"/>
                <w:szCs w:val="18"/>
                <w:lang w:eastAsia="en-AU"/>
              </w:rPr>
              <w:t>64</w:t>
            </w:r>
          </w:p>
        </w:tc>
        <w:tc>
          <w:tcPr>
            <w:tcW w:w="707" w:type="dxa"/>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r w:rsidRPr="0044580E">
              <w:rPr>
                <w:sz w:val="18"/>
                <w:szCs w:val="18"/>
                <w:lang w:eastAsia="en-AU"/>
              </w:rPr>
              <w:t>100</w:t>
            </w:r>
          </w:p>
        </w:tc>
      </w:tr>
      <w:tr w:rsidR="00B14CE0" w:rsidRPr="0044580E" w:rsidTr="00B14CE0">
        <w:tc>
          <w:tcPr>
            <w:tcW w:w="2127" w:type="dxa"/>
            <w:shd w:val="clear" w:color="auto" w:fill="auto"/>
            <w:vAlign w:val="bottom"/>
          </w:tcPr>
          <w:p w:rsidR="0044580E" w:rsidRPr="0044580E" w:rsidRDefault="0044580E" w:rsidP="00B93743">
            <w:pPr>
              <w:spacing w:before="40" w:after="40" w:line="220" w:lineRule="exact"/>
              <w:ind w:right="113"/>
              <w:rPr>
                <w:sz w:val="18"/>
                <w:szCs w:val="18"/>
                <w:lang w:eastAsia="en-AU"/>
              </w:rPr>
            </w:pPr>
            <w:r>
              <w:rPr>
                <w:sz w:val="18"/>
                <w:szCs w:val="18"/>
                <w:lang w:eastAsia="en-AU"/>
              </w:rPr>
              <w:t>Возрастные группы (по </w:t>
            </w:r>
            <w:r w:rsidRPr="0044580E">
              <w:rPr>
                <w:sz w:val="18"/>
                <w:szCs w:val="18"/>
                <w:lang w:eastAsia="en-AU"/>
              </w:rPr>
              <w:t>годам)</w:t>
            </w:r>
          </w:p>
        </w:tc>
        <w:tc>
          <w:tcPr>
            <w:tcW w:w="850" w:type="dxa"/>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p>
        </w:tc>
        <w:tc>
          <w:tcPr>
            <w:tcW w:w="929" w:type="dxa"/>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p>
        </w:tc>
        <w:tc>
          <w:tcPr>
            <w:tcW w:w="1441" w:type="dxa"/>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p>
        </w:tc>
        <w:tc>
          <w:tcPr>
            <w:tcW w:w="1316" w:type="dxa"/>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p>
        </w:tc>
        <w:tc>
          <w:tcPr>
            <w:tcW w:w="707" w:type="dxa"/>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p>
        </w:tc>
      </w:tr>
      <w:tr w:rsidR="00B14CE0" w:rsidRPr="0044580E" w:rsidTr="00B14CE0">
        <w:tc>
          <w:tcPr>
            <w:tcW w:w="2127" w:type="dxa"/>
            <w:shd w:val="clear" w:color="auto" w:fill="auto"/>
            <w:vAlign w:val="bottom"/>
          </w:tcPr>
          <w:p w:rsidR="0044580E" w:rsidRPr="0044580E" w:rsidRDefault="0044580E" w:rsidP="00B93743">
            <w:pPr>
              <w:spacing w:before="40" w:after="40" w:line="220" w:lineRule="exact"/>
              <w:ind w:right="113"/>
              <w:rPr>
                <w:sz w:val="18"/>
                <w:szCs w:val="18"/>
                <w:lang w:eastAsia="en-AU"/>
              </w:rPr>
            </w:pPr>
            <w:r w:rsidRPr="0044580E">
              <w:rPr>
                <w:sz w:val="18"/>
                <w:szCs w:val="18"/>
                <w:lang w:eastAsia="en-AU"/>
              </w:rPr>
              <w:t>18–24</w:t>
            </w:r>
          </w:p>
        </w:tc>
        <w:tc>
          <w:tcPr>
            <w:tcW w:w="850" w:type="dxa"/>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r w:rsidRPr="0044580E">
              <w:rPr>
                <w:sz w:val="18"/>
                <w:szCs w:val="18"/>
                <w:lang w:eastAsia="en-AU"/>
              </w:rPr>
              <w:t>4</w:t>
            </w:r>
          </w:p>
        </w:tc>
        <w:tc>
          <w:tcPr>
            <w:tcW w:w="929" w:type="dxa"/>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r w:rsidRPr="0044580E">
              <w:rPr>
                <w:sz w:val="18"/>
                <w:szCs w:val="18"/>
                <w:lang w:eastAsia="en-AU"/>
              </w:rPr>
              <w:t>10</w:t>
            </w:r>
          </w:p>
        </w:tc>
        <w:tc>
          <w:tcPr>
            <w:tcW w:w="1441" w:type="dxa"/>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r w:rsidRPr="0044580E">
              <w:rPr>
                <w:sz w:val="18"/>
                <w:szCs w:val="18"/>
                <w:lang w:eastAsia="en-AU"/>
              </w:rPr>
              <w:t>2</w:t>
            </w:r>
          </w:p>
        </w:tc>
        <w:tc>
          <w:tcPr>
            <w:tcW w:w="1316" w:type="dxa"/>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r w:rsidRPr="0044580E">
              <w:rPr>
                <w:sz w:val="18"/>
                <w:szCs w:val="18"/>
                <w:lang w:eastAsia="en-AU"/>
              </w:rPr>
              <w:t>82</w:t>
            </w:r>
          </w:p>
        </w:tc>
        <w:tc>
          <w:tcPr>
            <w:tcW w:w="707" w:type="dxa"/>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r w:rsidRPr="0044580E">
              <w:rPr>
                <w:sz w:val="18"/>
                <w:szCs w:val="18"/>
                <w:lang w:eastAsia="en-AU"/>
              </w:rPr>
              <w:t>100</w:t>
            </w:r>
          </w:p>
        </w:tc>
      </w:tr>
      <w:tr w:rsidR="00B14CE0" w:rsidRPr="0044580E" w:rsidTr="00B14CE0">
        <w:tc>
          <w:tcPr>
            <w:tcW w:w="2127" w:type="dxa"/>
            <w:tcBorders>
              <w:bottom w:val="nil"/>
            </w:tcBorders>
            <w:shd w:val="clear" w:color="auto" w:fill="auto"/>
            <w:vAlign w:val="bottom"/>
          </w:tcPr>
          <w:p w:rsidR="0044580E" w:rsidRPr="0044580E" w:rsidRDefault="0044580E" w:rsidP="00B93743">
            <w:pPr>
              <w:spacing w:before="40" w:after="40" w:line="220" w:lineRule="exact"/>
              <w:ind w:right="113"/>
              <w:rPr>
                <w:sz w:val="18"/>
                <w:szCs w:val="18"/>
                <w:lang w:eastAsia="en-AU"/>
              </w:rPr>
            </w:pPr>
            <w:r w:rsidRPr="0044580E">
              <w:rPr>
                <w:sz w:val="18"/>
                <w:szCs w:val="18"/>
                <w:lang w:eastAsia="en-AU"/>
              </w:rPr>
              <w:t>25–34</w:t>
            </w:r>
          </w:p>
        </w:tc>
        <w:tc>
          <w:tcPr>
            <w:tcW w:w="850" w:type="dxa"/>
            <w:tcBorders>
              <w:bottom w:val="nil"/>
            </w:tcBorders>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r w:rsidRPr="0044580E">
              <w:rPr>
                <w:sz w:val="18"/>
                <w:szCs w:val="18"/>
                <w:lang w:eastAsia="en-AU"/>
              </w:rPr>
              <w:t>6</w:t>
            </w:r>
          </w:p>
        </w:tc>
        <w:tc>
          <w:tcPr>
            <w:tcW w:w="929" w:type="dxa"/>
            <w:tcBorders>
              <w:bottom w:val="nil"/>
            </w:tcBorders>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r w:rsidRPr="0044580E">
              <w:rPr>
                <w:sz w:val="18"/>
                <w:szCs w:val="18"/>
                <w:lang w:eastAsia="en-AU"/>
              </w:rPr>
              <w:t>13</w:t>
            </w:r>
          </w:p>
        </w:tc>
        <w:tc>
          <w:tcPr>
            <w:tcW w:w="1441" w:type="dxa"/>
            <w:tcBorders>
              <w:bottom w:val="nil"/>
            </w:tcBorders>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r w:rsidRPr="0044580E">
              <w:rPr>
                <w:sz w:val="18"/>
                <w:szCs w:val="18"/>
                <w:lang w:eastAsia="en-AU"/>
              </w:rPr>
              <w:t>3</w:t>
            </w:r>
          </w:p>
        </w:tc>
        <w:tc>
          <w:tcPr>
            <w:tcW w:w="1316" w:type="dxa"/>
            <w:tcBorders>
              <w:bottom w:val="nil"/>
            </w:tcBorders>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r w:rsidRPr="0044580E">
              <w:rPr>
                <w:sz w:val="18"/>
                <w:szCs w:val="18"/>
                <w:lang w:eastAsia="en-AU"/>
              </w:rPr>
              <w:t>76</w:t>
            </w:r>
          </w:p>
        </w:tc>
        <w:tc>
          <w:tcPr>
            <w:tcW w:w="707" w:type="dxa"/>
            <w:tcBorders>
              <w:bottom w:val="nil"/>
            </w:tcBorders>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r w:rsidRPr="0044580E">
              <w:rPr>
                <w:sz w:val="18"/>
                <w:szCs w:val="18"/>
                <w:lang w:eastAsia="en-AU"/>
              </w:rPr>
              <w:t>100</w:t>
            </w:r>
          </w:p>
        </w:tc>
      </w:tr>
      <w:tr w:rsidR="00B14CE0" w:rsidRPr="0044580E" w:rsidTr="00B14CE0">
        <w:tc>
          <w:tcPr>
            <w:tcW w:w="2127" w:type="dxa"/>
            <w:tcBorders>
              <w:top w:val="nil"/>
              <w:bottom w:val="nil"/>
            </w:tcBorders>
            <w:shd w:val="clear" w:color="auto" w:fill="auto"/>
            <w:vAlign w:val="bottom"/>
          </w:tcPr>
          <w:p w:rsidR="0044580E" w:rsidRPr="0044580E" w:rsidRDefault="0044580E" w:rsidP="00B93743">
            <w:pPr>
              <w:spacing w:before="40" w:after="40" w:line="220" w:lineRule="exact"/>
              <w:ind w:right="113"/>
              <w:rPr>
                <w:sz w:val="18"/>
                <w:szCs w:val="18"/>
                <w:lang w:eastAsia="en-AU"/>
              </w:rPr>
            </w:pPr>
            <w:r w:rsidRPr="0044580E">
              <w:rPr>
                <w:sz w:val="18"/>
                <w:szCs w:val="18"/>
                <w:lang w:eastAsia="en-AU"/>
              </w:rPr>
              <w:t>35–44</w:t>
            </w:r>
          </w:p>
        </w:tc>
        <w:tc>
          <w:tcPr>
            <w:tcW w:w="850" w:type="dxa"/>
            <w:tcBorders>
              <w:top w:val="nil"/>
              <w:bottom w:val="nil"/>
            </w:tcBorders>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r w:rsidRPr="0044580E">
              <w:rPr>
                <w:sz w:val="18"/>
                <w:szCs w:val="18"/>
                <w:lang w:eastAsia="en-AU"/>
              </w:rPr>
              <w:t>7</w:t>
            </w:r>
          </w:p>
        </w:tc>
        <w:tc>
          <w:tcPr>
            <w:tcW w:w="929" w:type="dxa"/>
            <w:tcBorders>
              <w:top w:val="nil"/>
              <w:bottom w:val="nil"/>
            </w:tcBorders>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r w:rsidRPr="0044580E">
              <w:rPr>
                <w:sz w:val="18"/>
                <w:szCs w:val="18"/>
                <w:lang w:eastAsia="en-AU"/>
              </w:rPr>
              <w:t>21</w:t>
            </w:r>
          </w:p>
        </w:tc>
        <w:tc>
          <w:tcPr>
            <w:tcW w:w="1441" w:type="dxa"/>
            <w:tcBorders>
              <w:top w:val="nil"/>
              <w:bottom w:val="nil"/>
            </w:tcBorders>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r w:rsidRPr="0044580E">
              <w:rPr>
                <w:sz w:val="18"/>
                <w:szCs w:val="18"/>
                <w:lang w:eastAsia="en-AU"/>
              </w:rPr>
              <w:t>3</w:t>
            </w:r>
          </w:p>
        </w:tc>
        <w:tc>
          <w:tcPr>
            <w:tcW w:w="1316" w:type="dxa"/>
            <w:tcBorders>
              <w:top w:val="nil"/>
              <w:bottom w:val="nil"/>
            </w:tcBorders>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r w:rsidRPr="0044580E">
              <w:rPr>
                <w:sz w:val="18"/>
                <w:szCs w:val="18"/>
                <w:lang w:eastAsia="en-AU"/>
              </w:rPr>
              <w:t>68</w:t>
            </w:r>
          </w:p>
        </w:tc>
        <w:tc>
          <w:tcPr>
            <w:tcW w:w="707" w:type="dxa"/>
            <w:tcBorders>
              <w:top w:val="nil"/>
              <w:bottom w:val="nil"/>
            </w:tcBorders>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r w:rsidRPr="0044580E">
              <w:rPr>
                <w:sz w:val="18"/>
                <w:szCs w:val="18"/>
                <w:lang w:eastAsia="en-AU"/>
              </w:rPr>
              <w:t>100</w:t>
            </w:r>
          </w:p>
        </w:tc>
      </w:tr>
      <w:tr w:rsidR="00B14CE0" w:rsidRPr="0044580E" w:rsidTr="00EB4373">
        <w:tc>
          <w:tcPr>
            <w:tcW w:w="2127" w:type="dxa"/>
            <w:tcBorders>
              <w:top w:val="nil"/>
              <w:bottom w:val="nil"/>
            </w:tcBorders>
            <w:shd w:val="clear" w:color="auto" w:fill="auto"/>
            <w:vAlign w:val="bottom"/>
          </w:tcPr>
          <w:p w:rsidR="0044580E" w:rsidRPr="0044580E" w:rsidRDefault="0044580E" w:rsidP="00B93743">
            <w:pPr>
              <w:spacing w:before="40" w:after="40" w:line="220" w:lineRule="exact"/>
              <w:ind w:right="113"/>
              <w:rPr>
                <w:sz w:val="18"/>
                <w:szCs w:val="18"/>
                <w:lang w:eastAsia="en-AU"/>
              </w:rPr>
            </w:pPr>
            <w:r w:rsidRPr="0044580E">
              <w:rPr>
                <w:sz w:val="18"/>
                <w:szCs w:val="18"/>
                <w:lang w:eastAsia="en-AU"/>
              </w:rPr>
              <w:t>45+</w:t>
            </w:r>
          </w:p>
        </w:tc>
        <w:tc>
          <w:tcPr>
            <w:tcW w:w="850" w:type="dxa"/>
            <w:tcBorders>
              <w:top w:val="nil"/>
              <w:bottom w:val="nil"/>
            </w:tcBorders>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r w:rsidRPr="0044580E">
              <w:rPr>
                <w:sz w:val="18"/>
                <w:szCs w:val="18"/>
                <w:lang w:eastAsia="en-AU"/>
              </w:rPr>
              <w:t>12</w:t>
            </w:r>
          </w:p>
        </w:tc>
        <w:tc>
          <w:tcPr>
            <w:tcW w:w="929" w:type="dxa"/>
            <w:tcBorders>
              <w:top w:val="nil"/>
              <w:bottom w:val="nil"/>
            </w:tcBorders>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r w:rsidRPr="0044580E">
              <w:rPr>
                <w:sz w:val="18"/>
                <w:szCs w:val="18"/>
                <w:lang w:eastAsia="en-AU"/>
              </w:rPr>
              <w:t>17</w:t>
            </w:r>
          </w:p>
        </w:tc>
        <w:tc>
          <w:tcPr>
            <w:tcW w:w="1441" w:type="dxa"/>
            <w:tcBorders>
              <w:top w:val="nil"/>
              <w:bottom w:val="nil"/>
            </w:tcBorders>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r w:rsidRPr="0044580E">
              <w:rPr>
                <w:sz w:val="18"/>
                <w:szCs w:val="18"/>
                <w:lang w:eastAsia="en-AU"/>
              </w:rPr>
              <w:t>5</w:t>
            </w:r>
          </w:p>
        </w:tc>
        <w:tc>
          <w:tcPr>
            <w:tcW w:w="1316" w:type="dxa"/>
            <w:tcBorders>
              <w:top w:val="nil"/>
              <w:bottom w:val="nil"/>
            </w:tcBorders>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r w:rsidRPr="0044580E">
              <w:rPr>
                <w:sz w:val="18"/>
                <w:szCs w:val="18"/>
                <w:lang w:eastAsia="en-AU"/>
              </w:rPr>
              <w:t>63</w:t>
            </w:r>
          </w:p>
        </w:tc>
        <w:tc>
          <w:tcPr>
            <w:tcW w:w="707" w:type="dxa"/>
            <w:tcBorders>
              <w:top w:val="nil"/>
              <w:bottom w:val="nil"/>
            </w:tcBorders>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r w:rsidRPr="0044580E">
              <w:rPr>
                <w:sz w:val="18"/>
                <w:szCs w:val="18"/>
                <w:lang w:eastAsia="en-AU"/>
              </w:rPr>
              <w:t>100</w:t>
            </w:r>
          </w:p>
        </w:tc>
      </w:tr>
      <w:tr w:rsidR="00B14CE0" w:rsidRPr="0044580E" w:rsidTr="00EB4373">
        <w:tc>
          <w:tcPr>
            <w:tcW w:w="2127" w:type="dxa"/>
            <w:tcBorders>
              <w:top w:val="nil"/>
              <w:bottom w:val="nil"/>
            </w:tcBorders>
            <w:shd w:val="clear" w:color="auto" w:fill="auto"/>
          </w:tcPr>
          <w:p w:rsidR="0044580E" w:rsidRPr="0044580E" w:rsidRDefault="0044580E" w:rsidP="00B93743">
            <w:pPr>
              <w:spacing w:before="40" w:after="40" w:line="220" w:lineRule="exact"/>
              <w:ind w:right="113"/>
              <w:rPr>
                <w:sz w:val="18"/>
                <w:szCs w:val="18"/>
                <w:lang w:eastAsia="en-AU"/>
              </w:rPr>
            </w:pPr>
            <w:r w:rsidRPr="0044580E">
              <w:rPr>
                <w:sz w:val="18"/>
                <w:szCs w:val="18"/>
                <w:lang w:eastAsia="en-AU"/>
              </w:rPr>
              <w:t>Принадлежность к коренному населению</w:t>
            </w:r>
          </w:p>
        </w:tc>
        <w:tc>
          <w:tcPr>
            <w:tcW w:w="850" w:type="dxa"/>
            <w:tcBorders>
              <w:top w:val="nil"/>
              <w:bottom w:val="nil"/>
            </w:tcBorders>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p>
        </w:tc>
        <w:tc>
          <w:tcPr>
            <w:tcW w:w="929" w:type="dxa"/>
            <w:tcBorders>
              <w:top w:val="nil"/>
              <w:bottom w:val="nil"/>
            </w:tcBorders>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p>
        </w:tc>
        <w:tc>
          <w:tcPr>
            <w:tcW w:w="1441" w:type="dxa"/>
            <w:tcBorders>
              <w:top w:val="nil"/>
              <w:bottom w:val="nil"/>
            </w:tcBorders>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p>
        </w:tc>
        <w:tc>
          <w:tcPr>
            <w:tcW w:w="1316" w:type="dxa"/>
            <w:tcBorders>
              <w:top w:val="nil"/>
              <w:bottom w:val="nil"/>
            </w:tcBorders>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p>
        </w:tc>
        <w:tc>
          <w:tcPr>
            <w:tcW w:w="707" w:type="dxa"/>
            <w:tcBorders>
              <w:top w:val="nil"/>
              <w:bottom w:val="nil"/>
            </w:tcBorders>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p>
        </w:tc>
      </w:tr>
      <w:tr w:rsidR="00B14CE0" w:rsidRPr="0044580E" w:rsidTr="00EB4373">
        <w:tc>
          <w:tcPr>
            <w:tcW w:w="2127" w:type="dxa"/>
            <w:tcBorders>
              <w:top w:val="nil"/>
            </w:tcBorders>
            <w:shd w:val="clear" w:color="auto" w:fill="auto"/>
          </w:tcPr>
          <w:p w:rsidR="0044580E" w:rsidRPr="0044580E" w:rsidRDefault="0044580E" w:rsidP="00B93743">
            <w:pPr>
              <w:spacing w:before="40" w:after="40" w:line="220" w:lineRule="exact"/>
              <w:ind w:right="113"/>
              <w:rPr>
                <w:sz w:val="18"/>
                <w:szCs w:val="18"/>
                <w:lang w:eastAsia="en-AU"/>
              </w:rPr>
            </w:pPr>
            <w:r w:rsidRPr="0044580E">
              <w:rPr>
                <w:sz w:val="18"/>
                <w:szCs w:val="18"/>
                <w:lang w:eastAsia="en-AU"/>
              </w:rPr>
              <w:lastRenderedPageBreak/>
              <w:t>Коренные жители</w:t>
            </w:r>
          </w:p>
        </w:tc>
        <w:tc>
          <w:tcPr>
            <w:tcW w:w="850" w:type="dxa"/>
            <w:tcBorders>
              <w:top w:val="nil"/>
            </w:tcBorders>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r w:rsidRPr="0044580E">
              <w:rPr>
                <w:sz w:val="18"/>
                <w:szCs w:val="18"/>
                <w:lang w:eastAsia="en-AU"/>
              </w:rPr>
              <w:t>5</w:t>
            </w:r>
          </w:p>
        </w:tc>
        <w:tc>
          <w:tcPr>
            <w:tcW w:w="929" w:type="dxa"/>
            <w:tcBorders>
              <w:top w:val="nil"/>
            </w:tcBorders>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r w:rsidRPr="0044580E">
              <w:rPr>
                <w:sz w:val="18"/>
                <w:szCs w:val="18"/>
                <w:lang w:eastAsia="en-AU"/>
              </w:rPr>
              <w:t>12</w:t>
            </w:r>
          </w:p>
        </w:tc>
        <w:tc>
          <w:tcPr>
            <w:tcW w:w="1441" w:type="dxa"/>
            <w:tcBorders>
              <w:top w:val="nil"/>
            </w:tcBorders>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r w:rsidRPr="0044580E">
              <w:rPr>
                <w:sz w:val="18"/>
                <w:szCs w:val="18"/>
                <w:lang w:eastAsia="en-AU"/>
              </w:rPr>
              <w:t>4</w:t>
            </w:r>
          </w:p>
        </w:tc>
        <w:tc>
          <w:tcPr>
            <w:tcW w:w="1316" w:type="dxa"/>
            <w:tcBorders>
              <w:top w:val="nil"/>
            </w:tcBorders>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r w:rsidRPr="0044580E">
              <w:rPr>
                <w:sz w:val="18"/>
                <w:szCs w:val="18"/>
                <w:lang w:eastAsia="en-AU"/>
              </w:rPr>
              <w:t>78</w:t>
            </w:r>
          </w:p>
        </w:tc>
        <w:tc>
          <w:tcPr>
            <w:tcW w:w="707" w:type="dxa"/>
            <w:tcBorders>
              <w:top w:val="nil"/>
            </w:tcBorders>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r w:rsidRPr="0044580E">
              <w:rPr>
                <w:sz w:val="18"/>
                <w:szCs w:val="18"/>
                <w:lang w:eastAsia="en-AU"/>
              </w:rPr>
              <w:t>100</w:t>
            </w:r>
          </w:p>
        </w:tc>
      </w:tr>
      <w:tr w:rsidR="00B14CE0" w:rsidRPr="0044580E" w:rsidTr="00B14CE0">
        <w:tc>
          <w:tcPr>
            <w:tcW w:w="2127" w:type="dxa"/>
            <w:tcBorders>
              <w:bottom w:val="single" w:sz="4" w:space="0" w:color="auto"/>
            </w:tcBorders>
            <w:shd w:val="clear" w:color="auto" w:fill="auto"/>
          </w:tcPr>
          <w:p w:rsidR="0044580E" w:rsidRPr="0044580E" w:rsidRDefault="0044580E" w:rsidP="00B93743">
            <w:pPr>
              <w:spacing w:before="40" w:after="40" w:line="220" w:lineRule="exact"/>
              <w:ind w:right="113"/>
              <w:rPr>
                <w:sz w:val="18"/>
                <w:szCs w:val="18"/>
                <w:lang w:eastAsia="en-AU"/>
              </w:rPr>
            </w:pPr>
            <w:r w:rsidRPr="0044580E">
              <w:rPr>
                <w:sz w:val="18"/>
                <w:szCs w:val="18"/>
                <w:lang w:eastAsia="en-AU"/>
              </w:rPr>
              <w:t>Не</w:t>
            </w:r>
            <w:r w:rsidRPr="0044580E">
              <w:rPr>
                <w:sz w:val="18"/>
                <w:szCs w:val="18"/>
                <w:lang w:val="en-US" w:eastAsia="en-AU"/>
              </w:rPr>
              <w:t xml:space="preserve"> </w:t>
            </w:r>
            <w:r w:rsidRPr="0044580E">
              <w:rPr>
                <w:sz w:val="18"/>
                <w:szCs w:val="18"/>
                <w:lang w:eastAsia="en-AU"/>
              </w:rPr>
              <w:t>коренные жители</w:t>
            </w:r>
          </w:p>
        </w:tc>
        <w:tc>
          <w:tcPr>
            <w:tcW w:w="850" w:type="dxa"/>
            <w:tcBorders>
              <w:bottom w:val="single" w:sz="4" w:space="0" w:color="auto"/>
            </w:tcBorders>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r w:rsidRPr="0044580E">
              <w:rPr>
                <w:sz w:val="18"/>
                <w:szCs w:val="18"/>
                <w:lang w:eastAsia="en-AU"/>
              </w:rPr>
              <w:t>7</w:t>
            </w:r>
          </w:p>
        </w:tc>
        <w:tc>
          <w:tcPr>
            <w:tcW w:w="929" w:type="dxa"/>
            <w:tcBorders>
              <w:bottom w:val="single" w:sz="4" w:space="0" w:color="auto"/>
            </w:tcBorders>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r w:rsidRPr="0044580E">
              <w:rPr>
                <w:sz w:val="18"/>
                <w:szCs w:val="18"/>
                <w:lang w:eastAsia="en-AU"/>
              </w:rPr>
              <w:t>16</w:t>
            </w:r>
          </w:p>
        </w:tc>
        <w:tc>
          <w:tcPr>
            <w:tcW w:w="1441" w:type="dxa"/>
            <w:tcBorders>
              <w:bottom w:val="single" w:sz="4" w:space="0" w:color="auto"/>
            </w:tcBorders>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r w:rsidRPr="0044580E">
              <w:rPr>
                <w:sz w:val="18"/>
                <w:szCs w:val="18"/>
                <w:lang w:eastAsia="en-AU"/>
              </w:rPr>
              <w:t>3</w:t>
            </w:r>
          </w:p>
        </w:tc>
        <w:tc>
          <w:tcPr>
            <w:tcW w:w="1316" w:type="dxa"/>
            <w:tcBorders>
              <w:bottom w:val="single" w:sz="4" w:space="0" w:color="auto"/>
            </w:tcBorders>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r w:rsidRPr="0044580E">
              <w:rPr>
                <w:sz w:val="18"/>
                <w:szCs w:val="18"/>
                <w:lang w:eastAsia="en-AU"/>
              </w:rPr>
              <w:t>72</w:t>
            </w:r>
          </w:p>
        </w:tc>
        <w:tc>
          <w:tcPr>
            <w:tcW w:w="707" w:type="dxa"/>
            <w:tcBorders>
              <w:bottom w:val="single" w:sz="4" w:space="0" w:color="auto"/>
            </w:tcBorders>
            <w:shd w:val="clear" w:color="auto" w:fill="auto"/>
            <w:vAlign w:val="bottom"/>
          </w:tcPr>
          <w:p w:rsidR="0044580E" w:rsidRPr="0044580E" w:rsidRDefault="0044580E" w:rsidP="00B93743">
            <w:pPr>
              <w:spacing w:before="40" w:after="40" w:line="220" w:lineRule="exact"/>
              <w:ind w:right="113"/>
              <w:jc w:val="right"/>
              <w:rPr>
                <w:sz w:val="18"/>
                <w:szCs w:val="18"/>
                <w:lang w:eastAsia="en-AU"/>
              </w:rPr>
            </w:pPr>
            <w:r w:rsidRPr="0044580E">
              <w:rPr>
                <w:sz w:val="18"/>
                <w:szCs w:val="18"/>
                <w:lang w:eastAsia="en-AU"/>
              </w:rPr>
              <w:t>100</w:t>
            </w:r>
          </w:p>
        </w:tc>
      </w:tr>
      <w:tr w:rsidR="00B14CE0" w:rsidRPr="0044580E" w:rsidTr="00B14CE0">
        <w:tc>
          <w:tcPr>
            <w:tcW w:w="2127" w:type="dxa"/>
            <w:tcBorders>
              <w:top w:val="single" w:sz="4" w:space="0" w:color="auto"/>
              <w:bottom w:val="single" w:sz="4" w:space="0" w:color="auto"/>
            </w:tcBorders>
            <w:shd w:val="clear" w:color="auto" w:fill="auto"/>
          </w:tcPr>
          <w:p w:rsidR="0044580E" w:rsidRPr="0044580E" w:rsidRDefault="0044580E" w:rsidP="00B93743">
            <w:pPr>
              <w:spacing w:before="80" w:after="80" w:line="220" w:lineRule="exact"/>
              <w:ind w:left="283"/>
              <w:rPr>
                <w:b/>
                <w:sz w:val="18"/>
                <w:szCs w:val="18"/>
                <w:lang w:eastAsia="en-AU"/>
              </w:rPr>
            </w:pPr>
            <w:r w:rsidRPr="0044580E">
              <w:rPr>
                <w:b/>
                <w:sz w:val="18"/>
                <w:szCs w:val="18"/>
                <w:lang w:eastAsia="en-AU"/>
              </w:rPr>
              <w:t>Итого (в цифрах)</w:t>
            </w:r>
          </w:p>
        </w:tc>
        <w:tc>
          <w:tcPr>
            <w:tcW w:w="850" w:type="dxa"/>
            <w:tcBorders>
              <w:top w:val="single" w:sz="4" w:space="0" w:color="auto"/>
              <w:bottom w:val="single" w:sz="4" w:space="0" w:color="auto"/>
            </w:tcBorders>
            <w:shd w:val="clear" w:color="auto" w:fill="auto"/>
            <w:vAlign w:val="bottom"/>
          </w:tcPr>
          <w:p w:rsidR="0044580E" w:rsidRPr="0044580E" w:rsidRDefault="0044580E" w:rsidP="00B93743">
            <w:pPr>
              <w:spacing w:before="80" w:after="80" w:line="220" w:lineRule="exact"/>
              <w:ind w:right="113"/>
              <w:jc w:val="right"/>
              <w:rPr>
                <w:b/>
                <w:sz w:val="18"/>
                <w:szCs w:val="18"/>
                <w:lang w:eastAsia="en-AU"/>
              </w:rPr>
            </w:pPr>
            <w:r w:rsidRPr="0044580E">
              <w:rPr>
                <w:b/>
                <w:sz w:val="18"/>
                <w:szCs w:val="18"/>
                <w:lang w:eastAsia="en-AU"/>
              </w:rPr>
              <w:t>65</w:t>
            </w:r>
          </w:p>
        </w:tc>
        <w:tc>
          <w:tcPr>
            <w:tcW w:w="929" w:type="dxa"/>
            <w:tcBorders>
              <w:top w:val="single" w:sz="4" w:space="0" w:color="auto"/>
              <w:bottom w:val="single" w:sz="4" w:space="0" w:color="auto"/>
            </w:tcBorders>
            <w:shd w:val="clear" w:color="auto" w:fill="auto"/>
            <w:vAlign w:val="bottom"/>
          </w:tcPr>
          <w:p w:rsidR="0044580E" w:rsidRPr="0044580E" w:rsidRDefault="0044580E" w:rsidP="00B93743">
            <w:pPr>
              <w:spacing w:before="80" w:after="80" w:line="220" w:lineRule="exact"/>
              <w:ind w:right="113"/>
              <w:jc w:val="right"/>
              <w:rPr>
                <w:b/>
                <w:sz w:val="18"/>
                <w:szCs w:val="18"/>
                <w:lang w:eastAsia="en-AU"/>
              </w:rPr>
            </w:pPr>
            <w:r w:rsidRPr="0044580E">
              <w:rPr>
                <w:b/>
                <w:sz w:val="18"/>
                <w:szCs w:val="18"/>
                <w:lang w:eastAsia="en-AU"/>
              </w:rPr>
              <w:t>151</w:t>
            </w:r>
          </w:p>
        </w:tc>
        <w:tc>
          <w:tcPr>
            <w:tcW w:w="1441" w:type="dxa"/>
            <w:tcBorders>
              <w:top w:val="single" w:sz="4" w:space="0" w:color="auto"/>
              <w:bottom w:val="single" w:sz="4" w:space="0" w:color="auto"/>
            </w:tcBorders>
            <w:shd w:val="clear" w:color="auto" w:fill="auto"/>
            <w:vAlign w:val="bottom"/>
          </w:tcPr>
          <w:p w:rsidR="0044580E" w:rsidRPr="0044580E" w:rsidRDefault="0044580E" w:rsidP="00B93743">
            <w:pPr>
              <w:spacing w:before="80" w:after="80" w:line="220" w:lineRule="exact"/>
              <w:ind w:right="113"/>
              <w:jc w:val="right"/>
              <w:rPr>
                <w:b/>
                <w:sz w:val="18"/>
                <w:szCs w:val="18"/>
                <w:lang w:eastAsia="en-AU"/>
              </w:rPr>
            </w:pPr>
            <w:r w:rsidRPr="0044580E">
              <w:rPr>
                <w:b/>
                <w:sz w:val="18"/>
                <w:szCs w:val="18"/>
                <w:lang w:eastAsia="en-AU"/>
              </w:rPr>
              <w:t>31</w:t>
            </w:r>
          </w:p>
        </w:tc>
        <w:tc>
          <w:tcPr>
            <w:tcW w:w="1316" w:type="dxa"/>
            <w:tcBorders>
              <w:top w:val="single" w:sz="4" w:space="0" w:color="auto"/>
              <w:bottom w:val="single" w:sz="4" w:space="0" w:color="auto"/>
            </w:tcBorders>
            <w:shd w:val="clear" w:color="auto" w:fill="auto"/>
            <w:vAlign w:val="bottom"/>
          </w:tcPr>
          <w:p w:rsidR="0044580E" w:rsidRPr="0044580E" w:rsidRDefault="0044580E" w:rsidP="00B93743">
            <w:pPr>
              <w:spacing w:before="80" w:after="80" w:line="220" w:lineRule="exact"/>
              <w:ind w:right="113"/>
              <w:jc w:val="right"/>
              <w:rPr>
                <w:b/>
                <w:sz w:val="18"/>
                <w:szCs w:val="18"/>
                <w:lang w:eastAsia="en-AU"/>
              </w:rPr>
            </w:pPr>
            <w:r w:rsidRPr="0044580E">
              <w:rPr>
                <w:b/>
                <w:sz w:val="18"/>
                <w:szCs w:val="18"/>
                <w:lang w:eastAsia="en-AU"/>
              </w:rPr>
              <w:t>742</w:t>
            </w:r>
          </w:p>
        </w:tc>
        <w:tc>
          <w:tcPr>
            <w:tcW w:w="707" w:type="dxa"/>
            <w:tcBorders>
              <w:top w:val="single" w:sz="4" w:space="0" w:color="auto"/>
              <w:bottom w:val="single" w:sz="4" w:space="0" w:color="auto"/>
            </w:tcBorders>
            <w:shd w:val="clear" w:color="auto" w:fill="auto"/>
            <w:vAlign w:val="bottom"/>
          </w:tcPr>
          <w:p w:rsidR="0044580E" w:rsidRPr="0044580E" w:rsidRDefault="0044580E" w:rsidP="00B93743">
            <w:pPr>
              <w:spacing w:before="80" w:after="80" w:line="220" w:lineRule="exact"/>
              <w:ind w:right="113"/>
              <w:jc w:val="right"/>
              <w:rPr>
                <w:b/>
                <w:sz w:val="18"/>
                <w:szCs w:val="18"/>
                <w:lang w:eastAsia="en-AU"/>
              </w:rPr>
            </w:pPr>
            <w:r w:rsidRPr="0044580E">
              <w:rPr>
                <w:b/>
                <w:sz w:val="18"/>
                <w:szCs w:val="18"/>
                <w:lang w:eastAsia="en-AU"/>
              </w:rPr>
              <w:t>1 011</w:t>
            </w:r>
          </w:p>
        </w:tc>
      </w:tr>
      <w:tr w:rsidR="00B14CE0" w:rsidRPr="0044580E" w:rsidTr="00B14CE0">
        <w:tc>
          <w:tcPr>
            <w:tcW w:w="2127" w:type="dxa"/>
            <w:tcBorders>
              <w:top w:val="single" w:sz="4" w:space="0" w:color="auto"/>
            </w:tcBorders>
            <w:shd w:val="clear" w:color="auto" w:fill="auto"/>
          </w:tcPr>
          <w:p w:rsidR="0044580E" w:rsidRPr="0044580E" w:rsidRDefault="0044580E" w:rsidP="00B93743">
            <w:pPr>
              <w:spacing w:before="80" w:after="80" w:line="220" w:lineRule="exact"/>
              <w:ind w:left="283"/>
              <w:rPr>
                <w:b/>
                <w:sz w:val="18"/>
                <w:szCs w:val="18"/>
                <w:lang w:eastAsia="en-AU"/>
              </w:rPr>
            </w:pPr>
            <w:r w:rsidRPr="0044580E">
              <w:rPr>
                <w:b/>
                <w:sz w:val="18"/>
                <w:szCs w:val="18"/>
                <w:lang w:eastAsia="en-AU"/>
              </w:rPr>
              <w:t>Всего (в процентах)</w:t>
            </w:r>
          </w:p>
        </w:tc>
        <w:tc>
          <w:tcPr>
            <w:tcW w:w="850" w:type="dxa"/>
            <w:tcBorders>
              <w:top w:val="single" w:sz="4" w:space="0" w:color="auto"/>
            </w:tcBorders>
            <w:shd w:val="clear" w:color="auto" w:fill="auto"/>
            <w:vAlign w:val="bottom"/>
          </w:tcPr>
          <w:p w:rsidR="0044580E" w:rsidRPr="0044580E" w:rsidRDefault="0044580E" w:rsidP="00B93743">
            <w:pPr>
              <w:spacing w:before="80" w:after="80" w:line="220" w:lineRule="exact"/>
              <w:ind w:right="113"/>
              <w:jc w:val="right"/>
              <w:rPr>
                <w:b/>
                <w:sz w:val="18"/>
                <w:szCs w:val="18"/>
                <w:lang w:eastAsia="en-AU"/>
              </w:rPr>
            </w:pPr>
            <w:r w:rsidRPr="0044580E">
              <w:rPr>
                <w:b/>
                <w:sz w:val="18"/>
                <w:szCs w:val="18"/>
                <w:lang w:eastAsia="en-AU"/>
              </w:rPr>
              <w:t>6</w:t>
            </w:r>
          </w:p>
        </w:tc>
        <w:tc>
          <w:tcPr>
            <w:tcW w:w="929" w:type="dxa"/>
            <w:tcBorders>
              <w:top w:val="single" w:sz="4" w:space="0" w:color="auto"/>
            </w:tcBorders>
            <w:shd w:val="clear" w:color="auto" w:fill="auto"/>
            <w:vAlign w:val="bottom"/>
          </w:tcPr>
          <w:p w:rsidR="0044580E" w:rsidRPr="0044580E" w:rsidRDefault="0044580E" w:rsidP="00B93743">
            <w:pPr>
              <w:spacing w:before="80" w:after="80" w:line="220" w:lineRule="exact"/>
              <w:ind w:right="113"/>
              <w:jc w:val="right"/>
              <w:rPr>
                <w:b/>
                <w:sz w:val="18"/>
                <w:szCs w:val="18"/>
                <w:lang w:eastAsia="en-AU"/>
              </w:rPr>
            </w:pPr>
            <w:r w:rsidRPr="0044580E">
              <w:rPr>
                <w:b/>
                <w:sz w:val="18"/>
                <w:szCs w:val="18"/>
                <w:lang w:eastAsia="en-AU"/>
              </w:rPr>
              <w:t>15</w:t>
            </w:r>
          </w:p>
        </w:tc>
        <w:tc>
          <w:tcPr>
            <w:tcW w:w="1441" w:type="dxa"/>
            <w:tcBorders>
              <w:top w:val="single" w:sz="4" w:space="0" w:color="auto"/>
            </w:tcBorders>
            <w:shd w:val="clear" w:color="auto" w:fill="auto"/>
            <w:vAlign w:val="bottom"/>
          </w:tcPr>
          <w:p w:rsidR="0044580E" w:rsidRPr="0044580E" w:rsidRDefault="0044580E" w:rsidP="00B93743">
            <w:pPr>
              <w:spacing w:before="80" w:after="80" w:line="220" w:lineRule="exact"/>
              <w:ind w:right="113"/>
              <w:jc w:val="right"/>
              <w:rPr>
                <w:b/>
                <w:sz w:val="18"/>
                <w:szCs w:val="18"/>
                <w:lang w:eastAsia="en-AU"/>
              </w:rPr>
            </w:pPr>
            <w:r w:rsidRPr="0044580E">
              <w:rPr>
                <w:b/>
                <w:sz w:val="18"/>
                <w:szCs w:val="18"/>
                <w:lang w:eastAsia="en-AU"/>
              </w:rPr>
              <w:t>3</w:t>
            </w:r>
          </w:p>
        </w:tc>
        <w:tc>
          <w:tcPr>
            <w:tcW w:w="1316" w:type="dxa"/>
            <w:tcBorders>
              <w:top w:val="single" w:sz="4" w:space="0" w:color="auto"/>
            </w:tcBorders>
            <w:shd w:val="clear" w:color="auto" w:fill="auto"/>
            <w:vAlign w:val="bottom"/>
          </w:tcPr>
          <w:p w:rsidR="0044580E" w:rsidRPr="0044580E" w:rsidRDefault="0044580E" w:rsidP="00B93743">
            <w:pPr>
              <w:spacing w:before="80" w:after="80" w:line="220" w:lineRule="exact"/>
              <w:ind w:right="113"/>
              <w:jc w:val="right"/>
              <w:rPr>
                <w:b/>
                <w:sz w:val="18"/>
                <w:szCs w:val="18"/>
                <w:lang w:eastAsia="en-AU"/>
              </w:rPr>
            </w:pPr>
            <w:r w:rsidRPr="0044580E">
              <w:rPr>
                <w:b/>
                <w:sz w:val="18"/>
                <w:szCs w:val="18"/>
                <w:lang w:eastAsia="en-AU"/>
              </w:rPr>
              <w:t>73</w:t>
            </w:r>
          </w:p>
        </w:tc>
        <w:tc>
          <w:tcPr>
            <w:tcW w:w="707" w:type="dxa"/>
            <w:tcBorders>
              <w:top w:val="single" w:sz="4" w:space="0" w:color="auto"/>
            </w:tcBorders>
            <w:shd w:val="clear" w:color="auto" w:fill="auto"/>
            <w:vAlign w:val="bottom"/>
          </w:tcPr>
          <w:p w:rsidR="0044580E" w:rsidRPr="0044580E" w:rsidRDefault="0044580E" w:rsidP="00B93743">
            <w:pPr>
              <w:spacing w:before="80" w:after="80" w:line="220" w:lineRule="exact"/>
              <w:ind w:right="113"/>
              <w:jc w:val="right"/>
              <w:rPr>
                <w:b/>
                <w:sz w:val="18"/>
                <w:szCs w:val="18"/>
                <w:lang w:eastAsia="en-AU"/>
              </w:rPr>
            </w:pPr>
            <w:r w:rsidRPr="0044580E">
              <w:rPr>
                <w:b/>
                <w:sz w:val="18"/>
                <w:szCs w:val="18"/>
                <w:lang w:eastAsia="en-AU"/>
              </w:rPr>
              <w:t>100</w:t>
            </w:r>
          </w:p>
        </w:tc>
      </w:tr>
    </w:tbl>
    <w:p w:rsidR="006C77FE" w:rsidRPr="006C77FE" w:rsidRDefault="006C77FE" w:rsidP="00B14CE0">
      <w:pPr>
        <w:pStyle w:val="H56G"/>
      </w:pPr>
      <w:r w:rsidRPr="006C77FE">
        <w:tab/>
      </w:r>
      <w:r w:rsidRPr="006C77FE">
        <w:tab/>
        <w:t>Штаты и территории</w:t>
      </w:r>
    </w:p>
    <w:p w:rsidR="006C77FE" w:rsidRPr="006C77FE" w:rsidRDefault="006C77FE" w:rsidP="006C77FE">
      <w:pPr>
        <w:pStyle w:val="SingleTxtGR"/>
      </w:pPr>
      <w:r w:rsidRPr="006C77FE">
        <w:t>162.</w:t>
      </w:r>
      <w:r w:rsidRPr="006C77FE">
        <w:tab/>
        <w:t>В настоящее время большинство правительств штатов и территорий не осуществляют сбор данных об инвалидности заключенных. Согласно докладу правительства Виктории примерно 580 правонарушителей с зарегистрированными умственными расстройствами содержатся в тюрьмах либо находятся под контролем общин, под надзором или на УДО. По расчетам, примерно 1 200 совершеннолетних заключенных в Виктории имеют приобретенные трав</w:t>
      </w:r>
      <w:r w:rsidR="00B14CE0">
        <w:t>мы мозга и приблизительно 1 000 </w:t>
      </w:r>
      <w:r w:rsidRPr="006C77FE">
        <w:t xml:space="preserve">заключенных до взятия под стражу проходили психиатрическое лечение. </w:t>
      </w:r>
    </w:p>
    <w:p w:rsidR="006C77FE" w:rsidRPr="006C77FE" w:rsidRDefault="00B14CE0" w:rsidP="006C77FE">
      <w:pPr>
        <w:pStyle w:val="SingleTxtGR"/>
      </w:pPr>
      <w:r>
        <w:t>163.</w:t>
      </w:r>
      <w:r w:rsidR="006C77FE" w:rsidRPr="006C77FE">
        <w:tab/>
        <w:t>Правительства некоторых штатов и территорий собирают данные об инвалидах из числа несовершеннолетних правонарушителей, находящихся в местах лишения свободы. По информации правительства Виктории, в системе ювенильной юстиции содержится примерно 130 правонарушителей с тем или иным интеллектуальным нарушением. По данным правительства Нового Южного Уэльса, в 2016/17 году в колониях для несовершеннолетних правонарушител</w:t>
      </w:r>
      <w:r>
        <w:t>ей насчитывалось 727 человек, у </w:t>
      </w:r>
      <w:r w:rsidR="006C77FE" w:rsidRPr="006C77FE">
        <w:t xml:space="preserve">которых было выявлено какое-либо расстройство организма, и примерно 23% из них страдали тем или иным видом умственной отсталости. </w:t>
      </w:r>
    </w:p>
    <w:p w:rsidR="006C77FE" w:rsidRPr="006C77FE" w:rsidRDefault="006C77FE" w:rsidP="006C77FE">
      <w:pPr>
        <w:pStyle w:val="SingleTxtGR"/>
      </w:pPr>
      <w:r w:rsidRPr="006C77FE">
        <w:t>164.</w:t>
      </w:r>
      <w:r w:rsidRPr="006C77FE">
        <w:tab/>
        <w:t xml:space="preserve">Правительство Квинсленда начало работу по изучению новых методов скрининга и оценки в целях упрощения установления количества заключенных-инвалидов в исправительных учреждениях Квинсленда. </w:t>
      </w:r>
    </w:p>
    <w:p w:rsidR="006C77FE" w:rsidRPr="00D574B3" w:rsidRDefault="006C77FE" w:rsidP="00B14CE0">
      <w:pPr>
        <w:pStyle w:val="H23G"/>
        <w:rPr>
          <w:lang w:val="ru-RU"/>
        </w:rPr>
      </w:pPr>
      <w:r w:rsidRPr="00D574B3">
        <w:rPr>
          <w:lang w:val="ru-RU"/>
        </w:rPr>
        <w:tab/>
      </w:r>
      <w:r w:rsidRPr="00D574B3">
        <w:rPr>
          <w:lang w:val="ru-RU"/>
        </w:rPr>
        <w:tab/>
        <w:t>Вопрос 15</w:t>
      </w:r>
    </w:p>
    <w:p w:rsidR="006C77FE" w:rsidRPr="006C77FE" w:rsidRDefault="006C77FE" w:rsidP="006C77FE">
      <w:pPr>
        <w:pStyle w:val="SingleTxtGR"/>
      </w:pPr>
      <w:r w:rsidRPr="006C77FE">
        <w:t>165.</w:t>
      </w:r>
      <w:r w:rsidRPr="006C77FE">
        <w:tab/>
        <w:t>Вопрос 13 содержит информацию о соответствующих программах подготовки на уровне Австралийского Союза, штатов и территорий.</w:t>
      </w:r>
    </w:p>
    <w:p w:rsidR="006C77FE" w:rsidRPr="00D574B3" w:rsidRDefault="006C77FE" w:rsidP="00B14CE0">
      <w:pPr>
        <w:pStyle w:val="H56G"/>
        <w:rPr>
          <w:lang w:val="ru-RU"/>
        </w:rPr>
      </w:pPr>
      <w:r w:rsidRPr="00D574B3">
        <w:rPr>
          <w:lang w:val="ru-RU"/>
        </w:rPr>
        <w:tab/>
      </w:r>
      <w:r w:rsidRPr="00D574B3">
        <w:rPr>
          <w:lang w:val="ru-RU"/>
        </w:rPr>
        <w:tab/>
        <w:t>Доступ к правосудию</w:t>
      </w:r>
    </w:p>
    <w:p w:rsidR="006C77FE" w:rsidRPr="006C77FE" w:rsidRDefault="006C77FE" w:rsidP="006C77FE">
      <w:pPr>
        <w:pStyle w:val="SingleTxtGR"/>
      </w:pPr>
      <w:r w:rsidRPr="006C77FE">
        <w:t>166.</w:t>
      </w:r>
      <w:r w:rsidRPr="006C77FE">
        <w:tab/>
        <w:t xml:space="preserve">Австралия признает, что обеспечение эффективного доступа инвалидов к правосудию имеет определяющее значение для осуществления ими своих законных прав наравне с другими. </w:t>
      </w:r>
    </w:p>
    <w:p w:rsidR="006C77FE" w:rsidRPr="006C77FE" w:rsidRDefault="006C77FE" w:rsidP="006C77FE">
      <w:pPr>
        <w:pStyle w:val="SingleTxtGR"/>
      </w:pPr>
      <w:r w:rsidRPr="006C77FE">
        <w:t>167.</w:t>
      </w:r>
      <w:r w:rsidRPr="006C77FE">
        <w:tab/>
        <w:t>В соответствии с Национальным соглашением о сотрудничестве в сфере оказания юридической помощи на 2015–2020 годы дела, требующие предоставления гранта на оказание помощи, обусловленной особыми обстоятельствами, в частности инвалидностью, в Австралийском союзе рассматриваются на первоочередной основе при выделении средств на финансирование юридической помощи.</w:t>
      </w:r>
    </w:p>
    <w:p w:rsidR="006C77FE" w:rsidRPr="006C77FE" w:rsidRDefault="006C77FE" w:rsidP="006C77FE">
      <w:pPr>
        <w:pStyle w:val="SingleTxtGR"/>
      </w:pPr>
      <w:r w:rsidRPr="006C77FE">
        <w:t>168.</w:t>
      </w:r>
      <w:r w:rsidRPr="006C77FE">
        <w:tab/>
        <w:t>В 2016/17 году инвалиды и лица с психическими заболеваниями получили 12,6% грантов на оказание юридической помощи в связи с вопросами, касающимися Австралийского Союза. В 2016/17 году на долю инвалидов или лиц с психическими заболеваниями приходилось 32,8% услуг общинных центров юридической помощи.</w:t>
      </w:r>
    </w:p>
    <w:p w:rsidR="006C77FE" w:rsidRPr="006C77FE" w:rsidRDefault="006C77FE" w:rsidP="006C77FE">
      <w:pPr>
        <w:pStyle w:val="SingleTxtGR"/>
      </w:pPr>
      <w:r w:rsidRPr="006C77FE">
        <w:t>169.</w:t>
      </w:r>
      <w:r w:rsidRPr="006C77FE">
        <w:tab/>
        <w:t>Помимо этого, правительство Австралии осуществляет целый ряд предусмотренных законодательством и нестатутарных программ предоставления финансовой помощи в целях получения юридических услуг. Так</w:t>
      </w:r>
      <w:r w:rsidR="00B14CE0">
        <w:t>,</w:t>
      </w:r>
      <w:r w:rsidRPr="006C77FE">
        <w:t xml:space="preserve"> например, в соответствии с Законом об Австралийской комиссии по правам человека 1986 года (Закон о АКПЧ) (АС) Генеральный прокурор может предоставлять финансовую поддержку лицу, возбуждающему в федеральных судах судопроизводство по поводу незаконной дискриминации. Истцам, включая инвалидов, которые обращаются в федеральные суды с жалобами в рамках их юрисдикции по вопросам прав человека, могут предоставляться скидки.</w:t>
      </w:r>
    </w:p>
    <w:p w:rsidR="006C77FE" w:rsidRPr="006C77FE" w:rsidRDefault="006C77FE" w:rsidP="006C77FE">
      <w:pPr>
        <w:pStyle w:val="SingleTxtGR"/>
      </w:pPr>
      <w:r w:rsidRPr="006C77FE">
        <w:lastRenderedPageBreak/>
        <w:t>170.</w:t>
      </w:r>
      <w:r w:rsidRPr="006C77FE">
        <w:tab/>
        <w:t>Как рассматривалось в рамках вопроса 1, в Австралии действуют системы, обеспечивающие принятие решений по суппортивной или субтитутивной моделям в интересах оказания помощи инвалидам, которые не способны самостоятельно ориентироваться в системе правосудия.</w:t>
      </w:r>
    </w:p>
    <w:p w:rsidR="006C77FE" w:rsidRPr="006C77FE" w:rsidRDefault="006C77FE" w:rsidP="006C77FE">
      <w:pPr>
        <w:pStyle w:val="SingleTxtGR"/>
      </w:pPr>
      <w:r w:rsidRPr="006C77FE">
        <w:t>171.</w:t>
      </w:r>
      <w:r w:rsidRPr="006C77FE">
        <w:tab/>
        <w:t>Наряду с этим правительства штатов и территорий выделяют средства и оказывают поддержку в целях обеспечения доступа инвалидов к правосудию. Так</w:t>
      </w:r>
      <w:r w:rsidR="00B14CE0">
        <w:t>,</w:t>
      </w:r>
      <w:r w:rsidRPr="006C77FE">
        <w:t xml:space="preserve"> например, в Квинсленде организациям, оказывающим юридическую помощь инвалидам, на период 2017–2020 годов выделено свыше 4,6 млн долл</w:t>
      </w:r>
      <w:r w:rsidR="00EB4373">
        <w:t>аров</w:t>
      </w:r>
      <w:r w:rsidRPr="006C77FE">
        <w:t xml:space="preserve">. </w:t>
      </w:r>
    </w:p>
    <w:p w:rsidR="006C77FE" w:rsidRPr="00D574B3" w:rsidRDefault="006C77FE" w:rsidP="00B14CE0">
      <w:pPr>
        <w:pStyle w:val="H56G"/>
        <w:rPr>
          <w:lang w:val="ru-RU"/>
        </w:rPr>
      </w:pPr>
      <w:r w:rsidRPr="00D574B3">
        <w:rPr>
          <w:lang w:val="ru-RU"/>
        </w:rPr>
        <w:tab/>
      </w:r>
      <w:r w:rsidRPr="00D574B3">
        <w:rPr>
          <w:lang w:val="ru-RU"/>
        </w:rPr>
        <w:tab/>
        <w:t>Доступность</w:t>
      </w:r>
    </w:p>
    <w:p w:rsidR="006C77FE" w:rsidRPr="006C77FE" w:rsidRDefault="006C77FE" w:rsidP="006C77FE">
      <w:pPr>
        <w:pStyle w:val="SingleTxtGR"/>
      </w:pPr>
      <w:r w:rsidRPr="006C77FE">
        <w:t>172.</w:t>
      </w:r>
      <w:r w:rsidRPr="006C77FE">
        <w:tab/>
        <w:t xml:space="preserve">Правительство Австралии признает важность обеспечения доступности для инвалидов судов и системы правосудия. Доступность в федеральных судах обеспечивается за счет предоставления инвалидных колясок, слуховых аппаратов в залах заседания суда, а также услуг устных переводчиков. Их веб-сайты соответствуют введенным правительством Австралии стандартам доступности интернет-контента. При ведении строительных работ на существующих и запланированных к сооружению зданиях судов по-прежнему учитываются потребности инвалидов. Помимо этого, Семейный и Федеральный окружной суды Австралии в настоящее время оснащены онлайн-консультантами как средством общения с клиентами и оказания им помощи в понимании судебной практики и судебных процедур. </w:t>
      </w:r>
    </w:p>
    <w:p w:rsidR="006C77FE" w:rsidRPr="006C77FE" w:rsidRDefault="006C77FE" w:rsidP="006C77FE">
      <w:pPr>
        <w:pStyle w:val="SingleTxtGR"/>
      </w:pPr>
      <w:r w:rsidRPr="006C77FE">
        <w:t>173.</w:t>
      </w:r>
      <w:r w:rsidRPr="006C77FE">
        <w:tab/>
        <w:t xml:space="preserve">Правительства большинства штатов и территорий обеспечивают доступность судов для инвалидов. При этом в интересах присутствия инвалидов на заседаниях суда и их участия в судебных разбирательствах им может быть оказана помощь. Так, в день судебного заседания суды могут обеспечивать для глухих или слабослышащих лиц установку инфракрасной звуковой индукционной петли. </w:t>
      </w:r>
    </w:p>
    <w:p w:rsidR="006C77FE" w:rsidRPr="00D574B3" w:rsidRDefault="006C77FE" w:rsidP="00B14CE0">
      <w:pPr>
        <w:pStyle w:val="H56G"/>
        <w:rPr>
          <w:lang w:val="ru-RU"/>
        </w:rPr>
      </w:pPr>
      <w:r w:rsidRPr="00D574B3">
        <w:rPr>
          <w:lang w:val="ru-RU"/>
        </w:rPr>
        <w:tab/>
      </w:r>
      <w:r w:rsidRPr="00D574B3">
        <w:rPr>
          <w:lang w:val="ru-RU"/>
        </w:rPr>
        <w:tab/>
        <w:t>Состав жюри присяжных</w:t>
      </w:r>
    </w:p>
    <w:p w:rsidR="006C77FE" w:rsidRPr="006C77FE" w:rsidRDefault="006C77FE" w:rsidP="006C77FE">
      <w:pPr>
        <w:pStyle w:val="SingleTxtGR"/>
      </w:pPr>
      <w:r w:rsidRPr="006C77FE">
        <w:t>174.</w:t>
      </w:r>
      <w:r w:rsidRPr="006C77FE">
        <w:tab/>
        <w:t xml:space="preserve">Шериф Федерального суда (единственного федерального суда с правом на судопроизводство с участием присяжных заседателей) в настоящее время работает над составлением руководств для членов и должностных лиц жюри, которые позволят согласовать с Конвенцией нормативные положения о составе жюри присяжных Суда. На веб-сайте Федерального суда потенциальные присяжные заседатели могут получить подробную информацию об услугах по письменному и устному переводу, а также о национальной службе коммутируемых сообщений, работающей в интересах лиц с расстройствами слуха. </w:t>
      </w:r>
    </w:p>
    <w:p w:rsidR="006C77FE" w:rsidRPr="006C77FE" w:rsidRDefault="006C77FE" w:rsidP="006C77FE">
      <w:pPr>
        <w:pStyle w:val="SingleTxtGR"/>
      </w:pPr>
      <w:r w:rsidRPr="006C77FE">
        <w:t>175.</w:t>
      </w:r>
      <w:r w:rsidRPr="006C77FE">
        <w:tab/>
        <w:t>В некоторых штатах и территориях принято законодательство в поддержку равного участия инвалидов в деятельности системы жюри присяжных. Так</w:t>
      </w:r>
      <w:r w:rsidR="00B14CE0">
        <w:t>,</w:t>
      </w:r>
      <w:r w:rsidRPr="006C77FE">
        <w:t xml:space="preserve"> например, в 2018 году АСТ внесла поправки в </w:t>
      </w:r>
      <w:r w:rsidRPr="006C77FE">
        <w:rPr>
          <w:i/>
        </w:rPr>
        <w:t>Закон о жюри присяжных</w:t>
      </w:r>
      <w:r w:rsidRPr="006C77FE">
        <w:t xml:space="preserve"> </w:t>
      </w:r>
      <w:r w:rsidRPr="006C77FE">
        <w:rPr>
          <w:i/>
        </w:rPr>
        <w:t>1967 года</w:t>
      </w:r>
      <w:r w:rsidRPr="006C77FE">
        <w:t xml:space="preserve"> (АСТ) для упрощения оказания разумной поддержки присяжным заседателям из числа инвалидов, участвующим в работе жюри присяжных. Разумная поддержка может включать предоставление устного переводчика, специально обученных животных, инвалидных приспособлений или помощника. </w:t>
      </w:r>
    </w:p>
    <w:p w:rsidR="006C77FE" w:rsidRPr="00D574B3" w:rsidRDefault="006C77FE" w:rsidP="00B14CE0">
      <w:pPr>
        <w:pStyle w:val="H56G"/>
        <w:rPr>
          <w:lang w:val="ru-RU"/>
        </w:rPr>
      </w:pPr>
      <w:r w:rsidRPr="00D574B3">
        <w:rPr>
          <w:lang w:val="ru-RU"/>
        </w:rPr>
        <w:tab/>
      </w:r>
      <w:r w:rsidRPr="00D574B3">
        <w:rPr>
          <w:lang w:val="ru-RU"/>
        </w:rPr>
        <w:tab/>
        <w:t>Опротестование задержания и уголовных обвинений</w:t>
      </w:r>
    </w:p>
    <w:p w:rsidR="006C77FE" w:rsidRPr="006C77FE" w:rsidRDefault="006C77FE" w:rsidP="006C77FE">
      <w:pPr>
        <w:pStyle w:val="SingleTxtGR"/>
      </w:pPr>
      <w:r w:rsidRPr="006C77FE">
        <w:t>176.</w:t>
      </w:r>
      <w:r w:rsidRPr="006C77FE">
        <w:tab/>
        <w:t xml:space="preserve">Тюрьмы и другие места содержания под стражей системы уголовного правосудия находятся в ведении штатов и территорий. В случае лишения инвалидов свободы в контексте системы уголовного правосудия они пользуются теми же процессуальными гарантиями, что и все другие лица. Проводимая политика и существующая практика направлены на удовлетворение особых потребностей инвалидов, включая обеспечение доступа лиц с физическими недостатками, а также доступа к информации лиц с расстройствами зрения или слуха, либо с когнитивными расстройствами. </w:t>
      </w:r>
    </w:p>
    <w:p w:rsidR="006C77FE" w:rsidRPr="006C77FE" w:rsidRDefault="006C77FE" w:rsidP="006C77FE">
      <w:pPr>
        <w:pStyle w:val="SingleTxtGR"/>
      </w:pPr>
      <w:r w:rsidRPr="006C77FE">
        <w:t>177.</w:t>
      </w:r>
      <w:r w:rsidRPr="006C77FE">
        <w:tab/>
        <w:t xml:space="preserve">Как рассматривалось в рамках вопроса 16, австралийские правительства рассматривают проект национальных принципов, в которых признаются права лиц с когнитивными или психическими расстройствами и вводятся гарантии, действующие </w:t>
      </w:r>
      <w:r w:rsidRPr="006C77FE">
        <w:lastRenderedPageBreak/>
        <w:t>на протяжении всего процесса судопроизводства, а также тех периодов, в течение которых лицо обязано исполнять постановление суда.</w:t>
      </w:r>
    </w:p>
    <w:p w:rsidR="006C77FE" w:rsidRPr="006C77FE" w:rsidRDefault="006C77FE" w:rsidP="006C77FE">
      <w:pPr>
        <w:pStyle w:val="SingleTxtGR"/>
      </w:pPr>
      <w:r w:rsidRPr="006C77FE">
        <w:t>178.</w:t>
      </w:r>
      <w:r w:rsidRPr="006C77FE">
        <w:tab/>
        <w:t>Многие штаты и территории оказывают услуги по удовлетворению дополнительных потребностей правонарушителей-инвалидов в поддержке. Так</w:t>
      </w:r>
      <w:r w:rsidR="00B14CE0">
        <w:t>,</w:t>
      </w:r>
      <w:r w:rsidRPr="006C77FE">
        <w:t xml:space="preserve"> например, в рамках действующей в Западной Австралии программы реабилитации лиц с интеллектуальными расстройствами обеспечивается индивидуальное управление ходом дела и оказывается поддержка совершеннолетним лицам с когнитивными или интеллектуальными расстройствами, которые признают свою вину или уведомили о том, что признают свою вину по предъявленному в суде магистратов обвинению. Закон о психическом здоровье 2014 года (ЗА) требует, чтобы со всеми лицами, по которым принято решение о принудительном лечении, включая лиц с когнитивными или интеллектуальными расстройствами, и которые содержатся в аккредитованной клинике, в течении установленного срока связывался адвокат по делам психически больных лиц, который, при необходимости, может оказать надлежащую помощь и поддержку. Кроме того, правительство Западной Австралии недавно приняло решение переработать Закон об уголовном законодательстве (в части обвиняемых с психическими расстройствами) 1996 года (ЗА) в целях включения в него положений об оказании лицам с интеллектуальными расстройствами помощи в интересах обеспечения их участия в судебном процессе. </w:t>
      </w:r>
    </w:p>
    <w:p w:rsidR="006C77FE" w:rsidRPr="00D574B3" w:rsidRDefault="006C77FE" w:rsidP="00B14CE0">
      <w:pPr>
        <w:pStyle w:val="H56G"/>
        <w:rPr>
          <w:lang w:val="ru-RU"/>
        </w:rPr>
      </w:pPr>
      <w:r w:rsidRPr="00D574B3">
        <w:rPr>
          <w:lang w:val="ru-RU"/>
        </w:rPr>
        <w:tab/>
      </w:r>
      <w:r w:rsidRPr="00D574B3">
        <w:rPr>
          <w:lang w:val="ru-RU"/>
        </w:rPr>
        <w:tab/>
        <w:t>Чрезмерная представленность</w:t>
      </w:r>
    </w:p>
    <w:p w:rsidR="006C77FE" w:rsidRPr="006C77FE" w:rsidRDefault="006C77FE" w:rsidP="006C77FE">
      <w:pPr>
        <w:pStyle w:val="SingleTxtGR"/>
      </w:pPr>
      <w:r w:rsidRPr="006C77FE">
        <w:t>179.</w:t>
      </w:r>
      <w:r w:rsidRPr="006C77FE">
        <w:tab/>
        <w:t>Австралийский институт криминологии провел ряд исследований по вопросам положения инвалидов в системе уголовного правосудия. Так, опубликованное в октябре 2017 года исследование показывает, что среди коренных австралийцев отмечается более высокая доля лиц с когнитивными расстройствами нежели среди австралийцев, не принадлежащих к коренному населению. В результате этого исследования также выяснилось, что заключенные с когнитивными расстройствами более склонны к рецидивам, раньше совершают первые правонарушения и имеют более богатое уголовное прошлое. Эти недавно сделанные выводы указывают на сохранение потребности в оказании инвалидам целевой помощи с учетом их культурных особенностей и в предоставлении альтернативных вариантов наказания на всех уровнях системы уголовного правосудия.</w:t>
      </w:r>
    </w:p>
    <w:p w:rsidR="006C77FE" w:rsidRPr="006C77FE" w:rsidRDefault="006C77FE" w:rsidP="006C77FE">
      <w:pPr>
        <w:pStyle w:val="SingleTxtGR"/>
      </w:pPr>
      <w:r w:rsidRPr="006C77FE">
        <w:t>180.</w:t>
      </w:r>
      <w:r w:rsidRPr="006C77FE">
        <w:tab/>
        <w:t xml:space="preserve">Правительства ряда штатов и территорий проводят расследования или принимают меры по сообщениям независимых источников о чрезмерной представленности инвалидов в системе уголовного правосудия. В 2015 году парламент Виктории провел расследование злоупотреблений при оказании услуг инвалидам. Работа над окончательным докладом была завершена в мае 2016 года, и правительство Виктории изучает содержащиеся в нем выводы. </w:t>
      </w:r>
    </w:p>
    <w:p w:rsidR="006C77FE" w:rsidRPr="006C77FE" w:rsidRDefault="006C77FE" w:rsidP="006C77FE">
      <w:pPr>
        <w:pStyle w:val="SingleTxtGR"/>
      </w:pPr>
      <w:r w:rsidRPr="006C77FE">
        <w:t>181.</w:t>
      </w:r>
      <w:r w:rsidRPr="006C77FE">
        <w:tab/>
        <w:t>В докладе Комитета Северной территории п</w:t>
      </w:r>
      <w:r w:rsidR="00B14CE0">
        <w:t>о реформе законодательства 2016 </w:t>
      </w:r>
      <w:r w:rsidRPr="006C77FE">
        <w:t>года о взаимосвязи между лицами с психическими расстройствами и системой уголовного правосудия приводится 22 рекомендации, касающиеся обращения с лицами с психическими расстройствами в коллегии по уголовным делам Местного суда. В настоящее время правительство Северной территории изучает варианты выполнения этих рекомендаций.</w:t>
      </w:r>
    </w:p>
    <w:p w:rsidR="006C77FE" w:rsidRPr="00D574B3" w:rsidRDefault="006C77FE" w:rsidP="00B14CE0">
      <w:pPr>
        <w:pStyle w:val="H1G"/>
        <w:rPr>
          <w:lang w:val="ru-RU"/>
        </w:rPr>
      </w:pPr>
      <w:r w:rsidRPr="00D574B3">
        <w:rPr>
          <w:lang w:val="ru-RU"/>
        </w:rPr>
        <w:tab/>
      </w:r>
      <w:r w:rsidRPr="00D574B3">
        <w:rPr>
          <w:lang w:val="ru-RU"/>
        </w:rPr>
        <w:tab/>
        <w:t>Свобода и личная неприкосновенность (статья 14)</w:t>
      </w:r>
    </w:p>
    <w:p w:rsidR="006C77FE" w:rsidRPr="00D574B3" w:rsidRDefault="006C77FE" w:rsidP="00B14CE0">
      <w:pPr>
        <w:pStyle w:val="H23G"/>
        <w:rPr>
          <w:lang w:val="ru-RU"/>
        </w:rPr>
      </w:pPr>
      <w:r w:rsidRPr="00D574B3">
        <w:rPr>
          <w:lang w:val="ru-RU"/>
        </w:rPr>
        <w:tab/>
      </w:r>
      <w:r w:rsidRPr="00D574B3">
        <w:rPr>
          <w:lang w:val="ru-RU"/>
        </w:rPr>
        <w:tab/>
        <w:t>Вопрос 16</w:t>
      </w:r>
    </w:p>
    <w:p w:rsidR="006C77FE" w:rsidRPr="006C77FE" w:rsidRDefault="006C77FE" w:rsidP="006C77FE">
      <w:pPr>
        <w:pStyle w:val="SingleTxtGR"/>
      </w:pPr>
      <w:r w:rsidRPr="006C77FE">
        <w:t>182.</w:t>
      </w:r>
      <w:r w:rsidRPr="006C77FE">
        <w:tab/>
        <w:t>Австралия твердо привержена обеспечению того, чтобы в Австралии никто не мог быть лишен свободы по признаку инвалидности. Вместе с тем Австралия признает существование различных проблем в части обращения с психически больными лицами в контексте системы здравоохранения и системы уголовного правосудия. В этой области проводятся обследования и реформы.</w:t>
      </w:r>
    </w:p>
    <w:p w:rsidR="006C77FE" w:rsidRPr="006C77FE" w:rsidRDefault="006C77FE" w:rsidP="006C77FE">
      <w:pPr>
        <w:pStyle w:val="SingleTxtGR"/>
      </w:pPr>
      <w:r w:rsidRPr="006C77FE">
        <w:t>183.</w:t>
      </w:r>
      <w:r w:rsidRPr="006C77FE">
        <w:tab/>
        <w:t xml:space="preserve">В 2015 году была создана межюрисдикционная рабочая группа по проблеме обращения с лицами с когнитивными или психическими расстройствами, которые </w:t>
      </w:r>
      <w:r w:rsidRPr="006C77FE">
        <w:lastRenderedPageBreak/>
        <w:t>являются процессуально недееспособными или признаны невиновными в силу их умственной отсталости. Рабочая группа провела в юрисдикциях сбор и анализ данных по вопросам способности предстать перед судом, защиты лиц с умственными расстройствами и передачи лиц из одной административной единицы в другую по судебным причинам, а также разработала национальное заявление о принципах, касающихся лиц, которые являются процессуально недееспособными или невиновными в силу когнитивных или психических расстройств (национальные принципы).</w:t>
      </w:r>
    </w:p>
    <w:p w:rsidR="006C77FE" w:rsidRPr="006C77FE" w:rsidRDefault="006C77FE" w:rsidP="006C77FE">
      <w:pPr>
        <w:pStyle w:val="SingleTxtGR"/>
      </w:pPr>
      <w:r w:rsidRPr="006C77FE">
        <w:t>184.</w:t>
      </w:r>
      <w:r w:rsidRPr="006C77FE">
        <w:tab/>
        <w:t xml:space="preserve">В проекте национальных принципов признаются права лиц с когнитивными или психическими расстройствами и предпринимается попытка определения гарантий, действующих на протяжении всего процесса судопроизводства, а также периодов, когда данное лицо обязано выполнять судебное решение. </w:t>
      </w:r>
    </w:p>
    <w:p w:rsidR="006C77FE" w:rsidRPr="006C77FE" w:rsidRDefault="006C77FE" w:rsidP="006C77FE">
      <w:pPr>
        <w:pStyle w:val="SingleTxtGR"/>
      </w:pPr>
      <w:r w:rsidRPr="006C77FE">
        <w:t>185.</w:t>
      </w:r>
      <w:r w:rsidRPr="006C77FE">
        <w:tab/>
        <w:t>В июне 2018 года Совет Генеральных прокуроров обсудил пересмотренный вариант проекта национальных принципов и условился продолжить обсуждение на своем следующем заседании в 2018 году.</w:t>
      </w:r>
    </w:p>
    <w:p w:rsidR="006C77FE" w:rsidRPr="006C77FE" w:rsidRDefault="006C77FE" w:rsidP="006C77FE">
      <w:pPr>
        <w:pStyle w:val="SingleTxtGR"/>
      </w:pPr>
      <w:r w:rsidRPr="006C77FE">
        <w:t>186.</w:t>
      </w:r>
      <w:r w:rsidRPr="006C77FE">
        <w:tab/>
        <w:t xml:space="preserve">Согласно применяемому в Австралии подходу к охране здоровья инвалидов во всех возможных случаях им следует обеспечивать наименее ограничительные условия, защищать права человека и признавать роль семей и опекунов. Ограничение свободы инвалидов в системе здравоохранения допускается только при наличии опасности причинения ими вреда себе или другим лицам. </w:t>
      </w:r>
    </w:p>
    <w:p w:rsidR="006C77FE" w:rsidRPr="006C77FE" w:rsidRDefault="006C77FE" w:rsidP="006C77FE">
      <w:pPr>
        <w:pStyle w:val="SingleTxtGR"/>
      </w:pPr>
      <w:r w:rsidRPr="006C77FE">
        <w:t>187.</w:t>
      </w:r>
      <w:r w:rsidRPr="006C77FE">
        <w:tab/>
        <w:t>Хотя в некоторых юрисдикциях применяется бессрочное содержание под стражей, таковое ограничивается определенными гарантиями, в частности требованиями о назначении соразмерного срока наказания за вменяемое преступление, надзоре и периодическом пересмотре дела независимым органом, а также о наличии механизма обжалования</w:t>
      </w:r>
      <w:r w:rsidRPr="00B14CE0">
        <w:rPr>
          <w:sz w:val="18"/>
          <w:vertAlign w:val="superscript"/>
        </w:rPr>
        <w:footnoteReference w:id="18"/>
      </w:r>
      <w:r w:rsidRPr="006C77FE">
        <w:t>. В АСТ с недавнего времени стал применяться подход к применению фиксированных сроков наказания, при котором процессуально недееспособное лицо может быть задержано, но исключительно на строго определенный период времени, не превышающий установленный судом срок (приблизительный приговор, который мог бы быть вынесен лицу, если бы его дело рассматривалось в процессе обычного уголовного судопроизводства)</w:t>
      </w:r>
      <w:r w:rsidRPr="00B14CE0">
        <w:rPr>
          <w:sz w:val="18"/>
          <w:vertAlign w:val="superscript"/>
        </w:rPr>
        <w:footnoteReference w:id="19"/>
      </w:r>
      <w:r w:rsidRPr="006C77FE">
        <w:t xml:space="preserve">. </w:t>
      </w:r>
    </w:p>
    <w:p w:rsidR="006C77FE" w:rsidRPr="006C77FE" w:rsidRDefault="006C77FE" w:rsidP="006C77FE">
      <w:pPr>
        <w:pStyle w:val="SingleTxtGR"/>
      </w:pPr>
      <w:r w:rsidRPr="006C77FE">
        <w:t>188.</w:t>
      </w:r>
      <w:r w:rsidRPr="006C77FE">
        <w:tab/>
        <w:t>Вопрос согласия на медицинское вмешательство регулируется политикой и законодательством штатов и территорий. Они предусматривают целый ряд способов, с помощью которых лицо может выразить свои предпочтения в отношении лечения, включая положения о получении предварительного согласия, определении «назначенного лица» или опекуна, а также возможность передачи кому-либо доверенности, действие которой не прекращается вследствие признания доверителя недееспособным</w:t>
      </w:r>
      <w:r w:rsidRPr="00B14CE0">
        <w:rPr>
          <w:sz w:val="18"/>
          <w:vertAlign w:val="superscript"/>
        </w:rPr>
        <w:footnoteReference w:id="20"/>
      </w:r>
      <w:r w:rsidRPr="006C77FE">
        <w:t>. Лечение может осуществляться без получения свободного, предварительного и осознанного согласия только в том случае, если лицо является недееспособным, а назначенное лечение предполагает наименее рестриктивный метод терапии</w:t>
      </w:r>
      <w:r w:rsidRPr="00B14CE0">
        <w:rPr>
          <w:sz w:val="18"/>
          <w:vertAlign w:val="superscript"/>
        </w:rPr>
        <w:footnoteReference w:id="21"/>
      </w:r>
      <w:r w:rsidRPr="006C77FE">
        <w:t xml:space="preserve">. </w:t>
      </w:r>
    </w:p>
    <w:p w:rsidR="006C77FE" w:rsidRPr="006C77FE" w:rsidRDefault="006C77FE" w:rsidP="006C77FE">
      <w:pPr>
        <w:pStyle w:val="SingleTxtGR"/>
      </w:pPr>
      <w:r w:rsidRPr="006C77FE">
        <w:lastRenderedPageBreak/>
        <w:t>189.</w:t>
      </w:r>
      <w:r w:rsidRPr="006C77FE">
        <w:tab/>
        <w:t xml:space="preserve">Как указывалось при рассмотрении вопроса 1, по мнению Австралии, Конвенция допускает оказание принудительной помощи или принудительное лечение лиц, включая психотерапевтические методы, если такое лечение является необходимым в качестве крайней меры и когда оно сопровождается надлежащими и эффективными гарантиями. </w:t>
      </w:r>
    </w:p>
    <w:p w:rsidR="006C77FE" w:rsidRPr="00D574B3" w:rsidRDefault="006C77FE" w:rsidP="00B14CE0">
      <w:pPr>
        <w:pStyle w:val="H23G"/>
        <w:rPr>
          <w:lang w:val="ru-RU"/>
        </w:rPr>
      </w:pPr>
      <w:r w:rsidRPr="00D574B3">
        <w:rPr>
          <w:lang w:val="ru-RU"/>
        </w:rPr>
        <w:tab/>
      </w:r>
      <w:r w:rsidRPr="00D574B3">
        <w:rPr>
          <w:lang w:val="ru-RU"/>
        </w:rPr>
        <w:tab/>
        <w:t>Вопрос 17</w:t>
      </w:r>
    </w:p>
    <w:p w:rsidR="006C77FE" w:rsidRPr="006C77FE" w:rsidRDefault="006C77FE" w:rsidP="006C77FE">
      <w:pPr>
        <w:pStyle w:val="SingleTxtGR"/>
      </w:pPr>
      <w:r w:rsidRPr="006C77FE">
        <w:t>190.</w:t>
      </w:r>
      <w:r w:rsidRPr="006C77FE">
        <w:tab/>
        <w:t>Правительство Австралии изучает рекомендации, содержащиеся в докладе Сенатского комитета по делам местных сообществ 2016 года «Бессрочное задержание лиц с когнитивными и психиатрическими расстройствами в Австралии» и предполагает дать на них свой ответ в конце 2018 года.</w:t>
      </w:r>
    </w:p>
    <w:p w:rsidR="006C77FE" w:rsidRPr="006C77FE" w:rsidRDefault="006C77FE" w:rsidP="006C77FE">
      <w:pPr>
        <w:pStyle w:val="SingleTxtGR"/>
      </w:pPr>
      <w:r w:rsidRPr="006C77FE">
        <w:t>191.</w:t>
      </w:r>
      <w:r w:rsidRPr="006C77FE">
        <w:tab/>
        <w:t>Тем временем предпринимаются определенные шаги для выполнения содержащихся в упомянутом докладе рекомендаций. В частности:</w:t>
      </w:r>
    </w:p>
    <w:p w:rsidR="006C77FE" w:rsidRPr="006C77FE" w:rsidRDefault="006C77FE" w:rsidP="006C77FE">
      <w:pPr>
        <w:pStyle w:val="SingleTxtGR"/>
      </w:pPr>
      <w:r w:rsidRPr="006C77FE">
        <w:tab/>
      </w:r>
      <w:r w:rsidRPr="006C77FE">
        <w:rPr>
          <w:lang w:val="en-US"/>
        </w:rPr>
        <w:t>a</w:t>
      </w:r>
      <w:r w:rsidRPr="006C77FE">
        <w:t>)</w:t>
      </w:r>
      <w:r w:rsidRPr="006C77FE">
        <w:tab/>
        <w:t>австралийские правительства рассматривают проект национальных принципов, и рабочая группа занимается сбором и анализом данных (см. вопрос 16);</w:t>
      </w:r>
    </w:p>
    <w:p w:rsidR="006C77FE" w:rsidRPr="006C77FE" w:rsidRDefault="006C77FE" w:rsidP="006C77FE">
      <w:pPr>
        <w:pStyle w:val="SingleTxtGR"/>
      </w:pPr>
      <w:r w:rsidRPr="006C77FE">
        <w:tab/>
        <w:t>b)</w:t>
      </w:r>
      <w:r w:rsidRPr="006C77FE">
        <w:tab/>
        <w:t>правительства некоторых штатов и территорий выполнили или выполняют план действий по осуществлению правосудия в отношении инвалидов, направленный на расширение доступа инвалидов к правосудию</w:t>
      </w:r>
      <w:r w:rsidRPr="00B14CE0">
        <w:rPr>
          <w:sz w:val="18"/>
          <w:vertAlign w:val="superscript"/>
        </w:rPr>
        <w:footnoteReference w:id="22"/>
      </w:r>
      <w:r w:rsidRPr="006C77FE">
        <w:t>;</w:t>
      </w:r>
    </w:p>
    <w:p w:rsidR="006C77FE" w:rsidRPr="006C77FE" w:rsidRDefault="006C77FE" w:rsidP="006C77FE">
      <w:pPr>
        <w:pStyle w:val="SingleTxtGR"/>
      </w:pPr>
      <w:r w:rsidRPr="006C77FE">
        <w:tab/>
        <w:t>с)</w:t>
      </w:r>
      <w:r w:rsidRPr="006C77FE">
        <w:tab/>
        <w:t>правительства некоторых штатов и территорий проводят работу по пересмотру и реформированию своего соответствующего законодательства. Так</w:t>
      </w:r>
      <w:r w:rsidR="00B14CE0">
        <w:t>,</w:t>
      </w:r>
      <w:r w:rsidRPr="006C77FE">
        <w:t xml:space="preserve"> например, в 2014 году в результате всестороннего изучения модели суппортивного принятия решения в Виктории был введен в действие Закон о доверенностях 2014 года (ВИК);</w:t>
      </w:r>
    </w:p>
    <w:p w:rsidR="006C77FE" w:rsidRPr="006C77FE" w:rsidRDefault="006C77FE" w:rsidP="006C77FE">
      <w:pPr>
        <w:pStyle w:val="SingleTxtGR"/>
      </w:pPr>
      <w:r w:rsidRPr="006C77FE">
        <w:tab/>
      </w:r>
      <w:r w:rsidRPr="006C77FE">
        <w:rPr>
          <w:lang w:val="en-US"/>
        </w:rPr>
        <w:t>d</w:t>
      </w:r>
      <w:r w:rsidRPr="006C77FE">
        <w:t>)</w:t>
      </w:r>
      <w:r w:rsidRPr="006C77FE">
        <w:tab/>
        <w:t>в других юрисдикциях разрабатываются программы оперативной подготовки для действий в ситуациях, связанных с когнитивными или психиатрическими расстройствами. Так</w:t>
      </w:r>
      <w:r w:rsidR="00B14CE0">
        <w:t>,</w:t>
      </w:r>
      <w:r w:rsidRPr="006C77FE">
        <w:t xml:space="preserve"> например, в интересах полиции Виктории в настоящее время разрабатываются специализированные программы обучения и подготовки по вопросам психического здоровья с целью укрепления ее потенциала в деле урегулирования инцидентов, связанных с лицом, которое страдает психическим заболеванием. </w:t>
      </w:r>
    </w:p>
    <w:p w:rsidR="006C77FE" w:rsidRPr="00D574B3" w:rsidRDefault="006C77FE" w:rsidP="00B14CE0">
      <w:pPr>
        <w:pStyle w:val="H1G"/>
        <w:rPr>
          <w:lang w:val="ru-RU"/>
        </w:rPr>
      </w:pPr>
      <w:bookmarkStart w:id="9" w:name="_Toc523914945"/>
      <w:r w:rsidRPr="00D574B3">
        <w:rPr>
          <w:lang w:val="ru-RU"/>
        </w:rPr>
        <w:tab/>
      </w:r>
      <w:bookmarkEnd w:id="9"/>
      <w:r w:rsidRPr="00D574B3">
        <w:rPr>
          <w:lang w:val="ru-RU"/>
        </w:rPr>
        <w:tab/>
      </w:r>
      <w:r w:rsidRPr="00D574B3">
        <w:rPr>
          <w:lang w:val="ru-RU"/>
        </w:rPr>
        <w:tab/>
        <w:t>Свобода от пыток и жестоких, бесчеловечных или унижающих достоинство видов обращения и наказания (статья 15)</w:t>
      </w:r>
    </w:p>
    <w:p w:rsidR="006C77FE" w:rsidRPr="00D574B3" w:rsidRDefault="006C77FE" w:rsidP="00B14CE0">
      <w:pPr>
        <w:pStyle w:val="H23G"/>
        <w:rPr>
          <w:lang w:val="ru-RU"/>
        </w:rPr>
      </w:pPr>
      <w:r w:rsidRPr="00D574B3">
        <w:rPr>
          <w:lang w:val="ru-RU"/>
        </w:rPr>
        <w:tab/>
      </w:r>
      <w:r w:rsidRPr="00D574B3">
        <w:rPr>
          <w:lang w:val="ru-RU"/>
        </w:rPr>
        <w:tab/>
        <w:t>Вопрос 18</w:t>
      </w:r>
    </w:p>
    <w:p w:rsidR="006C77FE" w:rsidRPr="006C77FE" w:rsidRDefault="006C77FE" w:rsidP="006C77FE">
      <w:pPr>
        <w:pStyle w:val="SingleTxtGR"/>
      </w:pPr>
      <w:r w:rsidRPr="006C77FE">
        <w:t>192.</w:t>
      </w:r>
      <w:r w:rsidRPr="006C77FE">
        <w:tab/>
        <w:t>Австралия твердо намерена следовать по пути отказа от рестриктивной практики, поддерживает подход, согласно которому такая практика является крайней мерой, а достоинство и права человека обращающихся за помощью лиц должны уважаться и поддерживаться при всех обстоятельствах.</w:t>
      </w:r>
    </w:p>
    <w:p w:rsidR="006C77FE" w:rsidRPr="006C77FE" w:rsidRDefault="006C77FE" w:rsidP="006C77FE">
      <w:pPr>
        <w:pStyle w:val="SingleTxtGR"/>
      </w:pPr>
      <w:r w:rsidRPr="006C77FE">
        <w:t>193.</w:t>
      </w:r>
      <w:r w:rsidRPr="006C77FE">
        <w:tab/>
        <w:t>В некоторых штатах и территориях введено законодательство, согласно которому изоляция и смирительные средства должны применяться только в качестве крайней меры, соответствовать определенным стандартам, а факт их применения должен доводиться до сведения ответственного органа, а затем подлежать пересмотру</w:t>
      </w:r>
      <w:r w:rsidRPr="00B14CE0">
        <w:rPr>
          <w:sz w:val="18"/>
          <w:vertAlign w:val="superscript"/>
        </w:rPr>
        <w:footnoteReference w:id="23"/>
      </w:r>
      <w:r w:rsidRPr="006C77FE">
        <w:t xml:space="preserve">. Кроме этого, в некоторых юрисдикциях имеются органы, выполняющие образовательную функцию путем разработки руководящих принципов передовой </w:t>
      </w:r>
      <w:r w:rsidRPr="006C77FE">
        <w:lastRenderedPageBreak/>
        <w:t>практики и внесения рекомендаций об альтернативных вариантах без применения рестриктивной практики</w:t>
      </w:r>
      <w:r w:rsidRPr="00B14CE0">
        <w:rPr>
          <w:sz w:val="18"/>
          <w:vertAlign w:val="superscript"/>
        </w:rPr>
        <w:footnoteReference w:id="24"/>
      </w:r>
      <w:r w:rsidRPr="006C77FE">
        <w:t xml:space="preserve">. </w:t>
      </w:r>
    </w:p>
    <w:p w:rsidR="006C77FE" w:rsidRPr="00D574B3" w:rsidRDefault="006C77FE" w:rsidP="00B14CE0">
      <w:pPr>
        <w:pStyle w:val="H56G"/>
        <w:rPr>
          <w:lang w:val="ru-RU"/>
        </w:rPr>
      </w:pPr>
      <w:r w:rsidRPr="00D574B3">
        <w:rPr>
          <w:lang w:val="ru-RU"/>
        </w:rPr>
        <w:tab/>
      </w:r>
      <w:r w:rsidRPr="00D574B3">
        <w:rPr>
          <w:lang w:val="ru-RU"/>
        </w:rPr>
        <w:tab/>
        <w:t>Поставщики услуг в рамках НССИ</w:t>
      </w:r>
    </w:p>
    <w:p w:rsidR="006C77FE" w:rsidRPr="006C77FE" w:rsidRDefault="006C77FE" w:rsidP="006C77FE">
      <w:pPr>
        <w:pStyle w:val="SingleTxtGR"/>
      </w:pPr>
      <w:r w:rsidRPr="006C77FE">
        <w:t>194.</w:t>
      </w:r>
      <w:r w:rsidRPr="006C77FE">
        <w:tab/>
        <w:t xml:space="preserve">Комиссии по НССИ будет играть определенную роль в обеспечении применения передовой практики в контексте проведения программ поведенческой поддержки с целью регулирования поведенческих проблем, а также сокращения и исключения использования ограничительной практики, ущемляющей свободу и достоинство инвалидов. </w:t>
      </w:r>
    </w:p>
    <w:p w:rsidR="006C77FE" w:rsidRPr="006C77FE" w:rsidRDefault="006C77FE" w:rsidP="006C77FE">
      <w:pPr>
        <w:pStyle w:val="SingleTxtGR"/>
      </w:pPr>
      <w:r w:rsidRPr="006C77FE">
        <w:t>195.</w:t>
      </w:r>
      <w:r w:rsidRPr="006C77FE">
        <w:tab/>
        <w:t xml:space="preserve">Функция поведенческой поддержки Комиссии по НССИ основана на обязательствах правительств Австралийского Союза, штатов и территорий в контексте Национальных рамок сокращения использования ограничительной практики в секторе оказания помощи инвалидам и отказа от нее. В своей работе Комиссия по НССИ будет стремиться к сокращению и исключению ограничительной практики в сфере оказания услуг инвалидам посредством осуществления общенационального надзора, введения требований об обязательном отчетности, выработки передовой практики на основе реальных данных, а также посредством руководства, просветительской деятельности и инструктивных указаний. </w:t>
      </w:r>
    </w:p>
    <w:p w:rsidR="006C77FE" w:rsidRPr="006C77FE" w:rsidRDefault="006C77FE" w:rsidP="006C77FE">
      <w:pPr>
        <w:pStyle w:val="SingleTxtGR"/>
      </w:pPr>
      <w:r w:rsidRPr="006C77FE">
        <w:t>196.</w:t>
      </w:r>
      <w:r w:rsidRPr="006C77FE">
        <w:tab/>
        <w:t xml:space="preserve">В новой нормативной среде ограничительная практика может применяться лишь в контексте кого-либо плана поведенческой поддержки в качестве крайней меры и должна представлять собой наименее рестриктивный возможный вариант действий, быть соразмерна риску, создаваемому самим поведением, а также предусматривать способы сокращения и устранения потребности в применении ограничительной практики. </w:t>
      </w:r>
    </w:p>
    <w:p w:rsidR="006C77FE" w:rsidRPr="00D574B3" w:rsidRDefault="006C77FE" w:rsidP="00B14CE0">
      <w:pPr>
        <w:pStyle w:val="H56G"/>
        <w:rPr>
          <w:lang w:val="ru-RU"/>
        </w:rPr>
      </w:pPr>
      <w:r w:rsidRPr="00D574B3">
        <w:rPr>
          <w:lang w:val="ru-RU"/>
        </w:rPr>
        <w:tab/>
      </w:r>
      <w:r w:rsidRPr="00D574B3">
        <w:rPr>
          <w:lang w:val="ru-RU"/>
        </w:rPr>
        <w:tab/>
        <w:t>Школы</w:t>
      </w:r>
    </w:p>
    <w:p w:rsidR="006C77FE" w:rsidRPr="006C77FE" w:rsidRDefault="006C77FE" w:rsidP="006C77FE">
      <w:pPr>
        <w:pStyle w:val="SingleTxtGR"/>
      </w:pPr>
      <w:r w:rsidRPr="006C77FE">
        <w:t>197.</w:t>
      </w:r>
      <w:r w:rsidRPr="006C77FE">
        <w:tab/>
        <w:t>В соответствии со стандартами образования инвалидов учебные заведения обязаны создавать для учащихся свободную от притеснений и виктимизации образовательную среду. Школы также должны формировать в интересах учащихся условия для получения знаний, в которых они будут свободны от насильственного или агрессивного поведения со стороны других учеников, а также создавать безопасные условия для обучения тех из них, которые склонны к насильственному или агрессивному поведению.</w:t>
      </w:r>
    </w:p>
    <w:p w:rsidR="006C77FE" w:rsidRPr="006C77FE" w:rsidRDefault="006C77FE" w:rsidP="006C77FE">
      <w:pPr>
        <w:pStyle w:val="SingleTxtGR"/>
      </w:pPr>
      <w:r w:rsidRPr="006C77FE">
        <w:t>198.</w:t>
      </w:r>
      <w:r w:rsidRPr="006C77FE">
        <w:tab/>
        <w:t>В порядке реагирования на два проведенных Сенатом в 2015 году обследования, по итогам которых была выражена обеспокоенность по поводу применения ограничительной практики, правительство Австралии заявило о своем намерении продолжать совершенствовать поддержку учащихся-инвалидов в школах и будет и впредь сотрудничать с правительствами штатов и территорий, а также с неправительственными образовательными структурами в целях выявления возможностей для расширения и активизации текущей работы.</w:t>
      </w:r>
    </w:p>
    <w:p w:rsidR="006C77FE" w:rsidRPr="006C77FE" w:rsidRDefault="006C77FE" w:rsidP="006C77FE">
      <w:pPr>
        <w:pStyle w:val="SingleTxtGR"/>
      </w:pPr>
      <w:r w:rsidRPr="006C77FE">
        <w:t>199.</w:t>
      </w:r>
      <w:r w:rsidRPr="006C77FE">
        <w:tab/>
        <w:t>Несколько штатов и территорий в последнее время провели собственные обзоры условий обучения учащихся-инвалидов</w:t>
      </w:r>
      <w:r w:rsidRPr="00B14CE0">
        <w:rPr>
          <w:sz w:val="18"/>
          <w:vertAlign w:val="superscript"/>
        </w:rPr>
        <w:footnoteReference w:id="25"/>
      </w:r>
      <w:r w:rsidRPr="006C77FE">
        <w:t xml:space="preserve">. </w:t>
      </w:r>
    </w:p>
    <w:p w:rsidR="006C77FE" w:rsidRPr="006C77FE" w:rsidRDefault="006C77FE" w:rsidP="006C77FE">
      <w:pPr>
        <w:pStyle w:val="SingleTxtGR"/>
      </w:pPr>
      <w:r w:rsidRPr="006C77FE">
        <w:t>200.</w:t>
      </w:r>
      <w:r w:rsidRPr="006C77FE">
        <w:tab/>
        <w:t xml:space="preserve">В последние годы наметился существенный прогресс в деле освоения преподавателями надлежащих навыков и знаний в контексте эффективного удовлетворения образовательных потребностей всех учащихся, в том числе инвалидов. </w:t>
      </w:r>
    </w:p>
    <w:p w:rsidR="006C77FE" w:rsidRPr="00D574B3" w:rsidRDefault="006C77FE" w:rsidP="00B14CE0">
      <w:pPr>
        <w:pStyle w:val="H56G"/>
        <w:rPr>
          <w:lang w:val="ru-RU"/>
        </w:rPr>
      </w:pPr>
      <w:r w:rsidRPr="00D574B3">
        <w:rPr>
          <w:lang w:val="ru-RU"/>
        </w:rPr>
        <w:lastRenderedPageBreak/>
        <w:tab/>
      </w:r>
      <w:r w:rsidRPr="00D574B3">
        <w:rPr>
          <w:lang w:val="ru-RU"/>
        </w:rPr>
        <w:tab/>
        <w:t>Психиатрические лечебницы</w:t>
      </w:r>
    </w:p>
    <w:p w:rsidR="006C77FE" w:rsidRPr="006C77FE" w:rsidRDefault="006C77FE" w:rsidP="006C77FE">
      <w:pPr>
        <w:pStyle w:val="SingleTxtGR"/>
      </w:pPr>
      <w:r w:rsidRPr="006C77FE">
        <w:t xml:space="preserve">201. </w:t>
      </w:r>
      <w:r w:rsidRPr="006C77FE">
        <w:tab/>
        <w:t>Австралийский консультативный совет мини</w:t>
      </w:r>
      <w:r w:rsidR="00B14CE0">
        <w:t>стров здравоохранения провел 11 </w:t>
      </w:r>
      <w:r w:rsidRPr="006C77FE">
        <w:t>национальных форумов по проблеме использования ограничительной практики в целях обмена опытом и поддержки более широких реформаторских усилий, направленных на отказ от ограничительной практики. 12-й форум запланирован на ноябрь 2018 года.</w:t>
      </w:r>
    </w:p>
    <w:p w:rsidR="006C77FE" w:rsidRPr="006C77FE" w:rsidRDefault="006C77FE" w:rsidP="006C77FE">
      <w:pPr>
        <w:pStyle w:val="SingleTxtGR"/>
      </w:pPr>
      <w:r w:rsidRPr="006C77FE">
        <w:t>202.</w:t>
      </w:r>
      <w:r w:rsidRPr="006C77FE">
        <w:tab/>
        <w:t>Полученные по линии АИЗС данные о применении изоляции и смирительных средств в австралийских специализированных государственных психиатрических клиниках свидетельствуют о существенном сокращении практики изоляции при уменьшении количества случаев изоляции почти вдвое с 2009/10 года</w:t>
      </w:r>
      <w:r w:rsidRPr="00B14CE0">
        <w:rPr>
          <w:sz w:val="18"/>
          <w:vertAlign w:val="superscript"/>
        </w:rPr>
        <w:footnoteReference w:id="26"/>
      </w:r>
      <w:r w:rsidRPr="006C77FE">
        <w:t>.</w:t>
      </w:r>
    </w:p>
    <w:p w:rsidR="006C77FE" w:rsidRPr="006C77FE" w:rsidRDefault="006C77FE" w:rsidP="006C77FE">
      <w:pPr>
        <w:pStyle w:val="SingleTxtGR"/>
      </w:pPr>
      <w:r w:rsidRPr="006C77FE">
        <w:t>203.</w:t>
      </w:r>
      <w:r w:rsidRPr="006C77FE">
        <w:tab/>
        <w:t>Национальные стандарты психиатрической помощи 2010 года включают стандарт, который прямо касается безопасности пациента и вводит критерии, согласно которым психиатрическая помощь должна сокращать и, по возможности, устранять применение смирительных средств и изоляции во всех обстоятельствах.</w:t>
      </w:r>
    </w:p>
    <w:p w:rsidR="006C77FE" w:rsidRPr="006C77FE" w:rsidRDefault="006C77FE" w:rsidP="006C77FE">
      <w:pPr>
        <w:pStyle w:val="SingleTxtGR"/>
      </w:pPr>
      <w:r w:rsidRPr="006C77FE">
        <w:t>204.</w:t>
      </w:r>
      <w:r w:rsidRPr="006C77FE">
        <w:tab/>
        <w:t>Австралийская национальная комиссия по охране психического здоровья (Комиссия по охране психического здоровья) санкционировала осуществление Австралийским колледжем медсестер психиатрии (АКМП) проекта в целях содействия накоплению доказательной базы в интересах сокращения масштабов применения изоляции и смирительных средств. Этот проект непосредственно направлен на более глубокое понимание факторов, влияющих и воздействующих на решения таких практических работников, как медсестры психиатрических клиник.</w:t>
      </w:r>
    </w:p>
    <w:p w:rsidR="006C77FE" w:rsidRPr="006C77FE" w:rsidRDefault="006C77FE" w:rsidP="006C77FE">
      <w:pPr>
        <w:pStyle w:val="SingleTxtGR"/>
      </w:pPr>
      <w:r w:rsidRPr="006C77FE">
        <w:t>205.</w:t>
      </w:r>
      <w:r w:rsidRPr="006C77FE">
        <w:tab/>
        <w:t>В настоящее время Комиссия по охране психического здоровья сотрудничает с АКМП в деле последовательного выполнения рекомендаций, содержащихся в ее докладе «Поддержка специалистов в области психиатрии на основе культурных и клинических преобразований: содействие текущему сокращению практики изоляции и использования смирительных средств в психиатрических клиниках Австралии».</w:t>
      </w:r>
    </w:p>
    <w:p w:rsidR="006C77FE" w:rsidRPr="006C77FE" w:rsidRDefault="006C77FE" w:rsidP="006C77FE">
      <w:pPr>
        <w:pStyle w:val="SingleTxtGR"/>
      </w:pPr>
      <w:r w:rsidRPr="006C77FE">
        <w:t>206.</w:t>
      </w:r>
      <w:r w:rsidRPr="006C77FE">
        <w:tab/>
        <w:t>Применение методов изоляции и смирительных средств является предметом постоянного наблюдения и совершенствования со стороны штатов и территорий. Так</w:t>
      </w:r>
      <w:r w:rsidR="00B14CE0">
        <w:t>,</w:t>
      </w:r>
      <w:r w:rsidRPr="006C77FE">
        <w:t xml:space="preserve"> например, правительство Нового Южного Уэльса недавно приняло рекомендации проведенного в 2017 году независимого обзора применения методов изоляции, смирительных средств и наблюдения за пациентами с психиатрическими расстройствами в лечебных учреждениях Нового</w:t>
      </w:r>
      <w:r w:rsidR="00B14CE0">
        <w:t xml:space="preserve"> Южного Уэльса и ассигновало 20 </w:t>
      </w:r>
      <w:r w:rsidRPr="006C77FE">
        <w:t>млн долл. на улучшение терапевтической среды в отделениях для тяжелобольных психиатрических пациентов в Новом Южном Уэльсе.</w:t>
      </w:r>
    </w:p>
    <w:p w:rsidR="006C77FE" w:rsidRPr="00D574B3" w:rsidRDefault="006C77FE" w:rsidP="00B14CE0">
      <w:pPr>
        <w:pStyle w:val="H56G"/>
        <w:rPr>
          <w:lang w:val="ru-RU"/>
        </w:rPr>
      </w:pPr>
      <w:r w:rsidRPr="00D574B3">
        <w:rPr>
          <w:lang w:val="ru-RU"/>
        </w:rPr>
        <w:tab/>
      </w:r>
      <w:r w:rsidRPr="00D574B3">
        <w:rPr>
          <w:lang w:val="ru-RU"/>
        </w:rPr>
        <w:tab/>
        <w:t>Национальные превентивные механизмы</w:t>
      </w:r>
    </w:p>
    <w:p w:rsidR="006C77FE" w:rsidRPr="006C77FE" w:rsidRDefault="006C77FE" w:rsidP="006C77FE">
      <w:pPr>
        <w:pStyle w:val="SingleTxtGR"/>
      </w:pPr>
      <w:r w:rsidRPr="006C77FE">
        <w:t>207.</w:t>
      </w:r>
      <w:r w:rsidRPr="006C77FE">
        <w:tab/>
        <w:t>21 декабря 2017 года Австралия ратифицировала Факультативный протокол к Конвенции против пыток и других жестоких, бесчеловечных или унижающих достоинство видов обращения и наказания (ФПКПП). Правительство Австралии в настоящее время совместно со штатами и территориями работает над выполнением ФПКПП, в частности, в плане создания австралийского национального превентивного механизма (НПМ). Он будет представлять собой сеть сотрудничества органов правительства Австралии, штатов и территорий (органы НПМ), отвечающих за инспектирование мест содержания под стражей, которой будет оказывать помощь координатор НПМ.</w:t>
      </w:r>
    </w:p>
    <w:p w:rsidR="006C77FE" w:rsidRPr="006C77FE" w:rsidRDefault="006C77FE" w:rsidP="006C77FE">
      <w:pPr>
        <w:pStyle w:val="SingleTxtGR"/>
      </w:pPr>
      <w:r w:rsidRPr="006C77FE">
        <w:t>208.</w:t>
      </w:r>
      <w:r w:rsidRPr="006C77FE">
        <w:tab/>
        <w:t xml:space="preserve">Практические меры первоначально планируется сосредоточить на «основных» местах содержания под стражей, находящихся под юрисдикцией и контролем Австралии. С учетом частотности использования, продолжительности содержания под стражей, интенсивности надзора, а также переговоров со штатами и территориями, основными местами содержания под стражей считаются: тюрьмы для совершеннолетних, ювенильные центры содержания под стражей, карцеры или камеры в полицейских участках, определенные закрытые учреждения для </w:t>
      </w:r>
      <w:r w:rsidRPr="006C77FE">
        <w:lastRenderedPageBreak/>
        <w:t>психиатрических больных и инвалидов, иммиграционные изоляторы и армейские гауптвахты. Со временем будет рассмотрен вопрос о масштабах и предмете более целенаправленных надзорных мероприятий. Конкретные масштабы и функции органов НПМ и сети НПМ в настоящее время являются предметом текущего обсуждения между Австралийским Союзом, штатами и территориями.</w:t>
      </w:r>
    </w:p>
    <w:p w:rsidR="006C77FE" w:rsidRPr="006C77FE" w:rsidRDefault="006C77FE" w:rsidP="006C77FE">
      <w:pPr>
        <w:pStyle w:val="SingleTxtGR"/>
      </w:pPr>
      <w:r w:rsidRPr="006C77FE">
        <w:t>209.</w:t>
      </w:r>
      <w:r w:rsidRPr="006C77FE">
        <w:tab/>
        <w:t>Такой подход соответствует руководящим указаниям Подкомитета ООН по предупреждению пыток и других жестоких, бесчеловечных или унижающих достоинство видов обращения и наказания, согласно которым НПМ должны руководствоваться принципом соразмерности при определении порядка очередности задач и конкретных целей в контексте осуществления обязательств по ФПКПП</w:t>
      </w:r>
      <w:r w:rsidRPr="00B14CE0">
        <w:rPr>
          <w:sz w:val="18"/>
          <w:vertAlign w:val="superscript"/>
        </w:rPr>
        <w:footnoteReference w:id="27"/>
      </w:r>
      <w:r w:rsidRPr="006C77FE">
        <w:t xml:space="preserve">. </w:t>
      </w:r>
    </w:p>
    <w:p w:rsidR="006C77FE" w:rsidRPr="006C77FE" w:rsidRDefault="006C77FE" w:rsidP="006C77FE">
      <w:pPr>
        <w:pStyle w:val="SingleTxtGR"/>
      </w:pPr>
      <w:r w:rsidRPr="006C77FE">
        <w:t>210.</w:t>
      </w:r>
      <w:r w:rsidRPr="006C77FE">
        <w:tab/>
        <w:t xml:space="preserve">В части поставщиков услуг и сотрудников НССИ Комиссия по НССИ будет регистрировать поставщиков услуг, рассматривать жалобы, анализировать поступающие в порядке отчетности уведомления об инцидентах, регулировать стандарты качества и следить за соблюдением кодекса поведения. </w:t>
      </w:r>
    </w:p>
    <w:p w:rsidR="006C77FE" w:rsidRPr="006C77FE" w:rsidRDefault="006C77FE" w:rsidP="006C77FE">
      <w:pPr>
        <w:pStyle w:val="SingleTxtGR"/>
      </w:pPr>
      <w:r w:rsidRPr="006C77FE">
        <w:t>211.</w:t>
      </w:r>
      <w:r w:rsidRPr="006C77FE">
        <w:tab/>
        <w:t>Правительство штатов и территорий будут продолжать оказывать ныне предоставляемые услуги в более широких масштабах, будь то по линии Омбудсмена, а также служб защиты прав человека и прав общественности.</w:t>
      </w:r>
    </w:p>
    <w:p w:rsidR="006C77FE" w:rsidRPr="006C77FE" w:rsidRDefault="006C77FE" w:rsidP="00B14CE0">
      <w:pPr>
        <w:pStyle w:val="H1GR"/>
      </w:pPr>
      <w:bookmarkStart w:id="10" w:name="OLE_LINK11"/>
      <w:r w:rsidRPr="006C77FE">
        <w:tab/>
      </w:r>
      <w:r w:rsidRPr="006C77FE">
        <w:tab/>
        <w:t>Свобода от эксплуатации, насилия и надругательства (статья 16)</w:t>
      </w:r>
    </w:p>
    <w:p w:rsidR="006C77FE" w:rsidRPr="00D574B3" w:rsidRDefault="006C77FE" w:rsidP="00B14CE0">
      <w:pPr>
        <w:pStyle w:val="H23G"/>
        <w:rPr>
          <w:lang w:val="ru-RU"/>
        </w:rPr>
      </w:pPr>
      <w:r w:rsidRPr="00D574B3">
        <w:rPr>
          <w:lang w:val="ru-RU"/>
        </w:rPr>
        <w:tab/>
      </w:r>
      <w:r w:rsidRPr="00D574B3">
        <w:rPr>
          <w:lang w:val="ru-RU"/>
        </w:rPr>
        <w:tab/>
        <w:t>Вопрос 19</w:t>
      </w:r>
    </w:p>
    <w:p w:rsidR="006C77FE" w:rsidRPr="006C77FE" w:rsidRDefault="006C77FE" w:rsidP="006C77FE">
      <w:pPr>
        <w:pStyle w:val="SingleTxtGR"/>
      </w:pPr>
      <w:r w:rsidRPr="006C77FE">
        <w:t>212.</w:t>
      </w:r>
      <w:r w:rsidRPr="006C77FE">
        <w:tab/>
        <w:t>Правительство Австралии согласовало, согласовало в принципе или приняло к сведению 29 из 30 рекомендаций доклада Сенатского комитета по делам местных сообществ по теме насилия, жестокого обращения и отсутствия заботы об инвалидах в учреждениях закрытого типа и специально оборудованных домах. Рекомендация номер один, предусматривающая создание королевской комиссии, является единственной несогласованной рекомендацией.</w:t>
      </w:r>
    </w:p>
    <w:p w:rsidR="006C77FE" w:rsidRPr="006C77FE" w:rsidRDefault="006C77FE" w:rsidP="006C77FE">
      <w:pPr>
        <w:pStyle w:val="SingleTxtGR"/>
      </w:pPr>
      <w:r w:rsidRPr="006C77FE">
        <w:t>213.</w:t>
      </w:r>
      <w:r w:rsidRPr="006C77FE">
        <w:tab/>
        <w:t>Правительство Австралии внимательно изучило выводы доклада наряду с работой, проделанной в ходе аналогичных обследований в рамках штатов. Обеспечительные рамки НССИ затрагивают многие поднятые в докладе проблемы, включая минимизацию опасности надругательств.</w:t>
      </w:r>
    </w:p>
    <w:p w:rsidR="006C77FE" w:rsidRPr="006C77FE" w:rsidRDefault="006C77FE" w:rsidP="006C77FE">
      <w:pPr>
        <w:pStyle w:val="SingleTxtGR"/>
      </w:pPr>
      <w:r w:rsidRPr="006C77FE">
        <w:t>214.</w:t>
      </w:r>
      <w:r w:rsidRPr="006C77FE">
        <w:tab/>
        <w:t xml:space="preserve">Обеспечительные рамки предусматривают согласованный на общенациональном уровне подход к жалобам, регистрируемым инцидентам и мониторингу ограничительной практики. Они также возлагают на поставщиков услуг обязательства сообщать о более эффективных способах предотвращения, обнаружения и реагирования на случаи проявления насилия, надругательства и оставления без ухода инвалидов, а также совершенствовать такую работу. </w:t>
      </w:r>
    </w:p>
    <w:p w:rsidR="006C77FE" w:rsidRPr="006C77FE" w:rsidRDefault="006C77FE" w:rsidP="006C77FE">
      <w:pPr>
        <w:pStyle w:val="SingleTxtGR"/>
      </w:pPr>
      <w:r w:rsidRPr="006C77FE">
        <w:t>215.</w:t>
      </w:r>
      <w:r w:rsidRPr="006C77FE">
        <w:tab/>
        <w:t>В рамках бюджета на 2017/18 год правитель</w:t>
      </w:r>
      <w:r w:rsidR="00B14CE0">
        <w:t>ство Австралии выделило 209 млн</w:t>
      </w:r>
      <w:r w:rsidRPr="006C77FE">
        <w:t xml:space="preserve"> долл. на финансирование создания и деятельности независимой комиссии НССИ по обеспечительным средствам в течение следующих четырех лет, которая будет ответственной за выполнение обязательств правительства Австралии в соответствии с обеспечительными рамками. </w:t>
      </w:r>
    </w:p>
    <w:p w:rsidR="006C77FE" w:rsidRPr="006C77FE" w:rsidRDefault="006C77FE" w:rsidP="006C77FE">
      <w:pPr>
        <w:pStyle w:val="SingleTxtGR"/>
      </w:pPr>
      <w:r w:rsidRPr="006C77FE">
        <w:t>216.</w:t>
      </w:r>
      <w:r w:rsidRPr="006C77FE">
        <w:tab/>
        <w:t>Вследствие этого правительство Австралии не видит необходимости в создании какой-либо королевской комиссии.</w:t>
      </w:r>
    </w:p>
    <w:p w:rsidR="006C77FE" w:rsidRPr="006C77FE" w:rsidRDefault="006C77FE" w:rsidP="006C77FE">
      <w:pPr>
        <w:pStyle w:val="SingleTxtGR"/>
      </w:pPr>
      <w:r w:rsidRPr="006C77FE">
        <w:t>217.</w:t>
      </w:r>
      <w:r w:rsidRPr="006C77FE">
        <w:tab/>
        <w:t xml:space="preserve">В Австралии имеется прочная национальная база для защиты людей, включая инвалидов, от эксплуатации, насилия и надругательств. НСПИ признает, что инвалиды могут подвергаться повышенной опасности насилия, эксплуатации и отсутствия опеки, и что австралийским правительствам следует принимать надлежащие меры для их защиты. В ней также признается, что гендерная принадлежность может существенно влиять на последствия инвалидности и что в силу своей гендерной </w:t>
      </w:r>
      <w:r w:rsidRPr="006C77FE">
        <w:lastRenderedPageBreak/>
        <w:t>принадлежности женщины и девочки-инвалиды часто испытывают иные свойственные только им проблемы.</w:t>
      </w:r>
    </w:p>
    <w:p w:rsidR="006C77FE" w:rsidRPr="006C77FE" w:rsidRDefault="006C77FE" w:rsidP="006C77FE">
      <w:pPr>
        <w:pStyle w:val="SingleTxtGR"/>
      </w:pPr>
      <w:r w:rsidRPr="006C77FE">
        <w:t>218.</w:t>
      </w:r>
      <w:r w:rsidRPr="006C77FE">
        <w:tab/>
        <w:t xml:space="preserve">НСУИ содержат шесть национальных стандартов, применимых ко всем поставщикам услуг инвалидам. Первый стандарт способствует поощрению индивидуальных прав на свободу выражения мнений, самоопределение и принятие решений и активно препятствует надругательствам, причинению вреда, оставлению без опеки и насилию. Четвертый стандарт поощряет поступление в порядке обратной связи сообщений и жалоб как основания для обзора индивидуальных и общеорганизационных услуг и их совершенствования. </w:t>
      </w:r>
    </w:p>
    <w:p w:rsidR="006C77FE" w:rsidRPr="006C77FE" w:rsidRDefault="006C77FE" w:rsidP="006C77FE">
      <w:pPr>
        <w:pStyle w:val="SingleTxtGR"/>
      </w:pPr>
      <w:r w:rsidRPr="006C77FE">
        <w:t>219.</w:t>
      </w:r>
      <w:r w:rsidRPr="006C77FE">
        <w:tab/>
        <w:t xml:space="preserve">Зарегистрированные Комиссией по НССИ поставщики услуг будут обязаны представлять отчетность и подлежать надзору со стороны Комиссии по НССИ при рассмотрении жалоб или случаев насилия и надругательств, а также других серьезных инцидентов. </w:t>
      </w:r>
    </w:p>
    <w:p w:rsidR="006C77FE" w:rsidRPr="006C77FE" w:rsidRDefault="006C77FE" w:rsidP="006C77FE">
      <w:pPr>
        <w:pStyle w:val="SingleTxtGR"/>
      </w:pPr>
      <w:r w:rsidRPr="006C77FE">
        <w:t>220.</w:t>
      </w:r>
      <w:r w:rsidRPr="006C77FE">
        <w:tab/>
        <w:t xml:space="preserve">На уровне штатов и территорий инвалиды имеют доступ к целому ряду механизмов надзора и подачи жалоб. </w:t>
      </w:r>
    </w:p>
    <w:p w:rsidR="006C77FE" w:rsidRPr="006C77FE" w:rsidRDefault="006C77FE" w:rsidP="006C77FE">
      <w:pPr>
        <w:pStyle w:val="SingleTxtGR"/>
      </w:pPr>
      <w:r w:rsidRPr="006C77FE">
        <w:t>221.</w:t>
      </w:r>
      <w:r w:rsidRPr="006C77FE">
        <w:tab/>
        <w:t xml:space="preserve">Австралийские правительства на всех уровнях принимают меры с целью создания возможностей для доступа к надлежащим консультативным службам инвалидов, столкнувшимся с институциональными надругательствами или насилием. </w:t>
      </w:r>
    </w:p>
    <w:p w:rsidR="006C77FE" w:rsidRPr="006C77FE" w:rsidRDefault="006C77FE" w:rsidP="006C77FE">
      <w:pPr>
        <w:pStyle w:val="SingleTxtGR"/>
      </w:pPr>
      <w:r w:rsidRPr="006C77FE">
        <w:t>222.</w:t>
      </w:r>
      <w:r w:rsidRPr="006C77FE">
        <w:tab/>
        <w:t>«1800</w:t>
      </w:r>
      <w:r w:rsidRPr="006C77FE">
        <w:rPr>
          <w:lang w:val="en-US"/>
        </w:rPr>
        <w:t>RESPECT</w:t>
      </w:r>
      <w:r w:rsidRPr="006C77FE">
        <w:t xml:space="preserve">» является национальной консультативной службой по вопросам сексуальных посягательств, бытового и семейного насилия, которая финансируется правительством Австралии. Она оказывает круглосуточную ежедневную помощь людям, которые столкнулись или могут столкнуться с сексуальными посягательствами либо семейным или бытовым насилием, а также их семьям, друзьям и практическим работникам. Опытные специалисты дают консультации по телефону и Интернету, а также осуществляют специализированное консультирование в случаях травматических переживаний. Эта служба также предоставляет специалистам информацию по вопросам инклюзивной практики и реагирования на насилие в отношении инвалидов. </w:t>
      </w:r>
    </w:p>
    <w:p w:rsidR="006C77FE" w:rsidRPr="006C77FE" w:rsidRDefault="006C77FE" w:rsidP="006C77FE">
      <w:pPr>
        <w:pStyle w:val="SingleTxtGR"/>
      </w:pPr>
      <w:r w:rsidRPr="006C77FE">
        <w:t>223.</w:t>
      </w:r>
      <w:r w:rsidRPr="006C77FE">
        <w:tab/>
        <w:t>Национальная программа судебной защиты лиц, ставших жертвами институционального сексуального надругательства над детьми, будет оказывать поддержку, в том числе путем консультирования, лицам, которые в детстве подвергались сексуальному насилию во время нахождения в каком-либо участвующем в этой программе закрытом учреждении. К этой Национальной программе судебной защиты присоединились Австралийский Союз, Новый Южный Уэльс, Виктория, Тасмания, АСТ, СТ, ЮА и Квинсленд.</w:t>
      </w:r>
    </w:p>
    <w:p w:rsidR="006C77FE" w:rsidRPr="006C77FE" w:rsidRDefault="006C77FE" w:rsidP="006C77FE">
      <w:pPr>
        <w:pStyle w:val="SingleTxtGR"/>
      </w:pPr>
      <w:r w:rsidRPr="006C77FE">
        <w:t>224.</w:t>
      </w:r>
      <w:r w:rsidRPr="006C77FE">
        <w:tab/>
        <w:t>Правительства штатов и территорий также предприняли шаги для обеспечения инвалидов надлежащей консультативной помощью. В частности, в Южной Австралии телефонную линию помощи психиатрической службы обслуживают специалисты-психиатры, которые могут давать надлежащие советы.</w:t>
      </w:r>
    </w:p>
    <w:bookmarkEnd w:id="10"/>
    <w:p w:rsidR="006C77FE" w:rsidRPr="00D574B3" w:rsidRDefault="006C77FE" w:rsidP="00B14CE0">
      <w:pPr>
        <w:pStyle w:val="H1G"/>
        <w:rPr>
          <w:lang w:val="ru-RU"/>
        </w:rPr>
      </w:pPr>
      <w:r w:rsidRPr="00D574B3">
        <w:rPr>
          <w:lang w:val="ru-RU"/>
        </w:rPr>
        <w:tab/>
      </w:r>
      <w:r w:rsidRPr="00D574B3">
        <w:rPr>
          <w:lang w:val="ru-RU"/>
        </w:rPr>
        <w:tab/>
        <w:t>Защита личной целостности (статья 17)</w:t>
      </w:r>
    </w:p>
    <w:p w:rsidR="006C77FE" w:rsidRPr="00D574B3" w:rsidRDefault="006C77FE" w:rsidP="00B14CE0">
      <w:pPr>
        <w:pStyle w:val="H23G"/>
        <w:rPr>
          <w:lang w:val="ru-RU"/>
        </w:rPr>
      </w:pPr>
      <w:r w:rsidRPr="00D574B3">
        <w:rPr>
          <w:lang w:val="ru-RU"/>
        </w:rPr>
        <w:tab/>
      </w:r>
      <w:r w:rsidRPr="00D574B3">
        <w:rPr>
          <w:lang w:val="ru-RU"/>
        </w:rPr>
        <w:tab/>
        <w:t>Вопрос 20</w:t>
      </w:r>
    </w:p>
    <w:p w:rsidR="006C77FE" w:rsidRPr="006C77FE" w:rsidRDefault="006C77FE" w:rsidP="006C77FE">
      <w:pPr>
        <w:pStyle w:val="SingleTxtGR"/>
      </w:pPr>
      <w:r w:rsidRPr="006C77FE">
        <w:t>225.</w:t>
      </w:r>
      <w:r w:rsidRPr="006C77FE">
        <w:tab/>
        <w:t>Правительство Австралии привержено соблюдению прав всех лиц на физическую неприкосновенность и репродуктивные права и признает, что инвалиды исторически подвергались стерилизации без их согласия или против их воли, причем большинство из них составляли женщины.</w:t>
      </w:r>
    </w:p>
    <w:p w:rsidR="006C77FE" w:rsidRPr="006C77FE" w:rsidRDefault="006C77FE" w:rsidP="006C77FE">
      <w:pPr>
        <w:pStyle w:val="SingleTxtGR"/>
      </w:pPr>
      <w:r w:rsidRPr="006C77FE">
        <w:t>226.</w:t>
      </w:r>
      <w:r w:rsidRPr="006C77FE">
        <w:tab/>
        <w:t xml:space="preserve">За последние два десятилетия практика регулирования стерилизации инвалидов была предметом целого ряда исследований и обзоров, и законы Австралии, штатов и территорий были в значительной степени изменены в целях обеспечения более надежной защиты инвалидов, нежели это было в истории. </w:t>
      </w:r>
    </w:p>
    <w:p w:rsidR="006C77FE" w:rsidRPr="006C77FE" w:rsidRDefault="006C77FE" w:rsidP="006C77FE">
      <w:pPr>
        <w:pStyle w:val="SingleTxtGR"/>
      </w:pPr>
      <w:r w:rsidRPr="006C77FE">
        <w:t>227.</w:t>
      </w:r>
      <w:r w:rsidRPr="006C77FE">
        <w:tab/>
        <w:t xml:space="preserve">Хотя согласно имеющимся данным количество стерилизованных инвалидов относительно невелико, определенную обеспокоенность вызывает несовместимость </w:t>
      </w:r>
      <w:r w:rsidRPr="006C77FE">
        <w:lastRenderedPageBreak/>
        <w:t>методов сбора данных. По этой причине в 2015 году правительство Австралии выделило средства Управлению общественного адвоката Виктории, представляющему Австралийский совет по вопросам опеки и управления делами, на разработку показателей в целях стандартизации методов сбора данных, применяемых во всех юрисдикциях.</w:t>
      </w:r>
    </w:p>
    <w:p w:rsidR="006C77FE" w:rsidRPr="006C77FE" w:rsidRDefault="006C77FE" w:rsidP="006C77FE">
      <w:pPr>
        <w:pStyle w:val="SingleTxtGR"/>
      </w:pPr>
      <w:r w:rsidRPr="006C77FE">
        <w:t>228.</w:t>
      </w:r>
      <w:r w:rsidRPr="006C77FE">
        <w:tab/>
        <w:t>По уголовному и гражданскому праву Австралии хирургическое вмешательство при отсутствии законного согласия является преступлением. Как правило, именно родители обязаны давать согласие на лечение в интересах своего ребенка или от его имени. Однако власть родителей не распространяется на случаи, когда медицинская процедура является нетерапевтической, инвазивной или необратимой, существует значительная опасность принятия неправильного решения, а последствия такого решения будут особо тяжкими. В таких случаях необходимо получать санкцию Семейного суда в рамках его юрисдикционных полномочий по социальному обеспечению в соответствии с Законом о семье 1975 года (АС).</w:t>
      </w:r>
    </w:p>
    <w:p w:rsidR="006C77FE" w:rsidRPr="006C77FE" w:rsidRDefault="006C77FE" w:rsidP="006C77FE">
      <w:pPr>
        <w:pStyle w:val="SingleTxtGR"/>
      </w:pPr>
      <w:r w:rsidRPr="006C77FE">
        <w:t>229.</w:t>
      </w:r>
      <w:r w:rsidRPr="006C77FE">
        <w:tab/>
        <w:t>Семейный суд подтвердил, что любая медицинская процедура, следствием которой является стерилизация ребенка, по своему характеру должна быть терапевтической, чтобы вписываться в пределы допустимой родительской власти и не требовать санкции суда</w:t>
      </w:r>
      <w:r w:rsidRPr="00B14CE0">
        <w:rPr>
          <w:sz w:val="18"/>
          <w:vertAlign w:val="superscript"/>
        </w:rPr>
        <w:footnoteReference w:id="28"/>
      </w:r>
      <w:r w:rsidRPr="006C77FE">
        <w:t xml:space="preserve">. </w:t>
      </w:r>
    </w:p>
    <w:p w:rsidR="006C77FE" w:rsidRPr="006C77FE" w:rsidRDefault="006C77FE" w:rsidP="006C77FE">
      <w:pPr>
        <w:pStyle w:val="SingleTxtGR"/>
      </w:pPr>
      <w:r w:rsidRPr="006C77FE">
        <w:t>230.</w:t>
      </w:r>
      <w:r w:rsidRPr="006C77FE">
        <w:tab/>
        <w:t>В соответствии с Нормами семейного права 2004 года при поступлении заявления на получение разрешения на проведение серьезной медицинской процедуры в отношении ребенка (включая стерилизацию или удаление репродуктивных органов ребенка), должны быть представлены удовлетворяющие суд доказательства того, что предлагаемая процедура отвечает наилучшим интересам ребенка</w:t>
      </w:r>
      <w:r w:rsidRPr="00B14CE0">
        <w:rPr>
          <w:sz w:val="18"/>
          <w:vertAlign w:val="superscript"/>
        </w:rPr>
        <w:footnoteReference w:id="29"/>
      </w:r>
      <w:r w:rsidRPr="006C77FE">
        <w:t>. Такие доказательства должны включать медицинские, психологические и прочие экспертные доказательства, позволяющие среди прочего определить:</w:t>
      </w:r>
    </w:p>
    <w:p w:rsidR="006C77FE" w:rsidRPr="006C77FE" w:rsidRDefault="006C77FE" w:rsidP="006C77FE">
      <w:pPr>
        <w:pStyle w:val="SingleTxtGR"/>
      </w:pPr>
      <w:r w:rsidRPr="006C77FE">
        <w:tab/>
        <w:t>а)</w:t>
      </w:r>
      <w:r w:rsidRPr="006C77FE">
        <w:tab/>
        <w:t>способен ли ребенок принимать осознанное решение по поводу данной процедуры – согласен ли ребенок;</w:t>
      </w:r>
    </w:p>
    <w:p w:rsidR="006C77FE" w:rsidRPr="006C77FE" w:rsidRDefault="006C77FE" w:rsidP="006C77FE">
      <w:pPr>
        <w:pStyle w:val="SingleTxtGR"/>
      </w:pPr>
      <w:r w:rsidRPr="006C77FE">
        <w:tab/>
        <w:t>b)</w:t>
      </w:r>
      <w:r w:rsidRPr="006C77FE">
        <w:tab/>
        <w:t>что ребенок не способен принять осознанное решение относительно процедуры – т.</w:t>
      </w:r>
      <w:r w:rsidR="00B14CE0">
        <w:t> </w:t>
      </w:r>
      <w:r w:rsidRPr="006C77FE">
        <w:t>е. что ребенок:</w:t>
      </w:r>
    </w:p>
    <w:p w:rsidR="006C77FE" w:rsidRPr="006C77FE" w:rsidRDefault="00B14CE0" w:rsidP="00B14CE0">
      <w:pPr>
        <w:pStyle w:val="SingleTxtGR"/>
        <w:ind w:left="1701" w:hanging="567"/>
      </w:pPr>
      <w:r>
        <w:tab/>
      </w:r>
      <w:r w:rsidR="006C77FE" w:rsidRPr="006C77FE">
        <w:rPr>
          <w:lang w:val="en-US"/>
        </w:rPr>
        <w:t>i</w:t>
      </w:r>
      <w:r w:rsidR="006C77FE" w:rsidRPr="006C77FE">
        <w:t>)</w:t>
      </w:r>
      <w:r w:rsidR="006C77FE" w:rsidRPr="006C77FE">
        <w:tab/>
        <w:t>в настоящее время не способен принимать осознанное решение; и</w:t>
      </w:r>
    </w:p>
    <w:p w:rsidR="006C77FE" w:rsidRPr="006C77FE" w:rsidRDefault="006C77FE" w:rsidP="00B14CE0">
      <w:pPr>
        <w:pStyle w:val="SingleTxtGR"/>
        <w:ind w:left="1701" w:hanging="567"/>
      </w:pPr>
      <w:r w:rsidRPr="006C77FE">
        <w:tab/>
      </w:r>
      <w:r w:rsidRPr="006C77FE">
        <w:rPr>
          <w:lang w:val="en-US"/>
        </w:rPr>
        <w:t>ii</w:t>
      </w:r>
      <w:r w:rsidRPr="006C77FE">
        <w:t>)</w:t>
      </w:r>
      <w:r w:rsidRPr="006C77FE">
        <w:tab/>
        <w:t>вряд ли достигнет достаточного уровня развития для того, чтобы он мог принять осознанное решение в течение периода времени, в пределах которого должна быть осуществлена процедура, или в обозримом будущем</w:t>
      </w:r>
      <w:r w:rsidRPr="00B14CE0">
        <w:rPr>
          <w:sz w:val="18"/>
          <w:vertAlign w:val="superscript"/>
        </w:rPr>
        <w:footnoteReference w:id="30"/>
      </w:r>
      <w:r w:rsidRPr="006C77FE">
        <w:t>.</w:t>
      </w:r>
    </w:p>
    <w:p w:rsidR="006C77FE" w:rsidRPr="006C77FE" w:rsidRDefault="006C77FE" w:rsidP="006C77FE">
      <w:pPr>
        <w:pStyle w:val="SingleTxtGR"/>
      </w:pPr>
      <w:r w:rsidRPr="006C77FE">
        <w:t>231.</w:t>
      </w:r>
      <w:r w:rsidRPr="006C77FE">
        <w:tab/>
        <w:t>В рамках проводимого силами АКРЗ обзора системы семейного права (рассматривается в контексте вопроса 7) изучается вопрос о целесообразности внесения изменений в юрисдикционные полномочия Семейного суда в области социального обеспечения в целях содействия созданию наилучших условий для детей, в том числе детей-интерсексуалов.</w:t>
      </w:r>
    </w:p>
    <w:p w:rsidR="006C77FE" w:rsidRPr="006C77FE" w:rsidRDefault="006C77FE" w:rsidP="006C77FE">
      <w:pPr>
        <w:pStyle w:val="SingleTxtGR"/>
      </w:pPr>
      <w:r w:rsidRPr="006C77FE">
        <w:t>232.</w:t>
      </w:r>
      <w:r w:rsidRPr="006C77FE">
        <w:tab/>
        <w:t>Все более широкое признание получают потребности интерсексуалов в контексте законодательства и политики Австралийского Союза. В 2013 году Закон о дискриминации по признаку пола 1984 года (АС) был изменен в целях внесения в него гарантий от дискриминации по признаку интерсексуального статуса</w:t>
      </w:r>
      <w:r w:rsidRPr="00B14CE0">
        <w:rPr>
          <w:sz w:val="18"/>
          <w:vertAlign w:val="superscript"/>
        </w:rPr>
        <w:footnoteReference w:id="31"/>
      </w:r>
      <w:r w:rsidRPr="006C77FE">
        <w:t xml:space="preserve">. Австралия стала одной из первых юрисдикций, обеспечивающих особую защиту интерсексуалов от дискриминации. Руководящие принципы правительства Австралии по вопросам признания пола и гендерной принадлежности четко определяют интерсексуала как биологическое состояние и предусматривает для интерсексуалов возможность определять или изменять свою гендерную принадлежность в регистрационных документах Государственного архива Австралии. Со временем такие реформы </w:t>
      </w:r>
      <w:r w:rsidRPr="006C77FE">
        <w:lastRenderedPageBreak/>
        <w:t xml:space="preserve">должны способствовать более широкому общественному восприятию различных вариантов гендерной идентичности и половых особенностей. </w:t>
      </w:r>
    </w:p>
    <w:p w:rsidR="006C77FE" w:rsidRPr="00D574B3" w:rsidRDefault="006C77FE" w:rsidP="00B14CE0">
      <w:pPr>
        <w:pStyle w:val="H1G"/>
        <w:rPr>
          <w:lang w:val="ru-RU"/>
        </w:rPr>
      </w:pPr>
      <w:r w:rsidRPr="00D574B3">
        <w:rPr>
          <w:lang w:val="ru-RU"/>
        </w:rPr>
        <w:tab/>
      </w:r>
      <w:r w:rsidRPr="00D574B3">
        <w:rPr>
          <w:lang w:val="ru-RU"/>
        </w:rPr>
        <w:tab/>
        <w:t>Свобода передвижения и гражданство (статья 18)</w:t>
      </w:r>
    </w:p>
    <w:p w:rsidR="006C77FE" w:rsidRPr="00D574B3" w:rsidRDefault="006C77FE" w:rsidP="00B14CE0">
      <w:pPr>
        <w:pStyle w:val="H23G"/>
        <w:rPr>
          <w:lang w:val="ru-RU"/>
        </w:rPr>
      </w:pPr>
      <w:r w:rsidRPr="00D574B3">
        <w:rPr>
          <w:lang w:val="ru-RU"/>
        </w:rPr>
        <w:tab/>
      </w:r>
      <w:r w:rsidRPr="00D574B3">
        <w:rPr>
          <w:lang w:val="ru-RU"/>
        </w:rPr>
        <w:tab/>
        <w:t>Вопрос 21</w:t>
      </w:r>
    </w:p>
    <w:p w:rsidR="006C77FE" w:rsidRPr="006C77FE" w:rsidRDefault="006C77FE" w:rsidP="006C77FE">
      <w:pPr>
        <w:pStyle w:val="SingleTxtGR"/>
      </w:pPr>
      <w:r w:rsidRPr="006C77FE">
        <w:t>233.</w:t>
      </w:r>
      <w:r w:rsidRPr="006C77FE">
        <w:tab/>
        <w:t xml:space="preserve">Как отмечается в контексте рассмотрения вопроса 1, правительство Австралии считает целесообразным предъявлять требования к здоровью неграждан, желающих въехать в Австралию и оставаться в ней, когда таковые основаны на законных, объективных и разумных критериях. </w:t>
      </w:r>
    </w:p>
    <w:p w:rsidR="006C77FE" w:rsidRPr="006C77FE" w:rsidRDefault="006C77FE" w:rsidP="006C77FE">
      <w:pPr>
        <w:pStyle w:val="SingleTxtGR"/>
      </w:pPr>
      <w:r w:rsidRPr="006C77FE">
        <w:t>234.</w:t>
      </w:r>
      <w:r w:rsidRPr="006C77FE">
        <w:tab/>
        <w:t>Большинство лиц, обращающихся за австралийской визой, для ее получения должны отвечать определенным медицинским требованиям, как об этом указывается в миграционных правилах 1994 года (АС).</w:t>
      </w:r>
    </w:p>
    <w:p w:rsidR="006C77FE" w:rsidRPr="006C77FE" w:rsidRDefault="006C77FE" w:rsidP="006C77FE">
      <w:pPr>
        <w:pStyle w:val="SingleTxtGR"/>
      </w:pPr>
      <w:r w:rsidRPr="006C77FE">
        <w:t>235.</w:t>
      </w:r>
      <w:r w:rsidRPr="006C77FE">
        <w:tab/>
        <w:t>Такие требования к здоровью призваны:</w:t>
      </w:r>
    </w:p>
    <w:p w:rsidR="006C77FE" w:rsidRPr="006C77FE" w:rsidRDefault="006C77FE" w:rsidP="006C77FE">
      <w:pPr>
        <w:pStyle w:val="SingleTxtGR"/>
      </w:pPr>
      <w:r w:rsidRPr="006C77FE">
        <w:tab/>
        <w:t>а)</w:t>
      </w:r>
      <w:r w:rsidRPr="006C77FE">
        <w:tab/>
        <w:t>защищать население Австралии от угроз общественному здоровью (главным образом предотвратить ввоз активного туберкулеза);</w:t>
      </w:r>
    </w:p>
    <w:p w:rsidR="006C77FE" w:rsidRPr="006C77FE" w:rsidRDefault="006C77FE" w:rsidP="006C77FE">
      <w:pPr>
        <w:pStyle w:val="SingleTxtGR"/>
      </w:pPr>
      <w:r w:rsidRPr="006C77FE">
        <w:tab/>
        <w:t>b)</w:t>
      </w:r>
      <w:r w:rsidRPr="006C77FE">
        <w:tab/>
        <w:t>сдерживать государственные расходы на здравоохранение и общественные услуги; и</w:t>
      </w:r>
    </w:p>
    <w:p w:rsidR="006C77FE" w:rsidRPr="006C77FE" w:rsidRDefault="006C77FE" w:rsidP="006C77FE">
      <w:pPr>
        <w:pStyle w:val="SingleTxtGR"/>
      </w:pPr>
      <w:r w:rsidRPr="006C77FE">
        <w:tab/>
        <w:t>c)</w:t>
      </w:r>
      <w:r w:rsidRPr="006C77FE">
        <w:tab/>
        <w:t xml:space="preserve">обеспечивать доступ резидентов Австралии к дефицитным медицинским и другим общественным услугам. </w:t>
      </w:r>
    </w:p>
    <w:p w:rsidR="006C77FE" w:rsidRPr="006C77FE" w:rsidRDefault="006C77FE" w:rsidP="006C77FE">
      <w:pPr>
        <w:pStyle w:val="SingleTxtGR"/>
      </w:pPr>
      <w:r w:rsidRPr="006C77FE">
        <w:t>236.</w:t>
      </w:r>
      <w:r w:rsidRPr="006C77FE">
        <w:tab/>
        <w:t>Препятствовать выдаче визы на въезд в Австралию могут обстоятельства, которые признаются угрозой общественному здоровью.</w:t>
      </w:r>
    </w:p>
    <w:p w:rsidR="006C77FE" w:rsidRPr="006C77FE" w:rsidRDefault="006C77FE" w:rsidP="006C77FE">
      <w:pPr>
        <w:pStyle w:val="SingleTxtGR"/>
      </w:pPr>
      <w:r w:rsidRPr="006C77FE">
        <w:t>237.</w:t>
      </w:r>
      <w:r w:rsidRPr="006C77FE">
        <w:tab/>
        <w:t xml:space="preserve">В соответствии с ЗДИ из Закона о миграции 1958 года (АС) и его подзаконных актов были исключены содержавшиеся в них незаконные дискриминационные положения. Такое решение было принято в интересах дальнейшего получения австралийцами, включая австралийских инвалидов, надлежащих медицинских и коммунальных услуг. Оно нашло свое отражение во всех аспектах миграционных медицинских процедур. Однако оно не распространяется на административные процедуры, включая процедуры подачи заявлений на визу или попытки добиться пересмотра негативных решений. </w:t>
      </w:r>
    </w:p>
    <w:p w:rsidR="006C77FE" w:rsidRPr="006C77FE" w:rsidRDefault="006C77FE" w:rsidP="006C77FE">
      <w:pPr>
        <w:pStyle w:val="SingleTxtGR"/>
      </w:pPr>
      <w:r w:rsidRPr="006C77FE">
        <w:t>238.</w:t>
      </w:r>
      <w:r w:rsidRPr="006C77FE">
        <w:tab/>
        <w:t xml:space="preserve">Ныне применяемый Австралийским правительством метод оценки соответствия лиц, подавших заявления на визу, медицинским требованиям, не допускает дискриминации между заявителями, страдающими каким-либо расстройством организма или болезнью либо и тем и другим. Обращение со всеми заявителями осуществляется на равной и справедливой основе. Если же то или иное лицо является инвалидом, то сам по себе этот факт не станет причиной несоответствия медицинским требованиям. </w:t>
      </w:r>
    </w:p>
    <w:p w:rsidR="006C77FE" w:rsidRPr="006C77FE" w:rsidRDefault="006C77FE" w:rsidP="006C77FE">
      <w:pPr>
        <w:pStyle w:val="SingleTxtGR"/>
      </w:pPr>
      <w:r w:rsidRPr="006C77FE">
        <w:t>239.</w:t>
      </w:r>
      <w:r w:rsidRPr="006C77FE">
        <w:tab/>
        <w:t xml:space="preserve">В процессе рассмотрения прошений о выдаче визы заявители должны проходить иммиграционное медицинское освидетельствование, при котором медицинский работник Австралийского Союза оценивает вероятность того, что состояние здоровья заявителя, в том числе его инвалидность, станет причиной «существенных» расходов на медицинское обслуживание и коммунальные услуги или же будет препятствовать доступу австралийских граждан к дефицитным медицинским и коммунальным услугам в случае выдачи визы. </w:t>
      </w:r>
    </w:p>
    <w:p w:rsidR="006C77FE" w:rsidRPr="006C77FE" w:rsidRDefault="006C77FE" w:rsidP="006C77FE">
      <w:pPr>
        <w:pStyle w:val="SingleTxtGR"/>
      </w:pPr>
      <w:r w:rsidRPr="006C77FE">
        <w:t>240.</w:t>
      </w:r>
      <w:r w:rsidRPr="006C77FE">
        <w:tab/>
        <w:t>Для некоторых подклассов виз требование о медицинском освидетельствовании может не применяться, если уполномоченный сотрудник убежден в существовании соображений гуманности или обстоятельств непреодолимой силы, либо смягчающих факторов, которые перевешивают потенциальные издержки и/или препятствия для доступа австралийских граждан либо постоянных резидентов к дефицитным медицинским или коммунальным услугам.</w:t>
      </w:r>
    </w:p>
    <w:p w:rsidR="006C77FE" w:rsidRPr="006C77FE" w:rsidRDefault="006C77FE" w:rsidP="006C77FE">
      <w:pPr>
        <w:pStyle w:val="SingleTxtGR"/>
      </w:pPr>
      <w:r w:rsidRPr="006C77FE">
        <w:t>241.</w:t>
      </w:r>
      <w:r w:rsidRPr="006C77FE">
        <w:tab/>
        <w:t>В Австралии все лица, которые признаются беженцами или на которых распространяются обязательства Австралии по невозвращению (</w:t>
      </w:r>
      <w:r w:rsidRPr="006C77FE">
        <w:rPr>
          <w:lang w:val="en-US"/>
        </w:rPr>
        <w:t>non</w:t>
      </w:r>
      <w:r w:rsidRPr="006C77FE">
        <w:t xml:space="preserve"> </w:t>
      </w:r>
      <w:r w:rsidRPr="006C77FE">
        <w:rPr>
          <w:lang w:val="en-US"/>
        </w:rPr>
        <w:t>refoulement</w:t>
      </w:r>
      <w:r w:rsidRPr="006C77FE">
        <w:t xml:space="preserve">) в </w:t>
      </w:r>
      <w:r w:rsidRPr="006C77FE">
        <w:lastRenderedPageBreak/>
        <w:t>соответствии с договорами о правах человека, пользуются защитой Австралии независимо от того, являются ли они инвалидами. Выдача защитных виз лицам, обращающимся за ними в Австралию, обусловлена проведением медицинского обследования, однако, при этом преследуется цель выявления проблем со здоровьем, требующих последующего лечения. Само по себе нарушение здоровья не является причиной для отказа в визе.</w:t>
      </w:r>
    </w:p>
    <w:p w:rsidR="006C77FE" w:rsidRPr="00D574B3" w:rsidRDefault="006C77FE" w:rsidP="00B14CE0">
      <w:pPr>
        <w:pStyle w:val="H1G"/>
        <w:rPr>
          <w:lang w:val="ru-RU"/>
        </w:rPr>
      </w:pPr>
      <w:r w:rsidRPr="00D574B3">
        <w:rPr>
          <w:lang w:val="ru-RU"/>
        </w:rPr>
        <w:tab/>
      </w:r>
      <w:r w:rsidRPr="00D574B3">
        <w:rPr>
          <w:lang w:val="ru-RU"/>
        </w:rPr>
        <w:tab/>
        <w:t>Самостоятельный образ жизни и вовлеченность в местное сообщество (статья 19)</w:t>
      </w:r>
    </w:p>
    <w:p w:rsidR="006C77FE" w:rsidRPr="00D574B3" w:rsidRDefault="006C77FE" w:rsidP="00B14CE0">
      <w:pPr>
        <w:pStyle w:val="H23G"/>
        <w:rPr>
          <w:lang w:val="ru-RU"/>
        </w:rPr>
      </w:pPr>
      <w:r w:rsidRPr="00D574B3">
        <w:rPr>
          <w:lang w:val="ru-RU"/>
        </w:rPr>
        <w:tab/>
      </w:r>
      <w:r w:rsidRPr="00D574B3">
        <w:rPr>
          <w:lang w:val="ru-RU"/>
        </w:rPr>
        <w:tab/>
        <w:t>Вопрос 22</w:t>
      </w:r>
    </w:p>
    <w:p w:rsidR="006C77FE" w:rsidRPr="00D574B3" w:rsidRDefault="006C77FE" w:rsidP="00B14CE0">
      <w:pPr>
        <w:pStyle w:val="H56G"/>
        <w:rPr>
          <w:lang w:val="ru-RU"/>
        </w:rPr>
      </w:pPr>
      <w:r w:rsidRPr="00D574B3">
        <w:rPr>
          <w:lang w:val="ru-RU"/>
        </w:rPr>
        <w:tab/>
      </w:r>
      <w:r w:rsidRPr="00D574B3">
        <w:rPr>
          <w:lang w:val="ru-RU"/>
        </w:rPr>
        <w:tab/>
        <w:t>Учреждения интернатного типа</w:t>
      </w:r>
    </w:p>
    <w:p w:rsidR="006C77FE" w:rsidRPr="006C77FE" w:rsidRDefault="006C77FE" w:rsidP="006C77FE">
      <w:pPr>
        <w:pStyle w:val="SingleTxtGR"/>
      </w:pPr>
      <w:r w:rsidRPr="006C77FE">
        <w:t>242.</w:t>
      </w:r>
      <w:r w:rsidRPr="006C77FE">
        <w:tab/>
        <w:t xml:space="preserve">Вопреки отсутствию национальной нормативной базы для закрытия учреждений интернатного типа, большинство штатов и территорий в 1980-е и </w:t>
      </w:r>
      <w:r w:rsidR="00B14CE0">
        <w:br/>
      </w:r>
      <w:r w:rsidRPr="006C77FE">
        <w:t xml:space="preserve">1990-е годы переселили большинство инвалидов </w:t>
      </w:r>
      <w:r w:rsidR="00B14CE0">
        <w:t>из таких учреждений в общины. В </w:t>
      </w:r>
      <w:r w:rsidRPr="006C77FE">
        <w:t xml:space="preserve">Северной территории, Западной Австралии и АСТ инвалидов более не размещают в учреждениях интернатного типа в силу перехода к практике проживания в принадлежащем общинам жилье и к другим инновационным моделям сопровождаемого проживания. Следствием введения НССИ стало дальнейшее продвижение по пути перевода инвалидов из учреждений интернатного типа в более удобное жилье по их выбору на всей территории Австралии. В частности, одним из приоритетов австралийского правительства является перевод проживающих в домах для престарелых лиц младше 65 лет в альтернативное жилье. </w:t>
      </w:r>
    </w:p>
    <w:p w:rsidR="006C77FE" w:rsidRPr="006C77FE" w:rsidRDefault="006C77FE" w:rsidP="006C77FE">
      <w:pPr>
        <w:pStyle w:val="SingleTxtGR"/>
      </w:pPr>
      <w:r w:rsidRPr="006C77FE">
        <w:t>243.</w:t>
      </w:r>
      <w:r w:rsidRPr="006C77FE">
        <w:tab/>
        <w:t>В марте 2018 года в трех крупных центрах интернатного типа в НЮУ проживало 320 человек, хотя правительство НЮУ в настоящее время переводит их в новые жилые помещения в общинах. С 2013 года Квинсленд выделил свыше 9 млн долл. на финансирование переселения в общины 115 человек с умственными или когнитивными расстройствами, которые проживали в государственных медицинских учреждениях. Ожидается, что в будущем году их число существенно возрастет в результате полного развертывания НССИ и закрытия в НЮУ оставшихся учреждений интернатного типа. В 2016 году Виктория объявила о закрытии последнего интерната для инвалидов в Коланде.</w:t>
      </w:r>
    </w:p>
    <w:p w:rsidR="006C77FE" w:rsidRPr="00D574B3" w:rsidRDefault="007B0A9C" w:rsidP="007B0A9C">
      <w:pPr>
        <w:pStyle w:val="H56G"/>
        <w:rPr>
          <w:lang w:val="ru-RU"/>
        </w:rPr>
      </w:pPr>
      <w:r w:rsidRPr="00D574B3">
        <w:rPr>
          <w:lang w:val="ru-RU"/>
        </w:rPr>
        <w:tab/>
      </w:r>
      <w:r w:rsidRPr="00D574B3">
        <w:rPr>
          <w:lang w:val="ru-RU"/>
        </w:rPr>
        <w:tab/>
      </w:r>
      <w:r w:rsidR="006C77FE" w:rsidRPr="00D574B3">
        <w:rPr>
          <w:lang w:val="ru-RU"/>
        </w:rPr>
        <w:t>Самостоятельный образ жизни</w:t>
      </w:r>
    </w:p>
    <w:p w:rsidR="006C77FE" w:rsidRPr="006C77FE" w:rsidRDefault="006C77FE" w:rsidP="006C77FE">
      <w:pPr>
        <w:pStyle w:val="SingleTxtGR"/>
      </w:pPr>
      <w:r w:rsidRPr="006C77FE">
        <w:t>244.</w:t>
      </w:r>
      <w:r w:rsidRPr="006C77FE">
        <w:tab/>
        <w:t>НССИ отражает весьма значительное изменение практики поддержки инвалидов с целью обеспечения получения инвалидами поддержки на основе их потребностей при возможности ее выбора и контроля. Количество участников НССИ продолжает расти и достигло 151 970 человек, страховые планы которых были утверждены по состоянию на 31 марта 2018 года. Предполагается, что ко времени полного развертывания деятельности этой системы по всей территории Австралии в 2021 году утвержденные страховые планы будут иметь 460 000 участников</w:t>
      </w:r>
      <w:r w:rsidRPr="007B0A9C">
        <w:rPr>
          <w:sz w:val="18"/>
          <w:vertAlign w:val="superscript"/>
        </w:rPr>
        <w:footnoteReference w:id="32"/>
      </w:r>
      <w:r w:rsidRPr="006C77FE">
        <w:t>.</w:t>
      </w:r>
    </w:p>
    <w:p w:rsidR="006C77FE" w:rsidRPr="006C77FE" w:rsidRDefault="006C77FE" w:rsidP="006C77FE">
      <w:pPr>
        <w:pStyle w:val="SingleTxtGR"/>
      </w:pPr>
      <w:r w:rsidRPr="006C77FE">
        <w:t>245.</w:t>
      </w:r>
      <w:r w:rsidRPr="006C77FE">
        <w:tab/>
        <w:t>НССИ будет финансировать разумные и необходимые меры по поддержке инвалидов в целях оказания помощи имеющим на это право лицам в ведении самостоятельного образа жизни в условиях общины, включая помощь в ориентации на рынках арендного жилья, разъяснение обязательств арендаторов, предоставление на ограниченный срок временного жилья на период смены места жительства, помощь в перестройке жилья, обеспечение ассистивными приспособлениями для выполнения работ по дому и организацию сопровождаемого проживания инвалидов с привлечением специалистов (СПИ). Предполагается, что после полного развертывания на СПИ будет ежегодно выделяться примерно 700 млн долл. Это ускорит строительство доступного жилья в больших объемах на всей территории Австралии, что позволит инвалидам вести самостоятельный образ жизни в своих общинах.</w:t>
      </w:r>
    </w:p>
    <w:p w:rsidR="006C77FE" w:rsidRPr="006C77FE" w:rsidRDefault="006C77FE" w:rsidP="006C77FE">
      <w:pPr>
        <w:pStyle w:val="SingleTxtGR"/>
      </w:pPr>
      <w:r w:rsidRPr="006C77FE">
        <w:lastRenderedPageBreak/>
        <w:t>246.</w:t>
      </w:r>
      <w:r w:rsidRPr="006C77FE">
        <w:tab/>
        <w:t>Помимо этого, правительства некоторых штатов и территорий предлагают варианты альтернативного жилья и оказывают инвалидам поддержку в целях содействия их доступу к надлежащему и экономически доступному жилью. Так</w:t>
      </w:r>
      <w:r w:rsidR="007B0A9C">
        <w:t xml:space="preserve">, </w:t>
      </w:r>
      <w:r w:rsidRPr="006C77FE">
        <w:t xml:space="preserve">например, правительство Виктории считает своей первоочередной задачей обеспечение доступа к государственному и общинному жилью для инвалидов, которые проживают в неблагоприятных условиях, требующих структурных изменений или личной поддержки для ведения самостоятельного образа жизни. </w:t>
      </w:r>
    </w:p>
    <w:p w:rsidR="006C77FE" w:rsidRPr="00D574B3" w:rsidRDefault="007B0A9C" w:rsidP="007B0A9C">
      <w:pPr>
        <w:pStyle w:val="H56G"/>
        <w:rPr>
          <w:lang w:val="ru-RU"/>
        </w:rPr>
      </w:pPr>
      <w:bookmarkStart w:id="11" w:name="OLE_LINK18"/>
      <w:r w:rsidRPr="00D574B3">
        <w:rPr>
          <w:lang w:val="ru-RU"/>
        </w:rPr>
        <w:tab/>
      </w:r>
      <w:r w:rsidRPr="00D574B3">
        <w:rPr>
          <w:lang w:val="ru-RU"/>
        </w:rPr>
        <w:tab/>
      </w:r>
      <w:r w:rsidR="006C77FE" w:rsidRPr="00D574B3">
        <w:rPr>
          <w:lang w:val="ru-RU"/>
        </w:rPr>
        <w:t>Данные о жилищных условиях</w:t>
      </w:r>
    </w:p>
    <w:p w:rsidR="006C77FE" w:rsidRPr="006C77FE" w:rsidRDefault="006C77FE" w:rsidP="006C77FE">
      <w:pPr>
        <w:pStyle w:val="SingleTxtGR"/>
      </w:pPr>
      <w:r w:rsidRPr="006C77FE">
        <w:t>247.</w:t>
      </w:r>
      <w:r w:rsidRPr="006C77FE">
        <w:tab/>
        <w:t>Большинство вариантов проживания инвалидов Австралии предполагает сочетание независимого образа жизни с коммунальным проживанием в частных жилых домах и общежитиях.</w:t>
      </w:r>
    </w:p>
    <w:bookmarkEnd w:id="11"/>
    <w:p w:rsidR="006C77FE" w:rsidRPr="006C77FE" w:rsidRDefault="006C77FE" w:rsidP="006C77FE">
      <w:pPr>
        <w:pStyle w:val="SingleTxtGR"/>
      </w:pPr>
      <w:r w:rsidRPr="006C77FE">
        <w:t>248.</w:t>
      </w:r>
      <w:r w:rsidRPr="006C77FE">
        <w:tab/>
        <w:t>В 2015/16 году насчитывалось 331 817 потребителей услуг для инвалидов</w:t>
      </w:r>
      <w:r w:rsidRPr="007B0A9C">
        <w:rPr>
          <w:sz w:val="18"/>
          <w:vertAlign w:val="superscript"/>
        </w:rPr>
        <w:footnoteReference w:id="33"/>
      </w:r>
      <w:r w:rsidRPr="006C77FE">
        <w:t>, причем по 287 568 из них имелась информация об их жилищных условиях. Из их числа 80,7% (232 005) жили в частных домах в общине, а 5,2% (14 812) в коммунальном жилье с сопровождаемым проживанием типа общежитий. Еще 2,8% (8 046) проживали в домах с дополнительным обслуживанием, а оставшиеся 11,4% (32 705) проживали в других условиях.</w:t>
      </w:r>
    </w:p>
    <w:p w:rsidR="006C77FE" w:rsidRPr="00D574B3" w:rsidRDefault="006C77FE" w:rsidP="007B0A9C">
      <w:pPr>
        <w:pStyle w:val="H1G"/>
        <w:rPr>
          <w:lang w:val="ru-RU"/>
        </w:rPr>
      </w:pPr>
      <w:r w:rsidRPr="00D574B3">
        <w:rPr>
          <w:lang w:val="ru-RU"/>
        </w:rPr>
        <w:tab/>
      </w:r>
      <w:r w:rsidRPr="00D574B3">
        <w:rPr>
          <w:lang w:val="ru-RU"/>
        </w:rPr>
        <w:tab/>
        <w:t>Свобода выражения мнения и убеждений (статья 21)</w:t>
      </w:r>
    </w:p>
    <w:p w:rsidR="006C77FE" w:rsidRPr="006C77FE" w:rsidRDefault="006C77FE" w:rsidP="007B0A9C">
      <w:pPr>
        <w:pStyle w:val="H23GR"/>
      </w:pPr>
      <w:r w:rsidRPr="006C77FE">
        <w:tab/>
      </w:r>
      <w:r w:rsidRPr="006C77FE">
        <w:tab/>
        <w:t>Вопрос 23</w:t>
      </w:r>
    </w:p>
    <w:p w:rsidR="006C77FE" w:rsidRPr="006C77FE" w:rsidRDefault="006C77FE" w:rsidP="006C77FE">
      <w:pPr>
        <w:pStyle w:val="SingleTxtGR"/>
      </w:pPr>
      <w:r w:rsidRPr="006C77FE">
        <w:t>249.</w:t>
      </w:r>
      <w:r w:rsidRPr="006C77FE">
        <w:tab/>
        <w:t>В Австралии нет официального или национального языка, однако существует целый ряд языков, которые, по признанию, широко используются, включая жестов (АУСЛАН).</w:t>
      </w:r>
    </w:p>
    <w:p w:rsidR="006C77FE" w:rsidRPr="00D574B3" w:rsidRDefault="007B0A9C" w:rsidP="007B0A9C">
      <w:pPr>
        <w:pStyle w:val="H56G"/>
        <w:rPr>
          <w:lang w:val="ru-RU"/>
        </w:rPr>
      </w:pPr>
      <w:r w:rsidRPr="00D574B3">
        <w:rPr>
          <w:lang w:val="ru-RU"/>
        </w:rPr>
        <w:tab/>
      </w:r>
      <w:r w:rsidRPr="00D574B3">
        <w:rPr>
          <w:lang w:val="ru-RU"/>
        </w:rPr>
        <w:tab/>
      </w:r>
      <w:r w:rsidR="006C77FE" w:rsidRPr="00D574B3">
        <w:rPr>
          <w:lang w:val="ru-RU"/>
        </w:rPr>
        <w:t>Доступные коммуникации</w:t>
      </w:r>
    </w:p>
    <w:p w:rsidR="006C77FE" w:rsidRPr="006C77FE" w:rsidRDefault="006C77FE" w:rsidP="006C77FE">
      <w:pPr>
        <w:pStyle w:val="SingleTxtGR"/>
      </w:pPr>
      <w:r w:rsidRPr="006C77FE">
        <w:t>250.</w:t>
      </w:r>
      <w:r w:rsidRPr="006C77FE">
        <w:tab/>
        <w:t xml:space="preserve">Правительство Австралии привержено делу удовлетворения потребностей инвалидов, а также обеспечению доступности и инклюзивности интернет-услуг на фоне изменения структуры и нарастания объемов использования технологий и нашего сообщества. </w:t>
      </w:r>
    </w:p>
    <w:p w:rsidR="006C77FE" w:rsidRPr="006C77FE" w:rsidRDefault="006C77FE" w:rsidP="006C77FE">
      <w:pPr>
        <w:pStyle w:val="SingleTxtGR"/>
      </w:pPr>
      <w:r w:rsidRPr="006C77FE">
        <w:t>251.</w:t>
      </w:r>
      <w:r w:rsidRPr="006C77FE">
        <w:tab/>
        <w:t>Национальная служба коммутируемых сообщений для глухих (НСКС) позволяет глухим или людям с расстройствами слуха или речи пользоваться обычными телефонными линиями. Пользователи НСКС могут самостоятельно делать и получать личные или деловые звонки посредством широкого круга коммутационных услуг. Пользователи также могут получать доступ к этим услугам с помощью приложения НСКС для смартфонов и планшетов. 23 июня 2017 года Австралийское правительство обнародовало план мероприятий по обеспечению долгосрочной устойчивости НСКС. В апреле 2018 года правительство Австралии объявило тендер на бесперебойное оказание услуг НСКС и расширени</w:t>
      </w:r>
      <w:r w:rsidR="007B0A9C">
        <w:t>е ее охвата на общую сумму в 22 млн</w:t>
      </w:r>
      <w:r w:rsidRPr="006C77FE">
        <w:t xml:space="preserve"> долл. в год.</w:t>
      </w:r>
    </w:p>
    <w:p w:rsidR="006C77FE" w:rsidRPr="006C77FE" w:rsidRDefault="006C77FE" w:rsidP="006C77FE">
      <w:pPr>
        <w:pStyle w:val="SingleTxtGR"/>
      </w:pPr>
      <w:r w:rsidRPr="006C77FE">
        <w:t>252.</w:t>
      </w:r>
      <w:r w:rsidRPr="006C77FE">
        <w:tab/>
        <w:t>Осуществляемая правительством Австралии программа издания печатных материалов для инвалидов (ППМИ) предусматривает финансирование организаций, занимающихся преобразованием печатных материалов в альтернативные форматы в целях удовлетворения потребностей лиц, испытывающих трудности при чтении печатного текста. В 2017/18 году бюджет ППМИ состав</w:t>
      </w:r>
      <w:r w:rsidR="007B0A9C">
        <w:t>ил 1,4 млн долл. С 1 июля 2018 </w:t>
      </w:r>
      <w:r w:rsidRPr="006C77FE">
        <w:t xml:space="preserve">года он был увеличен до 1,9 млн долл. в год. Программа почтовых концессий для слепых (ПКС) предполагает предоставление концессий имеющим на это право лицам и организациям, которые пользуются услугами почты для распространения соответствующих ресурсов среди слепых или слабовидящих лиц. </w:t>
      </w:r>
    </w:p>
    <w:p w:rsidR="006C77FE" w:rsidRPr="006C77FE" w:rsidRDefault="006C77FE" w:rsidP="006C77FE">
      <w:pPr>
        <w:pStyle w:val="SingleTxtGR"/>
      </w:pPr>
      <w:r w:rsidRPr="006C77FE">
        <w:t>253.</w:t>
      </w:r>
      <w:r w:rsidRPr="006C77FE">
        <w:tab/>
        <w:t xml:space="preserve">В соответствии с Законом о службах телерадиовещания 1992 года (АС) в Австралии действует режим сопровождения вещательных программ субтитрами при </w:t>
      </w:r>
      <w:r w:rsidRPr="006C77FE">
        <w:lastRenderedPageBreak/>
        <w:t xml:space="preserve">их трансляции по бесплатным и подписным телеканалам. В лицензиях на организацию телевизионного вещания по подписке также оговаривается необходимость расширения практики сопровождения трансляций субтитрами до определенных целевых показателей, которые будут постепенно </w:t>
      </w:r>
      <w:r w:rsidR="007B0A9C">
        <w:t>повышаться до 100% программ к 1 </w:t>
      </w:r>
      <w:r w:rsidRPr="006C77FE">
        <w:t xml:space="preserve">июля 2033 года. </w:t>
      </w:r>
    </w:p>
    <w:p w:rsidR="006C77FE" w:rsidRPr="006C77FE" w:rsidRDefault="006C77FE" w:rsidP="006C77FE">
      <w:pPr>
        <w:pStyle w:val="SingleTxtGR"/>
      </w:pPr>
      <w:r w:rsidRPr="006C77FE">
        <w:t>254.</w:t>
      </w:r>
      <w:r w:rsidRPr="006C77FE">
        <w:tab/>
        <w:t>В апреле 2017 года австралийское правительство создало Рабочую группу по аудиодискрипции для изучения вариантов последовательного повышения уровня доступности услуг аудиодискрипции в Австралии. В декабре 2017 года эта Рабочая группа представила правительству доклад, и в настоящее время правительство изучает его выводы.</w:t>
      </w:r>
    </w:p>
    <w:p w:rsidR="006C77FE" w:rsidRPr="006C77FE" w:rsidRDefault="006C77FE" w:rsidP="006C77FE">
      <w:pPr>
        <w:pStyle w:val="SingleTxtGR"/>
      </w:pPr>
      <w:r w:rsidRPr="006C77FE">
        <w:t>255.</w:t>
      </w:r>
      <w:r w:rsidRPr="006C77FE">
        <w:tab/>
        <w:t>Закон о внесении поправок в нормативные акты об авторских правах (доступ для инвалидов и прочие меры) 2017 года (АС) устанавливает два новых упрощенных исключения в целях упрощения доступа к материалам по авторскому праву лиц, которые бы в ином случае сталкивались с трудностями при чтении, рассматривании, заслушивании или понимании такого материала из-за той или ной формы инвалидности, а также образовательных учреждений и некоммерческих организаций, оказывающих помощь инвалидам.</w:t>
      </w:r>
    </w:p>
    <w:p w:rsidR="006C77FE" w:rsidRPr="006C77FE" w:rsidRDefault="006C77FE" w:rsidP="006C77FE">
      <w:pPr>
        <w:pStyle w:val="SingleTxtGR"/>
      </w:pPr>
      <w:r w:rsidRPr="006C77FE">
        <w:t>256.</w:t>
      </w:r>
      <w:r w:rsidRPr="006C77FE">
        <w:tab/>
        <w:t>Ряд штатов и территорий также выделяют средства на поощрение разработки доступных для инвалидов средств связи. Так</w:t>
      </w:r>
      <w:r w:rsidR="007B0A9C">
        <w:t>,</w:t>
      </w:r>
      <w:r w:rsidRPr="006C77FE">
        <w:t xml:space="preserve"> например, правительство АСТ ежегодно организует программу грантов с целью поддержки шагов по расширению возможностей инвалидов для участия в жизни общины.</w:t>
      </w:r>
    </w:p>
    <w:p w:rsidR="006C77FE" w:rsidRPr="00D574B3" w:rsidRDefault="006C77FE" w:rsidP="007B0A9C">
      <w:pPr>
        <w:pStyle w:val="H56G"/>
        <w:rPr>
          <w:lang w:val="ru-RU"/>
        </w:rPr>
      </w:pPr>
      <w:r w:rsidRPr="00D574B3">
        <w:rPr>
          <w:lang w:val="ru-RU"/>
        </w:rPr>
        <w:tab/>
      </w:r>
      <w:r w:rsidRPr="00D574B3">
        <w:rPr>
          <w:lang w:val="ru-RU"/>
        </w:rPr>
        <w:tab/>
        <w:t>Доступная информация</w:t>
      </w:r>
    </w:p>
    <w:p w:rsidR="006C77FE" w:rsidRPr="006C77FE" w:rsidRDefault="006C77FE" w:rsidP="006C77FE">
      <w:pPr>
        <w:pStyle w:val="SingleTxtGR"/>
      </w:pPr>
      <w:r w:rsidRPr="006C77FE">
        <w:t>257.</w:t>
      </w:r>
      <w:r w:rsidRPr="006C77FE">
        <w:tab/>
        <w:t>Австралийское правительство распространяет информацию о законах, политике, системах и обязательствах в доступных форматах, в том числе, когда это возможно, в упрощенном для чтения формате и на легкодоступном английском языке. В соответствии с ЗДИ все правительственные органы Австралии должны обеспечивать предоставление информации и услуг на недискриминационной и доступной основе.</w:t>
      </w:r>
    </w:p>
    <w:p w:rsidR="006C77FE" w:rsidRPr="00D574B3" w:rsidRDefault="006C77FE" w:rsidP="006C77FE">
      <w:pPr>
        <w:pStyle w:val="SingleTxtGR"/>
      </w:pPr>
      <w:r w:rsidRPr="006C77FE">
        <w:t>258.</w:t>
      </w:r>
      <w:r w:rsidRPr="006C77FE">
        <w:tab/>
        <w:t>Веб-сайт правительства Австралии «</w:t>
      </w:r>
      <w:r w:rsidRPr="006C77FE">
        <w:rPr>
          <w:lang w:val="en-GB"/>
        </w:rPr>
        <w:t>Australia</w:t>
      </w:r>
      <w:r w:rsidRPr="006C77FE">
        <w:t>.</w:t>
      </w:r>
      <w:r w:rsidRPr="006C77FE">
        <w:rPr>
          <w:lang w:val="en-GB"/>
        </w:rPr>
        <w:t>gov</w:t>
      </w:r>
      <w:r w:rsidRPr="006C77FE">
        <w:t>.</w:t>
      </w:r>
      <w:r w:rsidRPr="006C77FE">
        <w:rPr>
          <w:lang w:val="en-GB"/>
        </w:rPr>
        <w:t>au</w:t>
      </w:r>
      <w:r w:rsidRPr="006C77FE">
        <w:t xml:space="preserve">» является центральной точкой для получения информации о государственных услугах, законах, обязательствах и политике в Австралии. Информация и услуги на этом сайте предоставляются в доступной и недискредитационной форме, и он соответствует уровню </w:t>
      </w:r>
      <w:r w:rsidRPr="00D574B3">
        <w:t>«</w:t>
      </w:r>
      <w:r w:rsidRPr="006C77FE">
        <w:t>А</w:t>
      </w:r>
      <w:r w:rsidRPr="00D574B3">
        <w:t xml:space="preserve">» </w:t>
      </w:r>
      <w:r w:rsidRPr="006C77FE">
        <w:t>версии</w:t>
      </w:r>
      <w:r w:rsidRPr="00D574B3">
        <w:t xml:space="preserve"> 2.0 </w:t>
      </w:r>
      <w:r w:rsidRPr="006C77FE">
        <w:t>РПДВК</w:t>
      </w:r>
      <w:r w:rsidRPr="00D574B3">
        <w:t>.</w:t>
      </w:r>
    </w:p>
    <w:p w:rsidR="006C77FE" w:rsidRPr="006C77FE" w:rsidRDefault="006C77FE" w:rsidP="006C77FE">
      <w:pPr>
        <w:pStyle w:val="SingleTxtGR"/>
      </w:pPr>
      <w:r w:rsidRPr="006C77FE">
        <w:t>259.</w:t>
      </w:r>
      <w:r w:rsidRPr="006C77FE">
        <w:tab/>
        <w:t>Штаты и территории также предоставляют доступные и гибкие услуги связи, издания и интернет-материалы. В частности, у Департамента транспорта и магистральных дорог Квинсленда имеется доступное приложение и веб-сайт, и он взаимодействует с компанией «Вижн Австралия» в интересах обеспечения доступности для инвалидов информации в реальном времени и доступа к транспортной сети. При этом на станциях осуществляется перевод текста в голосовой аудиорежим, на остановках автобусов имеются наземные тактильные указатели и объявления, выполненные шрифтом Брайля.</w:t>
      </w:r>
    </w:p>
    <w:p w:rsidR="006C77FE" w:rsidRPr="00D574B3" w:rsidRDefault="006C77FE" w:rsidP="007B0A9C">
      <w:pPr>
        <w:pStyle w:val="H1G"/>
        <w:rPr>
          <w:lang w:val="ru-RU"/>
        </w:rPr>
      </w:pPr>
      <w:r w:rsidRPr="00D574B3">
        <w:rPr>
          <w:lang w:val="ru-RU"/>
        </w:rPr>
        <w:tab/>
      </w:r>
      <w:r w:rsidRPr="00D574B3">
        <w:rPr>
          <w:lang w:val="ru-RU"/>
        </w:rPr>
        <w:tab/>
        <w:t>Образование (статья 24)</w:t>
      </w:r>
    </w:p>
    <w:p w:rsidR="006C77FE" w:rsidRPr="00D574B3" w:rsidRDefault="006C77FE" w:rsidP="007B0A9C">
      <w:pPr>
        <w:pStyle w:val="H23G"/>
        <w:rPr>
          <w:lang w:val="ru-RU"/>
        </w:rPr>
      </w:pPr>
      <w:r w:rsidRPr="00D574B3">
        <w:rPr>
          <w:lang w:val="ru-RU"/>
        </w:rPr>
        <w:tab/>
      </w:r>
      <w:r w:rsidRPr="00D574B3">
        <w:rPr>
          <w:lang w:val="ru-RU"/>
        </w:rPr>
        <w:tab/>
        <w:t>Вопрос 24</w:t>
      </w:r>
    </w:p>
    <w:p w:rsidR="006C77FE" w:rsidRPr="006C77FE" w:rsidRDefault="006C77FE" w:rsidP="006C77FE">
      <w:pPr>
        <w:pStyle w:val="SingleTxtGR"/>
      </w:pPr>
      <w:r w:rsidRPr="006C77FE">
        <w:t>260.</w:t>
      </w:r>
      <w:r w:rsidRPr="006C77FE">
        <w:tab/>
        <w:t>В результате проведения в 2017 году программы сбора сопоставимых в масштабах страны данных об учащихся школ из числа инвалидов (ПССД) было выявлено 724 624 ученика, которые обучались по специально скорректированным программам с учетом их инвалидности и на</w:t>
      </w:r>
      <w:r w:rsidR="007B0A9C">
        <w:t xml:space="preserve"> долю которых приходилось 18,8% </w:t>
      </w:r>
      <w:r w:rsidRPr="006C77FE">
        <w:t>учащихся школ в Австралии. В 2015 году 31,7% инвалидов в возрасте от 20 лет и старше получили полное среднее или эквивалентное ему образование, т.</w:t>
      </w:r>
      <w:r w:rsidR="007B0A9C">
        <w:t> </w:t>
      </w:r>
      <w:r w:rsidRPr="006C77FE">
        <w:t>е. по сравнению с 2003 годом их количество возросло на 5,6%.</w:t>
      </w:r>
    </w:p>
    <w:p w:rsidR="006C77FE" w:rsidRPr="006C77FE" w:rsidRDefault="006C77FE" w:rsidP="006C77FE">
      <w:pPr>
        <w:pStyle w:val="SingleTxtGR"/>
      </w:pPr>
      <w:r w:rsidRPr="006C77FE">
        <w:lastRenderedPageBreak/>
        <w:t>261.</w:t>
      </w:r>
      <w:r w:rsidRPr="006C77FE">
        <w:tab/>
        <w:t>Структура ПССД обеспечивает сбор информации обо всех без исключения категориях учеников, программы обучения которых скорректированы в целях упрощения их доступа к учебе и участия в ней с учетом их инвалидности, а не просто об учащихся, которым был установлен тот или иной медицинский диагноз. Вследствие этого поступают данные о значительно большем числе учащихся, нежели по результатам других программ сбора данных об учащихся-инвалидах. Сбор данных оказывает позитивное влияние на поддержку учеников-инвалидов в австралийских школах.</w:t>
      </w:r>
    </w:p>
    <w:p w:rsidR="006C77FE" w:rsidRPr="006C77FE" w:rsidRDefault="006C77FE" w:rsidP="006C77FE">
      <w:pPr>
        <w:pStyle w:val="SingleTxtGR"/>
      </w:pPr>
      <w:r w:rsidRPr="006C77FE">
        <w:t>262.</w:t>
      </w:r>
      <w:r w:rsidRPr="006C77FE">
        <w:tab/>
        <w:t>При этом на национальном уровне не осуществляется сбор данных о случаях временного отстранения от обучения, применения смирительных средств или изоляции учащихся-инвалидов. Австралийское правительство не одобряет телесные наказания как подход к регулированию поведения учащихся в школах, и во всех юрисдикциях к учителям, которые допускают надругательства или избиение детей, применяются уголовные санкции.</w:t>
      </w:r>
    </w:p>
    <w:p w:rsidR="006C77FE" w:rsidRPr="006C77FE" w:rsidRDefault="006C77FE" w:rsidP="006C77FE">
      <w:pPr>
        <w:pStyle w:val="SingleTxtGR"/>
      </w:pPr>
      <w:r w:rsidRPr="006C77FE">
        <w:t>263.</w:t>
      </w:r>
      <w:r w:rsidRPr="006C77FE">
        <w:tab/>
        <w:t>АСТ, Новый Южный Уэльс, Южная Австралия, Квинсленд, Тасмания, Виктория и Западная Австралия прямо запретили телесные наказания в государственных школах либо исключили из законодательства положения, которые защищали применение умеренных телесных наказаний лицами, выступающими вместо родителей (например</w:t>
      </w:r>
      <w:r w:rsidR="007B0A9C">
        <w:t>,</w:t>
      </w:r>
      <w:r w:rsidRPr="006C77FE">
        <w:t xml:space="preserve"> учителями). Новый Южный Уэльс, Северная территория, Тасмания, Виктория и Западная Австралия в законодательном порядке закрепили запрет телесных наказаний в государственных и негосударственных школах, а в Южной Австралии в парламент внесен соответствующий законопроект.</w:t>
      </w:r>
    </w:p>
    <w:p w:rsidR="006C77FE" w:rsidRPr="006C77FE" w:rsidRDefault="006C77FE" w:rsidP="007B0A9C">
      <w:pPr>
        <w:pStyle w:val="H23G"/>
      </w:pPr>
      <w:r w:rsidRPr="00D574B3">
        <w:rPr>
          <w:lang w:val="ru-RU"/>
        </w:rPr>
        <w:tab/>
      </w:r>
      <w:r w:rsidRPr="00D574B3">
        <w:rPr>
          <w:lang w:val="ru-RU"/>
        </w:rPr>
        <w:tab/>
      </w:r>
      <w:r w:rsidRPr="006C77FE">
        <w:t>Вопрос 25</w:t>
      </w:r>
    </w:p>
    <w:p w:rsidR="006C77FE" w:rsidRPr="006C77FE" w:rsidRDefault="006C77FE" w:rsidP="006C77FE">
      <w:pPr>
        <w:pStyle w:val="SingleTxtGR"/>
      </w:pPr>
      <w:r w:rsidRPr="006C77FE">
        <w:t>264.</w:t>
      </w:r>
      <w:r w:rsidRPr="006C77FE">
        <w:tab/>
        <w:t>В последнее десятилетие правительство Австралии провело существенные системные реформы в целях повышения результатов обучения учащихся-инвалидов, но при этом признает потребность в продолжении активной работы с тем, чтобы учащиеся-инвалиды могли добиваться оптимальных результатов в учебе. Австралийское правительство поддержало или в принципе поддержало семь рекомендаций, содержащихся в докладе Сенатского комитета по вопросам образования и занятости 2016 года «Доступ к реальному образованию; влияние политики, финансирования и культуры на учащихся-инвалидов. Рекомендации».</w:t>
      </w:r>
    </w:p>
    <w:p w:rsidR="006C77FE" w:rsidRPr="006C77FE" w:rsidRDefault="006C77FE" w:rsidP="007B0A9C">
      <w:pPr>
        <w:pStyle w:val="H56G"/>
      </w:pPr>
      <w:r w:rsidRPr="006C77FE">
        <w:tab/>
      </w:r>
      <w:r w:rsidRPr="006C77FE">
        <w:tab/>
        <w:t>Сбор данных</w:t>
      </w:r>
    </w:p>
    <w:p w:rsidR="006C77FE" w:rsidRPr="006C77FE" w:rsidRDefault="006C77FE" w:rsidP="006C77FE">
      <w:pPr>
        <w:pStyle w:val="SingleTxtGR"/>
      </w:pPr>
      <w:r w:rsidRPr="006C77FE">
        <w:t>265.</w:t>
      </w:r>
      <w:r w:rsidRPr="006C77FE">
        <w:tab/>
        <w:t>В своих программах финансирования школ австралийское правительство обращает первоочередное внимание на потребности учащихся. Каждому учащемуся выделяется базовая сумма, при этом учащимся, находящимся в неблагоприятном положении, в том числе учащимся-инвалидам, предоставляются дополнительные средства. Начиная с 2018 года полученные в результате осуществления ПССД выводы будут браться за основу при выделении ассигнований на нужды учащихся-инвалидов. В настоящее время принимаются меры по повышению точности и качества данных ПССД, включая осуществление проектов с участием правительств штатов и территорий при координирующей роли Совета по вопросам образования.</w:t>
      </w:r>
    </w:p>
    <w:p w:rsidR="006C77FE" w:rsidRPr="006C77FE" w:rsidRDefault="006C77FE" w:rsidP="007B0A9C">
      <w:pPr>
        <w:pStyle w:val="H56G"/>
      </w:pPr>
      <w:r w:rsidRPr="006C77FE">
        <w:tab/>
      </w:r>
      <w:r w:rsidRPr="006C77FE">
        <w:tab/>
        <w:t>Издевательства</w:t>
      </w:r>
    </w:p>
    <w:p w:rsidR="006C77FE" w:rsidRPr="006C77FE" w:rsidRDefault="006C77FE" w:rsidP="006C77FE">
      <w:pPr>
        <w:pStyle w:val="SingleTxtGR"/>
      </w:pPr>
      <w:r w:rsidRPr="006C77FE">
        <w:t>266.</w:t>
      </w:r>
      <w:r w:rsidRPr="006C77FE">
        <w:tab/>
        <w:t>Министры образования одобрили Австралийские национальные рамки обеспечения безопасности в школах. Эти рамки, разработанные с участием органов образования, стимулируют школы к выработке и осуществлению политики и практики в области обеспечения безопасности и благополучия учащихся.</w:t>
      </w:r>
    </w:p>
    <w:p w:rsidR="006C77FE" w:rsidRPr="006C77FE" w:rsidRDefault="006C77FE" w:rsidP="007B0A9C">
      <w:pPr>
        <w:pStyle w:val="H56G"/>
      </w:pPr>
      <w:r w:rsidRPr="006C77FE">
        <w:tab/>
      </w:r>
      <w:r w:rsidRPr="006C77FE">
        <w:tab/>
        <w:t>Педагогическая практика</w:t>
      </w:r>
    </w:p>
    <w:p w:rsidR="006C77FE" w:rsidRPr="006C77FE" w:rsidRDefault="006C77FE" w:rsidP="006C77FE">
      <w:pPr>
        <w:pStyle w:val="SingleTxtGR"/>
      </w:pPr>
      <w:r w:rsidRPr="006C77FE">
        <w:t>267.</w:t>
      </w:r>
      <w:r w:rsidRPr="006C77FE">
        <w:tab/>
        <w:t xml:space="preserve">Принятые в Австралии профессиональные стандарты для педагогов, а также стандарты и процедуры аккредитации содержат положения, направленные на поддержку участия и обучения учащихся-инвалидов. Австралийское управление по образовательным программам, оценке и отчетности (АУПОО) предпринимает усилия по улучшению доступности к австралийским образовательным программам всех </w:t>
      </w:r>
      <w:r w:rsidRPr="006C77FE">
        <w:lastRenderedPageBreak/>
        <w:t xml:space="preserve">учащихся, включая учащихся-инвалидов. В 2015/16 году АУПОО сотрудничало со школами в четырех юрисдикциях при съемке видеоматериалов о примерах практики, способствующей доступу учащихся-инвалидов к австралийский образовательным программам. </w:t>
      </w:r>
    </w:p>
    <w:p w:rsidR="006C77FE" w:rsidRPr="006C77FE" w:rsidRDefault="006C77FE" w:rsidP="006C77FE">
      <w:pPr>
        <w:pStyle w:val="SingleTxtGR"/>
      </w:pPr>
      <w:r w:rsidRPr="006C77FE">
        <w:t>268.</w:t>
      </w:r>
      <w:r w:rsidRPr="006C77FE">
        <w:tab/>
        <w:t>Стандарты образования для инвалидов перес</w:t>
      </w:r>
      <w:r w:rsidR="007B0A9C">
        <w:t>матриваются каждые пять лет. По </w:t>
      </w:r>
      <w:r w:rsidRPr="006C77FE">
        <w:t>итогам обзора 2015 года было установлено, что по сравнению с обзором 2010 года повысился уровень понимания стандартов среди педагогов.</w:t>
      </w:r>
    </w:p>
    <w:p w:rsidR="006C77FE" w:rsidRPr="006C77FE" w:rsidRDefault="006C77FE" w:rsidP="006C77FE">
      <w:pPr>
        <w:pStyle w:val="SingleTxtGR"/>
      </w:pPr>
      <w:r w:rsidRPr="006C77FE">
        <w:t>269.</w:t>
      </w:r>
      <w:r w:rsidRPr="006C77FE">
        <w:tab/>
        <w:t>В процессе обзора 2015 года заинтересованные стороны указали на необходимость повышения осведомленности о практических шагах по выполнению стандартов. В ответ правительство Австралии выделило средства на разработку «образцов практики» в консультации с отдельными заинтересованными сторонами, с тем чтобы показать, каким образом стандарты могут быть использованы для содействия повышению эффективности образования и обучения учащихся в дошкольных учреждениях, школах, системе профессионально-технического образования и в высших учебных заведениях.</w:t>
      </w:r>
    </w:p>
    <w:p w:rsidR="006C77FE" w:rsidRPr="006C77FE" w:rsidRDefault="006C77FE" w:rsidP="006C77FE">
      <w:pPr>
        <w:pStyle w:val="SingleTxtGR"/>
      </w:pPr>
      <w:r w:rsidRPr="006C77FE">
        <w:t>270.</w:t>
      </w:r>
      <w:r w:rsidRPr="006C77FE">
        <w:tab/>
        <w:t>Через посредство Совета по вопросам образования правительство Австралии, а также правительства штатов и территорий проводят совместную работу по реализации других принятых по итогам обзора 2015 года рекомендаций. В Виктории и Квинсленде проведены обзоры по вопросам учета проблем инвалидов в их системах образования и принимаются меры по выполнению рекомендаций. Правительство Виктории приняло 21 из 25 рекомендаций, сформулированных в рамках комплексного обзора Программы для учащихся-инвалидов 2016 года, и ассигновало 22 млн долл. на выполнение рекомендаций и поддержку осуществления дополнительных инициатив и реформ.</w:t>
      </w:r>
    </w:p>
    <w:p w:rsidR="006C77FE" w:rsidRPr="006C77FE" w:rsidRDefault="006C77FE" w:rsidP="006C77FE">
      <w:pPr>
        <w:pStyle w:val="SingleTxtGR"/>
      </w:pPr>
      <w:r w:rsidRPr="006C77FE">
        <w:t>271.</w:t>
      </w:r>
      <w:r w:rsidRPr="006C77FE">
        <w:tab/>
        <w:t>Правительство А</w:t>
      </w:r>
      <w:r w:rsidR="007B0A9C">
        <w:t>встралии инвестирует 243,5 млрд</w:t>
      </w:r>
      <w:r w:rsidRPr="006C77FE">
        <w:t xml:space="preserve"> долл. в программу текущего финансирования школ на 2018–2027 г</w:t>
      </w:r>
      <w:r w:rsidR="007B0A9C">
        <w:t>оды, включая примерно 22,1 млрд</w:t>
      </w:r>
      <w:r w:rsidRPr="006C77FE">
        <w:t xml:space="preserve"> долл. надбавок на нужды учащихся-инвалидов. В течение этого периода объем финансирования учащихся будет ежегодно увеличиваться в среднем на 5,7%. Такие средства будут выделяться помимо ассигнований штатов и территорий на нужды учащихся-инвалидов.</w:t>
      </w:r>
    </w:p>
    <w:p w:rsidR="006C77FE" w:rsidRPr="006C77FE" w:rsidRDefault="006C77FE" w:rsidP="006C77FE">
      <w:pPr>
        <w:pStyle w:val="SingleTxtGR"/>
      </w:pPr>
      <w:r w:rsidRPr="006C77FE">
        <w:t>272.</w:t>
      </w:r>
      <w:r w:rsidRPr="006C77FE">
        <w:tab/>
        <w:t>В рамках своих систем образования правительства каждого штата и территории осуществляют программы финансирования учащихся-инвалидов.</w:t>
      </w:r>
    </w:p>
    <w:p w:rsidR="006C77FE" w:rsidRPr="006C77FE" w:rsidRDefault="006C77FE" w:rsidP="007B0A9C">
      <w:pPr>
        <w:pStyle w:val="H56G"/>
      </w:pPr>
      <w:r w:rsidRPr="006C77FE">
        <w:tab/>
      </w:r>
      <w:r w:rsidRPr="006C77FE">
        <w:tab/>
        <w:t>Высшее образование</w:t>
      </w:r>
    </w:p>
    <w:p w:rsidR="006C77FE" w:rsidRPr="006C77FE" w:rsidRDefault="006C77FE" w:rsidP="006C77FE">
      <w:pPr>
        <w:pStyle w:val="SingleTxtGR"/>
      </w:pPr>
      <w:r w:rsidRPr="006C77FE">
        <w:t>273.</w:t>
      </w:r>
      <w:r w:rsidRPr="006C77FE">
        <w:tab/>
        <w:t>Закон о поддержке высшего образования 2013 года (АС) (ЗПВО) предусматривает предоставление соответствующим высшим учебным заведениям грантов на расширение доступа студентов-инвалидов посредством Программы поддержки высшего образования инвалидов. Она включает дополнительную поддержку студентов из числа инвалидов, предусматривающую выделение соответствующим высшим учебным заведениям средств на покрытие расходов, связанных с оказанием помощи студентам-инвалидам (например, на закупку усиленных стетоскопов со звукоусилителями, беспроводных микрофонов и персональных секретарей-помощников). Помощь студентам с интеллектуальными расстройствами может также быть оказана путем предоставления мебели для комнат отдыха и компьютерных программ, в частности программ по подсказке следующего слова и переводу текста в речь.</w:t>
      </w:r>
    </w:p>
    <w:p w:rsidR="006C77FE" w:rsidRPr="006C77FE" w:rsidRDefault="006C77FE" w:rsidP="006C77FE">
      <w:pPr>
        <w:pStyle w:val="SingleTxtGR"/>
      </w:pPr>
      <w:r w:rsidRPr="006C77FE">
        <w:t>274.</w:t>
      </w:r>
      <w:r w:rsidRPr="006C77FE">
        <w:tab/>
        <w:t>Австралийский комитет по вопросам развития трудовых навыков (АКТН), финансируемый правительством Австралии, также поручил провести работу по улучшению результатов обучения инвалидов в системе профессионально-технического образования и подготовки (ПТО). Например, посредством задействования имеющихся в системе ПТО ресурсов для повышения осведомленности по вопросам инклюзивности и обязательств в соответствии со стандартами образования инвалидов.</w:t>
      </w:r>
    </w:p>
    <w:p w:rsidR="006C77FE" w:rsidRPr="006C77FE" w:rsidRDefault="006C77FE" w:rsidP="007B0A9C">
      <w:pPr>
        <w:pStyle w:val="H23G"/>
      </w:pPr>
      <w:r w:rsidRPr="006C77FE">
        <w:lastRenderedPageBreak/>
        <w:tab/>
      </w:r>
      <w:r w:rsidRPr="006C77FE">
        <w:tab/>
        <w:t>Вопрос 26</w:t>
      </w:r>
    </w:p>
    <w:p w:rsidR="006C77FE" w:rsidRPr="006C77FE" w:rsidRDefault="006C77FE" w:rsidP="006C77FE">
      <w:pPr>
        <w:pStyle w:val="SingleTxtGR"/>
      </w:pPr>
      <w:r w:rsidRPr="006C77FE">
        <w:t>275.</w:t>
      </w:r>
      <w:r w:rsidRPr="006C77FE">
        <w:tab/>
        <w:t>Как отмечало в 2016 году правительство Австралии в своем представлении в Комитет по поводу тогда еще проекта замечания общего порядка 4:</w:t>
      </w:r>
    </w:p>
    <w:p w:rsidR="006C77FE" w:rsidRPr="006C77FE" w:rsidRDefault="006C77FE" w:rsidP="006C77FE">
      <w:pPr>
        <w:pStyle w:val="SingleTxtGR"/>
      </w:pPr>
      <w:r w:rsidRPr="006C77FE">
        <w:tab/>
        <w:t>а)</w:t>
      </w:r>
      <w:r w:rsidRPr="006C77FE">
        <w:tab/>
        <w:t>в части замечаний Комитета, в которых он настоятельно призвал государство-участники к «переводу ресурсов из сегрегированных в инклюзивную образовательную среду», Австралия считает, что государство-участник выполнит свои обязательства по статье 24 путем создания такой системы образования, которая бы позволяла финансировать различные модели образования, с тем чтобы учащиеся-инвалиды могли участвовать в различных типах образовательных программ, включая поступление в обычные классы обычных общеобразовательных школ при получении дополнительной поддержки, специальные классы или группы обычных общеобразовательных школ и специализированные школы. При этом широкий круг вариантов получения образования обеспечивает наилучшее удовлетворение интересов учащихся на первоочередной основе;</w:t>
      </w:r>
    </w:p>
    <w:p w:rsidR="006C77FE" w:rsidRPr="006C77FE" w:rsidRDefault="006C77FE" w:rsidP="006C77FE">
      <w:pPr>
        <w:pStyle w:val="SingleTxtGR"/>
      </w:pPr>
      <w:r w:rsidRPr="006C77FE">
        <w:tab/>
      </w:r>
      <w:r w:rsidRPr="006C77FE">
        <w:rPr>
          <w:lang w:val="en-US"/>
        </w:rPr>
        <w:t>b</w:t>
      </w:r>
      <w:r w:rsidRPr="006C77FE">
        <w:t>)</w:t>
      </w:r>
      <w:r w:rsidRPr="006C77FE">
        <w:tab/>
        <w:t>Австралия особо отмечает, что пункты 3 и 4 статьи 13 Международного пакта об экономических, социальных и культурных правах предусматривают свободу родителей и опекунов выбирать для своих детей школы при условии, что образовательное учреждение соответствует определенным минимальным критериям и целям в области образования, закрепленным в пункте 1 статьи 13. Соответственно Австралия предлагает Комитету уточнить, ч</w:t>
      </w:r>
      <w:r w:rsidR="00EB4373">
        <w:t>то в соответствии со статьей </w:t>
      </w:r>
      <w:r w:rsidR="007B0A9C">
        <w:t>24 </w:t>
      </w:r>
      <w:r w:rsidRPr="006C77FE">
        <w:t>государства-участники могут осуществлять образовательную деятельность в специализированных классах или школах.</w:t>
      </w:r>
    </w:p>
    <w:p w:rsidR="006C77FE" w:rsidRPr="006C77FE" w:rsidRDefault="006C77FE" w:rsidP="006C77FE">
      <w:pPr>
        <w:pStyle w:val="SingleTxtGR"/>
      </w:pPr>
      <w:r w:rsidRPr="006C77FE">
        <w:t>276.</w:t>
      </w:r>
      <w:r w:rsidRPr="006C77FE">
        <w:tab/>
        <w:t xml:space="preserve">Начиная с 2018 года используемая австралийским правительством модель финансирования в целях поддержки учеников школ из числа инвалидов выстраивалась на уровне корректив, необходимых для получения учеником доступа к образованию наравне с другими учениками. Она не основана на типе школы, которую </w:t>
      </w:r>
      <w:r w:rsidR="00EB4373">
        <w:br/>
      </w:r>
      <w:r w:rsidRPr="006C77FE">
        <w:t xml:space="preserve">посещает учащийся. Большинство учащихся-инвалидов посещают обычные общеобразовательные школы. </w:t>
      </w:r>
    </w:p>
    <w:p w:rsidR="006C77FE" w:rsidRPr="006C77FE" w:rsidRDefault="006C77FE" w:rsidP="007B0A9C">
      <w:pPr>
        <w:pStyle w:val="H1G"/>
      </w:pPr>
      <w:r w:rsidRPr="006C77FE">
        <w:tab/>
      </w:r>
      <w:r w:rsidRPr="006C77FE">
        <w:tab/>
        <w:t>Здоровье (статья 25)</w:t>
      </w:r>
    </w:p>
    <w:p w:rsidR="006C77FE" w:rsidRPr="006C77FE" w:rsidRDefault="006C77FE" w:rsidP="007B0A9C">
      <w:pPr>
        <w:pStyle w:val="H23G"/>
      </w:pPr>
      <w:r w:rsidRPr="006C77FE">
        <w:tab/>
      </w:r>
      <w:r w:rsidRPr="006C77FE">
        <w:tab/>
        <w:t>Вопрос 27</w:t>
      </w:r>
    </w:p>
    <w:p w:rsidR="006C77FE" w:rsidRPr="006C77FE" w:rsidRDefault="006C77FE" w:rsidP="007B0A9C">
      <w:pPr>
        <w:pStyle w:val="H56G"/>
      </w:pPr>
      <w:r w:rsidRPr="006C77FE">
        <w:tab/>
      </w:r>
      <w:r w:rsidRPr="006C77FE">
        <w:tab/>
        <w:t>Равный доступ</w:t>
      </w:r>
    </w:p>
    <w:p w:rsidR="006C77FE" w:rsidRPr="006C77FE" w:rsidRDefault="006C77FE" w:rsidP="006C77FE">
      <w:pPr>
        <w:pStyle w:val="SingleTxtGR"/>
      </w:pPr>
      <w:r w:rsidRPr="006C77FE">
        <w:t>277.</w:t>
      </w:r>
      <w:r w:rsidRPr="006C77FE">
        <w:tab/>
        <w:t>ЗДИ направлен на ликвидацию дискриминации по признаку инвалидности в контексте предоставления товаров и услуг, включая оказание медицинских услуг. Сказанное применимо к инвалидам, которые могут быть исключены из НССИ, проживать в сельских районах или находится в местах лишения свободы. Законодательство штатов и территорий также признает права инвалидов и поощряет их участие в жизни общества, а также равный доступ к услугам</w:t>
      </w:r>
      <w:r w:rsidRPr="007B0A9C">
        <w:rPr>
          <w:sz w:val="18"/>
          <w:vertAlign w:val="superscript"/>
        </w:rPr>
        <w:footnoteReference w:id="34"/>
      </w:r>
      <w:r w:rsidRPr="006C77FE">
        <w:t xml:space="preserve">. </w:t>
      </w:r>
    </w:p>
    <w:p w:rsidR="006C77FE" w:rsidRPr="006C77FE" w:rsidRDefault="006C77FE" w:rsidP="006C77FE">
      <w:pPr>
        <w:pStyle w:val="SingleTxtGR"/>
      </w:pPr>
      <w:r w:rsidRPr="006C77FE">
        <w:t>278.</w:t>
      </w:r>
      <w:r w:rsidRPr="006C77FE">
        <w:tab/>
        <w:t xml:space="preserve">Австралийское правительство признает потенциал цифровых медицинских технологий в части более эффективного медицинского обслуживания и укрепления здоровья, в частности лиц, проживающих в сельских и удаленных районах. Применение методов телемедицины может способствовать уменьшению препятствий для доступа пациентов, возникающих в силу географической удаленности, времени в пути, расходов и других факторов. </w:t>
      </w:r>
    </w:p>
    <w:p w:rsidR="006C77FE" w:rsidRPr="006C77FE" w:rsidRDefault="006C77FE" w:rsidP="006C77FE">
      <w:pPr>
        <w:pStyle w:val="SingleTxtGR"/>
      </w:pPr>
      <w:r w:rsidRPr="006C77FE">
        <w:t>279.</w:t>
      </w:r>
      <w:r w:rsidRPr="006C77FE">
        <w:tab/>
        <w:t xml:space="preserve">В июле 2011 года в рамках системы «Медикэр» были введены компенсационные выплаты для работающих вне больниц частных медицинских видео-консультантов в оснащенных инфраструктурой телемедицины сельских и удаленных районах, соответствующих домов для престарелых и службах медицинской помощи коренному населению на всей территории Австралии. Выплаты по линии «Медикэр» производятся также в связи с оказанием клинических услуг врачам общей </w:t>
      </w:r>
      <w:r w:rsidRPr="006C77FE">
        <w:lastRenderedPageBreak/>
        <w:t xml:space="preserve">практики или другим практикующим медицинским работникам, включая практикующих медицинских сестер, акушерок, медработников коренного населения или практикующих медсестер, за оказание помощи пациентам во время видео-консультаций. </w:t>
      </w:r>
    </w:p>
    <w:p w:rsidR="006C77FE" w:rsidRPr="006C77FE" w:rsidRDefault="006C77FE" w:rsidP="006C77FE">
      <w:pPr>
        <w:pStyle w:val="SingleTxtGR"/>
      </w:pPr>
      <w:r w:rsidRPr="006C77FE">
        <w:t>280.</w:t>
      </w:r>
      <w:r w:rsidRPr="006C77FE">
        <w:tab/>
        <w:t xml:space="preserve">В области сексуального и репродуктивного здоровья, психического здоровья и психологической поддержки МБС содержит целый ряд положений о профессиональной помощи в части, касающейся предоставления услуг инвалидам. Имеются также конкретные положения о специализированной и вспомогательной медицинской помощи инвалидам. </w:t>
      </w:r>
    </w:p>
    <w:p w:rsidR="006C77FE" w:rsidRPr="006C77FE" w:rsidRDefault="006C77FE" w:rsidP="006C77FE">
      <w:pPr>
        <w:pStyle w:val="SingleTxtGR"/>
      </w:pPr>
      <w:r w:rsidRPr="006C77FE">
        <w:t>281.</w:t>
      </w:r>
      <w:r w:rsidRPr="006C77FE">
        <w:tab/>
        <w:t>Лица, содержащиеся в Австралии в местах лишения свободы, также имеют право на «Медикэр» при поступлении в тюрьму, но не имеют права на пособия по линии «Медикэр»</w:t>
      </w:r>
      <w:r w:rsidRPr="007B0A9C">
        <w:rPr>
          <w:sz w:val="18"/>
          <w:vertAlign w:val="superscript"/>
        </w:rPr>
        <w:footnoteReference w:id="35"/>
      </w:r>
      <w:r w:rsidRPr="006C77FE">
        <w:t>. Право на доступ к лекарственным средствам в рамках Программы льготного лекарственного обеспечения (ПЛЛ) зависит от этих же критериев и по этой причине заключенные, как правило, не имеют доступа к лекарствам по линии ПЛЛ.</w:t>
      </w:r>
    </w:p>
    <w:p w:rsidR="006C77FE" w:rsidRPr="006C77FE" w:rsidRDefault="006C77FE" w:rsidP="006C77FE">
      <w:pPr>
        <w:pStyle w:val="SingleTxtGR"/>
      </w:pPr>
      <w:r w:rsidRPr="006C77FE">
        <w:t>282.</w:t>
      </w:r>
      <w:r w:rsidRPr="006C77FE">
        <w:tab/>
        <w:t xml:space="preserve">Несмотря на эти общие положения, правительство Австралии финансирует доступ заключенных в каждом штате и территории к Программе обеспечения узкоспециальными лекарственными средствами (ПУЛ) в рамках ПЛЛ. Тем самым признается потребность в предоставлении доступа к лекарственным средствам, применяемым для лечения таких сложных хронических заболеваний как ВИЧ/СПИД, гепатиты </w:t>
      </w:r>
      <w:r w:rsidRPr="006C77FE">
        <w:rPr>
          <w:lang w:val="en-US"/>
        </w:rPr>
        <w:t>B</w:t>
      </w:r>
      <w:r w:rsidRPr="006C77FE">
        <w:t xml:space="preserve"> и С, болезнь Паркинсона и шизофрения.</w:t>
      </w:r>
    </w:p>
    <w:p w:rsidR="006C77FE" w:rsidRPr="006C77FE" w:rsidRDefault="006C77FE" w:rsidP="006C77FE">
      <w:pPr>
        <w:pStyle w:val="SingleTxtGR"/>
      </w:pPr>
      <w:r w:rsidRPr="006C77FE">
        <w:t>283.</w:t>
      </w:r>
      <w:r w:rsidRPr="006C77FE">
        <w:tab/>
        <w:t xml:space="preserve">Австралийское правительство выделяет средства на оказание медицинских услуг в целях охраны здоровья коренных жителей в соответствии с Программой охраны здоровья коренного населения Австралии (ПОЗКНА). По линии ПОЗКНА осуществляются ассигнования на вторичную и специализированную помощь, а также общинные услуги, которые могут включать оказание помощи инвалидам с учетом культурных особенностей. </w:t>
      </w:r>
    </w:p>
    <w:p w:rsidR="006C77FE" w:rsidRPr="006C77FE" w:rsidRDefault="006C77FE" w:rsidP="006C77FE">
      <w:pPr>
        <w:pStyle w:val="SingleTxtGR"/>
      </w:pPr>
      <w:r w:rsidRPr="006C77FE">
        <w:t>284.</w:t>
      </w:r>
      <w:r w:rsidRPr="006C77FE">
        <w:tab/>
        <w:t>В штатах и территориях осуществляется собственная политика и программы в целях обеспечения удовлетворения потребностей инвалидов, а также доступа инвалидов к качественному инклюзивному медицинскому обслуживанию с учетом культурных особенностей</w:t>
      </w:r>
      <w:r w:rsidRPr="007B0A9C">
        <w:rPr>
          <w:sz w:val="18"/>
          <w:vertAlign w:val="superscript"/>
        </w:rPr>
        <w:footnoteReference w:id="36"/>
      </w:r>
      <w:r w:rsidRPr="006C77FE">
        <w:t xml:space="preserve">. </w:t>
      </w:r>
    </w:p>
    <w:p w:rsidR="006C77FE" w:rsidRPr="006C77FE" w:rsidRDefault="006C77FE" w:rsidP="006C77FE">
      <w:pPr>
        <w:pStyle w:val="SingleTxtGR"/>
      </w:pPr>
      <w:r w:rsidRPr="006C77FE">
        <w:t>285.</w:t>
      </w:r>
      <w:r w:rsidRPr="006C77FE">
        <w:tab/>
        <w:t>К их числу можно отнести программы поддержки находящихся в изоляции пациентов, включая инвалидов, посредством покрытия путевых расходов и расходов на проживание с целью посещения медицинского специалиста. Еще одним примером может служить Программа Нового Южного Уэльса по оказанию помощи находящимся в изоляции пациентам на основе покрытия путевых расходов и расходов на проживание, благодаря которой в 2017/18 году в масштабах штата удалось помочь в общей сложности 29 724 пациентам.</w:t>
      </w:r>
    </w:p>
    <w:p w:rsidR="006C77FE" w:rsidRPr="006C77FE" w:rsidRDefault="006C77FE" w:rsidP="006C77FE">
      <w:pPr>
        <w:pStyle w:val="SingleTxtGR"/>
      </w:pPr>
      <w:r w:rsidRPr="006C77FE">
        <w:t>286.</w:t>
      </w:r>
      <w:r w:rsidRPr="006C77FE">
        <w:tab/>
        <w:t>НССИ не предназначена для замены основных услуг. Штаты и территории будут продолжать оказывать медицинские услуги инвалидам, которые не имеют права на НССИ. Так</w:t>
      </w:r>
      <w:r w:rsidR="001066B4">
        <w:t>,</w:t>
      </w:r>
      <w:r w:rsidRPr="006C77FE">
        <w:t xml:space="preserve"> например, Программа АСТ по поддержке общин и оказанию им помощи предусматривает предоставление на краткосрочной и среднесрочной основе поддержки лицам и их опекунам, если они повседневно сталкиваются с трудностями в силу проблем со здоровьем.</w:t>
      </w:r>
    </w:p>
    <w:p w:rsidR="006C77FE" w:rsidRPr="006C77FE" w:rsidRDefault="006C77FE" w:rsidP="006C77FE">
      <w:pPr>
        <w:pStyle w:val="SingleTxtGR"/>
      </w:pPr>
      <w:r w:rsidRPr="006C77FE">
        <w:t>287.</w:t>
      </w:r>
      <w:r w:rsidRPr="006C77FE">
        <w:tab/>
        <w:t>Порядок взаимодействия между НССИ и такими традиционными службами, как система здравоохранения, регулируются нормативной базой НССИ</w:t>
      </w:r>
      <w:r w:rsidRPr="001066B4">
        <w:rPr>
          <w:sz w:val="18"/>
          <w:vertAlign w:val="superscript"/>
        </w:rPr>
        <w:footnoteReference w:id="37"/>
      </w:r>
      <w:r w:rsidRPr="006C77FE">
        <w:t xml:space="preserve"> и Принципами определения обязанностей НССИ и других систем обслуживания, согласованными САП в апреле 2013 года и пересмотренными в 2015 году.</w:t>
      </w:r>
    </w:p>
    <w:p w:rsidR="006C77FE" w:rsidRPr="006C77FE" w:rsidRDefault="006C77FE" w:rsidP="006C77FE">
      <w:pPr>
        <w:pStyle w:val="SingleTxtGR"/>
      </w:pPr>
      <w:r w:rsidRPr="006C77FE">
        <w:lastRenderedPageBreak/>
        <w:t>288.</w:t>
      </w:r>
      <w:r w:rsidRPr="006C77FE">
        <w:tab/>
        <w:t>Относительно лиц, которые получают услуги по линии государственной системы обслуживания инвалидов и не имеют право на НССИ, САП обязался обеспечивать непрерывность поддержки с тем, чтобы такие лица не оказались в неблагоприятном положении в период перехода к НССИ.</w:t>
      </w:r>
    </w:p>
    <w:p w:rsidR="006C77FE" w:rsidRPr="006C77FE" w:rsidRDefault="006C77FE" w:rsidP="001066B4">
      <w:pPr>
        <w:pStyle w:val="H56G"/>
      </w:pPr>
      <w:r w:rsidRPr="006C77FE">
        <w:tab/>
      </w:r>
      <w:r w:rsidRPr="006C77FE">
        <w:tab/>
        <w:t>Этические стандарты и планы подготовки</w:t>
      </w:r>
    </w:p>
    <w:p w:rsidR="006C77FE" w:rsidRPr="006C77FE" w:rsidRDefault="006C77FE" w:rsidP="006C77FE">
      <w:pPr>
        <w:pStyle w:val="SingleTxtGR"/>
      </w:pPr>
      <w:r w:rsidRPr="006C77FE">
        <w:t>289.</w:t>
      </w:r>
      <w:r w:rsidRPr="006C77FE">
        <w:tab/>
        <w:t xml:space="preserve">В своей деятельности специалисты медики и общинные медицинские работники в штатах и территориях руководствуются профессиональными и этическими стандартами практической деятельности, а также профессиональными кодексами поведения, включая Национальные стандарты практики для персонала служб охраны психического здоровья 2013 года. В них закреплены правозащитные принципы, отражающие права человека всех лиц на обращение с уважением, при соблюдении их достоинства и самостоятельности, независимо от их прошлого и инвалидности. </w:t>
      </w:r>
    </w:p>
    <w:p w:rsidR="006C77FE" w:rsidRPr="006C77FE" w:rsidRDefault="006C77FE" w:rsidP="006C77FE">
      <w:pPr>
        <w:pStyle w:val="SingleTxtGR"/>
      </w:pPr>
      <w:r w:rsidRPr="006C77FE">
        <w:t>290.</w:t>
      </w:r>
      <w:r w:rsidRPr="006C77FE">
        <w:tab/>
        <w:t>Во всех штатах и территориях разработаны планы подготовки персонала по вопросам оказания помощи инвалидам, к которой привлекаются практикующие медицинские работники, медицинские сестры, акушерки, вспомогательный медицинский персонал (социальные работники, психотерапевты и дефектологи), а также общинные медицинские работники. Медицинское управление Нового Южного Уэльса организовало 11 курсов дистанционного обучения, а также комплексный курс подготовки по вопросам опеки в целях совершенствования навыков и знаний медицинского персонала Нового Южного Уэльса и более эффективного удовлетворения потребностей пациентов из числа инвалидов.</w:t>
      </w:r>
    </w:p>
    <w:p w:rsidR="006C77FE" w:rsidRPr="006C77FE" w:rsidRDefault="006C77FE" w:rsidP="006C77FE">
      <w:pPr>
        <w:pStyle w:val="SingleTxtGR"/>
      </w:pPr>
      <w:r w:rsidRPr="006C77FE">
        <w:t>291.</w:t>
      </w:r>
      <w:r w:rsidRPr="006C77FE">
        <w:tab/>
        <w:t>Национальные стандарты оказания услуг инвалидам</w:t>
      </w:r>
      <w:r w:rsidRPr="001066B4">
        <w:rPr>
          <w:sz w:val="18"/>
          <w:vertAlign w:val="superscript"/>
        </w:rPr>
        <w:footnoteReference w:id="38"/>
      </w:r>
      <w:r w:rsidRPr="006C77FE">
        <w:t xml:space="preserve"> помогают пропагандировать и стимулировать согласованный на национальном уровне подход к повышению качества услуг инвалидам, их семьям и опекунам. В «Стандарте 6» устанавливаются качественные параметры работы по оказанию услуг и управлению услугами в целях обеспечения надлежащей квалификации и опыта практического персонала, управленческих и руководящих органов и оказания им поддержки в интересах максимального повышения эффективности помощи пациентам.</w:t>
      </w:r>
    </w:p>
    <w:p w:rsidR="006C77FE" w:rsidRPr="006C77FE" w:rsidRDefault="006C77FE" w:rsidP="001066B4">
      <w:pPr>
        <w:pStyle w:val="H1G"/>
      </w:pPr>
      <w:r w:rsidRPr="006C77FE">
        <w:tab/>
      </w:r>
      <w:r w:rsidRPr="006C77FE">
        <w:tab/>
        <w:t>Доступ к абилитации и реабилитации (статья 26)</w:t>
      </w:r>
    </w:p>
    <w:p w:rsidR="006C77FE" w:rsidRPr="006C77FE" w:rsidRDefault="006C77FE" w:rsidP="001066B4">
      <w:pPr>
        <w:pStyle w:val="H23G"/>
      </w:pPr>
      <w:r w:rsidRPr="006C77FE">
        <w:tab/>
      </w:r>
      <w:r w:rsidRPr="006C77FE">
        <w:tab/>
        <w:t>Вопрос 28</w:t>
      </w:r>
    </w:p>
    <w:p w:rsidR="006C77FE" w:rsidRPr="006C77FE" w:rsidRDefault="006C77FE" w:rsidP="006C77FE">
      <w:pPr>
        <w:pStyle w:val="SingleTxtGR"/>
      </w:pPr>
      <w:r w:rsidRPr="006C77FE">
        <w:t>292.</w:t>
      </w:r>
      <w:r w:rsidRPr="006C77FE">
        <w:tab/>
        <w:t>Австралия предоставляет широкий круг услуг с целью удовлетворения потребностей инвалидов и оказания им помощи в формировании максимальной независимости в повседневной жизни. В их числе конкретные программы по абилитации инвалидов в таких областях, как здравоохранение, занятость, образование и социальное обслуживание, а также реабилитационные программы, направленные на содействие инвалидам в достижении максимальной независимости. Предоставление таких услуг, а также доступ к ним основываются на правозащитном подходе, подкрепляемом законодательством Австралийского Союза, штатов и территорий, в котором закреплены права лиц на доступ к услугам, обеспечивающим соблюдение, уважение и поощрение прав, свободы, достоинства, самостоятельности и самоуважение личности</w:t>
      </w:r>
      <w:r w:rsidRPr="001066B4">
        <w:rPr>
          <w:sz w:val="18"/>
          <w:vertAlign w:val="superscript"/>
        </w:rPr>
        <w:footnoteReference w:id="39"/>
      </w:r>
      <w:r w:rsidRPr="006C77FE">
        <w:t>.</w:t>
      </w:r>
    </w:p>
    <w:p w:rsidR="006C77FE" w:rsidRPr="006C77FE" w:rsidRDefault="006C77FE" w:rsidP="001066B4">
      <w:pPr>
        <w:pStyle w:val="H56G"/>
      </w:pPr>
      <w:r w:rsidRPr="006C77FE">
        <w:lastRenderedPageBreak/>
        <w:tab/>
      </w:r>
      <w:r w:rsidRPr="006C77FE">
        <w:tab/>
        <w:t>Занятость</w:t>
      </w:r>
    </w:p>
    <w:p w:rsidR="006C77FE" w:rsidRPr="006C77FE" w:rsidRDefault="006C77FE" w:rsidP="006C77FE">
      <w:pPr>
        <w:pStyle w:val="SingleTxtGR"/>
      </w:pPr>
      <w:r w:rsidRPr="006C77FE">
        <w:t>293.</w:t>
      </w:r>
      <w:r w:rsidRPr="006C77FE">
        <w:tab/>
        <w:t>Служба занятости инвалидов (СЗИ) является службой Австралийского правительства по трудоустройству лиц, инвалидность, травма или болезнь которых создают главное препятствие для получения работы на открытом рынке труда. Услуги СЗИ могут включать помощь в профессиональной реабилитации, и Служба оказывает поддержку в деле приобретения новых навыков и получения образования, а также в осознании, компенсировании и регулировании травмы или какой-либо формы инвалидности за счет повышения трудоспособности.</w:t>
      </w:r>
    </w:p>
    <w:p w:rsidR="006C77FE" w:rsidRPr="006C77FE" w:rsidRDefault="006C77FE" w:rsidP="006C77FE">
      <w:pPr>
        <w:pStyle w:val="SingleTxtGR"/>
      </w:pPr>
      <w:r w:rsidRPr="006C77FE">
        <w:t>294.</w:t>
      </w:r>
      <w:r w:rsidRPr="006C77FE">
        <w:tab/>
        <w:t>Помимо этого, Австралийский союз, а также каждый штат и территория имеют собственные программы выплаты компенсации трудящимся, пострадавшим от какой-либо травмы, и обеспечивают такое лечение травм, которое позволяет травмированному работнику вернуться к трудовой деятельности.</w:t>
      </w:r>
    </w:p>
    <w:p w:rsidR="006C77FE" w:rsidRPr="006C77FE" w:rsidRDefault="006C77FE" w:rsidP="001066B4">
      <w:pPr>
        <w:pStyle w:val="H56G"/>
      </w:pPr>
      <w:r w:rsidRPr="006C77FE">
        <w:tab/>
      </w:r>
      <w:r w:rsidRPr="006C77FE">
        <w:tab/>
        <w:t>Охрана здоровья</w:t>
      </w:r>
    </w:p>
    <w:p w:rsidR="006C77FE" w:rsidRPr="006C77FE" w:rsidRDefault="006C77FE" w:rsidP="006C77FE">
      <w:pPr>
        <w:pStyle w:val="SingleTxtGR"/>
      </w:pPr>
      <w:r w:rsidRPr="006C77FE">
        <w:t>295.</w:t>
      </w:r>
      <w:r w:rsidRPr="006C77FE">
        <w:tab/>
        <w:t xml:space="preserve">В каждой юрисдикции имеется собственная служба здравоохранения, которая направляет свои основные усилия на оказание реабилитационных услуг инвалидам. Например, Управление по поддержке инвалидов правительства Северной территории оказывает помощь и финансовое содействие инвалидам в целях выработки индивидуальных планов поддержки, в которых обозначаются их приоритеты, определяются цели в части расширения участия в сфере образования, профессиональной деятельности и общественной жизни и ставится задача достижения максимальной независимости в соответствии с их собственными целями и устремлениями. </w:t>
      </w:r>
    </w:p>
    <w:p w:rsidR="006C77FE" w:rsidRPr="006C77FE" w:rsidRDefault="006C77FE" w:rsidP="001066B4">
      <w:pPr>
        <w:pStyle w:val="H56G"/>
      </w:pPr>
      <w:r w:rsidRPr="006C77FE">
        <w:tab/>
      </w:r>
      <w:r w:rsidRPr="006C77FE">
        <w:tab/>
        <w:t>Согласие</w:t>
      </w:r>
    </w:p>
    <w:p w:rsidR="006C77FE" w:rsidRPr="006C77FE" w:rsidRDefault="006C77FE" w:rsidP="006C77FE">
      <w:pPr>
        <w:pStyle w:val="SingleTxtGR"/>
      </w:pPr>
      <w:r w:rsidRPr="006C77FE">
        <w:t>296.</w:t>
      </w:r>
      <w:r w:rsidRPr="006C77FE">
        <w:tab/>
        <w:t>В соответствии с политикой правительств штатов и территорий профессиональные медработники обязаны получать согласие пациента на лечение. Такие требования основаны на общем принципе, согласно которому пациенты обладают признанным законным правом на самостоятельность, и в этой связи лечение не может осуществляться без согласия пациента, за исключением определенных ограниченных обстоятельств (например, чрезвычайной ситуации, когда пациент недееспособен). В случаях, когда пациенты не способны дать свое согласие, текущая политика предусматривает иерархию лиц, принимающих решение о лечении, которая должна соблюдаться при определении лица для принятия решения по субститутивной модели</w:t>
      </w:r>
      <w:r w:rsidRPr="006C77FE">
        <w:rPr>
          <w:vertAlign w:val="superscript"/>
        </w:rPr>
        <w:footnoteReference w:id="40"/>
      </w:r>
      <w:r w:rsidRPr="006C77FE">
        <w:t xml:space="preserve">. </w:t>
      </w:r>
    </w:p>
    <w:p w:rsidR="006C77FE" w:rsidRPr="006C77FE" w:rsidRDefault="006C77FE" w:rsidP="006C77FE">
      <w:pPr>
        <w:pStyle w:val="SingleTxtGR"/>
      </w:pPr>
      <w:r w:rsidRPr="006C77FE">
        <w:t>297.</w:t>
      </w:r>
      <w:r w:rsidRPr="006C77FE">
        <w:tab/>
        <w:t>В случаях, когда инвалидность не позволяет человеку дать согласие на лечение, вопрос о согласии в большинстве случаев регулируется на основе директивы о специализированном лечении или при содействии опекуна.</w:t>
      </w:r>
    </w:p>
    <w:p w:rsidR="006C77FE" w:rsidRPr="006C77FE" w:rsidRDefault="006C77FE" w:rsidP="006C77FE">
      <w:pPr>
        <w:pStyle w:val="SingleTxtGR"/>
      </w:pPr>
      <w:r w:rsidRPr="006C77FE">
        <w:t>298.</w:t>
      </w:r>
      <w:r w:rsidRPr="006C77FE">
        <w:tab/>
        <w:t xml:space="preserve">Во всех штатах и территориях имеется управление государственного опекуна или государственного адвоката, которые оказывают услуги лицам, не способным принимать решения, и занимаются их делами. Они способствуют участию инвалидов в принятии решений и, когда это возможно, принятию ими самостоятельных решений, консультируются с ними и в максимальной практически возможной степени учитывают их мнения и пожелания. </w:t>
      </w:r>
    </w:p>
    <w:p w:rsidR="006C77FE" w:rsidRPr="006C77FE" w:rsidRDefault="006C77FE" w:rsidP="001066B4">
      <w:pPr>
        <w:pStyle w:val="H1GR"/>
      </w:pPr>
      <w:r w:rsidRPr="006C77FE">
        <w:tab/>
      </w:r>
      <w:r w:rsidRPr="006C77FE">
        <w:tab/>
        <w:t>Право на труд (статья 27)</w:t>
      </w:r>
    </w:p>
    <w:p w:rsidR="006C77FE" w:rsidRPr="006C77FE" w:rsidRDefault="006C77FE" w:rsidP="001066B4">
      <w:pPr>
        <w:pStyle w:val="H23G"/>
      </w:pPr>
      <w:r w:rsidRPr="006C77FE">
        <w:tab/>
      </w:r>
      <w:r w:rsidRPr="006C77FE">
        <w:tab/>
        <w:t>Вопрос 29</w:t>
      </w:r>
    </w:p>
    <w:p w:rsidR="006C77FE" w:rsidRPr="006C77FE" w:rsidRDefault="006C77FE" w:rsidP="006C77FE">
      <w:pPr>
        <w:pStyle w:val="SingleTxtGR"/>
      </w:pPr>
      <w:r w:rsidRPr="006C77FE">
        <w:t>299.</w:t>
      </w:r>
      <w:r w:rsidRPr="006C77FE">
        <w:tab/>
        <w:t xml:space="preserve">В 2015 году была создана Целевая группа по трудоустройству инвалидов с целью проведения обзора системы занятости инвалидов и формулирования новых национальных принципов трудоустройства инвалидов в интересах повышения уровня </w:t>
      </w:r>
      <w:r w:rsidRPr="006C77FE">
        <w:lastRenderedPageBreak/>
        <w:t xml:space="preserve">их занятости. На основе таких принципов правительство Австралии разработало меры по реформированию программы работы Службы занятости инвалидов (СЗИ). </w:t>
      </w:r>
    </w:p>
    <w:p w:rsidR="006C77FE" w:rsidRPr="006C77FE" w:rsidRDefault="006C77FE" w:rsidP="006C77FE">
      <w:pPr>
        <w:pStyle w:val="SingleTxtGR"/>
      </w:pPr>
      <w:r w:rsidRPr="006C77FE">
        <w:t>300.</w:t>
      </w:r>
      <w:r w:rsidRPr="006C77FE">
        <w:tab/>
        <w:t>Правительство Австралии также успешно продвигается по пути реформ, направленных на совершенствование системы субсидируемого трудоустройства инвалидов в Австралии, в том числе обозначенных в заключительных замечаниях Комитета по Австралии 2013 года (</w:t>
      </w:r>
      <w:r w:rsidRPr="006C77FE">
        <w:rPr>
          <w:lang w:val="en-AU"/>
        </w:rPr>
        <w:t>CRPD</w:t>
      </w:r>
      <w:r w:rsidRPr="006C77FE">
        <w:t>/</w:t>
      </w:r>
      <w:r w:rsidRPr="006C77FE">
        <w:rPr>
          <w:lang w:val="en-AU"/>
        </w:rPr>
        <w:t>C</w:t>
      </w:r>
      <w:r w:rsidRPr="006C77FE">
        <w:t>/</w:t>
      </w:r>
      <w:r w:rsidRPr="006C77FE">
        <w:rPr>
          <w:lang w:val="en-AU"/>
        </w:rPr>
        <w:t>AUS</w:t>
      </w:r>
      <w:r w:rsidRPr="006C77FE">
        <w:t>/</w:t>
      </w:r>
      <w:r w:rsidRPr="006C77FE">
        <w:rPr>
          <w:lang w:val="en-AU"/>
        </w:rPr>
        <w:t>CO</w:t>
      </w:r>
      <w:r w:rsidRPr="006C77FE">
        <w:t>/1, пункт 50).</w:t>
      </w:r>
    </w:p>
    <w:p w:rsidR="006C77FE" w:rsidRPr="006C77FE" w:rsidRDefault="006C77FE" w:rsidP="006C77FE">
      <w:pPr>
        <w:pStyle w:val="SingleTxtGR"/>
      </w:pPr>
      <w:r w:rsidRPr="006C77FE">
        <w:t>301.</w:t>
      </w:r>
      <w:r w:rsidRPr="006C77FE">
        <w:tab/>
        <w:t>5 июня 2015 года Комиссия по справедливым условиям труда (КСТ) исключила сетку оценки заработной платы коммерческих услуг (СОЗКУ) из числа претендентов на премию «За поддержку субсидируемой занятости инвалидов» 2010 года (премия СЗИ). Все австралийские предприятия, на которых работают инвалиды, ранее использовавшие СОЗКУ уже перешли на альтернативный утвержденный механизм оценки заработной платы в соответствии с премией СЗИ.</w:t>
      </w:r>
    </w:p>
    <w:p w:rsidR="006C77FE" w:rsidRPr="006C77FE" w:rsidRDefault="006C77FE" w:rsidP="006C77FE">
      <w:pPr>
        <w:pStyle w:val="SingleTxtGR"/>
      </w:pPr>
      <w:r w:rsidRPr="006C77FE">
        <w:t>302.</w:t>
      </w:r>
      <w:r w:rsidRPr="006C77FE">
        <w:tab/>
        <w:t xml:space="preserve"> 10 октября 2017 года Комиссия по справедливым условиям труда согласилась с 1 июля 2018 года разрешить вариативность системы субсидируемой заработной платы в соответствии с премией СЗИ. Такие варианты были в экспериментальном порядке опробованы в 2016 году и впоследствии продемонстрированы в 2017 году в консультации с австралийскими предприятиями, на которых работают инвалиды, правозащитниками инвалидов, профсоюзами и другими заинтересованными сторонами. Согласованные варианты позволяют производить более точную оценку производительности труда на рабочих местах, охватываемых премией СЗИ. Статус премии СЗИ в настоящее время пересматривается в рамках проводимого Комиссией по справедливым условиям труда раз в четыре года обзора существующих премий. </w:t>
      </w:r>
    </w:p>
    <w:p w:rsidR="006C77FE" w:rsidRPr="006C77FE" w:rsidRDefault="006C77FE" w:rsidP="006C77FE">
      <w:pPr>
        <w:pStyle w:val="SingleTxtGR"/>
      </w:pPr>
      <w:r w:rsidRPr="006C77FE">
        <w:t>303.</w:t>
      </w:r>
      <w:r w:rsidRPr="006C77FE">
        <w:tab/>
        <w:t>В рамках программы СЗИ специализированная помощь по трудоустройству в настоящее время предоставляется примерно 193 000 ищущим работу инвалидам, травмированным или больным лицам. Более 46% из них составляют женщины-инвалиды. Примерно 30% участвующих в программе женщин нашли работу в течение трех месяцев после присоединения к программе (32% участников из числа мужчин). Правительство Австралии проводит последовательные реформы СЗИ в целях содействия устранению структурных препятствий, с которыми сталкиваются женщины на различных этапах трудовой деятельности.</w:t>
      </w:r>
    </w:p>
    <w:p w:rsidR="006C77FE" w:rsidRPr="006C77FE" w:rsidRDefault="006C77FE" w:rsidP="001066B4">
      <w:pPr>
        <w:pStyle w:val="H23G"/>
      </w:pPr>
      <w:r w:rsidRPr="006C77FE">
        <w:tab/>
      </w:r>
      <w:r w:rsidRPr="006C77FE">
        <w:tab/>
        <w:t>Вопрос 30</w:t>
      </w:r>
    </w:p>
    <w:p w:rsidR="006C77FE" w:rsidRPr="006C77FE" w:rsidRDefault="006C77FE" w:rsidP="006C77FE">
      <w:pPr>
        <w:pStyle w:val="SingleTxtGR"/>
      </w:pPr>
      <w:r w:rsidRPr="006C77FE">
        <w:t>304.</w:t>
      </w:r>
      <w:r w:rsidRPr="006C77FE">
        <w:tab/>
        <w:t>Правительство Австралии предприняло ряд шагов для выполнения рекомендаций, содержащихся в докладе австралийской Комиссии по правам человека: «Желающие трудиться: национальное исследование дискриминации в сфере занятости в отношении престарелых граждан Австралии и граждан Австралии из числа инвалидов» (Доклад «Желающие трудиться»).</w:t>
      </w:r>
    </w:p>
    <w:p w:rsidR="006C77FE" w:rsidRPr="006C77FE" w:rsidRDefault="006C77FE" w:rsidP="001066B4">
      <w:pPr>
        <w:pStyle w:val="H56G"/>
      </w:pPr>
      <w:r w:rsidRPr="006C77FE">
        <w:tab/>
      </w:r>
      <w:r w:rsidRPr="006C77FE">
        <w:tab/>
        <w:t>Службы трудоустройства инвалидов</w:t>
      </w:r>
    </w:p>
    <w:p w:rsidR="006C77FE" w:rsidRPr="006C77FE" w:rsidRDefault="006C77FE" w:rsidP="006C77FE">
      <w:pPr>
        <w:pStyle w:val="SingleTxtGR"/>
      </w:pPr>
      <w:r w:rsidRPr="006C77FE">
        <w:t>305.</w:t>
      </w:r>
      <w:r w:rsidRPr="006C77FE">
        <w:tab/>
        <w:t>В бюджете на 2017/18 год австралийское правительство предусмотрело ассигнования на проведение существенных реформ СЗИ в целях оказания помощи более значительному числу инвалидов в нахождении работы и сохранении за собой рабочих мест. Произведенные с 1 июля 2018 года преобразования включают:</w:t>
      </w:r>
    </w:p>
    <w:p w:rsidR="006C77FE" w:rsidRPr="006C77FE" w:rsidRDefault="006C77FE" w:rsidP="006C77FE">
      <w:pPr>
        <w:pStyle w:val="SingleTxtGR"/>
      </w:pPr>
      <w:r w:rsidRPr="006C77FE">
        <w:tab/>
        <w:t>а)</w:t>
      </w:r>
      <w:r w:rsidRPr="006C77FE">
        <w:tab/>
        <w:t>расширение выбора и усиление контроля со стороны участника;</w:t>
      </w:r>
    </w:p>
    <w:p w:rsidR="006C77FE" w:rsidRPr="006C77FE" w:rsidRDefault="006C77FE" w:rsidP="006C77FE">
      <w:pPr>
        <w:pStyle w:val="SingleTxtGR"/>
      </w:pPr>
      <w:r w:rsidRPr="006C77FE">
        <w:tab/>
      </w:r>
      <w:r w:rsidRPr="006C77FE">
        <w:rPr>
          <w:lang w:val="en-US"/>
        </w:rPr>
        <w:t>b</w:t>
      </w:r>
      <w:r w:rsidRPr="006C77FE">
        <w:t>)</w:t>
      </w:r>
      <w:r w:rsidRPr="006C77FE">
        <w:tab/>
        <w:t>поощрение конкуренции и состязательности между работодателями;</w:t>
      </w:r>
    </w:p>
    <w:p w:rsidR="006C77FE" w:rsidRPr="006C77FE" w:rsidRDefault="006C77FE" w:rsidP="006C77FE">
      <w:pPr>
        <w:pStyle w:val="SingleTxtGR"/>
      </w:pPr>
      <w:r w:rsidRPr="006C77FE">
        <w:tab/>
        <w:t>с)</w:t>
      </w:r>
      <w:r w:rsidRPr="006C77FE">
        <w:tab/>
        <w:t>улучшение финансовых стимулов на основе новой модели финансирования с учетом рисков, а также новой практики выплат за трудоустройство в течение, по крайней мере, года;</w:t>
      </w:r>
    </w:p>
    <w:p w:rsidR="006C77FE" w:rsidRPr="006C77FE" w:rsidRDefault="006C77FE" w:rsidP="006C77FE">
      <w:pPr>
        <w:pStyle w:val="SingleTxtGR"/>
      </w:pPr>
      <w:r w:rsidRPr="006C77FE">
        <w:tab/>
      </w:r>
      <w:r w:rsidRPr="006C77FE">
        <w:rPr>
          <w:lang w:val="en-US"/>
        </w:rPr>
        <w:t>d</w:t>
      </w:r>
      <w:r w:rsidRPr="006C77FE">
        <w:t>)</w:t>
      </w:r>
      <w:r w:rsidRPr="006C77FE">
        <w:tab/>
        <w:t>экспериментальное расширение круга клиентов СЗИ с предоставлением права пользоваться ее услугами бросившим школу инвалидам; и</w:t>
      </w:r>
    </w:p>
    <w:p w:rsidR="006C77FE" w:rsidRPr="006C77FE" w:rsidRDefault="006C77FE" w:rsidP="006C77FE">
      <w:pPr>
        <w:pStyle w:val="SingleTxtGR"/>
      </w:pPr>
      <w:r w:rsidRPr="006C77FE">
        <w:tab/>
        <w:t>е)</w:t>
      </w:r>
      <w:r w:rsidRPr="006C77FE">
        <w:tab/>
        <w:t>введение практики осуществления работодателями индексированных выплат.</w:t>
      </w:r>
    </w:p>
    <w:p w:rsidR="006C77FE" w:rsidRPr="006C77FE" w:rsidRDefault="006C77FE" w:rsidP="001066B4">
      <w:pPr>
        <w:pStyle w:val="H56G"/>
      </w:pPr>
      <w:r w:rsidRPr="006C77FE">
        <w:lastRenderedPageBreak/>
        <w:tab/>
      </w:r>
      <w:r w:rsidRPr="006C77FE">
        <w:tab/>
        <w:t>Новая система стимулирования предприятий (НССП)</w:t>
      </w:r>
    </w:p>
    <w:p w:rsidR="006C77FE" w:rsidRPr="006C77FE" w:rsidRDefault="006C77FE" w:rsidP="006C77FE">
      <w:pPr>
        <w:pStyle w:val="SingleTxtGR"/>
      </w:pPr>
      <w:r w:rsidRPr="006C77FE">
        <w:t>306.</w:t>
      </w:r>
      <w:r w:rsidRPr="006C77FE">
        <w:tab/>
        <w:t>Правительство Австралии в рамках НССП оказывает помощь по вопросам предпринимательской деятельности в целях содействия переходу людей к самозанятости. В результате внесенных в нее в 2016/17 году изменений имеющее соответствующее право инвалиды теперь могут обращаться непосредственно к структурам НССП с целью регистрации в качестве нуждающихся в помощи без получения направления от одного из подразделений СЗИ. При этом лица, получающие поддержку со стороны СЗИ, могут параллельно пользоваться услугами по линии НССП, одновременно занимаясь организацией собственного малого бизнеса.</w:t>
      </w:r>
    </w:p>
    <w:p w:rsidR="006C77FE" w:rsidRPr="006C77FE" w:rsidRDefault="006C77FE" w:rsidP="001066B4">
      <w:pPr>
        <w:pStyle w:val="H56G"/>
      </w:pPr>
      <w:r w:rsidRPr="006C77FE">
        <w:tab/>
      </w:r>
      <w:r w:rsidRPr="006C77FE">
        <w:tab/>
        <w:t>Образовательные ресурсы</w:t>
      </w:r>
    </w:p>
    <w:p w:rsidR="006C77FE" w:rsidRPr="006C77FE" w:rsidRDefault="006C77FE" w:rsidP="006C77FE">
      <w:pPr>
        <w:pStyle w:val="SingleTxtGR"/>
      </w:pPr>
      <w:r w:rsidRPr="006C77FE">
        <w:t>307.</w:t>
      </w:r>
      <w:r w:rsidRPr="006C77FE">
        <w:tab/>
        <w:t>АКПЧ проводит просветительскую работу и готовит информационные материалы и ресурсы по вопросам дискриминации в отношении инвалидов в сфере занятости. Уполномоченный по вопросам права на справедливые условия труда (УСТ) также занимается подготовкой таких информационно-пропагандистских материалов, как сводки о дискриминации на рабочем месте в целях содействия более глубокому пониманию работодателями и наемными работниками своих прав и обязанностей в рамках австралийских законов об условиях труда. УСТ также рассматривает утверждения о незаконной дискриминации на рабочем месте и может возбуждать иски в отношении какого-либо работодателя за нарушение раздела 351 Закона о справедливых условиях труда 2009 года (АС)(ЗСУТ).</w:t>
      </w:r>
    </w:p>
    <w:p w:rsidR="006C77FE" w:rsidRPr="006C77FE" w:rsidRDefault="006C77FE" w:rsidP="001066B4">
      <w:pPr>
        <w:pStyle w:val="H56G"/>
      </w:pPr>
      <w:r w:rsidRPr="006C77FE">
        <w:tab/>
      </w:r>
      <w:r w:rsidRPr="006C77FE">
        <w:tab/>
        <w:t>Гибкие условия труда</w:t>
      </w:r>
    </w:p>
    <w:p w:rsidR="006C77FE" w:rsidRPr="006C77FE" w:rsidRDefault="006C77FE" w:rsidP="006C77FE">
      <w:pPr>
        <w:pStyle w:val="SingleTxtGR"/>
      </w:pPr>
      <w:r w:rsidRPr="006C77FE">
        <w:t>308.</w:t>
      </w:r>
      <w:r w:rsidRPr="006C77FE">
        <w:tab/>
        <w:t>Австралийское правительство принимает решительные меры по пропаганде преимуществ гибких условий труда. УСТ и Агентство по обеспечению гендерного равенства на рабочих местах (АГРРМ) предоставляют информацию и материалы работодателям и наемным работникам в порядке поощрения их к установлению гибких условий труда. В соответствии с национальными стандартами трудоустройства все работодатели должны соблюдать раздел 65 Закона о справедливых условиях труда (ЗСУТ), в котором определяются ситуации, в которых наемные работники имеют законное право требовать установления гибких условий труда, в том числе, если наемный работник является инвалидом. По мнению австралийского правительства, содержащаяся в докладе «Желающие трудиться» рекомендация о пересмотре функциональности этого раздела была проанализирована в рамках проведенного в 2015 году Комиссией по вопросам производительности труда исследования основ трудовых отношений, которая не рекомендовала вносить какие-либо изменения.</w:t>
      </w:r>
    </w:p>
    <w:p w:rsidR="006C77FE" w:rsidRPr="006C77FE" w:rsidRDefault="006C77FE" w:rsidP="001066B4">
      <w:pPr>
        <w:pStyle w:val="H56G"/>
      </w:pPr>
      <w:r w:rsidRPr="006C77FE">
        <w:tab/>
      </w:r>
      <w:r w:rsidRPr="006C77FE">
        <w:tab/>
      </w:r>
      <w:r w:rsidRPr="006C77FE">
        <w:tab/>
        <w:t>Меняющиеся позиции</w:t>
      </w:r>
    </w:p>
    <w:p w:rsidR="006C77FE" w:rsidRPr="006C77FE" w:rsidRDefault="006C77FE" w:rsidP="006C77FE">
      <w:pPr>
        <w:pStyle w:val="SingleTxtGR"/>
      </w:pPr>
      <w:r w:rsidRPr="006C77FE">
        <w:t>309.</w:t>
      </w:r>
      <w:r w:rsidRPr="006C77FE">
        <w:tab/>
        <w:t>В 2016/17 году правительство Австралии принимало активные меры по повышению осведомленности работодателей о порядке найма инвалидов. С тех п</w:t>
      </w:r>
      <w:r w:rsidR="001066B4">
        <w:t>ор было выделено примерно 3 млн</w:t>
      </w:r>
      <w:r w:rsidRPr="006C77FE">
        <w:t xml:space="preserve"> долл. на разработку и осуществление коммуникационной стратегии и подготовку учебных материалов для работодателей, направленных на расширение занятости инвалидов, а также различных существующих программ и услуг.</w:t>
      </w:r>
    </w:p>
    <w:p w:rsidR="006C77FE" w:rsidRPr="006C77FE" w:rsidRDefault="006C77FE" w:rsidP="006C77FE">
      <w:pPr>
        <w:pStyle w:val="SingleTxtGR"/>
      </w:pPr>
      <w:r w:rsidRPr="006C77FE">
        <w:t>310.</w:t>
      </w:r>
      <w:r w:rsidRPr="006C77FE">
        <w:tab/>
        <w:t>В декабре 2017 года в восьми районах Австралии на экспериментальной основе по инициативе австралийского правительства был проведен «День доступности». После успешного осуществления этого проекта в ноябре 2018 года он будет реализован в общенациональном масштабе. В рамках этой инициативы работодателям предлагается принять в течение одного дня на принадлежащих им рабочих местах ищущих работу инвалидов, с тем чтобы оценить потенциал инвалидов и получить информацию об имеющихся средствах поддержки, предоставляя при этом инвалидам возможность ознакомиться с новым рабочим местом и установить контакт.</w:t>
      </w:r>
    </w:p>
    <w:p w:rsidR="006C77FE" w:rsidRPr="006C77FE" w:rsidRDefault="006C77FE" w:rsidP="006C77FE">
      <w:pPr>
        <w:pStyle w:val="SingleTxtGR"/>
      </w:pPr>
      <w:r w:rsidRPr="006C77FE">
        <w:t>311.</w:t>
      </w:r>
      <w:r w:rsidRPr="006C77FE">
        <w:tab/>
        <w:t xml:space="preserve">Консультативная служба по вопросам трудоустройства и ее вебсайт являются общенациональным координационно-информационным центром по вопросам трудоустройства инвалидов. Она предоставляет целевую информацию инвалидам и работодателям, способствует установлению ими контактов со службой бесплатной </w:t>
      </w:r>
      <w:r w:rsidRPr="006C77FE">
        <w:lastRenderedPageBreak/>
        <w:t>поддержки трудоустройства инвалидов. В настоящее время предпринимаются шаги по улучшению работы путем включения в информационную базу нового контента, доработки ресурсов, организации дистанционной подготовки работодателей и пропаганды передовой практики в области трудоустройства инвалидов.</w:t>
      </w:r>
    </w:p>
    <w:p w:rsidR="006C77FE" w:rsidRPr="006C77FE" w:rsidRDefault="006C77FE" w:rsidP="006C77FE">
      <w:pPr>
        <w:pStyle w:val="SingleTxtGR"/>
      </w:pPr>
      <w:r w:rsidRPr="006C77FE">
        <w:t>312.</w:t>
      </w:r>
      <w:r w:rsidRPr="006C77FE">
        <w:tab/>
        <w:t xml:space="preserve"> Национальный координатор по взаимодействию с работодателями по вопросам доступа к рынку труда и найма на работу инвалидов (НДРС) оказывает поддержку работодателям в целях укрепления их уверенности в способностях инвалидов и поощрения их к расширению набора инвалидов. В 2018/19 году будет произведена оценка деятельности Службы доступа к рынку труда с учетом рекомендаций доклада «Желающие трудиться». Полученные выводы будут положены в основу работы по совершенствованию модели оказания услуг.</w:t>
      </w:r>
    </w:p>
    <w:p w:rsidR="006C77FE" w:rsidRPr="006C77FE" w:rsidRDefault="006C77FE" w:rsidP="006C77FE">
      <w:pPr>
        <w:pStyle w:val="SingleTxtGR"/>
      </w:pPr>
      <w:r w:rsidRPr="006C77FE">
        <w:t>313.</w:t>
      </w:r>
      <w:r w:rsidRPr="006C77FE">
        <w:tab/>
        <w:t>Правительство Австралии также оказывает финансовую поддержку в целях поощрения трудоустройства инвалидов. Фонд помощи наемным работникам предоставляет финансовую помощь инвалидам или их работодателям за модификацию рабочих мест, оборудования и услуг, в которых они нуждаются для выполнения своих трудовых обязанностей.</w:t>
      </w:r>
    </w:p>
    <w:p w:rsidR="006C77FE" w:rsidRPr="006C77FE" w:rsidRDefault="006C77FE" w:rsidP="006C77FE">
      <w:pPr>
        <w:pStyle w:val="SingleTxtGR"/>
      </w:pPr>
      <w:r w:rsidRPr="006C77FE">
        <w:t>314.</w:t>
      </w:r>
      <w:r w:rsidRPr="006C77FE">
        <w:tab/>
        <w:t>В декабре 2017 года начала осуществляться программа субсидий на выплату первой заработной платы, в рамках которой выделяется до 6 000 долл. работодателям, которые предоставляют работу участникам СЗИ, которые долгое время оставались без работы, и направленным СЗИ молодым практикантам, устраивающимся на работу у работодателей, у которых они стажировались. По этой программе ежегодно выделяется примерно 1 700 субсидий, и при этом участники программы субсидирования первой заработной платы должны проработать не менее шести месяцев.</w:t>
      </w:r>
    </w:p>
    <w:p w:rsidR="006C77FE" w:rsidRPr="006C77FE" w:rsidRDefault="006C77FE" w:rsidP="001066B4">
      <w:pPr>
        <w:pStyle w:val="H56G"/>
      </w:pPr>
      <w:r w:rsidRPr="006C77FE">
        <w:tab/>
      </w:r>
      <w:r w:rsidRPr="006C77FE">
        <w:tab/>
        <w:t>Штаты и территории</w:t>
      </w:r>
    </w:p>
    <w:p w:rsidR="006C77FE" w:rsidRPr="006C77FE" w:rsidRDefault="006C77FE" w:rsidP="006C77FE">
      <w:pPr>
        <w:pStyle w:val="SingleTxtGR"/>
      </w:pPr>
      <w:r w:rsidRPr="006C77FE">
        <w:t>315.</w:t>
      </w:r>
      <w:r w:rsidRPr="006C77FE">
        <w:tab/>
        <w:t xml:space="preserve">Штаты и территории также поощряют и поддерживают </w:t>
      </w:r>
      <w:r w:rsidR="00D86A17">
        <w:t>занятость инвалидов. В </w:t>
      </w:r>
      <w:r w:rsidRPr="006C77FE">
        <w:t>частности, правительства АСТ и НЮУ разработали учебные материалы и изыскали ресурсы для повышения осведомленности о правах инвалидов и поощрения работодателей к созданию инклюзивных рабочих мест.</w:t>
      </w:r>
    </w:p>
    <w:p w:rsidR="006C77FE" w:rsidRPr="006C77FE" w:rsidRDefault="006C77FE" w:rsidP="001066B4">
      <w:pPr>
        <w:pStyle w:val="H1G"/>
      </w:pPr>
      <w:r w:rsidRPr="006C77FE">
        <w:tab/>
      </w:r>
      <w:r w:rsidRPr="006C77FE">
        <w:tab/>
        <w:t>Достаточный жизненный уровень и социальная защита (статья 28)</w:t>
      </w:r>
    </w:p>
    <w:p w:rsidR="006C77FE" w:rsidRPr="006C77FE" w:rsidRDefault="006C77FE" w:rsidP="001066B4">
      <w:pPr>
        <w:pStyle w:val="H23G"/>
      </w:pPr>
      <w:r w:rsidRPr="006C77FE">
        <w:tab/>
      </w:r>
      <w:r w:rsidRPr="006C77FE">
        <w:tab/>
        <w:t>Вопрос 31</w:t>
      </w:r>
    </w:p>
    <w:p w:rsidR="006C77FE" w:rsidRPr="00A76CF2" w:rsidRDefault="006C77FE" w:rsidP="006C77FE">
      <w:pPr>
        <w:pStyle w:val="SingleTxtGR"/>
        <w:rPr>
          <w:lang w:val="fr-CH"/>
        </w:rPr>
      </w:pPr>
      <w:r w:rsidRPr="006C77FE">
        <w:t>316.</w:t>
      </w:r>
      <w:r w:rsidRPr="006C77FE">
        <w:tab/>
        <w:t>Австралийское правительство принимает широкий круг конкретных мер по уменьшению в Австралии угрозы бедности и бездомности (в том числе среди инвалидов) и</w:t>
      </w:r>
      <w:r w:rsidR="00D86A17">
        <w:t xml:space="preserve"> ежегодно выделяет более 6 млрд</w:t>
      </w:r>
      <w:r w:rsidRPr="006C77FE">
        <w:t xml:space="preserve"> долл. на поддержку мероприятий по решению жилищного вопроса и оказанию услуг бездомным, результатами которых пользуются миллионы австралийцев. </w:t>
      </w:r>
    </w:p>
    <w:p w:rsidR="006C77FE" w:rsidRPr="006C77FE" w:rsidRDefault="006C77FE" w:rsidP="001066B4">
      <w:pPr>
        <w:pStyle w:val="H56G"/>
      </w:pPr>
      <w:bookmarkStart w:id="12" w:name="OLE_LINK2"/>
      <w:r w:rsidRPr="006C77FE">
        <w:tab/>
      </w:r>
      <w:r w:rsidRPr="006C77FE">
        <w:tab/>
        <w:t>Национальное соглашение о жилищном обеспечении и бездомности</w:t>
      </w:r>
    </w:p>
    <w:p w:rsidR="006C77FE" w:rsidRPr="006C77FE" w:rsidRDefault="006C77FE" w:rsidP="006C77FE">
      <w:pPr>
        <w:pStyle w:val="SingleTxtGR"/>
      </w:pPr>
      <w:r w:rsidRPr="006C77FE">
        <w:t>317.</w:t>
      </w:r>
      <w:r w:rsidRPr="006C77FE">
        <w:tab/>
        <w:t xml:space="preserve">1 июля 2018 года была запущена работа по осуществлению НСЖБ </w:t>
      </w:r>
      <w:r w:rsidRPr="006C77FE">
        <w:rPr>
          <w:lang w:val="en-US"/>
        </w:rPr>
        <w:t>c</w:t>
      </w:r>
      <w:r w:rsidRPr="006C77FE">
        <w:t xml:space="preserve"> годовым </w:t>
      </w:r>
      <w:r w:rsidR="00D86A17">
        <w:t>бюджетом 1,5 млрд</w:t>
      </w:r>
      <w:r w:rsidRPr="006C77FE">
        <w:t xml:space="preserve"> долл</w:t>
      </w:r>
      <w:r w:rsidR="00EB4373">
        <w:t>аров</w:t>
      </w:r>
      <w:r w:rsidRPr="006C77FE">
        <w:t>. В соответствии с НСЖБ штаты и территории должны иметь стратегию обеспечения жильем и борьбы с бездомностью, направленную на удовлетворение потребностей выявленных групп населения, которые требуют к себе первоочередного внимания (включая женщин и детей, сталкивающихся с семейным и бытовым насилием, детей и молодежь, коренных жителей и лиц, покидающих учреждения по уходу и интернаты). Штаты и территории могут выявлять и другие приоритетные группы, включая инвалидов.</w:t>
      </w:r>
    </w:p>
    <w:p w:rsidR="006C77FE" w:rsidRPr="006C77FE" w:rsidRDefault="006C77FE" w:rsidP="006C77FE">
      <w:pPr>
        <w:pStyle w:val="SingleTxtGR"/>
      </w:pPr>
      <w:r w:rsidRPr="006C77FE">
        <w:t>318.</w:t>
      </w:r>
      <w:r w:rsidRPr="006C77FE">
        <w:tab/>
        <w:t xml:space="preserve">В соответствии с новым НСЖБ начиная с 2018–2019 годов правительство Австралии будет выделять на оказание услуг бездомным 620 млн долл. на пятилетний период, и в свою очередь штаты и территории выделят аналогичную сумму. </w:t>
      </w:r>
    </w:p>
    <w:bookmarkEnd w:id="12"/>
    <w:p w:rsidR="006C77FE" w:rsidRPr="006C77FE" w:rsidRDefault="006C77FE" w:rsidP="001066B4">
      <w:pPr>
        <w:pStyle w:val="H56G"/>
        <w:rPr>
          <w:lang w:val="en-US"/>
        </w:rPr>
      </w:pPr>
      <w:r w:rsidRPr="006C77FE">
        <w:lastRenderedPageBreak/>
        <w:tab/>
      </w:r>
      <w:r w:rsidRPr="006C77FE">
        <w:tab/>
        <w:t xml:space="preserve">Предыдущее переходное национальное соглашение о партнерстве в борьбе </w:t>
      </w:r>
      <w:r w:rsidR="001066B4">
        <w:t>с </w:t>
      </w:r>
      <w:r w:rsidRPr="006C77FE">
        <w:t xml:space="preserve">бездомностью </w:t>
      </w:r>
      <w:r w:rsidRPr="006C77FE">
        <w:rPr>
          <w:lang w:val="en-US"/>
        </w:rPr>
        <w:t>(</w:t>
      </w:r>
      <w:r w:rsidRPr="006C77FE">
        <w:t>НСПБ</w:t>
      </w:r>
      <w:r w:rsidRPr="006C77FE">
        <w:rPr>
          <w:lang w:val="en-US"/>
        </w:rPr>
        <w:t>)</w:t>
      </w:r>
    </w:p>
    <w:p w:rsidR="006C77FE" w:rsidRPr="006C77FE" w:rsidRDefault="006C77FE" w:rsidP="006C77FE">
      <w:pPr>
        <w:pStyle w:val="SingleTxtGR"/>
      </w:pPr>
      <w:r w:rsidRPr="006C77FE">
        <w:t>319.</w:t>
      </w:r>
      <w:r w:rsidRPr="006C77FE">
        <w:tab/>
        <w:t>В 2017 году правительство Австралии в рам</w:t>
      </w:r>
      <w:r w:rsidR="001066B4">
        <w:t>ках НСПБ предоставило 117,2 млн</w:t>
      </w:r>
      <w:r w:rsidRPr="006C77FE">
        <w:t xml:space="preserve"> долл. правительствам штатов и территорий на финансирование деятельности по оказанию услуг бездомным на местах. НСПБ согласовано с основными целями Национальной стратегии в отношении инвалидов, включая стимулирование «более эффективной работы основных служб по оказанию помощи инвалидам».</w:t>
      </w:r>
    </w:p>
    <w:p w:rsidR="006C77FE" w:rsidRPr="006C77FE" w:rsidRDefault="006C77FE" w:rsidP="001066B4">
      <w:pPr>
        <w:pStyle w:val="H56G"/>
      </w:pPr>
      <w:r w:rsidRPr="006C77FE">
        <w:tab/>
      </w:r>
      <w:r w:rsidRPr="006C77FE">
        <w:tab/>
        <w:t>Социальное жилье и бездомность</w:t>
      </w:r>
    </w:p>
    <w:p w:rsidR="006C77FE" w:rsidRPr="006C77FE" w:rsidRDefault="006C77FE" w:rsidP="006C77FE">
      <w:pPr>
        <w:pStyle w:val="SingleTxtGR"/>
      </w:pPr>
      <w:r w:rsidRPr="006C77FE">
        <w:t>320.</w:t>
      </w:r>
      <w:r w:rsidRPr="006C77FE">
        <w:tab/>
        <w:t>Ключевая роль в обеспечении инвалидам возможностей для приобретения и устойчивого сохранения жилья и связей с поставщиками услуг принадлежит профильным службам, занимающимся вопросами распределения социального жилья и помощи бездомным.</w:t>
      </w:r>
    </w:p>
    <w:p w:rsidR="006C77FE" w:rsidRPr="006C77FE" w:rsidRDefault="006C77FE" w:rsidP="006C77FE">
      <w:pPr>
        <w:pStyle w:val="SingleTxtGR"/>
      </w:pPr>
      <w:r w:rsidRPr="006C77FE">
        <w:t>321.</w:t>
      </w:r>
      <w:r w:rsidRPr="006C77FE">
        <w:tab/>
        <w:t>Штаты и территории несут ответственность за решение проблемы бездомности и работают во взаимодействии с общинами в интересах предоставления государственного и социального жилья имеющим на него права лицам, в том числе инвалидам или психически больным лицам, которые оказались или могут оказаться бездомными и безработными либо иметь низкий уровень доходов. При решении вопроса о предоставлении жилья и оказании поддержки предпочтение, как правило, отдается бездомным инвалидам.</w:t>
      </w:r>
    </w:p>
    <w:p w:rsidR="006C77FE" w:rsidRPr="006C77FE" w:rsidRDefault="006C77FE" w:rsidP="006C77FE">
      <w:pPr>
        <w:pStyle w:val="SingleTxtGR"/>
      </w:pPr>
      <w:r w:rsidRPr="006C77FE">
        <w:t>322.</w:t>
      </w:r>
      <w:r w:rsidRPr="006C77FE">
        <w:tab/>
        <w:t>Многие штаты и территории взаимодействуют с общинными организациями в контексте предоставления отдельным лицам превентивной помощи в целях устойчивого сохранения ими доступного по цене жилья. Так, правительство Виктории предпринимает инициативы по предупреждению бездомности путем оказания помощи в устойчивом сохранении жилья и расширении жилого фонда посредством более оперативного планирования, поддержания стабильности и ценовой доступности жилья для арендаторов, наращивания и обновления фонда социального жилья и улучшения его обслуживания.</w:t>
      </w:r>
    </w:p>
    <w:p w:rsidR="006C77FE" w:rsidRPr="006C77FE" w:rsidRDefault="006C77FE" w:rsidP="006C77FE">
      <w:pPr>
        <w:pStyle w:val="SingleTxtGR"/>
      </w:pPr>
      <w:r w:rsidRPr="006C77FE">
        <w:t>323.</w:t>
      </w:r>
      <w:r w:rsidRPr="006C77FE">
        <w:tab/>
        <w:t xml:space="preserve">В АСТ, Виктории и НЮУ специализированные службы помощи бездомным помогают инвалидам, коренным жителям, женщинам, детям и лицам с психосоциальными расстройствами, которые могут оказаться бездомными. </w:t>
      </w:r>
    </w:p>
    <w:p w:rsidR="006C77FE" w:rsidRPr="006C77FE" w:rsidRDefault="006C77FE" w:rsidP="001066B4">
      <w:pPr>
        <w:pStyle w:val="H56G"/>
      </w:pPr>
      <w:bookmarkStart w:id="13" w:name="OLE_LINK22"/>
      <w:bookmarkStart w:id="14" w:name="OLE_LINK19"/>
      <w:r w:rsidRPr="006C77FE">
        <w:tab/>
      </w:r>
      <w:r w:rsidRPr="006C77FE">
        <w:tab/>
        <w:t>Денежные пособия</w:t>
      </w:r>
    </w:p>
    <w:p w:rsidR="006C77FE" w:rsidRPr="006C77FE" w:rsidRDefault="006C77FE" w:rsidP="006C77FE">
      <w:pPr>
        <w:pStyle w:val="SingleTxtGR"/>
      </w:pPr>
      <w:r w:rsidRPr="006C77FE">
        <w:t>324.</w:t>
      </w:r>
      <w:r w:rsidRPr="006C77FE">
        <w:tab/>
        <w:t>Правительство Австралии через ПППИ выплачивает пособия для поддержки доходов лицам с постоянными физическими, интеллектуальными и/или психиатрическими нарушениями, которые не позволяют им заниматься трудовой деятельностью или профессиональной подготовкой. Бенефициарам ПППИ выдается льготная карточка пенсионера, которая предоставляет доступ к таким льготам, как более дешевые лекарства и медицинские услуги. Они также могут получать финансовую помощь для оплаты арендуемого жилья.</w:t>
      </w:r>
    </w:p>
    <w:bookmarkEnd w:id="13"/>
    <w:bookmarkEnd w:id="14"/>
    <w:p w:rsidR="006C77FE" w:rsidRPr="006C77FE" w:rsidRDefault="006C77FE" w:rsidP="006C77FE">
      <w:pPr>
        <w:pStyle w:val="SingleTxtGR"/>
      </w:pPr>
      <w:r w:rsidRPr="006C77FE">
        <w:t>325.</w:t>
      </w:r>
      <w:r w:rsidRPr="006C77FE">
        <w:tab/>
        <w:t>Безработные и ищущие работу лица в возрасте 22 лет и старше могут получать пособия на «начало «новой жизни», либо пособия д</w:t>
      </w:r>
      <w:r w:rsidR="001066B4">
        <w:t>ля молодежи (ПМ), если им от 16 </w:t>
      </w:r>
      <w:r w:rsidRPr="006C77FE">
        <w:t xml:space="preserve">до 21 года. Бенефициары из числа инвалидов могут признаваться частично трудоспособными, если они не могут работать как минимум 30 часов в неделю. Это дает им право на получение пособия на лекарства. Молодежь из числа инвалидов, получающая помощь по линии ПППИ или ПМ, получает также надбавку для молодых инвалидов. Инвалидам, которые не могут пользоваться общественным транспортом, выплачивается пособие на мобильность. </w:t>
      </w:r>
    </w:p>
    <w:p w:rsidR="006C77FE" w:rsidRPr="006C77FE" w:rsidRDefault="006C77FE" w:rsidP="001066B4">
      <w:pPr>
        <w:pStyle w:val="H1G"/>
      </w:pPr>
      <w:r w:rsidRPr="006C77FE">
        <w:lastRenderedPageBreak/>
        <w:tab/>
      </w:r>
      <w:r w:rsidRPr="006C77FE">
        <w:tab/>
        <w:t>Участие в политической и общественной жизни (статья 29)</w:t>
      </w:r>
    </w:p>
    <w:p w:rsidR="006C77FE" w:rsidRPr="006C77FE" w:rsidRDefault="006C77FE" w:rsidP="001066B4">
      <w:pPr>
        <w:pStyle w:val="H23G"/>
      </w:pPr>
      <w:r w:rsidRPr="006C77FE">
        <w:tab/>
      </w:r>
      <w:r w:rsidRPr="006C77FE">
        <w:tab/>
        <w:t>Вопрос 32</w:t>
      </w:r>
    </w:p>
    <w:p w:rsidR="006C77FE" w:rsidRPr="006C77FE" w:rsidRDefault="006C77FE" w:rsidP="006C77FE">
      <w:pPr>
        <w:pStyle w:val="SingleTxtGR"/>
      </w:pPr>
      <w:r w:rsidRPr="006C77FE">
        <w:t>326.</w:t>
      </w:r>
      <w:r w:rsidRPr="006C77FE">
        <w:tab/>
        <w:t xml:space="preserve">Правительство Австралии привержено обеспечению конструктивного участия инвалидов в процессах принятия решений на всех уровнях, включая их способность голосовать и осуществлять выбор. </w:t>
      </w:r>
    </w:p>
    <w:p w:rsidR="006C77FE" w:rsidRPr="006C77FE" w:rsidRDefault="006C77FE" w:rsidP="001066B4">
      <w:pPr>
        <w:pStyle w:val="H56G"/>
      </w:pPr>
      <w:r w:rsidRPr="006C77FE">
        <w:tab/>
      </w:r>
      <w:r w:rsidRPr="006C77FE">
        <w:tab/>
        <w:t>Презумпция правоспособности</w:t>
      </w:r>
    </w:p>
    <w:p w:rsidR="006C77FE" w:rsidRPr="006C77FE" w:rsidRDefault="006C77FE" w:rsidP="006C77FE">
      <w:pPr>
        <w:pStyle w:val="SingleTxtGR"/>
      </w:pPr>
      <w:r w:rsidRPr="006C77FE">
        <w:t>327.</w:t>
      </w:r>
      <w:r w:rsidRPr="006C77FE">
        <w:tab/>
        <w:t>Согласно Закону о выборах 1918 года (АС) каждый правомочный гражданин Австралии, достигший 18 лет, обязан зарегистрироваться и голосовать на федеральных выборах. Однако люди не имеют права на включение и сохранение их имен в списке избирателей или права на голосование, если в силу психического заболевания они не способны понять характер и значение регистрации и голосования</w:t>
      </w:r>
      <w:r w:rsidRPr="006C77FE">
        <w:rPr>
          <w:vertAlign w:val="superscript"/>
        </w:rPr>
        <w:footnoteReference w:id="41"/>
      </w:r>
      <w:r w:rsidRPr="006C77FE">
        <w:t xml:space="preserve">. Участник голосования может быть исключен из электорального списка в случае, если лицензированный врач-терапевт в письменной форме засвидетельствует, что вследствие психического заболевания данное лицо не способно понять характер и значение регистрации и голосования. </w:t>
      </w:r>
    </w:p>
    <w:p w:rsidR="006C77FE" w:rsidRPr="006C77FE" w:rsidRDefault="006C77FE" w:rsidP="001066B4">
      <w:pPr>
        <w:pStyle w:val="H56G"/>
      </w:pPr>
      <w:r w:rsidRPr="006C77FE">
        <w:tab/>
      </w:r>
      <w:r w:rsidRPr="006C77FE">
        <w:tab/>
        <w:t xml:space="preserve">Электоральные процессы </w:t>
      </w:r>
    </w:p>
    <w:p w:rsidR="006C77FE" w:rsidRPr="006C77FE" w:rsidRDefault="006C77FE" w:rsidP="006C77FE">
      <w:pPr>
        <w:pStyle w:val="SingleTxtGR"/>
      </w:pPr>
      <w:r w:rsidRPr="006C77FE">
        <w:t>328.</w:t>
      </w:r>
      <w:r w:rsidRPr="006C77FE">
        <w:tab/>
        <w:t>Австралийская избирательная комиссия (АИК) несет ответственность за поддержание беспристрастности и независимости электоральной системы применительно к имеющим право голосовать избирателям посредством составления и регулирования списка избирателей, оказания услуг во время федерального голосования, а также проведения просветительской работы и программ повышения осведомленности общественности.</w:t>
      </w:r>
    </w:p>
    <w:p w:rsidR="006C77FE" w:rsidRPr="006C77FE" w:rsidRDefault="006C77FE" w:rsidP="006C77FE">
      <w:pPr>
        <w:pStyle w:val="SingleTxtGR"/>
      </w:pPr>
      <w:r w:rsidRPr="006C77FE">
        <w:t>329.</w:t>
      </w:r>
      <w:r w:rsidRPr="006C77FE">
        <w:tab/>
        <w:t>АИК поддерживает Национальную стратегию в отношении инвалидов путем осуществления собственной стратегии интеграции инвалидов на 2012–2020 годы (Стратегия АИК), которая была разработана в целях содействия полноценному участию инвалидов в электоральной системе. Она предусматривает меры по обеспечению как можно более широкого освещения работы и физической доступности избирательных участков, а также предоставляет альтернативные варианты и ассистивные способы голосования. Так</w:t>
      </w:r>
      <w:r w:rsidR="001066B4">
        <w:t>,</w:t>
      </w:r>
      <w:r w:rsidRPr="006C77FE">
        <w:t xml:space="preserve"> например, слепые или слабовидящие избиратели могут голосовать по телефону либо через НСКС.</w:t>
      </w:r>
    </w:p>
    <w:p w:rsidR="006C77FE" w:rsidRPr="006C77FE" w:rsidRDefault="006C77FE" w:rsidP="006C77FE">
      <w:pPr>
        <w:pStyle w:val="SingleTxtGR"/>
      </w:pPr>
      <w:r w:rsidRPr="006C77FE">
        <w:t>330.</w:t>
      </w:r>
      <w:r w:rsidRPr="006C77FE">
        <w:tab/>
        <w:t>Стратегия АИК также предусматривает меры по обеспечению доступности для всех избирателей материалов для голосования. Например</w:t>
      </w:r>
      <w:r w:rsidR="001066B4">
        <w:t>,</w:t>
      </w:r>
      <w:r w:rsidRPr="006C77FE">
        <w:t xml:space="preserve"> руководства по вопросам регистрации и голосования во время федеральных выборов, изложенного на простом для понимания английском языке или в видеоформате. Видеоролики сопровождаются сурдопереводом, дикторским комментарием или субтитрами на упрощенном английском языке. Вся размещенная на веб-сайте АИК информация доступна, включая анкету для регистрации по Интернету. Во время выборов информация подается крупным шрифтом, в форматах электронного текста, МР3 и азбуки Брайля.</w:t>
      </w:r>
    </w:p>
    <w:p w:rsidR="006C77FE" w:rsidRPr="006C77FE" w:rsidRDefault="006C77FE" w:rsidP="006C77FE">
      <w:pPr>
        <w:pStyle w:val="SingleTxtGR"/>
      </w:pPr>
      <w:r w:rsidRPr="006C77FE">
        <w:t>331.</w:t>
      </w:r>
      <w:r w:rsidRPr="006C77FE">
        <w:tab/>
        <w:t>АИК продолжает работу по совершенствованию системы голосования с целью обеспечения ее доступности для инвалидов. В частности, АИК планирует провести эксперимент с созданием доступных центров для голосования в предшествующий голосованию период на следующих федеральных выборах. Такие центры будут обладать более значительной физической доступностью, включая большую площадь помещений, слуховые аппараты и регулируемое освещение. АИК также изучает возможность применения интернет-модуля повышения осведомленности сотрудников избирательных комиссий по вопросам инвалидности.</w:t>
      </w:r>
    </w:p>
    <w:p w:rsidR="006C77FE" w:rsidRPr="006C77FE" w:rsidRDefault="006C77FE" w:rsidP="001066B4">
      <w:pPr>
        <w:pStyle w:val="H56G"/>
      </w:pPr>
      <w:r w:rsidRPr="006C77FE">
        <w:tab/>
      </w:r>
      <w:r w:rsidRPr="006C77FE">
        <w:tab/>
        <w:t>Штаты и территории</w:t>
      </w:r>
    </w:p>
    <w:p w:rsidR="006C77FE" w:rsidRPr="006C77FE" w:rsidRDefault="006C77FE" w:rsidP="006C77FE">
      <w:pPr>
        <w:pStyle w:val="SingleTxtGR"/>
      </w:pPr>
      <w:r w:rsidRPr="006C77FE">
        <w:t>332.</w:t>
      </w:r>
      <w:r w:rsidRPr="006C77FE">
        <w:tab/>
        <w:t xml:space="preserve">Во время своих выборов многие штаты и территории принимают аналогичные меры, в том числе путем распространения информации в доступных форматах, </w:t>
      </w:r>
      <w:r w:rsidRPr="006C77FE">
        <w:lastRenderedPageBreak/>
        <w:t>обеспечения физической доступности избирательных участков и за счет предоставления возможностей для голосования по почте, а также посредством организации ассистивного голосования в больницах и на избирательных участках. Избирательные комиссии некоторых штатов и территорий стали применять системы электронного голосования, в том числе по Интернету в целях оказания инвалидам услуг по осуществлению тайного и неассистивного голосования. Так</w:t>
      </w:r>
      <w:r w:rsidR="001066B4">
        <w:t>, например, в </w:t>
      </w:r>
      <w:r w:rsidRPr="006C77FE">
        <w:t xml:space="preserve">Новом Южном Уэльсе применяется система </w:t>
      </w:r>
      <w:r w:rsidRPr="006C77FE">
        <w:rPr>
          <w:lang w:val="en-US"/>
        </w:rPr>
        <w:t>iVote</w:t>
      </w:r>
      <w:r w:rsidRPr="006C77FE">
        <w:t>, электронная платформа для ассистивного голосования по телефону или Интернету, которой могут пользоваться слепые и слабовидящие лица для упрощения процесса тайного голосования.</w:t>
      </w:r>
    </w:p>
    <w:p w:rsidR="006C77FE" w:rsidRPr="006C77FE" w:rsidRDefault="006C77FE" w:rsidP="001066B4">
      <w:pPr>
        <w:pStyle w:val="H1G"/>
      </w:pPr>
      <w:r w:rsidRPr="006C77FE">
        <w:tab/>
      </w:r>
      <w:r w:rsidRPr="006C77FE">
        <w:tab/>
        <w:t>Статистика и сбор данных (статья 31)</w:t>
      </w:r>
    </w:p>
    <w:p w:rsidR="006C77FE" w:rsidRPr="006C77FE" w:rsidRDefault="006C77FE" w:rsidP="001066B4">
      <w:pPr>
        <w:pStyle w:val="H23G"/>
      </w:pPr>
      <w:r w:rsidRPr="006C77FE">
        <w:tab/>
      </w:r>
      <w:r w:rsidRPr="006C77FE">
        <w:tab/>
        <w:t>Вопрос 33</w:t>
      </w:r>
    </w:p>
    <w:p w:rsidR="006C77FE" w:rsidRDefault="006C77FE" w:rsidP="006C77FE">
      <w:pPr>
        <w:pStyle w:val="SingleTxtGR"/>
      </w:pPr>
      <w:r w:rsidRPr="006C77FE">
        <w:t>333.</w:t>
      </w:r>
      <w:r w:rsidRPr="006C77FE">
        <w:tab/>
        <w:t>Правительство Австралии осуществляет систематический сбор данных, представляет на их основании доклады и согласует полученные в рамках многочисленных обследований данные о распространении инвалидности, которые в большинстве случаев даются в разбивке по различным показателям.</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27"/>
        <w:gridCol w:w="1417"/>
        <w:gridCol w:w="2835"/>
        <w:gridCol w:w="2126"/>
      </w:tblGrid>
      <w:tr w:rsidR="001066B4" w:rsidRPr="00D639D1" w:rsidTr="001066B4">
        <w:trPr>
          <w:tblHeader/>
        </w:trPr>
        <w:tc>
          <w:tcPr>
            <w:tcW w:w="2127" w:type="dxa"/>
            <w:tcBorders>
              <w:top w:val="single" w:sz="4" w:space="0" w:color="auto"/>
              <w:bottom w:val="single" w:sz="12" w:space="0" w:color="auto"/>
            </w:tcBorders>
            <w:shd w:val="clear" w:color="auto" w:fill="auto"/>
            <w:vAlign w:val="bottom"/>
          </w:tcPr>
          <w:p w:rsidR="001066B4" w:rsidRPr="00D639D1" w:rsidRDefault="001066B4" w:rsidP="00B93743">
            <w:pPr>
              <w:spacing w:before="80" w:after="80" w:line="200" w:lineRule="exact"/>
              <w:ind w:right="113"/>
              <w:rPr>
                <w:i/>
                <w:sz w:val="16"/>
                <w:szCs w:val="16"/>
              </w:rPr>
            </w:pPr>
            <w:r w:rsidRPr="00D639D1">
              <w:rPr>
                <w:i/>
                <w:sz w:val="16"/>
                <w:szCs w:val="16"/>
              </w:rPr>
              <w:t>Обследование/Собранные данные</w:t>
            </w:r>
          </w:p>
        </w:tc>
        <w:tc>
          <w:tcPr>
            <w:tcW w:w="1417" w:type="dxa"/>
            <w:tcBorders>
              <w:top w:val="single" w:sz="4" w:space="0" w:color="auto"/>
              <w:bottom w:val="single" w:sz="12" w:space="0" w:color="auto"/>
            </w:tcBorders>
            <w:shd w:val="clear" w:color="auto" w:fill="auto"/>
            <w:vAlign w:val="bottom"/>
          </w:tcPr>
          <w:p w:rsidR="001066B4" w:rsidRPr="00D639D1" w:rsidRDefault="001066B4" w:rsidP="00B93743">
            <w:pPr>
              <w:spacing w:before="80" w:after="80" w:line="200" w:lineRule="exact"/>
              <w:ind w:right="113"/>
              <w:rPr>
                <w:i/>
                <w:sz w:val="16"/>
                <w:szCs w:val="16"/>
                <w:lang w:val="en-US"/>
              </w:rPr>
            </w:pPr>
            <w:r w:rsidRPr="00D639D1">
              <w:rPr>
                <w:i/>
                <w:sz w:val="16"/>
                <w:szCs w:val="16"/>
              </w:rPr>
              <w:t>Периодичность</w:t>
            </w:r>
          </w:p>
        </w:tc>
        <w:tc>
          <w:tcPr>
            <w:tcW w:w="2835" w:type="dxa"/>
            <w:tcBorders>
              <w:top w:val="single" w:sz="4" w:space="0" w:color="auto"/>
              <w:bottom w:val="single" w:sz="12" w:space="0" w:color="auto"/>
            </w:tcBorders>
            <w:shd w:val="clear" w:color="auto" w:fill="auto"/>
            <w:vAlign w:val="bottom"/>
          </w:tcPr>
          <w:p w:rsidR="001066B4" w:rsidRPr="00D639D1" w:rsidRDefault="001066B4" w:rsidP="00B93743">
            <w:pPr>
              <w:spacing w:before="80" w:after="80" w:line="200" w:lineRule="exact"/>
              <w:ind w:right="113"/>
              <w:rPr>
                <w:i/>
                <w:sz w:val="16"/>
                <w:szCs w:val="16"/>
                <w:lang w:val="en-US"/>
              </w:rPr>
            </w:pPr>
            <w:r w:rsidRPr="00D639D1">
              <w:rPr>
                <w:i/>
                <w:sz w:val="16"/>
                <w:szCs w:val="16"/>
              </w:rPr>
              <w:t>Собранная</w:t>
            </w:r>
            <w:r w:rsidRPr="00D639D1">
              <w:rPr>
                <w:i/>
                <w:sz w:val="16"/>
                <w:szCs w:val="16"/>
                <w:lang w:val="en-US"/>
              </w:rPr>
              <w:t xml:space="preserve"> </w:t>
            </w:r>
            <w:r w:rsidRPr="00D639D1">
              <w:rPr>
                <w:i/>
                <w:sz w:val="16"/>
                <w:szCs w:val="16"/>
              </w:rPr>
              <w:t>информация</w:t>
            </w:r>
          </w:p>
        </w:tc>
        <w:tc>
          <w:tcPr>
            <w:tcW w:w="2126" w:type="dxa"/>
            <w:tcBorders>
              <w:top w:val="single" w:sz="4" w:space="0" w:color="auto"/>
              <w:bottom w:val="single" w:sz="12" w:space="0" w:color="auto"/>
            </w:tcBorders>
            <w:shd w:val="clear" w:color="auto" w:fill="auto"/>
            <w:vAlign w:val="bottom"/>
          </w:tcPr>
          <w:p w:rsidR="001066B4" w:rsidRPr="00D639D1" w:rsidRDefault="001066B4" w:rsidP="00B93743">
            <w:pPr>
              <w:spacing w:before="80" w:after="80" w:line="200" w:lineRule="exact"/>
              <w:ind w:right="113"/>
              <w:rPr>
                <w:i/>
                <w:sz w:val="16"/>
                <w:szCs w:val="16"/>
                <w:lang w:val="en-US"/>
              </w:rPr>
            </w:pPr>
            <w:r w:rsidRPr="00D639D1">
              <w:rPr>
                <w:i/>
                <w:sz w:val="16"/>
                <w:szCs w:val="16"/>
              </w:rPr>
              <w:t>Разбивка</w:t>
            </w:r>
          </w:p>
        </w:tc>
      </w:tr>
      <w:tr w:rsidR="001066B4" w:rsidRPr="00D639D1" w:rsidTr="001066B4">
        <w:trPr>
          <w:trHeight w:hRule="exact" w:val="113"/>
          <w:tblHeader/>
        </w:trPr>
        <w:tc>
          <w:tcPr>
            <w:tcW w:w="2127" w:type="dxa"/>
            <w:tcBorders>
              <w:top w:val="single" w:sz="12" w:space="0" w:color="auto"/>
              <w:bottom w:val="nil"/>
            </w:tcBorders>
            <w:shd w:val="clear" w:color="auto" w:fill="auto"/>
          </w:tcPr>
          <w:p w:rsidR="001066B4" w:rsidRPr="00D639D1" w:rsidRDefault="001066B4" w:rsidP="00B93743">
            <w:pPr>
              <w:spacing w:before="40" w:after="120" w:line="360" w:lineRule="auto"/>
              <w:ind w:right="113"/>
              <w:rPr>
                <w:sz w:val="24"/>
                <w:szCs w:val="24"/>
                <w:lang w:val="en-US"/>
              </w:rPr>
            </w:pPr>
          </w:p>
        </w:tc>
        <w:tc>
          <w:tcPr>
            <w:tcW w:w="1417" w:type="dxa"/>
            <w:tcBorders>
              <w:top w:val="single" w:sz="12" w:space="0" w:color="auto"/>
              <w:bottom w:val="nil"/>
            </w:tcBorders>
            <w:shd w:val="clear" w:color="auto" w:fill="auto"/>
          </w:tcPr>
          <w:p w:rsidR="001066B4" w:rsidRPr="00D639D1" w:rsidRDefault="001066B4" w:rsidP="00B93743">
            <w:pPr>
              <w:spacing w:before="40" w:after="120" w:line="360" w:lineRule="auto"/>
              <w:ind w:right="113"/>
              <w:rPr>
                <w:sz w:val="24"/>
                <w:szCs w:val="24"/>
                <w:lang w:val="en-US"/>
              </w:rPr>
            </w:pPr>
          </w:p>
        </w:tc>
        <w:tc>
          <w:tcPr>
            <w:tcW w:w="2835" w:type="dxa"/>
            <w:tcBorders>
              <w:top w:val="single" w:sz="12" w:space="0" w:color="auto"/>
              <w:bottom w:val="nil"/>
            </w:tcBorders>
            <w:shd w:val="clear" w:color="auto" w:fill="auto"/>
          </w:tcPr>
          <w:p w:rsidR="001066B4" w:rsidRPr="00D639D1" w:rsidRDefault="001066B4" w:rsidP="00B93743">
            <w:pPr>
              <w:spacing w:before="40" w:after="120" w:line="360" w:lineRule="auto"/>
              <w:ind w:right="113"/>
              <w:rPr>
                <w:sz w:val="24"/>
                <w:szCs w:val="24"/>
                <w:lang w:val="en-US"/>
              </w:rPr>
            </w:pPr>
          </w:p>
        </w:tc>
        <w:tc>
          <w:tcPr>
            <w:tcW w:w="2126" w:type="dxa"/>
            <w:tcBorders>
              <w:top w:val="single" w:sz="12" w:space="0" w:color="auto"/>
              <w:bottom w:val="nil"/>
            </w:tcBorders>
            <w:shd w:val="clear" w:color="auto" w:fill="auto"/>
          </w:tcPr>
          <w:p w:rsidR="001066B4" w:rsidRPr="00D639D1" w:rsidRDefault="001066B4" w:rsidP="00B93743">
            <w:pPr>
              <w:spacing w:before="40" w:after="120" w:line="360" w:lineRule="auto"/>
              <w:ind w:right="113"/>
              <w:rPr>
                <w:sz w:val="24"/>
                <w:szCs w:val="24"/>
                <w:lang w:val="en-US"/>
              </w:rPr>
            </w:pPr>
          </w:p>
        </w:tc>
      </w:tr>
      <w:tr w:rsidR="001066B4" w:rsidRPr="00E930FA" w:rsidTr="001066B4">
        <w:tc>
          <w:tcPr>
            <w:tcW w:w="2127" w:type="dxa"/>
            <w:tcBorders>
              <w:top w:val="nil"/>
              <w:bottom w:val="nil"/>
            </w:tcBorders>
            <w:shd w:val="clear" w:color="auto" w:fill="auto"/>
          </w:tcPr>
          <w:p w:rsidR="001066B4" w:rsidRPr="00D639D1" w:rsidRDefault="001066B4" w:rsidP="001066B4">
            <w:pPr>
              <w:suppressAutoHyphens w:val="0"/>
              <w:spacing w:before="40" w:after="120"/>
              <w:ind w:right="113"/>
              <w:rPr>
                <w:bCs/>
              </w:rPr>
            </w:pPr>
            <w:r w:rsidRPr="00D639D1">
              <w:rPr>
                <w:bCs/>
              </w:rPr>
              <w:t>Обследование</w:t>
            </w:r>
            <w:r w:rsidRPr="00271D11">
              <w:rPr>
                <w:bCs/>
              </w:rPr>
              <w:t xml:space="preserve"> </w:t>
            </w:r>
            <w:r w:rsidRPr="00D639D1">
              <w:rPr>
                <w:bCs/>
              </w:rPr>
              <w:t>по вопросам инвалидности, старения и опекунов</w:t>
            </w:r>
          </w:p>
        </w:tc>
        <w:tc>
          <w:tcPr>
            <w:tcW w:w="1417" w:type="dxa"/>
            <w:tcBorders>
              <w:top w:val="nil"/>
              <w:bottom w:val="nil"/>
            </w:tcBorders>
            <w:shd w:val="clear" w:color="auto" w:fill="auto"/>
          </w:tcPr>
          <w:p w:rsidR="001066B4" w:rsidRPr="00D639D1" w:rsidRDefault="001066B4" w:rsidP="001066B4">
            <w:pPr>
              <w:suppressAutoHyphens w:val="0"/>
              <w:spacing w:before="40" w:after="120"/>
              <w:ind w:right="113"/>
              <w:rPr>
                <w:bCs/>
              </w:rPr>
            </w:pPr>
            <w:r w:rsidRPr="00D639D1">
              <w:rPr>
                <w:bCs/>
              </w:rPr>
              <w:t>Три года</w:t>
            </w:r>
          </w:p>
        </w:tc>
        <w:tc>
          <w:tcPr>
            <w:tcW w:w="2835" w:type="dxa"/>
            <w:tcBorders>
              <w:top w:val="nil"/>
              <w:bottom w:val="nil"/>
            </w:tcBorders>
            <w:shd w:val="clear" w:color="auto" w:fill="auto"/>
          </w:tcPr>
          <w:p w:rsidR="001066B4" w:rsidRPr="00D639D1" w:rsidRDefault="001066B4" w:rsidP="001066B4">
            <w:pPr>
              <w:suppressAutoHyphens w:val="0"/>
              <w:spacing w:before="40" w:after="120"/>
              <w:ind w:right="113"/>
              <w:rPr>
                <w:bCs/>
              </w:rPr>
            </w:pPr>
            <w:r w:rsidRPr="00D639D1">
              <w:rPr>
                <w:bCs/>
              </w:rPr>
              <w:t>Данные о распространении инвалидности, доступе к услугам, дискриминации, участии в общественной жизни, а также о здоровье и благополучии</w:t>
            </w:r>
          </w:p>
        </w:tc>
        <w:tc>
          <w:tcPr>
            <w:tcW w:w="2126" w:type="dxa"/>
            <w:tcBorders>
              <w:top w:val="nil"/>
              <w:bottom w:val="nil"/>
            </w:tcBorders>
            <w:shd w:val="clear" w:color="auto" w:fill="auto"/>
          </w:tcPr>
          <w:p w:rsidR="001066B4" w:rsidRPr="00D639D1" w:rsidRDefault="001066B4" w:rsidP="001066B4">
            <w:pPr>
              <w:suppressAutoHyphens w:val="0"/>
              <w:spacing w:before="40" w:after="120"/>
              <w:ind w:right="113"/>
              <w:rPr>
                <w:bCs/>
              </w:rPr>
            </w:pPr>
            <w:r w:rsidRPr="00D639D1">
              <w:rPr>
                <w:bCs/>
              </w:rPr>
              <w:t>По возрасту, полу и географическому</w:t>
            </w:r>
            <w:r>
              <w:rPr>
                <w:bCs/>
              </w:rPr>
              <w:t xml:space="preserve"> </w:t>
            </w:r>
            <w:r w:rsidRPr="00D639D1">
              <w:rPr>
                <w:bCs/>
              </w:rPr>
              <w:t>местоположению</w:t>
            </w:r>
          </w:p>
        </w:tc>
      </w:tr>
      <w:tr w:rsidR="001066B4" w:rsidRPr="00256F80" w:rsidTr="001066B4">
        <w:tc>
          <w:tcPr>
            <w:tcW w:w="2127" w:type="dxa"/>
            <w:tcBorders>
              <w:top w:val="nil"/>
            </w:tcBorders>
            <w:shd w:val="clear" w:color="auto" w:fill="auto"/>
          </w:tcPr>
          <w:p w:rsidR="001066B4" w:rsidRPr="00D639D1" w:rsidRDefault="001066B4" w:rsidP="001066B4">
            <w:pPr>
              <w:suppressAutoHyphens w:val="0"/>
              <w:spacing w:before="40" w:after="120"/>
              <w:ind w:right="113"/>
              <w:rPr>
                <w:bCs/>
              </w:rPr>
            </w:pPr>
            <w:r w:rsidRPr="00D639D1">
              <w:rPr>
                <w:bCs/>
              </w:rPr>
              <w:t>Национальный обзор здравоохранения и общий социологический обзор</w:t>
            </w:r>
          </w:p>
        </w:tc>
        <w:tc>
          <w:tcPr>
            <w:tcW w:w="1417" w:type="dxa"/>
            <w:tcBorders>
              <w:top w:val="nil"/>
            </w:tcBorders>
            <w:shd w:val="clear" w:color="auto" w:fill="auto"/>
          </w:tcPr>
          <w:p w:rsidR="001066B4" w:rsidRPr="00D639D1" w:rsidRDefault="001066B4" w:rsidP="001066B4">
            <w:pPr>
              <w:suppressAutoHyphens w:val="0"/>
              <w:spacing w:before="40" w:after="120"/>
              <w:ind w:right="113"/>
              <w:rPr>
                <w:bCs/>
              </w:rPr>
            </w:pPr>
            <w:r w:rsidRPr="00D639D1">
              <w:rPr>
                <w:bCs/>
              </w:rPr>
              <w:t>Три года</w:t>
            </w:r>
          </w:p>
        </w:tc>
        <w:tc>
          <w:tcPr>
            <w:tcW w:w="2835" w:type="dxa"/>
            <w:tcBorders>
              <w:top w:val="nil"/>
            </w:tcBorders>
            <w:shd w:val="clear" w:color="auto" w:fill="auto"/>
          </w:tcPr>
          <w:p w:rsidR="001066B4" w:rsidRPr="00D639D1" w:rsidRDefault="001066B4" w:rsidP="001066B4">
            <w:pPr>
              <w:suppressAutoHyphens w:val="0"/>
              <w:spacing w:before="40" w:after="120"/>
              <w:ind w:right="113"/>
              <w:rPr>
                <w:bCs/>
              </w:rPr>
            </w:pPr>
            <w:r w:rsidRPr="00D639D1">
              <w:rPr>
                <w:bCs/>
              </w:rPr>
              <w:t>Включает краткий модуль по вопросам инвалидности, что позволяет изучать этот вопрос наряду с другими социально-экономическими факторами</w:t>
            </w:r>
          </w:p>
        </w:tc>
        <w:tc>
          <w:tcPr>
            <w:tcW w:w="2126" w:type="dxa"/>
            <w:tcBorders>
              <w:top w:val="nil"/>
            </w:tcBorders>
            <w:shd w:val="clear" w:color="auto" w:fill="auto"/>
          </w:tcPr>
          <w:p w:rsidR="001066B4" w:rsidRPr="00D639D1" w:rsidRDefault="001066B4" w:rsidP="001066B4">
            <w:pPr>
              <w:suppressAutoHyphens w:val="0"/>
              <w:spacing w:before="40" w:after="120"/>
              <w:ind w:right="113"/>
              <w:rPr>
                <w:bCs/>
              </w:rPr>
            </w:pPr>
            <w:r w:rsidRPr="00D639D1">
              <w:rPr>
                <w:bCs/>
              </w:rPr>
              <w:t>По возрасту, статусу КЛРС, социально-экономическому положению и удаленности (среди прочего)</w:t>
            </w:r>
          </w:p>
        </w:tc>
      </w:tr>
      <w:tr w:rsidR="001066B4" w:rsidRPr="00256F80" w:rsidTr="001066B4">
        <w:tc>
          <w:tcPr>
            <w:tcW w:w="2127" w:type="dxa"/>
            <w:tcBorders>
              <w:bottom w:val="nil"/>
            </w:tcBorders>
            <w:shd w:val="clear" w:color="auto" w:fill="auto"/>
          </w:tcPr>
          <w:p w:rsidR="001066B4" w:rsidRPr="00D639D1" w:rsidRDefault="001066B4" w:rsidP="001066B4">
            <w:pPr>
              <w:suppressAutoHyphens w:val="0"/>
              <w:spacing w:before="40" w:after="120"/>
              <w:ind w:right="113"/>
              <w:rPr>
                <w:bCs/>
              </w:rPr>
            </w:pPr>
            <w:r w:rsidRPr="00D639D1">
              <w:rPr>
                <w:bCs/>
              </w:rPr>
              <w:t>Обследование безопасности личности</w:t>
            </w:r>
          </w:p>
        </w:tc>
        <w:tc>
          <w:tcPr>
            <w:tcW w:w="1417" w:type="dxa"/>
            <w:tcBorders>
              <w:bottom w:val="nil"/>
            </w:tcBorders>
            <w:shd w:val="clear" w:color="auto" w:fill="auto"/>
          </w:tcPr>
          <w:p w:rsidR="001066B4" w:rsidRPr="00D639D1" w:rsidRDefault="001066B4" w:rsidP="001066B4">
            <w:pPr>
              <w:suppressAutoHyphens w:val="0"/>
              <w:spacing w:before="40" w:after="120"/>
              <w:ind w:right="113"/>
              <w:rPr>
                <w:bCs/>
              </w:rPr>
            </w:pPr>
            <w:r w:rsidRPr="00D639D1">
              <w:rPr>
                <w:bCs/>
              </w:rPr>
              <w:t>Четыре года</w:t>
            </w:r>
          </w:p>
        </w:tc>
        <w:tc>
          <w:tcPr>
            <w:tcW w:w="2835" w:type="dxa"/>
            <w:tcBorders>
              <w:bottom w:val="nil"/>
            </w:tcBorders>
            <w:shd w:val="clear" w:color="auto" w:fill="auto"/>
          </w:tcPr>
          <w:p w:rsidR="001066B4" w:rsidRPr="00D639D1" w:rsidRDefault="001066B4" w:rsidP="001066B4">
            <w:pPr>
              <w:suppressAutoHyphens w:val="0"/>
              <w:spacing w:before="40" w:after="120"/>
              <w:ind w:right="113"/>
              <w:rPr>
                <w:bCs/>
              </w:rPr>
            </w:pPr>
            <w:r w:rsidRPr="00D639D1">
              <w:rPr>
                <w:bCs/>
              </w:rPr>
              <w:t>Опрос лиц в возрасте 18 лет и старше, включая, об их опыте насилия с 15-летнего возраста</w:t>
            </w:r>
          </w:p>
        </w:tc>
        <w:tc>
          <w:tcPr>
            <w:tcW w:w="2126" w:type="dxa"/>
            <w:tcBorders>
              <w:bottom w:val="nil"/>
            </w:tcBorders>
            <w:shd w:val="clear" w:color="auto" w:fill="auto"/>
          </w:tcPr>
          <w:p w:rsidR="001066B4" w:rsidRPr="00D639D1" w:rsidRDefault="001066B4" w:rsidP="001066B4">
            <w:pPr>
              <w:suppressAutoHyphens w:val="0"/>
              <w:spacing w:before="40" w:after="120"/>
              <w:ind w:right="113"/>
              <w:rPr>
                <w:bCs/>
              </w:rPr>
            </w:pPr>
            <w:r w:rsidRPr="00D639D1">
              <w:rPr>
                <w:bCs/>
              </w:rPr>
              <w:t>По полу, возрасту, месторасположению, статусу КЛРС, образованию и долгосрочной/</w:t>
            </w:r>
            <w:r>
              <w:rPr>
                <w:bCs/>
              </w:rPr>
              <w:br/>
            </w:r>
            <w:r w:rsidRPr="00D639D1">
              <w:rPr>
                <w:bCs/>
              </w:rPr>
              <w:t xml:space="preserve">краткосрочной инвалидности </w:t>
            </w:r>
          </w:p>
        </w:tc>
      </w:tr>
      <w:tr w:rsidR="001066B4" w:rsidRPr="00256F80" w:rsidTr="001066B4">
        <w:tc>
          <w:tcPr>
            <w:tcW w:w="2127" w:type="dxa"/>
            <w:tcBorders>
              <w:top w:val="nil"/>
              <w:bottom w:val="nil"/>
            </w:tcBorders>
            <w:shd w:val="clear" w:color="auto" w:fill="auto"/>
          </w:tcPr>
          <w:p w:rsidR="001066B4" w:rsidRPr="00266891" w:rsidRDefault="001066B4" w:rsidP="001066B4">
            <w:pPr>
              <w:suppressAutoHyphens w:val="0"/>
              <w:spacing w:before="40" w:after="120"/>
              <w:ind w:right="113"/>
              <w:rPr>
                <w:bCs/>
              </w:rPr>
            </w:pPr>
            <w:r w:rsidRPr="00D639D1">
              <w:rPr>
                <w:bCs/>
              </w:rPr>
              <w:t>Сбор</w:t>
            </w:r>
            <w:r w:rsidRPr="00266891">
              <w:rPr>
                <w:bCs/>
              </w:rPr>
              <w:t xml:space="preserve"> </w:t>
            </w:r>
            <w:r w:rsidRPr="00D639D1">
              <w:rPr>
                <w:bCs/>
              </w:rPr>
              <w:t>согласованных</w:t>
            </w:r>
            <w:r w:rsidRPr="00266891">
              <w:rPr>
                <w:bCs/>
              </w:rPr>
              <w:t xml:space="preserve"> </w:t>
            </w:r>
            <w:r w:rsidRPr="00D639D1">
              <w:rPr>
                <w:bCs/>
              </w:rPr>
              <w:t>на</w:t>
            </w:r>
            <w:r w:rsidRPr="00266891">
              <w:rPr>
                <w:bCs/>
              </w:rPr>
              <w:t xml:space="preserve"> </w:t>
            </w:r>
            <w:r w:rsidRPr="00D639D1">
              <w:rPr>
                <w:bCs/>
              </w:rPr>
              <w:t>национальном</w:t>
            </w:r>
            <w:r w:rsidRPr="00266891">
              <w:rPr>
                <w:bCs/>
              </w:rPr>
              <w:t xml:space="preserve"> </w:t>
            </w:r>
            <w:r w:rsidRPr="00D639D1">
              <w:rPr>
                <w:bCs/>
              </w:rPr>
              <w:t>уровне</w:t>
            </w:r>
            <w:r w:rsidRPr="00266891">
              <w:rPr>
                <w:bCs/>
              </w:rPr>
              <w:t xml:space="preserve"> </w:t>
            </w:r>
            <w:r w:rsidRPr="00D639D1">
              <w:rPr>
                <w:bCs/>
              </w:rPr>
              <w:t>данных</w:t>
            </w:r>
            <w:r w:rsidRPr="00266891">
              <w:rPr>
                <w:bCs/>
              </w:rPr>
              <w:t xml:space="preserve"> </w:t>
            </w:r>
            <w:r w:rsidRPr="00D639D1">
              <w:rPr>
                <w:bCs/>
              </w:rPr>
              <w:t>об</w:t>
            </w:r>
            <w:r w:rsidRPr="00266891">
              <w:rPr>
                <w:bCs/>
              </w:rPr>
              <w:t xml:space="preserve"> </w:t>
            </w:r>
            <w:r w:rsidRPr="00D639D1">
              <w:rPr>
                <w:bCs/>
              </w:rPr>
              <w:t>учащихся</w:t>
            </w:r>
            <w:r w:rsidRPr="00266891">
              <w:rPr>
                <w:bCs/>
              </w:rPr>
              <w:t xml:space="preserve"> </w:t>
            </w:r>
            <w:r w:rsidRPr="00D639D1">
              <w:rPr>
                <w:bCs/>
              </w:rPr>
              <w:t>школ</w:t>
            </w:r>
            <w:r w:rsidRPr="00266891">
              <w:rPr>
                <w:bCs/>
              </w:rPr>
              <w:t xml:space="preserve"> </w:t>
            </w:r>
            <w:r w:rsidRPr="00D639D1">
              <w:rPr>
                <w:bCs/>
              </w:rPr>
              <w:t>из</w:t>
            </w:r>
            <w:r w:rsidRPr="00266891">
              <w:rPr>
                <w:bCs/>
              </w:rPr>
              <w:t xml:space="preserve"> </w:t>
            </w:r>
            <w:r w:rsidRPr="00D639D1">
              <w:rPr>
                <w:bCs/>
              </w:rPr>
              <w:t>числа</w:t>
            </w:r>
            <w:r w:rsidRPr="00266891">
              <w:rPr>
                <w:bCs/>
              </w:rPr>
              <w:t xml:space="preserve"> </w:t>
            </w:r>
            <w:r w:rsidRPr="00D639D1">
              <w:rPr>
                <w:bCs/>
              </w:rPr>
              <w:t>инвалидов</w:t>
            </w:r>
          </w:p>
        </w:tc>
        <w:tc>
          <w:tcPr>
            <w:tcW w:w="1417" w:type="dxa"/>
            <w:tcBorders>
              <w:top w:val="nil"/>
              <w:bottom w:val="nil"/>
            </w:tcBorders>
            <w:shd w:val="clear" w:color="auto" w:fill="auto"/>
          </w:tcPr>
          <w:p w:rsidR="001066B4" w:rsidRPr="00266891" w:rsidRDefault="001066B4" w:rsidP="001066B4">
            <w:pPr>
              <w:suppressAutoHyphens w:val="0"/>
              <w:spacing w:before="40" w:after="120"/>
              <w:ind w:right="113"/>
              <w:rPr>
                <w:bCs/>
                <w:lang w:val="en-US"/>
              </w:rPr>
            </w:pPr>
            <w:r w:rsidRPr="00D639D1">
              <w:rPr>
                <w:bCs/>
              </w:rPr>
              <w:t>Ежегодно</w:t>
            </w:r>
          </w:p>
        </w:tc>
        <w:tc>
          <w:tcPr>
            <w:tcW w:w="2835" w:type="dxa"/>
            <w:tcBorders>
              <w:top w:val="nil"/>
              <w:bottom w:val="nil"/>
            </w:tcBorders>
            <w:shd w:val="clear" w:color="auto" w:fill="auto"/>
          </w:tcPr>
          <w:p w:rsidR="001066B4" w:rsidRPr="00D639D1" w:rsidRDefault="001066B4" w:rsidP="001066B4">
            <w:pPr>
              <w:suppressAutoHyphens w:val="0"/>
              <w:spacing w:before="40" w:after="120"/>
              <w:ind w:right="113"/>
              <w:rPr>
                <w:bCs/>
              </w:rPr>
            </w:pPr>
            <w:r w:rsidRPr="00D639D1">
              <w:rPr>
                <w:bCs/>
              </w:rPr>
              <w:t>Количество учащихся-инвалидов, категория инвалидности и необходимые коррективы для обеспечения доступа к образованию наравне с другими учащимися</w:t>
            </w:r>
          </w:p>
        </w:tc>
        <w:tc>
          <w:tcPr>
            <w:tcW w:w="2126" w:type="dxa"/>
            <w:tcBorders>
              <w:top w:val="nil"/>
              <w:bottom w:val="nil"/>
            </w:tcBorders>
            <w:shd w:val="clear" w:color="auto" w:fill="auto"/>
          </w:tcPr>
          <w:p w:rsidR="001066B4" w:rsidRPr="00D639D1" w:rsidRDefault="001066B4" w:rsidP="001066B4">
            <w:pPr>
              <w:suppressAutoHyphens w:val="0"/>
              <w:spacing w:before="40" w:after="120"/>
              <w:ind w:right="113"/>
              <w:rPr>
                <w:bCs/>
              </w:rPr>
            </w:pPr>
            <w:r w:rsidRPr="00D639D1">
              <w:rPr>
                <w:bCs/>
              </w:rPr>
              <w:t>П</w:t>
            </w:r>
            <w:r>
              <w:rPr>
                <w:bCs/>
              </w:rPr>
              <w:t>о юрисдикциям, уров</w:t>
            </w:r>
            <w:r w:rsidRPr="00D639D1">
              <w:rPr>
                <w:bCs/>
              </w:rPr>
              <w:t>ню корр</w:t>
            </w:r>
            <w:r>
              <w:rPr>
                <w:bCs/>
              </w:rPr>
              <w:t>ектив, категориям инвалид</w:t>
            </w:r>
            <w:r w:rsidRPr="00D639D1">
              <w:rPr>
                <w:bCs/>
              </w:rPr>
              <w:t>ности и типам школ</w:t>
            </w:r>
          </w:p>
        </w:tc>
      </w:tr>
      <w:tr w:rsidR="001066B4" w:rsidRPr="00256F80" w:rsidTr="001066B4">
        <w:tc>
          <w:tcPr>
            <w:tcW w:w="2127" w:type="dxa"/>
            <w:tcBorders>
              <w:top w:val="nil"/>
              <w:bottom w:val="nil"/>
            </w:tcBorders>
            <w:shd w:val="clear" w:color="auto" w:fill="auto"/>
          </w:tcPr>
          <w:p w:rsidR="001066B4" w:rsidRPr="00D639D1" w:rsidRDefault="001066B4" w:rsidP="001066B4">
            <w:pPr>
              <w:suppressAutoHyphens w:val="0"/>
              <w:spacing w:before="40" w:after="120"/>
              <w:ind w:right="113"/>
              <w:rPr>
                <w:bCs/>
              </w:rPr>
            </w:pPr>
            <w:r w:rsidRPr="00D639D1">
              <w:rPr>
                <w:bCs/>
              </w:rPr>
              <w:t>Австралийская перепись населения и жилого фонда</w:t>
            </w:r>
          </w:p>
        </w:tc>
        <w:tc>
          <w:tcPr>
            <w:tcW w:w="1417" w:type="dxa"/>
            <w:tcBorders>
              <w:top w:val="nil"/>
              <w:bottom w:val="nil"/>
            </w:tcBorders>
            <w:shd w:val="clear" w:color="auto" w:fill="auto"/>
          </w:tcPr>
          <w:p w:rsidR="001066B4" w:rsidRPr="00D639D1" w:rsidRDefault="001066B4" w:rsidP="001066B4">
            <w:pPr>
              <w:suppressAutoHyphens w:val="0"/>
              <w:spacing w:before="40" w:after="120"/>
              <w:ind w:right="113"/>
              <w:rPr>
                <w:bCs/>
              </w:rPr>
            </w:pPr>
            <w:r w:rsidRPr="00D639D1">
              <w:rPr>
                <w:bCs/>
              </w:rPr>
              <w:t>Пять лет</w:t>
            </w:r>
          </w:p>
        </w:tc>
        <w:tc>
          <w:tcPr>
            <w:tcW w:w="2835" w:type="dxa"/>
            <w:tcBorders>
              <w:top w:val="nil"/>
              <w:bottom w:val="nil"/>
            </w:tcBorders>
            <w:shd w:val="clear" w:color="auto" w:fill="auto"/>
          </w:tcPr>
          <w:p w:rsidR="001066B4" w:rsidRPr="00D639D1" w:rsidRDefault="001066B4" w:rsidP="001066B4">
            <w:pPr>
              <w:suppressAutoHyphens w:val="0"/>
              <w:spacing w:before="40" w:after="120"/>
              <w:ind w:right="113"/>
              <w:rPr>
                <w:bCs/>
              </w:rPr>
            </w:pPr>
            <w:r w:rsidRPr="00D639D1">
              <w:rPr>
                <w:bCs/>
              </w:rPr>
              <w:t>Лица, нуждающиеся в помощи в рамках основной деятельности</w:t>
            </w:r>
          </w:p>
        </w:tc>
        <w:tc>
          <w:tcPr>
            <w:tcW w:w="2126" w:type="dxa"/>
            <w:tcBorders>
              <w:top w:val="nil"/>
              <w:bottom w:val="nil"/>
            </w:tcBorders>
            <w:shd w:val="clear" w:color="auto" w:fill="auto"/>
          </w:tcPr>
          <w:p w:rsidR="001066B4" w:rsidRPr="00D639D1" w:rsidRDefault="001066B4" w:rsidP="001066B4">
            <w:pPr>
              <w:suppressAutoHyphens w:val="0"/>
              <w:spacing w:before="40" w:after="120"/>
              <w:ind w:right="113"/>
              <w:rPr>
                <w:bCs/>
              </w:rPr>
            </w:pPr>
            <w:r w:rsidRPr="00D639D1">
              <w:rPr>
                <w:bCs/>
              </w:rPr>
              <w:t>По возрасту, полу, статусу КЛРС и другим демографически</w:t>
            </w:r>
            <w:r>
              <w:rPr>
                <w:bCs/>
              </w:rPr>
              <w:t xml:space="preserve"> </w:t>
            </w:r>
            <w:r w:rsidRPr="00D639D1">
              <w:rPr>
                <w:bCs/>
              </w:rPr>
              <w:t>и социально-экономическим переменным факторам</w:t>
            </w:r>
          </w:p>
        </w:tc>
      </w:tr>
      <w:tr w:rsidR="001066B4" w:rsidRPr="00256F80" w:rsidTr="001066B4">
        <w:tc>
          <w:tcPr>
            <w:tcW w:w="2127" w:type="dxa"/>
            <w:tcBorders>
              <w:top w:val="nil"/>
              <w:bottom w:val="nil"/>
            </w:tcBorders>
            <w:shd w:val="clear" w:color="auto" w:fill="auto"/>
          </w:tcPr>
          <w:p w:rsidR="001066B4" w:rsidRPr="00D639D1" w:rsidRDefault="001066B4" w:rsidP="001066B4">
            <w:pPr>
              <w:suppressAutoHyphens w:val="0"/>
              <w:spacing w:before="40" w:after="120"/>
              <w:ind w:right="113"/>
              <w:rPr>
                <w:bCs/>
              </w:rPr>
            </w:pPr>
            <w:r w:rsidRPr="00D639D1">
              <w:rPr>
                <w:bCs/>
              </w:rPr>
              <w:t>Национальный обзор состояния здоровья коренного населения и жителей островов Торресова пролива</w:t>
            </w:r>
          </w:p>
        </w:tc>
        <w:tc>
          <w:tcPr>
            <w:tcW w:w="1417" w:type="dxa"/>
            <w:tcBorders>
              <w:top w:val="nil"/>
              <w:bottom w:val="nil"/>
            </w:tcBorders>
            <w:shd w:val="clear" w:color="auto" w:fill="auto"/>
          </w:tcPr>
          <w:p w:rsidR="001066B4" w:rsidRPr="00D639D1" w:rsidRDefault="001066B4" w:rsidP="001066B4">
            <w:pPr>
              <w:suppressAutoHyphens w:val="0"/>
              <w:spacing w:before="40" w:after="120"/>
              <w:ind w:right="113"/>
              <w:rPr>
                <w:bCs/>
              </w:rPr>
            </w:pPr>
            <w:r w:rsidRPr="00D639D1">
              <w:rPr>
                <w:bCs/>
              </w:rPr>
              <w:t>2018/19 год ведется работа по подготовке</w:t>
            </w:r>
            <w:r>
              <w:rPr>
                <w:bCs/>
              </w:rPr>
              <w:t xml:space="preserve"> </w:t>
            </w:r>
            <w:r w:rsidRPr="00D639D1">
              <w:rPr>
                <w:bCs/>
              </w:rPr>
              <w:t>повторного обзора</w:t>
            </w:r>
          </w:p>
        </w:tc>
        <w:tc>
          <w:tcPr>
            <w:tcW w:w="2835" w:type="dxa"/>
            <w:tcBorders>
              <w:top w:val="nil"/>
              <w:bottom w:val="nil"/>
            </w:tcBorders>
            <w:shd w:val="clear" w:color="auto" w:fill="auto"/>
          </w:tcPr>
          <w:p w:rsidR="001066B4" w:rsidRPr="00D639D1" w:rsidRDefault="001066B4" w:rsidP="001066B4">
            <w:pPr>
              <w:suppressAutoHyphens w:val="0"/>
              <w:spacing w:before="40" w:after="120"/>
              <w:ind w:right="113"/>
              <w:rPr>
                <w:bCs/>
              </w:rPr>
            </w:pPr>
            <w:r w:rsidRPr="00D639D1">
              <w:rPr>
                <w:bCs/>
              </w:rPr>
              <w:t>Общее и долгосрочное состояние здоровья коренных жителей</w:t>
            </w:r>
          </w:p>
        </w:tc>
        <w:tc>
          <w:tcPr>
            <w:tcW w:w="2126" w:type="dxa"/>
            <w:tcBorders>
              <w:top w:val="nil"/>
              <w:bottom w:val="nil"/>
            </w:tcBorders>
            <w:shd w:val="clear" w:color="auto" w:fill="auto"/>
          </w:tcPr>
          <w:p w:rsidR="001066B4" w:rsidRPr="00D639D1" w:rsidRDefault="001066B4" w:rsidP="001066B4">
            <w:pPr>
              <w:suppressAutoHyphens w:val="0"/>
              <w:spacing w:before="40" w:after="120"/>
              <w:ind w:right="113"/>
              <w:rPr>
                <w:bCs/>
              </w:rPr>
            </w:pPr>
            <w:r w:rsidRPr="00D639D1">
              <w:rPr>
                <w:bCs/>
              </w:rPr>
              <w:t>По возрасту, полу, социально-экономическим переменным показателям и удаленности</w:t>
            </w:r>
          </w:p>
        </w:tc>
      </w:tr>
      <w:tr w:rsidR="001066B4" w:rsidRPr="00256F80" w:rsidTr="001066B4">
        <w:tc>
          <w:tcPr>
            <w:tcW w:w="2127" w:type="dxa"/>
            <w:tcBorders>
              <w:top w:val="nil"/>
              <w:bottom w:val="nil"/>
            </w:tcBorders>
            <w:shd w:val="clear" w:color="auto" w:fill="auto"/>
          </w:tcPr>
          <w:p w:rsidR="001066B4" w:rsidRPr="00D639D1" w:rsidRDefault="001066B4" w:rsidP="001066B4">
            <w:pPr>
              <w:suppressAutoHyphens w:val="0"/>
              <w:spacing w:before="40" w:after="120"/>
              <w:ind w:right="113"/>
              <w:rPr>
                <w:bCs/>
              </w:rPr>
            </w:pPr>
            <w:r w:rsidRPr="00D639D1">
              <w:rPr>
                <w:bCs/>
              </w:rPr>
              <w:lastRenderedPageBreak/>
              <w:t>Национальный социологический обзор коренного населения и жителей островов Торресова пролива</w:t>
            </w:r>
          </w:p>
        </w:tc>
        <w:tc>
          <w:tcPr>
            <w:tcW w:w="1417" w:type="dxa"/>
            <w:tcBorders>
              <w:top w:val="nil"/>
              <w:bottom w:val="nil"/>
            </w:tcBorders>
            <w:shd w:val="clear" w:color="auto" w:fill="auto"/>
          </w:tcPr>
          <w:p w:rsidR="001066B4" w:rsidRPr="00D639D1" w:rsidRDefault="001066B4" w:rsidP="001066B4">
            <w:pPr>
              <w:suppressAutoHyphens w:val="0"/>
              <w:spacing w:before="40" w:after="120"/>
              <w:ind w:right="113"/>
              <w:rPr>
                <w:bCs/>
              </w:rPr>
            </w:pPr>
            <w:r w:rsidRPr="00D639D1">
              <w:rPr>
                <w:bCs/>
              </w:rPr>
              <w:t>Шесть лет</w:t>
            </w:r>
          </w:p>
        </w:tc>
        <w:tc>
          <w:tcPr>
            <w:tcW w:w="2835" w:type="dxa"/>
            <w:tcBorders>
              <w:top w:val="nil"/>
              <w:bottom w:val="nil"/>
            </w:tcBorders>
            <w:shd w:val="clear" w:color="auto" w:fill="auto"/>
          </w:tcPr>
          <w:p w:rsidR="001066B4" w:rsidRPr="00D639D1" w:rsidRDefault="001066B4" w:rsidP="001066B4">
            <w:pPr>
              <w:suppressAutoHyphens w:val="0"/>
              <w:spacing w:before="40" w:after="120"/>
              <w:ind w:right="113"/>
              <w:rPr>
                <w:bCs/>
              </w:rPr>
            </w:pPr>
            <w:r w:rsidRPr="00D639D1">
              <w:rPr>
                <w:bCs/>
              </w:rPr>
              <w:t>Включает краткий модуль по вопросам инвалидности, позволяющий исследовать эту проблему наряду с другими социально-экономическими факторами</w:t>
            </w:r>
          </w:p>
        </w:tc>
        <w:tc>
          <w:tcPr>
            <w:tcW w:w="2126" w:type="dxa"/>
            <w:tcBorders>
              <w:top w:val="nil"/>
              <w:bottom w:val="nil"/>
            </w:tcBorders>
            <w:shd w:val="clear" w:color="auto" w:fill="auto"/>
          </w:tcPr>
          <w:p w:rsidR="001066B4" w:rsidRPr="00D639D1" w:rsidRDefault="001066B4" w:rsidP="001066B4">
            <w:pPr>
              <w:suppressAutoHyphens w:val="0"/>
              <w:spacing w:before="40" w:after="120"/>
              <w:ind w:right="113"/>
              <w:rPr>
                <w:bCs/>
              </w:rPr>
            </w:pPr>
            <w:r w:rsidRPr="00D639D1">
              <w:rPr>
                <w:bCs/>
              </w:rPr>
              <w:t>По возрасту, полу, социально-экономическим переменным показателям и удаленности</w:t>
            </w:r>
          </w:p>
        </w:tc>
      </w:tr>
      <w:tr w:rsidR="001066B4" w:rsidRPr="00256F80" w:rsidTr="001066B4">
        <w:tc>
          <w:tcPr>
            <w:tcW w:w="2127" w:type="dxa"/>
            <w:tcBorders>
              <w:top w:val="nil"/>
            </w:tcBorders>
            <w:shd w:val="clear" w:color="auto" w:fill="auto"/>
          </w:tcPr>
          <w:p w:rsidR="001066B4" w:rsidRPr="00D639D1" w:rsidRDefault="001066B4" w:rsidP="001066B4">
            <w:pPr>
              <w:suppressAutoHyphens w:val="0"/>
              <w:spacing w:before="40" w:after="120"/>
              <w:ind w:right="113"/>
              <w:rPr>
                <w:bCs/>
              </w:rPr>
            </w:pPr>
            <w:r w:rsidRPr="00D639D1">
              <w:rPr>
                <w:bCs/>
              </w:rPr>
              <w:t>Доклад о государственных услугах</w:t>
            </w:r>
          </w:p>
        </w:tc>
        <w:tc>
          <w:tcPr>
            <w:tcW w:w="1417" w:type="dxa"/>
            <w:tcBorders>
              <w:top w:val="nil"/>
            </w:tcBorders>
            <w:shd w:val="clear" w:color="auto" w:fill="auto"/>
          </w:tcPr>
          <w:p w:rsidR="001066B4" w:rsidRPr="00D639D1" w:rsidRDefault="001066B4" w:rsidP="001066B4">
            <w:pPr>
              <w:suppressAutoHyphens w:val="0"/>
              <w:spacing w:before="40" w:after="120"/>
              <w:ind w:right="113"/>
              <w:rPr>
                <w:bCs/>
              </w:rPr>
            </w:pPr>
            <w:r w:rsidRPr="00D639D1">
              <w:rPr>
                <w:bCs/>
              </w:rPr>
              <w:t>Ежегодно</w:t>
            </w:r>
          </w:p>
        </w:tc>
        <w:tc>
          <w:tcPr>
            <w:tcW w:w="2835" w:type="dxa"/>
            <w:tcBorders>
              <w:top w:val="nil"/>
            </w:tcBorders>
            <w:shd w:val="clear" w:color="auto" w:fill="auto"/>
          </w:tcPr>
          <w:p w:rsidR="001066B4" w:rsidRPr="00D639D1" w:rsidRDefault="001066B4" w:rsidP="001066B4">
            <w:pPr>
              <w:suppressAutoHyphens w:val="0"/>
              <w:spacing w:before="40" w:after="120"/>
              <w:ind w:right="113"/>
              <w:rPr>
                <w:bCs/>
              </w:rPr>
            </w:pPr>
            <w:r w:rsidRPr="00D639D1">
              <w:rPr>
                <w:bCs/>
              </w:rPr>
              <w:t>Беспристрастность, эффективность и действенность государственных услуг в Австралии, включая услуги инвалидам</w:t>
            </w:r>
          </w:p>
        </w:tc>
        <w:tc>
          <w:tcPr>
            <w:tcW w:w="2126" w:type="dxa"/>
            <w:tcBorders>
              <w:top w:val="nil"/>
            </w:tcBorders>
            <w:shd w:val="clear" w:color="auto" w:fill="auto"/>
          </w:tcPr>
          <w:p w:rsidR="001066B4" w:rsidRPr="00D639D1" w:rsidRDefault="001066B4" w:rsidP="001066B4">
            <w:pPr>
              <w:suppressAutoHyphens w:val="0"/>
              <w:spacing w:before="40" w:after="120"/>
              <w:ind w:right="113"/>
              <w:rPr>
                <w:bCs/>
              </w:rPr>
            </w:pPr>
            <w:r w:rsidRPr="00D639D1">
              <w:rPr>
                <w:bCs/>
              </w:rPr>
              <w:t>По возрасту, полу, географическому расположению, удаленности, КЛРС и принадлежности к коренному населению</w:t>
            </w:r>
          </w:p>
        </w:tc>
      </w:tr>
    </w:tbl>
    <w:p w:rsidR="006C77FE" w:rsidRPr="006C77FE" w:rsidRDefault="006C77FE" w:rsidP="001066B4">
      <w:pPr>
        <w:pStyle w:val="SingleTxtGR"/>
        <w:spacing w:before="120"/>
      </w:pPr>
      <w:r w:rsidRPr="006C77FE">
        <w:t>334.</w:t>
      </w:r>
      <w:r w:rsidRPr="006C77FE">
        <w:tab/>
        <w:t>В соответствии с Национальным соглашением о поддержке инвалидов (НСИ) правительства Австралии, штатов и территорий финансируют многочисленные исследования и проекты сбора данных по проблематике инвалидности. Национальный минимальный набор данных об обслуживании инвалидов составляется по итогам ежегодного общенационального сбора стандартного пакета информации о работе служб поддержки инвалидов в соответствии с НСИ. При этом получающие финансирование агентства осуществляют сбор данных у потребителей услуг и затем направляют их юрисдикциям, которые, в свою очередь, передают эти данные для общенационального обобщения и подготовки докладов.</w:t>
      </w:r>
    </w:p>
    <w:p w:rsidR="006C77FE" w:rsidRPr="006C77FE" w:rsidRDefault="006C77FE" w:rsidP="006C77FE">
      <w:pPr>
        <w:pStyle w:val="SingleTxtGR"/>
      </w:pPr>
      <w:r w:rsidRPr="006C77FE">
        <w:t>335.</w:t>
      </w:r>
      <w:r w:rsidRPr="006C77FE">
        <w:tab/>
        <w:t>Австралийская национальная организация по изучению вопросов безопасности женщин (НОБЖ) финансируется по линии правительства Австралии, а также правительств штатов и территорий. При этом ее цель состоит в финансировании актуальных и поддающихся реализации научно-исследовательских разработок, служащих основой для выработки политики и практики и способствующих снижению уровней насилия в отношении женщин и их детей. В контексте текущих проектов по изучению проблем инвалидности рассматриваются вопросы матерей и детей-инвалидов, которые пользуются услугами по раннему вмешательству, а также вопросы доступности правосудия для женщин-инвалидов, являющихся жертвами насилия.</w:t>
      </w:r>
    </w:p>
    <w:p w:rsidR="006C77FE" w:rsidRPr="006C77FE" w:rsidRDefault="006C77FE" w:rsidP="006C77FE">
      <w:pPr>
        <w:pStyle w:val="SingleTxtGR"/>
      </w:pPr>
      <w:r w:rsidRPr="006C77FE">
        <w:t>336.</w:t>
      </w:r>
      <w:r w:rsidRPr="006C77FE">
        <w:tab/>
        <w:t xml:space="preserve">Комиссия по вопросам продуктивности учредила рабочую группу по подготовке доклада о государственных слугах по поддержке инвалидов и уходу за престарелыми в целях обеспечения последовательной доработки разделов, посвященных услугам по уходу за инвалидами и престарелыми, на основе повышения качества и расширения рамок сбора данных и определений, а также изучения и разрешения проблем сопоставимости показателей эффективности работы. </w:t>
      </w:r>
    </w:p>
    <w:p w:rsidR="006C77FE" w:rsidRPr="006C77FE" w:rsidRDefault="006C77FE" w:rsidP="006C77FE">
      <w:pPr>
        <w:pStyle w:val="SingleTxtGR"/>
      </w:pPr>
      <w:r w:rsidRPr="006C77FE">
        <w:t>337.</w:t>
      </w:r>
      <w:r w:rsidRPr="006C77FE">
        <w:tab/>
        <w:t xml:space="preserve">Правительство Австралии также финансировало проект сотрудничества в области интеграции данных (СИД) в интересах максимального использования имеющихся данных. Создаваемые в рамках СИД комплексы данных объединяют ранее разрозненные наборы данных и позволяют расширить имеющуюся информацию, в том числе сведения об инвалидах. Такая информация используется как основа для разработки эффективной политики, программ и услуг. </w:t>
      </w:r>
    </w:p>
    <w:p w:rsidR="006C77FE" w:rsidRPr="006C77FE" w:rsidRDefault="006C77FE" w:rsidP="001066B4">
      <w:pPr>
        <w:pStyle w:val="H1G"/>
      </w:pPr>
      <w:r w:rsidRPr="006C77FE">
        <w:tab/>
      </w:r>
      <w:r w:rsidRPr="006C77FE">
        <w:tab/>
        <w:t>Международное сотрудничество (статья 32)</w:t>
      </w:r>
    </w:p>
    <w:p w:rsidR="006C77FE" w:rsidRPr="006C77FE" w:rsidRDefault="006C77FE" w:rsidP="001066B4">
      <w:pPr>
        <w:pStyle w:val="H23G"/>
      </w:pPr>
      <w:bookmarkStart w:id="15" w:name="OLE_LINK21"/>
      <w:r w:rsidRPr="006C77FE">
        <w:tab/>
      </w:r>
      <w:r w:rsidRPr="006C77FE">
        <w:tab/>
        <w:t>Вопрос 34</w:t>
      </w:r>
    </w:p>
    <w:p w:rsidR="006C77FE" w:rsidRPr="006C77FE" w:rsidRDefault="006C77FE" w:rsidP="006C77FE">
      <w:pPr>
        <w:pStyle w:val="SingleTxtGR"/>
      </w:pPr>
      <w:r w:rsidRPr="006C77FE">
        <w:t>338.</w:t>
      </w:r>
      <w:r w:rsidRPr="006C77FE">
        <w:tab/>
        <w:t>Австралия привержена делу поощрения и защиты прав человека во всем мире. В документе «Развитие для всех на 2015–2020 годы: Стратегия активизации развития с участием инвалидов в рамках австралийской программы помощи» («Стратегия развития для всех») зафиксировано стремление Австралии играть ведущую роль в контексте международных усилий в области р</w:t>
      </w:r>
      <w:r w:rsidR="001066B4">
        <w:t>азвития с участием инвалидов. В </w:t>
      </w:r>
      <w:r w:rsidRPr="006C77FE">
        <w:t xml:space="preserve">«Стратегии развития для всех» подробно описывается принятый в Австралии </w:t>
      </w:r>
      <w:r w:rsidRPr="006C77FE">
        <w:lastRenderedPageBreak/>
        <w:t xml:space="preserve">двуединый правозащитный подход к осуществлению развития с учетом потребностей инвалидов посредством централизованных и целенаправленных усилий. </w:t>
      </w:r>
    </w:p>
    <w:p w:rsidR="006C77FE" w:rsidRPr="006C77FE" w:rsidRDefault="006C77FE" w:rsidP="006C77FE">
      <w:pPr>
        <w:pStyle w:val="SingleTxtGR"/>
      </w:pPr>
      <w:r w:rsidRPr="006C77FE">
        <w:t>339.</w:t>
      </w:r>
      <w:r w:rsidRPr="006C77FE">
        <w:tab/>
        <w:t>Австралийское управление по эффективности развития (УЭР) в настоящее время проводит независимый обзор осуществления «</w:t>
      </w:r>
      <w:r w:rsidR="001066B4">
        <w:t>Стратегии развития для всех». В </w:t>
      </w:r>
      <w:r w:rsidRPr="006C77FE">
        <w:t xml:space="preserve">декабре 2017 года были опубликованы выводы этого обзора относительно эффективности деятельности Австралии по поддержке развития с учетом потребностей инвалидов, и на основании приведенных убедительных доказательств в целом она была признана эффективной. В частности, повысился и продолжает нарастать потенциал организаций инвалидов (ОИ), а поддержка со стороны Австралии позволила укрепить потенциал других выступающих за права инвалидов сторон, сформировать партнерские коалиции и подключить к этой работе других двусторонних доноров. </w:t>
      </w:r>
    </w:p>
    <w:p w:rsidR="006C77FE" w:rsidRPr="006C77FE" w:rsidRDefault="006C77FE" w:rsidP="006C77FE">
      <w:pPr>
        <w:pStyle w:val="SingleTxtGR"/>
      </w:pPr>
      <w:r w:rsidRPr="006C77FE">
        <w:t>340.</w:t>
      </w:r>
      <w:r w:rsidRPr="006C77FE">
        <w:tab/>
        <w:t>В обзоре особо отмечается, что такие краткосрочные мероприятия позволили достичь важных промежуточных результатов, включая повышение роли инвалидов и представляющих их организаций. Деятельность Австралии в поддержку развития в условиях интеграции инвалидов также помогла изменить политику системы Организации Объединенных Наций, учреждений системы ООН и других организаций.</w:t>
      </w:r>
    </w:p>
    <w:p w:rsidR="006C77FE" w:rsidRPr="006C77FE" w:rsidRDefault="006C77FE" w:rsidP="006C77FE">
      <w:pPr>
        <w:pStyle w:val="SingleTxtGR"/>
      </w:pPr>
      <w:r w:rsidRPr="006C77FE">
        <w:t>341.</w:t>
      </w:r>
      <w:r w:rsidRPr="006C77FE">
        <w:tab/>
        <w:t>В рамках этого обзора УЭР производит оценку степени учета потребностей инвалидов при разработке программ помощи в интересах определения достигнутого прогресса и необходимых шагов для дальнейшей активизации интеграции инвалидов. Доклад об оценке будет опубликован во второй половине 2018</w:t>
      </w:r>
      <w:r w:rsidRPr="006C77FE">
        <w:rPr>
          <w:lang w:val="en-US"/>
        </w:rPr>
        <w:t> </w:t>
      </w:r>
      <w:r w:rsidRPr="006C77FE">
        <w:t>года.</w:t>
      </w:r>
    </w:p>
    <w:p w:rsidR="006C77FE" w:rsidRPr="006C77FE" w:rsidRDefault="006C77FE" w:rsidP="006C77FE">
      <w:pPr>
        <w:pStyle w:val="SingleTxtGR"/>
      </w:pPr>
      <w:r w:rsidRPr="006C77FE">
        <w:t>342.</w:t>
      </w:r>
      <w:r w:rsidRPr="006C77FE">
        <w:tab/>
        <w:t>Права инвалидов являются главной темой австралийского председательства в Совете по правам человека Организации Объединенных Наций (СПЧ). Австралия также имеет своего представителя в Комитете ООН по правам инвалидов, который дополняет роль СПЧ Австралии и демонстрирует нашу приверженность делу защиты и укрепления гражданского общества.</w:t>
      </w:r>
    </w:p>
    <w:p w:rsidR="006C77FE" w:rsidRPr="006C77FE" w:rsidRDefault="006C77FE" w:rsidP="006C77FE">
      <w:pPr>
        <w:pStyle w:val="SingleTxtGR"/>
      </w:pPr>
      <w:r w:rsidRPr="006C77FE">
        <w:t>343.</w:t>
      </w:r>
      <w:r w:rsidRPr="006C77FE">
        <w:tab/>
        <w:t>Международная деятельность Австралии в поддержку интеграции инвалидов находит свое конкретное выражение в нашей роли сопредседателя Глобальной сети действий в поддержку инвалидов (ГСДПИ). Сеть ГСДПИ опирается на коллективное мнение, роль и ресурсы двусторонних и многосторонних доноров, частного сектора и фондов в целях обеспечения участия инвалидов в международном развитии и гуманитарной деятельности, которые бы способствовали удовлетворению их потребностей. Сеть ГСДПИ имеет три основных направления работы: инклюзивное образование инвалидов, социальная защита и гуманитарные действия. Со времени вступления Австралии на пост сопредседателя в 2015 году ее работа во многом способствовала формулированию стратегического направления деятельности и росту ГСДПИ.</w:t>
      </w:r>
    </w:p>
    <w:p w:rsidR="006C77FE" w:rsidRPr="006C77FE" w:rsidRDefault="006C77FE" w:rsidP="006C77FE">
      <w:pPr>
        <w:pStyle w:val="SingleTxtGR"/>
      </w:pPr>
      <w:r w:rsidRPr="006C77FE">
        <w:t>344.</w:t>
      </w:r>
      <w:r w:rsidRPr="006C77FE">
        <w:tab/>
        <w:t>В соответствии с руководящими принципами «Стратегии развития для всех», а также с закрепленным в повестке дня на период до 2030 года принципом, в соответствии с которым никто не будет забыт, правительство Австралии принимает меры по формированию доказательной базы и мониторингу предоставляемых инвалидам услуг. Австралия поддерживает широкий круг усилий по наращиванию потенциала в области сбора данных по проблемам инвалидности, включая краткий перечень вопросов Вашингтонской группы и модуль о жизнедеятельности детей ЮНИСЕФ/Вашингтонской группы в целях разбивки данных по формам инвалидности в целях мониторинга хода осуществления ЦУР. Австралия продолжает оказывать поддержку Вашингтонской группе в распространении таких инструментов сбора данных и предоставлять техническую помощь.</w:t>
      </w:r>
    </w:p>
    <w:bookmarkEnd w:id="15"/>
    <w:p w:rsidR="006C77FE" w:rsidRPr="006C77FE" w:rsidRDefault="006C77FE" w:rsidP="001066B4">
      <w:pPr>
        <w:pStyle w:val="H1G"/>
      </w:pPr>
      <w:r w:rsidRPr="006C77FE">
        <w:tab/>
      </w:r>
      <w:r w:rsidRPr="006C77FE">
        <w:tab/>
        <w:t>Национальное осуществление и мониторинг (статья 33)</w:t>
      </w:r>
    </w:p>
    <w:p w:rsidR="006C77FE" w:rsidRPr="006C77FE" w:rsidRDefault="006C77FE" w:rsidP="001066B4">
      <w:pPr>
        <w:pStyle w:val="H23G"/>
      </w:pPr>
      <w:r w:rsidRPr="006C77FE">
        <w:tab/>
      </w:r>
      <w:r w:rsidRPr="006C77FE">
        <w:tab/>
        <w:t>Вопрос 35</w:t>
      </w:r>
    </w:p>
    <w:p w:rsidR="006C77FE" w:rsidRPr="006C77FE" w:rsidRDefault="006C77FE" w:rsidP="006C77FE">
      <w:pPr>
        <w:pStyle w:val="SingleTxtGR"/>
      </w:pPr>
      <w:r w:rsidRPr="006C77FE">
        <w:t>345.</w:t>
      </w:r>
      <w:r w:rsidRPr="006C77FE">
        <w:tab/>
        <w:t>АКПЧ является австралийским национальным правозащитным учреждением со «статусом-</w:t>
      </w:r>
      <w:r w:rsidRPr="006C77FE">
        <w:rPr>
          <w:lang w:val="en-US"/>
        </w:rPr>
        <w:t>A</w:t>
      </w:r>
      <w:r w:rsidRPr="006C77FE">
        <w:t xml:space="preserve">». Это независимый и созданный в соответствии с законодательством орган, функции которого включают просветительскую и разъяснительную работу, </w:t>
      </w:r>
      <w:r w:rsidRPr="006C77FE">
        <w:lastRenderedPageBreak/>
        <w:t>рассмотрение жалоб на незаконную дискриминацию и нарушения прав человека и примирение сторон, проведение национальных обзоров и подготовку докладов по вызывающим обеспокоенность вопросам прав человека, консультирование, представление парламентам и правительствам материалов, а также осуществление и координацию исследований по проблемам прав человека и дискриминации.</w:t>
      </w:r>
    </w:p>
    <w:p w:rsidR="006C77FE" w:rsidRPr="006C77FE" w:rsidRDefault="006C77FE" w:rsidP="006C77FE">
      <w:pPr>
        <w:pStyle w:val="SingleTxtGR"/>
      </w:pPr>
      <w:r w:rsidRPr="006C77FE">
        <w:t>346.</w:t>
      </w:r>
      <w:r w:rsidRPr="006C77FE">
        <w:tab/>
        <w:t>АКПЧ играет активную роль в поощрении, защите и мониторинге осуществления Конвенции. Для целей Закона об АКПЧ Конвенция объявлена международным инструментом, касающимся прав и свобод человека. Соответственно АКПЧ может осуществлять свои функции в отношении закрепл</w:t>
      </w:r>
      <w:r w:rsidR="001066B4">
        <w:t>енных в Конвенции прав в целях:</w:t>
      </w:r>
    </w:p>
    <w:p w:rsidR="006C77FE" w:rsidRPr="006C77FE" w:rsidRDefault="006C77FE" w:rsidP="006C77FE">
      <w:pPr>
        <w:pStyle w:val="SingleTxtGR"/>
      </w:pPr>
      <w:r w:rsidRPr="006C77FE">
        <w:tab/>
        <w:t xml:space="preserve">а) </w:t>
      </w:r>
      <w:r w:rsidRPr="006C77FE">
        <w:tab/>
        <w:t xml:space="preserve">содействия пониманию, восприятию и общественному обсуждению Конвенции в Австралии; </w:t>
      </w:r>
    </w:p>
    <w:p w:rsidR="006C77FE" w:rsidRPr="006C77FE" w:rsidRDefault="006C77FE" w:rsidP="006C77FE">
      <w:pPr>
        <w:pStyle w:val="SingleTxtGR"/>
      </w:pPr>
      <w:r w:rsidRPr="006C77FE">
        <w:tab/>
      </w:r>
      <w:r w:rsidRPr="006C77FE">
        <w:rPr>
          <w:lang w:val="en-US"/>
        </w:rPr>
        <w:t>b</w:t>
      </w:r>
      <w:r w:rsidRPr="006C77FE">
        <w:t xml:space="preserve">) </w:t>
      </w:r>
      <w:r w:rsidRPr="006C77FE">
        <w:tab/>
        <w:t xml:space="preserve">проведения исследований и просветительских программ в интересах пропаганды Конвенции; </w:t>
      </w:r>
    </w:p>
    <w:p w:rsidR="006C77FE" w:rsidRPr="006C77FE" w:rsidRDefault="006C77FE" w:rsidP="006C77FE">
      <w:pPr>
        <w:pStyle w:val="SingleTxtGR"/>
      </w:pPr>
      <w:r w:rsidRPr="006C77FE">
        <w:tab/>
        <w:t xml:space="preserve">с) </w:t>
      </w:r>
      <w:r w:rsidRPr="006C77FE">
        <w:tab/>
        <w:t xml:space="preserve">представления Генеральному прокурору докладов о законах, которые следует принять, или о принятых мерах по касающимся Конвенции вопросам; </w:t>
      </w:r>
    </w:p>
    <w:p w:rsidR="006C77FE" w:rsidRPr="006C77FE" w:rsidRDefault="006C77FE" w:rsidP="006C77FE">
      <w:pPr>
        <w:pStyle w:val="SingleTxtGR"/>
      </w:pPr>
      <w:r w:rsidRPr="006C77FE">
        <w:tab/>
      </w:r>
      <w:r w:rsidRPr="006C77FE">
        <w:rPr>
          <w:lang w:val="en-US"/>
        </w:rPr>
        <w:t>d</w:t>
      </w:r>
      <w:r w:rsidRPr="006C77FE">
        <w:t xml:space="preserve">) </w:t>
      </w:r>
      <w:r w:rsidRPr="006C77FE">
        <w:tab/>
        <w:t xml:space="preserve">участия в судебных разбирательствах, связанных с касающимися Конвенции вопросов; </w:t>
      </w:r>
    </w:p>
    <w:p w:rsidR="006C77FE" w:rsidRPr="006C77FE" w:rsidRDefault="006C77FE" w:rsidP="006C77FE">
      <w:pPr>
        <w:pStyle w:val="SingleTxtGR"/>
      </w:pPr>
      <w:r w:rsidRPr="006C77FE">
        <w:tab/>
      </w:r>
      <w:r w:rsidRPr="006C77FE">
        <w:rPr>
          <w:lang w:val="en-US"/>
        </w:rPr>
        <w:t>e</w:t>
      </w:r>
      <w:r w:rsidRPr="006C77FE">
        <w:t>)</w:t>
      </w:r>
      <w:r w:rsidRPr="006C77FE">
        <w:tab/>
        <w:t xml:space="preserve">проведения расследований по жалобам на незаконную дискриминацию по признаку инвалидности и содействия примирению сторон в соответствии с ЗДИ; и </w:t>
      </w:r>
    </w:p>
    <w:p w:rsidR="006C77FE" w:rsidRPr="006C77FE" w:rsidRDefault="006C77FE" w:rsidP="006C77FE">
      <w:pPr>
        <w:pStyle w:val="SingleTxtGR"/>
      </w:pPr>
      <w:r w:rsidRPr="006C77FE">
        <w:tab/>
      </w:r>
      <w:r w:rsidRPr="006C77FE">
        <w:rPr>
          <w:lang w:val="en-US"/>
        </w:rPr>
        <w:t>f</w:t>
      </w:r>
      <w:r w:rsidRPr="006C77FE">
        <w:t>)</w:t>
      </w:r>
      <w:r w:rsidRPr="006C77FE">
        <w:tab/>
        <w:t>расследования жалоб на действия или практику в Австралийском союзе, которые могут быть несовместимы с признанными в Конвенции правами человека или могут противоречить им, а также в интересах содействия примирению сторон.</w:t>
      </w:r>
    </w:p>
    <w:p w:rsidR="006C77FE" w:rsidRPr="006C77FE" w:rsidRDefault="006C77FE" w:rsidP="006C77FE">
      <w:pPr>
        <w:pStyle w:val="SingleTxtGR"/>
      </w:pPr>
      <w:r w:rsidRPr="006C77FE">
        <w:t>347.</w:t>
      </w:r>
      <w:r w:rsidRPr="006C77FE">
        <w:tab/>
        <w:t xml:space="preserve">Специально назначенный в Австралии Уполномоченный по вопросам дискриминации по признаку инвалидности возглавляет работу АКПЧ в области прав инвалидов, в том числе путем содействия пониманию, восприятию и выполнению ЗДИ, взаимодействия с заинтересованными сторонами в рамках борьбы с дискриминацией по признаку инвалидности на рабочем месте и в общине, устранения препятствий для равенства и участия, возникающих в результате дискриминации по признаку инвалидности, а также посредством осуществления исследовательских и просветительских проектов в целях борьбы со взглядами и стереотипами, способствующими дискриминации по признаку инвалидности. </w:t>
      </w:r>
    </w:p>
    <w:p w:rsidR="006C77FE" w:rsidRPr="006C77FE" w:rsidRDefault="006C77FE" w:rsidP="006C77FE">
      <w:pPr>
        <w:pStyle w:val="SingleTxtGR"/>
      </w:pPr>
      <w:r w:rsidRPr="006C77FE">
        <w:t>348.</w:t>
      </w:r>
      <w:r w:rsidRPr="006C77FE">
        <w:tab/>
        <w:t>24 января 2017 года АКПЧ была вновь аккредитована в качестве национального правозащитного учреждения со «статусом-А» Подкомитетом по вопросам аккредитации Глобального альянса национальных правозащитных учреждений в соответствии с Парижскими принципами. Правительство Австралии привержено соблюдению Парижских принципов и при этом уважает и высоко ценит независимость АКПЧ, которая защищена законодательством Австралийского Союза.</w:t>
      </w:r>
    </w:p>
    <w:p w:rsidR="00AC4452" w:rsidRPr="006C77FE" w:rsidRDefault="006C77FE" w:rsidP="006C77FE">
      <w:pPr>
        <w:pStyle w:val="SingleTxtGR"/>
        <w:spacing w:before="240" w:after="0"/>
        <w:jc w:val="center"/>
        <w:rPr>
          <w:u w:val="single"/>
        </w:rPr>
      </w:pPr>
      <w:r>
        <w:rPr>
          <w:u w:val="single"/>
        </w:rPr>
        <w:tab/>
      </w:r>
      <w:r>
        <w:rPr>
          <w:u w:val="single"/>
        </w:rPr>
        <w:tab/>
      </w:r>
      <w:r>
        <w:rPr>
          <w:u w:val="single"/>
        </w:rPr>
        <w:tab/>
      </w:r>
    </w:p>
    <w:sectPr w:rsidR="00AC4452" w:rsidRPr="006C77FE" w:rsidSect="00AC4452">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7FE" w:rsidRPr="00A312BC" w:rsidRDefault="006C77FE" w:rsidP="00A312BC"/>
  </w:endnote>
  <w:endnote w:type="continuationSeparator" w:id="0">
    <w:p w:rsidR="006C77FE" w:rsidRPr="00A312BC" w:rsidRDefault="006C77F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7FE" w:rsidRPr="00AC4452" w:rsidRDefault="006C77FE">
    <w:pPr>
      <w:pStyle w:val="a9"/>
    </w:pPr>
    <w:r w:rsidRPr="00AC4452">
      <w:rPr>
        <w:b/>
        <w:sz w:val="18"/>
      </w:rPr>
      <w:fldChar w:fldCharType="begin"/>
    </w:r>
    <w:r w:rsidRPr="00AC4452">
      <w:rPr>
        <w:b/>
        <w:sz w:val="18"/>
      </w:rPr>
      <w:instrText xml:space="preserve"> PAGE  \* MERGEFORMAT </w:instrText>
    </w:r>
    <w:r w:rsidRPr="00AC4452">
      <w:rPr>
        <w:b/>
        <w:sz w:val="18"/>
      </w:rPr>
      <w:fldChar w:fldCharType="separate"/>
    </w:r>
    <w:r w:rsidR="00D574B3">
      <w:rPr>
        <w:b/>
        <w:noProof/>
        <w:sz w:val="18"/>
      </w:rPr>
      <w:t>20</w:t>
    </w:r>
    <w:r w:rsidRPr="00AC4452">
      <w:rPr>
        <w:b/>
        <w:sz w:val="18"/>
      </w:rPr>
      <w:fldChar w:fldCharType="end"/>
    </w:r>
    <w:r>
      <w:rPr>
        <w:b/>
        <w:sz w:val="18"/>
      </w:rPr>
      <w:tab/>
    </w:r>
    <w:r>
      <w:t>GE.19-01735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7FE" w:rsidRPr="00AC4452" w:rsidRDefault="006C77FE" w:rsidP="00AC4452">
    <w:pPr>
      <w:pStyle w:val="a9"/>
      <w:tabs>
        <w:tab w:val="clear" w:pos="9639"/>
        <w:tab w:val="right" w:pos="9638"/>
      </w:tabs>
      <w:rPr>
        <w:b/>
        <w:sz w:val="18"/>
      </w:rPr>
    </w:pPr>
    <w:r>
      <w:t>GE.19-01735</w:t>
    </w:r>
    <w:r>
      <w:tab/>
    </w:r>
    <w:r w:rsidRPr="00AC4452">
      <w:rPr>
        <w:b/>
        <w:sz w:val="18"/>
      </w:rPr>
      <w:fldChar w:fldCharType="begin"/>
    </w:r>
    <w:r w:rsidRPr="00AC4452">
      <w:rPr>
        <w:b/>
        <w:sz w:val="18"/>
      </w:rPr>
      <w:instrText xml:space="preserve"> PAGE  \* MERGEFORMAT </w:instrText>
    </w:r>
    <w:r w:rsidRPr="00AC4452">
      <w:rPr>
        <w:b/>
        <w:sz w:val="18"/>
      </w:rPr>
      <w:fldChar w:fldCharType="separate"/>
    </w:r>
    <w:r w:rsidR="00D574B3">
      <w:rPr>
        <w:b/>
        <w:noProof/>
        <w:sz w:val="18"/>
      </w:rPr>
      <w:t>37</w:t>
    </w:r>
    <w:r w:rsidRPr="00AC44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7FE" w:rsidRPr="00AC4452" w:rsidRDefault="006C77FE" w:rsidP="00AC4452">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19-01735  (R)</w:t>
    </w:r>
    <w:r w:rsidR="00EB4373">
      <w:rPr>
        <w:lang w:val="en-US"/>
      </w:rPr>
      <w:t xml:space="preserve">  070519  0</w:t>
    </w:r>
    <w:r w:rsidR="00145DD0">
      <w:rPr>
        <w:lang w:val="en-US"/>
      </w:rPr>
      <w:t>8</w:t>
    </w:r>
    <w:r w:rsidR="00EB4373">
      <w:rPr>
        <w:lang w:val="en-US"/>
      </w:rPr>
      <w:t>0519</w:t>
    </w:r>
    <w:r>
      <w:br/>
    </w:r>
    <w:r w:rsidRPr="00AC4452">
      <w:rPr>
        <w:rFonts w:ascii="C39T30Lfz" w:hAnsi="C39T30Lfz"/>
        <w:kern w:val="14"/>
        <w:sz w:val="56"/>
      </w:rPr>
      <w:t></w:t>
    </w:r>
    <w:r w:rsidRPr="00AC4452">
      <w:rPr>
        <w:rFonts w:ascii="C39T30Lfz" w:hAnsi="C39T30Lfz"/>
        <w:kern w:val="14"/>
        <w:sz w:val="56"/>
      </w:rPr>
      <w:t></w:t>
    </w:r>
    <w:r w:rsidRPr="00AC4452">
      <w:rPr>
        <w:rFonts w:ascii="C39T30Lfz" w:hAnsi="C39T30Lfz"/>
        <w:kern w:val="14"/>
        <w:sz w:val="56"/>
      </w:rPr>
      <w:t></w:t>
    </w:r>
    <w:r w:rsidRPr="00AC4452">
      <w:rPr>
        <w:rFonts w:ascii="C39T30Lfz" w:hAnsi="C39T30Lfz"/>
        <w:kern w:val="14"/>
        <w:sz w:val="56"/>
      </w:rPr>
      <w:t></w:t>
    </w:r>
    <w:r w:rsidRPr="00AC4452">
      <w:rPr>
        <w:rFonts w:ascii="C39T30Lfz" w:hAnsi="C39T30Lfz"/>
        <w:kern w:val="14"/>
        <w:sz w:val="56"/>
      </w:rPr>
      <w:t></w:t>
    </w:r>
    <w:r w:rsidRPr="00AC4452">
      <w:rPr>
        <w:rFonts w:ascii="C39T30Lfz" w:hAnsi="C39T30Lfz"/>
        <w:kern w:val="14"/>
        <w:sz w:val="56"/>
      </w:rPr>
      <w:t></w:t>
    </w:r>
    <w:r w:rsidRPr="00AC4452">
      <w:rPr>
        <w:rFonts w:ascii="C39T30Lfz" w:hAnsi="C39T30Lfz"/>
        <w:kern w:val="14"/>
        <w:sz w:val="56"/>
      </w:rPr>
      <w:t></w:t>
    </w:r>
    <w:r w:rsidRPr="00AC4452">
      <w:rPr>
        <w:rFonts w:ascii="C39T30Lfz" w:hAnsi="C39T30Lfz"/>
        <w:kern w:val="14"/>
        <w:sz w:val="56"/>
      </w:rPr>
      <w:t></w:t>
    </w:r>
    <w:r w:rsidRPr="00AC4452">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AUS/2-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AUS/2-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7FE" w:rsidRPr="001075E9" w:rsidRDefault="006C77FE" w:rsidP="001075E9">
      <w:pPr>
        <w:tabs>
          <w:tab w:val="right" w:pos="2155"/>
        </w:tabs>
        <w:spacing w:after="80" w:line="240" w:lineRule="auto"/>
        <w:ind w:left="680"/>
        <w:rPr>
          <w:u w:val="single"/>
        </w:rPr>
      </w:pPr>
      <w:r>
        <w:rPr>
          <w:u w:val="single"/>
        </w:rPr>
        <w:tab/>
      </w:r>
    </w:p>
  </w:footnote>
  <w:footnote w:type="continuationSeparator" w:id="0">
    <w:p w:rsidR="006C77FE" w:rsidRDefault="006C77FE" w:rsidP="00407B78">
      <w:pPr>
        <w:tabs>
          <w:tab w:val="right" w:pos="2155"/>
        </w:tabs>
        <w:spacing w:after="80"/>
        <w:ind w:left="680"/>
        <w:rPr>
          <w:u w:val="single"/>
        </w:rPr>
      </w:pPr>
      <w:r>
        <w:rPr>
          <w:u w:val="single"/>
        </w:rPr>
        <w:tab/>
      </w:r>
    </w:p>
  </w:footnote>
  <w:footnote w:id="1">
    <w:p w:rsidR="006C77FE" w:rsidRPr="001066B4" w:rsidRDefault="006C77FE" w:rsidP="001066B4">
      <w:pPr>
        <w:pStyle w:val="ae"/>
        <w:rPr>
          <w:szCs w:val="18"/>
        </w:rPr>
      </w:pPr>
      <w:r w:rsidRPr="001066B4">
        <w:rPr>
          <w:sz w:val="20"/>
          <w:szCs w:val="22"/>
        </w:rPr>
        <w:tab/>
      </w:r>
      <w:r w:rsidRPr="001066B4">
        <w:rPr>
          <w:rStyle w:val="ab"/>
          <w:sz w:val="20"/>
          <w:vertAlign w:val="baseline"/>
        </w:rPr>
        <w:t>*</w:t>
      </w:r>
      <w:r w:rsidRPr="001066B4">
        <w:tab/>
      </w:r>
      <w:r w:rsidRPr="001066B4">
        <w:rPr>
          <w:szCs w:val="18"/>
        </w:rPr>
        <w:t>Настоящий документ выпускается без официального редактирования.</w:t>
      </w:r>
    </w:p>
  </w:footnote>
  <w:footnote w:id="2">
    <w:p w:rsidR="006C77FE" w:rsidRPr="001066B4" w:rsidRDefault="006C77FE" w:rsidP="001066B4">
      <w:pPr>
        <w:pStyle w:val="ae"/>
        <w:rPr>
          <w:szCs w:val="18"/>
        </w:rPr>
      </w:pPr>
      <w:r w:rsidRPr="001066B4">
        <w:rPr>
          <w:szCs w:val="18"/>
        </w:rPr>
        <w:tab/>
      </w:r>
      <w:r w:rsidRPr="001066B4">
        <w:rPr>
          <w:rStyle w:val="ab"/>
          <w:szCs w:val="18"/>
        </w:rPr>
        <w:footnoteRef/>
      </w:r>
      <w:r w:rsidRPr="001066B4">
        <w:rPr>
          <w:szCs w:val="18"/>
        </w:rPr>
        <w:tab/>
        <w:t>CRPD/C/3 (2016).</w:t>
      </w:r>
    </w:p>
  </w:footnote>
  <w:footnote w:id="3">
    <w:p w:rsidR="006C77FE" w:rsidRPr="001066B4" w:rsidRDefault="006C77FE" w:rsidP="001066B4">
      <w:pPr>
        <w:pStyle w:val="ae"/>
        <w:rPr>
          <w:szCs w:val="18"/>
        </w:rPr>
      </w:pPr>
      <w:r w:rsidRPr="001066B4">
        <w:rPr>
          <w:szCs w:val="18"/>
        </w:rPr>
        <w:tab/>
      </w:r>
      <w:r w:rsidRPr="001066B4">
        <w:rPr>
          <w:rStyle w:val="ab"/>
          <w:szCs w:val="18"/>
        </w:rPr>
        <w:footnoteRef/>
      </w:r>
      <w:r w:rsidRPr="001066B4">
        <w:rPr>
          <w:szCs w:val="18"/>
        </w:rPr>
        <w:tab/>
        <w:t>General/HRI/MC2004/3 (2004).</w:t>
      </w:r>
    </w:p>
  </w:footnote>
  <w:footnote w:id="4">
    <w:p w:rsidR="006C77FE" w:rsidRPr="001066B4" w:rsidRDefault="006C77FE" w:rsidP="001066B4">
      <w:pPr>
        <w:pStyle w:val="ae"/>
        <w:rPr>
          <w:szCs w:val="18"/>
        </w:rPr>
      </w:pPr>
      <w:r w:rsidRPr="001066B4">
        <w:rPr>
          <w:szCs w:val="18"/>
        </w:rPr>
        <w:tab/>
      </w:r>
      <w:r w:rsidRPr="001066B4">
        <w:rPr>
          <w:rStyle w:val="ab"/>
          <w:szCs w:val="18"/>
        </w:rPr>
        <w:footnoteRef/>
      </w:r>
      <w:r w:rsidRPr="001066B4">
        <w:rPr>
          <w:szCs w:val="18"/>
        </w:rPr>
        <w:tab/>
      </w:r>
      <w:r w:rsidRPr="001066B4">
        <w:rPr>
          <w:szCs w:val="18"/>
        </w:rPr>
        <w:tab/>
        <w:t>CRPD/C/AUS/QPR/2-3, принятый Комитетом на его восемнадцатой сессии и распрос</w:t>
      </w:r>
      <w:r w:rsidR="00EB4373">
        <w:rPr>
          <w:szCs w:val="18"/>
        </w:rPr>
        <w:t>траненный 19 сентября 2017 года.</w:t>
      </w:r>
    </w:p>
  </w:footnote>
  <w:footnote w:id="5">
    <w:p w:rsidR="006C77FE" w:rsidRPr="001066B4" w:rsidRDefault="006C77FE" w:rsidP="001066B4">
      <w:pPr>
        <w:pStyle w:val="ae"/>
        <w:rPr>
          <w:szCs w:val="18"/>
        </w:rPr>
      </w:pPr>
      <w:r w:rsidRPr="001066B4">
        <w:rPr>
          <w:szCs w:val="18"/>
        </w:rPr>
        <w:tab/>
      </w:r>
      <w:r w:rsidRPr="001066B4">
        <w:rPr>
          <w:rStyle w:val="ab"/>
          <w:szCs w:val="18"/>
        </w:rPr>
        <w:footnoteRef/>
      </w:r>
      <w:r w:rsidRPr="001066B4">
        <w:rPr>
          <w:szCs w:val="18"/>
        </w:rPr>
        <w:tab/>
        <w:t>Представлен Управлению Верховного комиссара по правам человека 25 июля 2007 года.</w:t>
      </w:r>
    </w:p>
  </w:footnote>
  <w:footnote w:id="6">
    <w:p w:rsidR="006C77FE" w:rsidRPr="001066B4" w:rsidRDefault="006C77FE" w:rsidP="001066B4">
      <w:pPr>
        <w:pStyle w:val="ae"/>
        <w:rPr>
          <w:szCs w:val="18"/>
        </w:rPr>
      </w:pPr>
      <w:r w:rsidRPr="001066B4">
        <w:rPr>
          <w:szCs w:val="18"/>
        </w:rPr>
        <w:tab/>
      </w:r>
      <w:r w:rsidRPr="001066B4">
        <w:rPr>
          <w:rStyle w:val="ab"/>
          <w:szCs w:val="18"/>
        </w:rPr>
        <w:footnoteRef/>
      </w:r>
      <w:r w:rsidRPr="001066B4">
        <w:rPr>
          <w:szCs w:val="18"/>
        </w:rPr>
        <w:tab/>
        <w:t>По состоянию на 26 июля 2018 года.</w:t>
      </w:r>
    </w:p>
  </w:footnote>
  <w:footnote w:id="7">
    <w:p w:rsidR="006C77FE" w:rsidRPr="001066B4" w:rsidRDefault="006C77FE" w:rsidP="001066B4">
      <w:pPr>
        <w:pStyle w:val="ae"/>
        <w:rPr>
          <w:szCs w:val="18"/>
        </w:rPr>
      </w:pPr>
      <w:r w:rsidRPr="001066B4">
        <w:rPr>
          <w:szCs w:val="18"/>
        </w:rPr>
        <w:tab/>
      </w:r>
      <w:r w:rsidRPr="001066B4">
        <w:rPr>
          <w:rStyle w:val="ab"/>
          <w:szCs w:val="18"/>
        </w:rPr>
        <w:footnoteRef/>
      </w:r>
      <w:r w:rsidRPr="001066B4">
        <w:rPr>
          <w:szCs w:val="18"/>
        </w:rPr>
        <w:tab/>
      </w:r>
      <w:r w:rsidRPr="001066B4">
        <w:rPr>
          <w:szCs w:val="18"/>
        </w:rPr>
        <w:tab/>
        <w:t>Закон о борьбе с дискриминацией 1977 года (НЮУ); Закон о равных возможностях 2010 года (ВИК); Закон о борьбе с дискриминацией 1991 года (КСД); З</w:t>
      </w:r>
      <w:r w:rsidR="00DF72E3" w:rsidRPr="001066B4">
        <w:rPr>
          <w:szCs w:val="18"/>
        </w:rPr>
        <w:t>акон о равных возможностях 1984 </w:t>
      </w:r>
      <w:r w:rsidRPr="001066B4">
        <w:rPr>
          <w:szCs w:val="18"/>
        </w:rPr>
        <w:t xml:space="preserve">года (ЗА); Закон о равных возможностях 1984 года (ЮА); Закон </w:t>
      </w:r>
      <w:r w:rsidR="00DF72E3" w:rsidRPr="001066B4">
        <w:rPr>
          <w:szCs w:val="18"/>
        </w:rPr>
        <w:t>о борьбе с </w:t>
      </w:r>
      <w:r w:rsidRPr="001066B4">
        <w:rPr>
          <w:szCs w:val="18"/>
        </w:rPr>
        <w:t>дискриминацией 1998 года (ТАС); Закон о борьбе с дискриминацией 1991 года (АСТ</w:t>
      </w:r>
      <w:r w:rsidR="00DF72E3" w:rsidRPr="001066B4">
        <w:rPr>
          <w:szCs w:val="18"/>
        </w:rPr>
        <w:t>); и </w:t>
      </w:r>
      <w:r w:rsidRPr="001066B4">
        <w:rPr>
          <w:szCs w:val="18"/>
        </w:rPr>
        <w:t>Закон о борьбе с дискриминацией 1998 года (СТ).</w:t>
      </w:r>
    </w:p>
  </w:footnote>
  <w:footnote w:id="8">
    <w:p w:rsidR="006C77FE" w:rsidRPr="001066B4" w:rsidRDefault="006C77FE" w:rsidP="001066B4">
      <w:pPr>
        <w:pStyle w:val="ae"/>
        <w:rPr>
          <w:szCs w:val="18"/>
        </w:rPr>
      </w:pPr>
      <w:r w:rsidRPr="001066B4">
        <w:rPr>
          <w:szCs w:val="18"/>
        </w:rPr>
        <w:tab/>
      </w:r>
      <w:r w:rsidRPr="001066B4">
        <w:rPr>
          <w:rStyle w:val="ab"/>
          <w:szCs w:val="18"/>
        </w:rPr>
        <w:footnoteRef/>
      </w:r>
      <w:r w:rsidRPr="001066B4">
        <w:rPr>
          <w:szCs w:val="18"/>
        </w:rPr>
        <w:tab/>
      </w:r>
      <w:r w:rsidRPr="001066B4">
        <w:rPr>
          <w:szCs w:val="18"/>
        </w:rPr>
        <w:tab/>
        <w:t>Комиссия Виктории по вопросам равенства возможностей и прав человека (ВИК), Комиссия Квинсленда по борьбе с дискриминацией (КСД); Комиссия по вопросам равенства возможностей (ЗА); Комиссия Тасмании по вопросам равенства возможностей (ТАС); Комиссия по правам человека (АСТ); Совет Нового Южного Уэльса по борьбе с дискриминацией и Комиссия Северной территории по борьбе с дискриминацией (СТ).</w:t>
      </w:r>
    </w:p>
  </w:footnote>
  <w:footnote w:id="9">
    <w:p w:rsidR="006C77FE" w:rsidRPr="001066B4" w:rsidRDefault="006C77FE" w:rsidP="001066B4">
      <w:pPr>
        <w:pStyle w:val="ae"/>
        <w:rPr>
          <w:szCs w:val="18"/>
        </w:rPr>
      </w:pPr>
      <w:r w:rsidRPr="001066B4">
        <w:rPr>
          <w:szCs w:val="18"/>
        </w:rPr>
        <w:tab/>
      </w:r>
      <w:r w:rsidRPr="001066B4">
        <w:rPr>
          <w:rStyle w:val="ab"/>
          <w:szCs w:val="18"/>
        </w:rPr>
        <w:footnoteRef/>
      </w:r>
      <w:r w:rsidRPr="001066B4">
        <w:rPr>
          <w:szCs w:val="18"/>
        </w:rPr>
        <w:tab/>
      </w:r>
      <w:r w:rsidRPr="001066B4">
        <w:rPr>
          <w:szCs w:val="18"/>
        </w:rPr>
        <w:tab/>
        <w:t>Закон о Хартии прав и обязанностей человека 2006 года (ВИК)</w:t>
      </w:r>
      <w:r w:rsidR="00DF72E3" w:rsidRPr="001066B4">
        <w:rPr>
          <w:szCs w:val="18"/>
        </w:rPr>
        <w:t xml:space="preserve"> и Закон о правах человека 2004 </w:t>
      </w:r>
      <w:r w:rsidRPr="001066B4">
        <w:rPr>
          <w:szCs w:val="18"/>
        </w:rPr>
        <w:t>года (</w:t>
      </w:r>
      <w:r w:rsidRPr="001066B4">
        <w:rPr>
          <w:szCs w:val="18"/>
          <w:lang w:val="en-US"/>
        </w:rPr>
        <w:t>ACT</w:t>
      </w:r>
      <w:r w:rsidRPr="001066B4">
        <w:rPr>
          <w:szCs w:val="18"/>
        </w:rPr>
        <w:t>).</w:t>
      </w:r>
    </w:p>
  </w:footnote>
  <w:footnote w:id="10">
    <w:p w:rsidR="006C77FE" w:rsidRPr="001066B4" w:rsidRDefault="006C77FE" w:rsidP="001066B4">
      <w:pPr>
        <w:pStyle w:val="ae"/>
        <w:rPr>
          <w:szCs w:val="18"/>
        </w:rPr>
      </w:pPr>
      <w:r w:rsidRPr="001066B4">
        <w:rPr>
          <w:szCs w:val="18"/>
        </w:rPr>
        <w:tab/>
      </w:r>
      <w:r w:rsidRPr="001066B4">
        <w:rPr>
          <w:rStyle w:val="ab"/>
          <w:szCs w:val="18"/>
        </w:rPr>
        <w:footnoteRef/>
      </w:r>
      <w:r w:rsidRPr="001066B4">
        <w:rPr>
          <w:szCs w:val="18"/>
        </w:rPr>
        <w:tab/>
      </w:r>
      <w:r w:rsidRPr="001066B4">
        <w:rPr>
          <w:szCs w:val="18"/>
        </w:rPr>
        <w:tab/>
        <w:t>В законодательстве Северной территории отсутствует положение о получении согласия на лечение без приема у врача.</w:t>
      </w:r>
    </w:p>
  </w:footnote>
  <w:footnote w:id="11">
    <w:p w:rsidR="006C77FE" w:rsidRPr="001066B4" w:rsidRDefault="006C77FE" w:rsidP="001066B4">
      <w:pPr>
        <w:pStyle w:val="ae"/>
        <w:rPr>
          <w:szCs w:val="18"/>
        </w:rPr>
      </w:pPr>
      <w:r w:rsidRPr="001066B4">
        <w:rPr>
          <w:szCs w:val="18"/>
        </w:rPr>
        <w:tab/>
      </w:r>
      <w:r w:rsidRPr="001066B4">
        <w:rPr>
          <w:rStyle w:val="ab"/>
          <w:szCs w:val="18"/>
        </w:rPr>
        <w:footnoteRef/>
      </w:r>
      <w:r w:rsidRPr="001066B4">
        <w:rPr>
          <w:szCs w:val="18"/>
        </w:rPr>
        <w:tab/>
        <w:t>Ожидается, что к 1 июля 2020 года НССИ будет в полном объеме введена в действие на всей территории ЗА.</w:t>
      </w:r>
    </w:p>
  </w:footnote>
  <w:footnote w:id="12">
    <w:p w:rsidR="006C77FE" w:rsidRPr="001066B4" w:rsidRDefault="006C77FE" w:rsidP="001066B4">
      <w:pPr>
        <w:pStyle w:val="ae"/>
        <w:rPr>
          <w:szCs w:val="18"/>
        </w:rPr>
      </w:pPr>
      <w:r w:rsidRPr="001066B4">
        <w:rPr>
          <w:szCs w:val="18"/>
        </w:rPr>
        <w:tab/>
      </w:r>
      <w:r w:rsidRPr="001066B4">
        <w:rPr>
          <w:rStyle w:val="ab"/>
          <w:szCs w:val="18"/>
        </w:rPr>
        <w:footnoteRef/>
      </w:r>
      <w:r w:rsidRPr="001066B4">
        <w:rPr>
          <w:szCs w:val="18"/>
        </w:rPr>
        <w:tab/>
      </w:r>
      <w:r w:rsidRPr="001066B4">
        <w:rPr>
          <w:szCs w:val="18"/>
        </w:rPr>
        <w:tab/>
        <w:t xml:space="preserve">Стратегия предупреждения бытового и семейного насилия на 2016–2026 (КСД); Стратегия обеспечения безопасности женщин на 2011–2022 годы (ЮА); Стратегия в области сокращения масштабов бытового и семейного насилия на 2014–2017 годы (СT); «Безопасные дома, безопасные семьи»: план действий Тасмании по предупреждению насилия в семье на </w:t>
      </w:r>
      <w:r w:rsidR="001066B4">
        <w:rPr>
          <w:szCs w:val="18"/>
        </w:rPr>
        <w:br/>
      </w:r>
      <w:r w:rsidRPr="001066B4">
        <w:rPr>
          <w:szCs w:val="18"/>
        </w:rPr>
        <w:t>2015–2020 годы (ТАС); Стратегия в области предупреждение насилия в отношении женщин и детей на 2011–2017 годы (ACT); меры правительства АСТ по борьбе с насилием в семье (ACT); План мероприятий по реформированию системы противодействия бытовому и семейному насилию НЮУ на 2016–2021 годы (НЮУ); «Свобода от насилия» – Стратегия Виктории по предупреждению насилия в семье и всех форм насилия в отношении женщин (ВИК). Западная Австралия разрабатывает стратегию борьбы с семейным и бытовым насилием на десять лет.</w:t>
      </w:r>
    </w:p>
  </w:footnote>
  <w:footnote w:id="13">
    <w:p w:rsidR="006C77FE" w:rsidRPr="001066B4" w:rsidRDefault="006C77FE" w:rsidP="001066B4">
      <w:pPr>
        <w:pStyle w:val="ae"/>
        <w:rPr>
          <w:szCs w:val="18"/>
        </w:rPr>
      </w:pPr>
      <w:r w:rsidRPr="001066B4">
        <w:rPr>
          <w:szCs w:val="18"/>
        </w:rPr>
        <w:tab/>
      </w:r>
      <w:r w:rsidRPr="001066B4">
        <w:rPr>
          <w:rStyle w:val="ab"/>
          <w:szCs w:val="18"/>
        </w:rPr>
        <w:footnoteRef/>
      </w:r>
      <w:r w:rsidRPr="001066B4">
        <w:rPr>
          <w:szCs w:val="18"/>
        </w:rPr>
        <w:tab/>
      </w:r>
      <w:r w:rsidRPr="001066B4">
        <w:rPr>
          <w:szCs w:val="18"/>
        </w:rPr>
        <w:tab/>
        <w:t>Координационный комитет по пересмотру положения о порядке оказания государственных услуг, 2018 год, Доклад о государственных услугах, 2018 год, Комиссия по вопросам производительности, Канберра; Австралийский институт здравоохранения и социального обеспечения, 2018 год. Child protection Australia 2016–17. Child welfare series no. 68. Cat. no. CWS 63. Canberra: AIHW.</w:t>
      </w:r>
    </w:p>
  </w:footnote>
  <w:footnote w:id="14">
    <w:p w:rsidR="006C77FE" w:rsidRPr="001066B4" w:rsidRDefault="006C77FE" w:rsidP="001066B4">
      <w:pPr>
        <w:pStyle w:val="ae"/>
        <w:rPr>
          <w:szCs w:val="18"/>
        </w:rPr>
      </w:pPr>
      <w:r w:rsidRPr="001066B4">
        <w:rPr>
          <w:szCs w:val="18"/>
        </w:rPr>
        <w:tab/>
      </w:r>
      <w:r w:rsidRPr="001066B4">
        <w:rPr>
          <w:rStyle w:val="ab"/>
          <w:szCs w:val="18"/>
        </w:rPr>
        <w:footnoteRef/>
      </w:r>
      <w:r w:rsidRPr="001066B4">
        <w:rPr>
          <w:szCs w:val="18"/>
        </w:rPr>
        <w:tab/>
      </w:r>
      <w:r w:rsidRPr="001066B4">
        <w:rPr>
          <w:szCs w:val="18"/>
        </w:rPr>
        <w:tab/>
        <w:t>Раздел 33.3.</w:t>
      </w:r>
    </w:p>
  </w:footnote>
  <w:footnote w:id="15">
    <w:p w:rsidR="006C77FE" w:rsidRPr="001066B4" w:rsidRDefault="006C77FE" w:rsidP="001066B4">
      <w:pPr>
        <w:pStyle w:val="ae"/>
      </w:pPr>
      <w:r w:rsidRPr="001066B4">
        <w:tab/>
      </w:r>
      <w:r w:rsidRPr="001066B4">
        <w:rPr>
          <w:rStyle w:val="ab"/>
        </w:rPr>
        <w:footnoteRef/>
      </w:r>
      <w:r w:rsidRPr="001066B4">
        <w:tab/>
      </w:r>
      <w:r w:rsidRPr="001066B4">
        <w:tab/>
        <w:t>Например, Руководство штата Виктория по вопросам доступности для инвалидов; Руководство штата Квинсленд по проблеме равного обращения; и Руководство штата Западная Австралия по проблематике равенства перед судом.</w:t>
      </w:r>
    </w:p>
  </w:footnote>
  <w:footnote w:id="16">
    <w:p w:rsidR="006C77FE" w:rsidRPr="001066B4" w:rsidRDefault="006C77FE" w:rsidP="001066B4">
      <w:pPr>
        <w:pStyle w:val="ae"/>
      </w:pPr>
      <w:r w:rsidRPr="001066B4">
        <w:tab/>
      </w:r>
      <w:r w:rsidRPr="001066B4">
        <w:rPr>
          <w:rStyle w:val="ab"/>
        </w:rPr>
        <w:footnoteRef/>
      </w:r>
      <w:r w:rsidRPr="001066B4">
        <w:tab/>
        <w:t>Так</w:t>
      </w:r>
      <w:r w:rsidR="0044580E" w:rsidRPr="001066B4">
        <w:t>,</w:t>
      </w:r>
      <w:r w:rsidRPr="001066B4">
        <w:t xml:space="preserve"> например, Закон о Хартии прав и обязанностей человека 2006 года (ВИК).</w:t>
      </w:r>
    </w:p>
  </w:footnote>
  <w:footnote w:id="17">
    <w:p w:rsidR="006C77FE" w:rsidRPr="001066B4" w:rsidRDefault="006C77FE" w:rsidP="001066B4">
      <w:pPr>
        <w:pStyle w:val="ae"/>
      </w:pPr>
      <w:r w:rsidRPr="001066B4">
        <w:tab/>
      </w:r>
      <w:r w:rsidRPr="001066B4">
        <w:rPr>
          <w:rStyle w:val="ab"/>
        </w:rPr>
        <w:footnoteRef/>
      </w:r>
      <w:r w:rsidRPr="001066B4">
        <w:tab/>
      </w:r>
      <w:r w:rsidRPr="001066B4">
        <w:tab/>
        <w:t>Суммарные показатели включают 5 новопоступивших заключенных, возраст которых неизвестен, и 5, принадлежность которых к коренному населению не установлена. У </w:t>
      </w:r>
      <w:r w:rsidR="00176BD2">
        <w:t>23 </w:t>
      </w:r>
      <w:r w:rsidRPr="001066B4">
        <w:t xml:space="preserve">новопоступивших заключенных не удалось определить степень инвалидности. </w:t>
      </w:r>
    </w:p>
  </w:footnote>
  <w:footnote w:id="18">
    <w:p w:rsidR="006C77FE" w:rsidRPr="001066B4" w:rsidRDefault="006C77FE" w:rsidP="001066B4">
      <w:pPr>
        <w:pStyle w:val="ae"/>
      </w:pPr>
      <w:r w:rsidRPr="001066B4">
        <w:tab/>
      </w:r>
      <w:r w:rsidRPr="001066B4">
        <w:rPr>
          <w:rStyle w:val="ab"/>
        </w:rPr>
        <w:footnoteRef/>
      </w:r>
      <w:r w:rsidRPr="001066B4">
        <w:tab/>
      </w:r>
      <w:r w:rsidRPr="001066B4">
        <w:tab/>
        <w:t>Уголовный кодекс (СТ); Закон об инвалидности 2006 года (ВИК); Закон о психическом здоровье 2013 года (ТАС); Закон об охране психического здоровья 2016 года (КСД</w:t>
      </w:r>
      <w:r w:rsidR="00176BD2">
        <w:t>); Закон об </w:t>
      </w:r>
      <w:r w:rsidRPr="001066B4">
        <w:t>охране психического здоровья 2007 года (НЮУ); Закон об уголовном праве (умственно отсталые обвиняемые) 1996 года (ЗА); Закон об охране психического здоровья 2014 года (ЗА).</w:t>
      </w:r>
    </w:p>
  </w:footnote>
  <w:footnote w:id="19">
    <w:p w:rsidR="006C77FE" w:rsidRPr="001066B4" w:rsidRDefault="006C77FE" w:rsidP="001066B4">
      <w:pPr>
        <w:pStyle w:val="ae"/>
      </w:pPr>
      <w:r w:rsidRPr="001066B4">
        <w:tab/>
      </w:r>
      <w:r w:rsidRPr="001066B4">
        <w:rPr>
          <w:rStyle w:val="ab"/>
        </w:rPr>
        <w:footnoteRef/>
      </w:r>
      <w:r w:rsidRPr="001066B4">
        <w:tab/>
        <w:t>Закон об охране психического здоровья 2015 года (АСТ).</w:t>
      </w:r>
    </w:p>
  </w:footnote>
  <w:footnote w:id="20">
    <w:p w:rsidR="006C77FE" w:rsidRPr="001066B4" w:rsidRDefault="006C77FE" w:rsidP="001066B4">
      <w:pPr>
        <w:pStyle w:val="ae"/>
      </w:pPr>
      <w:r w:rsidRPr="001066B4">
        <w:tab/>
      </w:r>
      <w:r w:rsidRPr="001066B4">
        <w:rPr>
          <w:rStyle w:val="ab"/>
        </w:rPr>
        <w:footnoteRef/>
      </w:r>
      <w:r w:rsidRPr="001066B4">
        <w:tab/>
      </w:r>
      <w:r w:rsidRPr="001066B4">
        <w:tab/>
        <w:t>Уместно отметить, что в Западной Австралии доверенность, действие которой не прекращается вследствие признания доверителя недееспособным, используется только применительно к управлению активами, собственностью и финансовыми делами и не применяется в отношении принятия решений о лечении.</w:t>
      </w:r>
    </w:p>
  </w:footnote>
  <w:footnote w:id="21">
    <w:p w:rsidR="006C77FE" w:rsidRPr="001066B4" w:rsidRDefault="006C77FE" w:rsidP="001066B4">
      <w:pPr>
        <w:pStyle w:val="ae"/>
      </w:pPr>
      <w:r w:rsidRPr="001066B4">
        <w:tab/>
      </w:r>
      <w:r w:rsidRPr="001066B4">
        <w:rPr>
          <w:rStyle w:val="ab"/>
        </w:rPr>
        <w:footnoteRef/>
      </w:r>
      <w:r w:rsidRPr="001066B4">
        <w:tab/>
      </w:r>
      <w:r w:rsidRPr="001066B4">
        <w:tab/>
        <w:t>Например, Закон об опеке и управлении делами 1995 года (ТАС); Закон об охране психического здоровья 2014 года (ВИК); Закон о заявленных учреждениях (умственно отсталые обвиняемые) 2015 года (ЗА); Политика в отношении согласия на лечение 2016 года (ЗА); Закон о согласии на лечение и паллиативный уход 1995 года (ЮА); Закон об охране психического здоровья 2009 года (ЮА); Закон о принципах активного ухода 2013 года (ЮА), Закон об опеке и управлении делами 1993 года (ЮА); Закон о гражданских и административных трибуналах 2013 года (ЮА).</w:t>
      </w:r>
    </w:p>
  </w:footnote>
  <w:footnote w:id="22">
    <w:p w:rsidR="006C77FE" w:rsidRPr="001066B4" w:rsidRDefault="006C77FE" w:rsidP="001066B4">
      <w:pPr>
        <w:pStyle w:val="ae"/>
      </w:pPr>
      <w:r w:rsidRPr="001066B4">
        <w:tab/>
      </w:r>
      <w:r w:rsidRPr="001066B4">
        <w:rPr>
          <w:rStyle w:val="ab"/>
          <w:szCs w:val="18"/>
        </w:rPr>
        <w:footnoteRef/>
      </w:r>
      <w:r w:rsidRPr="001066B4">
        <w:tab/>
      </w:r>
      <w:r w:rsidRPr="001066B4">
        <w:tab/>
        <w:t xml:space="preserve">План действий </w:t>
      </w:r>
      <w:r w:rsidRPr="001066B4">
        <w:rPr>
          <w:lang w:eastAsia="en-US"/>
        </w:rPr>
        <w:t>по осуществлению правосудия в отношении инвалидов</w:t>
      </w:r>
      <w:r w:rsidRPr="001066B4">
        <w:t xml:space="preserve"> на 2017–2020 годы (ТАС); План действий </w:t>
      </w:r>
      <w:r w:rsidRPr="001066B4">
        <w:rPr>
          <w:lang w:eastAsia="en-US"/>
        </w:rPr>
        <w:t>по осуществлению правосудия в отношении инвалидов</w:t>
      </w:r>
      <w:r w:rsidRPr="001066B4">
        <w:t xml:space="preserve"> </w:t>
      </w:r>
      <w:r w:rsidR="00176BD2">
        <w:br/>
      </w:r>
      <w:r w:rsidRPr="001066B4">
        <w:t>на 2014–2017 годы (ЮА); План действий в интересах инвалидов на 2017–2021 годы (ВИК).</w:t>
      </w:r>
    </w:p>
  </w:footnote>
  <w:footnote w:id="23">
    <w:p w:rsidR="006C77FE" w:rsidRPr="001066B4" w:rsidRDefault="006C77FE" w:rsidP="001066B4">
      <w:pPr>
        <w:pStyle w:val="ae"/>
        <w:rPr>
          <w:szCs w:val="18"/>
        </w:rPr>
      </w:pPr>
      <w:r w:rsidRPr="001066B4">
        <w:tab/>
      </w:r>
      <w:r w:rsidRPr="001066B4">
        <w:rPr>
          <w:rStyle w:val="ab"/>
        </w:rPr>
        <w:footnoteRef/>
      </w:r>
      <w:r w:rsidRPr="001066B4">
        <w:rPr>
          <w:szCs w:val="18"/>
        </w:rPr>
        <w:tab/>
      </w:r>
      <w:r w:rsidRPr="001066B4">
        <w:rPr>
          <w:szCs w:val="18"/>
        </w:rPr>
        <w:tab/>
        <w:t>Закон об охране психического здоровья 2013 года (ТАС); Закон об опеке и управлении делами 2000 года и Закон об охране психического здоровья 2016 года (КСД); Закон об оказании услуг инвалидам 2017 года (СТ); Закон об охране психического здоровья 2014 года (ЗА); и Закон о тюрьмах 1981 года (ЗА). В Новом Южном Уэллсе такая практика регулируется посредством отдачи обязательных к исп</w:t>
      </w:r>
      <w:r w:rsidR="00B14CE0" w:rsidRPr="001066B4">
        <w:rPr>
          <w:szCs w:val="18"/>
        </w:rPr>
        <w:t xml:space="preserve">олнению политических указаний. </w:t>
      </w:r>
    </w:p>
  </w:footnote>
  <w:footnote w:id="24">
    <w:p w:rsidR="006C77FE" w:rsidRPr="001066B4" w:rsidRDefault="006C77FE" w:rsidP="001066B4">
      <w:pPr>
        <w:pStyle w:val="ae"/>
        <w:rPr>
          <w:szCs w:val="18"/>
        </w:rPr>
      </w:pPr>
      <w:r w:rsidRPr="001066B4">
        <w:rPr>
          <w:szCs w:val="18"/>
        </w:rPr>
        <w:tab/>
      </w:r>
      <w:r w:rsidRPr="001066B4">
        <w:rPr>
          <w:rStyle w:val="ab"/>
          <w:szCs w:val="18"/>
        </w:rPr>
        <w:footnoteRef/>
      </w:r>
      <w:r w:rsidRPr="001066B4">
        <w:rPr>
          <w:szCs w:val="18"/>
        </w:rPr>
        <w:tab/>
      </w:r>
      <w:r w:rsidRPr="001066B4">
        <w:rPr>
          <w:szCs w:val="18"/>
        </w:rPr>
        <w:tab/>
        <w:t>Главный врач согласно Закону об оказании услуг инвалидам 2011 года (ТАС); Управление государственного попечителя (КСД); Управление главного врача (АСТ); Главный психиатр (ЗА); Закон об инспекторе по вопросам оказания услуг в </w:t>
      </w:r>
      <w:r w:rsidR="00B14CE0" w:rsidRPr="001066B4">
        <w:rPr>
          <w:szCs w:val="18"/>
        </w:rPr>
        <w:t>исправительных учреждениях 2003 </w:t>
      </w:r>
      <w:r w:rsidRPr="001066B4">
        <w:rPr>
          <w:szCs w:val="18"/>
        </w:rPr>
        <w:t>года (ЗА). Главный психиатр (НЮУ); и Главный врач по работе с инвалидами (ВИК).</w:t>
      </w:r>
    </w:p>
  </w:footnote>
  <w:footnote w:id="25">
    <w:p w:rsidR="006C77FE" w:rsidRPr="001066B4" w:rsidRDefault="006C77FE" w:rsidP="001066B4">
      <w:pPr>
        <w:pStyle w:val="ae"/>
        <w:rPr>
          <w:szCs w:val="18"/>
        </w:rPr>
      </w:pPr>
      <w:r w:rsidRPr="001066B4">
        <w:rPr>
          <w:szCs w:val="18"/>
        </w:rPr>
        <w:tab/>
      </w:r>
      <w:r w:rsidRPr="001066B4">
        <w:rPr>
          <w:rStyle w:val="ab"/>
          <w:szCs w:val="18"/>
        </w:rPr>
        <w:footnoteRef/>
      </w:r>
      <w:r w:rsidRPr="001066B4">
        <w:rPr>
          <w:szCs w:val="18"/>
        </w:rPr>
        <w:tab/>
        <w:t>Виктория, АСТ, НЮУ и Квинсленд.</w:t>
      </w:r>
    </w:p>
  </w:footnote>
  <w:footnote w:id="26">
    <w:p w:rsidR="006C77FE" w:rsidRPr="001066B4" w:rsidRDefault="006C77FE" w:rsidP="001066B4">
      <w:pPr>
        <w:pStyle w:val="ae"/>
        <w:rPr>
          <w:szCs w:val="18"/>
        </w:rPr>
      </w:pPr>
      <w:r w:rsidRPr="001066B4">
        <w:rPr>
          <w:szCs w:val="18"/>
        </w:rPr>
        <w:tab/>
      </w:r>
      <w:r w:rsidRPr="001066B4">
        <w:rPr>
          <w:rStyle w:val="ab"/>
          <w:szCs w:val="18"/>
        </w:rPr>
        <w:footnoteRef/>
      </w:r>
      <w:r w:rsidRPr="001066B4">
        <w:rPr>
          <w:szCs w:val="18"/>
        </w:rPr>
        <w:tab/>
      </w:r>
      <w:hyperlink r:id="rId1" w:history="1">
        <w:r w:rsidRPr="001066B4">
          <w:rPr>
            <w:szCs w:val="18"/>
          </w:rPr>
          <w:t>https://www.aihw.gov.au/reports/mental-health-services/mental-health-services-in-australia/report-contents/restrictive-practices/seclusion</w:t>
        </w:r>
      </w:hyperlink>
      <w:r w:rsidRPr="001066B4">
        <w:rPr>
          <w:szCs w:val="18"/>
        </w:rPr>
        <w:t>.</w:t>
      </w:r>
    </w:p>
  </w:footnote>
  <w:footnote w:id="27">
    <w:p w:rsidR="006C77FE" w:rsidRPr="001066B4" w:rsidRDefault="006C77FE" w:rsidP="001066B4">
      <w:pPr>
        <w:pStyle w:val="ae"/>
        <w:rPr>
          <w:szCs w:val="18"/>
        </w:rPr>
      </w:pPr>
      <w:r w:rsidRPr="001066B4">
        <w:rPr>
          <w:szCs w:val="18"/>
        </w:rPr>
        <w:tab/>
      </w:r>
      <w:r w:rsidRPr="001066B4">
        <w:rPr>
          <w:rStyle w:val="ab"/>
          <w:szCs w:val="18"/>
        </w:rPr>
        <w:footnoteRef/>
      </w:r>
      <w:r w:rsidRPr="001066B4">
        <w:rPr>
          <w:szCs w:val="18"/>
        </w:rPr>
        <w:tab/>
      </w:r>
      <w:r w:rsidRPr="001066B4">
        <w:rPr>
          <w:szCs w:val="18"/>
        </w:rPr>
        <w:tab/>
        <w:t>Комитет Организации Объединенных Наций против пыток (2016 год). Девятый ежегодный доклад Подкомитета по предупреждению пыток и других жестоких, бесчеловечных или унижающих достоинство видов обращения и наказания, CAT/C/57/4.</w:t>
      </w:r>
    </w:p>
  </w:footnote>
  <w:footnote w:id="28">
    <w:p w:rsidR="006C77FE" w:rsidRPr="001066B4" w:rsidRDefault="006C77FE" w:rsidP="001066B4">
      <w:pPr>
        <w:pStyle w:val="ae"/>
        <w:rPr>
          <w:szCs w:val="18"/>
        </w:rPr>
      </w:pPr>
      <w:r w:rsidRPr="001066B4">
        <w:rPr>
          <w:szCs w:val="18"/>
        </w:rPr>
        <w:tab/>
      </w:r>
      <w:r w:rsidRPr="001066B4">
        <w:rPr>
          <w:rStyle w:val="ab"/>
          <w:szCs w:val="18"/>
        </w:rPr>
        <w:footnoteRef/>
      </w:r>
      <w:r w:rsidRPr="001066B4">
        <w:rPr>
          <w:szCs w:val="18"/>
        </w:rPr>
        <w:tab/>
        <w:t>См.: Carla (2016) FamCA 7.</w:t>
      </w:r>
    </w:p>
  </w:footnote>
  <w:footnote w:id="29">
    <w:p w:rsidR="006C77FE" w:rsidRPr="001066B4" w:rsidRDefault="006C77FE" w:rsidP="001066B4">
      <w:pPr>
        <w:pStyle w:val="ae"/>
        <w:rPr>
          <w:szCs w:val="18"/>
        </w:rPr>
      </w:pPr>
      <w:r w:rsidRPr="001066B4">
        <w:rPr>
          <w:szCs w:val="18"/>
        </w:rPr>
        <w:tab/>
      </w:r>
      <w:r w:rsidRPr="001066B4">
        <w:rPr>
          <w:rStyle w:val="ab"/>
          <w:szCs w:val="18"/>
        </w:rPr>
        <w:footnoteRef/>
      </w:r>
      <w:r w:rsidRPr="001066B4">
        <w:rPr>
          <w:szCs w:val="18"/>
        </w:rPr>
        <w:tab/>
        <w:t>Правило 4.09(1).</w:t>
      </w:r>
    </w:p>
  </w:footnote>
  <w:footnote w:id="30">
    <w:p w:rsidR="006C77FE" w:rsidRPr="001066B4" w:rsidRDefault="006C77FE" w:rsidP="001066B4">
      <w:pPr>
        <w:pStyle w:val="ae"/>
        <w:rPr>
          <w:szCs w:val="18"/>
        </w:rPr>
      </w:pPr>
      <w:r w:rsidRPr="001066B4">
        <w:rPr>
          <w:szCs w:val="18"/>
        </w:rPr>
        <w:tab/>
      </w:r>
      <w:r w:rsidRPr="001066B4">
        <w:rPr>
          <w:rStyle w:val="ab"/>
          <w:szCs w:val="18"/>
        </w:rPr>
        <w:footnoteRef/>
      </w:r>
      <w:r w:rsidRPr="001066B4">
        <w:rPr>
          <w:szCs w:val="18"/>
        </w:rPr>
        <w:tab/>
        <w:t>Правило 4.09(2).</w:t>
      </w:r>
    </w:p>
  </w:footnote>
  <w:footnote w:id="31">
    <w:p w:rsidR="006C77FE" w:rsidRPr="001066B4" w:rsidRDefault="006C77FE" w:rsidP="001066B4">
      <w:pPr>
        <w:pStyle w:val="ae"/>
        <w:rPr>
          <w:szCs w:val="18"/>
          <w:vertAlign w:val="superscript"/>
        </w:rPr>
      </w:pPr>
      <w:r w:rsidRPr="001066B4">
        <w:rPr>
          <w:szCs w:val="18"/>
        </w:rPr>
        <w:tab/>
      </w:r>
      <w:r w:rsidRPr="001066B4">
        <w:rPr>
          <w:rStyle w:val="ab"/>
          <w:szCs w:val="18"/>
        </w:rPr>
        <w:footnoteRef/>
      </w:r>
      <w:r w:rsidRPr="001066B4">
        <w:rPr>
          <w:szCs w:val="18"/>
        </w:rPr>
        <w:tab/>
      </w:r>
      <w:r w:rsidRPr="001066B4">
        <w:rPr>
          <w:szCs w:val="18"/>
        </w:rPr>
        <w:tab/>
        <w:t>Поправка к Закону о дискриминации по признаку пола 2013 года (сексуальная ориентация, гендерная идентичность и интерсексуальный статус), № 98, 2013 год.</w:t>
      </w:r>
    </w:p>
  </w:footnote>
  <w:footnote w:id="32">
    <w:p w:rsidR="006C77FE" w:rsidRPr="001066B4" w:rsidRDefault="006C77FE" w:rsidP="001066B4">
      <w:pPr>
        <w:pStyle w:val="ae"/>
      </w:pPr>
      <w:r w:rsidRPr="001066B4">
        <w:tab/>
      </w:r>
      <w:r w:rsidRPr="001066B4">
        <w:rPr>
          <w:rStyle w:val="ab"/>
        </w:rPr>
        <w:footnoteRef/>
      </w:r>
      <w:r w:rsidRPr="001066B4">
        <w:rPr>
          <w:rStyle w:val="ab"/>
        </w:rPr>
        <w:tab/>
      </w:r>
      <w:r w:rsidRPr="001066B4">
        <w:tab/>
        <w:t xml:space="preserve">По материалам доклада САП Совету по реформе системы поддержки инвалидов. </w:t>
      </w:r>
    </w:p>
  </w:footnote>
  <w:footnote w:id="33">
    <w:p w:rsidR="006C77FE" w:rsidRPr="001066B4" w:rsidRDefault="006C77FE" w:rsidP="001066B4">
      <w:pPr>
        <w:pStyle w:val="ae"/>
      </w:pPr>
      <w:r w:rsidRPr="001066B4">
        <w:rPr>
          <w:sz w:val="24"/>
          <w:szCs w:val="24"/>
        </w:rPr>
        <w:tab/>
      </w:r>
      <w:r w:rsidRPr="001066B4">
        <w:rPr>
          <w:rStyle w:val="ab"/>
          <w:szCs w:val="18"/>
        </w:rPr>
        <w:footnoteRef/>
      </w:r>
      <w:r w:rsidRPr="001066B4">
        <w:rPr>
          <w:sz w:val="24"/>
          <w:szCs w:val="24"/>
        </w:rPr>
        <w:tab/>
      </w:r>
      <w:r w:rsidRPr="001066B4">
        <w:rPr>
          <w:sz w:val="24"/>
          <w:szCs w:val="24"/>
        </w:rPr>
        <w:tab/>
      </w:r>
      <w:r w:rsidRPr="001066B4">
        <w:t>Услуги, предоставляемые в рамках Национального согл</w:t>
      </w:r>
      <w:r w:rsidR="00176BD2">
        <w:t>ашения о поддержке инвалидов на </w:t>
      </w:r>
      <w:r w:rsidRPr="001066B4">
        <w:t>2015/16 год.</w:t>
      </w:r>
    </w:p>
  </w:footnote>
  <w:footnote w:id="34">
    <w:p w:rsidR="006C77FE" w:rsidRPr="001066B4" w:rsidRDefault="006C77FE" w:rsidP="001066B4">
      <w:pPr>
        <w:pStyle w:val="ae"/>
        <w:rPr>
          <w:szCs w:val="18"/>
        </w:rPr>
      </w:pPr>
      <w:r w:rsidRPr="001066B4">
        <w:rPr>
          <w:sz w:val="24"/>
          <w:szCs w:val="24"/>
        </w:rPr>
        <w:tab/>
      </w:r>
      <w:r w:rsidRPr="001066B4">
        <w:rPr>
          <w:rStyle w:val="ab"/>
          <w:szCs w:val="18"/>
        </w:rPr>
        <w:footnoteRef/>
      </w:r>
      <w:r w:rsidRPr="001066B4">
        <w:rPr>
          <w:szCs w:val="18"/>
        </w:rPr>
        <w:tab/>
      </w:r>
      <w:r w:rsidRPr="001066B4">
        <w:rPr>
          <w:szCs w:val="18"/>
        </w:rPr>
        <w:tab/>
        <w:t>Так</w:t>
      </w:r>
      <w:r w:rsidR="007B0A9C" w:rsidRPr="001066B4">
        <w:rPr>
          <w:szCs w:val="18"/>
        </w:rPr>
        <w:t>,</w:t>
      </w:r>
      <w:r w:rsidRPr="001066B4">
        <w:rPr>
          <w:szCs w:val="18"/>
        </w:rPr>
        <w:t xml:space="preserve"> например, Закон об оказании услуг инвалидам 2006 года (КСД), Правила оказания услуг инвалидам 2015 года (ТАС) и Закон об охране психического здоровья 2015 года (АСТ).</w:t>
      </w:r>
    </w:p>
  </w:footnote>
  <w:footnote w:id="35">
    <w:p w:rsidR="006C77FE" w:rsidRPr="001066B4" w:rsidRDefault="006C77FE" w:rsidP="001066B4">
      <w:pPr>
        <w:pStyle w:val="ae"/>
        <w:rPr>
          <w:szCs w:val="18"/>
        </w:rPr>
      </w:pPr>
      <w:r w:rsidRPr="001066B4">
        <w:rPr>
          <w:szCs w:val="18"/>
        </w:rPr>
        <w:tab/>
      </w:r>
      <w:r w:rsidRPr="001066B4">
        <w:rPr>
          <w:rStyle w:val="ab"/>
          <w:szCs w:val="18"/>
        </w:rPr>
        <w:footnoteRef/>
      </w:r>
      <w:r w:rsidRPr="001066B4">
        <w:rPr>
          <w:szCs w:val="18"/>
        </w:rPr>
        <w:tab/>
        <w:t>Закон о медицинском страховании 1973 года.</w:t>
      </w:r>
    </w:p>
  </w:footnote>
  <w:footnote w:id="36">
    <w:p w:rsidR="006C77FE" w:rsidRPr="001066B4" w:rsidRDefault="006C77FE" w:rsidP="001066B4">
      <w:pPr>
        <w:pStyle w:val="ae"/>
        <w:rPr>
          <w:szCs w:val="18"/>
        </w:rPr>
      </w:pPr>
      <w:r w:rsidRPr="001066B4">
        <w:rPr>
          <w:szCs w:val="18"/>
        </w:rPr>
        <w:tab/>
      </w:r>
      <w:r w:rsidRPr="001066B4">
        <w:rPr>
          <w:rStyle w:val="ab"/>
          <w:szCs w:val="18"/>
        </w:rPr>
        <w:footnoteRef/>
      </w:r>
      <w:r w:rsidRPr="001066B4">
        <w:rPr>
          <w:szCs w:val="18"/>
        </w:rPr>
        <w:tab/>
      </w:r>
      <w:r w:rsidRPr="001066B4">
        <w:rPr>
          <w:szCs w:val="18"/>
        </w:rPr>
        <w:tab/>
        <w:t>Например, Программа АСТ «По пути к оказанию инклюзивных услуг с учетом культурных особенностей, Координационные рамки (2014–2018 годы)», План штата Виктории по оказанию помощи инвалидам на 2013–2016 годы и План Квинсленда по оказанию медицинских услуг инвалидам на 2017–2020 годы.</w:t>
      </w:r>
    </w:p>
  </w:footnote>
  <w:footnote w:id="37">
    <w:p w:rsidR="006C77FE" w:rsidRPr="001066B4" w:rsidRDefault="006C77FE" w:rsidP="001066B4">
      <w:pPr>
        <w:pStyle w:val="ae"/>
        <w:rPr>
          <w:szCs w:val="18"/>
        </w:rPr>
      </w:pPr>
      <w:r w:rsidRPr="001066B4">
        <w:rPr>
          <w:szCs w:val="18"/>
        </w:rPr>
        <w:tab/>
      </w:r>
      <w:r w:rsidRPr="001066B4">
        <w:rPr>
          <w:rStyle w:val="ab"/>
          <w:szCs w:val="18"/>
        </w:rPr>
        <w:footnoteRef/>
      </w:r>
      <w:r w:rsidRPr="001066B4">
        <w:rPr>
          <w:szCs w:val="18"/>
        </w:rPr>
        <w:tab/>
        <w:t>Закон о Национальной системе страхования инвалидов 2013 года.</w:t>
      </w:r>
    </w:p>
  </w:footnote>
  <w:footnote w:id="38">
    <w:p w:rsidR="006C77FE" w:rsidRPr="001066B4" w:rsidRDefault="006C77FE" w:rsidP="001066B4">
      <w:pPr>
        <w:pStyle w:val="ae"/>
        <w:rPr>
          <w:szCs w:val="18"/>
        </w:rPr>
      </w:pPr>
      <w:r w:rsidRPr="001066B4">
        <w:rPr>
          <w:szCs w:val="18"/>
        </w:rPr>
        <w:tab/>
      </w:r>
      <w:r w:rsidRPr="001066B4">
        <w:rPr>
          <w:rStyle w:val="ab"/>
          <w:szCs w:val="18"/>
        </w:rPr>
        <w:footnoteRef/>
      </w:r>
      <w:r w:rsidRPr="001066B4">
        <w:rPr>
          <w:szCs w:val="18"/>
        </w:rPr>
        <w:tab/>
      </w:r>
      <w:r w:rsidRPr="001066B4">
        <w:rPr>
          <w:szCs w:val="18"/>
        </w:rPr>
        <w:tab/>
        <w:t>Департамент социального обеспечения, 2013 год, Национальные стандарты оказания услуг инвалидам, правительство Австралии [вебсайт]. &lt;</w:t>
      </w:r>
      <w:hyperlink r:id="rId2" w:history="1">
        <w:r w:rsidR="001066B4" w:rsidRPr="001066B4">
          <w:rPr>
            <w:rStyle w:val="af2"/>
            <w:color w:val="auto"/>
            <w:szCs w:val="18"/>
          </w:rPr>
          <w:t>https://www.dss.gov.au/sites/default/files/</w:t>
        </w:r>
        <w:r w:rsidR="001066B4" w:rsidRPr="001066B4">
          <w:rPr>
            <w:rStyle w:val="af2"/>
            <w:color w:val="auto"/>
            <w:szCs w:val="18"/>
          </w:rPr>
          <w:br/>
          <w:t>documents/06_2015/nsds_full_version.pdf</w:t>
        </w:r>
      </w:hyperlink>
      <w:r w:rsidRPr="001066B4">
        <w:rPr>
          <w:szCs w:val="18"/>
        </w:rPr>
        <w:t>&gt;.</w:t>
      </w:r>
    </w:p>
  </w:footnote>
  <w:footnote w:id="39">
    <w:p w:rsidR="006C77FE" w:rsidRPr="001066B4" w:rsidRDefault="006C77FE" w:rsidP="001066B4">
      <w:pPr>
        <w:pStyle w:val="ae"/>
        <w:rPr>
          <w:sz w:val="24"/>
          <w:szCs w:val="24"/>
        </w:rPr>
      </w:pPr>
      <w:r w:rsidRPr="001066B4">
        <w:rPr>
          <w:szCs w:val="18"/>
        </w:rPr>
        <w:tab/>
      </w:r>
      <w:r w:rsidRPr="001066B4">
        <w:rPr>
          <w:rStyle w:val="ab"/>
          <w:szCs w:val="18"/>
        </w:rPr>
        <w:footnoteRef/>
      </w:r>
      <w:r w:rsidRPr="001066B4">
        <w:rPr>
          <w:szCs w:val="18"/>
        </w:rPr>
        <w:tab/>
      </w:r>
      <w:r w:rsidRPr="001066B4">
        <w:rPr>
          <w:szCs w:val="18"/>
        </w:rPr>
        <w:tab/>
        <w:t>Закон об оказании услуг инвалидам 1986 года (АС). Закон о</w:t>
      </w:r>
      <w:r w:rsidR="001066B4" w:rsidRPr="001066B4">
        <w:rPr>
          <w:szCs w:val="18"/>
        </w:rPr>
        <w:t>б оказании услуг инвалидам 1993 </w:t>
      </w:r>
      <w:r w:rsidRPr="001066B4">
        <w:rPr>
          <w:szCs w:val="18"/>
        </w:rPr>
        <w:t>года (НЮУ), Закон о помощи инвалидам 2006 года (ВИК), Закон об оказании услуг инвалидам 1993 года (ЗА), Закон об оказании услуг инвалидам 2006 года (КСД), Закон об оказании услуг инвалидам 1991 года (АСТ), Закон об оказании услуг инвалидам 2011 года (ТАС), Закон об оказании услуг инвалидам 1993 года (ЮА); и Закон об оказании услуг инвалидам 1993 года (СТ).</w:t>
      </w:r>
    </w:p>
  </w:footnote>
  <w:footnote w:id="40">
    <w:p w:rsidR="006C77FE" w:rsidRPr="001066B4" w:rsidRDefault="006C77FE" w:rsidP="001066B4">
      <w:pPr>
        <w:pStyle w:val="ae"/>
      </w:pPr>
      <w:r w:rsidRPr="001066B4">
        <w:tab/>
      </w:r>
      <w:r w:rsidRPr="001066B4">
        <w:rPr>
          <w:rStyle w:val="ab"/>
        </w:rPr>
        <w:footnoteRef/>
      </w:r>
      <w:r w:rsidRPr="001066B4">
        <w:tab/>
        <w:t>См. вопрос 1 относительно позиции Австралии в отношении модели субститутивного принятия решений.</w:t>
      </w:r>
    </w:p>
  </w:footnote>
  <w:footnote w:id="41">
    <w:p w:rsidR="006C77FE" w:rsidRPr="007F4877" w:rsidRDefault="006C77FE" w:rsidP="001066B4">
      <w:pPr>
        <w:pStyle w:val="ae"/>
      </w:pPr>
      <w:r w:rsidRPr="001066B4">
        <w:rPr>
          <w:sz w:val="24"/>
          <w:szCs w:val="24"/>
        </w:rPr>
        <w:tab/>
      </w:r>
      <w:r w:rsidRPr="001066B4">
        <w:rPr>
          <w:rStyle w:val="ab"/>
          <w:szCs w:val="18"/>
        </w:rPr>
        <w:footnoteRef/>
      </w:r>
      <w:r w:rsidRPr="001066B4">
        <w:rPr>
          <w:sz w:val="24"/>
          <w:szCs w:val="24"/>
        </w:rPr>
        <w:tab/>
      </w:r>
      <w:r w:rsidRPr="001066B4">
        <w:tab/>
        <w:t>Раздел 93(8), Закон о выборах 1918 года (АС).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7FE" w:rsidRPr="00AC4452" w:rsidRDefault="006C77FE">
    <w:pPr>
      <w:pStyle w:val="a6"/>
    </w:pPr>
    <w:fldSimple w:instr=" TITLE  \* MERGEFORMAT ">
      <w:r w:rsidR="00D574B3">
        <w:t>CRPD/C/AUS/2-3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7FE" w:rsidRPr="00AC4452" w:rsidRDefault="006C77FE" w:rsidP="00AC4452">
    <w:pPr>
      <w:pStyle w:val="a6"/>
      <w:jc w:val="right"/>
    </w:pPr>
    <w:fldSimple w:instr=" TITLE  \* MERGEFORMAT ">
      <w:r w:rsidR="00D574B3">
        <w:t>CRPD/C/AUS/2-3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676EF3"/>
    <w:multiLevelType w:val="multilevel"/>
    <w:tmpl w:val="04190023"/>
    <w:styleLink w:val="a"/>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6"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4"/>
  </w:num>
  <w:num w:numId="3">
    <w:abstractNumId w:val="6"/>
  </w:num>
  <w:num w:numId="4">
    <w:abstractNumId w:val="8"/>
  </w:num>
  <w:num w:numId="5">
    <w:abstractNumId w:val="1"/>
  </w:num>
  <w:num w:numId="6">
    <w:abstractNumId w:val="5"/>
  </w:num>
  <w:num w:numId="7">
    <w:abstractNumId w:val="3"/>
  </w:num>
  <w:num w:numId="8">
    <w:abstractNumId w:val="2"/>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96A"/>
    <w:rsid w:val="00026643"/>
    <w:rsid w:val="00033EE1"/>
    <w:rsid w:val="00042B72"/>
    <w:rsid w:val="000558BD"/>
    <w:rsid w:val="00070719"/>
    <w:rsid w:val="000B57E7"/>
    <w:rsid w:val="000B6373"/>
    <w:rsid w:val="000B732B"/>
    <w:rsid w:val="000F09DF"/>
    <w:rsid w:val="000F61B2"/>
    <w:rsid w:val="000F642B"/>
    <w:rsid w:val="001066B4"/>
    <w:rsid w:val="001075E9"/>
    <w:rsid w:val="00145DD0"/>
    <w:rsid w:val="00176BD2"/>
    <w:rsid w:val="00180183"/>
    <w:rsid w:val="0018024D"/>
    <w:rsid w:val="0018649F"/>
    <w:rsid w:val="00196389"/>
    <w:rsid w:val="001B3EF6"/>
    <w:rsid w:val="001C499F"/>
    <w:rsid w:val="001C7A89"/>
    <w:rsid w:val="001E7B61"/>
    <w:rsid w:val="00215062"/>
    <w:rsid w:val="0027441B"/>
    <w:rsid w:val="002846B3"/>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81C24"/>
    <w:rsid w:val="003958D0"/>
    <w:rsid w:val="003B00E5"/>
    <w:rsid w:val="00407B78"/>
    <w:rsid w:val="00424203"/>
    <w:rsid w:val="0044580E"/>
    <w:rsid w:val="00452493"/>
    <w:rsid w:val="00453318"/>
    <w:rsid w:val="00454E07"/>
    <w:rsid w:val="00472C5C"/>
    <w:rsid w:val="0050108D"/>
    <w:rsid w:val="00513081"/>
    <w:rsid w:val="00517901"/>
    <w:rsid w:val="00526683"/>
    <w:rsid w:val="005709E0"/>
    <w:rsid w:val="00572E19"/>
    <w:rsid w:val="005961C8"/>
    <w:rsid w:val="005966F1"/>
    <w:rsid w:val="005D7914"/>
    <w:rsid w:val="005E2B41"/>
    <w:rsid w:val="005F0B42"/>
    <w:rsid w:val="00681A10"/>
    <w:rsid w:val="006A1ED8"/>
    <w:rsid w:val="006B5625"/>
    <w:rsid w:val="006C2031"/>
    <w:rsid w:val="006C77FE"/>
    <w:rsid w:val="006D461A"/>
    <w:rsid w:val="006F35EE"/>
    <w:rsid w:val="007021FF"/>
    <w:rsid w:val="00712895"/>
    <w:rsid w:val="00757357"/>
    <w:rsid w:val="007B0A9C"/>
    <w:rsid w:val="007C3F50"/>
    <w:rsid w:val="00806737"/>
    <w:rsid w:val="00825F8D"/>
    <w:rsid w:val="00833758"/>
    <w:rsid w:val="00834B71"/>
    <w:rsid w:val="0086445C"/>
    <w:rsid w:val="008934D2"/>
    <w:rsid w:val="00894693"/>
    <w:rsid w:val="008A08D7"/>
    <w:rsid w:val="008B6909"/>
    <w:rsid w:val="00903712"/>
    <w:rsid w:val="00906890"/>
    <w:rsid w:val="00911BE4"/>
    <w:rsid w:val="00951972"/>
    <w:rsid w:val="009608F3"/>
    <w:rsid w:val="009A24AC"/>
    <w:rsid w:val="00A14DA8"/>
    <w:rsid w:val="00A312BC"/>
    <w:rsid w:val="00A46B19"/>
    <w:rsid w:val="00A76CF2"/>
    <w:rsid w:val="00A84021"/>
    <w:rsid w:val="00A84D35"/>
    <w:rsid w:val="00A917B3"/>
    <w:rsid w:val="00A931C0"/>
    <w:rsid w:val="00AB4B51"/>
    <w:rsid w:val="00AC12E8"/>
    <w:rsid w:val="00AC4452"/>
    <w:rsid w:val="00B10CC7"/>
    <w:rsid w:val="00B14CE0"/>
    <w:rsid w:val="00B36DF7"/>
    <w:rsid w:val="00B539E7"/>
    <w:rsid w:val="00B62458"/>
    <w:rsid w:val="00B739FE"/>
    <w:rsid w:val="00BC18B2"/>
    <w:rsid w:val="00BD33EE"/>
    <w:rsid w:val="00C106D6"/>
    <w:rsid w:val="00C60F0C"/>
    <w:rsid w:val="00C805C9"/>
    <w:rsid w:val="00C92939"/>
    <w:rsid w:val="00CA1679"/>
    <w:rsid w:val="00CB151C"/>
    <w:rsid w:val="00CE5A1A"/>
    <w:rsid w:val="00CF55F6"/>
    <w:rsid w:val="00D33D63"/>
    <w:rsid w:val="00D574B3"/>
    <w:rsid w:val="00D86A17"/>
    <w:rsid w:val="00D90028"/>
    <w:rsid w:val="00D90138"/>
    <w:rsid w:val="00DD78D1"/>
    <w:rsid w:val="00DE32CD"/>
    <w:rsid w:val="00DF71B9"/>
    <w:rsid w:val="00DF72E3"/>
    <w:rsid w:val="00E30B7B"/>
    <w:rsid w:val="00E73F76"/>
    <w:rsid w:val="00E77684"/>
    <w:rsid w:val="00E92F15"/>
    <w:rsid w:val="00EA2C9F"/>
    <w:rsid w:val="00EA420E"/>
    <w:rsid w:val="00EB4373"/>
    <w:rsid w:val="00ED0BDA"/>
    <w:rsid w:val="00EF1360"/>
    <w:rsid w:val="00EF3220"/>
    <w:rsid w:val="00F43903"/>
    <w:rsid w:val="00F94155"/>
    <w:rsid w:val="00F9783F"/>
    <w:rsid w:val="00FD2EF7"/>
    <w:rsid w:val="00FE296A"/>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05B429"/>
  <w15:docId w15:val="{CF024151-DE85-43D0-B6CC-BCE9694F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0">
    <w:name w:val="Normal"/>
    <w:qFormat/>
    <w:rsid w:val="00B739FE"/>
    <w:pPr>
      <w:suppressAutoHyphens/>
      <w:spacing w:line="240" w:lineRule="atLeast"/>
    </w:pPr>
    <w:rPr>
      <w:rFonts w:eastAsiaTheme="minorHAnsi" w:cstheme="minorBidi"/>
      <w:szCs w:val="22"/>
      <w:lang w:val="ru-RU" w:eastAsia="en-US"/>
    </w:rPr>
  </w:style>
  <w:style w:type="paragraph" w:styleId="1">
    <w:name w:val="heading 1"/>
    <w:aliases w:val="Table_GR,Table_G"/>
    <w:basedOn w:val="a0"/>
    <w:next w:val="a0"/>
    <w:link w:val="10"/>
    <w:uiPriority w:val="9"/>
    <w:qFormat/>
    <w:rsid w:val="00E92F15"/>
    <w:pPr>
      <w:keepNext/>
      <w:numPr>
        <w:numId w:val="6"/>
      </w:numPr>
      <w:tabs>
        <w:tab w:val="left" w:pos="567"/>
      </w:tabs>
      <w:jc w:val="both"/>
      <w:outlineLvl w:val="0"/>
    </w:pPr>
    <w:rPr>
      <w:rFonts w:eastAsia="Times New Roman" w:cs="Arial"/>
      <w:b/>
      <w:bCs/>
      <w:szCs w:val="32"/>
      <w:lang w:eastAsia="ru-RU"/>
    </w:rPr>
  </w:style>
  <w:style w:type="paragraph" w:styleId="2">
    <w:name w:val="heading 2"/>
    <w:basedOn w:val="a0"/>
    <w:next w:val="a0"/>
    <w:link w:val="20"/>
    <w:uiPriority w:val="9"/>
    <w:qFormat/>
    <w:rsid w:val="007C3F50"/>
    <w:pPr>
      <w:keepNext/>
      <w:numPr>
        <w:ilvl w:val="1"/>
        <w:numId w:val="6"/>
      </w:numPr>
      <w:outlineLvl w:val="1"/>
    </w:pPr>
    <w:rPr>
      <w:rFonts w:cs="Arial"/>
      <w:bCs/>
      <w:iCs/>
      <w:szCs w:val="28"/>
    </w:rPr>
  </w:style>
  <w:style w:type="paragraph" w:styleId="3">
    <w:name w:val="heading 3"/>
    <w:basedOn w:val="a0"/>
    <w:next w:val="a0"/>
    <w:link w:val="30"/>
    <w:uiPriority w:val="9"/>
    <w:qFormat/>
    <w:rsid w:val="007C3F50"/>
    <w:pPr>
      <w:keepNext/>
      <w:numPr>
        <w:ilvl w:val="2"/>
        <w:numId w:val="6"/>
      </w:numPr>
      <w:spacing w:before="240" w:after="60"/>
      <w:outlineLvl w:val="2"/>
    </w:pPr>
    <w:rPr>
      <w:rFonts w:ascii="Arial" w:hAnsi="Arial" w:cs="Arial"/>
      <w:b/>
      <w:bCs/>
      <w:sz w:val="26"/>
      <w:szCs w:val="26"/>
    </w:rPr>
  </w:style>
  <w:style w:type="paragraph" w:styleId="4">
    <w:name w:val="heading 4"/>
    <w:basedOn w:val="a0"/>
    <w:next w:val="a0"/>
    <w:link w:val="40"/>
    <w:uiPriority w:val="9"/>
    <w:qFormat/>
    <w:rsid w:val="007C3F50"/>
    <w:pPr>
      <w:keepNext/>
      <w:numPr>
        <w:ilvl w:val="3"/>
        <w:numId w:val="6"/>
      </w:numPr>
      <w:spacing w:before="240" w:after="60"/>
      <w:outlineLvl w:val="3"/>
    </w:pPr>
    <w:rPr>
      <w:b/>
      <w:bCs/>
      <w:sz w:val="28"/>
      <w:szCs w:val="28"/>
    </w:rPr>
  </w:style>
  <w:style w:type="paragraph" w:styleId="5">
    <w:name w:val="heading 5"/>
    <w:basedOn w:val="a0"/>
    <w:next w:val="a0"/>
    <w:link w:val="50"/>
    <w:qFormat/>
    <w:rsid w:val="007C3F50"/>
    <w:pPr>
      <w:numPr>
        <w:ilvl w:val="4"/>
        <w:numId w:val="6"/>
      </w:numPr>
      <w:spacing w:before="240" w:after="60"/>
      <w:outlineLvl w:val="4"/>
    </w:pPr>
    <w:rPr>
      <w:b/>
      <w:bCs/>
      <w:i/>
      <w:iCs/>
      <w:sz w:val="26"/>
      <w:szCs w:val="26"/>
    </w:rPr>
  </w:style>
  <w:style w:type="paragraph" w:styleId="6">
    <w:name w:val="heading 6"/>
    <w:basedOn w:val="a0"/>
    <w:next w:val="a0"/>
    <w:link w:val="60"/>
    <w:qFormat/>
    <w:rsid w:val="007C3F50"/>
    <w:pPr>
      <w:numPr>
        <w:ilvl w:val="5"/>
        <w:numId w:val="6"/>
      </w:numPr>
      <w:spacing w:before="240" w:after="60"/>
      <w:outlineLvl w:val="5"/>
    </w:pPr>
    <w:rPr>
      <w:b/>
      <w:bCs/>
      <w:sz w:val="22"/>
    </w:rPr>
  </w:style>
  <w:style w:type="paragraph" w:styleId="7">
    <w:name w:val="heading 7"/>
    <w:basedOn w:val="a0"/>
    <w:next w:val="a0"/>
    <w:link w:val="70"/>
    <w:qFormat/>
    <w:rsid w:val="007C3F50"/>
    <w:pPr>
      <w:numPr>
        <w:ilvl w:val="6"/>
        <w:numId w:val="6"/>
      </w:numPr>
      <w:spacing w:before="240" w:after="60"/>
      <w:outlineLvl w:val="6"/>
    </w:pPr>
    <w:rPr>
      <w:sz w:val="24"/>
      <w:szCs w:val="24"/>
    </w:rPr>
  </w:style>
  <w:style w:type="paragraph" w:styleId="8">
    <w:name w:val="heading 8"/>
    <w:basedOn w:val="a0"/>
    <w:next w:val="a0"/>
    <w:link w:val="80"/>
    <w:qFormat/>
    <w:rsid w:val="007C3F50"/>
    <w:pPr>
      <w:numPr>
        <w:ilvl w:val="7"/>
        <w:numId w:val="6"/>
      </w:numPr>
      <w:spacing w:before="240" w:after="60"/>
      <w:outlineLvl w:val="7"/>
    </w:pPr>
    <w:rPr>
      <w:i/>
      <w:iCs/>
      <w:sz w:val="24"/>
      <w:szCs w:val="24"/>
    </w:rPr>
  </w:style>
  <w:style w:type="paragraph" w:styleId="9">
    <w:name w:val="heading 9"/>
    <w:basedOn w:val="a0"/>
    <w:next w:val="a0"/>
    <w:link w:val="90"/>
    <w:qFormat/>
    <w:rsid w:val="007C3F50"/>
    <w:pPr>
      <w:numPr>
        <w:ilvl w:val="8"/>
        <w:numId w:val="6"/>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rsid w:val="007C3F50"/>
    <w:pPr>
      <w:spacing w:line="240" w:lineRule="auto"/>
    </w:pPr>
    <w:rPr>
      <w:rFonts w:ascii="Tahoma" w:hAnsi="Tahoma" w:cs="Tahoma"/>
      <w:sz w:val="16"/>
      <w:szCs w:val="16"/>
    </w:rPr>
  </w:style>
  <w:style w:type="character" w:customStyle="1" w:styleId="a5">
    <w:name w:val="Текст выноски Знак"/>
    <w:basedOn w:val="a1"/>
    <w:link w:val="a4"/>
    <w:uiPriority w:val="99"/>
    <w:rsid w:val="007C3F50"/>
    <w:rPr>
      <w:rFonts w:ascii="Tahoma" w:eastAsiaTheme="minorHAnsi" w:hAnsi="Tahoma" w:cs="Tahoma"/>
      <w:spacing w:val="4"/>
      <w:w w:val="103"/>
      <w:kern w:val="14"/>
      <w:sz w:val="16"/>
      <w:szCs w:val="16"/>
      <w:lang w:val="ru-RU" w:eastAsia="en-US"/>
    </w:rPr>
  </w:style>
  <w:style w:type="paragraph" w:customStyle="1" w:styleId="HMGR">
    <w:name w:val="_ H __M_GR"/>
    <w:basedOn w:val="a0"/>
    <w:next w:val="a0"/>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0"/>
    <w:next w:val="a0"/>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0"/>
    <w:next w:val="a0"/>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0"/>
    <w:next w:val="a0"/>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0"/>
    <w:next w:val="a0"/>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0"/>
    <w:next w:val="a0"/>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0"/>
    <w:qFormat/>
    <w:rsid w:val="00E92F15"/>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0"/>
    <w:next w:val="a0"/>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0"/>
    <w:next w:val="a0"/>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0"/>
    <w:next w:val="a0"/>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0"/>
    <w:next w:val="a0"/>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0"/>
    <w:qFormat/>
    <w:rsid w:val="00E92F15"/>
    <w:pPr>
      <w:numPr>
        <w:numId w:val="1"/>
      </w:numPr>
      <w:spacing w:after="120"/>
      <w:ind w:right="1134"/>
      <w:jc w:val="both"/>
    </w:pPr>
    <w:rPr>
      <w:rFonts w:eastAsia="Times New Roman" w:cs="Times New Roman"/>
      <w:szCs w:val="20"/>
      <w:lang w:eastAsia="ru-RU"/>
    </w:rPr>
  </w:style>
  <w:style w:type="paragraph" w:customStyle="1" w:styleId="Bullet2GR">
    <w:name w:val="_Bullet 2_GR"/>
    <w:basedOn w:val="a0"/>
    <w:qFormat/>
    <w:rsid w:val="00E92F15"/>
    <w:pPr>
      <w:numPr>
        <w:numId w:val="2"/>
      </w:numPr>
      <w:spacing w:after="120"/>
      <w:ind w:right="1134"/>
      <w:jc w:val="both"/>
    </w:pPr>
    <w:rPr>
      <w:rFonts w:eastAsia="Times New Roman" w:cs="Times New Roman"/>
      <w:szCs w:val="20"/>
      <w:lang w:eastAsia="ru-RU"/>
    </w:rPr>
  </w:style>
  <w:style w:type="paragraph" w:customStyle="1" w:styleId="ParaNoGR">
    <w:name w:val="_ParaNo._GR"/>
    <w:basedOn w:val="a0"/>
    <w:next w:val="a0"/>
    <w:qFormat/>
    <w:rsid w:val="00E92F15"/>
    <w:pPr>
      <w:numPr>
        <w:numId w:val="3"/>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2"/>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R,6_G"/>
    <w:basedOn w:val="a0"/>
    <w:next w:val="a0"/>
    <w:link w:val="a7"/>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R Знак,6_G Знак"/>
    <w:basedOn w:val="a1"/>
    <w:link w:val="a6"/>
    <w:rsid w:val="00E92F15"/>
    <w:rPr>
      <w:b/>
      <w:sz w:val="18"/>
      <w:lang w:val="en-GB" w:eastAsia="ru-RU"/>
    </w:rPr>
  </w:style>
  <w:style w:type="character" w:styleId="a8">
    <w:name w:val="page number"/>
    <w:aliases w:val="7_GR,7_G"/>
    <w:basedOn w:val="a1"/>
    <w:qFormat/>
    <w:rsid w:val="00E92F15"/>
    <w:rPr>
      <w:rFonts w:ascii="Times New Roman" w:hAnsi="Times New Roman"/>
      <w:b/>
      <w:sz w:val="18"/>
    </w:rPr>
  </w:style>
  <w:style w:type="paragraph" w:styleId="a9">
    <w:name w:val="footer"/>
    <w:aliases w:val="3_GR,3_G"/>
    <w:basedOn w:val="a0"/>
    <w:link w:val="aa"/>
    <w:qFormat/>
    <w:rsid w:val="00E92F15"/>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R Знак,3_G Знак"/>
    <w:basedOn w:val="a1"/>
    <w:link w:val="a9"/>
    <w:rsid w:val="00E92F15"/>
    <w:rPr>
      <w:sz w:val="16"/>
      <w:lang w:val="en-GB" w:eastAsia="ru-RU"/>
    </w:rPr>
  </w:style>
  <w:style w:type="character" w:styleId="ab">
    <w:name w:val="footnote reference"/>
    <w:aliases w:val="4_GR,4_G"/>
    <w:basedOn w:val="a1"/>
    <w:qFormat/>
    <w:rsid w:val="00E92F15"/>
    <w:rPr>
      <w:rFonts w:ascii="Times New Roman" w:hAnsi="Times New Roman"/>
      <w:dstrike w:val="0"/>
      <w:sz w:val="18"/>
      <w:vertAlign w:val="superscript"/>
    </w:rPr>
  </w:style>
  <w:style w:type="character" w:styleId="ac">
    <w:name w:val="endnote reference"/>
    <w:aliases w:val="1_GR,1_G"/>
    <w:basedOn w:val="ab"/>
    <w:qFormat/>
    <w:rsid w:val="00E92F15"/>
    <w:rPr>
      <w:rFonts w:ascii="Times New Roman" w:hAnsi="Times New Roman"/>
      <w:dstrike w:val="0"/>
      <w:sz w:val="18"/>
      <w:vertAlign w:val="superscript"/>
    </w:rPr>
  </w:style>
  <w:style w:type="table" w:styleId="ad">
    <w:name w:val="Table Grid"/>
    <w:basedOn w:val="a2"/>
    <w:uiPriority w:val="59"/>
    <w:rsid w:val="00E92F15"/>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aliases w:val="5_GR,5_G"/>
    <w:basedOn w:val="a0"/>
    <w:link w:val="af"/>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R Знак,5_G Знак"/>
    <w:basedOn w:val="a1"/>
    <w:link w:val="ae"/>
    <w:rsid w:val="00E92F15"/>
    <w:rPr>
      <w:sz w:val="18"/>
      <w:lang w:val="ru-RU" w:eastAsia="ru-RU"/>
    </w:rPr>
  </w:style>
  <w:style w:type="paragraph" w:styleId="af0">
    <w:name w:val="endnote text"/>
    <w:aliases w:val="2_GR,2_G"/>
    <w:basedOn w:val="ae"/>
    <w:link w:val="af1"/>
    <w:qFormat/>
    <w:rsid w:val="00E92F15"/>
  </w:style>
  <w:style w:type="character" w:customStyle="1" w:styleId="af1">
    <w:name w:val="Текст концевой сноски Знак"/>
    <w:aliases w:val="2_GR Знак,2_G Знак"/>
    <w:basedOn w:val="a1"/>
    <w:link w:val="af0"/>
    <w:rsid w:val="00E92F15"/>
    <w:rPr>
      <w:sz w:val="18"/>
      <w:lang w:val="ru-RU" w:eastAsia="ru-RU"/>
    </w:rPr>
  </w:style>
  <w:style w:type="character" w:customStyle="1" w:styleId="10">
    <w:name w:val="Заголовок 1 Знак"/>
    <w:aliases w:val="Table_GR Знак,Table_G Знак"/>
    <w:basedOn w:val="a1"/>
    <w:link w:val="1"/>
    <w:uiPriority w:val="9"/>
    <w:rsid w:val="00E92F15"/>
    <w:rPr>
      <w:rFonts w:cs="Arial"/>
      <w:b/>
      <w:bCs/>
      <w:szCs w:val="32"/>
      <w:lang w:val="ru-RU" w:eastAsia="ru-RU"/>
    </w:rPr>
  </w:style>
  <w:style w:type="character" w:styleId="af2">
    <w:name w:val="Hyperlink"/>
    <w:basedOn w:val="a1"/>
    <w:unhideWhenUsed/>
    <w:rsid w:val="00E92F15"/>
    <w:rPr>
      <w:color w:val="0000FF" w:themeColor="hyperlink"/>
      <w:u w:val="none"/>
    </w:rPr>
  </w:style>
  <w:style w:type="character" w:styleId="af3">
    <w:name w:val="FollowedHyperlink"/>
    <w:basedOn w:val="a1"/>
    <w:semiHidden/>
    <w:unhideWhenUsed/>
    <w:rsid w:val="00E92F15"/>
    <w:rPr>
      <w:color w:val="800080" w:themeColor="followedHyperlink"/>
      <w:u w:val="none"/>
    </w:rPr>
  </w:style>
  <w:style w:type="numbering" w:styleId="111111">
    <w:name w:val="Outline List 2"/>
    <w:basedOn w:val="a3"/>
    <w:semiHidden/>
    <w:rsid w:val="006C77FE"/>
    <w:pPr>
      <w:numPr>
        <w:numId w:val="4"/>
      </w:numPr>
    </w:pPr>
  </w:style>
  <w:style w:type="numbering" w:styleId="1ai">
    <w:name w:val="Outline List 1"/>
    <w:basedOn w:val="a3"/>
    <w:semiHidden/>
    <w:rsid w:val="006C77FE"/>
    <w:pPr>
      <w:numPr>
        <w:numId w:val="5"/>
      </w:numPr>
    </w:pPr>
  </w:style>
  <w:style w:type="paragraph" w:styleId="HTML">
    <w:name w:val="HTML Address"/>
    <w:basedOn w:val="a0"/>
    <w:link w:val="HTML0"/>
    <w:semiHidden/>
    <w:rsid w:val="006C77FE"/>
    <w:pPr>
      <w:suppressAutoHyphens w:val="0"/>
    </w:pPr>
    <w:rPr>
      <w:rFonts w:eastAsia="Times New Roman" w:cs="Times New Roman"/>
      <w:i/>
      <w:iCs/>
      <w:spacing w:val="4"/>
      <w:w w:val="103"/>
      <w:kern w:val="14"/>
      <w:szCs w:val="20"/>
    </w:rPr>
  </w:style>
  <w:style w:type="character" w:customStyle="1" w:styleId="HTML0">
    <w:name w:val="Адрес HTML Знак"/>
    <w:basedOn w:val="a1"/>
    <w:link w:val="HTML"/>
    <w:semiHidden/>
    <w:rsid w:val="006C77FE"/>
    <w:rPr>
      <w:i/>
      <w:iCs/>
      <w:spacing w:val="4"/>
      <w:w w:val="103"/>
      <w:kern w:val="14"/>
      <w:lang w:val="ru-RU" w:eastAsia="en-US"/>
    </w:rPr>
  </w:style>
  <w:style w:type="paragraph" w:styleId="af4">
    <w:name w:val="envelope address"/>
    <w:basedOn w:val="a0"/>
    <w:semiHidden/>
    <w:rsid w:val="006C77FE"/>
    <w:pPr>
      <w:framePr w:w="7920" w:h="1980" w:hRule="exact" w:hSpace="180" w:wrap="auto" w:hAnchor="page" w:xAlign="center" w:yAlign="bottom"/>
      <w:suppressAutoHyphens w:val="0"/>
      <w:ind w:left="2880"/>
    </w:pPr>
    <w:rPr>
      <w:rFonts w:ascii="Arial" w:eastAsia="Times New Roman" w:hAnsi="Arial" w:cs="Arial"/>
      <w:spacing w:val="4"/>
      <w:w w:val="103"/>
      <w:kern w:val="14"/>
      <w:sz w:val="24"/>
      <w:szCs w:val="20"/>
    </w:rPr>
  </w:style>
  <w:style w:type="paragraph" w:styleId="af5">
    <w:name w:val="Date"/>
    <w:basedOn w:val="a0"/>
    <w:next w:val="a0"/>
    <w:link w:val="af6"/>
    <w:rsid w:val="006C77FE"/>
    <w:pPr>
      <w:suppressAutoHyphens w:val="0"/>
    </w:pPr>
    <w:rPr>
      <w:rFonts w:eastAsia="Times New Roman" w:cs="Times New Roman"/>
      <w:spacing w:val="4"/>
      <w:w w:val="103"/>
      <w:kern w:val="14"/>
      <w:szCs w:val="20"/>
    </w:rPr>
  </w:style>
  <w:style w:type="character" w:customStyle="1" w:styleId="af6">
    <w:name w:val="Дата Знак"/>
    <w:basedOn w:val="a1"/>
    <w:link w:val="af5"/>
    <w:rsid w:val="006C77FE"/>
    <w:rPr>
      <w:spacing w:val="4"/>
      <w:w w:val="103"/>
      <w:kern w:val="14"/>
      <w:lang w:val="ru-RU" w:eastAsia="en-US"/>
    </w:rPr>
  </w:style>
  <w:style w:type="paragraph" w:styleId="51">
    <w:name w:val="List Bullet 5"/>
    <w:basedOn w:val="a0"/>
    <w:semiHidden/>
    <w:rsid w:val="006C77FE"/>
    <w:pPr>
      <w:tabs>
        <w:tab w:val="num" w:pos="1492"/>
      </w:tabs>
      <w:suppressAutoHyphens w:val="0"/>
      <w:ind w:left="1492" w:hanging="360"/>
    </w:pPr>
    <w:rPr>
      <w:rFonts w:eastAsia="Times New Roman" w:cs="Times New Roman"/>
      <w:spacing w:val="4"/>
      <w:w w:val="103"/>
      <w:kern w:val="14"/>
      <w:szCs w:val="20"/>
    </w:rPr>
  </w:style>
  <w:style w:type="table" w:styleId="11">
    <w:name w:val="Table Simple 1"/>
    <w:basedOn w:val="a2"/>
    <w:semiHidden/>
    <w:rsid w:val="006C77FE"/>
    <w:pPr>
      <w:spacing w:line="240" w:lineRule="atLeast"/>
    </w:pPr>
    <w:rPr>
      <w:lang w:val="ru-RU"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TML1">
    <w:name w:val="HTML Acronym"/>
    <w:basedOn w:val="a1"/>
    <w:semiHidden/>
    <w:rsid w:val="006C77FE"/>
  </w:style>
  <w:style w:type="table" w:styleId="-1">
    <w:name w:val="Table Web 1"/>
    <w:basedOn w:val="a2"/>
    <w:semiHidden/>
    <w:rsid w:val="006C77FE"/>
    <w:pPr>
      <w:spacing w:after="120" w:line="200" w:lineRule="atLeast"/>
    </w:pPr>
    <w:rPr>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6C77FE"/>
    <w:pPr>
      <w:spacing w:after="120" w:line="200" w:lineRule="atLeast"/>
    </w:pPr>
    <w:rPr>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7">
    <w:name w:val="Emphasis"/>
    <w:basedOn w:val="a1"/>
    <w:qFormat/>
    <w:rsid w:val="006C77FE"/>
    <w:rPr>
      <w:i/>
      <w:iCs/>
    </w:rPr>
  </w:style>
  <w:style w:type="paragraph" w:styleId="af8">
    <w:name w:val="Note Heading"/>
    <w:basedOn w:val="a0"/>
    <w:next w:val="a0"/>
    <w:link w:val="af9"/>
    <w:semiHidden/>
    <w:rsid w:val="006C77FE"/>
    <w:pPr>
      <w:suppressAutoHyphens w:val="0"/>
    </w:pPr>
    <w:rPr>
      <w:rFonts w:eastAsia="Times New Roman" w:cs="Times New Roman"/>
      <w:spacing w:val="4"/>
      <w:w w:val="103"/>
      <w:kern w:val="14"/>
      <w:szCs w:val="20"/>
    </w:rPr>
  </w:style>
  <w:style w:type="character" w:customStyle="1" w:styleId="af9">
    <w:name w:val="Заголовок записки Знак"/>
    <w:basedOn w:val="a1"/>
    <w:link w:val="af8"/>
    <w:semiHidden/>
    <w:rsid w:val="006C77FE"/>
    <w:rPr>
      <w:spacing w:val="4"/>
      <w:w w:val="103"/>
      <w:kern w:val="14"/>
      <w:lang w:val="ru-RU" w:eastAsia="en-US"/>
    </w:rPr>
  </w:style>
  <w:style w:type="table" w:styleId="afa">
    <w:name w:val="Table Elegant"/>
    <w:basedOn w:val="a2"/>
    <w:semiHidden/>
    <w:rsid w:val="006C77FE"/>
    <w:pPr>
      <w:spacing w:after="120" w:line="200" w:lineRule="atLeast"/>
    </w:pPr>
    <w:rPr>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2"/>
    <w:semiHidden/>
    <w:rsid w:val="006C77FE"/>
    <w:pPr>
      <w:spacing w:after="120" w:line="200" w:lineRule="atLeast"/>
    </w:pPr>
    <w:rPr>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Subtle 2"/>
    <w:basedOn w:val="a2"/>
    <w:semiHidden/>
    <w:rsid w:val="006C77FE"/>
    <w:pPr>
      <w:spacing w:after="120" w:line="200" w:lineRule="atLeast"/>
    </w:pPr>
    <w:rPr>
      <w:lang w:val="ru-RU"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1"/>
    <w:semiHidden/>
    <w:rsid w:val="006C77FE"/>
    <w:rPr>
      <w:rFonts w:ascii="Courier New" w:hAnsi="Courier New" w:cs="Courier New"/>
      <w:sz w:val="20"/>
      <w:szCs w:val="20"/>
    </w:rPr>
  </w:style>
  <w:style w:type="table" w:styleId="13">
    <w:name w:val="Table Classic 1"/>
    <w:basedOn w:val="a2"/>
    <w:semiHidden/>
    <w:rsid w:val="006C77FE"/>
    <w:pPr>
      <w:spacing w:after="120" w:line="200" w:lineRule="atLeast"/>
    </w:pPr>
    <w:rPr>
      <w:lang w:val="ru-RU"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Classic 2"/>
    <w:basedOn w:val="a2"/>
    <w:semiHidden/>
    <w:rsid w:val="006C77FE"/>
    <w:pPr>
      <w:spacing w:after="120" w:line="200" w:lineRule="atLeast"/>
    </w:pPr>
    <w:rPr>
      <w:lang w:val="ru-RU"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1">
    <w:name w:val="Table Classic 3"/>
    <w:basedOn w:val="a2"/>
    <w:semiHidden/>
    <w:rsid w:val="006C77FE"/>
    <w:pPr>
      <w:spacing w:after="120" w:line="200" w:lineRule="atLeast"/>
    </w:pPr>
    <w:rPr>
      <w:color w:val="000080"/>
      <w:lang w:val="ru-RU"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2"/>
    <w:semiHidden/>
    <w:rsid w:val="006C77FE"/>
    <w:pPr>
      <w:spacing w:after="120" w:line="200" w:lineRule="atLeast"/>
    </w:pPr>
    <w:rPr>
      <w:lang w:val="ru-RU"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1"/>
    <w:semiHidden/>
    <w:rsid w:val="006C77FE"/>
    <w:rPr>
      <w:rFonts w:ascii="Courier New" w:hAnsi="Courier New" w:cs="Courier New"/>
      <w:sz w:val="20"/>
      <w:szCs w:val="20"/>
    </w:rPr>
  </w:style>
  <w:style w:type="paragraph" w:styleId="afb">
    <w:name w:val="Body Text"/>
    <w:basedOn w:val="a0"/>
    <w:link w:val="afc"/>
    <w:semiHidden/>
    <w:rsid w:val="006C77FE"/>
    <w:pPr>
      <w:suppressAutoHyphens w:val="0"/>
    </w:pPr>
    <w:rPr>
      <w:rFonts w:eastAsia="Times New Roman" w:cs="Times New Roman"/>
      <w:spacing w:val="4"/>
      <w:w w:val="103"/>
      <w:kern w:val="14"/>
      <w:szCs w:val="20"/>
    </w:rPr>
  </w:style>
  <w:style w:type="character" w:customStyle="1" w:styleId="afc">
    <w:name w:val="Основной текст Знак"/>
    <w:basedOn w:val="a1"/>
    <w:link w:val="afb"/>
    <w:semiHidden/>
    <w:rsid w:val="006C77FE"/>
    <w:rPr>
      <w:spacing w:val="4"/>
      <w:w w:val="103"/>
      <w:kern w:val="14"/>
      <w:lang w:val="ru-RU" w:eastAsia="en-US"/>
    </w:rPr>
  </w:style>
  <w:style w:type="paragraph" w:styleId="afd">
    <w:name w:val="Body Text First Indent"/>
    <w:basedOn w:val="afb"/>
    <w:link w:val="afe"/>
    <w:rsid w:val="006C77FE"/>
    <w:pPr>
      <w:ind w:firstLine="210"/>
    </w:pPr>
  </w:style>
  <w:style w:type="character" w:customStyle="1" w:styleId="afe">
    <w:name w:val="Красная строка Знак"/>
    <w:basedOn w:val="afc"/>
    <w:link w:val="afd"/>
    <w:rsid w:val="006C77FE"/>
    <w:rPr>
      <w:spacing w:val="4"/>
      <w:w w:val="103"/>
      <w:kern w:val="14"/>
      <w:lang w:val="ru-RU" w:eastAsia="en-US"/>
    </w:rPr>
  </w:style>
  <w:style w:type="paragraph" w:styleId="aff">
    <w:name w:val="Body Text Indent"/>
    <w:basedOn w:val="a0"/>
    <w:link w:val="aff0"/>
    <w:semiHidden/>
    <w:rsid w:val="006C77FE"/>
    <w:pPr>
      <w:suppressAutoHyphens w:val="0"/>
      <w:ind w:left="283"/>
    </w:pPr>
    <w:rPr>
      <w:rFonts w:eastAsia="Times New Roman" w:cs="Times New Roman"/>
      <w:spacing w:val="4"/>
      <w:w w:val="103"/>
      <w:kern w:val="14"/>
      <w:szCs w:val="20"/>
    </w:rPr>
  </w:style>
  <w:style w:type="character" w:customStyle="1" w:styleId="aff0">
    <w:name w:val="Основной текст с отступом Знак"/>
    <w:basedOn w:val="a1"/>
    <w:link w:val="aff"/>
    <w:semiHidden/>
    <w:rsid w:val="006C77FE"/>
    <w:rPr>
      <w:spacing w:val="4"/>
      <w:w w:val="103"/>
      <w:kern w:val="14"/>
      <w:lang w:val="ru-RU" w:eastAsia="en-US"/>
    </w:rPr>
  </w:style>
  <w:style w:type="paragraph" w:styleId="23">
    <w:name w:val="Body Text First Indent 2"/>
    <w:basedOn w:val="aff"/>
    <w:link w:val="24"/>
    <w:semiHidden/>
    <w:rsid w:val="006C77FE"/>
    <w:pPr>
      <w:ind w:firstLine="210"/>
    </w:pPr>
  </w:style>
  <w:style w:type="character" w:customStyle="1" w:styleId="24">
    <w:name w:val="Красная строка 2 Знак"/>
    <w:basedOn w:val="aff0"/>
    <w:link w:val="23"/>
    <w:semiHidden/>
    <w:rsid w:val="006C77FE"/>
    <w:rPr>
      <w:spacing w:val="4"/>
      <w:w w:val="103"/>
      <w:kern w:val="14"/>
      <w:lang w:val="ru-RU" w:eastAsia="en-US"/>
    </w:rPr>
  </w:style>
  <w:style w:type="paragraph" w:styleId="aff1">
    <w:name w:val="List Bullet"/>
    <w:basedOn w:val="a0"/>
    <w:semiHidden/>
    <w:rsid w:val="006C77FE"/>
    <w:pPr>
      <w:tabs>
        <w:tab w:val="num" w:pos="360"/>
      </w:tabs>
      <w:suppressAutoHyphens w:val="0"/>
      <w:ind w:left="360" w:hanging="360"/>
    </w:pPr>
    <w:rPr>
      <w:rFonts w:eastAsia="Times New Roman" w:cs="Times New Roman"/>
      <w:spacing w:val="4"/>
      <w:w w:val="103"/>
      <w:kern w:val="14"/>
      <w:szCs w:val="20"/>
    </w:rPr>
  </w:style>
  <w:style w:type="paragraph" w:styleId="25">
    <w:name w:val="List Bullet 2"/>
    <w:basedOn w:val="a0"/>
    <w:semiHidden/>
    <w:rsid w:val="006C77FE"/>
    <w:pPr>
      <w:tabs>
        <w:tab w:val="num" w:pos="643"/>
      </w:tabs>
      <w:suppressAutoHyphens w:val="0"/>
      <w:ind w:left="643" w:hanging="360"/>
    </w:pPr>
    <w:rPr>
      <w:rFonts w:eastAsia="Times New Roman" w:cs="Times New Roman"/>
      <w:spacing w:val="4"/>
      <w:w w:val="103"/>
      <w:kern w:val="14"/>
      <w:szCs w:val="20"/>
    </w:rPr>
  </w:style>
  <w:style w:type="paragraph" w:styleId="32">
    <w:name w:val="List Bullet 3"/>
    <w:basedOn w:val="a0"/>
    <w:semiHidden/>
    <w:rsid w:val="006C77FE"/>
    <w:pPr>
      <w:tabs>
        <w:tab w:val="num" w:pos="926"/>
      </w:tabs>
      <w:suppressAutoHyphens w:val="0"/>
      <w:ind w:left="926" w:hanging="360"/>
    </w:pPr>
    <w:rPr>
      <w:rFonts w:eastAsia="Times New Roman" w:cs="Times New Roman"/>
      <w:spacing w:val="4"/>
      <w:w w:val="103"/>
      <w:kern w:val="14"/>
      <w:szCs w:val="20"/>
    </w:rPr>
  </w:style>
  <w:style w:type="paragraph" w:styleId="42">
    <w:name w:val="List Bullet 4"/>
    <w:basedOn w:val="a0"/>
    <w:semiHidden/>
    <w:rsid w:val="006C77FE"/>
    <w:pPr>
      <w:tabs>
        <w:tab w:val="num" w:pos="1209"/>
      </w:tabs>
      <w:suppressAutoHyphens w:val="0"/>
      <w:ind w:left="1209" w:hanging="360"/>
    </w:pPr>
    <w:rPr>
      <w:rFonts w:eastAsia="Times New Roman" w:cs="Times New Roman"/>
      <w:spacing w:val="4"/>
      <w:w w:val="103"/>
      <w:kern w:val="14"/>
      <w:szCs w:val="20"/>
    </w:rPr>
  </w:style>
  <w:style w:type="paragraph" w:styleId="aff2">
    <w:name w:val="Title"/>
    <w:basedOn w:val="a0"/>
    <w:link w:val="aff3"/>
    <w:qFormat/>
    <w:rsid w:val="006C77FE"/>
    <w:pPr>
      <w:suppressAutoHyphens w:val="0"/>
      <w:spacing w:before="240" w:after="60"/>
      <w:jc w:val="center"/>
      <w:outlineLvl w:val="0"/>
    </w:pPr>
    <w:rPr>
      <w:rFonts w:ascii="Arial" w:eastAsia="Times New Roman" w:hAnsi="Arial" w:cs="Arial"/>
      <w:b/>
      <w:bCs/>
      <w:spacing w:val="4"/>
      <w:w w:val="103"/>
      <w:kern w:val="28"/>
      <w:sz w:val="32"/>
      <w:szCs w:val="32"/>
    </w:rPr>
  </w:style>
  <w:style w:type="character" w:customStyle="1" w:styleId="aff3">
    <w:name w:val="Заголовок Знак"/>
    <w:basedOn w:val="a1"/>
    <w:link w:val="aff2"/>
    <w:rsid w:val="006C77FE"/>
    <w:rPr>
      <w:rFonts w:ascii="Arial" w:hAnsi="Arial" w:cs="Arial"/>
      <w:b/>
      <w:bCs/>
      <w:spacing w:val="4"/>
      <w:w w:val="103"/>
      <w:kern w:val="28"/>
      <w:sz w:val="32"/>
      <w:szCs w:val="32"/>
      <w:lang w:val="ru-RU" w:eastAsia="en-US"/>
    </w:rPr>
  </w:style>
  <w:style w:type="character" w:styleId="aff4">
    <w:name w:val="line number"/>
    <w:basedOn w:val="a1"/>
    <w:semiHidden/>
    <w:rsid w:val="006C77FE"/>
  </w:style>
  <w:style w:type="paragraph" w:styleId="aff5">
    <w:name w:val="List Number"/>
    <w:basedOn w:val="a0"/>
    <w:rsid w:val="006C77FE"/>
    <w:pPr>
      <w:tabs>
        <w:tab w:val="num" w:pos="360"/>
      </w:tabs>
      <w:suppressAutoHyphens w:val="0"/>
      <w:ind w:left="360" w:hanging="360"/>
    </w:pPr>
    <w:rPr>
      <w:rFonts w:eastAsia="Times New Roman" w:cs="Times New Roman"/>
      <w:spacing w:val="4"/>
      <w:w w:val="103"/>
      <w:kern w:val="14"/>
      <w:szCs w:val="20"/>
    </w:rPr>
  </w:style>
  <w:style w:type="paragraph" w:styleId="26">
    <w:name w:val="List Number 2"/>
    <w:basedOn w:val="a0"/>
    <w:semiHidden/>
    <w:rsid w:val="006C77FE"/>
    <w:pPr>
      <w:tabs>
        <w:tab w:val="num" w:pos="643"/>
      </w:tabs>
      <w:suppressAutoHyphens w:val="0"/>
      <w:ind w:left="643" w:hanging="360"/>
    </w:pPr>
    <w:rPr>
      <w:rFonts w:eastAsia="Times New Roman" w:cs="Times New Roman"/>
      <w:spacing w:val="4"/>
      <w:w w:val="103"/>
      <w:kern w:val="14"/>
      <w:szCs w:val="20"/>
    </w:rPr>
  </w:style>
  <w:style w:type="paragraph" w:styleId="33">
    <w:name w:val="List Number 3"/>
    <w:basedOn w:val="a0"/>
    <w:semiHidden/>
    <w:rsid w:val="006C77FE"/>
    <w:pPr>
      <w:tabs>
        <w:tab w:val="num" w:pos="926"/>
      </w:tabs>
      <w:suppressAutoHyphens w:val="0"/>
      <w:ind w:left="926" w:hanging="360"/>
    </w:pPr>
    <w:rPr>
      <w:rFonts w:eastAsia="Times New Roman" w:cs="Times New Roman"/>
      <w:spacing w:val="4"/>
      <w:w w:val="103"/>
      <w:kern w:val="14"/>
      <w:szCs w:val="20"/>
    </w:rPr>
  </w:style>
  <w:style w:type="paragraph" w:styleId="43">
    <w:name w:val="List Number 4"/>
    <w:basedOn w:val="a0"/>
    <w:semiHidden/>
    <w:rsid w:val="006C77FE"/>
    <w:pPr>
      <w:tabs>
        <w:tab w:val="num" w:pos="1209"/>
      </w:tabs>
      <w:suppressAutoHyphens w:val="0"/>
      <w:ind w:left="1209" w:hanging="360"/>
    </w:pPr>
    <w:rPr>
      <w:rFonts w:eastAsia="Times New Roman" w:cs="Times New Roman"/>
      <w:spacing w:val="4"/>
      <w:w w:val="103"/>
      <w:kern w:val="14"/>
      <w:szCs w:val="20"/>
    </w:rPr>
  </w:style>
  <w:style w:type="paragraph" w:styleId="52">
    <w:name w:val="List Number 5"/>
    <w:basedOn w:val="a0"/>
    <w:semiHidden/>
    <w:rsid w:val="006C77FE"/>
    <w:pPr>
      <w:tabs>
        <w:tab w:val="num" w:pos="1492"/>
      </w:tabs>
      <w:suppressAutoHyphens w:val="0"/>
      <w:ind w:left="1492" w:hanging="360"/>
    </w:pPr>
    <w:rPr>
      <w:rFonts w:eastAsia="Times New Roman" w:cs="Times New Roman"/>
      <w:spacing w:val="4"/>
      <w:w w:val="103"/>
      <w:kern w:val="14"/>
      <w:szCs w:val="20"/>
    </w:rPr>
  </w:style>
  <w:style w:type="character" w:styleId="HTML4">
    <w:name w:val="HTML Sample"/>
    <w:basedOn w:val="a1"/>
    <w:semiHidden/>
    <w:rsid w:val="006C77FE"/>
    <w:rPr>
      <w:rFonts w:ascii="Courier New" w:hAnsi="Courier New" w:cs="Courier New"/>
    </w:rPr>
  </w:style>
  <w:style w:type="paragraph" w:styleId="27">
    <w:name w:val="envelope return"/>
    <w:basedOn w:val="a0"/>
    <w:semiHidden/>
    <w:rsid w:val="006C77FE"/>
    <w:pPr>
      <w:suppressAutoHyphens w:val="0"/>
    </w:pPr>
    <w:rPr>
      <w:rFonts w:ascii="Arial" w:eastAsia="Times New Roman" w:hAnsi="Arial" w:cs="Arial"/>
      <w:spacing w:val="4"/>
      <w:w w:val="103"/>
      <w:kern w:val="14"/>
      <w:szCs w:val="20"/>
    </w:rPr>
  </w:style>
  <w:style w:type="table" w:styleId="14">
    <w:name w:val="Table 3D effects 1"/>
    <w:basedOn w:val="a2"/>
    <w:semiHidden/>
    <w:rsid w:val="006C77FE"/>
    <w:pPr>
      <w:spacing w:after="120" w:line="200" w:lineRule="atLeast"/>
    </w:pPr>
    <w:rPr>
      <w:lang w:val="ru-RU"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2"/>
    <w:semiHidden/>
    <w:rsid w:val="006C77FE"/>
    <w:pPr>
      <w:spacing w:after="120" w:line="200" w:lineRule="atLeast"/>
    </w:pPr>
    <w:rPr>
      <w:lang w:val="ru-RU"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2"/>
    <w:semiHidden/>
    <w:rsid w:val="006C77FE"/>
    <w:pPr>
      <w:spacing w:after="120" w:line="200" w:lineRule="atLeast"/>
    </w:pPr>
    <w:rPr>
      <w:lang w:val="ru-RU"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6">
    <w:name w:val="Normal (Web)"/>
    <w:basedOn w:val="a0"/>
    <w:semiHidden/>
    <w:rsid w:val="006C77FE"/>
    <w:pPr>
      <w:suppressAutoHyphens w:val="0"/>
    </w:pPr>
    <w:rPr>
      <w:rFonts w:eastAsia="Times New Roman" w:cs="Times New Roman"/>
      <w:spacing w:val="4"/>
      <w:w w:val="103"/>
      <w:kern w:val="14"/>
      <w:sz w:val="24"/>
      <w:szCs w:val="20"/>
    </w:rPr>
  </w:style>
  <w:style w:type="paragraph" w:styleId="aff7">
    <w:name w:val="Normal Indent"/>
    <w:basedOn w:val="a0"/>
    <w:semiHidden/>
    <w:rsid w:val="006C77FE"/>
    <w:pPr>
      <w:suppressAutoHyphens w:val="0"/>
      <w:ind w:left="567"/>
    </w:pPr>
    <w:rPr>
      <w:rFonts w:eastAsia="Times New Roman" w:cs="Times New Roman"/>
      <w:spacing w:val="4"/>
      <w:w w:val="103"/>
      <w:kern w:val="14"/>
      <w:szCs w:val="20"/>
    </w:rPr>
  </w:style>
  <w:style w:type="character" w:styleId="HTML5">
    <w:name w:val="HTML Definition"/>
    <w:basedOn w:val="a1"/>
    <w:semiHidden/>
    <w:rsid w:val="006C77FE"/>
    <w:rPr>
      <w:i/>
      <w:iCs/>
    </w:rPr>
  </w:style>
  <w:style w:type="paragraph" w:styleId="29">
    <w:name w:val="Body Text 2"/>
    <w:basedOn w:val="a0"/>
    <w:link w:val="2a"/>
    <w:semiHidden/>
    <w:rsid w:val="006C77FE"/>
    <w:pPr>
      <w:suppressAutoHyphens w:val="0"/>
      <w:spacing w:line="480" w:lineRule="auto"/>
    </w:pPr>
    <w:rPr>
      <w:rFonts w:eastAsia="Times New Roman" w:cs="Times New Roman"/>
      <w:spacing w:val="4"/>
      <w:w w:val="103"/>
      <w:kern w:val="14"/>
      <w:szCs w:val="20"/>
    </w:rPr>
  </w:style>
  <w:style w:type="character" w:customStyle="1" w:styleId="2a">
    <w:name w:val="Основной текст 2 Знак"/>
    <w:basedOn w:val="a1"/>
    <w:link w:val="29"/>
    <w:semiHidden/>
    <w:rsid w:val="006C77FE"/>
    <w:rPr>
      <w:spacing w:val="4"/>
      <w:w w:val="103"/>
      <w:kern w:val="14"/>
      <w:lang w:val="ru-RU" w:eastAsia="en-US"/>
    </w:rPr>
  </w:style>
  <w:style w:type="paragraph" w:styleId="35">
    <w:name w:val="Body Text 3"/>
    <w:basedOn w:val="a0"/>
    <w:link w:val="36"/>
    <w:semiHidden/>
    <w:rsid w:val="006C77FE"/>
    <w:pPr>
      <w:suppressAutoHyphens w:val="0"/>
    </w:pPr>
    <w:rPr>
      <w:rFonts w:eastAsia="Times New Roman" w:cs="Times New Roman"/>
      <w:spacing w:val="4"/>
      <w:w w:val="103"/>
      <w:kern w:val="14"/>
      <w:sz w:val="16"/>
      <w:szCs w:val="16"/>
    </w:rPr>
  </w:style>
  <w:style w:type="character" w:customStyle="1" w:styleId="36">
    <w:name w:val="Основной текст 3 Знак"/>
    <w:basedOn w:val="a1"/>
    <w:link w:val="35"/>
    <w:semiHidden/>
    <w:rsid w:val="006C77FE"/>
    <w:rPr>
      <w:spacing w:val="4"/>
      <w:w w:val="103"/>
      <w:kern w:val="14"/>
      <w:sz w:val="16"/>
      <w:szCs w:val="16"/>
      <w:lang w:val="ru-RU" w:eastAsia="en-US"/>
    </w:rPr>
  </w:style>
  <w:style w:type="paragraph" w:styleId="2b">
    <w:name w:val="Body Text Indent 2"/>
    <w:basedOn w:val="a0"/>
    <w:link w:val="2c"/>
    <w:semiHidden/>
    <w:rsid w:val="006C77FE"/>
    <w:pPr>
      <w:suppressAutoHyphens w:val="0"/>
      <w:spacing w:line="480" w:lineRule="auto"/>
      <w:ind w:left="283"/>
    </w:pPr>
    <w:rPr>
      <w:rFonts w:eastAsia="Times New Roman" w:cs="Times New Roman"/>
      <w:spacing w:val="4"/>
      <w:w w:val="103"/>
      <w:kern w:val="14"/>
      <w:szCs w:val="20"/>
    </w:rPr>
  </w:style>
  <w:style w:type="character" w:customStyle="1" w:styleId="2c">
    <w:name w:val="Основной текст с отступом 2 Знак"/>
    <w:basedOn w:val="a1"/>
    <w:link w:val="2b"/>
    <w:semiHidden/>
    <w:rsid w:val="006C77FE"/>
    <w:rPr>
      <w:spacing w:val="4"/>
      <w:w w:val="103"/>
      <w:kern w:val="14"/>
      <w:lang w:val="ru-RU" w:eastAsia="en-US"/>
    </w:rPr>
  </w:style>
  <w:style w:type="paragraph" w:styleId="37">
    <w:name w:val="Body Text Indent 3"/>
    <w:basedOn w:val="a0"/>
    <w:link w:val="38"/>
    <w:semiHidden/>
    <w:rsid w:val="006C77FE"/>
    <w:pPr>
      <w:suppressAutoHyphens w:val="0"/>
      <w:ind w:left="283"/>
    </w:pPr>
    <w:rPr>
      <w:rFonts w:eastAsia="Times New Roman" w:cs="Times New Roman"/>
      <w:spacing w:val="4"/>
      <w:w w:val="103"/>
      <w:kern w:val="14"/>
      <w:sz w:val="16"/>
      <w:szCs w:val="16"/>
    </w:rPr>
  </w:style>
  <w:style w:type="character" w:customStyle="1" w:styleId="38">
    <w:name w:val="Основной текст с отступом 3 Знак"/>
    <w:basedOn w:val="a1"/>
    <w:link w:val="37"/>
    <w:semiHidden/>
    <w:rsid w:val="006C77FE"/>
    <w:rPr>
      <w:spacing w:val="4"/>
      <w:w w:val="103"/>
      <w:kern w:val="14"/>
      <w:sz w:val="16"/>
      <w:szCs w:val="16"/>
      <w:lang w:val="ru-RU" w:eastAsia="en-US"/>
    </w:rPr>
  </w:style>
  <w:style w:type="character" w:styleId="HTML6">
    <w:name w:val="HTML Variable"/>
    <w:basedOn w:val="a1"/>
    <w:semiHidden/>
    <w:rsid w:val="006C77FE"/>
    <w:rPr>
      <w:i/>
      <w:iCs/>
    </w:rPr>
  </w:style>
  <w:style w:type="character" w:styleId="HTML7">
    <w:name w:val="HTML Typewriter"/>
    <w:basedOn w:val="a1"/>
    <w:semiHidden/>
    <w:rsid w:val="006C77FE"/>
    <w:rPr>
      <w:rFonts w:ascii="Courier New" w:hAnsi="Courier New" w:cs="Courier New"/>
      <w:sz w:val="20"/>
      <w:szCs w:val="20"/>
    </w:rPr>
  </w:style>
  <w:style w:type="paragraph" w:styleId="aff8">
    <w:name w:val="Subtitle"/>
    <w:basedOn w:val="a0"/>
    <w:link w:val="aff9"/>
    <w:qFormat/>
    <w:rsid w:val="006C77FE"/>
    <w:pPr>
      <w:suppressAutoHyphens w:val="0"/>
      <w:spacing w:after="60"/>
      <w:jc w:val="center"/>
      <w:outlineLvl w:val="1"/>
    </w:pPr>
    <w:rPr>
      <w:rFonts w:ascii="Arial" w:eastAsia="Times New Roman" w:hAnsi="Arial" w:cs="Arial"/>
      <w:spacing w:val="4"/>
      <w:w w:val="103"/>
      <w:kern w:val="14"/>
      <w:sz w:val="24"/>
      <w:szCs w:val="20"/>
    </w:rPr>
  </w:style>
  <w:style w:type="character" w:customStyle="1" w:styleId="aff9">
    <w:name w:val="Подзаголовок Знак"/>
    <w:basedOn w:val="a1"/>
    <w:link w:val="aff8"/>
    <w:rsid w:val="006C77FE"/>
    <w:rPr>
      <w:rFonts w:ascii="Arial" w:hAnsi="Arial" w:cs="Arial"/>
      <w:spacing w:val="4"/>
      <w:w w:val="103"/>
      <w:kern w:val="14"/>
      <w:sz w:val="24"/>
      <w:lang w:val="ru-RU" w:eastAsia="en-US"/>
    </w:rPr>
  </w:style>
  <w:style w:type="paragraph" w:styleId="affa">
    <w:name w:val="Signature"/>
    <w:basedOn w:val="a0"/>
    <w:link w:val="affb"/>
    <w:semiHidden/>
    <w:rsid w:val="006C77FE"/>
    <w:pPr>
      <w:suppressAutoHyphens w:val="0"/>
      <w:ind w:left="4252"/>
    </w:pPr>
    <w:rPr>
      <w:rFonts w:eastAsia="Times New Roman" w:cs="Times New Roman"/>
      <w:spacing w:val="4"/>
      <w:w w:val="103"/>
      <w:kern w:val="14"/>
      <w:szCs w:val="20"/>
    </w:rPr>
  </w:style>
  <w:style w:type="character" w:customStyle="1" w:styleId="affb">
    <w:name w:val="Подпись Знак"/>
    <w:basedOn w:val="a1"/>
    <w:link w:val="affa"/>
    <w:semiHidden/>
    <w:rsid w:val="006C77FE"/>
    <w:rPr>
      <w:spacing w:val="4"/>
      <w:w w:val="103"/>
      <w:kern w:val="14"/>
      <w:lang w:val="ru-RU" w:eastAsia="en-US"/>
    </w:rPr>
  </w:style>
  <w:style w:type="paragraph" w:styleId="affc">
    <w:name w:val="Salutation"/>
    <w:basedOn w:val="a0"/>
    <w:next w:val="a0"/>
    <w:link w:val="affd"/>
    <w:rsid w:val="006C77FE"/>
    <w:pPr>
      <w:suppressAutoHyphens w:val="0"/>
    </w:pPr>
    <w:rPr>
      <w:rFonts w:eastAsia="Times New Roman" w:cs="Times New Roman"/>
      <w:spacing w:val="4"/>
      <w:w w:val="103"/>
      <w:kern w:val="14"/>
      <w:szCs w:val="20"/>
    </w:rPr>
  </w:style>
  <w:style w:type="character" w:customStyle="1" w:styleId="affd">
    <w:name w:val="Приветствие Знак"/>
    <w:basedOn w:val="a1"/>
    <w:link w:val="affc"/>
    <w:rsid w:val="006C77FE"/>
    <w:rPr>
      <w:spacing w:val="4"/>
      <w:w w:val="103"/>
      <w:kern w:val="14"/>
      <w:lang w:val="ru-RU" w:eastAsia="en-US"/>
    </w:rPr>
  </w:style>
  <w:style w:type="paragraph" w:styleId="affe">
    <w:name w:val="List Continue"/>
    <w:basedOn w:val="a0"/>
    <w:semiHidden/>
    <w:rsid w:val="006C77FE"/>
    <w:pPr>
      <w:suppressAutoHyphens w:val="0"/>
      <w:ind w:left="283"/>
    </w:pPr>
    <w:rPr>
      <w:rFonts w:eastAsia="Times New Roman" w:cs="Times New Roman"/>
      <w:spacing w:val="4"/>
      <w:w w:val="103"/>
      <w:kern w:val="14"/>
      <w:szCs w:val="20"/>
    </w:rPr>
  </w:style>
  <w:style w:type="paragraph" w:styleId="2d">
    <w:name w:val="List Continue 2"/>
    <w:basedOn w:val="a0"/>
    <w:semiHidden/>
    <w:rsid w:val="006C77FE"/>
    <w:pPr>
      <w:suppressAutoHyphens w:val="0"/>
      <w:ind w:left="566"/>
    </w:pPr>
    <w:rPr>
      <w:rFonts w:eastAsia="Times New Roman" w:cs="Times New Roman"/>
      <w:spacing w:val="4"/>
      <w:w w:val="103"/>
      <w:kern w:val="14"/>
      <w:szCs w:val="20"/>
    </w:rPr>
  </w:style>
  <w:style w:type="paragraph" w:styleId="39">
    <w:name w:val="List Continue 3"/>
    <w:basedOn w:val="a0"/>
    <w:semiHidden/>
    <w:rsid w:val="006C77FE"/>
    <w:pPr>
      <w:suppressAutoHyphens w:val="0"/>
      <w:ind w:left="849"/>
    </w:pPr>
    <w:rPr>
      <w:rFonts w:eastAsia="Times New Roman" w:cs="Times New Roman"/>
      <w:spacing w:val="4"/>
      <w:w w:val="103"/>
      <w:kern w:val="14"/>
      <w:szCs w:val="20"/>
    </w:rPr>
  </w:style>
  <w:style w:type="paragraph" w:styleId="44">
    <w:name w:val="List Continue 4"/>
    <w:basedOn w:val="a0"/>
    <w:semiHidden/>
    <w:rsid w:val="006C77FE"/>
    <w:pPr>
      <w:suppressAutoHyphens w:val="0"/>
      <w:ind w:left="1132"/>
    </w:pPr>
    <w:rPr>
      <w:rFonts w:eastAsia="Times New Roman" w:cs="Times New Roman"/>
      <w:spacing w:val="4"/>
      <w:w w:val="103"/>
      <w:kern w:val="14"/>
      <w:szCs w:val="20"/>
    </w:rPr>
  </w:style>
  <w:style w:type="paragraph" w:styleId="53">
    <w:name w:val="List Continue 5"/>
    <w:basedOn w:val="a0"/>
    <w:semiHidden/>
    <w:rsid w:val="006C77FE"/>
    <w:pPr>
      <w:suppressAutoHyphens w:val="0"/>
      <w:ind w:left="1415"/>
    </w:pPr>
    <w:rPr>
      <w:rFonts w:eastAsia="Times New Roman" w:cs="Times New Roman"/>
      <w:spacing w:val="4"/>
      <w:w w:val="103"/>
      <w:kern w:val="14"/>
      <w:szCs w:val="20"/>
    </w:rPr>
  </w:style>
  <w:style w:type="table" w:styleId="2e">
    <w:name w:val="Table Simple 2"/>
    <w:basedOn w:val="a2"/>
    <w:semiHidden/>
    <w:rsid w:val="006C77FE"/>
    <w:pPr>
      <w:spacing w:after="120" w:line="200" w:lineRule="atLeast"/>
    </w:pPr>
    <w:rPr>
      <w:lang w:val="ru-RU"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2"/>
    <w:semiHidden/>
    <w:rsid w:val="006C77FE"/>
    <w:pPr>
      <w:spacing w:after="120" w:line="200" w:lineRule="atLeast"/>
    </w:pPr>
    <w:rPr>
      <w:lang w:val="ru-RU"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
    <w:name w:val="Closing"/>
    <w:basedOn w:val="a0"/>
    <w:link w:val="afff0"/>
    <w:semiHidden/>
    <w:rsid w:val="006C77FE"/>
    <w:pPr>
      <w:suppressAutoHyphens w:val="0"/>
      <w:ind w:left="4252"/>
    </w:pPr>
    <w:rPr>
      <w:rFonts w:eastAsia="Times New Roman" w:cs="Times New Roman"/>
      <w:spacing w:val="4"/>
      <w:w w:val="103"/>
      <w:kern w:val="14"/>
      <w:szCs w:val="20"/>
    </w:rPr>
  </w:style>
  <w:style w:type="character" w:customStyle="1" w:styleId="afff0">
    <w:name w:val="Прощание Знак"/>
    <w:basedOn w:val="a1"/>
    <w:link w:val="afff"/>
    <w:semiHidden/>
    <w:rsid w:val="006C77FE"/>
    <w:rPr>
      <w:spacing w:val="4"/>
      <w:w w:val="103"/>
      <w:kern w:val="14"/>
      <w:lang w:val="ru-RU" w:eastAsia="en-US"/>
    </w:rPr>
  </w:style>
  <w:style w:type="table" w:styleId="15">
    <w:name w:val="Table Grid 1"/>
    <w:basedOn w:val="a2"/>
    <w:semiHidden/>
    <w:rsid w:val="006C77FE"/>
    <w:pPr>
      <w:spacing w:after="120" w:line="200" w:lineRule="atLeast"/>
    </w:pPr>
    <w:rPr>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2"/>
    <w:semiHidden/>
    <w:rsid w:val="006C77FE"/>
    <w:pPr>
      <w:spacing w:after="120" w:line="200" w:lineRule="atLeast"/>
    </w:pPr>
    <w:rPr>
      <w:lang w:val="ru-RU"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2"/>
    <w:semiHidden/>
    <w:rsid w:val="006C77FE"/>
    <w:pPr>
      <w:spacing w:after="120" w:line="200" w:lineRule="atLeast"/>
    </w:pPr>
    <w:rPr>
      <w:lang w:val="ru-RU"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2"/>
    <w:semiHidden/>
    <w:rsid w:val="006C77FE"/>
    <w:pPr>
      <w:spacing w:after="120" w:line="200" w:lineRule="atLeast"/>
    </w:pPr>
    <w:rPr>
      <w:lang w:val="ru-RU"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2"/>
    <w:semiHidden/>
    <w:rsid w:val="006C77FE"/>
    <w:pPr>
      <w:spacing w:after="120" w:line="200" w:lineRule="atLeast"/>
    </w:pPr>
    <w:rPr>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semiHidden/>
    <w:rsid w:val="006C77FE"/>
    <w:pPr>
      <w:spacing w:after="120" w:line="200" w:lineRule="atLeast"/>
    </w:pPr>
    <w:rPr>
      <w:lang w:val="ru-RU"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semiHidden/>
    <w:rsid w:val="006C77FE"/>
    <w:pPr>
      <w:spacing w:after="120" w:line="200" w:lineRule="atLeast"/>
    </w:pPr>
    <w:rPr>
      <w:b/>
      <w:bCs/>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semiHidden/>
    <w:rsid w:val="006C77FE"/>
    <w:pPr>
      <w:spacing w:after="120" w:line="200" w:lineRule="atLeast"/>
    </w:pPr>
    <w:rPr>
      <w:lang w:val="ru-RU"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1">
    <w:name w:val="Table Contemporary"/>
    <w:basedOn w:val="a2"/>
    <w:semiHidden/>
    <w:rsid w:val="006C77FE"/>
    <w:pPr>
      <w:spacing w:after="120" w:line="200" w:lineRule="atLeast"/>
    </w:pPr>
    <w:rPr>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2">
    <w:name w:val="List"/>
    <w:basedOn w:val="a0"/>
    <w:semiHidden/>
    <w:rsid w:val="006C77FE"/>
    <w:pPr>
      <w:suppressAutoHyphens w:val="0"/>
      <w:ind w:left="283" w:hanging="283"/>
    </w:pPr>
    <w:rPr>
      <w:rFonts w:eastAsia="Times New Roman" w:cs="Times New Roman"/>
      <w:spacing w:val="4"/>
      <w:w w:val="103"/>
      <w:kern w:val="14"/>
      <w:szCs w:val="20"/>
    </w:rPr>
  </w:style>
  <w:style w:type="paragraph" w:styleId="2f0">
    <w:name w:val="List 2"/>
    <w:basedOn w:val="a0"/>
    <w:semiHidden/>
    <w:rsid w:val="006C77FE"/>
    <w:pPr>
      <w:suppressAutoHyphens w:val="0"/>
      <w:ind w:left="566" w:hanging="283"/>
    </w:pPr>
    <w:rPr>
      <w:rFonts w:eastAsia="Times New Roman" w:cs="Times New Roman"/>
      <w:spacing w:val="4"/>
      <w:w w:val="103"/>
      <w:kern w:val="14"/>
      <w:szCs w:val="20"/>
    </w:rPr>
  </w:style>
  <w:style w:type="paragraph" w:styleId="3c">
    <w:name w:val="List 3"/>
    <w:basedOn w:val="a0"/>
    <w:semiHidden/>
    <w:rsid w:val="006C77FE"/>
    <w:pPr>
      <w:suppressAutoHyphens w:val="0"/>
      <w:ind w:left="849" w:hanging="283"/>
    </w:pPr>
    <w:rPr>
      <w:rFonts w:eastAsia="Times New Roman" w:cs="Times New Roman"/>
      <w:spacing w:val="4"/>
      <w:w w:val="103"/>
      <w:kern w:val="14"/>
      <w:szCs w:val="20"/>
    </w:rPr>
  </w:style>
  <w:style w:type="paragraph" w:styleId="46">
    <w:name w:val="List 4"/>
    <w:basedOn w:val="a0"/>
    <w:rsid w:val="006C77FE"/>
    <w:pPr>
      <w:suppressAutoHyphens w:val="0"/>
      <w:ind w:left="1132" w:hanging="283"/>
    </w:pPr>
    <w:rPr>
      <w:rFonts w:eastAsia="Times New Roman" w:cs="Times New Roman"/>
      <w:spacing w:val="4"/>
      <w:w w:val="103"/>
      <w:kern w:val="14"/>
      <w:szCs w:val="20"/>
    </w:rPr>
  </w:style>
  <w:style w:type="paragraph" w:styleId="55">
    <w:name w:val="List 5"/>
    <w:basedOn w:val="a0"/>
    <w:rsid w:val="006C77FE"/>
    <w:pPr>
      <w:suppressAutoHyphens w:val="0"/>
      <w:ind w:left="1415" w:hanging="283"/>
    </w:pPr>
    <w:rPr>
      <w:rFonts w:eastAsia="Times New Roman" w:cs="Times New Roman"/>
      <w:spacing w:val="4"/>
      <w:w w:val="103"/>
      <w:kern w:val="14"/>
      <w:szCs w:val="20"/>
    </w:rPr>
  </w:style>
  <w:style w:type="paragraph" w:styleId="HTML8">
    <w:name w:val="HTML Preformatted"/>
    <w:basedOn w:val="a0"/>
    <w:link w:val="HTML9"/>
    <w:semiHidden/>
    <w:rsid w:val="006C77FE"/>
    <w:pPr>
      <w:suppressAutoHyphens w:val="0"/>
    </w:pPr>
    <w:rPr>
      <w:rFonts w:ascii="Courier New" w:eastAsia="Times New Roman" w:hAnsi="Courier New" w:cs="Courier New"/>
      <w:spacing w:val="4"/>
      <w:w w:val="103"/>
      <w:kern w:val="14"/>
      <w:szCs w:val="20"/>
    </w:rPr>
  </w:style>
  <w:style w:type="character" w:customStyle="1" w:styleId="HTML9">
    <w:name w:val="Стандартный HTML Знак"/>
    <w:basedOn w:val="a1"/>
    <w:link w:val="HTML8"/>
    <w:semiHidden/>
    <w:rsid w:val="006C77FE"/>
    <w:rPr>
      <w:rFonts w:ascii="Courier New" w:hAnsi="Courier New" w:cs="Courier New"/>
      <w:spacing w:val="4"/>
      <w:w w:val="103"/>
      <w:kern w:val="14"/>
      <w:lang w:val="ru-RU" w:eastAsia="en-US"/>
    </w:rPr>
  </w:style>
  <w:style w:type="numbering" w:styleId="a">
    <w:name w:val="Outline List 3"/>
    <w:basedOn w:val="a3"/>
    <w:semiHidden/>
    <w:rsid w:val="006C77FE"/>
    <w:pPr>
      <w:numPr>
        <w:numId w:val="6"/>
      </w:numPr>
    </w:pPr>
  </w:style>
  <w:style w:type="table" w:styleId="16">
    <w:name w:val="Table Columns 1"/>
    <w:basedOn w:val="a2"/>
    <w:semiHidden/>
    <w:rsid w:val="006C77FE"/>
    <w:pPr>
      <w:spacing w:after="120" w:line="200" w:lineRule="atLeast"/>
    </w:pPr>
    <w:rPr>
      <w:b/>
      <w:bCs/>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2"/>
    <w:semiHidden/>
    <w:rsid w:val="006C77FE"/>
    <w:pPr>
      <w:spacing w:after="120" w:line="200" w:lineRule="atLeast"/>
    </w:pPr>
    <w:rPr>
      <w:b/>
      <w:bCs/>
      <w:lang w:val="ru-RU"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2"/>
    <w:semiHidden/>
    <w:rsid w:val="006C77FE"/>
    <w:pPr>
      <w:spacing w:after="120" w:line="200" w:lineRule="atLeast"/>
    </w:pPr>
    <w:rPr>
      <w:b/>
      <w:bCs/>
      <w:lang w:val="ru-RU"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2"/>
    <w:semiHidden/>
    <w:rsid w:val="006C77FE"/>
    <w:pPr>
      <w:spacing w:after="120" w:line="200" w:lineRule="atLeast"/>
    </w:pPr>
    <w:rPr>
      <w:lang w:val="ru-RU"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2"/>
    <w:semiHidden/>
    <w:rsid w:val="006C77FE"/>
    <w:pPr>
      <w:spacing w:after="120" w:line="200" w:lineRule="atLeast"/>
    </w:pPr>
    <w:rPr>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3">
    <w:name w:val="Strong"/>
    <w:basedOn w:val="a1"/>
    <w:uiPriority w:val="22"/>
    <w:qFormat/>
    <w:rsid w:val="006C77FE"/>
    <w:rPr>
      <w:b/>
      <w:bCs/>
    </w:rPr>
  </w:style>
  <w:style w:type="table" w:styleId="-10">
    <w:name w:val="Table List 1"/>
    <w:basedOn w:val="a2"/>
    <w:semiHidden/>
    <w:rsid w:val="006C77FE"/>
    <w:pPr>
      <w:spacing w:after="120" w:line="200" w:lineRule="atLeast"/>
    </w:pPr>
    <w:rPr>
      <w:lang w:val="ru-RU"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6C77FE"/>
    <w:pPr>
      <w:spacing w:after="120" w:line="200" w:lineRule="atLeast"/>
    </w:pPr>
    <w:rPr>
      <w:lang w:val="ru-RU"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6C77FE"/>
    <w:pPr>
      <w:spacing w:after="120" w:line="200" w:lineRule="atLeast"/>
    </w:pPr>
    <w:rPr>
      <w:lang w:val="ru-RU"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6C77FE"/>
    <w:pPr>
      <w:spacing w:after="120" w:line="200" w:lineRule="atLeast"/>
    </w:pPr>
    <w:rPr>
      <w:lang w:val="ru-RU"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6C77FE"/>
    <w:pPr>
      <w:spacing w:after="120" w:line="200" w:lineRule="atLeast"/>
    </w:pPr>
    <w:rPr>
      <w:lang w:val="ru-RU"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6C77FE"/>
    <w:pPr>
      <w:spacing w:after="120" w:line="200" w:lineRule="atLeast"/>
    </w:pPr>
    <w:rPr>
      <w:lang w:val="ru-RU"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6C77FE"/>
    <w:pPr>
      <w:spacing w:after="120" w:line="200" w:lineRule="atLeast"/>
    </w:pPr>
    <w:rPr>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6C77FE"/>
    <w:pPr>
      <w:spacing w:after="120" w:line="200" w:lineRule="atLeast"/>
    </w:pPr>
    <w:rPr>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4">
    <w:name w:val="Table Theme"/>
    <w:basedOn w:val="a2"/>
    <w:semiHidden/>
    <w:rsid w:val="006C77FE"/>
    <w:pPr>
      <w:spacing w:after="120" w:line="200" w:lineRule="atLeast"/>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Colorful 1"/>
    <w:basedOn w:val="a2"/>
    <w:semiHidden/>
    <w:rsid w:val="006C77FE"/>
    <w:pPr>
      <w:spacing w:after="120" w:line="200" w:lineRule="atLeast"/>
    </w:pPr>
    <w:rPr>
      <w:color w:val="FFFFFF"/>
      <w:lang w:val="ru-RU"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2"/>
    <w:semiHidden/>
    <w:rsid w:val="006C77FE"/>
    <w:pPr>
      <w:spacing w:after="120" w:line="200" w:lineRule="atLeast"/>
    </w:pPr>
    <w:rPr>
      <w:lang w:val="ru-RU"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2"/>
    <w:semiHidden/>
    <w:rsid w:val="006C77FE"/>
    <w:pPr>
      <w:spacing w:after="120" w:line="200" w:lineRule="atLeast"/>
    </w:pPr>
    <w:rPr>
      <w:lang w:val="ru-RU"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5">
    <w:name w:val="Block Text"/>
    <w:basedOn w:val="a0"/>
    <w:semiHidden/>
    <w:rsid w:val="006C77FE"/>
    <w:pPr>
      <w:suppressAutoHyphens w:val="0"/>
      <w:ind w:left="1440" w:right="1440"/>
    </w:pPr>
    <w:rPr>
      <w:rFonts w:eastAsia="Times New Roman" w:cs="Times New Roman"/>
      <w:spacing w:val="4"/>
      <w:w w:val="103"/>
      <w:kern w:val="14"/>
      <w:szCs w:val="20"/>
    </w:rPr>
  </w:style>
  <w:style w:type="character" w:styleId="HTMLa">
    <w:name w:val="HTML Cite"/>
    <w:basedOn w:val="a1"/>
    <w:semiHidden/>
    <w:rsid w:val="006C77FE"/>
    <w:rPr>
      <w:i/>
      <w:iCs/>
    </w:rPr>
  </w:style>
  <w:style w:type="paragraph" w:styleId="afff6">
    <w:name w:val="E-mail Signature"/>
    <w:basedOn w:val="a0"/>
    <w:link w:val="afff7"/>
    <w:semiHidden/>
    <w:rsid w:val="006C77FE"/>
    <w:pPr>
      <w:suppressAutoHyphens w:val="0"/>
    </w:pPr>
    <w:rPr>
      <w:rFonts w:eastAsia="Times New Roman" w:cs="Times New Roman"/>
      <w:spacing w:val="4"/>
      <w:w w:val="103"/>
      <w:kern w:val="14"/>
      <w:szCs w:val="20"/>
    </w:rPr>
  </w:style>
  <w:style w:type="character" w:customStyle="1" w:styleId="afff7">
    <w:name w:val="Электронная подпись Знак"/>
    <w:basedOn w:val="a1"/>
    <w:link w:val="afff6"/>
    <w:semiHidden/>
    <w:rsid w:val="006C77FE"/>
    <w:rPr>
      <w:spacing w:val="4"/>
      <w:w w:val="103"/>
      <w:kern w:val="14"/>
      <w:lang w:val="ru-RU" w:eastAsia="en-US"/>
    </w:rPr>
  </w:style>
  <w:style w:type="table" w:styleId="afff8">
    <w:name w:val="Table Professional"/>
    <w:basedOn w:val="a2"/>
    <w:semiHidden/>
    <w:rsid w:val="006C77FE"/>
    <w:pPr>
      <w:spacing w:line="240" w:lineRule="atLeast"/>
    </w:pPr>
    <w:rPr>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ff9">
    <w:name w:val="toa heading"/>
    <w:basedOn w:val="a0"/>
    <w:next w:val="a0"/>
    <w:semiHidden/>
    <w:rsid w:val="006C77FE"/>
    <w:pPr>
      <w:suppressAutoHyphens w:val="0"/>
      <w:spacing w:before="120"/>
    </w:pPr>
    <w:rPr>
      <w:rFonts w:ascii="Arial" w:eastAsia="Times New Roman" w:hAnsi="Arial" w:cs="Arial"/>
      <w:b/>
      <w:bCs/>
      <w:spacing w:val="4"/>
      <w:w w:val="103"/>
      <w:kern w:val="14"/>
      <w:sz w:val="24"/>
      <w:szCs w:val="20"/>
    </w:rPr>
  </w:style>
  <w:style w:type="paragraph" w:styleId="afffa">
    <w:name w:val="Plain Text"/>
    <w:basedOn w:val="a0"/>
    <w:link w:val="afffb"/>
    <w:semiHidden/>
    <w:rsid w:val="006C77FE"/>
    <w:pPr>
      <w:suppressAutoHyphens w:val="0"/>
    </w:pPr>
    <w:rPr>
      <w:rFonts w:ascii="Courier New" w:eastAsia="Times New Roman" w:hAnsi="Courier New" w:cs="Courier New"/>
      <w:spacing w:val="4"/>
      <w:w w:val="103"/>
      <w:kern w:val="14"/>
      <w:szCs w:val="20"/>
    </w:rPr>
  </w:style>
  <w:style w:type="character" w:customStyle="1" w:styleId="afffb">
    <w:name w:val="Текст Знак"/>
    <w:basedOn w:val="a1"/>
    <w:link w:val="afffa"/>
    <w:semiHidden/>
    <w:rsid w:val="006C77FE"/>
    <w:rPr>
      <w:rFonts w:ascii="Courier New" w:hAnsi="Courier New" w:cs="Courier New"/>
      <w:spacing w:val="4"/>
      <w:w w:val="103"/>
      <w:kern w:val="14"/>
      <w:lang w:val="ru-RU" w:eastAsia="en-US"/>
    </w:rPr>
  </w:style>
  <w:style w:type="paragraph" w:styleId="afffc">
    <w:name w:val="Message Header"/>
    <w:basedOn w:val="a0"/>
    <w:link w:val="afffd"/>
    <w:semiHidden/>
    <w:rsid w:val="006C77FE"/>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eastAsia="Times New Roman" w:hAnsi="Arial" w:cs="Arial"/>
      <w:spacing w:val="4"/>
      <w:w w:val="103"/>
      <w:kern w:val="14"/>
      <w:sz w:val="24"/>
      <w:szCs w:val="20"/>
    </w:rPr>
  </w:style>
  <w:style w:type="character" w:customStyle="1" w:styleId="afffd">
    <w:name w:val="Шапка Знак"/>
    <w:basedOn w:val="a1"/>
    <w:link w:val="afffc"/>
    <w:semiHidden/>
    <w:rsid w:val="006C77FE"/>
    <w:rPr>
      <w:rFonts w:ascii="Arial" w:hAnsi="Arial" w:cs="Arial"/>
      <w:spacing w:val="4"/>
      <w:w w:val="103"/>
      <w:kern w:val="14"/>
      <w:sz w:val="24"/>
      <w:shd w:val="pct20" w:color="auto" w:fill="auto"/>
      <w:lang w:val="ru-RU" w:eastAsia="en-US"/>
    </w:rPr>
  </w:style>
  <w:style w:type="character" w:styleId="afffe">
    <w:name w:val="annotation reference"/>
    <w:basedOn w:val="a1"/>
    <w:semiHidden/>
    <w:rsid w:val="006C77FE"/>
    <w:rPr>
      <w:sz w:val="16"/>
      <w:szCs w:val="16"/>
    </w:rPr>
  </w:style>
  <w:style w:type="paragraph" w:customStyle="1" w:styleId="HMG">
    <w:name w:val="_ H __M_G"/>
    <w:basedOn w:val="a0"/>
    <w:next w:val="a0"/>
    <w:qFormat/>
    <w:rsid w:val="006C77FE"/>
    <w:pPr>
      <w:keepNext/>
      <w:keepLines/>
      <w:tabs>
        <w:tab w:val="right" w:pos="851"/>
      </w:tabs>
      <w:spacing w:before="240" w:after="240" w:line="360" w:lineRule="exact"/>
      <w:ind w:left="1134" w:right="1134" w:hanging="1134"/>
    </w:pPr>
    <w:rPr>
      <w:rFonts w:eastAsia="SimSun" w:cs="Times New Roman"/>
      <w:b/>
      <w:sz w:val="34"/>
      <w:szCs w:val="20"/>
      <w:lang w:val="en-GB" w:eastAsia="zh-CN"/>
    </w:rPr>
  </w:style>
  <w:style w:type="paragraph" w:customStyle="1" w:styleId="HChG">
    <w:name w:val="_ H _Ch_G"/>
    <w:basedOn w:val="a0"/>
    <w:next w:val="a0"/>
    <w:qFormat/>
    <w:rsid w:val="006C77FE"/>
    <w:pPr>
      <w:keepNext/>
      <w:keepLines/>
      <w:tabs>
        <w:tab w:val="right" w:pos="851"/>
      </w:tabs>
      <w:spacing w:before="360" w:after="240" w:line="300" w:lineRule="exact"/>
      <w:ind w:left="1134" w:right="1134" w:hanging="1134"/>
    </w:pPr>
    <w:rPr>
      <w:rFonts w:eastAsia="SimSun" w:cs="Times New Roman"/>
      <w:b/>
      <w:sz w:val="28"/>
      <w:szCs w:val="20"/>
      <w:lang w:val="en-GB" w:eastAsia="zh-CN"/>
    </w:rPr>
  </w:style>
  <w:style w:type="paragraph" w:customStyle="1" w:styleId="H1G">
    <w:name w:val="_ H_1_G"/>
    <w:basedOn w:val="a0"/>
    <w:next w:val="a0"/>
    <w:qFormat/>
    <w:rsid w:val="006C77FE"/>
    <w:pPr>
      <w:keepNext/>
      <w:keepLines/>
      <w:tabs>
        <w:tab w:val="right" w:pos="851"/>
      </w:tabs>
      <w:spacing w:before="360" w:after="240" w:line="270" w:lineRule="exact"/>
      <w:ind w:left="1134" w:right="1134" w:hanging="1134"/>
    </w:pPr>
    <w:rPr>
      <w:rFonts w:eastAsia="SimSun" w:cs="Times New Roman"/>
      <w:b/>
      <w:sz w:val="24"/>
      <w:szCs w:val="20"/>
      <w:lang w:val="en-GB" w:eastAsia="zh-CN"/>
    </w:rPr>
  </w:style>
  <w:style w:type="paragraph" w:customStyle="1" w:styleId="H23G">
    <w:name w:val="_ H_2/3_G"/>
    <w:basedOn w:val="a0"/>
    <w:next w:val="a0"/>
    <w:qFormat/>
    <w:rsid w:val="006C77FE"/>
    <w:pPr>
      <w:keepNext/>
      <w:keepLines/>
      <w:tabs>
        <w:tab w:val="right" w:pos="851"/>
      </w:tabs>
      <w:spacing w:before="240" w:after="120" w:line="240" w:lineRule="exact"/>
      <w:ind w:left="1134" w:right="1134" w:hanging="1134"/>
    </w:pPr>
    <w:rPr>
      <w:rFonts w:eastAsia="SimSun" w:cs="Times New Roman"/>
      <w:b/>
      <w:szCs w:val="20"/>
      <w:lang w:val="en-GB" w:eastAsia="zh-CN"/>
    </w:rPr>
  </w:style>
  <w:style w:type="paragraph" w:customStyle="1" w:styleId="H4G">
    <w:name w:val="_ H_4_G"/>
    <w:basedOn w:val="a0"/>
    <w:next w:val="a0"/>
    <w:qFormat/>
    <w:rsid w:val="006C77FE"/>
    <w:pPr>
      <w:keepNext/>
      <w:keepLines/>
      <w:tabs>
        <w:tab w:val="right" w:pos="851"/>
      </w:tabs>
      <w:spacing w:before="240" w:after="120" w:line="240" w:lineRule="exact"/>
      <w:ind w:left="1134" w:right="1134" w:hanging="1134"/>
    </w:pPr>
    <w:rPr>
      <w:rFonts w:eastAsia="SimSun" w:cs="Times New Roman"/>
      <w:i/>
      <w:szCs w:val="20"/>
      <w:lang w:val="en-GB" w:eastAsia="zh-CN"/>
    </w:rPr>
  </w:style>
  <w:style w:type="paragraph" w:customStyle="1" w:styleId="H56G">
    <w:name w:val="_ H_5/6_G"/>
    <w:basedOn w:val="a0"/>
    <w:next w:val="a0"/>
    <w:qFormat/>
    <w:rsid w:val="006C77FE"/>
    <w:pPr>
      <w:keepNext/>
      <w:keepLines/>
      <w:tabs>
        <w:tab w:val="right" w:pos="851"/>
      </w:tabs>
      <w:spacing w:before="240" w:after="120" w:line="240" w:lineRule="exact"/>
      <w:ind w:left="1134" w:right="1134" w:hanging="1134"/>
    </w:pPr>
    <w:rPr>
      <w:rFonts w:eastAsia="SimSun" w:cs="Times New Roman"/>
      <w:szCs w:val="20"/>
      <w:lang w:val="en-GB" w:eastAsia="zh-CN"/>
    </w:rPr>
  </w:style>
  <w:style w:type="paragraph" w:customStyle="1" w:styleId="SingleTxtG">
    <w:name w:val="_ Single Txt_G"/>
    <w:basedOn w:val="a0"/>
    <w:link w:val="SingleTxtGChar"/>
    <w:qFormat/>
    <w:rsid w:val="006C77FE"/>
    <w:pPr>
      <w:spacing w:after="120"/>
      <w:ind w:left="1134" w:right="1134"/>
      <w:jc w:val="both"/>
    </w:pPr>
    <w:rPr>
      <w:rFonts w:eastAsia="SimSun" w:cs="Times New Roman"/>
      <w:szCs w:val="20"/>
      <w:lang w:val="en-GB" w:eastAsia="zh-CN"/>
    </w:rPr>
  </w:style>
  <w:style w:type="paragraph" w:customStyle="1" w:styleId="SLG">
    <w:name w:val="__S_L_G"/>
    <w:basedOn w:val="a0"/>
    <w:next w:val="a0"/>
    <w:rsid w:val="006C77FE"/>
    <w:pPr>
      <w:keepNext/>
      <w:keepLines/>
      <w:spacing w:before="240" w:after="240" w:line="580" w:lineRule="exact"/>
      <w:ind w:left="1134" w:right="1134"/>
    </w:pPr>
    <w:rPr>
      <w:rFonts w:eastAsia="SimSun" w:cs="Times New Roman"/>
      <w:b/>
      <w:sz w:val="56"/>
      <w:szCs w:val="20"/>
      <w:lang w:val="en-GB" w:eastAsia="zh-CN"/>
    </w:rPr>
  </w:style>
  <w:style w:type="paragraph" w:customStyle="1" w:styleId="SMG">
    <w:name w:val="__S_M_G"/>
    <w:basedOn w:val="a0"/>
    <w:next w:val="a0"/>
    <w:rsid w:val="006C77FE"/>
    <w:pPr>
      <w:keepNext/>
      <w:keepLines/>
      <w:spacing w:before="240" w:after="240" w:line="420" w:lineRule="exact"/>
      <w:ind w:left="1134" w:right="1134"/>
    </w:pPr>
    <w:rPr>
      <w:rFonts w:eastAsia="SimSun" w:cs="Times New Roman"/>
      <w:b/>
      <w:sz w:val="40"/>
      <w:szCs w:val="20"/>
      <w:lang w:val="en-GB" w:eastAsia="zh-CN"/>
    </w:rPr>
  </w:style>
  <w:style w:type="paragraph" w:customStyle="1" w:styleId="SSG">
    <w:name w:val="__S_S_G"/>
    <w:basedOn w:val="a0"/>
    <w:next w:val="a0"/>
    <w:rsid w:val="006C77FE"/>
    <w:pPr>
      <w:keepNext/>
      <w:keepLines/>
      <w:spacing w:before="240" w:after="240" w:line="300" w:lineRule="exact"/>
      <w:ind w:left="1134" w:right="1134"/>
    </w:pPr>
    <w:rPr>
      <w:rFonts w:eastAsia="SimSun" w:cs="Times New Roman"/>
      <w:b/>
      <w:sz w:val="28"/>
      <w:szCs w:val="20"/>
      <w:lang w:val="en-GB" w:eastAsia="zh-CN"/>
    </w:rPr>
  </w:style>
  <w:style w:type="paragraph" w:customStyle="1" w:styleId="XLargeG">
    <w:name w:val="__XLarge_G"/>
    <w:basedOn w:val="a0"/>
    <w:next w:val="a0"/>
    <w:rsid w:val="006C77FE"/>
    <w:pPr>
      <w:keepNext/>
      <w:keepLines/>
      <w:spacing w:before="240" w:after="240" w:line="420" w:lineRule="exact"/>
      <w:ind w:left="1134" w:right="1134"/>
    </w:pPr>
    <w:rPr>
      <w:rFonts w:eastAsia="SimSun" w:cs="Times New Roman"/>
      <w:b/>
      <w:sz w:val="40"/>
      <w:szCs w:val="20"/>
      <w:lang w:val="en-GB" w:eastAsia="zh-CN"/>
    </w:rPr>
  </w:style>
  <w:style w:type="paragraph" w:customStyle="1" w:styleId="Bullet1G">
    <w:name w:val="_Bullet 1_G"/>
    <w:basedOn w:val="a0"/>
    <w:qFormat/>
    <w:rsid w:val="006C77FE"/>
    <w:pPr>
      <w:numPr>
        <w:numId w:val="7"/>
      </w:numPr>
      <w:spacing w:after="120"/>
      <w:ind w:right="1134"/>
      <w:jc w:val="both"/>
    </w:pPr>
    <w:rPr>
      <w:rFonts w:eastAsia="SimSun" w:cs="Times New Roman"/>
      <w:szCs w:val="20"/>
      <w:lang w:val="en-GB" w:eastAsia="zh-CN"/>
    </w:rPr>
  </w:style>
  <w:style w:type="paragraph" w:customStyle="1" w:styleId="Bullet2G">
    <w:name w:val="_Bullet 2_G"/>
    <w:basedOn w:val="a0"/>
    <w:qFormat/>
    <w:rsid w:val="006C77FE"/>
    <w:pPr>
      <w:numPr>
        <w:numId w:val="8"/>
      </w:numPr>
      <w:spacing w:after="120"/>
      <w:ind w:right="1134"/>
      <w:jc w:val="both"/>
    </w:pPr>
    <w:rPr>
      <w:rFonts w:eastAsia="SimSun" w:cs="Times New Roman"/>
      <w:szCs w:val="20"/>
      <w:lang w:val="en-GB" w:eastAsia="zh-CN"/>
    </w:rPr>
  </w:style>
  <w:style w:type="paragraph" w:customStyle="1" w:styleId="ParaNoG">
    <w:name w:val="_ParaNo._G"/>
    <w:basedOn w:val="SingleTxtG"/>
    <w:rsid w:val="006C77FE"/>
    <w:pPr>
      <w:numPr>
        <w:numId w:val="9"/>
      </w:numPr>
      <w:tabs>
        <w:tab w:val="clear" w:pos="0"/>
        <w:tab w:val="num" w:pos="1491"/>
        <w:tab w:val="num" w:pos="1701"/>
      </w:tabs>
      <w:ind w:left="1701" w:hanging="170"/>
    </w:pPr>
  </w:style>
  <w:style w:type="character" w:customStyle="1" w:styleId="20">
    <w:name w:val="Заголовок 2 Знак"/>
    <w:link w:val="2"/>
    <w:uiPriority w:val="9"/>
    <w:rsid w:val="006C77FE"/>
    <w:rPr>
      <w:rFonts w:eastAsiaTheme="minorHAnsi" w:cs="Arial"/>
      <w:bCs/>
      <w:iCs/>
      <w:szCs w:val="28"/>
      <w:lang w:val="ru-RU" w:eastAsia="en-US"/>
    </w:rPr>
  </w:style>
  <w:style w:type="character" w:customStyle="1" w:styleId="30">
    <w:name w:val="Заголовок 3 Знак"/>
    <w:link w:val="3"/>
    <w:uiPriority w:val="9"/>
    <w:rsid w:val="006C77FE"/>
    <w:rPr>
      <w:rFonts w:ascii="Arial" w:eastAsiaTheme="minorHAnsi" w:hAnsi="Arial" w:cs="Arial"/>
      <w:b/>
      <w:bCs/>
      <w:sz w:val="26"/>
      <w:szCs w:val="26"/>
      <w:lang w:val="ru-RU" w:eastAsia="en-US"/>
    </w:rPr>
  </w:style>
  <w:style w:type="character" w:customStyle="1" w:styleId="40">
    <w:name w:val="Заголовок 4 Знак"/>
    <w:link w:val="4"/>
    <w:uiPriority w:val="9"/>
    <w:rsid w:val="006C77FE"/>
    <w:rPr>
      <w:rFonts w:eastAsiaTheme="minorHAnsi" w:cstheme="minorBidi"/>
      <w:b/>
      <w:bCs/>
      <w:sz w:val="28"/>
      <w:szCs w:val="28"/>
      <w:lang w:val="ru-RU" w:eastAsia="en-US"/>
    </w:rPr>
  </w:style>
  <w:style w:type="character" w:customStyle="1" w:styleId="50">
    <w:name w:val="Заголовок 5 Знак"/>
    <w:link w:val="5"/>
    <w:rsid w:val="006C77FE"/>
    <w:rPr>
      <w:rFonts w:eastAsiaTheme="minorHAnsi" w:cstheme="minorBidi"/>
      <w:b/>
      <w:bCs/>
      <w:i/>
      <w:iCs/>
      <w:sz w:val="26"/>
      <w:szCs w:val="26"/>
      <w:lang w:val="ru-RU" w:eastAsia="en-US"/>
    </w:rPr>
  </w:style>
  <w:style w:type="character" w:customStyle="1" w:styleId="60">
    <w:name w:val="Заголовок 6 Знак"/>
    <w:link w:val="6"/>
    <w:rsid w:val="006C77FE"/>
    <w:rPr>
      <w:rFonts w:eastAsiaTheme="minorHAnsi" w:cstheme="minorBidi"/>
      <w:b/>
      <w:bCs/>
      <w:sz w:val="22"/>
      <w:szCs w:val="22"/>
      <w:lang w:val="ru-RU" w:eastAsia="en-US"/>
    </w:rPr>
  </w:style>
  <w:style w:type="character" w:customStyle="1" w:styleId="70">
    <w:name w:val="Заголовок 7 Знак"/>
    <w:link w:val="7"/>
    <w:rsid w:val="006C77FE"/>
    <w:rPr>
      <w:rFonts w:eastAsiaTheme="minorHAnsi" w:cstheme="minorBidi"/>
      <w:sz w:val="24"/>
      <w:szCs w:val="24"/>
      <w:lang w:val="ru-RU" w:eastAsia="en-US"/>
    </w:rPr>
  </w:style>
  <w:style w:type="character" w:customStyle="1" w:styleId="80">
    <w:name w:val="Заголовок 8 Знак"/>
    <w:link w:val="8"/>
    <w:rsid w:val="006C77FE"/>
    <w:rPr>
      <w:rFonts w:eastAsiaTheme="minorHAnsi" w:cstheme="minorBidi"/>
      <w:i/>
      <w:iCs/>
      <w:sz w:val="24"/>
      <w:szCs w:val="24"/>
      <w:lang w:val="ru-RU" w:eastAsia="en-US"/>
    </w:rPr>
  </w:style>
  <w:style w:type="character" w:customStyle="1" w:styleId="90">
    <w:name w:val="Заголовок 9 Знак"/>
    <w:link w:val="9"/>
    <w:rsid w:val="006C77FE"/>
    <w:rPr>
      <w:rFonts w:ascii="Arial" w:eastAsiaTheme="minorHAnsi" w:hAnsi="Arial" w:cs="Arial"/>
      <w:sz w:val="22"/>
      <w:szCs w:val="22"/>
      <w:lang w:val="ru-RU" w:eastAsia="en-US"/>
    </w:rPr>
  </w:style>
  <w:style w:type="character" w:styleId="affff">
    <w:name w:val="Book Title"/>
    <w:uiPriority w:val="33"/>
    <w:rsid w:val="006C77FE"/>
    <w:rPr>
      <w:b/>
      <w:bCs/>
      <w:smallCaps/>
      <w:spacing w:val="5"/>
    </w:rPr>
  </w:style>
  <w:style w:type="character" w:customStyle="1" w:styleId="SingleTxtGChar">
    <w:name w:val="_ Single Txt_G Char"/>
    <w:link w:val="SingleTxtG"/>
    <w:rsid w:val="006C77FE"/>
    <w:rPr>
      <w:rFonts w:eastAsia="SimSun"/>
      <w:lang w:val="en-GB" w:eastAsia="zh-CN"/>
    </w:rPr>
  </w:style>
  <w:style w:type="paragraph" w:styleId="affff0">
    <w:name w:val="Revision"/>
    <w:hidden/>
    <w:uiPriority w:val="99"/>
    <w:semiHidden/>
    <w:rsid w:val="006C77FE"/>
    <w:rPr>
      <w:rFonts w:ascii="Calibri" w:eastAsia="Calibri" w:hAnsi="Calibri" w:cs="Arial"/>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dss.gov.au/sites/default/files/documents/06_2015/nsds_full_version.pdf" TargetMode="External"/><Relationship Id="rId1" Type="http://schemas.openxmlformats.org/officeDocument/2006/relationships/hyperlink" Target="https://www.aihw.gov.au/reports/mental-health-services/mental-health-services-in-australia/report-contents/restrictive-practices/seclu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E8287-6987-40A6-B215-B5AD66C8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52</Pages>
  <Words>20345</Words>
  <Characters>140790</Characters>
  <Application>Microsoft Office Word</Application>
  <DocSecurity>0</DocSecurity>
  <Lines>2760</Lines>
  <Paragraphs>942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CRPD/C/AUS/2-3</vt:lpstr>
      <vt:lpstr>A/</vt:lpstr>
      <vt:lpstr>A/</vt:lpstr>
    </vt:vector>
  </TitlesOfParts>
  <Company>DCM</Company>
  <LinksUpToDate>false</LinksUpToDate>
  <CharactersWithSpaces>160193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CRPD/C/AUS/2-3</dc:title>
  <dc:subject/>
  <dc:creator>Anna PETELINA</dc:creator>
  <cp:keywords/>
  <cp:lastModifiedBy>Ioulia Goussarova</cp:lastModifiedBy>
  <cp:revision>3</cp:revision>
  <cp:lastPrinted>2019-05-08T15:38:00Z</cp:lastPrinted>
  <dcterms:created xsi:type="dcterms:W3CDTF">2019-05-08T15:38:00Z</dcterms:created>
  <dcterms:modified xsi:type="dcterms:W3CDTF">2019-05-08T15:38:00Z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