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00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CERD</w:t>
            </w:r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часть</w:instrText>
            </w:r>
            <w:r>
              <w:rPr>
                <w:lang w:val="en-US"/>
              </w:rPr>
              <w:instrText xml:space="preserve"> </w:instrText>
            </w:r>
            <w:r>
              <w:instrText>символа</w:instrText>
            </w:r>
            <w:r>
              <w:rPr>
                <w:lang w:val="en-US"/>
              </w:rPr>
              <w:instrText xml:space="preserve"> </w:instrText>
            </w:r>
            <w:r>
              <w:instrText>после</w:instrText>
            </w:r>
            <w:r>
              <w:rPr>
                <w:lang w:val="en-US"/>
              </w:rPr>
              <w:instrText xml:space="preserve"> CERD/"  \* MERGEFORMAT </w:instrText>
            </w:r>
            <w:r>
              <w:fldChar w:fldCharType="separate"/>
            </w:r>
            <w:r>
              <w:rPr>
                <w:lang w:val="en-US"/>
              </w:rPr>
              <w:t>C/BGR/CO/19/Add.1</w:t>
            </w:r>
            <w:proofErr w:type="spellEnd"/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000000" w:rsidRDefault="0000000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14 January 2011</w:t>
            </w:r>
            <w:r>
              <w:rPr>
                <w:sz w:val="20"/>
                <w:lang w:val="en-US"/>
              </w:rPr>
              <w:fldChar w:fldCharType="end"/>
            </w:r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000000" w:rsidRDefault="00000000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spacing w:before="120"/>
        <w:rPr>
          <w:sz w:val="24"/>
        </w:rPr>
      </w:pPr>
      <w:r>
        <w:rPr>
          <w:b/>
          <w:sz w:val="24"/>
        </w:rPr>
        <w:t>Комитет по ликвидации</w:t>
      </w:r>
      <w:r>
        <w:rPr>
          <w:b/>
          <w:sz w:val="24"/>
        </w:rPr>
        <w:br/>
        <w:t>расовой дискриминации</w:t>
      </w:r>
    </w:p>
    <w:p w:rsidR="00000000" w:rsidRDefault="0000000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Доклады, представленные государствами-участниками в соответствии со статьей 9</w:t>
      </w:r>
      <w:r>
        <w:br/>
        <w:t>Конвенции</w:t>
      </w:r>
    </w:p>
    <w:p w:rsidR="00000000" w:rsidRDefault="000000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Добавление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Информация правительства Болгарии об осуществлении заключительных замечаний Комитета по ликвидации расовой дискриминации (</w:t>
      </w:r>
      <w:r>
        <w:rPr>
          <w:lang w:val="en-GB"/>
        </w:rPr>
        <w:t>CERD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BGR</w:t>
      </w:r>
      <w:r>
        <w:t>/</w:t>
      </w:r>
      <w:r>
        <w:rPr>
          <w:lang w:val="en-GB"/>
        </w:rPr>
        <w:t>CO</w:t>
      </w:r>
      <w:r>
        <w:t>/19)</w:t>
      </w:r>
      <w:r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000000" w:rsidRDefault="00000000">
      <w:pPr>
        <w:spacing w:line="720" w:lineRule="auto"/>
        <w:jc w:val="right"/>
      </w:pPr>
      <w:r>
        <w:t>[29 сентября 2010 года]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t>А.</w:t>
      </w:r>
      <w:r>
        <w:tab/>
        <w:t>Введение</w:t>
      </w:r>
    </w:p>
    <w:p w:rsidR="00000000" w:rsidRDefault="00000000">
      <w:pPr>
        <w:pStyle w:val="SingleTxtGR"/>
      </w:pPr>
      <w:r>
        <w:t>1.</w:t>
      </w:r>
      <w:r>
        <w:tab/>
        <w:t>В соответствии со статьей 9, пункт 1, Конвенции о ликвидации расовой дискриминации компетентные болгарские власти представляют следующую информацию по некоторым заключительным замечаниям Комитета по ликвид</w:t>
      </w:r>
      <w:r>
        <w:t>а</w:t>
      </w:r>
      <w:r>
        <w:t>ции расовой дискрим</w:t>
      </w:r>
      <w:r>
        <w:t>и</w:t>
      </w:r>
      <w:r>
        <w:t>нации  (</w:t>
      </w:r>
      <w:r>
        <w:rPr>
          <w:lang w:val="en-GB"/>
        </w:rPr>
        <w:t>CERD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BGR</w:t>
      </w:r>
      <w:r>
        <w:t>/</w:t>
      </w:r>
      <w:r>
        <w:rPr>
          <w:lang w:val="en-GB"/>
        </w:rPr>
        <w:t>CO</w:t>
      </w:r>
      <w:r>
        <w:t>/19).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t>В.</w:t>
      </w:r>
      <w:r>
        <w:tab/>
        <w:t>Пункт 13</w:t>
      </w:r>
      <w:r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p w:rsidR="00000000" w:rsidRDefault="00000000">
      <w:pPr>
        <w:pStyle w:val="SingleTxtGR"/>
        <w:rPr>
          <w:i/>
        </w:rPr>
      </w:pPr>
      <w:r>
        <w:t>2.</w:t>
      </w:r>
      <w:r>
        <w:tab/>
        <w:t xml:space="preserve">В пункте 13 Комитет рекомендовал Болгарии </w:t>
      </w:r>
      <w:r>
        <w:rPr>
          <w:i/>
        </w:rPr>
        <w:t>"… продолжить осущест</w:t>
      </w:r>
      <w:r>
        <w:rPr>
          <w:i/>
        </w:rPr>
        <w:t>в</w:t>
      </w:r>
      <w:r>
        <w:rPr>
          <w:i/>
        </w:rPr>
        <w:t xml:space="preserve">ление мер по интеграции детей рома в смешанные школы </w:t>
      </w:r>
      <w:r>
        <w:rPr>
          <w:i/>
          <w:lang w:val="en-US"/>
        </w:rPr>
        <w:t>c</w:t>
      </w:r>
      <w:r>
        <w:rPr>
          <w:i/>
        </w:rPr>
        <w:t xml:space="preserve"> сотрудничеством с организациями гражданского общества".</w:t>
      </w:r>
    </w:p>
    <w:p w:rsidR="00000000" w:rsidRDefault="00000000">
      <w:pPr>
        <w:pStyle w:val="SingleTxtGR"/>
      </w:pPr>
      <w:r>
        <w:t>3.</w:t>
      </w:r>
      <w:r>
        <w:tab/>
        <w:t>Болгарские власти продолжают свои усилия по содействию интеграции и социализации детей и учащихся-рома в целях предотвращения раннего отсева из образовательной системы, повышения качества образования и совершенс</w:t>
      </w:r>
      <w:r>
        <w:t>т</w:t>
      </w:r>
      <w:r>
        <w:t>вования учебных заведений. Все соответствующие меры, принятые государс</w:t>
      </w:r>
      <w:r>
        <w:t>т</w:t>
      </w:r>
      <w:r>
        <w:t xml:space="preserve">вом, рассмотрены в рамках </w:t>
      </w:r>
      <w:r>
        <w:rPr>
          <w:i/>
        </w:rPr>
        <w:t>Национального совета по сотрудничеству в этн</w:t>
      </w:r>
      <w:r>
        <w:rPr>
          <w:i/>
        </w:rPr>
        <w:t>и</w:t>
      </w:r>
      <w:r>
        <w:rPr>
          <w:i/>
        </w:rPr>
        <w:t>ческих и демографических вопросах (НССЭДВ)</w:t>
      </w:r>
      <w:r>
        <w:t xml:space="preserve"> − главного государственного о</w:t>
      </w:r>
      <w:r>
        <w:t>р</w:t>
      </w:r>
      <w:r>
        <w:t>гана по координации и консультациям с представителями гражданского общ</w:t>
      </w:r>
      <w:r>
        <w:t>е</w:t>
      </w:r>
      <w:r>
        <w:t>ства по вопросам, связанным с равноправной интеграцией лиц, принадлежащих к меньшинствам. Насчитывается 28 неправительственных организаций − чл</w:t>
      </w:r>
      <w:r>
        <w:t>е</w:t>
      </w:r>
      <w:r>
        <w:t>нов НССЭДВ, среди которых по меньшей мере 7 считают себя представителями и</w:t>
      </w:r>
      <w:r>
        <w:t>н</w:t>
      </w:r>
      <w:r>
        <w:t>тересов рома. Кроме того, Совет по интеграции рома в болгарское общество, функционирующий при МТСЗ, включает в своем расширенном составе почти 80 НПО, выражающих интересы рома, а также экспертов по таким вопросам, как образование, медицинское обслуживание, культура, жилищные условия, з</w:t>
      </w:r>
      <w:r>
        <w:t>а</w:t>
      </w:r>
      <w:r>
        <w:t>нятость, социальная защита и т.п. Также имеется Общественный совет рома по культуре при Министерстве культуры и т.д. Все эти различные мн</w:t>
      </w:r>
      <w:r>
        <w:t>о</w:t>
      </w:r>
      <w:r>
        <w:t>гоуровневые и сопряженные механизмы координации и консультаций нацелены на содейс</w:t>
      </w:r>
      <w:r>
        <w:t>т</w:t>
      </w:r>
      <w:r>
        <w:t>вие участию меньшинств, в частности представителей рома, в процессе прин</w:t>
      </w:r>
      <w:r>
        <w:t>я</w:t>
      </w:r>
      <w:r>
        <w:t>тия решений.</w:t>
      </w:r>
    </w:p>
    <w:p w:rsidR="00000000" w:rsidRDefault="00000000">
      <w:pPr>
        <w:pStyle w:val="SingleTxtGR"/>
      </w:pPr>
      <w:r>
        <w:t>4.</w:t>
      </w:r>
      <w:r>
        <w:tab/>
        <w:t>Кроме того, представители гражданского общества и средств массовой информации регулярно приглашаются для участия в мероприятиях (рабочих с</w:t>
      </w:r>
      <w:r>
        <w:t>о</w:t>
      </w:r>
      <w:r>
        <w:t>вещаниях, семинарах и т.д.), организуемых в рамках Десятилетия интеграции рома, 2005−2015 годы, Рамочной программы равноправной интеграции рома</w:t>
      </w:r>
      <w:r>
        <w:br/>
        <w:t>в болгарское общество, Национального плана действий по защите от дискр</w:t>
      </w:r>
      <w:r>
        <w:t>и</w:t>
      </w:r>
      <w:r>
        <w:t>минации и т.п. Соответс</w:t>
      </w:r>
      <w:r>
        <w:t>т</w:t>
      </w:r>
      <w:r>
        <w:t>вующая информация имеется на сайтах НССЭДВ (</w:t>
      </w:r>
      <w:r>
        <w:rPr>
          <w:lang w:val="en-GB"/>
        </w:rPr>
        <w:t>www</w:t>
      </w:r>
      <w:r>
        <w:t>.</w:t>
      </w:r>
      <w:r>
        <w:rPr>
          <w:lang w:val="en-GB"/>
        </w:rPr>
        <w:t>nccedi</w:t>
      </w:r>
      <w:r>
        <w:t>.</w:t>
      </w:r>
      <w:r>
        <w:rPr>
          <w:lang w:val="en-GB"/>
        </w:rPr>
        <w:t>government</w:t>
      </w:r>
      <w:r>
        <w:t>.</w:t>
      </w:r>
      <w:r>
        <w:rPr>
          <w:lang w:val="en-GB"/>
        </w:rPr>
        <w:t>bg</w:t>
      </w:r>
      <w:r>
        <w:t>), Комиссии по защите от дискриминации (</w:t>
      </w:r>
      <w:r>
        <w:rPr>
          <w:lang w:val="en-GB"/>
        </w:rPr>
        <w:t>www</w:t>
      </w:r>
      <w:r>
        <w:t>.</w:t>
      </w:r>
      <w:r>
        <w:rPr>
          <w:lang w:val="en-GB"/>
        </w:rPr>
        <w:t>kzd</w:t>
      </w:r>
      <w:r>
        <w:t>-</w:t>
      </w:r>
      <w:r>
        <w:rPr>
          <w:lang w:val="en-GB"/>
        </w:rPr>
        <w:t>nondiscrimination</w:t>
      </w:r>
      <w:r>
        <w:t>.</w:t>
      </w:r>
      <w:r>
        <w:rPr>
          <w:lang w:val="en-GB"/>
        </w:rPr>
        <w:t>bg</w:t>
      </w:r>
      <w:r>
        <w:t>) и т.п.</w:t>
      </w:r>
    </w:p>
    <w:p w:rsidR="00000000" w:rsidRDefault="00000000">
      <w:pPr>
        <w:pStyle w:val="SingleTxtGR"/>
      </w:pPr>
      <w:r>
        <w:t>5.</w:t>
      </w:r>
      <w:r>
        <w:tab/>
        <w:t>Помимо информации, предоставленной в предыдущих докладах, следует обратить внимание на распоряжение № 6 (2002) Министра образования и на</w:t>
      </w:r>
      <w:r>
        <w:t>у</w:t>
      </w:r>
      <w:r>
        <w:t>ки, в котором прямо запрещается зачисление учащихся с обычными умстве</w:t>
      </w:r>
      <w:r>
        <w:t>н</w:t>
      </w:r>
      <w:r>
        <w:t>ными способностями в учреждения для детей с инвалидностью. Кроме того, в 2007−2009 годах Комиссия по защите от дискриминации и проект неправител</w:t>
      </w:r>
      <w:r>
        <w:t>ь</w:t>
      </w:r>
      <w:r>
        <w:t>ственной организации "Права человека" провели 22 проверки и вынесли реш</w:t>
      </w:r>
      <w:r>
        <w:t>е</w:t>
      </w:r>
      <w:r>
        <w:t>ние о наличии дискриминационной практики в деятельности некоторых прие</w:t>
      </w:r>
      <w:r>
        <w:t>м</w:t>
      </w:r>
      <w:r>
        <w:t>ных комиссий в области образования. Министерству образования, молодежи и науки и Государственному комитету по защите детей дано указание активиз</w:t>
      </w:r>
      <w:r>
        <w:t>и</w:t>
      </w:r>
      <w:r>
        <w:t>ровать меры по предотвращению и принять особые меры по искоренению о</w:t>
      </w:r>
      <w:r>
        <w:t>т</w:t>
      </w:r>
      <w:r>
        <w:t>рицательных последствий дискриминационной практики. В тот же период К</w:t>
      </w:r>
      <w:r>
        <w:t>о</w:t>
      </w:r>
      <w:r>
        <w:t>миссия по защите от дискриминации начала десять проверок по заявлениям о дискриминации по этническим мотивам (в том числе в отношении рома) в о</w:t>
      </w:r>
      <w:r>
        <w:t>б</w:t>
      </w:r>
      <w:r>
        <w:t>ласти образования, 22 − в области доступа к зданиям, товарам и услугам общ</w:t>
      </w:r>
      <w:r>
        <w:t>е</w:t>
      </w:r>
      <w:r>
        <w:t>го пользования и 37 − в отношении враждебных выступлений по этническим мотивам в средствах массовой информации.</w:t>
      </w:r>
    </w:p>
    <w:p w:rsidR="00000000" w:rsidRDefault="00000000">
      <w:pPr>
        <w:pStyle w:val="SingleTxtGR"/>
      </w:pPr>
      <w:r>
        <w:t>6.</w:t>
      </w:r>
      <w:r>
        <w:tab/>
        <w:t>К сентябрю 2010 года число школ в районах компактного проживания рома составило 65 по сравнению со 105 три года назад (цифры даны по всей территории страны). В 2009 году 10 176 детей-рома участвовали в межкульту</w:t>
      </w:r>
      <w:r>
        <w:t>р</w:t>
      </w:r>
      <w:r>
        <w:t>ных программах образования; 11 318 детей были записаны в такие пр</w:t>
      </w:r>
      <w:r>
        <w:t>о</w:t>
      </w:r>
      <w:r>
        <w:t>граммы; 5 633 ребенка посещали общеобразовательные школы и детские сады вне св</w:t>
      </w:r>
      <w:r>
        <w:t>о</w:t>
      </w:r>
      <w:r>
        <w:t>его места жительства (при соответствующем бесплатном транспорте) и 3</w:t>
      </w:r>
      <w:r>
        <w:rPr>
          <w:lang w:val="en-US"/>
        </w:rPr>
        <w:t> </w:t>
      </w:r>
      <w:r>
        <w:t>066</w:t>
      </w:r>
      <w:r>
        <w:rPr>
          <w:lang w:val="en-US"/>
        </w:rPr>
        <w:t> </w:t>
      </w:r>
      <w:r>
        <w:t>детей прошли курсы интеграции. Программами предотвращения ранн</w:t>
      </w:r>
      <w:r>
        <w:t>е</w:t>
      </w:r>
      <w:r>
        <w:t>го школьного отсева было охвачено в общей сложности 19 414 человек. Средс</w:t>
      </w:r>
      <w:r>
        <w:t>т</w:t>
      </w:r>
      <w:r>
        <w:t>ва, выделенные на эти цели в государственном бюджете 2010 года, составили</w:t>
      </w:r>
      <w:r>
        <w:br/>
        <w:t>12 млн. левов.</w:t>
      </w:r>
    </w:p>
    <w:p w:rsidR="00000000" w:rsidRDefault="00000000">
      <w:pPr>
        <w:pStyle w:val="SingleTxtGR"/>
      </w:pPr>
      <w:r>
        <w:t>7.</w:t>
      </w:r>
      <w:r>
        <w:tab/>
        <w:t xml:space="preserve">В 2007−2009 годах </w:t>
      </w:r>
      <w:r>
        <w:rPr>
          <w:i/>
        </w:rPr>
        <w:t>Центр по вопросам интеграции детей и учащихся из числа представителей этнических меньшинств в систему образования</w:t>
      </w:r>
      <w:r>
        <w:t xml:space="preserve"> (о кот</w:t>
      </w:r>
      <w:r>
        <w:t>о</w:t>
      </w:r>
      <w:r>
        <w:t>ром подробно говорилось в 19-м периодическом докладе (</w:t>
      </w:r>
      <w:r>
        <w:rPr>
          <w:lang w:val="en-GB"/>
        </w:rPr>
        <w:t>CERD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BGR</w:t>
      </w:r>
      <w:r>
        <w:t>/19)), финансировал 28 различных проектов, содействуя интеграции детей и учащи</w:t>
      </w:r>
      <w:r>
        <w:t>х</w:t>
      </w:r>
      <w:r>
        <w:t>ся из общины рома (на общую сумму 650 000 левов, из них 500 000 левов − поддержка от будапештского Фонда образования рома). Другой проект, осущ</w:t>
      </w:r>
      <w:r>
        <w:t>е</w:t>
      </w:r>
      <w:r>
        <w:t>ствляемый в настоящее время, финансируется за счет 600 000 левов, выделе</w:t>
      </w:r>
      <w:r>
        <w:t>н</w:t>
      </w:r>
      <w:r>
        <w:t>ных из Фонда образования рома, и 200 000 из государственного бюджета. Кр</w:t>
      </w:r>
      <w:r>
        <w:t>о</w:t>
      </w:r>
      <w:r>
        <w:t>ме того, в 2007−2009 годах были осуществлены 41 проект на сумму 790 426 л</w:t>
      </w:r>
      <w:r>
        <w:t>е</w:t>
      </w:r>
      <w:r>
        <w:t>вов для обеспечения равного доступа к качественному образованию и 32 прое</w:t>
      </w:r>
      <w:r>
        <w:t>к</w:t>
      </w:r>
      <w:r>
        <w:t>та на общую сумму 263 813 левов для создания условий успешной социализ</w:t>
      </w:r>
      <w:r>
        <w:t>а</w:t>
      </w:r>
      <w:r>
        <w:t>ции: все они полностью финансировались из государственного бюджета. Гла</w:t>
      </w:r>
      <w:r>
        <w:t>в</w:t>
      </w:r>
      <w:r>
        <w:t>ными п</w:t>
      </w:r>
      <w:r>
        <w:t>о</w:t>
      </w:r>
      <w:r>
        <w:t>лучателями средств были муниципалитеты, учебные заведения и НПО мелких населенных пунктов, включая поселения рома.</w:t>
      </w:r>
    </w:p>
    <w:p w:rsidR="00000000" w:rsidRDefault="00000000">
      <w:pPr>
        <w:pStyle w:val="SingleTxtGR"/>
      </w:pPr>
      <w:r>
        <w:t>8.</w:t>
      </w:r>
      <w:r>
        <w:tab/>
        <w:t>В 2009 году Государственный комитет по защите детей разработал модель интеграции на местном уровне в отношении детей, не охватываемых образов</w:t>
      </w:r>
      <w:r>
        <w:t>а</w:t>
      </w:r>
      <w:r>
        <w:t>тельной системой, в том числе детей-рома, в целях их возвращения в школу. Модель была представлена Министерству образования, молодежи и науки для осуществления совместно с местными органами власти и управления.</w:t>
      </w:r>
    </w:p>
    <w:p w:rsidR="00000000" w:rsidRDefault="00000000">
      <w:pPr>
        <w:pStyle w:val="SingleTxtGR"/>
      </w:pPr>
      <w:r>
        <w:t>9.</w:t>
      </w:r>
      <w:r>
        <w:tab/>
        <w:t>По некоторым экспертным оценкам, в 2009 году 23% грантов, предоста</w:t>
      </w:r>
      <w:r>
        <w:t>в</w:t>
      </w:r>
      <w:r>
        <w:t>ленных в рамках программы регионального развития для малообеспеченных людей, были выделены для ремонта и реконструкции образовательной инфр</w:t>
      </w:r>
      <w:r>
        <w:t>а</w:t>
      </w:r>
      <w:r>
        <w:t>структуры в местах компактного проживания рома (общая сумма этих проектов превысила 293 млн. левов).</w:t>
      </w:r>
    </w:p>
    <w:p w:rsidR="00000000" w:rsidRDefault="00000000">
      <w:pPr>
        <w:pStyle w:val="SingleTxtGR"/>
      </w:pPr>
      <w:r>
        <w:t>10.</w:t>
      </w:r>
      <w:r>
        <w:tab/>
        <w:t>В июле 2010 года болгарские власти официально начали осуществление Проекта социальной интеграции, финансировавшегося за счет займа в размере 40 млн. евро, предоставленного Международным банком реконструкции и ра</w:t>
      </w:r>
      <w:r>
        <w:t>з</w:t>
      </w:r>
      <w:r>
        <w:t>вития. Проект нацелен на социальную интеграцию детей в возрасте до семи лет (включая детей из числа рома) на основе вложений в раннее развитие детей. Проект будет обеспечивать комплексное социальное о</w:t>
      </w:r>
      <w:r>
        <w:t>б</w:t>
      </w:r>
      <w:r>
        <w:t>служивание, связанное с уходом за детьми; будут осуществлены меры по нар</w:t>
      </w:r>
      <w:r>
        <w:t>а</w:t>
      </w:r>
      <w:r>
        <w:t>щиванию потенциала. Конкретные виды деятельности связаны с предоставлением услуг для форм</w:t>
      </w:r>
      <w:r>
        <w:t>и</w:t>
      </w:r>
      <w:r>
        <w:t>рования и развития навыков воспитания детей для будущих и нынешних род</w:t>
      </w:r>
      <w:r>
        <w:t>и</w:t>
      </w:r>
      <w:r>
        <w:t>телей, принятия ранних мер в отношении детей с инвалидностями, консульт</w:t>
      </w:r>
      <w:r>
        <w:t>и</w:t>
      </w:r>
      <w:r>
        <w:t>рования и поддержки семей, медицинских консультаций и т.п. Будет финанс</w:t>
      </w:r>
      <w:r>
        <w:t>и</w:t>
      </w:r>
      <w:r>
        <w:t>роваться деятельность для возрастной группы трех-семи лет по интеграции в детских садах и повышению готовности школ на основе работы с детьми в де</w:t>
      </w:r>
      <w:r>
        <w:t>т</w:t>
      </w:r>
      <w:r>
        <w:t>ских садах и с их родителями, снижения платы за детские сады, предоставл</w:t>
      </w:r>
      <w:r>
        <w:t>е</w:t>
      </w:r>
      <w:r>
        <w:t>ния транспорта и т.п.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t>С.</w:t>
      </w:r>
      <w:r>
        <w:tab/>
        <w:t>Пункт 15</w:t>
      </w:r>
    </w:p>
    <w:p w:rsidR="00000000" w:rsidRDefault="00000000">
      <w:pPr>
        <w:pStyle w:val="SingleTxtGR"/>
      </w:pPr>
      <w:r>
        <w:t>11.</w:t>
      </w:r>
      <w:r>
        <w:tab/>
        <w:t xml:space="preserve">В пункте 15 Комитет выразил обеспокоенность </w:t>
      </w:r>
      <w:r>
        <w:rPr>
          <w:i/>
        </w:rPr>
        <w:t>"теми препятствиями, с которыми сталкиваются рома в вопросах доступа к труду, жилищу, здрав</w:t>
      </w:r>
      <w:r>
        <w:rPr>
          <w:i/>
        </w:rPr>
        <w:t>о</w:t>
      </w:r>
      <w:r>
        <w:rPr>
          <w:i/>
        </w:rPr>
        <w:t>охранению и образованию"</w:t>
      </w:r>
      <w:r>
        <w:t xml:space="preserve"> и рекомендовал </w:t>
      </w:r>
      <w:r>
        <w:rPr>
          <w:i/>
        </w:rPr>
        <w:t>"государству-участнику принимать и впредь специальные меры по улучшению условий жизни рома в вопросах до</w:t>
      </w:r>
      <w:r>
        <w:rPr>
          <w:i/>
        </w:rPr>
        <w:t>с</w:t>
      </w:r>
      <w:r>
        <w:rPr>
          <w:i/>
        </w:rPr>
        <w:t>тупа к труду, здравоохранению, жилищу и образованию в рамках Плана дейс</w:t>
      </w:r>
      <w:r>
        <w:rPr>
          <w:i/>
        </w:rPr>
        <w:t>т</w:t>
      </w:r>
      <w:r>
        <w:rPr>
          <w:i/>
        </w:rPr>
        <w:t>вий по интеграции народа рома и Десятилетия интеграции народа рома в с</w:t>
      </w:r>
      <w:r>
        <w:rPr>
          <w:i/>
        </w:rPr>
        <w:t>о</w:t>
      </w:r>
      <w:r>
        <w:rPr>
          <w:i/>
        </w:rPr>
        <w:t>ответствии со статьей 5 Конвенции и замечанием общего порядка ХХ</w:t>
      </w:r>
      <w:r>
        <w:rPr>
          <w:i/>
          <w:lang w:val="en-US"/>
        </w:rPr>
        <w:t>VII</w:t>
      </w:r>
      <w:r>
        <w:rPr>
          <w:i/>
        </w:rPr>
        <w:t xml:space="preserve"> (2000) о дискриминации в отношении народа рома"</w:t>
      </w:r>
      <w:r>
        <w:t>.</w:t>
      </w:r>
    </w:p>
    <w:p w:rsidR="00000000" w:rsidRDefault="00000000">
      <w:pPr>
        <w:pStyle w:val="SingleTxtGR"/>
      </w:pPr>
      <w:r>
        <w:t>12.</w:t>
      </w:r>
      <w:r>
        <w:tab/>
        <w:t>Улучшение положения рома в Болгарии − одна из первоочередных задач правительства, которое последовательно принимает меры в этом направлении в сотрудничестве с общиной рома и при ее активном участии (см. также инфо</w:t>
      </w:r>
      <w:r>
        <w:t>р</w:t>
      </w:r>
      <w:r>
        <w:t>мацию, представленную выше).</w:t>
      </w:r>
    </w:p>
    <w:p w:rsidR="00000000" w:rsidRDefault="00000000">
      <w:pPr>
        <w:pStyle w:val="SingleTxtGR"/>
      </w:pPr>
      <w:r>
        <w:t>13.</w:t>
      </w:r>
      <w:r>
        <w:tab/>
        <w:t>Как пояснялось в предыдущих докладах, разработан и применяется ряд стратегических документов. В том числе − обновленная и дополненная прав</w:t>
      </w:r>
      <w:r>
        <w:t>и</w:t>
      </w:r>
      <w:r>
        <w:t xml:space="preserve">тельством </w:t>
      </w:r>
      <w:r>
        <w:rPr>
          <w:i/>
        </w:rPr>
        <w:t>Рамочная программа интеграции рома в болгарское общество, на 2010−2020 годы</w:t>
      </w:r>
      <w:r>
        <w:t xml:space="preserve"> (утвержденная Советом министров 12 мая 2010 года), </w:t>
      </w:r>
      <w:r>
        <w:rPr>
          <w:i/>
        </w:rPr>
        <w:t>Наци</w:t>
      </w:r>
      <w:r>
        <w:rPr>
          <w:i/>
        </w:rPr>
        <w:t>о</w:t>
      </w:r>
      <w:r>
        <w:rPr>
          <w:i/>
        </w:rPr>
        <w:t>нальная программа улучшения жилищных условий рома (расширенная в 2009 году)</w:t>
      </w:r>
      <w:r>
        <w:t xml:space="preserve"> и т.п.</w:t>
      </w:r>
    </w:p>
    <w:p w:rsidR="00000000" w:rsidRDefault="00000000">
      <w:pPr>
        <w:pStyle w:val="SingleTxtGR"/>
      </w:pPr>
      <w:r>
        <w:t>14.</w:t>
      </w:r>
      <w:r>
        <w:tab/>
        <w:t>Деятельность болгарского правительства соответствует политическим у</w:t>
      </w:r>
      <w:r>
        <w:t>с</w:t>
      </w:r>
      <w:r>
        <w:t>тановкам ЕС в отношении строгого соблюдения принципа обеспечения раве</w:t>
      </w:r>
      <w:r>
        <w:t>н</w:t>
      </w:r>
      <w:r>
        <w:t>ства возможностей для всех и недискриминации. Соответствующие документы Совета Европы, Организ</w:t>
      </w:r>
      <w:r>
        <w:t>а</w:t>
      </w:r>
      <w:r>
        <w:t>ции по безопасности и сотрудничеству в Европе и т.п. также принимаются во внимание. Как один из инициаторов Десятилетия инт</w:t>
      </w:r>
      <w:r>
        <w:t>е</w:t>
      </w:r>
      <w:r>
        <w:t>грации рома 2005−2015 годов Болгария продолжает свою работу по достиж</w:t>
      </w:r>
      <w:r>
        <w:t>е</w:t>
      </w:r>
      <w:r>
        <w:t>нию его целей на основе ежегодных планов действий (более подробные свед</w:t>
      </w:r>
      <w:r>
        <w:t>е</w:t>
      </w:r>
      <w:r>
        <w:t xml:space="preserve">ния об их осуществлении см. </w:t>
      </w:r>
      <w:hyperlink r:id="rId8" w:history="1">
        <w:r>
          <w:rPr>
            <w:rStyle w:val="Hyperlink"/>
            <w:u w:val="none"/>
            <w:lang w:val="en-GB"/>
          </w:rPr>
          <w:t>http</w:t>
        </w:r>
        <w:r>
          <w:rPr>
            <w:rStyle w:val="Hyperlink"/>
            <w:u w:val="none"/>
          </w:rPr>
          <w:t>://</w:t>
        </w:r>
        <w:r>
          <w:rPr>
            <w:rStyle w:val="Hyperlink"/>
            <w:u w:val="none"/>
            <w:lang w:val="en-GB"/>
          </w:rPr>
          <w:t>www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en-GB"/>
          </w:rPr>
          <w:t>mlsp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en-GB"/>
          </w:rPr>
          <w:t>government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en-GB"/>
          </w:rPr>
          <w:t>bg</w:t>
        </w:r>
        <w:r>
          <w:rPr>
            <w:rStyle w:val="Hyperlink"/>
            <w:u w:val="none"/>
          </w:rPr>
          <w:t>/</w:t>
        </w:r>
        <w:r>
          <w:rPr>
            <w:rStyle w:val="Hyperlink"/>
            <w:u w:val="none"/>
            <w:lang w:val="en-GB"/>
          </w:rPr>
          <w:t>decade</w:t>
        </w:r>
        <w:r>
          <w:rPr>
            <w:rStyle w:val="Hyperlink"/>
            <w:u w:val="none"/>
          </w:rPr>
          <w:t>/</w:t>
        </w:r>
        <w:r>
          <w:rPr>
            <w:rStyle w:val="Hyperlink"/>
            <w:u w:val="none"/>
            <w:lang w:val="en-GB"/>
          </w:rPr>
          <w:t>default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en-GB"/>
          </w:rPr>
          <w:t>asp</w:t>
        </w:r>
      </w:hyperlink>
      <w:r>
        <w:t>).</w:t>
      </w:r>
    </w:p>
    <w:p w:rsidR="00000000" w:rsidRDefault="00000000">
      <w:pPr>
        <w:pStyle w:val="SingleTxtGR"/>
      </w:pPr>
      <w:r>
        <w:t>15.</w:t>
      </w:r>
      <w:r>
        <w:tab/>
        <w:t>Основные проблемы общины рома в Болгарии по-прежнему лежат гла</w:t>
      </w:r>
      <w:r>
        <w:t>в</w:t>
      </w:r>
      <w:r>
        <w:t xml:space="preserve">ным образом в социально-экономической области. </w:t>
      </w:r>
      <w:r>
        <w:rPr>
          <w:i/>
        </w:rPr>
        <w:t>Безработица</w:t>
      </w:r>
      <w:r>
        <w:t xml:space="preserve"> − ключевая проблема с точки зрения равной интеграции рома в общество. В значительной степени она обусловлена отсутствием образования и недостаточной профе</w:t>
      </w:r>
      <w:r>
        <w:t>с</w:t>
      </w:r>
      <w:r>
        <w:t>сиональной квалификацией. В этой связи правительство (конкретно, Министе</w:t>
      </w:r>
      <w:r>
        <w:t>р</w:t>
      </w:r>
      <w:r>
        <w:t>ство труда и социальной политики (МТСП)) осуществляет комплекс мер, нац</w:t>
      </w:r>
      <w:r>
        <w:t>е</w:t>
      </w:r>
      <w:r>
        <w:t>ленных на преодоление социальной изоляции рома и содействие их интегр</w:t>
      </w:r>
      <w:r>
        <w:t>а</w:t>
      </w:r>
      <w:r>
        <w:t>ции на рынке труда на основе обучения, создания новых рабочих мест и поо</w:t>
      </w:r>
      <w:r>
        <w:t>щ</w:t>
      </w:r>
      <w:r>
        <w:t>рения предпринимательства. В 2009 году службами занятости (так называемые би</w:t>
      </w:r>
      <w:r>
        <w:t>р</w:t>
      </w:r>
      <w:r>
        <w:t>жи труда) было зарегистрировано 25 016 безработных-рома и были предоставлены рабочие места для 17 682 человек. В общей сложности 7 334 человека обуч</w:t>
      </w:r>
      <w:r>
        <w:t>а</w:t>
      </w:r>
      <w:r>
        <w:t>лись по различным программам повышения квалификации, получали услуги профессиональной ориентации и т.п. Культурно-информационными центрами для рома (бизнес-инкубаторами) также были организованы курсы по предпр</w:t>
      </w:r>
      <w:r>
        <w:t>и</w:t>
      </w:r>
      <w:r>
        <w:t>нимательской деятельности; эти центры также предоставляют фина</w:t>
      </w:r>
      <w:r>
        <w:t>н</w:t>
      </w:r>
      <w:r>
        <w:t>совую поддержку для тех, кто хочет создать свое собственное дело. Национал</w:t>
      </w:r>
      <w:r>
        <w:t>ь</w:t>
      </w:r>
      <w:r>
        <w:t>ное агентство занятости организует специализированные биржи труда в реги</w:t>
      </w:r>
      <w:r>
        <w:t>о</w:t>
      </w:r>
      <w:r>
        <w:t>нах с более высокой плотностью населения рома (в 2006−2009 годах было организ</w:t>
      </w:r>
      <w:r>
        <w:t>о</w:t>
      </w:r>
      <w:r>
        <w:t>вано 20 таких бирж и еще 10 − в первые шесть месяцев 2010 года). Обучены и назначены посредники рома для содействия занятости (на февраль 2010 года в территориальных управлениях работали в общей сложности 102 посредника). Кроме того, проводятся встречи на местном уровне с официальными предст</w:t>
      </w:r>
      <w:r>
        <w:t>а</w:t>
      </w:r>
      <w:r>
        <w:t>вителями и неофициальными лидерами общины рома для повышения инфо</w:t>
      </w:r>
      <w:r>
        <w:t>р</w:t>
      </w:r>
      <w:r>
        <w:t>мированности и развития занятости (в 2009 году было проведено 169 таких встреч, а также 312 встреч с НПО, социальными партнерами, организациями работодателей и т.п.). К началу 2010 года в рамках программы сельского разв</w:t>
      </w:r>
      <w:r>
        <w:t>и</w:t>
      </w:r>
      <w:r>
        <w:t>тия на период 2007-2013 годов были выделены средства по 1 355 заявлениям о создании ферм для молодых фермеров на общую сумму 33 млн. левов, в том числе для рома из областей Хасково и Видин. По 526 заявлениям было предо</w:t>
      </w:r>
      <w:r>
        <w:t>с</w:t>
      </w:r>
      <w:r>
        <w:t>тавлено 138,7 млн. левов для модернизации ферм, включая создание рабочих мест для рома в областях Пазар</w:t>
      </w:r>
      <w:r>
        <w:t>д</w:t>
      </w:r>
      <w:r>
        <w:t>жик и Пловдив.</w:t>
      </w:r>
    </w:p>
    <w:p w:rsidR="00000000" w:rsidRDefault="00000000">
      <w:pPr>
        <w:pStyle w:val="SingleTxtGR"/>
      </w:pPr>
      <w:r>
        <w:t>16.</w:t>
      </w:r>
      <w:r>
        <w:tab/>
        <w:t xml:space="preserve">Для улучшения </w:t>
      </w:r>
      <w:r>
        <w:rPr>
          <w:i/>
        </w:rPr>
        <w:t>жилищных условий</w:t>
      </w:r>
      <w:r>
        <w:t xml:space="preserve"> продолжалась работа по составлению кадастровых карт и реестров в качестве основы разработки планов городского развития, населенных пунктов и последующих вложений в проектирование и строительство (в 2005−2009 годах такой деятельностью было охвачено свыше 100 населенных пунктов, включая поселения рома). Местным органам сам</w:t>
      </w:r>
      <w:r>
        <w:t>о</w:t>
      </w:r>
      <w:r>
        <w:t>управления предлагается провести городское регулирование существующих жилых районов рома и создать новые зоны жилищного строительства. Также рассматриваются возможности легализации незаконно построенных домов. Из государственного бюджета выделяются средства для совершенствов</w:t>
      </w:r>
      <w:r>
        <w:t>а</w:t>
      </w:r>
      <w:r>
        <w:t>ния имеющейся и создания новой технической инфраструктуры в жилых районах рома.</w:t>
      </w:r>
    </w:p>
    <w:p w:rsidR="00000000" w:rsidRDefault="00000000">
      <w:pPr>
        <w:pStyle w:val="SingleTxtGR"/>
      </w:pPr>
      <w:r>
        <w:t>17.</w:t>
      </w:r>
      <w:r>
        <w:tab/>
        <w:t>Программа улучшения жилищных условий рома финансируется из гос</w:t>
      </w:r>
      <w:r>
        <w:t>у</w:t>
      </w:r>
      <w:r>
        <w:t>дарственного бюджета (на общую сумму 11 647 тыс. левов в 2009 году, вкл</w:t>
      </w:r>
      <w:r>
        <w:t>ю</w:t>
      </w:r>
      <w:r>
        <w:t>чая 11 280 тыс. левов, перечисленных муниципалитетам). Завершено строительс</w:t>
      </w:r>
      <w:r>
        <w:t>т</w:t>
      </w:r>
      <w:r>
        <w:t>во объектов, связанных с реконструкцией существующих и созданием новых си</w:t>
      </w:r>
      <w:r>
        <w:t>с</w:t>
      </w:r>
      <w:r>
        <w:t>тем водоснабжения и канализации, а также с модернизацией дорожной сети в более чем 25 населенных пунктах; работы на объектах в более чем 10 других муниципалитетах продолжаются. Кроме того, в рамках программы сельского развития вкладываются средства в реконструкцию и/или стро</w:t>
      </w:r>
      <w:r>
        <w:t>и</w:t>
      </w:r>
      <w:r>
        <w:t>тельство дорог и систем водоснабжения и канализации, в том числе в населенных пунктах ко</w:t>
      </w:r>
      <w:r>
        <w:t>м</w:t>
      </w:r>
      <w:r>
        <w:t>пактного проживания рома (к 2006 году было осуществлено в общей сло</w:t>
      </w:r>
      <w:r>
        <w:t>ж</w:t>
      </w:r>
      <w:r>
        <w:t>ности 216 проектов на сумму 4,3 млн. левов).</w:t>
      </w:r>
    </w:p>
    <w:p w:rsidR="00000000" w:rsidRDefault="00000000">
      <w:pPr>
        <w:pStyle w:val="SingleTxtGR"/>
      </w:pPr>
      <w:r>
        <w:t>18.</w:t>
      </w:r>
      <w:r>
        <w:tab/>
        <w:t xml:space="preserve">В области </w:t>
      </w:r>
      <w:r>
        <w:rPr>
          <w:i/>
        </w:rPr>
        <w:t>здравоохранения</w:t>
      </w:r>
      <w:r>
        <w:t xml:space="preserve"> организуются программы санитарного пр</w:t>
      </w:r>
      <w:r>
        <w:t>о</w:t>
      </w:r>
      <w:r>
        <w:t>свещения и учебные курсы для руководителей рома. Министерство здравоохр</w:t>
      </w:r>
      <w:r>
        <w:t>а</w:t>
      </w:r>
      <w:r>
        <w:t>нения финансирует реконструкцию и оборудование хирургических кабинетов в местах проживания рома, а также проекты образовательной и медицинской и</w:t>
      </w:r>
      <w:r>
        <w:t>н</w:t>
      </w:r>
      <w:r>
        <w:t>теграции так называемых уязвимых групп, включая рома.</w:t>
      </w:r>
    </w:p>
    <w:p w:rsidR="00000000" w:rsidRDefault="00000000">
      <w:pPr>
        <w:pStyle w:val="SingleTxtGR"/>
      </w:pPr>
      <w:r>
        <w:t>19.</w:t>
      </w:r>
      <w:r>
        <w:tab/>
        <w:t>С 2001 года применяется модель посредника по здравоохранению (на</w:t>
      </w:r>
      <w:r>
        <w:rPr>
          <w:lang w:val="en-US"/>
        </w:rPr>
        <w:t> </w:t>
      </w:r>
      <w:r>
        <w:t>1 января 2010 года финансировалась деятельность 105 посредников за счет средств муниципальных бюджетов; субсидия Министерства здравоохранения составила 418 300 левов). Медицинские учреждения и социальные центры, к</w:t>
      </w:r>
      <w:r>
        <w:t>о</w:t>
      </w:r>
      <w:r>
        <w:t>торые находятся в ведении местных организаций, работающих с общиной рома, были созданы в местах проживания рома в Пловдиве, Сливене, Софии, Бургасе, Варне, Видине, Пазарджике и Стара-Загоре. Сп</w:t>
      </w:r>
      <w:r>
        <w:t>е</w:t>
      </w:r>
      <w:r>
        <w:t>циально подготовленными группами рома оказываются медицинские и социальные услуги. Работа веде</w:t>
      </w:r>
      <w:r>
        <w:t>т</w:t>
      </w:r>
      <w:r>
        <w:t>ся в основном в таких областях, как охрана здоровья матерей и детей, профила</w:t>
      </w:r>
      <w:r>
        <w:t>к</w:t>
      </w:r>
      <w:r>
        <w:t>тика наркомании, привлечение родителей к адаптации их детей к требованиям образовательной системы, а также профессиональная ориентация. Создано 12 мобильных медицинских пунктов (6 из которых были созданы в 2009 году) для проведения анализа и консультирования по вопросам ВИЧ/СПИДа, гепат</w:t>
      </w:r>
      <w:r>
        <w:t>и</w:t>
      </w:r>
      <w:r>
        <w:t>та В и С, а также консультирования по вопросам предотвращения связанного с риском поведения и т.п. Два из этих мобильных пункта находятся в введении организаций рома. В 2009 году в рамках этой модели медицинскую помощь п</w:t>
      </w:r>
      <w:r>
        <w:t>о</w:t>
      </w:r>
      <w:r>
        <w:t>лучили в общей сложности 73 606 человекам, 15 896 человек были охвачены профилактическими мероприятиями, а 179 молодых людей с успехом заверш</w:t>
      </w:r>
      <w:r>
        <w:t>и</w:t>
      </w:r>
      <w:r>
        <w:t>ли подгото</w:t>
      </w:r>
      <w:r>
        <w:t>в</w:t>
      </w:r>
      <w:r>
        <w:t>ку в области санитарного просвещения.</w:t>
      </w:r>
    </w:p>
    <w:p w:rsidR="00000000" w:rsidRDefault="00000000">
      <w:pPr>
        <w:pStyle w:val="SingleTxtGR"/>
      </w:pPr>
      <w:r>
        <w:t>20.</w:t>
      </w:r>
      <w:r>
        <w:tab/>
        <w:t>Помимо средств государственного бюджета, Министерство здравоохр</w:t>
      </w:r>
      <w:r>
        <w:t>а</w:t>
      </w:r>
      <w:r>
        <w:t>нения привлекает в соответствии с заключенными соглашениями гранты Гл</w:t>
      </w:r>
      <w:r>
        <w:t>о</w:t>
      </w:r>
      <w:r>
        <w:t>бального фонда по борьбе со СПИДом, туберкулезом и малярией (на общую сумму 15 711 000 левов в 2004−2008 годах и 17 941 000 левов, запланированных на 2009−2012 годы).</w:t>
      </w:r>
    </w:p>
    <w:p w:rsidR="00000000" w:rsidRDefault="00000000">
      <w:pPr>
        <w:pStyle w:val="SingleTxtGR"/>
      </w:pPr>
      <w:r>
        <w:t>21.</w:t>
      </w:r>
      <w:r>
        <w:tab/>
        <w:t>Болгарские граждане, в том числе рома, находящиеся в неблагоприятном положении, также получают пособия по линии оперативной программы разв</w:t>
      </w:r>
      <w:r>
        <w:t>и</w:t>
      </w:r>
      <w:r>
        <w:t xml:space="preserve">тия людских ресурсов, осуществляемой МТСЗ и совместно финансируемой </w:t>
      </w:r>
      <w:r>
        <w:rPr>
          <w:i/>
        </w:rPr>
        <w:t>Е</w:t>
      </w:r>
      <w:r>
        <w:rPr>
          <w:i/>
        </w:rPr>
        <w:t>в</w:t>
      </w:r>
      <w:r>
        <w:rPr>
          <w:i/>
        </w:rPr>
        <w:t>ропейским социальным фондом</w:t>
      </w:r>
      <w:r>
        <w:t>. К настоящему времени на разных этапах ос</w:t>
      </w:r>
      <w:r>
        <w:t>у</w:t>
      </w:r>
      <w:r>
        <w:t>ществления находятся четыре процедуры предоставления грантов на общую сумму 43 574 000 левов (цель которых − изменения в общине рома):</w:t>
      </w:r>
    </w:p>
    <w:p w:rsidR="00000000" w:rsidRDefault="00000000">
      <w:pPr>
        <w:pStyle w:val="SingleTxtGR"/>
      </w:pPr>
      <w:r>
        <w:tab/>
        <w:t>а)</w:t>
      </w:r>
      <w:r>
        <w:tab/>
        <w:t>"Создание благоприятного многокультурного окружения для пра</w:t>
      </w:r>
      <w:r>
        <w:t>к</w:t>
      </w:r>
      <w:r>
        <w:t>тического применения межкультурного образования и воспитания": с муниц</w:t>
      </w:r>
      <w:r>
        <w:t>и</w:t>
      </w:r>
      <w:r>
        <w:t>палитетами, школами и НПО подписаны 64 дог</w:t>
      </w:r>
      <w:r>
        <w:t>о</w:t>
      </w:r>
      <w:r>
        <w:t>вора, предоставлено 5 574 000 левов, освоено 3 598 000 левов, работой охвачено 9 124 ребенка и учащихся;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"Интеграция детей и учащихся из этнических меньшинств в обр</w:t>
      </w:r>
      <w:r>
        <w:t>а</w:t>
      </w:r>
      <w:r>
        <w:t>зовательную систему": к настоящему времени представлено 414 предложений по проектам на общую сумму бюджета в 12 000 левов;</w:t>
      </w:r>
    </w:p>
    <w:p w:rsidR="00000000" w:rsidRDefault="00000000">
      <w:pPr>
        <w:pStyle w:val="SingleTxtGR"/>
      </w:pPr>
      <w:r>
        <w:tab/>
        <w:t>с)</w:t>
      </w:r>
      <w:r>
        <w:tab/>
        <w:t>"Грамотность для взрослых": общая сумма 15 млн. левов предо</w:t>
      </w:r>
      <w:r>
        <w:t>с</w:t>
      </w:r>
      <w:r>
        <w:t>тавлена по линии Мин</w:t>
      </w:r>
      <w:r>
        <w:t>и</w:t>
      </w:r>
      <w:r>
        <w:t>стерства образования;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"Взять жизнь в свои руки" − проект, начатый осенью 2010 года, с бюджетом 11 млн. левов предусматривает предоставление грантов для НПО, образовательных и учебных заведений и других структур для содействия во</w:t>
      </w:r>
      <w:r>
        <w:t>з</w:t>
      </w:r>
      <w:r>
        <w:t>вращению безработных, не занятых долгое время, на рынок труда.</w:t>
      </w:r>
    </w:p>
    <w:p w:rsidR="00000000" w:rsidRDefault="00000000">
      <w:pPr>
        <w:pStyle w:val="SingleTxtGR"/>
      </w:pPr>
      <w:r>
        <w:t>22.</w:t>
      </w:r>
      <w:r>
        <w:tab/>
        <w:t xml:space="preserve">В рамках </w:t>
      </w:r>
      <w:r>
        <w:rPr>
          <w:lang w:val="en-GB"/>
        </w:rPr>
        <w:t>PHARE</w:t>
      </w:r>
      <w:r>
        <w:t xml:space="preserve"> осуществляются следующие проекты, одной из целевых групп которых являю</w:t>
      </w:r>
      <w:r>
        <w:t>т</w:t>
      </w:r>
      <w:r>
        <w:t>ся рома:</w:t>
      </w:r>
    </w:p>
    <w:p w:rsidR="00000000" w:rsidRDefault="00000000">
      <w:pPr>
        <w:pStyle w:val="SingleTxtGR"/>
      </w:pPr>
      <w:r>
        <w:tab/>
        <w:t>а)</w:t>
      </w:r>
      <w:r>
        <w:tab/>
        <w:t>интеграция этнических меньшинств на рынке труда: бюджет в 2 860 000 евро, включая 660 000 евро в счет национального долевого финанс</w:t>
      </w:r>
      <w:r>
        <w:t>и</w:t>
      </w:r>
      <w:r>
        <w:t>рования;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повышение доступа к медицинскому обслуживанию для уязвимых групп с уделением внимания рома: бюджет в 4,4 млн. евро, включая 1,1 млн. евро в счет национального долевого финанс</w:t>
      </w:r>
      <w:r>
        <w:t>и</w:t>
      </w:r>
      <w:r>
        <w:t>рования;</w:t>
      </w:r>
    </w:p>
    <w:p w:rsidR="00000000" w:rsidRDefault="00000000">
      <w:pPr>
        <w:pStyle w:val="SingleTxtGR"/>
      </w:pPr>
      <w:r>
        <w:tab/>
        <w:t>с)</w:t>
      </w:r>
      <w:r>
        <w:tab/>
        <w:t>образовательная медицинская интеграция уязвимых групп с удел</w:t>
      </w:r>
      <w:r>
        <w:t>е</w:t>
      </w:r>
      <w:r>
        <w:t>нием особого внимания рома: бюджет в 4 853 000 евро, включая 983 000 евро в счет национального долевого финансиров</w:t>
      </w:r>
      <w:r>
        <w:t>а</w:t>
      </w:r>
      <w:r>
        <w:t>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улучшение положения находящихся в неблагоприятном положении этнических меньшинств при уделении внимания рома: два проекта технической помощи, оказание содействия строительству и строительный надзор на общую сумму свыше 23 млн. евро, включая 2,7 млн. евро в счет национального долев</w:t>
      </w:r>
      <w:r>
        <w:t>о</w:t>
      </w:r>
      <w:r>
        <w:t>го финансирования.</w:t>
      </w:r>
    </w:p>
    <w:p w:rsidR="00000000" w:rsidRDefault="00000000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Пункт 16</w:t>
      </w:r>
    </w:p>
    <w:p w:rsidR="00000000" w:rsidRDefault="00000000">
      <w:pPr>
        <w:pStyle w:val="SingleTxtGR"/>
      </w:pPr>
      <w:r>
        <w:t>23.</w:t>
      </w:r>
      <w:r>
        <w:tab/>
        <w:t xml:space="preserve">В пункте 16 Комитет призвал </w:t>
      </w:r>
      <w:r>
        <w:rPr>
          <w:i/>
        </w:rPr>
        <w:t>"государство-участник принимать и в б</w:t>
      </w:r>
      <w:r>
        <w:rPr>
          <w:i/>
        </w:rPr>
        <w:t>у</w:t>
      </w:r>
      <w:r>
        <w:rPr>
          <w:i/>
        </w:rPr>
        <w:t>дущем меры по борьбе против злоупотребления властью и грубого обращения со стороны сил полиции с лицами, принадлежащими к группам меньшинств, следить за тем, чтобы такие действия эффективно преследовались и наказ</w:t>
      </w:r>
      <w:r>
        <w:rPr>
          <w:i/>
        </w:rPr>
        <w:t>ы</w:t>
      </w:r>
      <w:r>
        <w:rPr>
          <w:i/>
        </w:rPr>
        <w:t>вались судебными властями, и, кроме того, продолжить процесс интеграции представителей рома в пол</w:t>
      </w:r>
      <w:r>
        <w:rPr>
          <w:i/>
        </w:rPr>
        <w:t>и</w:t>
      </w:r>
      <w:r>
        <w:rPr>
          <w:i/>
        </w:rPr>
        <w:t>цию"</w:t>
      </w:r>
      <w:r>
        <w:t>.</w:t>
      </w:r>
    </w:p>
    <w:p w:rsidR="00000000" w:rsidRDefault="00000000">
      <w:pPr>
        <w:pStyle w:val="SingleTxtGR"/>
      </w:pPr>
      <w:r>
        <w:t>24.</w:t>
      </w:r>
      <w:r>
        <w:tab/>
        <w:t>Министерство внутренних дел Республики Болгарии приняло все необх</w:t>
      </w:r>
      <w:r>
        <w:t>о</w:t>
      </w:r>
      <w:r>
        <w:t>димые практические меры по искоренению коренных причин нарушений зак</w:t>
      </w:r>
      <w:r>
        <w:t>о</w:t>
      </w:r>
      <w:r>
        <w:t>нодательства сотрудниками полиции и профилактике таких нарушений в буд</w:t>
      </w:r>
      <w:r>
        <w:t>у</w:t>
      </w:r>
      <w:r>
        <w:t>щем. Так, был введен особый порядок регистрации жалоб на грубое обращ</w:t>
      </w:r>
      <w:r>
        <w:t>е</w:t>
      </w:r>
      <w:r>
        <w:t>ние со стороны сотрудников полиции, соблюдение которого строго контролир</w:t>
      </w:r>
      <w:r>
        <w:t>у</w:t>
      </w:r>
      <w:r>
        <w:t>ется. Число жалоб на грубое обращение со стороны сотрудников полиции сократ</w:t>
      </w:r>
      <w:r>
        <w:t>и</w:t>
      </w:r>
      <w:r>
        <w:t>лось в 2010 году по сравнению с 2005 годом на 70%. Один из основных показ</w:t>
      </w:r>
      <w:r>
        <w:t>а</w:t>
      </w:r>
      <w:r>
        <w:t>телей эффективности каждого подразделения Министерства внутренних дел − работа по жалобам граждан и сигналам на противоправные действия п</w:t>
      </w:r>
      <w:r>
        <w:t>о</w:t>
      </w:r>
      <w:r>
        <w:t>лиции. Начальники подразделений полиции, отвечающие за неэффективность действий по профилактике и раскрытию преступлений, контролю и работе с личным с</w:t>
      </w:r>
      <w:r>
        <w:t>о</w:t>
      </w:r>
      <w:r>
        <w:t>ставом, привлекаются к ответственности. Каждый год дисциплина</w:t>
      </w:r>
      <w:r>
        <w:t>р</w:t>
      </w:r>
      <w:r>
        <w:t>ная система подвергается самому детальному анализу. Предпринимаются необходимые ш</w:t>
      </w:r>
      <w:r>
        <w:t>а</w:t>
      </w:r>
      <w:r>
        <w:t>ги по укреплению дисциплины и предотвращению совершения пр</w:t>
      </w:r>
      <w:r>
        <w:t>о</w:t>
      </w:r>
      <w:r>
        <w:t>тивоправных действий. Главный секретарь и управление кадров и инспекция внутренних дел проводят контрольные проверки и расследования для обеспечения того, чтобы распоряжения по министерству соблюдались, и представляет свои отчеты рук</w:t>
      </w:r>
      <w:r>
        <w:t>о</w:t>
      </w:r>
      <w:r>
        <w:t>водству Министерства.</w:t>
      </w:r>
    </w:p>
    <w:p w:rsidR="00000000" w:rsidRDefault="00000000">
      <w:pPr>
        <w:pStyle w:val="SingleTxtGR"/>
      </w:pPr>
      <w:r>
        <w:t>25.</w:t>
      </w:r>
      <w:r>
        <w:tab/>
      </w:r>
      <w:r>
        <w:rPr>
          <w:i/>
        </w:rPr>
        <w:t>Инструкция № Из-1711</w:t>
      </w:r>
      <w:r>
        <w:t xml:space="preserve"> от 15 сентября 2009 года Министерства внутре</w:t>
      </w:r>
      <w:r>
        <w:t>н</w:t>
      </w:r>
      <w:r>
        <w:t>них дел прямо запрещает применение сотрудниками полиции физической силы, специальных средств или оружия в отношении задержанных, за исключением редких случаев, предусмотренных в законе о Министерстве внутренних дел. Никакие действия полицейских властей не должны включать совершение, по</w:t>
      </w:r>
      <w:r>
        <w:t>д</w:t>
      </w:r>
      <w:r>
        <w:t>стрекательство или попустительство любым деяниям пыток, бесчеловечного или унижающего достоинство обращения и наказания или любых деяний, с</w:t>
      </w:r>
      <w:r>
        <w:t>о</w:t>
      </w:r>
      <w:r>
        <w:t>ставляющих дискриминацию в отношении задержанных. Сразу после ареста задержанному должны быть разосланы мотивы задержания и соответствующая ответственность, предусмотренная законом, а также их права на надлежащую медицинскую помощь и юридическую помощь адвоката либо по своему выб</w:t>
      </w:r>
      <w:r>
        <w:t>о</w:t>
      </w:r>
      <w:r>
        <w:t>ру, либо назначаемого в соответствии с законом о юридической помощи, на о</w:t>
      </w:r>
      <w:r>
        <w:t>б</w:t>
      </w:r>
      <w:r>
        <w:t>жалование ареста в судебном порядке, на уведомление по его требованию др</w:t>
      </w:r>
      <w:r>
        <w:t>у</w:t>
      </w:r>
      <w:r>
        <w:t>гой стороны об аресте, иметь свидание, получать посылки и продукты питания, требовать уведомления соответствующих консульских органов, если данное лицо является иностранцем, требовать услуг устного или письменного перев</w:t>
      </w:r>
      <w:r>
        <w:t>о</w:t>
      </w:r>
      <w:r>
        <w:t>дчика и т.п. Та же процедура касается военнослужащих и регулируется особ</w:t>
      </w:r>
      <w:r>
        <w:t>ы</w:t>
      </w:r>
      <w:r>
        <w:t>ми норм</w:t>
      </w:r>
      <w:r>
        <w:t>а</w:t>
      </w:r>
      <w:r>
        <w:t>тивными актами.</w:t>
      </w:r>
    </w:p>
    <w:p w:rsidR="00000000" w:rsidRDefault="00000000">
      <w:pPr>
        <w:pStyle w:val="SingleTxtGR"/>
      </w:pPr>
      <w:r>
        <w:t>26.</w:t>
      </w:r>
      <w:r>
        <w:tab/>
        <w:t>Во всех случаях заявлений о нарушениях со стороны сотрудников пол</w:t>
      </w:r>
      <w:r>
        <w:t>и</w:t>
      </w:r>
      <w:r>
        <w:t>ции проводятся расследования, и, если такие нарушения подтверждаются, в</w:t>
      </w:r>
      <w:r>
        <w:t>и</w:t>
      </w:r>
      <w:r>
        <w:t>новные и, при необходимости, их непосредственные начальники наказ</w:t>
      </w:r>
      <w:r>
        <w:t>ы</w:t>
      </w:r>
      <w:r>
        <w:t>ваются. Имеются многочисленные случаи увольнения сотрудников полиции из органов полиции, после того как они были признаны виновными в таких нарушениях. Кроме того, когда в ходе расследования установлены признаки преступления, материалы дела передаются в прокуратуру. Это обязательная процедура, кот</w:t>
      </w:r>
      <w:r>
        <w:t>о</w:t>
      </w:r>
      <w:r>
        <w:t>рая применяется без каких бы то ни было исключений, вне зависимости от э</w:t>
      </w:r>
      <w:r>
        <w:t>т</w:t>
      </w:r>
      <w:r>
        <w:t>нического происхождения потерпевших от правонарушений. Кроме т</w:t>
      </w:r>
      <w:r>
        <w:t>о</w:t>
      </w:r>
      <w:r>
        <w:t xml:space="preserve">го, пункт 1.2 статьи 194 </w:t>
      </w:r>
      <w:r>
        <w:rPr>
          <w:i/>
        </w:rPr>
        <w:t>Уголовно-процессуального кодекса</w:t>
      </w:r>
      <w:r>
        <w:t xml:space="preserve"> предусматривает гара</w:t>
      </w:r>
      <w:r>
        <w:t>н</w:t>
      </w:r>
      <w:r>
        <w:t>тию проведения независимого расследования, устанавливая, что расслед</w:t>
      </w:r>
      <w:r>
        <w:t>о</w:t>
      </w:r>
      <w:r>
        <w:t>вание дел, связанных с сообщениями о преступлениях со стороны сотрудников пол</w:t>
      </w:r>
      <w:r>
        <w:t>и</w:t>
      </w:r>
      <w:r>
        <w:t>ции проводится следственными судьями, а не полицейскими дознавател</w:t>
      </w:r>
      <w:r>
        <w:t>я</w:t>
      </w:r>
      <w:r>
        <w:t>ми.</w:t>
      </w:r>
    </w:p>
    <w:p w:rsidR="00000000" w:rsidRDefault="00000000">
      <w:pPr>
        <w:pStyle w:val="SingleTxtGR"/>
      </w:pPr>
      <w:r>
        <w:t>27.</w:t>
      </w:r>
      <w:r>
        <w:tab/>
        <w:t xml:space="preserve">Сотрудники полиции периодически знакомятся с этическими нормами поведения и соответствующей процедурой соблюдения прав человека. </w:t>
      </w:r>
      <w:r>
        <w:rPr>
          <w:i/>
        </w:rPr>
        <w:t>Пост</w:t>
      </w:r>
      <w:r>
        <w:rPr>
          <w:i/>
        </w:rPr>
        <w:t>о</w:t>
      </w:r>
      <w:r>
        <w:rPr>
          <w:i/>
        </w:rPr>
        <w:t>янная комиссия по правам человека и полицейской этике</w:t>
      </w:r>
      <w:r>
        <w:t xml:space="preserve"> (ПКПЧПЭ) Министе</w:t>
      </w:r>
      <w:r>
        <w:t>р</w:t>
      </w:r>
      <w:r>
        <w:t>ства внутренних дел служит механизмом контроля и наблюдения за деятельн</w:t>
      </w:r>
      <w:r>
        <w:t>о</w:t>
      </w:r>
      <w:r>
        <w:t>стью сотрудников полиции. Она имеет региональные отделения на местном уровне. Деятельность ПКПЧПЭ нацелена на активное взаимодействие с общ</w:t>
      </w:r>
      <w:r>
        <w:t>е</w:t>
      </w:r>
      <w:r>
        <w:t>ственными организациями, утверждение позитивной полицейской практики и согласование с требованиями, вытекающими из членства Республики Болгарии в Европейском союзе, а также организуется в соответствии с планом работы, который обновляется на ежегодной основе. План охватывает широкий круг тем, таких как контроль за соблюдением прав задержанных и лиц, содержащихся в учреждениях Министерства внутренних дел, рассмотрение сигналов на нар</w:t>
      </w:r>
      <w:r>
        <w:t>у</w:t>
      </w:r>
      <w:r>
        <w:t>шение прав человека и свобод граждан со стороны сотрудников Министерства внутренних дел, подготовка поправок к законодательству, связанных с испол</w:t>
      </w:r>
      <w:r>
        <w:t>ь</w:t>
      </w:r>
      <w:r>
        <w:t>зованием огнестрельного оружия сотрудниками полиции для достижения н</w:t>
      </w:r>
      <w:r>
        <w:t>е</w:t>
      </w:r>
      <w:r>
        <w:t>укоснительного соблюдения Европейской конвенции о правах человека, а также документов С</w:t>
      </w:r>
      <w:r>
        <w:t>о</w:t>
      </w:r>
      <w:r>
        <w:t>вета Европы и Организации Объединенных Наций, тематическое обучение сотрудников в области защиты прав человека и т.п. Кроме того, в с</w:t>
      </w:r>
      <w:r>
        <w:t>о</w:t>
      </w:r>
      <w:r>
        <w:t>ответствии с рекомендацией Комитета министров Совета Европы о Европе</w:t>
      </w:r>
      <w:r>
        <w:t>й</w:t>
      </w:r>
      <w:r>
        <w:t>ском кодексе полицейской этики (Rec(2000)10) был принят этический кодекс сотрудников полиции. Нарушения кодекса отныне влекут за собой более стр</w:t>
      </w:r>
      <w:r>
        <w:t>о</w:t>
      </w:r>
      <w:r>
        <w:t>гую ответственность как дисциплинарные нарушения. Контроль за соблюден</w:t>
      </w:r>
      <w:r>
        <w:t>и</w:t>
      </w:r>
      <w:r>
        <w:t>ем кодекса осуществляется Комиссией по правам человека и полицейской этике Министерства внутренних дел.</w:t>
      </w:r>
    </w:p>
    <w:p w:rsidR="00000000" w:rsidRDefault="00000000">
      <w:pPr>
        <w:pStyle w:val="SingleTxtGR"/>
      </w:pPr>
      <w:r>
        <w:t>28.</w:t>
      </w:r>
      <w:r>
        <w:tab/>
        <w:t>Обеспечивается надлежащая подготовка по вопросам, связанным с пр</w:t>
      </w:r>
      <w:r>
        <w:t>е</w:t>
      </w:r>
      <w:r>
        <w:t>сечением и предупреждением дискриминации. Эта тема является приоритетной в учебных программам и программах повышения квалификации Академии МВД. Сотрудники полиции знакомятся с решениями Европейского суда по пр</w:t>
      </w:r>
      <w:r>
        <w:t>а</w:t>
      </w:r>
      <w:r>
        <w:t>вам человека в рамках курса "Защита прав человека". Тема прав человека пр</w:t>
      </w:r>
      <w:r>
        <w:t>и</w:t>
      </w:r>
      <w:r>
        <w:t>сутствует во всех учебных программах очного обучения Национального инст</w:t>
      </w:r>
      <w:r>
        <w:t>и</w:t>
      </w:r>
      <w:r>
        <w:t>тута правосудия (НИП), в котором ведется подготовка судебных работников и повышение их квалификации. Они включают модуль по статье 14 ЕКПЧ (з</w:t>
      </w:r>
      <w:r>
        <w:t>а</w:t>
      </w:r>
      <w:r>
        <w:t>прещение дискриминации) и соответствующему болгарскому зак</w:t>
      </w:r>
      <w:r>
        <w:t>о</w:t>
      </w:r>
      <w:r>
        <w:t>нодательству и прецедентному праву. НИП опубликовано и распространено среди всех с</w:t>
      </w:r>
      <w:r>
        <w:t>у</w:t>
      </w:r>
      <w:r>
        <w:t>дебных органов практическое руководство "Применение основных прав суд</w:t>
      </w:r>
      <w:r>
        <w:t>а</w:t>
      </w:r>
      <w:r>
        <w:t>ми", с которым также можно бесплатно ознакомиться в Интернете на сайте НИП. Кроме того, НИП принял участие в составлении подборки "Прецедентное право, касающееся применения закона о защите от дискриминации", подгото</w:t>
      </w:r>
      <w:r>
        <w:t>в</w:t>
      </w:r>
      <w:r>
        <w:t>ленной в качестве инициативы Комиссии по защите от дискриминации для ра</w:t>
      </w:r>
      <w:r>
        <w:t>с</w:t>
      </w:r>
      <w:r>
        <w:t>пространения, в частности, среди всех судебных работников.</w:t>
      </w:r>
    </w:p>
    <w:p w:rsidR="00000000" w:rsidRDefault="00000000">
      <w:pPr>
        <w:pStyle w:val="SingleTxtGR"/>
      </w:pPr>
      <w:r>
        <w:t>29.</w:t>
      </w:r>
      <w:r>
        <w:tab/>
        <w:t>Следует добавить, что Министерство внутренних дел в настоящее время осущес</w:t>
      </w:r>
      <w:r>
        <w:t>т</w:t>
      </w:r>
      <w:r>
        <w:t>вляет трехлетнюю стратегию "Полиция рядом с обществом", большое место в которой занимает деятельность, нацеленная на повышение информир</w:t>
      </w:r>
      <w:r>
        <w:t>о</w:t>
      </w:r>
      <w:r>
        <w:t>ванности граждан, принадлежащих к этническим меньшинствам, о работе п</w:t>
      </w:r>
      <w:r>
        <w:t>о</w:t>
      </w:r>
      <w:r>
        <w:t>лиции, а также поощрение повышения квалификации сотрудников полиции, р</w:t>
      </w:r>
      <w:r>
        <w:t>а</w:t>
      </w:r>
      <w:r>
        <w:t>ботающих в областях, в которых население в основной массе составляют этн</w:t>
      </w:r>
      <w:r>
        <w:t>и</w:t>
      </w:r>
      <w:r>
        <w:t>ческие меньшинства.</w:t>
      </w:r>
    </w:p>
    <w:p w:rsidR="00000000" w:rsidRDefault="00000000">
      <w:pPr>
        <w:pStyle w:val="SingleTxtGR"/>
      </w:pPr>
      <w:r>
        <w:t>30.</w:t>
      </w:r>
      <w:r>
        <w:tab/>
        <w:t>В связи с сообщениями о непропорциональном применении силы пол</w:t>
      </w:r>
      <w:r>
        <w:t>и</w:t>
      </w:r>
      <w:r>
        <w:t>цией прокуратурой были подробно проанализированы соответствующие реш</w:t>
      </w:r>
      <w:r>
        <w:t>е</w:t>
      </w:r>
      <w:r>
        <w:t>ния Европейского суда по правам человека по делам против Болгарии. В пред</w:t>
      </w:r>
      <w:r>
        <w:t>е</w:t>
      </w:r>
      <w:r>
        <w:t>лах своей компетенции о</w:t>
      </w:r>
      <w:r>
        <w:t>р</w:t>
      </w:r>
      <w:r>
        <w:t>ганы прокуратуры приняли меры по устранению этих нарушений, такие как сокращение сроков рассмотрения дел на стадии досуде</w:t>
      </w:r>
      <w:r>
        <w:t>б</w:t>
      </w:r>
      <w:r>
        <w:t>ного следствия, расширение админис</w:t>
      </w:r>
      <w:r>
        <w:t>т</w:t>
      </w:r>
      <w:r>
        <w:t>ративных возможностей прокуратуры по рассмотрению дел, связанных с злоупотреблениями полиции, сообщение и</w:t>
      </w:r>
      <w:r>
        <w:t>н</w:t>
      </w:r>
      <w:r>
        <w:t>формации о делах задержанных административными руководителями, вырабо</w:t>
      </w:r>
      <w:r>
        <w:t>т</w:t>
      </w:r>
      <w:r>
        <w:t>ка мер по их скорейшему и незамедлительному завершению, подготовка суде</w:t>
      </w:r>
      <w:r>
        <w:t>б</w:t>
      </w:r>
      <w:r>
        <w:t>ных работников по вопросам Европейской конвенции о правах человека и т.п. Особое внимание уделяется расширению возможностей прокуратуры по ко</w:t>
      </w:r>
      <w:r>
        <w:t>н</w:t>
      </w:r>
      <w:r>
        <w:t>тролю за деятельностью органов полиции в связи с пресечением непропорци</w:t>
      </w:r>
      <w:r>
        <w:t>о</w:t>
      </w:r>
      <w:r>
        <w:t>нального использования силы полицией, а также более строгому контролю за расследован</w:t>
      </w:r>
      <w:r>
        <w:t>и</w:t>
      </w:r>
      <w:r>
        <w:t>ем дел, связанных с жестокими действиями полиции.</w:t>
      </w:r>
    </w:p>
    <w:p w:rsidR="00000000" w:rsidRDefault="00000000">
      <w:pPr>
        <w:pStyle w:val="SingleTxtGR"/>
      </w:pPr>
      <w:r>
        <w:t>31.</w:t>
      </w:r>
      <w:r>
        <w:tab/>
        <w:t>При Верховной кассационной прокуратуре имеется Департамент инспе</w:t>
      </w:r>
      <w:r>
        <w:t>к</w:t>
      </w:r>
      <w:r>
        <w:t>ций; сходные контрольные органы (инспекции) также действуют при апелляц</w:t>
      </w:r>
      <w:r>
        <w:t>и</w:t>
      </w:r>
      <w:r>
        <w:t>онных прокуратурах по всей стране. Они проводят инспекции, связанные с п</w:t>
      </w:r>
      <w:r>
        <w:t>о</w:t>
      </w:r>
      <w:r>
        <w:t>ступающими сообщ</w:t>
      </w:r>
      <w:r>
        <w:t>е</w:t>
      </w:r>
      <w:r>
        <w:t>ниями о нарушении или установленными упущениями или нарушениями. Результаты их работы по контролю, а также дисциплинарных проверок выполнения служебных обязанностей обобщаются и анализируются, и соответствующие предложения пре</w:t>
      </w:r>
      <w:r>
        <w:t>д</w:t>
      </w:r>
      <w:r>
        <w:t>ставляются Генеральному прокурору для принятия дисциплинарных и иных мер вз</w:t>
      </w:r>
      <w:r>
        <w:t>ы</w:t>
      </w:r>
      <w:r>
        <w:t>скания.</w:t>
      </w:r>
    </w:p>
    <w:p w:rsidR="00000000" w:rsidRDefault="00000000">
      <w:pPr>
        <w:pStyle w:val="SingleTxtGR"/>
      </w:pPr>
      <w:r>
        <w:t>32.</w:t>
      </w:r>
      <w:r>
        <w:tab/>
        <w:t>В соответствии с данными прокуратуры в 2009 году было проведено ра</w:t>
      </w:r>
      <w:r>
        <w:t>с</w:t>
      </w:r>
      <w:r>
        <w:t>следов</w:t>
      </w:r>
      <w:r>
        <w:t>а</w:t>
      </w:r>
      <w:r>
        <w:t>ние по 42 делам о нарушениях со стороны полиции. В первой половине 2010 года было  начато 30 таких расследований. В период с января 2009 года по июнь 2010 года 55 сотрудников полиции были обвинены судом в нарушениях; 16 из них были осуждены, а 10 − оправданы. 57 дел были прекращены судами производством (в том числе дела, начатые до 2009 года). Кроме того, 97 дел б</w:t>
      </w:r>
      <w:r>
        <w:t>ы</w:t>
      </w:r>
      <w:r>
        <w:t>ло возбуждено в отношении сотрудников полиции в связи с обвинениями о ко</w:t>
      </w:r>
      <w:r>
        <w:t>р</w:t>
      </w:r>
      <w:r>
        <w:t>рупции, из которых 30 были закрыты за недоказанностью, 51 дело передано в суд, 27 обвиняемых были признаны судом виновными, а трое были оправданы. (Для сравнения в 2005 году из 192 осужденных сотрудников полиции 35 были признаны виновными в применении насилия. В 2007 году было осуждено в о</w:t>
      </w:r>
      <w:r>
        <w:t>б</w:t>
      </w:r>
      <w:r>
        <w:t>щей сложности 227 сотрудников полиции, из них 21 был признан виновным в применении насилия.)</w:t>
      </w:r>
    </w:p>
    <w:p w:rsidR="00000000" w:rsidRDefault="00000000">
      <w:pPr>
        <w:pStyle w:val="H1GR"/>
      </w:pPr>
      <w:r>
        <w:tab/>
        <w:t>Е.</w:t>
      </w:r>
      <w:r>
        <w:tab/>
        <w:t>Пункт 18</w:t>
      </w:r>
    </w:p>
    <w:p w:rsidR="00000000" w:rsidRDefault="00000000">
      <w:pPr>
        <w:pStyle w:val="SingleTxtGR"/>
      </w:pPr>
      <w:r>
        <w:t>33.</w:t>
      </w:r>
      <w:r>
        <w:tab/>
        <w:t>В пункте 18 Комитет выразил "</w:t>
      </w:r>
      <w:r>
        <w:rPr>
          <w:i/>
        </w:rPr>
        <w:t>…обеспокоенность актами расизма и н</w:t>
      </w:r>
      <w:r>
        <w:rPr>
          <w:i/>
        </w:rPr>
        <w:t>е</w:t>
      </w:r>
      <w:r>
        <w:rPr>
          <w:i/>
        </w:rPr>
        <w:t>нависти, совершенными против лиц, принадлежащих к меньшинствам, в час</w:t>
      </w:r>
      <w:r>
        <w:rPr>
          <w:i/>
        </w:rPr>
        <w:t>т</w:t>
      </w:r>
      <w:r>
        <w:rPr>
          <w:i/>
        </w:rPr>
        <w:t>ности группами не</w:t>
      </w:r>
      <w:r>
        <w:rPr>
          <w:i/>
        </w:rPr>
        <w:t>о</w:t>
      </w:r>
      <w:r>
        <w:rPr>
          <w:i/>
        </w:rPr>
        <w:t>нацистов/скинхедов</w:t>
      </w:r>
      <w:r>
        <w:t xml:space="preserve">", и рекомендовал "… </w:t>
      </w:r>
      <w:r>
        <w:rPr>
          <w:i/>
        </w:rPr>
        <w:t>государству-участнику принять эффективные меры для применения санкций к организац</w:t>
      </w:r>
      <w:r>
        <w:rPr>
          <w:i/>
        </w:rPr>
        <w:t>и</w:t>
      </w:r>
      <w:r>
        <w:rPr>
          <w:i/>
        </w:rPr>
        <w:t>ям, органам прессы, средствам массовой информации и политическим парт</w:t>
      </w:r>
      <w:r>
        <w:rPr>
          <w:i/>
        </w:rPr>
        <w:t>и</w:t>
      </w:r>
      <w:r>
        <w:rPr>
          <w:i/>
        </w:rPr>
        <w:t>ям, которые виновны в подобных действиях</w:t>
      </w:r>
      <w:r>
        <w:t xml:space="preserve">". Он рекомендовал также "… </w:t>
      </w:r>
      <w:r>
        <w:rPr>
          <w:i/>
        </w:rPr>
        <w:t>гос</w:t>
      </w:r>
      <w:r>
        <w:rPr>
          <w:i/>
        </w:rPr>
        <w:t>у</w:t>
      </w:r>
      <w:r>
        <w:rPr>
          <w:i/>
        </w:rPr>
        <w:t>дарству-участнику принять меры по пропаганде терпимости в отношениях между этническими группами</w:t>
      </w:r>
      <w:r>
        <w:t>".</w:t>
      </w:r>
    </w:p>
    <w:p w:rsidR="00000000" w:rsidRDefault="00000000">
      <w:pPr>
        <w:pStyle w:val="SingleTxtGR"/>
      </w:pPr>
      <w:r>
        <w:t>34.</w:t>
      </w:r>
      <w:r>
        <w:tab/>
        <w:t>Болгарские власти внимательно следят за всеми сообщениями о проявл</w:t>
      </w:r>
      <w:r>
        <w:t>е</w:t>
      </w:r>
      <w:r>
        <w:t>ниях расизма и нетерпимости в отношении любого лица под их юрисдикцией и при необходимости решительно предпринимают шаги по наказанию за такие деяния. Они также последовательно изживают стереотипы и предрассудки, е</w:t>
      </w:r>
      <w:r>
        <w:t>с</w:t>
      </w:r>
      <w:r>
        <w:t>ли и когда те проявляются в отношении лиц, принадлежащих к любым этнич</w:t>
      </w:r>
      <w:r>
        <w:t>е</w:t>
      </w:r>
      <w:r>
        <w:t>ским, религ</w:t>
      </w:r>
      <w:r>
        <w:t>и</w:t>
      </w:r>
      <w:r>
        <w:t>озным и языковым меньшинствам.</w:t>
      </w:r>
    </w:p>
    <w:p w:rsidR="00000000" w:rsidRDefault="00000000">
      <w:pPr>
        <w:pStyle w:val="SingleTxtGR"/>
      </w:pPr>
      <w:r>
        <w:t>35.</w:t>
      </w:r>
      <w:r>
        <w:tab/>
        <w:t>В соответствии с поправками к Уголовному кодексу, принятыми в 2009 году, подстрекательство к этнической враждебности или ненависти в ус</w:t>
      </w:r>
      <w:r>
        <w:t>т</w:t>
      </w:r>
      <w:r>
        <w:t>ных выступлениях, в печати или в любых других средствах массовой информ</w:t>
      </w:r>
      <w:r>
        <w:t>а</w:t>
      </w:r>
      <w:r>
        <w:t>ции, с использованием электронных информацио</w:t>
      </w:r>
      <w:r>
        <w:t>н</w:t>
      </w:r>
      <w:r>
        <w:t>ных систем или других средств включено в статью о пропаганде и подстрекательстве к расовой или н</w:t>
      </w:r>
      <w:r>
        <w:t>а</w:t>
      </w:r>
      <w:r>
        <w:t>циональной враждебности или ненависти или к расовой дискриминации. Нак</w:t>
      </w:r>
      <w:r>
        <w:t>а</w:t>
      </w:r>
      <w:r>
        <w:t>зание также было увеличено до четырех лет лишения свободы (по сравнению с прежним максимальным наказанием в виде трех лет лишения свободы), а ма</w:t>
      </w:r>
      <w:r>
        <w:t>к</w:t>
      </w:r>
      <w:r>
        <w:t>симальный размер штрафа был увеличен до 10 000 левов.</w:t>
      </w:r>
    </w:p>
    <w:p w:rsidR="00000000" w:rsidRDefault="00000000">
      <w:pPr>
        <w:pStyle w:val="SingleTxtGR"/>
      </w:pPr>
      <w:r>
        <w:t>36.</w:t>
      </w:r>
      <w:r>
        <w:tab/>
        <w:t>Ведется работа по организации применения требования Европейского союза (рамочное решение 2008/913/</w:t>
      </w:r>
      <w:r>
        <w:rPr>
          <w:lang w:val="en-US"/>
        </w:rPr>
        <w:t>JHA</w:t>
      </w:r>
      <w:r>
        <w:t>) в отношении пресечения расизма и ксенофобии с пр</w:t>
      </w:r>
      <w:r>
        <w:t>и</w:t>
      </w:r>
      <w:r>
        <w:t>менением уголовного права. Это будет достигаться путем расширения сферы применения статьи 162, части 1 и 2, Уголовного кодекса. Эта поправка, которая, как ожидается, будет введена в действие в конце 2010 года, синхронизирует перечень мотивов дискриминации в Конституции Республики Болгарии (статья 6, пункт 2), законе о защите от дискриминации (статья 4, пункт 2) и Уголовном кодексе, а также устанавливает уголовную о</w:t>
      </w:r>
      <w:r>
        <w:t>т</w:t>
      </w:r>
      <w:r>
        <w:t>ветственность за любое публичное подстрекательство к насилию или ненави</w:t>
      </w:r>
      <w:r>
        <w:t>с</w:t>
      </w:r>
      <w:r>
        <w:t>ти. Кроме того, "расистские и ксенофобные мотивы" будут включены в число дополнительных отягчающих обстоятельств убийства и причинения вреда зд</w:t>
      </w:r>
      <w:r>
        <w:t>о</w:t>
      </w:r>
      <w:r>
        <w:t>ровью; будет также введен новый состав преступления в главу XIV "Престу</w:t>
      </w:r>
      <w:r>
        <w:t>п</w:t>
      </w:r>
      <w:r>
        <w:t>ление против мира и человечн</w:t>
      </w:r>
      <w:r>
        <w:t>о</w:t>
      </w:r>
      <w:r>
        <w:t>сти".</w:t>
      </w:r>
    </w:p>
    <w:p w:rsidR="00000000" w:rsidRDefault="00000000">
      <w:pPr>
        <w:pStyle w:val="SingleTxtGR"/>
      </w:pPr>
      <w:r>
        <w:t>37.</w:t>
      </w:r>
      <w:r>
        <w:tab/>
        <w:t>Судебная статистика по делам о преступлениях против национального или расового равенства (статьи 162−166 Уголовного кодекса) за период с января 2007 года по июнь 2010 года представлена в следующей таблице: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710"/>
        <w:gridCol w:w="644"/>
        <w:gridCol w:w="727"/>
        <w:gridCol w:w="700"/>
        <w:gridCol w:w="937"/>
        <w:gridCol w:w="652"/>
      </w:tblGrid>
      <w:tr w:rsidR="00000000">
        <w:trPr>
          <w:cantSplit/>
          <w:trHeight w:val="25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000" w:rsidRDefault="00000000">
            <w:pPr>
              <w:spacing w:before="80" w:after="80" w:line="200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Глава III Уголовного кодекса,</w:t>
            </w:r>
            <w:r>
              <w:rPr>
                <w:b/>
                <w:i/>
                <w:sz w:val="16"/>
              </w:rPr>
              <w:br/>
              <w:t>Преступления против прав граждан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00000" w:rsidRDefault="00000000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Новые дела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00000" w:rsidRDefault="00000000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Мат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риалы следс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</w:rPr>
              <w:t>вия, пре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ста</w:t>
            </w: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</w:rPr>
              <w:t>ленные судам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00000" w:rsidRDefault="00000000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Привл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чение к суду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00000" w:rsidRDefault="00000000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Осуждение в соотве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</w:rPr>
              <w:t>ствии с вступи</w:t>
            </w: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</w:rPr>
              <w:t>шими в законную силу приг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ворами суда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00000" w:rsidRDefault="00000000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Опра</w:t>
            </w: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тел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>ный приг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вор суда</w:t>
            </w:r>
          </w:p>
        </w:tc>
      </w:tr>
      <w:tr w:rsidR="00000000">
        <w:trPr>
          <w:cantSplit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00000" w:rsidRDefault="0000000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rPr>
          <w:cantSplit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</w:t>
            </w:r>
            <w:r>
              <w:br/>
              <w:t>Преступления против национального и расового равенства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162 – против национального </w:t>
            </w:r>
            <w:r>
              <w:br/>
              <w:t>и рас</w:t>
            </w:r>
            <w:r>
              <w:t>о</w:t>
            </w:r>
            <w:r>
              <w:t>вого равенства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Статья 163 – против национального и рас</w:t>
            </w:r>
            <w:r>
              <w:t>о</w:t>
            </w:r>
            <w:r>
              <w:t>вого равенств в результате уч</w:t>
            </w:r>
            <w:r>
              <w:t>а</w:t>
            </w:r>
            <w:r>
              <w:t>стия в группе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Статья 164 − религиозная ненависть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II</w:t>
            </w:r>
            <w:r>
              <w:br/>
              <w:t>Преступления против религии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Статья 165 − против религиозных св</w:t>
            </w:r>
            <w:r>
              <w:t>о</w:t>
            </w:r>
            <w:r>
              <w:t>бод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Статья 166 − религиозная деятел</w:t>
            </w:r>
            <w:r>
              <w:t>ь</w:t>
            </w:r>
            <w:r>
              <w:t>ность против государства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Итого, 2007 год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75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2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</w:t>
            </w:r>
            <w:r>
              <w:br/>
              <w:t xml:space="preserve">Преступления против национального и расового равенства 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162 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163 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164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II</w:t>
            </w:r>
            <w:r>
              <w:br/>
              <w:t>Преступления против религии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4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165 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166 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Итого, 2008 год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75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42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</w:t>
            </w:r>
            <w:r>
              <w:br/>
              <w:t>Преступления против национального и расового равенства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162 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163 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164 </w:t>
            </w:r>
          </w:p>
        </w:tc>
        <w:tc>
          <w:tcPr>
            <w:tcW w:w="437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93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*Статья 164, пункт 1.4 (с использов</w:t>
            </w:r>
            <w:r>
              <w:t>а</w:t>
            </w:r>
            <w:r>
              <w:t>нием электронных средств массовой информ</w:t>
            </w:r>
            <w:r>
              <w:t>а</w:t>
            </w:r>
            <w:r>
              <w:t>ции)</w:t>
            </w:r>
          </w:p>
        </w:tc>
        <w:tc>
          <w:tcPr>
            <w:tcW w:w="437" w:type="pct"/>
            <w:tcBorders>
              <w:top w:val="nil"/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top w:val="nil"/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top w:val="nil"/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II</w:t>
            </w:r>
            <w:r>
              <w:br/>
              <w:t>Преступления против религии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Статья</w:t>
            </w:r>
            <w:r>
              <w:rPr>
                <w:lang w:val="en-US"/>
              </w:rPr>
              <w:t xml:space="preserve"> </w:t>
            </w:r>
            <w:r>
              <w:t xml:space="preserve">165 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Статья</w:t>
            </w:r>
            <w:r>
              <w:rPr>
                <w:lang w:val="en-US"/>
              </w:rPr>
              <w:t xml:space="preserve"> </w:t>
            </w:r>
            <w:r>
              <w:t>166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Итого, 2009 год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75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2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</w:t>
            </w:r>
            <w:r>
              <w:br/>
              <w:t>Преступления против национального и расового равенства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Статья 162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Статья 163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Статья 164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tcBorders>
              <w:bottom w:val="nil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 xml:space="preserve">*Статья 164, пункт 1.4 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bottom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Раздел II</w:t>
            </w:r>
            <w:r>
              <w:br/>
              <w:t>Преступления против религии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single" w:sz="2" w:space="0" w:color="auto"/>
            </w:tcBorders>
          </w:tcPr>
          <w:p w:rsidR="00000000" w:rsidRDefault="00000000">
            <w:pPr>
              <w:spacing w:afterLines="40" w:after="96" w:line="220" w:lineRule="exact"/>
            </w:pPr>
            <w:r>
              <w:t>Статья 165</w:t>
            </w:r>
          </w:p>
        </w:tc>
        <w:tc>
          <w:tcPr>
            <w:tcW w:w="437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93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tcBorders>
              <w:top w:val="single" w:sz="2" w:space="0" w:color="auto"/>
            </w:tcBorders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 xml:space="preserve">Статья 166 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00000">
        <w:trPr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</w:tcPr>
          <w:p w:rsidR="00000000" w:rsidRDefault="00000000">
            <w:pPr>
              <w:spacing w:afterLines="40" w:after="96" w:line="220" w:lineRule="exact"/>
            </w:pPr>
            <w:r>
              <w:t>Итого, первая половина 2010 года</w:t>
            </w:r>
          </w:p>
        </w:tc>
        <w:tc>
          <w:tcPr>
            <w:tcW w:w="437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93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75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36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2" w:type="pct"/>
            <w:noWrap/>
          </w:tcPr>
          <w:p w:rsidR="00000000" w:rsidRDefault="00000000">
            <w:pPr>
              <w:spacing w:afterLines="40" w:after="96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000000" w:rsidRDefault="00000000">
      <w:pPr>
        <w:pStyle w:val="SingleTxtGR"/>
        <w:spacing w:before="120"/>
      </w:pPr>
      <w:r>
        <w:t>38.</w:t>
      </w:r>
      <w:r>
        <w:tab/>
      </w:r>
      <w:r>
        <w:rPr>
          <w:i/>
        </w:rPr>
        <w:t>Закон о защите от дискриминации</w:t>
      </w:r>
      <w:r>
        <w:t xml:space="preserve"> (2003 год) предоставляет потерпе</w:t>
      </w:r>
      <w:r>
        <w:t>в</w:t>
      </w:r>
      <w:r>
        <w:t xml:space="preserve">шим от дискриминации возможность подачи жалобы в </w:t>
      </w:r>
      <w:r>
        <w:rPr>
          <w:i/>
        </w:rPr>
        <w:t>Комиссию по защите от ди</w:t>
      </w:r>
      <w:r>
        <w:rPr>
          <w:i/>
        </w:rPr>
        <w:t>с</w:t>
      </w:r>
      <w:r>
        <w:rPr>
          <w:i/>
        </w:rPr>
        <w:t>криминации</w:t>
      </w:r>
      <w:r>
        <w:t xml:space="preserve"> (КЗД) или в суд. За период с 2005 года, когда она была создана, по январь 2010 года КЗД было рассмотрено 2 797 жалоб и сигналов, увеличение числа которых демонстрировала следующая динамика: в 2005 году было пол</w:t>
      </w:r>
      <w:r>
        <w:t>у</w:t>
      </w:r>
      <w:r>
        <w:t>чено 27 жалоб, в 2006 году − 289 жалоб, в 2007 году − 645 жалоб, в 2008 году − 738 жалоб и в 2009 году − 1 039 жалоб, в январе 2010 года − 25 жалоб. Эта те</w:t>
      </w:r>
      <w:r>
        <w:t>н</w:t>
      </w:r>
      <w:r>
        <w:t>денция демонстрирует возрастание доверия к этому институту предупреждения и пресечения дискриминации. Ожидания общества также выросли в связи с р</w:t>
      </w:r>
      <w:r>
        <w:t>а</w:t>
      </w:r>
      <w:r>
        <w:t>ботой этого государственного учреждения, обеспечивающего быстрое, реал</w:t>
      </w:r>
      <w:r>
        <w:t>ь</w:t>
      </w:r>
      <w:r>
        <w:t>ное, действенное и немедленное урегулирование споров. Самое большое число жалоб было подано на множественную дискриминацию − 224.</w:t>
      </w:r>
    </w:p>
    <w:p w:rsidR="00000000" w:rsidRDefault="00000000">
      <w:pPr>
        <w:pStyle w:val="SingleTxtGR"/>
      </w:pPr>
      <w:r>
        <w:t>39.</w:t>
      </w:r>
      <w:r>
        <w:tab/>
        <w:t>За период с 2005 года по 1 сентября 2009 года Комиссия по з</w:t>
      </w:r>
      <w:r>
        <w:t>а</w:t>
      </w:r>
      <w:r>
        <w:t>щите от дискриминации приняла 70 решений по делам о незаконной дискриминации по мотивам этнической принадлежности (11% из в общей сложности 585 реш</w:t>
      </w:r>
      <w:r>
        <w:t>е</w:t>
      </w:r>
      <w:r>
        <w:t>ний, принятых КЗД), установив дискриминацию в 36 из этих случаев (51% всех р</w:t>
      </w:r>
      <w:r>
        <w:t>е</w:t>
      </w:r>
      <w:r>
        <w:t>шений по мотивам этнической принадлежности). Из них 27 решений были о</w:t>
      </w:r>
      <w:r>
        <w:t>б</w:t>
      </w:r>
      <w:r>
        <w:t>жалованы в суде, а по двум решениям было достигнуто урегулир</w:t>
      </w:r>
      <w:r>
        <w:t>о</w:t>
      </w:r>
      <w:r>
        <w:t>вание.</w:t>
      </w:r>
    </w:p>
    <w:p w:rsidR="00000000" w:rsidRDefault="00000000">
      <w:pPr>
        <w:pStyle w:val="SingleTxtGR"/>
      </w:pPr>
      <w:r>
        <w:t>40.</w:t>
      </w:r>
      <w:r>
        <w:tab/>
        <w:t xml:space="preserve">Среди последних решений КЗД − </w:t>
      </w:r>
      <w:r>
        <w:rPr>
          <w:i/>
        </w:rPr>
        <w:t>решение № 193 от 8 сентября 2010 г</w:t>
      </w:r>
      <w:r>
        <w:rPr>
          <w:i/>
        </w:rPr>
        <w:t>о</w:t>
      </w:r>
      <w:r>
        <w:rPr>
          <w:i/>
        </w:rPr>
        <w:t>да по делу № 115/2009, рассматривавшемуся группой из пяти членов КЗД</w:t>
      </w:r>
      <w:r>
        <w:t>. Дело было открыто по жалобе, поданной г-ном А.А.В., мэром муниципалитета Г., на И.Г.И. в его качестве депутата Национального собрания 40-го и 41-го с</w:t>
      </w:r>
      <w:r>
        <w:t>о</w:t>
      </w:r>
      <w:r>
        <w:t>зыва по обвинениям в запугивании и оскорбительных и дискриминационных заявлен</w:t>
      </w:r>
      <w:r>
        <w:t>и</w:t>
      </w:r>
      <w:r>
        <w:t>ях в средствах массовой информации. В качестве мотивов назывались верои</w:t>
      </w:r>
      <w:r>
        <w:t>с</w:t>
      </w:r>
      <w:r>
        <w:t>поведание, политическая принадлежность и социальное положение, поэтому дело было отнесено к категории "множественной дискриминации" и рассматр</w:t>
      </w:r>
      <w:r>
        <w:t>и</w:t>
      </w:r>
      <w:r>
        <w:t>валось группой в составе пяти членов. Рассмотрев собранные доказательства, группа КЗД установила факт запугивания и наложила административное вз</w:t>
      </w:r>
      <w:r>
        <w:t>ы</w:t>
      </w:r>
      <w:r>
        <w:t>скание на виновного (штраф в размере 250 левов). КЗД рекомендовала И.Г.И., депутату парламента, в будущем воздерживаться от высказываний, имеющих целью или следствием нарушение достоинства личности или создание обст</w:t>
      </w:r>
      <w:r>
        <w:t>а</w:t>
      </w:r>
      <w:r>
        <w:t>новки враждебности, оскорблений, унижения или запугивания. КЗД предписала И.Г.И. опубликовать это решение за свой счет. Она также пред</w:t>
      </w:r>
      <w:r>
        <w:t>у</w:t>
      </w:r>
      <w:r>
        <w:t>смотрела 15</w:t>
      </w:r>
      <w:r>
        <w:noBreakHyphen/>
        <w:t>дневный срок, в ходе которого виновному надлежало в письменном виде в обязательном порядке сообщить КЗД о выполнении этих предпис</w:t>
      </w:r>
      <w:r>
        <w:t>а</w:t>
      </w:r>
      <w:r>
        <w:t>ний.</w:t>
      </w:r>
    </w:p>
    <w:p w:rsidR="00000000" w:rsidRDefault="00000000">
      <w:pPr>
        <w:pStyle w:val="SingleTxtGR"/>
      </w:pPr>
      <w:r>
        <w:t>41.</w:t>
      </w:r>
      <w:r>
        <w:tab/>
        <w:t>В период 2007−2010 годов КЗД продолжила организацию и осуществл</w:t>
      </w:r>
      <w:r>
        <w:t>е</w:t>
      </w:r>
      <w:r>
        <w:t>ние информационных мер среди различных адресных групп на основе привл</w:t>
      </w:r>
      <w:r>
        <w:t>е</w:t>
      </w:r>
      <w:r>
        <w:t>чения средств Европейского союза. Эти меры включают традиционные ежего</w:t>
      </w:r>
      <w:r>
        <w:t>д</w:t>
      </w:r>
      <w:r>
        <w:t>ные семинары для м</w:t>
      </w:r>
      <w:r>
        <w:t>о</w:t>
      </w:r>
      <w:r>
        <w:t>лодежи, юристов, сотрудников полиции, средств массовой информации, объединений и организаций работников. Комиссия издала ряд публикаций (брошюр, справочников и других материалов) для пропаганды а</w:t>
      </w:r>
      <w:r>
        <w:t>н</w:t>
      </w:r>
      <w:r>
        <w:t>тидискриминационного законодательства и с</w:t>
      </w:r>
      <w:r>
        <w:t>о</w:t>
      </w:r>
      <w:r>
        <w:t xml:space="preserve">вершенствования его применения на практике. </w:t>
      </w:r>
    </w:p>
    <w:p w:rsidR="00000000" w:rsidRDefault="00000000">
      <w:pPr>
        <w:pStyle w:val="SingleTxtGR"/>
      </w:pPr>
      <w:r>
        <w:t>42.</w:t>
      </w:r>
      <w:r>
        <w:tab/>
      </w:r>
      <w:r>
        <w:rPr>
          <w:i/>
        </w:rPr>
        <w:t>Закон о радио и телевидении</w:t>
      </w:r>
      <w:r>
        <w:t xml:space="preserve"> (2002 год)</w:t>
      </w:r>
      <w:r>
        <w:rPr>
          <w:b/>
        </w:rPr>
        <w:t xml:space="preserve"> </w:t>
      </w:r>
      <w:r>
        <w:t>предусматривает "</w:t>
      </w:r>
      <w:r>
        <w:rPr>
          <w:i/>
        </w:rPr>
        <w:t>недопуст</w:t>
      </w:r>
      <w:r>
        <w:rPr>
          <w:i/>
        </w:rPr>
        <w:t>и</w:t>
      </w:r>
      <w:r>
        <w:rPr>
          <w:i/>
        </w:rPr>
        <w:t>мость передач..., подстрекающих к ненависти по мотивам расы, пола, религии или национальности</w:t>
      </w:r>
      <w:r>
        <w:t>". Совет по электронным средствам массовой информации (СЭС) в качестве независимого регулирующего органа следит за соблюден</w:t>
      </w:r>
      <w:r>
        <w:t>и</w:t>
      </w:r>
      <w:r>
        <w:t>ем организациями телевидения и радиовещания этого закона в своей деятел</w:t>
      </w:r>
      <w:r>
        <w:t>ь</w:t>
      </w:r>
      <w:r>
        <w:t>ности, а также имеет право своими распоряжениями налагать санкции за нар</w:t>
      </w:r>
      <w:r>
        <w:t>у</w:t>
      </w:r>
      <w:r>
        <w:t>шения − от наложения штрафов на вещательные организации до отзыва лице</w:t>
      </w:r>
      <w:r>
        <w:t>н</w:t>
      </w:r>
      <w:r>
        <w:t>зий на вещание. В соответствии с этим СЭС ведет мониторинг программ вещ</w:t>
      </w:r>
      <w:r>
        <w:t>а</w:t>
      </w:r>
      <w:r>
        <w:t>тельных организаций. Он уже налагал взыскания на вещательные организации за то, что те послужили платформой для высказываний в духе этнической н</w:t>
      </w:r>
      <w:r>
        <w:t>е</w:t>
      </w:r>
      <w:r>
        <w:t>терпимости. Совет также инициирует общественные дискуссии и дискуссии среди специалистов по этой теме в отношении использования "языка ненави</w:t>
      </w:r>
      <w:r>
        <w:t>с</w:t>
      </w:r>
      <w:r>
        <w:t>ти" в средствах массовой информации и в политике.</w:t>
      </w:r>
    </w:p>
    <w:p w:rsidR="00000000" w:rsidRDefault="00000000">
      <w:pPr>
        <w:pStyle w:val="SingleTxtGR"/>
      </w:pPr>
      <w:r>
        <w:t>43.</w:t>
      </w:r>
      <w:r>
        <w:tab/>
        <w:t>Что касается конкретно разжигания и ненависти по этническим мотивам в средс</w:t>
      </w:r>
      <w:r>
        <w:t>т</w:t>
      </w:r>
      <w:r>
        <w:t>вах массовой информации в отношении рома, следует отметить, что болгарское прав</w:t>
      </w:r>
      <w:r>
        <w:t>и</w:t>
      </w:r>
      <w:r>
        <w:t xml:space="preserve">тельство совместно финансировало </w:t>
      </w:r>
      <w:r>
        <w:rPr>
          <w:i/>
        </w:rPr>
        <w:t>Первые общественные слушания по рома</w:t>
      </w:r>
      <w:r>
        <w:t>, состоявшиеся 19 ноября 2009 года в "Красном доме" в С</w:t>
      </w:r>
      <w:r>
        <w:t>о</w:t>
      </w:r>
      <w:r>
        <w:t>фии.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pStyle w:val="SingleTxtGR"/>
      </w:pPr>
    </w:p>
    <w:sectPr w:rsidR="000000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GE.11-40246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GE.11-40246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GE.11-40246  (R)  250111  250111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Cs w:val="18"/>
          <w:vertAlign w:val="baseline"/>
          <w:lang w:val="ru-RU"/>
        </w:rPr>
        <w:t>*</w:t>
      </w:r>
      <w: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официального редактирования не проходил.</w:t>
      </w:r>
    </w:p>
  </w:footnote>
  <w:footnote w:id="2">
    <w:p w:rsidR="00000000" w:rsidRDefault="00000000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>
        <w:rPr>
          <w:rStyle w:val="FootnoteReference"/>
          <w:szCs w:val="18"/>
          <w:vertAlign w:val="baseline"/>
          <w:lang w:val="ru-RU"/>
        </w:rPr>
        <w:t>**</w:t>
      </w:r>
      <w:r>
        <w:rPr>
          <w:lang w:val="ru-RU"/>
        </w:rPr>
        <w:tab/>
        <w:t>Номера пунктов, указанные в настоящем документе, касаются заключительных замечаний Комитета, опубликованных в документе с условным обозначением  (</w:t>
      </w:r>
      <w:r>
        <w:t>CERD</w:t>
      </w:r>
      <w:r>
        <w:rPr>
          <w:lang w:val="ru-RU"/>
        </w:rPr>
        <w:t>/</w:t>
      </w:r>
      <w:r>
        <w:t>C</w:t>
      </w:r>
      <w:r>
        <w:rPr>
          <w:lang w:val="ru-RU"/>
        </w:rPr>
        <w:t>/</w:t>
      </w:r>
      <w:r>
        <w:t>BGR</w:t>
      </w:r>
      <w:r>
        <w:rPr>
          <w:lang w:val="ru-RU"/>
        </w:rPr>
        <w:t>/</w:t>
      </w:r>
      <w:r>
        <w:t>CO</w:t>
      </w:r>
      <w:r>
        <w:rPr>
          <w:lang w:val="ru-RU"/>
        </w:rPr>
        <w:t>/19).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</w:t>
    </w:r>
    <w:r>
      <w:rPr>
        <w:lang w:val="en-US"/>
      </w:rPr>
      <w:t>/BGR/CO/19/Add.1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</w:t>
    </w:r>
    <w:r>
      <w:rPr>
        <w:lang w:val="en-US"/>
      </w:rPr>
      <w:t>/BGR/CO/19/Add.1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/decade/default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13</Pages>
  <Words>5240</Words>
  <Characters>29871</Characters>
  <Application>Microsoft Office Word</Application>
  <DocSecurity>4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40246</vt:lpstr>
    </vt:vector>
  </TitlesOfParts>
  <Company>CSD</Company>
  <LinksUpToDate>false</LinksUpToDate>
  <CharactersWithSpaces>35041</CharactersWithSpaces>
  <SharedDoc>false</SharedDoc>
  <HLinks>
    <vt:vector size="6" baseType="variant">
      <vt:variant>
        <vt:i4>5242908</vt:i4>
      </vt:variant>
      <vt:variant>
        <vt:i4>10</vt:i4>
      </vt:variant>
      <vt:variant>
        <vt:i4>0</vt:i4>
      </vt:variant>
      <vt:variant>
        <vt:i4>5</vt:i4>
      </vt:variant>
      <vt:variant>
        <vt:lpwstr>http://www.mlsp.government.bg/decade/default.asp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40246</dc:title>
  <dc:subject>Skourikhine</dc:subject>
  <dc:creator>Chvets</dc:creator>
  <cp:keywords/>
  <dc:description/>
  <cp:lastModifiedBy>Tatiana Chvets</cp:lastModifiedBy>
  <cp:revision>2</cp:revision>
  <cp:lastPrinted>2011-01-25T13:49:00Z</cp:lastPrinted>
  <dcterms:created xsi:type="dcterms:W3CDTF">2011-01-25T13:52:00Z</dcterms:created>
  <dcterms:modified xsi:type="dcterms:W3CDTF">2011-01-25T13:52:00Z</dcterms:modified>
</cp:coreProperties>
</file>