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D75FBA" w:rsidRDefault="00D75FBA" w:rsidP="00684327">
            <w:pPr>
              <w:spacing w:line="240" w:lineRule="atLeast"/>
              <w:jc w:val="right"/>
              <w:rPr>
                <w:sz w:val="20"/>
                <w:szCs w:val="21"/>
              </w:rPr>
            </w:pPr>
            <w:r w:rsidRPr="00D75FBA">
              <w:rPr>
                <w:sz w:val="40"/>
                <w:szCs w:val="21"/>
              </w:rPr>
              <w:t>CERD</w:t>
            </w:r>
            <w:r>
              <w:rPr>
                <w:sz w:val="20"/>
                <w:szCs w:val="21"/>
              </w:rPr>
              <w:t>/C/BGR/CO/20-22</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D75FBA" w:rsidRPr="00D75FBA">
              <w:rPr>
                <w:sz w:val="20"/>
              </w:rPr>
              <w:t>General</w:t>
            </w:r>
          </w:p>
          <w:p w:rsidR="006621F5" w:rsidRPr="00F124C6" w:rsidRDefault="00D75FBA" w:rsidP="00684327">
            <w:pPr>
              <w:spacing w:line="240" w:lineRule="atLeast"/>
              <w:rPr>
                <w:sz w:val="20"/>
              </w:rPr>
            </w:pPr>
            <w:r>
              <w:rPr>
                <w:sz w:val="20"/>
              </w:rPr>
              <w:t>31 May</w:t>
            </w:r>
            <w:r w:rsidR="006D1FBC">
              <w:rPr>
                <w:sz w:val="20"/>
              </w:rPr>
              <w:t xml:space="preserve"> 201</w:t>
            </w:r>
            <w:r w:rsidR="004B6B8B">
              <w:rPr>
                <w:rFonts w:hint="eastAsia"/>
                <w:sz w:val="20"/>
              </w:rPr>
              <w:t>7</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D75FBA" w:rsidRDefault="00D75FBA"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D75FBA" w:rsidRDefault="00D75FBA" w:rsidP="00D75FBA">
      <w:pPr>
        <w:pStyle w:val="HChGC"/>
        <w:rPr>
          <w:rFonts w:hint="eastAsia"/>
        </w:rPr>
      </w:pPr>
      <w:r>
        <w:rPr>
          <w:rFonts w:hint="eastAsia"/>
        </w:rPr>
        <w:tab/>
      </w:r>
      <w:r>
        <w:rPr>
          <w:rFonts w:hint="eastAsia"/>
        </w:rPr>
        <w:tab/>
      </w:r>
      <w:r>
        <w:rPr>
          <w:rFonts w:hint="eastAsia"/>
        </w:rPr>
        <w:t>关于保加利亚第二十至第二十二次合并定期报告的结论性</w:t>
      </w:r>
      <w:r>
        <w:br/>
      </w:r>
      <w:r>
        <w:rPr>
          <w:rFonts w:hint="eastAsia"/>
        </w:rPr>
        <w:t>意见</w:t>
      </w:r>
      <w:r w:rsidRPr="0039619C">
        <w:rPr>
          <w:rStyle w:val="a8"/>
          <w:rFonts w:eastAsia="黑体"/>
          <w:sz w:val="28"/>
          <w:vertAlign w:val="baseline"/>
        </w:rPr>
        <w:footnoteReference w:customMarkFollows="1" w:id="2"/>
        <w:t>*</w:t>
      </w:r>
    </w:p>
    <w:p w:rsidR="00D75FBA" w:rsidRDefault="0039619C" w:rsidP="00D75FBA">
      <w:pPr>
        <w:pStyle w:val="SingleTxtGC"/>
        <w:rPr>
          <w:rFonts w:hint="eastAsia"/>
        </w:rPr>
      </w:pPr>
      <w:r>
        <w:rPr>
          <w:rFonts w:hint="eastAsia"/>
        </w:rPr>
        <w:t>1</w:t>
      </w:r>
      <w:r>
        <w:rPr>
          <w:rFonts w:hint="eastAsia"/>
        </w:rPr>
        <w:t xml:space="preserve">.  </w:t>
      </w:r>
      <w:r w:rsidR="00D75FBA">
        <w:rPr>
          <w:rFonts w:hint="eastAsia"/>
        </w:rPr>
        <w:t>委员会在</w:t>
      </w:r>
      <w:r w:rsidR="00D75FBA">
        <w:rPr>
          <w:rFonts w:hint="eastAsia"/>
        </w:rPr>
        <w:t>2017</w:t>
      </w:r>
      <w:r w:rsidR="00D75FBA">
        <w:rPr>
          <w:rFonts w:hint="eastAsia"/>
        </w:rPr>
        <w:t>年</w:t>
      </w:r>
      <w:r w:rsidR="00D75FBA">
        <w:rPr>
          <w:rFonts w:hint="eastAsia"/>
        </w:rPr>
        <w:t>5</w:t>
      </w:r>
      <w:r w:rsidR="00D75FBA">
        <w:rPr>
          <w:rFonts w:hint="eastAsia"/>
        </w:rPr>
        <w:t>月</w:t>
      </w:r>
      <w:r w:rsidR="00D75FBA">
        <w:rPr>
          <w:rFonts w:hint="eastAsia"/>
        </w:rPr>
        <w:t>4</w:t>
      </w:r>
      <w:r w:rsidR="00D75FBA">
        <w:rPr>
          <w:rFonts w:hint="eastAsia"/>
        </w:rPr>
        <w:t>日和</w:t>
      </w:r>
      <w:r w:rsidR="00D75FBA">
        <w:rPr>
          <w:rFonts w:hint="eastAsia"/>
        </w:rPr>
        <w:t>5</w:t>
      </w:r>
      <w:r w:rsidR="00D75FBA">
        <w:rPr>
          <w:rFonts w:hint="eastAsia"/>
        </w:rPr>
        <w:t>日举行的第</w:t>
      </w:r>
      <w:r w:rsidR="00D75FBA">
        <w:rPr>
          <w:rFonts w:hint="eastAsia"/>
        </w:rPr>
        <w:t>2534</w:t>
      </w:r>
      <w:r w:rsidR="00D75FBA">
        <w:rPr>
          <w:rFonts w:hint="eastAsia"/>
        </w:rPr>
        <w:t>次和第</w:t>
      </w:r>
      <w:r w:rsidR="00D75FBA">
        <w:rPr>
          <w:rFonts w:hint="eastAsia"/>
        </w:rPr>
        <w:t>2535</w:t>
      </w:r>
      <w:r w:rsidR="00D75FBA">
        <w:rPr>
          <w:rFonts w:hint="eastAsia"/>
        </w:rPr>
        <w:t>次会议</w:t>
      </w:r>
      <w:r w:rsidR="00D75FBA">
        <w:rPr>
          <w:rFonts w:hint="eastAsia"/>
        </w:rPr>
        <w:t>(</w:t>
      </w:r>
      <w:r w:rsidR="00D75FBA">
        <w:rPr>
          <w:rFonts w:hint="eastAsia"/>
        </w:rPr>
        <w:t>见</w:t>
      </w:r>
      <w:r w:rsidR="00D75FBA">
        <w:rPr>
          <w:rFonts w:hint="eastAsia"/>
        </w:rPr>
        <w:t>CERD/C/SR.2534</w:t>
      </w:r>
      <w:r w:rsidR="00D75FBA">
        <w:rPr>
          <w:rFonts w:hint="eastAsia"/>
        </w:rPr>
        <w:t>和</w:t>
      </w:r>
      <w:r w:rsidR="00D75FBA">
        <w:rPr>
          <w:rFonts w:hint="eastAsia"/>
        </w:rPr>
        <w:t>2535)</w:t>
      </w:r>
      <w:r w:rsidR="00D75FBA">
        <w:rPr>
          <w:rFonts w:hint="eastAsia"/>
        </w:rPr>
        <w:t>上审议了保加利亚以一份文件提交的第二十至第二十二次合并定期报告</w:t>
      </w:r>
      <w:r w:rsidR="00D75FBA">
        <w:rPr>
          <w:rFonts w:hint="eastAsia"/>
        </w:rPr>
        <w:t>(CERD/C/BGR/20-22)</w:t>
      </w:r>
      <w:r w:rsidR="00D75FBA">
        <w:rPr>
          <w:rFonts w:hint="eastAsia"/>
        </w:rPr>
        <w:t>，并在</w:t>
      </w:r>
      <w:r w:rsidR="00D75FBA">
        <w:rPr>
          <w:rFonts w:hint="eastAsia"/>
        </w:rPr>
        <w:t>2017</w:t>
      </w:r>
      <w:r w:rsidR="00D75FBA">
        <w:rPr>
          <w:rFonts w:hint="eastAsia"/>
        </w:rPr>
        <w:t>年</w:t>
      </w:r>
      <w:r w:rsidR="00D75FBA">
        <w:rPr>
          <w:rFonts w:hint="eastAsia"/>
        </w:rPr>
        <w:t>5</w:t>
      </w:r>
      <w:r w:rsidR="00D75FBA">
        <w:rPr>
          <w:rFonts w:hint="eastAsia"/>
        </w:rPr>
        <w:t>月</w:t>
      </w:r>
      <w:r w:rsidR="00D75FBA">
        <w:rPr>
          <w:rFonts w:hint="eastAsia"/>
        </w:rPr>
        <w:t>11</w:t>
      </w:r>
      <w:r w:rsidR="00D75FBA">
        <w:rPr>
          <w:rFonts w:hint="eastAsia"/>
        </w:rPr>
        <w:t>日举行的第</w:t>
      </w:r>
      <w:r w:rsidR="00D75FBA">
        <w:rPr>
          <w:rFonts w:hint="eastAsia"/>
        </w:rPr>
        <w:t>2543</w:t>
      </w:r>
      <w:r w:rsidR="00D75FBA">
        <w:rPr>
          <w:rFonts w:hint="eastAsia"/>
        </w:rPr>
        <w:t>、</w:t>
      </w:r>
      <w:r w:rsidR="00D75FBA">
        <w:rPr>
          <w:rFonts w:hint="eastAsia"/>
        </w:rPr>
        <w:t>2544</w:t>
      </w:r>
      <w:r w:rsidR="00D75FBA">
        <w:rPr>
          <w:rFonts w:hint="eastAsia"/>
        </w:rPr>
        <w:t>次会议上通过了本结论性意见。</w:t>
      </w:r>
    </w:p>
    <w:p w:rsidR="00D75FBA" w:rsidRDefault="00D75FBA" w:rsidP="0039619C">
      <w:pPr>
        <w:pStyle w:val="H1GC"/>
        <w:rPr>
          <w:rFonts w:hint="eastAsia"/>
        </w:rPr>
      </w:pPr>
      <w:r>
        <w:rPr>
          <w:rFonts w:hint="eastAsia"/>
        </w:rPr>
        <w:tab/>
        <w:t>A.</w:t>
      </w:r>
      <w:r>
        <w:rPr>
          <w:rFonts w:hint="eastAsia"/>
        </w:rPr>
        <w:tab/>
      </w:r>
      <w:r>
        <w:rPr>
          <w:rFonts w:hint="eastAsia"/>
        </w:rPr>
        <w:t>导言</w:t>
      </w:r>
    </w:p>
    <w:p w:rsidR="00D75FBA" w:rsidRDefault="0039619C" w:rsidP="00D75FBA">
      <w:pPr>
        <w:pStyle w:val="SingleTxtGC"/>
        <w:rPr>
          <w:rFonts w:hint="eastAsia"/>
        </w:rPr>
      </w:pPr>
      <w:r>
        <w:rPr>
          <w:rFonts w:hint="eastAsia"/>
        </w:rPr>
        <w:t>2</w:t>
      </w:r>
      <w:r>
        <w:rPr>
          <w:rFonts w:hint="eastAsia"/>
        </w:rPr>
        <w:t xml:space="preserve">.  </w:t>
      </w:r>
      <w:r w:rsidR="00D75FBA">
        <w:rPr>
          <w:rFonts w:hint="eastAsia"/>
        </w:rPr>
        <w:t>委员会欢迎缔约国提交第二十至第二十二次合并定期报告，并在报告中答复委员会以往结论性意见中提出的关切。委员会谨此赞扬与缔约国多部门代表团的公开对话。委员会还注意到对话后缔约国提交的补充资料。</w:t>
      </w:r>
    </w:p>
    <w:p w:rsidR="00D75FBA" w:rsidRDefault="00D75FBA" w:rsidP="0039619C">
      <w:pPr>
        <w:pStyle w:val="H1GC"/>
        <w:rPr>
          <w:rFonts w:hint="eastAsia"/>
        </w:rPr>
      </w:pPr>
      <w:r>
        <w:rPr>
          <w:rFonts w:hint="eastAsia"/>
        </w:rPr>
        <w:tab/>
        <w:t>B.</w:t>
      </w:r>
      <w:r>
        <w:rPr>
          <w:rFonts w:hint="eastAsia"/>
        </w:rPr>
        <w:tab/>
      </w:r>
      <w:r>
        <w:rPr>
          <w:rFonts w:hint="eastAsia"/>
        </w:rPr>
        <w:t>积极方面</w:t>
      </w:r>
    </w:p>
    <w:p w:rsidR="00D75FBA" w:rsidRDefault="0039619C" w:rsidP="00D75FBA">
      <w:pPr>
        <w:pStyle w:val="SingleTxtGC"/>
        <w:rPr>
          <w:rFonts w:hint="eastAsia"/>
        </w:rPr>
      </w:pPr>
      <w:r>
        <w:rPr>
          <w:rFonts w:hint="eastAsia"/>
        </w:rPr>
        <w:t>3</w:t>
      </w:r>
      <w:r>
        <w:rPr>
          <w:rFonts w:hint="eastAsia"/>
        </w:rPr>
        <w:t xml:space="preserve">.  </w:t>
      </w:r>
      <w:r w:rsidR="00D75FBA">
        <w:rPr>
          <w:rFonts w:hint="eastAsia"/>
        </w:rPr>
        <w:t>委员会欢迎缔约国采取以下法律、体制和政策措施：</w:t>
      </w:r>
    </w:p>
    <w:p w:rsidR="00D75FBA" w:rsidRDefault="00D75FBA" w:rsidP="00D75FBA">
      <w:pPr>
        <w:pStyle w:val="SingleTxtGC"/>
        <w:rPr>
          <w:rFonts w:hint="eastAsia"/>
        </w:rPr>
      </w:pPr>
      <w:r>
        <w:rPr>
          <w:rFonts w:hint="eastAsia"/>
        </w:rPr>
        <w:tab/>
        <w:t>(a)</w:t>
      </w:r>
      <w:r>
        <w:rPr>
          <w:rFonts w:hint="eastAsia"/>
        </w:rPr>
        <w:tab/>
      </w:r>
      <w:r>
        <w:rPr>
          <w:rFonts w:hint="eastAsia"/>
        </w:rPr>
        <w:t>欧洲议会和欧洲联盟理事会</w:t>
      </w:r>
      <w:r>
        <w:rPr>
          <w:rFonts w:hint="eastAsia"/>
        </w:rPr>
        <w:t>2013</w:t>
      </w:r>
      <w:r>
        <w:rPr>
          <w:rFonts w:hint="eastAsia"/>
        </w:rPr>
        <w:t>年</w:t>
      </w:r>
      <w:r>
        <w:rPr>
          <w:rFonts w:hint="eastAsia"/>
        </w:rPr>
        <w:t>6</w:t>
      </w:r>
      <w:r>
        <w:rPr>
          <w:rFonts w:hint="eastAsia"/>
        </w:rPr>
        <w:t>月</w:t>
      </w:r>
      <w:r>
        <w:rPr>
          <w:rFonts w:hint="eastAsia"/>
        </w:rPr>
        <w:t>26</w:t>
      </w:r>
      <w:r>
        <w:rPr>
          <w:rFonts w:hint="eastAsia"/>
        </w:rPr>
        <w:t>日规定国际保护申请受理标准的第</w:t>
      </w:r>
      <w:r>
        <w:rPr>
          <w:rFonts w:hint="eastAsia"/>
        </w:rPr>
        <w:t>2013/33/EU</w:t>
      </w:r>
      <w:r>
        <w:rPr>
          <w:rFonts w:hint="eastAsia"/>
        </w:rPr>
        <w:t>号令；欧洲议会和欧洲联盟理事会</w:t>
      </w:r>
      <w:r>
        <w:rPr>
          <w:rFonts w:hint="eastAsia"/>
        </w:rPr>
        <w:t>2013</w:t>
      </w:r>
      <w:r>
        <w:rPr>
          <w:rFonts w:hint="eastAsia"/>
        </w:rPr>
        <w:t>年</w:t>
      </w:r>
      <w:r>
        <w:rPr>
          <w:rFonts w:hint="eastAsia"/>
        </w:rPr>
        <w:t>6</w:t>
      </w:r>
      <w:r>
        <w:rPr>
          <w:rFonts w:hint="eastAsia"/>
        </w:rPr>
        <w:t>月</w:t>
      </w:r>
      <w:r>
        <w:rPr>
          <w:rFonts w:hint="eastAsia"/>
        </w:rPr>
        <w:t>26</w:t>
      </w:r>
      <w:r>
        <w:rPr>
          <w:rFonts w:hint="eastAsia"/>
        </w:rPr>
        <w:t>日事关准予和撤销国际保护的共同程序的第</w:t>
      </w:r>
      <w:r>
        <w:rPr>
          <w:rFonts w:hint="eastAsia"/>
        </w:rPr>
        <w:t>2013/32/EU</w:t>
      </w:r>
      <w:r>
        <w:rPr>
          <w:rFonts w:hint="eastAsia"/>
        </w:rPr>
        <w:t>号令，两项指令产生了缩短申请庇护者的行政拘留时间的作用；</w:t>
      </w:r>
      <w:r>
        <w:rPr>
          <w:rFonts w:hint="eastAsia"/>
        </w:rPr>
        <w:t>2015</w:t>
      </w:r>
      <w:r>
        <w:rPr>
          <w:rFonts w:hint="eastAsia"/>
        </w:rPr>
        <w:t>年；</w:t>
      </w:r>
    </w:p>
    <w:p w:rsidR="00D75FBA" w:rsidRDefault="00D75FBA" w:rsidP="00D75FBA">
      <w:pPr>
        <w:pStyle w:val="SingleTxtGC"/>
        <w:rPr>
          <w:rFonts w:hint="eastAsia"/>
        </w:rPr>
      </w:pPr>
      <w:r>
        <w:rPr>
          <w:rFonts w:hint="eastAsia"/>
        </w:rPr>
        <w:tab/>
        <w:t>(b)</w:t>
      </w:r>
      <w:r>
        <w:rPr>
          <w:rFonts w:hint="eastAsia"/>
        </w:rPr>
        <w:tab/>
      </w:r>
      <w:r>
        <w:rPr>
          <w:rFonts w:hint="eastAsia"/>
        </w:rPr>
        <w:t>将儿童监护制度扩大适用于移徙儿童的《庇护与难民法》修订案，</w:t>
      </w:r>
      <w:r>
        <w:rPr>
          <w:rFonts w:hint="eastAsia"/>
        </w:rPr>
        <w:t>2015</w:t>
      </w:r>
      <w:r>
        <w:rPr>
          <w:rFonts w:hint="eastAsia"/>
        </w:rPr>
        <w:t>年</w:t>
      </w:r>
      <w:r>
        <w:rPr>
          <w:rFonts w:hint="eastAsia"/>
        </w:rPr>
        <w:t>10</w:t>
      </w:r>
      <w:r>
        <w:rPr>
          <w:rFonts w:hint="eastAsia"/>
        </w:rPr>
        <w:t>月；</w:t>
      </w:r>
    </w:p>
    <w:p w:rsidR="00D75FBA" w:rsidRDefault="00D75FBA" w:rsidP="00D75FBA">
      <w:pPr>
        <w:pStyle w:val="SingleTxtGC"/>
        <w:rPr>
          <w:rFonts w:hint="eastAsia"/>
        </w:rPr>
      </w:pPr>
      <w:r>
        <w:rPr>
          <w:rFonts w:hint="eastAsia"/>
        </w:rPr>
        <w:tab/>
        <w:t>(c)</w:t>
      </w:r>
      <w:r>
        <w:rPr>
          <w:rFonts w:hint="eastAsia"/>
        </w:rPr>
        <w:tab/>
      </w:r>
      <w:r>
        <w:rPr>
          <w:rFonts w:hint="eastAsia"/>
        </w:rPr>
        <w:t>有助于改善处境不利群体与个人诉诸司法的机会的《法律援助法》修订案，</w:t>
      </w:r>
      <w:r>
        <w:rPr>
          <w:rFonts w:hint="eastAsia"/>
        </w:rPr>
        <w:t>2013</w:t>
      </w:r>
      <w:r>
        <w:rPr>
          <w:rFonts w:hint="eastAsia"/>
        </w:rPr>
        <w:t>年；</w:t>
      </w:r>
    </w:p>
    <w:p w:rsidR="00D75FBA" w:rsidRDefault="00D75FBA" w:rsidP="00D75FBA">
      <w:pPr>
        <w:pStyle w:val="SingleTxtGC"/>
        <w:rPr>
          <w:rFonts w:hint="eastAsia"/>
        </w:rPr>
      </w:pPr>
      <w:r>
        <w:rPr>
          <w:rFonts w:hint="eastAsia"/>
        </w:rPr>
        <w:tab/>
        <w:t>(d)</w:t>
      </w:r>
      <w:r>
        <w:rPr>
          <w:rFonts w:hint="eastAsia"/>
        </w:rPr>
        <w:tab/>
      </w:r>
      <w:r>
        <w:rPr>
          <w:rFonts w:hint="eastAsia"/>
        </w:rPr>
        <w:t>禁止拘留无人陪伴的儿童的《保加利亚共和国外国人法》修订案，</w:t>
      </w:r>
      <w:r>
        <w:rPr>
          <w:rFonts w:hint="eastAsia"/>
        </w:rPr>
        <w:t>2013</w:t>
      </w:r>
      <w:r>
        <w:rPr>
          <w:rFonts w:hint="eastAsia"/>
        </w:rPr>
        <w:t>年；</w:t>
      </w:r>
    </w:p>
    <w:p w:rsidR="00D75FBA" w:rsidRDefault="00D75FBA" w:rsidP="00D75FBA">
      <w:pPr>
        <w:pStyle w:val="SingleTxtGC"/>
        <w:rPr>
          <w:rFonts w:hint="eastAsia"/>
        </w:rPr>
      </w:pPr>
      <w:r>
        <w:rPr>
          <w:rFonts w:hint="eastAsia"/>
        </w:rPr>
        <w:lastRenderedPageBreak/>
        <w:tab/>
        <w:t>(e)</w:t>
      </w:r>
      <w:r>
        <w:rPr>
          <w:rFonts w:hint="eastAsia"/>
        </w:rPr>
        <w:tab/>
      </w:r>
      <w:r>
        <w:rPr>
          <w:rFonts w:hint="eastAsia"/>
        </w:rPr>
        <w:t>《少数族裔儿童与学生教育融入战略》</w:t>
      </w:r>
      <w:r>
        <w:rPr>
          <w:rFonts w:hint="eastAsia"/>
        </w:rPr>
        <w:t>(2015-2020</w:t>
      </w:r>
      <w:r>
        <w:rPr>
          <w:rFonts w:hint="eastAsia"/>
        </w:rPr>
        <w:t>年</w:t>
      </w:r>
      <w:r>
        <w:rPr>
          <w:rFonts w:hint="eastAsia"/>
        </w:rPr>
        <w:t>)</w:t>
      </w:r>
      <w:r>
        <w:rPr>
          <w:rFonts w:hint="eastAsia"/>
        </w:rPr>
        <w:t>及其行动计划；</w:t>
      </w:r>
    </w:p>
    <w:p w:rsidR="00D75FBA" w:rsidRDefault="00D75FBA" w:rsidP="00D75FBA">
      <w:pPr>
        <w:pStyle w:val="SingleTxtGC"/>
        <w:rPr>
          <w:rFonts w:hint="eastAsia"/>
        </w:rPr>
      </w:pPr>
      <w:r>
        <w:rPr>
          <w:rFonts w:hint="eastAsia"/>
        </w:rPr>
        <w:tab/>
        <w:t>(f)</w:t>
      </w:r>
      <w:r>
        <w:rPr>
          <w:rFonts w:hint="eastAsia"/>
        </w:rPr>
        <w:tab/>
      </w:r>
      <w:r>
        <w:rPr>
          <w:rFonts w:hint="eastAsia"/>
        </w:rPr>
        <w:t>“移徙、庇护与融入国家战略”</w:t>
      </w:r>
      <w:r>
        <w:rPr>
          <w:rFonts w:hint="eastAsia"/>
        </w:rPr>
        <w:t>(2015-2020</w:t>
      </w:r>
      <w:r>
        <w:rPr>
          <w:rFonts w:hint="eastAsia"/>
        </w:rPr>
        <w:t>年</w:t>
      </w:r>
      <w:r>
        <w:rPr>
          <w:rFonts w:hint="eastAsia"/>
        </w:rPr>
        <w:t>)</w:t>
      </w:r>
      <w:r>
        <w:rPr>
          <w:rFonts w:hint="eastAsia"/>
        </w:rPr>
        <w:t>；</w:t>
      </w:r>
    </w:p>
    <w:p w:rsidR="00D75FBA" w:rsidRDefault="00D75FBA" w:rsidP="00D75FBA">
      <w:pPr>
        <w:pStyle w:val="SingleTxtGC"/>
        <w:rPr>
          <w:rFonts w:hint="eastAsia"/>
        </w:rPr>
      </w:pPr>
      <w:r>
        <w:rPr>
          <w:rFonts w:hint="eastAsia"/>
        </w:rPr>
        <w:tab/>
        <w:t>(g)</w:t>
      </w:r>
      <w:r>
        <w:rPr>
          <w:rFonts w:hint="eastAsia"/>
        </w:rPr>
        <w:tab/>
      </w:r>
      <w:r>
        <w:rPr>
          <w:rFonts w:hint="eastAsia"/>
        </w:rPr>
        <w:t>“罗姆人融入问题国家战略”</w:t>
      </w:r>
      <w:r>
        <w:rPr>
          <w:rFonts w:hint="eastAsia"/>
        </w:rPr>
        <w:t>(2012-2020</w:t>
      </w:r>
      <w:r>
        <w:rPr>
          <w:rFonts w:hint="eastAsia"/>
        </w:rPr>
        <w:t>年</w:t>
      </w:r>
      <w:r>
        <w:rPr>
          <w:rFonts w:hint="eastAsia"/>
        </w:rPr>
        <w:t>)</w:t>
      </w:r>
      <w:r>
        <w:rPr>
          <w:rFonts w:hint="eastAsia"/>
        </w:rPr>
        <w:t>及其行动计划；</w:t>
      </w:r>
    </w:p>
    <w:p w:rsidR="00D75FBA" w:rsidRDefault="00D75FBA" w:rsidP="00D75FBA">
      <w:pPr>
        <w:pStyle w:val="SingleTxtGC"/>
        <w:rPr>
          <w:rFonts w:hint="eastAsia"/>
        </w:rPr>
      </w:pPr>
      <w:r>
        <w:rPr>
          <w:rFonts w:hint="eastAsia"/>
        </w:rPr>
        <w:tab/>
        <w:t>(h)</w:t>
      </w:r>
      <w:r>
        <w:rPr>
          <w:rFonts w:hint="eastAsia"/>
        </w:rPr>
        <w:tab/>
      </w:r>
      <w:r>
        <w:rPr>
          <w:rFonts w:hint="eastAsia"/>
        </w:rPr>
        <w:t>“少数群体处境不利人群卫生战略”</w:t>
      </w:r>
      <w:r>
        <w:rPr>
          <w:rFonts w:hint="eastAsia"/>
        </w:rPr>
        <w:t>(2005-2015</w:t>
      </w:r>
      <w:r>
        <w:rPr>
          <w:rFonts w:hint="eastAsia"/>
        </w:rPr>
        <w:t>年</w:t>
      </w:r>
      <w:r>
        <w:rPr>
          <w:rFonts w:hint="eastAsia"/>
        </w:rPr>
        <w:t>)</w:t>
      </w:r>
      <w:r>
        <w:rPr>
          <w:rFonts w:hint="eastAsia"/>
        </w:rPr>
        <w:t>。</w:t>
      </w:r>
    </w:p>
    <w:p w:rsidR="00D75FBA" w:rsidRDefault="0039619C" w:rsidP="00D75FBA">
      <w:pPr>
        <w:pStyle w:val="SingleTxtGC"/>
        <w:rPr>
          <w:rFonts w:hint="eastAsia"/>
        </w:rPr>
      </w:pPr>
      <w:r>
        <w:rPr>
          <w:rFonts w:hint="eastAsia"/>
        </w:rPr>
        <w:t>4</w:t>
      </w:r>
      <w:r>
        <w:rPr>
          <w:rFonts w:hint="eastAsia"/>
        </w:rPr>
        <w:t xml:space="preserve">.  </w:t>
      </w:r>
      <w:r w:rsidR="00D75FBA">
        <w:rPr>
          <w:rFonts w:hint="eastAsia"/>
        </w:rPr>
        <w:t>委员会还欢迎缔约国批准下列国际人权文书：</w:t>
      </w:r>
    </w:p>
    <w:p w:rsidR="00D75FBA" w:rsidRDefault="00D75FBA" w:rsidP="00D75FBA">
      <w:pPr>
        <w:pStyle w:val="SingleTxtGC"/>
        <w:rPr>
          <w:rFonts w:hint="eastAsia"/>
        </w:rPr>
      </w:pPr>
      <w:r>
        <w:rPr>
          <w:rFonts w:hint="eastAsia"/>
        </w:rPr>
        <w:tab/>
        <w:t>(a)</w:t>
      </w:r>
      <w:r>
        <w:rPr>
          <w:rFonts w:hint="eastAsia"/>
        </w:rPr>
        <w:tab/>
      </w:r>
      <w:r>
        <w:rPr>
          <w:rFonts w:hint="eastAsia"/>
        </w:rPr>
        <w:t>《残疾人权利公约》，</w:t>
      </w:r>
      <w:r>
        <w:rPr>
          <w:rFonts w:hint="eastAsia"/>
        </w:rPr>
        <w:t>2012</w:t>
      </w:r>
      <w:r>
        <w:rPr>
          <w:rFonts w:hint="eastAsia"/>
        </w:rPr>
        <w:t>年；</w:t>
      </w:r>
    </w:p>
    <w:p w:rsidR="00D75FBA" w:rsidRDefault="00D75FBA" w:rsidP="00D75FBA">
      <w:pPr>
        <w:pStyle w:val="SingleTxtGC"/>
        <w:rPr>
          <w:rFonts w:hint="eastAsia"/>
        </w:rPr>
      </w:pPr>
      <w:r>
        <w:rPr>
          <w:rFonts w:hint="eastAsia"/>
        </w:rPr>
        <w:tab/>
        <w:t>(b)</w:t>
      </w:r>
      <w:r>
        <w:rPr>
          <w:rFonts w:hint="eastAsia"/>
        </w:rPr>
        <w:tab/>
      </w:r>
      <w:r>
        <w:rPr>
          <w:rFonts w:hint="eastAsia"/>
        </w:rPr>
        <w:t>《禁止酷刑和其他残忍、不人道或有辱人格的待遇或处罚公约任择议定书》，</w:t>
      </w:r>
      <w:r>
        <w:rPr>
          <w:rFonts w:hint="eastAsia"/>
        </w:rPr>
        <w:t>2011</w:t>
      </w:r>
      <w:r>
        <w:rPr>
          <w:rFonts w:hint="eastAsia"/>
        </w:rPr>
        <w:t>年。</w:t>
      </w:r>
    </w:p>
    <w:p w:rsidR="00D75FBA" w:rsidRDefault="00D75FBA" w:rsidP="0039619C">
      <w:pPr>
        <w:pStyle w:val="H1GC"/>
        <w:rPr>
          <w:rFonts w:hint="eastAsia"/>
        </w:rPr>
      </w:pPr>
      <w:r>
        <w:rPr>
          <w:rFonts w:hint="eastAsia"/>
        </w:rPr>
        <w:tab/>
        <w:t>C.</w:t>
      </w:r>
      <w:r>
        <w:rPr>
          <w:rFonts w:hint="eastAsia"/>
        </w:rPr>
        <w:tab/>
      </w:r>
      <w:r>
        <w:rPr>
          <w:rFonts w:hint="eastAsia"/>
        </w:rPr>
        <w:t>关注问题及建议</w:t>
      </w:r>
    </w:p>
    <w:p w:rsidR="00D75FBA" w:rsidRDefault="00D75FBA" w:rsidP="0039619C">
      <w:pPr>
        <w:pStyle w:val="H23GC"/>
        <w:rPr>
          <w:rFonts w:hint="eastAsia"/>
        </w:rPr>
      </w:pPr>
      <w:r>
        <w:rPr>
          <w:rFonts w:hint="eastAsia"/>
        </w:rPr>
        <w:tab/>
      </w:r>
      <w:r>
        <w:rPr>
          <w:rFonts w:hint="eastAsia"/>
        </w:rPr>
        <w:tab/>
      </w:r>
      <w:r>
        <w:rPr>
          <w:rFonts w:hint="eastAsia"/>
        </w:rPr>
        <w:t>《公约》可见度</w:t>
      </w:r>
    </w:p>
    <w:p w:rsidR="00D75FBA" w:rsidRDefault="0039619C" w:rsidP="00D75FBA">
      <w:pPr>
        <w:pStyle w:val="SingleTxtGC"/>
        <w:rPr>
          <w:rFonts w:hint="eastAsia"/>
        </w:rPr>
      </w:pPr>
      <w:r>
        <w:rPr>
          <w:rFonts w:hint="eastAsia"/>
        </w:rPr>
        <w:t>5</w:t>
      </w:r>
      <w:r>
        <w:rPr>
          <w:rFonts w:hint="eastAsia"/>
        </w:rPr>
        <w:t xml:space="preserve">.  </w:t>
      </w:r>
      <w:r w:rsidR="00D75FBA">
        <w:rPr>
          <w:rFonts w:hint="eastAsia"/>
        </w:rPr>
        <w:t>鉴于《公约》可在缔约国的法律秩序中直接适用，委员会遗憾地注意到缺乏资料说明国内法院援引或适用《公约》规定审理案件的情况</w:t>
      </w:r>
      <w:r w:rsidR="00D75FBA">
        <w:rPr>
          <w:rFonts w:hint="eastAsia"/>
        </w:rPr>
        <w:t>(</w:t>
      </w:r>
      <w:r w:rsidR="00D75FBA">
        <w:rPr>
          <w:rFonts w:hint="eastAsia"/>
        </w:rPr>
        <w:t>第二条</w:t>
      </w:r>
      <w:r w:rsidR="00D75FBA">
        <w:rPr>
          <w:rFonts w:hint="eastAsia"/>
        </w:rPr>
        <w:t>)</w:t>
      </w:r>
      <w:r w:rsidR="00D75FBA">
        <w:rPr>
          <w:rFonts w:hint="eastAsia"/>
        </w:rPr>
        <w:t>。</w:t>
      </w:r>
    </w:p>
    <w:p w:rsidR="00D75FBA" w:rsidRPr="00D64360" w:rsidRDefault="0039619C" w:rsidP="00D75FBA">
      <w:pPr>
        <w:pStyle w:val="SingleTxtGC"/>
        <w:rPr>
          <w:rFonts w:ascii="Time New Roman" w:eastAsia="黑体" w:hAnsi="Time New Roman" w:hint="eastAsia"/>
        </w:rPr>
      </w:pPr>
      <w:r w:rsidRPr="00D64360">
        <w:rPr>
          <w:rFonts w:ascii="Time New Roman" w:eastAsia="黑体" w:hAnsi="Time New Roman" w:hint="eastAsia"/>
        </w:rPr>
        <w:t>6</w:t>
      </w:r>
      <w:r w:rsidRPr="00D64360">
        <w:rPr>
          <w:rFonts w:ascii="Time New Roman" w:eastAsia="黑体" w:hAnsi="Time New Roman" w:hint="eastAsia"/>
        </w:rPr>
        <w:t xml:space="preserve">.  </w:t>
      </w:r>
      <w:r w:rsidR="00D75FBA" w:rsidRPr="00D64360">
        <w:rPr>
          <w:rFonts w:ascii="Time New Roman" w:eastAsia="黑体" w:hAnsi="Time New Roman" w:hint="eastAsia"/>
        </w:rPr>
        <w:t>委员会建议缔约国采取包括培训在内的适当措施，确保法官、检察官及律师充分了解《公约》规定，以便在相关案件中适用。委员会请缔约国在下次定期报告中加入国内法院适用《公约》之具体实例。</w:t>
      </w:r>
    </w:p>
    <w:p w:rsidR="00D75FBA" w:rsidRDefault="00D75FBA" w:rsidP="00DD1E08">
      <w:pPr>
        <w:pStyle w:val="H23GC"/>
        <w:rPr>
          <w:rFonts w:hint="eastAsia"/>
        </w:rPr>
      </w:pPr>
      <w:r>
        <w:rPr>
          <w:rFonts w:hint="eastAsia"/>
        </w:rPr>
        <w:tab/>
      </w:r>
      <w:r>
        <w:rPr>
          <w:rFonts w:hint="eastAsia"/>
        </w:rPr>
        <w:tab/>
      </w:r>
      <w:r>
        <w:rPr>
          <w:rFonts w:hint="eastAsia"/>
        </w:rPr>
        <w:t>分列数据</w:t>
      </w:r>
    </w:p>
    <w:p w:rsidR="00D75FBA" w:rsidRDefault="0039619C" w:rsidP="00D75FBA">
      <w:pPr>
        <w:pStyle w:val="SingleTxtGC"/>
        <w:rPr>
          <w:rFonts w:hint="eastAsia"/>
        </w:rPr>
      </w:pPr>
      <w:r>
        <w:rPr>
          <w:rFonts w:hint="eastAsia"/>
        </w:rPr>
        <w:t>7</w:t>
      </w:r>
      <w:r>
        <w:rPr>
          <w:rFonts w:hint="eastAsia"/>
        </w:rPr>
        <w:t xml:space="preserve">.  </w:t>
      </w:r>
      <w:r w:rsidR="00D75FBA">
        <w:rPr>
          <w:rFonts w:hint="eastAsia"/>
        </w:rPr>
        <w:t>委员会遗憾的是，缺乏最新分列统计数据，说明少数族裔群体成员和非公民事实上享有《公约》所保护之权利的情况，因此难以评估缔约国内各群体的社会经济处境。委员会还关切的是，缺乏数据说明囚犯的族裔构成</w:t>
      </w:r>
      <w:r w:rsidR="00D75FBA">
        <w:rPr>
          <w:rFonts w:hint="eastAsia"/>
        </w:rPr>
        <w:t>(</w:t>
      </w:r>
      <w:r w:rsidR="00D75FBA">
        <w:rPr>
          <w:rFonts w:hint="eastAsia"/>
        </w:rPr>
        <w:t>第二条</w:t>
      </w:r>
      <w:r w:rsidR="00D75FBA">
        <w:rPr>
          <w:rFonts w:hint="eastAsia"/>
        </w:rPr>
        <w:t>)</w:t>
      </w:r>
      <w:r w:rsidR="00D75FBA">
        <w:rPr>
          <w:rFonts w:hint="eastAsia"/>
        </w:rPr>
        <w:t>。</w:t>
      </w:r>
    </w:p>
    <w:p w:rsidR="00D75FBA" w:rsidRPr="00D64360" w:rsidRDefault="0039619C" w:rsidP="00D75FBA">
      <w:pPr>
        <w:pStyle w:val="SingleTxtGC"/>
        <w:rPr>
          <w:rFonts w:ascii="Time New Roman" w:eastAsia="黑体" w:hAnsi="Time New Roman" w:hint="eastAsia"/>
        </w:rPr>
      </w:pPr>
      <w:r w:rsidRPr="00D64360">
        <w:rPr>
          <w:rFonts w:ascii="Time New Roman" w:eastAsia="黑体" w:hAnsi="Time New Roman" w:hint="eastAsia"/>
        </w:rPr>
        <w:t>8</w:t>
      </w:r>
      <w:r w:rsidRPr="00D64360">
        <w:rPr>
          <w:rFonts w:ascii="Time New Roman" w:eastAsia="黑体" w:hAnsi="Time New Roman" w:hint="eastAsia"/>
        </w:rPr>
        <w:t xml:space="preserve">.  </w:t>
      </w:r>
      <w:r w:rsidR="00D75FBA" w:rsidRPr="00D64360">
        <w:rPr>
          <w:rFonts w:ascii="Time New Roman" w:eastAsia="黑体" w:hAnsi="Time New Roman" w:hint="eastAsia"/>
        </w:rPr>
        <w:t>委员会提请注意根据《公约》提交报告的指南</w:t>
      </w:r>
      <w:r w:rsidR="00D75FBA" w:rsidRPr="00D64360">
        <w:rPr>
          <w:rFonts w:ascii="Time New Roman" w:eastAsia="黑体" w:hAnsi="Time New Roman" w:hint="eastAsia"/>
        </w:rPr>
        <w:t>(</w:t>
      </w:r>
      <w:r w:rsidR="00D75FBA" w:rsidRPr="00D64360">
        <w:rPr>
          <w:rFonts w:ascii="Time New Roman" w:eastAsia="黑体" w:hAnsi="Time New Roman" w:hint="eastAsia"/>
        </w:rPr>
        <w:t>见</w:t>
      </w:r>
      <w:r w:rsidR="00D75FBA" w:rsidRPr="00D64360">
        <w:rPr>
          <w:rFonts w:ascii="Time New Roman" w:eastAsia="黑体" w:hAnsi="Time New Roman" w:hint="eastAsia"/>
        </w:rPr>
        <w:t>CERD/C/2007/1,</w:t>
      </w:r>
      <w:r w:rsidR="00D64360" w:rsidRPr="00D64360">
        <w:rPr>
          <w:rFonts w:ascii="Time New Roman" w:eastAsia="黑体" w:hAnsi="Time New Roman"/>
        </w:rPr>
        <w:t xml:space="preserve"> </w:t>
      </w:r>
      <w:r w:rsidR="00D75FBA" w:rsidRPr="00D64360">
        <w:rPr>
          <w:rFonts w:ascii="Time New Roman" w:eastAsia="黑体" w:hAnsi="Time New Roman" w:hint="eastAsia"/>
        </w:rPr>
        <w:t>第</w:t>
      </w:r>
      <w:r w:rsidR="00D75FBA" w:rsidRPr="00D64360">
        <w:rPr>
          <w:rFonts w:ascii="Time New Roman" w:eastAsia="黑体" w:hAnsi="Time New Roman" w:hint="eastAsia"/>
        </w:rPr>
        <w:t>10</w:t>
      </w:r>
      <w:r w:rsidR="00D75FBA" w:rsidRPr="00D64360">
        <w:rPr>
          <w:rFonts w:ascii="Time New Roman" w:eastAsia="黑体" w:hAnsi="Time New Roman" w:hint="eastAsia"/>
        </w:rPr>
        <w:t>至第</w:t>
      </w:r>
      <w:r w:rsidR="00D75FBA" w:rsidRPr="00D64360">
        <w:rPr>
          <w:rFonts w:ascii="Time New Roman" w:eastAsia="黑体" w:hAnsi="Time New Roman" w:hint="eastAsia"/>
        </w:rPr>
        <w:t>12</w:t>
      </w:r>
      <w:r w:rsidR="00D75FBA" w:rsidRPr="00D64360">
        <w:rPr>
          <w:rFonts w:ascii="Time New Roman" w:eastAsia="黑体" w:hAnsi="Time New Roman" w:hint="eastAsia"/>
        </w:rPr>
        <w:t>段</w:t>
      </w:r>
      <w:r w:rsidR="00D75FBA" w:rsidRPr="00D64360">
        <w:rPr>
          <w:rFonts w:ascii="Time New Roman" w:eastAsia="黑体" w:hAnsi="Time New Roman" w:hint="eastAsia"/>
        </w:rPr>
        <w:t>)</w:t>
      </w:r>
      <w:r w:rsidR="00D75FBA" w:rsidRPr="00D64360">
        <w:rPr>
          <w:rFonts w:ascii="Time New Roman" w:eastAsia="黑体" w:hAnsi="Time New Roman" w:hint="eastAsia"/>
        </w:rPr>
        <w:t>，同时回顾关于《公约》第一条的第</w:t>
      </w:r>
      <w:r w:rsidR="00D75FBA" w:rsidRPr="00D64360">
        <w:rPr>
          <w:rFonts w:ascii="Time New Roman" w:eastAsia="黑体" w:hAnsi="Time New Roman" w:hint="eastAsia"/>
        </w:rPr>
        <w:t>24(1999)</w:t>
      </w:r>
      <w:r w:rsidR="00D75FBA" w:rsidRPr="00D64360">
        <w:rPr>
          <w:rFonts w:ascii="Time New Roman" w:eastAsia="黑体" w:hAnsi="Time New Roman" w:hint="eastAsia"/>
        </w:rPr>
        <w:t>号一般性建议，建议缔约国采集并公布关于单个族裔群体社会经济处境的可靠统计数据，按少数群体聚居地分列，以便为制定改善同等享有《公约》权利之情况的政策提供充足的实证基础。委员会还建议缔约国采集关于囚犯的族裔构成情况的数据。委员会请缔约国在下次定期报告中提供这项资料。</w:t>
      </w:r>
    </w:p>
    <w:p w:rsidR="00D75FBA" w:rsidRDefault="00D75FBA" w:rsidP="00DD1E08">
      <w:pPr>
        <w:pStyle w:val="H23GC"/>
        <w:rPr>
          <w:rFonts w:hint="eastAsia"/>
        </w:rPr>
      </w:pPr>
      <w:r>
        <w:rPr>
          <w:rFonts w:hint="eastAsia"/>
        </w:rPr>
        <w:tab/>
      </w:r>
      <w:r>
        <w:rPr>
          <w:rFonts w:hint="eastAsia"/>
        </w:rPr>
        <w:tab/>
      </w:r>
      <w:r>
        <w:rPr>
          <w:rFonts w:hint="eastAsia"/>
        </w:rPr>
        <w:t>平等机构</w:t>
      </w:r>
    </w:p>
    <w:p w:rsidR="00D75FBA" w:rsidRDefault="0039619C" w:rsidP="00D75FBA">
      <w:pPr>
        <w:pStyle w:val="SingleTxtGC"/>
        <w:rPr>
          <w:rFonts w:hint="eastAsia"/>
        </w:rPr>
      </w:pPr>
      <w:r>
        <w:rPr>
          <w:rFonts w:hint="eastAsia"/>
        </w:rPr>
        <w:t>9</w:t>
      </w:r>
      <w:r>
        <w:rPr>
          <w:rFonts w:hint="eastAsia"/>
        </w:rPr>
        <w:t xml:space="preserve">.  </w:t>
      </w:r>
      <w:r w:rsidR="00D75FBA">
        <w:rPr>
          <w:rFonts w:hint="eastAsia"/>
        </w:rPr>
        <w:t>委员会注意到，缔约国在对话期间提供的资料说明采取了哪些措施加强防止歧视委员会的力量</w:t>
      </w:r>
      <w:r w:rsidR="00D75FBA">
        <w:rPr>
          <w:rFonts w:hint="eastAsia"/>
        </w:rPr>
        <w:t>(</w:t>
      </w:r>
      <w:r w:rsidR="00D75FBA">
        <w:rPr>
          <w:rFonts w:hint="eastAsia"/>
        </w:rPr>
        <w:t>包括外联力量</w:t>
      </w:r>
      <w:r w:rsidR="00D75FBA">
        <w:rPr>
          <w:rFonts w:hint="eastAsia"/>
        </w:rPr>
        <w:t>)</w:t>
      </w:r>
      <w:r w:rsidR="00D75FBA">
        <w:rPr>
          <w:rFonts w:hint="eastAsia"/>
        </w:rPr>
        <w:t>，使监察员遵循《关于促进和保护人权的国家机构的地位的原则》</w:t>
      </w:r>
      <w:r w:rsidR="00D75FBA">
        <w:rPr>
          <w:rFonts w:hint="eastAsia"/>
        </w:rPr>
        <w:t>(</w:t>
      </w:r>
      <w:r w:rsidR="00D75FBA">
        <w:rPr>
          <w:rFonts w:hint="eastAsia"/>
        </w:rPr>
        <w:t>《巴黎原则》</w:t>
      </w:r>
      <w:r w:rsidR="00D75FBA">
        <w:rPr>
          <w:rFonts w:hint="eastAsia"/>
        </w:rPr>
        <w:t>)</w:t>
      </w:r>
      <w:r w:rsidR="00D75FBA">
        <w:rPr>
          <w:rFonts w:hint="eastAsia"/>
        </w:rPr>
        <w:t>。但委员会仍关切的是，尽管委员会以往曾提出建议，这些机构的运作始终存在缺陷，这部分是由于防止歧视委员会独立性有限，监察员资金和人力资源不足。委员会还关切的是，该委员会收到的基于种族或族裔的歧视相关申诉为数不多</w:t>
      </w:r>
      <w:r w:rsidR="00D75FBA">
        <w:rPr>
          <w:rFonts w:hint="eastAsia"/>
        </w:rPr>
        <w:t>(</w:t>
      </w:r>
      <w:r w:rsidR="00D75FBA">
        <w:rPr>
          <w:rFonts w:hint="eastAsia"/>
        </w:rPr>
        <w:t>第二条</w:t>
      </w:r>
      <w:r w:rsidR="00D75FBA">
        <w:rPr>
          <w:rFonts w:hint="eastAsia"/>
        </w:rPr>
        <w:t>)</w:t>
      </w:r>
      <w:r w:rsidR="00D75FBA">
        <w:rPr>
          <w:rFonts w:hint="eastAsia"/>
        </w:rPr>
        <w:t>。</w:t>
      </w:r>
    </w:p>
    <w:p w:rsidR="00E62E54" w:rsidRDefault="00E62E54">
      <w:pPr>
        <w:tabs>
          <w:tab w:val="clear" w:pos="431"/>
        </w:tabs>
        <w:overflowPunct/>
        <w:adjustRightInd/>
        <w:snapToGrid/>
        <w:spacing w:line="240" w:lineRule="auto"/>
        <w:jc w:val="left"/>
      </w:pPr>
      <w:r>
        <w:br w:type="page"/>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lastRenderedPageBreak/>
        <w:t>1</w:t>
      </w:r>
      <w:r w:rsidR="0039619C" w:rsidRPr="00D64360">
        <w:rPr>
          <w:rFonts w:ascii="Time New Roman" w:eastAsia="黑体" w:hAnsi="Time New Roman" w:hint="eastAsia"/>
        </w:rPr>
        <w:t>0</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(a)</w:t>
      </w:r>
      <w:r w:rsidRPr="00D64360">
        <w:rPr>
          <w:rFonts w:ascii="Time New Roman" w:eastAsia="黑体" w:hAnsi="Time New Roman" w:hint="eastAsia"/>
        </w:rPr>
        <w:tab/>
      </w:r>
      <w:r w:rsidRPr="00D64360">
        <w:rPr>
          <w:rFonts w:ascii="Time New Roman" w:eastAsia="黑体" w:hAnsi="Time New Roman" w:hint="eastAsia"/>
        </w:rPr>
        <w:t>立即采取措施加强防止歧视委员会及监察员的力量、独立性和供资，并按对话期间所表示的，尽一切努力，参照委员会关于设立国家机构推动落实《公约》的第</w:t>
      </w:r>
      <w:r w:rsidRPr="00D64360">
        <w:rPr>
          <w:rFonts w:ascii="Time New Roman" w:eastAsia="黑体" w:hAnsi="Time New Roman" w:hint="eastAsia"/>
        </w:rPr>
        <w:t>17(1993)</w:t>
      </w:r>
      <w:r w:rsidRPr="00D64360">
        <w:rPr>
          <w:rFonts w:ascii="Time New Roman" w:eastAsia="黑体" w:hAnsi="Time New Roman" w:hint="eastAsia"/>
        </w:rPr>
        <w:t>号一般性建议，使监察员完全符合《巴黎原则》，包括对《监察员法》作必要立法修订；</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(b)</w:t>
      </w:r>
      <w:r w:rsidRPr="00D64360">
        <w:rPr>
          <w:rFonts w:ascii="Time New Roman" w:eastAsia="黑体" w:hAnsi="Time New Roman" w:hint="eastAsia"/>
        </w:rPr>
        <w:tab/>
      </w:r>
      <w:r w:rsidRPr="00D64360">
        <w:rPr>
          <w:rFonts w:ascii="Time New Roman" w:eastAsia="黑体" w:hAnsi="Time New Roman" w:hint="eastAsia"/>
        </w:rPr>
        <w:t>采取有效措施，加强公众对解决种族主义仇恨犯罪之现行体制机制的信心；</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(c)</w:t>
      </w:r>
      <w:r w:rsidRPr="00D64360">
        <w:rPr>
          <w:rFonts w:ascii="Time New Roman" w:eastAsia="黑体" w:hAnsi="Time New Roman" w:hint="eastAsia"/>
        </w:rPr>
        <w:tab/>
      </w:r>
      <w:r w:rsidRPr="00D64360">
        <w:rPr>
          <w:rFonts w:ascii="Time New Roman" w:eastAsia="黑体" w:hAnsi="Time New Roman" w:hint="eastAsia"/>
        </w:rPr>
        <w:t>面向大众和特别易受歧视的群体开展提高对现有申诉机制认识的运动；</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(d)</w:t>
      </w:r>
      <w:r w:rsidRPr="00D64360">
        <w:rPr>
          <w:rFonts w:ascii="Time New Roman" w:eastAsia="黑体" w:hAnsi="Time New Roman" w:hint="eastAsia"/>
        </w:rPr>
        <w:tab/>
      </w:r>
      <w:r w:rsidRPr="00D64360">
        <w:rPr>
          <w:rFonts w:ascii="Time New Roman" w:eastAsia="黑体" w:hAnsi="Time New Roman" w:hint="eastAsia"/>
        </w:rPr>
        <w:t>确保申诉程序简单、广为人知且便于所有人使用。</w:t>
      </w:r>
    </w:p>
    <w:p w:rsidR="00D75FBA" w:rsidRDefault="00D75FBA" w:rsidP="00DD1E08">
      <w:pPr>
        <w:pStyle w:val="H23GC"/>
        <w:rPr>
          <w:rFonts w:hint="eastAsia"/>
        </w:rPr>
      </w:pPr>
      <w:r>
        <w:rPr>
          <w:rFonts w:hint="eastAsia"/>
        </w:rPr>
        <w:tab/>
      </w:r>
      <w:r>
        <w:rPr>
          <w:rFonts w:hint="eastAsia"/>
        </w:rPr>
        <w:tab/>
      </w:r>
      <w:r>
        <w:rPr>
          <w:rFonts w:hint="eastAsia"/>
        </w:rPr>
        <w:t>仇恨言论与仇恨犯罪</w:t>
      </w:r>
    </w:p>
    <w:p w:rsidR="00D75FBA" w:rsidRDefault="00D75FBA" w:rsidP="00D75FBA">
      <w:pPr>
        <w:pStyle w:val="SingleTxtGC"/>
        <w:rPr>
          <w:rFonts w:hint="eastAsia"/>
        </w:rPr>
      </w:pPr>
      <w:r>
        <w:rPr>
          <w:rFonts w:hint="eastAsia"/>
        </w:rPr>
        <w:t>1</w:t>
      </w:r>
      <w:r w:rsidR="0039619C">
        <w:rPr>
          <w:rFonts w:hint="eastAsia"/>
        </w:rPr>
        <w:t>1</w:t>
      </w:r>
      <w:r w:rsidR="0039619C">
        <w:rPr>
          <w:rFonts w:hint="eastAsia"/>
        </w:rPr>
        <w:t xml:space="preserve">.  </w:t>
      </w:r>
      <w:r>
        <w:rPr>
          <w:rFonts w:hint="eastAsia"/>
        </w:rPr>
        <w:t>委员会深表关切的是，据报告，审查期内仇恨言论和仇恨犯罪事件有所增加，主要是针对土耳其族、罗姆人、穆斯林、犹太人、非洲人后裔、移徙者、难民和寻求庇护者等少数群体的事件。具体而言，委员会关切的是，竞选活动中明显存在种族主义言论和呼声，各政党与候选人经常使用针对少数群体和个人的无礼语言。委员会还关切地注意到，电子媒体委员会未能制止种族主义言论和仇恨言论在互联网与社交媒体上传播</w:t>
      </w:r>
      <w:r>
        <w:rPr>
          <w:rFonts w:hint="eastAsia"/>
        </w:rPr>
        <w:t>(</w:t>
      </w:r>
      <w:r>
        <w:rPr>
          <w:rFonts w:hint="eastAsia"/>
        </w:rPr>
        <w:t>第二、第四和第七条</w:t>
      </w:r>
      <w:r>
        <w:rPr>
          <w:rFonts w:hint="eastAsia"/>
        </w:rPr>
        <w:t>)</w:t>
      </w:r>
      <w:r>
        <w:rPr>
          <w:rFonts w:hint="eastAsia"/>
        </w:rPr>
        <w:t>。</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1</w:t>
      </w:r>
      <w:r w:rsidR="0039619C" w:rsidRPr="00D64360">
        <w:rPr>
          <w:rFonts w:ascii="Time New Roman" w:eastAsia="黑体" w:hAnsi="Time New Roman" w:hint="eastAsia"/>
        </w:rPr>
        <w:t>2</w:t>
      </w:r>
      <w:r w:rsidR="0039619C" w:rsidRPr="00D64360">
        <w:rPr>
          <w:rFonts w:ascii="Time New Roman" w:eastAsia="黑体" w:hAnsi="Time New Roman" w:hint="eastAsia"/>
        </w:rPr>
        <w:t xml:space="preserve">.  </w:t>
      </w:r>
      <w:r w:rsidRPr="00D64360">
        <w:rPr>
          <w:rFonts w:ascii="Time New Roman" w:eastAsia="黑体" w:hAnsi="Time New Roman" w:hint="eastAsia"/>
        </w:rPr>
        <w:t>根据关于打击种族主义仇恨言论的第</w:t>
      </w:r>
      <w:r w:rsidRPr="00D64360">
        <w:rPr>
          <w:rFonts w:ascii="Time New Roman" w:eastAsia="黑体" w:hAnsi="Time New Roman" w:hint="eastAsia"/>
        </w:rPr>
        <w:t>35(2013)</w:t>
      </w:r>
      <w:r w:rsidRPr="00D64360">
        <w:rPr>
          <w:rFonts w:ascii="Time New Roman" w:eastAsia="黑体" w:hAnsi="Time New Roman" w:hint="eastAsia"/>
        </w:rPr>
        <w:t>号一般性建议，委员会建议缔约国：</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(a)</w:t>
      </w:r>
      <w:r w:rsidRPr="00D64360">
        <w:rPr>
          <w:rFonts w:ascii="Time New Roman" w:eastAsia="黑体" w:hAnsi="Time New Roman" w:hint="eastAsia"/>
        </w:rPr>
        <w:tab/>
      </w:r>
      <w:r w:rsidRPr="00D64360">
        <w:rPr>
          <w:rFonts w:ascii="Time New Roman" w:eastAsia="黑体" w:hAnsi="Time New Roman" w:hint="eastAsia"/>
        </w:rPr>
        <w:t>参照关于执行《公约》第四条的第</w:t>
      </w:r>
      <w:r w:rsidRPr="00D64360">
        <w:rPr>
          <w:rFonts w:ascii="Time New Roman" w:eastAsia="黑体" w:hAnsi="Time New Roman" w:hint="eastAsia"/>
        </w:rPr>
        <w:t>7(1985)</w:t>
      </w:r>
      <w:r w:rsidRPr="00D64360">
        <w:rPr>
          <w:rFonts w:ascii="Time New Roman" w:eastAsia="黑体" w:hAnsi="Time New Roman" w:hint="eastAsia"/>
        </w:rPr>
        <w:t>号和关于《公约》第四条的第</w:t>
      </w:r>
      <w:r w:rsidRPr="00D64360">
        <w:rPr>
          <w:rFonts w:ascii="Time New Roman" w:eastAsia="黑体" w:hAnsi="Time New Roman" w:hint="eastAsia"/>
        </w:rPr>
        <w:t>15(1993)</w:t>
      </w:r>
      <w:r w:rsidRPr="00D64360">
        <w:rPr>
          <w:rFonts w:ascii="Time New Roman" w:eastAsia="黑体" w:hAnsi="Time New Roman" w:hint="eastAsia"/>
        </w:rPr>
        <w:t>号一般性建议，酌情修订《保护免遭歧视法》等法案，加入符合《公约》第四条的仇恨言论之定义；</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(b)</w:t>
      </w:r>
      <w:r w:rsidRPr="00D64360">
        <w:rPr>
          <w:rFonts w:ascii="Time New Roman" w:eastAsia="黑体" w:hAnsi="Time New Roman" w:hint="eastAsia"/>
        </w:rPr>
        <w:tab/>
      </w:r>
      <w:r w:rsidRPr="00D64360">
        <w:rPr>
          <w:rFonts w:ascii="Time New Roman" w:eastAsia="黑体" w:hAnsi="Time New Roman" w:hint="eastAsia"/>
        </w:rPr>
        <w:t>订立协议，防止并谴责公共官员和政界人士发表仇恨言论，调查种族主义仇恨言论和种族暴力事件，采取适当措施，惩处使用仇恨言论者并起诉出于种族动机的犯罪人；</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(c)</w:t>
      </w:r>
      <w:r w:rsidRPr="00D64360">
        <w:rPr>
          <w:rFonts w:ascii="Time New Roman" w:eastAsia="黑体" w:hAnsi="Time New Roman" w:hint="eastAsia"/>
        </w:rPr>
        <w:tab/>
      </w:r>
      <w:r w:rsidRPr="00D64360">
        <w:rPr>
          <w:rFonts w:ascii="Time New Roman" w:eastAsia="黑体" w:hAnsi="Time New Roman" w:hint="eastAsia"/>
        </w:rPr>
        <w:t>提高公众对尊重多样性和消除种族歧视的认识；</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(d)</w:t>
      </w:r>
      <w:r w:rsidRPr="00D64360">
        <w:rPr>
          <w:rFonts w:ascii="Time New Roman" w:eastAsia="黑体" w:hAnsi="Time New Roman" w:hint="eastAsia"/>
        </w:rPr>
        <w:tab/>
      </w:r>
      <w:r w:rsidRPr="00D64360">
        <w:rPr>
          <w:rFonts w:ascii="Time New Roman" w:eastAsia="黑体" w:hAnsi="Time New Roman" w:hint="eastAsia"/>
        </w:rPr>
        <w:t>确保本国的媒体相关立法符合国际标准，并采取有效措施，加强电子媒体委员会的任务和能力，以防止、惩处、阻遏媒体中形形色色的种族主义表现。</w:t>
      </w:r>
    </w:p>
    <w:p w:rsidR="00D75FBA" w:rsidRDefault="00D75FBA" w:rsidP="00DD1E08">
      <w:pPr>
        <w:pStyle w:val="H23GC"/>
        <w:rPr>
          <w:rFonts w:hint="eastAsia"/>
        </w:rPr>
      </w:pPr>
      <w:r>
        <w:rPr>
          <w:rFonts w:hint="eastAsia"/>
        </w:rPr>
        <w:tab/>
      </w:r>
      <w:r>
        <w:rPr>
          <w:rFonts w:hint="eastAsia"/>
        </w:rPr>
        <w:tab/>
      </w:r>
      <w:r>
        <w:rPr>
          <w:rFonts w:hint="eastAsia"/>
        </w:rPr>
        <w:t>刑事司法体系</w:t>
      </w:r>
    </w:p>
    <w:p w:rsidR="00D75FBA" w:rsidRDefault="00D75FBA" w:rsidP="00D75FBA">
      <w:pPr>
        <w:pStyle w:val="SingleTxtGC"/>
        <w:rPr>
          <w:rFonts w:hint="eastAsia"/>
        </w:rPr>
      </w:pPr>
      <w:r>
        <w:rPr>
          <w:rFonts w:hint="eastAsia"/>
        </w:rPr>
        <w:t>1</w:t>
      </w:r>
      <w:r w:rsidR="0039619C">
        <w:rPr>
          <w:rFonts w:hint="eastAsia"/>
        </w:rPr>
        <w:t>3</w:t>
      </w:r>
      <w:r w:rsidR="0039619C">
        <w:rPr>
          <w:rFonts w:hint="eastAsia"/>
        </w:rPr>
        <w:t xml:space="preserve">.  </w:t>
      </w:r>
      <w:r>
        <w:rPr>
          <w:rFonts w:hint="eastAsia"/>
        </w:rPr>
        <w:t>委员会遗憾的是，除其他应对种族主义罪行的条款外，执法人员适用《刑法》第</w:t>
      </w:r>
      <w:r>
        <w:rPr>
          <w:rFonts w:hint="eastAsia"/>
        </w:rPr>
        <w:t>162</w:t>
      </w:r>
      <w:r>
        <w:rPr>
          <w:rFonts w:hint="eastAsia"/>
        </w:rPr>
        <w:t>条第</w:t>
      </w:r>
      <w:r>
        <w:rPr>
          <w:rFonts w:hint="eastAsia"/>
        </w:rPr>
        <w:t>(2)</w:t>
      </w:r>
      <w:r>
        <w:rPr>
          <w:rFonts w:hint="eastAsia"/>
        </w:rPr>
        <w:t>款的情况十分有限，种族主义犯罪定罪率很低，而报告期内这类犯罪据称有所上升。委员会关切地注意到，仇恨犯罪的举报、起诉和判刑方面，缔约国报告提供的统计数据与国际组织提供的数据显然矛盾</w:t>
      </w:r>
      <w:r>
        <w:rPr>
          <w:rFonts w:hint="eastAsia"/>
        </w:rPr>
        <w:t>(</w:t>
      </w:r>
      <w:r>
        <w:rPr>
          <w:rFonts w:hint="eastAsia"/>
        </w:rPr>
        <w:t>第一、第二和第四条</w:t>
      </w:r>
      <w:r>
        <w:rPr>
          <w:rFonts w:hint="eastAsia"/>
        </w:rPr>
        <w:t>)</w:t>
      </w:r>
      <w:r>
        <w:rPr>
          <w:rFonts w:hint="eastAsia"/>
        </w:rPr>
        <w:t>。</w:t>
      </w:r>
    </w:p>
    <w:p w:rsidR="00E62E54" w:rsidRDefault="00E62E54">
      <w:pPr>
        <w:tabs>
          <w:tab w:val="clear" w:pos="431"/>
        </w:tabs>
        <w:overflowPunct/>
        <w:adjustRightInd/>
        <w:snapToGrid/>
        <w:spacing w:line="240" w:lineRule="auto"/>
        <w:jc w:val="left"/>
      </w:pPr>
      <w:r>
        <w:br w:type="page"/>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lastRenderedPageBreak/>
        <w:t>1</w:t>
      </w:r>
      <w:r w:rsidR="0039619C" w:rsidRPr="00D64360">
        <w:rPr>
          <w:rFonts w:ascii="Time New Roman" w:eastAsia="黑体" w:hAnsi="Time New Roman" w:hint="eastAsia"/>
        </w:rPr>
        <w:t>4</w:t>
      </w:r>
      <w:r w:rsidR="0039619C" w:rsidRPr="00D64360">
        <w:rPr>
          <w:rFonts w:ascii="Time New Roman" w:eastAsia="黑体" w:hAnsi="Time New Roman" w:hint="eastAsia"/>
        </w:rPr>
        <w:t xml:space="preserve">.  </w:t>
      </w:r>
      <w:r w:rsidRPr="00D64360">
        <w:rPr>
          <w:rFonts w:ascii="Time New Roman" w:eastAsia="黑体" w:hAnsi="Time New Roman" w:hint="eastAsia"/>
        </w:rPr>
        <w:t>委员会回顾道，《公约》第四条的规定属强制执行。缔约国不仅应颁布适当立法，还应确保有效执法。委员会忆及关于《公约》第六条的第</w:t>
      </w:r>
      <w:r w:rsidRPr="00D64360">
        <w:rPr>
          <w:rFonts w:ascii="Time New Roman" w:eastAsia="黑体" w:hAnsi="Time New Roman" w:hint="eastAsia"/>
        </w:rPr>
        <w:t>26(2000)</w:t>
      </w:r>
      <w:r w:rsidRPr="00D64360">
        <w:rPr>
          <w:rFonts w:ascii="Time New Roman" w:eastAsia="黑体" w:hAnsi="Time New Roman" w:hint="eastAsia"/>
        </w:rPr>
        <w:t>号一般性建议和关于在刑事司法系统的司法和运作中预防种族歧视的第</w:t>
      </w:r>
      <w:r w:rsidRPr="00D64360">
        <w:rPr>
          <w:rFonts w:ascii="Time New Roman" w:eastAsia="黑体" w:hAnsi="Time New Roman" w:hint="eastAsia"/>
        </w:rPr>
        <w:t>31(2005)</w:t>
      </w:r>
      <w:r w:rsidRPr="00D64360">
        <w:rPr>
          <w:rFonts w:ascii="Time New Roman" w:eastAsia="黑体" w:hAnsi="Time New Roman" w:hint="eastAsia"/>
        </w:rPr>
        <w:t>号一般性建议，建议缔约国：</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(a)</w:t>
      </w:r>
      <w:r w:rsidRPr="00D64360">
        <w:rPr>
          <w:rFonts w:ascii="Time New Roman" w:eastAsia="黑体" w:hAnsi="Time New Roman" w:hint="eastAsia"/>
        </w:rPr>
        <w:tab/>
      </w:r>
      <w:r w:rsidRPr="00D64360">
        <w:rPr>
          <w:rFonts w:ascii="Time New Roman" w:eastAsia="黑体" w:hAnsi="Time New Roman" w:hint="eastAsia"/>
        </w:rPr>
        <w:t>面向大众开展提高认识运动，让人们了解存在惩处出于种族动机的行为的刑事法规，并鼓励此种行为的受害者提出申诉；</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(b)</w:t>
      </w:r>
      <w:r w:rsidRPr="00D64360">
        <w:rPr>
          <w:rFonts w:ascii="Time New Roman" w:eastAsia="黑体" w:hAnsi="Time New Roman" w:hint="eastAsia"/>
        </w:rPr>
        <w:tab/>
      </w:r>
      <w:r w:rsidRPr="00D64360">
        <w:rPr>
          <w:rFonts w:ascii="Time New Roman" w:eastAsia="黑体" w:hAnsi="Time New Roman" w:hint="eastAsia"/>
        </w:rPr>
        <w:t>加大努力，改善诉诸司法的机会和司法系统运作情况，包括加紧培训警察、检察官、法官等司法系统业内人员，使之了解起诉种族主义行为肇事者和种族主义罪行适用法律的重要性；</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(c)</w:t>
      </w:r>
      <w:r w:rsidRPr="00D64360">
        <w:rPr>
          <w:rFonts w:ascii="Time New Roman" w:eastAsia="黑体" w:hAnsi="Time New Roman" w:hint="eastAsia"/>
        </w:rPr>
        <w:tab/>
      </w:r>
      <w:r w:rsidRPr="00D64360">
        <w:rPr>
          <w:rFonts w:ascii="Time New Roman" w:eastAsia="黑体" w:hAnsi="Time New Roman" w:hint="eastAsia"/>
        </w:rPr>
        <w:t>考虑任命特别检察官，处理仇恨言论和仇恨犯罪，以期提高此种犯罪的举报水平并适用相关刑事法规；</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(d)</w:t>
      </w:r>
      <w:r w:rsidRPr="00D64360">
        <w:rPr>
          <w:rFonts w:ascii="Time New Roman" w:eastAsia="黑体" w:hAnsi="Time New Roman" w:hint="eastAsia"/>
        </w:rPr>
        <w:tab/>
      </w:r>
      <w:r w:rsidRPr="00D64360">
        <w:rPr>
          <w:rFonts w:ascii="Time New Roman" w:eastAsia="黑体" w:hAnsi="Time New Roman" w:hint="eastAsia"/>
        </w:rPr>
        <w:t>提供最新资料说明法院适用反歧视法规的情况，提供统计数据说明犯罪报案、对作案人的起诉、定罪和判刑的数量和性质，数据按年龄、性别、民族或族裔出身和受害者的移徙身份分列。</w:t>
      </w:r>
    </w:p>
    <w:p w:rsidR="00D75FBA" w:rsidRDefault="00D75FBA" w:rsidP="00DD1E08">
      <w:pPr>
        <w:pStyle w:val="H23GC"/>
        <w:rPr>
          <w:rFonts w:hint="eastAsia"/>
        </w:rPr>
      </w:pPr>
      <w:r>
        <w:rPr>
          <w:rFonts w:hint="eastAsia"/>
        </w:rPr>
        <w:tab/>
      </w:r>
      <w:r>
        <w:rPr>
          <w:rFonts w:hint="eastAsia"/>
        </w:rPr>
        <w:tab/>
      </w:r>
      <w:r>
        <w:rPr>
          <w:rFonts w:hint="eastAsia"/>
        </w:rPr>
        <w:t>民事和行政责任</w:t>
      </w:r>
    </w:p>
    <w:p w:rsidR="00D75FBA" w:rsidRDefault="00D75FBA" w:rsidP="00D75FBA">
      <w:pPr>
        <w:pStyle w:val="SingleTxtGC"/>
        <w:rPr>
          <w:rFonts w:hint="eastAsia"/>
        </w:rPr>
      </w:pPr>
      <w:r>
        <w:rPr>
          <w:rFonts w:hint="eastAsia"/>
        </w:rPr>
        <w:t>1</w:t>
      </w:r>
      <w:r w:rsidR="0039619C">
        <w:rPr>
          <w:rFonts w:hint="eastAsia"/>
        </w:rPr>
        <w:t>5</w:t>
      </w:r>
      <w:r w:rsidR="0039619C">
        <w:rPr>
          <w:rFonts w:hint="eastAsia"/>
        </w:rPr>
        <w:t xml:space="preserve">.  </w:t>
      </w:r>
      <w:r>
        <w:rPr>
          <w:rFonts w:hint="eastAsia"/>
        </w:rPr>
        <w:t>委员会注意到，打击种族歧视仍以适用《刑法》为中心，但表示关切的是，缺乏关于民事和行政责任文书的综合资料，这些文书对提高预防种族歧视和受害者有效诉诸法律的水平同样至关重要</w:t>
      </w:r>
      <w:r>
        <w:rPr>
          <w:rFonts w:hint="eastAsia"/>
        </w:rPr>
        <w:t>(</w:t>
      </w:r>
      <w:r>
        <w:rPr>
          <w:rFonts w:hint="eastAsia"/>
        </w:rPr>
        <w:t>第一、第二和第四条</w:t>
      </w:r>
      <w:r>
        <w:rPr>
          <w:rFonts w:hint="eastAsia"/>
        </w:rPr>
        <w:t>)</w:t>
      </w:r>
      <w:r>
        <w:rPr>
          <w:rFonts w:hint="eastAsia"/>
        </w:rPr>
        <w:t>。</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1</w:t>
      </w:r>
      <w:r w:rsidR="0039619C" w:rsidRPr="00D64360">
        <w:rPr>
          <w:rFonts w:ascii="Time New Roman" w:eastAsia="黑体" w:hAnsi="Time New Roman" w:hint="eastAsia"/>
        </w:rPr>
        <w:t>6</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委员会建议缔约国在下次定期报告中加入资料，说明针对种族歧视行为规定民事、劳动和行政责任的所有文书，以及关于行政程序与主责机构惩处情况的数据。</w:t>
      </w:r>
    </w:p>
    <w:p w:rsidR="00D75FBA" w:rsidRDefault="00D75FBA" w:rsidP="00DD1E08">
      <w:pPr>
        <w:pStyle w:val="H23GC"/>
        <w:rPr>
          <w:rFonts w:hint="eastAsia"/>
        </w:rPr>
      </w:pPr>
      <w:r>
        <w:rPr>
          <w:rFonts w:hint="eastAsia"/>
        </w:rPr>
        <w:tab/>
      </w:r>
      <w:r>
        <w:rPr>
          <w:rFonts w:hint="eastAsia"/>
        </w:rPr>
        <w:tab/>
      </w:r>
      <w:r>
        <w:rPr>
          <w:rFonts w:hint="eastAsia"/>
        </w:rPr>
        <w:t>少数群体参政</w:t>
      </w:r>
    </w:p>
    <w:p w:rsidR="00D75FBA" w:rsidRDefault="00D75FBA" w:rsidP="00D75FBA">
      <w:pPr>
        <w:pStyle w:val="SingleTxtGC"/>
        <w:rPr>
          <w:rFonts w:hint="eastAsia"/>
        </w:rPr>
      </w:pPr>
      <w:r>
        <w:rPr>
          <w:rFonts w:hint="eastAsia"/>
        </w:rPr>
        <w:t>1</w:t>
      </w:r>
      <w:r w:rsidR="0039619C">
        <w:rPr>
          <w:rFonts w:hint="eastAsia"/>
        </w:rPr>
        <w:t>7</w:t>
      </w:r>
      <w:r w:rsidR="0039619C">
        <w:rPr>
          <w:rFonts w:hint="eastAsia"/>
        </w:rPr>
        <w:t xml:space="preserve">.  </w:t>
      </w:r>
      <w:r>
        <w:rPr>
          <w:rFonts w:hint="eastAsia"/>
        </w:rPr>
        <w:t>委员会遗憾的是，缺乏统计数据说明缔约国族裔和少数群体的政治代表情况，同时对少数群体在议会和公共机关的代表面据报十分有限</w:t>
      </w:r>
      <w:r>
        <w:rPr>
          <w:rFonts w:hint="eastAsia"/>
        </w:rPr>
        <w:t>(</w:t>
      </w:r>
      <w:r>
        <w:rPr>
          <w:rFonts w:hint="eastAsia"/>
        </w:rPr>
        <w:t>第二和第五条</w:t>
      </w:r>
      <w:r>
        <w:rPr>
          <w:rFonts w:hint="eastAsia"/>
        </w:rPr>
        <w:t>)</w:t>
      </w:r>
      <w:r>
        <w:rPr>
          <w:rFonts w:hint="eastAsia"/>
        </w:rPr>
        <w:t>的情况感到关切。</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1</w:t>
      </w:r>
      <w:r w:rsidR="0039619C" w:rsidRPr="00D64360">
        <w:rPr>
          <w:rFonts w:ascii="Time New Roman" w:eastAsia="黑体" w:hAnsi="Time New Roman" w:hint="eastAsia"/>
        </w:rPr>
        <w:t>8</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委员会建议缔约国在下次定期报告中提供统计数据反映少数群体在议会和公共机关的代表面。委员会参照关于《公约》特别措施的含义与范围的第</w:t>
      </w:r>
      <w:r w:rsidRPr="00D64360">
        <w:rPr>
          <w:rFonts w:ascii="Time New Roman" w:eastAsia="黑体" w:hAnsi="Time New Roman" w:hint="eastAsia"/>
        </w:rPr>
        <w:t>32(2009)</w:t>
      </w:r>
      <w:r w:rsidRPr="00D64360">
        <w:rPr>
          <w:rFonts w:ascii="Time New Roman" w:eastAsia="黑体" w:hAnsi="Time New Roman" w:hint="eastAsia"/>
        </w:rPr>
        <w:t>号一般性建议，建议缔约国采取切实措施确保少数族裔群体在议会和公务员中有适当的代表面。</w:t>
      </w:r>
    </w:p>
    <w:p w:rsidR="00D75FBA" w:rsidRDefault="00D75FBA" w:rsidP="00DD1E08">
      <w:pPr>
        <w:pStyle w:val="H23GC"/>
        <w:rPr>
          <w:rFonts w:hint="eastAsia"/>
        </w:rPr>
      </w:pPr>
      <w:r>
        <w:rPr>
          <w:rFonts w:hint="eastAsia"/>
        </w:rPr>
        <w:tab/>
      </w:r>
      <w:r>
        <w:rPr>
          <w:rFonts w:hint="eastAsia"/>
        </w:rPr>
        <w:tab/>
      </w:r>
      <w:r>
        <w:rPr>
          <w:rFonts w:hint="eastAsia"/>
        </w:rPr>
        <w:t>歧视罗姆人</w:t>
      </w:r>
    </w:p>
    <w:p w:rsidR="00D75FBA" w:rsidRDefault="00D75FBA" w:rsidP="00D75FBA">
      <w:pPr>
        <w:pStyle w:val="SingleTxtGC"/>
        <w:rPr>
          <w:rFonts w:hint="eastAsia"/>
        </w:rPr>
      </w:pPr>
      <w:r>
        <w:rPr>
          <w:rFonts w:hint="eastAsia"/>
        </w:rPr>
        <w:t>1</w:t>
      </w:r>
      <w:r w:rsidR="0039619C">
        <w:rPr>
          <w:rFonts w:hint="eastAsia"/>
        </w:rPr>
        <w:t>9</w:t>
      </w:r>
      <w:r w:rsidR="0039619C">
        <w:rPr>
          <w:rFonts w:hint="eastAsia"/>
        </w:rPr>
        <w:t xml:space="preserve">.  </w:t>
      </w:r>
      <w:r>
        <w:rPr>
          <w:rFonts w:hint="eastAsia"/>
        </w:rPr>
        <w:t>委员会知晓缔约国为消除罗姆人所受种族歧视而采取了多项体制和政策措施，但关切的是，罗姆人在各行各业，包括在公共和政治生活中不断地边缘化，并且由于供资有限、相关举措执行不力而在获得基本服务方面面临严重挑战。委员会尤其关切的是：</w:t>
      </w:r>
    </w:p>
    <w:p w:rsidR="00D75FBA" w:rsidRDefault="00D75FBA" w:rsidP="00D75FBA">
      <w:pPr>
        <w:pStyle w:val="SingleTxtGC"/>
        <w:rPr>
          <w:rFonts w:hint="eastAsia"/>
        </w:rPr>
      </w:pPr>
      <w:r>
        <w:rPr>
          <w:rFonts w:hint="eastAsia"/>
        </w:rPr>
        <w:tab/>
        <w:t>(a)</w:t>
      </w:r>
      <w:r>
        <w:rPr>
          <w:rFonts w:hint="eastAsia"/>
        </w:rPr>
        <w:tab/>
      </w:r>
      <w:r>
        <w:rPr>
          <w:rFonts w:hint="eastAsia"/>
        </w:rPr>
        <w:t>逼迁盛行，异乎寻常地影响罗姆人，导致无家可归；</w:t>
      </w:r>
    </w:p>
    <w:p w:rsidR="00D75FBA" w:rsidRDefault="00D75FBA" w:rsidP="00D75FBA">
      <w:pPr>
        <w:pStyle w:val="SingleTxtGC"/>
        <w:rPr>
          <w:rFonts w:hint="eastAsia"/>
        </w:rPr>
      </w:pPr>
      <w:r>
        <w:rPr>
          <w:rFonts w:hint="eastAsia"/>
        </w:rPr>
        <w:tab/>
        <w:t>(b)</w:t>
      </w:r>
      <w:r>
        <w:rPr>
          <w:rFonts w:hint="eastAsia"/>
        </w:rPr>
        <w:tab/>
      </w:r>
      <w:r>
        <w:rPr>
          <w:rFonts w:hint="eastAsia"/>
        </w:rPr>
        <w:t>长期存在事实上的教育隔离，而且接受主流教育的机会有限</w:t>
      </w:r>
      <w:r>
        <w:rPr>
          <w:rFonts w:hint="eastAsia"/>
        </w:rPr>
        <w:t>(</w:t>
      </w:r>
      <w:r>
        <w:rPr>
          <w:rFonts w:hint="eastAsia"/>
        </w:rPr>
        <w:t>特别是学前教育</w:t>
      </w:r>
      <w:r>
        <w:rPr>
          <w:rFonts w:hint="eastAsia"/>
        </w:rPr>
        <w:t>)</w:t>
      </w:r>
      <w:r>
        <w:rPr>
          <w:rFonts w:hint="eastAsia"/>
        </w:rPr>
        <w:t>、辍学率高</w:t>
      </w:r>
      <w:r>
        <w:rPr>
          <w:rFonts w:hint="eastAsia"/>
        </w:rPr>
        <w:t>(</w:t>
      </w:r>
      <w:r>
        <w:rPr>
          <w:rFonts w:hint="eastAsia"/>
        </w:rPr>
        <w:t>包括小学辍学率</w:t>
      </w:r>
      <w:r>
        <w:rPr>
          <w:rFonts w:hint="eastAsia"/>
        </w:rPr>
        <w:t>)</w:t>
      </w:r>
      <w:r>
        <w:rPr>
          <w:rFonts w:hint="eastAsia"/>
        </w:rPr>
        <w:t>；</w:t>
      </w:r>
    </w:p>
    <w:p w:rsidR="00D75FBA" w:rsidRDefault="00D75FBA" w:rsidP="00D75FBA">
      <w:pPr>
        <w:pStyle w:val="SingleTxtGC"/>
        <w:rPr>
          <w:rFonts w:hint="eastAsia"/>
        </w:rPr>
      </w:pPr>
      <w:r>
        <w:rPr>
          <w:rFonts w:hint="eastAsia"/>
        </w:rPr>
        <w:lastRenderedPageBreak/>
        <w:tab/>
        <w:t>(c)</w:t>
      </w:r>
      <w:r>
        <w:rPr>
          <w:rFonts w:hint="eastAsia"/>
        </w:rPr>
        <w:tab/>
      </w:r>
      <w:r>
        <w:rPr>
          <w:rFonts w:hint="eastAsia"/>
        </w:rPr>
        <w:t>罗姆人失业率高，并且集中在低收入岗位就业；</w:t>
      </w:r>
    </w:p>
    <w:p w:rsidR="00D75FBA" w:rsidRDefault="00D75FBA" w:rsidP="00D75FBA">
      <w:pPr>
        <w:pStyle w:val="SingleTxtGC"/>
        <w:rPr>
          <w:rFonts w:hint="eastAsia"/>
        </w:rPr>
      </w:pPr>
      <w:r>
        <w:rPr>
          <w:rFonts w:hint="eastAsia"/>
        </w:rPr>
        <w:tab/>
        <w:t>(d)</w:t>
      </w:r>
      <w:r>
        <w:rPr>
          <w:rFonts w:hint="eastAsia"/>
        </w:rPr>
        <w:tab/>
      </w:r>
      <w:r>
        <w:rPr>
          <w:rFonts w:hint="eastAsia"/>
        </w:rPr>
        <w:t>大量罗姆人没有医疗保险，难以获得优质保健服务；</w:t>
      </w:r>
    </w:p>
    <w:p w:rsidR="00D75FBA" w:rsidRDefault="00D75FBA" w:rsidP="00D75FBA">
      <w:pPr>
        <w:pStyle w:val="SingleTxtGC"/>
        <w:rPr>
          <w:rFonts w:hint="eastAsia"/>
        </w:rPr>
      </w:pPr>
      <w:r>
        <w:rPr>
          <w:rFonts w:hint="eastAsia"/>
        </w:rPr>
        <w:tab/>
        <w:t>(e)</w:t>
      </w:r>
      <w:r>
        <w:rPr>
          <w:rFonts w:hint="eastAsia"/>
        </w:rPr>
        <w:tab/>
      </w:r>
      <w:r>
        <w:rPr>
          <w:rFonts w:hint="eastAsia"/>
        </w:rPr>
        <w:t>对罗姆人长期存在负面刻板印象和偏见，通过媒体得以传播</w:t>
      </w:r>
      <w:r>
        <w:rPr>
          <w:rFonts w:hint="eastAsia"/>
        </w:rPr>
        <w:t>(</w:t>
      </w:r>
      <w:r>
        <w:rPr>
          <w:rFonts w:hint="eastAsia"/>
        </w:rPr>
        <w:t>第二、第三和第五条</w:t>
      </w:r>
      <w:r>
        <w:rPr>
          <w:rFonts w:hint="eastAsia"/>
        </w:rPr>
        <w:t>)</w:t>
      </w:r>
      <w:r>
        <w:rPr>
          <w:rFonts w:hint="eastAsia"/>
        </w:rPr>
        <w:t>。</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0</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委员会建议缔约国评估其国家、地区和城市各级的罗姆人战略，并在下次定期报告中向委员会提供详情，说明这些举措的效果以及实现罗姆人权利方面的进展。委员会回顾关于歧视罗姆人的第</w:t>
      </w:r>
      <w:r w:rsidRPr="00D64360">
        <w:rPr>
          <w:rFonts w:ascii="Time New Roman" w:eastAsia="黑体" w:hAnsi="Time New Roman" w:hint="eastAsia"/>
        </w:rPr>
        <w:t>27(2000)</w:t>
      </w:r>
      <w:r w:rsidRPr="00D64360">
        <w:rPr>
          <w:rFonts w:ascii="Time New Roman" w:eastAsia="黑体" w:hAnsi="Time New Roman" w:hint="eastAsia"/>
        </w:rPr>
        <w:t>号一般性建议，建议缔约国：</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(a)</w:t>
      </w:r>
      <w:r w:rsidRPr="00D64360">
        <w:rPr>
          <w:rFonts w:ascii="Time New Roman" w:eastAsia="黑体" w:hAnsi="Time New Roman" w:hint="eastAsia"/>
        </w:rPr>
        <w:tab/>
      </w:r>
      <w:r w:rsidRPr="00D64360">
        <w:rPr>
          <w:rFonts w:ascii="Time New Roman" w:eastAsia="黑体" w:hAnsi="Time New Roman" w:hint="eastAsia"/>
        </w:rPr>
        <w:t>终止长期以来的强行驱逐罗姆人和捣毁其定居点而不提供替代住房或充分赔偿的做法，采取措施，尽可能将现有定居点合法化，同时在定居点便利基本服务获得；</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(b)</w:t>
      </w:r>
      <w:r w:rsidRPr="00D64360">
        <w:rPr>
          <w:rFonts w:ascii="Time New Roman" w:eastAsia="黑体" w:hAnsi="Time New Roman" w:hint="eastAsia"/>
        </w:rPr>
        <w:tab/>
      </w:r>
      <w:r w:rsidRPr="00D64360">
        <w:rPr>
          <w:rFonts w:ascii="Time New Roman" w:eastAsia="黑体" w:hAnsi="Time New Roman" w:hint="eastAsia"/>
        </w:rPr>
        <w:t>加大努力，借助市政府主持的特殊住房方案，为罗姆人家庭提供充足社会住房，包括为此类方案划拨充足预算；</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(c)</w:t>
      </w:r>
      <w:r w:rsidRPr="00D64360">
        <w:rPr>
          <w:rFonts w:ascii="Time New Roman" w:eastAsia="黑体" w:hAnsi="Time New Roman" w:hint="eastAsia"/>
        </w:rPr>
        <w:tab/>
      </w:r>
      <w:r w:rsidRPr="00D64360">
        <w:rPr>
          <w:rFonts w:ascii="Time New Roman" w:eastAsia="黑体" w:hAnsi="Time New Roman" w:hint="eastAsia"/>
        </w:rPr>
        <w:t>坚决处理罗姆儿童在教育方面事实上受隔离的问题，以期遵守《公约》第三条。委员会强调，种族隔离的环境未必是政府政策所致，可能是个人行为无意之中产生的副作用导致了社会隔离。缔约国应消除任何歧视罗姆人学生的行为，让他们充分接受教育，并消除导致社会排斥的刻板印象；</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(d)</w:t>
      </w:r>
      <w:r w:rsidRPr="00D64360">
        <w:rPr>
          <w:rFonts w:ascii="Time New Roman" w:eastAsia="黑体" w:hAnsi="Time New Roman" w:hint="eastAsia"/>
        </w:rPr>
        <w:tab/>
      </w:r>
      <w:r w:rsidRPr="00D64360">
        <w:rPr>
          <w:rFonts w:ascii="Time New Roman" w:eastAsia="黑体" w:hAnsi="Time New Roman" w:hint="eastAsia"/>
        </w:rPr>
        <w:t>加紧努力，提高罗姆人学前教育入学率，降低各级学校的辍学率；</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(e)</w:t>
      </w:r>
      <w:r w:rsidRPr="00D64360">
        <w:rPr>
          <w:rFonts w:ascii="Time New Roman" w:eastAsia="黑体" w:hAnsi="Time New Roman" w:hint="eastAsia"/>
        </w:rPr>
        <w:tab/>
      </w:r>
      <w:r w:rsidRPr="00D64360">
        <w:rPr>
          <w:rFonts w:ascii="Time New Roman" w:eastAsia="黑体" w:hAnsi="Time New Roman" w:hint="eastAsia"/>
        </w:rPr>
        <w:t>采取有效措施便利罗姆人的培训和就业，包括采取或扩展有效措施，例如有针对的协助他们在主流劳动力市场求职、公共部门就业特别措施、私营部门就业奖励等；</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(f)</w:t>
      </w:r>
      <w:r w:rsidRPr="00D64360">
        <w:rPr>
          <w:rFonts w:ascii="Time New Roman" w:eastAsia="黑体" w:hAnsi="Time New Roman" w:hint="eastAsia"/>
        </w:rPr>
        <w:tab/>
      </w:r>
      <w:r w:rsidRPr="00D64360">
        <w:rPr>
          <w:rFonts w:ascii="Time New Roman" w:eastAsia="黑体" w:hAnsi="Time New Roman" w:hint="eastAsia"/>
        </w:rPr>
        <w:t>力争扩大罗姆人的医疗保险覆盖，在所有罗姆人聚居的定居点加强流动医疗队的外联，包括提供紧急保健服务，确保罗姆人获得优质保健服务而不受歧视，并培训医务人员与不同文化背景的人员有效互动；</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(g)</w:t>
      </w:r>
      <w:r w:rsidRPr="00D64360">
        <w:rPr>
          <w:rFonts w:ascii="Time New Roman" w:eastAsia="黑体" w:hAnsi="Time New Roman" w:hint="eastAsia"/>
        </w:rPr>
        <w:tab/>
      </w:r>
      <w:r w:rsidRPr="00D64360">
        <w:rPr>
          <w:rFonts w:ascii="Time New Roman" w:eastAsia="黑体" w:hAnsi="Time New Roman" w:hint="eastAsia"/>
        </w:rPr>
        <w:t>立即采取措施，例如提高认识运动，消除对罗姆人及其社会贡献的偏见和刻板印象，保证他们在政治与公众生活中具有充分的代表面。</w:t>
      </w:r>
    </w:p>
    <w:p w:rsidR="00D75FBA" w:rsidRDefault="00D75FBA" w:rsidP="00DD1E08">
      <w:pPr>
        <w:pStyle w:val="H23GC"/>
        <w:rPr>
          <w:rFonts w:hint="eastAsia"/>
        </w:rPr>
      </w:pPr>
      <w:r>
        <w:rPr>
          <w:rFonts w:hint="eastAsia"/>
        </w:rPr>
        <w:tab/>
      </w:r>
      <w:r>
        <w:rPr>
          <w:rFonts w:hint="eastAsia"/>
        </w:rPr>
        <w:tab/>
      </w:r>
      <w:r>
        <w:rPr>
          <w:rFonts w:hint="eastAsia"/>
        </w:rPr>
        <w:t>移徙者、难民和寻求庇护者</w:t>
      </w:r>
    </w:p>
    <w:p w:rsidR="00D75FBA" w:rsidRDefault="00D75FBA" w:rsidP="00D75FBA">
      <w:pPr>
        <w:pStyle w:val="SingleTxtGC"/>
        <w:rPr>
          <w:rFonts w:hint="eastAsia"/>
        </w:rPr>
      </w:pPr>
      <w:r>
        <w:rPr>
          <w:rFonts w:hint="eastAsia"/>
        </w:rPr>
        <w:t>2</w:t>
      </w:r>
      <w:r w:rsidR="0039619C">
        <w:rPr>
          <w:rFonts w:hint="eastAsia"/>
        </w:rPr>
        <w:t>1</w:t>
      </w:r>
      <w:r w:rsidR="0039619C">
        <w:rPr>
          <w:rFonts w:hint="eastAsia"/>
        </w:rPr>
        <w:t xml:space="preserve">.  </w:t>
      </w:r>
      <w:r>
        <w:rPr>
          <w:rFonts w:hint="eastAsia"/>
        </w:rPr>
        <w:t>委员会了解缔约国内移徙者、难民和寻求庇护者人数有所增加的情况，也赞赏缔约国与联合国及欧洲联盟实体协作采取措施改善接待中心生活条件和庇护体系的运作。但委员会仍关切以下情况：</w:t>
      </w:r>
    </w:p>
    <w:p w:rsidR="00D75FBA" w:rsidRDefault="00D75FBA" w:rsidP="00D75FBA">
      <w:pPr>
        <w:pStyle w:val="SingleTxtGC"/>
        <w:rPr>
          <w:rFonts w:hint="eastAsia"/>
        </w:rPr>
      </w:pPr>
      <w:r>
        <w:rPr>
          <w:rFonts w:hint="eastAsia"/>
        </w:rPr>
        <w:tab/>
        <w:t>(a)</w:t>
      </w:r>
      <w:r>
        <w:rPr>
          <w:rFonts w:hint="eastAsia"/>
        </w:rPr>
        <w:tab/>
      </w:r>
      <w:r>
        <w:rPr>
          <w:rFonts w:hint="eastAsia"/>
        </w:rPr>
        <w:t>有报告称，移徙者在边境被驱回，边防警察过度用武，当局实施驱回，包括驱回有特别需求或弱势的个人；</w:t>
      </w:r>
    </w:p>
    <w:p w:rsidR="00D75FBA" w:rsidRDefault="00D75FBA" w:rsidP="00D75FBA">
      <w:pPr>
        <w:pStyle w:val="SingleTxtGC"/>
        <w:rPr>
          <w:rFonts w:hint="eastAsia"/>
        </w:rPr>
      </w:pPr>
      <w:r>
        <w:rPr>
          <w:rFonts w:hint="eastAsia"/>
        </w:rPr>
        <w:tab/>
        <w:t>(b)</w:t>
      </w:r>
      <w:r>
        <w:rPr>
          <w:rFonts w:hint="eastAsia"/>
        </w:rPr>
        <w:tab/>
      </w:r>
      <w:r>
        <w:rPr>
          <w:rFonts w:hint="eastAsia"/>
        </w:rPr>
        <w:t>非正规越境行为入刑罪；</w:t>
      </w:r>
    </w:p>
    <w:p w:rsidR="00D75FBA" w:rsidRDefault="00D75FBA" w:rsidP="00D75FBA">
      <w:pPr>
        <w:pStyle w:val="SingleTxtGC"/>
        <w:rPr>
          <w:rFonts w:hint="eastAsia"/>
        </w:rPr>
      </w:pPr>
      <w:r>
        <w:rPr>
          <w:rFonts w:hint="eastAsia"/>
        </w:rPr>
        <w:tab/>
        <w:t>(c)</w:t>
      </w:r>
      <w:r>
        <w:rPr>
          <w:rFonts w:hint="eastAsia"/>
        </w:rPr>
        <w:tab/>
      </w:r>
      <w:r>
        <w:rPr>
          <w:rFonts w:hint="eastAsia"/>
        </w:rPr>
        <w:t>国家难民局所获拨款有限，接待中心不再向所有寻求庇护者月付</w:t>
      </w:r>
      <w:r>
        <w:rPr>
          <w:rFonts w:hint="eastAsia"/>
        </w:rPr>
        <w:t>32</w:t>
      </w:r>
      <w:r>
        <w:rPr>
          <w:rFonts w:hint="eastAsia"/>
        </w:rPr>
        <w:t>欧元；</w:t>
      </w:r>
    </w:p>
    <w:p w:rsidR="00D75FBA" w:rsidRDefault="00D75FBA" w:rsidP="00D75FBA">
      <w:pPr>
        <w:pStyle w:val="SingleTxtGC"/>
        <w:rPr>
          <w:rFonts w:hint="eastAsia"/>
        </w:rPr>
      </w:pPr>
      <w:r>
        <w:rPr>
          <w:rFonts w:hint="eastAsia"/>
        </w:rPr>
        <w:tab/>
        <w:t>(d)</w:t>
      </w:r>
      <w:r>
        <w:rPr>
          <w:rFonts w:hint="eastAsia"/>
        </w:rPr>
        <w:tab/>
      </w:r>
      <w:r>
        <w:rPr>
          <w:rFonts w:hint="eastAsia"/>
        </w:rPr>
        <w:t>无人陪伴儿童等弱势处境的寻求庇护者早期识别、评估和转移机制缺失，无人陪伴儿童缺少合格、具体的法律监护人；</w:t>
      </w:r>
    </w:p>
    <w:p w:rsidR="00D75FBA" w:rsidRDefault="00D75FBA" w:rsidP="00D75FBA">
      <w:pPr>
        <w:pStyle w:val="SingleTxtGC"/>
        <w:rPr>
          <w:rFonts w:hint="eastAsia"/>
        </w:rPr>
      </w:pPr>
      <w:r>
        <w:rPr>
          <w:rFonts w:hint="eastAsia"/>
        </w:rPr>
        <w:lastRenderedPageBreak/>
        <w:tab/>
        <w:t>(e)</w:t>
      </w:r>
      <w:r>
        <w:rPr>
          <w:rFonts w:hint="eastAsia"/>
        </w:rPr>
        <w:tab/>
      </w:r>
      <w:r>
        <w:rPr>
          <w:rFonts w:hint="eastAsia"/>
        </w:rPr>
        <w:t>继续对无证寻求庇护者实施行政拘留，并且自</w:t>
      </w:r>
      <w:r>
        <w:rPr>
          <w:rFonts w:hint="eastAsia"/>
        </w:rPr>
        <w:t>2016</w:t>
      </w:r>
      <w:r>
        <w:rPr>
          <w:rFonts w:hint="eastAsia"/>
        </w:rPr>
        <w:t>年</w:t>
      </w:r>
      <w:r>
        <w:rPr>
          <w:rFonts w:hint="eastAsia"/>
        </w:rPr>
        <w:t>1</w:t>
      </w:r>
      <w:r>
        <w:rPr>
          <w:rFonts w:hint="eastAsia"/>
        </w:rPr>
        <w:t>月起，拘留寻求庇护者的理由有所扩展；委员会还关切的是，行政拘留所物质条件不达标，有报告称存在虐待；</w:t>
      </w:r>
    </w:p>
    <w:p w:rsidR="00D75FBA" w:rsidRDefault="00D75FBA" w:rsidP="00D75FBA">
      <w:pPr>
        <w:pStyle w:val="SingleTxtGC"/>
        <w:rPr>
          <w:rFonts w:hint="eastAsia"/>
        </w:rPr>
      </w:pPr>
      <w:r>
        <w:rPr>
          <w:rFonts w:hint="eastAsia"/>
        </w:rPr>
        <w:tab/>
        <w:t>(f)</w:t>
      </w:r>
      <w:r>
        <w:rPr>
          <w:rFonts w:hint="eastAsia"/>
        </w:rPr>
        <w:tab/>
      </w:r>
      <w:r>
        <w:rPr>
          <w:rFonts w:hint="eastAsia"/>
        </w:rPr>
        <w:t>受国际保护者面临实际障碍，包括难以获得公益住房和语言培训，这有碍他们享有社会经济权利</w:t>
      </w:r>
      <w:r>
        <w:rPr>
          <w:rFonts w:hint="eastAsia"/>
        </w:rPr>
        <w:t>(</w:t>
      </w:r>
      <w:r>
        <w:rPr>
          <w:rFonts w:hint="eastAsia"/>
        </w:rPr>
        <w:t>第五和第六条</w:t>
      </w:r>
      <w:r>
        <w:rPr>
          <w:rFonts w:hint="eastAsia"/>
        </w:rPr>
        <w:t>).</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2</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委员会建议缔约国本着从人权出发的方针，在移民管理中融入非歧视观。委员会回顾关于第五条和难民及流离失所者的第</w:t>
      </w:r>
      <w:r w:rsidRPr="00D64360">
        <w:rPr>
          <w:rFonts w:ascii="Time New Roman" w:eastAsia="黑体" w:hAnsi="Time New Roman" w:hint="eastAsia"/>
        </w:rPr>
        <w:t>22(1996)</w:t>
      </w:r>
      <w:r w:rsidRPr="00D64360">
        <w:rPr>
          <w:rFonts w:ascii="Time New Roman" w:eastAsia="黑体" w:hAnsi="Time New Roman" w:hint="eastAsia"/>
        </w:rPr>
        <w:t>号一般性建议和关于歧视非公民的第</w:t>
      </w:r>
      <w:r w:rsidRPr="00D64360">
        <w:rPr>
          <w:rFonts w:ascii="Time New Roman" w:eastAsia="黑体" w:hAnsi="Time New Roman" w:hint="eastAsia"/>
        </w:rPr>
        <w:t>30(2004)</w:t>
      </w:r>
      <w:r w:rsidRPr="00D64360">
        <w:rPr>
          <w:rFonts w:ascii="Time New Roman" w:eastAsia="黑体" w:hAnsi="Time New Roman" w:hint="eastAsia"/>
        </w:rPr>
        <w:t>号一般性建议，促请缔约国：</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(a)</w:t>
      </w:r>
      <w:r w:rsidRPr="00D64360">
        <w:rPr>
          <w:rFonts w:ascii="Time New Roman" w:eastAsia="黑体" w:hAnsi="Time New Roman" w:hint="eastAsia"/>
        </w:rPr>
        <w:tab/>
      </w:r>
      <w:r w:rsidRPr="00D64360">
        <w:rPr>
          <w:rFonts w:ascii="Time New Roman" w:eastAsia="黑体" w:hAnsi="Time New Roman" w:hint="eastAsia"/>
        </w:rPr>
        <w:t>避免挡回去或驱回，对具体人进行评估，确保提供充足的程序保障，凡执法人员在边境或拘留所因移徙事务过度用武的均应有效调查，将肇事者绳之以法，予以充分惩处；</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(b)</w:t>
      </w:r>
      <w:r w:rsidRPr="00D64360">
        <w:rPr>
          <w:rFonts w:ascii="Time New Roman" w:eastAsia="黑体" w:hAnsi="Time New Roman" w:hint="eastAsia"/>
        </w:rPr>
        <w:tab/>
      </w:r>
      <w:r w:rsidRPr="00D64360">
        <w:rPr>
          <w:rFonts w:ascii="Time New Roman" w:eastAsia="黑体" w:hAnsi="Time New Roman" w:hint="eastAsia"/>
        </w:rPr>
        <w:t>将非正规越境去刑罪化，制订规范移徙者</w:t>
      </w:r>
      <w:r w:rsidRPr="00D64360">
        <w:rPr>
          <w:rFonts w:ascii="Time New Roman" w:eastAsia="黑体" w:hAnsi="Time New Roman" w:hint="eastAsia"/>
        </w:rPr>
        <w:t>(</w:t>
      </w:r>
      <w:r w:rsidRPr="00D64360">
        <w:rPr>
          <w:rFonts w:ascii="Time New Roman" w:eastAsia="黑体" w:hAnsi="Time New Roman" w:hint="eastAsia"/>
        </w:rPr>
        <w:t>主要是弱势处境者</w:t>
      </w:r>
      <w:r w:rsidRPr="00D64360">
        <w:rPr>
          <w:rFonts w:ascii="Time New Roman" w:eastAsia="黑体" w:hAnsi="Time New Roman" w:hint="eastAsia"/>
        </w:rPr>
        <w:t>)</w:t>
      </w:r>
      <w:r w:rsidRPr="00D64360">
        <w:rPr>
          <w:rFonts w:ascii="Time New Roman" w:eastAsia="黑体" w:hAnsi="Time New Roman" w:hint="eastAsia"/>
        </w:rPr>
        <w:t>身份的政策，开辟相应的途径；</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(c)</w:t>
      </w:r>
      <w:r w:rsidRPr="00D64360">
        <w:rPr>
          <w:rFonts w:ascii="Time New Roman" w:eastAsia="黑体" w:hAnsi="Time New Roman" w:hint="eastAsia"/>
        </w:rPr>
        <w:tab/>
      </w:r>
      <w:r w:rsidRPr="00D64360">
        <w:rPr>
          <w:rFonts w:ascii="Time New Roman" w:eastAsia="黑体" w:hAnsi="Time New Roman" w:hint="eastAsia"/>
        </w:rPr>
        <w:t>为国家难民局有效履职增加拨款，恢复每月向身居接待中心的所有寻求庇护者发放足够生活费的举措；</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(d)</w:t>
      </w:r>
      <w:r w:rsidRPr="00D64360">
        <w:rPr>
          <w:rFonts w:ascii="Time New Roman" w:eastAsia="黑体" w:hAnsi="Time New Roman" w:hint="eastAsia"/>
        </w:rPr>
        <w:tab/>
      </w:r>
      <w:r w:rsidRPr="00D64360">
        <w:rPr>
          <w:rFonts w:ascii="Time New Roman" w:eastAsia="黑体" w:hAnsi="Time New Roman" w:hint="eastAsia"/>
        </w:rPr>
        <w:t>确立有关程序，以便快速妥善甄别弱势处境者，确保员工接受培训后能敏锐体谅地执行身份鉴别和转交相关部门的程序，保证为所有无人陪伴儿童提供优质的个人法律监护人，为此，应加强市政府的人力财力；</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(e)</w:t>
      </w:r>
      <w:r w:rsidRPr="00D64360">
        <w:rPr>
          <w:rFonts w:ascii="Time New Roman" w:eastAsia="黑体" w:hAnsi="Time New Roman" w:hint="eastAsia"/>
        </w:rPr>
        <w:tab/>
      </w:r>
      <w:r w:rsidRPr="00D64360">
        <w:rPr>
          <w:rFonts w:ascii="Time New Roman" w:eastAsia="黑体" w:hAnsi="Time New Roman" w:hint="eastAsia"/>
        </w:rPr>
        <w:t>停止强制拘留无证寻求庇护者的做法，考虑制定替代拘留的措施，同时确保被拘留者享有正当程序和公正审理保障，继续改善接待中心的接待能力和物质条件，确保所有寻求庇护者获得保健、心理支持和教育等基本服务；</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ab/>
        <w:t>(f)</w:t>
      </w:r>
      <w:r w:rsidRPr="00D64360">
        <w:rPr>
          <w:rFonts w:ascii="Time New Roman" w:eastAsia="黑体" w:hAnsi="Time New Roman" w:hint="eastAsia"/>
        </w:rPr>
        <w:tab/>
      </w:r>
      <w:r w:rsidRPr="00D64360">
        <w:rPr>
          <w:rFonts w:ascii="Time New Roman" w:eastAsia="黑体" w:hAnsi="Time New Roman" w:hint="eastAsia"/>
        </w:rPr>
        <w:t>为受国际保护者的融入加大努力，包括协助他们获得公益住房和语言培训，以确保他们能够享有自身对社会经济权利，为此应有效落实“移徙、庇护与融入问题国家战略”。</w:t>
      </w:r>
    </w:p>
    <w:p w:rsidR="00D75FBA" w:rsidRDefault="00D75FBA" w:rsidP="00DD1E08">
      <w:pPr>
        <w:pStyle w:val="H1GC"/>
        <w:rPr>
          <w:rFonts w:hint="eastAsia"/>
        </w:rPr>
      </w:pPr>
      <w:r>
        <w:rPr>
          <w:rFonts w:hint="eastAsia"/>
        </w:rPr>
        <w:tab/>
        <w:t>D.</w:t>
      </w:r>
      <w:r>
        <w:rPr>
          <w:rFonts w:hint="eastAsia"/>
        </w:rPr>
        <w:tab/>
      </w:r>
      <w:r>
        <w:rPr>
          <w:rFonts w:hint="eastAsia"/>
        </w:rPr>
        <w:t>其他建议</w:t>
      </w:r>
    </w:p>
    <w:p w:rsidR="00D75FBA" w:rsidRDefault="00D75FBA" w:rsidP="00DD1E08">
      <w:pPr>
        <w:pStyle w:val="H23GC"/>
        <w:rPr>
          <w:rFonts w:hint="eastAsia"/>
        </w:rPr>
      </w:pPr>
      <w:r>
        <w:rPr>
          <w:rFonts w:hint="eastAsia"/>
        </w:rPr>
        <w:tab/>
      </w:r>
      <w:r>
        <w:rPr>
          <w:rFonts w:hint="eastAsia"/>
        </w:rPr>
        <w:tab/>
      </w:r>
      <w:r>
        <w:rPr>
          <w:rFonts w:hint="eastAsia"/>
        </w:rPr>
        <w:t>批准其他条约</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3</w:t>
      </w:r>
      <w:r w:rsidR="0039619C" w:rsidRPr="00D64360">
        <w:rPr>
          <w:rFonts w:ascii="Time New Roman" w:eastAsia="黑体" w:hAnsi="Time New Roman" w:hint="eastAsia"/>
        </w:rPr>
        <w:t xml:space="preserve">.  </w:t>
      </w:r>
      <w:r w:rsidRPr="00D64360">
        <w:rPr>
          <w:rFonts w:ascii="Time New Roman" w:eastAsia="黑体" w:hAnsi="Time New Roman" w:hint="eastAsia"/>
        </w:rPr>
        <w:t>鉴于所有人权不可分割，委员会鼓励缔约国考虑批准其尚未批准的国际人权条约，尤其是条款直接关系到可能遭受种族歧视的族群的条约，包括《保护所有移徙工人及其家庭成员权利国际公约》和国际劳工组织</w:t>
      </w:r>
      <w:r w:rsidRPr="00D64360">
        <w:rPr>
          <w:rFonts w:ascii="Time New Roman" w:eastAsia="黑体" w:hAnsi="Time New Roman" w:hint="eastAsia"/>
        </w:rPr>
        <w:t>2011</w:t>
      </w:r>
      <w:r w:rsidRPr="00D64360">
        <w:rPr>
          <w:rFonts w:ascii="Time New Roman" w:eastAsia="黑体" w:hAnsi="Time New Roman" w:hint="eastAsia"/>
        </w:rPr>
        <w:t>年《家庭工人公约》</w:t>
      </w:r>
      <w:r w:rsidRPr="00D64360">
        <w:rPr>
          <w:rFonts w:ascii="Time New Roman" w:eastAsia="黑体" w:hAnsi="Time New Roman" w:hint="eastAsia"/>
        </w:rPr>
        <w:t>(</w:t>
      </w:r>
      <w:r w:rsidRPr="00D64360">
        <w:rPr>
          <w:rFonts w:ascii="Time New Roman" w:eastAsia="黑体" w:hAnsi="Time New Roman" w:hint="eastAsia"/>
        </w:rPr>
        <w:t>第</w:t>
      </w:r>
      <w:r w:rsidRPr="00D64360">
        <w:rPr>
          <w:rFonts w:ascii="Time New Roman" w:eastAsia="黑体" w:hAnsi="Time New Roman" w:hint="eastAsia"/>
        </w:rPr>
        <w:t>189</w:t>
      </w:r>
      <w:r w:rsidRPr="00D64360">
        <w:rPr>
          <w:rFonts w:ascii="Time New Roman" w:eastAsia="黑体" w:hAnsi="Time New Roman" w:hint="eastAsia"/>
        </w:rPr>
        <w:t>号</w:t>
      </w:r>
      <w:r w:rsidRPr="00D64360">
        <w:rPr>
          <w:rFonts w:ascii="Time New Roman" w:eastAsia="黑体" w:hAnsi="Time New Roman" w:hint="eastAsia"/>
        </w:rPr>
        <w:t>)</w:t>
      </w:r>
      <w:r w:rsidRPr="00D64360">
        <w:rPr>
          <w:rFonts w:ascii="Time New Roman" w:eastAsia="黑体" w:hAnsi="Time New Roman" w:hint="eastAsia"/>
        </w:rPr>
        <w:t>。</w:t>
      </w:r>
    </w:p>
    <w:p w:rsidR="00D75FBA" w:rsidRDefault="00D75FBA" w:rsidP="00DD1E08">
      <w:pPr>
        <w:pStyle w:val="H23GC"/>
        <w:rPr>
          <w:rFonts w:hint="eastAsia"/>
        </w:rPr>
      </w:pPr>
      <w:r>
        <w:rPr>
          <w:rFonts w:hint="eastAsia"/>
        </w:rPr>
        <w:tab/>
      </w:r>
      <w:r>
        <w:rPr>
          <w:rFonts w:hint="eastAsia"/>
        </w:rPr>
        <w:tab/>
      </w:r>
      <w:r>
        <w:rPr>
          <w:rFonts w:hint="eastAsia"/>
        </w:rPr>
        <w:t>后续落实《德班宣言和行动纲领》</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4</w:t>
      </w:r>
      <w:r w:rsidR="0039619C" w:rsidRPr="00D64360">
        <w:rPr>
          <w:rFonts w:ascii="Time New Roman" w:eastAsia="黑体" w:hAnsi="Time New Roman" w:hint="eastAsia"/>
        </w:rPr>
        <w:t xml:space="preserve">.  </w:t>
      </w:r>
      <w:r w:rsidRPr="00D64360">
        <w:rPr>
          <w:rFonts w:ascii="Time New Roman" w:eastAsia="黑体" w:hAnsi="Time New Roman" w:hint="eastAsia"/>
        </w:rPr>
        <w:t>委员会参照关于德班审查会议后续行动的第</w:t>
      </w:r>
      <w:r w:rsidRPr="00D64360">
        <w:rPr>
          <w:rFonts w:ascii="Time New Roman" w:eastAsia="黑体" w:hAnsi="Time New Roman" w:hint="eastAsia"/>
        </w:rPr>
        <w:t>33</w:t>
      </w:r>
      <w:r w:rsidRPr="00D64360">
        <w:rPr>
          <w:rFonts w:ascii="Time New Roman" w:eastAsia="黑体" w:hAnsi="Time New Roman" w:hint="eastAsia"/>
        </w:rPr>
        <w:t>号一般性建议</w:t>
      </w:r>
      <w:r w:rsidRPr="00D64360">
        <w:rPr>
          <w:rFonts w:ascii="Time New Roman" w:eastAsia="黑体" w:hAnsi="Time New Roman" w:hint="eastAsia"/>
        </w:rPr>
        <w:t>(2009</w:t>
      </w:r>
      <w:r w:rsidRPr="00D64360">
        <w:rPr>
          <w:rFonts w:ascii="Time New Roman" w:eastAsia="黑体" w:hAnsi="Time New Roman" w:hint="eastAsia"/>
        </w:rPr>
        <w:t>年</w:t>
      </w:r>
      <w:r w:rsidRPr="00D64360">
        <w:rPr>
          <w:rFonts w:ascii="Time New Roman" w:eastAsia="黑体" w:hAnsi="Time New Roman" w:hint="eastAsia"/>
        </w:rPr>
        <w:t>)</w:t>
      </w:r>
      <w:r w:rsidRPr="00D64360">
        <w:rPr>
          <w:rFonts w:ascii="Time New Roman" w:eastAsia="黑体" w:hAnsi="Time New Roman" w:hint="eastAsia"/>
        </w:rPr>
        <w:t>，建议缔约国在国内法律秩序中落实《公约》时，参照</w:t>
      </w:r>
      <w:r w:rsidRPr="00D64360">
        <w:rPr>
          <w:rFonts w:ascii="Time New Roman" w:eastAsia="黑体" w:hAnsi="Time New Roman" w:hint="eastAsia"/>
        </w:rPr>
        <w:t>2009</w:t>
      </w:r>
      <w:r w:rsidRPr="00D64360">
        <w:rPr>
          <w:rFonts w:ascii="Time New Roman" w:eastAsia="黑体" w:hAnsi="Time New Roman" w:hint="eastAsia"/>
        </w:rPr>
        <w:t>年</w:t>
      </w:r>
      <w:r w:rsidRPr="00D64360">
        <w:rPr>
          <w:rFonts w:ascii="Time New Roman" w:eastAsia="黑体" w:hAnsi="Time New Roman" w:hint="eastAsia"/>
        </w:rPr>
        <w:t>4</w:t>
      </w:r>
      <w:r w:rsidRPr="00D64360">
        <w:rPr>
          <w:rFonts w:ascii="Time New Roman" w:eastAsia="黑体" w:hAnsi="Time New Roman" w:hint="eastAsia"/>
        </w:rPr>
        <w:t>月在日内瓦举行的德班审查会议成果文件，实施反对种族主义、种族歧视、仇外心理和相关不容忍行为世界会议</w:t>
      </w:r>
      <w:r w:rsidRPr="00D64360">
        <w:rPr>
          <w:rFonts w:ascii="Time New Roman" w:eastAsia="黑体" w:hAnsi="Time New Roman" w:hint="eastAsia"/>
        </w:rPr>
        <w:t>2001</w:t>
      </w:r>
      <w:r w:rsidRPr="00D64360">
        <w:rPr>
          <w:rFonts w:ascii="Time New Roman" w:eastAsia="黑体" w:hAnsi="Time New Roman" w:hint="eastAsia"/>
        </w:rPr>
        <w:t>年</w:t>
      </w:r>
      <w:r w:rsidRPr="00D64360">
        <w:rPr>
          <w:rFonts w:ascii="Time New Roman" w:eastAsia="黑体" w:hAnsi="Time New Roman" w:hint="eastAsia"/>
        </w:rPr>
        <w:t>9</w:t>
      </w:r>
      <w:r w:rsidRPr="00D64360">
        <w:rPr>
          <w:rFonts w:ascii="Time New Roman" w:eastAsia="黑体" w:hAnsi="Time New Roman" w:hint="eastAsia"/>
        </w:rPr>
        <w:t>月通过的《德班宣言和行动纲领》。委员会请缔约国在下次定期报告中具体说明国家贯彻执行《德班宣言和行动纲领》的行动计划和其他措施。</w:t>
      </w:r>
    </w:p>
    <w:p w:rsidR="00D75FBA" w:rsidRDefault="00D75FBA" w:rsidP="00DD1E08">
      <w:pPr>
        <w:pStyle w:val="H23GC"/>
        <w:rPr>
          <w:rFonts w:hint="eastAsia"/>
        </w:rPr>
      </w:pPr>
      <w:r>
        <w:rPr>
          <w:rFonts w:hint="eastAsia"/>
        </w:rPr>
        <w:lastRenderedPageBreak/>
        <w:tab/>
      </w:r>
      <w:r>
        <w:rPr>
          <w:rFonts w:hint="eastAsia"/>
        </w:rPr>
        <w:tab/>
      </w:r>
      <w:r>
        <w:rPr>
          <w:rFonts w:hint="eastAsia"/>
        </w:rPr>
        <w:t>非洲人后裔国际十年</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5</w:t>
      </w:r>
      <w:r w:rsidR="0039619C" w:rsidRPr="00D64360">
        <w:rPr>
          <w:rFonts w:ascii="Time New Roman" w:eastAsia="黑体" w:hAnsi="Time New Roman" w:hint="eastAsia"/>
        </w:rPr>
        <w:t xml:space="preserve">.  </w:t>
      </w:r>
      <w:r w:rsidRPr="00D64360">
        <w:rPr>
          <w:rFonts w:ascii="Time New Roman" w:eastAsia="黑体" w:hAnsi="Time New Roman" w:hint="eastAsia"/>
        </w:rPr>
        <w:t>委员会参照大会宣布</w:t>
      </w:r>
      <w:r w:rsidRPr="00D64360">
        <w:rPr>
          <w:rFonts w:ascii="Time New Roman" w:eastAsia="黑体" w:hAnsi="Time New Roman" w:hint="eastAsia"/>
        </w:rPr>
        <w:t>2015-2024</w:t>
      </w:r>
      <w:r w:rsidRPr="00D64360">
        <w:rPr>
          <w:rFonts w:ascii="Time New Roman" w:eastAsia="黑体" w:hAnsi="Time New Roman" w:hint="eastAsia"/>
        </w:rPr>
        <w:t>年为“非洲人后裔国际十年”的第</w:t>
      </w:r>
      <w:r w:rsidRPr="00D64360">
        <w:rPr>
          <w:rFonts w:ascii="Time New Roman" w:eastAsia="黑体" w:hAnsi="Time New Roman" w:hint="eastAsia"/>
        </w:rPr>
        <w:t>68/237</w:t>
      </w:r>
      <w:r w:rsidRPr="00D64360">
        <w:rPr>
          <w:rFonts w:ascii="Time New Roman" w:eastAsia="黑体" w:hAnsi="Time New Roman" w:hint="eastAsia"/>
        </w:rPr>
        <w:t>号决议以及大会关于落实“十年”活动方案的第</w:t>
      </w:r>
      <w:r w:rsidRPr="00D64360">
        <w:rPr>
          <w:rFonts w:ascii="Time New Roman" w:eastAsia="黑体" w:hAnsi="Time New Roman" w:hint="eastAsia"/>
        </w:rPr>
        <w:t>69/16</w:t>
      </w:r>
      <w:r w:rsidRPr="00D64360">
        <w:rPr>
          <w:rFonts w:ascii="Time New Roman" w:eastAsia="黑体" w:hAnsi="Time New Roman" w:hint="eastAsia"/>
        </w:rPr>
        <w:t>号决议，建议缔约国制定和执行相关措施和政策方案。委员会请缔约国参照委员会关于针对非洲人后裔的种族歧视的第</w:t>
      </w:r>
      <w:r w:rsidRPr="00D64360">
        <w:rPr>
          <w:rFonts w:ascii="Time New Roman" w:eastAsia="黑体" w:hAnsi="Time New Roman" w:hint="eastAsia"/>
        </w:rPr>
        <w:t>34</w:t>
      </w:r>
      <w:r w:rsidRPr="00D64360">
        <w:rPr>
          <w:rFonts w:ascii="Time New Roman" w:eastAsia="黑体" w:hAnsi="Time New Roman" w:hint="eastAsia"/>
        </w:rPr>
        <w:t>号一般性建议</w:t>
      </w:r>
      <w:r w:rsidRPr="00D64360">
        <w:rPr>
          <w:rFonts w:ascii="Time New Roman" w:eastAsia="黑体" w:hAnsi="Time New Roman" w:hint="eastAsia"/>
        </w:rPr>
        <w:t>(2011</w:t>
      </w:r>
      <w:r w:rsidRPr="00D64360">
        <w:rPr>
          <w:rFonts w:ascii="Time New Roman" w:eastAsia="黑体" w:hAnsi="Time New Roman" w:hint="eastAsia"/>
        </w:rPr>
        <w:t>年</w:t>
      </w:r>
      <w:r w:rsidRPr="00D64360">
        <w:rPr>
          <w:rFonts w:ascii="Time New Roman" w:eastAsia="黑体" w:hAnsi="Time New Roman" w:hint="eastAsia"/>
        </w:rPr>
        <w:t>)</w:t>
      </w:r>
      <w:r w:rsidRPr="00D64360">
        <w:rPr>
          <w:rFonts w:ascii="Time New Roman" w:eastAsia="黑体" w:hAnsi="Time New Roman" w:hint="eastAsia"/>
        </w:rPr>
        <w:t>，在下次报告中确切说明在这一框架内采取的具体措施。</w:t>
      </w:r>
    </w:p>
    <w:p w:rsidR="00D75FBA" w:rsidRDefault="00D75FBA" w:rsidP="00DD1E08">
      <w:pPr>
        <w:pStyle w:val="H23GC"/>
        <w:rPr>
          <w:rFonts w:hint="eastAsia"/>
        </w:rPr>
      </w:pPr>
      <w:r>
        <w:rPr>
          <w:rFonts w:hint="eastAsia"/>
        </w:rPr>
        <w:tab/>
      </w:r>
      <w:r>
        <w:rPr>
          <w:rFonts w:hint="eastAsia"/>
        </w:rPr>
        <w:tab/>
      </w:r>
      <w:r>
        <w:rPr>
          <w:rFonts w:hint="eastAsia"/>
        </w:rPr>
        <w:t>与民间社会协商</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6</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委员会建议缔约国在编写下次定期报告和后续落实本结论性意见时，继续与人权保护领域的民间社会组织，特别是反种族歧视组织进行协商并加强对话。</w:t>
      </w:r>
    </w:p>
    <w:p w:rsidR="00D75FBA" w:rsidRDefault="00D75FBA" w:rsidP="00DD1E08">
      <w:pPr>
        <w:pStyle w:val="H23GC"/>
        <w:rPr>
          <w:rFonts w:hint="eastAsia"/>
        </w:rPr>
      </w:pPr>
      <w:r>
        <w:rPr>
          <w:rFonts w:hint="eastAsia"/>
        </w:rPr>
        <w:tab/>
      </w:r>
      <w:r>
        <w:rPr>
          <w:rFonts w:hint="eastAsia"/>
        </w:rPr>
        <w:tab/>
      </w:r>
      <w:r>
        <w:rPr>
          <w:rFonts w:hint="eastAsia"/>
        </w:rPr>
        <w:t>传播相关信息</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7</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委员会建议缔约国报告提交时也便于公众索取和查阅，并建议缔约国酌情以官方语言和其他通用语言公布委员会关于缔约国报告的结论性意见。</w:t>
      </w:r>
    </w:p>
    <w:p w:rsidR="00D75FBA" w:rsidRDefault="00D75FBA" w:rsidP="00DD1E08">
      <w:pPr>
        <w:pStyle w:val="H23GC"/>
        <w:rPr>
          <w:rFonts w:hint="eastAsia"/>
        </w:rPr>
      </w:pPr>
      <w:r>
        <w:rPr>
          <w:rFonts w:hint="eastAsia"/>
        </w:rPr>
        <w:tab/>
      </w:r>
      <w:r>
        <w:rPr>
          <w:rFonts w:hint="eastAsia"/>
        </w:rPr>
        <w:tab/>
      </w:r>
      <w:r>
        <w:rPr>
          <w:rFonts w:hint="eastAsia"/>
        </w:rPr>
        <w:t>后续落实本结论性意见</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8</w:t>
      </w:r>
      <w:r w:rsidR="0039619C" w:rsidRPr="00D64360">
        <w:rPr>
          <w:rFonts w:ascii="Time New Roman" w:eastAsia="黑体" w:hAnsi="Time New Roman" w:hint="eastAsia"/>
        </w:rPr>
        <w:t xml:space="preserve">.  </w:t>
      </w:r>
      <w:r w:rsidRPr="00D64360">
        <w:rPr>
          <w:rFonts w:ascii="Time New Roman" w:eastAsia="黑体" w:hAnsi="Time New Roman" w:hint="eastAsia"/>
        </w:rPr>
        <w:t>委员会根据《公约》第九条第一款和委员会议事规则第</w:t>
      </w:r>
      <w:r w:rsidRPr="00D64360">
        <w:rPr>
          <w:rFonts w:ascii="Time New Roman" w:eastAsia="黑体" w:hAnsi="Time New Roman" w:hint="eastAsia"/>
        </w:rPr>
        <w:t>65</w:t>
      </w:r>
      <w:r w:rsidRPr="00D64360">
        <w:rPr>
          <w:rFonts w:ascii="Time New Roman" w:eastAsia="黑体" w:hAnsi="Time New Roman" w:hint="eastAsia"/>
        </w:rPr>
        <w:t>条，请缔约国在本结论性意见通过后一年内说明上文第</w:t>
      </w:r>
      <w:r w:rsidRPr="00D64360">
        <w:rPr>
          <w:rFonts w:ascii="Time New Roman" w:eastAsia="黑体" w:hAnsi="Time New Roman" w:hint="eastAsia"/>
        </w:rPr>
        <w:t>10(a)</w:t>
      </w:r>
      <w:r w:rsidRPr="00D64360">
        <w:rPr>
          <w:rFonts w:ascii="Time New Roman" w:eastAsia="黑体" w:hAnsi="Time New Roman" w:hint="eastAsia"/>
        </w:rPr>
        <w:t>和第</w:t>
      </w:r>
      <w:r w:rsidRPr="00D64360">
        <w:rPr>
          <w:rFonts w:ascii="Time New Roman" w:eastAsia="黑体" w:hAnsi="Time New Roman" w:hint="eastAsia"/>
        </w:rPr>
        <w:t>22</w:t>
      </w:r>
      <w:r w:rsidRPr="00D64360">
        <w:rPr>
          <w:rFonts w:ascii="Time New Roman" w:eastAsia="黑体" w:hAnsi="Time New Roman" w:hint="eastAsia"/>
        </w:rPr>
        <w:t>段所载建议的落实情况。</w:t>
      </w:r>
    </w:p>
    <w:p w:rsidR="00D75FBA" w:rsidRDefault="00D75FBA" w:rsidP="00DD1E08">
      <w:pPr>
        <w:pStyle w:val="H23GC"/>
        <w:rPr>
          <w:rFonts w:hint="eastAsia"/>
        </w:rPr>
      </w:pPr>
      <w:r>
        <w:rPr>
          <w:rFonts w:hint="eastAsia"/>
        </w:rPr>
        <w:tab/>
      </w:r>
      <w:r>
        <w:rPr>
          <w:rFonts w:hint="eastAsia"/>
        </w:rPr>
        <w:tab/>
      </w:r>
      <w:r>
        <w:rPr>
          <w:rFonts w:hint="eastAsia"/>
        </w:rPr>
        <w:t>特别重要的段落</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2</w:t>
      </w:r>
      <w:r w:rsidR="0039619C" w:rsidRPr="00D64360">
        <w:rPr>
          <w:rFonts w:ascii="Time New Roman" w:eastAsia="黑体" w:hAnsi="Time New Roman" w:hint="eastAsia"/>
        </w:rPr>
        <w:t>9</w:t>
      </w:r>
      <w:r w:rsidR="0039619C" w:rsidRPr="00D64360">
        <w:rPr>
          <w:rFonts w:ascii="Time New Roman" w:eastAsia="黑体" w:hAnsi="Time New Roman" w:hint="eastAsia"/>
        </w:rPr>
        <w:t xml:space="preserve">.  </w:t>
      </w:r>
      <w:r w:rsidRPr="00D64360">
        <w:rPr>
          <w:rFonts w:ascii="Time New Roman" w:eastAsia="黑体" w:hAnsi="Time New Roman" w:hint="eastAsia"/>
        </w:rPr>
        <w:t>委员会谨请缔约国注意，上文第</w:t>
      </w:r>
      <w:r w:rsidRPr="00D64360">
        <w:rPr>
          <w:rFonts w:ascii="Time New Roman" w:eastAsia="黑体" w:hAnsi="Time New Roman" w:hint="eastAsia"/>
        </w:rPr>
        <w:t>8</w:t>
      </w:r>
      <w:r w:rsidRPr="00D64360">
        <w:rPr>
          <w:rFonts w:ascii="Time New Roman" w:eastAsia="黑体" w:hAnsi="Time New Roman" w:hint="eastAsia"/>
        </w:rPr>
        <w:t>、第</w:t>
      </w:r>
      <w:r w:rsidRPr="00D64360">
        <w:rPr>
          <w:rFonts w:ascii="Time New Roman" w:eastAsia="黑体" w:hAnsi="Time New Roman" w:hint="eastAsia"/>
        </w:rPr>
        <w:t>12</w:t>
      </w:r>
      <w:r w:rsidRPr="00D64360">
        <w:rPr>
          <w:rFonts w:ascii="Time New Roman" w:eastAsia="黑体" w:hAnsi="Time New Roman" w:hint="eastAsia"/>
        </w:rPr>
        <w:t>、第</w:t>
      </w:r>
      <w:r w:rsidRPr="00D64360">
        <w:rPr>
          <w:rFonts w:ascii="Time New Roman" w:eastAsia="黑体" w:hAnsi="Time New Roman" w:hint="eastAsia"/>
        </w:rPr>
        <w:t>14</w:t>
      </w:r>
      <w:r w:rsidRPr="00D64360">
        <w:rPr>
          <w:rFonts w:ascii="Time New Roman" w:eastAsia="黑体" w:hAnsi="Time New Roman" w:hint="eastAsia"/>
        </w:rPr>
        <w:t>段和第</w:t>
      </w:r>
      <w:r w:rsidRPr="00D64360">
        <w:rPr>
          <w:rFonts w:ascii="Time New Roman" w:eastAsia="黑体" w:hAnsi="Time New Roman" w:hint="eastAsia"/>
        </w:rPr>
        <w:t>20</w:t>
      </w:r>
      <w:r w:rsidRPr="00D64360">
        <w:rPr>
          <w:rFonts w:ascii="Time New Roman" w:eastAsia="黑体" w:hAnsi="Time New Roman" w:hint="eastAsia"/>
        </w:rPr>
        <w:t>段所载建议特别重要；委员会并请缔约国在下次定期报告中详细说明为落实这些建议而采取的具体措施。</w:t>
      </w:r>
    </w:p>
    <w:p w:rsidR="00D75FBA" w:rsidRDefault="00D75FBA" w:rsidP="00DD1E08">
      <w:pPr>
        <w:pStyle w:val="H23GC"/>
        <w:rPr>
          <w:rFonts w:hint="eastAsia"/>
        </w:rPr>
      </w:pPr>
      <w:r>
        <w:rPr>
          <w:rFonts w:hint="eastAsia"/>
        </w:rPr>
        <w:tab/>
      </w:r>
      <w:r>
        <w:rPr>
          <w:rFonts w:hint="eastAsia"/>
        </w:rPr>
        <w:tab/>
      </w:r>
      <w:r>
        <w:rPr>
          <w:rFonts w:hint="eastAsia"/>
        </w:rPr>
        <w:t>编写下次定期报告</w:t>
      </w:r>
    </w:p>
    <w:p w:rsidR="00D75FBA" w:rsidRPr="00D64360" w:rsidRDefault="00D75FBA" w:rsidP="00D75FBA">
      <w:pPr>
        <w:pStyle w:val="SingleTxtGC"/>
        <w:rPr>
          <w:rFonts w:ascii="Time New Roman" w:eastAsia="黑体" w:hAnsi="Time New Roman" w:hint="eastAsia"/>
        </w:rPr>
      </w:pPr>
      <w:r w:rsidRPr="00D64360">
        <w:rPr>
          <w:rFonts w:ascii="Time New Roman" w:eastAsia="黑体" w:hAnsi="Time New Roman" w:hint="eastAsia"/>
        </w:rPr>
        <w:t>3</w:t>
      </w:r>
      <w:r w:rsidR="0039619C" w:rsidRPr="00D64360">
        <w:rPr>
          <w:rFonts w:ascii="Time New Roman" w:eastAsia="黑体" w:hAnsi="Time New Roman" w:hint="eastAsia"/>
        </w:rPr>
        <w:t>0</w:t>
      </w:r>
      <w:r w:rsidR="0039619C" w:rsidRPr="00D64360">
        <w:rPr>
          <w:rFonts w:ascii="Time New Roman" w:eastAsia="黑体" w:hAnsi="Time New Roman" w:hint="eastAsia"/>
        </w:rPr>
        <w:t xml:space="preserve">.  </w:t>
      </w:r>
      <w:r w:rsidRPr="00D64360">
        <w:rPr>
          <w:rFonts w:ascii="Time New Roman" w:eastAsia="黑体" w:hAnsi="Time New Roman" w:hint="eastAsia"/>
        </w:rPr>
        <w:t>委员会建议缔约国在</w:t>
      </w:r>
      <w:r w:rsidRPr="00D64360">
        <w:rPr>
          <w:rFonts w:ascii="Time New Roman" w:eastAsia="黑体" w:hAnsi="Time New Roman" w:hint="eastAsia"/>
        </w:rPr>
        <w:t>2020</w:t>
      </w:r>
      <w:r w:rsidRPr="00D64360">
        <w:rPr>
          <w:rFonts w:ascii="Time New Roman" w:eastAsia="黑体" w:hAnsi="Time New Roman" w:hint="eastAsia"/>
        </w:rPr>
        <w:t>年</w:t>
      </w:r>
      <w:r w:rsidRPr="00D64360">
        <w:rPr>
          <w:rFonts w:ascii="Time New Roman" w:eastAsia="黑体" w:hAnsi="Time New Roman" w:hint="eastAsia"/>
        </w:rPr>
        <w:t>1</w:t>
      </w:r>
      <w:r w:rsidRPr="00D64360">
        <w:rPr>
          <w:rFonts w:ascii="Time New Roman" w:eastAsia="黑体" w:hAnsi="Time New Roman" w:hint="eastAsia"/>
        </w:rPr>
        <w:t>月</w:t>
      </w:r>
      <w:r w:rsidRPr="00D64360">
        <w:rPr>
          <w:rFonts w:ascii="Time New Roman" w:eastAsia="黑体" w:hAnsi="Time New Roman" w:hint="eastAsia"/>
        </w:rPr>
        <w:t>4</w:t>
      </w:r>
      <w:r w:rsidRPr="00D64360">
        <w:rPr>
          <w:rFonts w:ascii="Time New Roman" w:eastAsia="黑体" w:hAnsi="Time New Roman" w:hint="eastAsia"/>
        </w:rPr>
        <w:t>日前以一份文件提交第二十三至第二十五次合并定期报告，报告应遵循委员会第七十一届会议通过的报告准则</w:t>
      </w:r>
      <w:r w:rsidRPr="00D64360">
        <w:rPr>
          <w:rFonts w:ascii="Time New Roman" w:eastAsia="黑体" w:hAnsi="Time New Roman" w:hint="eastAsia"/>
        </w:rPr>
        <w:t>(CERD/C/2007/1)</w:t>
      </w:r>
      <w:r w:rsidRPr="00D64360">
        <w:rPr>
          <w:rFonts w:ascii="Time New Roman" w:eastAsia="黑体" w:hAnsi="Time New Roman" w:hint="eastAsia"/>
        </w:rPr>
        <w:t>，回应本结论性意见提到的所有问题。委员会参照大会第</w:t>
      </w:r>
      <w:r w:rsidRPr="00D64360">
        <w:rPr>
          <w:rFonts w:ascii="Time New Roman" w:eastAsia="黑体" w:hAnsi="Time New Roman" w:hint="eastAsia"/>
        </w:rPr>
        <w:t>68/268</w:t>
      </w:r>
      <w:r w:rsidRPr="00D64360">
        <w:rPr>
          <w:rFonts w:ascii="Time New Roman" w:eastAsia="黑体" w:hAnsi="Time New Roman" w:hint="eastAsia"/>
        </w:rPr>
        <w:t>号决议，促请缔约国遵守定期报告不超过</w:t>
      </w:r>
      <w:r w:rsidRPr="00D64360">
        <w:rPr>
          <w:rFonts w:ascii="Time New Roman" w:eastAsia="黑体" w:hAnsi="Time New Roman" w:hint="eastAsia"/>
        </w:rPr>
        <w:t>21,200</w:t>
      </w:r>
      <w:r w:rsidRPr="00D64360">
        <w:rPr>
          <w:rFonts w:ascii="Time New Roman" w:eastAsia="黑体" w:hAnsi="Time New Roman" w:hint="eastAsia"/>
        </w:rPr>
        <w:t>字的限制。</w:t>
      </w:r>
    </w:p>
    <w:p w:rsidR="00D75FBA" w:rsidRDefault="00D75FBA" w:rsidP="00D75FBA">
      <w:pPr>
        <w:pStyle w:val="SingleTxtGC"/>
      </w:pPr>
    </w:p>
    <w:p w:rsidR="00DD1E08" w:rsidRPr="002D6A9C" w:rsidRDefault="00DD1E0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D1E08" w:rsidRDefault="00DD1E08" w:rsidP="00D75FBA">
      <w:pPr>
        <w:pStyle w:val="SingleTxtGC"/>
      </w:pPr>
    </w:p>
    <w:sectPr w:rsidR="00DD1E08"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43" w:rsidRPr="000D319F" w:rsidRDefault="005C0B43" w:rsidP="000D319F">
      <w:pPr>
        <w:pStyle w:val="af0"/>
        <w:spacing w:after="240"/>
        <w:ind w:left="907"/>
        <w:rPr>
          <w:rFonts w:asciiTheme="majorBidi" w:eastAsia="宋体" w:hAnsiTheme="majorBidi" w:cstheme="majorBidi"/>
          <w:sz w:val="21"/>
          <w:szCs w:val="21"/>
          <w:lang w:val="en-US"/>
        </w:rPr>
      </w:pPr>
    </w:p>
    <w:p w:rsidR="005C0B43" w:rsidRPr="000D319F" w:rsidRDefault="005C0B4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C0B43" w:rsidRPr="000D319F" w:rsidRDefault="005C0B43" w:rsidP="000D319F">
      <w:pPr>
        <w:pStyle w:val="af0"/>
      </w:pPr>
    </w:p>
  </w:endnote>
  <w:endnote w:type="continuationNotice" w:id="1">
    <w:p w:rsidR="005C0B43" w:rsidRDefault="005C0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75FBA" w:rsidRDefault="00D75FBA" w:rsidP="00D75FB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77FD8">
      <w:rPr>
        <w:rStyle w:val="af2"/>
        <w:noProof/>
      </w:rPr>
      <w:t>6</w:t>
    </w:r>
    <w:r>
      <w:rPr>
        <w:rStyle w:val="af2"/>
      </w:rPr>
      <w:fldChar w:fldCharType="end"/>
    </w:r>
    <w:r>
      <w:rPr>
        <w:rStyle w:val="af2"/>
      </w:rPr>
      <w:tab/>
    </w:r>
    <w:r w:rsidRPr="00D75FBA">
      <w:rPr>
        <w:rStyle w:val="af2"/>
        <w:b w:val="0"/>
        <w:snapToGrid w:val="0"/>
        <w:sz w:val="16"/>
      </w:rPr>
      <w:t>GE.17-08749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75FBA" w:rsidRDefault="00D75FBA" w:rsidP="00D75FBA">
    <w:pPr>
      <w:pStyle w:val="af0"/>
      <w:tabs>
        <w:tab w:val="clear" w:pos="431"/>
        <w:tab w:val="right" w:pos="9638"/>
      </w:tabs>
      <w:rPr>
        <w:rStyle w:val="af2"/>
      </w:rPr>
    </w:pPr>
    <w:r>
      <w:t>GE.17-08749</w:t>
    </w:r>
    <w:r>
      <w:tab/>
    </w:r>
    <w:r>
      <w:rPr>
        <w:rStyle w:val="af2"/>
      </w:rPr>
      <w:fldChar w:fldCharType="begin"/>
    </w:r>
    <w:r>
      <w:rPr>
        <w:rStyle w:val="af2"/>
      </w:rPr>
      <w:instrText xml:space="preserve"> PAGE  \* MERGEFORMAT </w:instrText>
    </w:r>
    <w:r>
      <w:rPr>
        <w:rStyle w:val="af2"/>
      </w:rPr>
      <w:fldChar w:fldCharType="separate"/>
    </w:r>
    <w:r w:rsidR="00577FD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D75FBA" w:rsidP="00487939">
    <w:pPr>
      <w:pStyle w:val="af0"/>
      <w:tabs>
        <w:tab w:val="left" w:pos="1701"/>
        <w:tab w:val="left" w:pos="2552"/>
        <w:tab w:val="left" w:pos="8448"/>
      </w:tabs>
      <w:spacing w:before="360"/>
      <w:rPr>
        <w:rFonts w:eastAsiaTheme="minorEastAsia"/>
        <w:b/>
        <w:sz w:val="21"/>
        <w:lang w:eastAsia="zh-CN"/>
      </w:rPr>
    </w:pPr>
    <w:r>
      <w:rPr>
        <w:sz w:val="20"/>
        <w:lang w:eastAsia="zh-CN"/>
      </w:rPr>
      <w:t>GE.17-08749</w:t>
    </w:r>
    <w:r w:rsidR="00731A42" w:rsidRPr="00EE277A">
      <w:rPr>
        <w:sz w:val="20"/>
        <w:lang w:eastAsia="zh-CN"/>
      </w:rPr>
      <w:t xml:space="preserve"> (C)</w:t>
    </w:r>
    <w:r w:rsidR="006D1FBC">
      <w:rPr>
        <w:sz w:val="20"/>
        <w:lang w:eastAsia="zh-CN"/>
      </w:rPr>
      <w:tab/>
    </w:r>
    <w:r w:rsidR="00DD1E08">
      <w:rPr>
        <w:sz w:val="20"/>
        <w:lang w:eastAsia="zh-CN"/>
      </w:rPr>
      <w:t>0707</w:t>
    </w:r>
    <w:r w:rsidR="006D1FBC">
      <w:rPr>
        <w:sz w:val="20"/>
        <w:lang w:eastAsia="zh-CN"/>
      </w:rPr>
      <w:t>1</w:t>
    </w:r>
    <w:r w:rsidR="004B6B8B">
      <w:rPr>
        <w:rFonts w:eastAsiaTheme="minorEastAsia" w:hint="eastAsia"/>
        <w:sz w:val="20"/>
        <w:lang w:eastAsia="zh-CN"/>
      </w:rPr>
      <w:t>7</w:t>
    </w:r>
    <w:r w:rsidR="00731A42">
      <w:rPr>
        <w:sz w:val="20"/>
        <w:lang w:eastAsia="zh-CN"/>
      </w:rPr>
      <w:tab/>
    </w:r>
    <w:r w:rsidR="00DD1E08">
      <w:rPr>
        <w:sz w:val="20"/>
        <w:lang w:eastAsia="zh-CN"/>
      </w:rPr>
      <w:t>2408</w:t>
    </w:r>
    <w:r w:rsidR="00731A42">
      <w:rPr>
        <w:sz w:val="20"/>
        <w:lang w:eastAsia="zh-CN"/>
      </w:rPr>
      <w:t>1</w:t>
    </w:r>
    <w:r w:rsidR="004B6B8B">
      <w:rPr>
        <w:rFonts w:eastAsiaTheme="minorEastAsia" w:hint="eastAsia"/>
        <w:sz w:val="20"/>
        <w:lang w:eastAsia="zh-CN"/>
      </w:rPr>
      <w:t>7</w:t>
    </w:r>
  </w:p>
  <w:p w:rsidR="00056632" w:rsidRPr="00487939" w:rsidRDefault="00D75FB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BGR/CO/20-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GR/CO/20-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43" w:rsidRPr="000157B1" w:rsidRDefault="005C0B4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C0B43" w:rsidRPr="000157B1" w:rsidRDefault="005C0B4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C0B43" w:rsidRDefault="005C0B43"/>
  </w:footnote>
  <w:footnote w:id="2">
    <w:p w:rsidR="00D75FBA" w:rsidRPr="00D75FBA" w:rsidRDefault="00D75FBA">
      <w:pPr>
        <w:pStyle w:val="a6"/>
      </w:pPr>
      <w:r w:rsidRPr="00D75FBA">
        <w:rPr>
          <w:rStyle w:val="a8"/>
          <w:rFonts w:eastAsia="宋体"/>
          <w:vertAlign w:val="baseline"/>
        </w:rPr>
        <w:tab/>
        <w:t>*</w:t>
      </w:r>
      <w:r w:rsidRPr="00D75FBA">
        <w:tab/>
      </w:r>
      <w:r w:rsidRPr="00D75FBA">
        <w:rPr>
          <w:rFonts w:hint="eastAsia"/>
        </w:rPr>
        <w:t>委员会第九十二届会议通过</w:t>
      </w:r>
      <w:r w:rsidRPr="00D75FBA">
        <w:rPr>
          <w:rFonts w:hint="eastAsia"/>
        </w:rPr>
        <w:t>(2017</w:t>
      </w:r>
      <w:r w:rsidRPr="00D75FBA">
        <w:rPr>
          <w:rFonts w:hint="eastAsia"/>
        </w:rPr>
        <w:t>年</w:t>
      </w:r>
      <w:r w:rsidRPr="00D75FBA">
        <w:rPr>
          <w:rFonts w:hint="eastAsia"/>
        </w:rPr>
        <w:t>4</w:t>
      </w:r>
      <w:r w:rsidRPr="00D75FBA">
        <w:rPr>
          <w:rFonts w:hint="eastAsia"/>
        </w:rPr>
        <w:t>月</w:t>
      </w:r>
      <w:r w:rsidRPr="00D75FBA">
        <w:rPr>
          <w:rFonts w:hint="eastAsia"/>
        </w:rPr>
        <w:t>24</w:t>
      </w:r>
      <w:r w:rsidRPr="00D75FBA">
        <w:rPr>
          <w:rFonts w:hint="eastAsia"/>
        </w:rPr>
        <w:t>日</w:t>
      </w:r>
      <w:r w:rsidR="00DD1E08">
        <w:rPr>
          <w:rFonts w:hint="eastAsia"/>
        </w:rPr>
        <w:t>至</w:t>
      </w:r>
      <w:r w:rsidRPr="00D75FBA">
        <w:rPr>
          <w:rFonts w:hint="eastAsia"/>
        </w:rPr>
        <w:t>5</w:t>
      </w:r>
      <w:r w:rsidRPr="00D75FBA">
        <w:rPr>
          <w:rFonts w:hint="eastAsia"/>
        </w:rPr>
        <w:t>月</w:t>
      </w:r>
      <w:r w:rsidRPr="00D75FBA">
        <w:rPr>
          <w:rFonts w:hint="eastAsia"/>
        </w:rPr>
        <w:t>12</w:t>
      </w:r>
      <w:r w:rsidRPr="00D75FBA">
        <w:rPr>
          <w:rFonts w:hint="eastAsia"/>
        </w:rPr>
        <w:t>日</w:t>
      </w:r>
      <w:r w:rsidRPr="00D75FBA">
        <w:rPr>
          <w:rFonts w:hint="eastAsia"/>
        </w:rPr>
        <w:t>)</w:t>
      </w:r>
      <w:r w:rsidRPr="00D75FBA">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D75FBA" w:rsidP="00D75FBA">
    <w:pPr>
      <w:pStyle w:val="af3"/>
    </w:pPr>
    <w:r>
      <w:t>CERD/C/BGR/CO/20-22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D75FBA" w:rsidP="00D75FBA">
    <w:pPr>
      <w:pStyle w:val="af3"/>
      <w:jc w:val="right"/>
    </w:pPr>
    <w:r>
      <w:t>CERD/C/BGR/CO/20-22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43"/>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39619C"/>
    <w:rsid w:val="00427F63"/>
    <w:rsid w:val="00434D38"/>
    <w:rsid w:val="00494EB8"/>
    <w:rsid w:val="004B6B8B"/>
    <w:rsid w:val="004C4A0A"/>
    <w:rsid w:val="00501220"/>
    <w:rsid w:val="0050403D"/>
    <w:rsid w:val="00531F42"/>
    <w:rsid w:val="00577FD8"/>
    <w:rsid w:val="005C0B43"/>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86495"/>
    <w:rsid w:val="008B0560"/>
    <w:rsid w:val="008B2BFA"/>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6522"/>
    <w:rsid w:val="00C121D5"/>
    <w:rsid w:val="00C17349"/>
    <w:rsid w:val="00C351AA"/>
    <w:rsid w:val="00C7253F"/>
    <w:rsid w:val="00CF6941"/>
    <w:rsid w:val="00D26A05"/>
    <w:rsid w:val="00D43327"/>
    <w:rsid w:val="00D64360"/>
    <w:rsid w:val="00D75FBA"/>
    <w:rsid w:val="00D928D9"/>
    <w:rsid w:val="00D97B98"/>
    <w:rsid w:val="00DC671F"/>
    <w:rsid w:val="00DD1E08"/>
    <w:rsid w:val="00DE4DA7"/>
    <w:rsid w:val="00DF5892"/>
    <w:rsid w:val="00E07C86"/>
    <w:rsid w:val="00E33B38"/>
    <w:rsid w:val="00E47FE5"/>
    <w:rsid w:val="00E574AF"/>
    <w:rsid w:val="00E62E54"/>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B4874"/>
  <w15:docId w15:val="{2B8D4C8E-8BBE-458E-8331-511C5C7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06AD-2379-4C70-BE16-049AC897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5528</Words>
  <Characters>6039</Characters>
  <Application>Microsoft Office Word</Application>
  <DocSecurity>0</DocSecurity>
  <Lines>239</Lines>
  <Paragraphs>106</Paragraphs>
  <ScaleCrop>false</ScaleCrop>
  <Company>DCM</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1708749</dc:title>
  <dc:subject>CERD/C/BGR/CO/20-22</dc:subject>
  <dc:creator>Ji</dc:creator>
  <cp:keywords/>
  <dc:description/>
  <cp:lastModifiedBy>Xiangli FERSCHIN-JI</cp:lastModifiedBy>
  <cp:revision>2</cp:revision>
  <cp:lastPrinted>2017-08-24T13:56:00Z</cp:lastPrinted>
  <dcterms:created xsi:type="dcterms:W3CDTF">2017-08-24T14:09:00Z</dcterms:created>
  <dcterms:modified xsi:type="dcterms:W3CDTF">2017-08-24T14:09:00Z</dcterms:modified>
</cp:coreProperties>
</file>