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:rsidTr="0021363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D5AAC" w:rsidRDefault="002D5AAC" w:rsidP="00315A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7" w:hanging="567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BD33EE" w:rsidP="00213632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14054" w:rsidP="00C14054">
            <w:pPr>
              <w:jc w:val="right"/>
            </w:pPr>
            <w:r w:rsidRPr="00C14054">
              <w:rPr>
                <w:sz w:val="40"/>
              </w:rPr>
              <w:t>CERD</w:t>
            </w:r>
            <w:r>
              <w:t>/C/DJI/Q/1-2</w:t>
            </w:r>
          </w:p>
        </w:tc>
      </w:tr>
      <w:tr w:rsidR="002D5AAC" w:rsidTr="0021363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C15A3" w:rsidP="0021363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967DF" w:rsidRDefault="00160FF7" w:rsidP="00213632">
            <w:pPr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Convención Internacional sobre</w:t>
            </w:r>
            <w:r>
              <w:rPr>
                <w:b/>
                <w:sz w:val="34"/>
                <w:szCs w:val="34"/>
              </w:rPr>
              <w:br/>
              <w:t xml:space="preserve">la Eliminación de </w:t>
            </w:r>
            <w:r w:rsidR="00100EA7">
              <w:rPr>
                <w:b/>
                <w:sz w:val="34"/>
                <w:szCs w:val="34"/>
              </w:rPr>
              <w:t xml:space="preserve">Todas </w:t>
            </w:r>
            <w:r>
              <w:rPr>
                <w:b/>
                <w:sz w:val="34"/>
                <w:szCs w:val="34"/>
              </w:rPr>
              <w:t>las Formas</w:t>
            </w:r>
            <w:r>
              <w:rPr>
                <w:b/>
                <w:sz w:val="34"/>
                <w:szCs w:val="34"/>
              </w:rPr>
              <w:br/>
              <w:t>de Discriminación Racial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14054" w:rsidP="00213632">
            <w:pPr>
              <w:spacing w:before="240"/>
            </w:pPr>
            <w:r>
              <w:t>Distr. general</w:t>
            </w:r>
          </w:p>
          <w:p w:rsidR="00C14054" w:rsidRDefault="00C14054" w:rsidP="00C14054">
            <w:pPr>
              <w:spacing w:line="240" w:lineRule="exact"/>
            </w:pPr>
            <w:r>
              <w:t>29 de junio de 2017</w:t>
            </w:r>
          </w:p>
          <w:p w:rsidR="00C14054" w:rsidRDefault="00C14054" w:rsidP="00C14054">
            <w:pPr>
              <w:spacing w:line="240" w:lineRule="exact"/>
            </w:pPr>
            <w:r>
              <w:t>Español</w:t>
            </w:r>
          </w:p>
          <w:p w:rsidR="00C14054" w:rsidRDefault="00C14054" w:rsidP="00C14054">
            <w:pPr>
              <w:spacing w:line="240" w:lineRule="exact"/>
            </w:pPr>
            <w:r>
              <w:t>Original: francés</w:t>
            </w:r>
          </w:p>
          <w:p w:rsidR="001D58D9" w:rsidRDefault="001D58D9" w:rsidP="00C14054">
            <w:pPr>
              <w:spacing w:line="240" w:lineRule="exact"/>
            </w:pPr>
            <w:r>
              <w:t>Español, francés e inglés únicamente</w:t>
            </w:r>
          </w:p>
        </w:tc>
      </w:tr>
    </w:tbl>
    <w:p w:rsidR="00DD5328" w:rsidRPr="00DD5328" w:rsidRDefault="00DD5328" w:rsidP="00DD5328">
      <w:pPr>
        <w:spacing w:before="120"/>
        <w:rPr>
          <w:b/>
          <w:sz w:val="24"/>
        </w:rPr>
      </w:pPr>
      <w:r w:rsidRPr="00DD5328">
        <w:rPr>
          <w:b/>
          <w:sz w:val="24"/>
        </w:rPr>
        <w:t>Comité para la Eliminación de la Discriminación Racial</w:t>
      </w:r>
    </w:p>
    <w:p w:rsidR="00DD5328" w:rsidRPr="00DD5328" w:rsidRDefault="00DD5328" w:rsidP="00DD5328">
      <w:pPr>
        <w:rPr>
          <w:b/>
        </w:rPr>
      </w:pPr>
      <w:r w:rsidRPr="00DD5328">
        <w:rPr>
          <w:b/>
        </w:rPr>
        <w:t>93</w:t>
      </w:r>
      <w:r w:rsidRPr="00DD5328">
        <w:rPr>
          <w:b/>
          <w:vertAlign w:val="superscript"/>
        </w:rPr>
        <w:t>er</w:t>
      </w:r>
      <w:r w:rsidRPr="00DD5328">
        <w:rPr>
          <w:b/>
        </w:rPr>
        <w:t xml:space="preserve"> período de sesiones</w:t>
      </w:r>
    </w:p>
    <w:p w:rsidR="00DD5328" w:rsidRPr="00B136D9" w:rsidRDefault="00DD5328" w:rsidP="00DD5328">
      <w:r w:rsidRPr="00B136D9">
        <w:t>31 de julio a 25 de agosto de 2017</w:t>
      </w:r>
    </w:p>
    <w:p w:rsidR="00DD5328" w:rsidRPr="00B136D9" w:rsidRDefault="00DD5328" w:rsidP="00DD5328">
      <w:r w:rsidRPr="00B136D9">
        <w:t>Tema 4 del programa provisional</w:t>
      </w:r>
    </w:p>
    <w:p w:rsidR="00DD5328" w:rsidRPr="00DD5328" w:rsidRDefault="00DD5328" w:rsidP="00DD5328">
      <w:pPr>
        <w:rPr>
          <w:b/>
        </w:rPr>
      </w:pPr>
      <w:r w:rsidRPr="00DD5328">
        <w:rPr>
          <w:b/>
        </w:rPr>
        <w:t>Examen de los informes, las observaciones y la información presentados</w:t>
      </w:r>
      <w:r>
        <w:rPr>
          <w:b/>
        </w:rPr>
        <w:br/>
      </w:r>
      <w:r w:rsidRPr="00DD5328">
        <w:rPr>
          <w:b/>
        </w:rPr>
        <w:t>por los Estados partes en virtud del artículo 9 de la Convención</w:t>
      </w:r>
    </w:p>
    <w:p w:rsidR="00DD5328" w:rsidRPr="00B136D9" w:rsidRDefault="00DD5328" w:rsidP="00DD5328">
      <w:pPr>
        <w:pStyle w:val="HChG"/>
      </w:pPr>
      <w:r>
        <w:tab/>
      </w:r>
      <w:r>
        <w:tab/>
      </w:r>
      <w:r w:rsidRPr="00B136D9">
        <w:t xml:space="preserve">Lista de temas relativa al informe inicial y </w:t>
      </w:r>
      <w:r w:rsidR="00F951EE">
        <w:t>a</w:t>
      </w:r>
      <w:r w:rsidRPr="00B136D9">
        <w:t>l segundo informe periódico combinados de Djibouti</w:t>
      </w:r>
    </w:p>
    <w:p w:rsidR="00DD5328" w:rsidRPr="00B136D9" w:rsidRDefault="00DD5328" w:rsidP="00DD5328">
      <w:pPr>
        <w:pStyle w:val="H1G"/>
      </w:pPr>
      <w:r>
        <w:tab/>
      </w:r>
      <w:r>
        <w:tab/>
      </w:r>
      <w:r w:rsidRPr="00B136D9">
        <w:t>Nota del Relator para el país</w:t>
      </w:r>
    </w:p>
    <w:p w:rsidR="00DD5328" w:rsidRPr="00B136D9" w:rsidRDefault="00DD5328" w:rsidP="00DD5328">
      <w:pPr>
        <w:pStyle w:val="SingleTxtG"/>
      </w:pPr>
      <w:r w:rsidRPr="00B136D9">
        <w:t>1.</w:t>
      </w:r>
      <w:r w:rsidRPr="00B136D9">
        <w:tab/>
        <w:t>El Comité para la Eliminación de la Discriminación Racial decidió en su 76º período de sesiones (véase A/65/18, párr. 85) que el Relator para el país enviaría al Estado parte en cuestión una breve lista de temas con miras a orientar y centrar el diálogo entre la delegación del Estado parte y el Comité durante el examen del informe del Estado parte. El presente documento contiene una lista de temas con esa finalidad. La lista no es exhaustiva; durante el diálogo con el Estado parte podrán abordarse otros asuntos. No se requieren respuestas por escrito.</w:t>
      </w:r>
    </w:p>
    <w:p w:rsidR="00DD5328" w:rsidRPr="00B136D9" w:rsidRDefault="00DD5328" w:rsidP="00DD5328">
      <w:pPr>
        <w:pStyle w:val="H23G"/>
      </w:pPr>
      <w:r>
        <w:tab/>
      </w:r>
      <w:r>
        <w:tab/>
      </w:r>
      <w:r w:rsidRPr="00B136D9">
        <w:t>La Convención en el derecho interno y el marco constitucional y normativo</w:t>
      </w:r>
      <w:r>
        <w:br/>
      </w:r>
      <w:r w:rsidRPr="00B136D9">
        <w:t>para su aplicación (arts. 1, 2, 3, 4 y 6)</w:t>
      </w:r>
    </w:p>
    <w:p w:rsidR="00DD5328" w:rsidRPr="00B136D9" w:rsidRDefault="00DD5328" w:rsidP="00DD5328">
      <w:pPr>
        <w:pStyle w:val="SingleTxtG"/>
      </w:pPr>
      <w:r w:rsidRPr="00B136D9">
        <w:t>2.</w:t>
      </w:r>
      <w:r w:rsidRPr="00B136D9">
        <w:tab/>
        <w:t>Lugar de la Convención en el orden jurídico interno.</w:t>
      </w:r>
    </w:p>
    <w:p w:rsidR="00DD5328" w:rsidRPr="00B136D9" w:rsidRDefault="00DD5328" w:rsidP="00DD5328">
      <w:pPr>
        <w:pStyle w:val="SingleTxtG"/>
      </w:pPr>
      <w:r w:rsidRPr="00B136D9">
        <w:t>3.</w:t>
      </w:r>
      <w:r w:rsidRPr="00B136D9">
        <w:tab/>
        <w:t>Disposición legislativa que define y condena la discriminación racial de conformidad con las disposiciones de los artículos 1 y 2 (CERD/C/DJI/1-2, párrs. 46, 63 y</w:t>
      </w:r>
      <w:r>
        <w:t> </w:t>
      </w:r>
      <w:r w:rsidRPr="00B136D9">
        <w:t>64).</w:t>
      </w:r>
    </w:p>
    <w:p w:rsidR="00DD5328" w:rsidRPr="00B136D9" w:rsidRDefault="00DD5328" w:rsidP="00DD5328">
      <w:pPr>
        <w:pStyle w:val="SingleTxtG"/>
      </w:pPr>
      <w:r w:rsidRPr="00B136D9">
        <w:t>4.</w:t>
      </w:r>
      <w:r w:rsidRPr="00B136D9">
        <w:tab/>
        <w:t>Incriminación de la discriminación racial de conformidad con las disposiciones del artículo 4, en particular la legislación sobre el discurso de odio, en la legislación del Estado parte y los asuntos judiciales pertinentes (CERD/C/DJI/1-2, párr. 48).</w:t>
      </w:r>
    </w:p>
    <w:p w:rsidR="00DD5328" w:rsidRPr="00B136D9" w:rsidRDefault="00DD5328" w:rsidP="00DD5328">
      <w:pPr>
        <w:pStyle w:val="SingleTxtG"/>
      </w:pPr>
      <w:r w:rsidRPr="00B136D9">
        <w:t>5.</w:t>
      </w:r>
      <w:r w:rsidRPr="00B136D9">
        <w:tab/>
        <w:t xml:space="preserve">Datos estadísticos sobre </w:t>
      </w:r>
      <w:r w:rsidR="00F951EE">
        <w:t xml:space="preserve">el señalamiento </w:t>
      </w:r>
      <w:r w:rsidRPr="00B136D9">
        <w:t>y el registro de actos y hechos relacionados con la discriminación racial y delitos y crímenes inspirados por el odio, con indicación del número de denuncias, su naturaleza y el seguimiento dado a tales denuncias por los tribunales, la Comisión Nacional de Derechos Humanos, el Defensor del Pueblo, la oficina encargada de los derechos humanos en el seno del Ministerio de Justicia y el Consejo Constitucional. Medidas adoptadas para aplicar un mecanismo de recopilación de esos datos (CERD/C/DJI/1-2, párr. 128).</w:t>
      </w:r>
    </w:p>
    <w:p w:rsidR="00DD5328" w:rsidRPr="00B136D9" w:rsidRDefault="00DD5328" w:rsidP="00DD5328">
      <w:pPr>
        <w:pStyle w:val="SingleTxtG"/>
      </w:pPr>
      <w:r w:rsidRPr="00B136D9">
        <w:t>6.</w:t>
      </w:r>
      <w:r w:rsidRPr="00B136D9">
        <w:tab/>
        <w:t>Información sobre las medidas adoptadas para aumentar la independencia y los recursos de la Comisión Nacional de Derechos Humanos y sobre sus actividades en el ámbito de la lucha contra la discriminación racial (CERD/C/DJI/1-2, párrs. 144 y 145).</w:t>
      </w:r>
    </w:p>
    <w:p w:rsidR="00DD5328" w:rsidRPr="00B136D9" w:rsidRDefault="00DD5328" w:rsidP="00DD5328">
      <w:pPr>
        <w:pStyle w:val="SingleTxtG"/>
      </w:pPr>
      <w:r w:rsidRPr="00B136D9">
        <w:t>7.</w:t>
      </w:r>
      <w:r w:rsidRPr="00B136D9">
        <w:tab/>
        <w:t xml:space="preserve">Información sobre la aplicación de la prohibición a los partidos políticos </w:t>
      </w:r>
      <w:r w:rsidR="00F951EE">
        <w:t xml:space="preserve">estipulada </w:t>
      </w:r>
      <w:r w:rsidRPr="00B136D9">
        <w:t>en el artículo 6 de la Constitución de Djibouti de “identificarse con una raza, etnia, sexo, religión, secta, idioma o región” (CERD/C/DJI/1-2, párr. 57).</w:t>
      </w:r>
    </w:p>
    <w:p w:rsidR="00DD5328" w:rsidRPr="00B136D9" w:rsidRDefault="00DD5328" w:rsidP="00DD5328">
      <w:pPr>
        <w:pStyle w:val="H23G"/>
      </w:pPr>
      <w:r>
        <w:lastRenderedPageBreak/>
        <w:tab/>
      </w:r>
      <w:r>
        <w:tab/>
      </w:r>
      <w:r w:rsidRPr="00B136D9">
        <w:t>Segregación racial (art. 3)</w:t>
      </w:r>
    </w:p>
    <w:p w:rsidR="00DD5328" w:rsidRPr="00B136D9" w:rsidRDefault="00DD5328" w:rsidP="00DD5328">
      <w:pPr>
        <w:pStyle w:val="SingleTxtG"/>
      </w:pPr>
      <w:r w:rsidRPr="00B136D9">
        <w:t>8.</w:t>
      </w:r>
      <w:r w:rsidRPr="00B136D9">
        <w:tab/>
        <w:t>Disposiciones penales sobre la segregación racial o étnica (CERD/C/DJI/1-2, párrs.</w:t>
      </w:r>
      <w:r w:rsidR="004F740E">
        <w:t> </w:t>
      </w:r>
      <w:r w:rsidRPr="00B136D9">
        <w:t>25, 53 y 54).</w:t>
      </w:r>
    </w:p>
    <w:p w:rsidR="00DD5328" w:rsidRPr="00B136D9" w:rsidRDefault="00DD5328" w:rsidP="00DD5328">
      <w:pPr>
        <w:pStyle w:val="H23G"/>
      </w:pPr>
      <w:r>
        <w:tab/>
      </w:r>
      <w:r>
        <w:tab/>
      </w:r>
      <w:r w:rsidRPr="00B136D9">
        <w:t>Situación de los grupos étnicos (arts. 1 y 5)</w:t>
      </w:r>
    </w:p>
    <w:p w:rsidR="00DD5328" w:rsidRPr="00B136D9" w:rsidRDefault="00DD5328" w:rsidP="00DD5328">
      <w:pPr>
        <w:pStyle w:val="SingleTxtG"/>
      </w:pPr>
      <w:r w:rsidRPr="00B136D9">
        <w:t>9.</w:t>
      </w:r>
      <w:r w:rsidRPr="00B136D9">
        <w:tab/>
        <w:t xml:space="preserve">Composición étnica de la población del Estado parte y su distribución geográfica, desglosada por región y por </w:t>
      </w:r>
      <w:r w:rsidR="00F23BC6">
        <w:t>e</w:t>
      </w:r>
      <w:r w:rsidRPr="00B136D9">
        <w:t>stado (CERD/C/DJI/1-2, párr. 3).</w:t>
      </w:r>
    </w:p>
    <w:p w:rsidR="00DD5328" w:rsidRPr="00B136D9" w:rsidRDefault="00DD5328" w:rsidP="00DD5328">
      <w:pPr>
        <w:pStyle w:val="SingleTxtG"/>
      </w:pPr>
      <w:r w:rsidRPr="00B136D9">
        <w:t>10.</w:t>
      </w:r>
      <w:r w:rsidRPr="00B136D9">
        <w:tab/>
        <w:t>Definición de las minorías en el Estado parte y derechos que tienen garantizados (CERD/C/DJI/1-2, párr. 12).</w:t>
      </w:r>
    </w:p>
    <w:p w:rsidR="00DD5328" w:rsidRPr="00B136D9" w:rsidRDefault="00DD5328" w:rsidP="00DD5328">
      <w:pPr>
        <w:pStyle w:val="SingleTxtG"/>
      </w:pPr>
      <w:r w:rsidRPr="00B136D9">
        <w:t>11.</w:t>
      </w:r>
      <w:r w:rsidRPr="00B136D9">
        <w:tab/>
        <w:t>Medidas legislativas, administrativas y de otra índole para favorecer la reconciliación, el diálogo y el entendimiento entre los diferentes grupos étnicos y en particular entre los afar</w:t>
      </w:r>
      <w:r w:rsidR="00F23BC6">
        <w:t>e</w:t>
      </w:r>
      <w:r w:rsidRPr="00B136D9">
        <w:t>s y los somal</w:t>
      </w:r>
      <w:r w:rsidR="00F23BC6">
        <w:t>íes</w:t>
      </w:r>
      <w:r w:rsidR="00C36344">
        <w:t>-issas</w:t>
      </w:r>
      <w:r w:rsidRPr="00B136D9">
        <w:t xml:space="preserve"> (CERD/C/DJI/1-2, párrs. 34 y 35).</w:t>
      </w:r>
    </w:p>
    <w:p w:rsidR="00DD5328" w:rsidRPr="00B136D9" w:rsidRDefault="00DD5328" w:rsidP="00DD5328">
      <w:pPr>
        <w:pStyle w:val="SingleTxtG"/>
      </w:pPr>
      <w:r w:rsidRPr="00B136D9">
        <w:t>12.</w:t>
      </w:r>
      <w:r w:rsidRPr="00B136D9">
        <w:tab/>
        <w:t>Estatuto jurídico de las lenguas somal</w:t>
      </w:r>
      <w:r w:rsidR="00F23BC6">
        <w:t>í</w:t>
      </w:r>
      <w:r w:rsidRPr="00B136D9">
        <w:t xml:space="preserve"> y afar en el Estado parte y su incorporación en los programas escolares (CERD/C/DJI/1-2, párr. 15).</w:t>
      </w:r>
    </w:p>
    <w:p w:rsidR="00DD5328" w:rsidRPr="00B136D9" w:rsidRDefault="00DD5328" w:rsidP="00DD5328">
      <w:pPr>
        <w:pStyle w:val="SingleTxtG"/>
      </w:pPr>
      <w:r w:rsidRPr="00B136D9">
        <w:t>13.</w:t>
      </w:r>
      <w:r w:rsidRPr="00B136D9">
        <w:tab/>
        <w:t>Informe sobre las actividades de salvaguardia y análisis de las lenguas afar y somal</w:t>
      </w:r>
      <w:r w:rsidR="00F23BC6">
        <w:t>í</w:t>
      </w:r>
      <w:r w:rsidRPr="00B136D9">
        <w:t xml:space="preserve"> llevadas a cabo por el Instituto de Lenguas del Centro de Estudio </w:t>
      </w:r>
      <w:r w:rsidR="00F23BC6">
        <w:t>e</w:t>
      </w:r>
      <w:r w:rsidRPr="00B136D9">
        <w:t xml:space="preserve"> Investigación de Djibouti.</w:t>
      </w:r>
    </w:p>
    <w:p w:rsidR="00DD5328" w:rsidRPr="00B136D9" w:rsidRDefault="00DD5328" w:rsidP="00DD5328">
      <w:pPr>
        <w:pStyle w:val="SingleTxtG"/>
      </w:pPr>
      <w:r w:rsidRPr="00B136D9">
        <w:t>14.</w:t>
      </w:r>
      <w:r w:rsidRPr="00B136D9">
        <w:tab/>
        <w:t xml:space="preserve">Información sobre las medidas adoptadas para proteger el derecho de los pueblos nómadas a su modo de vida en función de la migración estacional y </w:t>
      </w:r>
      <w:r w:rsidR="00F23BC6">
        <w:t>sobre</w:t>
      </w:r>
      <w:r w:rsidRPr="00B136D9">
        <w:t xml:space="preserve"> las medidas adoptadas para reconocer los derechos de los pueblos autóctonos en su condición de tales.</w:t>
      </w:r>
    </w:p>
    <w:p w:rsidR="00DD5328" w:rsidRPr="00B136D9" w:rsidRDefault="00DD5328" w:rsidP="00DD5328">
      <w:pPr>
        <w:pStyle w:val="H23G"/>
      </w:pPr>
      <w:r>
        <w:tab/>
      </w:r>
      <w:r>
        <w:tab/>
      </w:r>
      <w:r w:rsidRPr="00B136D9">
        <w:t>Situación de los no ciudadanos, en particular los migrantes, los refugiados</w:t>
      </w:r>
      <w:r>
        <w:br/>
      </w:r>
      <w:r w:rsidRPr="00B136D9">
        <w:t>y los solicitantes de asilo (arts. 1, 2, 5 y 6)</w:t>
      </w:r>
    </w:p>
    <w:p w:rsidR="00DD5328" w:rsidRPr="00B136D9" w:rsidRDefault="00DD5328" w:rsidP="00DD5328">
      <w:pPr>
        <w:pStyle w:val="SingleTxtG"/>
      </w:pPr>
      <w:r w:rsidRPr="00B136D9">
        <w:t>15.</w:t>
      </w:r>
      <w:r w:rsidRPr="00B136D9">
        <w:tab/>
        <w:t>Información sobre el marco legislativo para los refugiados, incluidos los procedimientos de asilo (CERD/C/DJI/1-2, párrs. 30 y 31).</w:t>
      </w:r>
    </w:p>
    <w:p w:rsidR="00DD5328" w:rsidRPr="00B136D9" w:rsidRDefault="00DD5328" w:rsidP="00DD5328">
      <w:pPr>
        <w:pStyle w:val="SingleTxtG"/>
      </w:pPr>
      <w:r w:rsidRPr="00B136D9">
        <w:t>16.</w:t>
      </w:r>
      <w:r w:rsidRPr="00B136D9">
        <w:tab/>
        <w:t>Medidas adoptadas para mejorar las condiciones de vida en el campamento de refugiados de Markazi (CERD/C/DJI/1-2, párr. 32).</w:t>
      </w:r>
    </w:p>
    <w:p w:rsidR="00DD5328" w:rsidRPr="00B136D9" w:rsidRDefault="00DD5328" w:rsidP="00DD5328">
      <w:pPr>
        <w:pStyle w:val="SingleTxtG"/>
      </w:pPr>
      <w:r w:rsidRPr="00B136D9">
        <w:t>17.</w:t>
      </w:r>
      <w:r w:rsidRPr="00B136D9">
        <w:tab/>
        <w:t>Prevención de la trata de seres humanos, apoyo a las víctimas y persecución de los autores.</w:t>
      </w:r>
    </w:p>
    <w:p w:rsidR="00DD5328" w:rsidRPr="00B136D9" w:rsidRDefault="00DD5328" w:rsidP="00DD5328">
      <w:pPr>
        <w:pStyle w:val="SingleTxtG"/>
      </w:pPr>
      <w:r w:rsidRPr="00B136D9">
        <w:t>18.</w:t>
      </w:r>
      <w:r w:rsidRPr="00B136D9">
        <w:tab/>
        <w:t xml:space="preserve">Medidas eficaces adoptadas para remediar la discriminación de los niños de padres extranjeros </w:t>
      </w:r>
      <w:r w:rsidR="00F23BC6">
        <w:t>en</w:t>
      </w:r>
      <w:r w:rsidRPr="00B136D9">
        <w:t xml:space="preserve"> la adquisición de la nacionalidad de Djibouti (CERD/C/DJI/1-2, párrs. 18 y</w:t>
      </w:r>
      <w:r w:rsidR="00C36344">
        <w:t> </w:t>
      </w:r>
      <w:r w:rsidRPr="00B136D9">
        <w:t>19).</w:t>
      </w:r>
    </w:p>
    <w:p w:rsidR="00DD5328" w:rsidRPr="00B136D9" w:rsidRDefault="00DD5328" w:rsidP="00DD5328">
      <w:pPr>
        <w:pStyle w:val="H23G"/>
      </w:pPr>
      <w:r>
        <w:tab/>
      </w:r>
      <w:r>
        <w:tab/>
      </w:r>
      <w:r w:rsidRPr="00B136D9">
        <w:t>Derechos económicos, sociales y culturales de los grupos étnicos minoritarios</w:t>
      </w:r>
      <w:r>
        <w:br/>
      </w:r>
      <w:r w:rsidRPr="00B136D9">
        <w:t>y otros grupos vulnerables (art. 5)</w:t>
      </w:r>
    </w:p>
    <w:p w:rsidR="00DD5328" w:rsidRPr="00B136D9" w:rsidRDefault="00DD5328" w:rsidP="00DD5328">
      <w:pPr>
        <w:pStyle w:val="SingleTxtG"/>
      </w:pPr>
      <w:r w:rsidRPr="00B136D9">
        <w:t>19.</w:t>
      </w:r>
      <w:r w:rsidRPr="00B136D9">
        <w:tab/>
        <w:t xml:space="preserve">Acceso limitado </w:t>
      </w:r>
      <w:r w:rsidR="00F23BC6">
        <w:t xml:space="preserve">de los pueblos nómadas </w:t>
      </w:r>
      <w:r w:rsidRPr="00B136D9">
        <w:t>al agua en comparación con la media nacional.</w:t>
      </w:r>
    </w:p>
    <w:p w:rsidR="00DD5328" w:rsidRPr="00B136D9" w:rsidRDefault="00DD5328" w:rsidP="00DD5328">
      <w:pPr>
        <w:pStyle w:val="SingleTxtG"/>
      </w:pPr>
      <w:r w:rsidRPr="00B136D9">
        <w:t>20.</w:t>
      </w:r>
      <w:r w:rsidRPr="00B136D9">
        <w:tab/>
        <w:t xml:space="preserve">Información sobre la garantía del derecho a la educación para los niños de comunidades nómadas y para los niños que viven en los campamentos de refugiados, </w:t>
      </w:r>
      <w:r w:rsidR="00F23BC6">
        <w:t xml:space="preserve">y </w:t>
      </w:r>
      <w:r w:rsidRPr="00B136D9">
        <w:t>sobre las disparidades en las tasas de analfabetismo (CERD/C/DJI/1-2, párr. 156).</w:t>
      </w:r>
    </w:p>
    <w:p w:rsidR="00DD5328" w:rsidRPr="00B136D9" w:rsidRDefault="00DD5328" w:rsidP="00DD5328">
      <w:pPr>
        <w:pStyle w:val="SingleTxtG"/>
      </w:pPr>
      <w:r w:rsidRPr="00B136D9">
        <w:t>21.</w:t>
      </w:r>
      <w:r w:rsidRPr="00B136D9">
        <w:tab/>
        <w:t>Repercusión de los equipos sanitarios móviles en el derecho a la salud de los grupos minoritarios y nómadas (CERD/C/DJI/1-2, párrs. 88 y 91).</w:t>
      </w:r>
    </w:p>
    <w:p w:rsidR="00DD5328" w:rsidRPr="00B136D9" w:rsidRDefault="00DD5328" w:rsidP="00DD5328">
      <w:pPr>
        <w:pStyle w:val="H23G"/>
      </w:pPr>
      <w:r>
        <w:tab/>
      </w:r>
      <w:r>
        <w:tab/>
      </w:r>
      <w:r w:rsidRPr="00B136D9">
        <w:t>Participación de las minorías en la vida política y pública (art. 5)</w:t>
      </w:r>
    </w:p>
    <w:p w:rsidR="00DD5328" w:rsidRPr="00B136D9" w:rsidRDefault="00DD5328" w:rsidP="00DD5328">
      <w:pPr>
        <w:pStyle w:val="SingleTxtG"/>
      </w:pPr>
      <w:r w:rsidRPr="00B136D9">
        <w:t>22.</w:t>
      </w:r>
      <w:r w:rsidRPr="00B136D9">
        <w:tab/>
        <w:t xml:space="preserve">Información sobre </w:t>
      </w:r>
      <w:r w:rsidR="00F23BC6">
        <w:t xml:space="preserve">el reparto </w:t>
      </w:r>
      <w:r w:rsidRPr="00B136D9">
        <w:t xml:space="preserve">de los escaños entre las comunidades y las regiones en la Asamblea Nacional y las medidas adoptadas para dar garantías legislativas a fin de </w:t>
      </w:r>
      <w:r w:rsidR="009D2D46">
        <w:t xml:space="preserve">conseguir la </w:t>
      </w:r>
      <w:r w:rsidRPr="00B136D9">
        <w:t>representación equitativa de todas las comunidades y regiones en los órganos decisorios del Estado parte (CERD/C/DJI/1-2, párr. 17).</w:t>
      </w:r>
    </w:p>
    <w:p w:rsidR="00DD5328" w:rsidRPr="00B136D9" w:rsidRDefault="00DD5328" w:rsidP="00DD5328">
      <w:pPr>
        <w:pStyle w:val="H23G"/>
      </w:pPr>
      <w:bookmarkStart w:id="0" w:name="_GoBack"/>
      <w:bookmarkEnd w:id="0"/>
      <w:r>
        <w:lastRenderedPageBreak/>
        <w:tab/>
      </w:r>
      <w:r>
        <w:tab/>
      </w:r>
      <w:r w:rsidRPr="00B136D9">
        <w:t>Derecho de acceso a la justicia (art. 6)</w:t>
      </w:r>
    </w:p>
    <w:p w:rsidR="00DD5328" w:rsidRPr="00B136D9" w:rsidRDefault="00DD5328" w:rsidP="00DD5328">
      <w:pPr>
        <w:pStyle w:val="SingleTxtG"/>
      </w:pPr>
      <w:r w:rsidRPr="00B136D9">
        <w:t>23.</w:t>
      </w:r>
      <w:r w:rsidRPr="00B136D9">
        <w:tab/>
        <w:t>Repercusión sobre el derecho de acceso a la justicia de la introducción de los servicios de justicia móvil (tribunales de circuito) en las zonas rurales, en particular en lo que respecta a las minorías étnicas y los grupos vulnerables (CERD/C/DJI/1-2, párrs. 119 y</w:t>
      </w:r>
      <w:r w:rsidR="009D2D46">
        <w:t> </w:t>
      </w:r>
      <w:r w:rsidR="00C36344">
        <w:t>1</w:t>
      </w:r>
      <w:r w:rsidRPr="00B136D9">
        <w:t>20).</w:t>
      </w:r>
    </w:p>
    <w:p w:rsidR="00DD5328" w:rsidRPr="00B136D9" w:rsidRDefault="00DD5328" w:rsidP="00DD5328">
      <w:pPr>
        <w:pStyle w:val="SingleTxtG"/>
      </w:pPr>
      <w:r w:rsidRPr="00B136D9">
        <w:t>24.</w:t>
      </w:r>
      <w:r w:rsidRPr="00B136D9">
        <w:tab/>
        <w:t>Estado de la aplicación del programa de construcción de tribunales en cada capital regional (CERD/C/DJI/1-2, párrs. 119 y 120).</w:t>
      </w:r>
    </w:p>
    <w:p w:rsidR="00DD5328" w:rsidRPr="00B136D9" w:rsidRDefault="00DD5328" w:rsidP="00DD5328">
      <w:pPr>
        <w:pStyle w:val="SingleTxtG"/>
      </w:pPr>
      <w:r w:rsidRPr="00B136D9">
        <w:t>25.</w:t>
      </w:r>
      <w:r w:rsidRPr="00B136D9">
        <w:tab/>
        <w:t>Repercusión de la reforma de la asistencia letrada, en particular en las zonas rurales y remotas (CERD/C/DJI/1-2, párrs. 122 a 126).</w:t>
      </w:r>
    </w:p>
    <w:p w:rsidR="00DD5328" w:rsidRPr="00B136D9" w:rsidRDefault="00DD5328" w:rsidP="00DD5328">
      <w:pPr>
        <w:pStyle w:val="H23G"/>
      </w:pPr>
      <w:r>
        <w:tab/>
      </w:r>
      <w:r>
        <w:tab/>
      </w:r>
      <w:r w:rsidRPr="00B136D9">
        <w:t>Educación para luchar contra los prejuicios y promover la comprensión (art. 7)</w:t>
      </w:r>
    </w:p>
    <w:p w:rsidR="00381C24" w:rsidRDefault="00DD5328" w:rsidP="00DD5328">
      <w:pPr>
        <w:pStyle w:val="SingleTxtG"/>
      </w:pPr>
      <w:r w:rsidRPr="00B136D9">
        <w:t>26.</w:t>
      </w:r>
      <w:r w:rsidRPr="00B136D9">
        <w:tab/>
        <w:t>Sensibilización de la población con respecto a la discriminación racial y la tolerancia a fin de luchar contra los prejuicios; derechos humanos y fomento de la comprensión entre diferentes grupos en los planes de estudio escolares y en los programas de formación profesional (CERD/C/DJI/1-2, párrs. 149 y 15</w:t>
      </w:r>
      <w:r w:rsidR="009D2D46">
        <w:t>0</w:t>
      </w:r>
      <w:r w:rsidRPr="00B136D9">
        <w:t>).</w:t>
      </w:r>
    </w:p>
    <w:p w:rsidR="00DD5328" w:rsidRPr="00DD5328" w:rsidRDefault="00DD5328" w:rsidP="00DD5328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5328" w:rsidRPr="00DD5328" w:rsidSect="00C1405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EE" w:rsidRPr="00D43FF0" w:rsidRDefault="001D2CEE" w:rsidP="00D43FF0">
      <w:pPr>
        <w:pStyle w:val="Piedepgina"/>
      </w:pPr>
    </w:p>
  </w:endnote>
  <w:endnote w:type="continuationSeparator" w:id="0">
    <w:p w:rsidR="001D2CEE" w:rsidRPr="00D43FF0" w:rsidRDefault="001D2CEE" w:rsidP="00D43FF0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54" w:rsidRPr="00C14054" w:rsidRDefault="00C14054" w:rsidP="00C14054">
    <w:pPr>
      <w:pStyle w:val="Piedepgina"/>
      <w:tabs>
        <w:tab w:val="right" w:pos="9638"/>
      </w:tabs>
    </w:pPr>
    <w:r w:rsidRPr="00C14054">
      <w:rPr>
        <w:b/>
        <w:sz w:val="18"/>
      </w:rPr>
      <w:fldChar w:fldCharType="begin"/>
    </w:r>
    <w:r w:rsidRPr="00C14054">
      <w:rPr>
        <w:b/>
        <w:sz w:val="18"/>
      </w:rPr>
      <w:instrText xml:space="preserve"> PAGE  \* MERGEFORMAT </w:instrText>
    </w:r>
    <w:r w:rsidRPr="00C14054">
      <w:rPr>
        <w:b/>
        <w:sz w:val="18"/>
      </w:rPr>
      <w:fldChar w:fldCharType="separate"/>
    </w:r>
    <w:r w:rsidR="00DC06BC">
      <w:rPr>
        <w:b/>
        <w:noProof/>
        <w:sz w:val="18"/>
      </w:rPr>
      <w:t>2</w:t>
    </w:r>
    <w:r w:rsidRPr="00C14054">
      <w:rPr>
        <w:b/>
        <w:sz w:val="18"/>
      </w:rPr>
      <w:fldChar w:fldCharType="end"/>
    </w:r>
    <w:r>
      <w:rPr>
        <w:b/>
        <w:sz w:val="18"/>
      </w:rPr>
      <w:tab/>
    </w:r>
    <w:r>
      <w:t>GE.17-10279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54" w:rsidRPr="00C14054" w:rsidRDefault="00C14054" w:rsidP="00C14054">
    <w:pPr>
      <w:pStyle w:val="Piedepgina"/>
      <w:tabs>
        <w:tab w:val="right" w:pos="9638"/>
      </w:tabs>
      <w:rPr>
        <w:b/>
        <w:sz w:val="18"/>
      </w:rPr>
    </w:pPr>
    <w:r>
      <w:t>GE.17-10279</w:t>
    </w:r>
    <w:r>
      <w:tab/>
    </w:r>
    <w:r w:rsidRPr="00C14054">
      <w:rPr>
        <w:b/>
        <w:sz w:val="18"/>
      </w:rPr>
      <w:fldChar w:fldCharType="begin"/>
    </w:r>
    <w:r w:rsidRPr="00C14054">
      <w:rPr>
        <w:b/>
        <w:sz w:val="18"/>
      </w:rPr>
      <w:instrText xml:space="preserve"> PAGE  \* MERGEFORMAT </w:instrText>
    </w:r>
    <w:r w:rsidRPr="00C14054">
      <w:rPr>
        <w:b/>
        <w:sz w:val="18"/>
      </w:rPr>
      <w:fldChar w:fldCharType="separate"/>
    </w:r>
    <w:r w:rsidR="00DC06BC">
      <w:rPr>
        <w:b/>
        <w:noProof/>
        <w:sz w:val="18"/>
      </w:rPr>
      <w:t>3</w:t>
    </w:r>
    <w:r w:rsidRPr="00C140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2A" w:rsidRPr="00C14054" w:rsidRDefault="00C14054" w:rsidP="00C14054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CC15A3">
      <w:rPr>
        <w:noProof/>
      </w:rPr>
      <w:drawing>
        <wp:anchor distT="0" distB="0" distL="114300" distR="114300" simplePos="0" relativeHeight="251660288" behindDoc="0" locked="1" layoutInCell="1" allowOverlap="1" wp14:anchorId="7AEAE3DE" wp14:editId="2034B5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17-10279  (S)</w:t>
    </w:r>
    <w:r w:rsidR="00F951EE">
      <w:rPr>
        <w:sz w:val="20"/>
      </w:rPr>
      <w:t xml:space="preserve">    040717    120717</w:t>
    </w:r>
    <w:r>
      <w:rPr>
        <w:sz w:val="20"/>
      </w:rPr>
      <w:br/>
    </w:r>
    <w:r w:rsidRPr="00C14054">
      <w:rPr>
        <w:rFonts w:ascii="C39T30Lfz" w:hAnsi="C39T30Lfz"/>
        <w:sz w:val="56"/>
      </w:rPr>
      <w:t></w:t>
    </w:r>
    <w:r w:rsidRPr="00C14054">
      <w:rPr>
        <w:rFonts w:ascii="C39T30Lfz" w:hAnsi="C39T30Lfz"/>
        <w:sz w:val="56"/>
      </w:rPr>
      <w:t></w:t>
    </w:r>
    <w:r w:rsidRPr="00C14054">
      <w:rPr>
        <w:rFonts w:ascii="C39T30Lfz" w:hAnsi="C39T30Lfz"/>
        <w:sz w:val="56"/>
      </w:rPr>
      <w:t></w:t>
    </w:r>
    <w:r w:rsidRPr="00C14054">
      <w:rPr>
        <w:rFonts w:ascii="C39T30Lfz" w:hAnsi="C39T30Lfz"/>
        <w:sz w:val="56"/>
      </w:rPr>
      <w:t></w:t>
    </w:r>
    <w:r w:rsidRPr="00C14054">
      <w:rPr>
        <w:rFonts w:ascii="C39T30Lfz" w:hAnsi="C39T30Lfz"/>
        <w:sz w:val="56"/>
      </w:rPr>
      <w:t></w:t>
    </w:r>
    <w:r w:rsidRPr="00C14054">
      <w:rPr>
        <w:rFonts w:ascii="C39T30Lfz" w:hAnsi="C39T30Lfz"/>
        <w:sz w:val="56"/>
      </w:rPr>
      <w:t></w:t>
    </w:r>
    <w:r w:rsidRPr="00C14054">
      <w:rPr>
        <w:rFonts w:ascii="C39T30Lfz" w:hAnsi="C39T30Lfz"/>
        <w:sz w:val="56"/>
      </w:rPr>
      <w:t></w:t>
    </w:r>
    <w:r w:rsidRPr="00C14054">
      <w:rPr>
        <w:rFonts w:ascii="C39T30Lfz" w:hAnsi="C39T30Lfz"/>
        <w:sz w:val="56"/>
      </w:rPr>
      <w:t></w:t>
    </w:r>
    <w:r w:rsidRPr="00C1405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n 1" descr="https://undocs.org/m2/QRCode.ashx?DS=CERD/C/DJI/Q/1-2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RD/C/DJI/Q/1-2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EE" w:rsidRPr="001075E9" w:rsidRDefault="001D2C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2CEE" w:rsidRDefault="001D2CEE" w:rsidP="00D43FF0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54" w:rsidRPr="00C14054" w:rsidRDefault="00315A1A">
    <w:pPr>
      <w:pStyle w:val="Encabezado"/>
    </w:pPr>
    <w:fldSimple w:instr=" TITLE  \* MERGEFORMAT ">
      <w:r w:rsidR="00DC06BC">
        <w:t>CERD/C/DJI/Q/1-2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54" w:rsidRPr="00C14054" w:rsidRDefault="00315A1A" w:rsidP="00C14054">
    <w:pPr>
      <w:pStyle w:val="Encabezado"/>
      <w:jc w:val="right"/>
    </w:pPr>
    <w:fldSimple w:instr=" TITLE  \* MERGEFORMAT ">
      <w:r w:rsidR="00DC06BC">
        <w:t>CERD/C/DJI/Q/1-2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EE"/>
    <w:rsid w:val="00006BB9"/>
    <w:rsid w:val="000107A1"/>
    <w:rsid w:val="0002339D"/>
    <w:rsid w:val="00036733"/>
    <w:rsid w:val="000B57E7"/>
    <w:rsid w:val="000F09DF"/>
    <w:rsid w:val="000F61B2"/>
    <w:rsid w:val="00100EA7"/>
    <w:rsid w:val="00103A93"/>
    <w:rsid w:val="001075E9"/>
    <w:rsid w:val="00133DFF"/>
    <w:rsid w:val="00145F2F"/>
    <w:rsid w:val="00160FF7"/>
    <w:rsid w:val="00180183"/>
    <w:rsid w:val="00196389"/>
    <w:rsid w:val="001C7A89"/>
    <w:rsid w:val="001D2CEE"/>
    <w:rsid w:val="001D58D9"/>
    <w:rsid w:val="00201F1A"/>
    <w:rsid w:val="00213632"/>
    <w:rsid w:val="002433EC"/>
    <w:rsid w:val="00243670"/>
    <w:rsid w:val="0025226E"/>
    <w:rsid w:val="00281DDE"/>
    <w:rsid w:val="00283ED7"/>
    <w:rsid w:val="002A2EFC"/>
    <w:rsid w:val="002C0E18"/>
    <w:rsid w:val="002C33BB"/>
    <w:rsid w:val="002D5AAC"/>
    <w:rsid w:val="00301299"/>
    <w:rsid w:val="00315A1A"/>
    <w:rsid w:val="00322004"/>
    <w:rsid w:val="003402C2"/>
    <w:rsid w:val="00381C24"/>
    <w:rsid w:val="003958D0"/>
    <w:rsid w:val="003A099D"/>
    <w:rsid w:val="004031F0"/>
    <w:rsid w:val="00454E07"/>
    <w:rsid w:val="00471CB3"/>
    <w:rsid w:val="004F740E"/>
    <w:rsid w:val="0050108D"/>
    <w:rsid w:val="0051740C"/>
    <w:rsid w:val="00572E19"/>
    <w:rsid w:val="005F0B42"/>
    <w:rsid w:val="00634841"/>
    <w:rsid w:val="00655A21"/>
    <w:rsid w:val="0067198A"/>
    <w:rsid w:val="006721AA"/>
    <w:rsid w:val="006725B3"/>
    <w:rsid w:val="006808A9"/>
    <w:rsid w:val="006D631C"/>
    <w:rsid w:val="006F35EE"/>
    <w:rsid w:val="007021FF"/>
    <w:rsid w:val="007076CB"/>
    <w:rsid w:val="007967DF"/>
    <w:rsid w:val="00815FB2"/>
    <w:rsid w:val="00834B71"/>
    <w:rsid w:val="00857E4A"/>
    <w:rsid w:val="0086445C"/>
    <w:rsid w:val="00865A80"/>
    <w:rsid w:val="00865FAC"/>
    <w:rsid w:val="008710EE"/>
    <w:rsid w:val="008728CD"/>
    <w:rsid w:val="008A08D7"/>
    <w:rsid w:val="008A13F9"/>
    <w:rsid w:val="008C0F65"/>
    <w:rsid w:val="008C29C4"/>
    <w:rsid w:val="00906890"/>
    <w:rsid w:val="00951972"/>
    <w:rsid w:val="00954E65"/>
    <w:rsid w:val="009D2D46"/>
    <w:rsid w:val="00A17DFD"/>
    <w:rsid w:val="00A414EF"/>
    <w:rsid w:val="00A4674B"/>
    <w:rsid w:val="00A917B3"/>
    <w:rsid w:val="00AB4B51"/>
    <w:rsid w:val="00B066FC"/>
    <w:rsid w:val="00B10CC7"/>
    <w:rsid w:val="00B62458"/>
    <w:rsid w:val="00B778C8"/>
    <w:rsid w:val="00BA3587"/>
    <w:rsid w:val="00BB36EA"/>
    <w:rsid w:val="00BD33EE"/>
    <w:rsid w:val="00C14054"/>
    <w:rsid w:val="00C36344"/>
    <w:rsid w:val="00C60F0C"/>
    <w:rsid w:val="00C63C2A"/>
    <w:rsid w:val="00C805C9"/>
    <w:rsid w:val="00C81B06"/>
    <w:rsid w:val="00C907F0"/>
    <w:rsid w:val="00CA1679"/>
    <w:rsid w:val="00CC15A3"/>
    <w:rsid w:val="00D05347"/>
    <w:rsid w:val="00D269A4"/>
    <w:rsid w:val="00D43FF0"/>
    <w:rsid w:val="00D90138"/>
    <w:rsid w:val="00DA26B8"/>
    <w:rsid w:val="00DC06BC"/>
    <w:rsid w:val="00DD4E25"/>
    <w:rsid w:val="00DD5328"/>
    <w:rsid w:val="00E2656E"/>
    <w:rsid w:val="00E73F76"/>
    <w:rsid w:val="00EA31D8"/>
    <w:rsid w:val="00EA5579"/>
    <w:rsid w:val="00EF1360"/>
    <w:rsid w:val="00EF3220"/>
    <w:rsid w:val="00EF7198"/>
    <w:rsid w:val="00F23BC6"/>
    <w:rsid w:val="00F41883"/>
    <w:rsid w:val="00F45524"/>
    <w:rsid w:val="00F66043"/>
    <w:rsid w:val="00F94155"/>
    <w:rsid w:val="00F951EE"/>
    <w:rsid w:val="00FC28A5"/>
    <w:rsid w:val="00FD2EF7"/>
    <w:rsid w:val="00FD4AD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F4049C-7DDC-4EEB-AB67-793BFE58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8A"/>
    <w:pPr>
      <w:spacing w:line="240" w:lineRule="atLeast"/>
    </w:pPr>
    <w:rPr>
      <w:lang w:val="es-ES" w:eastAsia="es-ES"/>
    </w:rPr>
  </w:style>
  <w:style w:type="paragraph" w:styleId="Ttulo1">
    <w:name w:val="heading 1"/>
    <w:aliases w:val="Table_G"/>
    <w:basedOn w:val="SingleTxtG"/>
    <w:next w:val="SingleTxtG"/>
    <w:rsid w:val="00D05347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Normal"/>
    <w:semiHidden/>
    <w:rsid w:val="00EA31D8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EA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EA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EA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EA31D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EA31D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EA31D8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EA3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EA31D8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A3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0107A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EA31D8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EA31D8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A31D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A31D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EA31D8"/>
    <w:rPr>
      <w:sz w:val="16"/>
    </w:rPr>
  </w:style>
  <w:style w:type="paragraph" w:customStyle="1" w:styleId="XLargeG">
    <w:name w:val="__XLarge_G"/>
    <w:basedOn w:val="Normal"/>
    <w:next w:val="Normal"/>
    <w:rsid w:val="00EA31D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autoRedefine/>
    <w:rsid w:val="00EA31D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EA31D8"/>
    <w:pPr>
      <w:numPr>
        <w:numId w:val="3"/>
      </w:numPr>
    </w:pPr>
  </w:style>
  <w:style w:type="numbering" w:styleId="1ai">
    <w:name w:val="Outline List 1"/>
    <w:basedOn w:val="Sinlista"/>
    <w:semiHidden/>
    <w:rsid w:val="00EA31D8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EA31D8"/>
  </w:style>
  <w:style w:type="numbering" w:styleId="ArtculoSeccin">
    <w:name w:val="Outline List 3"/>
    <w:basedOn w:val="Sinlista"/>
    <w:semiHidden/>
    <w:rsid w:val="00EA31D8"/>
    <w:pPr>
      <w:numPr>
        <w:numId w:val="5"/>
      </w:numPr>
    </w:pPr>
  </w:style>
  <w:style w:type="paragraph" w:styleId="Cierre">
    <w:name w:val="Closing"/>
    <w:basedOn w:val="Normal"/>
    <w:semiHidden/>
    <w:rsid w:val="00EA31D8"/>
    <w:pPr>
      <w:ind w:left="4252"/>
    </w:pPr>
  </w:style>
  <w:style w:type="character" w:styleId="CitaHTML">
    <w:name w:val="HTML Cite"/>
    <w:basedOn w:val="Fuentedeprrafopredeter"/>
    <w:semiHidden/>
    <w:rsid w:val="00EA31D8"/>
    <w:rPr>
      <w:i/>
      <w:iCs/>
    </w:rPr>
  </w:style>
  <w:style w:type="character" w:styleId="CdigoHTML">
    <w:name w:val="HTML Code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EA31D8"/>
    <w:pPr>
      <w:spacing w:after="120"/>
      <w:ind w:left="283"/>
    </w:pPr>
  </w:style>
  <w:style w:type="paragraph" w:styleId="Continuarlista2">
    <w:name w:val="List Continue 2"/>
    <w:basedOn w:val="Normal"/>
    <w:semiHidden/>
    <w:rsid w:val="00EA31D8"/>
    <w:pPr>
      <w:spacing w:after="120"/>
      <w:ind w:left="566"/>
    </w:pPr>
  </w:style>
  <w:style w:type="paragraph" w:styleId="Continuarlista3">
    <w:name w:val="List Continue 3"/>
    <w:basedOn w:val="Normal"/>
    <w:semiHidden/>
    <w:rsid w:val="00EA31D8"/>
    <w:pPr>
      <w:spacing w:after="120"/>
      <w:ind w:left="849"/>
    </w:pPr>
  </w:style>
  <w:style w:type="paragraph" w:styleId="Continuarlista4">
    <w:name w:val="List Continue 4"/>
    <w:basedOn w:val="Normal"/>
    <w:semiHidden/>
    <w:rsid w:val="00EA31D8"/>
    <w:pPr>
      <w:spacing w:after="120"/>
      <w:ind w:left="1132"/>
    </w:pPr>
  </w:style>
  <w:style w:type="paragraph" w:styleId="Continuarlista5">
    <w:name w:val="List Continue 5"/>
    <w:basedOn w:val="Normal"/>
    <w:semiHidden/>
    <w:rsid w:val="00EA31D8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EA31D8"/>
    <w:rPr>
      <w:i/>
      <w:iCs/>
    </w:rPr>
  </w:style>
  <w:style w:type="paragraph" w:styleId="DireccinHTML">
    <w:name w:val="HTML Address"/>
    <w:basedOn w:val="Normal"/>
    <w:semiHidden/>
    <w:rsid w:val="00EA31D8"/>
    <w:rPr>
      <w:i/>
      <w:iCs/>
    </w:rPr>
  </w:style>
  <w:style w:type="paragraph" w:styleId="Direccinsobre">
    <w:name w:val="envelope address"/>
    <w:basedOn w:val="Normal"/>
    <w:semiHidden/>
    <w:rsid w:val="00EA31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EA31D8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EA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EA31D8"/>
  </w:style>
  <w:style w:type="character" w:styleId="nfasis">
    <w:name w:val="Emphasis"/>
    <w:basedOn w:val="Fuentedeprrafopredeter"/>
    <w:semiHidden/>
    <w:rsid w:val="00EA31D8"/>
    <w:rPr>
      <w:i/>
      <w:iCs/>
    </w:rPr>
  </w:style>
  <w:style w:type="paragraph" w:styleId="Fecha">
    <w:name w:val="Date"/>
    <w:basedOn w:val="Normal"/>
    <w:next w:val="Normal"/>
    <w:semiHidden/>
    <w:rsid w:val="00EA31D8"/>
  </w:style>
  <w:style w:type="paragraph" w:styleId="Firma">
    <w:name w:val="Signature"/>
    <w:basedOn w:val="Normal"/>
    <w:semiHidden/>
    <w:rsid w:val="00EA31D8"/>
    <w:pPr>
      <w:ind w:left="4252"/>
    </w:pPr>
  </w:style>
  <w:style w:type="paragraph" w:styleId="Firmadecorreoelectrnico">
    <w:name w:val="E-mail Signature"/>
    <w:basedOn w:val="Normal"/>
    <w:semiHidden/>
    <w:rsid w:val="00EA31D8"/>
  </w:style>
  <w:style w:type="character" w:styleId="Hipervnculo">
    <w:name w:val="Hyperlink"/>
    <w:basedOn w:val="Fuentedeprrafopredeter"/>
    <w:rsid w:val="008C29C4"/>
    <w:rPr>
      <w:color w:val="0000FF"/>
      <w:u w:val="none"/>
    </w:rPr>
  </w:style>
  <w:style w:type="character" w:styleId="Hipervnculovisitado">
    <w:name w:val="FollowedHyperlink"/>
    <w:basedOn w:val="Fuentedeprrafopredeter"/>
    <w:rsid w:val="008C29C4"/>
    <w:rPr>
      <w:color w:val="0000FF"/>
      <w:u w:val="none"/>
    </w:rPr>
  </w:style>
  <w:style w:type="paragraph" w:styleId="HTMLconformatoprevio">
    <w:name w:val="HTML Preformatted"/>
    <w:basedOn w:val="Normal"/>
    <w:semiHidden/>
    <w:rsid w:val="00EA31D8"/>
    <w:rPr>
      <w:rFonts w:ascii="Courier New" w:hAnsi="Courier New" w:cs="Courier New"/>
    </w:rPr>
  </w:style>
  <w:style w:type="paragraph" w:styleId="Lista">
    <w:name w:val="List"/>
    <w:basedOn w:val="Normal"/>
    <w:semiHidden/>
    <w:rsid w:val="00EA31D8"/>
    <w:pPr>
      <w:ind w:left="283" w:hanging="283"/>
    </w:pPr>
  </w:style>
  <w:style w:type="paragraph" w:styleId="Lista2">
    <w:name w:val="List 2"/>
    <w:basedOn w:val="Normal"/>
    <w:semiHidden/>
    <w:rsid w:val="00EA31D8"/>
    <w:pPr>
      <w:ind w:left="566" w:hanging="283"/>
    </w:pPr>
  </w:style>
  <w:style w:type="paragraph" w:styleId="Lista3">
    <w:name w:val="List 3"/>
    <w:basedOn w:val="Normal"/>
    <w:semiHidden/>
    <w:rsid w:val="00EA31D8"/>
    <w:pPr>
      <w:ind w:left="849" w:hanging="283"/>
    </w:pPr>
  </w:style>
  <w:style w:type="paragraph" w:styleId="Lista4">
    <w:name w:val="List 4"/>
    <w:basedOn w:val="Normal"/>
    <w:semiHidden/>
    <w:rsid w:val="00EA31D8"/>
    <w:pPr>
      <w:ind w:left="1132" w:hanging="283"/>
    </w:pPr>
  </w:style>
  <w:style w:type="paragraph" w:styleId="Lista5">
    <w:name w:val="List 5"/>
    <w:basedOn w:val="Normal"/>
    <w:semiHidden/>
    <w:rsid w:val="00EA31D8"/>
    <w:pPr>
      <w:ind w:left="1415" w:hanging="283"/>
    </w:pPr>
  </w:style>
  <w:style w:type="paragraph" w:styleId="Listaconnmeros">
    <w:name w:val="List Number"/>
    <w:basedOn w:val="Normal"/>
    <w:semiHidden/>
    <w:rsid w:val="00EA31D8"/>
    <w:pPr>
      <w:numPr>
        <w:numId w:val="6"/>
      </w:numPr>
    </w:pPr>
  </w:style>
  <w:style w:type="paragraph" w:styleId="Listaconnmeros2">
    <w:name w:val="List Number 2"/>
    <w:basedOn w:val="Normal"/>
    <w:semiHidden/>
    <w:rsid w:val="00EA31D8"/>
    <w:pPr>
      <w:numPr>
        <w:numId w:val="7"/>
      </w:numPr>
    </w:pPr>
  </w:style>
  <w:style w:type="paragraph" w:styleId="Listaconnmeros3">
    <w:name w:val="List Number 3"/>
    <w:basedOn w:val="Normal"/>
    <w:semiHidden/>
    <w:rsid w:val="00EA31D8"/>
    <w:pPr>
      <w:numPr>
        <w:numId w:val="8"/>
      </w:numPr>
    </w:pPr>
  </w:style>
  <w:style w:type="paragraph" w:styleId="Listaconnmeros4">
    <w:name w:val="List Number 4"/>
    <w:basedOn w:val="Normal"/>
    <w:semiHidden/>
    <w:rsid w:val="00EA31D8"/>
    <w:pPr>
      <w:numPr>
        <w:numId w:val="9"/>
      </w:numPr>
    </w:pPr>
  </w:style>
  <w:style w:type="paragraph" w:styleId="Listaconnmeros5">
    <w:name w:val="List Number 5"/>
    <w:basedOn w:val="Normal"/>
    <w:semiHidden/>
    <w:rsid w:val="00EA31D8"/>
    <w:pPr>
      <w:numPr>
        <w:numId w:val="10"/>
      </w:numPr>
    </w:pPr>
  </w:style>
  <w:style w:type="paragraph" w:styleId="Listaconvietas">
    <w:name w:val="List Bullet"/>
    <w:basedOn w:val="Normal"/>
    <w:semiHidden/>
    <w:rsid w:val="00EA31D8"/>
    <w:pPr>
      <w:numPr>
        <w:numId w:val="11"/>
      </w:numPr>
    </w:pPr>
  </w:style>
  <w:style w:type="paragraph" w:styleId="Listaconvietas2">
    <w:name w:val="List Bullet 2"/>
    <w:basedOn w:val="Normal"/>
    <w:semiHidden/>
    <w:rsid w:val="00EA31D8"/>
    <w:pPr>
      <w:numPr>
        <w:numId w:val="12"/>
      </w:numPr>
    </w:pPr>
  </w:style>
  <w:style w:type="paragraph" w:styleId="Listaconvietas3">
    <w:name w:val="List Bullet 3"/>
    <w:basedOn w:val="Normal"/>
    <w:semiHidden/>
    <w:rsid w:val="00EA31D8"/>
    <w:pPr>
      <w:numPr>
        <w:numId w:val="13"/>
      </w:numPr>
    </w:pPr>
  </w:style>
  <w:style w:type="paragraph" w:styleId="Listaconvietas4">
    <w:name w:val="List Bullet 4"/>
    <w:basedOn w:val="Normal"/>
    <w:semiHidden/>
    <w:rsid w:val="00EA31D8"/>
    <w:pPr>
      <w:numPr>
        <w:numId w:val="14"/>
      </w:numPr>
    </w:pPr>
  </w:style>
  <w:style w:type="paragraph" w:styleId="Listaconvietas5">
    <w:name w:val="List Bullet 5"/>
    <w:basedOn w:val="Normal"/>
    <w:semiHidden/>
    <w:rsid w:val="00EA31D8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A31D8"/>
    <w:rPr>
      <w:sz w:val="24"/>
      <w:szCs w:val="24"/>
    </w:rPr>
  </w:style>
  <w:style w:type="character" w:styleId="Nmerodelnea">
    <w:name w:val="line number"/>
    <w:basedOn w:val="Fuentedeprrafopredeter"/>
    <w:semiHidden/>
    <w:rsid w:val="00EA31D8"/>
  </w:style>
  <w:style w:type="character" w:styleId="Nmerodepgina">
    <w:name w:val="page number"/>
    <w:aliases w:val="7_G"/>
    <w:basedOn w:val="Fuentedeprrafopredeter"/>
    <w:rsid w:val="00EA31D8"/>
    <w:rPr>
      <w:b/>
      <w:sz w:val="18"/>
    </w:rPr>
  </w:style>
  <w:style w:type="character" w:styleId="Refdenotaalfinal">
    <w:name w:val="endnote reference"/>
    <w:aliases w:val="1_G"/>
    <w:basedOn w:val="Refdenotaalpie"/>
    <w:rsid w:val="00EA31D8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EA31D8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EA31D8"/>
  </w:style>
  <w:style w:type="paragraph" w:styleId="Sangra2detindependiente">
    <w:name w:val="Body Text Indent 2"/>
    <w:basedOn w:val="Normal"/>
    <w:semiHidden/>
    <w:rsid w:val="00EA31D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EA31D8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EA31D8"/>
    <w:pPr>
      <w:spacing w:after="120"/>
      <w:ind w:left="283"/>
    </w:pPr>
  </w:style>
  <w:style w:type="paragraph" w:styleId="Sangranormal">
    <w:name w:val="Normal Indent"/>
    <w:basedOn w:val="Normal"/>
    <w:semiHidden/>
    <w:rsid w:val="00EA31D8"/>
    <w:pPr>
      <w:ind w:left="567"/>
    </w:pPr>
  </w:style>
  <w:style w:type="paragraph" w:styleId="Subttulo">
    <w:name w:val="Subtitle"/>
    <w:basedOn w:val="Normal"/>
    <w:semiHidden/>
    <w:rsid w:val="00EA31D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EA31D8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EA31D8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EA31D8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EA31D8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EA31D8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EA31D8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EA31D8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EA31D8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EA31D8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EA31D8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EA31D8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EA31D8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EA31D8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EA31D8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EA31D8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EA31D8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EA31D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EA31D8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EA31D8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EA31D8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EA31D8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EA31D8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EA31D8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EA31D8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EA31D8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EA31D8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EA31D8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EA31D8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EA31D8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EA31D8"/>
    <w:rPr>
      <w:b/>
      <w:bCs/>
    </w:rPr>
  </w:style>
  <w:style w:type="paragraph" w:styleId="Textoindependiente">
    <w:name w:val="Body Text"/>
    <w:basedOn w:val="Normal"/>
    <w:semiHidden/>
    <w:rsid w:val="00EA31D8"/>
    <w:pPr>
      <w:spacing w:after="120"/>
    </w:pPr>
  </w:style>
  <w:style w:type="paragraph" w:styleId="Textoindependiente2">
    <w:name w:val="Body Text 2"/>
    <w:basedOn w:val="Normal"/>
    <w:semiHidden/>
    <w:rsid w:val="00EA31D8"/>
    <w:pPr>
      <w:spacing w:after="120" w:line="480" w:lineRule="auto"/>
    </w:pPr>
  </w:style>
  <w:style w:type="paragraph" w:styleId="Textoindependiente3">
    <w:name w:val="Body Text 3"/>
    <w:basedOn w:val="Normal"/>
    <w:semiHidden/>
    <w:rsid w:val="00EA31D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EA31D8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EA31D8"/>
    <w:pPr>
      <w:ind w:firstLine="210"/>
    </w:pPr>
  </w:style>
  <w:style w:type="paragraph" w:styleId="Textonotaalfinal">
    <w:name w:val="endnote text"/>
    <w:aliases w:val="2_G"/>
    <w:basedOn w:val="Textonotapie"/>
    <w:rsid w:val="00EA31D8"/>
  </w:style>
  <w:style w:type="paragraph" w:styleId="Textosinformato">
    <w:name w:val="Plain Text"/>
    <w:basedOn w:val="Normal"/>
    <w:semiHidden/>
    <w:rsid w:val="00EA31D8"/>
    <w:rPr>
      <w:rFonts w:ascii="Courier New" w:hAnsi="Courier New" w:cs="Courier New"/>
    </w:rPr>
  </w:style>
  <w:style w:type="paragraph" w:styleId="Ttulo">
    <w:name w:val="Title"/>
    <w:basedOn w:val="Normal"/>
    <w:semiHidden/>
    <w:rsid w:val="00EA31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EA31D8"/>
    <w:rPr>
      <w:i/>
      <w:iCs/>
    </w:rPr>
  </w:style>
  <w:style w:type="paragraph" w:customStyle="1" w:styleId="Bullet1G">
    <w:name w:val="_Bullet 1_G"/>
    <w:basedOn w:val="Normal"/>
    <w:qFormat/>
    <w:rsid w:val="00EA31D8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EA31D8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CC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C15A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ER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3F6B-BEA5-419D-8E92-996A6F3A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CERD.dotm</Template>
  <TotalTime>1</TotalTime>
  <Pages>3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CERD/C/DJI/Q/1-2</vt:lpstr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CERD/C/DJI/Q/1-2</dc:title>
  <dc:subject/>
  <dc:creator>Romina Valeria MERINO MAC-KAY</dc:creator>
  <cp:keywords/>
  <cp:lastModifiedBy>Maria Luisa ZEBALLOS MORENO</cp:lastModifiedBy>
  <cp:revision>3</cp:revision>
  <cp:lastPrinted>2017-07-12T10:30:00Z</cp:lastPrinted>
  <dcterms:created xsi:type="dcterms:W3CDTF">2017-07-12T10:30:00Z</dcterms:created>
  <dcterms:modified xsi:type="dcterms:W3CDTF">2017-07-12T10:31:00Z</dcterms:modified>
</cp:coreProperties>
</file>