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3976C8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 w:rsidRPr="003976C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3976C8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3976C8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3976C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3976C8">
              <w:rPr>
                <w:lang w:val="en-US"/>
              </w:rPr>
              <w:instrText xml:space="preserve"> CERD/"  \* MERGEFORMAT </w:instrText>
            </w:r>
            <w:r>
              <w:fldChar w:fldCharType="separate"/>
            </w:r>
            <w:r w:rsidR="00373663" w:rsidRPr="003976C8">
              <w:rPr>
                <w:lang w:val="en-US"/>
              </w:rPr>
              <w:t>C/SVN/CO/6-7/Add.1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373663">
              <w:rPr>
                <w:sz w:val="20"/>
                <w:lang w:val="en-US"/>
              </w:rPr>
              <w:fldChar w:fldCharType="separate"/>
            </w:r>
            <w:r w:rsidR="00373663">
              <w:rPr>
                <w:sz w:val="20"/>
                <w:lang w:val="en-US"/>
              </w:rPr>
              <w:t>4 July 2013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3976C8" w:rsidRPr="00552167" w:rsidRDefault="003976C8" w:rsidP="00552167">
      <w:pPr>
        <w:spacing w:before="120"/>
        <w:rPr>
          <w:b/>
          <w:sz w:val="24"/>
          <w:szCs w:val="24"/>
        </w:rPr>
      </w:pPr>
      <w:r w:rsidRPr="00552167">
        <w:rPr>
          <w:b/>
          <w:sz w:val="24"/>
          <w:szCs w:val="24"/>
        </w:rPr>
        <w:t>Комитет по ликвидации расовой дискриминации</w:t>
      </w:r>
    </w:p>
    <w:p w:rsidR="003976C8" w:rsidRPr="003976C8" w:rsidRDefault="00552167" w:rsidP="0055216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3976C8" w:rsidRPr="003976C8">
        <w:t xml:space="preserve">Заключительные </w:t>
      </w:r>
      <w:r w:rsidR="00A03702">
        <w:t>замечания в отношении шестого и</w:t>
      </w:r>
      <w:r w:rsidR="00A03702">
        <w:rPr>
          <w:lang w:val="en-US"/>
        </w:rPr>
        <w:t> </w:t>
      </w:r>
      <w:r w:rsidR="003976C8" w:rsidRPr="003976C8">
        <w:t>седьмого периодических докладов Словении, представленных в одном документе, принятые Комитетом на его</w:t>
      </w:r>
      <w:r w:rsidR="00A03702">
        <w:t xml:space="preserve"> семьдесят седьмой сессии (2−27</w:t>
      </w:r>
      <w:r w:rsidR="00A03702">
        <w:rPr>
          <w:lang w:val="en-US"/>
        </w:rPr>
        <w:t> </w:t>
      </w:r>
      <w:r w:rsidR="003976C8" w:rsidRPr="003976C8">
        <w:t>августа 2010 года)</w:t>
      </w:r>
    </w:p>
    <w:p w:rsidR="003976C8" w:rsidRPr="003976C8" w:rsidRDefault="00552167" w:rsidP="00552167">
      <w:pPr>
        <w:pStyle w:val="H23GR"/>
      </w:pPr>
      <w:r w:rsidRPr="00A03702">
        <w:tab/>
      </w:r>
      <w:r w:rsidRPr="00A03702">
        <w:tab/>
      </w:r>
      <w:r w:rsidR="003976C8" w:rsidRPr="003976C8">
        <w:t>Добавление</w:t>
      </w:r>
    </w:p>
    <w:p w:rsidR="003976C8" w:rsidRPr="00552167" w:rsidRDefault="00552167" w:rsidP="00552167">
      <w:pPr>
        <w:pStyle w:val="H1GR"/>
        <w:rPr>
          <w:b w:val="0"/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 w:rsidR="003976C8" w:rsidRPr="003976C8">
        <w:t>Информация, полученн</w:t>
      </w:r>
      <w:r w:rsidR="00A03702">
        <w:t>ая от правительства Словении, в</w:t>
      </w:r>
      <w:r w:rsidR="00A03702">
        <w:rPr>
          <w:lang w:val="en-US"/>
        </w:rPr>
        <w:t> </w:t>
      </w:r>
      <w:r w:rsidR="003976C8" w:rsidRPr="003976C8">
        <w:t>отношении рекомендаций, содержащихся в пунктах 10 и 13 заключительных замечаний</w:t>
      </w:r>
      <w:r w:rsidR="003976C8" w:rsidRPr="00552167">
        <w:rPr>
          <w:b w:val="0"/>
          <w:sz w:val="20"/>
        </w:rPr>
        <w:footnoteReference w:customMarkFollows="1" w:id="1"/>
        <w:t xml:space="preserve">* </w:t>
      </w:r>
    </w:p>
    <w:p w:rsidR="003976C8" w:rsidRPr="003976C8" w:rsidRDefault="003976C8" w:rsidP="00552167">
      <w:pPr>
        <w:jc w:val="right"/>
      </w:pPr>
      <w:r w:rsidRPr="003976C8">
        <w:t>[31 января 2013 года]</w:t>
      </w:r>
    </w:p>
    <w:p w:rsidR="003976C8" w:rsidRPr="003976C8" w:rsidRDefault="00601FA9" w:rsidP="00601FA9">
      <w:pPr>
        <w:pStyle w:val="HChGR"/>
      </w:pPr>
      <w:r>
        <w:rPr>
          <w:lang w:val="en-US"/>
        </w:rPr>
        <w:tab/>
      </w:r>
      <w:r w:rsidR="003976C8" w:rsidRPr="003976C8">
        <w:rPr>
          <w:lang w:val="en-US"/>
        </w:rPr>
        <w:t>I</w:t>
      </w:r>
      <w:r w:rsidR="003976C8" w:rsidRPr="003976C8">
        <w:t>.</w:t>
      </w:r>
      <w:r w:rsidR="003976C8" w:rsidRPr="003976C8">
        <w:tab/>
        <w:t>Введение</w:t>
      </w:r>
    </w:p>
    <w:p w:rsidR="003976C8" w:rsidRPr="003976C8" w:rsidRDefault="003976C8" w:rsidP="00601FA9">
      <w:pPr>
        <w:pStyle w:val="SingleTxtGR"/>
      </w:pPr>
      <w:r w:rsidRPr="003976C8">
        <w:t>1.</w:t>
      </w:r>
      <w:r w:rsidRPr="003976C8">
        <w:tab/>
        <w:t>Правительство Республики Словения приветствует возможность продо</w:t>
      </w:r>
      <w:r w:rsidRPr="003976C8">
        <w:t>л</w:t>
      </w:r>
      <w:r w:rsidRPr="003976C8">
        <w:t xml:space="preserve">жить диалог с Комитетом по ликвидации расовой дискриминации и хотело бы прежде всего напомнить о </w:t>
      </w:r>
      <w:r w:rsidR="00A03702">
        <w:t xml:space="preserve">комментариях и пояснениях, </w:t>
      </w:r>
      <w:r w:rsidRPr="003976C8">
        <w:t xml:space="preserve">содержащихся в </w:t>
      </w:r>
      <w:r w:rsidR="00A03702">
        <w:t>ноте</w:t>
      </w:r>
      <w:r w:rsidRPr="003976C8">
        <w:t xml:space="preserve"> Постоянного представительства Республики Словения в Женеве № 198</w:t>
      </w:r>
      <w:r w:rsidR="002F05D8">
        <w:t>/10 от 22</w:t>
      </w:r>
      <w:r w:rsidR="002F05D8">
        <w:rPr>
          <w:lang w:val="en-US"/>
        </w:rPr>
        <w:t> </w:t>
      </w:r>
      <w:r w:rsidRPr="003976C8">
        <w:t>ноября 2010 года, которые были представлены в связи с выводами и рек</w:t>
      </w:r>
      <w:r w:rsidRPr="003976C8">
        <w:t>о</w:t>
      </w:r>
      <w:r w:rsidRPr="003976C8">
        <w:t>мендациями, принятыми Комитетом на его семьдесят седьмой сессии</w:t>
      </w:r>
      <w:r w:rsidR="003E726E">
        <w:t>,</w:t>
      </w:r>
      <w:r w:rsidRPr="003976C8">
        <w:t xml:space="preserve"> и кот</w:t>
      </w:r>
      <w:r w:rsidRPr="003976C8">
        <w:t>о</w:t>
      </w:r>
      <w:r w:rsidRPr="003976C8">
        <w:t>рые являются неотъемлемой частью настоящего ответа.</w:t>
      </w:r>
    </w:p>
    <w:p w:rsidR="003976C8" w:rsidRPr="003976C8" w:rsidRDefault="00601FA9" w:rsidP="00601FA9">
      <w:pPr>
        <w:pStyle w:val="HChGR"/>
      </w:pPr>
      <w:r w:rsidRPr="00A03702">
        <w:tab/>
      </w:r>
      <w:r w:rsidR="003976C8" w:rsidRPr="003976C8">
        <w:rPr>
          <w:lang w:val="en-US"/>
        </w:rPr>
        <w:t>II</w:t>
      </w:r>
      <w:r w:rsidR="003976C8" w:rsidRPr="003976C8">
        <w:t>.</w:t>
      </w:r>
      <w:r w:rsidR="003976C8" w:rsidRPr="003976C8">
        <w:tab/>
        <w:t>Ответы правительства на заключительные замечания Комитета (</w:t>
      </w:r>
      <w:r w:rsidR="003976C8" w:rsidRPr="003976C8">
        <w:rPr>
          <w:lang w:val="en-GB"/>
        </w:rPr>
        <w:t>CERD</w:t>
      </w:r>
      <w:r w:rsidR="003976C8" w:rsidRPr="003976C8">
        <w:t>/</w:t>
      </w:r>
      <w:r w:rsidR="003976C8" w:rsidRPr="003976C8">
        <w:rPr>
          <w:lang w:val="en-GB"/>
        </w:rPr>
        <w:t>C</w:t>
      </w:r>
      <w:r w:rsidR="003976C8" w:rsidRPr="003976C8">
        <w:t>/</w:t>
      </w:r>
      <w:r w:rsidR="003976C8" w:rsidRPr="003976C8">
        <w:rPr>
          <w:lang w:val="en-GB"/>
        </w:rPr>
        <w:t>SVN</w:t>
      </w:r>
      <w:r w:rsidR="003976C8" w:rsidRPr="003976C8">
        <w:t>/</w:t>
      </w:r>
      <w:r w:rsidR="003976C8" w:rsidRPr="003976C8">
        <w:rPr>
          <w:lang w:val="en-GB"/>
        </w:rPr>
        <w:t>CO</w:t>
      </w:r>
      <w:r w:rsidR="003976C8" w:rsidRPr="003976C8">
        <w:t>/6-7)</w:t>
      </w:r>
    </w:p>
    <w:p w:rsidR="003976C8" w:rsidRPr="003976C8" w:rsidRDefault="00601FA9" w:rsidP="00601FA9">
      <w:pPr>
        <w:pStyle w:val="H1GR"/>
      </w:pPr>
      <w:r>
        <w:rPr>
          <w:lang w:val="en-US"/>
        </w:rPr>
        <w:tab/>
      </w:r>
      <w:r w:rsidR="003976C8" w:rsidRPr="003976C8">
        <w:t>А.</w:t>
      </w:r>
      <w:r w:rsidR="003976C8" w:rsidRPr="003976C8">
        <w:tab/>
        <w:t>Ответ на рекомендации, содержащиеся в пункте 10 заключительных замечаний в отношении дискриминации рома в части, касающейся их ж</w:t>
      </w:r>
      <w:r w:rsidR="003976C8" w:rsidRPr="003976C8">
        <w:t>и</w:t>
      </w:r>
      <w:r w:rsidR="003976C8" w:rsidRPr="003976C8">
        <w:t>лищных условий</w:t>
      </w:r>
    </w:p>
    <w:p w:rsidR="003976C8" w:rsidRPr="003976C8" w:rsidRDefault="003976C8" w:rsidP="00601FA9">
      <w:pPr>
        <w:pStyle w:val="SingleTxtGR"/>
      </w:pPr>
      <w:r w:rsidRPr="003976C8">
        <w:t>2.</w:t>
      </w:r>
      <w:r w:rsidRPr="003976C8">
        <w:tab/>
        <w:t>В своем официальном ответе на полученные рекомендации Комитета Словения уже разъяснила в связи с рекомендацией № 10, что она не помещает рома в лагеря за пределами населенных районов, которые являются изолир</w:t>
      </w:r>
      <w:r w:rsidRPr="003976C8">
        <w:t>о</w:t>
      </w:r>
      <w:r w:rsidRPr="003976C8">
        <w:t>ванными и лишены доступа к медицинскому обслуживанию и другим основным услугам. Если бы делегации Словении был задан этот вопрос в ходе интера</w:t>
      </w:r>
      <w:r w:rsidRPr="003976C8">
        <w:t>к</w:t>
      </w:r>
      <w:r w:rsidRPr="003976C8">
        <w:t>тивного диалога, проходившего в августе 2010 года, она смогла бы уже тогда отметить, что часть рома в Словении действительно живут в поселениях, об</w:t>
      </w:r>
      <w:r w:rsidRPr="003976C8">
        <w:t>о</w:t>
      </w:r>
      <w:r w:rsidRPr="003976C8">
        <w:t>собленных от остальн</w:t>
      </w:r>
      <w:r w:rsidR="00743588">
        <w:t>ых</w:t>
      </w:r>
      <w:r w:rsidRPr="003976C8">
        <w:t xml:space="preserve"> населе</w:t>
      </w:r>
      <w:r w:rsidR="003E726E">
        <w:t>нных пунктов</w:t>
      </w:r>
      <w:r w:rsidRPr="003976C8">
        <w:t>, или же на периферии населе</w:t>
      </w:r>
      <w:r w:rsidRPr="003976C8">
        <w:t>н</w:t>
      </w:r>
      <w:r w:rsidRPr="003976C8">
        <w:t xml:space="preserve">ных районов, что обусловлено историческим процессом расселения рома в Словении. Никаких правительственных или любых других мер или </w:t>
      </w:r>
      <w:r w:rsidR="003E726E">
        <w:t>постано</w:t>
      </w:r>
      <w:r w:rsidR="003E726E">
        <w:t>в</w:t>
      </w:r>
      <w:r w:rsidR="003E726E">
        <w:t>лений</w:t>
      </w:r>
      <w:r w:rsidRPr="003976C8">
        <w:t>, регулирующих помещение рома в лагеря за пределами населенных ра</w:t>
      </w:r>
      <w:r w:rsidRPr="003976C8">
        <w:t>й</w:t>
      </w:r>
      <w:r w:rsidRPr="003976C8">
        <w:t>онов, не существует. Напротив, как правительство, так и муниципальные орг</w:t>
      </w:r>
      <w:r w:rsidRPr="003976C8">
        <w:t>а</w:t>
      </w:r>
      <w:r w:rsidRPr="003976C8">
        <w:t>ны власти стремятся на основе позитивных мер ускорить урегулирование и улучшение жилищных условий рома, включая их более полную интеграцию и сохранение их культуры и языка.</w:t>
      </w:r>
    </w:p>
    <w:p w:rsidR="003976C8" w:rsidRPr="003976C8" w:rsidRDefault="003976C8" w:rsidP="00601FA9">
      <w:pPr>
        <w:pStyle w:val="SingleTxtGR"/>
      </w:pPr>
      <w:r w:rsidRPr="003976C8">
        <w:t>3.</w:t>
      </w:r>
      <w:r w:rsidRPr="003976C8">
        <w:tab/>
        <w:t>Поселения рома в Словении представляют собой особое явление в ге</w:t>
      </w:r>
      <w:r w:rsidRPr="003976C8">
        <w:t>о</w:t>
      </w:r>
      <w:r w:rsidRPr="003976C8">
        <w:t>графическом, социальном и культурном плане. В Словении существует немн</w:t>
      </w:r>
      <w:r w:rsidRPr="003976C8">
        <w:t>о</w:t>
      </w:r>
      <w:r w:rsidRPr="003976C8">
        <w:t>г</w:t>
      </w:r>
      <w:r w:rsidR="003E726E">
        <w:t>им</w:t>
      </w:r>
      <w:r w:rsidRPr="003976C8">
        <w:t xml:space="preserve"> более 100 поселений, где проживают главным образом рома. По сравнению с приблизительно 6 000 учтенны</w:t>
      </w:r>
      <w:r w:rsidR="003E726E">
        <w:t>ми</w:t>
      </w:r>
      <w:r w:rsidRPr="003976C8">
        <w:t xml:space="preserve"> статистикой населенны</w:t>
      </w:r>
      <w:r w:rsidR="003E726E">
        <w:t>ми</w:t>
      </w:r>
      <w:r w:rsidRPr="003976C8">
        <w:t xml:space="preserve"> пункт</w:t>
      </w:r>
      <w:r w:rsidR="003E726E">
        <w:t>ами</w:t>
      </w:r>
      <w:r w:rsidRPr="003976C8">
        <w:t xml:space="preserve"> в Сл</w:t>
      </w:r>
      <w:r w:rsidRPr="003976C8">
        <w:t>о</w:t>
      </w:r>
      <w:r w:rsidRPr="003976C8">
        <w:t xml:space="preserve">вении это </w:t>
      </w:r>
      <w:r w:rsidR="00054389">
        <w:t>составляет</w:t>
      </w:r>
      <w:r w:rsidRPr="003976C8">
        <w:t xml:space="preserve"> лишь 2%, в то время</w:t>
      </w:r>
      <w:r w:rsidR="00054389">
        <w:t xml:space="preserve"> доля рома</w:t>
      </w:r>
      <w:r w:rsidRPr="003976C8">
        <w:t xml:space="preserve"> как в общем населении страны составля</w:t>
      </w:r>
      <w:r w:rsidR="00054389">
        <w:t>е</w:t>
      </w:r>
      <w:r w:rsidRPr="003976C8">
        <w:t>т 0,5% (согласно оценкам,</w:t>
      </w:r>
      <w:r w:rsidR="00743588">
        <w:t xml:space="preserve"> община рома насчитывает 10 000 </w:t>
      </w:r>
      <w:r w:rsidRPr="003976C8">
        <w:t>человек). Термин "поселение рома" используется как единообразный технический термин, определяемый следующим образом: "Поселением рома является поселение, где проживают главным образом рома. Оно может иметь форму отдельного поселения/деревни или же части поселения, а также ряда о</w:t>
      </w:r>
      <w:r w:rsidRPr="003976C8">
        <w:t>т</w:t>
      </w:r>
      <w:r w:rsidRPr="003976C8">
        <w:t>дельных домов или отдельного домохозяйства". В связи с особым характером своего происхождения поселения рома отличаются от других поселений в Сл</w:t>
      </w:r>
      <w:r w:rsidRPr="003976C8">
        <w:t>о</w:t>
      </w:r>
      <w:r w:rsidRPr="003976C8">
        <w:t>вении в части, касающейся местоположения, поэтажного плана зданий, конс</w:t>
      </w:r>
      <w:r w:rsidRPr="003976C8">
        <w:t>т</w:t>
      </w:r>
      <w:r w:rsidRPr="003976C8">
        <w:t>рукции зданий, архитектурных особенностей и инфраструктуры, поскольку с</w:t>
      </w:r>
      <w:r w:rsidRPr="003976C8">
        <w:t>о</w:t>
      </w:r>
      <w:r w:rsidRPr="003976C8">
        <w:t>временные постоянные поселения рома возникли в период перехода рома от к</w:t>
      </w:r>
      <w:r w:rsidRPr="003976C8">
        <w:t>о</w:t>
      </w:r>
      <w:r w:rsidRPr="003976C8">
        <w:t xml:space="preserve">чевого или полукочевого образа жизни к оседлости. С учетом сравнительного анализа структуры и топографических особенностей существующих поселений рома, выбора местонахождения и территориального </w:t>
      </w:r>
      <w:r w:rsidR="00054389">
        <w:t>распределения</w:t>
      </w:r>
      <w:r w:rsidRPr="003976C8">
        <w:t xml:space="preserve"> первых ж</w:t>
      </w:r>
      <w:r w:rsidRPr="003976C8">
        <w:t>и</w:t>
      </w:r>
      <w:r w:rsidRPr="003976C8">
        <w:t>лищ можно отметить следующие общие черты:</w:t>
      </w:r>
    </w:p>
    <w:p w:rsidR="003976C8" w:rsidRPr="003976C8" w:rsidRDefault="003976C8" w:rsidP="00601FA9">
      <w:pPr>
        <w:pStyle w:val="Bullet1GR"/>
      </w:pPr>
      <w:r w:rsidRPr="003976C8">
        <w:t>отдельное расположение поселений рома от других поселений (на ра</w:t>
      </w:r>
      <w:r w:rsidRPr="003976C8">
        <w:t>с</w:t>
      </w:r>
      <w:r w:rsidRPr="003976C8">
        <w:t xml:space="preserve">стоянии 3 км, </w:t>
      </w:r>
      <w:r w:rsidR="00054389">
        <w:t>что</w:t>
      </w:r>
      <w:r w:rsidRPr="003976C8">
        <w:t xml:space="preserve"> позволяет людям, двигающимся пешком, иметь доступ к необходимым товарам и услугам и в то же время обеспечивает уед</w:t>
      </w:r>
      <w:r w:rsidRPr="003976C8">
        <w:t>и</w:t>
      </w:r>
      <w:r w:rsidRPr="003976C8">
        <w:t>ненность);</w:t>
      </w:r>
    </w:p>
    <w:p w:rsidR="003976C8" w:rsidRPr="003976C8" w:rsidRDefault="003976C8" w:rsidP="00601FA9">
      <w:pPr>
        <w:pStyle w:val="Bullet1GR"/>
      </w:pPr>
      <w:r w:rsidRPr="003976C8">
        <w:t>расположение поселений рома на границах облесенных территорий (сч</w:t>
      </w:r>
      <w:r w:rsidRPr="003976C8">
        <w:t>и</w:t>
      </w:r>
      <w:r w:rsidRPr="003976C8">
        <w:t>тается, что лес обеспечивает безопасн</w:t>
      </w:r>
      <w:r w:rsidR="00054389">
        <w:t>ость</w:t>
      </w:r>
      <w:r w:rsidRPr="003976C8">
        <w:t>, является источником сырья и дает тень, создавая благоприятные условия для жизни);</w:t>
      </w:r>
    </w:p>
    <w:p w:rsidR="003976C8" w:rsidRPr="003976C8" w:rsidRDefault="003976C8" w:rsidP="00601FA9">
      <w:pPr>
        <w:pStyle w:val="Bullet1GR"/>
      </w:pPr>
      <w:r w:rsidRPr="003976C8">
        <w:t>"барьер</w:t>
      </w:r>
      <w:r w:rsidR="00054389">
        <w:t>ы</w:t>
      </w:r>
      <w:r w:rsidR="00743588">
        <w:t>", отгораживающие</w:t>
      </w:r>
      <w:r w:rsidRPr="003976C8">
        <w:t xml:space="preserve"> поселения рома от окружающей </w:t>
      </w:r>
      <w:r w:rsidR="00054389">
        <w:t>местности</w:t>
      </w:r>
      <w:r w:rsidRPr="003976C8">
        <w:t xml:space="preserve"> (кучи сырьевых материалов, мусо</w:t>
      </w:r>
      <w:r w:rsidR="00054389">
        <w:t>ра, водные</w:t>
      </w:r>
      <w:r w:rsidRPr="003976C8">
        <w:t xml:space="preserve"> канал</w:t>
      </w:r>
      <w:r w:rsidR="00054389">
        <w:t>ы (естественные</w:t>
      </w:r>
      <w:r w:rsidRPr="003976C8">
        <w:t xml:space="preserve"> и и</w:t>
      </w:r>
      <w:r w:rsidRPr="003976C8">
        <w:t>с</w:t>
      </w:r>
      <w:r w:rsidRPr="003976C8">
        <w:t>кусствен</w:t>
      </w:r>
      <w:r w:rsidR="00054389">
        <w:t>ные</w:t>
      </w:r>
      <w:r w:rsidRPr="003976C8">
        <w:t>), полосы кустарниковых или лесонасаждений, заболоченные территории и незаселенные районы), что указывает на закрытый характер поселений рома.</w:t>
      </w:r>
    </w:p>
    <w:p w:rsidR="003976C8" w:rsidRPr="003976C8" w:rsidRDefault="003976C8" w:rsidP="00601FA9">
      <w:pPr>
        <w:pStyle w:val="SingleTxtGR"/>
      </w:pPr>
      <w:r w:rsidRPr="003976C8">
        <w:t>4.</w:t>
      </w:r>
      <w:r w:rsidRPr="003976C8">
        <w:tab/>
        <w:t>Поселения рома возникли главным образом в районах, предназначенных для сельскохозяйстве</w:t>
      </w:r>
      <w:r w:rsidRPr="003976C8">
        <w:t>н</w:t>
      </w:r>
      <w:r w:rsidRPr="003976C8">
        <w:t>ной деятельности, или располагались в находящихся под угрозой исчезновения или охраняемых районах. В поселениях рома здания по большей части построены незаконно на землях, принадлежащих другим лицам и не связанных с общественной инфраструктурой. Как общее правило, в связи с семейными связями рома в их поселениях жилищные трудности рома нево</w:t>
      </w:r>
      <w:r w:rsidRPr="003976C8">
        <w:t>з</w:t>
      </w:r>
      <w:r w:rsidRPr="003976C8">
        <w:t>можно устранить путем их пер</w:t>
      </w:r>
      <w:r w:rsidRPr="003976C8">
        <w:t>е</w:t>
      </w:r>
      <w:r w:rsidRPr="003976C8">
        <w:t>селения в социальное жилье.</w:t>
      </w:r>
    </w:p>
    <w:p w:rsidR="003976C8" w:rsidRPr="003976C8" w:rsidRDefault="003976C8" w:rsidP="00601FA9">
      <w:pPr>
        <w:pStyle w:val="SingleTxtGR"/>
      </w:pPr>
      <w:r w:rsidRPr="003976C8">
        <w:t>5.</w:t>
      </w:r>
      <w:r w:rsidRPr="003976C8">
        <w:tab/>
        <w:t>Учитывая специфические особенности поселений рома, решение пр</w:t>
      </w:r>
      <w:r w:rsidRPr="003976C8">
        <w:t>о</w:t>
      </w:r>
      <w:r w:rsidRPr="003976C8">
        <w:t>блем территориального планирования может заключаться лишь во всесторо</w:t>
      </w:r>
      <w:r w:rsidRPr="003976C8">
        <w:t>н</w:t>
      </w:r>
      <w:r w:rsidRPr="003976C8">
        <w:t>ней интеграции рома в общество Словении, т.е. в по</w:t>
      </w:r>
      <w:r w:rsidR="00435CE2">
        <w:t>степенной</w:t>
      </w:r>
      <w:r w:rsidRPr="003976C8">
        <w:t xml:space="preserve"> формальной, инфраструктурной и социальной интеграции поселений рома в систему нас</w:t>
      </w:r>
      <w:r w:rsidRPr="003976C8">
        <w:t>е</w:t>
      </w:r>
      <w:r w:rsidRPr="003976C8">
        <w:t>ленных пунктов Словении при одновременн</w:t>
      </w:r>
      <w:r w:rsidR="007C0742">
        <w:t>ой реабилитации этих районов. В </w:t>
      </w:r>
      <w:r w:rsidRPr="003976C8">
        <w:t xml:space="preserve">связи с этим необходимо как можно скорее легализовать поселения рома и проводить регулирование таким образом, чтобы </w:t>
      </w:r>
      <w:r w:rsidR="00435CE2">
        <w:t xml:space="preserve">не только </w:t>
      </w:r>
      <w:r w:rsidRPr="003976C8">
        <w:t xml:space="preserve">улучшить для рома условия жизни и </w:t>
      </w:r>
      <w:r w:rsidR="00435CE2">
        <w:t xml:space="preserve">дать им </w:t>
      </w:r>
      <w:r w:rsidRPr="003976C8">
        <w:t xml:space="preserve">адекватное жилье в данном месте, но и обеспечить для них возможность </w:t>
      </w:r>
      <w:r w:rsidR="00435CE2">
        <w:t>трудоустройства</w:t>
      </w:r>
      <w:r w:rsidRPr="003976C8">
        <w:t xml:space="preserve"> и дальнейшего развития.</w:t>
      </w:r>
    </w:p>
    <w:p w:rsidR="00552167" w:rsidRPr="00435CE2" w:rsidRDefault="003976C8" w:rsidP="00601FA9">
      <w:pPr>
        <w:pStyle w:val="SingleTxtGR"/>
      </w:pPr>
      <w:r w:rsidRPr="003976C8">
        <w:t>6.</w:t>
      </w:r>
      <w:r w:rsidRPr="003976C8">
        <w:tab/>
        <w:t>В целях улучшения положения общин</w:t>
      </w:r>
      <w:r w:rsidR="00435CE2">
        <w:t>ы</w:t>
      </w:r>
      <w:r w:rsidRPr="003976C8">
        <w:t xml:space="preserve"> рома в Словении правительство Словении приняло в марте 2010 года Национальную программу мер в интер</w:t>
      </w:r>
      <w:r w:rsidRPr="003976C8">
        <w:t>е</w:t>
      </w:r>
      <w:r w:rsidRPr="003976C8">
        <w:t>сах рома на период 2010−2015 годов, направленную на удовлетворение обосн</w:t>
      </w:r>
      <w:r w:rsidRPr="003976C8">
        <w:t>о</w:t>
      </w:r>
      <w:r w:rsidRPr="003976C8">
        <w:t>ванных потребностей членов общин</w:t>
      </w:r>
      <w:r w:rsidR="00435CE2">
        <w:t>ы</w:t>
      </w:r>
      <w:r w:rsidRPr="003976C8">
        <w:t xml:space="preserve"> рома и улучшение их жилищных условий в Словении, их надлежащую, ускоренную и упрощенную интеграцию в общ</w:t>
      </w:r>
      <w:r w:rsidRPr="003976C8">
        <w:t>е</w:t>
      </w:r>
      <w:r w:rsidRPr="003976C8">
        <w:t>ство при сохранении их языковых и культурных особенностей в соответствии с потребностями, выраженными самими рома.</w:t>
      </w:r>
      <w:r w:rsidR="00601FA9" w:rsidRPr="00601FA9">
        <w:t xml:space="preserve"> </w:t>
      </w:r>
      <w:r w:rsidR="00552167" w:rsidRPr="00552167">
        <w:t>Правительство уже приняло два доклада о положении общины рома в Словении в связи с осуществлением мер в рамках Национальной программы и положений Закона о цыганской (рома) о</w:t>
      </w:r>
      <w:r w:rsidR="00552167" w:rsidRPr="00552167">
        <w:t>б</w:t>
      </w:r>
      <w:r w:rsidR="00552167" w:rsidRPr="00552167">
        <w:t>щине (Официальный вестник Республики Слов</w:t>
      </w:r>
      <w:r w:rsidR="00552167" w:rsidRPr="00552167">
        <w:t>е</w:t>
      </w:r>
      <w:r w:rsidR="00552167" w:rsidRPr="00552167">
        <w:t>ния № 33/2007); первый из этих докладов был принят в октябре 2010 года, а второй − в ноябре 2012 года. Пр</w:t>
      </w:r>
      <w:r w:rsidR="00552167" w:rsidRPr="00552167">
        <w:t>а</w:t>
      </w:r>
      <w:r w:rsidR="00435CE2">
        <w:t>вительство стремит</w:t>
      </w:r>
      <w:r w:rsidR="00552167" w:rsidRPr="00552167">
        <w:t xml:space="preserve">ся </w:t>
      </w:r>
      <w:r w:rsidR="00435CE2">
        <w:t>следить за</w:t>
      </w:r>
      <w:r w:rsidR="00552167" w:rsidRPr="00552167">
        <w:t xml:space="preserve"> осуществление</w:t>
      </w:r>
      <w:r w:rsidR="00435CE2">
        <w:t>м</w:t>
      </w:r>
      <w:r w:rsidR="00552167" w:rsidRPr="00552167">
        <w:t xml:space="preserve"> Национальной программы и Закона о цыганской (рома) общине на о</w:t>
      </w:r>
      <w:r w:rsidR="00552167" w:rsidRPr="00552167">
        <w:t>с</w:t>
      </w:r>
      <w:r w:rsidR="00552167" w:rsidRPr="00552167">
        <w:t xml:space="preserve">нове </w:t>
      </w:r>
      <w:r w:rsidR="00435CE2">
        <w:t xml:space="preserve">положений </w:t>
      </w:r>
      <w:r w:rsidR="00552167" w:rsidRPr="00552167">
        <w:t>самого этого Закона.</w:t>
      </w:r>
    </w:p>
    <w:p w:rsidR="00552167" w:rsidRPr="00552167" w:rsidRDefault="00552167" w:rsidP="00601FA9">
      <w:pPr>
        <w:pStyle w:val="SingleTxtGR"/>
      </w:pPr>
      <w:r w:rsidRPr="00552167">
        <w:t>7.</w:t>
      </w:r>
      <w:r w:rsidRPr="00552167">
        <w:tab/>
        <w:t xml:space="preserve">В Национальной программе определены шесть стратегических целей, и первой из них является "улучшение жилищных условий членов общины рома и организация </w:t>
      </w:r>
      <w:r w:rsidR="00435CE2">
        <w:t>поселений</w:t>
      </w:r>
      <w:r w:rsidRPr="00552167">
        <w:t xml:space="preserve"> рома". В рамках этой цели определены следующие три конкретные меры:</w:t>
      </w:r>
    </w:p>
    <w:p w:rsidR="00552167" w:rsidRPr="00552167" w:rsidRDefault="00552167" w:rsidP="00601FA9">
      <w:pPr>
        <w:pStyle w:val="SingleTxtGR"/>
      </w:pPr>
      <w:r w:rsidRPr="00552167">
        <w:tab/>
        <w:t>а)</w:t>
      </w:r>
      <w:r w:rsidRPr="00552167">
        <w:tab/>
        <w:t>разработка проекта всеобъемлющей стратегической рамочной пр</w:t>
      </w:r>
      <w:r w:rsidRPr="00552167">
        <w:t>о</w:t>
      </w:r>
      <w:r w:rsidRPr="00552167">
        <w:t>граммы в качестве основы для конкретных программ и проектов по организ</w:t>
      </w:r>
      <w:r w:rsidRPr="00552167">
        <w:t>а</w:t>
      </w:r>
      <w:r w:rsidRPr="00552167">
        <w:t>ции поселений рома. Определение районов поселений рома и их реабилитация в рамках процесса составления муниципального</w:t>
      </w:r>
      <w:r w:rsidR="00435CE2" w:rsidRPr="00435CE2">
        <w:t xml:space="preserve"> </w:t>
      </w:r>
      <w:r w:rsidR="00435CE2">
        <w:t xml:space="preserve">территориального плана </w:t>
      </w:r>
      <w:r w:rsidRPr="00552167">
        <w:t>(лег</w:t>
      </w:r>
      <w:r w:rsidRPr="00552167">
        <w:t>а</w:t>
      </w:r>
      <w:r w:rsidRPr="00552167">
        <w:t>лизация поселений рома);</w:t>
      </w:r>
    </w:p>
    <w:p w:rsidR="00552167" w:rsidRPr="00552167" w:rsidRDefault="00552167" w:rsidP="00601FA9">
      <w:pPr>
        <w:pStyle w:val="SingleTxtGR"/>
      </w:pPr>
      <w:r w:rsidRPr="00552167">
        <w:tab/>
      </w:r>
      <w:r w:rsidRPr="00552167">
        <w:rPr>
          <w:lang w:val="en-US"/>
        </w:rPr>
        <w:t>b</w:t>
      </w:r>
      <w:r w:rsidRPr="00552167">
        <w:t>)</w:t>
      </w:r>
      <w:r w:rsidRPr="00552167">
        <w:tab/>
        <w:t>реализация указанных решений</w:t>
      </w:r>
      <w:r w:rsidR="009B5FDC">
        <w:t>, целей и задач, подготовленных Группой экспертов</w:t>
      </w:r>
      <w:r w:rsidRPr="00552167">
        <w:t xml:space="preserve"> по решению жилищных проблем в поселениях рома</w:t>
      </w:r>
      <w:r w:rsidR="009B5FDC">
        <w:t>,</w:t>
      </w:r>
      <w:r w:rsidRPr="00552167">
        <w:t xml:space="preserve"> в ра</w:t>
      </w:r>
      <w:r w:rsidRPr="00552167">
        <w:t>м</w:t>
      </w:r>
      <w:r w:rsidRPr="00552167">
        <w:t>ках разработки подробных муниципальных</w:t>
      </w:r>
      <w:r w:rsidR="009B5FDC" w:rsidRPr="009B5FDC">
        <w:t xml:space="preserve"> </w:t>
      </w:r>
      <w:r w:rsidR="009B5FDC" w:rsidRPr="00552167">
        <w:t>территориальн</w:t>
      </w:r>
      <w:r w:rsidR="009B5FDC">
        <w:t>ых</w:t>
      </w:r>
      <w:r w:rsidRPr="00552167">
        <w:t xml:space="preserve"> планов для о</w:t>
      </w:r>
      <w:r w:rsidRPr="00552167">
        <w:t>т</w:t>
      </w:r>
      <w:r w:rsidRPr="00552167">
        <w:t>дельных поселений рома;</w:t>
      </w:r>
    </w:p>
    <w:p w:rsidR="00552167" w:rsidRPr="00552167" w:rsidRDefault="00552167" w:rsidP="00601FA9">
      <w:pPr>
        <w:pStyle w:val="SingleTxtGR"/>
      </w:pPr>
      <w:r w:rsidRPr="00552167">
        <w:tab/>
        <w:t>с)</w:t>
      </w:r>
      <w:r w:rsidRPr="00552167">
        <w:tab/>
        <w:t>осуществление финансовых мер для развития районов проживания общин рома в Словении.</w:t>
      </w:r>
    </w:p>
    <w:p w:rsidR="00552167" w:rsidRPr="00552167" w:rsidRDefault="00552167" w:rsidP="00601FA9">
      <w:pPr>
        <w:pStyle w:val="SingleTxtGR"/>
      </w:pPr>
      <w:r w:rsidRPr="00552167">
        <w:t>8.</w:t>
      </w:r>
      <w:r w:rsidRPr="00552167">
        <w:tab/>
        <w:t xml:space="preserve">Применительно к каждой из мер </w:t>
      </w:r>
      <w:r w:rsidR="009B5FDC">
        <w:t>определены</w:t>
      </w:r>
      <w:r w:rsidRPr="00552167">
        <w:t xml:space="preserve"> цели, показатели, график осуществления и разъяснения, ответственные органы, требуемые средства и финансовые источники. Органами, ответственными за реализацию первых двух мер, являются местные органы самоуправления (муниципалитеты), действу</w:t>
      </w:r>
      <w:r w:rsidRPr="00552167">
        <w:t>ю</w:t>
      </w:r>
      <w:r w:rsidRPr="00552167">
        <w:t>щие в с</w:t>
      </w:r>
      <w:r w:rsidRPr="00552167">
        <w:t>о</w:t>
      </w:r>
      <w:r w:rsidRPr="00552167">
        <w:t>трудничестве и при помощи со стороны министерства, ответственного за терри</w:t>
      </w:r>
      <w:r w:rsidR="009B5FDC">
        <w:t>ториальное планирование, другими соответствующими</w:t>
      </w:r>
      <w:r w:rsidRPr="00552167">
        <w:t xml:space="preserve"> министерств</w:t>
      </w:r>
      <w:r w:rsidRPr="00552167">
        <w:t>а</w:t>
      </w:r>
      <w:r w:rsidR="009B5FDC">
        <w:t>ми</w:t>
      </w:r>
      <w:r w:rsidRPr="00552167">
        <w:t xml:space="preserve"> и правитель</w:t>
      </w:r>
      <w:r w:rsidR="009B5FDC">
        <w:t>ственными службами</w:t>
      </w:r>
      <w:r w:rsidRPr="00552167">
        <w:t>, в то время как органами, ответственными за реализацию третьей меры, являются министерство, ответственное за</w:t>
      </w:r>
      <w:r w:rsidR="009B5FDC">
        <w:t xml:space="preserve"> вопр</w:t>
      </w:r>
      <w:r w:rsidR="009B5FDC">
        <w:t>о</w:t>
      </w:r>
      <w:r w:rsidR="009B5FDC">
        <w:t>сы</w:t>
      </w:r>
      <w:r w:rsidRPr="00552167">
        <w:t xml:space="preserve"> мест</w:t>
      </w:r>
      <w:r w:rsidR="009B5FDC">
        <w:t>ного</w:t>
      </w:r>
      <w:r w:rsidRPr="00552167">
        <w:t xml:space="preserve"> самоуправле</w:t>
      </w:r>
      <w:r w:rsidR="009B5FDC">
        <w:t>ния</w:t>
      </w:r>
      <w:r w:rsidRPr="00552167">
        <w:t xml:space="preserve"> и региональн</w:t>
      </w:r>
      <w:r w:rsidR="009B5FDC">
        <w:t>ой политики</w:t>
      </w:r>
      <w:r w:rsidRPr="00552167">
        <w:t>, и местные органы с</w:t>
      </w:r>
      <w:r w:rsidRPr="00552167">
        <w:t>а</w:t>
      </w:r>
      <w:r w:rsidRPr="00552167">
        <w:t>моуправления (муниципалитеты). Для всех трех ключевых мер, регулирующих условия жизни, в число органов, ответственных за их реализацию, входят также мун</w:t>
      </w:r>
      <w:r w:rsidRPr="00552167">
        <w:t>и</w:t>
      </w:r>
      <w:r w:rsidRPr="00552167">
        <w:t xml:space="preserve">ципалитеты, где проживают рома. </w:t>
      </w:r>
    </w:p>
    <w:p w:rsidR="00552167" w:rsidRPr="00552167" w:rsidRDefault="00552167" w:rsidP="00601FA9">
      <w:pPr>
        <w:pStyle w:val="SingleTxtGR"/>
      </w:pPr>
      <w:r w:rsidRPr="00552167">
        <w:t>9.</w:t>
      </w:r>
      <w:r w:rsidRPr="00552167">
        <w:tab/>
        <w:t>Что касается привлечения членов общины рома к управлению общес</w:t>
      </w:r>
      <w:r w:rsidRPr="00552167">
        <w:t>т</w:t>
      </w:r>
      <w:r w:rsidRPr="00552167">
        <w:t xml:space="preserve">венными делами на местном уровне и таким образом также </w:t>
      </w:r>
      <w:r w:rsidR="009B5FDC">
        <w:t xml:space="preserve">к их участию </w:t>
      </w:r>
      <w:r w:rsidRPr="00552167">
        <w:t>в пр</w:t>
      </w:r>
      <w:r w:rsidRPr="00552167">
        <w:t>о</w:t>
      </w:r>
      <w:r w:rsidRPr="00552167">
        <w:t>цесс</w:t>
      </w:r>
      <w:r w:rsidR="009B5FDC">
        <w:t>ах</w:t>
      </w:r>
      <w:r w:rsidRPr="00552167">
        <w:t xml:space="preserve"> территориального планирования, члены общины рома имеют общее пр</w:t>
      </w:r>
      <w:r w:rsidRPr="00552167">
        <w:t>а</w:t>
      </w:r>
      <w:r w:rsidRPr="00552167">
        <w:t>во голоса</w:t>
      </w:r>
      <w:r w:rsidR="00647BB6">
        <w:t>, которое принадлежит им как гражданам</w:t>
      </w:r>
      <w:r w:rsidRPr="00552167">
        <w:t xml:space="preserve"> Словении, а также спец</w:t>
      </w:r>
      <w:r w:rsidRPr="00552167">
        <w:t>и</w:t>
      </w:r>
      <w:r w:rsidRPr="00552167">
        <w:t>альные права голоса в 20 муниципалитетах, где они исторически проживают, что дает им возможность избирать собственного представителя в муниципал</w:t>
      </w:r>
      <w:r w:rsidRPr="00552167">
        <w:t>ь</w:t>
      </w:r>
      <w:r w:rsidRPr="00552167">
        <w:t>ный совет. В некоторых муниципалитетах, не являющихся местами историч</w:t>
      </w:r>
      <w:r w:rsidRPr="00552167">
        <w:t>е</w:t>
      </w:r>
      <w:r w:rsidRPr="00552167">
        <w:t>ского проживания рома, где</w:t>
      </w:r>
      <w:r w:rsidR="00647BB6">
        <w:t>,</w:t>
      </w:r>
      <w:r w:rsidRPr="00552167">
        <w:t xml:space="preserve"> соответственно</w:t>
      </w:r>
      <w:r w:rsidR="00647BB6">
        <w:t>,</w:t>
      </w:r>
      <w:r w:rsidRPr="00552167">
        <w:t xml:space="preserve"> они не имели представителя в м</w:t>
      </w:r>
      <w:r w:rsidRPr="00552167">
        <w:t>у</w:t>
      </w:r>
      <w:r w:rsidRPr="00552167">
        <w:t xml:space="preserve">ниципальном совете, создаются специальные муниципальные рабочие органы для </w:t>
      </w:r>
      <w:r w:rsidR="00647BB6">
        <w:t>наблюдения</w:t>
      </w:r>
      <w:r w:rsidRPr="00552167">
        <w:t xml:space="preserve"> за положением общины рома, в рамках которых рома могут участвовать в муниципальных делах</w:t>
      </w:r>
      <w:r w:rsidR="00647BB6">
        <w:t>,</w:t>
      </w:r>
      <w:r w:rsidRPr="00552167">
        <w:t xml:space="preserve"> предлагать свои инициативы и выдвигать свои предложения.</w:t>
      </w:r>
    </w:p>
    <w:p w:rsidR="00552167" w:rsidRPr="00552167" w:rsidRDefault="00552167" w:rsidP="00601FA9">
      <w:pPr>
        <w:pStyle w:val="SingleTxtGR"/>
      </w:pPr>
      <w:r w:rsidRPr="00552167">
        <w:t>10.</w:t>
      </w:r>
      <w:r w:rsidRPr="00552167">
        <w:tab/>
        <w:t>В обоих докладах правительства Словении о положении общины рома в Словении, особенно в последнем из них, показан достигнутый прогресс в о</w:t>
      </w:r>
      <w:r w:rsidRPr="00552167">
        <w:t>б</w:t>
      </w:r>
      <w:r w:rsidRPr="00552167">
        <w:t>ласти</w:t>
      </w:r>
      <w:r w:rsidR="00647BB6">
        <w:t xml:space="preserve"> улучшения</w:t>
      </w:r>
      <w:r w:rsidRPr="00552167">
        <w:t xml:space="preserve"> жилищных условий как результат работы Группы экспертов по решению территориальных проблем поселений рома, созданной в рамках министерства, ответственного за вопросы территориального планирования. Р</w:t>
      </w:r>
      <w:r w:rsidRPr="00552167">
        <w:t>а</w:t>
      </w:r>
      <w:r w:rsidR="007C0742">
        <w:t>бота Группы экспертов</w:t>
      </w:r>
      <w:r w:rsidRPr="00552167">
        <w:t xml:space="preserve"> включа</w:t>
      </w:r>
      <w:r w:rsidR="007C0742">
        <w:t>ла</w:t>
      </w:r>
      <w:r w:rsidRPr="00552167">
        <w:t xml:space="preserve"> анализ положения дел в поселениях, где пр</w:t>
      </w:r>
      <w:r w:rsidRPr="00552167">
        <w:t>о</w:t>
      </w:r>
      <w:r w:rsidRPr="00552167">
        <w:t xml:space="preserve">живают рома, и на этой основе были выработаны дальнейшие предложения по улучшению ситуации. Группа экспертов подготовила два </w:t>
      </w:r>
      <w:r w:rsidR="00647BB6">
        <w:t>доклада</w:t>
      </w:r>
      <w:r w:rsidRPr="00552167">
        <w:t>:</w:t>
      </w:r>
    </w:p>
    <w:p w:rsidR="00552167" w:rsidRPr="00552167" w:rsidRDefault="00552167" w:rsidP="00A03702">
      <w:pPr>
        <w:pStyle w:val="Bullet1GR"/>
      </w:pPr>
      <w:r w:rsidRPr="00552167">
        <w:t>экспертный доклад "Проблемы территориального планирования посел</w:t>
      </w:r>
      <w:r w:rsidRPr="00552167">
        <w:t>е</w:t>
      </w:r>
      <w:r w:rsidRPr="00552167">
        <w:t>ний р</w:t>
      </w:r>
      <w:r w:rsidRPr="00552167">
        <w:t>о</w:t>
      </w:r>
      <w:r w:rsidRPr="00552167">
        <w:t xml:space="preserve">ма в Словении", который обеспечивает основу для конкретных программ и проектов </w:t>
      </w:r>
      <w:r w:rsidR="00647BB6">
        <w:t xml:space="preserve">по </w:t>
      </w:r>
      <w:r w:rsidRPr="00552167">
        <w:t>организации поселений рома, поскольку включ</w:t>
      </w:r>
      <w:r w:rsidRPr="00552167">
        <w:t>а</w:t>
      </w:r>
      <w:r w:rsidRPr="00552167">
        <w:t>ет также различные сценарии деятельн</w:t>
      </w:r>
      <w:r w:rsidRPr="00552167">
        <w:t>о</w:t>
      </w:r>
      <w:r w:rsidRPr="00552167">
        <w:t>сти по развитию поселений рома;</w:t>
      </w:r>
    </w:p>
    <w:p w:rsidR="00552167" w:rsidRPr="00552167" w:rsidRDefault="00552167" w:rsidP="00A03702">
      <w:pPr>
        <w:pStyle w:val="Bullet1GR"/>
      </w:pPr>
      <w:r w:rsidRPr="00552167">
        <w:t>дополнение к аналитическому исследованию 2007 года о положении в поселениях рома после активных мер, предпринятых министерствами и другими правительстве</w:t>
      </w:r>
      <w:r w:rsidRPr="00552167">
        <w:t>н</w:t>
      </w:r>
      <w:r w:rsidRPr="00552167">
        <w:t>ными службами</w:t>
      </w:r>
      <w:r w:rsidR="007C0742">
        <w:t xml:space="preserve"> за последние годы (ноябрь 2010 </w:t>
      </w:r>
      <w:r w:rsidRPr="00552167">
        <w:t>года).</w:t>
      </w:r>
    </w:p>
    <w:p w:rsidR="00552167" w:rsidRPr="00552167" w:rsidRDefault="00552167" w:rsidP="00601FA9">
      <w:pPr>
        <w:pStyle w:val="SingleTxtGR"/>
      </w:pPr>
      <w:r w:rsidRPr="00552167">
        <w:t>11.</w:t>
      </w:r>
      <w:r w:rsidRPr="00552167">
        <w:tab/>
        <w:t>Оба документа размещены на веб-сайте министерства, ответственного за территориальное планирование, и информацию о них получили также муниц</w:t>
      </w:r>
      <w:r w:rsidRPr="00552167">
        <w:t>и</w:t>
      </w:r>
      <w:r w:rsidRPr="00552167">
        <w:t>палитеты, где проживают рома. Вышеуказанные материалы имеют целью ок</w:t>
      </w:r>
      <w:r w:rsidRPr="00552167">
        <w:t>а</w:t>
      </w:r>
      <w:r w:rsidRPr="00552167">
        <w:t>зание помощи муниципалитетам в организации таких поселений; вместе с тем все зависит от жел</w:t>
      </w:r>
      <w:r w:rsidR="00F31DBD">
        <w:t>ания и готовности муниципалитетов</w:t>
      </w:r>
      <w:r w:rsidRPr="00552167">
        <w:t xml:space="preserve"> использовать эти мат</w:t>
      </w:r>
      <w:r w:rsidRPr="00552167">
        <w:t>е</w:t>
      </w:r>
      <w:r w:rsidRPr="00552167">
        <w:t xml:space="preserve">риалы. </w:t>
      </w:r>
    </w:p>
    <w:p w:rsidR="00552167" w:rsidRPr="00552167" w:rsidRDefault="00552167" w:rsidP="00601FA9">
      <w:pPr>
        <w:pStyle w:val="SingleTxtGR"/>
      </w:pPr>
      <w:r w:rsidRPr="00552167">
        <w:t>12.</w:t>
      </w:r>
      <w:r w:rsidRPr="00552167">
        <w:tab/>
        <w:t>В качестве дополнительной помощи муниципалитетам министерство, о</w:t>
      </w:r>
      <w:r w:rsidRPr="00552167">
        <w:t>т</w:t>
      </w:r>
      <w:r w:rsidRPr="00552167">
        <w:t>ветственное за территориальное планирование, разработало Концепцию моде</w:t>
      </w:r>
      <w:r w:rsidRPr="00552167">
        <w:t>р</w:t>
      </w:r>
      <w:r w:rsidRPr="00552167">
        <w:t>низации поселений рома или принципы оптимальной практики решения пр</w:t>
      </w:r>
      <w:r w:rsidRPr="00552167">
        <w:t>о</w:t>
      </w:r>
      <w:r w:rsidRPr="00552167">
        <w:t xml:space="preserve">блем территориального планирования поселений рома, </w:t>
      </w:r>
      <w:r w:rsidR="00F31DBD">
        <w:t>которая включает</w:t>
      </w:r>
      <w:r w:rsidRPr="00552167">
        <w:t xml:space="preserve"> сл</w:t>
      </w:r>
      <w:r w:rsidRPr="00552167">
        <w:t>е</w:t>
      </w:r>
      <w:r w:rsidRPr="00552167">
        <w:t>дующее:</w:t>
      </w:r>
    </w:p>
    <w:p w:rsidR="00552167" w:rsidRPr="00552167" w:rsidRDefault="00552167" w:rsidP="00A03702">
      <w:pPr>
        <w:pStyle w:val="Bullet1GR"/>
      </w:pPr>
      <w:r w:rsidRPr="00552167">
        <w:t>обновление и развитие поселения рома и обеспечение надлежащей и</w:t>
      </w:r>
      <w:r w:rsidRPr="00552167">
        <w:t>н</w:t>
      </w:r>
      <w:r w:rsidRPr="00552167">
        <w:t>фрастру</w:t>
      </w:r>
      <w:r w:rsidRPr="00552167">
        <w:t>к</w:t>
      </w:r>
      <w:r w:rsidRPr="00552167">
        <w:t>туры;</w:t>
      </w:r>
    </w:p>
    <w:p w:rsidR="00552167" w:rsidRPr="00552167" w:rsidRDefault="00552167" w:rsidP="00A03702">
      <w:pPr>
        <w:pStyle w:val="Bullet1GR"/>
      </w:pPr>
      <w:r w:rsidRPr="00552167">
        <w:t>территориальное планирование и установление связей между поселением рома и с</w:t>
      </w:r>
      <w:r w:rsidRPr="00552167">
        <w:t>о</w:t>
      </w:r>
      <w:r w:rsidRPr="00552167">
        <w:t xml:space="preserve">седними поселениями на основе разработанной программы; </w:t>
      </w:r>
    </w:p>
    <w:p w:rsidR="00552167" w:rsidRPr="00552167" w:rsidRDefault="00552167" w:rsidP="00A03702">
      <w:pPr>
        <w:pStyle w:val="Bullet1GR"/>
      </w:pPr>
      <w:r w:rsidRPr="00552167">
        <w:t>привлечение рома к организации поселения и обеспечение их участия в этой деятел</w:t>
      </w:r>
      <w:r w:rsidRPr="00552167">
        <w:t>ь</w:t>
      </w:r>
      <w:r w:rsidRPr="00552167">
        <w:t>ности;</w:t>
      </w:r>
    </w:p>
    <w:p w:rsidR="00552167" w:rsidRPr="00552167" w:rsidRDefault="00552167" w:rsidP="00A03702">
      <w:pPr>
        <w:pStyle w:val="Bullet1GR"/>
      </w:pPr>
      <w:r w:rsidRPr="00552167">
        <w:t>сохранение и развитие культуры рома.</w:t>
      </w:r>
    </w:p>
    <w:p w:rsidR="00552167" w:rsidRPr="00552167" w:rsidRDefault="00552167" w:rsidP="00601FA9">
      <w:pPr>
        <w:pStyle w:val="SingleTxtGR"/>
      </w:pPr>
      <w:r w:rsidRPr="00552167">
        <w:t>13.</w:t>
      </w:r>
      <w:r w:rsidRPr="00552167">
        <w:tab/>
        <w:t>В Концепции модернизации поселений рома министерство подчеркнуло, что решение проблем территориального планирования является процессом, в которо</w:t>
      </w:r>
      <w:r w:rsidR="00F31DBD">
        <w:t>м</w:t>
      </w:r>
      <w:r w:rsidRPr="00552167">
        <w:t xml:space="preserve"> успешных результатов можно достичь лишь благодаря партнерству между муниципалитетами, ро</w:t>
      </w:r>
      <w:r w:rsidR="00F31DBD">
        <w:t>ма и национальными учреждениями и</w:t>
      </w:r>
      <w:r w:rsidRPr="00552167">
        <w:t xml:space="preserve"> в рамках которого каждый из участников должен выполнять обязательства, отн</w:t>
      </w:r>
      <w:r w:rsidRPr="00552167">
        <w:t>о</w:t>
      </w:r>
      <w:r w:rsidRPr="00552167">
        <w:t xml:space="preserve">сящиеся к </w:t>
      </w:r>
      <w:r w:rsidR="00F31DBD">
        <w:t>его</w:t>
      </w:r>
      <w:r w:rsidRPr="00552167">
        <w:t xml:space="preserve"> области компетенции. </w:t>
      </w:r>
    </w:p>
    <w:p w:rsidR="00552167" w:rsidRPr="00552167" w:rsidRDefault="00552167" w:rsidP="00601FA9">
      <w:pPr>
        <w:pStyle w:val="SingleTxtGR"/>
      </w:pPr>
      <w:r w:rsidRPr="00552167">
        <w:t>14.</w:t>
      </w:r>
      <w:r w:rsidRPr="00552167">
        <w:tab/>
        <w:t>Учитывая, что организация поселений рома является сложной задачей, министерство, ответственное за территориальное планирование, организовало семинары по этому вопросу 8 октября 2010 года и 1 марта 2011 года соответс</w:t>
      </w:r>
      <w:r w:rsidRPr="00552167">
        <w:t>т</w:t>
      </w:r>
      <w:r w:rsidRPr="00552167">
        <w:t>венно. Помимо сотрудников органов управления муниципалитет</w:t>
      </w:r>
      <w:r w:rsidR="00F31DBD">
        <w:t>ов</w:t>
      </w:r>
      <w:r w:rsidRPr="00552167">
        <w:t>, где прож</w:t>
      </w:r>
      <w:r w:rsidRPr="00552167">
        <w:t>и</w:t>
      </w:r>
      <w:r w:rsidRPr="00552167">
        <w:t>вают рома, для участия в работе этих семинаров были приглашены члены сов</w:t>
      </w:r>
      <w:r w:rsidRPr="00552167">
        <w:t>е</w:t>
      </w:r>
      <w:r w:rsidRPr="00552167">
        <w:t xml:space="preserve">тов общин рома, поскольку крайне </w:t>
      </w:r>
      <w:r w:rsidR="00F31DBD">
        <w:t>важно,</w:t>
      </w:r>
      <w:r w:rsidRPr="00552167">
        <w:t xml:space="preserve"> чтобы члены общин</w:t>
      </w:r>
      <w:r w:rsidR="00F31DBD">
        <w:t>ы</w:t>
      </w:r>
      <w:r w:rsidRPr="00552167">
        <w:t xml:space="preserve"> рома </w:t>
      </w:r>
      <w:r w:rsidR="00F31DBD">
        <w:t>распол</w:t>
      </w:r>
      <w:r w:rsidR="00F31DBD">
        <w:t>а</w:t>
      </w:r>
      <w:r w:rsidR="00F31DBD">
        <w:t>гали информацией</w:t>
      </w:r>
      <w:r w:rsidRPr="00552167">
        <w:t xml:space="preserve"> о возможности организации их поселений. Основное вним</w:t>
      </w:r>
      <w:r w:rsidRPr="00552167">
        <w:t>а</w:t>
      </w:r>
      <w:r w:rsidRPr="00552167">
        <w:t>ние в ходе работы семинаров уделялось вопросам территориального планир</w:t>
      </w:r>
      <w:r w:rsidRPr="00552167">
        <w:t>о</w:t>
      </w:r>
      <w:r w:rsidRPr="00552167">
        <w:t xml:space="preserve">вания, коммунального обслуживания, строительства </w:t>
      </w:r>
      <w:r w:rsidR="002D0DBB">
        <w:t>и жилищным условиям</w:t>
      </w:r>
      <w:r w:rsidRPr="00552167">
        <w:t xml:space="preserve"> с особым акцентом на </w:t>
      </w:r>
      <w:r w:rsidR="002D0DBB">
        <w:t>действующее</w:t>
      </w:r>
      <w:r w:rsidRPr="00552167">
        <w:t xml:space="preserve"> законодательство, регулирующее статус п</w:t>
      </w:r>
      <w:r w:rsidRPr="00552167">
        <w:t>о</w:t>
      </w:r>
      <w:r w:rsidRPr="00552167">
        <w:t>селений рома. Подборка материалов, содержащихся в докладах этих семинаров, была направлена министерств</w:t>
      </w:r>
      <w:r w:rsidR="002D0DBB">
        <w:t>ом</w:t>
      </w:r>
      <w:r w:rsidRPr="00552167">
        <w:t xml:space="preserve"> всем членам совета общин рома и представ</w:t>
      </w:r>
      <w:r w:rsidRPr="00552167">
        <w:t>и</w:t>
      </w:r>
      <w:r w:rsidRPr="00552167">
        <w:t>телям административных органов тех муниципалитетов, где проживают рома, независимо от того, принимали ли они участие в работе с</w:t>
      </w:r>
      <w:r w:rsidRPr="00552167">
        <w:t>е</w:t>
      </w:r>
      <w:r w:rsidRPr="00552167">
        <w:t>минаров или нет.</w:t>
      </w:r>
    </w:p>
    <w:p w:rsidR="003976C8" w:rsidRPr="002D0DBB" w:rsidRDefault="00552167" w:rsidP="00601FA9">
      <w:pPr>
        <w:pStyle w:val="SingleTxtGR"/>
      </w:pPr>
      <w:r w:rsidRPr="00552167">
        <w:t>15.</w:t>
      </w:r>
      <w:r w:rsidRPr="00552167">
        <w:tab/>
        <w:t>Учитывая существующий правопорядок и применимое законодательство в Словении, территориальное планирование является прерогативой муницип</w:t>
      </w:r>
      <w:r w:rsidRPr="00552167">
        <w:t>а</w:t>
      </w:r>
      <w:r w:rsidRPr="00552167">
        <w:t>литетов. Последние в качестве условия, необходимого для легализации посел</w:t>
      </w:r>
      <w:r w:rsidRPr="00552167">
        <w:t>е</w:t>
      </w:r>
      <w:r w:rsidRPr="00552167">
        <w:t>ний рома, должны начать включать эти поселения в муниципальные территор</w:t>
      </w:r>
      <w:r w:rsidRPr="00552167">
        <w:t>и</w:t>
      </w:r>
      <w:r w:rsidRPr="00552167">
        <w:t>альные планы, которые, по большей части, еще находятся на стадии подгото</w:t>
      </w:r>
      <w:r w:rsidRPr="00552167">
        <w:t>в</w:t>
      </w:r>
      <w:r w:rsidRPr="00552167">
        <w:t>ки. В большинстве муниципалитетов в настоящее время идет процесс подг</w:t>
      </w:r>
      <w:r w:rsidRPr="00552167">
        <w:t>о</w:t>
      </w:r>
      <w:r w:rsidRPr="00552167">
        <w:t>товки и утверждения муниципальных территориальн</w:t>
      </w:r>
      <w:r w:rsidR="002D0DBB">
        <w:t>ых</w:t>
      </w:r>
      <w:r w:rsidRPr="00552167">
        <w:t xml:space="preserve"> </w:t>
      </w:r>
      <w:r w:rsidR="002D0DBB" w:rsidRPr="00552167">
        <w:t>планов</w:t>
      </w:r>
      <w:r w:rsidRPr="00552167">
        <w:t>, включая мун</w:t>
      </w:r>
      <w:r w:rsidRPr="00552167">
        <w:t>и</w:t>
      </w:r>
      <w:r w:rsidRPr="00552167">
        <w:t>ц</w:t>
      </w:r>
      <w:r w:rsidR="002D0DBB">
        <w:t>ипалитеты, где проживают рома. К</w:t>
      </w:r>
      <w:r w:rsidRPr="00552167">
        <w:t xml:space="preserve"> настояще</w:t>
      </w:r>
      <w:r w:rsidR="002D0DBB">
        <w:t>му времени</w:t>
      </w:r>
      <w:r w:rsidRPr="00552167">
        <w:t xml:space="preserve"> из </w:t>
      </w:r>
      <w:r w:rsidR="002D0DBB">
        <w:t>20</w:t>
      </w:r>
      <w:r w:rsidRPr="00552167">
        <w:t xml:space="preserve"> муниципалит</w:t>
      </w:r>
      <w:r w:rsidRPr="00552167">
        <w:t>е</w:t>
      </w:r>
      <w:r w:rsidRPr="00552167">
        <w:t xml:space="preserve">тов, где имеется представитель общины рома, в </w:t>
      </w:r>
      <w:r w:rsidR="004233EF">
        <w:t>7</w:t>
      </w:r>
      <w:r w:rsidRPr="00552167">
        <w:t xml:space="preserve"> муниципалитетах приняты муниципальные территориальные планы, </w:t>
      </w:r>
      <w:r w:rsidR="004233EF">
        <w:t>5</w:t>
      </w:r>
      <w:r w:rsidRPr="00552167">
        <w:t xml:space="preserve"> муниципалитетов разработали предлагаемый проект таких документов, и в </w:t>
      </w:r>
      <w:r w:rsidR="004233EF">
        <w:t>8</w:t>
      </w:r>
      <w:r w:rsidRPr="00552167">
        <w:t xml:space="preserve"> муниципалитетах такой проект еще разрабатывается. Все муниципалитеты также приступили к организации поселений, где проживают рома, в рамках подготовки муниципального терр</w:t>
      </w:r>
      <w:r w:rsidRPr="00552167">
        <w:t>и</w:t>
      </w:r>
      <w:r w:rsidRPr="00552167">
        <w:t>ториального плана. Определенные поселения рома включают жилые ра</w:t>
      </w:r>
      <w:r w:rsidRPr="00552167">
        <w:t>й</w:t>
      </w:r>
      <w:r w:rsidRPr="00552167">
        <w:t xml:space="preserve">оны, а также </w:t>
      </w:r>
      <w:r w:rsidR="002D0DBB">
        <w:t xml:space="preserve">места </w:t>
      </w:r>
      <w:r w:rsidRPr="00552167">
        <w:t>для проведения общественных мероприятий</w:t>
      </w:r>
      <w:r w:rsidR="002D0DBB">
        <w:t>,</w:t>
      </w:r>
      <w:r w:rsidRPr="00552167">
        <w:t xml:space="preserve"> зеленые зоны, спо</w:t>
      </w:r>
      <w:r w:rsidRPr="00552167">
        <w:t>р</w:t>
      </w:r>
      <w:r w:rsidRPr="00552167">
        <w:t>тивные центры и т.д.</w:t>
      </w:r>
    </w:p>
    <w:p w:rsidR="00D57DE2" w:rsidRPr="00D00EE7" w:rsidRDefault="00D57DE2" w:rsidP="00F318BD">
      <w:pPr>
        <w:pStyle w:val="SingleTxtGR"/>
      </w:pPr>
      <w:r w:rsidRPr="00D00EE7">
        <w:t>16.</w:t>
      </w:r>
      <w:r w:rsidRPr="00D00EE7">
        <w:tab/>
      </w:r>
      <w:r>
        <w:t>В рамках проведения</w:t>
      </w:r>
      <w:r w:rsidRPr="00D00EE7">
        <w:t xml:space="preserve"> открытых торгов профильные министерства пред</w:t>
      </w:r>
      <w:r w:rsidRPr="00D00EE7">
        <w:t>у</w:t>
      </w:r>
      <w:r w:rsidRPr="00D00EE7">
        <w:t xml:space="preserve">сматривают </w:t>
      </w:r>
      <w:r>
        <w:t>налаживание</w:t>
      </w:r>
      <w:r w:rsidRPr="00D00EE7">
        <w:t xml:space="preserve"> базовой инфраструктуры в поселениях рома с испол</w:t>
      </w:r>
      <w:r w:rsidRPr="00D00EE7">
        <w:t>ь</w:t>
      </w:r>
      <w:r w:rsidRPr="00D00EE7">
        <w:t>зованием финансовых стимулов, а также совместное финансирование муниц</w:t>
      </w:r>
      <w:r w:rsidRPr="00D00EE7">
        <w:t>и</w:t>
      </w:r>
      <w:r w:rsidRPr="00D00EE7">
        <w:t>палитетов посредс</w:t>
      </w:r>
      <w:r w:rsidRPr="00D00EE7">
        <w:t>т</w:t>
      </w:r>
      <w:r w:rsidRPr="00D00EE7">
        <w:t>вом развития экспертной базы, необходимой для подготовки подробных муниципальных территориальных планов для организации посел</w:t>
      </w:r>
      <w:r w:rsidRPr="00D00EE7">
        <w:t>е</w:t>
      </w:r>
      <w:r w:rsidRPr="00D00EE7">
        <w:t>ний рома.</w:t>
      </w:r>
    </w:p>
    <w:p w:rsidR="00D57DE2" w:rsidRPr="00D00EE7" w:rsidRDefault="00D57DE2" w:rsidP="00F318BD">
      <w:pPr>
        <w:pStyle w:val="SingleTxtGR"/>
      </w:pPr>
      <w:r w:rsidRPr="00D00EE7">
        <w:t>17.</w:t>
      </w:r>
      <w:r w:rsidRPr="00D00EE7">
        <w:tab/>
        <w:t>В соответствии с предусмотренным методом реализации Концепции м</w:t>
      </w:r>
      <w:r w:rsidRPr="00D00EE7">
        <w:t>о</w:t>
      </w:r>
      <w:r w:rsidRPr="00D00EE7">
        <w:t>дерниз</w:t>
      </w:r>
      <w:r>
        <w:t>ации поселений рома или принципо</w:t>
      </w:r>
      <w:r w:rsidRPr="00D00EE7">
        <w:t>м оптимальной практики урегулир</w:t>
      </w:r>
      <w:r w:rsidRPr="00D00EE7">
        <w:t>о</w:t>
      </w:r>
      <w:r w:rsidRPr="00D00EE7">
        <w:t>вания проблем территориального планирования поселений рома министерство, ответственное за те</w:t>
      </w:r>
      <w:r w:rsidRPr="00D00EE7">
        <w:t>р</w:t>
      </w:r>
      <w:r w:rsidRPr="00D00EE7">
        <w:t>риториальное планирование, провело в 2007 году открытые торги для обеспечения совместного финансирования муниципалитетов на осн</w:t>
      </w:r>
      <w:r w:rsidRPr="00D00EE7">
        <w:t>о</w:t>
      </w:r>
      <w:r w:rsidRPr="00D00EE7">
        <w:t>ве развития экспертной базы, необходимой для разработки подробных муниц</w:t>
      </w:r>
      <w:r w:rsidRPr="00D00EE7">
        <w:t>и</w:t>
      </w:r>
      <w:r w:rsidRPr="00D00EE7">
        <w:t>пальных территориальных планов для организации поселений рома на период 2007−2008 годов. В связи с малым числом полученных заявок было предоста</w:t>
      </w:r>
      <w:r w:rsidRPr="00D00EE7">
        <w:t>в</w:t>
      </w:r>
      <w:r w:rsidRPr="00D00EE7">
        <w:t>лено лишь 19 700</w:t>
      </w:r>
      <w:r w:rsidR="009056FB">
        <w:t>,00</w:t>
      </w:r>
      <w:r w:rsidRPr="00D00EE7">
        <w:t xml:space="preserve"> евро из запланированных для этих торгов 40 000</w:t>
      </w:r>
      <w:r w:rsidR="009056FB">
        <w:t>,00</w:t>
      </w:r>
      <w:r w:rsidRPr="00D00EE7">
        <w:t xml:space="preserve"> евро. Следующие открытые торги будут объявлены лишь после того, как муницип</w:t>
      </w:r>
      <w:r w:rsidRPr="00D00EE7">
        <w:t>а</w:t>
      </w:r>
      <w:r w:rsidRPr="00D00EE7">
        <w:t>литетов, где проживают рома, примут муниципальные территориальные пл</w:t>
      </w:r>
      <w:r w:rsidRPr="00D00EE7">
        <w:t>а</w:t>
      </w:r>
      <w:r w:rsidRPr="00D00EE7">
        <w:t xml:space="preserve">ны, т.е. когда будут выполнены условия для участия в открытых торгах или если муниципалитеты, где проживают рома, </w:t>
      </w:r>
      <w:r>
        <w:t>сочтут это</w:t>
      </w:r>
      <w:r w:rsidRPr="00D00EE7">
        <w:t xml:space="preserve"> необходим</w:t>
      </w:r>
      <w:r>
        <w:t>ым</w:t>
      </w:r>
      <w:r w:rsidRPr="00D00EE7">
        <w:t>. При проверке муниципальных территориальных планов министерство установило, что при организации поселений рома муниципалитеты не пользуют</w:t>
      </w:r>
      <w:r>
        <w:t>ся</w:t>
      </w:r>
      <w:r w:rsidRPr="00D00EE7">
        <w:t xml:space="preserve"> подробны</w:t>
      </w:r>
      <w:r>
        <w:t>ми</w:t>
      </w:r>
      <w:r w:rsidRPr="00D00EE7">
        <w:t xml:space="preserve"> м</w:t>
      </w:r>
      <w:r w:rsidRPr="00D00EE7">
        <w:t>у</w:t>
      </w:r>
      <w:r w:rsidRPr="00D00EE7">
        <w:t>ниципальны</w:t>
      </w:r>
      <w:r>
        <w:t>ми</w:t>
      </w:r>
      <w:r w:rsidRPr="00D00EE7">
        <w:t xml:space="preserve"> территориальны</w:t>
      </w:r>
      <w:r>
        <w:t>ми</w:t>
      </w:r>
      <w:r w:rsidRPr="00D00EE7">
        <w:t xml:space="preserve"> план</w:t>
      </w:r>
      <w:r>
        <w:t>ами</w:t>
      </w:r>
      <w:r w:rsidRPr="00D00EE7">
        <w:t>, поскольку такие поселения можно надлежащим образом организовать на основе</w:t>
      </w:r>
      <w:r w:rsidRPr="00D753F7">
        <w:t xml:space="preserve"> </w:t>
      </w:r>
      <w:r w:rsidRPr="00D00EE7">
        <w:t xml:space="preserve">уже принятых муниципальных территориальных планов. </w:t>
      </w:r>
    </w:p>
    <w:p w:rsidR="00D57DE2" w:rsidRPr="00D00EE7" w:rsidRDefault="00D57DE2" w:rsidP="00F318BD">
      <w:pPr>
        <w:pStyle w:val="SingleTxtGR"/>
      </w:pPr>
      <w:r w:rsidRPr="00D00EE7">
        <w:t>18.</w:t>
      </w:r>
      <w:r w:rsidRPr="00D00EE7">
        <w:tab/>
        <w:t>В период 2007−2012 годов Правительственное бюро по делам местного самоуправления и региональной политик</w:t>
      </w:r>
      <w:r>
        <w:t>е</w:t>
      </w:r>
      <w:r w:rsidRPr="00D00EE7">
        <w:t xml:space="preserve"> трижды проводило открытые торги для обеспечения совместного финансирования проектов базовой инфраструкт</w:t>
      </w:r>
      <w:r w:rsidRPr="00D00EE7">
        <w:t>у</w:t>
      </w:r>
      <w:r w:rsidRPr="00D00EE7">
        <w:t>ры коммунального обслуживания в поселениях рома. По итогам открытых то</w:t>
      </w:r>
      <w:r w:rsidRPr="00D00EE7">
        <w:t>р</w:t>
      </w:r>
      <w:r w:rsidRPr="00D00EE7">
        <w:t>гов, проведенных в 2007 году, было обеспечено совместное финансирование проектов на 2007, 2008</w:t>
      </w:r>
      <w:r w:rsidR="00812A58">
        <w:t xml:space="preserve"> и 2009 годы в сумме 2 725 302,</w:t>
      </w:r>
      <w:r w:rsidRPr="00D00EE7">
        <w:t>50 евро; за счет средств, полученных от проведения открытых торгов в 2008 году, было обеспечено с</w:t>
      </w:r>
      <w:r w:rsidRPr="00D00EE7">
        <w:t>о</w:t>
      </w:r>
      <w:r w:rsidRPr="00D00EE7">
        <w:t>вместное финансирование проектов на 2008, 2009 и 2010 годы в общей сумме 1</w:t>
      </w:r>
      <w:r>
        <w:t> </w:t>
      </w:r>
      <w:r w:rsidRPr="00D00EE7">
        <w:t>478 847,33 евро; средства, полученные при проведении о</w:t>
      </w:r>
      <w:r w:rsidRPr="00D00EE7">
        <w:t>т</w:t>
      </w:r>
      <w:r w:rsidRPr="00D00EE7">
        <w:t>крытых торгов в 2012</w:t>
      </w:r>
      <w:r>
        <w:t> </w:t>
      </w:r>
      <w:r w:rsidRPr="00D00EE7">
        <w:t>году, использовались для совместного финансирования только проектов на 2012</w:t>
      </w:r>
      <w:r>
        <w:t> </w:t>
      </w:r>
      <w:r w:rsidRPr="00D00EE7">
        <w:t>год. Никаких дополнительных средств на эти цели в 2011 году ассигнов</w:t>
      </w:r>
      <w:r w:rsidRPr="00D00EE7">
        <w:t>а</w:t>
      </w:r>
      <w:r w:rsidRPr="00D00EE7">
        <w:t>но не было.</w:t>
      </w:r>
    </w:p>
    <w:p w:rsidR="00D57DE2" w:rsidRPr="00D00EE7" w:rsidRDefault="00D57DE2" w:rsidP="00F318BD">
      <w:pPr>
        <w:pStyle w:val="SingleTxtGR"/>
      </w:pPr>
      <w:r w:rsidRPr="00D00EE7">
        <w:t>19.</w:t>
      </w:r>
      <w:r w:rsidRPr="00D00EE7">
        <w:tab/>
        <w:t>При проведении открытых торгов в 2012 году планировалось выделить для этой цели финансовые средства в размере примерно 3 млн. евро. После п</w:t>
      </w:r>
      <w:r w:rsidRPr="00D00EE7">
        <w:t>е</w:t>
      </w:r>
      <w:r w:rsidRPr="00D00EE7">
        <w:t>ресмотра бюджетной сметы по состоянию на 22 мая 2012 года сумма имеющи</w:t>
      </w:r>
      <w:r w:rsidRPr="00D00EE7">
        <w:t>х</w:t>
      </w:r>
      <w:r w:rsidRPr="00D00EE7">
        <w:t>ся финансовых сре</w:t>
      </w:r>
      <w:r w:rsidR="00812A58">
        <w:t>дств была снижена до 2 700 000,</w:t>
      </w:r>
      <w:r w:rsidRPr="00D00EE7">
        <w:t>00 евро. Ниже</w:t>
      </w:r>
      <w:r>
        <w:t xml:space="preserve"> </w:t>
      </w:r>
      <w:r w:rsidRPr="00D00EE7">
        <w:t>указаны о</w:t>
      </w:r>
      <w:r w:rsidRPr="00D00EE7">
        <w:t>б</w:t>
      </w:r>
      <w:r w:rsidRPr="00D00EE7">
        <w:t>ласти, работы в которых мог</w:t>
      </w:r>
      <w:r>
        <w:t>ут</w:t>
      </w:r>
      <w:r w:rsidRPr="00D00EE7">
        <w:t xml:space="preserve"> ф</w:t>
      </w:r>
      <w:r w:rsidRPr="00D00EE7">
        <w:t>и</w:t>
      </w:r>
      <w:r w:rsidRPr="00D00EE7">
        <w:t>нансироваться за счет этих средств:</w:t>
      </w:r>
    </w:p>
    <w:p w:rsidR="00D57DE2" w:rsidRPr="00D00EE7" w:rsidRDefault="00D57DE2" w:rsidP="00F318BD">
      <w:pPr>
        <w:pStyle w:val="Bullet1GR"/>
        <w:numPr>
          <w:ilvl w:val="0"/>
          <w:numId w:val="1"/>
        </w:numPr>
      </w:pPr>
      <w:r w:rsidRPr="00D00EE7">
        <w:t>системы водораспределения для одного или нескольких пользователей (включая системы водосбора, подвод трубопроводов к жилым домам и их обслуживание) в посел</w:t>
      </w:r>
      <w:r w:rsidRPr="00D00EE7">
        <w:t>е</w:t>
      </w:r>
      <w:r w:rsidRPr="00D00EE7">
        <w:t>ниях рома;</w:t>
      </w:r>
    </w:p>
    <w:p w:rsidR="00D57DE2" w:rsidRPr="00D00EE7" w:rsidRDefault="00D57DE2" w:rsidP="00F318BD">
      <w:pPr>
        <w:pStyle w:val="Bullet1GR"/>
        <w:numPr>
          <w:ilvl w:val="0"/>
          <w:numId w:val="1"/>
        </w:numPr>
      </w:pPr>
      <w:r w:rsidRPr="00D00EE7">
        <w:t>канализационные системы, рассчитанные на защиту источников воды и соблюдение экологических стандартов</w:t>
      </w:r>
      <w:r>
        <w:t>,</w:t>
      </w:r>
      <w:r w:rsidRPr="00D00EE7">
        <w:t xml:space="preserve"> в поселениях рома;</w:t>
      </w:r>
    </w:p>
    <w:p w:rsidR="00D57DE2" w:rsidRPr="00D00EE7" w:rsidRDefault="00D57DE2" w:rsidP="00F318BD">
      <w:pPr>
        <w:pStyle w:val="Bullet1GR"/>
        <w:numPr>
          <w:ilvl w:val="0"/>
          <w:numId w:val="1"/>
        </w:numPr>
      </w:pPr>
      <w:r w:rsidRPr="00D00EE7">
        <w:t>электрификация укрупненных поселений рома;</w:t>
      </w:r>
    </w:p>
    <w:p w:rsidR="00D57DE2" w:rsidRPr="00D00EE7" w:rsidRDefault="00D57DE2" w:rsidP="00F318BD">
      <w:pPr>
        <w:pStyle w:val="Bullet1GR"/>
        <w:numPr>
          <w:ilvl w:val="0"/>
          <w:numId w:val="1"/>
        </w:numPr>
      </w:pPr>
      <w:r w:rsidRPr="00D00EE7">
        <w:t xml:space="preserve">строительство новой инфраструктуры или реконструкция местных дорог и </w:t>
      </w:r>
      <w:r>
        <w:t>троп</w:t>
      </w:r>
      <w:r w:rsidRPr="00D00EE7">
        <w:t xml:space="preserve"> в поселениях рома;</w:t>
      </w:r>
    </w:p>
    <w:p w:rsidR="00D57DE2" w:rsidRPr="000A1CF3" w:rsidRDefault="00D57DE2" w:rsidP="00F318BD">
      <w:pPr>
        <w:pStyle w:val="Bullet1GR"/>
        <w:numPr>
          <w:ilvl w:val="0"/>
          <w:numId w:val="1"/>
        </w:numPr>
      </w:pPr>
      <w:r w:rsidRPr="00D00EE7">
        <w:t>пок</w:t>
      </w:r>
      <w:r w:rsidRPr="000A1CF3">
        <w:t>упка земли для организации и объединения поселений рома.</w:t>
      </w:r>
    </w:p>
    <w:p w:rsidR="00D57DE2" w:rsidRPr="00D00EE7" w:rsidRDefault="00D57DE2" w:rsidP="00F318BD">
      <w:pPr>
        <w:pStyle w:val="SingleTxtGR"/>
      </w:pPr>
      <w:r w:rsidRPr="00D00EE7">
        <w:t>В приведенной ниже таблице показаны средства, выделенные муниципалитет</w:t>
      </w:r>
      <w:r>
        <w:t>а</w:t>
      </w:r>
      <w:r w:rsidRPr="00D00EE7">
        <w:t>м для этой цели в 2012 году.</w:t>
      </w:r>
    </w:p>
    <w:tbl>
      <w:tblPr>
        <w:tblStyle w:val="TabTxt"/>
        <w:tblW w:w="7370" w:type="dxa"/>
        <w:tblInd w:w="1134" w:type="dxa"/>
        <w:tblLook w:val="01E0" w:firstRow="1" w:lastRow="1" w:firstColumn="1" w:lastColumn="1" w:noHBand="0" w:noVBand="0"/>
      </w:tblPr>
      <w:tblGrid>
        <w:gridCol w:w="1652"/>
        <w:gridCol w:w="2870"/>
        <w:gridCol w:w="1707"/>
        <w:gridCol w:w="1141"/>
      </w:tblGrid>
      <w:tr w:rsidR="00D57DE2" w:rsidRPr="00316279" w:rsidTr="0073120A"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57DE2" w:rsidRPr="00316279" w:rsidRDefault="00D57DE2" w:rsidP="0073120A">
            <w:pPr>
              <w:pageBreakBefore/>
              <w:spacing w:before="80" w:after="80" w:line="200" w:lineRule="exact"/>
              <w:rPr>
                <w:i/>
                <w:sz w:val="16"/>
              </w:rPr>
            </w:pPr>
            <w:r w:rsidRPr="00316279">
              <w:rPr>
                <w:i/>
                <w:sz w:val="16"/>
              </w:rPr>
              <w:t>Муниципалитет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57DE2" w:rsidRPr="00316279" w:rsidRDefault="00D57DE2" w:rsidP="0073120A">
            <w:pPr>
              <w:spacing w:before="80" w:after="80" w:line="200" w:lineRule="exact"/>
              <w:rPr>
                <w:i/>
                <w:sz w:val="16"/>
              </w:rPr>
            </w:pPr>
            <w:r w:rsidRPr="00316279">
              <w:rPr>
                <w:i/>
                <w:sz w:val="16"/>
              </w:rPr>
              <w:t>Поселение рома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57DE2" w:rsidRPr="00316279" w:rsidRDefault="00D57DE2" w:rsidP="002F7F3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16279">
              <w:rPr>
                <w:i/>
                <w:sz w:val="16"/>
              </w:rPr>
              <w:t>Ассигнованные сре</w:t>
            </w:r>
            <w:r w:rsidRPr="00316279">
              <w:rPr>
                <w:i/>
                <w:sz w:val="16"/>
              </w:rPr>
              <w:t>д</w:t>
            </w:r>
            <w:r w:rsidRPr="00316279">
              <w:rPr>
                <w:i/>
                <w:sz w:val="16"/>
              </w:rPr>
              <w:t>ства (в евро)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57DE2" w:rsidRPr="00316279" w:rsidRDefault="00D57DE2" w:rsidP="002F7F3E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16279">
              <w:rPr>
                <w:i/>
                <w:sz w:val="16"/>
              </w:rPr>
              <w:t>Число прое</w:t>
            </w:r>
            <w:r w:rsidRPr="00316279">
              <w:rPr>
                <w:i/>
                <w:sz w:val="16"/>
              </w:rPr>
              <w:t>к</w:t>
            </w:r>
            <w:r w:rsidRPr="00316279">
              <w:rPr>
                <w:i/>
                <w:sz w:val="16"/>
              </w:rPr>
              <w:t>тов</w:t>
            </w:r>
          </w:p>
        </w:tc>
      </w:tr>
      <w:tr w:rsidR="00D57DE2" w:rsidRPr="00316279" w:rsidTr="00F318BD">
        <w:tc>
          <w:tcPr>
            <w:tcW w:w="1652" w:type="dxa"/>
            <w:tcBorders>
              <w:top w:val="single" w:sz="12" w:space="0" w:color="auto"/>
            </w:tcBorders>
          </w:tcPr>
          <w:p w:rsidR="00D57DE2" w:rsidRPr="00316279" w:rsidRDefault="00D57DE2" w:rsidP="00F318BD">
            <w:r w:rsidRPr="00316279">
              <w:t>Черномель</w:t>
            </w:r>
          </w:p>
        </w:tc>
        <w:tc>
          <w:tcPr>
            <w:tcW w:w="2870" w:type="dxa"/>
            <w:tcBorders>
              <w:top w:val="single" w:sz="12" w:space="0" w:color="auto"/>
            </w:tcBorders>
          </w:tcPr>
          <w:p w:rsidR="00D57DE2" w:rsidRPr="00316279" w:rsidRDefault="00D57DE2" w:rsidP="00F318BD">
            <w:r w:rsidRPr="00316279">
              <w:t>Локве и Канижарица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D57DE2" w:rsidRPr="00316279" w:rsidRDefault="00D57DE2" w:rsidP="002F7F3E">
            <w:pPr>
              <w:jc w:val="right"/>
            </w:pPr>
            <w:r w:rsidRPr="00316279">
              <w:t>233 864,00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12" w:space="0" w:color="auto"/>
            </w:tcBorders>
          </w:tcPr>
          <w:p w:rsidR="00D57DE2" w:rsidRPr="00316279" w:rsidRDefault="00D57DE2" w:rsidP="002F7F3E">
            <w:pPr>
              <w:jc w:val="right"/>
            </w:pPr>
            <w:r w:rsidRPr="00316279">
              <w:t>2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Дубровник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Шеркезьеви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59 086,14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Гросупле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Смрекец 1 и 2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79 535,42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Кочевье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Трата и Мароф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345 928,00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2F7F3E" w:rsidP="002F7F3E">
            <w:pPr>
              <w:jc w:val="right"/>
            </w:pPr>
            <w:r>
              <w:t>2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Кршко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Дрново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20 600,00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Кузма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Горньи славечи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88 617,3</w:t>
            </w: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Метлика</w:t>
            </w:r>
          </w:p>
        </w:tc>
        <w:tc>
          <w:tcPr>
            <w:tcW w:w="2870" w:type="dxa"/>
          </w:tcPr>
          <w:p w:rsidR="00D57DE2" w:rsidRPr="00316279" w:rsidRDefault="002F7F3E" w:rsidP="00F318BD">
            <w:r>
              <w:t>Росальнице −</w:t>
            </w:r>
            <w:r w:rsidR="00D57DE2" w:rsidRPr="00316279">
              <w:t xml:space="preserve"> Бориха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138 242,47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Мурска Собота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Пушча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100 000,00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Ново Место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Брежье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200 000,00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Пуконци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Зенковичи – Песек в Зенков</w:t>
            </w:r>
            <w:r w:rsidRPr="00316279">
              <w:t>и</w:t>
            </w:r>
            <w:r w:rsidR="002F7F3E">
              <w:t>чи −</w:t>
            </w:r>
            <w:r w:rsidRPr="00316279">
              <w:t xml:space="preserve"> Брег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528 500,0</w:t>
            </w:r>
            <w: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2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Семич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Средня вас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58 000,40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Шентьернье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Шентьернье Трдинова цеста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50 000,00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Тишина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Борейчи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131 314,80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</w:tcPr>
          <w:p w:rsidR="00D57DE2" w:rsidRPr="00316279" w:rsidRDefault="00D57DE2" w:rsidP="00F318BD">
            <w:r w:rsidRPr="00316279">
              <w:t>Требне</w:t>
            </w:r>
          </w:p>
        </w:tc>
        <w:tc>
          <w:tcPr>
            <w:tcW w:w="2870" w:type="dxa"/>
          </w:tcPr>
          <w:p w:rsidR="00D57DE2" w:rsidRPr="00316279" w:rsidRDefault="00D57DE2" w:rsidP="00F318BD">
            <w:r w:rsidRPr="00316279">
              <w:t>Худейе</w:t>
            </w:r>
          </w:p>
        </w:tc>
        <w:tc>
          <w:tcPr>
            <w:tcW w:w="1707" w:type="dxa"/>
          </w:tcPr>
          <w:p w:rsidR="00D57DE2" w:rsidRPr="00316279" w:rsidRDefault="00D57DE2" w:rsidP="002F7F3E">
            <w:pPr>
              <w:jc w:val="right"/>
            </w:pPr>
            <w:r w:rsidRPr="00316279">
              <w:t>454 847,0</w:t>
            </w:r>
            <w: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  <w:tcBorders>
              <w:bottom w:val="single" w:sz="4" w:space="0" w:color="auto"/>
            </w:tcBorders>
          </w:tcPr>
          <w:p w:rsidR="00D57DE2" w:rsidRPr="00316279" w:rsidRDefault="00D57DE2" w:rsidP="00F318BD">
            <w:r w:rsidRPr="00316279">
              <w:t>Турнишче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D57DE2" w:rsidRPr="00316279" w:rsidRDefault="00D57DE2" w:rsidP="00F318BD">
            <w:r w:rsidRPr="00316279">
              <w:t>Гомилица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D57DE2" w:rsidRPr="00316279" w:rsidRDefault="00D57DE2" w:rsidP="002F7F3E">
            <w:pPr>
              <w:jc w:val="right"/>
            </w:pPr>
            <w:r w:rsidRPr="00316279">
              <w:t>110 365,06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bottom w:val="single" w:sz="4" w:space="0" w:color="auto"/>
            </w:tcBorders>
          </w:tcPr>
          <w:p w:rsidR="00D57DE2" w:rsidRPr="00316279" w:rsidRDefault="00D57DE2" w:rsidP="002F7F3E">
            <w:pPr>
              <w:jc w:val="right"/>
            </w:pPr>
            <w:r w:rsidRPr="00316279">
              <w:t>1</w:t>
            </w:r>
          </w:p>
        </w:tc>
      </w:tr>
      <w:tr w:rsidR="00D57DE2" w:rsidRPr="00316279" w:rsidTr="00F318BD">
        <w:tc>
          <w:tcPr>
            <w:tcW w:w="1652" w:type="dxa"/>
            <w:tcBorders>
              <w:top w:val="single" w:sz="4" w:space="0" w:color="auto"/>
            </w:tcBorders>
          </w:tcPr>
          <w:p w:rsidR="00D57DE2" w:rsidRPr="009F6A32" w:rsidRDefault="00D57DE2" w:rsidP="00BD6B14">
            <w:pPr>
              <w:tabs>
                <w:tab w:val="left" w:pos="268"/>
              </w:tabs>
              <w:rPr>
                <w:b/>
              </w:rPr>
            </w:pPr>
            <w:r w:rsidRPr="00316279">
              <w:tab/>
            </w:r>
            <w:r w:rsidRPr="009F6A32">
              <w:rPr>
                <w:b/>
              </w:rPr>
              <w:t>Всего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D57DE2" w:rsidRPr="00316279" w:rsidRDefault="00D57DE2" w:rsidP="00F318BD"/>
        </w:tc>
        <w:tc>
          <w:tcPr>
            <w:tcW w:w="1707" w:type="dxa"/>
            <w:tcBorders>
              <w:top w:val="single" w:sz="4" w:space="0" w:color="auto"/>
            </w:tcBorders>
          </w:tcPr>
          <w:p w:rsidR="00D57DE2" w:rsidRPr="009F6A32" w:rsidRDefault="00D57DE2" w:rsidP="002F7F3E">
            <w:pPr>
              <w:jc w:val="right"/>
              <w:rPr>
                <w:b/>
              </w:rPr>
            </w:pPr>
            <w:r w:rsidRPr="009F6A32">
              <w:rPr>
                <w:b/>
              </w:rPr>
              <w:t>2 598 900,65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auto"/>
            </w:tcBorders>
          </w:tcPr>
          <w:p w:rsidR="00D57DE2" w:rsidRPr="009F6A32" w:rsidRDefault="00D57DE2" w:rsidP="002F7F3E">
            <w:pPr>
              <w:jc w:val="right"/>
              <w:rPr>
                <w:b/>
              </w:rPr>
            </w:pPr>
            <w:r w:rsidRPr="009F6A32">
              <w:rPr>
                <w:b/>
              </w:rPr>
              <w:t>18</w:t>
            </w:r>
          </w:p>
        </w:tc>
      </w:tr>
    </w:tbl>
    <w:p w:rsidR="00D57DE2" w:rsidRPr="00D00EE7" w:rsidRDefault="00D57DE2" w:rsidP="00F318BD">
      <w:pPr>
        <w:pStyle w:val="SingleTxtGR"/>
        <w:spacing w:before="120"/>
      </w:pPr>
      <w:r w:rsidRPr="00D00EE7">
        <w:t>20.</w:t>
      </w:r>
      <w:r w:rsidRPr="00D00EE7">
        <w:tab/>
        <w:t>Предусматривается также проведение открытых торгов для муниципал</w:t>
      </w:r>
      <w:r w:rsidRPr="00D00EE7">
        <w:t>и</w:t>
      </w:r>
      <w:r w:rsidRPr="00D00EE7">
        <w:t>тетов, где проживают рома</w:t>
      </w:r>
      <w:r>
        <w:t>,</w:t>
      </w:r>
      <w:r w:rsidRPr="00D00EE7">
        <w:t xml:space="preserve"> в 2013 и 2014 годах с целью налаживания базовой инфраструктуры коммунального обслуживания в поселениях рома; стоимость каждого из проектов − 3 млн. евро.</w:t>
      </w:r>
    </w:p>
    <w:p w:rsidR="00D57DE2" w:rsidRPr="00D00EE7" w:rsidRDefault="00D57DE2" w:rsidP="00F318BD">
      <w:pPr>
        <w:pStyle w:val="SingleTxtGR"/>
      </w:pPr>
      <w:r w:rsidRPr="00D00EE7">
        <w:t>21.</w:t>
      </w:r>
      <w:r w:rsidRPr="00D00EE7">
        <w:tab/>
        <w:t>Таким образом, проблемы, касающиеся условий жизни общин рома, р</w:t>
      </w:r>
      <w:r w:rsidRPr="00D00EE7">
        <w:t>е</w:t>
      </w:r>
      <w:r w:rsidRPr="00D00EE7">
        <w:t xml:space="preserve">шаются на систематизированной и долгосрочной основе. </w:t>
      </w:r>
    </w:p>
    <w:p w:rsidR="00D57DE2" w:rsidRPr="00890D8A" w:rsidRDefault="00D57DE2" w:rsidP="00F318BD">
      <w:pPr>
        <w:pStyle w:val="H1GR"/>
      </w:pPr>
      <w:r>
        <w:tab/>
        <w:t>В.</w:t>
      </w:r>
      <w:r>
        <w:tab/>
        <w:t>Ответы на рекомендации, содержащиеся в пункте 13 заключительных замечаний относительно урегулирования статуса лиц, удаленных из Реестра постоя</w:t>
      </w:r>
      <w:r>
        <w:t>н</w:t>
      </w:r>
      <w:r>
        <w:t>ных жителей</w:t>
      </w:r>
    </w:p>
    <w:p w:rsidR="00D57DE2" w:rsidRDefault="00D57DE2" w:rsidP="00F318BD">
      <w:pPr>
        <w:pStyle w:val="SingleTxtGR"/>
      </w:pPr>
      <w:r>
        <w:t>22.</w:t>
      </w:r>
      <w:r>
        <w:tab/>
        <w:t>Как было разъяснено Словенией в комментариях к рекомендациям, пре</w:t>
      </w:r>
      <w:r>
        <w:t>д</w:t>
      </w:r>
      <w:r>
        <w:t>ставленных в конце 2010 года, статус лиц, которые были удалены из Реестра постоянных жителей, был окончательно урегулирован Законом о внесении п</w:t>
      </w:r>
      <w:r>
        <w:t>о</w:t>
      </w:r>
      <w:r>
        <w:t>правок в Закон, регулирующий правовой статус граждан бывшей Югославии, проживающих в Республике Словения (Официальный вестник Республики Сл</w:t>
      </w:r>
      <w:r>
        <w:t>о</w:t>
      </w:r>
      <w:r>
        <w:t>вения № 50/10), который вступил в силу 24 июля 2010 года. Государственное собрание Словении приняло этот Закон с целью окончательно урегулировать правовой статус лиц, удаленных из Реестра постоя</w:t>
      </w:r>
      <w:r>
        <w:t>н</w:t>
      </w:r>
      <w:r>
        <w:t>ных жителей. В дополнение к осуществлению решения Конституционного суда Республики Словения № </w:t>
      </w:r>
      <w:r w:rsidRPr="00E53E1A">
        <w:rPr>
          <w:lang w:val="en-GB"/>
        </w:rPr>
        <w:t>U</w:t>
      </w:r>
      <w:r>
        <w:noBreakHyphen/>
      </w:r>
      <w:r w:rsidRPr="00E53E1A">
        <w:rPr>
          <w:lang w:val="en-GB"/>
        </w:rPr>
        <w:t>I</w:t>
      </w:r>
      <w:r w:rsidRPr="00E53E1A">
        <w:t>-246/02-28</w:t>
      </w:r>
      <w:r>
        <w:t xml:space="preserve"> от 3 апреля 2003 года и устранению несоответствий, опред</w:t>
      </w:r>
      <w:r>
        <w:t>е</w:t>
      </w:r>
      <w:r>
        <w:t>ленных в этом решении (в том числе путем урегулирования статуса задним числом, т.е. с момента удаления из Реестра), Закон также регулирует некоторые другие связанные с этим вопросы (статус детей лиц, удаленных из Реестра, а также корректировка статуса задним числом тех граждан Республики Словения, которые были гражданами других республик бывшей Социалистической Фед</w:t>
      </w:r>
      <w:r>
        <w:t>е</w:t>
      </w:r>
      <w:r>
        <w:t>ративной Республики Югославия (СФРЮ) на момент обретения независимости Словенией и которые были удалены из Реестра постоянных жителей, а впосле</w:t>
      </w:r>
      <w:r>
        <w:t>д</w:t>
      </w:r>
      <w:r>
        <w:t>ствии получили гражданство Словении без предварительной выдачи им пост</w:t>
      </w:r>
      <w:r>
        <w:t>о</w:t>
      </w:r>
      <w:r>
        <w:t>янного вида на жительство. Как уже разъяснялось в комментариях, содержание Закона было изучено Конституционным судом. В своем р</w:t>
      </w:r>
      <w:r>
        <w:t>е</w:t>
      </w:r>
      <w:r>
        <w:t xml:space="preserve">шении № </w:t>
      </w:r>
      <w:r w:rsidRPr="006D469D">
        <w:rPr>
          <w:lang w:val="en-GB"/>
        </w:rPr>
        <w:t>U</w:t>
      </w:r>
      <w:r w:rsidRPr="006D469D">
        <w:t>-</w:t>
      </w:r>
      <w:r w:rsidRPr="006D469D">
        <w:rPr>
          <w:lang w:val="en-GB"/>
        </w:rPr>
        <w:t>II</w:t>
      </w:r>
      <w:r w:rsidRPr="006D469D">
        <w:t>-1/10-19</w:t>
      </w:r>
      <w:r>
        <w:t xml:space="preserve"> от 10 июня 2010 года (Официальный вестник Республики Словения № 50/10) Конституционный суд вынес определение о незаконности требования о пров</w:t>
      </w:r>
      <w:r>
        <w:t>е</w:t>
      </w:r>
      <w:r>
        <w:t>дения референдума, а также постановил, что Закон о внесении поправок и</w:t>
      </w:r>
      <w:r>
        <w:t>с</w:t>
      </w:r>
      <w:r>
        <w:t>правляет в соответствии с Конституцией несоответствия, определенные в р</w:t>
      </w:r>
      <w:r>
        <w:t>е</w:t>
      </w:r>
      <w:r>
        <w:t xml:space="preserve">шении Конституционного суда № </w:t>
      </w:r>
      <w:r w:rsidRPr="006D469D">
        <w:rPr>
          <w:lang w:val="en-GB"/>
        </w:rPr>
        <w:t>U</w:t>
      </w:r>
      <w:r w:rsidRPr="006D469D">
        <w:t>-</w:t>
      </w:r>
      <w:r w:rsidRPr="006D469D">
        <w:rPr>
          <w:lang w:val="en-GB"/>
        </w:rPr>
        <w:t>I</w:t>
      </w:r>
      <w:r w:rsidRPr="006D469D">
        <w:t>-246/02-28</w:t>
      </w:r>
      <w:r>
        <w:t xml:space="preserve"> от 3 апреля 2003 года, и что З</w:t>
      </w:r>
      <w:r>
        <w:t>а</w:t>
      </w:r>
      <w:r>
        <w:t>кон о внесении поправок может также регулировать другие вопросы (статус д</w:t>
      </w:r>
      <w:r>
        <w:t>е</w:t>
      </w:r>
      <w:r>
        <w:t>тей лиц, удаленных из Реестра, и изменение задним числом статуса граждан Республики Словения), поскольку эти вопросы имеют самое непосредственно</w:t>
      </w:r>
      <w:r w:rsidR="00BD6B14">
        <w:t>е</w:t>
      </w:r>
      <w:r>
        <w:t xml:space="preserve"> отношение к исправлению несоответствий. Суд также определил, что этот З</w:t>
      </w:r>
      <w:r>
        <w:t>а</w:t>
      </w:r>
      <w:r>
        <w:t>кон обеспечит основу для окончательного урегулирования правового статуса тех граждан других республик бывшей СФРЮ, которые были удалены из Ре</w:t>
      </w:r>
      <w:r>
        <w:t>е</w:t>
      </w:r>
      <w:r>
        <w:t>стра постоянных жителей, если статус этих лиц пока еще не урегулир</w:t>
      </w:r>
      <w:r>
        <w:t>о</w:t>
      </w:r>
      <w:r>
        <w:t>ван.</w:t>
      </w:r>
    </w:p>
    <w:p w:rsidR="00D57DE2" w:rsidRDefault="00D57DE2" w:rsidP="00F318BD">
      <w:pPr>
        <w:pStyle w:val="SingleTxtGR"/>
      </w:pPr>
      <w:r>
        <w:t>23.</w:t>
      </w:r>
      <w:r>
        <w:tab/>
        <w:t>Словения уже разъяснила, что были выданы вспомогательные заключ</w:t>
      </w:r>
      <w:r>
        <w:t>е</w:t>
      </w:r>
      <w:r>
        <w:t xml:space="preserve">ния </w:t>
      </w:r>
      <w:r>
        <w:rPr>
          <w:lang w:val="en-US"/>
        </w:rPr>
        <w:t>ex</w:t>
      </w:r>
      <w:r w:rsidRPr="006E2315">
        <w:t xml:space="preserve"> </w:t>
      </w:r>
      <w:r>
        <w:rPr>
          <w:lang w:val="en-US"/>
        </w:rPr>
        <w:t>officio</w:t>
      </w:r>
      <w:r>
        <w:t xml:space="preserve"> в отношении тех граждан других республик бывшей СФРЮ, к</w:t>
      </w:r>
      <w:r>
        <w:t>о</w:t>
      </w:r>
      <w:r>
        <w:t>торые были удалены из Реестра постоянных жителей и которые уже получили постоянный вид на жительс</w:t>
      </w:r>
      <w:r>
        <w:t>т</w:t>
      </w:r>
      <w:r>
        <w:t>во (на основе Закона, регулирующего правовой статус граждан бывшей Югославии, проживающих в Республике Словения, или на основе Закона об иностранцах) до пр</w:t>
      </w:r>
      <w:r>
        <w:t>и</w:t>
      </w:r>
      <w:r>
        <w:t>нятия Закона о внесении поправок (до 24 июля 2010 года). Эти дополнительные заключения явились основанием для их постоянного проживания в Словении в период с м</w:t>
      </w:r>
      <w:r>
        <w:t>о</w:t>
      </w:r>
      <w:r>
        <w:t>мента их удаления из Реестра до предоставления им постоянных видов на жительство. Дополнител</w:t>
      </w:r>
      <w:r>
        <w:t>ь</w:t>
      </w:r>
      <w:r>
        <w:t>ные заключения выдавались Министерством внутренних дел Словении на о</w:t>
      </w:r>
      <w:r>
        <w:t>с</w:t>
      </w:r>
      <w:r>
        <w:t xml:space="preserve">новании пункта 8 решения Конституционного суда № </w:t>
      </w:r>
      <w:r w:rsidRPr="006E2315">
        <w:rPr>
          <w:lang w:val="en-GB"/>
        </w:rPr>
        <w:t>U</w:t>
      </w:r>
      <w:r w:rsidRPr="006E2315">
        <w:t>-</w:t>
      </w:r>
      <w:r w:rsidRPr="006E2315">
        <w:rPr>
          <w:lang w:val="en-GB"/>
        </w:rPr>
        <w:t>I</w:t>
      </w:r>
      <w:r w:rsidRPr="006E2315">
        <w:t>-246/02-28</w:t>
      </w:r>
      <w:r>
        <w:t xml:space="preserve"> от 3 апр</w:t>
      </w:r>
      <w:r>
        <w:t>е</w:t>
      </w:r>
      <w:r>
        <w:t>ля 2003 года. Дополнительные заключения были выданы Министерством внутре</w:t>
      </w:r>
      <w:r>
        <w:t>н</w:t>
      </w:r>
      <w:r>
        <w:t>них дел в 2004 году, а также в период после февраля 2009 года. В 2004 году б</w:t>
      </w:r>
      <w:r>
        <w:t>ы</w:t>
      </w:r>
      <w:r>
        <w:t>ло выдано 4 040 дополнительных заключений, и еще 2 581 заключение было выдано после февр</w:t>
      </w:r>
      <w:r>
        <w:t>а</w:t>
      </w:r>
      <w:r>
        <w:t>ля 2009 года. Закон о внесении поправок регулирует вопрос о заключениях, имеющих обратную силу; в нем указаны случаи, при которых считается, что граждане других республик бывшей СФРЮ, которые были уд</w:t>
      </w:r>
      <w:r>
        <w:t>а</w:t>
      </w:r>
      <w:r>
        <w:t>лены из Реестра постоянных жителей, имели постоянный вид на жительство и постоянную регистрацию местожительст</w:t>
      </w:r>
      <w:r w:rsidR="00BD6B14">
        <w:t>ва</w:t>
      </w:r>
      <w:r>
        <w:t xml:space="preserve"> также задним числом, т.е. с моме</w:t>
      </w:r>
      <w:r>
        <w:t>н</w:t>
      </w:r>
      <w:r>
        <w:t>та прекращения регистрации постоянного местожительства (в отношении этого для них было выдано специальное заключение).</w:t>
      </w:r>
    </w:p>
    <w:p w:rsidR="00D57DE2" w:rsidRDefault="00D57DE2" w:rsidP="00F318BD">
      <w:pPr>
        <w:pStyle w:val="SingleTxtGR"/>
      </w:pPr>
      <w:r>
        <w:t>24.</w:t>
      </w:r>
      <w:r>
        <w:tab/>
        <w:t>Что касается рекомендации о проведении информационно-просветительской ка</w:t>
      </w:r>
      <w:r>
        <w:t>м</w:t>
      </w:r>
      <w:r>
        <w:t>пании для ознакомления лиц, удаленных из Реестра и проживающих за пределами Словении, с Законом о внесении поправок, Слов</w:t>
      </w:r>
      <w:r>
        <w:t>е</w:t>
      </w:r>
      <w:r>
        <w:t>ния подтверждает, что ей известно о том, что представление информации о З</w:t>
      </w:r>
      <w:r>
        <w:t>а</w:t>
      </w:r>
      <w:r>
        <w:t>коне о внесении поправок всем лицам, удаленным из Реестра, имеет важное значение для урегулирования их статуса в соответствии с Законом о внесении поправок и для обеспечения эффективности административных пр</w:t>
      </w:r>
      <w:r>
        <w:t>о</w:t>
      </w:r>
      <w:r>
        <w:t>цедур. В этой связи Министерством внутренних дел был принят ряд мер, направленных на ознакомление с Законом всех заинтересованных лиц до его вступления в с</w:t>
      </w:r>
      <w:r>
        <w:t>и</w:t>
      </w:r>
      <w:r>
        <w:t>лу. После вступления Закона в силу Министерство издало специальную бр</w:t>
      </w:r>
      <w:r>
        <w:t>о</w:t>
      </w:r>
      <w:r>
        <w:t>шюру на словенском языке, которая имеется во всех административных органах Словении, а также дипломатических миссиях и консульствах Словении в гос</w:t>
      </w:r>
      <w:r>
        <w:t>у</w:t>
      </w:r>
      <w:r>
        <w:t>дарствах, являющихся правопреемниками бывшей СФРЮ. Эта брошюра была также разослана неправительственным организациям (НПО). В январе 2012 г</w:t>
      </w:r>
      <w:r>
        <w:t>о</w:t>
      </w:r>
      <w:r>
        <w:t>да Министерство опубликовало брошюру на чет</w:t>
      </w:r>
      <w:r>
        <w:t>ы</w:t>
      </w:r>
      <w:r>
        <w:t>рех других языках государств, являющихся правопреемниками бывшей СФРЮ. Эта брошюра и вся соответс</w:t>
      </w:r>
      <w:r>
        <w:t>т</w:t>
      </w:r>
      <w:r>
        <w:t xml:space="preserve">вующая информация имеется на веб-сайте Министерства </w:t>
      </w:r>
      <w:r w:rsidRPr="00040762">
        <w:t>(</w:t>
      </w:r>
      <w:r w:rsidRPr="00040762">
        <w:rPr>
          <w:lang w:val="en-GB"/>
        </w:rPr>
        <w:t>www</w:t>
      </w:r>
      <w:r w:rsidRPr="00040762">
        <w:t>.</w:t>
      </w:r>
      <w:r w:rsidRPr="00040762">
        <w:rPr>
          <w:lang w:val="en-GB"/>
        </w:rPr>
        <w:t>infotujci</w:t>
      </w:r>
      <w:r w:rsidRPr="00040762">
        <w:t>.</w:t>
      </w:r>
      <w:r w:rsidRPr="00040762">
        <w:rPr>
          <w:lang w:val="en-GB"/>
        </w:rPr>
        <w:t>si</w:t>
      </w:r>
      <w:r w:rsidRPr="00040762">
        <w:t>)</w:t>
      </w:r>
      <w:r>
        <w:t>. С 20 июля 2010 года в Министерстве действует бесплатная телефонная служба, предо</w:t>
      </w:r>
      <w:r>
        <w:t>с</w:t>
      </w:r>
      <w:r>
        <w:t xml:space="preserve">тавляющая информацию о Законе о внесении поправок. </w:t>
      </w:r>
    </w:p>
    <w:p w:rsidR="00D57DE2" w:rsidRDefault="00D57DE2" w:rsidP="00F318BD">
      <w:pPr>
        <w:pStyle w:val="SingleTxtGR"/>
      </w:pPr>
      <w:r>
        <w:t>25.</w:t>
      </w:r>
      <w:r>
        <w:tab/>
        <w:t>Что касается рекомендации в отношении того, что лицам, удаленным из Реестра, должна быть предоставлена возможность в полной мере осуществить свои экономические и социальные права, то цель Закона о внесении поправок заключается в урегулировании статуса граждан других республик бывшего о</w:t>
      </w:r>
      <w:r>
        <w:t>б</w:t>
      </w:r>
      <w:r>
        <w:t>щего государства СФРЮ</w:t>
      </w:r>
      <w:r w:rsidRPr="00E968D3">
        <w:t xml:space="preserve"> </w:t>
      </w:r>
      <w:r>
        <w:t>иным, упрощенным образом (получение постоянного вида на жительства) по сравнению с другими иностранными гражданами, ст</w:t>
      </w:r>
      <w:r>
        <w:t>а</w:t>
      </w:r>
      <w:r>
        <w:t>тус которых регулируется Законом об иностранцах. В связи с этим в Законе о внесении поправок не регулируются другие права или вопросы возмещения ущерба. В других областях лица, удаленные из Реестра, которые получили п</w:t>
      </w:r>
      <w:r>
        <w:t>о</w:t>
      </w:r>
      <w:r>
        <w:t>стоянный вид на жительство, могут пользоваться теми же правами, что и ин</w:t>
      </w:r>
      <w:r>
        <w:t>о</w:t>
      </w:r>
      <w:r>
        <w:t>странные граждане, которым был выдан постоянный вид на жительство или к</w:t>
      </w:r>
      <w:r>
        <w:t>о</w:t>
      </w:r>
      <w:r>
        <w:t>торые зарегистрировали постоянное местожительство в Словении.</w:t>
      </w:r>
    </w:p>
    <w:p w:rsidR="00D57DE2" w:rsidRDefault="00D57DE2" w:rsidP="00F318BD">
      <w:pPr>
        <w:pStyle w:val="SingleTxtGR"/>
      </w:pPr>
      <w:r>
        <w:t>26.</w:t>
      </w:r>
      <w:r>
        <w:tab/>
        <w:t xml:space="preserve">Решением № </w:t>
      </w:r>
      <w:r w:rsidRPr="00DB04A6">
        <w:t>02401-22/2010/3</w:t>
      </w:r>
      <w:r>
        <w:t xml:space="preserve"> от 25 ноября 2010 года правительство Сл</w:t>
      </w:r>
      <w:r>
        <w:t>о</w:t>
      </w:r>
      <w:r>
        <w:t>вении учредило Рабочую группу по всестороннему урегулированию проблемы "стертых" лиц с целью определения и выработки мер политики по реинтегр</w:t>
      </w:r>
      <w:r>
        <w:t>а</w:t>
      </w:r>
      <w:r>
        <w:t>ции таких лиц в общество Словении, включая восстановление их во всех пр</w:t>
      </w:r>
      <w:r>
        <w:t>а</w:t>
      </w:r>
      <w:r>
        <w:t>вах и оказание им помощи в осуществлении прав, которые могут быть получ</w:t>
      </w:r>
      <w:r>
        <w:t>е</w:t>
      </w:r>
      <w:r>
        <w:t>ны на основе урегулирования статуса. В период своей деятельности Рабочая группа также составила перечень всех прав, которыми смогут пользоваться в Словении лица, удаленные из Реестра, сразу же после того</w:t>
      </w:r>
      <w:r w:rsidR="00BD6B14">
        <w:t>,</w:t>
      </w:r>
      <w:r>
        <w:t xml:space="preserve"> как они получат п</w:t>
      </w:r>
      <w:r>
        <w:t>о</w:t>
      </w:r>
      <w:r>
        <w:t>стоянный вид на жительство. Рабочая группа завершила свою деятельность в мае 2011 года.</w:t>
      </w:r>
    </w:p>
    <w:p w:rsidR="00D57DE2" w:rsidRPr="00C16E4C" w:rsidRDefault="00D57DE2" w:rsidP="00F318BD">
      <w:pPr>
        <w:pStyle w:val="SingleTxtGR"/>
      </w:pPr>
      <w:r>
        <w:t>27.</w:t>
      </w:r>
      <w:r>
        <w:tab/>
        <w:t>Что касается рекомендации обеспечить возмещение ущерба или надл</w:t>
      </w:r>
      <w:r>
        <w:t>е</w:t>
      </w:r>
      <w:r>
        <w:t>жащее удовлетворение всем лицам, удаленным из Реестра, то правительство Словении в связи с выполнением постановления Большой палаты Европейского суда по правам человека, которое было вын</w:t>
      </w:r>
      <w:r w:rsidR="00BD6B14">
        <w:t xml:space="preserve">есено в июне 2012 года по делу </w:t>
      </w:r>
      <w:r>
        <w:rPr>
          <w:i/>
        </w:rPr>
        <w:t>К</w:t>
      </w:r>
      <w:r>
        <w:rPr>
          <w:i/>
        </w:rPr>
        <w:t>у</w:t>
      </w:r>
      <w:r>
        <w:rPr>
          <w:i/>
        </w:rPr>
        <w:t>рич и др. против Словении</w:t>
      </w:r>
      <w:r>
        <w:t xml:space="preserve"> учредила межведомственную рабочую группу в о</w:t>
      </w:r>
      <w:r>
        <w:t>к</w:t>
      </w:r>
      <w:r>
        <w:t>тябре 2012 года, поручив ей рассмотреть вопросы, касающиеся "лиц, удаленных из Реестра", что предполагает также выработку системного урегулирования проблемы</w:t>
      </w:r>
      <w:r w:rsidR="00BD6B14">
        <w:t xml:space="preserve"> выплаты возмещения таким лицам</w:t>
      </w:r>
      <w:r>
        <w:t xml:space="preserve"> и разработать проект специал</w:t>
      </w:r>
      <w:r>
        <w:t>ь</w:t>
      </w:r>
      <w:r>
        <w:t>ной схемы выплаты возмещения.</w:t>
      </w:r>
    </w:p>
    <w:p w:rsidR="00D57DE2" w:rsidRPr="007C75C1" w:rsidRDefault="00D57DE2" w:rsidP="00F318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3EF" w:rsidRPr="002D0DBB" w:rsidRDefault="004233EF" w:rsidP="00601FA9">
      <w:pPr>
        <w:pStyle w:val="SingleTxtGR"/>
      </w:pPr>
    </w:p>
    <w:sectPr w:rsidR="004233EF" w:rsidRPr="002D0DBB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3B" w:rsidRDefault="00F9083B">
      <w:r>
        <w:rPr>
          <w:lang w:val="en-US"/>
        </w:rPr>
        <w:tab/>
      </w:r>
      <w:r>
        <w:separator/>
      </w:r>
    </w:p>
  </w:endnote>
  <w:endnote w:type="continuationSeparator" w:id="0">
    <w:p w:rsidR="00F9083B" w:rsidRDefault="00F9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9A6F4A" w:rsidRDefault="00FF415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5FE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</w:r>
    <w:r w:rsidRPr="00AF65DF">
      <w:rPr>
        <w:lang w:val="en-US"/>
      </w:rPr>
      <w:t>GE.13-45020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9A6F4A" w:rsidRDefault="00FF415C">
    <w:pPr>
      <w:pStyle w:val="Footer"/>
      <w:rPr>
        <w:lang w:val="en-US"/>
      </w:rPr>
    </w:pPr>
    <w:r w:rsidRPr="00AF65DF">
      <w:rPr>
        <w:lang w:val="en-US"/>
      </w:rPr>
      <w:t>GE.13-45020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5FE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9A6F4A" w:rsidRDefault="00FF415C">
    <w:pPr>
      <w:pStyle w:val="Footer"/>
      <w:rPr>
        <w:sz w:val="20"/>
        <w:lang w:val="en-US"/>
      </w:rPr>
    </w:pPr>
    <w:r>
      <w:rPr>
        <w:sz w:val="20"/>
        <w:lang w:val="en-US"/>
      </w:rPr>
      <w:t>GE.13-45020  (R)  150813   160813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3B" w:rsidRPr="00F71F63" w:rsidRDefault="00F9083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9083B" w:rsidRPr="00F71F63" w:rsidRDefault="00F9083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9083B" w:rsidRPr="00635E86" w:rsidRDefault="00F9083B" w:rsidP="00635E86">
      <w:pPr>
        <w:pStyle w:val="Footer"/>
      </w:pPr>
    </w:p>
  </w:footnote>
  <w:footnote w:id="1">
    <w:p w:rsidR="00FF415C" w:rsidRPr="005102C0" w:rsidRDefault="00FF415C" w:rsidP="00552167">
      <w:pPr>
        <w:pStyle w:val="FootnoteText"/>
        <w:rPr>
          <w:sz w:val="20"/>
          <w:lang w:val="ru-RU"/>
        </w:rPr>
      </w:pPr>
      <w:r>
        <w:tab/>
      </w:r>
      <w:r w:rsidRPr="005102C0">
        <w:rPr>
          <w:rStyle w:val="FootnoteReference"/>
          <w:sz w:val="20"/>
          <w:vertAlign w:val="baseline"/>
          <w:lang w:val="ru-RU"/>
        </w:rPr>
        <w:t>*</w:t>
      </w:r>
      <w:r w:rsidRPr="005102C0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обработки их докладов, настоящий документ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5A734F" w:rsidRDefault="00FF415C">
    <w:pPr>
      <w:pStyle w:val="Header"/>
      <w:rPr>
        <w:lang w:val="en-US"/>
      </w:rPr>
    </w:pPr>
    <w:r>
      <w:rPr>
        <w:lang w:val="en-US"/>
      </w:rPr>
      <w:t>CERD/C/SVN/CO/6-7/Add.1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5C" w:rsidRPr="009A6F4A" w:rsidRDefault="00FF415C">
    <w:pPr>
      <w:pStyle w:val="Header"/>
      <w:rPr>
        <w:lang w:val="en-US"/>
      </w:rPr>
    </w:pPr>
    <w:r>
      <w:rPr>
        <w:lang w:val="en-US"/>
      </w:rPr>
      <w:tab/>
    </w:r>
    <w:r w:rsidRPr="00AF65DF">
      <w:rPr>
        <w:lang w:val="en-US"/>
      </w:rPr>
      <w:t>CERD/C/SVN/CO/6-7/Add.1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66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389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1C82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0DBB"/>
    <w:rsid w:val="002D15EA"/>
    <w:rsid w:val="002D6C07"/>
    <w:rsid w:val="002E0CE6"/>
    <w:rsid w:val="002E1163"/>
    <w:rsid w:val="002E43F3"/>
    <w:rsid w:val="002F05D8"/>
    <w:rsid w:val="002F4207"/>
    <w:rsid w:val="002F7F3E"/>
    <w:rsid w:val="003215F5"/>
    <w:rsid w:val="00332891"/>
    <w:rsid w:val="00356BB2"/>
    <w:rsid w:val="00360477"/>
    <w:rsid w:val="00367FC9"/>
    <w:rsid w:val="003711A1"/>
    <w:rsid w:val="00372123"/>
    <w:rsid w:val="00373663"/>
    <w:rsid w:val="00386581"/>
    <w:rsid w:val="00387100"/>
    <w:rsid w:val="003951D3"/>
    <w:rsid w:val="003976C8"/>
    <w:rsid w:val="003978C6"/>
    <w:rsid w:val="003B40A9"/>
    <w:rsid w:val="003C016E"/>
    <w:rsid w:val="003D5EBD"/>
    <w:rsid w:val="003E726E"/>
    <w:rsid w:val="00401CE0"/>
    <w:rsid w:val="00403234"/>
    <w:rsid w:val="00407AC3"/>
    <w:rsid w:val="00414586"/>
    <w:rsid w:val="00415059"/>
    <w:rsid w:val="004233EF"/>
    <w:rsid w:val="00424FDD"/>
    <w:rsid w:val="0043033D"/>
    <w:rsid w:val="00435CE2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05B5A"/>
    <w:rsid w:val="0051339C"/>
    <w:rsid w:val="0051412F"/>
    <w:rsid w:val="00522B6F"/>
    <w:rsid w:val="0052430E"/>
    <w:rsid w:val="005276AD"/>
    <w:rsid w:val="00540A9A"/>
    <w:rsid w:val="00543522"/>
    <w:rsid w:val="00545680"/>
    <w:rsid w:val="00552167"/>
    <w:rsid w:val="00554CB5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1FA9"/>
    <w:rsid w:val="00606A3E"/>
    <w:rsid w:val="006115AA"/>
    <w:rsid w:val="00611618"/>
    <w:rsid w:val="00611E30"/>
    <w:rsid w:val="006120AE"/>
    <w:rsid w:val="00635E86"/>
    <w:rsid w:val="00636A37"/>
    <w:rsid w:val="00647BB6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5FE"/>
    <w:rsid w:val="006C5657"/>
    <w:rsid w:val="006D5E4E"/>
    <w:rsid w:val="006E6860"/>
    <w:rsid w:val="006E7183"/>
    <w:rsid w:val="006F5FBF"/>
    <w:rsid w:val="0070327E"/>
    <w:rsid w:val="00707B5F"/>
    <w:rsid w:val="0073120A"/>
    <w:rsid w:val="00735602"/>
    <w:rsid w:val="00743588"/>
    <w:rsid w:val="007511D7"/>
    <w:rsid w:val="0075279B"/>
    <w:rsid w:val="00753748"/>
    <w:rsid w:val="00762446"/>
    <w:rsid w:val="00781ACB"/>
    <w:rsid w:val="007A79EB"/>
    <w:rsid w:val="007C0742"/>
    <w:rsid w:val="007D4CA0"/>
    <w:rsid w:val="007D7A23"/>
    <w:rsid w:val="007E38C3"/>
    <w:rsid w:val="007E549E"/>
    <w:rsid w:val="007E71C9"/>
    <w:rsid w:val="007F7553"/>
    <w:rsid w:val="0080755E"/>
    <w:rsid w:val="008120D4"/>
    <w:rsid w:val="00812A58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56FB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FDC"/>
    <w:rsid w:val="009C30BB"/>
    <w:rsid w:val="009C60BE"/>
    <w:rsid w:val="009E6279"/>
    <w:rsid w:val="009F00A6"/>
    <w:rsid w:val="009F56A7"/>
    <w:rsid w:val="009F5B05"/>
    <w:rsid w:val="00A026CA"/>
    <w:rsid w:val="00A03702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65DF"/>
    <w:rsid w:val="00B0169F"/>
    <w:rsid w:val="00B05F21"/>
    <w:rsid w:val="00B14EA9"/>
    <w:rsid w:val="00B30A3C"/>
    <w:rsid w:val="00B81305"/>
    <w:rsid w:val="00B9010F"/>
    <w:rsid w:val="00BB17DC"/>
    <w:rsid w:val="00BB1AF9"/>
    <w:rsid w:val="00BB4C4A"/>
    <w:rsid w:val="00BD3CAE"/>
    <w:rsid w:val="00BD5F3C"/>
    <w:rsid w:val="00BD6B1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7DE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0C22"/>
    <w:rsid w:val="00E96BE7"/>
    <w:rsid w:val="00EA2CD0"/>
    <w:rsid w:val="00EA5C88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18BD"/>
    <w:rsid w:val="00F31DBD"/>
    <w:rsid w:val="00F33188"/>
    <w:rsid w:val="00F35BDE"/>
    <w:rsid w:val="00F52A0E"/>
    <w:rsid w:val="00F622A8"/>
    <w:rsid w:val="00F71F63"/>
    <w:rsid w:val="00F87506"/>
    <w:rsid w:val="00F9083B"/>
    <w:rsid w:val="00F92C41"/>
    <w:rsid w:val="00FA5522"/>
    <w:rsid w:val="00FA6E4A"/>
    <w:rsid w:val="00FB2B35"/>
    <w:rsid w:val="00FC4AE1"/>
    <w:rsid w:val="00FD78A3"/>
    <w:rsid w:val="00FF415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3311</Words>
  <Characters>22053</Characters>
  <Application>Microsoft Office Word</Application>
  <DocSecurity>4</DocSecurity>
  <Lines>459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Ульяна Масленникова</dc:creator>
  <cp:keywords/>
  <dc:description/>
  <cp:lastModifiedBy>Ирина Сафонова</cp:lastModifiedBy>
  <cp:revision>4</cp:revision>
  <cp:lastPrinted>2013-08-16T07:31:00Z</cp:lastPrinted>
  <dcterms:created xsi:type="dcterms:W3CDTF">2013-08-16T07:31:00Z</dcterms:created>
  <dcterms:modified xsi:type="dcterms:W3CDTF">2013-08-16T07:31:00Z</dcterms:modified>
</cp:coreProperties>
</file>