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285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767"/>
        <w:gridCol w:w="3598"/>
      </w:tblGrid>
      <w:tr w:rsidR="00CA3A38" w:rsidRPr="00DB7679" w:rsidTr="00301485">
        <w:trPr>
          <w:trHeight w:hRule="exact" w:val="810"/>
        </w:trPr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:rsidR="00CA3A38" w:rsidRPr="00983870" w:rsidRDefault="00CA3A38" w:rsidP="00CA3A38">
            <w:pPr>
              <w:bidi w:val="0"/>
              <w:jc w:val="right"/>
            </w:pPr>
            <w:bookmarkStart w:id="0" w:name="_Hlk31100334"/>
          </w:p>
        </w:tc>
        <w:tc>
          <w:tcPr>
            <w:tcW w:w="4767" w:type="dxa"/>
            <w:tcBorders>
              <w:top w:val="nil"/>
              <w:bottom w:val="single" w:sz="4" w:space="0" w:color="auto"/>
            </w:tcBorders>
            <w:vAlign w:val="bottom"/>
          </w:tcPr>
          <w:p w:rsidR="00CA3A38" w:rsidRPr="00DB7679" w:rsidRDefault="00CA3A38" w:rsidP="00CA3A38">
            <w:pPr>
              <w:spacing w:after="80" w:line="480" w:lineRule="exact"/>
              <w:jc w:val="left"/>
              <w:rPr>
                <w:szCs w:val="40"/>
                <w:rtl/>
              </w:rPr>
            </w:pPr>
            <w:r w:rsidRPr="00DB7679">
              <w:rPr>
                <w:rFonts w:hint="cs"/>
                <w:szCs w:val="40"/>
                <w:rtl/>
              </w:rPr>
              <w:t>الأمم المتحدة</w:t>
            </w:r>
          </w:p>
        </w:tc>
        <w:tc>
          <w:tcPr>
            <w:tcW w:w="3598" w:type="dxa"/>
            <w:tcBorders>
              <w:top w:val="nil"/>
              <w:bottom w:val="single" w:sz="4" w:space="0" w:color="auto"/>
            </w:tcBorders>
            <w:vAlign w:val="bottom"/>
          </w:tcPr>
          <w:p w:rsidR="00CA3A38" w:rsidRPr="00243C8A" w:rsidRDefault="00CA3A38" w:rsidP="00CA3A38">
            <w:pPr>
              <w:bidi w:val="0"/>
              <w:spacing w:after="20"/>
              <w:jc w:val="left"/>
              <w:rPr>
                <w:szCs w:val="20"/>
              </w:rPr>
            </w:pPr>
            <w:r w:rsidRPr="00AB511E">
              <w:rPr>
                <w:sz w:val="40"/>
                <w:szCs w:val="20"/>
              </w:rPr>
              <w:t>CAT</w:t>
            </w:r>
            <w:r>
              <w:rPr>
                <w:szCs w:val="20"/>
              </w:rPr>
              <w:t>/C/68/D/850/2017</w:t>
            </w:r>
          </w:p>
        </w:tc>
      </w:tr>
    </w:tbl>
    <w:p w:rsidR="00CA3A38" w:rsidRDefault="00CA3A38" w:rsidP="00CA3A38">
      <w:pPr>
        <w:spacing w:line="20" w:lineRule="exact"/>
        <w:rPr>
          <w:rtl/>
        </w:rPr>
      </w:pPr>
    </w:p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767"/>
        <w:gridCol w:w="3598"/>
      </w:tblGrid>
      <w:tr w:rsidR="00CA3A38" w:rsidRPr="00DB7679" w:rsidTr="00301485">
        <w:trPr>
          <w:trHeight w:hRule="exact" w:val="2835"/>
        </w:trPr>
        <w:tc>
          <w:tcPr>
            <w:tcW w:w="1274" w:type="dxa"/>
            <w:tcBorders>
              <w:top w:val="nil"/>
              <w:bottom w:val="single" w:sz="12" w:space="0" w:color="auto"/>
            </w:tcBorders>
          </w:tcPr>
          <w:p w:rsidR="00CA3A38" w:rsidRPr="00DB7679" w:rsidRDefault="00CA3A38" w:rsidP="00CA3A38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CA42ECC" wp14:editId="31A417AF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20955</wp:posOffset>
                  </wp:positionV>
                  <wp:extent cx="629920" cy="611505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903" y="20860"/>
                      <wp:lineTo x="2090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2992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7" w:type="dxa"/>
            <w:tcBorders>
              <w:top w:val="nil"/>
              <w:bottom w:val="single" w:sz="12" w:space="0" w:color="auto"/>
            </w:tcBorders>
          </w:tcPr>
          <w:p w:rsidR="00CA3A38" w:rsidRPr="00817373" w:rsidRDefault="00CA3A38" w:rsidP="00CA3A38">
            <w:pPr>
              <w:spacing w:before="120" w:after="40" w:line="580" w:lineRule="exact"/>
              <w:rPr>
                <w:b/>
                <w:bCs/>
                <w:sz w:val="52"/>
                <w:szCs w:val="52"/>
              </w:rPr>
            </w:pPr>
            <w:r>
              <w:rPr>
                <w:rFonts w:hint="cs"/>
                <w:b/>
                <w:bCs/>
                <w:sz w:val="52"/>
                <w:szCs w:val="52"/>
                <w:rtl/>
              </w:rPr>
              <w:t>اتفاقية مناهضة التعذيب وغيره من ضروب المعاملة أو العقوبة القاسية أو اللاإنسانية أو المهينة</w:t>
            </w:r>
          </w:p>
        </w:tc>
        <w:tc>
          <w:tcPr>
            <w:tcW w:w="3598" w:type="dxa"/>
            <w:tcBorders>
              <w:top w:val="nil"/>
              <w:bottom w:val="single" w:sz="12" w:space="0" w:color="auto"/>
            </w:tcBorders>
          </w:tcPr>
          <w:p w:rsidR="00CA3A38" w:rsidRDefault="00CA3A38" w:rsidP="00CA3A38">
            <w:pPr>
              <w:bidi w:val="0"/>
              <w:spacing w:before="240" w:line="240" w:lineRule="exact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Distr.: </w:t>
            </w:r>
            <w:r w:rsidRPr="00851613">
              <w:rPr>
                <w:rFonts w:cs="Times New Roman"/>
                <w:szCs w:val="20"/>
                <w:lang w:val="en-GB"/>
              </w:rPr>
              <w:t>General</w:t>
            </w:r>
          </w:p>
          <w:p w:rsidR="00CA3A38" w:rsidRDefault="00CA3A38" w:rsidP="00CA3A38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3 </w:t>
            </w:r>
            <w:r w:rsidRPr="00851613">
              <w:rPr>
                <w:rFonts w:cs="Times New Roman"/>
                <w:szCs w:val="20"/>
                <w:lang w:val="en-GB"/>
              </w:rPr>
              <w:t>January</w:t>
            </w:r>
            <w:r>
              <w:rPr>
                <w:szCs w:val="20"/>
              </w:rPr>
              <w:t xml:space="preserve"> 2020</w:t>
            </w:r>
          </w:p>
          <w:p w:rsidR="00CA3A38" w:rsidRDefault="00CA3A38" w:rsidP="00CA3A38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CA3A38" w:rsidRPr="008B4BC6" w:rsidRDefault="00CA3A38" w:rsidP="00CA3A38">
            <w:pPr>
              <w:bidi w:val="0"/>
              <w:jc w:val="left"/>
            </w:pPr>
            <w:r w:rsidRPr="00851613">
              <w:rPr>
                <w:rFonts w:cs="Times New Roman"/>
                <w:szCs w:val="20"/>
                <w:lang w:val="en-GB"/>
              </w:rPr>
              <w:t>Original</w:t>
            </w:r>
            <w:r>
              <w:rPr>
                <w:szCs w:val="20"/>
              </w:rPr>
              <w:t>: English</w:t>
            </w:r>
          </w:p>
        </w:tc>
      </w:tr>
    </w:tbl>
    <w:p w:rsidR="00CA3A38" w:rsidRPr="004568F8" w:rsidRDefault="00CA3A38" w:rsidP="00CA3A38">
      <w:pPr>
        <w:spacing w:before="120" w:after="120" w:line="380" w:lineRule="exact"/>
        <w:rPr>
          <w:b/>
          <w:bCs/>
          <w:sz w:val="26"/>
          <w:szCs w:val="36"/>
          <w:rtl/>
        </w:rPr>
      </w:pPr>
      <w:r w:rsidRPr="004568F8">
        <w:rPr>
          <w:b/>
          <w:bCs/>
          <w:sz w:val="26"/>
          <w:szCs w:val="36"/>
          <w:rtl/>
          <w:cs/>
        </w:rPr>
        <w:t>‎لجنة مناهضة التعذيب‏‏</w:t>
      </w:r>
    </w:p>
    <w:bookmarkEnd w:id="0"/>
    <w:p w:rsidR="00CA3A38" w:rsidRPr="00CA3A38" w:rsidRDefault="00CA3A38" w:rsidP="00CA3A38">
      <w:pPr>
        <w:pStyle w:val="HChGA"/>
        <w:rPr>
          <w:rtl/>
        </w:rPr>
      </w:pPr>
      <w:r w:rsidRPr="00CA3A38">
        <w:rPr>
          <w:rtl/>
        </w:rPr>
        <w:tab/>
      </w:r>
      <w:r w:rsidRPr="00CA3A38">
        <w:rPr>
          <w:rtl/>
        </w:rPr>
        <w:tab/>
        <w:t>قرار اعتمدته اللجنة بموجب المادة 22 من الاتفاقية بشأن البلاغ رقم</w:t>
      </w:r>
      <w:r w:rsidRPr="00CA3A38">
        <w:rPr>
          <w:rFonts w:hint="cs"/>
          <w:rtl/>
        </w:rPr>
        <w:t> </w:t>
      </w:r>
      <w:r w:rsidRPr="00CA3A38">
        <w:rPr>
          <w:rtl/>
        </w:rPr>
        <w:t>8</w:t>
      </w:r>
      <w:r w:rsidRPr="00CA3A38">
        <w:rPr>
          <w:rFonts w:hint="cs"/>
          <w:rtl/>
          <w:lang w:bidi="ar-DZ"/>
        </w:rPr>
        <w:t>50</w:t>
      </w:r>
      <w:r w:rsidRPr="00CA3A38">
        <w:rPr>
          <w:rtl/>
        </w:rPr>
        <w:t>/201</w:t>
      </w:r>
      <w:r w:rsidRPr="00CA3A38">
        <w:rPr>
          <w:rFonts w:hint="cs"/>
          <w:rtl/>
        </w:rPr>
        <w:t>7</w:t>
      </w:r>
      <w:r w:rsidRPr="00CA3A38">
        <w:rPr>
          <w:rStyle w:val="FootnoteReference"/>
          <w:sz w:val="20"/>
          <w:vertAlign w:val="baseline"/>
          <w:rtl/>
        </w:rPr>
        <w:footnoteReference w:customMarkFollows="1" w:id="1"/>
        <w:t>*</w:t>
      </w:r>
      <w:r>
        <w:rPr>
          <w:rFonts w:hint="cs"/>
          <w:rtl/>
        </w:rPr>
        <w:t xml:space="preserve"> </w:t>
      </w:r>
      <w:r w:rsidRPr="00CA3A38">
        <w:rPr>
          <w:rStyle w:val="FootnoteReference"/>
          <w:sz w:val="20"/>
          <w:vertAlign w:val="baseline"/>
          <w:rtl/>
        </w:rPr>
        <w:footnoteReference w:customMarkFollows="1" w:id="2"/>
        <w:t>**</w:t>
      </w:r>
    </w:p>
    <w:p w:rsidR="00CA3A38" w:rsidRPr="00CA3A38" w:rsidRDefault="00CA3A38" w:rsidP="00CA3A38">
      <w:pPr>
        <w:pStyle w:val="SingleTxtGA"/>
        <w:ind w:left="4649" w:hanging="2721"/>
        <w:rPr>
          <w:rtl/>
        </w:rPr>
      </w:pPr>
      <w:r w:rsidRPr="00CA3A38">
        <w:rPr>
          <w:i/>
          <w:iCs/>
          <w:rtl/>
        </w:rPr>
        <w:t>بلاغ مقدم من:</w:t>
      </w:r>
      <w:r>
        <w:rPr>
          <w:i/>
          <w:iCs/>
          <w:rtl/>
        </w:rPr>
        <w:tab/>
      </w:r>
      <w:r>
        <w:rPr>
          <w:i/>
          <w:iCs/>
          <w:rtl/>
        </w:rPr>
        <w:tab/>
      </w:r>
      <w:r w:rsidRPr="00CA3A38">
        <w:rPr>
          <w:rtl/>
        </w:rPr>
        <w:tab/>
      </w:r>
      <w:r w:rsidRPr="00CA3A38">
        <w:rPr>
          <w:rFonts w:hint="cs"/>
          <w:rtl/>
        </w:rPr>
        <w:t>أ</w:t>
      </w:r>
      <w:r w:rsidRPr="00CA3A38">
        <w:rPr>
          <w:rtl/>
        </w:rPr>
        <w:t xml:space="preserve">. </w:t>
      </w:r>
      <w:r w:rsidRPr="00CA3A38">
        <w:rPr>
          <w:rFonts w:hint="cs"/>
          <w:rtl/>
        </w:rPr>
        <w:t>أ</w:t>
      </w:r>
      <w:r w:rsidRPr="00CA3A38">
        <w:rPr>
          <w:rtl/>
        </w:rPr>
        <w:t>. (يمثل</w:t>
      </w:r>
      <w:bookmarkStart w:id="1" w:name="_GoBack"/>
      <w:bookmarkEnd w:id="1"/>
      <w:r w:rsidRPr="00CA3A38">
        <w:rPr>
          <w:rtl/>
        </w:rPr>
        <w:t xml:space="preserve">ه </w:t>
      </w:r>
      <w:r w:rsidRPr="00CA3A38">
        <w:rPr>
          <w:rFonts w:hint="cs"/>
          <w:rtl/>
        </w:rPr>
        <w:t>ال</w:t>
      </w:r>
      <w:r w:rsidRPr="00CA3A38">
        <w:rPr>
          <w:rtl/>
        </w:rPr>
        <w:t>محام</w:t>
      </w:r>
      <w:r w:rsidRPr="00CA3A38">
        <w:rPr>
          <w:rFonts w:hint="cs"/>
          <w:rtl/>
        </w:rPr>
        <w:t>ي طارق حسن</w:t>
      </w:r>
      <w:r w:rsidRPr="00CA3A38">
        <w:rPr>
          <w:rtl/>
        </w:rPr>
        <w:t>)</w:t>
      </w:r>
    </w:p>
    <w:p w:rsidR="00CA3A38" w:rsidRPr="00CA3A38" w:rsidRDefault="00CA3A38" w:rsidP="00CA3A38">
      <w:pPr>
        <w:pStyle w:val="SingleTxtGA"/>
        <w:ind w:left="4649" w:hanging="2721"/>
        <w:rPr>
          <w:rtl/>
        </w:rPr>
      </w:pPr>
      <w:r w:rsidRPr="00CA3A38">
        <w:rPr>
          <w:i/>
          <w:iCs/>
          <w:rtl/>
        </w:rPr>
        <w:t>الشخص المدعى أنه ضحية:</w:t>
      </w:r>
      <w:r w:rsidRPr="00CA3A38">
        <w:rPr>
          <w:rtl/>
        </w:rPr>
        <w:tab/>
      </w:r>
      <w:r w:rsidRPr="00CA3A38">
        <w:rPr>
          <w:rFonts w:hint="cs"/>
          <w:rtl/>
        </w:rPr>
        <w:t>صاحب</w:t>
      </w:r>
      <w:r w:rsidRPr="00CA3A38">
        <w:rPr>
          <w:rtl/>
        </w:rPr>
        <w:t xml:space="preserve"> الشكوى</w:t>
      </w:r>
    </w:p>
    <w:p w:rsidR="00CA3A38" w:rsidRPr="00CA3A38" w:rsidRDefault="00CA3A38" w:rsidP="00CA3A38">
      <w:pPr>
        <w:pStyle w:val="SingleTxtGA"/>
        <w:ind w:left="4649" w:hanging="2721"/>
        <w:rPr>
          <w:rtl/>
        </w:rPr>
      </w:pPr>
      <w:r w:rsidRPr="00CA3A38">
        <w:rPr>
          <w:i/>
          <w:iCs/>
          <w:rtl/>
        </w:rPr>
        <w:t>الدولة الطرف:</w:t>
      </w:r>
      <w:r w:rsidRPr="00CA3A38"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CA3A38">
        <w:rPr>
          <w:rFonts w:hint="cs"/>
          <w:rtl/>
        </w:rPr>
        <w:t>سويسرا</w:t>
      </w:r>
    </w:p>
    <w:p w:rsidR="00CA3A38" w:rsidRPr="00CA3A38" w:rsidRDefault="00CA3A38" w:rsidP="00CA3A38">
      <w:pPr>
        <w:pStyle w:val="SingleTxtGA"/>
        <w:ind w:left="4649" w:hanging="2721"/>
        <w:rPr>
          <w:rtl/>
        </w:rPr>
      </w:pPr>
      <w:r w:rsidRPr="00CA3A38">
        <w:rPr>
          <w:i/>
          <w:iCs/>
          <w:rtl/>
        </w:rPr>
        <w:t>تاريخ تقديم الشكوى:</w:t>
      </w:r>
      <w:r>
        <w:rPr>
          <w:i/>
          <w:iCs/>
          <w:rtl/>
        </w:rPr>
        <w:tab/>
      </w:r>
      <w:r w:rsidRPr="00CA3A38">
        <w:rPr>
          <w:rtl/>
        </w:rPr>
        <w:tab/>
      </w:r>
      <w:r w:rsidRPr="00CA3A38">
        <w:rPr>
          <w:rFonts w:hint="cs"/>
          <w:rtl/>
        </w:rPr>
        <w:t>7 تشرين</w:t>
      </w:r>
      <w:r w:rsidRPr="00CA3A38">
        <w:rPr>
          <w:rtl/>
        </w:rPr>
        <w:t xml:space="preserve"> ال</w:t>
      </w:r>
      <w:r w:rsidRPr="00CA3A38">
        <w:rPr>
          <w:rFonts w:hint="cs"/>
          <w:rtl/>
        </w:rPr>
        <w:t>ثاني</w:t>
      </w:r>
      <w:r w:rsidRPr="00CA3A38">
        <w:rPr>
          <w:rtl/>
        </w:rPr>
        <w:t>/</w:t>
      </w:r>
      <w:r w:rsidRPr="00CA3A38">
        <w:rPr>
          <w:rFonts w:hint="cs"/>
          <w:rtl/>
        </w:rPr>
        <w:t>نوفم</w:t>
      </w:r>
      <w:r w:rsidRPr="00CA3A38">
        <w:rPr>
          <w:rtl/>
        </w:rPr>
        <w:t>بر 201</w:t>
      </w:r>
      <w:r w:rsidRPr="00CA3A38">
        <w:rPr>
          <w:rFonts w:hint="cs"/>
          <w:rtl/>
        </w:rPr>
        <w:t>7</w:t>
      </w:r>
      <w:r w:rsidRPr="00CA3A38">
        <w:rPr>
          <w:rtl/>
        </w:rPr>
        <w:t xml:space="preserve"> (تاريخ تقديم الرسالة الأولى)</w:t>
      </w:r>
    </w:p>
    <w:p w:rsidR="00CA3A38" w:rsidRPr="00CA3A38" w:rsidRDefault="00CA3A38" w:rsidP="00CA3A38">
      <w:pPr>
        <w:pStyle w:val="SingleTxtGA"/>
        <w:ind w:left="4649" w:hanging="2721"/>
        <w:rPr>
          <w:rtl/>
        </w:rPr>
      </w:pPr>
      <w:r w:rsidRPr="00CA3A38">
        <w:rPr>
          <w:i/>
          <w:iCs/>
          <w:rtl/>
        </w:rPr>
        <w:t>المسألة الموضوعية:</w:t>
      </w:r>
      <w:r w:rsidRPr="00CA3A38"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CA3A38">
        <w:rPr>
          <w:rtl/>
        </w:rPr>
        <w:t xml:space="preserve">خطر التعرض للتعذيب </w:t>
      </w:r>
      <w:r w:rsidRPr="00CA3A38">
        <w:rPr>
          <w:rFonts w:hint="cs"/>
          <w:rtl/>
        </w:rPr>
        <w:t>في حال</w:t>
      </w:r>
      <w:r w:rsidRPr="00CA3A38">
        <w:rPr>
          <w:rtl/>
        </w:rPr>
        <w:t xml:space="preserve"> </w:t>
      </w:r>
      <w:r w:rsidRPr="00CA3A38">
        <w:rPr>
          <w:rFonts w:hint="cs"/>
          <w:rtl/>
        </w:rPr>
        <w:t>الترحيل إلى إريتريا</w:t>
      </w:r>
    </w:p>
    <w:p w:rsidR="00CA3A38" w:rsidRPr="006D1A74" w:rsidRDefault="00CA3A38" w:rsidP="00CA3A38">
      <w:pPr>
        <w:pStyle w:val="SingleTxtGA"/>
        <w:rPr>
          <w:spacing w:val="-2"/>
          <w:rtl/>
        </w:rPr>
      </w:pPr>
      <w:r w:rsidRPr="006D1A74">
        <w:rPr>
          <w:spacing w:val="-2"/>
          <w:rtl/>
        </w:rPr>
        <w:tab/>
        <w:t>قررت اللجنة</w:t>
      </w:r>
      <w:r w:rsidRPr="006D1A74">
        <w:rPr>
          <w:rFonts w:hint="cs"/>
          <w:spacing w:val="-2"/>
          <w:rtl/>
        </w:rPr>
        <w:t>،</w:t>
      </w:r>
      <w:r w:rsidRPr="006D1A74">
        <w:rPr>
          <w:spacing w:val="-2"/>
          <w:rtl/>
        </w:rPr>
        <w:t xml:space="preserve"> في جلستها المعقودة في </w:t>
      </w:r>
      <w:r w:rsidRPr="006D1A74">
        <w:rPr>
          <w:rFonts w:hint="cs"/>
          <w:spacing w:val="-2"/>
          <w:rtl/>
        </w:rPr>
        <w:t>15 تشرين الثاني/نوفمبر</w:t>
      </w:r>
      <w:r w:rsidR="00367D5F" w:rsidRPr="006D1A74">
        <w:rPr>
          <w:rFonts w:hint="cs"/>
          <w:spacing w:val="-2"/>
          <w:rtl/>
        </w:rPr>
        <w:t xml:space="preserve"> </w:t>
      </w:r>
      <w:r w:rsidRPr="006D1A74">
        <w:rPr>
          <w:spacing w:val="-2"/>
          <w:rtl/>
        </w:rPr>
        <w:t>2019، بعد</w:t>
      </w:r>
      <w:r w:rsidRPr="006D1A74">
        <w:rPr>
          <w:rFonts w:hint="cs"/>
          <w:spacing w:val="-2"/>
          <w:rtl/>
        </w:rPr>
        <w:t xml:space="preserve"> تلقي معلومات من محامي صاحب الشكوى</w:t>
      </w:r>
      <w:r w:rsidRPr="006D1A74">
        <w:rPr>
          <w:spacing w:val="-2"/>
          <w:rtl/>
        </w:rPr>
        <w:t xml:space="preserve"> </w:t>
      </w:r>
      <w:r w:rsidRPr="006D1A74">
        <w:rPr>
          <w:rFonts w:hint="cs"/>
          <w:spacing w:val="-2"/>
          <w:rtl/>
        </w:rPr>
        <w:t xml:space="preserve">مفادها </w:t>
      </w:r>
      <w:r w:rsidRPr="006D1A74">
        <w:rPr>
          <w:spacing w:val="-2"/>
          <w:rtl/>
        </w:rPr>
        <w:t xml:space="preserve">أن </w:t>
      </w:r>
      <w:r w:rsidRPr="006D1A74">
        <w:rPr>
          <w:rFonts w:hint="cs"/>
          <w:spacing w:val="-2"/>
          <w:rtl/>
        </w:rPr>
        <w:t>صاحب</w:t>
      </w:r>
      <w:r w:rsidRPr="006D1A74">
        <w:rPr>
          <w:spacing w:val="-2"/>
          <w:rtl/>
        </w:rPr>
        <w:t xml:space="preserve"> الشكوى قد </w:t>
      </w:r>
      <w:r w:rsidRPr="006D1A74">
        <w:rPr>
          <w:rFonts w:hint="cs"/>
          <w:spacing w:val="-2"/>
          <w:rtl/>
        </w:rPr>
        <w:t>غادر سويسرا، وبمراعاة أن المحامي لم يعد على اتصال بصاحب الشكوى، أن ت</w:t>
      </w:r>
      <w:r w:rsidRPr="006D1A74">
        <w:rPr>
          <w:spacing w:val="-2"/>
          <w:rtl/>
        </w:rPr>
        <w:t>وقف النظر في البلاغ رقم</w:t>
      </w:r>
      <w:r w:rsidR="006D1A74" w:rsidRPr="006D1A74">
        <w:rPr>
          <w:rFonts w:hint="cs"/>
          <w:spacing w:val="-2"/>
          <w:rtl/>
        </w:rPr>
        <w:t xml:space="preserve"> </w:t>
      </w:r>
      <w:r w:rsidRPr="006D1A74">
        <w:rPr>
          <w:spacing w:val="-2"/>
          <w:rtl/>
        </w:rPr>
        <w:t>850/2017</w:t>
      </w:r>
      <w:r w:rsidRPr="006D1A74">
        <w:rPr>
          <w:rFonts w:hint="cs"/>
          <w:spacing w:val="-2"/>
          <w:rtl/>
        </w:rPr>
        <w:t>.</w:t>
      </w:r>
    </w:p>
    <w:p w:rsidR="00761849" w:rsidRPr="00CA3A38" w:rsidRDefault="00CA3A38" w:rsidP="00CA3A38">
      <w:pPr>
        <w:spacing w:before="120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761849" w:rsidRPr="00CA3A38" w:rsidSect="00AB511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361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6C1" w:rsidRPr="002901D9" w:rsidRDefault="007156C1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7156C1" w:rsidRDefault="007156C1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1E" w:rsidRPr="00CA3A38" w:rsidRDefault="00CA3A38" w:rsidP="00CA3A38">
    <w:pPr>
      <w:pStyle w:val="Footer"/>
      <w:tabs>
        <w:tab w:val="right" w:pos="9598"/>
      </w:tabs>
      <w:rPr>
        <w:sz w:val="17"/>
      </w:rPr>
    </w:pPr>
    <w:r>
      <w:rPr>
        <w:sz w:val="17"/>
      </w:rPr>
      <w:t>GE.20-00039</w:t>
    </w:r>
    <w:r>
      <w:rPr>
        <w:sz w:val="17"/>
      </w:rPr>
      <w:tab/>
    </w:r>
    <w:r w:rsidRPr="00CA3A38">
      <w:rPr>
        <w:b/>
        <w:sz w:val="18"/>
      </w:rPr>
      <w:fldChar w:fldCharType="begin"/>
    </w:r>
    <w:r w:rsidRPr="00CA3A38">
      <w:rPr>
        <w:b/>
        <w:sz w:val="18"/>
      </w:rPr>
      <w:instrText xml:space="preserve"> PAGE  \* MERGEFORMAT </w:instrText>
    </w:r>
    <w:r w:rsidRPr="00CA3A38">
      <w:rPr>
        <w:b/>
        <w:sz w:val="18"/>
      </w:rPr>
      <w:fldChar w:fldCharType="separate"/>
    </w:r>
    <w:r>
      <w:rPr>
        <w:b/>
        <w:sz w:val="18"/>
      </w:rPr>
      <w:t>2</w:t>
    </w:r>
    <w:r w:rsidRPr="00CA3A3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B0" w:rsidRPr="00CA3A38" w:rsidRDefault="00CA3A38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CA3A38">
      <w:rPr>
        <w:b/>
        <w:sz w:val="18"/>
        <w:lang w:val="en-US"/>
      </w:rPr>
      <w:fldChar w:fldCharType="begin"/>
    </w:r>
    <w:r w:rsidRPr="00CA3A38">
      <w:rPr>
        <w:b/>
        <w:sz w:val="18"/>
        <w:lang w:val="en-US"/>
      </w:rPr>
      <w:instrText xml:space="preserve"> PAGE  \* MERGEFORMAT </w:instrText>
    </w:r>
    <w:r w:rsidRPr="00CA3A38">
      <w:rPr>
        <w:b/>
        <w:sz w:val="18"/>
        <w:lang w:val="en-US"/>
      </w:rPr>
      <w:fldChar w:fldCharType="separate"/>
    </w:r>
    <w:r w:rsidRPr="00CA3A38">
      <w:rPr>
        <w:b/>
        <w:noProof/>
        <w:sz w:val="18"/>
        <w:lang w:val="en-US"/>
      </w:rPr>
      <w:t>3</w:t>
    </w:r>
    <w:r w:rsidRPr="00CA3A38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GE.20-00039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A8" w:rsidRDefault="00AB511E" w:rsidP="005A3015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GE.20-00039</w:t>
    </w:r>
    <w:r w:rsidR="00A34EA8">
      <w:rPr>
        <w:noProof/>
        <w:lang w:val="en-US"/>
      </w:rPr>
      <w:drawing>
        <wp:anchor distT="0" distB="0" distL="114300" distR="114300" simplePos="0" relativeHeight="251664384" behindDoc="1" locked="1" layoutInCell="0" allowOverlap="1" wp14:anchorId="7DE3C30D" wp14:editId="25BEBE76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EA8" w:rsidRPr="007A0286">
      <w:rPr>
        <w:sz w:val="20"/>
        <w:szCs w:val="20"/>
      </w:rPr>
      <w:t>(A)</w:t>
    </w:r>
  </w:p>
  <w:p w:rsidR="00AB511E" w:rsidRPr="00AB511E" w:rsidRDefault="00AB511E" w:rsidP="00AB511E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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6C1" w:rsidRPr="004956DC" w:rsidRDefault="007156C1" w:rsidP="00761849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7156C1" w:rsidRDefault="007156C1" w:rsidP="00656392">
      <w:pPr>
        <w:spacing w:line="240" w:lineRule="auto"/>
      </w:pPr>
      <w:r>
        <w:continuationSeparator/>
      </w:r>
    </w:p>
  </w:footnote>
  <w:footnote w:id="1">
    <w:p w:rsidR="00CA3A38" w:rsidRPr="00CA3A38" w:rsidRDefault="00CA3A38" w:rsidP="00CA3A38">
      <w:pPr>
        <w:pStyle w:val="FootnoteText1"/>
        <w:rPr>
          <w:rtl/>
        </w:rPr>
      </w:pPr>
      <w:r>
        <w:rPr>
          <w:rtl/>
        </w:rPr>
        <w:t>*</w:t>
      </w:r>
      <w:r>
        <w:rPr>
          <w:rtl/>
        </w:rPr>
        <w:tab/>
      </w:r>
      <w:r w:rsidRPr="00CA3A38">
        <w:rPr>
          <w:rtl/>
        </w:rPr>
        <w:t>اعتمدته اللجنة في دورتها ال</w:t>
      </w:r>
      <w:r w:rsidRPr="00CA3A38">
        <w:rPr>
          <w:rFonts w:hint="cs"/>
          <w:rtl/>
        </w:rPr>
        <w:t>ثامن</w:t>
      </w:r>
      <w:r w:rsidRPr="00CA3A38">
        <w:rPr>
          <w:rtl/>
        </w:rPr>
        <w:t>ة والستين (</w:t>
      </w:r>
      <w:r w:rsidRPr="00CA3A38">
        <w:rPr>
          <w:rFonts w:hint="cs"/>
          <w:rtl/>
        </w:rPr>
        <w:t>11</w:t>
      </w:r>
      <w:r w:rsidRPr="00CA3A38">
        <w:rPr>
          <w:rtl/>
        </w:rPr>
        <w:t xml:space="preserve"> تشرين الثاني/نوفمبر - 6 كانون الأول/ديسمبر 2019).</w:t>
      </w:r>
    </w:p>
  </w:footnote>
  <w:footnote w:id="2">
    <w:p w:rsidR="00CA3A38" w:rsidRPr="00CA3A38" w:rsidRDefault="00CA3A38" w:rsidP="00CA3A38">
      <w:pPr>
        <w:pStyle w:val="FootnoteText1"/>
        <w:rPr>
          <w:rtl/>
        </w:rPr>
      </w:pPr>
      <w:r>
        <w:rPr>
          <w:rtl/>
        </w:rPr>
        <w:t>**</w:t>
      </w:r>
      <w:r>
        <w:rPr>
          <w:rtl/>
        </w:rPr>
        <w:tab/>
      </w:r>
      <w:r w:rsidRPr="00CA3A38">
        <w:rPr>
          <w:rtl/>
          <w:lang w:bidi="ar-DZ"/>
        </w:rPr>
        <w:t xml:space="preserve">شارك في دراسة هذا البلاغ أعضاء اللجنة التالية أسماؤهم: السعدية </w:t>
      </w:r>
      <w:proofErr w:type="spellStart"/>
      <w:r w:rsidRPr="00CA3A38">
        <w:rPr>
          <w:rtl/>
          <w:lang w:bidi="ar-DZ"/>
        </w:rPr>
        <w:t>بلمير</w:t>
      </w:r>
      <w:proofErr w:type="spellEnd"/>
      <w:r w:rsidRPr="00CA3A38">
        <w:rPr>
          <w:rtl/>
          <w:lang w:bidi="ar-DZ"/>
        </w:rPr>
        <w:t xml:space="preserve">، بَختيار </w:t>
      </w:r>
      <w:proofErr w:type="spellStart"/>
      <w:r w:rsidRPr="00CA3A38">
        <w:rPr>
          <w:rtl/>
          <w:lang w:bidi="ar-DZ"/>
        </w:rPr>
        <w:t>توزمحمدوف</w:t>
      </w:r>
      <w:proofErr w:type="spellEnd"/>
      <w:r w:rsidRPr="00CA3A38">
        <w:rPr>
          <w:rtl/>
          <w:lang w:bidi="ar-DZ"/>
        </w:rPr>
        <w:t xml:space="preserve">، سيباستيان توزيه، آنا </w:t>
      </w:r>
      <w:proofErr w:type="spellStart"/>
      <w:r w:rsidRPr="00CA3A38">
        <w:rPr>
          <w:rtl/>
          <w:lang w:bidi="ar-DZ"/>
        </w:rPr>
        <w:t>راكو</w:t>
      </w:r>
      <w:proofErr w:type="spellEnd"/>
      <w:r w:rsidRPr="00CA3A38">
        <w:rPr>
          <w:rtl/>
          <w:lang w:bidi="ar-DZ"/>
        </w:rPr>
        <w:t>، دييغو</w:t>
      </w:r>
      <w:r w:rsidRPr="00CA3A38">
        <w:rPr>
          <w:rFonts w:hint="cs"/>
          <w:rtl/>
          <w:lang w:bidi="ar-DZ"/>
        </w:rPr>
        <w:t> </w:t>
      </w:r>
      <w:proofErr w:type="spellStart"/>
      <w:r w:rsidRPr="00CA3A38">
        <w:rPr>
          <w:rtl/>
          <w:lang w:bidi="ar-DZ"/>
        </w:rPr>
        <w:t>رودريغز</w:t>
      </w:r>
      <w:proofErr w:type="spellEnd"/>
      <w:r w:rsidRPr="00CA3A38">
        <w:rPr>
          <w:rtl/>
          <w:lang w:bidi="ar-DZ"/>
        </w:rPr>
        <w:t xml:space="preserve"> </w:t>
      </w:r>
      <w:r w:rsidRPr="00CA3A38">
        <w:rPr>
          <w:rFonts w:hint="cs"/>
          <w:rtl/>
          <w:lang w:bidi="ar-DZ"/>
        </w:rPr>
        <w:t>-</w:t>
      </w:r>
      <w:r w:rsidRPr="00CA3A38">
        <w:rPr>
          <w:rtl/>
          <w:lang w:bidi="ar-DZ"/>
        </w:rPr>
        <w:t xml:space="preserve"> بينسون، فيليس غاير، ينس </w:t>
      </w:r>
      <w:proofErr w:type="spellStart"/>
      <w:r w:rsidRPr="00CA3A38">
        <w:rPr>
          <w:rtl/>
          <w:lang w:bidi="ar-DZ"/>
        </w:rPr>
        <w:t>مودفيغ</w:t>
      </w:r>
      <w:proofErr w:type="spellEnd"/>
      <w:r w:rsidRPr="00CA3A38">
        <w:rPr>
          <w:rtl/>
          <w:lang w:bidi="ar-DZ"/>
        </w:rPr>
        <w:t xml:space="preserve">، عبد الوهاب هاني، كلود هيلر </w:t>
      </w:r>
      <w:proofErr w:type="spellStart"/>
      <w:r w:rsidRPr="00CA3A38">
        <w:rPr>
          <w:rtl/>
          <w:lang w:bidi="ar-DZ"/>
        </w:rPr>
        <w:t>رواسان</w:t>
      </w:r>
      <w:proofErr w:type="spellEnd"/>
      <w:r w:rsidRPr="00CA3A38">
        <w:rPr>
          <w:rtl/>
          <w:lang w:bidi="ar-D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1E" w:rsidRPr="00CA3A38" w:rsidRDefault="00CA3A38" w:rsidP="00CA3A38">
    <w:pPr>
      <w:pStyle w:val="Header"/>
      <w:jc w:val="right"/>
    </w:pPr>
    <w:r w:rsidRPr="00CA3A38">
      <w:t>CAT/C/68/D/850/2017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1E" w:rsidRPr="00CA3A38" w:rsidRDefault="00CA3A38" w:rsidP="00CA3A38">
    <w:pPr>
      <w:pStyle w:val="Header"/>
      <w:jc w:val="left"/>
    </w:pPr>
    <w:r w:rsidRPr="00CA3A38">
      <w:t>CAT/C/68/D/850/2017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0"/>
  </w:compat>
  <w:rsids>
    <w:rsidRoot w:val="007156C1"/>
    <w:rsid w:val="000076D5"/>
    <w:rsid w:val="00043663"/>
    <w:rsid w:val="000505CF"/>
    <w:rsid w:val="000A2113"/>
    <w:rsid w:val="000D701C"/>
    <w:rsid w:val="000E2A71"/>
    <w:rsid w:val="00160263"/>
    <w:rsid w:val="0016782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00697"/>
    <w:rsid w:val="003260FF"/>
    <w:rsid w:val="00343D95"/>
    <w:rsid w:val="00367D5F"/>
    <w:rsid w:val="00374341"/>
    <w:rsid w:val="00384DA7"/>
    <w:rsid w:val="003D1062"/>
    <w:rsid w:val="00420D7B"/>
    <w:rsid w:val="00450B21"/>
    <w:rsid w:val="00453B63"/>
    <w:rsid w:val="00455780"/>
    <w:rsid w:val="004956DC"/>
    <w:rsid w:val="004B0A1C"/>
    <w:rsid w:val="004D298E"/>
    <w:rsid w:val="0054472E"/>
    <w:rsid w:val="005662A9"/>
    <w:rsid w:val="005827D4"/>
    <w:rsid w:val="0059622A"/>
    <w:rsid w:val="005A3015"/>
    <w:rsid w:val="005C5878"/>
    <w:rsid w:val="005C7CEA"/>
    <w:rsid w:val="005D3C0B"/>
    <w:rsid w:val="005E5217"/>
    <w:rsid w:val="005F0FA4"/>
    <w:rsid w:val="005F30EE"/>
    <w:rsid w:val="0060473A"/>
    <w:rsid w:val="00656392"/>
    <w:rsid w:val="006646E9"/>
    <w:rsid w:val="0068781D"/>
    <w:rsid w:val="006959B0"/>
    <w:rsid w:val="006B3E27"/>
    <w:rsid w:val="006B6507"/>
    <w:rsid w:val="006C104C"/>
    <w:rsid w:val="006D1A74"/>
    <w:rsid w:val="007156C1"/>
    <w:rsid w:val="00733704"/>
    <w:rsid w:val="00761849"/>
    <w:rsid w:val="0078071A"/>
    <w:rsid w:val="00817373"/>
    <w:rsid w:val="00852A9A"/>
    <w:rsid w:val="00893A8A"/>
    <w:rsid w:val="008F49E1"/>
    <w:rsid w:val="0090370F"/>
    <w:rsid w:val="009269D2"/>
    <w:rsid w:val="00942135"/>
    <w:rsid w:val="009521B0"/>
    <w:rsid w:val="00981C12"/>
    <w:rsid w:val="009A7E9F"/>
    <w:rsid w:val="009E5018"/>
    <w:rsid w:val="00A12B37"/>
    <w:rsid w:val="00A34EA8"/>
    <w:rsid w:val="00A67AF5"/>
    <w:rsid w:val="00A94CA3"/>
    <w:rsid w:val="00AB511E"/>
    <w:rsid w:val="00AB6758"/>
    <w:rsid w:val="00B13763"/>
    <w:rsid w:val="00B477A4"/>
    <w:rsid w:val="00B54045"/>
    <w:rsid w:val="00C438D7"/>
    <w:rsid w:val="00C81B50"/>
    <w:rsid w:val="00C87F1F"/>
    <w:rsid w:val="00CA3A38"/>
    <w:rsid w:val="00CD1801"/>
    <w:rsid w:val="00D10EF1"/>
    <w:rsid w:val="00D42810"/>
    <w:rsid w:val="00D914A7"/>
    <w:rsid w:val="00DC1D29"/>
    <w:rsid w:val="00DD13C3"/>
    <w:rsid w:val="00DD596E"/>
    <w:rsid w:val="00DD621E"/>
    <w:rsid w:val="00DF0575"/>
    <w:rsid w:val="00E70E04"/>
    <w:rsid w:val="00E76499"/>
    <w:rsid w:val="00EC05A7"/>
    <w:rsid w:val="00EC4B6B"/>
    <w:rsid w:val="00EF1EE5"/>
    <w:rsid w:val="00F763B4"/>
    <w:rsid w:val="00F900C3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52E4F6"/>
  <w15:docId w15:val="{3877A1B0-1616-4F0B-9368-C0122E8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A38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6646E9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167825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6646E9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0A2113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5552-BB53-4838-9019-8CE167FC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CAT.dotm</Template>
  <TotalTime>0</TotalTime>
  <Pages>1</Pages>
  <Words>123</Words>
  <Characters>650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</vt:lpstr>
    </vt:vector>
  </TitlesOfParts>
  <Company>DCM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CAT/C/68/D/850/2017</dc:title>
  <dc:subject>GE.2000039</dc:subject>
  <dc:creator>SALY - FMOU</dc:creator>
  <cp:keywords>ODS No.2000094</cp:keywords>
  <dc:description>Distribution: General_x000d_
Original: English_x000d_
Date: 3 January 2020</dc:description>
  <cp:lastModifiedBy>Ibrahim Balan</cp:lastModifiedBy>
  <cp:revision>2</cp:revision>
  <cp:lastPrinted>2016-06-21T10:29:00Z</cp:lastPrinted>
  <dcterms:created xsi:type="dcterms:W3CDTF">2020-01-28T10:15:00Z</dcterms:created>
  <dcterms:modified xsi:type="dcterms:W3CDTF">2020-01-28T10:15:00Z</dcterms:modified>
  <cp:category>Final</cp:category>
</cp:coreProperties>
</file>