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snapToGrid/>
        </w:rPr>
      </w:pPr>
      <w:r>
        <w:rPr>
          <w:rFonts w:hint="eastAsia"/>
          <w:snapToGrid/>
        </w:rPr>
        <w:t>人权事务委员会</w:t>
      </w:r>
    </w:p>
    <w:p w:rsidR="00000000" w:rsidRDefault="00000000">
      <w:pPr>
        <w:rPr>
          <w:rFonts w:hint="eastAsia"/>
          <w:snapToGrid/>
        </w:rPr>
      </w:pPr>
      <w:r>
        <w:rPr>
          <w:rFonts w:hint="eastAsia"/>
          <w:snapToGrid/>
        </w:rPr>
        <w:t>第九十届会议</w:t>
      </w:r>
    </w:p>
    <w:p w:rsidR="00000000" w:rsidRDefault="00000000">
      <w:pPr>
        <w:rPr>
          <w:snapToGrid/>
        </w:rPr>
      </w:pPr>
      <w:r>
        <w:rPr>
          <w:rFonts w:hint="eastAsia"/>
          <w:snapToGrid/>
        </w:rPr>
        <w:t>2007</w:t>
      </w:r>
      <w:r>
        <w:rPr>
          <w:rFonts w:hint="eastAsia"/>
          <w:snapToGrid/>
        </w:rPr>
        <w:t>年</w:t>
      </w:r>
      <w:r>
        <w:rPr>
          <w:rFonts w:hint="eastAsia"/>
          <w:snapToGrid/>
        </w:rPr>
        <w:t>7</w:t>
      </w:r>
      <w:r>
        <w:rPr>
          <w:rFonts w:hint="eastAsia"/>
          <w:snapToGrid/>
        </w:rPr>
        <w:t>月</w:t>
      </w:r>
      <w:r>
        <w:rPr>
          <w:rFonts w:hint="eastAsia"/>
          <w:snapToGrid/>
        </w:rPr>
        <w:t>9</w:t>
      </w:r>
      <w:r>
        <w:rPr>
          <w:rFonts w:hint="eastAsia"/>
          <w:snapToGrid/>
        </w:rPr>
        <w:t>日至</w:t>
      </w:r>
      <w:r>
        <w:rPr>
          <w:rFonts w:hint="eastAsia"/>
          <w:snapToGrid/>
        </w:rPr>
        <w:t>27</w:t>
      </w:r>
      <w:r>
        <w:rPr>
          <w:rFonts w:hint="eastAsia"/>
          <w:snapToGrid/>
        </w:rPr>
        <w:t>日</w:t>
      </w:r>
    </w:p>
    <w:p w:rsidR="00000000" w:rsidRDefault="00000000">
      <w:pPr>
        <w:pStyle w:val="Heading2"/>
        <w:spacing w:before="480"/>
        <w:rPr>
          <w:rFonts w:ascii="Time New Roman" w:eastAsia="SimHei" w:hAnsi="Time New Roman" w:hint="eastAsia"/>
          <w:kern w:val="0"/>
        </w:rPr>
      </w:pPr>
      <w:r>
        <w:rPr>
          <w:rFonts w:ascii="Time New Roman" w:eastAsia="SimHei" w:hAnsi="Time New Roman" w:hint="eastAsia"/>
          <w:kern w:val="0"/>
        </w:rPr>
        <w:t>审议缔约国根据《公约》第四十条提交的报告</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kern w:val="0"/>
          <w:u w:val="none"/>
        </w:rPr>
        <w:t>人权事务委员会的结论性意见</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kern w:val="0"/>
          <w:u w:val="none"/>
        </w:rPr>
        <w:t>赞</w:t>
      </w:r>
      <w:r>
        <w:rPr>
          <w:rFonts w:ascii="Time New Roman" w:eastAsia="SimHei" w:hAnsi="Time New Roman" w:hint="eastAsia"/>
          <w:kern w:val="0"/>
          <w:u w:val="none"/>
        </w:rPr>
        <w:t xml:space="preserve"> </w:t>
      </w:r>
      <w:r>
        <w:rPr>
          <w:rFonts w:ascii="Time New Roman" w:eastAsia="SimHei" w:hAnsi="Time New Roman" w:hint="eastAsia"/>
          <w:kern w:val="0"/>
          <w:u w:val="none"/>
        </w:rPr>
        <w:t>比</w:t>
      </w:r>
      <w:r>
        <w:rPr>
          <w:rFonts w:ascii="Time New Roman" w:eastAsia="SimHei" w:hAnsi="Time New Roman" w:hint="eastAsia"/>
          <w:kern w:val="0"/>
          <w:u w:val="none"/>
        </w:rPr>
        <w:t xml:space="preserve"> </w:t>
      </w:r>
      <w:r>
        <w:rPr>
          <w:rFonts w:ascii="Time New Roman" w:eastAsia="SimHei" w:hAnsi="Time New Roman" w:hint="eastAsia"/>
          <w:kern w:val="0"/>
          <w:u w:val="none"/>
        </w:rPr>
        <w:t>亚</w:t>
      </w:r>
    </w:p>
    <w:p w:rsidR="00000000" w:rsidRDefault="00000000">
      <w:pPr>
        <w:spacing w:after="320"/>
        <w:rPr>
          <w:rFonts w:hint="eastAsia"/>
          <w:snapToGrid/>
        </w:rPr>
      </w:pPr>
      <w:r>
        <w:rPr>
          <w:snapToGrid/>
        </w:rPr>
        <w:tab/>
        <w:t>1.</w:t>
      </w:r>
      <w:r>
        <w:rPr>
          <w:rFonts w:hint="eastAsia"/>
          <w:snapToGrid/>
        </w:rPr>
        <w:t xml:space="preserve">  </w:t>
      </w:r>
      <w:r>
        <w:rPr>
          <w:rFonts w:hint="eastAsia"/>
          <w:snapToGrid/>
        </w:rPr>
        <w:t>委员会在</w:t>
      </w:r>
      <w:r>
        <w:rPr>
          <w:rFonts w:hint="eastAsia"/>
          <w:snapToGrid/>
        </w:rPr>
        <w:t>2007</w:t>
      </w:r>
      <w:r>
        <w:rPr>
          <w:rFonts w:hint="eastAsia"/>
          <w:snapToGrid/>
        </w:rPr>
        <w:t>年</w:t>
      </w:r>
      <w:r>
        <w:rPr>
          <w:rFonts w:hint="eastAsia"/>
          <w:snapToGrid/>
        </w:rPr>
        <w:t>7</w:t>
      </w:r>
      <w:r>
        <w:rPr>
          <w:rFonts w:hint="eastAsia"/>
          <w:snapToGrid/>
        </w:rPr>
        <w:t>月</w:t>
      </w:r>
      <w:r>
        <w:rPr>
          <w:rFonts w:hint="eastAsia"/>
          <w:snapToGrid/>
        </w:rPr>
        <w:t>9</w:t>
      </w:r>
      <w:r>
        <w:rPr>
          <w:rFonts w:hint="eastAsia"/>
          <w:snapToGrid/>
        </w:rPr>
        <w:t>日和</w:t>
      </w:r>
      <w:r>
        <w:rPr>
          <w:rFonts w:hint="eastAsia"/>
          <w:snapToGrid/>
        </w:rPr>
        <w:t>10</w:t>
      </w:r>
      <w:r>
        <w:rPr>
          <w:rFonts w:hint="eastAsia"/>
          <w:snapToGrid/>
        </w:rPr>
        <w:t>日举行的第</w:t>
      </w:r>
      <w:r>
        <w:rPr>
          <w:snapToGrid/>
        </w:rPr>
        <w:t>2</w:t>
      </w:r>
      <w:r>
        <w:rPr>
          <w:rFonts w:hint="eastAsia"/>
          <w:snapToGrid/>
        </w:rPr>
        <w:t>454</w:t>
      </w:r>
      <w:r>
        <w:rPr>
          <w:rFonts w:hint="eastAsia"/>
          <w:snapToGrid/>
        </w:rPr>
        <w:t>和</w:t>
      </w:r>
      <w:r>
        <w:rPr>
          <w:snapToGrid/>
        </w:rPr>
        <w:t>2</w:t>
      </w:r>
      <w:r>
        <w:rPr>
          <w:rFonts w:hint="eastAsia"/>
          <w:snapToGrid/>
        </w:rPr>
        <w:t>455</w:t>
      </w:r>
      <w:r>
        <w:rPr>
          <w:rFonts w:hint="eastAsia"/>
          <w:snapToGrid/>
        </w:rPr>
        <w:t>次会议</w:t>
      </w:r>
      <w:r>
        <w:rPr>
          <w:snapToGrid/>
        </w:rPr>
        <w:t>(CCPR/C/ SR.24</w:t>
      </w:r>
      <w:r>
        <w:rPr>
          <w:rFonts w:hint="eastAsia"/>
          <w:snapToGrid/>
        </w:rPr>
        <w:t>54</w:t>
      </w:r>
      <w:r>
        <w:rPr>
          <w:rFonts w:hint="eastAsia"/>
          <w:snapToGrid/>
        </w:rPr>
        <w:t>和</w:t>
      </w:r>
      <w:r>
        <w:rPr>
          <w:snapToGrid/>
        </w:rPr>
        <w:t>24</w:t>
      </w:r>
      <w:r>
        <w:rPr>
          <w:rFonts w:hint="eastAsia"/>
          <w:snapToGrid/>
        </w:rPr>
        <w:t>55</w:t>
      </w:r>
      <w:r>
        <w:rPr>
          <w:snapToGrid/>
        </w:rPr>
        <w:t>)</w:t>
      </w:r>
      <w:r>
        <w:rPr>
          <w:rFonts w:hint="eastAsia"/>
          <w:snapToGrid/>
        </w:rPr>
        <w:t>审议了赞比亚的第三次定期报告</w:t>
      </w:r>
      <w:r>
        <w:rPr>
          <w:rFonts w:hint="eastAsia"/>
          <w:snapToGrid/>
        </w:rPr>
        <w:t>(CCPR/C/ZMB/3)</w:t>
      </w:r>
      <w:r>
        <w:rPr>
          <w:rFonts w:hint="eastAsia"/>
          <w:snapToGrid/>
        </w:rPr>
        <w:t>，在</w:t>
      </w:r>
      <w:r>
        <w:rPr>
          <w:rFonts w:hint="eastAsia"/>
          <w:snapToGrid/>
        </w:rPr>
        <w:t>2007</w:t>
      </w:r>
      <w:r>
        <w:rPr>
          <w:rFonts w:hint="eastAsia"/>
          <w:snapToGrid/>
        </w:rPr>
        <w:t>年</w:t>
      </w:r>
      <w:r>
        <w:rPr>
          <w:rFonts w:hint="eastAsia"/>
          <w:snapToGrid/>
        </w:rPr>
        <w:t>7</w:t>
      </w:r>
      <w:r>
        <w:rPr>
          <w:rFonts w:hint="eastAsia"/>
          <w:snapToGrid/>
        </w:rPr>
        <w:t>月</w:t>
      </w:r>
      <w:r>
        <w:rPr>
          <w:rFonts w:hint="eastAsia"/>
          <w:snapToGrid/>
        </w:rPr>
        <w:t>20</w:t>
      </w:r>
      <w:r>
        <w:rPr>
          <w:rFonts w:hint="eastAsia"/>
          <w:snapToGrid/>
        </w:rPr>
        <w:t>日举行的第</w:t>
      </w:r>
      <w:r>
        <w:rPr>
          <w:snapToGrid/>
        </w:rPr>
        <w:t>24</w:t>
      </w:r>
      <w:r>
        <w:rPr>
          <w:rFonts w:hint="eastAsia"/>
          <w:snapToGrid/>
        </w:rPr>
        <w:t>7</w:t>
      </w:r>
      <w:r>
        <w:rPr>
          <w:snapToGrid/>
        </w:rPr>
        <w:t>1</w:t>
      </w:r>
      <w:r>
        <w:rPr>
          <w:rFonts w:hint="eastAsia"/>
          <w:snapToGrid/>
        </w:rPr>
        <w:t>次会议</w:t>
      </w:r>
      <w:r>
        <w:rPr>
          <w:snapToGrid/>
        </w:rPr>
        <w:t>(CCPR/C/SR.24</w:t>
      </w:r>
      <w:r>
        <w:rPr>
          <w:rFonts w:hint="eastAsia"/>
          <w:snapToGrid/>
        </w:rPr>
        <w:t>71</w:t>
      </w:r>
      <w:r>
        <w:rPr>
          <w:snapToGrid/>
        </w:rPr>
        <w:t>)</w:t>
      </w:r>
      <w:r>
        <w:rPr>
          <w:rFonts w:hint="eastAsia"/>
          <w:snapToGrid/>
        </w:rPr>
        <w:t>通过了以下结论性意见。</w:t>
      </w:r>
    </w:p>
    <w:p w:rsidR="00000000" w:rsidRDefault="00000000">
      <w:pPr>
        <w:pStyle w:val="Heading3"/>
        <w:rPr>
          <w:rFonts w:hint="eastAsia"/>
          <w:kern w:val="0"/>
        </w:rPr>
      </w:pPr>
      <w:r>
        <w:rPr>
          <w:rFonts w:hint="eastAsia"/>
          <w:kern w:val="0"/>
          <w:u w:val="none"/>
        </w:rPr>
        <w:t xml:space="preserve">A.  </w:t>
      </w:r>
      <w:r>
        <w:rPr>
          <w:rFonts w:hint="eastAsia"/>
          <w:kern w:val="0"/>
        </w:rPr>
        <w:t>导</w:t>
      </w:r>
      <w:r>
        <w:rPr>
          <w:rFonts w:hint="eastAsia"/>
          <w:kern w:val="0"/>
        </w:rPr>
        <w:t xml:space="preserve">  </w:t>
      </w:r>
      <w:r>
        <w:rPr>
          <w:rFonts w:hint="eastAsia"/>
          <w:kern w:val="0"/>
        </w:rPr>
        <w:t>言</w:t>
      </w:r>
    </w:p>
    <w:p w:rsidR="00000000" w:rsidRDefault="00000000">
      <w:pPr>
        <w:rPr>
          <w:rFonts w:hint="eastAsia"/>
          <w:snapToGrid/>
        </w:rPr>
      </w:pPr>
      <w:r>
        <w:rPr>
          <w:rFonts w:hint="eastAsia"/>
          <w:snapToGrid/>
        </w:rPr>
        <w:tab/>
        <w:t xml:space="preserve">2.  </w:t>
      </w:r>
      <w:r>
        <w:rPr>
          <w:rFonts w:hint="eastAsia"/>
          <w:snapToGrid/>
        </w:rPr>
        <w:t>委员会欢迎缔约国提交第三次定期报告，尽管已超过期限，并欢迎有机会与缔约国再度对话。今后，缔约国应按照委员会规定的时间表提交报告。</w:t>
      </w:r>
    </w:p>
    <w:p w:rsidR="00000000" w:rsidRDefault="00000000">
      <w:pPr>
        <w:spacing w:after="320"/>
        <w:rPr>
          <w:rFonts w:hint="eastAsia"/>
          <w:snapToGrid/>
        </w:rPr>
      </w:pPr>
      <w:r>
        <w:rPr>
          <w:rFonts w:hint="eastAsia"/>
          <w:snapToGrid/>
        </w:rPr>
        <w:tab/>
        <w:t xml:space="preserve">3.  </w:t>
      </w:r>
      <w:r>
        <w:rPr>
          <w:rFonts w:hint="eastAsia"/>
          <w:snapToGrid/>
        </w:rPr>
        <w:t>委员会赞赏缔约国代表团事先提出书面答复，并详细回答委员会的口头询问。它尤其欢迎缔约国在定期报告和与委员会对话中，承认在执行《公约》中存在各种困难。</w:t>
      </w:r>
    </w:p>
    <w:p w:rsidR="00000000" w:rsidRDefault="00000000">
      <w:pPr>
        <w:pStyle w:val="Heading3"/>
        <w:rPr>
          <w:rFonts w:hint="eastAsia"/>
          <w:kern w:val="0"/>
        </w:rPr>
      </w:pPr>
      <w:r>
        <w:rPr>
          <w:rFonts w:hint="eastAsia"/>
          <w:kern w:val="0"/>
          <w:u w:val="none"/>
        </w:rPr>
        <w:t xml:space="preserve">B.  </w:t>
      </w:r>
      <w:r>
        <w:rPr>
          <w:rFonts w:hint="eastAsia"/>
          <w:kern w:val="0"/>
        </w:rPr>
        <w:t>积极方面</w:t>
      </w:r>
    </w:p>
    <w:p w:rsidR="00000000" w:rsidRDefault="00000000">
      <w:pPr>
        <w:rPr>
          <w:rFonts w:hint="eastAsia"/>
          <w:snapToGrid/>
        </w:rPr>
      </w:pPr>
      <w:r>
        <w:rPr>
          <w:rFonts w:hint="eastAsia"/>
          <w:snapToGrid/>
        </w:rPr>
        <w:tab/>
        <w:t xml:space="preserve">4.  </w:t>
      </w:r>
      <w:r>
        <w:rPr>
          <w:rFonts w:hint="eastAsia"/>
          <w:snapToGrid/>
        </w:rPr>
        <w:t>委员会欢迎：</w:t>
      </w:r>
    </w:p>
    <w:p w:rsidR="00000000" w:rsidRDefault="00000000">
      <w:pPr>
        <w:numPr>
          <w:ilvl w:val="0"/>
          <w:numId w:val="29"/>
        </w:numPr>
        <w:rPr>
          <w:rFonts w:hint="eastAsia"/>
          <w:snapToGrid/>
        </w:rPr>
      </w:pPr>
      <w:r>
        <w:rPr>
          <w:rFonts w:hint="eastAsia"/>
          <w:snapToGrid/>
        </w:rPr>
        <w:t>1996</w:t>
      </w:r>
      <w:r>
        <w:rPr>
          <w:rFonts w:hint="eastAsia"/>
          <w:snapToGrid/>
        </w:rPr>
        <w:t>年设立赞比亚人权委员会，任务是促进和保护人权；</w:t>
      </w:r>
    </w:p>
    <w:p w:rsidR="00000000" w:rsidRDefault="00000000">
      <w:pPr>
        <w:numPr>
          <w:ilvl w:val="0"/>
          <w:numId w:val="29"/>
        </w:numPr>
        <w:rPr>
          <w:rFonts w:hint="eastAsia"/>
          <w:snapToGrid/>
          <w:spacing w:val="6"/>
        </w:rPr>
      </w:pPr>
      <w:r>
        <w:rPr>
          <w:rFonts w:hint="eastAsia"/>
          <w:snapToGrid/>
          <w:spacing w:val="6"/>
        </w:rPr>
        <w:t>1999</w:t>
      </w:r>
      <w:r>
        <w:rPr>
          <w:rFonts w:hint="eastAsia"/>
          <w:snapToGrid/>
          <w:spacing w:val="6"/>
        </w:rPr>
        <w:t>年设立警察公众投诉机构，任务是受理有关滥用权力、非法拘留、暴行或酷刑、非专业行为、拘留中死亡和警察收债等方面的投诉。</w:t>
      </w:r>
    </w:p>
    <w:p w:rsidR="00000000" w:rsidRDefault="00000000">
      <w:pPr>
        <w:rPr>
          <w:rFonts w:hint="eastAsia"/>
          <w:snapToGrid/>
        </w:rPr>
      </w:pPr>
      <w:r>
        <w:rPr>
          <w:rFonts w:hint="eastAsia"/>
          <w:snapToGrid/>
        </w:rPr>
        <w:tab/>
        <w:t xml:space="preserve">5.  </w:t>
      </w:r>
      <w:r>
        <w:rPr>
          <w:rFonts w:hint="eastAsia"/>
          <w:snapToGrid/>
        </w:rPr>
        <w:t>委员会满意地注意到赞比亚在减少母婴死亡率方面取得了重大进步。</w:t>
      </w:r>
    </w:p>
    <w:p w:rsidR="00000000" w:rsidRDefault="00000000">
      <w:pPr>
        <w:rPr>
          <w:rFonts w:hint="eastAsia"/>
          <w:snapToGrid/>
        </w:rPr>
      </w:pPr>
      <w:r>
        <w:rPr>
          <w:rFonts w:hint="eastAsia"/>
          <w:snapToGrid/>
        </w:rPr>
        <w:tab/>
        <w:t xml:space="preserve">6.  </w:t>
      </w:r>
      <w:r>
        <w:rPr>
          <w:rFonts w:hint="eastAsia"/>
          <w:snapToGrid/>
        </w:rPr>
        <w:t>委员会欢迎缔约国废除体罚，并对《刑法》、《刑事诉讼法》、《监狱法》和《教育法》作了修订。</w:t>
      </w:r>
    </w:p>
    <w:p w:rsidR="00000000" w:rsidRDefault="00000000">
      <w:pPr>
        <w:rPr>
          <w:rFonts w:hint="eastAsia"/>
          <w:snapToGrid/>
        </w:rPr>
      </w:pPr>
      <w:r>
        <w:rPr>
          <w:rFonts w:hint="eastAsia"/>
          <w:snapToGrid/>
        </w:rPr>
        <w:tab/>
        <w:t xml:space="preserve">7.  </w:t>
      </w:r>
      <w:r>
        <w:rPr>
          <w:rFonts w:hint="eastAsia"/>
          <w:snapToGrid/>
        </w:rPr>
        <w:t>委员会欢迎有更多的妇女参加议会、担任部长和成为公务员，鼓励缔约国在这方面加强努力。</w:t>
      </w:r>
    </w:p>
    <w:p w:rsidR="00000000" w:rsidRDefault="00000000">
      <w:pPr>
        <w:spacing w:after="320"/>
        <w:rPr>
          <w:rFonts w:hint="eastAsia"/>
          <w:snapToGrid/>
        </w:rPr>
      </w:pPr>
      <w:r>
        <w:rPr>
          <w:rFonts w:hint="eastAsia"/>
          <w:snapToGrid/>
        </w:rPr>
        <w:tab/>
        <w:t xml:space="preserve">8.  </w:t>
      </w:r>
      <w:r>
        <w:rPr>
          <w:rFonts w:hint="eastAsia"/>
          <w:snapToGrid/>
        </w:rPr>
        <w:t>委员会满意地注意到</w:t>
      </w:r>
      <w:r>
        <w:rPr>
          <w:rFonts w:hint="eastAsia"/>
          <w:snapToGrid/>
        </w:rPr>
        <w:t>2006</w:t>
      </w:r>
      <w:r>
        <w:rPr>
          <w:rFonts w:hint="eastAsia"/>
          <w:snapToGrid/>
        </w:rPr>
        <w:t>年第</w:t>
      </w:r>
      <w:r>
        <w:rPr>
          <w:rFonts w:hint="eastAsia"/>
          <w:snapToGrid/>
        </w:rPr>
        <w:t>12</w:t>
      </w:r>
      <w:r>
        <w:rPr>
          <w:rFonts w:hint="eastAsia"/>
          <w:snapToGrid/>
        </w:rPr>
        <w:t>号法律</w:t>
      </w:r>
      <w:r>
        <w:rPr>
          <w:rFonts w:hint="eastAsia"/>
          <w:snapToGrid/>
          <w:spacing w:val="-40"/>
        </w:rPr>
        <w:t>――</w:t>
      </w:r>
      <w:r>
        <w:rPr>
          <w:rFonts w:hint="eastAsia"/>
          <w:snapToGrid/>
          <w:spacing w:val="-40"/>
        </w:rPr>
        <w:t xml:space="preserve"> </w:t>
      </w:r>
      <w:r>
        <w:rPr>
          <w:rFonts w:hint="eastAsia"/>
          <w:snapToGrid/>
        </w:rPr>
        <w:t>《选举法》规定法院在</w:t>
      </w:r>
      <w:r>
        <w:rPr>
          <w:rFonts w:hint="eastAsia"/>
          <w:snapToGrid/>
        </w:rPr>
        <w:t>180</w:t>
      </w:r>
      <w:r>
        <w:rPr>
          <w:rFonts w:hint="eastAsia"/>
          <w:snapToGrid/>
        </w:rPr>
        <w:t>天内审理和判决有关选举争议的诉讼。</w:t>
      </w:r>
    </w:p>
    <w:p w:rsidR="00000000" w:rsidRDefault="00000000">
      <w:pPr>
        <w:pStyle w:val="Heading3"/>
        <w:rPr>
          <w:rFonts w:hint="eastAsia"/>
          <w:kern w:val="0"/>
        </w:rPr>
      </w:pPr>
      <w:r>
        <w:rPr>
          <w:kern w:val="0"/>
          <w:u w:val="none"/>
        </w:rPr>
        <w:t>C</w:t>
      </w:r>
      <w:r>
        <w:rPr>
          <w:rFonts w:hint="eastAsia"/>
          <w:kern w:val="0"/>
          <w:u w:val="none"/>
        </w:rPr>
        <w:t xml:space="preserve">.  </w:t>
      </w:r>
      <w:r>
        <w:rPr>
          <w:rFonts w:hint="eastAsia"/>
          <w:kern w:val="0"/>
        </w:rPr>
        <w:t>关注的主要问题和建议</w:t>
      </w:r>
    </w:p>
    <w:p w:rsidR="00000000" w:rsidRDefault="00000000">
      <w:pPr>
        <w:rPr>
          <w:rFonts w:hint="eastAsia"/>
          <w:snapToGrid/>
        </w:rPr>
      </w:pPr>
      <w:r>
        <w:rPr>
          <w:rFonts w:hint="eastAsia"/>
          <w:snapToGrid/>
        </w:rPr>
        <w:tab/>
        <w:t xml:space="preserve">9.  </w:t>
      </w:r>
      <w:r>
        <w:rPr>
          <w:rFonts w:hint="eastAsia"/>
          <w:snapToGrid/>
        </w:rPr>
        <w:t>委员会注意到《公约》不在国内法中直接适用，并关切《公约》规定的权利并未全部纳入宪法和立法，也没有以适当方式得到它们的承认。它还关切，自</w:t>
      </w:r>
      <w:r>
        <w:rPr>
          <w:rFonts w:hint="eastAsia"/>
          <w:snapToGrid/>
        </w:rPr>
        <w:t>1996</w:t>
      </w:r>
      <w:r>
        <w:rPr>
          <w:rFonts w:hint="eastAsia"/>
          <w:snapToGrid/>
        </w:rPr>
        <w:t>年上次审议缔约国报告以来，国内法与《公约》统一的进程尚未完成，而且没有完成这一进程的时间表</w:t>
      </w:r>
      <w:r>
        <w:rPr>
          <w:rFonts w:hint="eastAsia"/>
          <w:snapToGrid/>
        </w:rPr>
        <w:t>(</w:t>
      </w:r>
      <w:r>
        <w:rPr>
          <w:rFonts w:hint="eastAsia"/>
          <w:snapToGrid/>
        </w:rPr>
        <w:t>第二条</w:t>
      </w:r>
      <w:r>
        <w:rPr>
          <w:rFonts w:hint="eastAsia"/>
          <w:snapToGrid/>
        </w:rPr>
        <w:t>)</w:t>
      </w:r>
      <w:r>
        <w:rPr>
          <w:rFonts w:hint="eastAsia"/>
          <w:snapToGrid/>
        </w:rPr>
        <w:t>。</w:t>
      </w:r>
    </w:p>
    <w:p w:rsidR="00000000" w:rsidRDefault="00000000">
      <w:pPr>
        <w:ind w:left="510"/>
        <w:rPr>
          <w:rFonts w:ascii="Time New Roman" w:eastAsia="SimHei" w:hAnsi="Time New Roman" w:hint="eastAsia"/>
          <w:snapToGrid/>
        </w:rPr>
      </w:pPr>
      <w:r>
        <w:rPr>
          <w:rFonts w:hint="eastAsia"/>
          <w:snapToGrid/>
        </w:rPr>
        <w:tab/>
      </w:r>
      <w:r>
        <w:rPr>
          <w:rFonts w:ascii="Time New Roman" w:eastAsia="SimHei" w:hAnsi="Time New Roman" w:hint="eastAsia"/>
          <w:snapToGrid/>
        </w:rPr>
        <w:t>缔约国现在应确保国内法与《公约》及时统一。还应该在宪法审查过程中提高广大公众对缔约国批准《公约》时所承担的国际义务的意识。</w:t>
      </w:r>
    </w:p>
    <w:p w:rsidR="00000000" w:rsidRDefault="00000000">
      <w:pPr>
        <w:rPr>
          <w:rFonts w:hint="eastAsia"/>
          <w:snapToGrid/>
        </w:rPr>
      </w:pPr>
      <w:r>
        <w:rPr>
          <w:rFonts w:hint="eastAsia"/>
          <w:snapToGrid/>
        </w:rPr>
        <w:tab/>
        <w:t xml:space="preserve">10.  </w:t>
      </w:r>
      <w:r>
        <w:rPr>
          <w:rFonts w:hint="eastAsia"/>
          <w:snapToGrid/>
          <w:spacing w:val="8"/>
        </w:rPr>
        <w:t>委员会关切赞比亚人权委员会缺少资金开展有关活动，如果没有总统的批准，它不得接受国际机构或任何其他来源赠予的资金。委员会还表示遗憾的是，没有足够的信息说明人权委员会是否可以公布和传播它的报告和建议</w:t>
      </w:r>
      <w:r>
        <w:rPr>
          <w:rFonts w:hint="eastAsia"/>
          <w:snapToGrid/>
          <w:spacing w:val="8"/>
        </w:rPr>
        <w:t>(</w:t>
      </w:r>
      <w:r>
        <w:rPr>
          <w:rFonts w:hint="eastAsia"/>
          <w:snapToGrid/>
          <w:spacing w:val="8"/>
        </w:rPr>
        <w:t>第</w:t>
      </w:r>
      <w:r>
        <w:rPr>
          <w:rFonts w:hint="eastAsia"/>
          <w:snapToGrid/>
          <w:spacing w:val="8"/>
        </w:rPr>
        <w:t>2</w:t>
      </w:r>
      <w:r>
        <w:rPr>
          <w:rFonts w:hint="eastAsia"/>
          <w:snapToGrid/>
          <w:spacing w:val="8"/>
        </w:rPr>
        <w:t>条</w:t>
      </w:r>
      <w:r>
        <w:rPr>
          <w:rFonts w:hint="eastAsia"/>
          <w:snapToGrid/>
          <w:spacing w:val="8"/>
        </w:rPr>
        <w:t>)</w:t>
      </w:r>
      <w:r>
        <w:rPr>
          <w:rFonts w:hint="eastAsia"/>
          <w:snapToGrid/>
          <w:spacing w:val="8"/>
        </w:rPr>
        <w:t>。</w:t>
      </w:r>
    </w:p>
    <w:p w:rsidR="00000000" w:rsidRDefault="00000000">
      <w:pPr>
        <w:ind w:left="510"/>
        <w:rPr>
          <w:rFonts w:ascii="Time New Roman" w:eastAsia="SimHei" w:hAnsi="Time New Roman"/>
          <w:snapToGrid/>
          <w:lang w:val="zh-CN"/>
        </w:rPr>
      </w:pPr>
      <w:r>
        <w:rPr>
          <w:rFonts w:hint="eastAsia"/>
          <w:snapToGrid/>
        </w:rPr>
        <w:tab/>
      </w:r>
      <w:r>
        <w:rPr>
          <w:rFonts w:ascii="Time New Roman" w:eastAsia="SimHei" w:hAnsi="Time New Roman" w:hint="eastAsia"/>
          <w:snapToGrid/>
        </w:rPr>
        <w:t>缔约国</w:t>
      </w:r>
      <w:r>
        <w:rPr>
          <w:rFonts w:ascii="Time New Roman" w:eastAsia="SimHei" w:hAnsi="Time New Roman" w:hint="eastAsia"/>
          <w:snapToGrid/>
          <w:lang w:val="zh-CN"/>
        </w:rPr>
        <w:t>应尽一切努力增加对赞比亚人权委员会的预算拨款，使其能够有效地履行职责。还应确保该委员会能够寻求和接受国际机构或它认为合适的任何其他来源赠予的资金。缔约国应增强该委员会的权力和地位，并应确保有关该委员会的规则完全符合《关于国家机构地位的原则》</w:t>
      </w:r>
      <w:r>
        <w:rPr>
          <w:rFonts w:ascii="Time New Roman" w:eastAsia="SimHei" w:hAnsi="Time New Roman" w:hint="eastAsia"/>
          <w:snapToGrid/>
          <w:lang w:val="zh-CN"/>
        </w:rPr>
        <w:t>(</w:t>
      </w:r>
      <w:r>
        <w:rPr>
          <w:rFonts w:ascii="Time New Roman" w:eastAsia="SimHei" w:hAnsi="Time New Roman" w:hint="eastAsia"/>
          <w:snapToGrid/>
          <w:lang w:val="zh-CN"/>
        </w:rPr>
        <w:t>大会</w:t>
      </w:r>
      <w:r>
        <w:rPr>
          <w:rFonts w:ascii="Time New Roman" w:eastAsia="SimHei" w:hAnsi="Time New Roman"/>
          <w:b/>
          <w:snapToGrid/>
          <w:lang w:val="zh-CN"/>
        </w:rPr>
        <w:t>1993</w:t>
      </w:r>
      <w:r>
        <w:rPr>
          <w:rFonts w:ascii="Time New Roman" w:eastAsia="SimHei" w:hAnsi="Time New Roman" w:hint="eastAsia"/>
          <w:snapToGrid/>
          <w:lang w:val="zh-CN"/>
        </w:rPr>
        <w:t>年</w:t>
      </w:r>
      <w:r>
        <w:rPr>
          <w:rFonts w:ascii="Time New Roman" w:eastAsia="SimHei" w:hAnsi="Time New Roman"/>
          <w:b/>
          <w:snapToGrid/>
          <w:lang w:val="zh-CN"/>
        </w:rPr>
        <w:t>12</w:t>
      </w:r>
      <w:r>
        <w:rPr>
          <w:rFonts w:ascii="Time New Roman" w:eastAsia="SimHei" w:hAnsi="Time New Roman" w:hint="eastAsia"/>
          <w:snapToGrid/>
          <w:lang w:val="zh-CN"/>
        </w:rPr>
        <w:t>月</w:t>
      </w:r>
      <w:r>
        <w:rPr>
          <w:rFonts w:ascii="Time New Roman" w:eastAsia="SimHei" w:hAnsi="Time New Roman" w:hint="eastAsia"/>
          <w:b/>
          <w:snapToGrid/>
          <w:lang w:val="zh-CN"/>
        </w:rPr>
        <w:t>2</w:t>
      </w:r>
      <w:r>
        <w:rPr>
          <w:rFonts w:eastAsia="SimHei"/>
          <w:b/>
          <w:snapToGrid/>
        </w:rPr>
        <w:t>0</w:t>
      </w:r>
      <w:r>
        <w:rPr>
          <w:rFonts w:ascii="Time New Roman" w:eastAsia="SimHei" w:hAnsi="Time New Roman" w:hint="eastAsia"/>
          <w:snapToGrid/>
          <w:lang w:val="zh-CN"/>
        </w:rPr>
        <w:t>日第</w:t>
      </w:r>
      <w:r>
        <w:rPr>
          <w:rFonts w:ascii="Time New Roman" w:eastAsia="SimHei" w:hAnsi="Time New Roman"/>
          <w:b/>
          <w:snapToGrid/>
          <w:lang w:val="zh-CN"/>
        </w:rPr>
        <w:t>48</w:t>
      </w:r>
      <w:r>
        <w:rPr>
          <w:rFonts w:ascii="Time New Roman" w:eastAsia="SimHei" w:hAnsi="Time New Roman" w:hint="eastAsia"/>
          <w:snapToGrid/>
          <w:lang w:val="zh-CN"/>
        </w:rPr>
        <w:t>/</w:t>
      </w:r>
      <w:r>
        <w:rPr>
          <w:rFonts w:ascii="Time New Roman" w:eastAsia="SimHei" w:hAnsi="Time New Roman"/>
          <w:b/>
          <w:snapToGrid/>
          <w:lang w:val="zh-CN"/>
        </w:rPr>
        <w:t>134</w:t>
      </w:r>
      <w:r>
        <w:rPr>
          <w:rFonts w:ascii="Time New Roman" w:eastAsia="SimHei" w:hAnsi="Time New Roman" w:hint="eastAsia"/>
          <w:snapToGrid/>
          <w:lang w:val="zh-CN"/>
        </w:rPr>
        <w:t>号决议通过的《巴黎原则》</w:t>
      </w:r>
      <w:r>
        <w:rPr>
          <w:rFonts w:ascii="Time New Roman" w:eastAsia="SimHei" w:hAnsi="Time New Roman" w:hint="eastAsia"/>
          <w:snapToGrid/>
          <w:lang w:val="zh-CN"/>
        </w:rPr>
        <w:t>)</w:t>
      </w:r>
      <w:r>
        <w:rPr>
          <w:rFonts w:ascii="Time New Roman" w:eastAsia="SimHei" w:hAnsi="Time New Roman" w:hint="eastAsia"/>
          <w:snapToGrid/>
          <w:lang w:val="zh-CN"/>
        </w:rPr>
        <w:t>。</w:t>
      </w:r>
    </w:p>
    <w:p w:rsidR="00000000" w:rsidRDefault="00000000">
      <w:pPr>
        <w:rPr>
          <w:snapToGrid/>
          <w:lang w:val="zh-CN"/>
        </w:rPr>
      </w:pPr>
      <w:r>
        <w:rPr>
          <w:rFonts w:hint="eastAsia"/>
          <w:snapToGrid/>
        </w:rPr>
        <w:tab/>
        <w:t xml:space="preserve">11.  </w:t>
      </w:r>
      <w:r>
        <w:rPr>
          <w:rFonts w:hint="eastAsia"/>
          <w:snapToGrid/>
        </w:rPr>
        <w:t>委员会</w:t>
      </w:r>
      <w:r>
        <w:rPr>
          <w:rFonts w:hint="eastAsia"/>
          <w:snapToGrid/>
          <w:lang w:val="zh-CN"/>
        </w:rPr>
        <w:t>关切地注意到，缔约国在</w:t>
      </w:r>
      <w:r>
        <w:rPr>
          <w:snapToGrid/>
          <w:lang w:val="zh-CN"/>
        </w:rPr>
        <w:t>Bernard Lubuto</w:t>
      </w:r>
      <w:r>
        <w:rPr>
          <w:rFonts w:hint="eastAsia"/>
          <w:snapToGrid/>
          <w:lang w:val="zh-CN"/>
        </w:rPr>
        <w:t>死于死囚室之前没有执行委员会关于第</w:t>
      </w:r>
      <w:r>
        <w:rPr>
          <w:snapToGrid/>
          <w:lang w:val="zh-CN"/>
        </w:rPr>
        <w:t>390</w:t>
      </w:r>
      <w:r>
        <w:rPr>
          <w:rFonts w:hint="eastAsia"/>
          <w:snapToGrid/>
          <w:lang w:val="zh-CN"/>
        </w:rPr>
        <w:t>/</w:t>
      </w:r>
      <w:r>
        <w:rPr>
          <w:snapToGrid/>
          <w:lang w:val="zh-CN"/>
        </w:rPr>
        <w:t>1990</w:t>
      </w:r>
      <w:r>
        <w:rPr>
          <w:rFonts w:hint="eastAsia"/>
          <w:snapToGrid/>
          <w:lang w:val="zh-CN"/>
        </w:rPr>
        <w:t>号来文</w:t>
      </w:r>
      <w:r>
        <w:rPr>
          <w:rFonts w:hint="eastAsia"/>
          <w:snapToGrid/>
          <w:lang w:val="zh-CN"/>
        </w:rPr>
        <w:t>(</w:t>
      </w:r>
      <w:r>
        <w:rPr>
          <w:snapToGrid/>
          <w:lang w:val="zh-CN"/>
        </w:rPr>
        <w:t>Bernard Lubuto</w:t>
      </w:r>
      <w:r>
        <w:rPr>
          <w:rFonts w:hint="eastAsia"/>
          <w:snapToGrid/>
          <w:lang w:val="zh-CN"/>
        </w:rPr>
        <w:t>诉赞比亚</w:t>
      </w:r>
      <w:r>
        <w:rPr>
          <w:rFonts w:hint="eastAsia"/>
          <w:snapToGrid/>
          <w:lang w:val="zh-CN"/>
        </w:rPr>
        <w:t>)</w:t>
      </w:r>
      <w:r>
        <w:rPr>
          <w:rFonts w:hint="eastAsia"/>
          <w:snapToGrid/>
          <w:lang w:val="zh-CN"/>
        </w:rPr>
        <w:t>的意见。它还注意到代表团提供信息说已按委员会第</w:t>
      </w:r>
      <w:r>
        <w:rPr>
          <w:rFonts w:hint="eastAsia"/>
          <w:snapToGrid/>
          <w:lang w:val="zh-CN"/>
        </w:rPr>
        <w:t>856/</w:t>
      </w:r>
      <w:r>
        <w:rPr>
          <w:snapToGrid/>
          <w:lang w:val="zh-CN"/>
        </w:rPr>
        <w:t>1999</w:t>
      </w:r>
      <w:r>
        <w:rPr>
          <w:rFonts w:hint="eastAsia"/>
          <w:snapToGrid/>
          <w:lang w:val="zh-CN"/>
        </w:rPr>
        <w:t>号来文</w:t>
      </w:r>
      <w:r>
        <w:rPr>
          <w:rFonts w:hint="eastAsia"/>
          <w:snapToGrid/>
          <w:lang w:val="zh-CN"/>
        </w:rPr>
        <w:t>(Alex Soteli Chambala</w:t>
      </w:r>
      <w:r>
        <w:rPr>
          <w:rFonts w:hint="eastAsia"/>
          <w:snapToGrid/>
          <w:lang w:val="zh-CN"/>
        </w:rPr>
        <w:t>诉赞比亚</w:t>
      </w:r>
      <w:r>
        <w:rPr>
          <w:rFonts w:hint="eastAsia"/>
          <w:snapToGrid/>
          <w:lang w:val="zh-CN"/>
        </w:rPr>
        <w:t>)</w:t>
      </w:r>
      <w:r>
        <w:rPr>
          <w:rFonts w:hint="eastAsia"/>
          <w:snapToGrid/>
          <w:lang w:val="zh-CN"/>
        </w:rPr>
        <w:t>的建议对受害者作了赔偿，但表示遗憾的是，信息不够详细。他还感遗憾的是，缔约国没有说明采取了哪些措施按委员会建议今后不再发生类似侵权情况</w:t>
      </w:r>
      <w:r>
        <w:rPr>
          <w:rFonts w:hint="eastAsia"/>
          <w:snapToGrid/>
          <w:lang w:val="zh-CN"/>
        </w:rPr>
        <w:t>(</w:t>
      </w:r>
      <w:r>
        <w:rPr>
          <w:rFonts w:hint="eastAsia"/>
          <w:snapToGrid/>
          <w:lang w:val="zh-CN"/>
        </w:rPr>
        <w:t>第二条</w:t>
      </w:r>
      <w:r>
        <w:rPr>
          <w:rFonts w:hint="eastAsia"/>
          <w:snapToGrid/>
          <w:lang w:val="zh-CN"/>
        </w:rPr>
        <w:t>)</w:t>
      </w:r>
      <w:r>
        <w:rPr>
          <w:rFonts w:hint="eastAsia"/>
          <w:snapToGrid/>
          <w:lang w:val="zh-CN"/>
        </w:rPr>
        <w:t>。</w:t>
      </w:r>
    </w:p>
    <w:p w:rsidR="00000000" w:rsidRDefault="00000000">
      <w:pPr>
        <w:ind w:left="510"/>
        <w:rPr>
          <w:rFonts w:ascii="Time New Roman" w:eastAsia="SimHei" w:hAnsi="Time New Roman"/>
          <w:snapToGrid/>
          <w:spacing w:val="2"/>
        </w:rPr>
      </w:pPr>
      <w:r>
        <w:rPr>
          <w:rFonts w:ascii="Time New Roman" w:eastAsia="SimHei" w:hAnsi="Time New Roman" w:hint="eastAsia"/>
          <w:snapToGrid/>
        </w:rPr>
        <w:tab/>
      </w:r>
      <w:r>
        <w:rPr>
          <w:rFonts w:ascii="Time New Roman" w:eastAsia="SimHei" w:hAnsi="Time New Roman" w:hint="eastAsia"/>
          <w:snapToGrid/>
          <w:spacing w:val="2"/>
        </w:rPr>
        <w:t>缔约国应执行委员会对上述案件提出的建议，并尽快向委员会报告有关情况。</w:t>
      </w:r>
    </w:p>
    <w:p w:rsidR="00000000" w:rsidRDefault="00000000">
      <w:pPr>
        <w:rPr>
          <w:snapToGrid/>
          <w:lang w:val="zh-CN"/>
        </w:rPr>
      </w:pPr>
      <w:r>
        <w:rPr>
          <w:rFonts w:hint="eastAsia"/>
          <w:snapToGrid/>
          <w:lang w:val="zh-CN"/>
        </w:rPr>
        <w:tab/>
      </w:r>
      <w:r>
        <w:rPr>
          <w:snapToGrid/>
          <w:lang w:val="zh-CN"/>
        </w:rPr>
        <w:t>12.</w:t>
      </w:r>
      <w:r>
        <w:rPr>
          <w:rFonts w:hint="eastAsia"/>
          <w:snapToGrid/>
          <w:lang w:val="zh-CN"/>
        </w:rPr>
        <w:t xml:space="preserve">  </w:t>
      </w:r>
      <w:r>
        <w:rPr>
          <w:rFonts w:hint="eastAsia"/>
          <w:snapToGrid/>
          <w:lang w:val="zh-CN"/>
        </w:rPr>
        <w:t>委员会重申它关切准予宪法第</w:t>
      </w:r>
      <w:r>
        <w:rPr>
          <w:snapToGrid/>
          <w:lang w:val="zh-CN"/>
        </w:rPr>
        <w:t>23</w:t>
      </w:r>
      <w:r>
        <w:rPr>
          <w:rFonts w:hint="eastAsia"/>
          <w:snapToGrid/>
          <w:lang w:val="zh-CN"/>
        </w:rPr>
        <w:t>条规定的不受歧视权有所例外，不符合《公约》第二、三和二十六条。委员会尤其关切有关以下事项的例外</w:t>
      </w:r>
      <w:r>
        <w:rPr>
          <w:rFonts w:hint="eastAsia"/>
          <w:snapToGrid/>
          <w:lang w:val="zh-CN"/>
        </w:rPr>
        <w:t xml:space="preserve">(a) </w:t>
      </w:r>
      <w:r>
        <w:rPr>
          <w:rFonts w:hint="eastAsia"/>
          <w:snapToGrid/>
          <w:lang w:val="zh-CN"/>
        </w:rPr>
        <w:t>非公民；</w:t>
      </w:r>
      <w:r>
        <w:rPr>
          <w:rFonts w:hint="eastAsia"/>
          <w:snapToGrid/>
          <w:lang w:val="zh-CN"/>
        </w:rPr>
        <w:t xml:space="preserve">(b) </w:t>
      </w:r>
      <w:r>
        <w:rPr>
          <w:rFonts w:hint="eastAsia"/>
          <w:snapToGrid/>
          <w:lang w:val="zh-CN"/>
        </w:rPr>
        <w:t>收养、婚姻、离婚、埋葬、死亡时财产移交或个人法的其他事项；</w:t>
      </w:r>
      <w:r>
        <w:rPr>
          <w:rFonts w:hint="eastAsia"/>
          <w:snapToGrid/>
          <w:lang w:val="zh-CN"/>
        </w:rPr>
        <w:t xml:space="preserve">(c) </w:t>
      </w:r>
      <w:r>
        <w:rPr>
          <w:rFonts w:hint="eastAsia"/>
          <w:snapToGrid/>
          <w:lang w:val="zh-CN"/>
        </w:rPr>
        <w:t>习惯法的适用。</w:t>
      </w:r>
    </w:p>
    <w:p w:rsidR="00000000" w:rsidRDefault="00000000">
      <w:pPr>
        <w:ind w:left="510"/>
        <w:rPr>
          <w:rFonts w:ascii="Time New Roman" w:eastAsia="SimHei" w:hAnsi="Time New Roman"/>
          <w:snapToGrid/>
          <w:lang w:val="zh-CN"/>
        </w:rPr>
      </w:pPr>
      <w:r>
        <w:rPr>
          <w:rFonts w:hint="eastAsia"/>
          <w:snapToGrid/>
          <w:lang w:val="zh-CN"/>
        </w:rPr>
        <w:tab/>
      </w:r>
      <w:r>
        <w:rPr>
          <w:rFonts w:ascii="Time New Roman" w:eastAsia="SimHei" w:hAnsi="Time New Roman" w:hint="eastAsia"/>
          <w:snapToGrid/>
          <w:lang w:val="zh-CN"/>
        </w:rPr>
        <w:t>缔约国应审查宪法第</w:t>
      </w:r>
      <w:r>
        <w:rPr>
          <w:rFonts w:ascii="Time New Roman" w:eastAsia="SimHei" w:hAnsi="Time New Roman"/>
          <w:b/>
          <w:snapToGrid/>
          <w:lang w:val="zh-CN"/>
        </w:rPr>
        <w:t>23</w:t>
      </w:r>
      <w:r>
        <w:rPr>
          <w:rFonts w:ascii="Time New Roman" w:eastAsia="SimHei" w:hAnsi="Time New Roman" w:hint="eastAsia"/>
          <w:snapToGrid/>
          <w:lang w:val="zh-CN"/>
        </w:rPr>
        <w:t>条，以使其符合公约的第二、三和二十六条。</w:t>
      </w:r>
    </w:p>
    <w:p w:rsidR="00000000" w:rsidRDefault="00000000">
      <w:pPr>
        <w:rPr>
          <w:rFonts w:hint="eastAsia"/>
          <w:snapToGrid/>
          <w:lang w:val="zh-CN"/>
        </w:rPr>
      </w:pPr>
      <w:r>
        <w:rPr>
          <w:rFonts w:hint="eastAsia"/>
          <w:snapToGrid/>
          <w:lang w:val="zh-CN"/>
        </w:rPr>
        <w:tab/>
      </w:r>
      <w:r>
        <w:rPr>
          <w:snapToGrid/>
          <w:lang w:val="zh-CN"/>
        </w:rPr>
        <w:t>13.</w:t>
      </w:r>
      <w:r>
        <w:rPr>
          <w:rFonts w:hint="eastAsia"/>
          <w:snapToGrid/>
          <w:lang w:val="zh-CN"/>
        </w:rPr>
        <w:t xml:space="preserve">  </w:t>
      </w:r>
      <w:r>
        <w:rPr>
          <w:rFonts w:hint="eastAsia"/>
          <w:snapToGrid/>
          <w:lang w:val="zh-CN"/>
        </w:rPr>
        <w:t>委员会有兴趣地注意到缔约国已采取措施审查和编撰习惯法，但关切严重危害妇女权利的传统习俗持续存在，如结婚和离婚方面的歧视、早婚和生育、聘礼和一夫多妻以及限制妇女行动自由</w:t>
      </w:r>
      <w:r>
        <w:rPr>
          <w:rFonts w:hint="eastAsia"/>
          <w:snapToGrid/>
          <w:lang w:val="zh-CN"/>
        </w:rPr>
        <w:t>(</w:t>
      </w:r>
      <w:r>
        <w:rPr>
          <w:rFonts w:hint="eastAsia"/>
          <w:snapToGrid/>
          <w:lang w:val="zh-CN"/>
        </w:rPr>
        <w:t>第二和三条</w:t>
      </w:r>
      <w:r>
        <w:rPr>
          <w:rFonts w:hint="eastAsia"/>
          <w:snapToGrid/>
          <w:lang w:val="zh-CN"/>
        </w:rPr>
        <w:t>)</w:t>
      </w:r>
      <w:r>
        <w:rPr>
          <w:rFonts w:hint="eastAsia"/>
          <w:snapToGrid/>
          <w:lang w:val="zh-CN"/>
        </w:rPr>
        <w:t>。</w:t>
      </w:r>
    </w:p>
    <w:p w:rsidR="00000000" w:rsidRDefault="00000000">
      <w:pPr>
        <w:ind w:left="510"/>
        <w:rPr>
          <w:snapToGrid/>
        </w:rPr>
      </w:pPr>
      <w:r>
        <w:rPr>
          <w:rFonts w:ascii="Time New Roman" w:eastAsia="SimHei" w:hAnsi="Time New Roman" w:hint="eastAsia"/>
          <w:snapToGrid/>
        </w:rPr>
        <w:tab/>
      </w:r>
      <w:r>
        <w:rPr>
          <w:rFonts w:ascii="Time New Roman" w:eastAsia="SimHei" w:hAnsi="Time New Roman" w:hint="eastAsia"/>
          <w:snapToGrid/>
        </w:rPr>
        <w:t>缔约国应加强努力确保习惯法和习俗符合《公约》规定的权利，并将这一问题当作高度优先事项去做。还应特别注意确保妇女充分参与有关习惯法和习俗的审查和编撰进程。应立即采取具体步骤，阻止严重危害妇女权利的习俗持续存在。</w:t>
      </w:r>
    </w:p>
    <w:p w:rsidR="00000000" w:rsidRDefault="00000000">
      <w:pPr>
        <w:rPr>
          <w:snapToGrid/>
          <w:lang w:val="zh-CN"/>
        </w:rPr>
      </w:pPr>
      <w:r>
        <w:rPr>
          <w:rFonts w:hint="eastAsia"/>
          <w:snapToGrid/>
          <w:lang w:val="zh-CN"/>
        </w:rPr>
        <w:tab/>
        <w:t xml:space="preserve">14.  </w:t>
      </w:r>
      <w:r>
        <w:rPr>
          <w:rFonts w:hint="eastAsia"/>
          <w:snapToGrid/>
          <w:lang w:val="zh-CN"/>
        </w:rPr>
        <w:t>委员会关注在实践中无法一贯确保成文法优先于习惯法和习俗，主要是因为人们对其权利的意识水平低，尤其是不知道有权在法定法院对习惯法院的判决提出上诉。尽管缔约国作出了努力，但对当地司法人员的培训仍然不够</w:t>
      </w:r>
      <w:r>
        <w:rPr>
          <w:rFonts w:hint="eastAsia"/>
          <w:snapToGrid/>
          <w:lang w:val="zh-CN"/>
        </w:rPr>
        <w:t>(</w:t>
      </w:r>
      <w:r>
        <w:rPr>
          <w:rFonts w:hint="eastAsia"/>
          <w:snapToGrid/>
          <w:lang w:val="zh-CN"/>
        </w:rPr>
        <w:t>第二和三条</w:t>
      </w:r>
      <w:r>
        <w:rPr>
          <w:rFonts w:hint="eastAsia"/>
          <w:snapToGrid/>
          <w:lang w:val="zh-CN"/>
        </w:rPr>
        <w:t>)</w:t>
      </w:r>
      <w:r>
        <w:rPr>
          <w:rFonts w:hint="eastAsia"/>
          <w:snapToGrid/>
          <w:lang w:val="zh-CN"/>
        </w:rPr>
        <w:t>。</w:t>
      </w:r>
    </w:p>
    <w:p w:rsidR="00000000" w:rsidRDefault="00000000">
      <w:pPr>
        <w:ind w:left="510"/>
        <w:rPr>
          <w:snapToGrid/>
        </w:rPr>
      </w:pPr>
      <w:r>
        <w:rPr>
          <w:rFonts w:ascii="Time New Roman" w:eastAsia="SimHei" w:hAnsi="Time New Roman" w:hint="eastAsia"/>
          <w:snapToGrid/>
        </w:rPr>
        <w:tab/>
      </w:r>
      <w:r>
        <w:rPr>
          <w:rFonts w:ascii="Time New Roman" w:eastAsia="SimHei" w:hAnsi="Time New Roman" w:hint="eastAsia"/>
          <w:snapToGrid/>
        </w:rPr>
        <w:t>缔约国应努力提高人们的意识，使他们知道成文法优先于习惯法和习俗，有权在法定法院提出上诉。应该向当地司法人员宣传《公约》所载的权利，并鼓励他们考虑人人不受歧视的权利。</w:t>
      </w:r>
    </w:p>
    <w:p w:rsidR="00000000" w:rsidRDefault="00000000">
      <w:pPr>
        <w:rPr>
          <w:snapToGrid/>
          <w:lang w:val="zh-CN"/>
        </w:rPr>
      </w:pPr>
      <w:r>
        <w:rPr>
          <w:rFonts w:hint="eastAsia"/>
          <w:snapToGrid/>
        </w:rPr>
        <w:tab/>
      </w:r>
      <w:r>
        <w:rPr>
          <w:snapToGrid/>
          <w:lang w:val="zh-CN"/>
        </w:rPr>
        <w:t>15.</w:t>
      </w:r>
      <w:r>
        <w:rPr>
          <w:rFonts w:hint="eastAsia"/>
          <w:snapToGrid/>
          <w:lang w:val="zh-CN"/>
        </w:rPr>
        <w:t xml:space="preserve">  </w:t>
      </w:r>
      <w:r>
        <w:rPr>
          <w:rFonts w:hint="eastAsia"/>
          <w:snapToGrid/>
          <w:lang w:val="zh-CN"/>
        </w:rPr>
        <w:t>委员会重申它关切关于宣布和管理紧急状态的法律规定不明确。它尤其注意到，根据宪法第</w:t>
      </w:r>
      <w:r>
        <w:rPr>
          <w:snapToGrid/>
          <w:lang w:val="zh-CN"/>
        </w:rPr>
        <w:t>25</w:t>
      </w:r>
      <w:r>
        <w:rPr>
          <w:rFonts w:hint="eastAsia"/>
          <w:snapToGrid/>
          <w:lang w:val="zh-CN"/>
        </w:rPr>
        <w:t>条，可以减损《公约》第四条规定不可减损的某些权利。</w:t>
      </w:r>
    </w:p>
    <w:p w:rsidR="00000000" w:rsidRDefault="00000000">
      <w:pPr>
        <w:ind w:left="510"/>
        <w:rPr>
          <w:snapToGrid/>
          <w:lang w:val="zh-CN"/>
        </w:rPr>
      </w:pPr>
      <w:r>
        <w:rPr>
          <w:rFonts w:ascii="Time New Roman" w:eastAsia="SimHei" w:hAnsi="Time New Roman" w:hint="eastAsia"/>
          <w:snapToGrid/>
        </w:rPr>
        <w:tab/>
      </w:r>
      <w:r>
        <w:rPr>
          <w:rFonts w:ascii="Time New Roman" w:eastAsia="SimHei" w:hAnsi="Time New Roman" w:hint="eastAsia"/>
          <w:snapToGrid/>
        </w:rPr>
        <w:t>缔约国应确保宪法第</w:t>
      </w:r>
      <w:r>
        <w:rPr>
          <w:rFonts w:ascii="Time New Roman" w:eastAsia="SimHei" w:hAnsi="Time New Roman"/>
          <w:snapToGrid/>
        </w:rPr>
        <w:t>25</w:t>
      </w:r>
      <w:r>
        <w:rPr>
          <w:rFonts w:ascii="Time New Roman" w:eastAsia="SimHei" w:hAnsi="Time New Roman" w:hint="eastAsia"/>
          <w:snapToGrid/>
        </w:rPr>
        <w:t>条符合《公约》第四条。还应设立机制，按《公约》第四条第三款，通过联合国秘处长，向《公约》其他缔约国通报其在紧急状态下减损的权利。</w:t>
      </w:r>
    </w:p>
    <w:p w:rsidR="00000000" w:rsidRDefault="00000000">
      <w:pPr>
        <w:rPr>
          <w:snapToGrid/>
          <w:lang w:val="zh-CN"/>
        </w:rPr>
      </w:pPr>
      <w:r>
        <w:rPr>
          <w:snapToGrid/>
          <w:lang w:val="zh-CN"/>
        </w:rPr>
        <w:tab/>
        <w:t>16.</w:t>
      </w:r>
      <w:r>
        <w:rPr>
          <w:rFonts w:hint="eastAsia"/>
          <w:snapToGrid/>
          <w:lang w:val="zh-CN"/>
        </w:rPr>
        <w:t xml:space="preserve">  </w:t>
      </w:r>
      <w:r>
        <w:rPr>
          <w:rFonts w:hint="eastAsia"/>
          <w:snapToGrid/>
          <w:lang w:val="zh-CN"/>
        </w:rPr>
        <w:t>委员会注意到，缔约国目前正在考虑通过反恐立法</w:t>
      </w:r>
      <w:r>
        <w:rPr>
          <w:snapToGrid/>
          <w:lang w:val="zh-CN"/>
        </w:rPr>
        <w:t>(</w:t>
      </w:r>
      <w:r>
        <w:rPr>
          <w:rFonts w:hint="eastAsia"/>
          <w:snapToGrid/>
          <w:lang w:val="zh-CN"/>
        </w:rPr>
        <w:t>第二和四条</w:t>
      </w:r>
      <w:r>
        <w:rPr>
          <w:rFonts w:hint="eastAsia"/>
          <w:snapToGrid/>
          <w:lang w:val="zh-CN"/>
        </w:rPr>
        <w:t>)</w:t>
      </w:r>
      <w:r>
        <w:rPr>
          <w:rFonts w:hint="eastAsia"/>
          <w:snapToGrid/>
          <w:lang w:val="zh-CN"/>
        </w:rPr>
        <w:t>。</w:t>
      </w:r>
    </w:p>
    <w:p w:rsidR="00000000" w:rsidRDefault="00000000">
      <w:pPr>
        <w:ind w:left="510"/>
        <w:rPr>
          <w:rFonts w:hint="eastAsia"/>
          <w:snapToGrid/>
          <w:spacing w:val="6"/>
        </w:rPr>
      </w:pPr>
      <w:r>
        <w:rPr>
          <w:rFonts w:ascii="Time New Roman" w:eastAsia="SimHei" w:hAnsi="Time New Roman"/>
          <w:snapToGrid/>
        </w:rPr>
        <w:tab/>
      </w:r>
      <w:r>
        <w:rPr>
          <w:rFonts w:ascii="Time New Roman" w:eastAsia="SimHei" w:hAnsi="Time New Roman" w:hint="eastAsia"/>
          <w:snapToGrid/>
          <w:spacing w:val="6"/>
        </w:rPr>
        <w:t>缔约国应确保在通过反恐法规时，充分考虑《公约》规定的权利，特别是关于限制和减损这些权利的条款。还应铭记必须准确和狭窄地界定恐怖主义行为。</w:t>
      </w:r>
    </w:p>
    <w:p w:rsidR="00000000" w:rsidRDefault="00000000">
      <w:pPr>
        <w:rPr>
          <w:snapToGrid/>
          <w:lang w:val="zh-CN"/>
        </w:rPr>
      </w:pPr>
      <w:r>
        <w:rPr>
          <w:rFonts w:hint="eastAsia"/>
          <w:snapToGrid/>
          <w:lang w:val="zh-CN"/>
        </w:rPr>
        <w:tab/>
        <w:t xml:space="preserve">17.  </w:t>
      </w:r>
      <w:r>
        <w:rPr>
          <w:rFonts w:hint="eastAsia"/>
          <w:snapToGrid/>
          <w:lang w:val="zh-CN"/>
        </w:rPr>
        <w:t>委员会赞赏地注意到赞比亚自</w:t>
      </w:r>
      <w:r>
        <w:rPr>
          <w:snapToGrid/>
          <w:lang w:val="zh-CN"/>
        </w:rPr>
        <w:t>1997</w:t>
      </w:r>
      <w:r>
        <w:rPr>
          <w:rFonts w:hint="eastAsia"/>
          <w:snapToGrid/>
          <w:lang w:val="zh-CN"/>
        </w:rPr>
        <w:t>年以来已暂停执行死刑，并缓期执行许多死刑判决，但仍关切被判处死刑的人数很多。委员会注意到该国已就死刑问题进行了公开辩论，尽管辩论时没有广为散发该议题的文献。委员会还重申，对使用火器的严重抢劫判处死刑违反《公约》第六条第二款。</w:t>
      </w:r>
    </w:p>
    <w:p w:rsidR="00000000" w:rsidRDefault="00000000">
      <w:pPr>
        <w:ind w:left="510"/>
        <w:rPr>
          <w:rFonts w:hint="eastAsia"/>
          <w:snapToGrid/>
        </w:rPr>
      </w:pPr>
      <w:r>
        <w:rPr>
          <w:rFonts w:ascii="Time New Roman" w:eastAsia="SimHei" w:hAnsi="Time New Roman" w:hint="eastAsia"/>
          <w:snapToGrid/>
        </w:rPr>
        <w:tab/>
      </w:r>
      <w:r>
        <w:rPr>
          <w:rFonts w:ascii="Time New Roman" w:eastAsia="SimHei" w:hAnsi="Time New Roman" w:hint="eastAsia"/>
          <w:snapToGrid/>
        </w:rPr>
        <w:t>缔约国应审查其刑法，确保只对最严重的犯罪判处死刑，如使用火器的严重抢劫不属于这一类。应确保在就死刑问题进行公开辩论时，充分阐释该问题的各个方面，特别是说明在享受生命权和最终批准《公约》第二任择议定书取得进展的重要性。还应考虑缓期执行目前所有的死刑。</w:t>
      </w:r>
    </w:p>
    <w:p w:rsidR="00000000" w:rsidRDefault="00000000">
      <w:pPr>
        <w:rPr>
          <w:rFonts w:hint="eastAsia"/>
          <w:snapToGrid/>
          <w:lang w:val="zh-CN"/>
        </w:rPr>
      </w:pPr>
      <w:r>
        <w:rPr>
          <w:rFonts w:hint="eastAsia"/>
          <w:snapToGrid/>
          <w:lang w:val="zh-CN"/>
        </w:rPr>
        <w:tab/>
        <w:t xml:space="preserve">18.  </w:t>
      </w:r>
      <w:r>
        <w:rPr>
          <w:rFonts w:hint="eastAsia"/>
          <w:snapToGrid/>
          <w:lang w:val="zh-CN"/>
        </w:rPr>
        <w:t>委员会还关切，尽管取得了进展，但赞比亚母婴死亡率仍然很高。它注意到缔约国在计划生育方面作出了重大努力，但仍关切流产需得到三位医生同意的要求严重阻碍妇女进行合法和安全的流产</w:t>
      </w:r>
      <w:r>
        <w:rPr>
          <w:rFonts w:hint="eastAsia"/>
          <w:snapToGrid/>
          <w:lang w:val="zh-CN"/>
        </w:rPr>
        <w:t>(</w:t>
      </w:r>
      <w:r>
        <w:rPr>
          <w:rFonts w:hint="eastAsia"/>
          <w:snapToGrid/>
          <w:lang w:val="zh-CN"/>
        </w:rPr>
        <w:t>第六条</w:t>
      </w:r>
      <w:r>
        <w:rPr>
          <w:rFonts w:hint="eastAsia"/>
          <w:snapToGrid/>
          <w:lang w:val="zh-CN"/>
        </w:rPr>
        <w:t>)</w:t>
      </w:r>
      <w:r>
        <w:rPr>
          <w:rFonts w:hint="eastAsia"/>
          <w:snapToGrid/>
          <w:lang w:val="zh-CN"/>
        </w:rPr>
        <w:t>。</w:t>
      </w:r>
    </w:p>
    <w:p w:rsidR="00000000" w:rsidRDefault="00000000">
      <w:pPr>
        <w:ind w:left="510"/>
        <w:rPr>
          <w:rFonts w:hint="eastAsia"/>
          <w:snapToGrid/>
        </w:rPr>
      </w:pPr>
      <w:r>
        <w:rPr>
          <w:rFonts w:ascii="Time New Roman" w:eastAsia="SimHei" w:hAnsi="Time New Roman" w:hint="eastAsia"/>
          <w:snapToGrid/>
        </w:rPr>
        <w:tab/>
      </w:r>
      <w:r>
        <w:rPr>
          <w:rFonts w:ascii="Time New Roman" w:eastAsia="SimHei" w:hAnsi="Time New Roman" w:hint="eastAsia"/>
          <w:snapToGrid/>
        </w:rPr>
        <w:t>鼓励缔约国加强努力防止母婴死亡。缔约国应修订其流产法，协助妇女避免意外怀孕，不诉诸可能危害其生命的流产。</w:t>
      </w:r>
    </w:p>
    <w:p w:rsidR="00000000" w:rsidRDefault="00000000">
      <w:pPr>
        <w:rPr>
          <w:rFonts w:hint="eastAsia"/>
          <w:snapToGrid/>
          <w:lang w:val="zh-CN"/>
        </w:rPr>
      </w:pPr>
      <w:r>
        <w:rPr>
          <w:rFonts w:hint="eastAsia"/>
          <w:snapToGrid/>
          <w:lang w:val="zh-CN"/>
        </w:rPr>
        <w:tab/>
        <w:t xml:space="preserve">19.  </w:t>
      </w:r>
      <w:r>
        <w:rPr>
          <w:rFonts w:hint="eastAsia"/>
          <w:snapToGrid/>
          <w:lang w:val="zh-CN"/>
        </w:rPr>
        <w:t>委员会表示关切的是，尽管缔约国采取了许多积极措施打击侵害妇女的暴力和性暴力，但这一现象在赞比亚仍然构成严重问题。它还关切的是，实际上，有关污辱、猥亵和强奸的案件常常被看作是习俗问题，因而在习惯法庭而不是在刑事法庭处理。委员会特别关切的是，据说女孩在往返学校途中有可能遭受虐待</w:t>
      </w:r>
      <w:r>
        <w:rPr>
          <w:rFonts w:hint="eastAsia"/>
          <w:snapToGrid/>
          <w:lang w:val="zh-CN"/>
        </w:rPr>
        <w:t>(</w:t>
      </w:r>
      <w:r>
        <w:rPr>
          <w:rFonts w:hint="eastAsia"/>
          <w:snapToGrid/>
          <w:lang w:val="zh-CN"/>
        </w:rPr>
        <w:t>第三、六和七条</w:t>
      </w:r>
      <w:r>
        <w:rPr>
          <w:rFonts w:hint="eastAsia"/>
          <w:snapToGrid/>
          <w:lang w:val="zh-CN"/>
        </w:rPr>
        <w:t>)</w:t>
      </w:r>
      <w:r>
        <w:rPr>
          <w:rFonts w:hint="eastAsia"/>
          <w:snapToGrid/>
          <w:lang w:val="zh-CN"/>
        </w:rPr>
        <w:t>。</w:t>
      </w:r>
    </w:p>
    <w:p w:rsidR="00000000" w:rsidRDefault="00000000">
      <w:pPr>
        <w:ind w:left="510"/>
        <w:rPr>
          <w:rFonts w:hint="eastAsia"/>
          <w:snapToGrid/>
        </w:rPr>
      </w:pPr>
      <w:r>
        <w:rPr>
          <w:rFonts w:ascii="Time New Roman" w:eastAsia="SimHei" w:hAnsi="Time New Roman" w:hint="eastAsia"/>
          <w:snapToGrid/>
        </w:rPr>
        <w:tab/>
      </w:r>
      <w:r>
        <w:rPr>
          <w:rFonts w:ascii="Time New Roman" w:eastAsia="SimHei" w:hAnsi="Time New Roman" w:hint="eastAsia"/>
          <w:snapToGrid/>
        </w:rPr>
        <w:t>鼓励作出更大努力，打击性别暴力，确保适当全面地处理这些案件。还鼓励缔约国加强对受害者支持机构和警察机构官员的培训，让他们了解侵害妇女的暴力问题，包括性暴力和家庭暴力问题。缔约国还应通过具体的立法将家庭暴力定为犯罪，并立即采取具体措施，防止学校周围对女孩的性暴力。</w:t>
      </w:r>
    </w:p>
    <w:p w:rsidR="00000000" w:rsidRDefault="00000000">
      <w:pPr>
        <w:rPr>
          <w:rFonts w:hint="eastAsia"/>
          <w:snapToGrid/>
          <w:lang w:val="zh-CN"/>
        </w:rPr>
      </w:pPr>
      <w:r>
        <w:rPr>
          <w:rFonts w:hint="eastAsia"/>
          <w:snapToGrid/>
          <w:lang w:val="zh-CN"/>
        </w:rPr>
        <w:tab/>
        <w:t xml:space="preserve">20.  </w:t>
      </w:r>
      <w:r>
        <w:rPr>
          <w:rFonts w:hint="eastAsia"/>
          <w:snapToGrid/>
          <w:lang w:val="zh-CN"/>
        </w:rPr>
        <w:t>委员会注意到《监狱法》规定对囚犯施加暴力为犯罪，但表示遗憾的是它没有收到有关该法律实际执行的信息。委员会赞赏地注意到巡回法官和人权委员会可以探望和视察监狱，但不了解对此种安排的效率所进行的质量评估结果。它注意到女囚犯不是由男狱警看管，但仍然关切的是，据说由于缺少女狱警，这一规则在警察局和监狱里的执行有时不严格</w:t>
      </w:r>
      <w:r>
        <w:rPr>
          <w:rFonts w:hint="eastAsia"/>
          <w:snapToGrid/>
          <w:lang w:val="zh-CN"/>
        </w:rPr>
        <w:t>(</w:t>
      </w:r>
      <w:r>
        <w:rPr>
          <w:rFonts w:hint="eastAsia"/>
          <w:snapToGrid/>
          <w:lang w:val="zh-CN"/>
        </w:rPr>
        <w:t>第七条</w:t>
      </w:r>
      <w:r>
        <w:rPr>
          <w:rFonts w:hint="eastAsia"/>
          <w:snapToGrid/>
          <w:lang w:val="zh-CN"/>
        </w:rPr>
        <w:t>)</w:t>
      </w:r>
      <w:r>
        <w:rPr>
          <w:rFonts w:hint="eastAsia"/>
          <w:snapToGrid/>
          <w:lang w:val="zh-CN"/>
        </w:rPr>
        <w:t>。</w:t>
      </w:r>
    </w:p>
    <w:p w:rsidR="00000000" w:rsidRDefault="00000000">
      <w:pPr>
        <w:ind w:left="510"/>
        <w:rPr>
          <w:rFonts w:hint="eastAsia"/>
          <w:snapToGrid/>
        </w:rPr>
      </w:pPr>
      <w:r>
        <w:rPr>
          <w:rFonts w:ascii="Time New Roman" w:eastAsia="SimHei" w:hAnsi="Time New Roman" w:hint="eastAsia"/>
          <w:snapToGrid/>
        </w:rPr>
        <w:tab/>
      </w:r>
      <w:r>
        <w:rPr>
          <w:rFonts w:ascii="Time New Roman" w:eastAsia="SimHei" w:hAnsi="Time New Roman" w:hint="eastAsia"/>
          <w:snapToGrid/>
        </w:rPr>
        <w:t>缔约国应确保对囚犯的任何暴力行为都应受到起诉和惩罚，警察局或监狱内关押的妇女任何时候都不应该由男性狱警看管。它应该向委员会详细是否设有任何机制处理囚犯关于暴力行为的投诉。</w:t>
      </w:r>
    </w:p>
    <w:p w:rsidR="00000000" w:rsidRDefault="00000000">
      <w:pPr>
        <w:rPr>
          <w:rFonts w:hint="eastAsia"/>
          <w:snapToGrid/>
          <w:lang w:val="zh-CN"/>
        </w:rPr>
      </w:pPr>
      <w:r>
        <w:rPr>
          <w:rFonts w:hint="eastAsia"/>
          <w:snapToGrid/>
          <w:lang w:val="zh-CN"/>
        </w:rPr>
        <w:tab/>
        <w:t xml:space="preserve">21.  </w:t>
      </w:r>
      <w:r>
        <w:rPr>
          <w:rFonts w:hint="eastAsia"/>
          <w:snapToGrid/>
          <w:lang w:val="zh-CN"/>
        </w:rPr>
        <w:t>委员会注意到缔约国设法对施加酷刑和虐待的狱警给予纪律处分，但表示遗憾的是，它没有收到详细信息说明有关起诉、判罪和判刑，以及对受害者的赔偿情况</w:t>
      </w:r>
      <w:r>
        <w:rPr>
          <w:rFonts w:hint="eastAsia"/>
          <w:snapToGrid/>
          <w:lang w:val="zh-CN"/>
        </w:rPr>
        <w:t>(</w:t>
      </w:r>
      <w:r>
        <w:rPr>
          <w:rFonts w:hint="eastAsia"/>
          <w:snapToGrid/>
          <w:lang w:val="zh-CN"/>
        </w:rPr>
        <w:t>第七条</w:t>
      </w:r>
      <w:r>
        <w:rPr>
          <w:rFonts w:hint="eastAsia"/>
          <w:snapToGrid/>
          <w:lang w:val="zh-CN"/>
        </w:rPr>
        <w:t>)</w:t>
      </w:r>
      <w:r>
        <w:rPr>
          <w:rFonts w:hint="eastAsia"/>
          <w:snapToGrid/>
          <w:lang w:val="zh-CN"/>
        </w:rPr>
        <w:t>。</w:t>
      </w:r>
    </w:p>
    <w:p w:rsidR="00000000" w:rsidRDefault="00000000">
      <w:pPr>
        <w:ind w:left="51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缔约国应确保按照刑法认真调查、起诉和处罚酷刑和虐待案件，并对受害者给予充分的赔偿和补偿。为了执行这一政策，缔约国应将酷刑和残忍、不人道或有辱人格的做法定为犯罪。还鼓励缔约国加强努力，确保对警方调查员进行调查技巧和人权方面的培训，还向他们提供足够的调查设备。</w:t>
      </w:r>
    </w:p>
    <w:p w:rsidR="00000000" w:rsidRDefault="00000000">
      <w:pPr>
        <w:rPr>
          <w:rFonts w:hint="eastAsia"/>
          <w:snapToGrid/>
          <w:lang w:val="zh-CN"/>
        </w:rPr>
      </w:pPr>
      <w:r>
        <w:rPr>
          <w:rFonts w:hint="eastAsia"/>
          <w:snapToGrid/>
          <w:lang w:val="zh-CN"/>
        </w:rPr>
        <w:tab/>
        <w:t xml:space="preserve">22.  </w:t>
      </w:r>
      <w:r>
        <w:rPr>
          <w:rFonts w:hint="eastAsia"/>
          <w:snapToGrid/>
          <w:lang w:val="zh-CN"/>
        </w:rPr>
        <w:t>委员会仍表示关切的是，法律上承认父母和教师有权对儿童进行惩罚让人费解，可能无法充分保护儿童免受虐待。它还关切普遍对儿童实行体罚</w:t>
      </w:r>
      <w:r>
        <w:rPr>
          <w:rFonts w:hint="eastAsia"/>
          <w:snapToGrid/>
          <w:lang w:val="zh-CN"/>
        </w:rPr>
        <w:t>(</w:t>
      </w:r>
      <w:r>
        <w:rPr>
          <w:rFonts w:hint="eastAsia"/>
          <w:snapToGrid/>
          <w:lang w:val="zh-CN"/>
        </w:rPr>
        <w:t>第七和二十四条</w:t>
      </w:r>
      <w:r>
        <w:rPr>
          <w:rFonts w:hint="eastAsia"/>
          <w:snapToGrid/>
          <w:lang w:val="zh-CN"/>
        </w:rPr>
        <w:t>)</w:t>
      </w:r>
      <w:r>
        <w:rPr>
          <w:rFonts w:hint="eastAsia"/>
          <w:snapToGrid/>
          <w:lang w:val="zh-CN"/>
        </w:rPr>
        <w:t>。</w:t>
      </w:r>
    </w:p>
    <w:p w:rsidR="00000000" w:rsidRDefault="00000000">
      <w:pPr>
        <w:ind w:left="510"/>
        <w:rPr>
          <w:rFonts w:hint="eastAsia"/>
          <w:snapToGrid/>
        </w:rPr>
      </w:pPr>
      <w:r>
        <w:rPr>
          <w:rFonts w:ascii="Time New Roman" w:eastAsia="SimHei" w:hAnsi="Time New Roman" w:hint="eastAsia"/>
          <w:snapToGrid/>
        </w:rPr>
        <w:tab/>
      </w:r>
      <w:r>
        <w:rPr>
          <w:rFonts w:ascii="Time New Roman" w:eastAsia="SimHei" w:hAnsi="Time New Roman" w:hint="eastAsia"/>
          <w:snapToGrid/>
        </w:rPr>
        <w:t>缔约国应禁止在任何地方对儿童施加一切形式的暴力，包括学校中的体罚，并广泛进行有关充分保护儿童免受暴力的宣传活动。</w:t>
      </w:r>
    </w:p>
    <w:p w:rsidR="00000000" w:rsidRDefault="00000000">
      <w:pPr>
        <w:rPr>
          <w:rFonts w:hint="eastAsia"/>
          <w:snapToGrid/>
          <w:lang w:val="zh-CN"/>
        </w:rPr>
      </w:pPr>
      <w:r>
        <w:rPr>
          <w:rFonts w:hint="eastAsia"/>
          <w:snapToGrid/>
          <w:lang w:val="zh-CN"/>
        </w:rPr>
        <w:tab/>
        <w:t xml:space="preserve">23.  </w:t>
      </w:r>
      <w:r>
        <w:rPr>
          <w:rFonts w:hint="eastAsia"/>
          <w:snapToGrid/>
          <w:lang w:val="zh-CN"/>
        </w:rPr>
        <w:t>委员会表示关切监狱的严重超员状况和拘留场所的恶劣条件。然而，它注意到缔约国已承认这种情况，并采取一些措施加以改善。委员会还关切审前居留时间往往过长</w:t>
      </w:r>
      <w:r>
        <w:rPr>
          <w:rFonts w:hint="eastAsia"/>
          <w:snapToGrid/>
          <w:lang w:val="zh-CN"/>
        </w:rPr>
        <w:t>(</w:t>
      </w:r>
      <w:r>
        <w:rPr>
          <w:rFonts w:hint="eastAsia"/>
          <w:snapToGrid/>
          <w:lang w:val="zh-CN"/>
        </w:rPr>
        <w:t>第七、九和十条</w:t>
      </w:r>
      <w:r>
        <w:rPr>
          <w:rFonts w:hint="eastAsia"/>
          <w:snapToGrid/>
          <w:lang w:val="zh-CN"/>
        </w:rPr>
        <w:t>)</w:t>
      </w:r>
      <w:r>
        <w:rPr>
          <w:rFonts w:hint="eastAsia"/>
          <w:snapToGrid/>
          <w:lang w:val="zh-CN"/>
        </w:rPr>
        <w:t>。</w:t>
      </w:r>
    </w:p>
    <w:p w:rsidR="00000000" w:rsidRDefault="00000000">
      <w:pPr>
        <w:ind w:left="51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缔约国应制定监禁替代措施。还应采取措施确保不过长关押等待审判的被告。应加强努力保护被拘留者受到人道和有尊严的待遇，确保他们的居住条件卫生，可以得到医疗和食物。如果缔约国无法满足被拘留者的要求，它应该立即采取行动减少监狱人口。</w:t>
      </w:r>
    </w:p>
    <w:p w:rsidR="00000000" w:rsidRDefault="00000000">
      <w:pPr>
        <w:rPr>
          <w:rFonts w:hint="eastAsia"/>
          <w:snapToGrid/>
          <w:lang w:val="zh-CN"/>
        </w:rPr>
      </w:pPr>
      <w:r>
        <w:rPr>
          <w:snapToGrid/>
          <w:lang w:val="zh-CN"/>
        </w:rPr>
        <w:br w:type="page"/>
      </w:r>
      <w:r>
        <w:rPr>
          <w:rFonts w:hint="eastAsia"/>
          <w:snapToGrid/>
          <w:lang w:val="zh-CN"/>
        </w:rPr>
        <w:tab/>
        <w:t xml:space="preserve">24.  </w:t>
      </w:r>
      <w:r>
        <w:rPr>
          <w:rFonts w:hint="eastAsia"/>
          <w:snapToGrid/>
          <w:lang w:val="zh-CN"/>
        </w:rPr>
        <w:t>委员会关切地注意到，《刑法》规定同性成人自己同意的性活动为犯罪</w:t>
      </w:r>
      <w:r>
        <w:rPr>
          <w:rFonts w:hint="eastAsia"/>
          <w:snapToGrid/>
          <w:lang w:val="zh-CN"/>
        </w:rPr>
        <w:t>(</w:t>
      </w:r>
      <w:r>
        <w:rPr>
          <w:rFonts w:hint="eastAsia"/>
          <w:snapToGrid/>
          <w:lang w:val="zh-CN"/>
        </w:rPr>
        <w:t>第十七和二十六条</w:t>
      </w:r>
      <w:r>
        <w:rPr>
          <w:rFonts w:hint="eastAsia"/>
          <w:snapToGrid/>
          <w:lang w:val="zh-CN"/>
        </w:rPr>
        <w:t>)</w:t>
      </w:r>
      <w:r>
        <w:rPr>
          <w:rFonts w:hint="eastAsia"/>
          <w:snapToGrid/>
          <w:lang w:val="zh-CN"/>
        </w:rPr>
        <w:t>。</w:t>
      </w:r>
    </w:p>
    <w:p w:rsidR="00000000" w:rsidRDefault="00000000">
      <w:pPr>
        <w:ind w:left="510"/>
        <w:rPr>
          <w:rFonts w:hint="eastAsia"/>
          <w:snapToGrid/>
          <w:lang w:val="zh-CN"/>
        </w:rPr>
      </w:pPr>
      <w:r>
        <w:rPr>
          <w:rFonts w:ascii="Time New Roman" w:eastAsia="SimHei" w:hAnsi="Time New Roman" w:hint="eastAsia"/>
          <w:snapToGrid/>
        </w:rPr>
        <w:tab/>
      </w:r>
      <w:r>
        <w:rPr>
          <w:rFonts w:ascii="Time New Roman" w:eastAsia="SimHei" w:hAnsi="Time New Roman" w:hint="eastAsia"/>
          <w:snapToGrid/>
        </w:rPr>
        <w:t>缔约国应废除《刑法》这一规定。</w:t>
      </w:r>
    </w:p>
    <w:p w:rsidR="00000000" w:rsidRDefault="00000000">
      <w:pPr>
        <w:rPr>
          <w:rFonts w:hint="eastAsia"/>
          <w:snapToGrid/>
          <w:lang w:val="zh-CN"/>
        </w:rPr>
      </w:pPr>
      <w:r>
        <w:rPr>
          <w:rFonts w:hint="eastAsia"/>
          <w:snapToGrid/>
          <w:lang w:val="zh-CN"/>
        </w:rPr>
        <w:tab/>
        <w:t xml:space="preserve">25.  </w:t>
      </w:r>
      <w:r>
        <w:rPr>
          <w:rFonts w:hint="eastAsia"/>
          <w:snapToGrid/>
          <w:lang w:val="zh-CN"/>
        </w:rPr>
        <w:t>委员会特别关切地注意到，根据《刑法》，诬蔑总统和传播假新闻被认为是刑事罪。委员会重申它关切有报告称对发表批评政府的文章的记者进行逮捕和起诉，将其当作骚扰和恐吓手段</w:t>
      </w:r>
      <w:r>
        <w:rPr>
          <w:rFonts w:hint="eastAsia"/>
          <w:snapToGrid/>
          <w:lang w:val="zh-CN"/>
        </w:rPr>
        <w:t>(</w:t>
      </w:r>
      <w:r>
        <w:rPr>
          <w:rFonts w:hint="eastAsia"/>
          <w:snapToGrid/>
          <w:lang w:val="zh-CN"/>
        </w:rPr>
        <w:t>第十九条</w:t>
      </w:r>
      <w:r>
        <w:rPr>
          <w:rFonts w:hint="eastAsia"/>
          <w:snapToGrid/>
          <w:lang w:val="zh-CN"/>
        </w:rPr>
        <w:t>)</w:t>
      </w:r>
      <w:r>
        <w:rPr>
          <w:rFonts w:hint="eastAsia"/>
          <w:snapToGrid/>
          <w:lang w:val="zh-CN"/>
        </w:rPr>
        <w:t>。</w:t>
      </w:r>
    </w:p>
    <w:p w:rsidR="00000000" w:rsidRDefault="00000000">
      <w:pPr>
        <w:ind w:left="510"/>
        <w:rPr>
          <w:rFonts w:hint="eastAsia"/>
          <w:snapToGrid/>
        </w:rPr>
      </w:pPr>
      <w:r>
        <w:rPr>
          <w:rFonts w:ascii="Time New Roman" w:eastAsia="SimHei" w:hAnsi="Time New Roman" w:hint="eastAsia"/>
          <w:snapToGrid/>
        </w:rPr>
        <w:tab/>
      </w:r>
      <w:r>
        <w:rPr>
          <w:rFonts w:ascii="Time New Roman" w:eastAsia="SimHei" w:hAnsi="Time New Roman" w:hint="eastAsia"/>
          <w:snapToGrid/>
        </w:rPr>
        <w:t>缔约国应该废除上述《刑法》条款。它应该寻找其他手段确保新闻界的问责，以充分履行《公约》，特别是言论自由权利。</w:t>
      </w:r>
    </w:p>
    <w:p w:rsidR="00000000" w:rsidRDefault="00000000">
      <w:pPr>
        <w:rPr>
          <w:rFonts w:hint="eastAsia"/>
          <w:snapToGrid/>
          <w:lang w:val="zh-CN"/>
        </w:rPr>
      </w:pPr>
      <w:r>
        <w:rPr>
          <w:rFonts w:hint="eastAsia"/>
          <w:snapToGrid/>
          <w:lang w:val="zh-CN"/>
        </w:rPr>
        <w:tab/>
        <w:t xml:space="preserve">26.  </w:t>
      </w:r>
      <w:r>
        <w:rPr>
          <w:rFonts w:hint="eastAsia"/>
          <w:snapToGrid/>
          <w:lang w:val="zh-CN"/>
        </w:rPr>
        <w:t>委员会重申它关切根据《刑法》</w:t>
      </w:r>
      <w:r>
        <w:rPr>
          <w:rFonts w:hint="eastAsia"/>
          <w:snapToGrid/>
          <w:lang w:val="zh-CN"/>
        </w:rPr>
        <w:t>8</w:t>
      </w:r>
      <w:r>
        <w:rPr>
          <w:rFonts w:hint="eastAsia"/>
          <w:snapToGrid/>
          <w:lang w:val="zh-CN"/>
        </w:rPr>
        <w:t>岁的儿童也要对自己的行为负刑事责任</w:t>
      </w:r>
      <w:r>
        <w:rPr>
          <w:rFonts w:hint="eastAsia"/>
          <w:snapToGrid/>
          <w:lang w:val="zh-CN"/>
        </w:rPr>
        <w:t>(</w:t>
      </w:r>
      <w:r>
        <w:rPr>
          <w:rFonts w:hint="eastAsia"/>
          <w:snapToGrid/>
          <w:lang w:val="zh-CN"/>
        </w:rPr>
        <w:t>第二十四条</w:t>
      </w:r>
      <w:r>
        <w:rPr>
          <w:rFonts w:hint="eastAsia"/>
          <w:snapToGrid/>
          <w:lang w:val="zh-CN"/>
        </w:rPr>
        <w:t>)</w:t>
      </w:r>
      <w:r>
        <w:rPr>
          <w:rFonts w:hint="eastAsia"/>
          <w:snapToGrid/>
          <w:lang w:val="zh-CN"/>
        </w:rPr>
        <w:t>。</w:t>
      </w:r>
    </w:p>
    <w:p w:rsidR="00000000" w:rsidRDefault="00000000">
      <w:pPr>
        <w:ind w:left="510"/>
        <w:rPr>
          <w:rFonts w:hint="eastAsia"/>
          <w:snapToGrid/>
        </w:rPr>
      </w:pPr>
      <w:r>
        <w:rPr>
          <w:rFonts w:ascii="Time New Roman" w:eastAsia="SimHei" w:hAnsi="Time New Roman" w:hint="eastAsia"/>
          <w:snapToGrid/>
        </w:rPr>
        <w:tab/>
      </w:r>
      <w:r>
        <w:rPr>
          <w:rFonts w:ascii="Time New Roman" w:eastAsia="SimHei" w:hAnsi="Time New Roman" w:hint="eastAsia"/>
          <w:snapToGrid/>
        </w:rPr>
        <w:t>缔约国应立即采取行动，将最低刑事责任年龄提高到按国际标准可以接受的水平。</w:t>
      </w:r>
    </w:p>
    <w:p w:rsidR="00000000" w:rsidRDefault="00000000">
      <w:pPr>
        <w:rPr>
          <w:rFonts w:hint="eastAsia"/>
          <w:snapToGrid/>
        </w:rPr>
      </w:pPr>
      <w:r>
        <w:rPr>
          <w:rFonts w:hint="eastAsia"/>
          <w:snapToGrid/>
        </w:rPr>
        <w:tab/>
        <w:t xml:space="preserve">27.  </w:t>
      </w:r>
      <w:r>
        <w:rPr>
          <w:rFonts w:hint="eastAsia"/>
          <w:snapToGrid/>
        </w:rPr>
        <w:t>委员会请缔约国向公众广泛宣传本结论性意见及其第三次定期报告，包括在政府网站上刊发，提供给报纸发表，放置在所有公共图书馆，向所有习惯机构散发。</w:t>
      </w:r>
    </w:p>
    <w:p w:rsidR="00000000" w:rsidRDefault="00000000">
      <w:pPr>
        <w:rPr>
          <w:rFonts w:hint="eastAsia"/>
          <w:snapToGrid/>
        </w:rPr>
      </w:pPr>
      <w:r>
        <w:rPr>
          <w:rFonts w:hint="eastAsia"/>
          <w:snapToGrid/>
        </w:rPr>
        <w:tab/>
        <w:t xml:space="preserve">28.  </w:t>
      </w:r>
      <w:r>
        <w:rPr>
          <w:rFonts w:hint="eastAsia"/>
          <w:snapToGrid/>
        </w:rPr>
        <w:t>依照委员会议事规则第</w:t>
      </w:r>
      <w:r>
        <w:rPr>
          <w:rFonts w:hint="eastAsia"/>
          <w:snapToGrid/>
        </w:rPr>
        <w:t>71</w:t>
      </w:r>
      <w:r>
        <w:rPr>
          <w:rFonts w:hint="eastAsia"/>
          <w:snapToGrid/>
        </w:rPr>
        <w:t>条第</w:t>
      </w:r>
      <w:r>
        <w:rPr>
          <w:rFonts w:hint="eastAsia"/>
          <w:snapToGrid/>
        </w:rPr>
        <w:t>5</w:t>
      </w:r>
      <w:r>
        <w:rPr>
          <w:rFonts w:hint="eastAsia"/>
          <w:snapToGrid/>
        </w:rPr>
        <w:t>款，缔约国应在一年内提供有关资料，说明对形势的评估以及委员会建议第</w:t>
      </w:r>
      <w:r>
        <w:rPr>
          <w:rFonts w:hint="eastAsia"/>
          <w:snapToGrid/>
        </w:rPr>
        <w:t>10</w:t>
      </w:r>
      <w:r>
        <w:rPr>
          <w:rFonts w:hint="eastAsia"/>
          <w:snapToGrid/>
        </w:rPr>
        <w:t>、</w:t>
      </w:r>
      <w:r>
        <w:rPr>
          <w:rFonts w:hint="eastAsia"/>
          <w:snapToGrid/>
        </w:rPr>
        <w:t>12</w:t>
      </w:r>
      <w:r>
        <w:rPr>
          <w:rFonts w:hint="eastAsia"/>
          <w:snapToGrid/>
        </w:rPr>
        <w:t>、</w:t>
      </w:r>
      <w:r>
        <w:rPr>
          <w:rFonts w:hint="eastAsia"/>
          <w:snapToGrid/>
        </w:rPr>
        <w:t>13</w:t>
      </w:r>
      <w:r>
        <w:rPr>
          <w:rFonts w:hint="eastAsia"/>
          <w:snapToGrid/>
        </w:rPr>
        <w:t>和</w:t>
      </w:r>
      <w:r>
        <w:rPr>
          <w:rFonts w:hint="eastAsia"/>
          <w:snapToGrid/>
        </w:rPr>
        <w:t>23</w:t>
      </w:r>
      <w:r>
        <w:rPr>
          <w:rFonts w:hint="eastAsia"/>
          <w:snapToGrid/>
        </w:rPr>
        <w:t>段的落实情况。</w:t>
      </w:r>
    </w:p>
    <w:p w:rsidR="00000000" w:rsidRDefault="00000000">
      <w:pPr>
        <w:rPr>
          <w:rFonts w:hint="eastAsia"/>
          <w:snapToGrid/>
        </w:rPr>
      </w:pPr>
      <w:r>
        <w:rPr>
          <w:rFonts w:hint="eastAsia"/>
          <w:snapToGrid/>
        </w:rPr>
        <w:tab/>
        <w:t xml:space="preserve">29.  </w:t>
      </w:r>
      <w:r>
        <w:rPr>
          <w:rFonts w:hint="eastAsia"/>
          <w:snapToGrid/>
        </w:rPr>
        <w:t>委员会请缔约国在应于</w:t>
      </w:r>
      <w:r>
        <w:rPr>
          <w:rFonts w:hint="eastAsia"/>
          <w:snapToGrid/>
        </w:rPr>
        <w:t>2011</w:t>
      </w:r>
      <w:r>
        <w:rPr>
          <w:rFonts w:hint="eastAsia"/>
          <w:snapToGrid/>
        </w:rPr>
        <w:t>年</w:t>
      </w:r>
      <w:r>
        <w:rPr>
          <w:rFonts w:hint="eastAsia"/>
          <w:snapToGrid/>
        </w:rPr>
        <w:t>7</w:t>
      </w:r>
      <w:r>
        <w:rPr>
          <w:rFonts w:hint="eastAsia"/>
          <w:snapToGrid/>
        </w:rPr>
        <w:t>月</w:t>
      </w:r>
      <w:r>
        <w:rPr>
          <w:rFonts w:hint="eastAsia"/>
          <w:snapToGrid/>
        </w:rPr>
        <w:t>20</w:t>
      </w:r>
      <w:r>
        <w:rPr>
          <w:rFonts w:hint="eastAsia"/>
          <w:snapToGrid/>
        </w:rPr>
        <w:t>日提交的下次报告中，介绍其他建议以及整个《公约》的落实情况。</w:t>
      </w:r>
    </w:p>
    <w:p w:rsidR="00000000" w:rsidRDefault="00000000">
      <w:pPr>
        <w:rPr>
          <w:rFonts w:hint="eastAsia"/>
          <w:snapToGrid/>
        </w:rPr>
      </w:pPr>
    </w:p>
    <w:p w:rsidR="00000000" w:rsidRDefault="00000000">
      <w:pPr>
        <w:rPr>
          <w:rFonts w:hint="eastAsia"/>
          <w:snapToGrid/>
        </w:rPr>
      </w:pPr>
    </w:p>
    <w:p w:rsidR="00000000" w:rsidRDefault="00000000">
      <w:pPr>
        <w:jc w:val="center"/>
      </w:pPr>
      <w:r>
        <w:t>--  --  --  --  --</w:t>
      </w:r>
    </w:p>
    <w:sectPr w:rsidR="00000000">
      <w:headerReference w:type="even" r:id="rId7"/>
      <w:headerReference w:type="default" r:id="rId8"/>
      <w:headerReference w:type="first" r:id="rId9"/>
      <w:footerReference w:type="first" r:id="rId10"/>
      <w:endnotePr>
        <w:numFmt w:val="decimal"/>
      </w:endnotePr>
      <w:pgSz w:w="11907" w:h="16840" w:code="9"/>
      <w:pgMar w:top="1134" w:right="851" w:bottom="1985" w:left="1701" w:header="851" w:footer="170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ourier" w:hAnsi="Courier"/>
        <w:lang w:eastAsia="zh-CN"/>
      </w:rPr>
    </w:pPr>
  </w:p>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07-</w:t>
          </w:r>
          <w:r>
            <w:rPr>
              <w:rFonts w:hint="eastAsia"/>
              <w:lang w:eastAsia="zh-CN"/>
            </w:rPr>
            <w:t>43445</w:t>
          </w:r>
          <w:r>
            <w:t xml:space="preserve"> (C)</w:t>
          </w:r>
        </w:p>
      </w:tc>
      <w:tc>
        <w:tcPr>
          <w:tcW w:w="1050" w:type="dxa"/>
        </w:tcPr>
        <w:p w:rsidR="00000000" w:rsidRDefault="00000000">
          <w:pPr>
            <w:pStyle w:val="Footer"/>
            <w:rPr>
              <w:rFonts w:hint="eastAsia"/>
              <w:lang w:eastAsia="zh-CN"/>
            </w:rPr>
          </w:pPr>
          <w:r>
            <w:rPr>
              <w:rFonts w:hint="eastAsia"/>
              <w:lang w:eastAsia="zh-CN"/>
            </w:rPr>
            <w:t>160807</w:t>
          </w:r>
        </w:p>
      </w:tc>
      <w:tc>
        <w:tcPr>
          <w:tcW w:w="6061" w:type="dxa"/>
        </w:tcPr>
        <w:p w:rsidR="00000000" w:rsidRDefault="00000000">
          <w:pPr>
            <w:pStyle w:val="Footer"/>
            <w:rPr>
              <w:rFonts w:hint="eastAsia"/>
              <w:lang w:eastAsia="zh-CN"/>
            </w:rPr>
          </w:pPr>
          <w:r>
            <w:rPr>
              <w:lang w:eastAsia="zh-CN"/>
            </w:rPr>
            <w:t>22</w:t>
          </w:r>
          <w:r>
            <w:rPr>
              <w:rFonts w:hint="eastAsia"/>
              <w:lang w:eastAsia="zh-CN"/>
            </w:rPr>
            <w:t>0807</w:t>
          </w:r>
        </w:p>
      </w:tc>
    </w:tr>
  </w:tbl>
  <w:p w:rsidR="00000000" w:rsidRDefault="00000000">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lang w:eastAsia="zh-CN"/>
      </w:rPr>
    </w:pPr>
    <w:r>
      <w:t>CCPR/</w:t>
    </w:r>
    <w:r>
      <w:rPr>
        <w:rFonts w:hint="eastAsia"/>
        <w:lang w:eastAsia="zh-CN"/>
      </w:rPr>
      <w:t>C/ZMB/CO/3</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lang w:eastAsia="zh-CN"/>
      </w:rPr>
    </w:pPr>
    <w:r>
      <w:tab/>
    </w:r>
    <w:r>
      <w:tab/>
    </w:r>
    <w:r>
      <w:tab/>
    </w:r>
    <w:r>
      <w:tab/>
      <w:t>CCPR/</w:t>
    </w:r>
    <w:r>
      <w:rPr>
        <w:rFonts w:hint="eastAsia"/>
        <w:lang w:eastAsia="zh-CN"/>
      </w:rPr>
      <w:t>C/ZMB/CO/3</w:t>
    </w:r>
  </w:p>
  <w:p w:rsidR="00000000" w:rsidRDefault="00000000">
    <w:pPr>
      <w:pStyle w:val="Header"/>
      <w:rPr>
        <w:rStyle w:val="PageNumber"/>
      </w:rP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rPr>
        <w:rStyle w:val="PageNumber"/>
      </w:rPr>
    </w:pP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spacing w:after="160"/>
    </w:pPr>
    <w:r>
      <w:fldChar w:fldCharType="begin"/>
    </w:r>
    <w:r>
      <w:instrText xml:space="preserve">PRIVATE </w:instrText>
    </w:r>
    <w:r>
      <w:fldChar w:fldCharType="end"/>
    </w:r>
  </w:p>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000000">
      <w:tblPrEx>
        <w:tblCellMar>
          <w:top w:w="0" w:type="dxa"/>
          <w:bottom w:w="0" w:type="dxa"/>
        </w:tblCellMar>
      </w:tblPrEx>
      <w:tc>
        <w:tcPr>
          <w:tcW w:w="1625" w:type="dxa"/>
          <w:tcBorders>
            <w:top w:val="nil"/>
            <w:left w:val="nil"/>
            <w:bottom w:val="single" w:sz="4" w:space="0" w:color="auto"/>
            <w:right w:val="nil"/>
          </w:tcBorders>
          <w:vAlign w:val="center"/>
        </w:tcPr>
        <w:p w:rsidR="00000000" w:rsidRDefault="00000000">
          <w:pPr>
            <w:pStyle w:val="1L"/>
            <w:framePr w:w="0" w:hRule="auto" w:hSpace="0" w:wrap="auto" w:vAnchor="margin" w:hAnchor="text" w:xAlign="left" w:yAlign="inline"/>
            <w:ind w:left="193"/>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000000" w:rsidRDefault="00000000">
          <w:pPr>
            <w:pStyle w:val="1L"/>
            <w:framePr w:w="0" w:hRule="auto" w:hSpace="0" w:wrap="auto" w:vAnchor="margin" w:hAnchor="text" w:xAlign="left" w:yAlign="inline"/>
          </w:pPr>
        </w:p>
      </w:tc>
      <w:tc>
        <w:tcPr>
          <w:tcW w:w="3179" w:type="dxa"/>
          <w:tcBorders>
            <w:top w:val="nil"/>
            <w:left w:val="nil"/>
            <w:bottom w:val="single" w:sz="4" w:space="0" w:color="auto"/>
            <w:right w:val="nil"/>
          </w:tcBorders>
          <w:vAlign w:val="bottom"/>
        </w:tcPr>
        <w:p w:rsidR="00000000" w:rsidRDefault="00000000">
          <w:pPr>
            <w:pStyle w:val="1R1"/>
            <w:jc w:val="right"/>
            <w:rPr>
              <w:rFonts w:ascii="Arial" w:hAnsi="Arial" w:cs="Arial"/>
              <w:b w:val="0"/>
              <w:sz w:val="72"/>
            </w:rPr>
          </w:pPr>
          <w:r>
            <w:rPr>
              <w:rFonts w:ascii="Arial" w:hAnsi="Arial" w:cs="Arial"/>
              <w:sz w:val="72"/>
            </w:rPr>
            <w:t>CCPR</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00000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3255442" r:id="rId2"/>
            </w:object>
          </w:r>
        </w:p>
      </w:tc>
      <w:tc>
        <w:tcPr>
          <w:tcW w:w="4660" w:type="dxa"/>
          <w:tcBorders>
            <w:top w:val="single" w:sz="4" w:space="0" w:color="auto"/>
            <w:left w:val="nil"/>
            <w:bottom w:val="single" w:sz="36" w:space="0" w:color="auto"/>
            <w:right w:val="nil"/>
          </w:tcBorders>
        </w:tcPr>
        <w:p w:rsidR="00000000" w:rsidRDefault="00000000">
          <w:pPr>
            <w:pStyle w:val="1m1"/>
            <w:rPr>
              <w:spacing w:val="30"/>
              <w:sz w:val="20"/>
            </w:rPr>
          </w:pPr>
        </w:p>
        <w:p w:rsidR="00000000" w:rsidRDefault="00000000">
          <w:pPr>
            <w:pStyle w:val="1m1"/>
            <w:spacing w:line="240" w:lineRule="auto"/>
            <w:rPr>
              <w:spacing w:val="4"/>
            </w:rPr>
          </w:pPr>
          <w:r>
            <w:rPr>
              <w:rFonts w:hint="eastAsia"/>
              <w:spacing w:val="4"/>
            </w:rPr>
            <w:t>公民权利和政治权利</w:t>
          </w:r>
        </w:p>
        <w:p w:rsidR="00000000" w:rsidRDefault="00000000">
          <w:pPr>
            <w:pStyle w:val="1m1"/>
            <w:spacing w:line="240" w:lineRule="auto"/>
            <w:rPr>
              <w:spacing w:val="4"/>
            </w:rPr>
          </w:pPr>
          <w:r>
            <w:rPr>
              <w:rFonts w:hint="eastAsia"/>
              <w:spacing w:val="4"/>
            </w:rPr>
            <w:t>国际公约</w:t>
          </w:r>
        </w:p>
        <w:p w:rsidR="00000000" w:rsidRDefault="00000000">
          <w:pPr>
            <w:pStyle w:val="1m1"/>
            <w:spacing w:before="360"/>
            <w:rPr>
              <w:spacing w:val="20"/>
            </w:rPr>
          </w:pPr>
        </w:p>
      </w:tc>
      <w:tc>
        <w:tcPr>
          <w:tcW w:w="3179" w:type="dxa"/>
          <w:tcBorders>
            <w:top w:val="single" w:sz="4" w:space="0" w:color="auto"/>
            <w:left w:val="nil"/>
            <w:bottom w:val="single" w:sz="36" w:space="0" w:color="auto"/>
            <w:right w:val="nil"/>
          </w:tcBorders>
        </w:tcPr>
        <w:p w:rsidR="00000000" w:rsidRDefault="00000000">
          <w:pPr>
            <w:pStyle w:val="Header"/>
            <w:rPr>
              <w:sz w:val="28"/>
              <w:lang w:eastAsia="zh-CN"/>
            </w:rPr>
          </w:pPr>
        </w:p>
        <w:p w:rsidR="00000000" w:rsidRDefault="00000000">
          <w:pPr>
            <w:pStyle w:val="Header"/>
          </w:pPr>
          <w:r>
            <w:t>Distr.</w:t>
          </w:r>
        </w:p>
        <w:p w:rsidR="00000000" w:rsidRDefault="00000000">
          <w:pPr>
            <w:pStyle w:val="Header"/>
            <w:rPr>
              <w:rFonts w:hint="eastAsia"/>
              <w:lang w:eastAsia="zh-CN"/>
            </w:rPr>
          </w:pPr>
          <w:r>
            <w:rPr>
              <w:lang w:eastAsia="zh-CN"/>
            </w:rPr>
            <w:t>GENERAL</w:t>
          </w:r>
        </w:p>
        <w:p w:rsidR="00000000" w:rsidRDefault="00000000">
          <w:pPr>
            <w:pStyle w:val="Header"/>
            <w:rPr>
              <w:sz w:val="12"/>
            </w:rPr>
          </w:pPr>
        </w:p>
        <w:p w:rsidR="00000000" w:rsidRDefault="00000000">
          <w:pPr>
            <w:pStyle w:val="Header"/>
            <w:rPr>
              <w:rFonts w:hint="eastAsia"/>
              <w:lang w:eastAsia="zh-CN"/>
            </w:rPr>
          </w:pPr>
          <w:r>
            <w:t>CCPR/</w:t>
          </w:r>
          <w:r>
            <w:rPr>
              <w:rFonts w:hint="eastAsia"/>
              <w:lang w:eastAsia="zh-CN"/>
            </w:rPr>
            <w:t>C/ZMB/CO/3</w:t>
          </w:r>
        </w:p>
        <w:p w:rsidR="00000000" w:rsidRDefault="00000000">
          <w:pPr>
            <w:pStyle w:val="Header"/>
          </w:pPr>
          <w:r>
            <w:rPr>
              <w:rFonts w:hint="eastAsia"/>
              <w:lang w:eastAsia="zh-CN"/>
            </w:rPr>
            <w:t xml:space="preserve">9 </w:t>
          </w:r>
          <w:r>
            <w:rPr>
              <w:lang w:eastAsia="zh-CN"/>
            </w:rPr>
            <w:t>August</w:t>
          </w:r>
          <w:r>
            <w:t xml:space="preserve"> 2007</w:t>
          </w:r>
        </w:p>
        <w:p w:rsidR="00000000" w:rsidRDefault="00000000">
          <w:pPr>
            <w:pStyle w:val="Header"/>
            <w:rPr>
              <w:sz w:val="12"/>
            </w:rPr>
          </w:pPr>
        </w:p>
        <w:p w:rsidR="00000000" w:rsidRDefault="00000000">
          <w:pPr>
            <w:pStyle w:val="Header"/>
          </w:pPr>
          <w:r>
            <w:t>CHINESE</w:t>
          </w:r>
        </w:p>
        <w:p w:rsidR="00000000" w:rsidRDefault="00000000">
          <w:pPr>
            <w:pStyle w:val="Header"/>
            <w:tabs>
              <w:tab w:val="clear" w:pos="992"/>
              <w:tab w:val="left" w:pos="993"/>
            </w:tabs>
          </w:pPr>
          <w:r>
            <w:t>Original:</w:t>
          </w:r>
          <w:r>
            <w:tab/>
            <w:t>ENGLISH</w:t>
          </w:r>
        </w:p>
        <w:p w:rsidR="00000000" w:rsidRDefault="00000000">
          <w:pPr>
            <w:pStyle w:val="Header"/>
            <w:tabs>
              <w:tab w:val="clear" w:pos="992"/>
              <w:tab w:val="left" w:pos="993"/>
            </w:tabs>
          </w:pPr>
        </w:p>
        <w:p w:rsidR="00000000" w:rsidRDefault="00000000">
          <w:pPr>
            <w:pStyle w:val="Header"/>
          </w:pPr>
        </w:p>
      </w:tc>
    </w:tr>
    <w:tr w:rsidR="00000000">
      <w:tblPrEx>
        <w:tblCellMar>
          <w:top w:w="0" w:type="dxa"/>
          <w:bottom w:w="0" w:type="dxa"/>
        </w:tblCellMar>
      </w:tblPrEx>
      <w:trPr>
        <w:trHeight w:hRule="exact" w:val="284"/>
      </w:trPr>
      <w:tc>
        <w:tcPr>
          <w:tcW w:w="1625" w:type="dxa"/>
          <w:tcBorders>
            <w:top w:val="single" w:sz="36" w:space="0" w:color="auto"/>
            <w:left w:val="nil"/>
            <w:bottom w:val="nil"/>
            <w:right w:val="nil"/>
          </w:tcBorders>
          <w:noWrap/>
        </w:tcPr>
        <w:p w:rsidR="00000000" w:rsidRDefault="00000000">
          <w:pPr>
            <w:rPr>
              <w:sz w:val="16"/>
            </w:rPr>
          </w:pPr>
        </w:p>
      </w:tc>
      <w:tc>
        <w:tcPr>
          <w:tcW w:w="4660" w:type="dxa"/>
          <w:tcBorders>
            <w:top w:val="single" w:sz="36" w:space="0" w:color="auto"/>
            <w:left w:val="nil"/>
            <w:bottom w:val="nil"/>
            <w:right w:val="nil"/>
          </w:tcBorders>
          <w:noWrap/>
        </w:tcPr>
        <w:p w:rsidR="00000000" w:rsidRDefault="00000000">
          <w:pPr>
            <w:pStyle w:val="1m1"/>
            <w:spacing w:line="240" w:lineRule="auto"/>
            <w:rPr>
              <w:rFonts w:hint="eastAsia"/>
              <w:sz w:val="16"/>
            </w:rPr>
          </w:pPr>
        </w:p>
      </w:tc>
      <w:tc>
        <w:tcPr>
          <w:tcW w:w="3179" w:type="dxa"/>
          <w:tcBorders>
            <w:top w:val="single" w:sz="36" w:space="0" w:color="auto"/>
            <w:left w:val="nil"/>
            <w:bottom w:val="nil"/>
            <w:right w:val="nil"/>
          </w:tcBorders>
          <w:noWrap/>
        </w:tcPr>
        <w:p w:rsidR="00000000" w:rsidRDefault="00000000">
          <w:pPr>
            <w:rPr>
              <w:sz w:val="16"/>
            </w:rPr>
          </w:pPr>
        </w:p>
      </w:tc>
    </w:tr>
  </w:tbl>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185A5A9B"/>
    <w:multiLevelType w:val="hybridMultilevel"/>
    <w:tmpl w:val="6D50332E"/>
    <w:lvl w:ilvl="0" w:tplc="C86A43AE">
      <w:start w:val="1"/>
      <w:numFmt w:val="lowerLetter"/>
      <w:lvlRestart w:val="0"/>
      <w:lvlText w:val="(%1)"/>
      <w:lvlJc w:val="right"/>
      <w:pPr>
        <w:tabs>
          <w:tab w:val="num" w:pos="1531"/>
        </w:tabs>
        <w:ind w:left="1531" w:hanging="170"/>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4">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5">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6">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7">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B53889"/>
    <w:multiLevelType w:val="hybridMultilevel"/>
    <w:tmpl w:val="21F89732"/>
    <w:lvl w:ilvl="0" w:tplc="71ECDF6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5"/>
  </w:num>
  <w:num w:numId="4">
    <w:abstractNumId w:val="3"/>
  </w:num>
  <w:num w:numId="5">
    <w:abstractNumId w:val="4"/>
  </w:num>
  <w:num w:numId="6">
    <w:abstractNumId w:val="6"/>
  </w:num>
  <w:num w:numId="7">
    <w:abstractNumId w:val="5"/>
  </w:num>
  <w:num w:numId="8">
    <w:abstractNumId w:val="3"/>
  </w:num>
  <w:num w:numId="9">
    <w:abstractNumId w:val="4"/>
  </w:num>
  <w:num w:numId="10">
    <w:abstractNumId w:val="6"/>
  </w:num>
  <w:num w:numId="11">
    <w:abstractNumId w:val="5"/>
  </w:num>
  <w:num w:numId="12">
    <w:abstractNumId w:val="3"/>
  </w:num>
  <w:num w:numId="13">
    <w:abstractNumId w:val="4"/>
  </w:num>
  <w:num w:numId="14">
    <w:abstractNumId w:val="6"/>
  </w:num>
  <w:num w:numId="15">
    <w:abstractNumId w:val="5"/>
  </w:num>
  <w:num w:numId="16">
    <w:abstractNumId w:val="3"/>
  </w:num>
  <w:num w:numId="17">
    <w:abstractNumId w:val="4"/>
  </w:num>
  <w:num w:numId="18">
    <w:abstractNumId w:val="6"/>
  </w:num>
  <w:num w:numId="19">
    <w:abstractNumId w:val="5"/>
  </w:num>
  <w:num w:numId="20">
    <w:abstractNumId w:val="0"/>
  </w:num>
  <w:num w:numId="21">
    <w:abstractNumId w:val="6"/>
  </w:num>
  <w:num w:numId="22">
    <w:abstractNumId w:val="5"/>
  </w:num>
  <w:num w:numId="23">
    <w:abstractNumId w:val="7"/>
  </w:num>
  <w:num w:numId="24">
    <w:abstractNumId w:val="2"/>
  </w:num>
  <w:num w:numId="25">
    <w:abstractNumId w:val="2"/>
  </w:num>
  <w:num w:numId="26">
    <w:abstractNumId w:val="2"/>
  </w:num>
  <w:num w:numId="27">
    <w:abstractNumId w:val="6"/>
  </w:num>
  <w:num w:numId="28">
    <w:abstractNumId w:val="5"/>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semiHidden/>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customStyle="1" w:styleId="ac">
    <w:name w:val="正文缩进"/>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styleId="BodyTextIndent">
    <w:name w:val="Body Text Indent"/>
    <w:basedOn w:val="Normal"/>
    <w:semiHidden/>
    <w:pPr>
      <w:widowControl w:val="0"/>
      <w:overflowPunct/>
      <w:autoSpaceDE w:val="0"/>
      <w:autoSpaceDN w:val="0"/>
      <w:snapToGrid/>
      <w:spacing w:line="240" w:lineRule="auto"/>
      <w:ind w:leftChars="200" w:left="480"/>
      <w:jc w:val="left"/>
    </w:pPr>
    <w:rPr>
      <w:rFonts w:ascii="SimHei" w:eastAsia="SimHei"/>
      <w:snapToGrid/>
      <w:spacing w:val="0"/>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6</Pages>
  <Words>615</Words>
  <Characters>3507</Characters>
  <Application>Microsoft Office Word</Application>
  <DocSecurity>4</DocSecurity>
  <Lines>29</Lines>
  <Paragraphs>7</Paragraphs>
  <ScaleCrop>false</ScaleCrop>
  <HeadingPairs>
    <vt:vector size="4" baseType="variant">
      <vt:variant>
        <vt:lpstr>题目</vt:lpstr>
      </vt:variant>
      <vt:variant>
        <vt:i4>1</vt:i4>
      </vt:variant>
      <vt:variant>
        <vt:lpstr>标题</vt:lpstr>
      </vt:variant>
      <vt:variant>
        <vt:i4>6</vt:i4>
      </vt:variant>
    </vt:vector>
  </HeadingPairs>
  <TitlesOfParts>
    <vt:vector size="7" baseType="lpstr">
      <vt:lpstr>人权事务委员会</vt:lpstr>
      <vt:lpstr>    审议缔约国根据《公约》第四十条提交的报告</vt:lpstr>
      <vt:lpstr>        人权事务委员会的结论性意见</vt:lpstr>
      <vt:lpstr>        赞 比 亚</vt:lpstr>
      <vt:lpstr>        A.  导  言</vt:lpstr>
      <vt:lpstr>        B.  积极方面</vt:lpstr>
      <vt:lpstr>        C.  关注的主要问题和建议</vt:lpstr>
    </vt:vector>
  </TitlesOfParts>
  <Company>Chinese Unit - GE</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Zhuang</dc:creator>
  <cp:keywords/>
  <dc:description>公民权利和政治权利国际公约</dc:description>
  <cp:lastModifiedBy>TIAN</cp:lastModifiedBy>
  <cp:revision>2</cp:revision>
  <cp:lastPrinted>2007-08-22T15:44:00Z</cp:lastPrinted>
  <dcterms:created xsi:type="dcterms:W3CDTF">2007-08-22T15:51:00Z</dcterms:created>
  <dcterms:modified xsi:type="dcterms:W3CDTF">2007-08-22T15:51:00Z</dcterms:modified>
  <cp:category>CCPR决定.dot</cp:category>
</cp:coreProperties>
</file>