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F65F8" w14:paraId="38897AAF" w14:textId="77777777" w:rsidTr="006D610D">
        <w:trPr>
          <w:trHeight w:hRule="exact" w:val="851"/>
        </w:trPr>
        <w:tc>
          <w:tcPr>
            <w:tcW w:w="1280" w:type="dxa"/>
            <w:tcBorders>
              <w:bottom w:val="single" w:sz="4" w:space="0" w:color="auto"/>
            </w:tcBorders>
            <w:shd w:val="clear" w:color="auto" w:fill="auto"/>
          </w:tcPr>
          <w:p w14:paraId="6020E9D4" w14:textId="77777777" w:rsidR="002D5AAC" w:rsidRPr="006D610D" w:rsidRDefault="002D5AAC" w:rsidP="006D610D">
            <w:pPr>
              <w:suppressAutoHyphens/>
              <w:rPr>
                <w:lang w:val="es-ES_tradnl"/>
              </w:rPr>
            </w:pPr>
          </w:p>
        </w:tc>
        <w:tc>
          <w:tcPr>
            <w:tcW w:w="2273" w:type="dxa"/>
            <w:tcBorders>
              <w:bottom w:val="single" w:sz="4" w:space="0" w:color="auto"/>
            </w:tcBorders>
            <w:shd w:val="clear" w:color="auto" w:fill="auto"/>
            <w:vAlign w:val="bottom"/>
          </w:tcPr>
          <w:p w14:paraId="69B74294" w14:textId="77777777" w:rsidR="002D5AAC" w:rsidRPr="006D610D" w:rsidRDefault="00BD33EE" w:rsidP="006D610D">
            <w:pPr>
              <w:suppressAutoHyphens/>
              <w:spacing w:after="80" w:line="300" w:lineRule="exact"/>
              <w:rPr>
                <w:sz w:val="28"/>
                <w:lang w:val="es-ES_tradnl"/>
              </w:rPr>
            </w:pPr>
            <w:r w:rsidRPr="006D610D">
              <w:rPr>
                <w:sz w:val="28"/>
                <w:lang w:val="es-ES_tradnl"/>
              </w:rPr>
              <w:t>Naciones Unidas</w:t>
            </w:r>
          </w:p>
        </w:tc>
        <w:tc>
          <w:tcPr>
            <w:tcW w:w="6086" w:type="dxa"/>
            <w:gridSpan w:val="2"/>
            <w:tcBorders>
              <w:bottom w:val="single" w:sz="4" w:space="0" w:color="auto"/>
            </w:tcBorders>
            <w:shd w:val="clear" w:color="auto" w:fill="auto"/>
            <w:vAlign w:val="bottom"/>
          </w:tcPr>
          <w:p w14:paraId="36821C6E" w14:textId="05DA9844" w:rsidR="002D5AAC" w:rsidRPr="006D610D" w:rsidRDefault="002227A5" w:rsidP="00850CDF">
            <w:pPr>
              <w:suppressAutoHyphens/>
              <w:jc w:val="right"/>
              <w:rPr>
                <w:lang w:val="en-GB"/>
              </w:rPr>
            </w:pPr>
            <w:r w:rsidRPr="006D610D">
              <w:rPr>
                <w:sz w:val="40"/>
                <w:lang w:val="en-GB"/>
              </w:rPr>
              <w:t>CERD</w:t>
            </w:r>
            <w:r w:rsidR="00AB6F11" w:rsidRPr="006D610D">
              <w:rPr>
                <w:lang w:val="en-GB"/>
              </w:rPr>
              <w:t>/C/PER</w:t>
            </w:r>
            <w:r w:rsidRPr="006D610D">
              <w:rPr>
                <w:lang w:val="en-GB"/>
              </w:rPr>
              <w:t>/CO/</w:t>
            </w:r>
            <w:r w:rsidR="00AB6F11" w:rsidRPr="006D610D">
              <w:rPr>
                <w:lang w:val="en-GB"/>
              </w:rPr>
              <w:t>22-23</w:t>
            </w:r>
          </w:p>
        </w:tc>
      </w:tr>
      <w:tr w:rsidR="002D5AAC" w:rsidRPr="00295A44" w14:paraId="359EDCD0" w14:textId="77777777" w:rsidTr="006D610D">
        <w:trPr>
          <w:trHeight w:hRule="exact" w:val="2835"/>
        </w:trPr>
        <w:tc>
          <w:tcPr>
            <w:tcW w:w="1280" w:type="dxa"/>
            <w:tcBorders>
              <w:top w:val="single" w:sz="4" w:space="0" w:color="auto"/>
              <w:bottom w:val="single" w:sz="12" w:space="0" w:color="auto"/>
            </w:tcBorders>
            <w:shd w:val="clear" w:color="auto" w:fill="auto"/>
          </w:tcPr>
          <w:p w14:paraId="0D34536F" w14:textId="25F2278F" w:rsidR="002D5AAC" w:rsidRPr="006D610D" w:rsidRDefault="007E74C7" w:rsidP="006D610D">
            <w:pPr>
              <w:suppressAutoHyphens/>
              <w:spacing w:before="120"/>
              <w:jc w:val="center"/>
              <w:rPr>
                <w:lang w:val="es-ES_tradnl"/>
              </w:rPr>
            </w:pPr>
            <w:r>
              <w:rPr>
                <w:noProof/>
                <w:lang w:eastAsia="zh-CN"/>
              </w:rPr>
              <w:drawing>
                <wp:inline distT="0" distB="0" distL="0" distR="0" wp14:anchorId="46DCB251" wp14:editId="4D3C861F">
                  <wp:extent cx="714375" cy="590550"/>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2B718438" w14:textId="77777777" w:rsidR="002D5AAC" w:rsidRPr="006D610D" w:rsidRDefault="00160FF7" w:rsidP="006D610D">
            <w:pPr>
              <w:suppressAutoHyphens/>
              <w:spacing w:before="120" w:line="380" w:lineRule="exact"/>
              <w:rPr>
                <w:b/>
                <w:sz w:val="34"/>
                <w:szCs w:val="34"/>
                <w:lang w:val="es-ES_tradnl"/>
              </w:rPr>
            </w:pPr>
            <w:r w:rsidRPr="006D610D">
              <w:rPr>
                <w:b/>
                <w:sz w:val="34"/>
                <w:szCs w:val="34"/>
                <w:lang w:val="es-ES_tradnl"/>
              </w:rPr>
              <w:t>Convención Internacional sobre</w:t>
            </w:r>
            <w:r w:rsidRPr="006D610D">
              <w:rPr>
                <w:b/>
                <w:sz w:val="34"/>
                <w:szCs w:val="34"/>
                <w:lang w:val="es-ES_tradnl"/>
              </w:rPr>
              <w:br/>
              <w:t>la Eliminación de todas las Formas</w:t>
            </w:r>
            <w:r w:rsidRPr="006D610D">
              <w:rPr>
                <w:b/>
                <w:sz w:val="34"/>
                <w:szCs w:val="34"/>
                <w:lang w:val="es-ES_tradnl"/>
              </w:rPr>
              <w:br/>
              <w:t>de Discriminación Racial</w:t>
            </w:r>
          </w:p>
        </w:tc>
        <w:tc>
          <w:tcPr>
            <w:tcW w:w="2819" w:type="dxa"/>
            <w:tcBorders>
              <w:top w:val="single" w:sz="4" w:space="0" w:color="auto"/>
              <w:bottom w:val="single" w:sz="12" w:space="0" w:color="auto"/>
            </w:tcBorders>
            <w:shd w:val="clear" w:color="auto" w:fill="auto"/>
          </w:tcPr>
          <w:p w14:paraId="3CEA2957" w14:textId="2E1010F1" w:rsidR="002D5AAC" w:rsidRPr="006D610D" w:rsidRDefault="002227A5" w:rsidP="006D610D">
            <w:pPr>
              <w:suppressAutoHyphens/>
              <w:spacing w:before="240" w:line="240" w:lineRule="exact"/>
              <w:rPr>
                <w:lang w:val="es-ES_tradnl"/>
              </w:rPr>
            </w:pPr>
            <w:r w:rsidRPr="006D610D">
              <w:rPr>
                <w:lang w:val="es-ES_tradnl"/>
              </w:rPr>
              <w:t xml:space="preserve">Distr. </w:t>
            </w:r>
            <w:r w:rsidR="004B224C">
              <w:rPr>
                <w:lang w:val="es-ES_tradnl"/>
              </w:rPr>
              <w:t>general</w:t>
            </w:r>
          </w:p>
          <w:p w14:paraId="7E40D601" w14:textId="45B4BA15" w:rsidR="002227A5" w:rsidRPr="006D610D" w:rsidRDefault="00592B5A" w:rsidP="00592B5A">
            <w:pPr>
              <w:suppressAutoHyphens/>
              <w:spacing w:line="240" w:lineRule="exact"/>
              <w:rPr>
                <w:lang w:val="es-ES_tradnl"/>
              </w:rPr>
            </w:pPr>
            <w:r>
              <w:rPr>
                <w:lang w:val="es-ES_tradnl"/>
              </w:rPr>
              <w:t>23</w:t>
            </w:r>
            <w:r w:rsidR="00D756D5" w:rsidRPr="006D610D">
              <w:rPr>
                <w:lang w:val="es-ES_tradnl"/>
              </w:rPr>
              <w:t xml:space="preserve"> de mayo</w:t>
            </w:r>
            <w:r w:rsidR="00AB6F11" w:rsidRPr="006D610D">
              <w:rPr>
                <w:lang w:val="es-ES_tradnl"/>
              </w:rPr>
              <w:t xml:space="preserve"> de 2018</w:t>
            </w:r>
          </w:p>
          <w:p w14:paraId="185ED7AE" w14:textId="77777777" w:rsidR="002227A5" w:rsidRPr="006D610D" w:rsidRDefault="002227A5" w:rsidP="006D610D">
            <w:pPr>
              <w:suppressAutoHyphens/>
              <w:spacing w:line="240" w:lineRule="exact"/>
              <w:rPr>
                <w:lang w:val="es-ES_tradnl"/>
              </w:rPr>
            </w:pPr>
          </w:p>
          <w:p w14:paraId="0984F6AC" w14:textId="77777777" w:rsidR="002227A5" w:rsidRPr="006D610D" w:rsidRDefault="002227A5" w:rsidP="006D610D">
            <w:pPr>
              <w:suppressAutoHyphens/>
              <w:spacing w:line="240" w:lineRule="exact"/>
              <w:rPr>
                <w:lang w:val="es-ES_tradnl"/>
              </w:rPr>
            </w:pPr>
            <w:r w:rsidRPr="006D610D">
              <w:rPr>
                <w:lang w:val="es-ES_tradnl"/>
              </w:rPr>
              <w:t>Original: español</w:t>
            </w:r>
          </w:p>
          <w:p w14:paraId="591C8172" w14:textId="77777777" w:rsidR="005220A1" w:rsidRPr="006D610D" w:rsidRDefault="005220A1" w:rsidP="000A20C9">
            <w:pPr>
              <w:suppressAutoHyphens/>
              <w:spacing w:line="240" w:lineRule="exact"/>
              <w:rPr>
                <w:lang w:val="es-ES_tradnl"/>
              </w:rPr>
            </w:pPr>
          </w:p>
        </w:tc>
      </w:tr>
    </w:tbl>
    <w:p w14:paraId="74D48B80" w14:textId="034E16CA" w:rsidR="00AB6F11" w:rsidRPr="00295A44" w:rsidRDefault="005220A1" w:rsidP="005D6D2E">
      <w:pPr>
        <w:spacing w:before="120"/>
        <w:rPr>
          <w:b/>
          <w:lang w:val="es-ES_tradnl"/>
        </w:rPr>
      </w:pPr>
      <w:r w:rsidRPr="00295A44">
        <w:rPr>
          <w:b/>
          <w:sz w:val="24"/>
          <w:lang w:val="es-ES_tradnl"/>
        </w:rPr>
        <w:t>Comité para la Eliminación de la Discriminación Racial</w:t>
      </w:r>
    </w:p>
    <w:p w14:paraId="170745E5" w14:textId="33B79821" w:rsidR="005220A1" w:rsidRPr="00295A44" w:rsidRDefault="005220A1" w:rsidP="005D6D2E">
      <w:pPr>
        <w:pStyle w:val="HChG"/>
        <w:rPr>
          <w:lang w:val="es-ES_tradnl"/>
        </w:rPr>
      </w:pPr>
      <w:r w:rsidRPr="00295A44">
        <w:rPr>
          <w:lang w:val="es-ES_tradnl"/>
        </w:rPr>
        <w:tab/>
      </w:r>
      <w:r w:rsidRPr="00295A44">
        <w:rPr>
          <w:lang w:val="es-ES_tradnl"/>
        </w:rPr>
        <w:tab/>
        <w:t xml:space="preserve">Observaciones finales sobre los informes periódicos </w:t>
      </w:r>
      <w:r w:rsidR="00021737">
        <w:rPr>
          <w:lang w:val="es-ES_tradnl"/>
        </w:rPr>
        <w:br/>
      </w:r>
      <w:r w:rsidR="00CD20B8" w:rsidRPr="00295A44">
        <w:rPr>
          <w:lang w:val="es-ES_tradnl"/>
        </w:rPr>
        <w:t>2</w:t>
      </w:r>
      <w:r w:rsidR="00AB6F11" w:rsidRPr="00295A44">
        <w:rPr>
          <w:lang w:val="es-ES_tradnl"/>
        </w:rPr>
        <w:t>2</w:t>
      </w:r>
      <w:r w:rsidR="00CD20B8" w:rsidRPr="00295A44">
        <w:rPr>
          <w:lang w:val="es-ES_tradnl"/>
        </w:rPr>
        <w:t>º y 2</w:t>
      </w:r>
      <w:r w:rsidR="00AB6F11" w:rsidRPr="00295A44">
        <w:rPr>
          <w:lang w:val="es-ES_tradnl"/>
        </w:rPr>
        <w:t>3</w:t>
      </w:r>
      <w:r w:rsidR="00CD20B8" w:rsidRPr="00295A44">
        <w:rPr>
          <w:lang w:val="es-ES_tradnl"/>
        </w:rPr>
        <w:t xml:space="preserve">º combinados </w:t>
      </w:r>
      <w:r w:rsidRPr="00295A44">
        <w:rPr>
          <w:lang w:val="es-ES_tradnl"/>
        </w:rPr>
        <w:t xml:space="preserve">del </w:t>
      </w:r>
      <w:r w:rsidR="00AB6F11" w:rsidRPr="00295A44">
        <w:rPr>
          <w:lang w:val="es-ES_tradnl"/>
        </w:rPr>
        <w:t>Perú</w:t>
      </w:r>
      <w:r w:rsidR="00850CDF" w:rsidRPr="005D6D2E">
        <w:rPr>
          <w:b w:val="0"/>
          <w:bCs/>
        </w:rPr>
        <w:footnoteReference w:customMarkFollows="1" w:id="1"/>
        <w:t>*</w:t>
      </w:r>
    </w:p>
    <w:p w14:paraId="0D11325E" w14:textId="2553FB4A" w:rsidR="005220A1" w:rsidRPr="00021737" w:rsidRDefault="00021737" w:rsidP="005D6D2E">
      <w:pPr>
        <w:pStyle w:val="SingleTxtG"/>
        <w:rPr>
          <w:lang w:val="es-ES_tradnl"/>
        </w:rPr>
      </w:pPr>
      <w:r w:rsidRPr="005D6D2E">
        <w:rPr>
          <w:lang w:val="es-ES_tradnl"/>
        </w:rPr>
        <w:t>1.</w:t>
      </w:r>
      <w:r w:rsidRPr="005D6D2E">
        <w:rPr>
          <w:lang w:val="es-ES_tradnl"/>
        </w:rPr>
        <w:tab/>
      </w:r>
      <w:r w:rsidR="005220A1" w:rsidRPr="00021737">
        <w:rPr>
          <w:lang w:val="es-ES_tradnl"/>
        </w:rPr>
        <w:t xml:space="preserve">El Comité </w:t>
      </w:r>
      <w:r w:rsidR="00CD20B8" w:rsidRPr="00021737">
        <w:rPr>
          <w:spacing w:val="3"/>
          <w:lang w:val="es-ES_tradnl"/>
        </w:rPr>
        <w:t>e</w:t>
      </w:r>
      <w:r w:rsidR="00CD20B8" w:rsidRPr="00021737">
        <w:rPr>
          <w:spacing w:val="-1"/>
          <w:lang w:val="es-ES_tradnl"/>
        </w:rPr>
        <w:t>x</w:t>
      </w:r>
      <w:r w:rsidR="00CD20B8" w:rsidRPr="00021737">
        <w:rPr>
          <w:spacing w:val="3"/>
          <w:lang w:val="es-ES_tradnl"/>
        </w:rPr>
        <w:t>a</w:t>
      </w:r>
      <w:r w:rsidR="00CD20B8" w:rsidRPr="00021737">
        <w:rPr>
          <w:spacing w:val="-1"/>
          <w:lang w:val="es-ES_tradnl"/>
        </w:rPr>
        <w:t>m</w:t>
      </w:r>
      <w:r w:rsidR="00CD20B8" w:rsidRPr="00021737">
        <w:rPr>
          <w:lang w:val="es-ES_tradnl"/>
        </w:rPr>
        <w:t>i</w:t>
      </w:r>
      <w:r w:rsidR="00CD20B8" w:rsidRPr="00021737">
        <w:rPr>
          <w:spacing w:val="-1"/>
          <w:lang w:val="es-ES_tradnl"/>
        </w:rPr>
        <w:t>n</w:t>
      </w:r>
      <w:r w:rsidR="00CD20B8" w:rsidRPr="00021737">
        <w:rPr>
          <w:lang w:val="es-ES_tradnl"/>
        </w:rPr>
        <w:t>ó</w:t>
      </w:r>
      <w:r w:rsidR="00CD20B8" w:rsidRPr="00021737">
        <w:rPr>
          <w:spacing w:val="5"/>
          <w:lang w:val="es-ES_tradnl"/>
        </w:rPr>
        <w:t xml:space="preserve"> </w:t>
      </w:r>
      <w:r w:rsidR="00CD20B8" w:rsidRPr="00021737">
        <w:rPr>
          <w:lang w:val="es-ES_tradnl"/>
        </w:rPr>
        <w:t>l</w:t>
      </w:r>
      <w:r w:rsidR="00CD20B8" w:rsidRPr="00021737">
        <w:rPr>
          <w:spacing w:val="3"/>
          <w:lang w:val="es-ES_tradnl"/>
        </w:rPr>
        <w:t>o</w:t>
      </w:r>
      <w:r w:rsidR="00CD20B8" w:rsidRPr="00021737">
        <w:rPr>
          <w:lang w:val="es-ES_tradnl"/>
        </w:rPr>
        <w:t>s</w:t>
      </w:r>
      <w:r w:rsidR="00CD20B8" w:rsidRPr="00021737">
        <w:rPr>
          <w:spacing w:val="7"/>
          <w:lang w:val="es-ES_tradnl"/>
        </w:rPr>
        <w:t xml:space="preserve"> </w:t>
      </w:r>
      <w:r w:rsidR="00CD20B8" w:rsidRPr="00021737">
        <w:rPr>
          <w:spacing w:val="2"/>
          <w:lang w:val="es-ES_tradnl"/>
        </w:rPr>
        <w:t>i</w:t>
      </w:r>
      <w:r w:rsidR="00CD20B8" w:rsidRPr="00021737">
        <w:rPr>
          <w:spacing w:val="-1"/>
          <w:lang w:val="es-ES_tradnl"/>
        </w:rPr>
        <w:t>n</w:t>
      </w:r>
      <w:r w:rsidR="00CD20B8" w:rsidRPr="00021737">
        <w:rPr>
          <w:spacing w:val="-2"/>
          <w:lang w:val="es-ES_tradnl"/>
        </w:rPr>
        <w:t>f</w:t>
      </w:r>
      <w:r w:rsidR="00CD20B8" w:rsidRPr="00021737">
        <w:rPr>
          <w:spacing w:val="1"/>
          <w:lang w:val="es-ES_tradnl"/>
        </w:rPr>
        <w:t>o</w:t>
      </w:r>
      <w:r w:rsidR="00CD20B8" w:rsidRPr="00021737">
        <w:rPr>
          <w:spacing w:val="3"/>
          <w:lang w:val="es-ES_tradnl"/>
        </w:rPr>
        <w:t>r</w:t>
      </w:r>
      <w:r w:rsidR="00CD20B8" w:rsidRPr="00021737">
        <w:rPr>
          <w:spacing w:val="-1"/>
          <w:lang w:val="es-ES_tradnl"/>
        </w:rPr>
        <w:t>m</w:t>
      </w:r>
      <w:r w:rsidR="00CD20B8" w:rsidRPr="00021737">
        <w:rPr>
          <w:lang w:val="es-ES_tradnl"/>
        </w:rPr>
        <w:t>es</w:t>
      </w:r>
      <w:r w:rsidR="00CD20B8" w:rsidRPr="00021737">
        <w:rPr>
          <w:spacing w:val="5"/>
          <w:lang w:val="es-ES_tradnl"/>
        </w:rPr>
        <w:t xml:space="preserve"> </w:t>
      </w:r>
      <w:r w:rsidR="00CD20B8" w:rsidRPr="00021737">
        <w:rPr>
          <w:spacing w:val="1"/>
          <w:lang w:val="es-ES_tradnl"/>
        </w:rPr>
        <w:t>p</w:t>
      </w:r>
      <w:r w:rsidR="00CD20B8" w:rsidRPr="00021737">
        <w:rPr>
          <w:lang w:val="es-ES_tradnl"/>
        </w:rPr>
        <w:t>e</w:t>
      </w:r>
      <w:r w:rsidR="00CD20B8" w:rsidRPr="00021737">
        <w:rPr>
          <w:spacing w:val="1"/>
          <w:lang w:val="es-ES_tradnl"/>
        </w:rPr>
        <w:t>r</w:t>
      </w:r>
      <w:r w:rsidR="00CD20B8" w:rsidRPr="00021737">
        <w:rPr>
          <w:lang w:val="es-ES_tradnl"/>
        </w:rPr>
        <w:t>i</w:t>
      </w:r>
      <w:r w:rsidR="00CD20B8" w:rsidRPr="00021737">
        <w:rPr>
          <w:spacing w:val="1"/>
          <w:lang w:val="es-ES_tradnl"/>
        </w:rPr>
        <w:t>ód</w:t>
      </w:r>
      <w:r w:rsidR="00CD20B8" w:rsidRPr="00021737">
        <w:rPr>
          <w:lang w:val="es-ES_tradnl"/>
        </w:rPr>
        <w:t>ic</w:t>
      </w:r>
      <w:r w:rsidR="00CD20B8" w:rsidRPr="00021737">
        <w:rPr>
          <w:spacing w:val="1"/>
          <w:lang w:val="es-ES_tradnl"/>
        </w:rPr>
        <w:t>o</w:t>
      </w:r>
      <w:r w:rsidR="00CD20B8" w:rsidRPr="00021737">
        <w:rPr>
          <w:lang w:val="es-ES_tradnl"/>
        </w:rPr>
        <w:t>s</w:t>
      </w:r>
      <w:r w:rsidR="00CD20B8" w:rsidRPr="00021737">
        <w:rPr>
          <w:spacing w:val="1"/>
          <w:lang w:val="es-ES_tradnl"/>
        </w:rPr>
        <w:t xml:space="preserve"> </w:t>
      </w:r>
      <w:r w:rsidR="00044D59" w:rsidRPr="00021737">
        <w:rPr>
          <w:spacing w:val="1"/>
          <w:lang w:val="es-ES_tradnl"/>
        </w:rPr>
        <w:t>22</w:t>
      </w:r>
      <w:r w:rsidR="00044D59" w:rsidRPr="00021737">
        <w:rPr>
          <w:lang w:val="es-ES_tradnl"/>
        </w:rPr>
        <w:t>º</w:t>
      </w:r>
      <w:r w:rsidR="00044D59" w:rsidRPr="00021737">
        <w:rPr>
          <w:spacing w:val="11"/>
          <w:lang w:val="es-ES_tradnl"/>
        </w:rPr>
        <w:t xml:space="preserve"> </w:t>
      </w:r>
      <w:r w:rsidR="00044D59" w:rsidRPr="00021737">
        <w:rPr>
          <w:lang w:val="es-ES_tradnl"/>
        </w:rPr>
        <w:t>y</w:t>
      </w:r>
      <w:r w:rsidR="00044D59" w:rsidRPr="00021737">
        <w:rPr>
          <w:spacing w:val="6"/>
          <w:lang w:val="es-ES_tradnl"/>
        </w:rPr>
        <w:t xml:space="preserve"> </w:t>
      </w:r>
      <w:r w:rsidR="00044D59" w:rsidRPr="00021737">
        <w:rPr>
          <w:spacing w:val="1"/>
          <w:lang w:val="es-ES_tradnl"/>
        </w:rPr>
        <w:t>23</w:t>
      </w:r>
      <w:r w:rsidR="00044D59" w:rsidRPr="00021737">
        <w:rPr>
          <w:lang w:val="es-ES_tradnl"/>
        </w:rPr>
        <w:t>º</w:t>
      </w:r>
      <w:r w:rsidR="00044D59" w:rsidRPr="00021737">
        <w:rPr>
          <w:spacing w:val="11"/>
          <w:lang w:val="es-ES_tradnl"/>
        </w:rPr>
        <w:t xml:space="preserve"> </w:t>
      </w:r>
      <w:r w:rsidR="00CD20B8" w:rsidRPr="00021737">
        <w:rPr>
          <w:lang w:val="es-ES_tradnl"/>
        </w:rPr>
        <w:t>c</w:t>
      </w:r>
      <w:r w:rsidR="00CD20B8" w:rsidRPr="00021737">
        <w:rPr>
          <w:spacing w:val="-1"/>
          <w:lang w:val="es-ES_tradnl"/>
        </w:rPr>
        <w:t>o</w:t>
      </w:r>
      <w:r w:rsidR="00CD20B8" w:rsidRPr="00021737">
        <w:rPr>
          <w:spacing w:val="-4"/>
          <w:lang w:val="es-ES_tradnl"/>
        </w:rPr>
        <w:t>m</w:t>
      </w:r>
      <w:r w:rsidR="00CD20B8" w:rsidRPr="00021737">
        <w:rPr>
          <w:spacing w:val="3"/>
          <w:lang w:val="es-ES_tradnl"/>
        </w:rPr>
        <w:t>b</w:t>
      </w:r>
      <w:r w:rsidR="00CD20B8" w:rsidRPr="00021737">
        <w:rPr>
          <w:lang w:val="es-ES_tradnl"/>
        </w:rPr>
        <w:t>i</w:t>
      </w:r>
      <w:r w:rsidR="00CD20B8" w:rsidRPr="00021737">
        <w:rPr>
          <w:spacing w:val="-1"/>
          <w:lang w:val="es-ES_tradnl"/>
        </w:rPr>
        <w:t>n</w:t>
      </w:r>
      <w:r w:rsidR="00CD20B8" w:rsidRPr="00021737">
        <w:rPr>
          <w:lang w:val="es-ES_tradnl"/>
        </w:rPr>
        <w:t>a</w:t>
      </w:r>
      <w:r w:rsidR="00CD20B8" w:rsidRPr="00021737">
        <w:rPr>
          <w:spacing w:val="1"/>
          <w:lang w:val="es-ES_tradnl"/>
        </w:rPr>
        <w:t>do</w:t>
      </w:r>
      <w:r w:rsidR="00CD20B8" w:rsidRPr="00021737">
        <w:rPr>
          <w:lang w:val="es-ES_tradnl"/>
        </w:rPr>
        <w:t xml:space="preserve">s </w:t>
      </w:r>
      <w:r w:rsidR="00CD20B8" w:rsidRPr="00021737">
        <w:rPr>
          <w:spacing w:val="1"/>
          <w:lang w:val="es-ES_tradnl"/>
        </w:rPr>
        <w:t>d</w:t>
      </w:r>
      <w:r w:rsidR="00CD20B8" w:rsidRPr="00021737">
        <w:rPr>
          <w:lang w:val="es-ES_tradnl"/>
        </w:rPr>
        <w:t>e</w:t>
      </w:r>
      <w:r w:rsidR="004B403D" w:rsidRPr="00021737">
        <w:rPr>
          <w:lang w:val="es-ES_tradnl"/>
        </w:rPr>
        <w:t>l</w:t>
      </w:r>
      <w:r w:rsidR="007F502E" w:rsidRPr="00021737">
        <w:rPr>
          <w:spacing w:val="-1"/>
          <w:lang w:val="es-ES_tradnl"/>
        </w:rPr>
        <w:t xml:space="preserve"> Perú</w:t>
      </w:r>
      <w:r w:rsidR="00CD20B8" w:rsidRPr="00021737">
        <w:rPr>
          <w:lang w:val="es-ES_tradnl"/>
        </w:rPr>
        <w:t xml:space="preserve">, </w:t>
      </w:r>
      <w:r w:rsidR="00CD20B8" w:rsidRPr="00021737">
        <w:rPr>
          <w:spacing w:val="1"/>
          <w:lang w:val="es-ES_tradnl"/>
        </w:rPr>
        <w:t>pr</w:t>
      </w:r>
      <w:r w:rsidR="00CD20B8" w:rsidRPr="00021737">
        <w:rPr>
          <w:lang w:val="es-ES_tradnl"/>
        </w:rPr>
        <w:t>ese</w:t>
      </w:r>
      <w:r w:rsidR="00CD20B8" w:rsidRPr="00021737">
        <w:rPr>
          <w:spacing w:val="-1"/>
          <w:lang w:val="es-ES_tradnl"/>
        </w:rPr>
        <w:t>n</w:t>
      </w:r>
      <w:r w:rsidR="00CD20B8" w:rsidRPr="00021737">
        <w:rPr>
          <w:lang w:val="es-ES_tradnl"/>
        </w:rPr>
        <w:t>ta</w:t>
      </w:r>
      <w:r w:rsidR="00CD20B8" w:rsidRPr="00021737">
        <w:rPr>
          <w:spacing w:val="1"/>
          <w:lang w:val="es-ES_tradnl"/>
        </w:rPr>
        <w:t>do</w:t>
      </w:r>
      <w:r w:rsidR="00CD20B8" w:rsidRPr="00021737">
        <w:rPr>
          <w:lang w:val="es-ES_tradnl"/>
        </w:rPr>
        <w:t>s</w:t>
      </w:r>
      <w:r w:rsidR="00CD20B8" w:rsidRPr="00021737">
        <w:rPr>
          <w:spacing w:val="-5"/>
          <w:lang w:val="es-ES_tradnl"/>
        </w:rPr>
        <w:t xml:space="preserve"> </w:t>
      </w:r>
      <w:r w:rsidR="00CD20B8" w:rsidRPr="00021737">
        <w:rPr>
          <w:lang w:val="es-ES_tradnl"/>
        </w:rPr>
        <w:t>en</w:t>
      </w:r>
      <w:r w:rsidR="00CD20B8" w:rsidRPr="00021737">
        <w:rPr>
          <w:spacing w:val="5"/>
          <w:lang w:val="es-ES_tradnl"/>
        </w:rPr>
        <w:t xml:space="preserve"> </w:t>
      </w:r>
      <w:r w:rsidR="00CD20B8" w:rsidRPr="00021737">
        <w:rPr>
          <w:spacing w:val="-1"/>
          <w:lang w:val="es-ES_tradnl"/>
        </w:rPr>
        <w:t>u</w:t>
      </w:r>
      <w:r w:rsidR="00CD20B8" w:rsidRPr="00021737">
        <w:rPr>
          <w:lang w:val="es-ES_tradnl"/>
        </w:rPr>
        <w:t>n</w:t>
      </w:r>
      <w:r w:rsidR="00CD20B8" w:rsidRPr="00021737">
        <w:rPr>
          <w:spacing w:val="4"/>
          <w:lang w:val="es-ES_tradnl"/>
        </w:rPr>
        <w:t xml:space="preserve"> </w:t>
      </w:r>
      <w:r w:rsidR="00CD20B8" w:rsidRPr="00021737">
        <w:rPr>
          <w:spacing w:val="-1"/>
          <w:lang w:val="es-ES_tradnl"/>
        </w:rPr>
        <w:t>ú</w:t>
      </w:r>
      <w:r w:rsidR="00CD20B8" w:rsidRPr="00021737">
        <w:rPr>
          <w:spacing w:val="1"/>
          <w:lang w:val="es-ES_tradnl"/>
        </w:rPr>
        <w:t>n</w:t>
      </w:r>
      <w:r w:rsidR="00CD20B8" w:rsidRPr="00021737">
        <w:rPr>
          <w:lang w:val="es-ES_tradnl"/>
        </w:rPr>
        <w:t>ico</w:t>
      </w:r>
      <w:r w:rsidR="00CD20B8" w:rsidRPr="00021737">
        <w:rPr>
          <w:spacing w:val="2"/>
          <w:lang w:val="es-ES_tradnl"/>
        </w:rPr>
        <w:t xml:space="preserve"> </w:t>
      </w:r>
      <w:r w:rsidR="00CD20B8" w:rsidRPr="00021737">
        <w:rPr>
          <w:spacing w:val="1"/>
          <w:lang w:val="es-ES_tradnl"/>
        </w:rPr>
        <w:t>do</w:t>
      </w:r>
      <w:r w:rsidR="00CD20B8" w:rsidRPr="00021737">
        <w:rPr>
          <w:lang w:val="es-ES_tradnl"/>
        </w:rPr>
        <w:t>c</w:t>
      </w:r>
      <w:r w:rsidR="00CD20B8" w:rsidRPr="00021737">
        <w:rPr>
          <w:spacing w:val="-1"/>
          <w:lang w:val="es-ES_tradnl"/>
        </w:rPr>
        <w:t>um</w:t>
      </w:r>
      <w:r w:rsidR="00CD20B8" w:rsidRPr="00021737">
        <w:rPr>
          <w:lang w:val="es-ES_tradnl"/>
        </w:rPr>
        <w:t>e</w:t>
      </w:r>
      <w:r w:rsidR="00CD20B8" w:rsidRPr="00021737">
        <w:rPr>
          <w:spacing w:val="1"/>
          <w:lang w:val="es-ES_tradnl"/>
        </w:rPr>
        <w:t>n</w:t>
      </w:r>
      <w:r w:rsidR="00CD20B8" w:rsidRPr="00021737">
        <w:rPr>
          <w:lang w:val="es-ES_tradnl"/>
        </w:rPr>
        <w:t>to</w:t>
      </w:r>
      <w:r w:rsidR="00CD20B8" w:rsidRPr="00021737">
        <w:rPr>
          <w:spacing w:val="-3"/>
          <w:lang w:val="es-ES_tradnl"/>
        </w:rPr>
        <w:t xml:space="preserve"> </w:t>
      </w:r>
      <w:r w:rsidR="00CD20B8" w:rsidRPr="00021737">
        <w:rPr>
          <w:spacing w:val="1"/>
          <w:lang w:val="es-ES_tradnl"/>
        </w:rPr>
        <w:t>(</w:t>
      </w:r>
      <w:r w:rsidR="00CD20B8" w:rsidRPr="00021737">
        <w:rPr>
          <w:spacing w:val="-1"/>
          <w:lang w:val="es-ES_tradnl"/>
        </w:rPr>
        <w:t>C</w:t>
      </w:r>
      <w:r w:rsidR="00CD20B8" w:rsidRPr="00021737">
        <w:rPr>
          <w:lang w:val="es-ES_tradnl"/>
        </w:rPr>
        <w:t>E</w:t>
      </w:r>
      <w:r w:rsidR="00CD20B8" w:rsidRPr="00021737">
        <w:rPr>
          <w:spacing w:val="-1"/>
          <w:lang w:val="es-ES_tradnl"/>
        </w:rPr>
        <w:t>R</w:t>
      </w:r>
      <w:r w:rsidR="00CD20B8" w:rsidRPr="00021737">
        <w:rPr>
          <w:lang w:val="es-ES_tradnl"/>
        </w:rPr>
        <w:t>D</w:t>
      </w:r>
      <w:r w:rsidR="00CD20B8" w:rsidRPr="00021737">
        <w:rPr>
          <w:spacing w:val="2"/>
          <w:lang w:val="es-ES_tradnl"/>
        </w:rPr>
        <w:t>/</w:t>
      </w:r>
      <w:r w:rsidR="007F502E" w:rsidRPr="00021737">
        <w:rPr>
          <w:spacing w:val="2"/>
          <w:lang w:val="es-ES_tradnl"/>
        </w:rPr>
        <w:t>C/PER/22-23</w:t>
      </w:r>
      <w:r w:rsidR="00CD20B8" w:rsidRPr="00021737">
        <w:rPr>
          <w:spacing w:val="1"/>
          <w:lang w:val="es-ES_tradnl"/>
        </w:rPr>
        <w:t>)</w:t>
      </w:r>
      <w:r w:rsidR="00CD20B8" w:rsidRPr="00021737">
        <w:rPr>
          <w:lang w:val="es-ES_tradnl"/>
        </w:rPr>
        <w:t>,</w:t>
      </w:r>
      <w:r w:rsidR="00CD20B8" w:rsidRPr="00021737">
        <w:rPr>
          <w:spacing w:val="-14"/>
          <w:lang w:val="es-ES_tradnl"/>
        </w:rPr>
        <w:t xml:space="preserve"> </w:t>
      </w:r>
      <w:r w:rsidR="00CD20B8" w:rsidRPr="00021737">
        <w:rPr>
          <w:lang w:val="es-ES_tradnl"/>
        </w:rPr>
        <w:t>en</w:t>
      </w:r>
      <w:r w:rsidR="00CD20B8" w:rsidRPr="00021737">
        <w:rPr>
          <w:spacing w:val="2"/>
          <w:lang w:val="es-ES_tradnl"/>
        </w:rPr>
        <w:t xml:space="preserve"> s</w:t>
      </w:r>
      <w:r w:rsidR="00CD20B8" w:rsidRPr="00021737">
        <w:rPr>
          <w:spacing w:val="-1"/>
          <w:lang w:val="es-ES_tradnl"/>
        </w:rPr>
        <w:t>u</w:t>
      </w:r>
      <w:r w:rsidR="00CD20B8" w:rsidRPr="00021737">
        <w:rPr>
          <w:lang w:val="es-ES_tradnl"/>
        </w:rPr>
        <w:t>s</w:t>
      </w:r>
      <w:r w:rsidR="00CD20B8" w:rsidRPr="00021737">
        <w:rPr>
          <w:spacing w:val="1"/>
          <w:lang w:val="es-ES_tradnl"/>
        </w:rPr>
        <w:t xml:space="preserve"> </w:t>
      </w:r>
      <w:r w:rsidR="00CD20B8" w:rsidRPr="00021737">
        <w:rPr>
          <w:spacing w:val="-1"/>
          <w:lang w:val="es-ES_tradnl"/>
        </w:rPr>
        <w:t>s</w:t>
      </w:r>
      <w:r w:rsidR="00CD20B8" w:rsidRPr="00021737">
        <w:rPr>
          <w:spacing w:val="3"/>
          <w:lang w:val="es-ES_tradnl"/>
        </w:rPr>
        <w:t>e</w:t>
      </w:r>
      <w:r w:rsidR="00CD20B8" w:rsidRPr="00021737">
        <w:rPr>
          <w:spacing w:val="-1"/>
          <w:lang w:val="es-ES_tradnl"/>
        </w:rPr>
        <w:t>s</w:t>
      </w:r>
      <w:r w:rsidR="00CD20B8" w:rsidRPr="00021737">
        <w:rPr>
          <w:lang w:val="es-ES_tradnl"/>
        </w:rPr>
        <w:t>i</w:t>
      </w:r>
      <w:r w:rsidR="00CD20B8" w:rsidRPr="00021737">
        <w:rPr>
          <w:spacing w:val="1"/>
          <w:lang w:val="es-ES_tradnl"/>
        </w:rPr>
        <w:t>o</w:t>
      </w:r>
      <w:r w:rsidR="00CD20B8" w:rsidRPr="00021737">
        <w:rPr>
          <w:spacing w:val="-1"/>
          <w:lang w:val="es-ES_tradnl"/>
        </w:rPr>
        <w:t>n</w:t>
      </w:r>
      <w:r w:rsidR="00CD20B8" w:rsidRPr="00021737">
        <w:rPr>
          <w:spacing w:val="3"/>
          <w:lang w:val="es-ES_tradnl"/>
        </w:rPr>
        <w:t>e</w:t>
      </w:r>
      <w:r w:rsidR="00CD20B8" w:rsidRPr="00021737">
        <w:rPr>
          <w:lang w:val="es-ES_tradnl"/>
        </w:rPr>
        <w:t>s</w:t>
      </w:r>
      <w:r w:rsidR="00CD20B8" w:rsidRPr="00021737">
        <w:rPr>
          <w:spacing w:val="-1"/>
          <w:lang w:val="es-ES_tradnl"/>
        </w:rPr>
        <w:t xml:space="preserve"> </w:t>
      </w:r>
      <w:r w:rsidR="007F502E" w:rsidRPr="00021737">
        <w:rPr>
          <w:spacing w:val="-1"/>
          <w:lang w:val="es-ES_tradnl"/>
        </w:rPr>
        <w:t>2620</w:t>
      </w:r>
      <w:r w:rsidR="00CD20B8" w:rsidRPr="00021737">
        <w:rPr>
          <w:lang w:val="es-ES_tradnl"/>
        </w:rPr>
        <w:t>ª y</w:t>
      </w:r>
      <w:r w:rsidR="007F502E" w:rsidRPr="00021737">
        <w:rPr>
          <w:lang w:val="es-ES_tradnl"/>
        </w:rPr>
        <w:t xml:space="preserve"> 2621</w:t>
      </w:r>
      <w:r w:rsidR="00CD20B8" w:rsidRPr="00021737">
        <w:rPr>
          <w:lang w:val="es-ES_tradnl"/>
        </w:rPr>
        <w:t xml:space="preserve">ª </w:t>
      </w:r>
      <w:r w:rsidR="00CD20B8" w:rsidRPr="00021737">
        <w:rPr>
          <w:spacing w:val="1"/>
          <w:lang w:val="es-ES_tradnl"/>
        </w:rPr>
        <w:t>(</w:t>
      </w:r>
      <w:r w:rsidR="00CD20B8" w:rsidRPr="00021737">
        <w:rPr>
          <w:spacing w:val="-1"/>
          <w:lang w:val="es-ES_tradnl"/>
        </w:rPr>
        <w:t>C</w:t>
      </w:r>
      <w:r w:rsidR="00CD20B8" w:rsidRPr="00021737">
        <w:rPr>
          <w:lang w:val="es-ES_tradnl"/>
        </w:rPr>
        <w:t>E</w:t>
      </w:r>
      <w:r w:rsidR="00CD20B8" w:rsidRPr="00021737">
        <w:rPr>
          <w:spacing w:val="-1"/>
          <w:lang w:val="es-ES_tradnl"/>
        </w:rPr>
        <w:t>R</w:t>
      </w:r>
      <w:r w:rsidR="00CD20B8" w:rsidRPr="00021737">
        <w:rPr>
          <w:lang w:val="es-ES_tradnl"/>
        </w:rPr>
        <w:t>D</w:t>
      </w:r>
      <w:r w:rsidR="00CD20B8" w:rsidRPr="00021737">
        <w:rPr>
          <w:spacing w:val="2"/>
          <w:lang w:val="es-ES_tradnl"/>
        </w:rPr>
        <w:t>/</w:t>
      </w:r>
      <w:r w:rsidR="00CD20B8" w:rsidRPr="00021737">
        <w:rPr>
          <w:spacing w:val="-1"/>
          <w:lang w:val="es-ES_tradnl"/>
        </w:rPr>
        <w:t>C</w:t>
      </w:r>
      <w:r w:rsidR="00CD20B8" w:rsidRPr="00021737">
        <w:rPr>
          <w:lang w:val="es-ES_tradnl"/>
        </w:rPr>
        <w:t>/</w:t>
      </w:r>
      <w:r w:rsidR="007F502E" w:rsidRPr="00021737">
        <w:rPr>
          <w:lang w:val="es-ES_tradnl"/>
        </w:rPr>
        <w:t>SR</w:t>
      </w:r>
      <w:r w:rsidR="005F7D0E" w:rsidRPr="00021737">
        <w:rPr>
          <w:lang w:val="es-ES_tradnl"/>
        </w:rPr>
        <w:t>.</w:t>
      </w:r>
      <w:r w:rsidR="007F502E" w:rsidRPr="00021737">
        <w:rPr>
          <w:lang w:val="es-ES_tradnl"/>
        </w:rPr>
        <w:t>2620 y 2621</w:t>
      </w:r>
      <w:r w:rsidR="00CD20B8" w:rsidRPr="00021737">
        <w:rPr>
          <w:spacing w:val="1"/>
          <w:lang w:val="es-ES_tradnl"/>
        </w:rPr>
        <w:t>)</w:t>
      </w:r>
      <w:r w:rsidR="00CD20B8" w:rsidRPr="00021737">
        <w:rPr>
          <w:lang w:val="es-ES_tradnl"/>
        </w:rPr>
        <w:t>,</w:t>
      </w:r>
      <w:r w:rsidR="00CD20B8" w:rsidRPr="00021737">
        <w:rPr>
          <w:spacing w:val="12"/>
          <w:lang w:val="es-ES_tradnl"/>
        </w:rPr>
        <w:t xml:space="preserve"> </w:t>
      </w:r>
      <w:r w:rsidR="00CD20B8" w:rsidRPr="00021737">
        <w:rPr>
          <w:spacing w:val="-2"/>
          <w:lang w:val="es-ES_tradnl"/>
        </w:rPr>
        <w:t>c</w:t>
      </w:r>
      <w:r w:rsidR="00CD20B8" w:rsidRPr="00021737">
        <w:rPr>
          <w:lang w:val="es-ES_tradnl"/>
        </w:rPr>
        <w:t>ele</w:t>
      </w:r>
      <w:r w:rsidR="00CD20B8" w:rsidRPr="00021737">
        <w:rPr>
          <w:spacing w:val="2"/>
          <w:lang w:val="es-ES_tradnl"/>
        </w:rPr>
        <w:t>b</w:t>
      </w:r>
      <w:r w:rsidR="00CD20B8" w:rsidRPr="00021737">
        <w:rPr>
          <w:spacing w:val="1"/>
          <w:lang w:val="es-ES_tradnl"/>
        </w:rPr>
        <w:t>r</w:t>
      </w:r>
      <w:r w:rsidR="00CD20B8" w:rsidRPr="00021737">
        <w:rPr>
          <w:lang w:val="es-ES_tradnl"/>
        </w:rPr>
        <w:t>a</w:t>
      </w:r>
      <w:r w:rsidR="00CD20B8" w:rsidRPr="00021737">
        <w:rPr>
          <w:spacing w:val="1"/>
          <w:lang w:val="es-ES_tradnl"/>
        </w:rPr>
        <w:t>d</w:t>
      </w:r>
      <w:r w:rsidR="00CD20B8" w:rsidRPr="00021737">
        <w:rPr>
          <w:lang w:val="es-ES_tradnl"/>
        </w:rPr>
        <w:t>as</w:t>
      </w:r>
      <w:r w:rsidR="00CD20B8" w:rsidRPr="00021737">
        <w:rPr>
          <w:spacing w:val="9"/>
          <w:lang w:val="es-ES_tradnl"/>
        </w:rPr>
        <w:t xml:space="preserve"> </w:t>
      </w:r>
      <w:r w:rsidR="00CD20B8" w:rsidRPr="00021737">
        <w:rPr>
          <w:lang w:val="es-ES_tradnl"/>
        </w:rPr>
        <w:t>l</w:t>
      </w:r>
      <w:r w:rsidR="00CD20B8" w:rsidRPr="00021737">
        <w:rPr>
          <w:spacing w:val="1"/>
          <w:lang w:val="es-ES_tradnl"/>
        </w:rPr>
        <w:t>o</w:t>
      </w:r>
      <w:r w:rsidR="00CD20B8" w:rsidRPr="00021737">
        <w:rPr>
          <w:lang w:val="es-ES_tradnl"/>
        </w:rPr>
        <w:t>s</w:t>
      </w:r>
      <w:r w:rsidR="00CD20B8" w:rsidRPr="00021737">
        <w:rPr>
          <w:spacing w:val="14"/>
          <w:lang w:val="es-ES_tradnl"/>
        </w:rPr>
        <w:t xml:space="preserve"> </w:t>
      </w:r>
      <w:r w:rsidR="00CD20B8" w:rsidRPr="00021737">
        <w:rPr>
          <w:spacing w:val="1"/>
          <w:lang w:val="es-ES_tradnl"/>
        </w:rPr>
        <w:t>d</w:t>
      </w:r>
      <w:r w:rsidR="00CD20B8" w:rsidRPr="00021737">
        <w:rPr>
          <w:lang w:val="es-ES_tradnl"/>
        </w:rPr>
        <w:t>ías</w:t>
      </w:r>
      <w:r w:rsidR="00CD20B8" w:rsidRPr="00021737">
        <w:rPr>
          <w:spacing w:val="14"/>
          <w:lang w:val="es-ES_tradnl"/>
        </w:rPr>
        <w:t xml:space="preserve"> </w:t>
      </w:r>
      <w:r w:rsidR="007F502E" w:rsidRPr="00021737">
        <w:rPr>
          <w:spacing w:val="14"/>
          <w:lang w:val="es-ES_tradnl"/>
        </w:rPr>
        <w:t>25</w:t>
      </w:r>
      <w:r w:rsidR="00184292" w:rsidRPr="00021737">
        <w:rPr>
          <w:spacing w:val="14"/>
          <w:lang w:val="es-ES_tradnl"/>
        </w:rPr>
        <w:t xml:space="preserve"> </w:t>
      </w:r>
      <w:r w:rsidR="00CD20B8" w:rsidRPr="00021737">
        <w:rPr>
          <w:lang w:val="es-ES_tradnl"/>
        </w:rPr>
        <w:t>y</w:t>
      </w:r>
      <w:r w:rsidR="00CD20B8" w:rsidRPr="00021737">
        <w:rPr>
          <w:spacing w:val="15"/>
          <w:lang w:val="es-ES_tradnl"/>
        </w:rPr>
        <w:t xml:space="preserve"> </w:t>
      </w:r>
      <w:r w:rsidR="007F502E" w:rsidRPr="00021737">
        <w:rPr>
          <w:spacing w:val="15"/>
          <w:lang w:val="es-ES_tradnl"/>
        </w:rPr>
        <w:t xml:space="preserve">26 </w:t>
      </w:r>
      <w:r w:rsidR="00CD20B8" w:rsidRPr="00021737">
        <w:rPr>
          <w:spacing w:val="1"/>
          <w:lang w:val="es-ES_tradnl"/>
        </w:rPr>
        <w:t>d</w:t>
      </w:r>
      <w:r w:rsidR="00CD20B8" w:rsidRPr="00021737">
        <w:rPr>
          <w:lang w:val="es-ES_tradnl"/>
        </w:rPr>
        <w:t>e</w:t>
      </w:r>
      <w:r w:rsidR="00CD20B8" w:rsidRPr="00021737">
        <w:rPr>
          <w:spacing w:val="15"/>
          <w:lang w:val="es-ES_tradnl"/>
        </w:rPr>
        <w:t xml:space="preserve"> </w:t>
      </w:r>
      <w:r w:rsidR="00CD20B8" w:rsidRPr="00021737">
        <w:rPr>
          <w:spacing w:val="3"/>
          <w:lang w:val="es-ES_tradnl"/>
        </w:rPr>
        <w:t>a</w:t>
      </w:r>
      <w:r w:rsidR="007F502E" w:rsidRPr="00021737">
        <w:rPr>
          <w:spacing w:val="3"/>
          <w:lang w:val="es-ES_tradnl"/>
        </w:rPr>
        <w:t xml:space="preserve">bril </w:t>
      </w:r>
      <w:r w:rsidR="00CD20B8" w:rsidRPr="00021737">
        <w:rPr>
          <w:spacing w:val="1"/>
          <w:lang w:val="es-ES_tradnl"/>
        </w:rPr>
        <w:t>d</w:t>
      </w:r>
      <w:r w:rsidR="00CD20B8" w:rsidRPr="00021737">
        <w:rPr>
          <w:lang w:val="es-ES_tradnl"/>
        </w:rPr>
        <w:t>e</w:t>
      </w:r>
      <w:r w:rsidR="00CD20B8" w:rsidRPr="00021737">
        <w:rPr>
          <w:spacing w:val="15"/>
          <w:lang w:val="es-ES_tradnl"/>
        </w:rPr>
        <w:t xml:space="preserve"> </w:t>
      </w:r>
      <w:r w:rsidR="007F502E" w:rsidRPr="00021737">
        <w:rPr>
          <w:spacing w:val="15"/>
          <w:lang w:val="es-ES_tradnl"/>
        </w:rPr>
        <w:t>2018</w:t>
      </w:r>
      <w:r w:rsidR="00CD20B8" w:rsidRPr="00021737">
        <w:rPr>
          <w:lang w:val="es-ES_tradnl"/>
        </w:rPr>
        <w:t>.</w:t>
      </w:r>
      <w:r w:rsidR="00CD20B8" w:rsidRPr="00021737">
        <w:rPr>
          <w:spacing w:val="12"/>
          <w:lang w:val="es-ES_tradnl"/>
        </w:rPr>
        <w:t xml:space="preserve"> </w:t>
      </w:r>
      <w:r w:rsidR="00CD20B8" w:rsidRPr="00021737">
        <w:rPr>
          <w:lang w:val="es-ES_tradnl"/>
        </w:rPr>
        <w:t>En</w:t>
      </w:r>
      <w:r w:rsidR="00CD20B8" w:rsidRPr="00021737">
        <w:rPr>
          <w:spacing w:val="14"/>
          <w:lang w:val="es-ES_tradnl"/>
        </w:rPr>
        <w:t xml:space="preserve"> </w:t>
      </w:r>
      <w:r w:rsidR="00BC3291" w:rsidRPr="00021737">
        <w:rPr>
          <w:spacing w:val="2"/>
          <w:lang w:val="es-ES_tradnl"/>
        </w:rPr>
        <w:t>su sesión</w:t>
      </w:r>
      <w:r w:rsidR="00CD20B8" w:rsidRPr="00021737">
        <w:rPr>
          <w:lang w:val="es-ES_tradnl"/>
        </w:rPr>
        <w:t xml:space="preserve"> </w:t>
      </w:r>
      <w:r w:rsidR="00BC3291" w:rsidRPr="00021737">
        <w:rPr>
          <w:lang w:val="es-ES_tradnl"/>
        </w:rPr>
        <w:t>2634</w:t>
      </w:r>
      <w:r w:rsidR="00CD20B8" w:rsidRPr="00021737">
        <w:rPr>
          <w:lang w:val="es-ES_tradnl"/>
        </w:rPr>
        <w:t>ª,</w:t>
      </w:r>
      <w:r w:rsidR="00CD20B8" w:rsidRPr="00021737">
        <w:rPr>
          <w:spacing w:val="4"/>
          <w:lang w:val="es-ES_tradnl"/>
        </w:rPr>
        <w:t xml:space="preserve"> </w:t>
      </w:r>
      <w:r w:rsidR="00CD20B8" w:rsidRPr="00021737">
        <w:rPr>
          <w:lang w:val="es-ES_tradnl"/>
        </w:rPr>
        <w:t>c</w:t>
      </w:r>
      <w:r w:rsidR="00CD20B8" w:rsidRPr="00021737">
        <w:rPr>
          <w:spacing w:val="1"/>
          <w:lang w:val="es-ES_tradnl"/>
        </w:rPr>
        <w:t>e</w:t>
      </w:r>
      <w:r w:rsidR="00CD20B8" w:rsidRPr="00021737">
        <w:rPr>
          <w:lang w:val="es-ES_tradnl"/>
        </w:rPr>
        <w:t>le</w:t>
      </w:r>
      <w:r w:rsidR="00CD20B8" w:rsidRPr="00021737">
        <w:rPr>
          <w:spacing w:val="1"/>
          <w:lang w:val="es-ES_tradnl"/>
        </w:rPr>
        <w:t>br</w:t>
      </w:r>
      <w:r w:rsidR="00CD20B8" w:rsidRPr="00021737">
        <w:rPr>
          <w:lang w:val="es-ES_tradnl"/>
        </w:rPr>
        <w:t>a</w:t>
      </w:r>
      <w:r w:rsidR="00CD20B8" w:rsidRPr="00021737">
        <w:rPr>
          <w:spacing w:val="1"/>
          <w:lang w:val="es-ES_tradnl"/>
        </w:rPr>
        <w:t>d</w:t>
      </w:r>
      <w:r w:rsidR="00CD20B8" w:rsidRPr="00021737">
        <w:rPr>
          <w:lang w:val="es-ES_tradnl"/>
        </w:rPr>
        <w:t xml:space="preserve">a </w:t>
      </w:r>
      <w:r w:rsidR="00BC3291" w:rsidRPr="00021737">
        <w:rPr>
          <w:lang w:val="es-ES_tradnl"/>
        </w:rPr>
        <w:t xml:space="preserve">el </w:t>
      </w:r>
      <w:r w:rsidR="00CD20B8" w:rsidRPr="00021737">
        <w:rPr>
          <w:spacing w:val="1"/>
          <w:lang w:val="es-ES_tradnl"/>
        </w:rPr>
        <w:t>d</w:t>
      </w:r>
      <w:r w:rsidR="00BC3291" w:rsidRPr="00021737">
        <w:rPr>
          <w:lang w:val="es-ES_tradnl"/>
        </w:rPr>
        <w:t>ía 4 de mayo</w:t>
      </w:r>
      <w:r w:rsidR="00CD20B8" w:rsidRPr="00021737">
        <w:rPr>
          <w:spacing w:val="6"/>
          <w:lang w:val="es-ES_tradnl"/>
        </w:rPr>
        <w:t xml:space="preserve"> </w:t>
      </w:r>
      <w:r w:rsidR="00CD20B8" w:rsidRPr="00021737">
        <w:rPr>
          <w:spacing w:val="1"/>
          <w:lang w:val="es-ES_tradnl"/>
        </w:rPr>
        <w:t>d</w:t>
      </w:r>
      <w:r w:rsidR="00CD20B8" w:rsidRPr="00021737">
        <w:rPr>
          <w:lang w:val="es-ES_tradnl"/>
        </w:rPr>
        <w:t>e</w:t>
      </w:r>
      <w:r w:rsidR="00CD20B8" w:rsidRPr="00021737">
        <w:rPr>
          <w:spacing w:val="9"/>
          <w:lang w:val="es-ES_tradnl"/>
        </w:rPr>
        <w:t xml:space="preserve"> </w:t>
      </w:r>
      <w:r w:rsidR="00CD20B8" w:rsidRPr="00021737">
        <w:rPr>
          <w:spacing w:val="1"/>
          <w:lang w:val="es-ES_tradnl"/>
        </w:rPr>
        <w:t>201</w:t>
      </w:r>
      <w:r w:rsidR="00BC3291" w:rsidRPr="00021737">
        <w:rPr>
          <w:spacing w:val="1"/>
          <w:lang w:val="es-ES_tradnl"/>
        </w:rPr>
        <w:t>8</w:t>
      </w:r>
      <w:r w:rsidR="00CD20B8" w:rsidRPr="00021737">
        <w:rPr>
          <w:lang w:val="es-ES_tradnl"/>
        </w:rPr>
        <w:t>,</w:t>
      </w:r>
      <w:r w:rsidR="00CD20B8" w:rsidRPr="00021737">
        <w:rPr>
          <w:spacing w:val="4"/>
          <w:lang w:val="es-ES_tradnl"/>
        </w:rPr>
        <w:t xml:space="preserve"> </w:t>
      </w:r>
      <w:r w:rsidR="00CD20B8" w:rsidRPr="00021737">
        <w:rPr>
          <w:lang w:val="es-ES_tradnl"/>
        </w:rPr>
        <w:t>a</w:t>
      </w:r>
      <w:r w:rsidR="00CD20B8" w:rsidRPr="00021737">
        <w:rPr>
          <w:spacing w:val="-1"/>
          <w:lang w:val="es-ES_tradnl"/>
        </w:rPr>
        <w:t>p</w:t>
      </w:r>
      <w:r w:rsidR="00CD20B8" w:rsidRPr="00021737">
        <w:rPr>
          <w:spacing w:val="1"/>
          <w:lang w:val="es-ES_tradnl"/>
        </w:rPr>
        <w:t>ro</w:t>
      </w:r>
      <w:r w:rsidR="00CD20B8" w:rsidRPr="00021737">
        <w:rPr>
          <w:spacing w:val="-1"/>
          <w:lang w:val="es-ES_tradnl"/>
        </w:rPr>
        <w:t>b</w:t>
      </w:r>
      <w:r w:rsidR="00CD20B8" w:rsidRPr="00021737">
        <w:rPr>
          <w:lang w:val="es-ES_tradnl"/>
        </w:rPr>
        <w:t>ó</w:t>
      </w:r>
      <w:r w:rsidR="00CD20B8" w:rsidRPr="00021737">
        <w:rPr>
          <w:spacing w:val="4"/>
          <w:lang w:val="es-ES_tradnl"/>
        </w:rPr>
        <w:t xml:space="preserve"> </w:t>
      </w:r>
      <w:r w:rsidR="00CD20B8" w:rsidRPr="00021737">
        <w:rPr>
          <w:lang w:val="es-ES_tradnl"/>
        </w:rPr>
        <w:t>las</w:t>
      </w:r>
      <w:r w:rsidR="00CD20B8" w:rsidRPr="00021737">
        <w:rPr>
          <w:spacing w:val="5"/>
          <w:lang w:val="es-ES_tradnl"/>
        </w:rPr>
        <w:t xml:space="preserve"> </w:t>
      </w:r>
      <w:r w:rsidR="00CD20B8" w:rsidRPr="00021737">
        <w:rPr>
          <w:spacing w:val="-1"/>
          <w:lang w:val="es-ES_tradnl"/>
        </w:rPr>
        <w:t>s</w:t>
      </w:r>
      <w:r w:rsidR="00CD20B8" w:rsidRPr="00021737">
        <w:rPr>
          <w:spacing w:val="2"/>
          <w:lang w:val="es-ES_tradnl"/>
        </w:rPr>
        <w:t>i</w:t>
      </w:r>
      <w:r w:rsidR="00CD20B8" w:rsidRPr="00021737">
        <w:rPr>
          <w:spacing w:val="1"/>
          <w:lang w:val="es-ES_tradnl"/>
        </w:rPr>
        <w:t>g</w:t>
      </w:r>
      <w:r w:rsidR="00CD20B8" w:rsidRPr="00021737">
        <w:rPr>
          <w:spacing w:val="-1"/>
          <w:lang w:val="es-ES_tradnl"/>
        </w:rPr>
        <w:t>u</w:t>
      </w:r>
      <w:r w:rsidR="00CD20B8" w:rsidRPr="00021737">
        <w:rPr>
          <w:lang w:val="es-ES_tradnl"/>
        </w:rPr>
        <w:t>i</w:t>
      </w:r>
      <w:r w:rsidR="00CD20B8" w:rsidRPr="00021737">
        <w:rPr>
          <w:spacing w:val="2"/>
          <w:lang w:val="es-ES_tradnl"/>
        </w:rPr>
        <w:t>e</w:t>
      </w:r>
      <w:r w:rsidR="00CD20B8" w:rsidRPr="00021737">
        <w:rPr>
          <w:spacing w:val="-1"/>
          <w:lang w:val="es-ES_tradnl"/>
        </w:rPr>
        <w:t>n</w:t>
      </w:r>
      <w:r w:rsidR="00CD20B8" w:rsidRPr="00021737">
        <w:rPr>
          <w:spacing w:val="2"/>
          <w:lang w:val="es-ES_tradnl"/>
        </w:rPr>
        <w:t>t</w:t>
      </w:r>
      <w:r w:rsidR="00CD20B8" w:rsidRPr="00021737">
        <w:rPr>
          <w:lang w:val="es-ES_tradnl"/>
        </w:rPr>
        <w:t xml:space="preserve">es </w:t>
      </w:r>
      <w:r w:rsidR="00CD20B8" w:rsidRPr="00021737">
        <w:rPr>
          <w:spacing w:val="1"/>
          <w:lang w:val="es-ES_tradnl"/>
        </w:rPr>
        <w:t>ob</w:t>
      </w:r>
      <w:r w:rsidR="00CD20B8" w:rsidRPr="00021737">
        <w:rPr>
          <w:spacing w:val="-1"/>
          <w:lang w:val="es-ES_tradnl"/>
        </w:rPr>
        <w:t>s</w:t>
      </w:r>
      <w:r w:rsidR="00CD20B8" w:rsidRPr="00021737">
        <w:rPr>
          <w:lang w:val="es-ES_tradnl"/>
        </w:rPr>
        <w:t>e</w:t>
      </w:r>
      <w:r w:rsidR="00CD20B8" w:rsidRPr="00021737">
        <w:rPr>
          <w:spacing w:val="1"/>
          <w:lang w:val="es-ES_tradnl"/>
        </w:rPr>
        <w:t>r</w:t>
      </w:r>
      <w:r w:rsidR="00CD20B8" w:rsidRPr="00021737">
        <w:rPr>
          <w:spacing w:val="-1"/>
          <w:lang w:val="es-ES_tradnl"/>
        </w:rPr>
        <w:t>v</w:t>
      </w:r>
      <w:r w:rsidR="00CD20B8" w:rsidRPr="00021737">
        <w:rPr>
          <w:lang w:val="es-ES_tradnl"/>
        </w:rPr>
        <w:t>a</w:t>
      </w:r>
      <w:r w:rsidR="00CD20B8" w:rsidRPr="00021737">
        <w:rPr>
          <w:spacing w:val="1"/>
          <w:lang w:val="es-ES_tradnl"/>
        </w:rPr>
        <w:t>c</w:t>
      </w:r>
      <w:r w:rsidR="00CD20B8" w:rsidRPr="00021737">
        <w:rPr>
          <w:lang w:val="es-ES_tradnl"/>
        </w:rPr>
        <w:t>i</w:t>
      </w:r>
      <w:r w:rsidR="00CD20B8" w:rsidRPr="00021737">
        <w:rPr>
          <w:spacing w:val="1"/>
          <w:lang w:val="es-ES_tradnl"/>
        </w:rPr>
        <w:t>o</w:t>
      </w:r>
      <w:r w:rsidR="00CD20B8" w:rsidRPr="00021737">
        <w:rPr>
          <w:spacing w:val="-1"/>
          <w:lang w:val="es-ES_tradnl"/>
        </w:rPr>
        <w:t>n</w:t>
      </w:r>
      <w:r w:rsidR="00CD20B8" w:rsidRPr="00021737">
        <w:rPr>
          <w:lang w:val="es-ES_tradnl"/>
        </w:rPr>
        <w:t>es</w:t>
      </w:r>
      <w:r w:rsidR="00CD20B8" w:rsidRPr="00021737">
        <w:rPr>
          <w:spacing w:val="-9"/>
          <w:lang w:val="es-ES_tradnl"/>
        </w:rPr>
        <w:t xml:space="preserve"> </w:t>
      </w:r>
      <w:r w:rsidR="00CD20B8" w:rsidRPr="00021737">
        <w:rPr>
          <w:spacing w:val="-2"/>
          <w:lang w:val="es-ES_tradnl"/>
        </w:rPr>
        <w:t>f</w:t>
      </w:r>
      <w:r w:rsidR="00CD20B8" w:rsidRPr="00021737">
        <w:rPr>
          <w:lang w:val="es-ES_tradnl"/>
        </w:rPr>
        <w:t>i</w:t>
      </w:r>
      <w:r w:rsidR="00CD20B8" w:rsidRPr="00021737">
        <w:rPr>
          <w:spacing w:val="-1"/>
          <w:lang w:val="es-ES_tradnl"/>
        </w:rPr>
        <w:t>n</w:t>
      </w:r>
      <w:r w:rsidR="00CD20B8" w:rsidRPr="00021737">
        <w:rPr>
          <w:spacing w:val="3"/>
          <w:lang w:val="es-ES_tradnl"/>
        </w:rPr>
        <w:t>a</w:t>
      </w:r>
      <w:r w:rsidR="00CD20B8" w:rsidRPr="00021737">
        <w:rPr>
          <w:lang w:val="es-ES_tradnl"/>
        </w:rPr>
        <w:t>les.</w:t>
      </w:r>
    </w:p>
    <w:p w14:paraId="67C60142" w14:textId="21DBFC6F" w:rsidR="005220A1" w:rsidRPr="00021737" w:rsidRDefault="005220A1" w:rsidP="005220A1">
      <w:pPr>
        <w:pStyle w:val="H1G"/>
        <w:rPr>
          <w:lang w:val="es-ES_tradnl"/>
        </w:rPr>
      </w:pPr>
      <w:r w:rsidRPr="00021737">
        <w:rPr>
          <w:lang w:val="es-ES_tradnl"/>
        </w:rPr>
        <w:tab/>
        <w:t>A.</w:t>
      </w:r>
      <w:r w:rsidRPr="00021737">
        <w:rPr>
          <w:lang w:val="es-ES_tradnl"/>
        </w:rPr>
        <w:tab/>
        <w:t>Introducción</w:t>
      </w:r>
    </w:p>
    <w:p w14:paraId="322B3B43" w14:textId="538F37A0" w:rsidR="005220A1" w:rsidRPr="00021737" w:rsidRDefault="00021737" w:rsidP="005D6D2E">
      <w:pPr>
        <w:pStyle w:val="SingleTxtG"/>
        <w:rPr>
          <w:lang w:val="es-ES_tradnl"/>
        </w:rPr>
      </w:pPr>
      <w:r w:rsidRPr="005D6D2E">
        <w:rPr>
          <w:lang w:val="es-ES_tradnl"/>
        </w:rPr>
        <w:t>2.</w:t>
      </w:r>
      <w:r w:rsidRPr="005D6D2E">
        <w:rPr>
          <w:lang w:val="es-ES_tradnl"/>
        </w:rPr>
        <w:tab/>
      </w:r>
      <w:r w:rsidR="005220A1" w:rsidRPr="00021737">
        <w:rPr>
          <w:lang w:val="es-ES_tradnl"/>
        </w:rPr>
        <w:t xml:space="preserve">El Comité agradece la presentación de los informes periódicos </w:t>
      </w:r>
      <w:r w:rsidR="00BC3291" w:rsidRPr="00021737">
        <w:rPr>
          <w:lang w:val="es-ES_tradnl"/>
        </w:rPr>
        <w:t>22</w:t>
      </w:r>
      <w:r w:rsidR="00D64E02">
        <w:rPr>
          <w:lang w:val="es-ES_tradnl"/>
        </w:rPr>
        <w:t>º</w:t>
      </w:r>
      <w:r w:rsidR="00BC3291" w:rsidRPr="00021737">
        <w:rPr>
          <w:lang w:val="es-ES_tradnl"/>
        </w:rPr>
        <w:t xml:space="preserve"> y 23</w:t>
      </w:r>
      <w:r w:rsidR="00D64E02">
        <w:rPr>
          <w:lang w:val="es-ES_tradnl"/>
        </w:rPr>
        <w:t>º</w:t>
      </w:r>
      <w:r w:rsidR="005220A1" w:rsidRPr="00021737">
        <w:rPr>
          <w:lang w:val="es-ES_tradnl"/>
        </w:rPr>
        <w:t xml:space="preserve"> </w:t>
      </w:r>
      <w:r w:rsidR="00044D59" w:rsidRPr="00021737">
        <w:rPr>
          <w:lang w:val="es-ES_tradnl"/>
        </w:rPr>
        <w:t xml:space="preserve">combinados </w:t>
      </w:r>
      <w:r w:rsidR="005220A1" w:rsidRPr="00021737">
        <w:rPr>
          <w:lang w:val="es-ES_tradnl"/>
        </w:rPr>
        <w:t xml:space="preserve">del Estado parte. El Comité manifiesta su satisfacción </w:t>
      </w:r>
      <w:r w:rsidR="00044D59" w:rsidRPr="00021737">
        <w:rPr>
          <w:lang w:val="es-ES_tradnl"/>
        </w:rPr>
        <w:t>por</w:t>
      </w:r>
      <w:r w:rsidR="005220A1" w:rsidRPr="00021737">
        <w:rPr>
          <w:lang w:val="es-ES_tradnl"/>
        </w:rPr>
        <w:t xml:space="preserve"> el diálogo abierto y constructivo que mantuvo con la delegación de alto nivel del Estado parte y agradece la información adicional proporcionada después del diálogo. </w:t>
      </w:r>
    </w:p>
    <w:p w14:paraId="3F8D3D9A" w14:textId="3855D2B6" w:rsidR="005220A1" w:rsidRPr="00021737" w:rsidRDefault="005220A1">
      <w:pPr>
        <w:pStyle w:val="H1G"/>
        <w:rPr>
          <w:lang w:val="es-ES_tradnl"/>
        </w:rPr>
      </w:pPr>
      <w:r w:rsidRPr="00021737">
        <w:rPr>
          <w:lang w:val="es-ES_tradnl"/>
        </w:rPr>
        <w:tab/>
        <w:t>B.</w:t>
      </w:r>
      <w:r w:rsidRPr="00021737">
        <w:rPr>
          <w:lang w:val="es-ES_tradnl"/>
        </w:rPr>
        <w:tab/>
        <w:t xml:space="preserve">Aspectos </w:t>
      </w:r>
      <w:r w:rsidR="005F7D0E" w:rsidRPr="00021737">
        <w:rPr>
          <w:lang w:val="es-ES_tradnl"/>
        </w:rPr>
        <w:t>p</w:t>
      </w:r>
      <w:r w:rsidRPr="00021737">
        <w:rPr>
          <w:lang w:val="es-ES_tradnl"/>
        </w:rPr>
        <w:t xml:space="preserve">ositivos </w:t>
      </w:r>
    </w:p>
    <w:p w14:paraId="288102A1" w14:textId="4F8164EF" w:rsidR="00BC3291" w:rsidRPr="00021737" w:rsidRDefault="00021737" w:rsidP="005D6D2E">
      <w:pPr>
        <w:pStyle w:val="SingleTxtG"/>
        <w:rPr>
          <w:lang w:val="es-ES_tradnl"/>
        </w:rPr>
      </w:pPr>
      <w:r w:rsidRPr="005D6D2E">
        <w:rPr>
          <w:lang w:val="es-ES_tradnl"/>
        </w:rPr>
        <w:t>3.</w:t>
      </w:r>
      <w:r w:rsidRPr="005D6D2E">
        <w:rPr>
          <w:lang w:val="es-ES_tradnl"/>
        </w:rPr>
        <w:tab/>
      </w:r>
      <w:r w:rsidR="008D5BC4" w:rsidRPr="00021737">
        <w:rPr>
          <w:lang w:val="es-ES_tradnl"/>
        </w:rPr>
        <w:t xml:space="preserve">El Comité acoge con satisfacción la ratificación del Protocolo Facultativo de la Convención </w:t>
      </w:r>
      <w:r w:rsidR="00073276" w:rsidRPr="00021737">
        <w:rPr>
          <w:lang w:val="es-ES_tradnl"/>
        </w:rPr>
        <w:t>sobr</w:t>
      </w:r>
      <w:r w:rsidR="008D5BC4" w:rsidRPr="00021737">
        <w:rPr>
          <w:lang w:val="es-ES_tradnl"/>
        </w:rPr>
        <w:t xml:space="preserve">e los Derechos del Niño relativo a un procedimiento de comunicaciones, </w:t>
      </w:r>
      <w:r w:rsidR="00044D59" w:rsidRPr="00021737">
        <w:rPr>
          <w:lang w:val="es-ES_tradnl"/>
        </w:rPr>
        <w:t>en</w:t>
      </w:r>
      <w:r w:rsidR="008D5BC4" w:rsidRPr="00021737">
        <w:rPr>
          <w:lang w:val="es-ES_tradnl"/>
        </w:rPr>
        <w:t xml:space="preserve"> enero de 2016. </w:t>
      </w:r>
    </w:p>
    <w:p w14:paraId="784EB17A" w14:textId="393A4F12" w:rsidR="00CD0F36" w:rsidRPr="00021737" w:rsidRDefault="00021737" w:rsidP="005D6D2E">
      <w:pPr>
        <w:pStyle w:val="SingleTxtG"/>
        <w:rPr>
          <w:lang w:val="es-ES_tradnl"/>
        </w:rPr>
      </w:pPr>
      <w:r w:rsidRPr="005D6D2E">
        <w:rPr>
          <w:lang w:val="es-ES_tradnl"/>
        </w:rPr>
        <w:t>4.</w:t>
      </w:r>
      <w:r w:rsidRPr="005D6D2E">
        <w:rPr>
          <w:lang w:val="es-ES_tradnl"/>
        </w:rPr>
        <w:tab/>
      </w:r>
      <w:r w:rsidR="00CD0F36" w:rsidRPr="00021737">
        <w:rPr>
          <w:lang w:val="es-ES_tradnl"/>
        </w:rPr>
        <w:t xml:space="preserve">El Comité acoge con satisfacción las medidas legislativas e institucionales adoptadas por el Estado parte durante el período examinado, en particular: </w:t>
      </w:r>
    </w:p>
    <w:p w14:paraId="7DFB9119" w14:textId="1A5303EA" w:rsidR="00DE4B75" w:rsidRPr="00021737" w:rsidRDefault="00021737" w:rsidP="005D6D2E">
      <w:pPr>
        <w:pStyle w:val="SingleTxtG"/>
        <w:ind w:firstLine="567"/>
        <w:rPr>
          <w:lang w:val="es-ES_tradnl"/>
        </w:rPr>
      </w:pPr>
      <w:r w:rsidRPr="00021737">
        <w:rPr>
          <w:lang w:val="es-ES_tradnl"/>
        </w:rPr>
        <w:t>a)</w:t>
      </w:r>
      <w:r w:rsidRPr="00021737">
        <w:rPr>
          <w:lang w:val="es-ES_tradnl"/>
        </w:rPr>
        <w:tab/>
      </w:r>
      <w:r w:rsidR="00DE4B75" w:rsidRPr="00021737">
        <w:rPr>
          <w:lang w:val="es-ES_tradnl"/>
        </w:rPr>
        <w:t>La adopción de</w:t>
      </w:r>
      <w:r w:rsidR="001F65F8" w:rsidRPr="00021737">
        <w:rPr>
          <w:lang w:val="es-ES_tradnl"/>
        </w:rPr>
        <w:t>l</w:t>
      </w:r>
      <w:r w:rsidR="00DE4B75" w:rsidRPr="00021737">
        <w:rPr>
          <w:lang w:val="es-ES_tradnl"/>
        </w:rPr>
        <w:t xml:space="preserve"> </w:t>
      </w:r>
      <w:r w:rsidR="00BB1EAE">
        <w:rPr>
          <w:lang w:val="es-ES_tradnl"/>
        </w:rPr>
        <w:t>D</w:t>
      </w:r>
      <w:r w:rsidR="001F65F8" w:rsidRPr="00021737">
        <w:rPr>
          <w:lang w:val="es-ES_tradnl"/>
        </w:rPr>
        <w:t xml:space="preserve">ecreto </w:t>
      </w:r>
      <w:r w:rsidR="00BB1EAE">
        <w:rPr>
          <w:lang w:val="es-ES_tradnl"/>
        </w:rPr>
        <w:t>L</w:t>
      </w:r>
      <w:r w:rsidR="001F65F8" w:rsidRPr="00021737">
        <w:rPr>
          <w:lang w:val="es-ES_tradnl"/>
        </w:rPr>
        <w:t xml:space="preserve">egislativo </w:t>
      </w:r>
      <w:r w:rsidR="00BB1EAE">
        <w:rPr>
          <w:lang w:val="es-ES_tradnl"/>
        </w:rPr>
        <w:t xml:space="preserve">núm. </w:t>
      </w:r>
      <w:r w:rsidR="001F65F8" w:rsidRPr="00021737">
        <w:rPr>
          <w:lang w:val="es-ES_tradnl"/>
        </w:rPr>
        <w:t xml:space="preserve">1350, </w:t>
      </w:r>
      <w:r w:rsidR="00073276" w:rsidRPr="00021737">
        <w:rPr>
          <w:lang w:val="es-ES_tradnl"/>
        </w:rPr>
        <w:t>d</w:t>
      </w:r>
      <w:r w:rsidR="001F65F8" w:rsidRPr="00021737">
        <w:rPr>
          <w:lang w:val="es-ES_tradnl"/>
        </w:rPr>
        <w:t xml:space="preserve">ecreto </w:t>
      </w:r>
      <w:r w:rsidR="00073276" w:rsidRPr="00021737">
        <w:rPr>
          <w:lang w:val="es-ES_tradnl"/>
        </w:rPr>
        <w:t>l</w:t>
      </w:r>
      <w:r w:rsidR="001F65F8" w:rsidRPr="00021737">
        <w:rPr>
          <w:lang w:val="es-ES_tradnl"/>
        </w:rPr>
        <w:t>egislativo</w:t>
      </w:r>
      <w:r w:rsidR="00DE4B75" w:rsidRPr="00021737">
        <w:rPr>
          <w:lang w:val="es-ES_tradnl"/>
        </w:rPr>
        <w:t xml:space="preserve"> de </w:t>
      </w:r>
      <w:r w:rsidR="001C7C23" w:rsidRPr="00021737">
        <w:rPr>
          <w:lang w:val="es-ES_tradnl"/>
        </w:rPr>
        <w:t>m</w:t>
      </w:r>
      <w:r w:rsidR="00DE4B75" w:rsidRPr="00021737">
        <w:rPr>
          <w:lang w:val="es-ES_tradnl"/>
        </w:rPr>
        <w:t>igraciones, publicad</w:t>
      </w:r>
      <w:r w:rsidR="00073276" w:rsidRPr="00021737">
        <w:rPr>
          <w:lang w:val="es-ES_tradnl"/>
        </w:rPr>
        <w:t>o</w:t>
      </w:r>
      <w:r w:rsidR="00DE4B75" w:rsidRPr="00021737">
        <w:rPr>
          <w:lang w:val="es-ES_tradnl"/>
        </w:rPr>
        <w:t xml:space="preserve"> en enero de 2017;</w:t>
      </w:r>
    </w:p>
    <w:p w14:paraId="36FA6EFC" w14:textId="489C002D" w:rsidR="00CD0F36" w:rsidRPr="00021737" w:rsidRDefault="00021737" w:rsidP="005D6D2E">
      <w:pPr>
        <w:pStyle w:val="SingleTxtG"/>
        <w:ind w:firstLine="567"/>
        <w:rPr>
          <w:lang w:val="es-ES_tradnl"/>
        </w:rPr>
      </w:pPr>
      <w:r w:rsidRPr="00021737">
        <w:rPr>
          <w:lang w:val="es-ES_tradnl"/>
        </w:rPr>
        <w:t>b)</w:t>
      </w:r>
      <w:r w:rsidRPr="00021737">
        <w:rPr>
          <w:lang w:val="es-ES_tradnl"/>
        </w:rPr>
        <w:tab/>
      </w:r>
      <w:r w:rsidR="005A1D75" w:rsidRPr="00021737">
        <w:rPr>
          <w:lang w:val="es-ES_tradnl"/>
        </w:rPr>
        <w:t xml:space="preserve">La aprobación del Plan Nacional de Derechos Humanos 2018-2021; </w:t>
      </w:r>
    </w:p>
    <w:p w14:paraId="4080799C" w14:textId="4E136A11" w:rsidR="00CD0F36" w:rsidRPr="00021737" w:rsidRDefault="00021737" w:rsidP="005D6D2E">
      <w:pPr>
        <w:pStyle w:val="SingleTxtG"/>
        <w:ind w:firstLine="567"/>
        <w:rPr>
          <w:lang w:val="es-ES_tradnl"/>
        </w:rPr>
      </w:pPr>
      <w:r w:rsidRPr="00021737">
        <w:rPr>
          <w:lang w:val="es-ES_tradnl"/>
        </w:rPr>
        <w:t>c)</w:t>
      </w:r>
      <w:r w:rsidRPr="00021737">
        <w:rPr>
          <w:lang w:val="es-ES_tradnl"/>
        </w:rPr>
        <w:tab/>
      </w:r>
      <w:r w:rsidR="005A1D75" w:rsidRPr="00021737">
        <w:rPr>
          <w:lang w:val="es-ES_tradnl"/>
        </w:rPr>
        <w:t>La aprobación del Plan Nacional de Desarrollo para la Población Afro</w:t>
      </w:r>
      <w:r w:rsidR="001F65F8" w:rsidRPr="00021737">
        <w:rPr>
          <w:lang w:val="es-ES_tradnl"/>
        </w:rPr>
        <w:t>peruana</w:t>
      </w:r>
      <w:r w:rsidR="005A1D75" w:rsidRPr="00021737">
        <w:rPr>
          <w:lang w:val="es-ES_tradnl"/>
        </w:rPr>
        <w:t xml:space="preserve"> 2016-202</w:t>
      </w:r>
      <w:r w:rsidR="00EB52D6" w:rsidRPr="00021737">
        <w:rPr>
          <w:lang w:val="es-ES_tradnl"/>
        </w:rPr>
        <w:t>0</w:t>
      </w:r>
      <w:r w:rsidR="005A1D75" w:rsidRPr="00021737">
        <w:rPr>
          <w:lang w:val="es-ES_tradnl"/>
        </w:rPr>
        <w:t xml:space="preserve">; </w:t>
      </w:r>
      <w:r w:rsidR="00D8062C" w:rsidRPr="00021737">
        <w:rPr>
          <w:lang w:val="es-ES_tradnl"/>
        </w:rPr>
        <w:t xml:space="preserve"> </w:t>
      </w:r>
    </w:p>
    <w:p w14:paraId="1BC63B21" w14:textId="59D8F74D" w:rsidR="00401BE7" w:rsidRPr="00021737" w:rsidRDefault="00021737" w:rsidP="005D6D2E">
      <w:pPr>
        <w:pStyle w:val="SingleTxtG"/>
        <w:ind w:firstLine="567"/>
        <w:rPr>
          <w:lang w:val="es-ES_tradnl"/>
        </w:rPr>
      </w:pPr>
      <w:r w:rsidRPr="00021737">
        <w:rPr>
          <w:lang w:val="es-ES_tradnl"/>
        </w:rPr>
        <w:t>d)</w:t>
      </w:r>
      <w:r w:rsidRPr="00021737">
        <w:rPr>
          <w:lang w:val="es-ES_tradnl"/>
        </w:rPr>
        <w:tab/>
      </w:r>
      <w:r w:rsidR="00401BE7" w:rsidRPr="00021737">
        <w:rPr>
          <w:lang w:val="es-ES_tradnl"/>
        </w:rPr>
        <w:t xml:space="preserve">La aprobación de la Política Nacional para la Transversalización del Enfoque Intercultural; </w:t>
      </w:r>
    </w:p>
    <w:p w14:paraId="1ED71238" w14:textId="13860DB6" w:rsidR="00257077" w:rsidRPr="00021737" w:rsidRDefault="00021737" w:rsidP="005D6D2E">
      <w:pPr>
        <w:pStyle w:val="SingleTxtG"/>
        <w:ind w:firstLine="567"/>
        <w:rPr>
          <w:lang w:val="es-ES_tradnl"/>
        </w:rPr>
      </w:pPr>
      <w:r w:rsidRPr="00021737">
        <w:rPr>
          <w:lang w:val="es-ES_tradnl"/>
        </w:rPr>
        <w:t>e)</w:t>
      </w:r>
      <w:r w:rsidRPr="00021737">
        <w:rPr>
          <w:lang w:val="es-ES_tradnl"/>
        </w:rPr>
        <w:tab/>
      </w:r>
      <w:r w:rsidR="00257077" w:rsidRPr="00021737">
        <w:rPr>
          <w:lang w:val="es-ES_tradnl"/>
        </w:rPr>
        <w:t>La aprobación de la Política</w:t>
      </w:r>
      <w:r w:rsidR="001F65F8" w:rsidRPr="00021737">
        <w:rPr>
          <w:lang w:val="es-ES_tradnl"/>
        </w:rPr>
        <w:t xml:space="preserve"> Sectorial</w:t>
      </w:r>
      <w:r w:rsidR="00257077" w:rsidRPr="00021737">
        <w:rPr>
          <w:lang w:val="es-ES_tradnl"/>
        </w:rPr>
        <w:t xml:space="preserve"> de Educación Intercultural Bilingüe y del Plan Nacional de Educación Intercultural Bilingüe </w:t>
      </w:r>
      <w:r w:rsidR="001F65F8" w:rsidRPr="00021737">
        <w:rPr>
          <w:lang w:val="es-ES_tradnl"/>
        </w:rPr>
        <w:t>al 2021</w:t>
      </w:r>
      <w:r w:rsidR="00BB7070" w:rsidRPr="00021737">
        <w:rPr>
          <w:lang w:val="es-ES_tradnl"/>
        </w:rPr>
        <w:t>.</w:t>
      </w:r>
    </w:p>
    <w:p w14:paraId="3BE2AEC8" w14:textId="2573156B" w:rsidR="00D8062C" w:rsidRPr="00021737" w:rsidRDefault="00021737" w:rsidP="005D6D2E">
      <w:pPr>
        <w:pStyle w:val="SingleTxtG"/>
        <w:rPr>
          <w:lang w:val="es-ES_tradnl"/>
        </w:rPr>
      </w:pPr>
      <w:r w:rsidRPr="005D6D2E">
        <w:rPr>
          <w:lang w:val="es-ES_tradnl"/>
        </w:rPr>
        <w:t>5.</w:t>
      </w:r>
      <w:r w:rsidRPr="005D6D2E">
        <w:rPr>
          <w:lang w:val="es-ES_tradnl"/>
        </w:rPr>
        <w:tab/>
      </w:r>
      <w:r w:rsidR="00D8062C" w:rsidRPr="00021737">
        <w:rPr>
          <w:lang w:val="es-ES_tradnl"/>
        </w:rPr>
        <w:t>El Comité celebra la realización de</w:t>
      </w:r>
      <w:r w:rsidR="001F65F8" w:rsidRPr="00021737">
        <w:rPr>
          <w:lang w:val="es-ES_tradnl"/>
        </w:rPr>
        <w:t xml:space="preserve"> </w:t>
      </w:r>
      <w:r w:rsidR="00D8062C" w:rsidRPr="00021737">
        <w:rPr>
          <w:lang w:val="es-ES_tradnl"/>
        </w:rPr>
        <w:t>l</w:t>
      </w:r>
      <w:r w:rsidR="001F65F8" w:rsidRPr="00021737">
        <w:rPr>
          <w:lang w:val="es-ES_tradnl"/>
        </w:rPr>
        <w:t>os</w:t>
      </w:r>
      <w:r w:rsidR="00D8062C" w:rsidRPr="00021737">
        <w:rPr>
          <w:lang w:val="es-ES_tradnl"/>
        </w:rPr>
        <w:t xml:space="preserve"> Censo</w:t>
      </w:r>
      <w:r w:rsidR="001F65F8" w:rsidRPr="00021737">
        <w:rPr>
          <w:lang w:val="es-ES_tradnl"/>
        </w:rPr>
        <w:t>s</w:t>
      </w:r>
      <w:r w:rsidR="00D8062C" w:rsidRPr="00021737">
        <w:rPr>
          <w:lang w:val="es-ES_tradnl"/>
        </w:rPr>
        <w:t xml:space="preserve"> Nacional</w:t>
      </w:r>
      <w:r w:rsidR="001F65F8" w:rsidRPr="00021737">
        <w:rPr>
          <w:lang w:val="es-ES_tradnl"/>
        </w:rPr>
        <w:t>es 2017: XII</w:t>
      </w:r>
      <w:r w:rsidR="00D8062C" w:rsidRPr="00021737">
        <w:rPr>
          <w:lang w:val="es-ES_tradnl"/>
        </w:rPr>
        <w:t xml:space="preserve"> de Población</w:t>
      </w:r>
      <w:r w:rsidR="001F65F8" w:rsidRPr="00021737">
        <w:rPr>
          <w:lang w:val="es-ES_tradnl"/>
        </w:rPr>
        <w:t>,</w:t>
      </w:r>
      <w:r w:rsidR="00C321D8" w:rsidRPr="00021737">
        <w:rPr>
          <w:lang w:val="es-ES_tradnl"/>
        </w:rPr>
        <w:t xml:space="preserve"> </w:t>
      </w:r>
      <w:r w:rsidR="001F65F8" w:rsidRPr="00021737">
        <w:rPr>
          <w:lang w:val="es-ES_tradnl"/>
        </w:rPr>
        <w:t xml:space="preserve">VII de </w:t>
      </w:r>
      <w:r w:rsidR="00C321D8" w:rsidRPr="00021737">
        <w:rPr>
          <w:lang w:val="es-ES_tradnl"/>
        </w:rPr>
        <w:t>Vivienda</w:t>
      </w:r>
      <w:r w:rsidR="00D8062C" w:rsidRPr="00021737">
        <w:rPr>
          <w:lang w:val="es-ES_tradnl"/>
        </w:rPr>
        <w:t xml:space="preserve"> </w:t>
      </w:r>
      <w:r w:rsidR="001F65F8" w:rsidRPr="00021737">
        <w:rPr>
          <w:lang w:val="es-ES_tradnl"/>
        </w:rPr>
        <w:t>y III de Comunidades Indígenas</w:t>
      </w:r>
      <w:r w:rsidR="00D8062C" w:rsidRPr="00021737">
        <w:rPr>
          <w:lang w:val="es-ES_tradnl"/>
        </w:rPr>
        <w:t xml:space="preserve">, el cual por primera vez incluyó la variable étnico-racial sobre la base </w:t>
      </w:r>
      <w:r w:rsidR="00A90828" w:rsidRPr="00021737">
        <w:rPr>
          <w:lang w:val="es-ES_tradnl"/>
        </w:rPr>
        <w:t>de</w:t>
      </w:r>
      <w:r w:rsidR="00927647" w:rsidRPr="00021737">
        <w:rPr>
          <w:lang w:val="es-ES_tradnl"/>
        </w:rPr>
        <w:t xml:space="preserve"> </w:t>
      </w:r>
      <w:r w:rsidR="00A90828" w:rsidRPr="00021737">
        <w:rPr>
          <w:lang w:val="es-ES_tradnl"/>
        </w:rPr>
        <w:t>l</w:t>
      </w:r>
      <w:r w:rsidR="00927647" w:rsidRPr="00021737">
        <w:rPr>
          <w:lang w:val="es-ES_tradnl"/>
        </w:rPr>
        <w:t>a</w:t>
      </w:r>
      <w:r w:rsidR="00D8062C" w:rsidRPr="00021737">
        <w:rPr>
          <w:lang w:val="es-ES_tradnl"/>
        </w:rPr>
        <w:t xml:space="preserve"> </w:t>
      </w:r>
      <w:r w:rsidR="00A90828" w:rsidRPr="00021737">
        <w:rPr>
          <w:lang w:val="es-ES_tradnl"/>
        </w:rPr>
        <w:t>autoidentificación</w:t>
      </w:r>
      <w:r w:rsidR="00D8062C" w:rsidRPr="00021737">
        <w:rPr>
          <w:lang w:val="es-ES_tradnl"/>
        </w:rPr>
        <w:t xml:space="preserve">, permitiendo tener mayor información sobre la composición demográfica del Estado parte. </w:t>
      </w:r>
    </w:p>
    <w:p w14:paraId="02581097" w14:textId="77777777" w:rsidR="003F2EFE" w:rsidRPr="00021737" w:rsidRDefault="003F2EFE" w:rsidP="003F2EFE">
      <w:pPr>
        <w:pStyle w:val="H1G"/>
        <w:rPr>
          <w:lang w:val="es-ES_tradnl"/>
        </w:rPr>
      </w:pPr>
      <w:r w:rsidRPr="00021737">
        <w:rPr>
          <w:lang w:val="es-ES_tradnl"/>
        </w:rPr>
        <w:lastRenderedPageBreak/>
        <w:tab/>
        <w:t>C.</w:t>
      </w:r>
      <w:r w:rsidRPr="00021737">
        <w:rPr>
          <w:lang w:val="es-ES_tradnl"/>
        </w:rPr>
        <w:tab/>
        <w:t>Motivos de preocupación y recomendaciones</w:t>
      </w:r>
    </w:p>
    <w:p w14:paraId="078133D8" w14:textId="77777777" w:rsidR="00CA54B5" w:rsidRPr="00021737" w:rsidRDefault="003F2EFE" w:rsidP="00280D13">
      <w:pPr>
        <w:keepNext/>
        <w:keepLines/>
        <w:tabs>
          <w:tab w:val="right" w:pos="851"/>
        </w:tabs>
        <w:suppressAutoHyphens/>
        <w:spacing w:before="240" w:after="120" w:line="240" w:lineRule="exact"/>
        <w:ind w:left="1134" w:right="1134" w:hanging="1134"/>
        <w:rPr>
          <w:b/>
          <w:lang w:val="es-ES_tradnl"/>
        </w:rPr>
      </w:pPr>
      <w:r w:rsidRPr="00021737">
        <w:rPr>
          <w:lang w:val="es-ES_tradnl"/>
        </w:rPr>
        <w:tab/>
      </w:r>
      <w:r w:rsidR="0096333A" w:rsidRPr="00021737">
        <w:rPr>
          <w:lang w:val="es-ES_tradnl"/>
        </w:rPr>
        <w:tab/>
      </w:r>
      <w:r w:rsidR="00A72802" w:rsidRPr="00021737">
        <w:rPr>
          <w:b/>
          <w:lang w:val="es-ES_tradnl"/>
        </w:rPr>
        <w:t>I</w:t>
      </w:r>
      <w:r w:rsidR="00A75F00" w:rsidRPr="00021737">
        <w:rPr>
          <w:b/>
          <w:lang w:val="es-ES_tradnl"/>
        </w:rPr>
        <w:t>nformación estadística</w:t>
      </w:r>
    </w:p>
    <w:p w14:paraId="02AEA7C9" w14:textId="1D415C8C" w:rsidR="00CA54B5" w:rsidRPr="00021737" w:rsidRDefault="00021737" w:rsidP="005D6D2E">
      <w:pPr>
        <w:pStyle w:val="SingleTxtG"/>
        <w:rPr>
          <w:b/>
          <w:lang w:val="es-ES_tradnl"/>
        </w:rPr>
      </w:pPr>
      <w:r w:rsidRPr="005D6D2E">
        <w:rPr>
          <w:lang w:val="es-ES_tradnl"/>
        </w:rPr>
        <w:t>6.</w:t>
      </w:r>
      <w:r w:rsidRPr="005D6D2E">
        <w:rPr>
          <w:lang w:val="es-ES_tradnl"/>
        </w:rPr>
        <w:tab/>
      </w:r>
      <w:r w:rsidR="00002EDA" w:rsidRPr="00021737">
        <w:rPr>
          <w:lang w:val="es-ES_tradnl"/>
        </w:rPr>
        <w:t>Si bien el Comité reconoce</w:t>
      </w:r>
      <w:r w:rsidR="00CA54B5" w:rsidRPr="00021737">
        <w:rPr>
          <w:lang w:val="es-ES_tradnl"/>
        </w:rPr>
        <w:t xml:space="preserve"> la introducción de la variable étnico-racial en el último censo, le preocupa que aún no </w:t>
      </w:r>
      <w:r w:rsidR="00694B17" w:rsidRPr="00021737">
        <w:rPr>
          <w:lang w:val="es-ES_tradnl"/>
        </w:rPr>
        <w:t xml:space="preserve">se </w:t>
      </w:r>
      <w:r w:rsidR="00CA54B5" w:rsidRPr="00021737">
        <w:rPr>
          <w:lang w:val="es-ES_tradnl"/>
        </w:rPr>
        <w:t xml:space="preserve">haya introducido esta variable de manera sistemática en la recopilación de datos que llevan a cabo las diferentes instituciones públicas, lo cual limita la posibilidad de generar datos e indicadores fiables que permitan tener una visión clara y objetiva de las necesidades de todos los grupos </w:t>
      </w:r>
      <w:r w:rsidR="000E30F1" w:rsidRPr="00021737">
        <w:rPr>
          <w:lang w:val="es-ES_tradnl"/>
        </w:rPr>
        <w:t xml:space="preserve">étnicos </w:t>
      </w:r>
      <w:r w:rsidR="00CA54B5" w:rsidRPr="00021737">
        <w:rPr>
          <w:lang w:val="es-ES_tradnl"/>
        </w:rPr>
        <w:t>de la población.</w:t>
      </w:r>
      <w:r w:rsidR="008348A8" w:rsidRPr="00021737">
        <w:rPr>
          <w:lang w:val="es-ES_tradnl"/>
        </w:rPr>
        <w:t xml:space="preserve"> El Comité lamenta no contar con información detallada sobre la situación de la población romaní en el Estado parte.</w:t>
      </w:r>
    </w:p>
    <w:p w14:paraId="01678AFA" w14:textId="3BE10EF3" w:rsidR="000E30F1" w:rsidRPr="00021737" w:rsidRDefault="00021737" w:rsidP="005D6D2E">
      <w:pPr>
        <w:pStyle w:val="SingleTxtG"/>
        <w:rPr>
          <w:b/>
          <w:bCs/>
          <w:lang w:val="es-ES_tradnl"/>
        </w:rPr>
      </w:pPr>
      <w:r w:rsidRPr="005D6D2E">
        <w:rPr>
          <w:bCs/>
          <w:lang w:val="es-ES_tradnl"/>
        </w:rPr>
        <w:t>7.</w:t>
      </w:r>
      <w:r w:rsidRPr="005D6D2E">
        <w:rPr>
          <w:bCs/>
          <w:lang w:val="es-ES_tradnl"/>
        </w:rPr>
        <w:tab/>
      </w:r>
      <w:r w:rsidR="000E30F1" w:rsidRPr="00021737">
        <w:rPr>
          <w:b/>
          <w:lang w:val="es-ES_tradnl"/>
        </w:rPr>
        <w:t>El Com</w:t>
      </w:r>
      <w:r w:rsidR="00002EDA" w:rsidRPr="00021737">
        <w:rPr>
          <w:b/>
          <w:lang w:val="es-ES_tradnl"/>
        </w:rPr>
        <w:t xml:space="preserve">ité recomienda al Estado parte </w:t>
      </w:r>
      <w:r w:rsidR="000E30F1" w:rsidRPr="00021737">
        <w:rPr>
          <w:b/>
          <w:lang w:val="es-ES_tradnl"/>
        </w:rPr>
        <w:t xml:space="preserve">que las instituciones públicas correspondientes incluyan </w:t>
      </w:r>
      <w:r w:rsidR="00002EDA" w:rsidRPr="00021737">
        <w:rPr>
          <w:b/>
          <w:lang w:val="es-ES_tradnl"/>
        </w:rPr>
        <w:t>sistemáticamente la variable étnico-racial en</w:t>
      </w:r>
      <w:r w:rsidR="002373D5" w:rsidRPr="00021737">
        <w:rPr>
          <w:b/>
          <w:lang w:val="es-ES_tradnl"/>
        </w:rPr>
        <w:t xml:space="preserve"> los registros administrativos y en</w:t>
      </w:r>
      <w:r w:rsidR="00002EDA" w:rsidRPr="00021737">
        <w:rPr>
          <w:b/>
          <w:lang w:val="es-ES_tradnl"/>
        </w:rPr>
        <w:t xml:space="preserve"> la</w:t>
      </w:r>
      <w:r w:rsidR="000E30F1" w:rsidRPr="00021737">
        <w:rPr>
          <w:b/>
          <w:lang w:val="es-ES_tradnl"/>
        </w:rPr>
        <w:t xml:space="preserve"> recopilación</w:t>
      </w:r>
      <w:r w:rsidR="00002EDA" w:rsidRPr="00021737">
        <w:rPr>
          <w:b/>
          <w:lang w:val="es-ES_tradnl"/>
        </w:rPr>
        <w:t xml:space="preserve"> de datos</w:t>
      </w:r>
      <w:r w:rsidR="000E30F1" w:rsidRPr="00021737">
        <w:rPr>
          <w:b/>
          <w:lang w:val="es-ES_tradnl"/>
        </w:rPr>
        <w:t>.</w:t>
      </w:r>
      <w:r w:rsidR="00694B17" w:rsidRPr="00021737">
        <w:rPr>
          <w:b/>
          <w:lang w:val="es-ES_tradnl"/>
        </w:rPr>
        <w:t xml:space="preserve"> </w:t>
      </w:r>
      <w:r w:rsidR="00002EDA" w:rsidRPr="00021737">
        <w:rPr>
          <w:b/>
          <w:lang w:val="es-ES_tradnl"/>
        </w:rPr>
        <w:t>Asimismo, le</w:t>
      </w:r>
      <w:r w:rsidR="002373D5" w:rsidRPr="00021737">
        <w:rPr>
          <w:b/>
          <w:lang w:val="es-ES_tradnl"/>
        </w:rPr>
        <w:t xml:space="preserve"> alienta a que a partir de</w:t>
      </w:r>
      <w:r w:rsidR="001F65F8" w:rsidRPr="00021737">
        <w:rPr>
          <w:b/>
          <w:lang w:val="es-ES_tradnl"/>
        </w:rPr>
        <w:t xml:space="preserve"> </w:t>
      </w:r>
      <w:r w:rsidR="002373D5" w:rsidRPr="00021737">
        <w:rPr>
          <w:b/>
          <w:lang w:val="es-ES_tradnl"/>
        </w:rPr>
        <w:t>l</w:t>
      </w:r>
      <w:r w:rsidR="001F65F8" w:rsidRPr="00021737">
        <w:rPr>
          <w:b/>
          <w:lang w:val="es-ES_tradnl"/>
        </w:rPr>
        <w:t>os</w:t>
      </w:r>
      <w:r w:rsidR="002373D5" w:rsidRPr="00021737">
        <w:rPr>
          <w:b/>
          <w:lang w:val="es-ES_tradnl"/>
        </w:rPr>
        <w:t xml:space="preserve"> Censo</w:t>
      </w:r>
      <w:r w:rsidR="001F65F8" w:rsidRPr="00021737">
        <w:rPr>
          <w:b/>
          <w:lang w:val="es-ES_tradnl"/>
        </w:rPr>
        <w:t>s</w:t>
      </w:r>
      <w:r w:rsidR="002373D5" w:rsidRPr="00021737">
        <w:rPr>
          <w:b/>
          <w:lang w:val="es-ES_tradnl"/>
        </w:rPr>
        <w:t xml:space="preserve"> Nacional</w:t>
      </w:r>
      <w:r w:rsidR="001F65F8" w:rsidRPr="00021737">
        <w:rPr>
          <w:b/>
          <w:lang w:val="es-ES_tradnl"/>
        </w:rPr>
        <w:t>es</w:t>
      </w:r>
      <w:r w:rsidR="002373D5" w:rsidRPr="00021737">
        <w:rPr>
          <w:b/>
          <w:lang w:val="es-ES_tradnl"/>
        </w:rPr>
        <w:t xml:space="preserve"> </w:t>
      </w:r>
      <w:r w:rsidR="001F65F8" w:rsidRPr="00021737">
        <w:rPr>
          <w:b/>
          <w:lang w:val="es-ES_tradnl"/>
        </w:rPr>
        <w:t>2017</w:t>
      </w:r>
      <w:r w:rsidR="00EB52D6" w:rsidRPr="00021737">
        <w:rPr>
          <w:b/>
          <w:lang w:val="es-ES_tradnl"/>
        </w:rPr>
        <w:t>:</w:t>
      </w:r>
      <w:r w:rsidR="001F65F8" w:rsidRPr="00021737">
        <w:rPr>
          <w:b/>
          <w:lang w:val="es-ES_tradnl"/>
        </w:rPr>
        <w:t xml:space="preserve"> XII de </w:t>
      </w:r>
      <w:r w:rsidR="002373D5" w:rsidRPr="00021737">
        <w:rPr>
          <w:b/>
          <w:lang w:val="es-ES_tradnl"/>
        </w:rPr>
        <w:t>Población</w:t>
      </w:r>
      <w:r w:rsidR="001F65F8" w:rsidRPr="00021737">
        <w:rPr>
          <w:b/>
          <w:lang w:val="es-ES_tradnl"/>
        </w:rPr>
        <w:t xml:space="preserve">, VII de </w:t>
      </w:r>
      <w:r w:rsidR="002373D5" w:rsidRPr="00021737">
        <w:rPr>
          <w:b/>
          <w:lang w:val="es-ES_tradnl"/>
        </w:rPr>
        <w:t xml:space="preserve">Vivienda </w:t>
      </w:r>
      <w:r w:rsidR="001F65F8" w:rsidRPr="00021737">
        <w:rPr>
          <w:b/>
          <w:lang w:val="es-ES_tradnl"/>
        </w:rPr>
        <w:t xml:space="preserve">y III </w:t>
      </w:r>
      <w:r w:rsidR="002373D5" w:rsidRPr="00021737">
        <w:rPr>
          <w:b/>
          <w:lang w:val="es-ES_tradnl"/>
        </w:rPr>
        <w:t>de</w:t>
      </w:r>
      <w:r w:rsidR="001F65F8" w:rsidRPr="00021737">
        <w:rPr>
          <w:b/>
          <w:lang w:val="es-ES_tradnl"/>
        </w:rPr>
        <w:t xml:space="preserve"> Comunidades Indígenas</w:t>
      </w:r>
      <w:r w:rsidR="002373D5" w:rsidRPr="00021737">
        <w:rPr>
          <w:b/>
          <w:lang w:val="es-ES_tradnl"/>
        </w:rPr>
        <w:t xml:space="preserve"> lleve a cabo estudios postcensales y le</w:t>
      </w:r>
      <w:r w:rsidR="000E30F1" w:rsidRPr="00021737">
        <w:rPr>
          <w:b/>
          <w:lang w:val="es-ES_tradnl"/>
        </w:rPr>
        <w:t xml:space="preserve"> solicita que en su próximo informe proporcione datos estadísticos fi</w:t>
      </w:r>
      <w:r w:rsidR="00002EDA" w:rsidRPr="00021737">
        <w:rPr>
          <w:b/>
          <w:lang w:val="es-ES_tradnl"/>
        </w:rPr>
        <w:t>ables, actualizados y completos, así como indicadores de derechos humanos y socioeconómicos desglosados por raza, color, ascendencia, origen nacional o étnico, desglosándolos luego por género, edad, regiones, zonas urbanas y rurales, incluyendo las más remotas</w:t>
      </w:r>
      <w:r w:rsidR="000E30F1" w:rsidRPr="00021737">
        <w:rPr>
          <w:b/>
          <w:lang w:val="es-ES_tradnl"/>
        </w:rPr>
        <w:t>.</w:t>
      </w:r>
      <w:r w:rsidR="00CC3406" w:rsidRPr="00021737">
        <w:rPr>
          <w:b/>
          <w:lang w:val="es-ES_tradnl"/>
        </w:rPr>
        <w:t xml:space="preserve"> Asimismo, le solicita </w:t>
      </w:r>
      <w:r w:rsidR="00CC3406" w:rsidRPr="00021737">
        <w:rPr>
          <w:b/>
          <w:bCs/>
        </w:rPr>
        <w:t xml:space="preserve">información estadística e indicadores socioeconómicos sobre la población romaní en el Estado parte. </w:t>
      </w:r>
      <w:r w:rsidR="00291277" w:rsidRPr="00021737">
        <w:rPr>
          <w:b/>
          <w:lang w:val="es-ES_tradnl"/>
        </w:rPr>
        <w:t xml:space="preserve">En este sentido, le remite a su </w:t>
      </w:r>
      <w:r w:rsidR="008177D9" w:rsidRPr="00021737">
        <w:rPr>
          <w:b/>
          <w:lang w:val="es-ES_tradnl"/>
        </w:rPr>
        <w:t>r</w:t>
      </w:r>
      <w:r w:rsidR="00291277" w:rsidRPr="00021737">
        <w:rPr>
          <w:b/>
          <w:lang w:val="es-ES_tradnl"/>
        </w:rPr>
        <w:t xml:space="preserve">ecomendación general </w:t>
      </w:r>
      <w:r w:rsidR="008177D9" w:rsidRPr="00021737">
        <w:rPr>
          <w:b/>
          <w:lang w:val="es-ES_tradnl"/>
        </w:rPr>
        <w:t>núm.</w:t>
      </w:r>
      <w:r w:rsidR="00291277" w:rsidRPr="00021737">
        <w:rPr>
          <w:b/>
          <w:lang w:val="es-ES_tradnl"/>
        </w:rPr>
        <w:t xml:space="preserve"> 4 (1973)</w:t>
      </w:r>
      <w:r w:rsidR="00E21656" w:rsidRPr="00021737">
        <w:rPr>
          <w:b/>
          <w:lang w:val="es-ES_tradnl"/>
        </w:rPr>
        <w:t xml:space="preserve"> sobre la presentación de informes por los Estados partes, en cuanto a </w:t>
      </w:r>
      <w:r w:rsidR="00291277" w:rsidRPr="00021737">
        <w:rPr>
          <w:b/>
          <w:lang w:val="es-ES_tradnl"/>
        </w:rPr>
        <w:t>la composición demográfica de la población.</w:t>
      </w:r>
    </w:p>
    <w:p w14:paraId="7C4B4F8C" w14:textId="11355660" w:rsidR="00A87E10" w:rsidRPr="00021737" w:rsidRDefault="00F51C01" w:rsidP="00F51C01">
      <w:pPr>
        <w:pStyle w:val="H23G"/>
        <w:rPr>
          <w:lang w:val="es-ES_tradnl"/>
        </w:rPr>
      </w:pPr>
      <w:r w:rsidRPr="00021737">
        <w:rPr>
          <w:lang w:val="es-ES_tradnl"/>
        </w:rPr>
        <w:tab/>
      </w:r>
      <w:r w:rsidRPr="00021737">
        <w:rPr>
          <w:lang w:val="es-ES_tradnl"/>
        </w:rPr>
        <w:tab/>
      </w:r>
      <w:r w:rsidR="000D2C29" w:rsidRPr="00021737">
        <w:rPr>
          <w:lang w:val="es-ES_tradnl"/>
        </w:rPr>
        <w:t>Medidas legislativas</w:t>
      </w:r>
    </w:p>
    <w:p w14:paraId="703796AB" w14:textId="664D42C5" w:rsidR="00384F1A" w:rsidRPr="00021737" w:rsidRDefault="00021737" w:rsidP="005D6D2E">
      <w:pPr>
        <w:pStyle w:val="SingleTxtG"/>
        <w:rPr>
          <w:b/>
          <w:lang w:val="es-ES_tradnl"/>
        </w:rPr>
      </w:pPr>
      <w:r w:rsidRPr="005D6D2E">
        <w:rPr>
          <w:lang w:val="es-ES_tradnl"/>
        </w:rPr>
        <w:t>8.</w:t>
      </w:r>
      <w:r w:rsidRPr="005D6D2E">
        <w:rPr>
          <w:lang w:val="es-ES_tradnl"/>
        </w:rPr>
        <w:tab/>
      </w:r>
      <w:r w:rsidR="00002EDA" w:rsidRPr="00021737">
        <w:rPr>
          <w:lang w:val="es-ES_tradnl"/>
        </w:rPr>
        <w:t xml:space="preserve">El Comité lamenta que el Estado parte </w:t>
      </w:r>
      <w:r w:rsidR="000D2C29" w:rsidRPr="00021737">
        <w:rPr>
          <w:lang w:val="es-ES_tradnl"/>
        </w:rPr>
        <w:t xml:space="preserve">aún no </w:t>
      </w:r>
      <w:r w:rsidR="00BB7070" w:rsidRPr="00021737">
        <w:rPr>
          <w:lang w:val="es-ES_tradnl"/>
        </w:rPr>
        <w:t>haya incluido</w:t>
      </w:r>
      <w:r w:rsidR="00002EDA" w:rsidRPr="00021737">
        <w:rPr>
          <w:lang w:val="es-ES_tradnl"/>
        </w:rPr>
        <w:t xml:space="preserve"> en su legislación</w:t>
      </w:r>
      <w:r w:rsidR="000D2C29" w:rsidRPr="00021737">
        <w:rPr>
          <w:lang w:val="es-ES_tradnl"/>
        </w:rPr>
        <w:t xml:space="preserve"> una definición </w:t>
      </w:r>
      <w:r w:rsidR="00002EDA" w:rsidRPr="00021737">
        <w:rPr>
          <w:lang w:val="es-ES_tradnl"/>
        </w:rPr>
        <w:t xml:space="preserve">y prohibición </w:t>
      </w:r>
      <w:r w:rsidR="000D2C29" w:rsidRPr="00021737">
        <w:rPr>
          <w:lang w:val="es-ES_tradnl"/>
        </w:rPr>
        <w:t xml:space="preserve">explícita de </w:t>
      </w:r>
      <w:r w:rsidR="00256113" w:rsidRPr="00021737">
        <w:rPr>
          <w:lang w:val="es-ES_tradnl"/>
        </w:rPr>
        <w:t xml:space="preserve">la </w:t>
      </w:r>
      <w:r w:rsidR="000D2C29" w:rsidRPr="00021737">
        <w:rPr>
          <w:lang w:val="es-ES_tradnl"/>
        </w:rPr>
        <w:t>discriminación racial que contenga todos los elementos del artículo 1 de la Convención</w:t>
      </w:r>
      <w:r w:rsidR="00074457" w:rsidRPr="00021737">
        <w:rPr>
          <w:lang w:val="es-ES_tradnl"/>
        </w:rPr>
        <w:t xml:space="preserve"> (art</w:t>
      </w:r>
      <w:r w:rsidR="0025584F" w:rsidRPr="00021737">
        <w:rPr>
          <w:lang w:val="es-ES_tradnl"/>
        </w:rPr>
        <w:t>s</w:t>
      </w:r>
      <w:r w:rsidR="00074457" w:rsidRPr="00021737">
        <w:rPr>
          <w:lang w:val="es-ES_tradnl"/>
        </w:rPr>
        <w:t>.</w:t>
      </w:r>
      <w:r w:rsidR="00D7000B" w:rsidRPr="00021737">
        <w:rPr>
          <w:lang w:val="es-ES_tradnl"/>
        </w:rPr>
        <w:t> </w:t>
      </w:r>
      <w:r w:rsidR="00074457" w:rsidRPr="00021737">
        <w:rPr>
          <w:lang w:val="es-ES_tradnl"/>
        </w:rPr>
        <w:t>1, párr.</w:t>
      </w:r>
      <w:r w:rsidR="00D7000B" w:rsidRPr="00021737">
        <w:rPr>
          <w:lang w:val="es-ES_tradnl"/>
        </w:rPr>
        <w:t> </w:t>
      </w:r>
      <w:r w:rsidR="00074457" w:rsidRPr="00021737">
        <w:rPr>
          <w:lang w:val="es-ES_tradnl"/>
        </w:rPr>
        <w:t>1</w:t>
      </w:r>
      <w:r w:rsidR="0083185C" w:rsidRPr="00021737">
        <w:rPr>
          <w:lang w:val="es-ES_tradnl"/>
        </w:rPr>
        <w:t>,</w:t>
      </w:r>
      <w:r w:rsidR="0025584F" w:rsidRPr="00021737">
        <w:rPr>
          <w:lang w:val="es-ES_tradnl"/>
        </w:rPr>
        <w:t xml:space="preserve"> y </w:t>
      </w:r>
      <w:r w:rsidR="00F43F01" w:rsidRPr="00021737">
        <w:rPr>
          <w:lang w:val="es-ES_tradnl"/>
        </w:rPr>
        <w:t>2, párr. 1</w:t>
      </w:r>
      <w:r w:rsidR="00256113" w:rsidRPr="00021737">
        <w:rPr>
          <w:lang w:val="es-ES_tradnl"/>
        </w:rPr>
        <w:t>, apdo.</w:t>
      </w:r>
      <w:r w:rsidR="00F43F01" w:rsidRPr="00021737">
        <w:rPr>
          <w:lang w:val="es-ES_tradnl"/>
        </w:rPr>
        <w:t xml:space="preserve"> </w:t>
      </w:r>
      <w:r w:rsidR="00F43F01" w:rsidRPr="00021737">
        <w:rPr>
          <w:i/>
          <w:lang w:val="es-ES_tradnl"/>
        </w:rPr>
        <w:t>d)</w:t>
      </w:r>
      <w:r w:rsidR="00074457" w:rsidRPr="00021737">
        <w:rPr>
          <w:lang w:val="es-ES_tradnl"/>
        </w:rPr>
        <w:t xml:space="preserve">). </w:t>
      </w:r>
    </w:p>
    <w:p w14:paraId="1F9C0081" w14:textId="3D0775A7" w:rsidR="00074457" w:rsidRPr="005D6D2E" w:rsidRDefault="00021737" w:rsidP="005D6D2E">
      <w:pPr>
        <w:pStyle w:val="SingleTxtG"/>
        <w:rPr>
          <w:b/>
          <w:spacing w:val="-2"/>
          <w:lang w:val="es-ES_tradnl"/>
        </w:rPr>
      </w:pPr>
      <w:r w:rsidRPr="005D6D2E">
        <w:rPr>
          <w:spacing w:val="-2"/>
          <w:lang w:val="es-ES_tradnl"/>
        </w:rPr>
        <w:t>9.</w:t>
      </w:r>
      <w:r w:rsidRPr="005D6D2E">
        <w:rPr>
          <w:spacing w:val="-2"/>
          <w:lang w:val="es-ES_tradnl"/>
        </w:rPr>
        <w:tab/>
      </w:r>
      <w:r w:rsidR="00002EDA" w:rsidRPr="005D6D2E">
        <w:rPr>
          <w:b/>
          <w:spacing w:val="-2"/>
          <w:lang w:val="es-ES_tradnl"/>
        </w:rPr>
        <w:t xml:space="preserve">Con base en los criterios de su </w:t>
      </w:r>
      <w:r w:rsidR="00074457" w:rsidRPr="005D6D2E">
        <w:rPr>
          <w:b/>
          <w:spacing w:val="-2"/>
          <w:lang w:val="es-ES_tradnl"/>
        </w:rPr>
        <w:t>anterior recomendación (CERD/C/</w:t>
      </w:r>
      <w:r w:rsidR="00176A95" w:rsidRPr="005D6D2E">
        <w:rPr>
          <w:b/>
          <w:spacing w:val="-2"/>
          <w:lang w:val="es-ES_tradnl"/>
        </w:rPr>
        <w:t>PER</w:t>
      </w:r>
      <w:r w:rsidR="00074457" w:rsidRPr="005D6D2E">
        <w:rPr>
          <w:b/>
          <w:spacing w:val="-2"/>
          <w:lang w:val="es-ES_tradnl"/>
        </w:rPr>
        <w:t>/CO/1</w:t>
      </w:r>
      <w:r w:rsidR="00176A95" w:rsidRPr="005D6D2E">
        <w:rPr>
          <w:b/>
          <w:spacing w:val="-2"/>
          <w:lang w:val="es-ES_tradnl"/>
        </w:rPr>
        <w:t>8</w:t>
      </w:r>
      <w:r w:rsidR="00BB1EAE">
        <w:rPr>
          <w:b/>
          <w:spacing w:val="-2"/>
          <w:lang w:val="es-ES_tradnl"/>
        </w:rPr>
        <w:t>-</w:t>
      </w:r>
      <w:r w:rsidR="00074457" w:rsidRPr="005D6D2E">
        <w:rPr>
          <w:b/>
          <w:spacing w:val="-2"/>
          <w:lang w:val="es-ES_tradnl"/>
        </w:rPr>
        <w:t>2</w:t>
      </w:r>
      <w:r w:rsidR="00176A95" w:rsidRPr="005D6D2E">
        <w:rPr>
          <w:b/>
          <w:spacing w:val="-2"/>
          <w:lang w:val="es-ES_tradnl"/>
        </w:rPr>
        <w:t>1</w:t>
      </w:r>
      <w:r w:rsidR="00074457" w:rsidRPr="005D6D2E">
        <w:rPr>
          <w:b/>
          <w:spacing w:val="-2"/>
          <w:lang w:val="es-ES_tradnl"/>
        </w:rPr>
        <w:t>, párr</w:t>
      </w:r>
      <w:r w:rsidR="008177D9" w:rsidRPr="005D6D2E">
        <w:rPr>
          <w:b/>
          <w:spacing w:val="-2"/>
          <w:lang w:val="es-ES_tradnl"/>
        </w:rPr>
        <w:t>s</w:t>
      </w:r>
      <w:r w:rsidR="00074457" w:rsidRPr="005D6D2E">
        <w:rPr>
          <w:b/>
          <w:spacing w:val="-2"/>
          <w:lang w:val="es-ES_tradnl"/>
        </w:rPr>
        <w:t>. 9</w:t>
      </w:r>
      <w:r w:rsidR="00002EDA" w:rsidRPr="005D6D2E">
        <w:rPr>
          <w:b/>
          <w:spacing w:val="-2"/>
          <w:lang w:val="es-ES_tradnl"/>
        </w:rPr>
        <w:t xml:space="preserve"> y 10</w:t>
      </w:r>
      <w:r w:rsidR="00074457" w:rsidRPr="005D6D2E">
        <w:rPr>
          <w:b/>
          <w:spacing w:val="-2"/>
          <w:lang w:val="es-ES_tradnl"/>
        </w:rPr>
        <w:t>)</w:t>
      </w:r>
      <w:r w:rsidR="00002EDA" w:rsidRPr="005D6D2E">
        <w:rPr>
          <w:b/>
          <w:spacing w:val="-2"/>
          <w:lang w:val="es-ES_tradnl"/>
        </w:rPr>
        <w:t xml:space="preserve">, el Comité </w:t>
      </w:r>
      <w:r w:rsidR="00074457" w:rsidRPr="005D6D2E">
        <w:rPr>
          <w:b/>
          <w:spacing w:val="-2"/>
          <w:lang w:val="es-ES_tradnl"/>
        </w:rPr>
        <w:t>insta al Estado parte</w:t>
      </w:r>
      <w:r w:rsidR="00176A95" w:rsidRPr="005D6D2E">
        <w:rPr>
          <w:b/>
          <w:spacing w:val="-2"/>
          <w:lang w:val="es-ES_tradnl"/>
        </w:rPr>
        <w:t xml:space="preserve"> a que </w:t>
      </w:r>
      <w:r w:rsidR="00D76E93" w:rsidRPr="005D6D2E">
        <w:rPr>
          <w:b/>
          <w:spacing w:val="-2"/>
          <w:lang w:val="es-ES_tradnl"/>
        </w:rPr>
        <w:t xml:space="preserve">revise su </w:t>
      </w:r>
      <w:r w:rsidR="00176A95" w:rsidRPr="005D6D2E">
        <w:rPr>
          <w:b/>
          <w:spacing w:val="-2"/>
          <w:lang w:val="es-ES_tradnl"/>
        </w:rPr>
        <w:t>legislación nacional</w:t>
      </w:r>
      <w:r w:rsidR="00074457" w:rsidRPr="005D6D2E">
        <w:rPr>
          <w:b/>
          <w:spacing w:val="-2"/>
          <w:lang w:val="es-ES_tradnl"/>
        </w:rPr>
        <w:t xml:space="preserve"> </w:t>
      </w:r>
      <w:r w:rsidR="00D76E93" w:rsidRPr="005D6D2E">
        <w:rPr>
          <w:b/>
          <w:spacing w:val="-2"/>
          <w:lang w:val="es-ES_tradnl"/>
        </w:rPr>
        <w:t xml:space="preserve">e incluya </w:t>
      </w:r>
      <w:r w:rsidR="00074457" w:rsidRPr="005D6D2E">
        <w:rPr>
          <w:b/>
          <w:spacing w:val="-2"/>
          <w:lang w:val="es-ES_tradnl"/>
        </w:rPr>
        <w:t xml:space="preserve">una prohibición clara y explícita de </w:t>
      </w:r>
      <w:r w:rsidR="0023333D" w:rsidRPr="005D6D2E">
        <w:rPr>
          <w:b/>
          <w:spacing w:val="-2"/>
          <w:lang w:val="es-ES_tradnl"/>
        </w:rPr>
        <w:t xml:space="preserve">la </w:t>
      </w:r>
      <w:r w:rsidR="00074457" w:rsidRPr="005D6D2E">
        <w:rPr>
          <w:b/>
          <w:spacing w:val="-2"/>
          <w:lang w:val="es-ES_tradnl"/>
        </w:rPr>
        <w:t>discriminación racial que reúna todos los requisitos establecidos en el artículo 1, párrafo 1</w:t>
      </w:r>
      <w:r w:rsidR="0023333D" w:rsidRPr="005D6D2E">
        <w:rPr>
          <w:b/>
          <w:spacing w:val="-2"/>
          <w:lang w:val="es-ES_tradnl"/>
        </w:rPr>
        <w:t>,</w:t>
      </w:r>
      <w:r w:rsidR="004B403D" w:rsidRPr="005D6D2E">
        <w:rPr>
          <w:b/>
          <w:spacing w:val="-2"/>
          <w:lang w:val="es-ES_tradnl"/>
        </w:rPr>
        <w:t xml:space="preserve"> de la Convención</w:t>
      </w:r>
      <w:r w:rsidR="00002EDA" w:rsidRPr="005D6D2E">
        <w:rPr>
          <w:b/>
          <w:spacing w:val="-2"/>
          <w:lang w:val="es-ES_tradnl"/>
        </w:rPr>
        <w:t xml:space="preserve">, </w:t>
      </w:r>
      <w:r w:rsidR="004B403D" w:rsidRPr="005D6D2E">
        <w:rPr>
          <w:b/>
          <w:spacing w:val="-2"/>
          <w:lang w:val="es-ES_tradnl"/>
        </w:rPr>
        <w:t xml:space="preserve">y </w:t>
      </w:r>
      <w:r w:rsidR="00D76E93" w:rsidRPr="005D6D2E">
        <w:rPr>
          <w:b/>
          <w:spacing w:val="-2"/>
          <w:lang w:val="es-ES_tradnl"/>
        </w:rPr>
        <w:t xml:space="preserve">que </w:t>
      </w:r>
      <w:r w:rsidR="00074457" w:rsidRPr="005D6D2E">
        <w:rPr>
          <w:b/>
          <w:spacing w:val="-2"/>
          <w:lang w:val="es-ES_tradnl"/>
        </w:rPr>
        <w:t>contemple los actos de discriminación directa e indirecta en todas las esferas del derecho y de la vida pública</w:t>
      </w:r>
      <w:r w:rsidR="004B403D" w:rsidRPr="005D6D2E">
        <w:rPr>
          <w:b/>
          <w:spacing w:val="-2"/>
          <w:lang w:val="es-ES_tradnl"/>
        </w:rPr>
        <w:t>. Asimismo, le recomienda que incluya en su legislación penal una prohibición expresa de las acciones que menciona el artículo 4 de la Convención</w:t>
      </w:r>
      <w:r w:rsidR="00074457" w:rsidRPr="005D6D2E">
        <w:rPr>
          <w:b/>
          <w:spacing w:val="-2"/>
          <w:lang w:val="es-ES_tradnl"/>
        </w:rPr>
        <w:t>.</w:t>
      </w:r>
    </w:p>
    <w:p w14:paraId="3ECC1B5F" w14:textId="77777777" w:rsidR="00A87E10" w:rsidRPr="00021737" w:rsidRDefault="00A87E10" w:rsidP="00A87E10">
      <w:pPr>
        <w:keepNext/>
        <w:keepLines/>
        <w:tabs>
          <w:tab w:val="right" w:pos="851"/>
        </w:tabs>
        <w:suppressAutoHyphens/>
        <w:spacing w:before="240" w:after="120" w:line="240" w:lineRule="exact"/>
        <w:ind w:left="1134" w:right="1134" w:hanging="1134"/>
        <w:rPr>
          <w:b/>
          <w:lang w:val="es-ES_tradnl"/>
        </w:rPr>
      </w:pPr>
      <w:r w:rsidRPr="00021737">
        <w:rPr>
          <w:b/>
          <w:lang w:val="es-ES_tradnl"/>
        </w:rPr>
        <w:tab/>
      </w:r>
      <w:r w:rsidRPr="00021737">
        <w:rPr>
          <w:b/>
          <w:lang w:val="es-ES_tradnl"/>
        </w:rPr>
        <w:tab/>
        <w:t xml:space="preserve">Medidas institucionales </w:t>
      </w:r>
    </w:p>
    <w:p w14:paraId="3742E26E" w14:textId="62396BB2" w:rsidR="00A87E10" w:rsidRPr="00021737" w:rsidRDefault="00021737" w:rsidP="005D6D2E">
      <w:pPr>
        <w:pStyle w:val="SingleTxtG"/>
        <w:rPr>
          <w:lang w:val="es-ES_tradnl"/>
        </w:rPr>
      </w:pPr>
      <w:r w:rsidRPr="005D6D2E">
        <w:rPr>
          <w:lang w:val="es-ES_tradnl"/>
        </w:rPr>
        <w:t>10.</w:t>
      </w:r>
      <w:r w:rsidRPr="005D6D2E">
        <w:rPr>
          <w:lang w:val="es-ES_tradnl"/>
        </w:rPr>
        <w:tab/>
      </w:r>
      <w:r w:rsidR="0025584F" w:rsidRPr="00021737">
        <w:rPr>
          <w:lang w:val="es-ES_tradnl"/>
        </w:rPr>
        <w:t>El Comité está preocupado</w:t>
      </w:r>
      <w:r w:rsidR="00002EDA" w:rsidRPr="00021737">
        <w:rPr>
          <w:lang w:val="es-ES_tradnl"/>
        </w:rPr>
        <w:t xml:space="preserve"> por la falta de efectividad de la</w:t>
      </w:r>
      <w:r w:rsidR="00A87E10" w:rsidRPr="00021737">
        <w:rPr>
          <w:lang w:val="es-ES_tradnl"/>
        </w:rPr>
        <w:t xml:space="preserve"> Comisión Naci</w:t>
      </w:r>
      <w:r w:rsidR="0025584F" w:rsidRPr="00021737">
        <w:rPr>
          <w:lang w:val="es-ES_tradnl"/>
        </w:rPr>
        <w:t xml:space="preserve">onal </w:t>
      </w:r>
      <w:r w:rsidR="0023333D" w:rsidRPr="00021737">
        <w:rPr>
          <w:lang w:val="es-ES_tradnl"/>
        </w:rPr>
        <w:t>c</w:t>
      </w:r>
      <w:r w:rsidR="0025584F" w:rsidRPr="00021737">
        <w:rPr>
          <w:lang w:val="es-ES_tradnl"/>
        </w:rPr>
        <w:t>ontra la Discriminación</w:t>
      </w:r>
      <w:r w:rsidR="00BB7070" w:rsidRPr="00021737">
        <w:rPr>
          <w:lang w:val="es-ES_tradnl"/>
        </w:rPr>
        <w:t xml:space="preserve"> y de la Plataforma Alerta contra el Racismo,</w:t>
      </w:r>
      <w:r w:rsidR="0025584F" w:rsidRPr="00021737">
        <w:rPr>
          <w:lang w:val="es-ES_tradnl"/>
        </w:rPr>
        <w:t xml:space="preserve"> en la lucha contra la discriminación racial, en parte debido a la falta de asignación de</w:t>
      </w:r>
      <w:r w:rsidR="00A87E10" w:rsidRPr="00021737">
        <w:rPr>
          <w:lang w:val="es-ES_tradnl"/>
        </w:rPr>
        <w:t xml:space="preserve"> recursos </w:t>
      </w:r>
      <w:r w:rsidR="00B62054" w:rsidRPr="00021737">
        <w:rPr>
          <w:lang w:val="es-ES_tradnl"/>
        </w:rPr>
        <w:t xml:space="preserve">adecuados </w:t>
      </w:r>
      <w:r w:rsidR="0025584F" w:rsidRPr="00021737">
        <w:rPr>
          <w:lang w:val="es-ES_tradnl"/>
        </w:rPr>
        <w:t>(art. 2</w:t>
      </w:r>
      <w:r w:rsidR="00CE617A" w:rsidRPr="00021737">
        <w:rPr>
          <w:lang w:val="es-ES_tradnl"/>
        </w:rPr>
        <w:t>, párr. 1</w:t>
      </w:r>
      <w:r w:rsidR="0025584F" w:rsidRPr="00021737">
        <w:rPr>
          <w:lang w:val="es-ES_tradnl"/>
        </w:rPr>
        <w:t>).</w:t>
      </w:r>
    </w:p>
    <w:p w14:paraId="1BF5646A" w14:textId="4FE5784F" w:rsidR="00CE617A" w:rsidRPr="00021737" w:rsidRDefault="00021737" w:rsidP="005D6D2E">
      <w:pPr>
        <w:pStyle w:val="SingleTxtG"/>
        <w:rPr>
          <w:b/>
          <w:lang w:val="es-ES_tradnl"/>
        </w:rPr>
      </w:pPr>
      <w:r w:rsidRPr="005D6D2E">
        <w:rPr>
          <w:lang w:val="es-ES_tradnl"/>
        </w:rPr>
        <w:t>11.</w:t>
      </w:r>
      <w:r w:rsidRPr="005D6D2E">
        <w:rPr>
          <w:lang w:val="es-ES_tradnl"/>
        </w:rPr>
        <w:tab/>
      </w:r>
      <w:r w:rsidR="00CE617A" w:rsidRPr="00021737">
        <w:rPr>
          <w:b/>
          <w:lang w:val="es-ES_tradnl"/>
        </w:rPr>
        <w:t xml:space="preserve">El Comité reitera su anterior recomendación (CERD/C/PER/CO/18-21, párr. 12) y exhorta al Estado parte a </w:t>
      </w:r>
      <w:r w:rsidR="00002EDA" w:rsidRPr="00021737">
        <w:rPr>
          <w:b/>
          <w:lang w:val="es-ES_tradnl"/>
        </w:rPr>
        <w:t>asegurar</w:t>
      </w:r>
      <w:r w:rsidR="00CE617A" w:rsidRPr="00021737">
        <w:rPr>
          <w:b/>
          <w:lang w:val="es-ES_tradnl"/>
        </w:rPr>
        <w:t xml:space="preserve"> el funcionamiento efectivo de la Comisión Nacional </w:t>
      </w:r>
      <w:r w:rsidR="0023333D" w:rsidRPr="00021737">
        <w:rPr>
          <w:b/>
          <w:lang w:val="es-ES_tradnl"/>
        </w:rPr>
        <w:t>c</w:t>
      </w:r>
      <w:r w:rsidR="00CE617A" w:rsidRPr="00021737">
        <w:rPr>
          <w:b/>
          <w:lang w:val="es-ES_tradnl"/>
        </w:rPr>
        <w:t>ontra la Discriminación</w:t>
      </w:r>
      <w:r w:rsidR="00BB7070" w:rsidRPr="00021737">
        <w:rPr>
          <w:b/>
          <w:lang w:val="es-ES_tradnl"/>
        </w:rPr>
        <w:t xml:space="preserve"> y la Plataforma Alerta contra el Racismo</w:t>
      </w:r>
      <w:r w:rsidR="0011498F" w:rsidRPr="00021737">
        <w:rPr>
          <w:b/>
          <w:lang w:val="es-ES_tradnl"/>
        </w:rPr>
        <w:t xml:space="preserve"> en cuanto a la lucha contra la discriminación racial</w:t>
      </w:r>
      <w:r w:rsidR="00CE617A" w:rsidRPr="00021737">
        <w:rPr>
          <w:b/>
          <w:lang w:val="es-ES_tradnl"/>
        </w:rPr>
        <w:t xml:space="preserve">, entre otros mediante la asignación </w:t>
      </w:r>
      <w:r w:rsidR="0085042C" w:rsidRPr="00021737">
        <w:rPr>
          <w:b/>
          <w:lang w:val="es-ES_tradnl"/>
        </w:rPr>
        <w:t xml:space="preserve">suficiente </w:t>
      </w:r>
      <w:r w:rsidR="00CE617A" w:rsidRPr="00021737">
        <w:rPr>
          <w:b/>
          <w:lang w:val="es-ES_tradnl"/>
        </w:rPr>
        <w:t>de recursos humanos, técnicos y financieros</w:t>
      </w:r>
      <w:r w:rsidR="0085042C" w:rsidRPr="00021737">
        <w:rPr>
          <w:b/>
          <w:lang w:val="es-ES_tradnl"/>
        </w:rPr>
        <w:t xml:space="preserve"> y </w:t>
      </w:r>
      <w:r w:rsidR="00C870F5" w:rsidRPr="00021737">
        <w:rPr>
          <w:b/>
          <w:lang w:val="es-ES_tradnl"/>
        </w:rPr>
        <w:t xml:space="preserve">a </w:t>
      </w:r>
      <w:r w:rsidR="00002EDA" w:rsidRPr="00021737">
        <w:rPr>
          <w:b/>
          <w:lang w:val="es-ES_tradnl"/>
        </w:rPr>
        <w:t>que cuente</w:t>
      </w:r>
      <w:r w:rsidR="0001171E" w:rsidRPr="00021737">
        <w:rPr>
          <w:b/>
          <w:lang w:val="es-ES_tradnl"/>
        </w:rPr>
        <w:t>n</w:t>
      </w:r>
      <w:r w:rsidR="00002EDA" w:rsidRPr="00021737">
        <w:rPr>
          <w:b/>
          <w:lang w:val="es-ES_tradnl"/>
        </w:rPr>
        <w:t xml:space="preserve"> con </w:t>
      </w:r>
      <w:r w:rsidR="0085042C" w:rsidRPr="00021737">
        <w:rPr>
          <w:b/>
          <w:lang w:val="es-ES_tradnl"/>
        </w:rPr>
        <w:t>una adecuada representación intersectorial</w:t>
      </w:r>
      <w:r w:rsidR="00CE617A" w:rsidRPr="00021737">
        <w:rPr>
          <w:b/>
          <w:lang w:val="es-ES_tradnl"/>
        </w:rPr>
        <w:t xml:space="preserve">. </w:t>
      </w:r>
    </w:p>
    <w:p w14:paraId="3019F0CE" w14:textId="0945B355" w:rsidR="00280D13" w:rsidRPr="00021737" w:rsidRDefault="00F51C01" w:rsidP="00F51C01">
      <w:pPr>
        <w:pStyle w:val="H23G"/>
        <w:rPr>
          <w:lang w:val="es-ES_tradnl"/>
        </w:rPr>
      </w:pPr>
      <w:r w:rsidRPr="00021737">
        <w:rPr>
          <w:lang w:val="es-ES_tradnl"/>
        </w:rPr>
        <w:tab/>
      </w:r>
      <w:r w:rsidRPr="00021737">
        <w:rPr>
          <w:lang w:val="es-ES_tradnl"/>
        </w:rPr>
        <w:tab/>
      </w:r>
      <w:r w:rsidR="0096333A" w:rsidRPr="00021737">
        <w:rPr>
          <w:lang w:val="es-ES_tradnl"/>
        </w:rPr>
        <w:t xml:space="preserve">Discriminación </w:t>
      </w:r>
      <w:r w:rsidR="00280D13" w:rsidRPr="00021737">
        <w:rPr>
          <w:lang w:val="es-ES_tradnl"/>
        </w:rPr>
        <w:t>estructural</w:t>
      </w:r>
    </w:p>
    <w:p w14:paraId="6E37CE73" w14:textId="34656C67" w:rsidR="008E5303" w:rsidRPr="00021737" w:rsidRDefault="00021737" w:rsidP="005D6D2E">
      <w:pPr>
        <w:pStyle w:val="SingleTxtG"/>
        <w:rPr>
          <w:b/>
          <w:lang w:val="es-ES_tradnl"/>
        </w:rPr>
      </w:pPr>
      <w:r w:rsidRPr="005D6D2E">
        <w:rPr>
          <w:lang w:val="es-ES_tradnl"/>
        </w:rPr>
        <w:t>12.</w:t>
      </w:r>
      <w:r w:rsidRPr="005D6D2E">
        <w:rPr>
          <w:lang w:val="es-ES_tradnl"/>
        </w:rPr>
        <w:tab/>
      </w:r>
      <w:r w:rsidR="00B62054" w:rsidRPr="00021737">
        <w:rPr>
          <w:lang w:val="es-ES_tradnl"/>
        </w:rPr>
        <w:t>E</w:t>
      </w:r>
      <w:r w:rsidR="00F96A63" w:rsidRPr="00021737">
        <w:rPr>
          <w:lang w:val="es-ES_tradnl"/>
        </w:rPr>
        <w:t xml:space="preserve">l Comité continúa preocupado por </w:t>
      </w:r>
      <w:r w:rsidR="0096333A" w:rsidRPr="00021737">
        <w:rPr>
          <w:lang w:val="es-ES_tradnl"/>
        </w:rPr>
        <w:t>la</w:t>
      </w:r>
      <w:r w:rsidR="00AA50DF" w:rsidRPr="00021737">
        <w:rPr>
          <w:lang w:val="es-ES_tradnl"/>
        </w:rPr>
        <w:t xml:space="preserve"> persistente</w:t>
      </w:r>
      <w:r w:rsidR="0096333A" w:rsidRPr="00021737">
        <w:rPr>
          <w:lang w:val="es-ES_tradnl"/>
        </w:rPr>
        <w:t xml:space="preserve"> discriminación racial estructural que </w:t>
      </w:r>
      <w:r w:rsidR="00B62054" w:rsidRPr="00021737">
        <w:rPr>
          <w:lang w:val="es-ES_tradnl"/>
        </w:rPr>
        <w:t>enfrentan</w:t>
      </w:r>
      <w:r w:rsidR="0096333A" w:rsidRPr="00021737">
        <w:rPr>
          <w:lang w:val="es-ES_tradnl"/>
        </w:rPr>
        <w:t xml:space="preserve"> </w:t>
      </w:r>
      <w:r w:rsidR="00B62054" w:rsidRPr="00021737">
        <w:rPr>
          <w:lang w:val="es-ES_tradnl"/>
        </w:rPr>
        <w:t xml:space="preserve">los pueblos indígenas y </w:t>
      </w:r>
      <w:r w:rsidR="0023333D" w:rsidRPr="00021737">
        <w:rPr>
          <w:lang w:val="es-ES_tradnl"/>
        </w:rPr>
        <w:t xml:space="preserve">la </w:t>
      </w:r>
      <w:r w:rsidR="00B62054" w:rsidRPr="00021737">
        <w:rPr>
          <w:lang w:val="es-ES_tradnl"/>
        </w:rPr>
        <w:t>población afroperuana</w:t>
      </w:r>
      <w:r w:rsidR="0023333D" w:rsidRPr="00021737">
        <w:rPr>
          <w:lang w:val="es-ES_tradnl"/>
        </w:rPr>
        <w:t>,</w:t>
      </w:r>
      <w:r w:rsidR="0096333A" w:rsidRPr="00021737">
        <w:rPr>
          <w:lang w:val="es-ES_tradnl"/>
        </w:rPr>
        <w:t xml:space="preserve"> </w:t>
      </w:r>
      <w:r w:rsidR="00737663" w:rsidRPr="00021737">
        <w:rPr>
          <w:lang w:val="es-ES_tradnl"/>
        </w:rPr>
        <w:t xml:space="preserve">lo que se refleja en las dificultades que enfrentan en el acceso a empleo, educación y servicios de salud de calidad </w:t>
      </w:r>
      <w:r w:rsidR="00707C42" w:rsidRPr="00021737">
        <w:rPr>
          <w:lang w:val="es-ES_tradnl"/>
        </w:rPr>
        <w:t>(arts. 2 y 5)</w:t>
      </w:r>
      <w:r w:rsidR="00AA50DF" w:rsidRPr="00021737">
        <w:rPr>
          <w:lang w:val="es-ES_tradnl"/>
        </w:rPr>
        <w:t xml:space="preserve">. </w:t>
      </w:r>
    </w:p>
    <w:p w14:paraId="6DF7F3C8" w14:textId="0E1AA204" w:rsidR="00B56A20" w:rsidRPr="00021737" w:rsidRDefault="00021737" w:rsidP="005D6D2E">
      <w:pPr>
        <w:pStyle w:val="SingleTxtG"/>
        <w:rPr>
          <w:b/>
          <w:lang w:val="es-ES_tradnl"/>
        </w:rPr>
      </w:pPr>
      <w:r w:rsidRPr="005D6D2E">
        <w:rPr>
          <w:lang w:val="es-ES_tradnl"/>
        </w:rPr>
        <w:t>13.</w:t>
      </w:r>
      <w:r w:rsidRPr="005D6D2E">
        <w:rPr>
          <w:lang w:val="es-ES_tradnl"/>
        </w:rPr>
        <w:tab/>
      </w:r>
      <w:r w:rsidR="00AA50DF" w:rsidRPr="00021737">
        <w:rPr>
          <w:b/>
          <w:lang w:val="es-ES_tradnl"/>
        </w:rPr>
        <w:t>El</w:t>
      </w:r>
      <w:r w:rsidR="00AA50DF" w:rsidRPr="00021737">
        <w:rPr>
          <w:b/>
          <w:lang w:val="es-ES_tradnl" w:eastAsia="en-US"/>
        </w:rPr>
        <w:t xml:space="preserve"> Comité reitera su anterior recomendación (CERD/C/PER/CO/18-21, párr. 8) y exhorta al Estado parte a que adopte una </w:t>
      </w:r>
      <w:r w:rsidR="00AA50DF" w:rsidRPr="00021737">
        <w:rPr>
          <w:b/>
          <w:lang w:val="es-ES_tradnl"/>
        </w:rPr>
        <w:t>política nacional integral de lucha contra el racismo y la discriminación racial</w:t>
      </w:r>
      <w:r w:rsidR="00AA50DF" w:rsidRPr="00021737">
        <w:rPr>
          <w:b/>
          <w:lang w:val="es-ES_tradnl" w:eastAsia="en-US"/>
        </w:rPr>
        <w:t xml:space="preserve"> que promueva la inclusión social y reduzca los altos niveles de desigualdad y pobreza que afectan a los</w:t>
      </w:r>
      <w:r w:rsidR="001E0A12" w:rsidRPr="00021737">
        <w:rPr>
          <w:b/>
          <w:lang w:val="es-ES_tradnl" w:eastAsia="en-US"/>
        </w:rPr>
        <w:t xml:space="preserve"> miembros de pueblos indígenas, </w:t>
      </w:r>
      <w:r w:rsidR="00932799" w:rsidRPr="00021737">
        <w:rPr>
          <w:b/>
          <w:lang w:val="es-ES_tradnl" w:eastAsia="en-US"/>
        </w:rPr>
        <w:t xml:space="preserve">y a la población </w:t>
      </w:r>
      <w:r w:rsidR="00AA50DF" w:rsidRPr="00021737">
        <w:rPr>
          <w:b/>
          <w:lang w:val="es-ES_tradnl" w:eastAsia="en-US"/>
        </w:rPr>
        <w:t>afroperuan</w:t>
      </w:r>
      <w:r w:rsidR="00932799" w:rsidRPr="00021737">
        <w:rPr>
          <w:b/>
          <w:lang w:val="es-ES_tradnl" w:eastAsia="en-US"/>
        </w:rPr>
        <w:t>a</w:t>
      </w:r>
      <w:r w:rsidR="00AA50DF" w:rsidRPr="00021737">
        <w:rPr>
          <w:b/>
          <w:lang w:val="es-ES_tradnl" w:eastAsia="en-US"/>
        </w:rPr>
        <w:t xml:space="preserve">. </w:t>
      </w:r>
      <w:r w:rsidR="00B62054" w:rsidRPr="00021737">
        <w:rPr>
          <w:b/>
          <w:lang w:val="es-ES_tradnl"/>
        </w:rPr>
        <w:t xml:space="preserve">Con base </w:t>
      </w:r>
      <w:r w:rsidR="0023333D" w:rsidRPr="00021737">
        <w:rPr>
          <w:b/>
          <w:lang w:val="es-ES_tradnl"/>
        </w:rPr>
        <w:t>en</w:t>
      </w:r>
      <w:r w:rsidR="00932799" w:rsidRPr="00021737">
        <w:rPr>
          <w:b/>
          <w:lang w:val="es-ES_tradnl"/>
        </w:rPr>
        <w:t xml:space="preserve"> su </w:t>
      </w:r>
      <w:r w:rsidR="0023333D" w:rsidRPr="00021737">
        <w:rPr>
          <w:b/>
          <w:lang w:val="es-ES_tradnl"/>
        </w:rPr>
        <w:t>r</w:t>
      </w:r>
      <w:r w:rsidR="00AA50DF" w:rsidRPr="00021737">
        <w:rPr>
          <w:b/>
          <w:lang w:val="es-ES_tradnl"/>
        </w:rPr>
        <w:t xml:space="preserve">ecomendación general </w:t>
      </w:r>
      <w:r w:rsidR="0023333D" w:rsidRPr="00021737">
        <w:rPr>
          <w:b/>
          <w:lang w:val="es-ES_tradnl"/>
        </w:rPr>
        <w:t xml:space="preserve">núm. </w:t>
      </w:r>
      <w:r w:rsidR="00AA50DF" w:rsidRPr="00021737">
        <w:rPr>
          <w:b/>
          <w:lang w:val="es-ES_tradnl"/>
        </w:rPr>
        <w:t>32 (2009) sobre el significado y alcance de las medidas especiales en la Convención, le insta a adoptar medidas especiales o de acción afirmativa</w:t>
      </w:r>
      <w:r w:rsidR="00325A50" w:rsidRPr="00021737">
        <w:rPr>
          <w:b/>
          <w:lang w:val="es-ES_tradnl"/>
        </w:rPr>
        <w:t xml:space="preserve"> a todos los niveles de la administración del Estado</w:t>
      </w:r>
      <w:r w:rsidR="00AA50DF" w:rsidRPr="00021737">
        <w:rPr>
          <w:b/>
          <w:lang w:val="es-ES_tradnl"/>
        </w:rPr>
        <w:t xml:space="preserve"> orientadas a eliminar la discriminación estructur</w:t>
      </w:r>
      <w:r w:rsidR="00932799" w:rsidRPr="00021737">
        <w:rPr>
          <w:b/>
          <w:lang w:val="es-ES_tradnl"/>
        </w:rPr>
        <w:t>al contra los pueblos indígenas</w:t>
      </w:r>
      <w:r w:rsidR="00AA50DF" w:rsidRPr="00021737">
        <w:rPr>
          <w:b/>
          <w:lang w:val="es-ES_tradnl"/>
        </w:rPr>
        <w:t xml:space="preserve"> y la población afroperuana. </w:t>
      </w:r>
    </w:p>
    <w:p w14:paraId="5C502FF9" w14:textId="508C37B0" w:rsidR="003F2EFE" w:rsidRPr="00021737" w:rsidRDefault="007952E0" w:rsidP="002B3AB3">
      <w:pPr>
        <w:keepNext/>
        <w:keepLines/>
        <w:tabs>
          <w:tab w:val="right" w:pos="851"/>
        </w:tabs>
        <w:suppressAutoHyphens/>
        <w:spacing w:before="240" w:after="120" w:line="240" w:lineRule="exact"/>
        <w:ind w:left="1134" w:right="1134" w:hanging="1134"/>
        <w:rPr>
          <w:b/>
          <w:lang w:val="es-ES_tradnl"/>
        </w:rPr>
      </w:pPr>
      <w:r w:rsidRPr="00021737">
        <w:rPr>
          <w:b/>
          <w:lang w:val="es-ES_tradnl"/>
        </w:rPr>
        <w:tab/>
      </w:r>
      <w:r w:rsidR="00625D72" w:rsidRPr="00021737">
        <w:rPr>
          <w:lang w:val="es-ES_tradnl"/>
        </w:rPr>
        <w:tab/>
      </w:r>
      <w:r w:rsidR="00B56A20" w:rsidRPr="00021737">
        <w:rPr>
          <w:b/>
          <w:lang w:val="es-ES_tradnl"/>
        </w:rPr>
        <w:t>Población afroperuana</w:t>
      </w:r>
    </w:p>
    <w:p w14:paraId="0B4D4817" w14:textId="063742F3" w:rsidR="00224715" w:rsidRPr="00021737" w:rsidRDefault="00021737" w:rsidP="005D6D2E">
      <w:pPr>
        <w:pStyle w:val="SingleTxtG"/>
        <w:rPr>
          <w:lang w:val="es-ES_tradnl"/>
        </w:rPr>
      </w:pPr>
      <w:r w:rsidRPr="005D6D2E">
        <w:rPr>
          <w:lang w:val="es-ES_tradnl"/>
        </w:rPr>
        <w:t>14.</w:t>
      </w:r>
      <w:r w:rsidRPr="005D6D2E">
        <w:rPr>
          <w:lang w:val="es-ES_tradnl"/>
        </w:rPr>
        <w:tab/>
      </w:r>
      <w:r w:rsidR="0001733C" w:rsidRPr="00021737">
        <w:rPr>
          <w:lang w:val="es-ES_tradnl"/>
        </w:rPr>
        <w:t>Si bien e</w:t>
      </w:r>
      <w:r w:rsidR="00B56A20" w:rsidRPr="00021737">
        <w:rPr>
          <w:lang w:val="es-ES_tradnl"/>
        </w:rPr>
        <w:t xml:space="preserve">l Comité </w:t>
      </w:r>
      <w:r w:rsidR="0001733C" w:rsidRPr="00021737">
        <w:rPr>
          <w:lang w:val="es-ES_tradnl"/>
        </w:rPr>
        <w:t>valora</w:t>
      </w:r>
      <w:r w:rsidR="00B56A20" w:rsidRPr="00021737">
        <w:rPr>
          <w:lang w:val="es-ES_tradnl"/>
        </w:rPr>
        <w:t xml:space="preserve"> </w:t>
      </w:r>
      <w:r w:rsidR="0001733C" w:rsidRPr="00021737">
        <w:rPr>
          <w:lang w:val="es-ES_tradnl"/>
        </w:rPr>
        <w:t>la adopción</w:t>
      </w:r>
      <w:r w:rsidR="00B62054" w:rsidRPr="00021737">
        <w:rPr>
          <w:lang w:val="es-ES_tradnl"/>
        </w:rPr>
        <w:t xml:space="preserve"> </w:t>
      </w:r>
      <w:r w:rsidR="0001733C" w:rsidRPr="00021737">
        <w:rPr>
          <w:lang w:val="es-ES_tradnl"/>
        </w:rPr>
        <w:t>d</w:t>
      </w:r>
      <w:r w:rsidR="00B56A20" w:rsidRPr="00021737">
        <w:rPr>
          <w:lang w:val="es-ES_tradnl"/>
        </w:rPr>
        <w:t xml:space="preserve">el Plan Nacional de Desarrollo </w:t>
      </w:r>
      <w:r w:rsidR="001F65F8" w:rsidRPr="00021737">
        <w:rPr>
          <w:lang w:val="es-ES_tradnl"/>
        </w:rPr>
        <w:t xml:space="preserve">para </w:t>
      </w:r>
      <w:r w:rsidR="00B56A20" w:rsidRPr="00021737">
        <w:rPr>
          <w:lang w:val="es-ES_tradnl"/>
        </w:rPr>
        <w:t>la Población Afroperuana</w:t>
      </w:r>
      <w:r w:rsidR="001F65F8" w:rsidRPr="00021737">
        <w:rPr>
          <w:lang w:val="es-ES_tradnl"/>
        </w:rPr>
        <w:t xml:space="preserve"> 2016-2020</w:t>
      </w:r>
      <w:r w:rsidR="0001733C" w:rsidRPr="00021737">
        <w:rPr>
          <w:lang w:val="es-ES_tradnl"/>
        </w:rPr>
        <w:t>,</w:t>
      </w:r>
      <w:r w:rsidR="00175B70" w:rsidRPr="00021737">
        <w:rPr>
          <w:lang w:val="es-ES_tradnl"/>
        </w:rPr>
        <w:t xml:space="preserve"> le preocupa que </w:t>
      </w:r>
      <w:r w:rsidR="00B62054" w:rsidRPr="00021737">
        <w:rPr>
          <w:lang w:val="es-ES_tradnl"/>
        </w:rPr>
        <w:t>su</w:t>
      </w:r>
      <w:r w:rsidR="00175B70" w:rsidRPr="00021737">
        <w:rPr>
          <w:lang w:val="es-ES_tradnl"/>
        </w:rPr>
        <w:t xml:space="preserve"> implementación no sea efectiva</w:t>
      </w:r>
      <w:r w:rsidR="00B62054" w:rsidRPr="00021737">
        <w:rPr>
          <w:lang w:val="es-ES_tradnl"/>
        </w:rPr>
        <w:t>, en parte</w:t>
      </w:r>
      <w:r w:rsidR="00175B70" w:rsidRPr="00021737">
        <w:rPr>
          <w:lang w:val="es-ES_tradnl"/>
        </w:rPr>
        <w:t xml:space="preserve"> debido a la falta de recursos adecuado</w:t>
      </w:r>
      <w:r w:rsidR="00897302" w:rsidRPr="00021737">
        <w:rPr>
          <w:lang w:val="es-ES_tradnl"/>
        </w:rPr>
        <w:t>s</w:t>
      </w:r>
      <w:r w:rsidR="00B62054" w:rsidRPr="00021737">
        <w:rPr>
          <w:lang w:val="es-ES_tradnl"/>
        </w:rPr>
        <w:t xml:space="preserve"> asignados</w:t>
      </w:r>
      <w:r w:rsidR="00175B70" w:rsidRPr="00021737">
        <w:rPr>
          <w:lang w:val="es-ES_tradnl"/>
        </w:rPr>
        <w:t xml:space="preserve"> y a la débil coordinación entre las instituciones e</w:t>
      </w:r>
      <w:r w:rsidR="00B62054" w:rsidRPr="00021737">
        <w:rPr>
          <w:lang w:val="es-ES_tradnl"/>
        </w:rPr>
        <w:t>ncargadas de su implementación</w:t>
      </w:r>
      <w:r w:rsidR="00EF3D3B" w:rsidRPr="00021737">
        <w:rPr>
          <w:lang w:val="es-ES_tradnl"/>
        </w:rPr>
        <w:t xml:space="preserve">. Además, le preocupa </w:t>
      </w:r>
      <w:r w:rsidR="00444332" w:rsidRPr="00021737">
        <w:rPr>
          <w:lang w:val="es-ES_tradnl"/>
        </w:rPr>
        <w:t xml:space="preserve">la </w:t>
      </w:r>
      <w:r w:rsidR="00EF3D3B" w:rsidRPr="00021737">
        <w:rPr>
          <w:lang w:val="es-ES_tradnl"/>
        </w:rPr>
        <w:t>invisibilidad que enfrenta la población afroperuana y</w:t>
      </w:r>
      <w:r w:rsidR="0001733C" w:rsidRPr="00021737">
        <w:rPr>
          <w:lang w:val="es-ES_tradnl"/>
        </w:rPr>
        <w:t xml:space="preserve"> lamenta que </w:t>
      </w:r>
      <w:r w:rsidR="007D7090" w:rsidRPr="00021737">
        <w:rPr>
          <w:lang w:val="es-ES_tradnl"/>
        </w:rPr>
        <w:t xml:space="preserve">aún </w:t>
      </w:r>
      <w:r w:rsidR="00EF3D3B" w:rsidRPr="00021737">
        <w:rPr>
          <w:lang w:val="es-ES_tradnl"/>
        </w:rPr>
        <w:t xml:space="preserve">no cuente con un reconocimiento </w:t>
      </w:r>
      <w:r w:rsidR="00444332" w:rsidRPr="00021737">
        <w:rPr>
          <w:lang w:val="es-ES_tradnl"/>
        </w:rPr>
        <w:t>constitucion</w:t>
      </w:r>
      <w:r w:rsidR="00EF3D3B" w:rsidRPr="00021737">
        <w:rPr>
          <w:lang w:val="es-ES_tradnl"/>
        </w:rPr>
        <w:t>al</w:t>
      </w:r>
      <w:r w:rsidR="00B62054" w:rsidRPr="00021737">
        <w:rPr>
          <w:lang w:val="es-ES_tradnl"/>
        </w:rPr>
        <w:t xml:space="preserve"> </w:t>
      </w:r>
      <w:r w:rsidR="00637CF7" w:rsidRPr="00021737">
        <w:rPr>
          <w:lang w:val="es-ES_tradnl"/>
        </w:rPr>
        <w:t>(arts.</w:t>
      </w:r>
      <w:r w:rsidR="00D7000B" w:rsidRPr="00021737">
        <w:rPr>
          <w:lang w:val="es-ES_tradnl"/>
        </w:rPr>
        <w:t xml:space="preserve"> </w:t>
      </w:r>
      <w:r w:rsidR="00637CF7" w:rsidRPr="00021737">
        <w:rPr>
          <w:lang w:val="es-ES_tradnl"/>
        </w:rPr>
        <w:t xml:space="preserve">2 y 5). </w:t>
      </w:r>
    </w:p>
    <w:p w14:paraId="2ED34BA9" w14:textId="47F38551" w:rsidR="00B56A20" w:rsidRPr="00021737" w:rsidRDefault="00021737" w:rsidP="005D6D2E">
      <w:pPr>
        <w:pStyle w:val="SingleTxtG"/>
        <w:rPr>
          <w:b/>
          <w:lang w:val="es-ES_tradnl"/>
        </w:rPr>
      </w:pPr>
      <w:r w:rsidRPr="005D6D2E">
        <w:rPr>
          <w:lang w:val="es-ES_tradnl"/>
        </w:rPr>
        <w:t>15.</w:t>
      </w:r>
      <w:r w:rsidRPr="005D6D2E">
        <w:rPr>
          <w:lang w:val="es-ES_tradnl"/>
        </w:rPr>
        <w:tab/>
      </w:r>
      <w:r w:rsidR="00897302" w:rsidRPr="00021737">
        <w:rPr>
          <w:b/>
          <w:lang w:val="es-ES_tradnl"/>
        </w:rPr>
        <w:t>Con base</w:t>
      </w:r>
      <w:r w:rsidR="00637CF7" w:rsidRPr="00021737">
        <w:rPr>
          <w:b/>
          <w:lang w:val="es-ES_tradnl"/>
        </w:rPr>
        <w:t xml:space="preserve"> </w:t>
      </w:r>
      <w:r w:rsidR="001135F7" w:rsidRPr="00021737">
        <w:rPr>
          <w:b/>
          <w:lang w:val="es-ES_tradnl"/>
        </w:rPr>
        <w:t>en</w:t>
      </w:r>
      <w:r w:rsidR="0001733C" w:rsidRPr="00021737">
        <w:rPr>
          <w:b/>
          <w:lang w:val="es-ES_tradnl"/>
        </w:rPr>
        <w:t xml:space="preserve"> </w:t>
      </w:r>
      <w:r w:rsidR="00637CF7" w:rsidRPr="00021737">
        <w:rPr>
          <w:b/>
          <w:lang w:val="es-ES_tradnl"/>
        </w:rPr>
        <w:t xml:space="preserve">su </w:t>
      </w:r>
      <w:r w:rsidR="00284D02" w:rsidRPr="00021737">
        <w:rPr>
          <w:b/>
          <w:lang w:val="es-ES_tradnl"/>
        </w:rPr>
        <w:t>r</w:t>
      </w:r>
      <w:r w:rsidR="00637CF7" w:rsidRPr="00021737">
        <w:rPr>
          <w:b/>
          <w:lang w:val="es-ES_tradnl"/>
        </w:rPr>
        <w:t xml:space="preserve">ecomendación general </w:t>
      </w:r>
      <w:r w:rsidR="00284D02" w:rsidRPr="00021737">
        <w:rPr>
          <w:b/>
          <w:lang w:val="es-ES_tradnl"/>
        </w:rPr>
        <w:t>núm.</w:t>
      </w:r>
      <w:r w:rsidR="00D64E02">
        <w:rPr>
          <w:b/>
          <w:lang w:val="es-ES_tradnl"/>
        </w:rPr>
        <w:t xml:space="preserve"> </w:t>
      </w:r>
      <w:r w:rsidR="00637CF7" w:rsidRPr="00021737">
        <w:rPr>
          <w:b/>
          <w:lang w:val="es-ES_tradnl"/>
        </w:rPr>
        <w:t>34 (2011) sobre discriminación racial contra afrodescendientes, e</w:t>
      </w:r>
      <w:r w:rsidR="00A972DF" w:rsidRPr="00021737">
        <w:rPr>
          <w:b/>
          <w:lang w:val="es-ES_tradnl"/>
        </w:rPr>
        <w:t>l Comité recomienda al Estado parte que</w:t>
      </w:r>
      <w:r w:rsidR="00637CF7" w:rsidRPr="00021737">
        <w:rPr>
          <w:b/>
          <w:lang w:val="es-ES_tradnl"/>
        </w:rPr>
        <w:t xml:space="preserve"> adopte las medidas necesarias para garantizar la implementación efectiva del Plan Nacional de Desarrollo </w:t>
      </w:r>
      <w:r w:rsidR="00EB52D6" w:rsidRPr="00021737">
        <w:rPr>
          <w:b/>
          <w:lang w:val="es-ES_tradnl"/>
        </w:rPr>
        <w:t xml:space="preserve">para </w:t>
      </w:r>
      <w:r w:rsidR="00637CF7" w:rsidRPr="00021737">
        <w:rPr>
          <w:b/>
          <w:lang w:val="es-ES_tradnl"/>
        </w:rPr>
        <w:t>la Población Afroperuana 2016-</w:t>
      </w:r>
      <w:r w:rsidR="00EB52D6" w:rsidRPr="00021737">
        <w:rPr>
          <w:b/>
          <w:lang w:val="es-ES_tradnl"/>
        </w:rPr>
        <w:t>2020</w:t>
      </w:r>
      <w:r w:rsidR="00637CF7" w:rsidRPr="00021737">
        <w:rPr>
          <w:b/>
          <w:lang w:val="es-ES_tradnl"/>
        </w:rPr>
        <w:t>, entre otros mediante la asignación de recursos humanos, técnicos y materiales adecuados</w:t>
      </w:r>
      <w:r w:rsidR="00897302" w:rsidRPr="00021737">
        <w:rPr>
          <w:b/>
          <w:lang w:val="es-ES_tradnl"/>
        </w:rPr>
        <w:t xml:space="preserve"> y </w:t>
      </w:r>
      <w:r w:rsidR="00653A9A" w:rsidRPr="00021737">
        <w:rPr>
          <w:b/>
          <w:lang w:val="es-ES_tradnl"/>
        </w:rPr>
        <w:t xml:space="preserve">el fortalecimiento del Grupo de Trabajo con Población Afroperuana, como </w:t>
      </w:r>
      <w:r w:rsidR="00A972DF" w:rsidRPr="00021737">
        <w:rPr>
          <w:b/>
          <w:lang w:val="es-ES_tradnl"/>
        </w:rPr>
        <w:t xml:space="preserve">mecanismo responsable </w:t>
      </w:r>
      <w:r w:rsidR="00897302" w:rsidRPr="00021737">
        <w:rPr>
          <w:b/>
          <w:lang w:val="es-ES_tradnl"/>
        </w:rPr>
        <w:t>de su</w:t>
      </w:r>
      <w:r w:rsidR="00637CF7" w:rsidRPr="00021737">
        <w:rPr>
          <w:b/>
          <w:lang w:val="es-ES_tradnl"/>
        </w:rPr>
        <w:t xml:space="preserve"> implementación</w:t>
      </w:r>
      <w:r w:rsidR="00653A9A" w:rsidRPr="00021737">
        <w:rPr>
          <w:b/>
          <w:lang w:val="es-ES_tradnl"/>
        </w:rPr>
        <w:t>, seguimiento y monitoreo</w:t>
      </w:r>
      <w:r w:rsidR="00897302" w:rsidRPr="00021737">
        <w:rPr>
          <w:b/>
          <w:lang w:val="es-ES_tradnl"/>
        </w:rPr>
        <w:t xml:space="preserve"> </w:t>
      </w:r>
      <w:r w:rsidR="00653A9A" w:rsidRPr="00021737">
        <w:rPr>
          <w:b/>
          <w:lang w:val="es-ES_tradnl"/>
        </w:rPr>
        <w:t xml:space="preserve">y </w:t>
      </w:r>
      <w:r w:rsidR="00897302" w:rsidRPr="00021737">
        <w:rPr>
          <w:b/>
          <w:lang w:val="es-ES_tradnl"/>
        </w:rPr>
        <w:t>que</w:t>
      </w:r>
      <w:r w:rsidR="00653A9A" w:rsidRPr="00021737">
        <w:rPr>
          <w:b/>
          <w:lang w:val="es-ES_tradnl"/>
        </w:rPr>
        <w:t xml:space="preserve"> además</w:t>
      </w:r>
      <w:r w:rsidR="00897302" w:rsidRPr="00021737">
        <w:rPr>
          <w:b/>
          <w:lang w:val="es-ES_tradnl"/>
        </w:rPr>
        <w:t xml:space="preserve"> asegure una</w:t>
      </w:r>
      <w:r w:rsidR="00637CF7" w:rsidRPr="00021737">
        <w:rPr>
          <w:b/>
          <w:lang w:val="es-ES_tradnl"/>
        </w:rPr>
        <w:t xml:space="preserve"> coordinación efectiva entre las diferentes institucione</w:t>
      </w:r>
      <w:r w:rsidR="0001733C" w:rsidRPr="00021737">
        <w:rPr>
          <w:b/>
          <w:lang w:val="es-ES_tradnl"/>
        </w:rPr>
        <w:t xml:space="preserve">s, tanto a nivel nacional como </w:t>
      </w:r>
      <w:r w:rsidR="00637CF7" w:rsidRPr="00021737">
        <w:rPr>
          <w:b/>
          <w:lang w:val="es-ES_tradnl"/>
        </w:rPr>
        <w:t xml:space="preserve">regional. </w:t>
      </w:r>
      <w:r w:rsidR="00782551" w:rsidRPr="00021737">
        <w:rPr>
          <w:b/>
          <w:lang w:val="es-ES_tradnl"/>
        </w:rPr>
        <w:t xml:space="preserve">De conformidad </w:t>
      </w:r>
      <w:r w:rsidR="0023333D" w:rsidRPr="00021737">
        <w:rPr>
          <w:b/>
          <w:lang w:val="es-ES_tradnl"/>
        </w:rPr>
        <w:t>con</w:t>
      </w:r>
      <w:r w:rsidR="00782551" w:rsidRPr="00021737">
        <w:rPr>
          <w:b/>
          <w:lang w:val="es-ES_tradnl"/>
        </w:rPr>
        <w:t xml:space="preserve"> las informaciones proporcionadas durante el diálogo, e</w:t>
      </w:r>
      <w:r w:rsidR="00B56A20" w:rsidRPr="00021737">
        <w:rPr>
          <w:b/>
          <w:lang w:val="es-ES_tradnl"/>
        </w:rPr>
        <w:t xml:space="preserve">l Comité </w:t>
      </w:r>
      <w:r w:rsidR="00897302" w:rsidRPr="00021737">
        <w:rPr>
          <w:b/>
          <w:lang w:val="es-ES_tradnl"/>
        </w:rPr>
        <w:t>alienta al Estado parte a</w:t>
      </w:r>
      <w:r w:rsidR="0023333D" w:rsidRPr="00021737">
        <w:rPr>
          <w:b/>
          <w:lang w:val="es-ES_tradnl"/>
        </w:rPr>
        <w:t xml:space="preserve"> agilizar</w:t>
      </w:r>
      <w:r w:rsidR="00897302" w:rsidRPr="00021737">
        <w:rPr>
          <w:b/>
          <w:lang w:val="es-ES_tradnl"/>
        </w:rPr>
        <w:t xml:space="preserve">, en consulta y con la participación de la población afroperuana, </w:t>
      </w:r>
      <w:r w:rsidR="00782551" w:rsidRPr="00021737">
        <w:rPr>
          <w:b/>
          <w:lang w:val="es-ES_tradnl"/>
        </w:rPr>
        <w:t>el proceso de aprobación del reconocimiento constitucional de la población afroperuana que ha sido presentado</w:t>
      </w:r>
      <w:r w:rsidR="006D3019" w:rsidRPr="00021737">
        <w:rPr>
          <w:b/>
          <w:lang w:val="es-ES_tradnl"/>
        </w:rPr>
        <w:t xml:space="preserve"> al Congreso</w:t>
      </w:r>
      <w:r w:rsidR="00B56A20" w:rsidRPr="00021737">
        <w:rPr>
          <w:b/>
          <w:lang w:val="es-ES_tradnl"/>
        </w:rPr>
        <w:t>.</w:t>
      </w:r>
    </w:p>
    <w:p w14:paraId="1CC4A2D9" w14:textId="05096207" w:rsidR="00494148" w:rsidRPr="00021737" w:rsidRDefault="00F51C01" w:rsidP="00F51C01">
      <w:pPr>
        <w:pStyle w:val="H23G"/>
        <w:rPr>
          <w:lang w:val="es-ES_tradnl"/>
        </w:rPr>
      </w:pPr>
      <w:r w:rsidRPr="00021737">
        <w:rPr>
          <w:lang w:val="es-ES_tradnl"/>
        </w:rPr>
        <w:tab/>
      </w:r>
      <w:r w:rsidRPr="00021737">
        <w:rPr>
          <w:lang w:val="es-ES_tradnl"/>
        </w:rPr>
        <w:tab/>
      </w:r>
      <w:r w:rsidR="00494148" w:rsidRPr="00021737">
        <w:rPr>
          <w:lang w:val="es-ES_tradnl"/>
        </w:rPr>
        <w:t>Tierras, territorios y recursos de pueblos indígenas</w:t>
      </w:r>
    </w:p>
    <w:p w14:paraId="3EA81BE6" w14:textId="42A9603E" w:rsidR="00494148" w:rsidRPr="00021737" w:rsidRDefault="00021737" w:rsidP="005D6D2E">
      <w:pPr>
        <w:pStyle w:val="SingleTxtG"/>
        <w:rPr>
          <w:b/>
          <w:lang w:val="es-ES_tradnl"/>
        </w:rPr>
      </w:pPr>
      <w:r w:rsidRPr="005D6D2E">
        <w:rPr>
          <w:lang w:val="es-ES_tradnl"/>
        </w:rPr>
        <w:t>16.</w:t>
      </w:r>
      <w:r w:rsidRPr="005D6D2E">
        <w:rPr>
          <w:lang w:val="es-ES_tradnl"/>
        </w:rPr>
        <w:tab/>
      </w:r>
      <w:r w:rsidR="00494148" w:rsidRPr="00021737">
        <w:rPr>
          <w:color w:val="000000"/>
          <w:lang w:val="es-ES_tradnl"/>
        </w:rPr>
        <w:t>Preocupa al Comité la falta de mecanismos efectivos de protección de los derechos de los pueblos indígenas sobre sus tierras, territorios y recursos, en parte, debido a la falta de un procedimiento adecuado de reconocimiento y titulación de tierras, así como a</w:t>
      </w:r>
      <w:r w:rsidR="00325A50" w:rsidRPr="00021737">
        <w:rPr>
          <w:color w:val="000000"/>
          <w:lang w:val="es-ES_tradnl"/>
        </w:rPr>
        <w:t xml:space="preserve"> </w:t>
      </w:r>
      <w:r w:rsidR="00494148" w:rsidRPr="00021737">
        <w:rPr>
          <w:color w:val="000000"/>
          <w:lang w:val="es-ES_tradnl"/>
        </w:rPr>
        <w:t>l</w:t>
      </w:r>
      <w:r w:rsidR="00325A50" w:rsidRPr="00021737">
        <w:rPr>
          <w:color w:val="000000"/>
          <w:lang w:val="es-ES_tradnl"/>
        </w:rPr>
        <w:t>a</w:t>
      </w:r>
      <w:r w:rsidR="00494148" w:rsidRPr="00021737">
        <w:rPr>
          <w:color w:val="000000"/>
          <w:lang w:val="es-ES_tradnl"/>
        </w:rPr>
        <w:t xml:space="preserve"> </w:t>
      </w:r>
      <w:r w:rsidR="00325A50" w:rsidRPr="00021737">
        <w:rPr>
          <w:color w:val="000000"/>
          <w:lang w:val="es-ES_tradnl"/>
        </w:rPr>
        <w:t xml:space="preserve">concentración </w:t>
      </w:r>
      <w:r w:rsidR="00494148" w:rsidRPr="00021737">
        <w:rPr>
          <w:color w:val="000000"/>
          <w:lang w:val="es-ES_tradnl"/>
        </w:rPr>
        <w:t>generalizad</w:t>
      </w:r>
      <w:r w:rsidR="00325A50" w:rsidRPr="00021737">
        <w:rPr>
          <w:color w:val="000000"/>
          <w:lang w:val="es-ES_tradnl"/>
        </w:rPr>
        <w:t>a</w:t>
      </w:r>
      <w:r w:rsidR="00494148" w:rsidRPr="00021737">
        <w:rPr>
          <w:color w:val="000000"/>
          <w:lang w:val="es-ES_tradnl"/>
        </w:rPr>
        <w:t xml:space="preserve"> de la tierra y la explotación de recursos naturales por entes privados, empresas o individuos, lo cual continúa generando graves conflictos sociales. Además, le preocupa que el desarrollo de </w:t>
      </w:r>
      <w:r w:rsidR="00494148" w:rsidRPr="00021737">
        <w:rPr>
          <w:lang w:val="es-ES_tradnl"/>
        </w:rPr>
        <w:t>actividades de explotación de recursos naturales</w:t>
      </w:r>
      <w:r w:rsidR="00494148" w:rsidRPr="00021737">
        <w:rPr>
          <w:color w:val="000000"/>
          <w:lang w:val="es-ES_tradnl"/>
        </w:rPr>
        <w:t xml:space="preserve"> continúe teniendo un impacto negativo en los territorios, tierras y recursos de los pueblos indígenas, particularmente en cuanto a la contaminación de sus recursos hídricos</w:t>
      </w:r>
      <w:r w:rsidR="009071BE" w:rsidRPr="00021737">
        <w:rPr>
          <w:color w:val="000000"/>
          <w:lang w:val="es-ES_tradnl"/>
        </w:rPr>
        <w:t>,</w:t>
      </w:r>
      <w:r w:rsidR="00494148" w:rsidRPr="00021737">
        <w:rPr>
          <w:color w:val="000000"/>
          <w:lang w:val="es-ES_tradnl"/>
        </w:rPr>
        <w:t xml:space="preserve"> lo cual afecta de manera significativa a sus formas tradicionales de subsistencia (art. 5).</w:t>
      </w:r>
    </w:p>
    <w:p w14:paraId="524321D1" w14:textId="08D73217" w:rsidR="00494148" w:rsidRPr="00021737" w:rsidRDefault="00021737" w:rsidP="005D6D2E">
      <w:pPr>
        <w:pStyle w:val="SingleTxtG"/>
        <w:ind w:left="1689" w:hanging="555"/>
        <w:rPr>
          <w:b/>
          <w:lang w:val="es-ES_tradnl"/>
        </w:rPr>
      </w:pPr>
      <w:r w:rsidRPr="005D6D2E">
        <w:rPr>
          <w:lang w:val="es-ES_tradnl"/>
        </w:rPr>
        <w:t>17.</w:t>
      </w:r>
      <w:r w:rsidRPr="005D6D2E">
        <w:rPr>
          <w:lang w:val="es-ES_tradnl"/>
        </w:rPr>
        <w:tab/>
      </w:r>
      <w:r w:rsidR="00494148" w:rsidRPr="00021737">
        <w:rPr>
          <w:b/>
          <w:lang w:val="es-ES_tradnl"/>
        </w:rPr>
        <w:t xml:space="preserve">El Comité recomienda al Estado parte que: </w:t>
      </w:r>
    </w:p>
    <w:p w14:paraId="747531E7" w14:textId="4AF0897C" w:rsidR="00494148" w:rsidRPr="00021737" w:rsidRDefault="00021737" w:rsidP="005D6D2E">
      <w:pPr>
        <w:pStyle w:val="SingleTxtG"/>
        <w:ind w:firstLine="567"/>
        <w:rPr>
          <w:b/>
          <w:lang w:val="es-ES_tradnl"/>
        </w:rPr>
      </w:pPr>
      <w:r w:rsidRPr="00021737">
        <w:rPr>
          <w:b/>
          <w:lang w:val="es-ES_tradnl"/>
        </w:rPr>
        <w:t>a)</w:t>
      </w:r>
      <w:r w:rsidRPr="00021737">
        <w:rPr>
          <w:b/>
          <w:lang w:val="es-ES_tradnl"/>
        </w:rPr>
        <w:tab/>
      </w:r>
      <w:r w:rsidR="00494148" w:rsidRPr="00021737">
        <w:rPr>
          <w:b/>
          <w:lang w:val="es-ES_tradnl"/>
        </w:rPr>
        <w:t xml:space="preserve">Establezca un mecanismo adecuado y eficaz que permita la reclamación y restitución de tierras y territorios ancestrales, asegurando la asignación de recursos humanos, técnicos y financieros adecuados para el funcionamiento efectivo de tal mecanismo; </w:t>
      </w:r>
    </w:p>
    <w:p w14:paraId="4F086919" w14:textId="644E3CE1" w:rsidR="00494148" w:rsidRPr="00021737" w:rsidRDefault="00021737" w:rsidP="005D6D2E">
      <w:pPr>
        <w:pStyle w:val="SingleTxtG"/>
        <w:ind w:firstLine="567"/>
        <w:rPr>
          <w:b/>
          <w:lang w:val="es-ES_tradnl"/>
        </w:rPr>
      </w:pPr>
      <w:r w:rsidRPr="00021737">
        <w:rPr>
          <w:b/>
          <w:lang w:val="es-ES_tradnl"/>
        </w:rPr>
        <w:t>b)</w:t>
      </w:r>
      <w:r w:rsidRPr="00021737">
        <w:rPr>
          <w:b/>
          <w:lang w:val="es-ES_tradnl"/>
        </w:rPr>
        <w:tab/>
      </w:r>
      <w:r w:rsidR="00494148" w:rsidRPr="00021737">
        <w:rPr>
          <w:b/>
          <w:lang w:val="es-ES_tradnl"/>
        </w:rPr>
        <w:t>Garantice la protección de los derechos que tienen los pueblos indígenas a poseer, utilizar, desarrollar y controlar con plena seguridad sus tierras, territorios y recursos, incluso mediante el reconocimiento legal y la protección jurídica necesari</w:t>
      </w:r>
      <w:r w:rsidR="00793BC1" w:rsidRPr="00021737">
        <w:rPr>
          <w:b/>
          <w:lang w:val="es-ES_tradnl"/>
        </w:rPr>
        <w:t>o</w:t>
      </w:r>
      <w:r w:rsidR="00494148" w:rsidRPr="00021737">
        <w:rPr>
          <w:b/>
          <w:lang w:val="es-ES_tradnl"/>
        </w:rPr>
        <w:t xml:space="preserve">s de conformidad con los estándares internacionales; </w:t>
      </w:r>
    </w:p>
    <w:p w14:paraId="10B4B96E" w14:textId="28827661" w:rsidR="00494148" w:rsidRPr="00021737" w:rsidRDefault="00021737" w:rsidP="005D6D2E">
      <w:pPr>
        <w:pStyle w:val="SingleTxtG"/>
        <w:ind w:firstLine="567"/>
        <w:rPr>
          <w:b/>
          <w:lang w:val="es-ES_tradnl"/>
        </w:rPr>
      </w:pPr>
      <w:r w:rsidRPr="00021737">
        <w:rPr>
          <w:b/>
          <w:lang w:val="es-ES_tradnl"/>
        </w:rPr>
        <w:t>c)</w:t>
      </w:r>
      <w:r w:rsidRPr="00021737">
        <w:rPr>
          <w:b/>
          <w:lang w:val="es-ES_tradnl"/>
        </w:rPr>
        <w:tab/>
      </w:r>
      <w:r w:rsidR="00494148" w:rsidRPr="00021737">
        <w:rPr>
          <w:b/>
          <w:lang w:val="es-ES_tradnl"/>
        </w:rPr>
        <w:t>Intensifique sus esfuerzos por llevar a cabo de manera oportuna las evaluaciones del impacto social y ambiental que pueda tener la explotación de recursos naturales que se desarrollan en territorios de pueblos indígenas, a fin de proteger sus medios tradicionales de subsistencia</w:t>
      </w:r>
      <w:r w:rsidR="00A90828" w:rsidRPr="00021737">
        <w:rPr>
          <w:b/>
          <w:lang w:val="es-ES_tradnl"/>
        </w:rPr>
        <w:t>;</w:t>
      </w:r>
      <w:r w:rsidR="00494148" w:rsidRPr="00021737">
        <w:rPr>
          <w:b/>
          <w:lang w:val="es-ES_tradnl"/>
        </w:rPr>
        <w:t xml:space="preserve"> </w:t>
      </w:r>
    </w:p>
    <w:p w14:paraId="003A602C" w14:textId="32F57704" w:rsidR="00494148" w:rsidRPr="00021737" w:rsidRDefault="00021737" w:rsidP="005D6D2E">
      <w:pPr>
        <w:pStyle w:val="SingleTxtG"/>
        <w:ind w:firstLine="567"/>
        <w:rPr>
          <w:b/>
          <w:lang w:val="es-ES_tradnl"/>
        </w:rPr>
      </w:pPr>
      <w:r w:rsidRPr="00021737">
        <w:rPr>
          <w:b/>
          <w:lang w:val="es-ES_tradnl"/>
        </w:rPr>
        <w:t>d)</w:t>
      </w:r>
      <w:r w:rsidRPr="00021737">
        <w:rPr>
          <w:b/>
          <w:lang w:val="es-ES_tradnl"/>
        </w:rPr>
        <w:tab/>
      </w:r>
      <w:r w:rsidR="00494148" w:rsidRPr="00021737">
        <w:rPr>
          <w:b/>
          <w:lang w:val="es-ES_tradnl"/>
        </w:rPr>
        <w:t>Garantice que las comunidades afectadas obtengan compensaciones por los daños sufridos y tengan acceso a una participación en los beneficios obtenidos de dichas actividades.</w:t>
      </w:r>
    </w:p>
    <w:p w14:paraId="5A8815BB" w14:textId="7DC3D64D" w:rsidR="00494148" w:rsidRPr="00021737" w:rsidRDefault="00F51C01" w:rsidP="00F51C01">
      <w:pPr>
        <w:pStyle w:val="H23G"/>
        <w:rPr>
          <w:lang w:val="es-ES_tradnl"/>
        </w:rPr>
      </w:pPr>
      <w:r w:rsidRPr="00021737">
        <w:rPr>
          <w:lang w:val="es-ES_tradnl"/>
        </w:rPr>
        <w:tab/>
      </w:r>
      <w:r w:rsidRPr="00021737">
        <w:rPr>
          <w:lang w:val="es-ES_tradnl"/>
        </w:rPr>
        <w:tab/>
      </w:r>
      <w:r w:rsidR="00494148" w:rsidRPr="00021737">
        <w:rPr>
          <w:lang w:val="es-ES_tradnl"/>
        </w:rPr>
        <w:t xml:space="preserve">Pueblos indígenas en </w:t>
      </w:r>
      <w:r w:rsidR="00927647" w:rsidRPr="00021737">
        <w:rPr>
          <w:lang w:val="es-ES_tradnl"/>
        </w:rPr>
        <w:t xml:space="preserve">aislamiento voluntario o en </w:t>
      </w:r>
      <w:r w:rsidR="00494148" w:rsidRPr="00021737">
        <w:rPr>
          <w:lang w:val="es-ES_tradnl"/>
        </w:rPr>
        <w:t>contacto inicial</w:t>
      </w:r>
    </w:p>
    <w:p w14:paraId="31B6850C" w14:textId="4CAD6481" w:rsidR="00494148" w:rsidRPr="00021737" w:rsidRDefault="00021737" w:rsidP="005D6D2E">
      <w:pPr>
        <w:pStyle w:val="SingleTxtG"/>
        <w:rPr>
          <w:b/>
          <w:lang w:val="es-ES_tradnl"/>
        </w:rPr>
      </w:pPr>
      <w:r w:rsidRPr="005D6D2E">
        <w:rPr>
          <w:lang w:val="es-ES_tradnl"/>
        </w:rPr>
        <w:t>18.</w:t>
      </w:r>
      <w:r w:rsidRPr="005D6D2E">
        <w:rPr>
          <w:lang w:val="es-ES_tradnl"/>
        </w:rPr>
        <w:tab/>
      </w:r>
      <w:r w:rsidR="00494148" w:rsidRPr="00021737">
        <w:rPr>
          <w:lang w:val="es-ES_tradnl"/>
        </w:rPr>
        <w:t xml:space="preserve">Preocupa al Comité que, a pesar del establecimiento de reservas indígenas, la realización de proyectos de desarrollo y de actividades de explotación de recursos naturales continúe poniendo en riesgo la supervivencia física y cultural de los pueblos indígenas en aislamiento voluntario o en contacto inicial, particularmente en las reservas indígenas Isconahua, Murunahua, Mashco Piro y </w:t>
      </w:r>
      <w:r w:rsidR="001E2648" w:rsidRPr="00021737">
        <w:rPr>
          <w:lang w:val="es-ES_tradnl"/>
        </w:rPr>
        <w:t>Kugapakori</w:t>
      </w:r>
      <w:r w:rsidR="001F65F8" w:rsidRPr="00021737">
        <w:rPr>
          <w:lang w:val="es-ES_tradnl"/>
        </w:rPr>
        <w:t>,</w:t>
      </w:r>
      <w:r w:rsidR="001E2648" w:rsidRPr="00021737">
        <w:rPr>
          <w:lang w:val="es-ES_tradnl"/>
        </w:rPr>
        <w:t xml:space="preserve"> </w:t>
      </w:r>
      <w:r w:rsidR="00F51C01" w:rsidRPr="00021737">
        <w:rPr>
          <w:lang w:val="es-ES_tradnl"/>
        </w:rPr>
        <w:t>Nahua</w:t>
      </w:r>
      <w:r w:rsidR="001F65F8" w:rsidRPr="00021737">
        <w:rPr>
          <w:lang w:val="es-ES_tradnl"/>
        </w:rPr>
        <w:t>,</w:t>
      </w:r>
      <w:r w:rsidR="00F51C01" w:rsidRPr="00021737">
        <w:rPr>
          <w:lang w:val="es-ES_tradnl"/>
        </w:rPr>
        <w:t xml:space="preserve"> Nanti</w:t>
      </w:r>
      <w:r w:rsidR="001F65F8" w:rsidRPr="00021737">
        <w:rPr>
          <w:lang w:val="es-ES_tradnl"/>
        </w:rPr>
        <w:t xml:space="preserve"> y otras</w:t>
      </w:r>
      <w:r w:rsidR="00F51C01" w:rsidRPr="00021737">
        <w:rPr>
          <w:lang w:val="es-ES_tradnl"/>
        </w:rPr>
        <w:t xml:space="preserve"> (art. </w:t>
      </w:r>
      <w:r w:rsidR="00494148" w:rsidRPr="00021737">
        <w:rPr>
          <w:lang w:val="es-ES_tradnl"/>
        </w:rPr>
        <w:t>5).</w:t>
      </w:r>
    </w:p>
    <w:p w14:paraId="421AE49E" w14:textId="1F103AD3" w:rsidR="00494148" w:rsidRPr="00021737" w:rsidRDefault="00021737" w:rsidP="005D6D2E">
      <w:pPr>
        <w:pStyle w:val="SingleTxtG"/>
        <w:rPr>
          <w:b/>
          <w:lang w:val="es-ES_tradnl"/>
        </w:rPr>
      </w:pPr>
      <w:r w:rsidRPr="005D6D2E">
        <w:rPr>
          <w:lang w:val="es-ES_tradnl"/>
        </w:rPr>
        <w:t>19.</w:t>
      </w:r>
      <w:r w:rsidRPr="005D6D2E">
        <w:rPr>
          <w:lang w:val="es-ES_tradnl"/>
        </w:rPr>
        <w:tab/>
      </w:r>
      <w:r w:rsidR="00494148" w:rsidRPr="00021737">
        <w:rPr>
          <w:b/>
          <w:bCs/>
          <w:lang w:val="es-ES_tradnl"/>
        </w:rPr>
        <w:t xml:space="preserve">El Comité insta al Estado parte a: </w:t>
      </w:r>
    </w:p>
    <w:p w14:paraId="1CC15146" w14:textId="083CC9A4" w:rsidR="00494148" w:rsidRPr="00021737" w:rsidRDefault="00021737" w:rsidP="005D6D2E">
      <w:pPr>
        <w:pStyle w:val="SingleTxtG"/>
        <w:ind w:firstLine="567"/>
        <w:rPr>
          <w:b/>
          <w:bCs/>
          <w:lang w:val="es-ES_tradnl"/>
        </w:rPr>
      </w:pPr>
      <w:r w:rsidRPr="00021737">
        <w:rPr>
          <w:b/>
          <w:bCs/>
          <w:lang w:val="es-ES_tradnl"/>
        </w:rPr>
        <w:t>a)</w:t>
      </w:r>
      <w:r w:rsidRPr="00021737">
        <w:rPr>
          <w:b/>
          <w:bCs/>
          <w:lang w:val="es-ES_tradnl"/>
        </w:rPr>
        <w:tab/>
      </w:r>
      <w:r w:rsidR="00494148" w:rsidRPr="00021737">
        <w:rPr>
          <w:b/>
          <w:bCs/>
          <w:lang w:val="es-ES_tradnl"/>
        </w:rPr>
        <w:t xml:space="preserve">Intensificar sus esfuerzos para agilizar los procesos de categorización de reservas indígenas; </w:t>
      </w:r>
    </w:p>
    <w:p w14:paraId="3F57B608" w14:textId="285CB948" w:rsidR="00494148" w:rsidRPr="00021737" w:rsidRDefault="00021737" w:rsidP="005D6D2E">
      <w:pPr>
        <w:pStyle w:val="SingleTxtG"/>
        <w:ind w:firstLine="567"/>
        <w:rPr>
          <w:b/>
          <w:lang w:val="es-ES_tradnl"/>
        </w:rPr>
      </w:pPr>
      <w:r w:rsidRPr="00021737">
        <w:rPr>
          <w:b/>
          <w:lang w:val="es-ES_tradnl"/>
        </w:rPr>
        <w:t>b)</w:t>
      </w:r>
      <w:r w:rsidRPr="00021737">
        <w:rPr>
          <w:b/>
          <w:lang w:val="es-ES_tradnl"/>
        </w:rPr>
        <w:tab/>
      </w:r>
      <w:r w:rsidR="00494148" w:rsidRPr="00021737">
        <w:rPr>
          <w:b/>
          <w:bCs/>
          <w:lang w:val="es-ES_tradnl"/>
        </w:rPr>
        <w:t xml:space="preserve">Adoptar e implementar medidas apropiadas que garanticen la supervivencia física y cultural de los pueblos indígenas que se encuentran en aislamiento voluntario o en situación de contacto inicial, particularmente de aquellos que han sido afectados o están en riesgo de serlo por la realización de proyectos de desarrollo y de actividades de explotación de recursos naturales.  </w:t>
      </w:r>
    </w:p>
    <w:p w14:paraId="7B0A59CC" w14:textId="701F852D" w:rsidR="00931F01" w:rsidRPr="00021737" w:rsidRDefault="00F51C01" w:rsidP="00F51C01">
      <w:pPr>
        <w:pStyle w:val="H23G"/>
        <w:rPr>
          <w:lang w:val="es-ES_tradnl"/>
        </w:rPr>
      </w:pPr>
      <w:r w:rsidRPr="00021737">
        <w:rPr>
          <w:lang w:val="es-ES_tradnl"/>
        </w:rPr>
        <w:tab/>
      </w:r>
      <w:r w:rsidRPr="00021737">
        <w:rPr>
          <w:lang w:val="es-ES_tradnl"/>
        </w:rPr>
        <w:tab/>
      </w:r>
      <w:r w:rsidR="009003C6" w:rsidRPr="00021737">
        <w:rPr>
          <w:lang w:val="es-ES_tradnl"/>
        </w:rPr>
        <w:t>Consulta previa</w:t>
      </w:r>
    </w:p>
    <w:p w14:paraId="5723EB48" w14:textId="2DBD33E3" w:rsidR="007F5609" w:rsidRPr="00021737" w:rsidRDefault="00021737" w:rsidP="005D6D2E">
      <w:pPr>
        <w:pStyle w:val="SingleTxtG"/>
        <w:rPr>
          <w:b/>
          <w:lang w:val="es-ES_tradnl"/>
        </w:rPr>
      </w:pPr>
      <w:r w:rsidRPr="005D6D2E">
        <w:rPr>
          <w:lang w:val="es-ES_tradnl"/>
        </w:rPr>
        <w:t>20.</w:t>
      </w:r>
      <w:r w:rsidRPr="005D6D2E">
        <w:rPr>
          <w:lang w:val="es-ES_tradnl"/>
        </w:rPr>
        <w:tab/>
      </w:r>
      <w:r w:rsidR="00897302" w:rsidRPr="00021737">
        <w:rPr>
          <w:lang w:val="es-ES_tradnl"/>
        </w:rPr>
        <w:t xml:space="preserve">Preocupa al Comité que </w:t>
      </w:r>
      <w:r w:rsidR="007E48E7" w:rsidRPr="00021737">
        <w:rPr>
          <w:lang w:val="es-ES_tradnl"/>
        </w:rPr>
        <w:t>el derecho de los pueblos indígenas a la consul</w:t>
      </w:r>
      <w:r w:rsidR="00E15C2A" w:rsidRPr="00021737">
        <w:rPr>
          <w:lang w:val="es-ES_tradnl"/>
        </w:rPr>
        <w:t>ta previa con miras a obtener el</w:t>
      </w:r>
      <w:r w:rsidR="007E48E7" w:rsidRPr="00021737">
        <w:rPr>
          <w:lang w:val="es-ES_tradnl"/>
        </w:rPr>
        <w:t xml:space="preserve"> consentimiento libre, previo e informado no </w:t>
      </w:r>
      <w:r w:rsidR="00897302" w:rsidRPr="00021737">
        <w:rPr>
          <w:lang w:val="es-ES_tradnl"/>
        </w:rPr>
        <w:t>sea aplicado respecto de las medidas legislativas</w:t>
      </w:r>
      <w:r w:rsidR="001D65D1" w:rsidRPr="00021737">
        <w:rPr>
          <w:lang w:val="es-ES_tradnl"/>
        </w:rPr>
        <w:t xml:space="preserve">. </w:t>
      </w:r>
      <w:r w:rsidR="007D7090" w:rsidRPr="00021737">
        <w:rPr>
          <w:lang w:val="es-ES_tradnl"/>
        </w:rPr>
        <w:t xml:space="preserve">Además, el Comité </w:t>
      </w:r>
      <w:r w:rsidR="008F64BC" w:rsidRPr="00021737">
        <w:rPr>
          <w:lang w:val="es-ES_tradnl"/>
        </w:rPr>
        <w:t>continúa preocupado por</w:t>
      </w:r>
      <w:r w:rsidR="001D65D1" w:rsidRPr="00021737">
        <w:rPr>
          <w:lang w:val="es-ES_tradnl"/>
        </w:rPr>
        <w:t xml:space="preserve"> las deficiencias en</w:t>
      </w:r>
      <w:r w:rsidR="002169D2" w:rsidRPr="00021737">
        <w:rPr>
          <w:lang w:val="es-ES_tradnl"/>
        </w:rPr>
        <w:t xml:space="preserve"> </w:t>
      </w:r>
      <w:r w:rsidR="001D65D1" w:rsidRPr="00021737">
        <w:rPr>
          <w:lang w:val="es-ES_tradnl"/>
        </w:rPr>
        <w:t>torno a los procesos de la consulta previa relativos a</w:t>
      </w:r>
      <w:r w:rsidR="00775157" w:rsidRPr="00021737">
        <w:rPr>
          <w:lang w:val="es-ES_tradnl"/>
        </w:rPr>
        <w:t xml:space="preserve"> proyectos de desarrollo y </w:t>
      </w:r>
      <w:r w:rsidR="001D65D1" w:rsidRPr="00021737">
        <w:rPr>
          <w:lang w:val="es-ES_tradnl"/>
        </w:rPr>
        <w:t>explotación de recursos naturales</w:t>
      </w:r>
      <w:r w:rsidR="008F64BC" w:rsidRPr="00021737">
        <w:rPr>
          <w:lang w:val="es-ES_tradnl"/>
        </w:rPr>
        <w:t xml:space="preserve">, incluyendo proyectos </w:t>
      </w:r>
      <w:r w:rsidR="00EF3D3B" w:rsidRPr="00021737">
        <w:rPr>
          <w:lang w:val="es-ES_tradnl"/>
        </w:rPr>
        <w:t>de</w:t>
      </w:r>
      <w:r w:rsidR="008F64BC" w:rsidRPr="00021737">
        <w:rPr>
          <w:lang w:val="es-ES_tradnl"/>
        </w:rPr>
        <w:t xml:space="preserve"> minería</w:t>
      </w:r>
      <w:r w:rsidR="00775157" w:rsidRPr="00021737">
        <w:rPr>
          <w:lang w:val="es-ES_tradnl"/>
        </w:rPr>
        <w:t xml:space="preserve"> en territorios indígenas, ya que </w:t>
      </w:r>
      <w:r w:rsidR="00EF3D3B" w:rsidRPr="00021737">
        <w:rPr>
          <w:lang w:val="es-ES_tradnl"/>
        </w:rPr>
        <w:t xml:space="preserve">estos </w:t>
      </w:r>
      <w:r w:rsidR="00775157" w:rsidRPr="00021737">
        <w:rPr>
          <w:lang w:val="es-ES_tradnl"/>
        </w:rPr>
        <w:t xml:space="preserve">no son </w:t>
      </w:r>
      <w:r w:rsidR="008F64BC" w:rsidRPr="00021737">
        <w:rPr>
          <w:lang w:val="es-ES_tradnl"/>
        </w:rPr>
        <w:t>realizados</w:t>
      </w:r>
      <w:r w:rsidR="00775157" w:rsidRPr="00021737">
        <w:rPr>
          <w:lang w:val="es-ES_tradnl"/>
        </w:rPr>
        <w:t xml:space="preserve"> en el momento oportuno</w:t>
      </w:r>
      <w:r w:rsidR="00EF3D3B" w:rsidRPr="00021737">
        <w:rPr>
          <w:lang w:val="es-ES_tradnl"/>
        </w:rPr>
        <w:t>,</w:t>
      </w:r>
      <w:r w:rsidR="00775157" w:rsidRPr="00021737">
        <w:rPr>
          <w:lang w:val="es-ES_tradnl"/>
        </w:rPr>
        <w:t xml:space="preserve"> y la información proporcionada no es suficiente</w:t>
      </w:r>
      <w:r w:rsidR="002169D2" w:rsidRPr="00021737">
        <w:rPr>
          <w:lang w:val="es-ES_tradnl"/>
        </w:rPr>
        <w:t>,</w:t>
      </w:r>
      <w:r w:rsidR="00775157" w:rsidRPr="00021737">
        <w:rPr>
          <w:lang w:val="es-ES_tradnl"/>
        </w:rPr>
        <w:t xml:space="preserve"> lo cual impide que los pueblos indígenas puedan expresar su consentimiento libre, previo e informado</w:t>
      </w:r>
      <w:r w:rsidR="00DC1B91" w:rsidRPr="00021737">
        <w:rPr>
          <w:lang w:val="es-ES_tradnl"/>
        </w:rPr>
        <w:t xml:space="preserve"> </w:t>
      </w:r>
      <w:r w:rsidR="00775157" w:rsidRPr="00021737">
        <w:rPr>
          <w:lang w:val="es-ES_tradnl"/>
        </w:rPr>
        <w:t>(art</w:t>
      </w:r>
      <w:r w:rsidR="00284D02" w:rsidRPr="00021737">
        <w:rPr>
          <w:lang w:val="es-ES_tradnl"/>
        </w:rPr>
        <w:t>s</w:t>
      </w:r>
      <w:r w:rsidR="00775157" w:rsidRPr="00021737">
        <w:rPr>
          <w:lang w:val="es-ES_tradnl"/>
        </w:rPr>
        <w:t>.</w:t>
      </w:r>
      <w:r w:rsidR="00911CF4" w:rsidRPr="00021737">
        <w:rPr>
          <w:lang w:val="es-ES_tradnl"/>
        </w:rPr>
        <w:t> </w:t>
      </w:r>
      <w:r w:rsidR="00775157" w:rsidRPr="00021737">
        <w:rPr>
          <w:lang w:val="es-ES_tradnl"/>
        </w:rPr>
        <w:t xml:space="preserve">2 y 5). </w:t>
      </w:r>
    </w:p>
    <w:p w14:paraId="68995011" w14:textId="4E7C629B" w:rsidR="008F64BC" w:rsidRPr="00021737" w:rsidRDefault="00021737" w:rsidP="005D6D2E">
      <w:pPr>
        <w:pStyle w:val="SingleTxtG"/>
        <w:rPr>
          <w:b/>
          <w:lang w:val="es-ES_tradnl"/>
        </w:rPr>
      </w:pPr>
      <w:r w:rsidRPr="005D6D2E">
        <w:rPr>
          <w:lang w:val="es-ES_tradnl"/>
        </w:rPr>
        <w:t>21.</w:t>
      </w:r>
      <w:r w:rsidRPr="005D6D2E">
        <w:rPr>
          <w:lang w:val="es-ES_tradnl"/>
        </w:rPr>
        <w:tab/>
      </w:r>
      <w:r w:rsidR="00775157" w:rsidRPr="00021737">
        <w:rPr>
          <w:b/>
          <w:lang w:val="es-ES_tradnl"/>
        </w:rPr>
        <w:t>Tomando en cuenta su anterior recomendación (CERD/C/PER/CO/18-21, párr.</w:t>
      </w:r>
      <w:r>
        <w:rPr>
          <w:b/>
          <w:lang w:val="es-ES_tradnl"/>
        </w:rPr>
        <w:t> </w:t>
      </w:r>
      <w:r w:rsidR="00775157" w:rsidRPr="00021737">
        <w:rPr>
          <w:b/>
          <w:lang w:val="es-ES_tradnl"/>
        </w:rPr>
        <w:t>14), el Comité insta al Estado parte a</w:t>
      </w:r>
      <w:r w:rsidR="008F64BC" w:rsidRPr="00021737">
        <w:rPr>
          <w:b/>
          <w:lang w:val="es-ES_tradnl"/>
        </w:rPr>
        <w:t xml:space="preserve">: </w:t>
      </w:r>
    </w:p>
    <w:p w14:paraId="0521B998" w14:textId="409EAD4D" w:rsidR="008F64BC" w:rsidRPr="00021737" w:rsidRDefault="00021737" w:rsidP="005D6D2E">
      <w:pPr>
        <w:pStyle w:val="SingleTxtG"/>
        <w:ind w:firstLine="720"/>
        <w:rPr>
          <w:b/>
          <w:lang w:val="es-ES_tradnl"/>
        </w:rPr>
      </w:pPr>
      <w:r w:rsidRPr="00021737">
        <w:rPr>
          <w:b/>
          <w:lang w:val="es-ES_tradnl"/>
        </w:rPr>
        <w:t>a)</w:t>
      </w:r>
      <w:r w:rsidRPr="00021737">
        <w:rPr>
          <w:b/>
          <w:lang w:val="es-ES_tradnl"/>
        </w:rPr>
        <w:tab/>
      </w:r>
      <w:r w:rsidR="00E1305F" w:rsidRPr="00021737">
        <w:rPr>
          <w:b/>
          <w:lang w:val="es-ES_tradnl"/>
        </w:rPr>
        <w:t xml:space="preserve">Asegurar que </w:t>
      </w:r>
      <w:r w:rsidR="00494148" w:rsidRPr="00021737">
        <w:rPr>
          <w:b/>
          <w:lang w:val="es-ES_tradnl"/>
        </w:rPr>
        <w:t>los pueblos indígenas</w:t>
      </w:r>
      <w:r w:rsidR="00325A50" w:rsidRPr="00021737">
        <w:rPr>
          <w:b/>
          <w:lang w:val="es-ES_tradnl"/>
        </w:rPr>
        <w:t xml:space="preserve">, y cuando proceda la población afroperuana, </w:t>
      </w:r>
      <w:r w:rsidR="00494148" w:rsidRPr="00021737">
        <w:rPr>
          <w:b/>
          <w:lang w:val="es-ES_tradnl"/>
        </w:rPr>
        <w:t xml:space="preserve">sean consultados respecto </w:t>
      </w:r>
      <w:r w:rsidR="00793BC1" w:rsidRPr="00021737">
        <w:rPr>
          <w:b/>
          <w:lang w:val="es-ES_tradnl"/>
        </w:rPr>
        <w:t xml:space="preserve">de </w:t>
      </w:r>
      <w:r w:rsidR="00E1305F" w:rsidRPr="00021737">
        <w:rPr>
          <w:b/>
          <w:lang w:val="es-ES_tradnl"/>
        </w:rPr>
        <w:t xml:space="preserve">todas </w:t>
      </w:r>
      <w:r w:rsidR="00494148" w:rsidRPr="00021737">
        <w:rPr>
          <w:b/>
          <w:lang w:val="es-ES_tradnl"/>
        </w:rPr>
        <w:t xml:space="preserve">las </w:t>
      </w:r>
      <w:r w:rsidR="00E1305F" w:rsidRPr="00021737">
        <w:rPr>
          <w:b/>
          <w:lang w:val="es-ES_tradnl"/>
        </w:rPr>
        <w:t>medidas admi</w:t>
      </w:r>
      <w:r w:rsidR="0024707F" w:rsidRPr="00021737">
        <w:rPr>
          <w:b/>
          <w:lang w:val="es-ES_tradnl"/>
        </w:rPr>
        <w:t>ni</w:t>
      </w:r>
      <w:r w:rsidR="00E1305F" w:rsidRPr="00021737">
        <w:rPr>
          <w:b/>
          <w:lang w:val="es-ES_tradnl"/>
        </w:rPr>
        <w:t xml:space="preserve">strativas y </w:t>
      </w:r>
      <w:r w:rsidR="008F64BC" w:rsidRPr="00021737">
        <w:rPr>
          <w:b/>
          <w:lang w:val="es-ES_tradnl"/>
        </w:rPr>
        <w:t xml:space="preserve">legislativas susceptibles de afectar </w:t>
      </w:r>
      <w:r w:rsidR="00494148" w:rsidRPr="00021737">
        <w:rPr>
          <w:b/>
          <w:lang w:val="es-ES_tradnl"/>
        </w:rPr>
        <w:t xml:space="preserve">sus derechos, </w:t>
      </w:r>
      <w:r w:rsidR="008F64BC" w:rsidRPr="00021737">
        <w:rPr>
          <w:b/>
          <w:lang w:val="es-ES_tradnl"/>
        </w:rPr>
        <w:t xml:space="preserve">con </w:t>
      </w:r>
      <w:r w:rsidR="00707C42" w:rsidRPr="00021737">
        <w:rPr>
          <w:b/>
          <w:lang w:val="es-ES_tradnl"/>
        </w:rPr>
        <w:t>miras a</w:t>
      </w:r>
      <w:r w:rsidR="008F64BC" w:rsidRPr="00021737">
        <w:rPr>
          <w:b/>
          <w:lang w:val="es-ES_tradnl"/>
        </w:rPr>
        <w:t xml:space="preserve"> obtener </w:t>
      </w:r>
      <w:r w:rsidR="00775157" w:rsidRPr="00021737">
        <w:rPr>
          <w:b/>
          <w:lang w:val="es-ES_tradnl"/>
        </w:rPr>
        <w:t>el consentimiento libre, previo e informado</w:t>
      </w:r>
      <w:r w:rsidR="008F64BC" w:rsidRPr="00021737">
        <w:rPr>
          <w:b/>
          <w:lang w:val="es-ES_tradnl"/>
        </w:rPr>
        <w:t xml:space="preserve">; </w:t>
      </w:r>
    </w:p>
    <w:p w14:paraId="35177D54" w14:textId="6AE07969" w:rsidR="008F64BC" w:rsidRPr="00021737" w:rsidRDefault="00021737" w:rsidP="005D6D2E">
      <w:pPr>
        <w:pStyle w:val="SingleTxtG"/>
        <w:ind w:firstLine="720"/>
        <w:rPr>
          <w:b/>
          <w:lang w:val="es-ES_tradnl"/>
        </w:rPr>
      </w:pPr>
      <w:r w:rsidRPr="00021737">
        <w:rPr>
          <w:b/>
          <w:lang w:val="es-ES_tradnl"/>
        </w:rPr>
        <w:t>b)</w:t>
      </w:r>
      <w:r w:rsidRPr="00021737">
        <w:rPr>
          <w:b/>
          <w:lang w:val="es-ES_tradnl"/>
        </w:rPr>
        <w:tab/>
      </w:r>
      <w:r w:rsidR="008F64BC" w:rsidRPr="00021737">
        <w:rPr>
          <w:b/>
          <w:lang w:val="es-ES_tradnl"/>
        </w:rPr>
        <w:t>A</w:t>
      </w:r>
      <w:r w:rsidR="00BF0D51" w:rsidRPr="00021737">
        <w:rPr>
          <w:b/>
          <w:lang w:val="es-ES_tradnl"/>
        </w:rPr>
        <w:t>doptar una metodología apropiada</w:t>
      </w:r>
      <w:r w:rsidR="008F64BC" w:rsidRPr="00021737">
        <w:rPr>
          <w:b/>
          <w:lang w:val="es-ES_tradnl"/>
        </w:rPr>
        <w:t xml:space="preserve"> para llevar a cabo los procesos de consulta previa </w:t>
      </w:r>
      <w:r w:rsidR="00F42792" w:rsidRPr="00021737">
        <w:rPr>
          <w:b/>
          <w:lang w:val="es-ES_tradnl"/>
        </w:rPr>
        <w:t xml:space="preserve">con miras a obtener el consentimiento libre, previo e informado </w:t>
      </w:r>
      <w:r w:rsidR="008F64BC" w:rsidRPr="00021737">
        <w:rPr>
          <w:b/>
          <w:lang w:val="es-ES_tradnl"/>
        </w:rPr>
        <w:t xml:space="preserve">que tome en cuenta las tradiciones y características culturales de cada pueblo; </w:t>
      </w:r>
    </w:p>
    <w:p w14:paraId="180612E2" w14:textId="0D7F6208" w:rsidR="00775157" w:rsidRPr="00021737" w:rsidRDefault="00021737" w:rsidP="005D6D2E">
      <w:pPr>
        <w:pStyle w:val="SingleTxtG"/>
        <w:ind w:firstLine="720"/>
        <w:rPr>
          <w:b/>
          <w:lang w:val="es-ES_tradnl"/>
        </w:rPr>
      </w:pPr>
      <w:r w:rsidRPr="00021737">
        <w:rPr>
          <w:b/>
          <w:lang w:val="es-ES_tradnl"/>
        </w:rPr>
        <w:t>c)</w:t>
      </w:r>
      <w:r w:rsidRPr="00021737">
        <w:rPr>
          <w:b/>
          <w:lang w:val="es-ES_tradnl"/>
        </w:rPr>
        <w:tab/>
      </w:r>
      <w:r w:rsidR="008F64BC" w:rsidRPr="00021737">
        <w:rPr>
          <w:b/>
          <w:lang w:val="es-ES_tradnl"/>
        </w:rPr>
        <w:t>Garantizar que</w:t>
      </w:r>
      <w:r w:rsidR="00F42792" w:rsidRPr="00021737">
        <w:rPr>
          <w:b/>
          <w:lang w:val="es-ES_tradnl"/>
        </w:rPr>
        <w:t xml:space="preserve"> los procesos de </w:t>
      </w:r>
      <w:r w:rsidR="00BF0D51" w:rsidRPr="00021737">
        <w:rPr>
          <w:b/>
          <w:lang w:val="es-ES_tradnl"/>
        </w:rPr>
        <w:t>consulta</w:t>
      </w:r>
      <w:r w:rsidR="00180AC9" w:rsidRPr="00021737">
        <w:rPr>
          <w:b/>
          <w:lang w:val="es-ES_tradnl"/>
        </w:rPr>
        <w:t xml:space="preserve"> </w:t>
      </w:r>
      <w:r w:rsidR="008F64BC" w:rsidRPr="00021737">
        <w:rPr>
          <w:b/>
          <w:lang w:val="es-ES_tradnl"/>
        </w:rPr>
        <w:t xml:space="preserve">previa para la realización de proyectos de desarrollo y explotación de recursos naturales, incluyendo de explotación minera a realizarse en tierras y territorios de pueblos indígenas </w:t>
      </w:r>
      <w:r w:rsidR="00BF0D51" w:rsidRPr="00021737">
        <w:rPr>
          <w:b/>
          <w:lang w:val="es-ES_tradnl"/>
        </w:rPr>
        <w:t xml:space="preserve">se </w:t>
      </w:r>
      <w:r w:rsidR="00E15C2A" w:rsidRPr="00021737">
        <w:rPr>
          <w:b/>
          <w:lang w:val="es-ES_tradnl"/>
        </w:rPr>
        <w:t>lleven a cabo</w:t>
      </w:r>
      <w:r w:rsidR="00BF0D51" w:rsidRPr="00021737">
        <w:rPr>
          <w:b/>
          <w:lang w:val="es-ES_tradnl"/>
        </w:rPr>
        <w:t xml:space="preserve"> de manera</w:t>
      </w:r>
      <w:r w:rsidR="00F42792" w:rsidRPr="00021737">
        <w:rPr>
          <w:b/>
          <w:lang w:val="es-ES_tradnl"/>
        </w:rPr>
        <w:t xml:space="preserve"> sistemática e</w:t>
      </w:r>
      <w:r w:rsidR="00BF0D51" w:rsidRPr="00021737">
        <w:rPr>
          <w:b/>
          <w:lang w:val="es-ES_tradnl"/>
        </w:rPr>
        <w:t xml:space="preserve"> ineludible</w:t>
      </w:r>
      <w:r w:rsidR="00F42792" w:rsidRPr="00021737">
        <w:rPr>
          <w:b/>
          <w:lang w:val="es-ES_tradnl"/>
        </w:rPr>
        <w:t xml:space="preserve">, en un tiempo oportuno y razonable, proporcionando información suficiente y apropiada a </w:t>
      </w:r>
      <w:r w:rsidR="00BF0D51" w:rsidRPr="00021737">
        <w:rPr>
          <w:b/>
          <w:lang w:val="es-ES_tradnl"/>
        </w:rPr>
        <w:t>los pueblos indígenas</w:t>
      </w:r>
      <w:r w:rsidR="00180AC9" w:rsidRPr="00021737">
        <w:rPr>
          <w:b/>
          <w:lang w:val="es-ES_tradnl"/>
        </w:rPr>
        <w:t xml:space="preserve"> consultados.</w:t>
      </w:r>
    </w:p>
    <w:p w14:paraId="31F91C48" w14:textId="6758B2A4" w:rsidR="00C17C8C" w:rsidRPr="00021737" w:rsidRDefault="00F51C01" w:rsidP="00F51C01">
      <w:pPr>
        <w:pStyle w:val="H23G"/>
        <w:rPr>
          <w:lang w:val="es-ES_tradnl"/>
        </w:rPr>
      </w:pPr>
      <w:r w:rsidRPr="00021737">
        <w:rPr>
          <w:lang w:val="es-ES_tradnl"/>
        </w:rPr>
        <w:tab/>
      </w:r>
      <w:r w:rsidRPr="00021737">
        <w:rPr>
          <w:lang w:val="es-ES_tradnl"/>
        </w:rPr>
        <w:tab/>
      </w:r>
      <w:r w:rsidR="00C17C8C" w:rsidRPr="00021737">
        <w:rPr>
          <w:lang w:val="es-ES_tradnl"/>
        </w:rPr>
        <w:t>Defensores de derechos humanos y líderes de pueblos indígenas y afro</w:t>
      </w:r>
      <w:r w:rsidR="00381A38" w:rsidRPr="00021737">
        <w:rPr>
          <w:lang w:val="es-ES_tradnl"/>
        </w:rPr>
        <w:t>peruanos</w:t>
      </w:r>
    </w:p>
    <w:p w14:paraId="3CBEC2F6" w14:textId="72C71C17" w:rsidR="00791A39" w:rsidRPr="00021737" w:rsidRDefault="00021737" w:rsidP="005D6D2E">
      <w:pPr>
        <w:pStyle w:val="SingleTxtG"/>
        <w:rPr>
          <w:b/>
          <w:lang w:val="es-ES_tradnl"/>
        </w:rPr>
      </w:pPr>
      <w:r w:rsidRPr="005D6D2E">
        <w:rPr>
          <w:lang w:val="es-ES_tradnl"/>
        </w:rPr>
        <w:t>22.</w:t>
      </w:r>
      <w:r w:rsidRPr="005D6D2E">
        <w:rPr>
          <w:lang w:val="es-ES_tradnl"/>
        </w:rPr>
        <w:tab/>
      </w:r>
      <w:r w:rsidR="00867F8D" w:rsidRPr="00021737">
        <w:rPr>
          <w:lang w:val="es-ES_tradnl"/>
        </w:rPr>
        <w:t>Preocupa al Comité los crecientes índices de violencia en contra de defensores de derechos humanos, especialmente líderes de p</w:t>
      </w:r>
      <w:r w:rsidR="00944C22" w:rsidRPr="00021737">
        <w:rPr>
          <w:lang w:val="es-ES_tradnl"/>
        </w:rPr>
        <w:t>ueblos indígenas y afroperuano</w:t>
      </w:r>
      <w:r w:rsidR="00E65730" w:rsidRPr="00021737">
        <w:rPr>
          <w:lang w:val="es-ES_tradnl"/>
        </w:rPr>
        <w:t>s. E</w:t>
      </w:r>
      <w:r w:rsidR="00944C22" w:rsidRPr="00021737">
        <w:rPr>
          <w:lang w:val="es-ES_tradnl"/>
        </w:rPr>
        <w:t xml:space="preserve">n particular </w:t>
      </w:r>
      <w:r w:rsidR="00867F8D" w:rsidRPr="00021737">
        <w:rPr>
          <w:lang w:val="es-ES_tradnl"/>
        </w:rPr>
        <w:t xml:space="preserve">lamenta profundamente el reciente asesinato de la lideresa indígena Olivia Arévalo del pueblo </w:t>
      </w:r>
      <w:r w:rsidR="00626C77" w:rsidRPr="00021737">
        <w:rPr>
          <w:lang w:val="es-ES_tradnl"/>
        </w:rPr>
        <w:t xml:space="preserve">Shipibo-Konibo </w:t>
      </w:r>
      <w:r w:rsidR="00867F8D" w:rsidRPr="00021737">
        <w:rPr>
          <w:lang w:val="es-ES_tradnl"/>
        </w:rPr>
        <w:t>en la región de Ucayali</w:t>
      </w:r>
      <w:r w:rsidR="001E79B6" w:rsidRPr="00021737">
        <w:rPr>
          <w:lang w:val="es-ES_tradnl"/>
        </w:rPr>
        <w:t xml:space="preserve"> y </w:t>
      </w:r>
      <w:r w:rsidR="000F7CC9" w:rsidRPr="00021737">
        <w:rPr>
          <w:lang w:val="es-ES_tradnl"/>
        </w:rPr>
        <w:t>deplora</w:t>
      </w:r>
      <w:r w:rsidR="001E79B6" w:rsidRPr="00021737">
        <w:rPr>
          <w:lang w:val="es-ES_tradnl"/>
        </w:rPr>
        <w:t xml:space="preserve"> las acciones de justicia por mano propia que se han derivado de este hecho</w:t>
      </w:r>
      <w:r w:rsidR="00867F8D" w:rsidRPr="00021737">
        <w:rPr>
          <w:lang w:val="es-ES_tradnl"/>
        </w:rPr>
        <w:t xml:space="preserve">. </w:t>
      </w:r>
      <w:r w:rsidR="0024707F" w:rsidRPr="00021737">
        <w:rPr>
          <w:lang w:val="es-ES_tradnl"/>
        </w:rPr>
        <w:t>Además, le preocupa</w:t>
      </w:r>
      <w:r w:rsidR="00944C22" w:rsidRPr="00021737">
        <w:rPr>
          <w:lang w:val="es-ES_tradnl"/>
        </w:rPr>
        <w:t xml:space="preserve"> </w:t>
      </w:r>
      <w:r w:rsidR="0024707F" w:rsidRPr="00021737">
        <w:rPr>
          <w:lang w:val="es-ES_tradnl"/>
        </w:rPr>
        <w:t>que el Estado parte aún no cuente con</w:t>
      </w:r>
      <w:r w:rsidR="00E65730" w:rsidRPr="00021737">
        <w:rPr>
          <w:lang w:val="es-ES_tradnl"/>
        </w:rPr>
        <w:t xml:space="preserve"> un</w:t>
      </w:r>
      <w:r w:rsidR="00944C22" w:rsidRPr="00021737">
        <w:rPr>
          <w:lang w:val="es-ES_tradnl"/>
        </w:rPr>
        <w:t xml:space="preserve"> </w:t>
      </w:r>
      <w:r w:rsidR="0024707F" w:rsidRPr="00021737">
        <w:rPr>
          <w:lang w:val="es-ES_tradnl"/>
        </w:rPr>
        <w:t>protocolo de protección de defensores de derechos humanos</w:t>
      </w:r>
      <w:r w:rsidR="00276918" w:rsidRPr="00021737">
        <w:rPr>
          <w:lang w:val="es-ES_tradnl"/>
        </w:rPr>
        <w:t xml:space="preserve">, no haya creado </w:t>
      </w:r>
      <w:r w:rsidR="0024707F" w:rsidRPr="00021737">
        <w:rPr>
          <w:lang w:val="es-ES_tradnl"/>
        </w:rPr>
        <w:t xml:space="preserve">un </w:t>
      </w:r>
      <w:r w:rsidR="00944C22" w:rsidRPr="00021737">
        <w:rPr>
          <w:lang w:val="es-ES_tradnl"/>
        </w:rPr>
        <w:t>mecanismo</w:t>
      </w:r>
      <w:r w:rsidR="00F72E25" w:rsidRPr="00021737">
        <w:rPr>
          <w:lang w:val="es-ES_tradnl"/>
        </w:rPr>
        <w:t xml:space="preserve"> independiente</w:t>
      </w:r>
      <w:r w:rsidR="0024707F" w:rsidRPr="00021737">
        <w:rPr>
          <w:lang w:val="es-ES_tradnl"/>
        </w:rPr>
        <w:t xml:space="preserve"> </w:t>
      </w:r>
      <w:r w:rsidR="00276918" w:rsidRPr="00021737">
        <w:rPr>
          <w:lang w:val="es-ES_tradnl"/>
        </w:rPr>
        <w:t>y que</w:t>
      </w:r>
      <w:r w:rsidR="00927647" w:rsidRPr="00021737">
        <w:rPr>
          <w:lang w:val="es-ES_tradnl"/>
        </w:rPr>
        <w:t>, además,</w:t>
      </w:r>
      <w:r w:rsidR="00276918" w:rsidRPr="00021737">
        <w:rPr>
          <w:lang w:val="es-ES_tradnl"/>
        </w:rPr>
        <w:t xml:space="preserve"> su creación </w:t>
      </w:r>
      <w:r w:rsidR="00944C22" w:rsidRPr="00021737">
        <w:rPr>
          <w:lang w:val="es-ES_tradnl"/>
        </w:rPr>
        <w:t xml:space="preserve">esté supeditada a la disponibilidad de recursos </w:t>
      </w:r>
      <w:r w:rsidR="000B3CAC" w:rsidRPr="00021737">
        <w:rPr>
          <w:lang w:val="es-ES_tradnl"/>
        </w:rPr>
        <w:t>(arts.</w:t>
      </w:r>
      <w:r w:rsidR="00F51C01" w:rsidRPr="00021737">
        <w:rPr>
          <w:lang w:val="es-ES_tradnl"/>
        </w:rPr>
        <w:t> </w:t>
      </w:r>
      <w:r w:rsidR="000B3CAC" w:rsidRPr="00021737">
        <w:rPr>
          <w:lang w:val="es-ES_tradnl"/>
        </w:rPr>
        <w:t>2 y 6)</w:t>
      </w:r>
      <w:r w:rsidR="00944C22" w:rsidRPr="00021737">
        <w:rPr>
          <w:lang w:val="es-ES_tradnl"/>
        </w:rPr>
        <w:t xml:space="preserve">. </w:t>
      </w:r>
    </w:p>
    <w:p w14:paraId="7D4A2032" w14:textId="2B50F612" w:rsidR="00944C22" w:rsidRPr="00021737" w:rsidRDefault="00021737" w:rsidP="005D6D2E">
      <w:pPr>
        <w:pStyle w:val="SingleTxtG"/>
        <w:ind w:left="1689" w:hanging="555"/>
        <w:rPr>
          <w:b/>
          <w:lang w:val="es-ES_tradnl"/>
        </w:rPr>
      </w:pPr>
      <w:r w:rsidRPr="005D6D2E">
        <w:rPr>
          <w:lang w:val="es-ES_tradnl"/>
        </w:rPr>
        <w:t>23.</w:t>
      </w:r>
      <w:r w:rsidRPr="005D6D2E">
        <w:rPr>
          <w:lang w:val="es-ES_tradnl"/>
        </w:rPr>
        <w:tab/>
      </w:r>
      <w:r w:rsidR="00944C22" w:rsidRPr="00021737">
        <w:rPr>
          <w:b/>
          <w:lang w:val="es-ES_tradnl"/>
        </w:rPr>
        <w:t xml:space="preserve">El Comité recomienda al Estado parte que: </w:t>
      </w:r>
    </w:p>
    <w:p w14:paraId="2BBE5F74" w14:textId="5B8D9D95" w:rsidR="000B3CAC" w:rsidRPr="00021737" w:rsidRDefault="00021737" w:rsidP="005D6D2E">
      <w:pPr>
        <w:pStyle w:val="SingleTxtG"/>
        <w:ind w:firstLine="567"/>
        <w:rPr>
          <w:b/>
          <w:lang w:val="es-ES_tradnl"/>
        </w:rPr>
      </w:pPr>
      <w:r w:rsidRPr="00021737">
        <w:rPr>
          <w:b/>
          <w:lang w:val="es-ES_tradnl"/>
        </w:rPr>
        <w:t>a)</w:t>
      </w:r>
      <w:r w:rsidRPr="00021737">
        <w:rPr>
          <w:b/>
          <w:lang w:val="es-ES_tradnl"/>
        </w:rPr>
        <w:tab/>
      </w:r>
      <w:r w:rsidR="00944C22" w:rsidRPr="00021737">
        <w:rPr>
          <w:b/>
          <w:lang w:val="es-ES_tradnl"/>
        </w:rPr>
        <w:t xml:space="preserve">Adopte medidas efectivas y oportunas para prevenir actos </w:t>
      </w:r>
      <w:r w:rsidR="002169D2" w:rsidRPr="00021737">
        <w:rPr>
          <w:b/>
          <w:lang w:val="es-ES_tradnl"/>
        </w:rPr>
        <w:t xml:space="preserve">de </w:t>
      </w:r>
      <w:r w:rsidR="00F72E25" w:rsidRPr="00021737">
        <w:rPr>
          <w:b/>
          <w:lang w:val="es-ES_tradnl"/>
        </w:rPr>
        <w:t xml:space="preserve">hostigamiento, intimidación, represalia y </w:t>
      </w:r>
      <w:r w:rsidR="00944C22" w:rsidRPr="00021737">
        <w:rPr>
          <w:b/>
          <w:lang w:val="es-ES_tradnl"/>
        </w:rPr>
        <w:t>violencia</w:t>
      </w:r>
      <w:r w:rsidR="00086F74" w:rsidRPr="00021737">
        <w:rPr>
          <w:b/>
          <w:lang w:val="es-ES_tradnl"/>
        </w:rPr>
        <w:t xml:space="preserve"> en </w:t>
      </w:r>
      <w:r w:rsidR="00944C22" w:rsidRPr="00021737">
        <w:rPr>
          <w:b/>
          <w:lang w:val="es-ES_tradnl"/>
        </w:rPr>
        <w:t xml:space="preserve">contra </w:t>
      </w:r>
      <w:r w:rsidR="00C43BF3" w:rsidRPr="00021737">
        <w:rPr>
          <w:b/>
          <w:lang w:val="es-ES_tradnl"/>
        </w:rPr>
        <w:t xml:space="preserve">de </w:t>
      </w:r>
      <w:r w:rsidR="00944C22" w:rsidRPr="00021737">
        <w:rPr>
          <w:b/>
          <w:lang w:val="es-ES_tradnl"/>
        </w:rPr>
        <w:t>defensores de los derechos humanos, incluidos los líderes y los defensores de los derechos de los pueblos indígenas y afroperuanos</w:t>
      </w:r>
      <w:r w:rsidR="000B3CAC" w:rsidRPr="00021737">
        <w:rPr>
          <w:b/>
          <w:lang w:val="es-ES_tradnl"/>
        </w:rPr>
        <w:t xml:space="preserve">; </w:t>
      </w:r>
    </w:p>
    <w:p w14:paraId="1FC20D49" w14:textId="1286DFAB" w:rsidR="00086F74" w:rsidRPr="00021737" w:rsidRDefault="00021737" w:rsidP="005D6D2E">
      <w:pPr>
        <w:pStyle w:val="SingleTxtG"/>
        <w:ind w:firstLine="567"/>
        <w:rPr>
          <w:b/>
          <w:lang w:val="es-ES_tradnl"/>
        </w:rPr>
      </w:pPr>
      <w:r w:rsidRPr="00021737">
        <w:rPr>
          <w:b/>
          <w:lang w:val="es-ES_tradnl"/>
        </w:rPr>
        <w:t>b)</w:t>
      </w:r>
      <w:r w:rsidRPr="00021737">
        <w:rPr>
          <w:b/>
          <w:lang w:val="es-ES_tradnl"/>
        </w:rPr>
        <w:tab/>
      </w:r>
      <w:r w:rsidR="000B3CAC" w:rsidRPr="00021737">
        <w:rPr>
          <w:b/>
          <w:lang w:val="es-ES_tradnl"/>
        </w:rPr>
        <w:t>Establezca</w:t>
      </w:r>
      <w:r w:rsidR="00086F74" w:rsidRPr="00021737">
        <w:rPr>
          <w:b/>
          <w:lang w:val="es-ES_tradnl"/>
        </w:rPr>
        <w:t xml:space="preserve"> un </w:t>
      </w:r>
      <w:r w:rsidR="00086F74" w:rsidRPr="00021737">
        <w:rPr>
          <w:b/>
          <w:lang w:val="es-ES_tradnl" w:eastAsia="en-US"/>
        </w:rPr>
        <w:t>mecanismo nacional de protección de defensores de derechos humanos</w:t>
      </w:r>
      <w:r w:rsidR="00F72E25" w:rsidRPr="00021737">
        <w:rPr>
          <w:b/>
          <w:lang w:val="es-ES_tradnl" w:eastAsia="en-US"/>
        </w:rPr>
        <w:t xml:space="preserve"> independiente</w:t>
      </w:r>
      <w:r w:rsidR="00086F74" w:rsidRPr="00021737">
        <w:rPr>
          <w:rFonts w:eastAsia="SimSun"/>
          <w:b/>
          <w:lang w:val="es-ES_tradnl" w:eastAsia="en-US"/>
        </w:rPr>
        <w:t>, así como estrategias apropiadas de protección, tomando debidamente en cuenta las diferencias culturales, regionales y de género, y prevea la asignación de recursos humanos, financieros y técnicos adecuados para su funcionamiento efectivo</w:t>
      </w:r>
      <w:r w:rsidR="00086F74" w:rsidRPr="00021737">
        <w:rPr>
          <w:b/>
          <w:lang w:val="es-ES_tradnl"/>
        </w:rPr>
        <w:t xml:space="preserve">; </w:t>
      </w:r>
    </w:p>
    <w:p w14:paraId="34A8DA65" w14:textId="4438FD50" w:rsidR="00823910" w:rsidRPr="00021737" w:rsidRDefault="00021737" w:rsidP="005D6D2E">
      <w:pPr>
        <w:pStyle w:val="SingleTxtG"/>
        <w:ind w:firstLine="567"/>
        <w:rPr>
          <w:b/>
          <w:lang w:val="es-ES_tradnl"/>
        </w:rPr>
      </w:pPr>
      <w:r w:rsidRPr="00021737">
        <w:rPr>
          <w:b/>
          <w:lang w:val="es-ES_tradnl"/>
        </w:rPr>
        <w:t>c)</w:t>
      </w:r>
      <w:r w:rsidRPr="00021737">
        <w:rPr>
          <w:b/>
          <w:lang w:val="es-ES_tradnl"/>
        </w:rPr>
        <w:tab/>
      </w:r>
      <w:r w:rsidR="00944C22" w:rsidRPr="00021737">
        <w:rPr>
          <w:b/>
          <w:lang w:val="es-ES_tradnl"/>
        </w:rPr>
        <w:t xml:space="preserve">Investigue todo acto de hostigamiento, intimidación, represalia y </w:t>
      </w:r>
      <w:r w:rsidR="00086F74" w:rsidRPr="00021737">
        <w:rPr>
          <w:b/>
          <w:lang w:val="es-ES_tradnl"/>
        </w:rPr>
        <w:t>amenazas</w:t>
      </w:r>
      <w:r w:rsidR="00944C22" w:rsidRPr="00021737">
        <w:rPr>
          <w:b/>
          <w:lang w:val="es-ES_tradnl"/>
        </w:rPr>
        <w:t xml:space="preserve"> </w:t>
      </w:r>
      <w:r w:rsidR="00086F74" w:rsidRPr="00021737">
        <w:rPr>
          <w:b/>
          <w:lang w:val="es-ES_tradnl"/>
        </w:rPr>
        <w:t xml:space="preserve">contra defensores de derechos humanos, </w:t>
      </w:r>
      <w:r w:rsidR="00944C22" w:rsidRPr="00021737">
        <w:rPr>
          <w:b/>
          <w:lang w:val="es-ES_tradnl"/>
        </w:rPr>
        <w:t>y castigue debidamente a los responsables</w:t>
      </w:r>
      <w:r w:rsidR="00851BC6" w:rsidRPr="00021737">
        <w:rPr>
          <w:b/>
          <w:lang w:val="es-ES_tradnl"/>
        </w:rPr>
        <w:t xml:space="preserve">, en particular </w:t>
      </w:r>
      <w:r w:rsidR="002169D2" w:rsidRPr="00021737">
        <w:rPr>
          <w:b/>
          <w:lang w:val="es-ES_tradnl"/>
        </w:rPr>
        <w:t>d</w:t>
      </w:r>
      <w:r w:rsidR="00851BC6" w:rsidRPr="00021737">
        <w:rPr>
          <w:b/>
          <w:lang w:val="es-ES_tradnl"/>
        </w:rPr>
        <w:t>el reciente asesinato de Olivia Arévalo</w:t>
      </w:r>
      <w:r w:rsidR="00653A9A" w:rsidRPr="00021737">
        <w:rPr>
          <w:b/>
          <w:lang w:val="es-ES_tradnl"/>
        </w:rPr>
        <w:t>;</w:t>
      </w:r>
    </w:p>
    <w:p w14:paraId="72846B61" w14:textId="52857804" w:rsidR="00944C22" w:rsidRPr="00021737" w:rsidRDefault="00021737" w:rsidP="005D6D2E">
      <w:pPr>
        <w:pStyle w:val="SingleTxtG"/>
        <w:ind w:firstLine="567"/>
        <w:rPr>
          <w:b/>
          <w:lang w:val="es-ES_tradnl"/>
        </w:rPr>
      </w:pPr>
      <w:r w:rsidRPr="00021737">
        <w:rPr>
          <w:b/>
          <w:lang w:val="es-ES_tradnl"/>
        </w:rPr>
        <w:t>d)</w:t>
      </w:r>
      <w:r w:rsidRPr="00021737">
        <w:rPr>
          <w:b/>
          <w:lang w:val="es-ES_tradnl"/>
        </w:rPr>
        <w:tab/>
      </w:r>
      <w:r w:rsidR="00823910" w:rsidRPr="00021737">
        <w:rPr>
          <w:b/>
          <w:lang w:val="es-ES_tradnl"/>
        </w:rPr>
        <w:t xml:space="preserve">Adopte las medidas necesarias para </w:t>
      </w:r>
      <w:r w:rsidR="00DB7F66" w:rsidRPr="00021737">
        <w:rPr>
          <w:b/>
          <w:lang w:val="es-ES_tradnl"/>
        </w:rPr>
        <w:t>asegurar la prevalencia</w:t>
      </w:r>
      <w:r w:rsidR="0074361F" w:rsidRPr="00021737">
        <w:rPr>
          <w:b/>
          <w:lang w:val="es-ES_tradnl"/>
        </w:rPr>
        <w:t xml:space="preserve"> </w:t>
      </w:r>
      <w:r w:rsidR="00DB7F66" w:rsidRPr="00021737">
        <w:rPr>
          <w:b/>
          <w:lang w:val="es-ES_tradnl"/>
        </w:rPr>
        <w:t>d</w:t>
      </w:r>
      <w:r w:rsidR="0074361F" w:rsidRPr="00021737">
        <w:rPr>
          <w:b/>
          <w:lang w:val="es-ES_tradnl"/>
        </w:rPr>
        <w:t xml:space="preserve">el </w:t>
      </w:r>
      <w:r w:rsidR="002169D2" w:rsidRPr="00021737">
        <w:rPr>
          <w:b/>
          <w:lang w:val="es-ES_tradnl"/>
        </w:rPr>
        <w:t>E</w:t>
      </w:r>
      <w:r w:rsidR="0074361F" w:rsidRPr="00021737">
        <w:rPr>
          <w:b/>
          <w:lang w:val="es-ES_tradnl"/>
        </w:rPr>
        <w:t xml:space="preserve">stado de derecho y </w:t>
      </w:r>
      <w:r w:rsidR="001E79B6" w:rsidRPr="00021737">
        <w:rPr>
          <w:b/>
          <w:lang w:val="es-ES_tradnl"/>
        </w:rPr>
        <w:t xml:space="preserve">evitar </w:t>
      </w:r>
      <w:r w:rsidR="00823910" w:rsidRPr="00021737">
        <w:rPr>
          <w:b/>
          <w:lang w:val="es-ES_tradnl"/>
        </w:rPr>
        <w:t>que puedan cometerse</w:t>
      </w:r>
      <w:r w:rsidR="00CD69FC" w:rsidRPr="00021737">
        <w:rPr>
          <w:b/>
          <w:lang w:val="es-ES_tradnl"/>
        </w:rPr>
        <w:t xml:space="preserve"> acciones de justicia por mano propia</w:t>
      </w:r>
      <w:r w:rsidR="00944C22" w:rsidRPr="00021737">
        <w:rPr>
          <w:b/>
          <w:lang w:val="es-ES_tradnl"/>
        </w:rPr>
        <w:t xml:space="preserve">; </w:t>
      </w:r>
    </w:p>
    <w:p w14:paraId="5D185B7A" w14:textId="655A0871" w:rsidR="00944C22" w:rsidRPr="00021737" w:rsidRDefault="00021737" w:rsidP="005D6D2E">
      <w:pPr>
        <w:pStyle w:val="SingleTxtG"/>
        <w:ind w:firstLine="567"/>
        <w:rPr>
          <w:b/>
          <w:lang w:val="es-ES_tradnl"/>
        </w:rPr>
      </w:pPr>
      <w:r w:rsidRPr="00021737">
        <w:rPr>
          <w:b/>
          <w:lang w:val="es-ES_tradnl"/>
        </w:rPr>
        <w:t>e)</w:t>
      </w:r>
      <w:r w:rsidRPr="00021737">
        <w:rPr>
          <w:b/>
          <w:lang w:val="es-ES_tradnl"/>
        </w:rPr>
        <w:tab/>
      </w:r>
      <w:r w:rsidR="00707C42" w:rsidRPr="00021737">
        <w:rPr>
          <w:b/>
          <w:lang w:val="es-ES_tradnl"/>
        </w:rPr>
        <w:t>Realice</w:t>
      </w:r>
      <w:r w:rsidR="00944C22" w:rsidRPr="00021737">
        <w:rPr>
          <w:b/>
          <w:lang w:val="es-ES_tradnl"/>
        </w:rPr>
        <w:t xml:space="preserve"> campañas de información y sensibilización sobre el trabajo fundamental que realizan los defensores de derechos humanos, incluidos los líderes y defensores de los derechos de los pueblos indígenas</w:t>
      </w:r>
      <w:r w:rsidR="00086F74" w:rsidRPr="00021737">
        <w:rPr>
          <w:b/>
          <w:lang w:val="es-ES_tradnl"/>
        </w:rPr>
        <w:t xml:space="preserve"> y afroperuanos</w:t>
      </w:r>
      <w:r w:rsidR="00944C22" w:rsidRPr="00021737">
        <w:rPr>
          <w:b/>
          <w:lang w:val="es-ES_tradnl"/>
        </w:rPr>
        <w:t>, a fin de propiciar un ambiente de tolerancia que les permita llevar a cabo su labor libres de todo tipo de intimidación, amenazas y represalias.</w:t>
      </w:r>
    </w:p>
    <w:p w14:paraId="4AEC2F65" w14:textId="3708213A" w:rsidR="00494148" w:rsidRPr="00021737" w:rsidRDefault="00F51C01" w:rsidP="00F51C01">
      <w:pPr>
        <w:pStyle w:val="H23G"/>
        <w:rPr>
          <w:lang w:val="es-ES_tradnl"/>
        </w:rPr>
      </w:pPr>
      <w:r w:rsidRPr="00021737">
        <w:rPr>
          <w:lang w:val="es-ES_tradnl"/>
        </w:rPr>
        <w:tab/>
      </w:r>
      <w:r w:rsidRPr="00021737">
        <w:rPr>
          <w:lang w:val="es-ES_tradnl"/>
        </w:rPr>
        <w:tab/>
      </w:r>
      <w:r w:rsidR="00494148" w:rsidRPr="00021737">
        <w:rPr>
          <w:lang w:val="es-ES_tradnl"/>
        </w:rPr>
        <w:t xml:space="preserve">Uso de la fuerza </w:t>
      </w:r>
    </w:p>
    <w:p w14:paraId="61E31C1E" w14:textId="5A680FA9" w:rsidR="00494148" w:rsidRPr="00021737" w:rsidRDefault="00021737" w:rsidP="005D6D2E">
      <w:pPr>
        <w:pStyle w:val="SingleTxtG"/>
        <w:rPr>
          <w:lang w:val="es-ES_tradnl"/>
        </w:rPr>
      </w:pPr>
      <w:r w:rsidRPr="005D6D2E">
        <w:rPr>
          <w:lang w:val="es-ES_tradnl"/>
        </w:rPr>
        <w:t>24.</w:t>
      </w:r>
      <w:r w:rsidRPr="005D6D2E">
        <w:rPr>
          <w:lang w:val="es-ES_tradnl"/>
        </w:rPr>
        <w:tab/>
      </w:r>
      <w:r w:rsidR="00494148" w:rsidRPr="00021737">
        <w:rPr>
          <w:lang w:val="es-ES_tradnl"/>
        </w:rPr>
        <w:t xml:space="preserve">El Comité continúa preocupado por las alegaciones de uso excesivo de la fuerza contra miembros de pueblos indígenas que se oponen a la realización de proyectos extractivos. Asimismo, le preocupa que la </w:t>
      </w:r>
      <w:r w:rsidR="00B90B05" w:rsidRPr="00021737">
        <w:rPr>
          <w:lang w:val="es-ES_tradnl"/>
        </w:rPr>
        <w:t xml:space="preserve">imparcialidad </w:t>
      </w:r>
      <w:r w:rsidR="003711BD" w:rsidRPr="00021737">
        <w:rPr>
          <w:lang w:val="es-ES_tradnl"/>
        </w:rPr>
        <w:t>de la</w:t>
      </w:r>
      <w:r w:rsidR="005A2EB3" w:rsidRPr="00021737">
        <w:rPr>
          <w:lang w:val="es-ES_tradnl"/>
        </w:rPr>
        <w:t xml:space="preserve"> actuación</w:t>
      </w:r>
      <w:r w:rsidR="003711BD" w:rsidRPr="00021737">
        <w:rPr>
          <w:lang w:val="es-ES_tradnl"/>
        </w:rPr>
        <w:t xml:space="preserve"> </w:t>
      </w:r>
      <w:r w:rsidR="005A2EB3" w:rsidRPr="00021737">
        <w:rPr>
          <w:lang w:val="es-ES_tradnl"/>
        </w:rPr>
        <w:t xml:space="preserve">de la </w:t>
      </w:r>
      <w:r w:rsidR="00494148" w:rsidRPr="00021737">
        <w:rPr>
          <w:lang w:val="es-ES_tradnl"/>
        </w:rPr>
        <w:t xml:space="preserve">Policía Nacional del Perú </w:t>
      </w:r>
      <w:r w:rsidR="005A2EB3" w:rsidRPr="00021737">
        <w:rPr>
          <w:lang w:val="es-ES_tradnl"/>
        </w:rPr>
        <w:t>pueda verse</w:t>
      </w:r>
      <w:r w:rsidR="003711BD" w:rsidRPr="00021737">
        <w:rPr>
          <w:lang w:val="es-ES_tradnl"/>
        </w:rPr>
        <w:t xml:space="preserve"> debilitada debido la </w:t>
      </w:r>
      <w:r w:rsidR="005A2EB3" w:rsidRPr="00021737">
        <w:rPr>
          <w:lang w:val="es-ES_tradnl"/>
        </w:rPr>
        <w:t>celebración de</w:t>
      </w:r>
      <w:r w:rsidR="003711BD" w:rsidRPr="00021737">
        <w:rPr>
          <w:lang w:val="es-ES_tradnl"/>
        </w:rPr>
        <w:t xml:space="preserve"> convenios </w:t>
      </w:r>
      <w:r w:rsidR="007F0CC0" w:rsidRPr="00021737">
        <w:rPr>
          <w:lang w:val="es-ES_tradnl"/>
        </w:rPr>
        <w:t>de prestación de servicios con</w:t>
      </w:r>
      <w:r w:rsidR="00494148" w:rsidRPr="00021737">
        <w:rPr>
          <w:lang w:val="es-ES_tradnl"/>
        </w:rPr>
        <w:t xml:space="preserve"> empresas mineras que realizan actividades en territorios indígenas, y que los estados de emergencia preventivos sean decretados en regiones donde habitan mayoritariamente pueblos indígenas (art</w:t>
      </w:r>
      <w:r w:rsidR="00123BE7" w:rsidRPr="00021737">
        <w:rPr>
          <w:lang w:val="es-ES_tradnl"/>
        </w:rPr>
        <w:t>s</w:t>
      </w:r>
      <w:r w:rsidR="00494148" w:rsidRPr="00021737">
        <w:rPr>
          <w:lang w:val="es-ES_tradnl"/>
        </w:rPr>
        <w:t>. 2 y 5).</w:t>
      </w:r>
    </w:p>
    <w:p w14:paraId="60BA905A" w14:textId="364D9C0B" w:rsidR="00494148" w:rsidRPr="00021737" w:rsidRDefault="00021737" w:rsidP="005D6D2E">
      <w:pPr>
        <w:pStyle w:val="SingleTxtG"/>
        <w:rPr>
          <w:b/>
          <w:lang w:val="es-ES_tradnl"/>
        </w:rPr>
      </w:pPr>
      <w:r w:rsidRPr="005D6D2E">
        <w:rPr>
          <w:lang w:val="es-ES_tradnl"/>
        </w:rPr>
        <w:t>25.</w:t>
      </w:r>
      <w:r w:rsidRPr="005D6D2E">
        <w:rPr>
          <w:lang w:val="es-ES_tradnl"/>
        </w:rPr>
        <w:tab/>
      </w:r>
      <w:r w:rsidR="00494148" w:rsidRPr="00021737">
        <w:rPr>
          <w:b/>
          <w:lang w:val="es-ES_tradnl"/>
        </w:rPr>
        <w:t xml:space="preserve">El </w:t>
      </w:r>
      <w:r w:rsidR="00494148" w:rsidRPr="00021737">
        <w:rPr>
          <w:b/>
          <w:bCs/>
          <w:lang w:val="es-ES_tradnl"/>
        </w:rPr>
        <w:t>Comité</w:t>
      </w:r>
      <w:r w:rsidR="00494148" w:rsidRPr="00021737">
        <w:rPr>
          <w:b/>
          <w:lang w:val="es-ES_tradnl"/>
        </w:rPr>
        <w:t xml:space="preserve"> reitera su anterior recomendación (CERD/C/PER/CO/18-21, párr. 23) y exhorta al Estado parte a que: </w:t>
      </w:r>
    </w:p>
    <w:p w14:paraId="7040A449" w14:textId="695F11EA" w:rsidR="00494148" w:rsidRPr="00021737" w:rsidRDefault="00021737" w:rsidP="005D6D2E">
      <w:pPr>
        <w:pStyle w:val="SingleTxtG"/>
        <w:ind w:firstLine="567"/>
        <w:rPr>
          <w:b/>
          <w:lang w:val="es-ES_tradnl"/>
        </w:rPr>
      </w:pPr>
      <w:r w:rsidRPr="00021737">
        <w:rPr>
          <w:b/>
          <w:lang w:val="es-ES_tradnl"/>
        </w:rPr>
        <w:t>a)</w:t>
      </w:r>
      <w:r w:rsidRPr="00021737">
        <w:rPr>
          <w:b/>
          <w:lang w:val="es-ES_tradnl"/>
        </w:rPr>
        <w:tab/>
      </w:r>
      <w:r w:rsidR="00494148" w:rsidRPr="00021737">
        <w:rPr>
          <w:b/>
          <w:bCs/>
        </w:rPr>
        <w:t>Adopte medidas para prevenir el uso excesivo de la fuerza, los malos tratos y el abuso de autoridad contra miembros de pueblos indígenas y afroperuanos, entre otras cosas garantizando</w:t>
      </w:r>
      <w:r w:rsidR="00494148" w:rsidRPr="00021737">
        <w:rPr>
          <w:b/>
          <w:lang w:val="es-ES_tradnl"/>
        </w:rPr>
        <w:t xml:space="preserve"> el respeto del principio de proporcionalidad y de estricta necesidad en el uso de la fuerza</w:t>
      </w:r>
      <w:r w:rsidR="00D756D5" w:rsidRPr="00021737">
        <w:rPr>
          <w:b/>
          <w:lang w:val="es-ES_tradnl"/>
        </w:rPr>
        <w:t xml:space="preserve"> y llevando a cabo capacitaciones dirigid</w:t>
      </w:r>
      <w:r w:rsidR="00927647" w:rsidRPr="00021737">
        <w:rPr>
          <w:b/>
          <w:lang w:val="es-ES_tradnl"/>
        </w:rPr>
        <w:t>a</w:t>
      </w:r>
      <w:r w:rsidR="00D756D5" w:rsidRPr="00021737">
        <w:rPr>
          <w:b/>
          <w:lang w:val="es-ES_tradnl"/>
        </w:rPr>
        <w:t xml:space="preserve">s a agentes del orden sobre el uso de la fuerza y el </w:t>
      </w:r>
      <w:r w:rsidR="00BF4692" w:rsidRPr="00021737">
        <w:rPr>
          <w:b/>
          <w:lang w:val="es-ES_tradnl"/>
        </w:rPr>
        <w:t xml:space="preserve">restablecimiento </w:t>
      </w:r>
      <w:r w:rsidR="00D756D5" w:rsidRPr="00021737">
        <w:rPr>
          <w:b/>
          <w:lang w:val="es-ES_tradnl"/>
        </w:rPr>
        <w:t>del orden</w:t>
      </w:r>
      <w:r w:rsidR="00BF4692" w:rsidRPr="00021737">
        <w:rPr>
          <w:b/>
          <w:lang w:val="es-ES_tradnl"/>
        </w:rPr>
        <w:t xml:space="preserve"> utilizando mecanismos convencionales</w:t>
      </w:r>
      <w:r w:rsidR="00494148" w:rsidRPr="00021737">
        <w:rPr>
          <w:b/>
          <w:lang w:val="es-ES_tradnl"/>
        </w:rPr>
        <w:t xml:space="preserve">; </w:t>
      </w:r>
    </w:p>
    <w:p w14:paraId="7AEB6B51" w14:textId="1CA0B041" w:rsidR="00494148" w:rsidRPr="00021737" w:rsidRDefault="00021737" w:rsidP="005D6D2E">
      <w:pPr>
        <w:pStyle w:val="SingleTxtG"/>
        <w:ind w:firstLine="567"/>
        <w:rPr>
          <w:b/>
          <w:lang w:val="es-ES_tradnl"/>
        </w:rPr>
      </w:pPr>
      <w:r w:rsidRPr="00021737">
        <w:rPr>
          <w:b/>
          <w:lang w:val="es-ES_tradnl"/>
        </w:rPr>
        <w:t>b)</w:t>
      </w:r>
      <w:r w:rsidRPr="00021737">
        <w:rPr>
          <w:b/>
          <w:lang w:val="es-ES_tradnl"/>
        </w:rPr>
        <w:tab/>
      </w:r>
      <w:r w:rsidR="00EF3FAE" w:rsidRPr="00021737">
        <w:rPr>
          <w:b/>
          <w:bCs/>
        </w:rPr>
        <w:t>Asegure que la actuación de la Policía Nacional del Perú sea completamente independiente</w:t>
      </w:r>
      <w:r w:rsidR="00B90B05" w:rsidRPr="00021737">
        <w:rPr>
          <w:b/>
          <w:bCs/>
        </w:rPr>
        <w:t xml:space="preserve"> e imparcial</w:t>
      </w:r>
      <w:r w:rsidR="005A2EB3" w:rsidRPr="00021737">
        <w:rPr>
          <w:b/>
          <w:bCs/>
        </w:rPr>
        <w:t xml:space="preserve"> y</w:t>
      </w:r>
      <w:r w:rsidR="00EF3FAE" w:rsidRPr="00021737">
        <w:rPr>
          <w:b/>
          <w:bCs/>
        </w:rPr>
        <w:t xml:space="preserve"> </w:t>
      </w:r>
      <w:r w:rsidR="005A2EB3" w:rsidRPr="00021737">
        <w:rPr>
          <w:b/>
          <w:bCs/>
        </w:rPr>
        <w:t xml:space="preserve">considere </w:t>
      </w:r>
      <w:r w:rsidR="00494148" w:rsidRPr="00021737">
        <w:rPr>
          <w:b/>
          <w:bCs/>
        </w:rPr>
        <w:t xml:space="preserve">la eliminación de </w:t>
      </w:r>
      <w:r w:rsidR="000F7CC9" w:rsidRPr="00021737">
        <w:rPr>
          <w:b/>
          <w:bCs/>
        </w:rPr>
        <w:t xml:space="preserve">convenios de </w:t>
      </w:r>
      <w:r w:rsidR="00494148" w:rsidRPr="00021737">
        <w:rPr>
          <w:b/>
          <w:bCs/>
        </w:rPr>
        <w:t xml:space="preserve">prestación de servicios a empresas </w:t>
      </w:r>
      <w:r w:rsidR="00EF3FAE" w:rsidRPr="00021737">
        <w:rPr>
          <w:b/>
          <w:bCs/>
        </w:rPr>
        <w:t xml:space="preserve">privadas, particularmente a empresas </w:t>
      </w:r>
      <w:r w:rsidR="00494148" w:rsidRPr="00021737">
        <w:rPr>
          <w:b/>
          <w:bCs/>
        </w:rPr>
        <w:t xml:space="preserve">mineras que desarrollan actividades en territorios indígenas; </w:t>
      </w:r>
    </w:p>
    <w:p w14:paraId="34810AB9" w14:textId="61949839" w:rsidR="00494148" w:rsidRPr="00021737" w:rsidRDefault="00021737" w:rsidP="005D6D2E">
      <w:pPr>
        <w:pStyle w:val="SingleTxtG"/>
        <w:ind w:firstLine="567"/>
        <w:rPr>
          <w:b/>
          <w:lang w:val="es-ES_tradnl"/>
        </w:rPr>
      </w:pPr>
      <w:r w:rsidRPr="00021737">
        <w:rPr>
          <w:b/>
          <w:lang w:val="es-ES_tradnl"/>
        </w:rPr>
        <w:t>c)</w:t>
      </w:r>
      <w:r w:rsidRPr="00021737">
        <w:rPr>
          <w:b/>
          <w:lang w:val="es-ES_tradnl"/>
        </w:rPr>
        <w:tab/>
      </w:r>
      <w:r w:rsidR="00494148" w:rsidRPr="00021737">
        <w:rPr>
          <w:b/>
          <w:bCs/>
        </w:rPr>
        <w:t>Previo a decretar estados de emergencia preventivos, analice de manera exhaustiva y justifique la necesidad de su aplicación, asegurando el debido respeto a los principios de no discriminación y proporcionalidad;</w:t>
      </w:r>
    </w:p>
    <w:p w14:paraId="55851E44" w14:textId="6257E90E" w:rsidR="00494148" w:rsidRPr="00021737" w:rsidRDefault="00021737" w:rsidP="005D6D2E">
      <w:pPr>
        <w:pStyle w:val="SingleTxtG"/>
        <w:ind w:firstLine="567"/>
        <w:rPr>
          <w:b/>
          <w:lang w:val="es-ES_tradnl"/>
        </w:rPr>
      </w:pPr>
      <w:r w:rsidRPr="00021737">
        <w:rPr>
          <w:b/>
          <w:lang w:val="es-ES_tradnl"/>
        </w:rPr>
        <w:t>d)</w:t>
      </w:r>
      <w:r w:rsidRPr="00021737">
        <w:rPr>
          <w:b/>
          <w:lang w:val="es-ES_tradnl"/>
        </w:rPr>
        <w:tab/>
      </w:r>
      <w:r w:rsidR="00494148" w:rsidRPr="00021737">
        <w:rPr>
          <w:b/>
          <w:bCs/>
        </w:rPr>
        <w:t>Investigue todas las denuncias de uso excesivo de la fuerza, malos tratos y abusos cometidos por funcionarios encargados de hacer cumplir la ley en contra de miembros de pueblos indígenas, y en su caso que los autores sean enjuiciados y castigados, teniendo en cuenta la gravedad de tales actos.</w:t>
      </w:r>
    </w:p>
    <w:p w14:paraId="15068C2D" w14:textId="7A885871" w:rsidR="00494148" w:rsidRPr="00021737" w:rsidRDefault="00F51C01" w:rsidP="00F51C01">
      <w:pPr>
        <w:pStyle w:val="H23G"/>
        <w:rPr>
          <w:lang w:val="es-ES_tradnl"/>
        </w:rPr>
      </w:pPr>
      <w:r w:rsidRPr="00021737">
        <w:rPr>
          <w:lang w:val="es-ES_tradnl"/>
        </w:rPr>
        <w:tab/>
      </w:r>
      <w:r w:rsidRPr="00021737">
        <w:rPr>
          <w:lang w:val="es-ES_tradnl"/>
        </w:rPr>
        <w:tab/>
      </w:r>
      <w:r w:rsidR="00494148" w:rsidRPr="00021737">
        <w:rPr>
          <w:lang w:val="es-ES_tradnl"/>
        </w:rPr>
        <w:t>Esterilización forz</w:t>
      </w:r>
      <w:r w:rsidR="00044D59" w:rsidRPr="00021737">
        <w:rPr>
          <w:lang w:val="es-ES_tradnl"/>
        </w:rPr>
        <w:t>ada</w:t>
      </w:r>
      <w:r w:rsidR="00494148" w:rsidRPr="00021737">
        <w:rPr>
          <w:lang w:val="es-ES_tradnl"/>
        </w:rPr>
        <w:t xml:space="preserve"> </w:t>
      </w:r>
    </w:p>
    <w:p w14:paraId="373C4642" w14:textId="21F7844A" w:rsidR="00494148" w:rsidRPr="00021737" w:rsidRDefault="00021737" w:rsidP="005D6D2E">
      <w:pPr>
        <w:pStyle w:val="SingleTxtG"/>
        <w:rPr>
          <w:lang w:val="es-ES_tradnl"/>
        </w:rPr>
      </w:pPr>
      <w:r w:rsidRPr="005D6D2E">
        <w:rPr>
          <w:lang w:val="es-ES_tradnl"/>
        </w:rPr>
        <w:t>26.</w:t>
      </w:r>
      <w:r w:rsidRPr="005D6D2E">
        <w:rPr>
          <w:lang w:val="es-ES_tradnl"/>
        </w:rPr>
        <w:tab/>
      </w:r>
      <w:r w:rsidR="00494148" w:rsidRPr="00021737">
        <w:rPr>
          <w:lang w:val="es-ES_tradnl"/>
        </w:rPr>
        <w:t xml:space="preserve">El Comité acoge con satisfacción la creación del </w:t>
      </w:r>
      <w:r w:rsidR="001F65F8" w:rsidRPr="00021737">
        <w:rPr>
          <w:lang w:val="es-ES_tradnl"/>
        </w:rPr>
        <w:t>R</w:t>
      </w:r>
      <w:r w:rsidR="00494148" w:rsidRPr="00021737">
        <w:rPr>
          <w:lang w:val="es-ES_tradnl"/>
        </w:rPr>
        <w:t xml:space="preserve">egistro de </w:t>
      </w:r>
      <w:r w:rsidR="001F65F8" w:rsidRPr="00021737">
        <w:rPr>
          <w:lang w:val="es-ES_tradnl"/>
        </w:rPr>
        <w:t>V</w:t>
      </w:r>
      <w:r w:rsidR="00494148" w:rsidRPr="00021737">
        <w:rPr>
          <w:lang w:val="es-ES_tradnl"/>
        </w:rPr>
        <w:t>íctimas de</w:t>
      </w:r>
      <w:r w:rsidR="001F65F8" w:rsidRPr="00021737">
        <w:rPr>
          <w:lang w:val="es-ES_tradnl"/>
        </w:rPr>
        <w:t xml:space="preserve"> E</w:t>
      </w:r>
      <w:r w:rsidR="00494148" w:rsidRPr="00021737">
        <w:rPr>
          <w:lang w:val="es-ES_tradnl"/>
        </w:rPr>
        <w:t>sterilizaci</w:t>
      </w:r>
      <w:r w:rsidR="001F65F8" w:rsidRPr="00021737">
        <w:rPr>
          <w:lang w:val="es-ES_tradnl"/>
        </w:rPr>
        <w:t>ones</w:t>
      </w:r>
      <w:r w:rsidR="00494148" w:rsidRPr="00021737">
        <w:rPr>
          <w:lang w:val="es-ES_tradnl"/>
        </w:rPr>
        <w:t xml:space="preserve"> </w:t>
      </w:r>
      <w:r w:rsidR="001F65F8" w:rsidRPr="00021737">
        <w:rPr>
          <w:lang w:val="es-ES_tradnl"/>
        </w:rPr>
        <w:t>F</w:t>
      </w:r>
      <w:r w:rsidR="00494148" w:rsidRPr="00021737">
        <w:rPr>
          <w:lang w:val="es-ES_tradnl"/>
        </w:rPr>
        <w:t>orzada</w:t>
      </w:r>
      <w:r w:rsidR="001F65F8" w:rsidRPr="00021737">
        <w:rPr>
          <w:lang w:val="es-ES_tradnl"/>
        </w:rPr>
        <w:t>s</w:t>
      </w:r>
      <w:r w:rsidR="00494148" w:rsidRPr="00021737">
        <w:rPr>
          <w:lang w:val="es-ES_tradnl"/>
        </w:rPr>
        <w:t xml:space="preserve"> </w:t>
      </w:r>
      <w:r w:rsidR="001F65F8" w:rsidRPr="00021737">
        <w:rPr>
          <w:lang w:val="es-ES_tradnl"/>
        </w:rPr>
        <w:t xml:space="preserve">producidas entre 1995 y 2001 </w:t>
      </w:r>
      <w:r w:rsidR="00494148" w:rsidRPr="00021737">
        <w:rPr>
          <w:lang w:val="es-ES_tradnl"/>
        </w:rPr>
        <w:t>y la noticia de la reapertura del proceso por las esterilizaciones forzadas llevadas a cabo en contra de mujeres indígenas. Sin embargo, le preocupa que las mujeres indígenas víctimas de esterilización forzada continúan enfrenta</w:t>
      </w:r>
      <w:r w:rsidR="00C43BF3" w:rsidRPr="00021737">
        <w:rPr>
          <w:lang w:val="es-ES_tradnl"/>
        </w:rPr>
        <w:t>n</w:t>
      </w:r>
      <w:r w:rsidR="00494148" w:rsidRPr="00021737">
        <w:rPr>
          <w:lang w:val="es-ES_tradnl"/>
        </w:rPr>
        <w:t>do dificultades para acceder a la justicia y al referido registro de víctimas (</w:t>
      </w:r>
      <w:r w:rsidR="00123BE7" w:rsidRPr="00021737">
        <w:rPr>
          <w:lang w:val="es-ES_tradnl"/>
        </w:rPr>
        <w:t>a</w:t>
      </w:r>
      <w:r w:rsidR="00494148" w:rsidRPr="00021737">
        <w:rPr>
          <w:lang w:val="es-ES_tradnl"/>
        </w:rPr>
        <w:t xml:space="preserve">rt. 6). </w:t>
      </w:r>
    </w:p>
    <w:p w14:paraId="1E601663" w14:textId="16CABB42" w:rsidR="00494148" w:rsidRPr="00021737" w:rsidRDefault="00021737" w:rsidP="005D6D2E">
      <w:pPr>
        <w:pStyle w:val="SingleTxtG"/>
        <w:rPr>
          <w:b/>
          <w:lang w:val="es-ES_tradnl"/>
        </w:rPr>
      </w:pPr>
      <w:r w:rsidRPr="005D6D2E">
        <w:rPr>
          <w:lang w:val="es-ES_tradnl"/>
        </w:rPr>
        <w:t>27.</w:t>
      </w:r>
      <w:r w:rsidRPr="005D6D2E">
        <w:rPr>
          <w:lang w:val="es-ES_tradnl"/>
        </w:rPr>
        <w:tab/>
      </w:r>
      <w:r w:rsidR="00494148" w:rsidRPr="00021737">
        <w:rPr>
          <w:b/>
          <w:lang w:val="es-ES_tradnl"/>
        </w:rPr>
        <w:t xml:space="preserve">Con base a su anterior recomendación (CERD/C/PER/CO/18-21, párr. 22), el Comité exhorta al Estado parte a adoptar las medidas necesarias para que las víctimas de esterilizaciones forzadas tengan acceso al registro de víctimas de esterilización forzada. Asimismo, le insta a adoptar las medidas necesarias para asegurar que la investigación del caso de esterilización forzada se lleve a cabo sin demoras, de manera exhaustiva y </w:t>
      </w:r>
      <w:r w:rsidR="00C43BF3" w:rsidRPr="00021737">
        <w:rPr>
          <w:b/>
          <w:lang w:val="es-ES_tradnl"/>
        </w:rPr>
        <w:t xml:space="preserve">a que </w:t>
      </w:r>
      <w:r w:rsidR="00494148" w:rsidRPr="00021737">
        <w:rPr>
          <w:b/>
          <w:lang w:val="es-ES_tradnl"/>
        </w:rPr>
        <w:t>vele por</w:t>
      </w:r>
      <w:r w:rsidR="005C5116" w:rsidRPr="00021737">
        <w:rPr>
          <w:b/>
          <w:lang w:val="es-ES_tradnl"/>
        </w:rPr>
        <w:t xml:space="preserve"> </w:t>
      </w:r>
      <w:r w:rsidR="00494148" w:rsidRPr="00021737">
        <w:rPr>
          <w:b/>
          <w:lang w:val="es-ES_tradnl"/>
        </w:rPr>
        <w:t>que los responsables sean debidamente castigados y las víctimas tengan acceso a una reparación adecuada.</w:t>
      </w:r>
    </w:p>
    <w:p w14:paraId="6747A795" w14:textId="6A5BF278" w:rsidR="00494148" w:rsidRPr="00021737" w:rsidRDefault="00F51C01" w:rsidP="00F51C01">
      <w:pPr>
        <w:pStyle w:val="H23G"/>
        <w:rPr>
          <w:lang w:val="es-ES_tradnl"/>
        </w:rPr>
      </w:pPr>
      <w:r w:rsidRPr="00021737">
        <w:rPr>
          <w:lang w:val="es-ES_tradnl"/>
        </w:rPr>
        <w:tab/>
      </w:r>
      <w:r w:rsidRPr="00021737">
        <w:rPr>
          <w:lang w:val="es-ES_tradnl"/>
        </w:rPr>
        <w:tab/>
      </w:r>
      <w:r w:rsidR="00494148" w:rsidRPr="00021737">
        <w:rPr>
          <w:lang w:val="es-ES_tradnl"/>
        </w:rPr>
        <w:t>Condiciones de trabajo</w:t>
      </w:r>
    </w:p>
    <w:p w14:paraId="42F4F43E" w14:textId="7D57A3B5" w:rsidR="00494148" w:rsidRPr="00021737" w:rsidRDefault="00021737" w:rsidP="005D6D2E">
      <w:pPr>
        <w:pStyle w:val="SingleTxtG"/>
        <w:rPr>
          <w:b/>
          <w:lang w:val="es-ES_tradnl"/>
        </w:rPr>
      </w:pPr>
      <w:r w:rsidRPr="005D6D2E">
        <w:rPr>
          <w:lang w:val="es-ES_tradnl"/>
        </w:rPr>
        <w:t>28.</w:t>
      </w:r>
      <w:r w:rsidRPr="005D6D2E">
        <w:rPr>
          <w:lang w:val="es-ES_tradnl"/>
        </w:rPr>
        <w:tab/>
      </w:r>
      <w:r w:rsidR="00494148" w:rsidRPr="00021737">
        <w:rPr>
          <w:lang w:val="es-ES_tradnl"/>
        </w:rPr>
        <w:t xml:space="preserve">Preocupa al Comité </w:t>
      </w:r>
      <w:r w:rsidR="00F72E25" w:rsidRPr="00021737">
        <w:t xml:space="preserve">la </w:t>
      </w:r>
      <w:r w:rsidR="00F72E25" w:rsidRPr="00021737">
        <w:rPr>
          <w:rFonts w:ascii="TimesNewRomanPSMT" w:eastAsia="TimesNewRomanPSMT" w:hAnsi="TimesNewRomanPSMT" w:cs="TimesNewRomanPSMT"/>
        </w:rPr>
        <w:t>ausencia de estadísticas oficiales sobre el trabajo forzoso y c</w:t>
      </w:r>
      <w:r w:rsidR="005C5116" w:rsidRPr="00021737">
        <w:rPr>
          <w:rFonts w:ascii="TimesNewRomanPSMT" w:eastAsia="TimesNewRomanPSMT" w:hAnsi="TimesNewRomanPSMT" w:cs="TimesNewRomanPSMT"/>
        </w:rPr>
        <w:t>ó</w:t>
      </w:r>
      <w:r w:rsidR="00F72E25" w:rsidRPr="00021737">
        <w:rPr>
          <w:rFonts w:ascii="TimesNewRomanPSMT" w:eastAsia="TimesNewRomanPSMT" w:hAnsi="TimesNewRomanPSMT" w:cs="TimesNewRomanPSMT"/>
        </w:rPr>
        <w:t>mo afecta a los pueblos indígenas y a los distintos grupos nacionales o étnicos, aunque hay</w:t>
      </w:r>
      <w:r w:rsidR="00F72E25" w:rsidRPr="00021737">
        <w:rPr>
          <w:rFonts w:ascii="TimesNewRomanPSMT" w:eastAsia="TimesNewRomanPSMT" w:hAnsi="TimesNewRomanPSMT" w:cs="TimesNewRomanPSMT"/>
          <w:sz w:val="22"/>
          <w:szCs w:val="22"/>
        </w:rPr>
        <w:t xml:space="preserve"> </w:t>
      </w:r>
      <w:r w:rsidR="00494148" w:rsidRPr="00021737">
        <w:rPr>
          <w:lang w:val="es-ES_tradnl"/>
        </w:rPr>
        <w:t xml:space="preserve">informaciones que dan cuenta </w:t>
      </w:r>
      <w:r w:rsidR="00C43BF3" w:rsidRPr="00021737">
        <w:rPr>
          <w:lang w:val="es-ES_tradnl"/>
        </w:rPr>
        <w:t xml:space="preserve">de </w:t>
      </w:r>
      <w:r w:rsidR="00494148" w:rsidRPr="00021737">
        <w:rPr>
          <w:lang w:val="es-ES_tradnl"/>
        </w:rPr>
        <w:t>que miembros de pueblos indígenas en las regiones de la Amazonía continúan siendo víctimas de trabajo forzoso. Asimismo, le preocupa que trabajadores domésticos, principalmente mujeres, continúen siendo víctimas de discriminación en razón de su origen étnico (</w:t>
      </w:r>
      <w:r w:rsidR="00123BE7" w:rsidRPr="00021737">
        <w:rPr>
          <w:lang w:val="es-ES_tradnl"/>
        </w:rPr>
        <w:t>a</w:t>
      </w:r>
      <w:r w:rsidR="00494148" w:rsidRPr="00021737">
        <w:rPr>
          <w:lang w:val="es-ES_tradnl"/>
        </w:rPr>
        <w:t>rt</w:t>
      </w:r>
      <w:r w:rsidR="00123BE7" w:rsidRPr="00021737">
        <w:rPr>
          <w:lang w:val="es-ES_tradnl"/>
        </w:rPr>
        <w:t>s.</w:t>
      </w:r>
      <w:r w:rsidR="00911CF4" w:rsidRPr="00021737">
        <w:rPr>
          <w:lang w:val="es-ES_tradnl"/>
        </w:rPr>
        <w:t> </w:t>
      </w:r>
      <w:r w:rsidR="00494148" w:rsidRPr="00021737">
        <w:rPr>
          <w:lang w:val="es-ES_tradnl"/>
        </w:rPr>
        <w:t>2 y 5).</w:t>
      </w:r>
    </w:p>
    <w:p w14:paraId="4A4AC4B1" w14:textId="76E98E2C" w:rsidR="00494148" w:rsidRPr="00021737" w:rsidRDefault="00021737" w:rsidP="005D6D2E">
      <w:pPr>
        <w:pStyle w:val="SingleTxtG"/>
        <w:rPr>
          <w:b/>
          <w:lang w:val="es-ES_tradnl"/>
        </w:rPr>
      </w:pPr>
      <w:r w:rsidRPr="005D6D2E">
        <w:rPr>
          <w:lang w:val="es-ES_tradnl"/>
        </w:rPr>
        <w:t>29.</w:t>
      </w:r>
      <w:r w:rsidRPr="005D6D2E">
        <w:rPr>
          <w:lang w:val="es-ES_tradnl"/>
        </w:rPr>
        <w:tab/>
      </w:r>
      <w:r w:rsidR="00494148" w:rsidRPr="00021737">
        <w:rPr>
          <w:b/>
          <w:lang w:val="es-ES_tradnl"/>
        </w:rPr>
        <w:t xml:space="preserve">El Comité insta al Estado parte a: </w:t>
      </w:r>
    </w:p>
    <w:p w14:paraId="31688FCC" w14:textId="768F6A2F" w:rsidR="00494148" w:rsidRPr="00021737" w:rsidRDefault="00021737" w:rsidP="005D6D2E">
      <w:pPr>
        <w:pStyle w:val="SingleTxtG"/>
        <w:ind w:firstLine="567"/>
        <w:rPr>
          <w:b/>
          <w:lang w:val="es-ES_tradnl"/>
        </w:rPr>
      </w:pPr>
      <w:r w:rsidRPr="00021737">
        <w:rPr>
          <w:b/>
          <w:lang w:val="es-ES_tradnl"/>
        </w:rPr>
        <w:t>a)</w:t>
      </w:r>
      <w:r w:rsidRPr="00021737">
        <w:rPr>
          <w:b/>
          <w:lang w:val="es-ES_tradnl"/>
        </w:rPr>
        <w:tab/>
      </w:r>
      <w:r w:rsidR="00494148" w:rsidRPr="00021737">
        <w:rPr>
          <w:b/>
          <w:lang w:val="es-ES_tradnl"/>
        </w:rPr>
        <w:t>Asegurar que el tercer plan nacional para la lucha contra el trabajo forzoso cuente con metas específicas y plazos para su cumplimiento y que se asigne</w:t>
      </w:r>
      <w:r w:rsidR="005C5116" w:rsidRPr="00021737">
        <w:rPr>
          <w:b/>
          <w:lang w:val="es-ES_tradnl"/>
        </w:rPr>
        <w:t>n</w:t>
      </w:r>
      <w:r w:rsidR="00494148" w:rsidRPr="00021737">
        <w:rPr>
          <w:b/>
          <w:lang w:val="es-ES_tradnl"/>
        </w:rPr>
        <w:t xml:space="preserve"> los recursos humanos, técnicos y materiales necesarios para su debida implementación; </w:t>
      </w:r>
    </w:p>
    <w:p w14:paraId="13614241" w14:textId="0F02DD36" w:rsidR="00494148" w:rsidRPr="00021737" w:rsidRDefault="00021737" w:rsidP="005D6D2E">
      <w:pPr>
        <w:pStyle w:val="SingleTxtG"/>
        <w:ind w:firstLine="567"/>
        <w:rPr>
          <w:b/>
          <w:lang w:val="es-ES_tradnl"/>
        </w:rPr>
      </w:pPr>
      <w:r w:rsidRPr="00021737">
        <w:rPr>
          <w:b/>
          <w:lang w:val="es-ES_tradnl"/>
        </w:rPr>
        <w:t>b)</w:t>
      </w:r>
      <w:r w:rsidRPr="00021737">
        <w:rPr>
          <w:b/>
          <w:lang w:val="es-ES_tradnl"/>
        </w:rPr>
        <w:tab/>
      </w:r>
      <w:r w:rsidR="00494148" w:rsidRPr="00021737">
        <w:rPr>
          <w:b/>
          <w:lang w:val="es-ES_tradnl"/>
        </w:rPr>
        <w:t xml:space="preserve">Fortalecer la Comisión Nacional para la Lucha contra el Trabajo Forzoso y el </w:t>
      </w:r>
      <w:r w:rsidR="005C08AA" w:rsidRPr="00021737">
        <w:rPr>
          <w:b/>
          <w:lang w:val="es-ES_tradnl"/>
        </w:rPr>
        <w:t>S</w:t>
      </w:r>
      <w:r w:rsidR="00494148" w:rsidRPr="00021737">
        <w:rPr>
          <w:b/>
          <w:lang w:val="es-ES_tradnl"/>
        </w:rPr>
        <w:t xml:space="preserve">istema de </w:t>
      </w:r>
      <w:r w:rsidR="005C08AA" w:rsidRPr="00021737">
        <w:rPr>
          <w:b/>
          <w:lang w:val="es-ES_tradnl"/>
        </w:rPr>
        <w:t>I</w:t>
      </w:r>
      <w:r w:rsidR="00494148" w:rsidRPr="00021737">
        <w:rPr>
          <w:b/>
          <w:lang w:val="es-ES_tradnl"/>
        </w:rPr>
        <w:t>nspección de</w:t>
      </w:r>
      <w:r w:rsidR="005C08AA" w:rsidRPr="00021737">
        <w:rPr>
          <w:b/>
          <w:lang w:val="es-ES_tradnl"/>
        </w:rPr>
        <w:t>l</w:t>
      </w:r>
      <w:r w:rsidR="00494148" w:rsidRPr="00021737">
        <w:rPr>
          <w:b/>
          <w:lang w:val="es-ES_tradnl"/>
        </w:rPr>
        <w:t xml:space="preserve"> </w:t>
      </w:r>
      <w:r w:rsidR="005C08AA" w:rsidRPr="00021737">
        <w:rPr>
          <w:b/>
          <w:lang w:val="es-ES_tradnl"/>
        </w:rPr>
        <w:t>T</w:t>
      </w:r>
      <w:r w:rsidR="00494148" w:rsidRPr="00021737">
        <w:rPr>
          <w:b/>
          <w:lang w:val="es-ES_tradnl"/>
        </w:rPr>
        <w:t>rabajo;</w:t>
      </w:r>
    </w:p>
    <w:p w14:paraId="1537737C" w14:textId="70B2339C" w:rsidR="00494148" w:rsidRPr="00021737" w:rsidRDefault="00021737" w:rsidP="005D6D2E">
      <w:pPr>
        <w:pStyle w:val="SingleTxtG"/>
        <w:ind w:firstLine="567"/>
        <w:rPr>
          <w:b/>
          <w:lang w:val="es-ES_tradnl"/>
        </w:rPr>
      </w:pPr>
      <w:r w:rsidRPr="00021737">
        <w:rPr>
          <w:b/>
          <w:lang w:val="es-ES_tradnl"/>
        </w:rPr>
        <w:t>c)</w:t>
      </w:r>
      <w:r w:rsidRPr="00021737">
        <w:rPr>
          <w:b/>
          <w:lang w:val="es-ES_tradnl"/>
        </w:rPr>
        <w:tab/>
      </w:r>
      <w:r w:rsidR="00494148" w:rsidRPr="00021737">
        <w:rPr>
          <w:b/>
          <w:lang w:val="es-ES_tradnl"/>
        </w:rPr>
        <w:t>Adoptar medidas apropiadas para prevenir, investigar y enjuiciar todos los casos de trabajo forzoso, velando por que las víctimas tengan acceso a la justicia</w:t>
      </w:r>
      <w:r w:rsidR="00F72E25" w:rsidRPr="00021737">
        <w:rPr>
          <w:b/>
          <w:lang w:val="es-ES_tradnl"/>
        </w:rPr>
        <w:t>, así como a</w:t>
      </w:r>
      <w:r w:rsidR="001D2193" w:rsidRPr="00021737">
        <w:rPr>
          <w:b/>
          <w:lang w:val="es-ES_tradnl"/>
        </w:rPr>
        <w:t xml:space="preserve"> la</w:t>
      </w:r>
      <w:r w:rsidR="00F72E25" w:rsidRPr="00021737">
        <w:rPr>
          <w:b/>
          <w:lang w:val="es-ES_tradnl"/>
        </w:rPr>
        <w:t xml:space="preserve"> inspección de</w:t>
      </w:r>
      <w:r w:rsidR="00C43BF3" w:rsidRPr="00021737">
        <w:rPr>
          <w:b/>
          <w:lang w:val="es-ES_tradnl"/>
        </w:rPr>
        <w:t>l</w:t>
      </w:r>
      <w:r w:rsidR="00F72E25" w:rsidRPr="00021737">
        <w:rPr>
          <w:b/>
          <w:lang w:val="es-ES_tradnl"/>
        </w:rPr>
        <w:t xml:space="preserve"> trabajo</w:t>
      </w:r>
      <w:r w:rsidR="00494148" w:rsidRPr="00021737">
        <w:rPr>
          <w:b/>
          <w:lang w:val="es-ES_tradnl"/>
        </w:rPr>
        <w:t xml:space="preserve"> y reciban una protección y reparación adecuadas y para que los responsables sean debidamente enjuiciados y castigados co</w:t>
      </w:r>
      <w:r w:rsidR="00A90828" w:rsidRPr="00021737">
        <w:rPr>
          <w:b/>
          <w:lang w:val="es-ES_tradnl"/>
        </w:rPr>
        <w:t>nforme a la gravedad del delito;</w:t>
      </w:r>
      <w:r w:rsidR="00494148" w:rsidRPr="00021737">
        <w:rPr>
          <w:b/>
          <w:lang w:val="es-ES_tradnl"/>
        </w:rPr>
        <w:t xml:space="preserve"> </w:t>
      </w:r>
    </w:p>
    <w:p w14:paraId="70F6EB43" w14:textId="52BDFC28" w:rsidR="00F72E25" w:rsidRPr="00021737" w:rsidRDefault="00021737" w:rsidP="005D6D2E">
      <w:pPr>
        <w:pStyle w:val="SingleTxtG"/>
        <w:ind w:firstLine="567"/>
        <w:rPr>
          <w:i/>
          <w:color w:val="002060"/>
        </w:rPr>
      </w:pPr>
      <w:r w:rsidRPr="00021737">
        <w:rPr>
          <w:b/>
        </w:rPr>
        <w:t>d)</w:t>
      </w:r>
      <w:r w:rsidRPr="00021737">
        <w:rPr>
          <w:b/>
        </w:rPr>
        <w:tab/>
      </w:r>
      <w:r w:rsidR="00494148" w:rsidRPr="00021737">
        <w:rPr>
          <w:b/>
        </w:rPr>
        <w:t>Redoblar sus esfuerzos para asegurar</w:t>
      </w:r>
      <w:r w:rsidR="00494148" w:rsidRPr="00021737">
        <w:rPr>
          <w:b/>
          <w:bCs/>
        </w:rPr>
        <w:t xml:space="preserve"> la protección efectiva de todos los trabajadores domésticos</w:t>
      </w:r>
      <w:r w:rsidR="00C43BF3" w:rsidRPr="00021737">
        <w:rPr>
          <w:b/>
          <w:bCs/>
        </w:rPr>
        <w:t>,</w:t>
      </w:r>
      <w:r w:rsidR="00494148" w:rsidRPr="00021737">
        <w:rPr>
          <w:b/>
        </w:rPr>
        <w:t xml:space="preserve"> velando por que las disposiciones jurídicas relativas al trabajo doméstico se apliquen enérgicamente, así como para la ratificación del Convenio sobre las Trabajadoras y los Trabajadores Domésticos</w:t>
      </w:r>
      <w:r w:rsidR="005C5116" w:rsidRPr="00021737">
        <w:rPr>
          <w:b/>
        </w:rPr>
        <w:t>, 2011 (núm. 189), de la Organización Internacional del Trabajo (OIT);</w:t>
      </w:r>
    </w:p>
    <w:p w14:paraId="0B56148C" w14:textId="5D7F5E60" w:rsidR="00494148" w:rsidRPr="00021737" w:rsidRDefault="00021737" w:rsidP="005D6D2E">
      <w:pPr>
        <w:pStyle w:val="SingleTxtG"/>
        <w:ind w:firstLine="567"/>
        <w:rPr>
          <w:i/>
          <w:color w:val="002060"/>
        </w:rPr>
      </w:pPr>
      <w:r w:rsidRPr="00021737">
        <w:rPr>
          <w:b/>
        </w:rPr>
        <w:t>e)</w:t>
      </w:r>
      <w:r w:rsidRPr="00021737">
        <w:rPr>
          <w:b/>
        </w:rPr>
        <w:tab/>
      </w:r>
      <w:r w:rsidR="00E83F6B" w:rsidRPr="00021737">
        <w:rPr>
          <w:b/>
        </w:rPr>
        <w:t xml:space="preserve">Incluir </w:t>
      </w:r>
      <w:r w:rsidR="00F72E25" w:rsidRPr="00021737">
        <w:rPr>
          <w:b/>
        </w:rPr>
        <w:t>en su próximo informe periódico información estadística sobre la real dimensión del fenómeno del trabajo forzoso y c</w:t>
      </w:r>
      <w:r w:rsidR="003A715C" w:rsidRPr="00021737">
        <w:rPr>
          <w:b/>
        </w:rPr>
        <w:t>ó</w:t>
      </w:r>
      <w:r w:rsidR="00F72E25" w:rsidRPr="00021737">
        <w:rPr>
          <w:b/>
        </w:rPr>
        <w:t>mo afecta a los pueblos indígenas, afroperuanos u otros grupos nacionales o étnicos</w:t>
      </w:r>
      <w:r w:rsidR="00494148" w:rsidRPr="00021737">
        <w:rPr>
          <w:b/>
        </w:rPr>
        <w:t>.</w:t>
      </w:r>
      <w:r w:rsidR="00494148" w:rsidRPr="00021737">
        <w:rPr>
          <w:b/>
          <w:bCs/>
        </w:rPr>
        <w:t xml:space="preserve"> </w:t>
      </w:r>
    </w:p>
    <w:p w14:paraId="0A7A3F40" w14:textId="7B39F1F3" w:rsidR="00FB1090" w:rsidRPr="00021737" w:rsidRDefault="00F51C01" w:rsidP="00F51C01">
      <w:pPr>
        <w:pStyle w:val="H23G"/>
        <w:rPr>
          <w:lang w:val="es-ES_tradnl"/>
        </w:rPr>
      </w:pPr>
      <w:r w:rsidRPr="00021737">
        <w:rPr>
          <w:lang w:val="es-ES_tradnl"/>
        </w:rPr>
        <w:tab/>
      </w:r>
      <w:r w:rsidRPr="00021737">
        <w:rPr>
          <w:lang w:val="es-ES_tradnl"/>
        </w:rPr>
        <w:tab/>
      </w:r>
      <w:r w:rsidR="00FB1090" w:rsidRPr="00021737">
        <w:rPr>
          <w:lang w:val="es-ES_tradnl"/>
        </w:rPr>
        <w:t>Participación política</w:t>
      </w:r>
    </w:p>
    <w:p w14:paraId="0ED92B42" w14:textId="51D60814" w:rsidR="00FB1090" w:rsidRPr="00021737" w:rsidRDefault="00021737" w:rsidP="005D6D2E">
      <w:pPr>
        <w:pStyle w:val="SingleTxtG"/>
        <w:rPr>
          <w:lang w:val="es-ES_tradnl"/>
        </w:rPr>
      </w:pPr>
      <w:r w:rsidRPr="005D6D2E">
        <w:rPr>
          <w:lang w:val="es-ES_tradnl"/>
        </w:rPr>
        <w:t>30.</w:t>
      </w:r>
      <w:r w:rsidRPr="005D6D2E">
        <w:rPr>
          <w:lang w:val="es-ES_tradnl"/>
        </w:rPr>
        <w:tab/>
      </w:r>
      <w:r w:rsidR="00851BC6" w:rsidRPr="00021737">
        <w:rPr>
          <w:lang w:val="es-ES_tradnl"/>
        </w:rPr>
        <w:t xml:space="preserve">Preocupa al Comité la falta de efectividad </w:t>
      </w:r>
      <w:r w:rsidR="00E60B1C" w:rsidRPr="00021737">
        <w:rPr>
          <w:lang w:val="es-ES_tradnl"/>
        </w:rPr>
        <w:t xml:space="preserve">de las medidas </w:t>
      </w:r>
      <w:r w:rsidR="00FB1090" w:rsidRPr="00021737">
        <w:rPr>
          <w:lang w:val="es-ES_tradnl"/>
        </w:rPr>
        <w:t xml:space="preserve">para promover la participación de los pueblos indígenas y </w:t>
      </w:r>
      <w:r w:rsidR="00E60B1C" w:rsidRPr="00021737">
        <w:rPr>
          <w:lang w:val="es-ES_tradnl"/>
        </w:rPr>
        <w:t>afro</w:t>
      </w:r>
      <w:r w:rsidR="00FB1090" w:rsidRPr="00021737">
        <w:rPr>
          <w:lang w:val="es-ES_tradnl"/>
        </w:rPr>
        <w:t>peruanos en los procesos de toma de decisiones e</w:t>
      </w:r>
      <w:r w:rsidR="00E60B1C" w:rsidRPr="00021737">
        <w:rPr>
          <w:lang w:val="es-ES_tradnl"/>
        </w:rPr>
        <w:t xml:space="preserve">n el ámbito de la vida pública </w:t>
      </w:r>
      <w:r w:rsidR="00FB1090" w:rsidRPr="00021737">
        <w:rPr>
          <w:lang w:val="es-ES_tradnl"/>
        </w:rPr>
        <w:t xml:space="preserve">(arts. 2 y 5). </w:t>
      </w:r>
    </w:p>
    <w:p w14:paraId="5DCE1F85" w14:textId="13D46737" w:rsidR="00FB1090" w:rsidRPr="00021737" w:rsidRDefault="00021737" w:rsidP="005D6D2E">
      <w:pPr>
        <w:pStyle w:val="SingleTxtG"/>
        <w:rPr>
          <w:color w:val="000000"/>
          <w:lang w:val="es-ES_tradnl" w:eastAsia="en-GB"/>
        </w:rPr>
      </w:pPr>
      <w:r w:rsidRPr="005D6D2E">
        <w:rPr>
          <w:color w:val="000000"/>
          <w:lang w:val="es-ES_tradnl" w:eastAsia="en-GB"/>
        </w:rPr>
        <w:t>31.</w:t>
      </w:r>
      <w:r w:rsidRPr="005D6D2E">
        <w:rPr>
          <w:color w:val="000000"/>
          <w:lang w:val="es-ES_tradnl" w:eastAsia="en-GB"/>
        </w:rPr>
        <w:tab/>
      </w:r>
      <w:r w:rsidR="00FB1090" w:rsidRPr="00021737">
        <w:rPr>
          <w:b/>
          <w:bCs/>
          <w:color w:val="000000"/>
          <w:lang w:val="es-ES_tradnl" w:eastAsia="en-GB"/>
        </w:rPr>
        <w:t xml:space="preserve">El Comité </w:t>
      </w:r>
      <w:r w:rsidR="00FB1090" w:rsidRPr="00021737">
        <w:rPr>
          <w:b/>
          <w:bCs/>
          <w:lang w:val="es-ES_tradnl"/>
        </w:rPr>
        <w:t>recomienda</w:t>
      </w:r>
      <w:r w:rsidR="00FB1090" w:rsidRPr="00021737">
        <w:rPr>
          <w:b/>
          <w:bCs/>
          <w:color w:val="000000"/>
          <w:lang w:val="es-ES_tradnl" w:eastAsia="en-GB"/>
        </w:rPr>
        <w:t xml:space="preserve"> </w:t>
      </w:r>
      <w:r w:rsidR="002543D0" w:rsidRPr="00021737">
        <w:rPr>
          <w:b/>
          <w:bCs/>
          <w:color w:val="000000"/>
          <w:lang w:val="es-ES_tradnl" w:eastAsia="en-GB"/>
        </w:rPr>
        <w:t>al</w:t>
      </w:r>
      <w:r w:rsidR="00FB1090" w:rsidRPr="00021737">
        <w:rPr>
          <w:b/>
          <w:bCs/>
          <w:color w:val="000000"/>
          <w:lang w:val="es-ES_tradnl" w:eastAsia="en-GB"/>
        </w:rPr>
        <w:t xml:space="preserve"> </w:t>
      </w:r>
      <w:r w:rsidR="00FB1090" w:rsidRPr="00021737">
        <w:rPr>
          <w:b/>
          <w:lang w:val="es-ES_tradnl"/>
        </w:rPr>
        <w:t>Estado</w:t>
      </w:r>
      <w:r w:rsidR="00FB1090" w:rsidRPr="00021737">
        <w:rPr>
          <w:b/>
          <w:bCs/>
          <w:color w:val="000000"/>
          <w:lang w:val="es-ES_tradnl" w:eastAsia="en-GB"/>
        </w:rPr>
        <w:t xml:space="preserve"> parte</w:t>
      </w:r>
      <w:r w:rsidR="002543D0" w:rsidRPr="00021737">
        <w:rPr>
          <w:b/>
          <w:bCs/>
          <w:color w:val="000000"/>
          <w:lang w:val="es-ES_tradnl" w:eastAsia="en-GB"/>
        </w:rPr>
        <w:t xml:space="preserve"> que</w:t>
      </w:r>
      <w:r w:rsidR="00FB1090" w:rsidRPr="00021737">
        <w:rPr>
          <w:b/>
          <w:bCs/>
          <w:color w:val="000000"/>
          <w:lang w:val="es-ES_tradnl" w:eastAsia="en-GB"/>
        </w:rPr>
        <w:t xml:space="preserve"> </w:t>
      </w:r>
      <w:r w:rsidR="004C1075" w:rsidRPr="00021737">
        <w:rPr>
          <w:b/>
          <w:bCs/>
          <w:color w:val="000000"/>
          <w:lang w:val="es-ES_tradnl"/>
        </w:rPr>
        <w:t>garantice la participación de la población afrodescendiente</w:t>
      </w:r>
      <w:r w:rsidR="000D3A43" w:rsidRPr="00021737">
        <w:rPr>
          <w:b/>
          <w:bCs/>
          <w:color w:val="000000"/>
          <w:lang w:val="es-ES_tradnl"/>
        </w:rPr>
        <w:t>,</w:t>
      </w:r>
      <w:r w:rsidR="004C1075" w:rsidRPr="00021737">
        <w:rPr>
          <w:b/>
          <w:bCs/>
          <w:color w:val="000000"/>
          <w:lang w:val="es-ES_tradnl"/>
        </w:rPr>
        <w:t xml:space="preserve"> indígena</w:t>
      </w:r>
      <w:r w:rsidR="000D3A43" w:rsidRPr="00021737">
        <w:rPr>
          <w:b/>
          <w:bCs/>
          <w:color w:val="000000"/>
          <w:lang w:val="es-ES_tradnl"/>
        </w:rPr>
        <w:t xml:space="preserve"> y romaní</w:t>
      </w:r>
      <w:r w:rsidR="004C1075" w:rsidRPr="00021737">
        <w:rPr>
          <w:b/>
          <w:bCs/>
          <w:color w:val="000000"/>
          <w:lang w:val="es-ES_tradnl"/>
        </w:rPr>
        <w:t xml:space="preserve">, en un porcentaje no menor a la proporción de tales poblaciones en el último </w:t>
      </w:r>
      <w:r w:rsidR="003A715C" w:rsidRPr="00021737">
        <w:rPr>
          <w:b/>
          <w:bCs/>
          <w:color w:val="000000"/>
          <w:lang w:val="es-ES_tradnl"/>
        </w:rPr>
        <w:t>c</w:t>
      </w:r>
      <w:r w:rsidR="004C1075" w:rsidRPr="00021737">
        <w:rPr>
          <w:b/>
          <w:bCs/>
          <w:color w:val="000000"/>
          <w:lang w:val="es-ES_tradnl"/>
        </w:rPr>
        <w:t xml:space="preserve">enso, en todos los niveles, entidades y órganos del poder público, tanto a nivel nacional como territorial, incluyendo en los cargos de mayor jerarquía y de toma de decisiones. </w:t>
      </w:r>
      <w:r w:rsidR="00851BC6" w:rsidRPr="00021737">
        <w:rPr>
          <w:b/>
          <w:bCs/>
          <w:lang w:val="es-ES_tradnl" w:eastAsia="en-GB"/>
        </w:rPr>
        <w:t xml:space="preserve">Asimismo, le recomienda </w:t>
      </w:r>
      <w:r w:rsidR="00FB1090" w:rsidRPr="00021737">
        <w:rPr>
          <w:b/>
          <w:bCs/>
          <w:lang w:val="es-ES_tradnl" w:eastAsia="en-GB"/>
        </w:rPr>
        <w:t xml:space="preserve">que promueva la sensibilización de los </w:t>
      </w:r>
      <w:r w:rsidR="00FB1090" w:rsidRPr="00021737">
        <w:rPr>
          <w:b/>
          <w:bCs/>
          <w:color w:val="000000"/>
          <w:lang w:val="es-ES_tradnl" w:eastAsia="en-GB"/>
        </w:rPr>
        <w:t>miembros de pueblos indígenas y afro</w:t>
      </w:r>
      <w:r w:rsidR="00CE7197" w:rsidRPr="00021737">
        <w:rPr>
          <w:b/>
          <w:bCs/>
          <w:color w:val="000000"/>
          <w:lang w:val="es-ES_tradnl" w:eastAsia="en-GB"/>
        </w:rPr>
        <w:t>peruanos</w:t>
      </w:r>
      <w:r w:rsidR="00FB1090" w:rsidRPr="00021737">
        <w:rPr>
          <w:b/>
          <w:bCs/>
          <w:color w:val="000000"/>
          <w:lang w:val="es-ES_tradnl" w:eastAsia="en-GB"/>
        </w:rPr>
        <w:t xml:space="preserve"> </w:t>
      </w:r>
      <w:r w:rsidR="00FB1090" w:rsidRPr="00021737">
        <w:rPr>
          <w:b/>
          <w:bCs/>
          <w:lang w:val="es-ES_tradnl" w:eastAsia="en-GB"/>
        </w:rPr>
        <w:t xml:space="preserve">respecto de la importancia de su participación activa en la vida pública y política. </w:t>
      </w:r>
    </w:p>
    <w:p w14:paraId="23672F86" w14:textId="2711E8AE" w:rsidR="00494148" w:rsidRPr="00021737" w:rsidRDefault="00F51C01" w:rsidP="00F51C01">
      <w:pPr>
        <w:pStyle w:val="H23G"/>
        <w:rPr>
          <w:lang w:val="es-ES_tradnl"/>
        </w:rPr>
      </w:pPr>
      <w:r w:rsidRPr="00021737">
        <w:rPr>
          <w:lang w:val="es-ES_tradnl"/>
        </w:rPr>
        <w:tab/>
      </w:r>
      <w:r w:rsidRPr="00021737">
        <w:rPr>
          <w:lang w:val="es-ES_tradnl"/>
        </w:rPr>
        <w:tab/>
      </w:r>
      <w:r w:rsidR="00494148" w:rsidRPr="00021737">
        <w:rPr>
          <w:lang w:val="es-ES_tradnl"/>
        </w:rPr>
        <w:t xml:space="preserve">Educación </w:t>
      </w:r>
    </w:p>
    <w:p w14:paraId="4896E041" w14:textId="47D70B9B" w:rsidR="00494148" w:rsidRPr="00021737" w:rsidRDefault="00021737" w:rsidP="005D6D2E">
      <w:pPr>
        <w:pStyle w:val="SingleTxtG"/>
        <w:rPr>
          <w:lang w:val="es-ES_tradnl"/>
        </w:rPr>
      </w:pPr>
      <w:r w:rsidRPr="005D6D2E">
        <w:rPr>
          <w:lang w:val="es-ES_tradnl"/>
        </w:rPr>
        <w:t>32.</w:t>
      </w:r>
      <w:r w:rsidRPr="005D6D2E">
        <w:rPr>
          <w:lang w:val="es-ES_tradnl"/>
        </w:rPr>
        <w:tab/>
      </w:r>
      <w:r w:rsidR="00494148" w:rsidRPr="00021737">
        <w:rPr>
          <w:lang w:val="es-ES_tradnl"/>
        </w:rPr>
        <w:t>Preocupa al Comité que, en parte debido a la falta de un número suficiente de docentes capacitados y a la asignación de recursos adecuados, la implementación del Plan Nacional de Educación Intercultural Bilingüe</w:t>
      </w:r>
      <w:r w:rsidR="005C08AA" w:rsidRPr="00021737">
        <w:rPr>
          <w:lang w:val="es-ES_tradnl"/>
        </w:rPr>
        <w:t xml:space="preserve"> al 2021</w:t>
      </w:r>
      <w:r w:rsidR="00494148" w:rsidRPr="00021737">
        <w:rPr>
          <w:lang w:val="es-ES_tradnl"/>
        </w:rPr>
        <w:t xml:space="preserve"> sea limitad</w:t>
      </w:r>
      <w:r w:rsidR="00C43BF3" w:rsidRPr="00021737">
        <w:rPr>
          <w:lang w:val="es-ES_tradnl"/>
        </w:rPr>
        <w:t>a</w:t>
      </w:r>
      <w:r w:rsidR="00494148" w:rsidRPr="00021737">
        <w:rPr>
          <w:lang w:val="es-ES_tradnl"/>
        </w:rPr>
        <w:t>, particularmente en la educación secundaria. Asimismo, le preocupan las dificultades que continúan enfrenta</w:t>
      </w:r>
      <w:r w:rsidR="00C81A0A" w:rsidRPr="00021737">
        <w:rPr>
          <w:lang w:val="es-ES_tradnl"/>
        </w:rPr>
        <w:t>n</w:t>
      </w:r>
      <w:r w:rsidR="00494148" w:rsidRPr="00021737">
        <w:rPr>
          <w:lang w:val="es-ES_tradnl"/>
        </w:rPr>
        <w:t xml:space="preserve">do los niños, niñas y adolescentes pertenecientes a pueblos indígenas y afroperuanos para acceder a una educación de calidad, particularmente en las zonas rurales y remotas (arts. 2 y 5). </w:t>
      </w:r>
    </w:p>
    <w:p w14:paraId="5F25ED69" w14:textId="4D9787B8" w:rsidR="00494148" w:rsidRPr="00021737" w:rsidRDefault="00021737" w:rsidP="005D6D2E">
      <w:pPr>
        <w:pStyle w:val="SingleTxtG"/>
        <w:rPr>
          <w:lang w:val="es-ES_tradnl"/>
        </w:rPr>
      </w:pPr>
      <w:r w:rsidRPr="005D6D2E">
        <w:rPr>
          <w:lang w:val="es-ES_tradnl"/>
        </w:rPr>
        <w:t>33.</w:t>
      </w:r>
      <w:r w:rsidRPr="005D6D2E">
        <w:rPr>
          <w:lang w:val="es-ES_tradnl"/>
        </w:rPr>
        <w:tab/>
      </w:r>
      <w:r w:rsidR="00494148" w:rsidRPr="00021737">
        <w:rPr>
          <w:b/>
          <w:lang w:val="es-ES_tradnl"/>
        </w:rPr>
        <w:t>El Comité recomienda al Estado parte que intensifique sus esfuerzos para asegurar la debida implementación del Plan Nacional de Educación Intercultural Bilingüe</w:t>
      </w:r>
      <w:r w:rsidR="00C81A0A" w:rsidRPr="00021737">
        <w:rPr>
          <w:b/>
          <w:lang w:val="es-ES_tradnl"/>
        </w:rPr>
        <w:t xml:space="preserve"> </w:t>
      </w:r>
      <w:r w:rsidR="005C08AA" w:rsidRPr="00021737">
        <w:rPr>
          <w:b/>
          <w:lang w:val="es-ES_tradnl"/>
        </w:rPr>
        <w:t xml:space="preserve">al </w:t>
      </w:r>
      <w:r w:rsidR="00494148" w:rsidRPr="00021737">
        <w:rPr>
          <w:b/>
          <w:lang w:val="es-ES_tradnl"/>
        </w:rPr>
        <w:t xml:space="preserve">2021, entre otros mediante la asignación de recursos suficientes, el fortalecimiento de la Comisión Nacional de Educación Intercultural </w:t>
      </w:r>
      <w:r w:rsidR="005C08AA" w:rsidRPr="00021737">
        <w:rPr>
          <w:b/>
          <w:lang w:val="es-ES_tradnl"/>
        </w:rPr>
        <w:t xml:space="preserve">y </w:t>
      </w:r>
      <w:r w:rsidR="00494148" w:rsidRPr="00021737">
        <w:rPr>
          <w:b/>
          <w:lang w:val="es-ES_tradnl"/>
        </w:rPr>
        <w:t xml:space="preserve">Bilingüe y el establecimiento de un mecanismo de monitoreo efectivo. El Comité insta al Estado parte a promover procesos formativos y de capacitación continua de los docentes a fin de fortalecer la educación intercultural bilingüe y a continuar sus esfuerzos por eliminar las dificultades en el acceso a la educación y reducir los índices de deserción escolar y repetición de los niños afroperuanos e indígenas, particularmente en las zonas rurales y remotas. </w:t>
      </w:r>
    </w:p>
    <w:p w14:paraId="133D424A" w14:textId="2E957F3C" w:rsidR="00AE3B46" w:rsidRPr="00021737" w:rsidRDefault="00D7000B">
      <w:pPr>
        <w:pStyle w:val="H23G"/>
        <w:rPr>
          <w:lang w:val="es-ES_tradnl"/>
        </w:rPr>
      </w:pPr>
      <w:r w:rsidRPr="00021737">
        <w:rPr>
          <w:lang w:val="es-ES_tradnl"/>
        </w:rPr>
        <w:tab/>
      </w:r>
      <w:r w:rsidRPr="00021737">
        <w:rPr>
          <w:lang w:val="es-ES_tradnl"/>
        </w:rPr>
        <w:tab/>
      </w:r>
      <w:r w:rsidR="000D3A43" w:rsidRPr="00021737">
        <w:rPr>
          <w:lang w:val="es-ES_tradnl"/>
        </w:rPr>
        <w:t>Múltiples formas de d</w:t>
      </w:r>
      <w:r w:rsidR="00AE3B46" w:rsidRPr="00021737">
        <w:rPr>
          <w:lang w:val="es-ES_tradnl"/>
        </w:rPr>
        <w:t>iscriminación</w:t>
      </w:r>
      <w:r w:rsidR="00E8074C" w:rsidRPr="00021737">
        <w:rPr>
          <w:lang w:val="es-ES_tradnl"/>
        </w:rPr>
        <w:t xml:space="preserve"> contra </w:t>
      </w:r>
      <w:r w:rsidR="00AE3B46" w:rsidRPr="00021737">
        <w:rPr>
          <w:lang w:val="es-ES_tradnl"/>
        </w:rPr>
        <w:t xml:space="preserve">las mujeres </w:t>
      </w:r>
    </w:p>
    <w:p w14:paraId="3024DA50" w14:textId="383EEEA6" w:rsidR="00AE3B46" w:rsidRPr="00021737" w:rsidRDefault="00021737" w:rsidP="005D6D2E">
      <w:pPr>
        <w:pStyle w:val="SingleTxtG"/>
        <w:rPr>
          <w:b/>
          <w:lang w:val="es-ES_tradnl"/>
        </w:rPr>
      </w:pPr>
      <w:r w:rsidRPr="005D6D2E">
        <w:rPr>
          <w:lang w:val="es-ES_tradnl"/>
        </w:rPr>
        <w:t>34.</w:t>
      </w:r>
      <w:r w:rsidRPr="005D6D2E">
        <w:rPr>
          <w:lang w:val="es-ES_tradnl"/>
        </w:rPr>
        <w:tab/>
      </w:r>
      <w:r w:rsidR="00130187" w:rsidRPr="00021737">
        <w:rPr>
          <w:lang w:val="es-ES_tradnl"/>
        </w:rPr>
        <w:t>Preocupan al Comité</w:t>
      </w:r>
      <w:r w:rsidR="00BD2D02" w:rsidRPr="00021737">
        <w:rPr>
          <w:lang w:val="es-ES_tradnl"/>
        </w:rPr>
        <w:t xml:space="preserve"> las múltiples formas de </w:t>
      </w:r>
      <w:r w:rsidR="00AE3B46" w:rsidRPr="00021737">
        <w:rPr>
          <w:lang w:val="es-ES_tradnl"/>
        </w:rPr>
        <w:t>discriminación</w:t>
      </w:r>
      <w:r w:rsidR="00851BC6" w:rsidRPr="00021737">
        <w:rPr>
          <w:lang w:val="es-ES_tradnl"/>
        </w:rPr>
        <w:t xml:space="preserve"> que </w:t>
      </w:r>
      <w:r w:rsidR="00130187" w:rsidRPr="00021737">
        <w:rPr>
          <w:lang w:val="es-ES_tradnl"/>
        </w:rPr>
        <w:t xml:space="preserve">continúan enfrentando </w:t>
      </w:r>
      <w:r w:rsidR="00AE3B46" w:rsidRPr="00021737">
        <w:rPr>
          <w:lang w:val="es-ES_tradnl"/>
        </w:rPr>
        <w:t>las mujeres afroperuanas e indíge</w:t>
      </w:r>
      <w:r w:rsidR="0065554F" w:rsidRPr="00021737">
        <w:rPr>
          <w:lang w:val="es-ES_tradnl"/>
        </w:rPr>
        <w:t>nas en el Estado parte,</w:t>
      </w:r>
      <w:r w:rsidR="00130187" w:rsidRPr="00021737">
        <w:rPr>
          <w:lang w:val="es-ES_tradnl"/>
        </w:rPr>
        <w:t xml:space="preserve"> lo cual se refleja en el limitado acceso al trabajo, educación</w:t>
      </w:r>
      <w:r w:rsidR="00DA2986" w:rsidRPr="00021737">
        <w:rPr>
          <w:lang w:val="es-ES_tradnl"/>
        </w:rPr>
        <w:t xml:space="preserve"> y</w:t>
      </w:r>
      <w:r w:rsidR="00130187" w:rsidRPr="00021737">
        <w:rPr>
          <w:lang w:val="es-ES_tradnl"/>
        </w:rPr>
        <w:t xml:space="preserve"> salud, así como las limitadas </w:t>
      </w:r>
      <w:r w:rsidR="00BD2D02" w:rsidRPr="00021737">
        <w:rPr>
          <w:lang w:val="es-ES_tradnl"/>
        </w:rPr>
        <w:t xml:space="preserve">oportunidades de </w:t>
      </w:r>
      <w:r w:rsidR="003321BB" w:rsidRPr="00021737">
        <w:rPr>
          <w:lang w:val="es-ES_tradnl"/>
        </w:rPr>
        <w:t>participación política</w:t>
      </w:r>
      <w:r w:rsidR="00EE61B9" w:rsidRPr="00021737">
        <w:rPr>
          <w:lang w:val="es-ES_tradnl"/>
        </w:rPr>
        <w:t xml:space="preserve">. </w:t>
      </w:r>
      <w:r w:rsidR="00130187" w:rsidRPr="00021737">
        <w:rPr>
          <w:lang w:val="es-ES_tradnl"/>
        </w:rPr>
        <w:t xml:space="preserve">Asimismo, continúa preocupado porque </w:t>
      </w:r>
      <w:r w:rsidR="00BD2D02" w:rsidRPr="00021737">
        <w:rPr>
          <w:lang w:val="es-ES_tradnl"/>
        </w:rPr>
        <w:t xml:space="preserve">el alto índice de </w:t>
      </w:r>
      <w:r w:rsidR="00130187" w:rsidRPr="00021737">
        <w:rPr>
          <w:lang w:val="es-ES_tradnl"/>
        </w:rPr>
        <w:t>violencia contra la mujer afecta</w:t>
      </w:r>
      <w:r w:rsidR="00BD2D02" w:rsidRPr="00021737">
        <w:rPr>
          <w:lang w:val="es-ES_tradnl"/>
        </w:rPr>
        <w:t xml:space="preserve"> de manera desproporcionada a </w:t>
      </w:r>
      <w:r w:rsidR="00EE61B9" w:rsidRPr="00021737">
        <w:rPr>
          <w:lang w:val="es-ES_tradnl"/>
        </w:rPr>
        <w:t>las mujeres indígenas y afroperuanas</w:t>
      </w:r>
      <w:r w:rsidR="00D52D89" w:rsidRPr="00021737">
        <w:rPr>
          <w:lang w:val="es-ES_tradnl"/>
        </w:rPr>
        <w:t xml:space="preserve"> (arts. </w:t>
      </w:r>
      <w:r w:rsidR="00130187" w:rsidRPr="00021737">
        <w:rPr>
          <w:lang w:val="es-ES_tradnl"/>
        </w:rPr>
        <w:t>5 y 6)</w:t>
      </w:r>
      <w:r w:rsidR="00EE61B9" w:rsidRPr="00021737">
        <w:rPr>
          <w:lang w:val="es-ES_tradnl"/>
        </w:rPr>
        <w:t xml:space="preserve">. </w:t>
      </w:r>
    </w:p>
    <w:p w14:paraId="10D80934" w14:textId="61562594" w:rsidR="00BD2D02" w:rsidRPr="00021737" w:rsidRDefault="00021737" w:rsidP="005D6D2E">
      <w:pPr>
        <w:pStyle w:val="SingleTxtG"/>
        <w:rPr>
          <w:color w:val="000000"/>
          <w:lang w:val="es-ES_tradnl" w:eastAsia="en-GB"/>
        </w:rPr>
      </w:pPr>
      <w:r w:rsidRPr="005D6D2E">
        <w:rPr>
          <w:color w:val="000000"/>
          <w:lang w:val="es-ES_tradnl" w:eastAsia="en-GB"/>
        </w:rPr>
        <w:t>35.</w:t>
      </w:r>
      <w:r w:rsidRPr="005D6D2E">
        <w:rPr>
          <w:color w:val="000000"/>
          <w:lang w:val="es-ES_tradnl" w:eastAsia="en-GB"/>
        </w:rPr>
        <w:tab/>
      </w:r>
      <w:r w:rsidR="00BD2D02" w:rsidRPr="00021737">
        <w:rPr>
          <w:b/>
          <w:lang w:val="es-ES_tradnl"/>
        </w:rPr>
        <w:t xml:space="preserve">El Comité reitera su anterior recomendación </w:t>
      </w:r>
      <w:r w:rsidR="005B0AEA" w:rsidRPr="00021737">
        <w:rPr>
          <w:b/>
          <w:lang w:val="es-ES_tradnl"/>
        </w:rPr>
        <w:t>e insta al</w:t>
      </w:r>
      <w:r w:rsidR="00BD2D02" w:rsidRPr="00021737">
        <w:rPr>
          <w:b/>
          <w:lang w:val="es-ES_tradnl"/>
        </w:rPr>
        <w:t xml:space="preserve"> Estado parte </w:t>
      </w:r>
      <w:r w:rsidR="005B0AEA" w:rsidRPr="00021737">
        <w:rPr>
          <w:b/>
          <w:lang w:val="es-ES_tradnl"/>
        </w:rPr>
        <w:t xml:space="preserve">a que </w:t>
      </w:r>
      <w:r w:rsidR="00BD2D02" w:rsidRPr="00021737">
        <w:rPr>
          <w:b/>
          <w:lang w:val="es-ES_tradnl"/>
        </w:rPr>
        <w:t xml:space="preserve">incluya una perspectiva de género en todas las políticas y estrategias contra la discriminación racial </w:t>
      </w:r>
      <w:r w:rsidR="003206A9" w:rsidRPr="00021737">
        <w:rPr>
          <w:b/>
          <w:lang w:val="es-ES_tradnl"/>
        </w:rPr>
        <w:t>para eliminar la discriminación múltiple e intersectorial que enfrentan las</w:t>
      </w:r>
      <w:r w:rsidR="00BD2D02" w:rsidRPr="00021737">
        <w:rPr>
          <w:b/>
          <w:lang w:val="es-ES_tradnl"/>
        </w:rPr>
        <w:t xml:space="preserve"> mujeres pertenecientes a pueblos indígenas y afrop</w:t>
      </w:r>
      <w:r w:rsidR="005B0AEA" w:rsidRPr="00021737">
        <w:rPr>
          <w:b/>
          <w:lang w:val="es-ES_tradnl"/>
        </w:rPr>
        <w:t>eruanas</w:t>
      </w:r>
      <w:r w:rsidR="00BD2D02" w:rsidRPr="00021737">
        <w:rPr>
          <w:b/>
          <w:lang w:val="es-ES_tradnl"/>
        </w:rPr>
        <w:t>. Además</w:t>
      </w:r>
      <w:r w:rsidR="00BD2D02" w:rsidRPr="00021737">
        <w:rPr>
          <w:b/>
          <w:bCs/>
          <w:color w:val="000000"/>
          <w:lang w:val="es-ES_tradnl" w:eastAsia="en-GB"/>
        </w:rPr>
        <w:t xml:space="preserve">, le </w:t>
      </w:r>
      <w:r w:rsidR="000D2DF4" w:rsidRPr="00021737">
        <w:rPr>
          <w:b/>
          <w:bCs/>
          <w:color w:val="000000"/>
          <w:lang w:val="es-ES_tradnl" w:eastAsia="en-GB"/>
        </w:rPr>
        <w:t xml:space="preserve">recomienda que </w:t>
      </w:r>
      <w:r w:rsidR="002A2909" w:rsidRPr="00021737">
        <w:rPr>
          <w:b/>
          <w:bCs/>
          <w:color w:val="000000"/>
          <w:lang w:val="es-ES_tradnl" w:eastAsia="en-GB"/>
        </w:rPr>
        <w:t>adopt</w:t>
      </w:r>
      <w:r w:rsidR="000D2DF4" w:rsidRPr="00021737">
        <w:rPr>
          <w:b/>
          <w:bCs/>
          <w:color w:val="000000"/>
          <w:lang w:val="es-ES_tradnl" w:eastAsia="en-GB"/>
        </w:rPr>
        <w:t>e</w:t>
      </w:r>
      <w:r w:rsidR="00BD2D02" w:rsidRPr="00021737">
        <w:rPr>
          <w:b/>
          <w:bCs/>
          <w:color w:val="000000"/>
          <w:lang w:val="es-ES_tradnl" w:eastAsia="en-GB"/>
        </w:rPr>
        <w:t xml:space="preserve"> medidas con un enfoque intercultural para</w:t>
      </w:r>
      <w:r w:rsidR="00DA1F8F" w:rsidRPr="00021737">
        <w:rPr>
          <w:b/>
          <w:bCs/>
          <w:color w:val="000000"/>
          <w:lang w:val="es-ES_tradnl" w:eastAsia="en-GB"/>
        </w:rPr>
        <w:t xml:space="preserve"> garantizar a las mujeres afroperuanas e indígenas: a) acceso a la educación, empleo, salud y salud sexual y reproductiva; b)</w:t>
      </w:r>
      <w:r w:rsidR="000B50A6" w:rsidRPr="00021737">
        <w:rPr>
          <w:b/>
          <w:bCs/>
          <w:color w:val="000000"/>
          <w:lang w:val="es-ES_tradnl" w:eastAsia="en-GB"/>
        </w:rPr>
        <w:t xml:space="preserve"> </w:t>
      </w:r>
      <w:r w:rsidR="002A2909" w:rsidRPr="00021737">
        <w:rPr>
          <w:b/>
          <w:bCs/>
          <w:color w:val="000000"/>
          <w:lang w:val="es-ES_tradnl" w:eastAsia="en-GB"/>
        </w:rPr>
        <w:t xml:space="preserve">participación </w:t>
      </w:r>
      <w:r w:rsidR="002A2909" w:rsidRPr="00021737">
        <w:rPr>
          <w:b/>
          <w:lang w:val="es-ES_tradnl"/>
        </w:rPr>
        <w:t>en los procesos de toma de decisiones y en particular en los procesos de consulta previa</w:t>
      </w:r>
      <w:r w:rsidR="00DA1F8F" w:rsidRPr="00021737">
        <w:rPr>
          <w:b/>
          <w:lang w:val="es-ES_tradnl"/>
        </w:rPr>
        <w:t xml:space="preserve">; </w:t>
      </w:r>
      <w:r w:rsidR="00B16EF2" w:rsidRPr="00021737">
        <w:rPr>
          <w:b/>
          <w:bCs/>
          <w:color w:val="000000"/>
          <w:lang w:val="es-ES_tradnl" w:eastAsia="en-GB"/>
        </w:rPr>
        <w:t>c</w:t>
      </w:r>
      <w:r w:rsidR="00DA1F8F" w:rsidRPr="00021737">
        <w:rPr>
          <w:b/>
          <w:bCs/>
          <w:color w:val="000000"/>
          <w:lang w:val="es-ES_tradnl" w:eastAsia="en-GB"/>
        </w:rPr>
        <w:t>)</w:t>
      </w:r>
      <w:r w:rsidR="000B50A6" w:rsidRPr="00021737">
        <w:rPr>
          <w:b/>
          <w:bCs/>
          <w:color w:val="000000"/>
          <w:lang w:val="es-ES_tradnl" w:eastAsia="en-GB"/>
        </w:rPr>
        <w:t xml:space="preserve"> </w:t>
      </w:r>
      <w:r w:rsidR="00B16EF2" w:rsidRPr="00021737">
        <w:rPr>
          <w:b/>
          <w:bCs/>
          <w:color w:val="000000"/>
          <w:lang w:val="es-ES_tradnl" w:eastAsia="en-GB"/>
        </w:rPr>
        <w:t>acceso a la justicia</w:t>
      </w:r>
      <w:r w:rsidR="000B50A6" w:rsidRPr="00021737">
        <w:rPr>
          <w:b/>
          <w:bCs/>
          <w:color w:val="000000"/>
          <w:lang w:val="es-ES_tradnl" w:eastAsia="en-GB"/>
        </w:rPr>
        <w:t xml:space="preserve"> y mecanismos adecuados de protección</w:t>
      </w:r>
      <w:r w:rsidR="00B16EF2" w:rsidRPr="00021737">
        <w:rPr>
          <w:b/>
          <w:bCs/>
          <w:color w:val="000000"/>
          <w:lang w:val="es-ES_tradnl" w:eastAsia="en-GB"/>
        </w:rPr>
        <w:t xml:space="preserve"> en casos</w:t>
      </w:r>
      <w:r w:rsidR="000D2DF4" w:rsidRPr="00021737">
        <w:rPr>
          <w:b/>
          <w:bCs/>
          <w:color w:val="000000"/>
          <w:lang w:val="es-ES_tradnl" w:eastAsia="en-GB"/>
        </w:rPr>
        <w:t xml:space="preserve"> de violencia</w:t>
      </w:r>
      <w:r w:rsidR="00130187" w:rsidRPr="00021737">
        <w:rPr>
          <w:b/>
          <w:bCs/>
          <w:color w:val="000000"/>
          <w:lang w:val="es-ES_tradnl" w:eastAsia="en-GB"/>
        </w:rPr>
        <w:t xml:space="preserve"> de género</w:t>
      </w:r>
      <w:r w:rsidR="000B50A6" w:rsidRPr="00021737">
        <w:rPr>
          <w:b/>
          <w:bCs/>
          <w:color w:val="000000"/>
          <w:lang w:val="es-ES_tradnl" w:eastAsia="en-GB"/>
        </w:rPr>
        <w:t xml:space="preserve">. </w:t>
      </w:r>
      <w:r w:rsidR="002A2909" w:rsidRPr="00021737">
        <w:rPr>
          <w:b/>
          <w:bCs/>
          <w:color w:val="000000"/>
          <w:lang w:val="es-ES_tradnl" w:eastAsia="en-GB"/>
        </w:rPr>
        <w:t xml:space="preserve">El Comité remite al Estado parte a su </w:t>
      </w:r>
      <w:r w:rsidR="00BD2D02" w:rsidRPr="00021737">
        <w:rPr>
          <w:b/>
          <w:lang w:val="es-ES_tradnl"/>
        </w:rPr>
        <w:t>recomendación general núm.</w:t>
      </w:r>
      <w:r w:rsidR="0031583A">
        <w:rPr>
          <w:b/>
          <w:lang w:val="es-ES_tradnl"/>
        </w:rPr>
        <w:t xml:space="preserve"> </w:t>
      </w:r>
      <w:r w:rsidR="00BD2D02" w:rsidRPr="00021737">
        <w:rPr>
          <w:b/>
          <w:lang w:val="es-ES_tradnl"/>
        </w:rPr>
        <w:t>25 (2000)</w:t>
      </w:r>
      <w:r w:rsidR="002A2909" w:rsidRPr="00021737">
        <w:rPr>
          <w:b/>
          <w:lang w:val="es-ES_tradnl"/>
        </w:rPr>
        <w:t xml:space="preserve"> sobre las dimensiones de la discriminación racial relacionadas con el género.</w:t>
      </w:r>
    </w:p>
    <w:p w14:paraId="1F2BE1C4" w14:textId="228D8A75" w:rsidR="00091512" w:rsidRPr="00021737" w:rsidRDefault="00F51C01" w:rsidP="00F51C01">
      <w:pPr>
        <w:pStyle w:val="H23G"/>
        <w:rPr>
          <w:lang w:val="es-ES_tradnl"/>
        </w:rPr>
      </w:pPr>
      <w:r w:rsidRPr="00021737">
        <w:rPr>
          <w:lang w:val="es-ES_tradnl"/>
        </w:rPr>
        <w:tab/>
      </w:r>
      <w:r w:rsidRPr="00021737">
        <w:rPr>
          <w:lang w:val="es-ES_tradnl"/>
        </w:rPr>
        <w:tab/>
      </w:r>
      <w:r w:rsidR="00EB28E8" w:rsidRPr="00021737">
        <w:rPr>
          <w:lang w:val="es-ES_tradnl"/>
        </w:rPr>
        <w:t xml:space="preserve">Situación de migrantes </w:t>
      </w:r>
    </w:p>
    <w:p w14:paraId="7180E27C" w14:textId="40EC7F59" w:rsidR="00EB28E8" w:rsidRPr="00021737" w:rsidRDefault="00021737" w:rsidP="005D6D2E">
      <w:pPr>
        <w:pStyle w:val="SingleTxtG"/>
        <w:rPr>
          <w:b/>
          <w:lang w:val="es-ES_tradnl"/>
        </w:rPr>
      </w:pPr>
      <w:r w:rsidRPr="005D6D2E">
        <w:rPr>
          <w:lang w:val="es-ES_tradnl"/>
        </w:rPr>
        <w:t>36.</w:t>
      </w:r>
      <w:r w:rsidRPr="005D6D2E">
        <w:rPr>
          <w:lang w:val="es-ES_tradnl"/>
        </w:rPr>
        <w:tab/>
      </w:r>
      <w:r w:rsidR="00E15C2A" w:rsidRPr="00021737">
        <w:rPr>
          <w:lang w:val="es-ES_tradnl"/>
        </w:rPr>
        <w:t>Aun cuando el Comité valora</w:t>
      </w:r>
      <w:r w:rsidR="00F709A2" w:rsidRPr="00021737">
        <w:rPr>
          <w:lang w:val="es-ES_tradnl"/>
        </w:rPr>
        <w:t xml:space="preserve"> los esfuerzos realizados para acoger a migrantes, solicitantes de asilo y refugiados, en particular a la población venezolana</w:t>
      </w:r>
      <w:r w:rsidR="00DA2986" w:rsidRPr="00021737">
        <w:rPr>
          <w:lang w:val="es-ES_tradnl"/>
        </w:rPr>
        <w:t>,</w:t>
      </w:r>
      <w:r w:rsidR="00F709A2" w:rsidRPr="00021737">
        <w:rPr>
          <w:lang w:val="es-ES_tradnl"/>
        </w:rPr>
        <w:t xml:space="preserve"> </w:t>
      </w:r>
      <w:r w:rsidR="00AC7597" w:rsidRPr="00021737">
        <w:rPr>
          <w:lang w:val="es-ES_tradnl"/>
        </w:rPr>
        <w:t xml:space="preserve">incluso </w:t>
      </w:r>
      <w:r w:rsidR="00F709A2" w:rsidRPr="00021737">
        <w:rPr>
          <w:lang w:val="es-ES_tradnl"/>
        </w:rPr>
        <w:t xml:space="preserve">mediante el otorgamiento de un permiso temporal de </w:t>
      </w:r>
      <w:r w:rsidR="00653A9A" w:rsidRPr="00021737">
        <w:rPr>
          <w:lang w:val="es-ES_tradnl"/>
        </w:rPr>
        <w:t>permanencia</w:t>
      </w:r>
      <w:r w:rsidR="00E15C2A" w:rsidRPr="00021737">
        <w:rPr>
          <w:lang w:val="es-ES_tradnl"/>
        </w:rPr>
        <w:t xml:space="preserve">, </w:t>
      </w:r>
      <w:r w:rsidR="00F709A2" w:rsidRPr="00021737">
        <w:rPr>
          <w:lang w:val="es-ES_tradnl"/>
        </w:rPr>
        <w:t>le preocupa que</w:t>
      </w:r>
      <w:r w:rsidR="00E15C2A" w:rsidRPr="00021737">
        <w:rPr>
          <w:lang w:val="es-ES_tradnl"/>
        </w:rPr>
        <w:t>,</w:t>
      </w:r>
      <w:r w:rsidR="00F709A2" w:rsidRPr="00021737">
        <w:rPr>
          <w:lang w:val="es-ES_tradnl"/>
        </w:rPr>
        <w:t xml:space="preserve"> en la práctica</w:t>
      </w:r>
      <w:r w:rsidR="00E15C2A" w:rsidRPr="00021737">
        <w:rPr>
          <w:lang w:val="es-ES_tradnl"/>
        </w:rPr>
        <w:t>,</w:t>
      </w:r>
      <w:r w:rsidR="00F709A2" w:rsidRPr="00021737">
        <w:rPr>
          <w:lang w:val="es-ES_tradnl"/>
        </w:rPr>
        <w:t xml:space="preserve"> </w:t>
      </w:r>
      <w:r w:rsidR="00AC7597" w:rsidRPr="00021737">
        <w:rPr>
          <w:lang w:val="es-ES_tradnl"/>
        </w:rPr>
        <w:t xml:space="preserve">estos </w:t>
      </w:r>
      <w:r w:rsidR="00F709A2" w:rsidRPr="00021737">
        <w:rPr>
          <w:lang w:val="es-ES_tradnl"/>
        </w:rPr>
        <w:t xml:space="preserve">sean víctimas de </w:t>
      </w:r>
      <w:r w:rsidR="00653A9A" w:rsidRPr="00021737">
        <w:rPr>
          <w:lang w:val="es-ES_tradnl"/>
        </w:rPr>
        <w:t xml:space="preserve">prejuicios, estereotipos y </w:t>
      </w:r>
      <w:r w:rsidR="00F709A2" w:rsidRPr="00021737">
        <w:rPr>
          <w:lang w:val="es-ES_tradnl"/>
        </w:rPr>
        <w:t>actos discriminatorios y enfren</w:t>
      </w:r>
      <w:r w:rsidR="000D3A43" w:rsidRPr="00021737">
        <w:rPr>
          <w:lang w:val="es-ES_tradnl"/>
        </w:rPr>
        <w:t>t</w:t>
      </w:r>
      <w:r w:rsidR="00F709A2" w:rsidRPr="00021737">
        <w:rPr>
          <w:lang w:val="es-ES_tradnl"/>
        </w:rPr>
        <w:t>e</w:t>
      </w:r>
      <w:r w:rsidR="00EB28E8" w:rsidRPr="00021737">
        <w:rPr>
          <w:lang w:val="es-ES_tradnl"/>
        </w:rPr>
        <w:t>n</w:t>
      </w:r>
      <w:r w:rsidR="00F709A2" w:rsidRPr="00021737">
        <w:rPr>
          <w:lang w:val="es-ES_tradnl"/>
        </w:rPr>
        <w:t xml:space="preserve"> dificultades </w:t>
      </w:r>
      <w:r w:rsidR="00EB28E8" w:rsidRPr="00021737">
        <w:rPr>
          <w:lang w:val="es-ES_tradnl"/>
        </w:rPr>
        <w:t>para acceder a</w:t>
      </w:r>
      <w:r w:rsidR="00F709A2" w:rsidRPr="00021737">
        <w:rPr>
          <w:lang w:val="es-ES_tradnl"/>
        </w:rPr>
        <w:t xml:space="preserve"> servicios </w:t>
      </w:r>
      <w:r w:rsidR="00AC7597" w:rsidRPr="00021737">
        <w:rPr>
          <w:lang w:val="es-ES_tradnl"/>
        </w:rPr>
        <w:t xml:space="preserve">básicos, principalmente </w:t>
      </w:r>
      <w:r w:rsidR="00F709A2" w:rsidRPr="00021737">
        <w:rPr>
          <w:lang w:val="es-ES_tradnl"/>
        </w:rPr>
        <w:t>salud y educación (art</w:t>
      </w:r>
      <w:r w:rsidR="00DA2986" w:rsidRPr="00021737">
        <w:rPr>
          <w:lang w:val="es-ES_tradnl"/>
        </w:rPr>
        <w:t>s</w:t>
      </w:r>
      <w:r w:rsidR="00F709A2" w:rsidRPr="00021737">
        <w:rPr>
          <w:lang w:val="es-ES_tradnl"/>
        </w:rPr>
        <w:t>. 2 y 5)</w:t>
      </w:r>
      <w:r w:rsidR="001E7DEF" w:rsidRPr="00021737">
        <w:rPr>
          <w:lang w:val="es-ES_tradnl"/>
        </w:rPr>
        <w:t xml:space="preserve">. </w:t>
      </w:r>
    </w:p>
    <w:p w14:paraId="3F2C459A" w14:textId="4BDE5857" w:rsidR="00A17C1E" w:rsidRPr="00021737" w:rsidRDefault="00021737" w:rsidP="005D6D2E">
      <w:pPr>
        <w:pStyle w:val="SingleTxtG"/>
        <w:rPr>
          <w:lang w:val="es-ES_tradnl"/>
        </w:rPr>
      </w:pPr>
      <w:r w:rsidRPr="005D6D2E">
        <w:rPr>
          <w:lang w:val="es-ES_tradnl"/>
        </w:rPr>
        <w:t>37.</w:t>
      </w:r>
      <w:r w:rsidRPr="005D6D2E">
        <w:rPr>
          <w:lang w:val="es-ES_tradnl"/>
        </w:rPr>
        <w:tab/>
      </w:r>
      <w:r w:rsidR="00A17C1E" w:rsidRPr="00021737">
        <w:rPr>
          <w:b/>
          <w:bCs/>
          <w:lang w:val="es-ES_tradnl"/>
        </w:rPr>
        <w:t xml:space="preserve">Teniendo en cuenta su recomendación general núm. 30 (2004) sobre la discriminación contra los no </w:t>
      </w:r>
      <w:r w:rsidR="00213B55" w:rsidRPr="00021737">
        <w:rPr>
          <w:b/>
          <w:bCs/>
          <w:lang w:val="es-ES_tradnl"/>
        </w:rPr>
        <w:t>ciudadanos</w:t>
      </w:r>
      <w:r w:rsidR="00A17C1E" w:rsidRPr="00021737">
        <w:rPr>
          <w:b/>
          <w:bCs/>
          <w:lang w:val="es-ES_tradnl"/>
        </w:rPr>
        <w:t xml:space="preserve">, el Comité recomienda al Estado parte que tome las medidas necesarias y efectivas para la protección de los no nacionales, en su mayoría </w:t>
      </w:r>
      <w:r w:rsidR="00A17C1E" w:rsidRPr="00021737">
        <w:rPr>
          <w:b/>
          <w:lang w:val="es-ES_tradnl"/>
        </w:rPr>
        <w:t>de</w:t>
      </w:r>
      <w:r w:rsidR="00A17C1E" w:rsidRPr="00021737">
        <w:rPr>
          <w:b/>
          <w:bCs/>
          <w:lang w:val="es-ES_tradnl"/>
        </w:rPr>
        <w:t xml:space="preserve"> ori</w:t>
      </w:r>
      <w:r w:rsidR="00AC7597" w:rsidRPr="00021737">
        <w:rPr>
          <w:b/>
          <w:bCs/>
          <w:lang w:val="es-ES_tradnl"/>
        </w:rPr>
        <w:t>gen venezolano. En particular, le insta a</w:t>
      </w:r>
      <w:r w:rsidR="00A17C1E" w:rsidRPr="00021737">
        <w:rPr>
          <w:b/>
          <w:bCs/>
          <w:lang w:val="es-ES_tradnl"/>
        </w:rPr>
        <w:t xml:space="preserve">: </w:t>
      </w:r>
    </w:p>
    <w:p w14:paraId="2076ECCE" w14:textId="0354D974" w:rsidR="00A17C1E" w:rsidRPr="00021737" w:rsidRDefault="00021737">
      <w:pPr>
        <w:pStyle w:val="SingleTxtG"/>
        <w:ind w:firstLine="567"/>
        <w:rPr>
          <w:lang w:val="es-ES_tradnl"/>
        </w:rPr>
      </w:pPr>
      <w:r w:rsidRPr="00021737">
        <w:rPr>
          <w:b/>
          <w:lang w:val="es-ES_tradnl"/>
        </w:rPr>
        <w:t>a)</w:t>
      </w:r>
      <w:r w:rsidRPr="00021737">
        <w:rPr>
          <w:b/>
          <w:lang w:val="es-ES_tradnl"/>
        </w:rPr>
        <w:tab/>
      </w:r>
      <w:r w:rsidR="00A17C1E" w:rsidRPr="00021737">
        <w:rPr>
          <w:b/>
          <w:bCs/>
          <w:lang w:val="es-ES_tradnl"/>
        </w:rPr>
        <w:t xml:space="preserve">Implementar medidas que promuevan la plena participación e integración de los migrantes en el Estado parte y el respeto de sus derechos; </w:t>
      </w:r>
    </w:p>
    <w:p w14:paraId="0D6755BC" w14:textId="16BB4D4A" w:rsidR="00A17C1E" w:rsidRPr="00021737" w:rsidRDefault="00021737">
      <w:pPr>
        <w:pStyle w:val="SingleTxtG"/>
        <w:ind w:firstLine="567"/>
        <w:rPr>
          <w:lang w:val="es-ES_tradnl"/>
        </w:rPr>
      </w:pPr>
      <w:r w:rsidRPr="00021737">
        <w:rPr>
          <w:b/>
          <w:lang w:val="es-ES_tradnl"/>
        </w:rPr>
        <w:t>b)</w:t>
      </w:r>
      <w:r w:rsidRPr="00021737">
        <w:rPr>
          <w:b/>
          <w:lang w:val="es-ES_tradnl"/>
        </w:rPr>
        <w:tab/>
      </w:r>
      <w:r w:rsidR="00A17C1E" w:rsidRPr="00021737">
        <w:rPr>
          <w:b/>
          <w:bCs/>
          <w:lang w:val="es-ES_tradnl"/>
        </w:rPr>
        <w:t>Llevar a cabo campañas de sensibilización, información o educación que eviten los</w:t>
      </w:r>
      <w:r w:rsidR="00F72E25" w:rsidRPr="00021737">
        <w:rPr>
          <w:b/>
          <w:bCs/>
          <w:lang w:val="es-ES_tradnl"/>
        </w:rPr>
        <w:t xml:space="preserve"> prejuicios y</w:t>
      </w:r>
      <w:r w:rsidR="00A17C1E" w:rsidRPr="00021737">
        <w:rPr>
          <w:b/>
          <w:bCs/>
          <w:lang w:val="es-ES_tradnl"/>
        </w:rPr>
        <w:t xml:space="preserve"> estereotipos que sufren los migrantes; </w:t>
      </w:r>
    </w:p>
    <w:p w14:paraId="78795650" w14:textId="0F83A802" w:rsidR="00F72E25" w:rsidRPr="00021737" w:rsidRDefault="00021737">
      <w:pPr>
        <w:pStyle w:val="SingleTxtG"/>
        <w:ind w:firstLine="567"/>
        <w:rPr>
          <w:b/>
          <w:bCs/>
          <w:lang w:val="es-ES_tradnl"/>
        </w:rPr>
      </w:pPr>
      <w:r w:rsidRPr="00021737">
        <w:rPr>
          <w:b/>
          <w:bCs/>
          <w:lang w:val="es-ES_tradnl"/>
        </w:rPr>
        <w:t>c)</w:t>
      </w:r>
      <w:r w:rsidRPr="00021737">
        <w:rPr>
          <w:b/>
          <w:bCs/>
          <w:lang w:val="es-ES_tradnl"/>
        </w:rPr>
        <w:tab/>
      </w:r>
      <w:r w:rsidR="00AC7597" w:rsidRPr="00021737">
        <w:rPr>
          <w:b/>
          <w:bCs/>
          <w:lang w:val="es-ES_tradnl"/>
        </w:rPr>
        <w:t>Eliminar</w:t>
      </w:r>
      <w:r w:rsidR="00262E75" w:rsidRPr="00021737">
        <w:rPr>
          <w:b/>
          <w:bCs/>
          <w:lang w:val="es-ES_tradnl"/>
        </w:rPr>
        <w:t xml:space="preserve"> las barrera</w:t>
      </w:r>
      <w:r w:rsidR="00F72E25" w:rsidRPr="00021737">
        <w:rPr>
          <w:b/>
          <w:bCs/>
          <w:lang w:val="es-ES_tradnl"/>
        </w:rPr>
        <w:t>s</w:t>
      </w:r>
      <w:r w:rsidR="00A17C1E" w:rsidRPr="00021737">
        <w:rPr>
          <w:b/>
          <w:bCs/>
          <w:lang w:val="es-ES_tradnl"/>
        </w:rPr>
        <w:t xml:space="preserve"> que</w:t>
      </w:r>
      <w:r w:rsidR="00262E75" w:rsidRPr="00021737">
        <w:rPr>
          <w:b/>
          <w:bCs/>
          <w:lang w:val="es-ES_tradnl"/>
        </w:rPr>
        <w:t>, en la práctica, impiden el acceso a servicios de salud</w:t>
      </w:r>
      <w:r w:rsidR="00A17C1E" w:rsidRPr="00021737">
        <w:rPr>
          <w:b/>
          <w:bCs/>
          <w:lang w:val="es-ES_tradnl"/>
        </w:rPr>
        <w:t xml:space="preserve">, educación, </w:t>
      </w:r>
      <w:r w:rsidR="00F50ECA" w:rsidRPr="00021737">
        <w:rPr>
          <w:b/>
          <w:bCs/>
          <w:lang w:val="es-ES_tradnl"/>
        </w:rPr>
        <w:t xml:space="preserve">empleo, </w:t>
      </w:r>
      <w:r w:rsidR="00262E75" w:rsidRPr="00021737">
        <w:rPr>
          <w:b/>
          <w:bCs/>
          <w:lang w:val="es-ES_tradnl"/>
        </w:rPr>
        <w:t xml:space="preserve">incluso mediante </w:t>
      </w:r>
      <w:r w:rsidR="00A17C1E" w:rsidRPr="00021737">
        <w:rPr>
          <w:b/>
          <w:bCs/>
          <w:lang w:val="es-ES_tradnl"/>
        </w:rPr>
        <w:t xml:space="preserve">la emisión </w:t>
      </w:r>
      <w:r w:rsidR="00262E75" w:rsidRPr="00021737">
        <w:rPr>
          <w:b/>
          <w:bCs/>
          <w:lang w:val="es-ES_tradnl"/>
        </w:rPr>
        <w:t>oportuna de documentos de identidad</w:t>
      </w:r>
      <w:r w:rsidR="00F72E25" w:rsidRPr="00021737">
        <w:rPr>
          <w:b/>
          <w:bCs/>
          <w:lang w:val="es-ES_tradnl"/>
        </w:rPr>
        <w:t>;</w:t>
      </w:r>
    </w:p>
    <w:p w14:paraId="684ACAE6" w14:textId="41CF6847" w:rsidR="00A17C1E" w:rsidRPr="00021737" w:rsidRDefault="00021737">
      <w:pPr>
        <w:pStyle w:val="SingleTxtG"/>
        <w:ind w:firstLine="567"/>
        <w:rPr>
          <w:b/>
          <w:lang w:val="es-ES_tradnl"/>
        </w:rPr>
      </w:pPr>
      <w:r w:rsidRPr="00021737">
        <w:rPr>
          <w:b/>
          <w:lang w:val="es-ES_tradnl"/>
        </w:rPr>
        <w:t>d)</w:t>
      </w:r>
      <w:r w:rsidRPr="00021737">
        <w:rPr>
          <w:b/>
          <w:lang w:val="es-ES_tradnl"/>
        </w:rPr>
        <w:tab/>
      </w:r>
      <w:r w:rsidR="00E83F6B" w:rsidRPr="00021737">
        <w:rPr>
          <w:b/>
          <w:bCs/>
        </w:rPr>
        <w:t xml:space="preserve">Incluir </w:t>
      </w:r>
      <w:r w:rsidR="00F72E25" w:rsidRPr="00021737">
        <w:rPr>
          <w:b/>
          <w:bCs/>
        </w:rPr>
        <w:t>en el próximo informe periódico información estadística e indicadores socioeconómicos sobre l</w:t>
      </w:r>
      <w:r w:rsidR="002F33A9" w:rsidRPr="00021737">
        <w:rPr>
          <w:b/>
          <w:bCs/>
        </w:rPr>
        <w:t>o</w:t>
      </w:r>
      <w:r w:rsidR="00F72E25" w:rsidRPr="00021737">
        <w:rPr>
          <w:b/>
          <w:bCs/>
        </w:rPr>
        <w:t>s migrantes</w:t>
      </w:r>
      <w:r w:rsidR="00262E75" w:rsidRPr="00021737">
        <w:rPr>
          <w:b/>
          <w:bCs/>
          <w:lang w:val="es-ES_tradnl"/>
        </w:rPr>
        <w:t>.</w:t>
      </w:r>
    </w:p>
    <w:p w14:paraId="4030BCD7" w14:textId="0CD87F79" w:rsidR="00052E40" w:rsidRPr="00021737" w:rsidRDefault="00F51C01" w:rsidP="00F51C01">
      <w:pPr>
        <w:pStyle w:val="H23G"/>
        <w:rPr>
          <w:lang w:val="es-ES_tradnl"/>
        </w:rPr>
      </w:pPr>
      <w:r w:rsidRPr="00021737">
        <w:rPr>
          <w:lang w:val="es-ES_tradnl"/>
        </w:rPr>
        <w:tab/>
      </w:r>
      <w:r w:rsidRPr="00021737">
        <w:rPr>
          <w:lang w:val="es-ES_tradnl"/>
        </w:rPr>
        <w:tab/>
      </w:r>
      <w:r w:rsidR="00052E40" w:rsidRPr="00021737">
        <w:rPr>
          <w:lang w:val="es-ES_tradnl"/>
        </w:rPr>
        <w:t xml:space="preserve">Acceso a la justicia </w:t>
      </w:r>
    </w:p>
    <w:p w14:paraId="28C95122" w14:textId="3DB8A5AE" w:rsidR="00052E40" w:rsidRPr="00021737" w:rsidRDefault="00021737" w:rsidP="005D6D2E">
      <w:pPr>
        <w:pStyle w:val="SingleTxtG"/>
        <w:rPr>
          <w:lang w:val="es-ES_tradnl"/>
        </w:rPr>
      </w:pPr>
      <w:r w:rsidRPr="005D6D2E">
        <w:rPr>
          <w:lang w:val="es-ES_tradnl"/>
        </w:rPr>
        <w:t>38.</w:t>
      </w:r>
      <w:r w:rsidRPr="005D6D2E">
        <w:rPr>
          <w:lang w:val="es-ES_tradnl"/>
        </w:rPr>
        <w:tab/>
      </w:r>
      <w:r w:rsidR="00AC7597" w:rsidRPr="00021737">
        <w:rPr>
          <w:lang w:val="es-ES_tradnl"/>
        </w:rPr>
        <w:t xml:space="preserve">Preocupa al Comité </w:t>
      </w:r>
      <w:r w:rsidR="00F70F15" w:rsidRPr="00021737">
        <w:rPr>
          <w:lang w:val="es-ES_tradnl"/>
        </w:rPr>
        <w:t>el limitado número</w:t>
      </w:r>
      <w:r w:rsidR="00A417EB" w:rsidRPr="00021737">
        <w:rPr>
          <w:lang w:val="es-ES_tradnl"/>
        </w:rPr>
        <w:t xml:space="preserve"> de denuncias por discriminación racial</w:t>
      </w:r>
      <w:r w:rsidR="00AC7597" w:rsidRPr="00021737">
        <w:rPr>
          <w:lang w:val="es-ES_tradnl"/>
        </w:rPr>
        <w:t xml:space="preserve"> y que a la fecha únicamente se haya sentenciado un caso</w:t>
      </w:r>
      <w:r w:rsidR="00A51421" w:rsidRPr="00021737">
        <w:rPr>
          <w:lang w:val="es-ES_tradnl"/>
        </w:rPr>
        <w:t>, el de Azucena Algendones</w:t>
      </w:r>
      <w:r w:rsidR="00E15C2A" w:rsidRPr="00021737">
        <w:rPr>
          <w:lang w:val="es-ES_tradnl"/>
        </w:rPr>
        <w:t>, el cual aú</w:t>
      </w:r>
      <w:r w:rsidR="00E3256E" w:rsidRPr="00021737">
        <w:rPr>
          <w:lang w:val="es-ES_tradnl"/>
        </w:rPr>
        <w:t>n se encuentr</w:t>
      </w:r>
      <w:r w:rsidR="00E15C2A" w:rsidRPr="00021737">
        <w:rPr>
          <w:lang w:val="es-ES_tradnl"/>
        </w:rPr>
        <w:t>a</w:t>
      </w:r>
      <w:r w:rsidR="00E3256E" w:rsidRPr="00021737">
        <w:rPr>
          <w:lang w:val="es-ES_tradnl"/>
        </w:rPr>
        <w:t xml:space="preserve"> pendiente de resolución en </w:t>
      </w:r>
      <w:r w:rsidR="005C08AA" w:rsidRPr="00021737">
        <w:rPr>
          <w:lang w:val="es-ES_tradnl"/>
        </w:rPr>
        <w:t xml:space="preserve">última </w:t>
      </w:r>
      <w:r w:rsidR="00E15C2A" w:rsidRPr="00021737">
        <w:rPr>
          <w:lang w:val="es-ES_tradnl"/>
        </w:rPr>
        <w:t>instancia</w:t>
      </w:r>
      <w:r w:rsidR="00A417EB" w:rsidRPr="00021737">
        <w:rPr>
          <w:lang w:val="es-ES_tradnl"/>
        </w:rPr>
        <w:t xml:space="preserve">. Asimismo, le preocupa que, a pesar de la adopción de </w:t>
      </w:r>
      <w:r w:rsidR="00B47C5B" w:rsidRPr="00021737">
        <w:rPr>
          <w:lang w:val="es-ES_tradnl"/>
        </w:rPr>
        <w:t>Plan Nacional de Acceso a la Justicia de las Personas en Condición de Vulnerabilidad</w:t>
      </w:r>
      <w:r w:rsidR="005C08AA" w:rsidRPr="00021737">
        <w:rPr>
          <w:lang w:val="es-ES_tradnl"/>
        </w:rPr>
        <w:t xml:space="preserve"> – Poder Judicial del Perú</w:t>
      </w:r>
      <w:r w:rsidR="00B47C5B" w:rsidRPr="00021737">
        <w:rPr>
          <w:lang w:val="es-ES_tradnl"/>
        </w:rPr>
        <w:t xml:space="preserve"> 2016-2021</w:t>
      </w:r>
      <w:r w:rsidR="00A417EB" w:rsidRPr="00021737">
        <w:rPr>
          <w:lang w:val="es-ES_tradnl"/>
        </w:rPr>
        <w:t xml:space="preserve">, las personas afroperuanas y miembros de pueblos indígenas continúen enfrentando dificultades en el acceso a la justicia </w:t>
      </w:r>
      <w:r w:rsidR="00052E40" w:rsidRPr="00021737">
        <w:rPr>
          <w:lang w:val="es-ES_tradnl"/>
        </w:rPr>
        <w:t>(</w:t>
      </w:r>
      <w:r w:rsidR="00123BE7" w:rsidRPr="00021737">
        <w:rPr>
          <w:lang w:val="es-ES_tradnl"/>
        </w:rPr>
        <w:t>a</w:t>
      </w:r>
      <w:r w:rsidR="00052E40" w:rsidRPr="00021737">
        <w:rPr>
          <w:lang w:val="es-ES_tradnl"/>
        </w:rPr>
        <w:t xml:space="preserve">rt. 6). </w:t>
      </w:r>
    </w:p>
    <w:p w14:paraId="3F2CB84C" w14:textId="339A3E17" w:rsidR="001C5691" w:rsidRPr="00021737" w:rsidRDefault="00021737" w:rsidP="005D6D2E">
      <w:pPr>
        <w:pStyle w:val="SingleTxtG"/>
        <w:rPr>
          <w:b/>
          <w:lang w:val="es-ES_tradnl"/>
        </w:rPr>
      </w:pPr>
      <w:r w:rsidRPr="005D6D2E">
        <w:rPr>
          <w:lang w:val="es-ES_tradnl"/>
        </w:rPr>
        <w:t>39.</w:t>
      </w:r>
      <w:r w:rsidRPr="005D6D2E">
        <w:rPr>
          <w:lang w:val="es-ES_tradnl"/>
        </w:rPr>
        <w:tab/>
      </w:r>
      <w:r w:rsidR="001C5691" w:rsidRPr="00021737">
        <w:rPr>
          <w:b/>
          <w:lang w:val="es-ES_tradnl"/>
        </w:rPr>
        <w:t xml:space="preserve">El Comité, a la luz de su recomendación general núm. 31 (2005) sobre la prevención de la discriminación racial en la administración y el funcionamiento de la justicia penal, insta al Estado parte a: </w:t>
      </w:r>
    </w:p>
    <w:p w14:paraId="6461F115" w14:textId="222B6A66" w:rsidR="00F70F15" w:rsidRPr="00021737" w:rsidRDefault="00021737" w:rsidP="005D6D2E">
      <w:pPr>
        <w:pStyle w:val="SingleTxtG"/>
        <w:ind w:firstLine="567"/>
        <w:rPr>
          <w:b/>
          <w:lang w:val="es-ES_tradnl"/>
        </w:rPr>
      </w:pPr>
      <w:r w:rsidRPr="00021737">
        <w:rPr>
          <w:b/>
          <w:lang w:val="es-ES_tradnl"/>
        </w:rPr>
        <w:t>a)</w:t>
      </w:r>
      <w:r w:rsidRPr="00021737">
        <w:rPr>
          <w:b/>
          <w:lang w:val="es-ES_tradnl"/>
        </w:rPr>
        <w:tab/>
      </w:r>
      <w:r w:rsidR="00F70F15" w:rsidRPr="00021737">
        <w:rPr>
          <w:b/>
          <w:lang w:val="es-ES_tradnl"/>
        </w:rPr>
        <w:t xml:space="preserve">Adoptar medidas </w:t>
      </w:r>
      <w:r w:rsidR="00E3256E" w:rsidRPr="00021737">
        <w:rPr>
          <w:b/>
          <w:lang w:val="es-ES_tradnl"/>
        </w:rPr>
        <w:t xml:space="preserve">efectivas para asegurar que </w:t>
      </w:r>
      <w:r w:rsidR="00F70F15" w:rsidRPr="00021737">
        <w:rPr>
          <w:b/>
          <w:lang w:val="es-ES_tradnl"/>
        </w:rPr>
        <w:t xml:space="preserve">todas las víctimas de discriminación racial tengan </w:t>
      </w:r>
      <w:r w:rsidR="00722880" w:rsidRPr="00021737">
        <w:rPr>
          <w:b/>
          <w:lang w:val="es-ES_tradnl"/>
        </w:rPr>
        <w:t xml:space="preserve">fácil </w:t>
      </w:r>
      <w:r w:rsidR="00F70F15" w:rsidRPr="00021737">
        <w:rPr>
          <w:b/>
          <w:lang w:val="es-ES_tradnl"/>
        </w:rPr>
        <w:t xml:space="preserve">acceso a recursos jurídicos </w:t>
      </w:r>
      <w:r w:rsidR="00722880" w:rsidRPr="00021737">
        <w:rPr>
          <w:b/>
          <w:lang w:val="es-ES_tradnl"/>
        </w:rPr>
        <w:t xml:space="preserve">rápidos y </w:t>
      </w:r>
      <w:r w:rsidR="00F70F15" w:rsidRPr="00021737">
        <w:rPr>
          <w:b/>
          <w:lang w:val="es-ES_tradnl"/>
        </w:rPr>
        <w:t>eficaces</w:t>
      </w:r>
      <w:r w:rsidR="00CE49AE" w:rsidRPr="00021737">
        <w:rPr>
          <w:b/>
          <w:lang w:val="es-ES_tradnl"/>
        </w:rPr>
        <w:t>, así como</w:t>
      </w:r>
      <w:r w:rsidR="00F70F15" w:rsidRPr="00021737">
        <w:rPr>
          <w:b/>
          <w:lang w:val="es-ES_tradnl"/>
        </w:rPr>
        <w:t xml:space="preserve"> a una indemnización; </w:t>
      </w:r>
    </w:p>
    <w:p w14:paraId="3C1C50A0" w14:textId="2801CE2A" w:rsidR="000C09A4" w:rsidRPr="00021737" w:rsidRDefault="00021737" w:rsidP="005D6D2E">
      <w:pPr>
        <w:pStyle w:val="SingleTxtG"/>
        <w:ind w:firstLine="567"/>
        <w:rPr>
          <w:b/>
          <w:lang w:val="es-ES_tradnl"/>
        </w:rPr>
      </w:pPr>
      <w:r w:rsidRPr="00021737">
        <w:rPr>
          <w:b/>
          <w:lang w:val="es-ES_tradnl"/>
        </w:rPr>
        <w:t>b)</w:t>
      </w:r>
      <w:r w:rsidRPr="00021737">
        <w:rPr>
          <w:b/>
          <w:lang w:val="es-ES_tradnl"/>
        </w:rPr>
        <w:tab/>
      </w:r>
      <w:r w:rsidR="00A417EB" w:rsidRPr="00021737">
        <w:rPr>
          <w:b/>
          <w:lang w:val="es-ES_tradnl"/>
        </w:rPr>
        <w:t>G</w:t>
      </w:r>
      <w:r w:rsidR="000C09A4" w:rsidRPr="00021737">
        <w:rPr>
          <w:b/>
          <w:lang w:val="es-ES_tradnl"/>
        </w:rPr>
        <w:t>arantizar el acceso a la justicia por parte de los pueblos indígenas</w:t>
      </w:r>
      <w:r w:rsidR="00707C42" w:rsidRPr="00021737">
        <w:rPr>
          <w:b/>
          <w:lang w:val="es-ES_tradnl"/>
        </w:rPr>
        <w:t xml:space="preserve"> y afroperuanos</w:t>
      </w:r>
      <w:r w:rsidR="000C09A4" w:rsidRPr="00021737">
        <w:rPr>
          <w:b/>
          <w:lang w:val="es-ES_tradnl"/>
        </w:rPr>
        <w:t xml:space="preserve">, asegurando el respeto de sus derechos fundamentales y de las garantías del debido proceso, </w:t>
      </w:r>
      <w:r w:rsidR="00F70F15" w:rsidRPr="00021737">
        <w:rPr>
          <w:b/>
          <w:lang w:val="es-ES_tradnl"/>
        </w:rPr>
        <w:t xml:space="preserve">incluso mediante </w:t>
      </w:r>
      <w:r w:rsidR="000C09A4" w:rsidRPr="00021737">
        <w:rPr>
          <w:b/>
          <w:lang w:val="es-ES_tradnl"/>
        </w:rPr>
        <w:t>el aume</w:t>
      </w:r>
      <w:r w:rsidR="00F70F15" w:rsidRPr="00021737">
        <w:rPr>
          <w:b/>
          <w:lang w:val="es-ES_tradnl"/>
        </w:rPr>
        <w:t xml:space="preserve">nto del número de intérpretes y de </w:t>
      </w:r>
      <w:r w:rsidR="000C09A4" w:rsidRPr="00021737">
        <w:rPr>
          <w:b/>
          <w:lang w:val="es-ES_tradnl"/>
        </w:rPr>
        <w:t>las oportunidades para acceder a la asistencia jurídica gratuita;</w:t>
      </w:r>
    </w:p>
    <w:p w14:paraId="660FFFFE" w14:textId="47306E3C" w:rsidR="00A417EB" w:rsidRPr="00021737" w:rsidRDefault="00021737" w:rsidP="005D6D2E">
      <w:pPr>
        <w:pStyle w:val="SingleTxtG"/>
        <w:ind w:firstLine="567"/>
        <w:rPr>
          <w:b/>
          <w:lang w:val="es-ES_tradnl"/>
        </w:rPr>
      </w:pPr>
      <w:r w:rsidRPr="00021737">
        <w:rPr>
          <w:b/>
          <w:lang w:val="es-ES_tradnl"/>
        </w:rPr>
        <w:t>c)</w:t>
      </w:r>
      <w:r w:rsidRPr="00021737">
        <w:rPr>
          <w:b/>
          <w:lang w:val="es-ES_tradnl"/>
        </w:rPr>
        <w:tab/>
      </w:r>
      <w:r w:rsidR="00F70F15" w:rsidRPr="00021737">
        <w:rPr>
          <w:b/>
          <w:lang w:val="es-ES_tradnl"/>
        </w:rPr>
        <w:t>Impartir capacitaciones</w:t>
      </w:r>
      <w:r w:rsidR="000C09A4" w:rsidRPr="00021737">
        <w:rPr>
          <w:b/>
          <w:lang w:val="es-ES_tradnl"/>
        </w:rPr>
        <w:t xml:space="preserve"> sistemática</w:t>
      </w:r>
      <w:r w:rsidR="00F70F15" w:rsidRPr="00021737">
        <w:rPr>
          <w:b/>
          <w:lang w:val="es-ES_tradnl"/>
        </w:rPr>
        <w:t>s</w:t>
      </w:r>
      <w:r w:rsidR="000C09A4" w:rsidRPr="00021737">
        <w:rPr>
          <w:b/>
          <w:lang w:val="es-ES_tradnl"/>
        </w:rPr>
        <w:t xml:space="preserve"> a</w:t>
      </w:r>
      <w:r w:rsidR="001C5691" w:rsidRPr="00021737">
        <w:rPr>
          <w:b/>
          <w:lang w:val="es-ES_tradnl"/>
        </w:rPr>
        <w:t xml:space="preserve"> agentes de policía, fiscales,</w:t>
      </w:r>
      <w:r w:rsidR="00E3256E" w:rsidRPr="00021737">
        <w:rPr>
          <w:b/>
          <w:lang w:val="es-ES_tradnl"/>
        </w:rPr>
        <w:t xml:space="preserve"> abogados, defensores</w:t>
      </w:r>
      <w:r w:rsidR="0039484F" w:rsidRPr="00021737">
        <w:rPr>
          <w:b/>
          <w:lang w:val="es-ES_tradnl"/>
        </w:rPr>
        <w:t xml:space="preserve"> públicos</w:t>
      </w:r>
      <w:r w:rsidR="00E3256E" w:rsidRPr="00021737">
        <w:rPr>
          <w:b/>
          <w:lang w:val="es-ES_tradnl"/>
        </w:rPr>
        <w:t>, jueces y</w:t>
      </w:r>
      <w:r w:rsidR="000C09A4" w:rsidRPr="00021737">
        <w:rPr>
          <w:b/>
          <w:lang w:val="es-ES_tradnl"/>
        </w:rPr>
        <w:t xml:space="preserve"> </w:t>
      </w:r>
      <w:r w:rsidR="001C5691" w:rsidRPr="00021737">
        <w:rPr>
          <w:b/>
          <w:lang w:val="es-ES_tradnl"/>
        </w:rPr>
        <w:t>profesionales del sistema judicial</w:t>
      </w:r>
      <w:r w:rsidR="000C09A4" w:rsidRPr="00021737">
        <w:rPr>
          <w:b/>
          <w:lang w:val="es-ES_tradnl"/>
        </w:rPr>
        <w:t xml:space="preserve">, a fin de </w:t>
      </w:r>
      <w:r w:rsidR="00E15C2A" w:rsidRPr="00021737">
        <w:rPr>
          <w:b/>
          <w:lang w:val="es-ES_tradnl"/>
        </w:rPr>
        <w:t xml:space="preserve">aumentar la conciencia sobre los efectos negativos de la discriminación racial y </w:t>
      </w:r>
      <w:r w:rsidR="000C09A4" w:rsidRPr="00021737">
        <w:rPr>
          <w:b/>
          <w:lang w:val="es-ES_tradnl"/>
        </w:rPr>
        <w:t>asegurar la aplic</w:t>
      </w:r>
      <w:r w:rsidR="00E15C2A" w:rsidRPr="00021737">
        <w:rPr>
          <w:b/>
          <w:lang w:val="es-ES_tradnl"/>
        </w:rPr>
        <w:t>ación efectiva de la Convención</w:t>
      </w:r>
      <w:r w:rsidR="00A417EB" w:rsidRPr="00021737">
        <w:rPr>
          <w:b/>
          <w:lang w:val="es-ES_tradnl"/>
        </w:rPr>
        <w:t>.</w:t>
      </w:r>
      <w:r w:rsidR="000C09A4" w:rsidRPr="00021737">
        <w:rPr>
          <w:b/>
          <w:lang w:val="es-ES_tradnl"/>
        </w:rPr>
        <w:t xml:space="preserve"> </w:t>
      </w:r>
    </w:p>
    <w:p w14:paraId="4E3A54B3" w14:textId="368DC1E9" w:rsidR="00D81D89" w:rsidRPr="00021737" w:rsidRDefault="00F51C01" w:rsidP="00F51C01">
      <w:pPr>
        <w:pStyle w:val="H23G"/>
        <w:rPr>
          <w:lang w:val="es-ES_tradnl"/>
        </w:rPr>
      </w:pPr>
      <w:r w:rsidRPr="00021737">
        <w:rPr>
          <w:lang w:val="es-ES_tradnl"/>
        </w:rPr>
        <w:tab/>
      </w:r>
      <w:r w:rsidRPr="00021737">
        <w:rPr>
          <w:lang w:val="es-ES_tradnl"/>
        </w:rPr>
        <w:tab/>
      </w:r>
      <w:r w:rsidR="00C456D7" w:rsidRPr="00021737">
        <w:rPr>
          <w:lang w:val="es-ES_tradnl"/>
        </w:rPr>
        <w:t>Estereotipos raciales</w:t>
      </w:r>
    </w:p>
    <w:p w14:paraId="2ED03E94" w14:textId="6BDACA08" w:rsidR="00C456D7" w:rsidRPr="00021737" w:rsidRDefault="00021737" w:rsidP="005D6D2E">
      <w:pPr>
        <w:pStyle w:val="SingleTxtG"/>
        <w:rPr>
          <w:lang w:val="es-ES_tradnl"/>
        </w:rPr>
      </w:pPr>
      <w:r w:rsidRPr="005D6D2E">
        <w:rPr>
          <w:lang w:val="es-ES_tradnl"/>
        </w:rPr>
        <w:t>40.</w:t>
      </w:r>
      <w:r w:rsidRPr="005D6D2E">
        <w:rPr>
          <w:lang w:val="es-ES_tradnl"/>
        </w:rPr>
        <w:tab/>
      </w:r>
      <w:r w:rsidR="00E3256E" w:rsidRPr="00021737">
        <w:rPr>
          <w:lang w:val="es-ES_tradnl"/>
        </w:rPr>
        <w:t>P</w:t>
      </w:r>
      <w:r w:rsidR="009537D6" w:rsidRPr="00021737">
        <w:rPr>
          <w:lang w:val="es-ES_tradnl"/>
        </w:rPr>
        <w:t>re</w:t>
      </w:r>
      <w:r w:rsidR="00C456D7" w:rsidRPr="00021737">
        <w:rPr>
          <w:lang w:val="es-ES_tradnl"/>
        </w:rPr>
        <w:t xml:space="preserve">ocupa </w:t>
      </w:r>
      <w:r w:rsidR="009537D6" w:rsidRPr="00021737">
        <w:rPr>
          <w:lang w:val="es-ES_tradnl"/>
        </w:rPr>
        <w:t>seriamente</w:t>
      </w:r>
      <w:r w:rsidR="00E3256E" w:rsidRPr="00021737">
        <w:rPr>
          <w:lang w:val="es-ES_tradnl"/>
        </w:rPr>
        <w:t xml:space="preserve"> al Comité</w:t>
      </w:r>
      <w:r w:rsidR="009537D6" w:rsidRPr="00021737">
        <w:rPr>
          <w:lang w:val="es-ES_tradnl"/>
        </w:rPr>
        <w:t xml:space="preserve"> que </w:t>
      </w:r>
      <w:r w:rsidR="00C456D7" w:rsidRPr="00021737">
        <w:rPr>
          <w:lang w:val="es-ES_tradnl"/>
        </w:rPr>
        <w:t xml:space="preserve">los miembros de pueblos indígenas y personas afroperuanas continúen siendo víctimas de </w:t>
      </w:r>
      <w:r w:rsidR="008E5303" w:rsidRPr="00021737">
        <w:rPr>
          <w:lang w:val="es-ES_tradnl"/>
        </w:rPr>
        <w:t>prejuicios raciales</w:t>
      </w:r>
      <w:r w:rsidR="00C456D7" w:rsidRPr="00021737">
        <w:rPr>
          <w:lang w:val="es-ES_tradnl"/>
        </w:rPr>
        <w:t xml:space="preserve"> por parte de los medios de comunicación</w:t>
      </w:r>
      <w:r w:rsidR="009537D6" w:rsidRPr="00021737">
        <w:rPr>
          <w:lang w:val="es-ES_tradnl"/>
        </w:rPr>
        <w:t>,</w:t>
      </w:r>
      <w:r w:rsidR="00C456D7" w:rsidRPr="00021737">
        <w:rPr>
          <w:lang w:val="es-ES_tradnl"/>
        </w:rPr>
        <w:t xml:space="preserve"> empresarios e incluso funcionarios públicos</w:t>
      </w:r>
      <w:r w:rsidR="008E5303" w:rsidRPr="00021737">
        <w:rPr>
          <w:lang w:val="es-ES_tradnl"/>
        </w:rPr>
        <w:t xml:space="preserve">. </w:t>
      </w:r>
      <w:r w:rsidR="00F83AAE" w:rsidRPr="00021737">
        <w:rPr>
          <w:lang w:val="es-ES_tradnl"/>
        </w:rPr>
        <w:t>El Comité lamenta que persista la difusión</w:t>
      </w:r>
      <w:r w:rsidR="00075622" w:rsidRPr="00021737">
        <w:rPr>
          <w:lang w:val="es-ES_tradnl"/>
        </w:rPr>
        <w:t xml:space="preserve"> </w:t>
      </w:r>
      <w:r w:rsidR="00B67081" w:rsidRPr="00021737">
        <w:rPr>
          <w:lang w:val="es-ES_tradnl"/>
        </w:rPr>
        <w:t xml:space="preserve">de </w:t>
      </w:r>
      <w:r w:rsidR="00075622" w:rsidRPr="00021737">
        <w:rPr>
          <w:lang w:val="es-ES_tradnl"/>
        </w:rPr>
        <w:t xml:space="preserve">estereotipos negativos en </w:t>
      </w:r>
      <w:r w:rsidR="00F83AAE" w:rsidRPr="00021737">
        <w:rPr>
          <w:lang w:val="es-ES_tradnl"/>
        </w:rPr>
        <w:t>programas televisivos</w:t>
      </w:r>
      <w:r w:rsidR="009610F7" w:rsidRPr="00021737">
        <w:rPr>
          <w:lang w:val="es-ES_tradnl"/>
        </w:rPr>
        <w:t>, mediante personajes</w:t>
      </w:r>
      <w:r w:rsidR="00F83AAE" w:rsidRPr="00021737">
        <w:rPr>
          <w:lang w:val="es-ES_tradnl"/>
        </w:rPr>
        <w:t xml:space="preserve"> como </w:t>
      </w:r>
      <w:r w:rsidR="00AD1F67" w:rsidRPr="00021737">
        <w:rPr>
          <w:lang w:val="es-ES_tradnl"/>
        </w:rPr>
        <w:t>“</w:t>
      </w:r>
      <w:r w:rsidR="00F83AAE" w:rsidRPr="005D6D2E">
        <w:rPr>
          <w:iCs/>
          <w:lang w:val="es-ES_tradnl"/>
        </w:rPr>
        <w:t xml:space="preserve">La </w:t>
      </w:r>
      <w:r w:rsidR="00AD1F67" w:rsidRPr="005D6D2E">
        <w:rPr>
          <w:iCs/>
          <w:lang w:val="es-ES_tradnl"/>
        </w:rPr>
        <w:t>p</w:t>
      </w:r>
      <w:r w:rsidR="00F83AAE" w:rsidRPr="005D6D2E">
        <w:rPr>
          <w:iCs/>
          <w:lang w:val="es-ES_tradnl"/>
        </w:rPr>
        <w:t>aisana Jacinta</w:t>
      </w:r>
      <w:r w:rsidR="00AD1F67" w:rsidRPr="00021737">
        <w:rPr>
          <w:iCs/>
          <w:lang w:val="es-ES_tradnl"/>
        </w:rPr>
        <w:t>”</w:t>
      </w:r>
      <w:r w:rsidR="00F83AAE" w:rsidRPr="005D6D2E">
        <w:rPr>
          <w:iCs/>
          <w:lang w:val="es-ES_tradnl"/>
        </w:rPr>
        <w:t xml:space="preserve"> y </w:t>
      </w:r>
      <w:r w:rsidR="00AD1F67" w:rsidRPr="00021737">
        <w:rPr>
          <w:iCs/>
          <w:lang w:val="es-ES_tradnl"/>
        </w:rPr>
        <w:t>“</w:t>
      </w:r>
      <w:r w:rsidR="00F83AAE" w:rsidRPr="005D6D2E">
        <w:rPr>
          <w:iCs/>
          <w:lang w:val="es-ES_tradnl"/>
        </w:rPr>
        <w:t xml:space="preserve">El </w:t>
      </w:r>
      <w:r w:rsidR="00AD1F67" w:rsidRPr="005D6D2E">
        <w:rPr>
          <w:iCs/>
          <w:lang w:val="es-ES_tradnl"/>
        </w:rPr>
        <w:t>n</w:t>
      </w:r>
      <w:r w:rsidR="00F83AAE" w:rsidRPr="005D6D2E">
        <w:rPr>
          <w:iCs/>
          <w:lang w:val="es-ES_tradnl"/>
        </w:rPr>
        <w:t>egro Mama</w:t>
      </w:r>
      <w:r w:rsidR="00AD1F67" w:rsidRPr="00021737">
        <w:rPr>
          <w:iCs/>
          <w:lang w:val="es-ES_tradnl"/>
        </w:rPr>
        <w:t>”</w:t>
      </w:r>
      <w:r w:rsidR="00F83AAE" w:rsidRPr="00021737">
        <w:rPr>
          <w:lang w:val="es-ES_tradnl"/>
        </w:rPr>
        <w:t xml:space="preserve"> </w:t>
      </w:r>
      <w:r w:rsidR="008E5303" w:rsidRPr="00021737">
        <w:rPr>
          <w:lang w:val="es-ES_tradnl"/>
        </w:rPr>
        <w:t>(</w:t>
      </w:r>
      <w:r w:rsidR="00123BE7" w:rsidRPr="00021737">
        <w:rPr>
          <w:lang w:val="es-ES_tradnl"/>
        </w:rPr>
        <w:t>a</w:t>
      </w:r>
      <w:r w:rsidR="008E5303" w:rsidRPr="00021737">
        <w:rPr>
          <w:lang w:val="es-ES_tradnl"/>
        </w:rPr>
        <w:t>rt.</w:t>
      </w:r>
      <w:r w:rsidR="00911CF4" w:rsidRPr="00021737">
        <w:rPr>
          <w:lang w:val="es-ES_tradnl"/>
        </w:rPr>
        <w:t> </w:t>
      </w:r>
      <w:r w:rsidR="008E5303" w:rsidRPr="00021737">
        <w:rPr>
          <w:lang w:val="es-ES_tradnl"/>
        </w:rPr>
        <w:t xml:space="preserve">7). </w:t>
      </w:r>
    </w:p>
    <w:p w14:paraId="21768ACA" w14:textId="022968D7" w:rsidR="003F2EFE" w:rsidRPr="00021737" w:rsidRDefault="00021737" w:rsidP="005D6D2E">
      <w:pPr>
        <w:pStyle w:val="SingleTxtG"/>
        <w:rPr>
          <w:b/>
          <w:iCs/>
          <w:lang w:val="es-ES_tradnl"/>
        </w:rPr>
      </w:pPr>
      <w:r w:rsidRPr="005D6D2E">
        <w:rPr>
          <w:iCs/>
          <w:lang w:val="es-ES_tradnl"/>
        </w:rPr>
        <w:t>41.</w:t>
      </w:r>
      <w:r w:rsidRPr="005D6D2E">
        <w:rPr>
          <w:iCs/>
          <w:lang w:val="es-ES_tradnl"/>
        </w:rPr>
        <w:tab/>
      </w:r>
      <w:r w:rsidR="009537D6" w:rsidRPr="00021737">
        <w:rPr>
          <w:b/>
          <w:lang w:val="es-ES_tradnl"/>
        </w:rPr>
        <w:t xml:space="preserve">El Comité reitera su </w:t>
      </w:r>
      <w:r w:rsidR="00D552E4" w:rsidRPr="00021737">
        <w:rPr>
          <w:b/>
          <w:lang w:val="es-ES_tradnl"/>
        </w:rPr>
        <w:t>recomendación anterior (CERD/C/PER/C/CO</w:t>
      </w:r>
      <w:r w:rsidR="009537D6" w:rsidRPr="00021737">
        <w:rPr>
          <w:b/>
          <w:lang w:val="es-ES_tradnl"/>
        </w:rPr>
        <w:t>/18-21</w:t>
      </w:r>
      <w:r w:rsidR="00D11396" w:rsidRPr="00021737">
        <w:rPr>
          <w:b/>
          <w:lang w:val="es-ES_tradnl"/>
        </w:rPr>
        <w:t>,</w:t>
      </w:r>
      <w:r w:rsidR="009537D6" w:rsidRPr="00021737">
        <w:rPr>
          <w:b/>
          <w:lang w:val="es-ES_tradnl"/>
        </w:rPr>
        <w:t xml:space="preserve"> párr</w:t>
      </w:r>
      <w:r w:rsidR="00123BE7" w:rsidRPr="00021737">
        <w:rPr>
          <w:b/>
          <w:lang w:val="es-ES_tradnl"/>
        </w:rPr>
        <w:t>.</w:t>
      </w:r>
      <w:r w:rsidR="004055C9">
        <w:rPr>
          <w:b/>
          <w:lang w:val="es-ES_tradnl"/>
        </w:rPr>
        <w:t> </w:t>
      </w:r>
      <w:r w:rsidR="009537D6" w:rsidRPr="00021737">
        <w:rPr>
          <w:b/>
          <w:lang w:val="es-ES_tradnl"/>
        </w:rPr>
        <w:t>19) e insta al Es</w:t>
      </w:r>
      <w:r w:rsidR="00E3256E" w:rsidRPr="00021737">
        <w:rPr>
          <w:b/>
          <w:lang w:val="es-ES_tradnl"/>
        </w:rPr>
        <w:t>tado parte</w:t>
      </w:r>
      <w:r w:rsidR="00D552E4" w:rsidRPr="00021737">
        <w:rPr>
          <w:b/>
          <w:lang w:val="es-ES_tradnl"/>
        </w:rPr>
        <w:t xml:space="preserve"> </w:t>
      </w:r>
      <w:r w:rsidR="009537D6" w:rsidRPr="00021737">
        <w:rPr>
          <w:b/>
          <w:lang w:val="es-ES_tradnl"/>
        </w:rPr>
        <w:t>a adoptar las medidas apropiadas para evitar la propagación de mensajes, programas y publicidad que continúen perpetuando la estigmatización de los pueblos indígenas</w:t>
      </w:r>
      <w:r w:rsidR="002E56D1" w:rsidRPr="00021737">
        <w:rPr>
          <w:b/>
          <w:lang w:val="es-ES_tradnl"/>
        </w:rPr>
        <w:t xml:space="preserve"> y de la población afroperuana </w:t>
      </w:r>
      <w:r w:rsidR="009537D6" w:rsidRPr="00021737">
        <w:rPr>
          <w:b/>
          <w:lang w:val="es-ES_tradnl"/>
        </w:rPr>
        <w:t xml:space="preserve">mediante la representación de estereotipos. Asimismo, le urge a realizar </w:t>
      </w:r>
      <w:r w:rsidR="009201B7" w:rsidRPr="00021737">
        <w:rPr>
          <w:b/>
          <w:lang w:val="es-ES_tradnl"/>
        </w:rPr>
        <w:t xml:space="preserve">amplias </w:t>
      </w:r>
      <w:r w:rsidR="009537D6" w:rsidRPr="00021737">
        <w:rPr>
          <w:b/>
          <w:lang w:val="es-ES_tradnl"/>
        </w:rPr>
        <w:t>campañas de sensibilización y educación hacia la sociedad en general sobre los efectos negativos de la discriminación racial y que promuevan la comprensión y tolerancia entre los diferentes grupos raciales o étnicos existentes. El Comité se</w:t>
      </w:r>
      <w:r w:rsidR="009201B7" w:rsidRPr="00021737">
        <w:rPr>
          <w:b/>
          <w:lang w:val="es-ES_tradnl"/>
        </w:rPr>
        <w:t>ñala a la atención del Estado parte s</w:t>
      </w:r>
      <w:r w:rsidR="00D552E4" w:rsidRPr="00021737">
        <w:rPr>
          <w:b/>
          <w:lang w:val="es-ES_tradnl"/>
        </w:rPr>
        <w:t xml:space="preserve">u </w:t>
      </w:r>
      <w:r w:rsidR="00123BE7" w:rsidRPr="00021737">
        <w:rPr>
          <w:b/>
          <w:lang w:val="es-ES_tradnl"/>
        </w:rPr>
        <w:t>r</w:t>
      </w:r>
      <w:r w:rsidR="00D552E4" w:rsidRPr="00021737">
        <w:rPr>
          <w:b/>
          <w:lang w:val="es-ES_tradnl"/>
        </w:rPr>
        <w:t xml:space="preserve">ecomendación </w:t>
      </w:r>
      <w:r w:rsidR="00123BE7" w:rsidRPr="00021737">
        <w:rPr>
          <w:b/>
          <w:lang w:val="es-ES_tradnl"/>
        </w:rPr>
        <w:t>g</w:t>
      </w:r>
      <w:r w:rsidR="00D552E4" w:rsidRPr="00021737">
        <w:rPr>
          <w:b/>
          <w:lang w:val="es-ES_tradnl"/>
        </w:rPr>
        <w:t xml:space="preserve">eneral </w:t>
      </w:r>
      <w:r w:rsidR="00123BE7" w:rsidRPr="00021737">
        <w:rPr>
          <w:b/>
          <w:lang w:val="es-ES_tradnl"/>
        </w:rPr>
        <w:t xml:space="preserve">núm. </w:t>
      </w:r>
      <w:r w:rsidR="00D552E4" w:rsidRPr="00021737">
        <w:rPr>
          <w:b/>
          <w:lang w:val="es-ES_tradnl"/>
        </w:rPr>
        <w:t>35 (2013) sobre la lucha contra el discurso de odio racista</w:t>
      </w:r>
      <w:r w:rsidR="009201B7" w:rsidRPr="00021737">
        <w:rPr>
          <w:b/>
          <w:lang w:val="es-ES_tradnl"/>
        </w:rPr>
        <w:t>.</w:t>
      </w:r>
      <w:r w:rsidR="00D552E4" w:rsidRPr="00021737">
        <w:rPr>
          <w:b/>
          <w:lang w:val="es-ES_tradnl"/>
        </w:rPr>
        <w:t xml:space="preserve"> </w:t>
      </w:r>
    </w:p>
    <w:p w14:paraId="59E5B582" w14:textId="09A7AFD7" w:rsidR="005A1D75" w:rsidRPr="00021737" w:rsidRDefault="005A1D75">
      <w:pPr>
        <w:pStyle w:val="H1G"/>
      </w:pPr>
      <w:r w:rsidRPr="00021737">
        <w:tab/>
        <w:t>D.</w:t>
      </w:r>
      <w:r w:rsidRPr="00021737">
        <w:tab/>
        <w:t xml:space="preserve">Otras </w:t>
      </w:r>
      <w:r w:rsidR="00ED2774" w:rsidRPr="00021737">
        <w:t>r</w:t>
      </w:r>
      <w:r w:rsidRPr="00021737">
        <w:t>ecomendaciones</w:t>
      </w:r>
    </w:p>
    <w:p w14:paraId="5C712EDE" w14:textId="33D19F55" w:rsidR="005A1D75" w:rsidRPr="005D6D2E" w:rsidRDefault="00911CF4" w:rsidP="005D6D2E">
      <w:pPr>
        <w:pStyle w:val="H23G"/>
        <w:rPr>
          <w:rStyle w:val="SingleTxtGChar"/>
          <w:b w:val="0"/>
          <w:iCs/>
          <w:sz w:val="24"/>
          <w:lang w:val="es-ES_tradnl"/>
        </w:rPr>
      </w:pP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Ratificación de otros tratados</w:t>
      </w:r>
    </w:p>
    <w:p w14:paraId="7D1FD10A" w14:textId="15DD0896" w:rsidR="005A1D75" w:rsidRPr="00021737" w:rsidRDefault="00021737">
      <w:pPr>
        <w:pStyle w:val="SingleTxtG"/>
        <w:rPr>
          <w:rStyle w:val="SingleTxtGChar"/>
          <w:b/>
          <w:iCs/>
          <w:lang w:val="es-ES_tradnl"/>
        </w:rPr>
      </w:pPr>
      <w:r w:rsidRPr="005D6D2E">
        <w:rPr>
          <w:rStyle w:val="SingleTxtGChar"/>
          <w:iCs/>
          <w:lang w:val="es-ES_tradnl"/>
        </w:rPr>
        <w:t>42.</w:t>
      </w:r>
      <w:r w:rsidRPr="005D6D2E">
        <w:rPr>
          <w:rStyle w:val="SingleTxtGChar"/>
          <w:iCs/>
          <w:lang w:val="es-ES_tradnl"/>
        </w:rPr>
        <w:tab/>
      </w:r>
      <w:r w:rsidR="005A1D75" w:rsidRPr="00021737">
        <w:rPr>
          <w:rStyle w:val="SingleTxtGChar"/>
          <w:b/>
          <w:iCs/>
          <w:lang w:val="es-ES_tradnl"/>
        </w:rPr>
        <w:t>Teniendo presente la indivisibilidad de todos los derechos humanos, el Comité alienta al Estado parte a ratificar el Segundo Protocolo Facultativo del Pacto Internacional de Derechos Civiles y Políticos, destinado a abolir la pena de muerte y el Protocolo Facultativo del Pacto Internacional de Derechos Económicos, Sociales y Culturales</w:t>
      </w:r>
      <w:r w:rsidR="00BF725C" w:rsidRPr="00021737">
        <w:rPr>
          <w:rStyle w:val="SingleTxtGChar"/>
          <w:b/>
          <w:iCs/>
          <w:lang w:val="es-ES_tradnl"/>
        </w:rPr>
        <w:t>,</w:t>
      </w:r>
      <w:r w:rsidR="005A1D75" w:rsidRPr="00021737">
        <w:rPr>
          <w:rStyle w:val="SingleTxtGChar"/>
          <w:b/>
          <w:iCs/>
          <w:lang w:val="es-ES_tradnl"/>
        </w:rPr>
        <w:t xml:space="preserve"> así como la Convención Interamericana contra el Racismo, la Discriminación Racial y Formas Conexas de Intolerancia de 2013, </w:t>
      </w:r>
      <w:r w:rsidR="0038327D" w:rsidRPr="00021737">
        <w:rPr>
          <w:rStyle w:val="SingleTxtGChar"/>
          <w:b/>
          <w:iCs/>
          <w:lang w:val="es-ES_tradnl"/>
        </w:rPr>
        <w:t xml:space="preserve">y </w:t>
      </w:r>
      <w:r w:rsidR="005A1D75" w:rsidRPr="00021737">
        <w:rPr>
          <w:rStyle w:val="SingleTxtGChar"/>
          <w:b/>
          <w:iCs/>
          <w:lang w:val="es-ES_tradnl"/>
        </w:rPr>
        <w:t xml:space="preserve">la Convención Interamericana </w:t>
      </w:r>
      <w:r w:rsidR="002F33A9" w:rsidRPr="00021737">
        <w:rPr>
          <w:rStyle w:val="SingleTxtGChar"/>
          <w:b/>
          <w:iCs/>
          <w:lang w:val="es-ES_tradnl"/>
        </w:rPr>
        <w:t>c</w:t>
      </w:r>
      <w:r w:rsidR="005A1D75" w:rsidRPr="00021737">
        <w:rPr>
          <w:rStyle w:val="SingleTxtGChar"/>
          <w:b/>
          <w:iCs/>
          <w:lang w:val="es-ES_tradnl"/>
        </w:rPr>
        <w:t xml:space="preserve">ontra Toda Forma de Discriminación e Intolerancia de 2013. </w:t>
      </w:r>
    </w:p>
    <w:p w14:paraId="48A35708" w14:textId="03210BD0" w:rsidR="005A1D75" w:rsidRPr="005D6D2E" w:rsidRDefault="005A1D75" w:rsidP="005D6D2E">
      <w:pPr>
        <w:pStyle w:val="H23G"/>
        <w:rPr>
          <w:rStyle w:val="SingleTxtGChar"/>
          <w:b w:val="0"/>
          <w:iCs/>
          <w:lang w:val="es-ES_tradnl"/>
        </w:rPr>
      </w:pPr>
      <w:r w:rsidRPr="00021737">
        <w:rPr>
          <w:rStyle w:val="SingleTxtGChar"/>
          <w:iCs/>
          <w:lang w:val="es-ES_tradnl"/>
        </w:rPr>
        <w:tab/>
      </w:r>
      <w:r w:rsidR="004055C9">
        <w:rPr>
          <w:rStyle w:val="SingleTxtGChar"/>
          <w:iCs/>
          <w:lang w:val="es-ES_tradnl"/>
        </w:rPr>
        <w:tab/>
      </w:r>
      <w:r w:rsidRPr="00021737">
        <w:rPr>
          <w:rStyle w:val="SingleTxtGChar"/>
          <w:iCs/>
          <w:lang w:val="es-ES_tradnl"/>
        </w:rPr>
        <w:t xml:space="preserve">Enmienda al artículo 8 de la Convención </w:t>
      </w:r>
    </w:p>
    <w:p w14:paraId="3D4EA50C" w14:textId="13E121D6" w:rsidR="005A1D75" w:rsidRPr="00021737" w:rsidRDefault="00021737">
      <w:pPr>
        <w:pStyle w:val="SingleTxtG"/>
        <w:rPr>
          <w:rStyle w:val="SingleTxtGChar"/>
          <w:b/>
          <w:iCs/>
          <w:lang w:val="es-ES_tradnl"/>
        </w:rPr>
      </w:pPr>
      <w:r w:rsidRPr="005D6D2E">
        <w:rPr>
          <w:rStyle w:val="SingleTxtGChar"/>
          <w:iCs/>
          <w:lang w:val="es-ES_tradnl"/>
        </w:rPr>
        <w:t>43.</w:t>
      </w:r>
      <w:r w:rsidRPr="005D6D2E">
        <w:rPr>
          <w:rStyle w:val="SingleTxtGChar"/>
          <w:iCs/>
          <w:lang w:val="es-ES_tradnl"/>
        </w:rPr>
        <w:tab/>
      </w:r>
      <w:r w:rsidR="005A1D75" w:rsidRPr="00021737">
        <w:rPr>
          <w:rStyle w:val="SingleTxtGChar"/>
          <w:b/>
          <w:iCs/>
          <w:lang w:val="es-ES_tradnl"/>
        </w:rPr>
        <w:t>El Comité recomienda que el Estado parte ratifique la enmienda al artículo 8, párrafo 6</w:t>
      </w:r>
      <w:r w:rsidR="002C6CE6" w:rsidRPr="00021737">
        <w:rPr>
          <w:rStyle w:val="SingleTxtGChar"/>
          <w:b/>
          <w:iCs/>
          <w:lang w:val="es-ES_tradnl"/>
        </w:rPr>
        <w:t>,</w:t>
      </w:r>
      <w:r w:rsidR="005A1D75" w:rsidRPr="00021737">
        <w:rPr>
          <w:rStyle w:val="SingleTxtGChar"/>
          <w:b/>
          <w:iCs/>
          <w:lang w:val="es-ES_tradnl"/>
        </w:rPr>
        <w:t xml:space="preserve"> de la Convención, aprobada el 15 de enero de 1992 en la 14ª reunión de los</w:t>
      </w:r>
      <w:r w:rsidR="0031583A">
        <w:rPr>
          <w:rStyle w:val="SingleTxtGChar"/>
          <w:b/>
          <w:iCs/>
          <w:lang w:val="es-ES_tradnl"/>
        </w:rPr>
        <w:t> </w:t>
      </w:r>
      <w:r w:rsidR="005A1D75" w:rsidRPr="00021737">
        <w:rPr>
          <w:rStyle w:val="SingleTxtGChar"/>
          <w:b/>
          <w:iCs/>
          <w:lang w:val="es-ES_tradnl"/>
        </w:rPr>
        <w:t>Estados partes en la Convención y que hizo suya la Asamblea General en su resolución</w:t>
      </w:r>
      <w:r w:rsidR="0031583A">
        <w:rPr>
          <w:rStyle w:val="SingleTxtGChar"/>
          <w:b/>
          <w:iCs/>
          <w:lang w:val="es-ES_tradnl"/>
        </w:rPr>
        <w:t xml:space="preserve"> </w:t>
      </w:r>
      <w:r w:rsidR="005A1D75" w:rsidRPr="00021737">
        <w:rPr>
          <w:rStyle w:val="SingleTxtGChar"/>
          <w:b/>
          <w:iCs/>
          <w:lang w:val="es-ES_tradnl"/>
        </w:rPr>
        <w:t xml:space="preserve">47/111. </w:t>
      </w:r>
    </w:p>
    <w:p w14:paraId="0D1EA0B8" w14:textId="0D1FE74D" w:rsidR="005A1D75" w:rsidRPr="005D6D2E" w:rsidRDefault="00911CF4" w:rsidP="005D6D2E">
      <w:pPr>
        <w:pStyle w:val="H23G"/>
        <w:rPr>
          <w:rStyle w:val="SingleTxtGChar"/>
          <w:iCs/>
          <w:lang w:val="es-ES_tradnl"/>
        </w:rPr>
      </w:pP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Declaración y Programa de Acción de Durban</w:t>
      </w:r>
    </w:p>
    <w:p w14:paraId="6B0860C6" w14:textId="7D14C0A4" w:rsidR="005A1D75" w:rsidRPr="00021737" w:rsidRDefault="00021737">
      <w:pPr>
        <w:pStyle w:val="SingleTxtG"/>
        <w:rPr>
          <w:rStyle w:val="SingleTxtGChar"/>
          <w:b/>
          <w:iCs/>
          <w:lang w:val="es-ES_tradnl"/>
        </w:rPr>
      </w:pPr>
      <w:r w:rsidRPr="005D6D2E">
        <w:rPr>
          <w:rStyle w:val="SingleTxtGChar"/>
          <w:iCs/>
          <w:lang w:val="es-ES_tradnl"/>
        </w:rPr>
        <w:t>44.</w:t>
      </w:r>
      <w:r w:rsidRPr="005D6D2E">
        <w:rPr>
          <w:rStyle w:val="SingleTxtGChar"/>
          <w:iCs/>
          <w:lang w:val="es-ES_tradnl"/>
        </w:rPr>
        <w:tab/>
      </w:r>
      <w:r w:rsidR="005A1D75" w:rsidRPr="00021737">
        <w:rPr>
          <w:rStyle w:val="SingleTxtGChar"/>
          <w:b/>
          <w:iCs/>
          <w:lang w:val="es-ES_tradnl"/>
        </w:rPr>
        <w:t xml:space="preserve">A la luz de su </w:t>
      </w:r>
      <w:r w:rsidR="00123BE7" w:rsidRPr="00021737">
        <w:rPr>
          <w:rStyle w:val="SingleTxtGChar"/>
          <w:b/>
          <w:iCs/>
          <w:lang w:val="es-ES_tradnl"/>
        </w:rPr>
        <w:t>r</w:t>
      </w:r>
      <w:r w:rsidR="005A1D75" w:rsidRPr="00021737">
        <w:rPr>
          <w:rStyle w:val="SingleTxtGChar"/>
          <w:b/>
          <w:iCs/>
          <w:lang w:val="es-ES_tradnl"/>
        </w:rPr>
        <w:t xml:space="preserve">ecomendación general </w:t>
      </w:r>
      <w:r w:rsidR="00123BE7" w:rsidRPr="00021737">
        <w:rPr>
          <w:rStyle w:val="SingleTxtGChar"/>
          <w:b/>
          <w:iCs/>
          <w:lang w:val="es-ES_tradnl"/>
        </w:rPr>
        <w:t>núm.</w:t>
      </w:r>
      <w:r w:rsidR="005A1D75" w:rsidRPr="00021737">
        <w:rPr>
          <w:rStyle w:val="SingleTxtGChar"/>
          <w:b/>
          <w:iCs/>
          <w:lang w:val="es-ES_tradnl"/>
        </w:rPr>
        <w:t xml:space="preserve"> 33 (2009) sobre el seguimiento de la Conferencia de Examen de Durban, el Comité recomienda al Estado parte que, al incorporar la Convención en su legislación nacional, tenga en cuenta la Declaración y el Programa de Acción de Durban, aprobados en septiembre de 2001 por la Conferencia Mundial contra el Racismo, la Discriminación Racial, la Xenofobia y las Formas Conexas de Intolerancia, así como el documento final de la Conferencia de Examen de Durban, celebrada en abril de 2009. El Comité pide al Estado parte que en su próximo informe periódico incluya información concreta sobre </w:t>
      </w:r>
      <w:r w:rsidR="002C6CE6" w:rsidRPr="00021737">
        <w:rPr>
          <w:rStyle w:val="SingleTxtGChar"/>
          <w:b/>
          <w:iCs/>
          <w:lang w:val="es-ES_tradnl"/>
        </w:rPr>
        <w:t>el particular</w:t>
      </w:r>
      <w:r w:rsidR="005A1D75" w:rsidRPr="00021737">
        <w:rPr>
          <w:rStyle w:val="SingleTxtGChar"/>
          <w:b/>
          <w:iCs/>
          <w:lang w:val="es-ES_tradnl"/>
        </w:rPr>
        <w:t xml:space="preserve">. </w:t>
      </w:r>
    </w:p>
    <w:p w14:paraId="3B757308" w14:textId="12E3182B" w:rsidR="005A1D75" w:rsidRPr="005D6D2E" w:rsidRDefault="00911CF4" w:rsidP="005D6D2E">
      <w:pPr>
        <w:pStyle w:val="H23G"/>
        <w:rPr>
          <w:rStyle w:val="SingleTxtGChar"/>
          <w:iCs/>
          <w:lang w:val="es-ES_tradnl"/>
        </w:rPr>
      </w:pP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 xml:space="preserve">Decenio Internacional para los Afrodescendientes </w:t>
      </w:r>
    </w:p>
    <w:p w14:paraId="23CAD15A" w14:textId="1B287FD9" w:rsidR="005A1D75" w:rsidRPr="00021737" w:rsidRDefault="00021737">
      <w:pPr>
        <w:pStyle w:val="SingleTxtG"/>
        <w:rPr>
          <w:rStyle w:val="SingleTxtGChar"/>
          <w:b/>
          <w:iCs/>
          <w:lang w:val="es-ES_tradnl"/>
        </w:rPr>
      </w:pPr>
      <w:r w:rsidRPr="005D6D2E">
        <w:rPr>
          <w:rStyle w:val="SingleTxtGChar"/>
          <w:iCs/>
          <w:lang w:val="es-ES_tradnl"/>
        </w:rPr>
        <w:t>45.</w:t>
      </w:r>
      <w:r w:rsidRPr="005D6D2E">
        <w:rPr>
          <w:rStyle w:val="SingleTxtGChar"/>
          <w:iCs/>
          <w:lang w:val="es-ES_tradnl"/>
        </w:rPr>
        <w:tab/>
      </w:r>
      <w:r w:rsidR="005A1D75" w:rsidRPr="00021737">
        <w:rPr>
          <w:rStyle w:val="SingleTxtGChar"/>
          <w:b/>
          <w:iCs/>
          <w:lang w:val="es-ES_tradnl"/>
        </w:rPr>
        <w:t xml:space="preserve">A la luz de la resolución 68/237 de la Asamblea General proclamado el Decenio Internacional para los Afrodescendientes (2015-2024) y de la resolución 69/16 sobre el programa de actividades del Decenio, el Comité recomienda que el Estado parte prepare e implemente un programa adecuado de medidas y políticas. El Comité también solicita que en su próximo informe incluya información precisa sobre las medidas concretas adoptadas en este marco, a la luz de su </w:t>
      </w:r>
      <w:r w:rsidR="00123BE7" w:rsidRPr="00021737">
        <w:rPr>
          <w:rStyle w:val="SingleTxtGChar"/>
          <w:b/>
          <w:iCs/>
          <w:lang w:val="es-ES_tradnl"/>
        </w:rPr>
        <w:t>r</w:t>
      </w:r>
      <w:r w:rsidR="005A1D75" w:rsidRPr="00021737">
        <w:rPr>
          <w:rStyle w:val="SingleTxtGChar"/>
          <w:b/>
          <w:iCs/>
          <w:lang w:val="es-ES_tradnl"/>
        </w:rPr>
        <w:t xml:space="preserve">ecomendación </w:t>
      </w:r>
      <w:r w:rsidR="00123BE7" w:rsidRPr="00021737">
        <w:rPr>
          <w:rStyle w:val="SingleTxtGChar"/>
          <w:b/>
          <w:iCs/>
          <w:lang w:val="es-ES_tradnl"/>
        </w:rPr>
        <w:t>g</w:t>
      </w:r>
      <w:r w:rsidR="005A1D75" w:rsidRPr="00021737">
        <w:rPr>
          <w:rStyle w:val="SingleTxtGChar"/>
          <w:b/>
          <w:iCs/>
          <w:lang w:val="es-ES_tradnl"/>
        </w:rPr>
        <w:t xml:space="preserve">eneral </w:t>
      </w:r>
      <w:r w:rsidR="00123BE7" w:rsidRPr="00021737">
        <w:rPr>
          <w:rStyle w:val="SingleTxtGChar"/>
          <w:b/>
          <w:iCs/>
          <w:lang w:val="es-ES_tradnl"/>
        </w:rPr>
        <w:t>núm.</w:t>
      </w:r>
      <w:r w:rsidR="004055C9">
        <w:rPr>
          <w:rStyle w:val="SingleTxtGChar"/>
          <w:b/>
          <w:iCs/>
          <w:lang w:val="es-ES_tradnl"/>
        </w:rPr>
        <w:t> </w:t>
      </w:r>
      <w:r w:rsidR="005A1D75" w:rsidRPr="00021737">
        <w:rPr>
          <w:rStyle w:val="SingleTxtGChar"/>
          <w:b/>
          <w:iCs/>
          <w:lang w:val="es-ES_tradnl"/>
        </w:rPr>
        <w:t>34 (2011) sobre la discriminación racial contra afrodescendientes.</w:t>
      </w:r>
    </w:p>
    <w:p w14:paraId="36CE1C33" w14:textId="17F56034" w:rsidR="005A1D75" w:rsidRPr="005D6D2E" w:rsidRDefault="00911CF4" w:rsidP="005D6D2E">
      <w:pPr>
        <w:pStyle w:val="H23G"/>
        <w:rPr>
          <w:rStyle w:val="SingleTxtGChar"/>
          <w:iCs/>
          <w:lang w:val="es-ES_tradnl"/>
        </w:rPr>
      </w:pP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Difusión de los informes y de las observaciones finales</w:t>
      </w:r>
    </w:p>
    <w:p w14:paraId="1C1C9457" w14:textId="2CAC3D1F" w:rsidR="005A1D75" w:rsidRPr="00021737" w:rsidRDefault="00021737">
      <w:pPr>
        <w:pStyle w:val="SingleTxtG"/>
        <w:rPr>
          <w:rStyle w:val="SingleTxtGChar"/>
          <w:b/>
          <w:iCs/>
          <w:lang w:val="es-ES_tradnl"/>
        </w:rPr>
      </w:pPr>
      <w:r w:rsidRPr="005D6D2E">
        <w:rPr>
          <w:rStyle w:val="SingleTxtGChar"/>
          <w:iCs/>
          <w:lang w:val="es-ES_tradnl"/>
        </w:rPr>
        <w:t>46.</w:t>
      </w:r>
      <w:r w:rsidRPr="005D6D2E">
        <w:rPr>
          <w:rStyle w:val="SingleTxtGChar"/>
          <w:iCs/>
          <w:lang w:val="es-ES_tradnl"/>
        </w:rPr>
        <w:tab/>
      </w:r>
      <w:r w:rsidR="005A1D75" w:rsidRPr="00021737">
        <w:rPr>
          <w:rStyle w:val="SingleTxtGChar"/>
          <w:b/>
          <w:iCs/>
          <w:lang w:val="es-ES_tradnl"/>
        </w:rPr>
        <w:t>El Comité recomienda que el Estado parte ponga sus informes a disposición del público desde el momento mismo de su presentación y que difunda las presentes observaciones finales en ambas lenguas oficiales, así como en otras lenguas de uso común.</w:t>
      </w:r>
    </w:p>
    <w:p w14:paraId="0F738FD8" w14:textId="119307A7" w:rsidR="005A1D75" w:rsidRPr="005D6D2E" w:rsidRDefault="00911CF4" w:rsidP="005D6D2E">
      <w:pPr>
        <w:pStyle w:val="H23G"/>
        <w:rPr>
          <w:rStyle w:val="SingleTxtGChar"/>
          <w:iCs/>
          <w:lang w:val="es-ES_tradnl"/>
        </w:rPr>
      </w:pP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Consultas con organizaciones de la sociedad civil</w:t>
      </w:r>
    </w:p>
    <w:p w14:paraId="5F621AD2" w14:textId="43D9352D" w:rsidR="005A1D75" w:rsidRPr="00021737" w:rsidRDefault="00021737">
      <w:pPr>
        <w:pStyle w:val="SingleTxtG"/>
        <w:rPr>
          <w:rStyle w:val="SingleTxtGChar"/>
          <w:b/>
          <w:iCs/>
          <w:lang w:val="es-ES_tradnl"/>
        </w:rPr>
      </w:pPr>
      <w:r w:rsidRPr="005D6D2E">
        <w:rPr>
          <w:rStyle w:val="SingleTxtGChar"/>
          <w:iCs/>
          <w:lang w:val="es-ES_tradnl"/>
        </w:rPr>
        <w:t>47.</w:t>
      </w:r>
      <w:r w:rsidRPr="005D6D2E">
        <w:rPr>
          <w:rStyle w:val="SingleTxtGChar"/>
          <w:iCs/>
          <w:lang w:val="es-ES_tradnl"/>
        </w:rPr>
        <w:tab/>
      </w:r>
      <w:r w:rsidR="005A1D75" w:rsidRPr="00021737">
        <w:rPr>
          <w:rStyle w:val="SingleTxtGChar"/>
          <w:b/>
          <w:iCs/>
          <w:lang w:val="es-ES_tradnl"/>
        </w:rPr>
        <w:t>El Comité recomienda al Estado parte que celebre consultas y extienda su diálogo con las organizaciones de la sociedad civil dedicadas a la protección de los derechos humanos, en particular a la lucha contra la discriminación racial, en relación con la preparación del próximo informe periódico y el seguimiento de las presentes observaciones finales.</w:t>
      </w:r>
    </w:p>
    <w:p w14:paraId="51ABE3D2" w14:textId="72615FCF" w:rsidR="005A1D75" w:rsidRPr="005D6D2E" w:rsidRDefault="00911CF4" w:rsidP="005D6D2E">
      <w:pPr>
        <w:pStyle w:val="H23G"/>
        <w:rPr>
          <w:rStyle w:val="SingleTxtGChar"/>
          <w:iCs/>
          <w:lang w:val="es-ES_tradnl"/>
        </w:rPr>
      </w:pPr>
      <w:r w:rsidRPr="005D6D2E">
        <w:rPr>
          <w:rStyle w:val="SingleTxtGChar"/>
          <w:iCs/>
          <w:lang w:val="es-ES_tradnl"/>
        </w:rPr>
        <w:tab/>
      </w: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Seguimiento de las observaciones finales</w:t>
      </w:r>
    </w:p>
    <w:p w14:paraId="4A4FE0F4" w14:textId="0C002DED" w:rsidR="005A1D75" w:rsidRPr="00021737" w:rsidRDefault="00021737">
      <w:pPr>
        <w:pStyle w:val="SingleTxtG"/>
        <w:rPr>
          <w:rStyle w:val="SingleTxtGChar"/>
          <w:b/>
          <w:iCs/>
          <w:lang w:val="es-ES_tradnl"/>
        </w:rPr>
      </w:pPr>
      <w:r w:rsidRPr="005D6D2E">
        <w:rPr>
          <w:rStyle w:val="SingleTxtGChar"/>
          <w:iCs/>
          <w:lang w:val="es-ES_tradnl"/>
        </w:rPr>
        <w:t>48.</w:t>
      </w:r>
      <w:r w:rsidRPr="005D6D2E">
        <w:rPr>
          <w:rStyle w:val="SingleTxtGChar"/>
          <w:iCs/>
          <w:lang w:val="es-ES_tradnl"/>
        </w:rPr>
        <w:tab/>
      </w:r>
      <w:r w:rsidR="005A1D75" w:rsidRPr="00021737">
        <w:rPr>
          <w:rStyle w:val="SingleTxtGChar"/>
          <w:b/>
          <w:iCs/>
          <w:lang w:val="es-ES_tradnl"/>
        </w:rPr>
        <w:t>De conformidad con el artículo 9</w:t>
      </w:r>
      <w:r w:rsidR="002C6CE6" w:rsidRPr="00021737">
        <w:rPr>
          <w:rStyle w:val="SingleTxtGChar"/>
          <w:b/>
          <w:iCs/>
          <w:lang w:val="es-ES_tradnl"/>
        </w:rPr>
        <w:t>, párr.</w:t>
      </w:r>
      <w:r w:rsidR="005A1D75" w:rsidRPr="00021737">
        <w:rPr>
          <w:rStyle w:val="SingleTxtGChar"/>
          <w:b/>
          <w:iCs/>
          <w:lang w:val="es-ES_tradnl"/>
        </w:rPr>
        <w:t xml:space="preserve"> 1</w:t>
      </w:r>
      <w:r w:rsidR="002C6CE6" w:rsidRPr="00021737">
        <w:rPr>
          <w:rStyle w:val="SingleTxtGChar"/>
          <w:b/>
          <w:iCs/>
          <w:lang w:val="es-ES_tradnl"/>
        </w:rPr>
        <w:t>,</w:t>
      </w:r>
      <w:r w:rsidR="005A1D75" w:rsidRPr="00021737">
        <w:rPr>
          <w:rStyle w:val="SingleTxtGChar"/>
          <w:b/>
          <w:iCs/>
          <w:lang w:val="es-ES_tradnl"/>
        </w:rPr>
        <w:t xml:space="preserve"> de la Convención y del artículo 65 de su reglamento enmendado, el Comité pide al Estado parte que, en el plazo de un año a partir de la aprobación de las presentes observaciones finales, le presente información sobre el curso dado a las recomendaciones que figuran en los párrafos 23</w:t>
      </w:r>
      <w:r w:rsidR="00123BE7" w:rsidRPr="00021737">
        <w:rPr>
          <w:rStyle w:val="SingleTxtGChar"/>
          <w:b/>
          <w:iCs/>
          <w:lang w:val="es-ES_tradnl"/>
        </w:rPr>
        <w:t>, apdo.</w:t>
      </w:r>
      <w:r w:rsidR="005A1D75" w:rsidRPr="00021737">
        <w:rPr>
          <w:rStyle w:val="SingleTxtGChar"/>
          <w:b/>
          <w:iCs/>
          <w:lang w:val="es-ES_tradnl"/>
        </w:rPr>
        <w:t xml:space="preserve"> c), 25</w:t>
      </w:r>
      <w:r w:rsidR="00123BE7" w:rsidRPr="00021737">
        <w:rPr>
          <w:rStyle w:val="SingleTxtGChar"/>
          <w:b/>
          <w:iCs/>
          <w:lang w:val="es-ES_tradnl"/>
        </w:rPr>
        <w:t>, apdo.</w:t>
      </w:r>
      <w:r w:rsidR="005A1D75" w:rsidRPr="00021737">
        <w:rPr>
          <w:rStyle w:val="SingleTxtGChar"/>
          <w:b/>
          <w:iCs/>
          <w:lang w:val="es-ES_tradnl"/>
        </w:rPr>
        <w:t xml:space="preserve"> d)</w:t>
      </w:r>
      <w:r w:rsidR="00123BE7" w:rsidRPr="00021737">
        <w:rPr>
          <w:rStyle w:val="SingleTxtGChar"/>
          <w:b/>
          <w:iCs/>
          <w:lang w:val="es-ES_tradnl"/>
        </w:rPr>
        <w:t>,</w:t>
      </w:r>
      <w:r w:rsidR="005A1D75" w:rsidRPr="00021737">
        <w:rPr>
          <w:rStyle w:val="SingleTxtGChar"/>
          <w:b/>
          <w:iCs/>
          <w:lang w:val="es-ES_tradnl"/>
        </w:rPr>
        <w:t xml:space="preserve"> y 27.</w:t>
      </w:r>
    </w:p>
    <w:p w14:paraId="7575DF88" w14:textId="07403686" w:rsidR="005A1D75" w:rsidRPr="005D6D2E" w:rsidRDefault="00911CF4" w:rsidP="005D6D2E">
      <w:pPr>
        <w:pStyle w:val="H23G"/>
        <w:rPr>
          <w:rStyle w:val="SingleTxtGChar"/>
          <w:iCs/>
          <w:lang w:val="es-ES_tradnl"/>
        </w:rPr>
      </w:pP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Párrafos de particular importancia</w:t>
      </w:r>
    </w:p>
    <w:p w14:paraId="460D5E04" w14:textId="47634416" w:rsidR="005A1D75" w:rsidRPr="00021737" w:rsidRDefault="00021737">
      <w:pPr>
        <w:pStyle w:val="SingleTxtG"/>
        <w:rPr>
          <w:rStyle w:val="SingleTxtGChar"/>
          <w:b/>
          <w:iCs/>
          <w:lang w:val="es-ES_tradnl"/>
        </w:rPr>
      </w:pPr>
      <w:r w:rsidRPr="005D6D2E">
        <w:rPr>
          <w:rStyle w:val="SingleTxtGChar"/>
          <w:iCs/>
          <w:lang w:val="es-ES_tradnl"/>
        </w:rPr>
        <w:t>49.</w:t>
      </w:r>
      <w:r w:rsidRPr="005D6D2E">
        <w:rPr>
          <w:rStyle w:val="SingleTxtGChar"/>
          <w:iCs/>
          <w:lang w:val="es-ES_tradnl"/>
        </w:rPr>
        <w:tab/>
      </w:r>
      <w:r w:rsidR="005A1D75" w:rsidRPr="00021737">
        <w:rPr>
          <w:rStyle w:val="SingleTxtGChar"/>
          <w:b/>
          <w:iCs/>
          <w:lang w:val="es-ES_tradnl"/>
        </w:rPr>
        <w:t>El Comité desea asimismo señalar al Estado parte la particular importancia de las recomendaciones que figuran en los párrafos 13, 31 y 41, y pide al Estado parte que en su próximo informe periódico incluya información detallada sobre las medidas concretas que adopte para aplicarlas.</w:t>
      </w:r>
    </w:p>
    <w:p w14:paraId="09DC91CE" w14:textId="46C1699C" w:rsidR="005A1D75" w:rsidRPr="005D6D2E" w:rsidRDefault="00911CF4" w:rsidP="005D6D2E">
      <w:pPr>
        <w:pStyle w:val="H23G"/>
        <w:rPr>
          <w:rStyle w:val="SingleTxtGChar"/>
          <w:iCs/>
          <w:lang w:val="es-ES_tradnl"/>
        </w:rPr>
      </w:pPr>
      <w:r w:rsidRPr="005D6D2E">
        <w:rPr>
          <w:rStyle w:val="SingleTxtGChar"/>
          <w:iCs/>
          <w:lang w:val="es-ES_tradnl"/>
        </w:rPr>
        <w:tab/>
      </w:r>
      <w:r w:rsidRPr="005D6D2E">
        <w:rPr>
          <w:rStyle w:val="SingleTxtGChar"/>
          <w:iCs/>
          <w:lang w:val="es-ES_tradnl"/>
        </w:rPr>
        <w:tab/>
      </w:r>
      <w:r w:rsidR="005A1D75" w:rsidRPr="005D6D2E">
        <w:rPr>
          <w:rStyle w:val="SingleTxtGChar"/>
          <w:iCs/>
          <w:lang w:val="es-ES_tradnl"/>
        </w:rPr>
        <w:t>Preparación del próximo informe</w:t>
      </w:r>
    </w:p>
    <w:p w14:paraId="4F656796" w14:textId="7D229678" w:rsidR="005A1D75" w:rsidRPr="009450DE" w:rsidRDefault="00021737" w:rsidP="005D6D2E">
      <w:pPr>
        <w:pStyle w:val="SingleTxtG"/>
        <w:rPr>
          <w:rStyle w:val="SingleTxtGChar"/>
          <w:b/>
          <w:iCs/>
          <w:lang w:val="es-ES_tradnl"/>
        </w:rPr>
      </w:pPr>
      <w:r w:rsidRPr="005D6D2E">
        <w:rPr>
          <w:rStyle w:val="SingleTxtGChar"/>
          <w:iCs/>
          <w:lang w:val="es-ES_tradnl"/>
        </w:rPr>
        <w:t>50.</w:t>
      </w:r>
      <w:r w:rsidRPr="005D6D2E">
        <w:rPr>
          <w:rStyle w:val="SingleTxtGChar"/>
          <w:iCs/>
          <w:lang w:val="es-ES_tradnl"/>
        </w:rPr>
        <w:tab/>
      </w:r>
      <w:r w:rsidR="005A1D75" w:rsidRPr="00021737">
        <w:rPr>
          <w:rStyle w:val="SingleTxtGChar"/>
          <w:b/>
          <w:iCs/>
          <w:lang w:val="es-ES_tradnl"/>
        </w:rPr>
        <w:t>El Comité recomienda al Estado parte que prese</w:t>
      </w:r>
      <w:r w:rsidR="007049DA" w:rsidRPr="00021737">
        <w:rPr>
          <w:rStyle w:val="SingleTxtGChar"/>
          <w:b/>
          <w:iCs/>
          <w:lang w:val="es-ES_tradnl"/>
        </w:rPr>
        <w:t>nte sus informes periódicos 24º</w:t>
      </w:r>
      <w:r w:rsidR="00BB508F" w:rsidRPr="00021737">
        <w:rPr>
          <w:rStyle w:val="SingleTxtGChar"/>
          <w:b/>
          <w:iCs/>
          <w:lang w:val="es-ES_tradnl"/>
        </w:rPr>
        <w:t xml:space="preserve"> y </w:t>
      </w:r>
      <w:r w:rsidR="005A1D75" w:rsidRPr="00021737">
        <w:rPr>
          <w:rStyle w:val="SingleTxtGChar"/>
          <w:b/>
          <w:iCs/>
          <w:lang w:val="es-ES_tradnl"/>
        </w:rPr>
        <w:t>25</w:t>
      </w:r>
      <w:r w:rsidR="004055C9">
        <w:rPr>
          <w:rStyle w:val="SingleTxtGChar"/>
          <w:b/>
          <w:iCs/>
          <w:lang w:val="es-ES_tradnl"/>
        </w:rPr>
        <w:t>º</w:t>
      </w:r>
      <w:r w:rsidR="005A1D75" w:rsidRPr="00021737">
        <w:rPr>
          <w:rStyle w:val="SingleTxtGChar"/>
          <w:b/>
          <w:iCs/>
          <w:lang w:val="es-ES_tradnl"/>
        </w:rPr>
        <w:t xml:space="preserve"> en un solo documento combinado a más tardar el 29 de </w:t>
      </w:r>
      <w:r w:rsidR="006379C8" w:rsidRPr="00021737">
        <w:rPr>
          <w:rStyle w:val="SingleTxtGChar"/>
          <w:b/>
          <w:iCs/>
          <w:lang w:val="es-ES_tradnl"/>
        </w:rPr>
        <w:t>octubre</w:t>
      </w:r>
      <w:r w:rsidR="005A1D75" w:rsidRPr="00021737">
        <w:rPr>
          <w:rStyle w:val="SingleTxtGChar"/>
          <w:b/>
          <w:iCs/>
          <w:lang w:val="es-ES_tradnl"/>
        </w:rPr>
        <w:t xml:space="preserve"> de 2022, teniendo en cuenta las directrices relativas al documento específicamente destinado al Comité, aprobadas por </w:t>
      </w:r>
      <w:r w:rsidR="002C6CE6" w:rsidRPr="00021737">
        <w:rPr>
          <w:rStyle w:val="SingleTxtGChar"/>
          <w:b/>
          <w:iCs/>
          <w:lang w:val="es-ES_tradnl"/>
        </w:rPr>
        <w:t>e</w:t>
      </w:r>
      <w:r w:rsidR="005A1D75" w:rsidRPr="00021737">
        <w:rPr>
          <w:rStyle w:val="SingleTxtGChar"/>
          <w:b/>
          <w:iCs/>
          <w:lang w:val="es-ES_tradnl"/>
        </w:rPr>
        <w:t>ste en su 71</w:t>
      </w:r>
      <w:r w:rsidR="004055C9" w:rsidRPr="005D6D2E">
        <w:rPr>
          <w:rStyle w:val="SingleTxtGChar"/>
          <w:b/>
          <w:iCs/>
          <w:vertAlign w:val="superscript"/>
          <w:lang w:val="es-ES_tradnl"/>
        </w:rPr>
        <w:t>er</w:t>
      </w:r>
      <w:r w:rsidR="005A1D75" w:rsidRPr="00021737">
        <w:rPr>
          <w:rStyle w:val="SingleTxtGChar"/>
          <w:b/>
          <w:iCs/>
          <w:lang w:val="es-ES_tradnl"/>
        </w:rPr>
        <w:t xml:space="preserve"> período de sesiones (CERD/C/2007/1), y que en dicho documento se aborden todas las cuestiones planteadas en las presentes observaciones finales. A la luz de la resolución 68/268 de la Asamblea General, el Comité insta al Estado parte a respetar el límite de 21.200 palabras para los informes periódicos</w:t>
      </w:r>
      <w:r w:rsidR="004E139F" w:rsidRPr="00021737">
        <w:rPr>
          <w:rStyle w:val="SingleTxtGChar"/>
          <w:b/>
          <w:iCs/>
          <w:lang w:val="es-ES_tradnl"/>
        </w:rPr>
        <w:t>.</w:t>
      </w:r>
    </w:p>
    <w:p w14:paraId="1E768E97" w14:textId="32F3730E" w:rsidR="003F2EFE" w:rsidRPr="00295A44" w:rsidRDefault="003F2EFE" w:rsidP="005D6D2E">
      <w:pPr>
        <w:pStyle w:val="SingleTxtG"/>
        <w:suppressAutoHyphens/>
        <w:spacing w:before="240" w:after="0"/>
        <w:jc w:val="center"/>
        <w:rPr>
          <w:lang w:val="es-ES_tradnl"/>
        </w:rPr>
      </w:pPr>
      <w:r w:rsidRPr="00295A44">
        <w:rPr>
          <w:u w:val="single"/>
          <w:lang w:val="es-ES_tradnl"/>
        </w:rPr>
        <w:tab/>
      </w:r>
      <w:r w:rsidRPr="00295A44">
        <w:rPr>
          <w:u w:val="single"/>
          <w:lang w:val="es-ES_tradnl"/>
        </w:rPr>
        <w:tab/>
      </w:r>
      <w:r w:rsidRPr="00295A44">
        <w:rPr>
          <w:u w:val="single"/>
          <w:lang w:val="es-ES_tradnl"/>
        </w:rPr>
        <w:tab/>
      </w:r>
      <w:bookmarkStart w:id="0" w:name="_GoBack"/>
      <w:bookmarkEnd w:id="0"/>
    </w:p>
    <w:sectPr w:rsidR="003F2EFE" w:rsidRPr="00295A44" w:rsidSect="005D6D2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B2BB" w14:textId="77777777" w:rsidR="00327B02" w:rsidRDefault="00327B02">
      <w:r>
        <w:separator/>
      </w:r>
    </w:p>
  </w:endnote>
  <w:endnote w:type="continuationSeparator" w:id="0">
    <w:p w14:paraId="26A8344F" w14:textId="77777777" w:rsidR="00327B02" w:rsidRDefault="0032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201C" w14:textId="31F525AE" w:rsidR="00AC7597" w:rsidRPr="002227A5" w:rsidRDefault="00AC7597" w:rsidP="002227A5">
    <w:pPr>
      <w:pStyle w:val="Footer"/>
      <w:tabs>
        <w:tab w:val="right" w:pos="9638"/>
      </w:tabs>
    </w:pPr>
    <w:r w:rsidRPr="002227A5">
      <w:rPr>
        <w:b/>
        <w:sz w:val="18"/>
      </w:rPr>
      <w:fldChar w:fldCharType="begin"/>
    </w:r>
    <w:r w:rsidRPr="002227A5">
      <w:rPr>
        <w:b/>
        <w:sz w:val="18"/>
      </w:rPr>
      <w:instrText xml:space="preserve"> PAGE  \* MERGEFORMAT </w:instrText>
    </w:r>
    <w:r w:rsidRPr="002227A5">
      <w:rPr>
        <w:b/>
        <w:sz w:val="18"/>
      </w:rPr>
      <w:fldChar w:fldCharType="separate"/>
    </w:r>
    <w:r w:rsidR="001E2103">
      <w:rPr>
        <w:b/>
        <w:noProof/>
        <w:sz w:val="18"/>
      </w:rPr>
      <w:t>8</w:t>
    </w:r>
    <w:r w:rsidRPr="002227A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BA6FC" w14:textId="0F3A7543" w:rsidR="00AC7597" w:rsidRPr="002227A5" w:rsidRDefault="00AC7597" w:rsidP="002227A5">
    <w:pPr>
      <w:pStyle w:val="Footer"/>
      <w:tabs>
        <w:tab w:val="right" w:pos="9638"/>
      </w:tabs>
      <w:rPr>
        <w:b/>
        <w:sz w:val="18"/>
      </w:rPr>
    </w:pPr>
    <w:r>
      <w:tab/>
    </w:r>
    <w:r w:rsidRPr="002227A5">
      <w:rPr>
        <w:b/>
        <w:sz w:val="18"/>
      </w:rPr>
      <w:fldChar w:fldCharType="begin"/>
    </w:r>
    <w:r w:rsidRPr="002227A5">
      <w:rPr>
        <w:b/>
        <w:sz w:val="18"/>
      </w:rPr>
      <w:instrText xml:space="preserve"> PAGE  \* MERGEFORMAT </w:instrText>
    </w:r>
    <w:r w:rsidRPr="002227A5">
      <w:rPr>
        <w:b/>
        <w:sz w:val="18"/>
      </w:rPr>
      <w:fldChar w:fldCharType="separate"/>
    </w:r>
    <w:r w:rsidR="001E2103">
      <w:rPr>
        <w:b/>
        <w:noProof/>
        <w:sz w:val="18"/>
      </w:rPr>
      <w:t>9</w:t>
    </w:r>
    <w:r w:rsidRPr="002227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D941" w14:textId="1063CFE6" w:rsidR="00CA1956" w:rsidRPr="00B760C5" w:rsidRDefault="00B760C5" w:rsidP="00B760C5">
    <w:pPr>
      <w:pStyle w:val="Footer"/>
      <w:spacing w:before="120" w:line="240" w:lineRule="auto"/>
      <w:rPr>
        <w:sz w:val="20"/>
      </w:rPr>
    </w:pPr>
    <w:r>
      <w:rPr>
        <w:sz w:val="20"/>
      </w:rPr>
      <w:t>GE.18-08283  (S)</w:t>
    </w:r>
    <w:r>
      <w:rPr>
        <w:sz w:val="20"/>
      </w:rPr>
      <w:br/>
    </w:r>
    <w:r w:rsidRPr="00B760C5">
      <w:rPr>
        <w:rFonts w:ascii="C39T30Lfz" w:hAnsi="C39T30Lfz"/>
        <w:sz w:val="56"/>
      </w:rPr>
      <w:t></w:t>
    </w:r>
    <w:r w:rsidRPr="00B760C5">
      <w:rPr>
        <w:rFonts w:ascii="C39T30Lfz" w:hAnsi="C39T30Lfz"/>
        <w:sz w:val="56"/>
      </w:rPr>
      <w:t></w:t>
    </w:r>
    <w:r w:rsidRPr="00B760C5">
      <w:rPr>
        <w:rFonts w:ascii="C39T30Lfz" w:hAnsi="C39T30Lfz"/>
        <w:sz w:val="56"/>
      </w:rPr>
      <w:t></w:t>
    </w:r>
    <w:r w:rsidRPr="00B760C5">
      <w:rPr>
        <w:rFonts w:ascii="C39T30Lfz" w:hAnsi="C39T30Lfz"/>
        <w:sz w:val="56"/>
      </w:rPr>
      <w:t></w:t>
    </w:r>
    <w:r w:rsidRPr="00B760C5">
      <w:rPr>
        <w:rFonts w:ascii="C39T30Lfz" w:hAnsi="C39T30Lfz"/>
        <w:sz w:val="56"/>
      </w:rPr>
      <w:t></w:t>
    </w:r>
    <w:r w:rsidRPr="00B760C5">
      <w:rPr>
        <w:rFonts w:ascii="C39T30Lfz" w:hAnsi="C39T30Lfz"/>
        <w:sz w:val="56"/>
      </w:rPr>
      <w:t></w:t>
    </w:r>
    <w:r w:rsidRPr="00B760C5">
      <w:rPr>
        <w:rFonts w:ascii="C39T30Lfz" w:hAnsi="C39T30Lfz"/>
        <w:sz w:val="56"/>
      </w:rPr>
      <w:t></w:t>
    </w:r>
    <w:r w:rsidRPr="00B760C5">
      <w:rPr>
        <w:rFonts w:ascii="C39T30Lfz" w:hAnsi="C39T30Lfz"/>
        <w:sz w:val="56"/>
      </w:rPr>
      <w:t></w:t>
    </w:r>
    <w:r w:rsidRPr="00B760C5">
      <w:rPr>
        <w:rFonts w:ascii="C39T30Lfz" w:hAnsi="C39T30Lfz"/>
        <w:sz w:val="56"/>
      </w:rPr>
      <w:t></w:t>
    </w:r>
    <w:r w:rsidRPr="00B760C5">
      <w:rPr>
        <w:rFonts w:ascii="C39T30Lfz" w:hAnsi="C39T30Lfz"/>
        <w:noProof/>
        <w:sz w:val="56"/>
        <w:lang w:eastAsia="zh-CN"/>
      </w:rPr>
      <w:drawing>
        <wp:anchor distT="0" distB="0" distL="114300" distR="114300" simplePos="0" relativeHeight="251660288" behindDoc="0" locked="1" layoutInCell="1" allowOverlap="1" wp14:anchorId="602B65F9" wp14:editId="7BF3DCDE">
          <wp:simplePos x="0" y="0"/>
          <wp:positionH relativeFrom="margin">
            <wp:posOffset>4319905</wp:posOffset>
          </wp:positionH>
          <wp:positionV relativeFrom="margin">
            <wp:posOffset>9145270</wp:posOffset>
          </wp:positionV>
          <wp:extent cx="1087200" cy="230400"/>
          <wp:effectExtent l="0" t="0" r="0" b="0"/>
          <wp:wrapNone/>
          <wp:docPr id="2"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3774B3CD" wp14:editId="21C2F011">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ERD/C/PER/CO/22-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ER/CO/22-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328A" w14:textId="77777777" w:rsidR="00327B02" w:rsidRPr="001075E9" w:rsidRDefault="00327B02" w:rsidP="001075E9">
      <w:pPr>
        <w:tabs>
          <w:tab w:val="right" w:pos="2155"/>
        </w:tabs>
        <w:spacing w:after="80" w:line="240" w:lineRule="auto"/>
        <w:ind w:left="680"/>
        <w:rPr>
          <w:u w:val="single"/>
        </w:rPr>
      </w:pPr>
      <w:r>
        <w:rPr>
          <w:u w:val="single"/>
        </w:rPr>
        <w:tab/>
      </w:r>
    </w:p>
  </w:footnote>
  <w:footnote w:type="continuationSeparator" w:id="0">
    <w:p w14:paraId="27084CFD" w14:textId="77777777" w:rsidR="00327B02" w:rsidRDefault="00327B02">
      <w:r>
        <w:continuationSeparator/>
      </w:r>
    </w:p>
  </w:footnote>
  <w:footnote w:id="1">
    <w:p w14:paraId="61CB6D39" w14:textId="787D0057" w:rsidR="00850CDF" w:rsidRPr="00E057FE" w:rsidRDefault="00850CDF" w:rsidP="00D64E02">
      <w:pPr>
        <w:pStyle w:val="FootnoteText"/>
      </w:pPr>
      <w:r w:rsidRPr="00D64E02">
        <w:tab/>
      </w:r>
      <w:r w:rsidRPr="00D64E02">
        <w:rPr>
          <w:rStyle w:val="FootnoteReference"/>
          <w:sz w:val="20"/>
          <w:vertAlign w:val="baseline"/>
        </w:rPr>
        <w:t>*</w:t>
      </w:r>
      <w:r w:rsidRPr="00D64E02">
        <w:tab/>
        <w:t>Aprobadas por el Comité en su 95</w:t>
      </w:r>
      <w:r w:rsidR="00021737" w:rsidRPr="00D64E02">
        <w:t>º</w:t>
      </w:r>
      <w:r w:rsidRPr="00D64E02">
        <w:t xml:space="preserve"> período de sesiones (23 de abril </w:t>
      </w:r>
      <w:r w:rsidR="001C28F1" w:rsidRPr="00D64E02">
        <w:t>a</w:t>
      </w:r>
      <w:r w:rsidRPr="00D64E02">
        <w:t xml:space="preserve"> 11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DE9A" w14:textId="44AC343A" w:rsidR="00AC7597" w:rsidRPr="001D7BEC" w:rsidRDefault="00850CDF">
    <w:pPr>
      <w:pStyle w:val="Header"/>
      <w:rPr>
        <w:lang w:val="en-GB"/>
      </w:rPr>
    </w:pPr>
    <w:r w:rsidRPr="00850CDF">
      <w:rPr>
        <w:lang w:val="en-GB"/>
      </w:rPr>
      <w:t>CERD/C/PER/CO/22-23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B2F6" w14:textId="52A6622C" w:rsidR="00AC7597" w:rsidRPr="001D7BEC" w:rsidRDefault="00E16AC9" w:rsidP="005D6D2E">
    <w:pPr>
      <w:pStyle w:val="Header"/>
      <w:tabs>
        <w:tab w:val="left" w:pos="7668"/>
        <w:tab w:val="right" w:pos="9638"/>
      </w:tabs>
      <w:rPr>
        <w:lang w:val="en-GB"/>
      </w:rPr>
    </w:pPr>
    <w:r>
      <w:tab/>
    </w:r>
    <w:r>
      <w:tab/>
    </w:r>
    <w:r w:rsidR="00850CDF" w:rsidRPr="00C62612">
      <w:rPr>
        <w:lang w:val="en-GB"/>
      </w:rPr>
      <w:t>CERD/C/PER/CO/22-23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53BF" w14:textId="77777777" w:rsidR="00B760C5" w:rsidRDefault="00B76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C64BD"/>
    <w:multiLevelType w:val="hybridMultilevel"/>
    <w:tmpl w:val="C50E348E"/>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037B4095"/>
    <w:multiLevelType w:val="hybridMultilevel"/>
    <w:tmpl w:val="9C10A2D0"/>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2" w15:restartNumberingAfterBreak="0">
    <w:nsid w:val="03CA0C80"/>
    <w:multiLevelType w:val="hybridMultilevel"/>
    <w:tmpl w:val="600C23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F71697"/>
    <w:multiLevelType w:val="hybridMultilevel"/>
    <w:tmpl w:val="B032F9E0"/>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0D4705D0"/>
    <w:multiLevelType w:val="hybridMultilevel"/>
    <w:tmpl w:val="83280E56"/>
    <w:lvl w:ilvl="0" w:tplc="A1722CA8">
      <w:start w:val="1"/>
      <w:numFmt w:val="lowerLetter"/>
      <w:lvlText w:val="%1)"/>
      <w:lvlJc w:val="left"/>
      <w:pPr>
        <w:ind w:left="2599" w:hanging="744"/>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6848C5"/>
    <w:multiLevelType w:val="hybridMultilevel"/>
    <w:tmpl w:val="FC12D08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0F7A730E"/>
    <w:multiLevelType w:val="hybridMultilevel"/>
    <w:tmpl w:val="627C9A60"/>
    <w:lvl w:ilvl="0" w:tplc="DB76D2B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0BC248D"/>
    <w:multiLevelType w:val="hybridMultilevel"/>
    <w:tmpl w:val="BF722F48"/>
    <w:lvl w:ilvl="0" w:tplc="6E52A160">
      <w:start w:val="1"/>
      <w:numFmt w:val="lowerLetter"/>
      <w:lvlText w:val="%1)"/>
      <w:lvlJc w:val="left"/>
      <w:pPr>
        <w:ind w:left="2409" w:hanging="360"/>
      </w:pPr>
      <w:rPr>
        <w:b/>
        <w:i w:val="0"/>
        <w:color w:val="auto"/>
      </w:rPr>
    </w:lvl>
    <w:lvl w:ilvl="1" w:tplc="6E52A160">
      <w:start w:val="1"/>
      <w:numFmt w:val="lowerLetter"/>
      <w:lvlText w:val="%2)"/>
      <w:lvlJc w:val="left"/>
      <w:pPr>
        <w:ind w:left="3129" w:hanging="360"/>
      </w:pPr>
      <w:rPr>
        <w:b/>
        <w:i w:val="0"/>
        <w:color w:val="auto"/>
      </w:rPr>
    </w:lvl>
    <w:lvl w:ilvl="2" w:tplc="0809001B" w:tentative="1">
      <w:start w:val="1"/>
      <w:numFmt w:val="lowerRoman"/>
      <w:lvlText w:val="%3."/>
      <w:lvlJc w:val="right"/>
      <w:pPr>
        <w:ind w:left="3849" w:hanging="180"/>
      </w:pPr>
    </w:lvl>
    <w:lvl w:ilvl="3" w:tplc="0809000F" w:tentative="1">
      <w:start w:val="1"/>
      <w:numFmt w:val="decimal"/>
      <w:lvlText w:val="%4."/>
      <w:lvlJc w:val="left"/>
      <w:pPr>
        <w:ind w:left="4569" w:hanging="360"/>
      </w:pPr>
    </w:lvl>
    <w:lvl w:ilvl="4" w:tplc="08090019" w:tentative="1">
      <w:start w:val="1"/>
      <w:numFmt w:val="lowerLetter"/>
      <w:lvlText w:val="%5."/>
      <w:lvlJc w:val="left"/>
      <w:pPr>
        <w:ind w:left="5289" w:hanging="360"/>
      </w:pPr>
    </w:lvl>
    <w:lvl w:ilvl="5" w:tplc="0809001B" w:tentative="1">
      <w:start w:val="1"/>
      <w:numFmt w:val="lowerRoman"/>
      <w:lvlText w:val="%6."/>
      <w:lvlJc w:val="right"/>
      <w:pPr>
        <w:ind w:left="6009" w:hanging="180"/>
      </w:pPr>
    </w:lvl>
    <w:lvl w:ilvl="6" w:tplc="0809000F" w:tentative="1">
      <w:start w:val="1"/>
      <w:numFmt w:val="decimal"/>
      <w:lvlText w:val="%7."/>
      <w:lvlJc w:val="left"/>
      <w:pPr>
        <w:ind w:left="6729" w:hanging="360"/>
      </w:pPr>
    </w:lvl>
    <w:lvl w:ilvl="7" w:tplc="08090019" w:tentative="1">
      <w:start w:val="1"/>
      <w:numFmt w:val="lowerLetter"/>
      <w:lvlText w:val="%8."/>
      <w:lvlJc w:val="left"/>
      <w:pPr>
        <w:ind w:left="7449" w:hanging="360"/>
      </w:pPr>
    </w:lvl>
    <w:lvl w:ilvl="8" w:tplc="0809001B" w:tentative="1">
      <w:start w:val="1"/>
      <w:numFmt w:val="lowerRoman"/>
      <w:lvlText w:val="%9."/>
      <w:lvlJc w:val="right"/>
      <w:pPr>
        <w:ind w:left="8169" w:hanging="180"/>
      </w:pPr>
    </w:lvl>
  </w:abstractNum>
  <w:abstractNum w:abstractNumId="19" w15:restartNumberingAfterBreak="0">
    <w:nsid w:val="13665C99"/>
    <w:multiLevelType w:val="hybridMultilevel"/>
    <w:tmpl w:val="1DB88BC4"/>
    <w:lvl w:ilvl="0" w:tplc="D964743A">
      <w:start w:val="1"/>
      <w:numFmt w:val="decimal"/>
      <w:lvlText w:val="%1."/>
      <w:lvlJc w:val="left"/>
      <w:pPr>
        <w:ind w:left="1689" w:hanging="555"/>
      </w:pPr>
      <w:rPr>
        <w:rFonts w:ascii="Times New Roman" w:eastAsia="Times New Roman" w:hAnsi="Times New Roman" w:cs="Times New Roman"/>
        <w:b w:val="0"/>
        <w:i w:val="0"/>
        <w:color w:val="auto"/>
      </w:rPr>
    </w:lvl>
    <w:lvl w:ilvl="1" w:tplc="5CB04690">
      <w:start w:val="1"/>
      <w:numFmt w:val="lowerLetter"/>
      <w:lvlText w:val="%2)"/>
      <w:lvlJc w:val="left"/>
      <w:pPr>
        <w:ind w:left="2214" w:hanging="360"/>
      </w:pPr>
      <w:rPr>
        <w:b/>
        <w:i w:val="0"/>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4890EA2"/>
    <w:multiLevelType w:val="hybridMultilevel"/>
    <w:tmpl w:val="9C10A2D0"/>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1" w15:restartNumberingAfterBreak="0">
    <w:nsid w:val="211E45F4"/>
    <w:multiLevelType w:val="hybridMultilevel"/>
    <w:tmpl w:val="882435D0"/>
    <w:lvl w:ilvl="0" w:tplc="FB325BC0">
      <w:start w:val="1"/>
      <w:numFmt w:val="decimal"/>
      <w:lvlText w:val="%1."/>
      <w:lvlJc w:val="left"/>
      <w:pPr>
        <w:ind w:left="1854" w:hanging="360"/>
      </w:pPr>
      <w:rPr>
        <w:b w:val="0"/>
        <w:bCs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15:restartNumberingAfterBreak="0">
    <w:nsid w:val="228C7FAE"/>
    <w:multiLevelType w:val="hybridMultilevel"/>
    <w:tmpl w:val="D02A701A"/>
    <w:lvl w:ilvl="0" w:tplc="F77045F8">
      <w:start w:val="1"/>
      <w:numFmt w:val="lowerLetter"/>
      <w:lvlText w:val="%1)"/>
      <w:lvlJc w:val="left"/>
      <w:pPr>
        <w:ind w:left="2204" w:hanging="360"/>
      </w:pPr>
      <w:rPr>
        <w:rFonts w:hint="default"/>
        <w:b w:val="0"/>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24602D6D"/>
    <w:multiLevelType w:val="hybridMultilevel"/>
    <w:tmpl w:val="257A435C"/>
    <w:lvl w:ilvl="0" w:tplc="E45A01CC">
      <w:start w:val="1"/>
      <w:numFmt w:val="decimal"/>
      <w:lvlText w:val="%1."/>
      <w:lvlJc w:val="left"/>
      <w:pPr>
        <w:ind w:left="1689" w:hanging="555"/>
      </w:pPr>
      <w:rPr>
        <w:rFonts w:ascii="Times New Roman" w:eastAsia="Times New Roman" w:hAnsi="Times New Roman" w:cs="Times New Roman"/>
        <w:b w:val="0"/>
        <w:i w:val="0"/>
      </w:rPr>
    </w:lvl>
    <w:lvl w:ilvl="1" w:tplc="B3CAE5E8">
      <w:start w:val="1"/>
      <w:numFmt w:val="lowerLetter"/>
      <w:lvlText w:val="%2)"/>
      <w:lvlJc w:val="left"/>
      <w:pPr>
        <w:ind w:left="2214" w:hanging="360"/>
      </w:pPr>
      <w:rPr>
        <w:b/>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4B44961"/>
    <w:multiLevelType w:val="hybridMultilevel"/>
    <w:tmpl w:val="90CA0E4A"/>
    <w:lvl w:ilvl="0" w:tplc="6E52A160">
      <w:start w:val="1"/>
      <w:numFmt w:val="lowerLetter"/>
      <w:lvlText w:val="%1)"/>
      <w:lvlJc w:val="left"/>
      <w:pPr>
        <w:ind w:left="2409" w:hanging="360"/>
      </w:pPr>
      <w:rPr>
        <w:b/>
        <w:i w:val="0"/>
        <w:color w:val="auto"/>
      </w:rPr>
    </w:lvl>
    <w:lvl w:ilvl="1" w:tplc="08090019">
      <w:start w:val="1"/>
      <w:numFmt w:val="lowerLetter"/>
      <w:lvlText w:val="%2."/>
      <w:lvlJc w:val="left"/>
      <w:pPr>
        <w:ind w:left="3129" w:hanging="360"/>
      </w:pPr>
    </w:lvl>
    <w:lvl w:ilvl="2" w:tplc="0809001B" w:tentative="1">
      <w:start w:val="1"/>
      <w:numFmt w:val="lowerRoman"/>
      <w:lvlText w:val="%3."/>
      <w:lvlJc w:val="right"/>
      <w:pPr>
        <w:ind w:left="3849" w:hanging="180"/>
      </w:pPr>
    </w:lvl>
    <w:lvl w:ilvl="3" w:tplc="0809000F" w:tentative="1">
      <w:start w:val="1"/>
      <w:numFmt w:val="decimal"/>
      <w:lvlText w:val="%4."/>
      <w:lvlJc w:val="left"/>
      <w:pPr>
        <w:ind w:left="4569" w:hanging="360"/>
      </w:pPr>
    </w:lvl>
    <w:lvl w:ilvl="4" w:tplc="08090019" w:tentative="1">
      <w:start w:val="1"/>
      <w:numFmt w:val="lowerLetter"/>
      <w:lvlText w:val="%5."/>
      <w:lvlJc w:val="left"/>
      <w:pPr>
        <w:ind w:left="5289" w:hanging="360"/>
      </w:pPr>
    </w:lvl>
    <w:lvl w:ilvl="5" w:tplc="0809001B" w:tentative="1">
      <w:start w:val="1"/>
      <w:numFmt w:val="lowerRoman"/>
      <w:lvlText w:val="%6."/>
      <w:lvlJc w:val="right"/>
      <w:pPr>
        <w:ind w:left="6009" w:hanging="180"/>
      </w:pPr>
    </w:lvl>
    <w:lvl w:ilvl="6" w:tplc="0809000F" w:tentative="1">
      <w:start w:val="1"/>
      <w:numFmt w:val="decimal"/>
      <w:lvlText w:val="%7."/>
      <w:lvlJc w:val="left"/>
      <w:pPr>
        <w:ind w:left="6729" w:hanging="360"/>
      </w:pPr>
    </w:lvl>
    <w:lvl w:ilvl="7" w:tplc="08090019" w:tentative="1">
      <w:start w:val="1"/>
      <w:numFmt w:val="lowerLetter"/>
      <w:lvlText w:val="%8."/>
      <w:lvlJc w:val="left"/>
      <w:pPr>
        <w:ind w:left="7449" w:hanging="360"/>
      </w:pPr>
    </w:lvl>
    <w:lvl w:ilvl="8" w:tplc="0809001B" w:tentative="1">
      <w:start w:val="1"/>
      <w:numFmt w:val="lowerRoman"/>
      <w:lvlText w:val="%9."/>
      <w:lvlJc w:val="right"/>
      <w:pPr>
        <w:ind w:left="8169" w:hanging="180"/>
      </w:pPr>
    </w:lvl>
  </w:abstractNum>
  <w:abstractNum w:abstractNumId="25" w15:restartNumberingAfterBreak="0">
    <w:nsid w:val="2FA05119"/>
    <w:multiLevelType w:val="hybridMultilevel"/>
    <w:tmpl w:val="03FE75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176F55"/>
    <w:multiLevelType w:val="hybridMultilevel"/>
    <w:tmpl w:val="B8D07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674863"/>
    <w:multiLevelType w:val="hybridMultilevel"/>
    <w:tmpl w:val="A178DF16"/>
    <w:lvl w:ilvl="0" w:tplc="FB5C84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54237"/>
    <w:multiLevelType w:val="hybridMultilevel"/>
    <w:tmpl w:val="D74C3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7842A9"/>
    <w:multiLevelType w:val="hybridMultilevel"/>
    <w:tmpl w:val="263E839C"/>
    <w:lvl w:ilvl="0" w:tplc="E45A01CC">
      <w:start w:val="1"/>
      <w:numFmt w:val="decimal"/>
      <w:lvlText w:val="%1."/>
      <w:lvlJc w:val="left"/>
      <w:pPr>
        <w:ind w:left="1689" w:hanging="555"/>
      </w:pPr>
      <w:rPr>
        <w:rFonts w:ascii="Times New Roman" w:eastAsia="Times New Roman" w:hAnsi="Times New Roman" w:cs="Times New Roman"/>
        <w:b w:val="0"/>
        <w:i w:val="0"/>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F8B6C54"/>
    <w:multiLevelType w:val="hybridMultilevel"/>
    <w:tmpl w:val="64C44F2A"/>
    <w:lvl w:ilvl="0" w:tplc="8E6C298C">
      <w:start w:val="1"/>
      <w:numFmt w:val="lowerLetter"/>
      <w:lvlText w:val="%1)"/>
      <w:lvlJc w:val="left"/>
      <w:pPr>
        <w:ind w:left="2491" w:hanging="636"/>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3" w15:restartNumberingAfterBreak="0">
    <w:nsid w:val="45ED5B69"/>
    <w:multiLevelType w:val="hybridMultilevel"/>
    <w:tmpl w:val="257A435C"/>
    <w:lvl w:ilvl="0" w:tplc="E45A01CC">
      <w:start w:val="1"/>
      <w:numFmt w:val="decimal"/>
      <w:lvlText w:val="%1."/>
      <w:lvlJc w:val="left"/>
      <w:pPr>
        <w:ind w:left="1689" w:hanging="555"/>
      </w:pPr>
      <w:rPr>
        <w:rFonts w:ascii="Times New Roman" w:eastAsia="Times New Roman" w:hAnsi="Times New Roman" w:cs="Times New Roman"/>
        <w:b w:val="0"/>
        <w:i w:val="0"/>
      </w:rPr>
    </w:lvl>
    <w:lvl w:ilvl="1" w:tplc="B3CAE5E8">
      <w:start w:val="1"/>
      <w:numFmt w:val="lowerLetter"/>
      <w:lvlText w:val="%2)"/>
      <w:lvlJc w:val="left"/>
      <w:pPr>
        <w:ind w:left="2214" w:hanging="360"/>
      </w:pPr>
      <w:rPr>
        <w:b/>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4B79348C"/>
    <w:multiLevelType w:val="hybridMultilevel"/>
    <w:tmpl w:val="2990CA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D1A29AF"/>
    <w:multiLevelType w:val="hybridMultilevel"/>
    <w:tmpl w:val="A9387DA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EA54B6A"/>
    <w:multiLevelType w:val="hybridMultilevel"/>
    <w:tmpl w:val="D5E06C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4978F2"/>
    <w:multiLevelType w:val="hybridMultilevel"/>
    <w:tmpl w:val="63AC2336"/>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EC154B7"/>
    <w:multiLevelType w:val="hybridMultilevel"/>
    <w:tmpl w:val="263E839C"/>
    <w:lvl w:ilvl="0" w:tplc="E45A01CC">
      <w:start w:val="1"/>
      <w:numFmt w:val="decimal"/>
      <w:lvlText w:val="%1."/>
      <w:lvlJc w:val="left"/>
      <w:pPr>
        <w:ind w:left="1689" w:hanging="555"/>
      </w:pPr>
      <w:rPr>
        <w:rFonts w:ascii="Times New Roman" w:eastAsia="Times New Roman" w:hAnsi="Times New Roman" w:cs="Times New Roman"/>
        <w:b w:val="0"/>
        <w:i w:val="0"/>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5F453762"/>
    <w:multiLevelType w:val="hybridMultilevel"/>
    <w:tmpl w:val="B832E7D0"/>
    <w:lvl w:ilvl="0" w:tplc="A1722CA8">
      <w:start w:val="1"/>
      <w:numFmt w:val="lowerLetter"/>
      <w:lvlText w:val="%1)"/>
      <w:lvlJc w:val="left"/>
      <w:pPr>
        <w:ind w:left="2599" w:hanging="7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060D6"/>
    <w:multiLevelType w:val="hybridMultilevel"/>
    <w:tmpl w:val="7E7A7BA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2" w15:restartNumberingAfterBreak="0">
    <w:nsid w:val="66476DB8"/>
    <w:multiLevelType w:val="hybridMultilevel"/>
    <w:tmpl w:val="2DB8464A"/>
    <w:lvl w:ilvl="0" w:tplc="08090017">
      <w:start w:val="1"/>
      <w:numFmt w:val="lowerLetter"/>
      <w:lvlText w:val="%1)"/>
      <w:lvlJc w:val="left"/>
      <w:pPr>
        <w:ind w:left="2421" w:hanging="360"/>
      </w:pPr>
    </w:lvl>
    <w:lvl w:ilvl="1" w:tplc="088C1BDC">
      <w:start w:val="1"/>
      <w:numFmt w:val="lowerLetter"/>
      <w:lvlText w:val="%2)"/>
      <w:lvlJc w:val="left"/>
      <w:pPr>
        <w:ind w:left="3141" w:hanging="360"/>
      </w:pPr>
      <w:rPr>
        <w:b/>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7A0C76FA"/>
    <w:multiLevelType w:val="hybridMultilevel"/>
    <w:tmpl w:val="263E839C"/>
    <w:lvl w:ilvl="0" w:tplc="E45A01CC">
      <w:start w:val="1"/>
      <w:numFmt w:val="decimal"/>
      <w:lvlText w:val="%1."/>
      <w:lvlJc w:val="left"/>
      <w:pPr>
        <w:ind w:left="1689" w:hanging="555"/>
      </w:pPr>
      <w:rPr>
        <w:rFonts w:ascii="Times New Roman" w:eastAsia="Times New Roman" w:hAnsi="Times New Roman" w:cs="Times New Roman"/>
        <w:b w:val="0"/>
        <w:i w:val="0"/>
      </w:rPr>
    </w:lvl>
    <w:lvl w:ilvl="1" w:tplc="82E65A8C">
      <w:start w:val="1"/>
      <w:numFmt w:val="lowerLetter"/>
      <w:lvlText w:val="%2)"/>
      <w:lvlJc w:val="left"/>
      <w:pPr>
        <w:ind w:left="2214" w:hanging="360"/>
      </w:pPr>
      <w:rPr>
        <w:b/>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7F3C6268"/>
    <w:multiLevelType w:val="hybridMultilevel"/>
    <w:tmpl w:val="2750AA72"/>
    <w:lvl w:ilvl="0" w:tplc="E45A01CC">
      <w:start w:val="1"/>
      <w:numFmt w:val="decimal"/>
      <w:lvlText w:val="%1."/>
      <w:lvlJc w:val="left"/>
      <w:pPr>
        <w:ind w:left="1689" w:hanging="555"/>
      </w:pPr>
      <w:rPr>
        <w:rFonts w:ascii="Times New Roman" w:eastAsia="Times New Roman" w:hAnsi="Times New Roman" w:cs="Times New Roman"/>
        <w:b w:val="0"/>
        <w:i w:val="0"/>
      </w:rPr>
    </w:lvl>
    <w:lvl w:ilvl="1" w:tplc="6E52A160">
      <w:start w:val="1"/>
      <w:numFmt w:val="lowerLetter"/>
      <w:lvlText w:val="%2)"/>
      <w:lvlJc w:val="left"/>
      <w:pPr>
        <w:ind w:left="2214" w:hanging="360"/>
      </w:pPr>
      <w:rPr>
        <w:b/>
        <w:i w:val="0"/>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3"/>
  </w:num>
  <w:num w:numId="2">
    <w:abstractNumId w:val="28"/>
  </w:num>
  <w:num w:numId="3">
    <w:abstractNumId w:val="45"/>
  </w:num>
  <w:num w:numId="4">
    <w:abstractNumId w:val="44"/>
  </w:num>
  <w:num w:numId="5">
    <w:abstractNumId w:val="3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47"/>
  </w:num>
  <w:num w:numId="18">
    <w:abstractNumId w:val="35"/>
  </w:num>
  <w:num w:numId="19">
    <w:abstractNumId w:val="37"/>
  </w:num>
  <w:num w:numId="20">
    <w:abstractNumId w:val="27"/>
  </w:num>
  <w:num w:numId="21">
    <w:abstractNumId w:val="25"/>
  </w:num>
  <w:num w:numId="22">
    <w:abstractNumId w:val="26"/>
  </w:num>
  <w:num w:numId="23">
    <w:abstractNumId w:val="29"/>
  </w:num>
  <w:num w:numId="24">
    <w:abstractNumId w:val="12"/>
  </w:num>
  <w:num w:numId="25">
    <w:abstractNumId w:val="36"/>
  </w:num>
  <w:num w:numId="26">
    <w:abstractNumId w:val="11"/>
  </w:num>
  <w:num w:numId="27">
    <w:abstractNumId w:val="3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num>
  <w:num w:numId="31">
    <w:abstractNumId w:val="40"/>
  </w:num>
  <w:num w:numId="32">
    <w:abstractNumId w:val="32"/>
  </w:num>
  <w:num w:numId="33">
    <w:abstractNumId w:val="22"/>
  </w:num>
  <w:num w:numId="34">
    <w:abstractNumId w:val="39"/>
  </w:num>
  <w:num w:numId="35">
    <w:abstractNumId w:val="46"/>
  </w:num>
  <w:num w:numId="36">
    <w:abstractNumId w:val="34"/>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1"/>
  </w:num>
  <w:num w:numId="40">
    <w:abstractNumId w:val="23"/>
  </w:num>
  <w:num w:numId="41">
    <w:abstractNumId w:val="16"/>
  </w:num>
  <w:num w:numId="42">
    <w:abstractNumId w:val="17"/>
  </w:num>
  <w:num w:numId="43">
    <w:abstractNumId w:val="19"/>
  </w:num>
  <w:num w:numId="44">
    <w:abstractNumId w:val="24"/>
  </w:num>
  <w:num w:numId="45">
    <w:abstractNumId w:val="18"/>
  </w:num>
  <w:num w:numId="46">
    <w:abstractNumId w:val="10"/>
  </w:num>
  <w:num w:numId="47">
    <w:abstractNumId w:val="42"/>
  </w:num>
  <w:num w:numId="48">
    <w:abstractNumId w:val="41"/>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A5"/>
    <w:rsid w:val="00002B4C"/>
    <w:rsid w:val="00002EDA"/>
    <w:rsid w:val="000062BE"/>
    <w:rsid w:val="00006BB9"/>
    <w:rsid w:val="000107A1"/>
    <w:rsid w:val="0001171E"/>
    <w:rsid w:val="0001733C"/>
    <w:rsid w:val="00021737"/>
    <w:rsid w:val="0002339D"/>
    <w:rsid w:val="00036733"/>
    <w:rsid w:val="00044D59"/>
    <w:rsid w:val="00052E40"/>
    <w:rsid w:val="00060C8C"/>
    <w:rsid w:val="00073276"/>
    <w:rsid w:val="00074457"/>
    <w:rsid w:val="00075622"/>
    <w:rsid w:val="00086F74"/>
    <w:rsid w:val="00091512"/>
    <w:rsid w:val="000A20C9"/>
    <w:rsid w:val="000B3CAC"/>
    <w:rsid w:val="000B40C9"/>
    <w:rsid w:val="000B50A6"/>
    <w:rsid w:val="000B57E7"/>
    <w:rsid w:val="000B7168"/>
    <w:rsid w:val="000B730F"/>
    <w:rsid w:val="000C09A4"/>
    <w:rsid w:val="000D2C29"/>
    <w:rsid w:val="000D2DF4"/>
    <w:rsid w:val="000D3A43"/>
    <w:rsid w:val="000E2AF6"/>
    <w:rsid w:val="000E3050"/>
    <w:rsid w:val="000E30F1"/>
    <w:rsid w:val="000F09DF"/>
    <w:rsid w:val="000F11A8"/>
    <w:rsid w:val="000F61B2"/>
    <w:rsid w:val="000F7CC9"/>
    <w:rsid w:val="001075E9"/>
    <w:rsid w:val="00111403"/>
    <w:rsid w:val="00111529"/>
    <w:rsid w:val="001117C9"/>
    <w:rsid w:val="001135F7"/>
    <w:rsid w:val="0011498F"/>
    <w:rsid w:val="00123BE7"/>
    <w:rsid w:val="00130187"/>
    <w:rsid w:val="00140FF4"/>
    <w:rsid w:val="00142167"/>
    <w:rsid w:val="00145F2F"/>
    <w:rsid w:val="001479DF"/>
    <w:rsid w:val="00160FF7"/>
    <w:rsid w:val="00175B70"/>
    <w:rsid w:val="00176A95"/>
    <w:rsid w:val="00180183"/>
    <w:rsid w:val="00180AC9"/>
    <w:rsid w:val="00184292"/>
    <w:rsid w:val="00196389"/>
    <w:rsid w:val="001C28F1"/>
    <w:rsid w:val="001C5691"/>
    <w:rsid w:val="001C7A89"/>
    <w:rsid w:val="001C7C23"/>
    <w:rsid w:val="001D2193"/>
    <w:rsid w:val="001D65D1"/>
    <w:rsid w:val="001D7BEC"/>
    <w:rsid w:val="001E0A12"/>
    <w:rsid w:val="001E2103"/>
    <w:rsid w:val="001E21C8"/>
    <w:rsid w:val="001E2648"/>
    <w:rsid w:val="001E79B6"/>
    <w:rsid w:val="001E7DEF"/>
    <w:rsid w:val="001F0B3E"/>
    <w:rsid w:val="001F65F8"/>
    <w:rsid w:val="00201EE8"/>
    <w:rsid w:val="00201F1A"/>
    <w:rsid w:val="00213B55"/>
    <w:rsid w:val="002169D2"/>
    <w:rsid w:val="002227A5"/>
    <w:rsid w:val="00224715"/>
    <w:rsid w:val="0023333D"/>
    <w:rsid w:val="002373D5"/>
    <w:rsid w:val="002433EC"/>
    <w:rsid w:val="0024707F"/>
    <w:rsid w:val="0025226E"/>
    <w:rsid w:val="002543D0"/>
    <w:rsid w:val="0025584F"/>
    <w:rsid w:val="00256113"/>
    <w:rsid w:val="00257077"/>
    <w:rsid w:val="00262E75"/>
    <w:rsid w:val="002668CD"/>
    <w:rsid w:val="002718C9"/>
    <w:rsid w:val="00276918"/>
    <w:rsid w:val="00280D13"/>
    <w:rsid w:val="00284D02"/>
    <w:rsid w:val="00291277"/>
    <w:rsid w:val="00295A44"/>
    <w:rsid w:val="002961A6"/>
    <w:rsid w:val="002A2909"/>
    <w:rsid w:val="002A2EFC"/>
    <w:rsid w:val="002A4BA7"/>
    <w:rsid w:val="002B0533"/>
    <w:rsid w:val="002B3AB3"/>
    <w:rsid w:val="002C0E18"/>
    <w:rsid w:val="002C33BB"/>
    <w:rsid w:val="002C355F"/>
    <w:rsid w:val="002C4068"/>
    <w:rsid w:val="002C6CE6"/>
    <w:rsid w:val="002D2156"/>
    <w:rsid w:val="002D5AAC"/>
    <w:rsid w:val="002E56D1"/>
    <w:rsid w:val="002E6AFA"/>
    <w:rsid w:val="002E7574"/>
    <w:rsid w:val="002F3020"/>
    <w:rsid w:val="002F33A9"/>
    <w:rsid w:val="002F3A8A"/>
    <w:rsid w:val="00301299"/>
    <w:rsid w:val="00310442"/>
    <w:rsid w:val="0031583A"/>
    <w:rsid w:val="003206A9"/>
    <w:rsid w:val="00322004"/>
    <w:rsid w:val="00325A50"/>
    <w:rsid w:val="00327B02"/>
    <w:rsid w:val="003321BB"/>
    <w:rsid w:val="003352B4"/>
    <w:rsid w:val="00337635"/>
    <w:rsid w:val="003402C2"/>
    <w:rsid w:val="00340AC9"/>
    <w:rsid w:val="00340B39"/>
    <w:rsid w:val="00354991"/>
    <w:rsid w:val="003711BD"/>
    <w:rsid w:val="00381A38"/>
    <w:rsid w:val="00381C24"/>
    <w:rsid w:val="0038327D"/>
    <w:rsid w:val="00384F1A"/>
    <w:rsid w:val="0039484F"/>
    <w:rsid w:val="003958D0"/>
    <w:rsid w:val="003A2053"/>
    <w:rsid w:val="003A715C"/>
    <w:rsid w:val="003B30D9"/>
    <w:rsid w:val="003B32FA"/>
    <w:rsid w:val="003C47F4"/>
    <w:rsid w:val="003C5161"/>
    <w:rsid w:val="003C5A52"/>
    <w:rsid w:val="003D3812"/>
    <w:rsid w:val="003D4C55"/>
    <w:rsid w:val="003D4FEF"/>
    <w:rsid w:val="003D7ACF"/>
    <w:rsid w:val="003F2EFE"/>
    <w:rsid w:val="004014FD"/>
    <w:rsid w:val="00401BE7"/>
    <w:rsid w:val="004031F0"/>
    <w:rsid w:val="004055C9"/>
    <w:rsid w:val="00444332"/>
    <w:rsid w:val="004535AF"/>
    <w:rsid w:val="00453FD8"/>
    <w:rsid w:val="00454E07"/>
    <w:rsid w:val="00455484"/>
    <w:rsid w:val="00455DF5"/>
    <w:rsid w:val="004673F6"/>
    <w:rsid w:val="00471CB3"/>
    <w:rsid w:val="004839B3"/>
    <w:rsid w:val="00494148"/>
    <w:rsid w:val="004B224C"/>
    <w:rsid w:val="004B403D"/>
    <w:rsid w:val="004C1075"/>
    <w:rsid w:val="004C6F24"/>
    <w:rsid w:val="004E139F"/>
    <w:rsid w:val="0050108D"/>
    <w:rsid w:val="005220A1"/>
    <w:rsid w:val="00542D28"/>
    <w:rsid w:val="005546EF"/>
    <w:rsid w:val="00565405"/>
    <w:rsid w:val="00572E19"/>
    <w:rsid w:val="00576DA8"/>
    <w:rsid w:val="0058254A"/>
    <w:rsid w:val="00592B5A"/>
    <w:rsid w:val="005A1D75"/>
    <w:rsid w:val="005A250B"/>
    <w:rsid w:val="005A2EB3"/>
    <w:rsid w:val="005A455A"/>
    <w:rsid w:val="005B0AEA"/>
    <w:rsid w:val="005C08AA"/>
    <w:rsid w:val="005C5116"/>
    <w:rsid w:val="005C71EE"/>
    <w:rsid w:val="005D6D2E"/>
    <w:rsid w:val="005E179A"/>
    <w:rsid w:val="005F0B42"/>
    <w:rsid w:val="005F5E46"/>
    <w:rsid w:val="005F7D0E"/>
    <w:rsid w:val="00602BC2"/>
    <w:rsid w:val="006134A8"/>
    <w:rsid w:val="00615C40"/>
    <w:rsid w:val="00625D72"/>
    <w:rsid w:val="00626C77"/>
    <w:rsid w:val="00634841"/>
    <w:rsid w:val="006379C8"/>
    <w:rsid w:val="00637A14"/>
    <w:rsid w:val="00637CF7"/>
    <w:rsid w:val="00653A9A"/>
    <w:rsid w:val="0065554F"/>
    <w:rsid w:val="00655A21"/>
    <w:rsid w:val="0065728D"/>
    <w:rsid w:val="006725B3"/>
    <w:rsid w:val="006808A9"/>
    <w:rsid w:val="00694B17"/>
    <w:rsid w:val="006A1518"/>
    <w:rsid w:val="006A632F"/>
    <w:rsid w:val="006D3019"/>
    <w:rsid w:val="006D610D"/>
    <w:rsid w:val="006F35EE"/>
    <w:rsid w:val="007021FF"/>
    <w:rsid w:val="007049DA"/>
    <w:rsid w:val="007076CB"/>
    <w:rsid w:val="00707C42"/>
    <w:rsid w:val="00720C1E"/>
    <w:rsid w:val="00722880"/>
    <w:rsid w:val="007262AE"/>
    <w:rsid w:val="00737663"/>
    <w:rsid w:val="0074361F"/>
    <w:rsid w:val="00744970"/>
    <w:rsid w:val="00775157"/>
    <w:rsid w:val="00775FAD"/>
    <w:rsid w:val="00782551"/>
    <w:rsid w:val="007832D6"/>
    <w:rsid w:val="00791A39"/>
    <w:rsid w:val="00793BC1"/>
    <w:rsid w:val="00794CDB"/>
    <w:rsid w:val="007952E0"/>
    <w:rsid w:val="007967DF"/>
    <w:rsid w:val="007C5B9C"/>
    <w:rsid w:val="007D7090"/>
    <w:rsid w:val="007E43A2"/>
    <w:rsid w:val="007E48E7"/>
    <w:rsid w:val="007E4960"/>
    <w:rsid w:val="007E74C7"/>
    <w:rsid w:val="007F0CC0"/>
    <w:rsid w:val="007F502E"/>
    <w:rsid w:val="007F5609"/>
    <w:rsid w:val="008177D9"/>
    <w:rsid w:val="00822411"/>
    <w:rsid w:val="00823910"/>
    <w:rsid w:val="0083185C"/>
    <w:rsid w:val="008348A8"/>
    <w:rsid w:val="00834B71"/>
    <w:rsid w:val="0085042C"/>
    <w:rsid w:val="00850CDF"/>
    <w:rsid w:val="008514AB"/>
    <w:rsid w:val="00851BC6"/>
    <w:rsid w:val="00851FCD"/>
    <w:rsid w:val="00853F9A"/>
    <w:rsid w:val="00854E04"/>
    <w:rsid w:val="008572C8"/>
    <w:rsid w:val="0086445C"/>
    <w:rsid w:val="00865FAC"/>
    <w:rsid w:val="00867F8D"/>
    <w:rsid w:val="008728CD"/>
    <w:rsid w:val="00875869"/>
    <w:rsid w:val="0088057E"/>
    <w:rsid w:val="00897302"/>
    <w:rsid w:val="008A08D7"/>
    <w:rsid w:val="008A13F9"/>
    <w:rsid w:val="008C0F65"/>
    <w:rsid w:val="008D5B0A"/>
    <w:rsid w:val="008D5BC4"/>
    <w:rsid w:val="008E5303"/>
    <w:rsid w:val="008E6BB6"/>
    <w:rsid w:val="008F64BC"/>
    <w:rsid w:val="008F66DC"/>
    <w:rsid w:val="009003C6"/>
    <w:rsid w:val="00906890"/>
    <w:rsid w:val="009071BE"/>
    <w:rsid w:val="00911CF4"/>
    <w:rsid w:val="009130A7"/>
    <w:rsid w:val="009201B7"/>
    <w:rsid w:val="00927647"/>
    <w:rsid w:val="00931F01"/>
    <w:rsid w:val="00932799"/>
    <w:rsid w:val="00935FBB"/>
    <w:rsid w:val="00944C22"/>
    <w:rsid w:val="009450DE"/>
    <w:rsid w:val="00951972"/>
    <w:rsid w:val="009537D6"/>
    <w:rsid w:val="00954E65"/>
    <w:rsid w:val="009610F7"/>
    <w:rsid w:val="0096333A"/>
    <w:rsid w:val="0097271C"/>
    <w:rsid w:val="00982281"/>
    <w:rsid w:val="009A1B56"/>
    <w:rsid w:val="009B0B70"/>
    <w:rsid w:val="009C4A50"/>
    <w:rsid w:val="009E2E94"/>
    <w:rsid w:val="00A03730"/>
    <w:rsid w:val="00A17C1E"/>
    <w:rsid w:val="00A17DFD"/>
    <w:rsid w:val="00A24554"/>
    <w:rsid w:val="00A3671A"/>
    <w:rsid w:val="00A417EB"/>
    <w:rsid w:val="00A4674B"/>
    <w:rsid w:val="00A51421"/>
    <w:rsid w:val="00A70677"/>
    <w:rsid w:val="00A708E6"/>
    <w:rsid w:val="00A72802"/>
    <w:rsid w:val="00A75F00"/>
    <w:rsid w:val="00A80FC1"/>
    <w:rsid w:val="00A81E6F"/>
    <w:rsid w:val="00A87E10"/>
    <w:rsid w:val="00A90828"/>
    <w:rsid w:val="00A917B3"/>
    <w:rsid w:val="00A972DF"/>
    <w:rsid w:val="00AA50DF"/>
    <w:rsid w:val="00AA7FE9"/>
    <w:rsid w:val="00AB1761"/>
    <w:rsid w:val="00AB33DA"/>
    <w:rsid w:val="00AB4B51"/>
    <w:rsid w:val="00AB6F11"/>
    <w:rsid w:val="00AC7597"/>
    <w:rsid w:val="00AD1F67"/>
    <w:rsid w:val="00AE3B46"/>
    <w:rsid w:val="00AF7637"/>
    <w:rsid w:val="00B10CC7"/>
    <w:rsid w:val="00B14B2D"/>
    <w:rsid w:val="00B16EF2"/>
    <w:rsid w:val="00B33A93"/>
    <w:rsid w:val="00B47C5B"/>
    <w:rsid w:val="00B56A20"/>
    <w:rsid w:val="00B62054"/>
    <w:rsid w:val="00B62458"/>
    <w:rsid w:val="00B65CA5"/>
    <w:rsid w:val="00B67081"/>
    <w:rsid w:val="00B75D17"/>
    <w:rsid w:val="00B760C5"/>
    <w:rsid w:val="00B85CF3"/>
    <w:rsid w:val="00B87A7B"/>
    <w:rsid w:val="00B90B05"/>
    <w:rsid w:val="00BA5A3F"/>
    <w:rsid w:val="00BA5B4F"/>
    <w:rsid w:val="00BB1EAE"/>
    <w:rsid w:val="00BB36EA"/>
    <w:rsid w:val="00BB508F"/>
    <w:rsid w:val="00BB7070"/>
    <w:rsid w:val="00BC3291"/>
    <w:rsid w:val="00BD2D02"/>
    <w:rsid w:val="00BD33EE"/>
    <w:rsid w:val="00BF087B"/>
    <w:rsid w:val="00BF0D51"/>
    <w:rsid w:val="00BF4692"/>
    <w:rsid w:val="00BF725C"/>
    <w:rsid w:val="00C114EE"/>
    <w:rsid w:val="00C15FC7"/>
    <w:rsid w:val="00C16BF7"/>
    <w:rsid w:val="00C17C8C"/>
    <w:rsid w:val="00C321D8"/>
    <w:rsid w:val="00C35896"/>
    <w:rsid w:val="00C41951"/>
    <w:rsid w:val="00C43BF3"/>
    <w:rsid w:val="00C456D7"/>
    <w:rsid w:val="00C54E1A"/>
    <w:rsid w:val="00C60F0C"/>
    <w:rsid w:val="00C63C2A"/>
    <w:rsid w:val="00C805C9"/>
    <w:rsid w:val="00C81A0A"/>
    <w:rsid w:val="00C870F5"/>
    <w:rsid w:val="00C87BEE"/>
    <w:rsid w:val="00CA0899"/>
    <w:rsid w:val="00CA1679"/>
    <w:rsid w:val="00CA1956"/>
    <w:rsid w:val="00CA54B5"/>
    <w:rsid w:val="00CC3406"/>
    <w:rsid w:val="00CD0F36"/>
    <w:rsid w:val="00CD1A18"/>
    <w:rsid w:val="00CD20B8"/>
    <w:rsid w:val="00CD69FC"/>
    <w:rsid w:val="00CE49AE"/>
    <w:rsid w:val="00CE617A"/>
    <w:rsid w:val="00CE7197"/>
    <w:rsid w:val="00D01BAE"/>
    <w:rsid w:val="00D05347"/>
    <w:rsid w:val="00D11396"/>
    <w:rsid w:val="00D376F4"/>
    <w:rsid w:val="00D433EC"/>
    <w:rsid w:val="00D52D89"/>
    <w:rsid w:val="00D552E4"/>
    <w:rsid w:val="00D64E02"/>
    <w:rsid w:val="00D67B43"/>
    <w:rsid w:val="00D7000B"/>
    <w:rsid w:val="00D7065A"/>
    <w:rsid w:val="00D7493A"/>
    <w:rsid w:val="00D756D5"/>
    <w:rsid w:val="00D75FEA"/>
    <w:rsid w:val="00D76E93"/>
    <w:rsid w:val="00D8062C"/>
    <w:rsid w:val="00D806C3"/>
    <w:rsid w:val="00D81D89"/>
    <w:rsid w:val="00D81F70"/>
    <w:rsid w:val="00D90138"/>
    <w:rsid w:val="00DA1F8F"/>
    <w:rsid w:val="00DA2986"/>
    <w:rsid w:val="00DB7F66"/>
    <w:rsid w:val="00DC1B91"/>
    <w:rsid w:val="00DE2641"/>
    <w:rsid w:val="00DE4B75"/>
    <w:rsid w:val="00DE5608"/>
    <w:rsid w:val="00DF35C3"/>
    <w:rsid w:val="00E02D42"/>
    <w:rsid w:val="00E06196"/>
    <w:rsid w:val="00E1305F"/>
    <w:rsid w:val="00E15C2A"/>
    <w:rsid w:val="00E16AC9"/>
    <w:rsid w:val="00E21656"/>
    <w:rsid w:val="00E2506C"/>
    <w:rsid w:val="00E3256E"/>
    <w:rsid w:val="00E41447"/>
    <w:rsid w:val="00E440C8"/>
    <w:rsid w:val="00E44E13"/>
    <w:rsid w:val="00E456A6"/>
    <w:rsid w:val="00E45E0A"/>
    <w:rsid w:val="00E51A0B"/>
    <w:rsid w:val="00E54702"/>
    <w:rsid w:val="00E54E48"/>
    <w:rsid w:val="00E567E6"/>
    <w:rsid w:val="00E60B1C"/>
    <w:rsid w:val="00E65730"/>
    <w:rsid w:val="00E73F76"/>
    <w:rsid w:val="00E8074C"/>
    <w:rsid w:val="00E83F6B"/>
    <w:rsid w:val="00EA31D8"/>
    <w:rsid w:val="00EA5579"/>
    <w:rsid w:val="00EA7E23"/>
    <w:rsid w:val="00EB28E8"/>
    <w:rsid w:val="00EB52D6"/>
    <w:rsid w:val="00EC09DE"/>
    <w:rsid w:val="00EC4683"/>
    <w:rsid w:val="00ED2774"/>
    <w:rsid w:val="00EE340C"/>
    <w:rsid w:val="00EE61B9"/>
    <w:rsid w:val="00EF1360"/>
    <w:rsid w:val="00EF3220"/>
    <w:rsid w:val="00EF3D3B"/>
    <w:rsid w:val="00EF3FAE"/>
    <w:rsid w:val="00EF4375"/>
    <w:rsid w:val="00EF4BFD"/>
    <w:rsid w:val="00EF7198"/>
    <w:rsid w:val="00F05B6F"/>
    <w:rsid w:val="00F20BA5"/>
    <w:rsid w:val="00F2321C"/>
    <w:rsid w:val="00F26F8C"/>
    <w:rsid w:val="00F32377"/>
    <w:rsid w:val="00F37369"/>
    <w:rsid w:val="00F41883"/>
    <w:rsid w:val="00F42792"/>
    <w:rsid w:val="00F43F01"/>
    <w:rsid w:val="00F50ECA"/>
    <w:rsid w:val="00F51C01"/>
    <w:rsid w:val="00F52937"/>
    <w:rsid w:val="00F52E72"/>
    <w:rsid w:val="00F54696"/>
    <w:rsid w:val="00F709A2"/>
    <w:rsid w:val="00F70F15"/>
    <w:rsid w:val="00F72E25"/>
    <w:rsid w:val="00F80708"/>
    <w:rsid w:val="00F83AAE"/>
    <w:rsid w:val="00F92D7D"/>
    <w:rsid w:val="00F94155"/>
    <w:rsid w:val="00F96A63"/>
    <w:rsid w:val="00FB1090"/>
    <w:rsid w:val="00FB5431"/>
    <w:rsid w:val="00FC7590"/>
    <w:rsid w:val="00FD1BF4"/>
    <w:rsid w:val="00FD2EF7"/>
    <w:rsid w:val="00FD4AD6"/>
    <w:rsid w:val="00FF1E5D"/>
    <w:rsid w:val="00FF600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6529D7B"/>
  <w15:docId w15:val="{E3EC9BAB-76BD-47BB-8005-51F9E27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3020"/>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semiHidden/>
    <w:qFormat/>
    <w:rsid w:val="00EA31D8"/>
    <w:pPr>
      <w:keepNext/>
      <w:outlineLvl w:val="1"/>
    </w:pPr>
    <w:rPr>
      <w:rFonts w:cs="Arial"/>
      <w:bCs/>
      <w:iCs/>
      <w:szCs w:val="28"/>
    </w:rPr>
  </w:style>
  <w:style w:type="paragraph" w:styleId="Heading3">
    <w:name w:val="heading 3"/>
    <w:basedOn w:val="Normal"/>
    <w:next w:val="Normal"/>
    <w:semiHidden/>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EA31D8"/>
    <w:pPr>
      <w:keepNext/>
      <w:spacing w:before="240" w:after="60"/>
      <w:outlineLvl w:val="3"/>
    </w:pPr>
    <w:rPr>
      <w:b/>
      <w:bCs/>
      <w:sz w:val="28"/>
      <w:szCs w:val="28"/>
    </w:rPr>
  </w:style>
  <w:style w:type="paragraph" w:styleId="Heading5">
    <w:name w:val="heading 5"/>
    <w:basedOn w:val="Normal"/>
    <w:next w:val="Normal"/>
    <w:semiHidden/>
    <w:qFormat/>
    <w:rsid w:val="00EA31D8"/>
    <w:pPr>
      <w:spacing w:before="240" w:after="60"/>
      <w:outlineLvl w:val="4"/>
    </w:pPr>
    <w:rPr>
      <w:b/>
      <w:bCs/>
      <w:i/>
      <w:iCs/>
      <w:sz w:val="26"/>
      <w:szCs w:val="26"/>
    </w:rPr>
  </w:style>
  <w:style w:type="paragraph" w:styleId="Heading6">
    <w:name w:val="heading 6"/>
    <w:basedOn w:val="Normal"/>
    <w:next w:val="Normal"/>
    <w:semiHidden/>
    <w:qFormat/>
    <w:rsid w:val="00EA31D8"/>
    <w:pPr>
      <w:spacing w:before="240" w:after="60"/>
      <w:outlineLvl w:val="5"/>
    </w:pPr>
    <w:rPr>
      <w:b/>
      <w:bCs/>
      <w:sz w:val="22"/>
      <w:szCs w:val="22"/>
    </w:rPr>
  </w:style>
  <w:style w:type="paragraph" w:styleId="Heading7">
    <w:name w:val="heading 7"/>
    <w:basedOn w:val="Normal"/>
    <w:next w:val="Normal"/>
    <w:semiHidden/>
    <w:qFormat/>
    <w:rsid w:val="00EA31D8"/>
    <w:pPr>
      <w:spacing w:before="240" w:after="60"/>
      <w:outlineLvl w:val="6"/>
    </w:pPr>
    <w:rPr>
      <w:sz w:val="24"/>
      <w:szCs w:val="24"/>
    </w:rPr>
  </w:style>
  <w:style w:type="paragraph" w:styleId="Heading8">
    <w:name w:val="heading 8"/>
    <w:basedOn w:val="Normal"/>
    <w:next w:val="Normal"/>
    <w:semiHidden/>
    <w:qFormat/>
    <w:rsid w:val="00EA31D8"/>
    <w:pPr>
      <w:spacing w:before="240" w:after="60"/>
      <w:outlineLvl w:val="7"/>
    </w:pPr>
    <w:rPr>
      <w:i/>
      <w:iCs/>
      <w:sz w:val="24"/>
      <w:szCs w:val="24"/>
    </w:rPr>
  </w:style>
  <w:style w:type="paragraph" w:styleId="Heading9">
    <w:name w:val="heading 9"/>
    <w:basedOn w:val="Normal"/>
    <w:next w:val="Normal"/>
    <w:semiHidden/>
    <w:qFormat/>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callout,Fago Fußnotenzeichen"/>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2F3020"/>
    <w:pPr>
      <w:spacing w:line="240" w:lineRule="auto"/>
    </w:pPr>
    <w:rPr>
      <w:rFonts w:ascii="Tahoma" w:hAnsi="Tahoma" w:cs="Tahoma"/>
      <w:sz w:val="16"/>
      <w:szCs w:val="16"/>
    </w:rPr>
  </w:style>
  <w:style w:type="character" w:customStyle="1" w:styleId="BalloonTextChar">
    <w:name w:val="Balloon Text Char"/>
    <w:link w:val="BalloonText"/>
    <w:semiHidden/>
    <w:rsid w:val="002F3020"/>
    <w:rPr>
      <w:rFonts w:ascii="Tahoma" w:hAnsi="Tahoma" w:cs="Tahoma"/>
      <w:sz w:val="16"/>
      <w:szCs w:val="16"/>
      <w:lang w:val="es-ES" w:eastAsia="es-ES"/>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qFormat/>
    <w:rsid w:val="00EA31D8"/>
    <w:pPr>
      <w:tabs>
        <w:tab w:val="right" w:pos="1021"/>
      </w:tabs>
      <w:spacing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semiHidden/>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qFormat/>
    <w:rsid w:val="00EA31D8"/>
    <w:rPr>
      <w:b/>
      <w:sz w:val="18"/>
    </w:rPr>
  </w:style>
  <w:style w:type="character" w:styleId="EndnoteReference">
    <w:name w:val="endnote reference"/>
    <w:aliases w:val="1_G"/>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semiHidden/>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qForma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customStyle="1" w:styleId="ParNoG">
    <w:name w:val="_ParNo_G"/>
    <w:basedOn w:val="SingleTxtG"/>
    <w:qFormat/>
    <w:rsid w:val="00340AC9"/>
    <w:pPr>
      <w:numPr>
        <w:numId w:val="16"/>
      </w:numPr>
      <w:suppressAutoHyphens/>
      <w:kinsoku w:val="0"/>
      <w:overflowPunct w:val="0"/>
      <w:autoSpaceDE w:val="0"/>
      <w:autoSpaceDN w:val="0"/>
      <w:adjustRightInd w:val="0"/>
      <w:snapToGrid w:val="0"/>
    </w:pPr>
    <w:rPr>
      <w:lang w:val="es-ES_tradnl" w:eastAsia="en-US"/>
    </w:rPr>
  </w:style>
  <w:style w:type="character" w:customStyle="1" w:styleId="SingleTxtGChar">
    <w:name w:val="_ Single Txt_G Char"/>
    <w:link w:val="SingleTxtG"/>
    <w:locked/>
    <w:rsid w:val="005220A1"/>
    <w:rPr>
      <w:lang w:val="es-ES" w:eastAsia="es-ES"/>
    </w:rPr>
  </w:style>
  <w:style w:type="paragraph" w:styleId="ListParagraph">
    <w:name w:val="List Paragraph"/>
    <w:basedOn w:val="Normal"/>
    <w:uiPriority w:val="34"/>
    <w:qFormat/>
    <w:rsid w:val="00CD20B8"/>
    <w:pPr>
      <w:ind w:left="720"/>
      <w:contextualSpacing/>
    </w:pPr>
  </w:style>
  <w:style w:type="paragraph" w:styleId="CommentText">
    <w:name w:val="annotation text"/>
    <w:basedOn w:val="Normal"/>
    <w:link w:val="CommentTextChar"/>
    <w:unhideWhenUsed/>
    <w:rsid w:val="002B3AB3"/>
    <w:pPr>
      <w:spacing w:line="240" w:lineRule="auto"/>
    </w:pPr>
    <w:rPr>
      <w:lang w:val="en-US" w:eastAsia="en-US"/>
    </w:rPr>
  </w:style>
  <w:style w:type="character" w:customStyle="1" w:styleId="CommentTextChar">
    <w:name w:val="Comment Text Char"/>
    <w:link w:val="CommentText"/>
    <w:rsid w:val="002B3AB3"/>
    <w:rPr>
      <w:lang w:val="en-US" w:eastAsia="en-US"/>
    </w:rPr>
  </w:style>
  <w:style w:type="character" w:customStyle="1" w:styleId="SingleTxtGCar">
    <w:name w:val="_ Single Txt_G Car"/>
    <w:locked/>
    <w:rsid w:val="00DF35C3"/>
    <w:rPr>
      <w:lang w:val="es-ES" w:eastAsia="es-ES"/>
    </w:rPr>
  </w:style>
  <w:style w:type="character" w:styleId="CommentReference">
    <w:name w:val="annotation reference"/>
    <w:unhideWhenUsed/>
    <w:rsid w:val="009003C6"/>
    <w:rPr>
      <w:sz w:val="16"/>
      <w:szCs w:val="16"/>
    </w:rPr>
  </w:style>
  <w:style w:type="paragraph" w:customStyle="1" w:styleId="Default">
    <w:name w:val="Default"/>
    <w:rsid w:val="00A17C1E"/>
    <w:pPr>
      <w:widowControl w:val="0"/>
      <w:autoSpaceDE w:val="0"/>
      <w:autoSpaceDN w:val="0"/>
      <w:adjustRightInd w:val="0"/>
    </w:pPr>
    <w:rPr>
      <w:color w:val="000000"/>
      <w:sz w:val="24"/>
      <w:szCs w:val="24"/>
      <w:lang w:val="en-US" w:eastAsia="fr-FR"/>
    </w:rPr>
  </w:style>
  <w:style w:type="paragraph" w:styleId="Revision">
    <w:name w:val="Revision"/>
    <w:hidden/>
    <w:uiPriority w:val="99"/>
    <w:semiHidden/>
    <w:rsid w:val="00E16AC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9082">
      <w:bodyDiv w:val="1"/>
      <w:marLeft w:val="0"/>
      <w:marRight w:val="0"/>
      <w:marTop w:val="0"/>
      <w:marBottom w:val="0"/>
      <w:divBdr>
        <w:top w:val="none" w:sz="0" w:space="0" w:color="auto"/>
        <w:left w:val="none" w:sz="0" w:space="0" w:color="auto"/>
        <w:bottom w:val="none" w:sz="0" w:space="0" w:color="auto"/>
        <w:right w:val="none" w:sz="0" w:space="0" w:color="auto"/>
      </w:divBdr>
    </w:div>
    <w:div w:id="126611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D699-F055-4593-830F-69728102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CERD_S.dotm</Template>
  <TotalTime>0</TotalTime>
  <Pages>9</Pages>
  <Words>4820</Words>
  <Characters>26511</Characters>
  <Application>Microsoft Office Word</Application>
  <DocSecurity>0</DocSecurity>
  <Lines>220</Lines>
  <Paragraphs>62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CERD/C/PER/CO/R.22-23</vt:lpstr>
      <vt:lpstr>CERD/C/PER/CO/R.22-23</vt:lpstr>
      <vt:lpstr>CERD/C/PER/CO/R.22-23</vt:lpstr>
    </vt:vector>
  </TitlesOfParts>
  <Company>DCM</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CERD/C/PER/CO/22-23</dc:title>
  <dc:subject/>
  <dc:creator>Maria Luisa Zeballos Moreno</dc:creator>
  <cp:keywords/>
  <dc:description/>
  <cp:lastModifiedBy>Maria Luisa Zeballos Moreno</cp:lastModifiedBy>
  <cp:revision>3</cp:revision>
  <cp:lastPrinted>2018-05-23T15:05:00Z</cp:lastPrinted>
  <dcterms:created xsi:type="dcterms:W3CDTF">2018-05-23T15:05:00Z</dcterms:created>
  <dcterms:modified xsi:type="dcterms:W3CDTF">2018-05-23T15:05:00Z</dcterms:modified>
</cp:coreProperties>
</file>