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A200A" w14:paraId="085DE2F8" w14:textId="77777777" w:rsidTr="00694DFC">
        <w:trPr>
          <w:trHeight w:hRule="exact" w:val="851"/>
        </w:trPr>
        <w:tc>
          <w:tcPr>
            <w:tcW w:w="1280" w:type="dxa"/>
            <w:tcBorders>
              <w:bottom w:val="single" w:sz="4" w:space="0" w:color="auto"/>
            </w:tcBorders>
          </w:tcPr>
          <w:p w14:paraId="182A311A" w14:textId="77777777" w:rsidR="002D5AAC" w:rsidRPr="002A7FD4" w:rsidRDefault="002D5AAC" w:rsidP="00694DFC">
            <w:pPr>
              <w:kinsoku w:val="0"/>
              <w:overflowPunct w:val="0"/>
              <w:autoSpaceDE w:val="0"/>
              <w:autoSpaceDN w:val="0"/>
              <w:adjustRightInd w:val="0"/>
              <w:snapToGrid w:val="0"/>
              <w:rPr>
                <w:lang w:val="en-GB"/>
              </w:rPr>
            </w:pPr>
          </w:p>
        </w:tc>
        <w:tc>
          <w:tcPr>
            <w:tcW w:w="2273" w:type="dxa"/>
            <w:tcBorders>
              <w:bottom w:val="single" w:sz="4" w:space="0" w:color="auto"/>
            </w:tcBorders>
            <w:vAlign w:val="bottom"/>
          </w:tcPr>
          <w:p w14:paraId="25AA61F4" w14:textId="77777777" w:rsidR="002D5AAC" w:rsidRPr="00CA200A" w:rsidRDefault="00BD33EE" w:rsidP="008F7CAA">
            <w:pPr>
              <w:spacing w:after="80" w:line="300" w:lineRule="exact"/>
              <w:rPr>
                <w:sz w:val="28"/>
              </w:rPr>
            </w:pPr>
            <w:r w:rsidRPr="00CA200A">
              <w:rPr>
                <w:sz w:val="28"/>
              </w:rPr>
              <w:t>Naciones Unidas</w:t>
            </w:r>
          </w:p>
        </w:tc>
        <w:tc>
          <w:tcPr>
            <w:tcW w:w="6086" w:type="dxa"/>
            <w:gridSpan w:val="2"/>
            <w:tcBorders>
              <w:bottom w:val="single" w:sz="4" w:space="0" w:color="auto"/>
            </w:tcBorders>
            <w:vAlign w:val="bottom"/>
          </w:tcPr>
          <w:p w14:paraId="147C8743" w14:textId="206C46FC" w:rsidR="002D5AAC" w:rsidRPr="00C66F64" w:rsidRDefault="00C66F64" w:rsidP="00C66F64">
            <w:pPr>
              <w:jc w:val="right"/>
              <w:rPr>
                <w:lang w:val="en-US"/>
              </w:rPr>
            </w:pPr>
            <w:r w:rsidRPr="00C66F64">
              <w:rPr>
                <w:sz w:val="40"/>
                <w:lang w:val="en-US"/>
              </w:rPr>
              <w:t>CED</w:t>
            </w:r>
            <w:r>
              <w:rPr>
                <w:lang w:val="en-US"/>
              </w:rPr>
              <w:t>/C/COL/OAI/1</w:t>
            </w:r>
          </w:p>
        </w:tc>
      </w:tr>
      <w:tr w:rsidR="002D5AAC" w:rsidRPr="00CA200A" w14:paraId="28C4AF4F" w14:textId="77777777" w:rsidTr="00694DFC">
        <w:trPr>
          <w:trHeight w:hRule="exact" w:val="2835"/>
        </w:trPr>
        <w:tc>
          <w:tcPr>
            <w:tcW w:w="1280" w:type="dxa"/>
            <w:tcBorders>
              <w:top w:val="single" w:sz="4" w:space="0" w:color="auto"/>
              <w:bottom w:val="single" w:sz="12" w:space="0" w:color="auto"/>
            </w:tcBorders>
          </w:tcPr>
          <w:p w14:paraId="14D8FE77" w14:textId="77777777" w:rsidR="002D5AAC" w:rsidRPr="00CA200A" w:rsidRDefault="00477509" w:rsidP="008F7CAA">
            <w:pPr>
              <w:spacing w:before="120"/>
              <w:jc w:val="center"/>
            </w:pPr>
            <w:r w:rsidRPr="00CA200A">
              <w:rPr>
                <w:noProof/>
                <w:lang w:val="en-GB" w:eastAsia="en-GB"/>
              </w:rPr>
              <w:drawing>
                <wp:inline distT="0" distB="0" distL="0" distR="0" wp14:anchorId="18A008F6" wp14:editId="4E8477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3A6E1D0" w14:textId="77777777" w:rsidR="002D5AAC" w:rsidRPr="00CA200A" w:rsidRDefault="00F94155" w:rsidP="008F7CAA">
            <w:pPr>
              <w:spacing w:before="120" w:line="360" w:lineRule="exact"/>
              <w:rPr>
                <w:b/>
                <w:sz w:val="34"/>
                <w:szCs w:val="34"/>
              </w:rPr>
            </w:pPr>
            <w:r w:rsidRPr="00CA200A">
              <w:rPr>
                <w:b/>
                <w:sz w:val="34"/>
                <w:szCs w:val="34"/>
              </w:rPr>
              <w:t xml:space="preserve">Convención </w:t>
            </w:r>
            <w:r w:rsidR="00A34B7B" w:rsidRPr="00CA200A">
              <w:rPr>
                <w:b/>
                <w:sz w:val="34"/>
                <w:szCs w:val="34"/>
              </w:rPr>
              <w:t xml:space="preserve">Internacional para la </w:t>
            </w:r>
            <w:r w:rsidR="005E6387" w:rsidRPr="00CA200A">
              <w:rPr>
                <w:b/>
                <w:sz w:val="34"/>
                <w:szCs w:val="34"/>
              </w:rPr>
              <w:t xml:space="preserve">Protección </w:t>
            </w:r>
            <w:r w:rsidR="00A34B7B" w:rsidRPr="00CA200A">
              <w:rPr>
                <w:b/>
                <w:sz w:val="34"/>
                <w:szCs w:val="34"/>
              </w:rPr>
              <w:t xml:space="preserve">de </w:t>
            </w:r>
            <w:r w:rsidR="005E6387" w:rsidRPr="00CA200A">
              <w:rPr>
                <w:b/>
                <w:sz w:val="34"/>
                <w:szCs w:val="34"/>
              </w:rPr>
              <w:t xml:space="preserve">Todas </w:t>
            </w:r>
            <w:r w:rsidR="00A34B7B" w:rsidRPr="00CA200A">
              <w:rPr>
                <w:b/>
                <w:sz w:val="34"/>
                <w:szCs w:val="34"/>
              </w:rPr>
              <w:t xml:space="preserve">las </w:t>
            </w:r>
            <w:r w:rsidR="005E6387" w:rsidRPr="00CA200A">
              <w:rPr>
                <w:b/>
                <w:sz w:val="34"/>
                <w:szCs w:val="34"/>
              </w:rPr>
              <w:t xml:space="preserve">Personas </w:t>
            </w:r>
            <w:r w:rsidR="00A34B7B" w:rsidRPr="00CA200A">
              <w:rPr>
                <w:b/>
                <w:sz w:val="34"/>
                <w:szCs w:val="34"/>
              </w:rPr>
              <w:t xml:space="preserve">contra las </w:t>
            </w:r>
            <w:r w:rsidR="005E6387" w:rsidRPr="00CA200A">
              <w:rPr>
                <w:b/>
                <w:sz w:val="34"/>
                <w:szCs w:val="34"/>
              </w:rPr>
              <w:t>Desapariciones Forzadas</w:t>
            </w:r>
          </w:p>
        </w:tc>
        <w:tc>
          <w:tcPr>
            <w:tcW w:w="2819" w:type="dxa"/>
            <w:tcBorders>
              <w:top w:val="single" w:sz="4" w:space="0" w:color="auto"/>
              <w:bottom w:val="single" w:sz="12" w:space="0" w:color="auto"/>
            </w:tcBorders>
          </w:tcPr>
          <w:p w14:paraId="1431C673" w14:textId="263812AB" w:rsidR="002D5AAC" w:rsidRPr="00CA200A" w:rsidRDefault="00694DFC" w:rsidP="008F7CAA">
            <w:pPr>
              <w:spacing w:before="240"/>
            </w:pPr>
            <w:r w:rsidRPr="00CA200A">
              <w:t>Distr.</w:t>
            </w:r>
            <w:r w:rsidR="001F6C70" w:rsidRPr="00CA200A">
              <w:t xml:space="preserve"> general</w:t>
            </w:r>
          </w:p>
          <w:p w14:paraId="5496F41B" w14:textId="1A7835D7" w:rsidR="00694DFC" w:rsidRPr="00CA200A" w:rsidRDefault="00C20C28" w:rsidP="00694DFC">
            <w:pPr>
              <w:spacing w:line="240" w:lineRule="exact"/>
            </w:pPr>
            <w:r w:rsidRPr="00CA200A">
              <w:t>2</w:t>
            </w:r>
            <w:r w:rsidR="001F6C70" w:rsidRPr="00CA200A">
              <w:t xml:space="preserve"> de </w:t>
            </w:r>
            <w:r w:rsidR="00A350A5" w:rsidRPr="00CA200A">
              <w:t>junio</w:t>
            </w:r>
            <w:r w:rsidR="00ED4AFD" w:rsidRPr="00CA200A">
              <w:t xml:space="preserve"> de 2021</w:t>
            </w:r>
          </w:p>
          <w:p w14:paraId="3E1F90D7" w14:textId="77777777" w:rsidR="00ED4AFD" w:rsidRPr="00CA200A" w:rsidRDefault="00ED4AFD" w:rsidP="00694DFC">
            <w:pPr>
              <w:spacing w:line="240" w:lineRule="exact"/>
            </w:pPr>
          </w:p>
          <w:p w14:paraId="5C046A8F" w14:textId="77777777" w:rsidR="00694DFC" w:rsidRPr="00CA200A" w:rsidRDefault="00694DFC" w:rsidP="00694DFC">
            <w:pPr>
              <w:spacing w:line="240" w:lineRule="exact"/>
            </w:pPr>
            <w:r w:rsidRPr="00CA200A">
              <w:t xml:space="preserve">Original: </w:t>
            </w:r>
            <w:r w:rsidR="00ED4AFD" w:rsidRPr="00CA200A">
              <w:t>español</w:t>
            </w:r>
          </w:p>
          <w:p w14:paraId="3078E3B7" w14:textId="37B98339" w:rsidR="00694DFC" w:rsidRPr="00CA200A" w:rsidRDefault="00694DFC" w:rsidP="00694DFC">
            <w:pPr>
              <w:spacing w:line="240" w:lineRule="exact"/>
            </w:pPr>
          </w:p>
        </w:tc>
      </w:tr>
    </w:tbl>
    <w:p w14:paraId="1C863CA6" w14:textId="77777777" w:rsidR="00694DFC" w:rsidRPr="00CA200A" w:rsidRDefault="00694DFC" w:rsidP="00694DFC">
      <w:pPr>
        <w:spacing w:before="120"/>
        <w:rPr>
          <w:b/>
          <w:bCs/>
          <w:sz w:val="24"/>
          <w:szCs w:val="24"/>
        </w:rPr>
      </w:pPr>
      <w:r w:rsidRPr="00CA200A">
        <w:rPr>
          <w:b/>
          <w:bCs/>
          <w:sz w:val="24"/>
          <w:szCs w:val="24"/>
        </w:rPr>
        <w:t>Comité contra la Desaparición Forzada</w:t>
      </w:r>
    </w:p>
    <w:p w14:paraId="170F18D1" w14:textId="0FA43D22" w:rsidR="00C320B3" w:rsidRPr="00CA200A" w:rsidRDefault="00694DFC" w:rsidP="00FA4F00">
      <w:pPr>
        <w:pStyle w:val="HChG"/>
        <w:ind w:right="1133"/>
        <w:rPr>
          <w:sz w:val="20"/>
        </w:rPr>
      </w:pPr>
      <w:r w:rsidRPr="00CA200A">
        <w:tab/>
      </w:r>
      <w:r w:rsidRPr="00CA200A">
        <w:tab/>
        <w:t xml:space="preserve">Observaciones </w:t>
      </w:r>
      <w:r w:rsidR="00091D48" w:rsidRPr="00CA200A">
        <w:t xml:space="preserve">finales </w:t>
      </w:r>
      <w:r w:rsidRPr="00CA200A">
        <w:t xml:space="preserve">sobre la información complementaria presentada por </w:t>
      </w:r>
      <w:r w:rsidR="00ED4AFD" w:rsidRPr="00CA200A">
        <w:t>Colombia</w:t>
      </w:r>
      <w:r w:rsidRPr="00CA200A">
        <w:t xml:space="preserve"> en virtud del artículo 29, párrafo 4, de la Convención</w:t>
      </w:r>
      <w:r w:rsidR="009354AA" w:rsidRPr="00CA200A">
        <w:rPr>
          <w:rStyle w:val="FootnoteReference"/>
          <w:b w:val="0"/>
          <w:sz w:val="20"/>
          <w:vertAlign w:val="baseline"/>
        </w:rPr>
        <w:footnoteReference w:customMarkFollows="1" w:id="1"/>
        <w:t>*</w:t>
      </w:r>
    </w:p>
    <w:p w14:paraId="1D5590AC" w14:textId="685E2647" w:rsidR="0096198B" w:rsidRPr="00CA200A" w:rsidRDefault="0096198B" w:rsidP="00CA200A">
      <w:pPr>
        <w:pStyle w:val="HChG"/>
      </w:pPr>
      <w:r w:rsidRPr="00CA200A">
        <w:tab/>
        <w:t xml:space="preserve">I. </w:t>
      </w:r>
      <w:r w:rsidRPr="00CA200A">
        <w:tab/>
      </w:r>
      <w:r w:rsidRPr="00CA200A">
        <w:rPr>
          <w:lang w:val="es-PA"/>
        </w:rPr>
        <w:t>Introducción</w:t>
      </w:r>
      <w:r w:rsidRPr="00CA200A">
        <w:t xml:space="preserve"> </w:t>
      </w:r>
    </w:p>
    <w:p w14:paraId="7A9D569A" w14:textId="6B0E440D" w:rsidR="00C320B3" w:rsidRPr="00CA200A" w:rsidRDefault="00C320B3" w:rsidP="003810AA">
      <w:pPr>
        <w:spacing w:after="120"/>
        <w:ind w:left="1134" w:right="1134"/>
        <w:jc w:val="both"/>
      </w:pPr>
      <w:r w:rsidRPr="00CA200A">
        <w:t>1.</w:t>
      </w:r>
      <w:r w:rsidRPr="00CA200A">
        <w:tab/>
        <w:t xml:space="preserve">El Comité acoge con </w:t>
      </w:r>
      <w:r w:rsidRPr="00CA200A">
        <w:rPr>
          <w:rFonts w:eastAsia="SimSun"/>
        </w:rPr>
        <w:t>beneplácito</w:t>
      </w:r>
      <w:r w:rsidRPr="00CA200A">
        <w:t xml:space="preserve"> la información adicional proporcionada por Colombia en virtud del artículo 29, párrafo 4, de la Convención, tal como solicitó el Comité en sus observaciones finales de 2016</w:t>
      </w:r>
      <w:r w:rsidR="00702439" w:rsidRPr="00CA200A">
        <w:t xml:space="preserve"> </w:t>
      </w:r>
      <w:r w:rsidRPr="00CA200A">
        <w:t>sobre el informe inicial del Estado parte</w:t>
      </w:r>
      <w:r w:rsidR="00702439" w:rsidRPr="00CA200A">
        <w:rPr>
          <w:rStyle w:val="FootnoteReference"/>
        </w:rPr>
        <w:footnoteReference w:id="2"/>
      </w:r>
      <w:r w:rsidRPr="00CA200A">
        <w:t xml:space="preserve">. También expresa su reconocimiento por el diálogo constructivo mantenido con la delegación de alto nivel del Estado parte acerca de las medidas adoptadas para cumplir las obligaciones derivadas de la Convención en relación con los siguientes temas: </w:t>
      </w:r>
      <w:r w:rsidR="00363508" w:rsidRPr="00CA200A">
        <w:t>a)</w:t>
      </w:r>
      <w:r w:rsidR="00363508" w:rsidRPr="00CA200A">
        <w:rPr>
          <w:lang w:val="es-PA"/>
        </w:rPr>
        <w:t xml:space="preserve"> a</w:t>
      </w:r>
      <w:r w:rsidRPr="00CA200A">
        <w:rPr>
          <w:lang w:val="es-PA"/>
        </w:rPr>
        <w:t>rmonización de la legislación interna con la Convención</w:t>
      </w:r>
      <w:r w:rsidRPr="00CA200A">
        <w:t xml:space="preserve">; </w:t>
      </w:r>
      <w:r w:rsidR="00363508" w:rsidRPr="00CA200A">
        <w:t xml:space="preserve">b) </w:t>
      </w:r>
      <w:r w:rsidR="00363508" w:rsidRPr="00CA200A">
        <w:rPr>
          <w:lang w:val="es-CO"/>
        </w:rPr>
        <w:t>p</w:t>
      </w:r>
      <w:r w:rsidRPr="00CA200A">
        <w:rPr>
          <w:lang w:val="es-CO"/>
        </w:rPr>
        <w:t>revención de la desaparición forzada y mecanismos de búsqueda e investigación</w:t>
      </w:r>
      <w:r w:rsidRPr="00CA200A">
        <w:t>; y </w:t>
      </w:r>
      <w:r w:rsidR="00363508" w:rsidRPr="00CA200A">
        <w:t>c)</w:t>
      </w:r>
      <w:r w:rsidRPr="00CA200A">
        <w:t xml:space="preserve"> </w:t>
      </w:r>
      <w:r w:rsidR="00363508" w:rsidRPr="00CA200A">
        <w:t>r</w:t>
      </w:r>
      <w:r w:rsidRPr="00CA200A">
        <w:t>eparación.</w:t>
      </w:r>
    </w:p>
    <w:p w14:paraId="01104843" w14:textId="77777777" w:rsidR="00C320B3" w:rsidRPr="00CA200A" w:rsidRDefault="00C320B3" w:rsidP="00B53F4C">
      <w:pPr>
        <w:pStyle w:val="H1G"/>
      </w:pPr>
      <w:r w:rsidRPr="00CA200A">
        <w:tab/>
        <w:t>A.</w:t>
      </w:r>
      <w:r w:rsidRPr="00CA200A">
        <w:tab/>
        <w:t>Aspectos positivos</w:t>
      </w:r>
    </w:p>
    <w:p w14:paraId="68B0DE9F" w14:textId="00EEF17B" w:rsidR="00C320B3" w:rsidRPr="00CA200A" w:rsidRDefault="00C320B3" w:rsidP="003810AA">
      <w:pPr>
        <w:spacing w:after="120"/>
        <w:ind w:left="1134" w:right="1134"/>
        <w:jc w:val="both"/>
      </w:pPr>
      <w:r w:rsidRPr="00CA200A">
        <w:t>2.</w:t>
      </w:r>
      <w:r w:rsidRPr="00CA200A">
        <w:tab/>
        <w:t xml:space="preserve">El Comité </w:t>
      </w:r>
      <w:r w:rsidRPr="00CA200A">
        <w:rPr>
          <w:rFonts w:eastAsia="SimSun"/>
        </w:rPr>
        <w:t xml:space="preserve">reconoce </w:t>
      </w:r>
      <w:r w:rsidRPr="00CA200A">
        <w:t xml:space="preserve">los esfuerzos realizados por el Estado parte para promover la búsqueda de personas desaparecidas, incluyendo aquellas sometidas a desaparición forzada. En particular toma nota de la creación del </w:t>
      </w:r>
      <w:r w:rsidRPr="00CA200A">
        <w:rPr>
          <w:rFonts w:eastAsia="Calibri"/>
          <w:lang w:val="es-PA" w:eastAsia="en-US"/>
        </w:rPr>
        <w:t xml:space="preserve">Sistema Integral de verdad, justicia, reparación y no repetición, compuesto por la Comisión para el Esclarecimiento de la Verdad, la Convivencia y No Repetición, la Jurisdicción Especial para la Paz y </w:t>
      </w:r>
      <w:r w:rsidRPr="00CA200A">
        <w:rPr>
          <w:lang w:val="es-CO"/>
        </w:rPr>
        <w:t xml:space="preserve">la </w:t>
      </w:r>
      <w:r w:rsidRPr="00CA200A">
        <w:t>Unidad de Búsqueda de Personas dadas por Desaparecidas en el Contexto y en Razón del Conflicto Armado, mecanismos para la verdad, justicia y reparación y satisfacer los derechos de las víctimas del conflicto armado.</w:t>
      </w:r>
      <w:r w:rsidRPr="00CA200A">
        <w:rPr>
          <w:lang w:val="es-CO"/>
        </w:rPr>
        <w:t xml:space="preserve"> Destaca la adopción del Plan Nacional de Búsqueda y los </w:t>
      </w:r>
      <w:r w:rsidR="00DD2A0E" w:rsidRPr="00CA200A">
        <w:rPr>
          <w:lang w:val="es-CO"/>
        </w:rPr>
        <w:t>p</w:t>
      </w:r>
      <w:r w:rsidRPr="00CA200A">
        <w:rPr>
          <w:lang w:val="es-CO"/>
        </w:rPr>
        <w:t xml:space="preserve">lanes </w:t>
      </w:r>
      <w:r w:rsidR="00DD2A0E" w:rsidRPr="00CA200A">
        <w:rPr>
          <w:lang w:val="es-CO"/>
        </w:rPr>
        <w:t>r</w:t>
      </w:r>
      <w:r w:rsidRPr="00CA200A">
        <w:rPr>
          <w:lang w:val="es-CO"/>
        </w:rPr>
        <w:t xml:space="preserve">egionales de </w:t>
      </w:r>
      <w:r w:rsidR="00DD2A0E" w:rsidRPr="00CA200A">
        <w:rPr>
          <w:lang w:val="es-CO"/>
        </w:rPr>
        <w:t>b</w:t>
      </w:r>
      <w:r w:rsidRPr="00CA200A">
        <w:rPr>
          <w:lang w:val="es-CO"/>
        </w:rPr>
        <w:t>úsqueda por la U</w:t>
      </w:r>
      <w:r w:rsidR="00C704A3" w:rsidRPr="00CA200A">
        <w:rPr>
          <w:lang w:val="es-CO"/>
        </w:rPr>
        <w:t xml:space="preserve">nidad de Búsqueda </w:t>
      </w:r>
      <w:r w:rsidRPr="00CA200A">
        <w:rPr>
          <w:lang w:val="es-CO"/>
        </w:rPr>
        <w:t xml:space="preserve">y </w:t>
      </w:r>
      <w:r w:rsidRPr="00CA200A">
        <w:rPr>
          <w:rFonts w:eastAsia="SimSun"/>
        </w:rPr>
        <w:t>el rol clave de la sociedad civil en contra de la desaparición forzada resaltando el papel de las víctimas.</w:t>
      </w:r>
      <w:r w:rsidRPr="00CA200A" w:rsidDel="00A67D9C">
        <w:rPr>
          <w:rFonts w:eastAsia="SimSun"/>
        </w:rPr>
        <w:t xml:space="preserve"> </w:t>
      </w:r>
    </w:p>
    <w:p w14:paraId="4400FB1B" w14:textId="69B2BF31" w:rsidR="00C320B3" w:rsidRPr="00CA200A" w:rsidRDefault="00C320B3" w:rsidP="00653993">
      <w:pPr>
        <w:pStyle w:val="H1G"/>
      </w:pPr>
      <w:r w:rsidRPr="00CA200A">
        <w:tab/>
        <w:t>B.</w:t>
      </w:r>
      <w:r w:rsidRPr="00CA200A">
        <w:tab/>
        <w:t>Puesta en práctica de las recomendaciones del Comité y evolución de la situación en el Estado parte</w:t>
      </w:r>
    </w:p>
    <w:p w14:paraId="74AE26A1" w14:textId="095DADE5" w:rsidR="00C320B3" w:rsidRPr="00CA200A" w:rsidRDefault="00C320B3" w:rsidP="00A7552A">
      <w:pPr>
        <w:spacing w:after="120"/>
        <w:ind w:left="1134" w:right="1134"/>
        <w:jc w:val="both"/>
      </w:pPr>
      <w:r w:rsidRPr="00CA200A">
        <w:t>3.</w:t>
      </w:r>
      <w:r w:rsidRPr="00CA200A">
        <w:tab/>
        <w:t xml:space="preserve">El Comité es plenamente consciente </w:t>
      </w:r>
      <w:r w:rsidR="00E375CB" w:rsidRPr="00CA200A">
        <w:t xml:space="preserve">de </w:t>
      </w:r>
      <w:r w:rsidRPr="00CA200A">
        <w:t xml:space="preserve">que el Estado parte se enfrenta </w:t>
      </w:r>
      <w:r w:rsidR="00E375CB" w:rsidRPr="00CA200A">
        <w:t>con</w:t>
      </w:r>
      <w:r w:rsidRPr="00CA200A">
        <w:t xml:space="preserve"> numerosos retos y desafíos en materia de prevención, investigación y sanción de las desapariciones forzadas, así como en la búsqueda e identificación de las personas desaparecidas. Lamenta que, a pesar de la firma de los Acuerdo de Paz, siga prevaleciendo el fenómeno de la desaparición forzada en diversas partes del país. El Comité considera que a pesar de los esfuerzos del Estado parte, el marco normativo en vigor, así como su aplicación y la forma en que las autoridades competentes desempeñan sus funciones, continúan sin ajustarse plenamente a la Convención. </w:t>
      </w:r>
    </w:p>
    <w:p w14:paraId="7F9E971D" w14:textId="7EEF5931" w:rsidR="00C320B3" w:rsidRPr="00CA200A" w:rsidRDefault="00C320B3" w:rsidP="007925CC">
      <w:pPr>
        <w:pStyle w:val="HChG"/>
        <w:rPr>
          <w:lang w:val="es-PA"/>
        </w:rPr>
      </w:pPr>
      <w:r w:rsidRPr="00CA200A">
        <w:rPr>
          <w:lang w:val="es-PA"/>
        </w:rPr>
        <w:lastRenderedPageBreak/>
        <w:tab/>
        <w:t>I</w:t>
      </w:r>
      <w:r w:rsidR="0096198B" w:rsidRPr="00CA200A">
        <w:rPr>
          <w:lang w:val="es-PA"/>
        </w:rPr>
        <w:t>I</w:t>
      </w:r>
      <w:r w:rsidRPr="00CA200A">
        <w:rPr>
          <w:lang w:val="es-PA"/>
        </w:rPr>
        <w:t>.</w:t>
      </w:r>
      <w:r w:rsidRPr="00CA200A">
        <w:rPr>
          <w:lang w:val="es-PA"/>
        </w:rPr>
        <w:tab/>
        <w:t>Armonización de la legislación interna con la Convención</w:t>
      </w:r>
    </w:p>
    <w:p w14:paraId="77D8B0B5" w14:textId="7C94A0DD" w:rsidR="00C320B3" w:rsidRPr="00CA200A" w:rsidRDefault="00C320B3" w:rsidP="007925CC">
      <w:pPr>
        <w:pStyle w:val="H1G"/>
      </w:pPr>
      <w:r w:rsidRPr="00CA200A">
        <w:tab/>
        <w:t>A.</w:t>
      </w:r>
      <w:r w:rsidRPr="00CA200A">
        <w:tab/>
        <w:t>Definición de desaparición forzada</w:t>
      </w:r>
    </w:p>
    <w:p w14:paraId="511AAB1F" w14:textId="325DCBC3" w:rsidR="00C320B3" w:rsidRPr="00CA200A" w:rsidRDefault="00C320B3" w:rsidP="000167E2">
      <w:pPr>
        <w:spacing w:after="120"/>
        <w:ind w:left="1134" w:right="1134"/>
        <w:jc w:val="both"/>
      </w:pPr>
      <w:r w:rsidRPr="00CA200A">
        <w:t>4.</w:t>
      </w:r>
      <w:r w:rsidRPr="00CA200A">
        <w:tab/>
        <w:t>El Comité constata que la definición de desaparición forzada del artículo 165 del Código Penal continúa sin adecuarse al artículo 2 de la Convención. El Comité, tal y como expresó en sus anteriores recomendaciones</w:t>
      </w:r>
      <w:r w:rsidRPr="00CA200A">
        <w:rPr>
          <w:rStyle w:val="FootnoteReference"/>
        </w:rPr>
        <w:footnoteReference w:id="3"/>
      </w:r>
      <w:r w:rsidRPr="00CA200A">
        <w:t xml:space="preserve">, muestra su preocupación por el hecho de que las conductas tipificadas </w:t>
      </w:r>
      <w:r w:rsidR="00E375CB" w:rsidRPr="00CA200A">
        <w:t xml:space="preserve">en el Código </w:t>
      </w:r>
      <w:r w:rsidR="008E0533" w:rsidRPr="00CA200A">
        <w:t xml:space="preserve">Penal </w:t>
      </w:r>
      <w:r w:rsidRPr="00CA200A">
        <w:t>puedan ser cometidas por agentes estatales y por particulares actuando con o sin la determinación o aquiescencia de un servidor público. Asimismo, reitera que de esta manera se diluye la responsabilidad del Estado, lo cual</w:t>
      </w:r>
      <w:r w:rsidRPr="00CA200A">
        <w:rPr>
          <w:lang w:val="es-MX"/>
        </w:rPr>
        <w:t xml:space="preserve"> </w:t>
      </w:r>
      <w:r w:rsidRPr="00CA200A">
        <w:t>repercute negativamente en la aplicación de la Convención (arts. 2 a 4).</w:t>
      </w:r>
    </w:p>
    <w:p w14:paraId="0723B4F5" w14:textId="64B72AA6" w:rsidR="00C320B3" w:rsidRPr="00CA200A" w:rsidRDefault="00C320B3">
      <w:pPr>
        <w:spacing w:after="120"/>
        <w:ind w:left="1134" w:right="1134"/>
        <w:jc w:val="both"/>
        <w:rPr>
          <w:b/>
        </w:rPr>
      </w:pPr>
      <w:r w:rsidRPr="00CA200A">
        <w:t>5.</w:t>
      </w:r>
      <w:r w:rsidRPr="00CA200A">
        <w:tab/>
      </w:r>
      <w:r w:rsidRPr="00CA200A">
        <w:rPr>
          <w:b/>
        </w:rPr>
        <w:t>El Comité recomienda al Estado parte que proceda a revisar la definición del artículo 165 del Código Penal para asegurar su plena concordancia con el artículo 2 de la Convención.</w:t>
      </w:r>
    </w:p>
    <w:p w14:paraId="15CF09F1" w14:textId="0BC8E2E2" w:rsidR="00C320B3" w:rsidRPr="00CA200A" w:rsidRDefault="00C320B3" w:rsidP="007925CC">
      <w:pPr>
        <w:pStyle w:val="H1G"/>
      </w:pPr>
      <w:r w:rsidRPr="00CA200A">
        <w:tab/>
        <w:t>B.</w:t>
      </w:r>
      <w:r w:rsidRPr="00CA200A">
        <w:tab/>
        <w:t>Responsabilidad penal de los superiores</w:t>
      </w:r>
    </w:p>
    <w:p w14:paraId="6EEB2F35" w14:textId="76FACC1B" w:rsidR="00C320B3" w:rsidRPr="00CA200A" w:rsidRDefault="00C320B3" w:rsidP="008F7FCB">
      <w:pPr>
        <w:spacing w:after="120"/>
        <w:ind w:left="1134" w:right="1134"/>
        <w:jc w:val="both"/>
        <w:rPr>
          <w:bCs/>
        </w:rPr>
      </w:pPr>
      <w:r w:rsidRPr="00CA200A">
        <w:t>6.</w:t>
      </w:r>
      <w:r w:rsidRPr="00CA200A">
        <w:tab/>
        <w:t>El Comité reitera su preocupación</w:t>
      </w:r>
      <w:r w:rsidR="00955837" w:rsidRPr="00CA200A">
        <w:t xml:space="preserve"> </w:t>
      </w:r>
      <w:r w:rsidRPr="00CA200A">
        <w:t xml:space="preserve">por la </w:t>
      </w:r>
      <w:r w:rsidRPr="00CA200A">
        <w:rPr>
          <w:lang w:val="es-MX"/>
        </w:rPr>
        <w:t>ausencia de una disposición legal</w:t>
      </w:r>
      <w:r w:rsidRPr="00CA200A">
        <w:rPr>
          <w:bCs/>
        </w:rPr>
        <w:t xml:space="preserve"> específica que prevea la responsabilidad penal de los superiores conforme el artículo 6</w:t>
      </w:r>
      <w:r w:rsidR="00B353B5" w:rsidRPr="00CA200A">
        <w:rPr>
          <w:bCs/>
        </w:rPr>
        <w:t>, párr</w:t>
      </w:r>
      <w:r w:rsidRPr="00CA200A">
        <w:rPr>
          <w:bCs/>
        </w:rPr>
        <w:t>.</w:t>
      </w:r>
      <w:r w:rsidR="00B353B5" w:rsidRPr="00CA200A">
        <w:rPr>
          <w:bCs/>
        </w:rPr>
        <w:t xml:space="preserve"> </w:t>
      </w:r>
      <w:r w:rsidRPr="00CA200A">
        <w:rPr>
          <w:bCs/>
        </w:rPr>
        <w:t>1</w:t>
      </w:r>
      <w:r w:rsidR="00B353B5" w:rsidRPr="00CA200A">
        <w:rPr>
          <w:bCs/>
        </w:rPr>
        <w:t>, apdo.</w:t>
      </w:r>
      <w:r w:rsidRPr="00CA200A">
        <w:rPr>
          <w:bCs/>
        </w:rPr>
        <w:t xml:space="preserve"> b)</w:t>
      </w:r>
      <w:r w:rsidR="00B353B5" w:rsidRPr="00CA200A">
        <w:rPr>
          <w:bCs/>
        </w:rPr>
        <w:t>,</w:t>
      </w:r>
      <w:r w:rsidRPr="00CA200A">
        <w:rPr>
          <w:bCs/>
        </w:rPr>
        <w:t xml:space="preserve"> de la Convención</w:t>
      </w:r>
      <w:r w:rsidR="00955837" w:rsidRPr="00CA200A">
        <w:rPr>
          <w:rStyle w:val="FootnoteReference"/>
          <w:bCs/>
        </w:rPr>
        <w:footnoteReference w:id="4"/>
      </w:r>
      <w:r w:rsidRPr="00CA200A">
        <w:rPr>
          <w:bCs/>
        </w:rPr>
        <w:t>. Aun cuando la interpretación judicial puede subsanar este déficit, solo una disposición específica en la legislación penal permite evitar que se produzcan interpretaciones diferentes que no se ajusten plenamente a la Convención (art. 6).</w:t>
      </w:r>
    </w:p>
    <w:p w14:paraId="7926A2F6" w14:textId="73928CB5" w:rsidR="00C320B3" w:rsidRPr="00CA200A" w:rsidRDefault="00C320B3" w:rsidP="00553B42">
      <w:pPr>
        <w:spacing w:after="120"/>
        <w:ind w:left="1134" w:right="1134"/>
        <w:jc w:val="both"/>
        <w:rPr>
          <w:b/>
          <w:bCs/>
        </w:rPr>
      </w:pPr>
      <w:r w:rsidRPr="00CA200A">
        <w:rPr>
          <w:bCs/>
        </w:rPr>
        <w:t>7.</w:t>
      </w:r>
      <w:r w:rsidRPr="00CA200A">
        <w:rPr>
          <w:bCs/>
        </w:rPr>
        <w:tab/>
      </w:r>
      <w:r w:rsidRPr="00CA200A">
        <w:rPr>
          <w:b/>
          <w:bCs/>
        </w:rPr>
        <w:t xml:space="preserve">El Comité insta al Estado parte a que incorpore específicamente en su legislación interna la responsabilidad penal de los superiores conforme </w:t>
      </w:r>
      <w:r w:rsidR="00D04922" w:rsidRPr="00CA200A">
        <w:rPr>
          <w:b/>
          <w:bCs/>
        </w:rPr>
        <w:t xml:space="preserve">lo </w:t>
      </w:r>
      <w:r w:rsidRPr="00CA200A">
        <w:rPr>
          <w:b/>
          <w:bCs/>
        </w:rPr>
        <w:t>exige el artículo 6</w:t>
      </w:r>
      <w:r w:rsidR="00B353B5" w:rsidRPr="00CA200A">
        <w:rPr>
          <w:b/>
          <w:bCs/>
        </w:rPr>
        <w:t>, párr</w:t>
      </w:r>
      <w:r w:rsidRPr="00CA200A">
        <w:rPr>
          <w:b/>
          <w:bCs/>
        </w:rPr>
        <w:t>.</w:t>
      </w:r>
      <w:r w:rsidR="00B353B5" w:rsidRPr="00CA200A">
        <w:rPr>
          <w:b/>
          <w:bCs/>
        </w:rPr>
        <w:t xml:space="preserve"> </w:t>
      </w:r>
      <w:r w:rsidRPr="00CA200A">
        <w:rPr>
          <w:b/>
          <w:bCs/>
        </w:rPr>
        <w:t>1</w:t>
      </w:r>
      <w:r w:rsidR="00B353B5" w:rsidRPr="00CA200A">
        <w:rPr>
          <w:b/>
          <w:bCs/>
        </w:rPr>
        <w:t>, apdo.</w:t>
      </w:r>
      <w:r w:rsidRPr="00CA200A">
        <w:rPr>
          <w:b/>
          <w:bCs/>
        </w:rPr>
        <w:t xml:space="preserve"> </w:t>
      </w:r>
      <w:r w:rsidRPr="00CA200A">
        <w:rPr>
          <w:b/>
          <w:bCs/>
          <w:iCs/>
        </w:rPr>
        <w:t>b)</w:t>
      </w:r>
      <w:r w:rsidR="00B353B5" w:rsidRPr="00CA200A">
        <w:rPr>
          <w:b/>
          <w:bCs/>
          <w:iCs/>
        </w:rPr>
        <w:t>,</w:t>
      </w:r>
      <w:r w:rsidRPr="00CA200A">
        <w:rPr>
          <w:b/>
          <w:bCs/>
        </w:rPr>
        <w:t xml:space="preserve"> de la Convención. </w:t>
      </w:r>
    </w:p>
    <w:p w14:paraId="62B8BACC" w14:textId="52841739" w:rsidR="00C320B3" w:rsidRPr="00CA200A" w:rsidRDefault="00C320B3" w:rsidP="007925CC">
      <w:pPr>
        <w:pStyle w:val="H1G"/>
      </w:pPr>
      <w:r w:rsidRPr="00CA200A">
        <w:tab/>
        <w:t>C.</w:t>
      </w:r>
      <w:r w:rsidRPr="00CA200A">
        <w:tab/>
        <w:t>Comunicación y registro de las personas privadas de libertad</w:t>
      </w:r>
      <w:r w:rsidRPr="00CA200A" w:rsidDel="003A42F8">
        <w:t xml:space="preserve"> </w:t>
      </w:r>
    </w:p>
    <w:p w14:paraId="19C45BF5" w14:textId="0E752DC9" w:rsidR="00C320B3" w:rsidRPr="00CA200A" w:rsidRDefault="00C320B3" w:rsidP="00553B42">
      <w:pPr>
        <w:spacing w:after="120"/>
        <w:ind w:left="1134" w:right="1134"/>
        <w:jc w:val="both"/>
        <w:rPr>
          <w:rFonts w:eastAsia="Calibri"/>
          <w:sz w:val="18"/>
          <w:szCs w:val="18"/>
          <w:lang w:val="es-419" w:eastAsia="es-CO"/>
        </w:rPr>
      </w:pPr>
      <w:r w:rsidRPr="00CA200A">
        <w:t>8.</w:t>
      </w:r>
      <w:r w:rsidRPr="00CA200A">
        <w:tab/>
        <w:t>El Comité está preocupado por las alegaciones recibidas sobre casos en los que se impidió a personas detenidas comunicarse con las personas referidas en el artículo 17 de la Convención. Asimismo, muestra su preocupación por las informaciones recibidas sobre la falta de actualización de los registros de las personas privadas de libertad (art. 17).</w:t>
      </w:r>
    </w:p>
    <w:p w14:paraId="07B4168C" w14:textId="78932C6E" w:rsidR="00C320B3" w:rsidRPr="00CA200A" w:rsidRDefault="00C320B3" w:rsidP="00445596">
      <w:pPr>
        <w:spacing w:after="120"/>
        <w:ind w:left="1134" w:right="1134"/>
        <w:jc w:val="both"/>
        <w:rPr>
          <w:b/>
          <w:bCs/>
        </w:rPr>
      </w:pPr>
      <w:r w:rsidRPr="00CA200A">
        <w:rPr>
          <w:bCs/>
        </w:rPr>
        <w:t>9.</w:t>
      </w:r>
      <w:r w:rsidRPr="00CA200A">
        <w:rPr>
          <w:bCs/>
        </w:rPr>
        <w:tab/>
      </w:r>
      <w:r w:rsidRPr="00CA200A">
        <w:rPr>
          <w:b/>
          <w:bCs/>
        </w:rPr>
        <w:t>El Comité reitera sus recomendaciones</w:t>
      </w:r>
      <w:r w:rsidRPr="00CA200A">
        <w:rPr>
          <w:rStyle w:val="FootnoteReference"/>
        </w:rPr>
        <w:footnoteReference w:id="5"/>
      </w:r>
      <w:r w:rsidRPr="00CA200A">
        <w:rPr>
          <w:b/>
          <w:bCs/>
        </w:rPr>
        <w:t xml:space="preserve"> e insta al Estado parte a que adopte todas las medidas necesarias, incluso de naturaleza legislativa, para garantizar que todas las personas privadas de libertad tengan acceso a un abogado desde el comienzo de la privación de libertad y puedan comunicarse sin demora con sus familiares o cualquier persona de su elección y, en el caso de extranjeros, con sus autoridades consulares. Asimismo, urge al Estado </w:t>
      </w:r>
      <w:r w:rsidR="00D04922" w:rsidRPr="00CA200A">
        <w:rPr>
          <w:b/>
          <w:bCs/>
        </w:rPr>
        <w:t>p</w:t>
      </w:r>
      <w:r w:rsidRPr="00CA200A">
        <w:rPr>
          <w:b/>
          <w:bCs/>
        </w:rPr>
        <w:t>arte al cumplimiento de las obligaciones establecidas en el artículo 17 de</w:t>
      </w:r>
      <w:r w:rsidR="00913433" w:rsidRPr="00CA200A">
        <w:rPr>
          <w:b/>
          <w:bCs/>
        </w:rPr>
        <w:t xml:space="preserve"> </w:t>
      </w:r>
      <w:r w:rsidRPr="00CA200A">
        <w:rPr>
          <w:b/>
          <w:bCs/>
        </w:rPr>
        <w:t>la Convención en relación con el registro de las personas privadas de libertad.</w:t>
      </w:r>
    </w:p>
    <w:p w14:paraId="1BA1DAD2" w14:textId="09CE68B0" w:rsidR="00C320B3" w:rsidRPr="00CA200A" w:rsidRDefault="00C320B3" w:rsidP="007925CC">
      <w:pPr>
        <w:pStyle w:val="H1G"/>
      </w:pPr>
      <w:r w:rsidRPr="00CA200A">
        <w:tab/>
        <w:t>D.</w:t>
      </w:r>
      <w:r w:rsidRPr="00CA200A">
        <w:tab/>
        <w:t xml:space="preserve">Protección de niños y niñas contra la desaparición forzada </w:t>
      </w:r>
    </w:p>
    <w:p w14:paraId="2B5464E2" w14:textId="7B95069D" w:rsidR="00C320B3" w:rsidRPr="00CA200A" w:rsidRDefault="00C320B3" w:rsidP="008F7FCB">
      <w:pPr>
        <w:spacing w:after="120"/>
        <w:ind w:left="1134" w:right="1134"/>
        <w:jc w:val="both"/>
      </w:pPr>
      <w:r w:rsidRPr="00CA200A">
        <w:t>10.</w:t>
      </w:r>
      <w:r w:rsidRPr="00CA200A">
        <w:tab/>
        <w:t>El Comité reitera su preocupación</w:t>
      </w:r>
      <w:r w:rsidR="00D04922" w:rsidRPr="00CA200A">
        <w:t xml:space="preserve"> </w:t>
      </w:r>
      <w:r w:rsidRPr="00CA200A">
        <w:t>por la ausencia de disposiciones en la legislación colombiana que sancionen específicamente las conductas descritas en el artículo 25</w:t>
      </w:r>
      <w:r w:rsidR="00881D62" w:rsidRPr="00CA200A">
        <w:t>, párr</w:t>
      </w:r>
      <w:r w:rsidRPr="00CA200A">
        <w:t>.</w:t>
      </w:r>
      <w:r w:rsidR="00881D62" w:rsidRPr="00CA200A">
        <w:t xml:space="preserve"> </w:t>
      </w:r>
      <w:r w:rsidRPr="00CA200A">
        <w:t>1</w:t>
      </w:r>
      <w:r w:rsidR="00881D62" w:rsidRPr="00CA200A">
        <w:t>, apdo.</w:t>
      </w:r>
      <w:r w:rsidRPr="00CA200A">
        <w:t xml:space="preserve"> a)</w:t>
      </w:r>
      <w:r w:rsidR="00881D62" w:rsidRPr="00CA200A">
        <w:t>,</w:t>
      </w:r>
      <w:r w:rsidRPr="00CA200A">
        <w:t xml:space="preserve"> de la Convención</w:t>
      </w:r>
      <w:r w:rsidR="00D04922" w:rsidRPr="00CA200A">
        <w:rPr>
          <w:vertAlign w:val="superscript"/>
          <w:lang w:val="es-CO"/>
        </w:rPr>
        <w:footnoteReference w:id="6"/>
      </w:r>
      <w:r w:rsidR="00D04922" w:rsidRPr="00CA200A">
        <w:t xml:space="preserve"> </w:t>
      </w:r>
      <w:r w:rsidRPr="00CA200A">
        <w:t>(art. 25).</w:t>
      </w:r>
    </w:p>
    <w:p w14:paraId="5FAF0D96" w14:textId="1F2BBC6F" w:rsidR="00C320B3" w:rsidRPr="00CA200A" w:rsidRDefault="00C320B3" w:rsidP="000214BC">
      <w:pPr>
        <w:spacing w:after="120"/>
        <w:ind w:left="1134" w:right="1134"/>
        <w:jc w:val="both"/>
        <w:rPr>
          <w:b/>
        </w:rPr>
      </w:pPr>
      <w:r w:rsidRPr="00CA200A">
        <w:t>11.</w:t>
      </w:r>
      <w:r w:rsidRPr="00CA200A">
        <w:tab/>
      </w:r>
      <w:r w:rsidRPr="00CA200A">
        <w:rPr>
          <w:b/>
        </w:rPr>
        <w:t>El Comité insta al Estado parte a que incorpore en su legislación, como delitos específicos, las conductas contempladas en el artículo 25</w:t>
      </w:r>
      <w:r w:rsidR="00AA2B11" w:rsidRPr="00CA200A">
        <w:rPr>
          <w:b/>
        </w:rPr>
        <w:t>, párr</w:t>
      </w:r>
      <w:r w:rsidRPr="00CA200A">
        <w:rPr>
          <w:b/>
        </w:rPr>
        <w:t>. 1</w:t>
      </w:r>
      <w:r w:rsidR="00AA2B11" w:rsidRPr="00CA200A">
        <w:rPr>
          <w:b/>
        </w:rPr>
        <w:t>, apdo.</w:t>
      </w:r>
      <w:r w:rsidRPr="00CA200A">
        <w:rPr>
          <w:b/>
        </w:rPr>
        <w:t xml:space="preserve"> a)</w:t>
      </w:r>
      <w:r w:rsidR="00AA2B11" w:rsidRPr="00CA200A">
        <w:rPr>
          <w:b/>
        </w:rPr>
        <w:t>,</w:t>
      </w:r>
      <w:r w:rsidRPr="00CA200A">
        <w:rPr>
          <w:b/>
        </w:rPr>
        <w:t xml:space="preserve"> de la </w:t>
      </w:r>
      <w:r w:rsidRPr="00CA200A">
        <w:rPr>
          <w:b/>
        </w:rPr>
        <w:lastRenderedPageBreak/>
        <w:t xml:space="preserve">Convención, que habrán de ser castigadas con penas apropiadas teniendo en cuenta su extrema gravedad. </w:t>
      </w:r>
    </w:p>
    <w:p w14:paraId="59A92B60" w14:textId="727200E4" w:rsidR="00C320B3" w:rsidRPr="00CA200A" w:rsidRDefault="00C320B3" w:rsidP="007925CC">
      <w:pPr>
        <w:pStyle w:val="H1G"/>
      </w:pPr>
      <w:r w:rsidRPr="00CA200A">
        <w:tab/>
        <w:t>E.</w:t>
      </w:r>
      <w:r w:rsidRPr="00CA200A">
        <w:tab/>
        <w:t xml:space="preserve">Comunicaciones individuales e interestatales </w:t>
      </w:r>
    </w:p>
    <w:p w14:paraId="49F1F3B1" w14:textId="7FCAEB4B" w:rsidR="00D1601A" w:rsidRPr="00CA200A" w:rsidRDefault="00C320B3" w:rsidP="00425A9F">
      <w:pPr>
        <w:spacing w:after="120"/>
        <w:ind w:left="1134" w:right="1134"/>
        <w:jc w:val="both"/>
      </w:pPr>
      <w:r w:rsidRPr="00CA200A">
        <w:t>12.</w:t>
      </w:r>
      <w:r w:rsidRPr="00CA200A">
        <w:tab/>
        <w:t>El Comité reitera su preocupación</w:t>
      </w:r>
      <w:r w:rsidR="00025FE7" w:rsidRPr="00CA200A">
        <w:t xml:space="preserve"> </w:t>
      </w:r>
      <w:r w:rsidR="00D1601A" w:rsidRPr="00CA200A">
        <w:t>por el hecho de que el Estado parte aún no haya reconocido la competencia del Comité para recibir y examinar comunicaciones individuales e interestatales</w:t>
      </w:r>
      <w:r w:rsidR="00025FE7" w:rsidRPr="00CA200A">
        <w:rPr>
          <w:rStyle w:val="FootnoteReference"/>
        </w:rPr>
        <w:footnoteReference w:id="7"/>
      </w:r>
      <w:r w:rsidR="00D1601A" w:rsidRPr="00CA200A">
        <w:t xml:space="preserve"> (arts. 31 y 32).</w:t>
      </w:r>
    </w:p>
    <w:p w14:paraId="621EA3C4" w14:textId="26B1A3DE" w:rsidR="00D1601A" w:rsidRPr="00CA200A" w:rsidRDefault="00D1601A" w:rsidP="00425A9F">
      <w:pPr>
        <w:spacing w:after="120"/>
        <w:ind w:left="1134" w:right="1134"/>
        <w:jc w:val="both"/>
        <w:rPr>
          <w:bCs/>
          <w:lang w:val="es-MX"/>
        </w:rPr>
      </w:pPr>
      <w:r w:rsidRPr="00CA200A">
        <w:rPr>
          <w:bCs/>
          <w:lang w:val="es-MX"/>
        </w:rPr>
        <w:t>13.</w:t>
      </w:r>
      <w:r w:rsidRPr="00CA200A">
        <w:rPr>
          <w:bCs/>
          <w:lang w:val="es-MX"/>
        </w:rPr>
        <w:tab/>
      </w:r>
      <w:r w:rsidRPr="00CA200A">
        <w:rPr>
          <w:b/>
          <w:lang w:val="es-MX"/>
        </w:rPr>
        <w:t>Nuevamente</w:t>
      </w:r>
      <w:r w:rsidRPr="00CA200A">
        <w:rPr>
          <w:bCs/>
          <w:lang w:val="es-MX"/>
        </w:rPr>
        <w:t xml:space="preserve">, </w:t>
      </w:r>
      <w:r w:rsidRPr="00CA200A">
        <w:rPr>
          <w:b/>
        </w:rPr>
        <w:t>el</w:t>
      </w:r>
      <w:r w:rsidRPr="00CA200A">
        <w:rPr>
          <w:b/>
          <w:bCs/>
          <w:lang w:val="es-MX"/>
        </w:rPr>
        <w:t xml:space="preserve"> Comité alienta enérgicamente al Estado parte a reconocer su competencia para recibir y examinar comunicaciones individuales e interestatales en virtud de los artículos 31 y 32 de la Convención con miras a asegurar la plena efectividad de la Convención y reforzar </w:t>
      </w:r>
      <w:r w:rsidR="00346F2B" w:rsidRPr="00CA200A">
        <w:rPr>
          <w:b/>
          <w:bCs/>
          <w:lang w:val="es-MX"/>
        </w:rPr>
        <w:t>en</w:t>
      </w:r>
      <w:r w:rsidRPr="00CA200A">
        <w:rPr>
          <w:b/>
          <w:bCs/>
          <w:lang w:val="es-MX"/>
        </w:rPr>
        <w:t xml:space="preserve"> favor de las víctimas el régimen de protección contra las desapariciones forzadas.</w:t>
      </w:r>
    </w:p>
    <w:p w14:paraId="06C6BF10" w14:textId="3F3DB71E" w:rsidR="00D1601A" w:rsidRPr="00CA200A" w:rsidRDefault="007925CC" w:rsidP="007925CC">
      <w:pPr>
        <w:pStyle w:val="HChG"/>
      </w:pPr>
      <w:r w:rsidRPr="00CA200A">
        <w:rPr>
          <w:lang w:val="es-CO"/>
        </w:rPr>
        <w:tab/>
      </w:r>
      <w:r w:rsidR="00D1601A" w:rsidRPr="00CA200A">
        <w:rPr>
          <w:lang w:val="es-CO"/>
        </w:rPr>
        <w:t>II</w:t>
      </w:r>
      <w:r w:rsidR="0096198B" w:rsidRPr="00CA200A">
        <w:rPr>
          <w:lang w:val="es-CO"/>
        </w:rPr>
        <w:t>I</w:t>
      </w:r>
      <w:r w:rsidR="00D1601A" w:rsidRPr="00CA200A">
        <w:rPr>
          <w:lang w:val="es-CO"/>
        </w:rPr>
        <w:t>.</w:t>
      </w:r>
      <w:r w:rsidRPr="00CA200A">
        <w:rPr>
          <w:lang w:val="es-CO"/>
        </w:rPr>
        <w:tab/>
      </w:r>
      <w:r w:rsidR="00D1601A" w:rsidRPr="00CA200A">
        <w:rPr>
          <w:lang w:val="es-CO"/>
        </w:rPr>
        <w:t xml:space="preserve">Prevención de la desaparición forzada y mecanismos </w:t>
      </w:r>
      <w:r w:rsidR="001E506F" w:rsidRPr="00CA200A">
        <w:rPr>
          <w:lang w:val="es-CO"/>
        </w:rPr>
        <w:br/>
      </w:r>
      <w:r w:rsidR="00D1601A" w:rsidRPr="00CA200A">
        <w:rPr>
          <w:lang w:val="es-CO"/>
        </w:rPr>
        <w:t>de búsqueda e investigación</w:t>
      </w:r>
      <w:r w:rsidR="00D1601A" w:rsidRPr="00CA200A" w:rsidDel="006D7598">
        <w:rPr>
          <w:lang w:val="es-CO"/>
        </w:rPr>
        <w:t xml:space="preserve"> </w:t>
      </w:r>
    </w:p>
    <w:p w14:paraId="31A53009" w14:textId="5D4D5BC4" w:rsidR="00D1601A" w:rsidRPr="00CA200A" w:rsidRDefault="007925CC" w:rsidP="007925CC">
      <w:pPr>
        <w:pStyle w:val="SingleTxtG"/>
      </w:pPr>
      <w:r w:rsidRPr="00CA200A">
        <w:t>14.</w:t>
      </w:r>
      <w:r w:rsidRPr="00CA200A">
        <w:tab/>
      </w:r>
      <w:r w:rsidR="00D1601A" w:rsidRPr="00CA200A">
        <w:t xml:space="preserve">Al Comité le preocupa que las desapariciones forzadas continúen ocurriendo en el Estado parte, incluso en el contexto de la </w:t>
      </w:r>
      <w:r w:rsidR="00520A9D" w:rsidRPr="00CA200A">
        <w:t xml:space="preserve">pandemia </w:t>
      </w:r>
      <w:r w:rsidR="00D74227" w:rsidRPr="00CA200A">
        <w:t>de</w:t>
      </w:r>
      <w:r w:rsidR="00520A9D" w:rsidRPr="00CA200A">
        <w:t xml:space="preserve"> </w:t>
      </w:r>
      <w:r w:rsidR="00D1601A" w:rsidRPr="00CA200A">
        <w:t>COVID-19, sin que hasta la fecha se haya adoptado una política integral para prevenirlas</w:t>
      </w:r>
      <w:r w:rsidR="00D1601A" w:rsidRPr="00CA200A">
        <w:rPr>
          <w:bCs/>
        </w:rPr>
        <w:t xml:space="preserve"> (arts. 1 a 3)</w:t>
      </w:r>
      <w:r w:rsidR="00C70E76" w:rsidRPr="00CA200A">
        <w:rPr>
          <w:bCs/>
        </w:rPr>
        <w:t>.</w:t>
      </w:r>
    </w:p>
    <w:p w14:paraId="3E9C9C35" w14:textId="79673FF2" w:rsidR="00D1601A" w:rsidRPr="00CA200A" w:rsidRDefault="00D1601A" w:rsidP="00E971C6">
      <w:pPr>
        <w:ind w:left="1134" w:right="1133"/>
        <w:contextualSpacing/>
        <w:jc w:val="both"/>
        <w:rPr>
          <w:b/>
          <w:bCs/>
          <w:lang w:val="es-PA"/>
        </w:rPr>
      </w:pPr>
      <w:r w:rsidRPr="00CA200A">
        <w:rPr>
          <w:bCs/>
        </w:rPr>
        <w:t>15.</w:t>
      </w:r>
      <w:r w:rsidR="007925CC" w:rsidRPr="00CA200A">
        <w:rPr>
          <w:b/>
          <w:bCs/>
        </w:rPr>
        <w:tab/>
      </w:r>
      <w:r w:rsidRPr="00CA200A">
        <w:rPr>
          <w:b/>
          <w:bCs/>
        </w:rPr>
        <w:t>El Comité considera imprescindible y, consiguientemente, recomienda al Estado parte que adopte una política pública integral para prevenir las desapariciones forzadas construida sobre la base de las obligaciones que emanan de la Convención</w:t>
      </w:r>
      <w:r w:rsidR="00CA283E" w:rsidRPr="00CA200A">
        <w:rPr>
          <w:b/>
          <w:bCs/>
        </w:rPr>
        <w:t xml:space="preserve"> y</w:t>
      </w:r>
      <w:r w:rsidR="00CA283E" w:rsidRPr="00CA200A">
        <w:rPr>
          <w:b/>
          <w:bCs/>
          <w:lang w:val="es-PA"/>
        </w:rPr>
        <w:t xml:space="preserve"> tomando también en cuenta las </w:t>
      </w:r>
      <w:r w:rsidR="00346F2B" w:rsidRPr="00CA200A">
        <w:rPr>
          <w:b/>
          <w:bCs/>
          <w:lang w:val="es-PA"/>
        </w:rPr>
        <w:t>D</w:t>
      </w:r>
      <w:r w:rsidR="00CA283E" w:rsidRPr="00CA200A">
        <w:rPr>
          <w:b/>
          <w:bCs/>
          <w:lang w:val="es-PA"/>
        </w:rPr>
        <w:t xml:space="preserve">irectrices </w:t>
      </w:r>
      <w:r w:rsidR="00346F2B" w:rsidRPr="00CA200A">
        <w:rPr>
          <w:b/>
          <w:bCs/>
          <w:lang w:val="es-PA"/>
        </w:rPr>
        <w:t xml:space="preserve">principales </w:t>
      </w:r>
      <w:r w:rsidR="00CA283E" w:rsidRPr="00CA200A">
        <w:rPr>
          <w:b/>
          <w:bCs/>
          <w:lang w:val="es-PA"/>
        </w:rPr>
        <w:t xml:space="preserve">sobre COVID-19 y </w:t>
      </w:r>
      <w:r w:rsidR="001A4016" w:rsidRPr="00CA200A">
        <w:rPr>
          <w:b/>
          <w:bCs/>
          <w:lang w:val="es-PA"/>
        </w:rPr>
        <w:t>D</w:t>
      </w:r>
      <w:r w:rsidR="00CA283E" w:rsidRPr="00CA200A">
        <w:rPr>
          <w:b/>
          <w:bCs/>
          <w:lang w:val="es-PA"/>
        </w:rPr>
        <w:t xml:space="preserve">esapariciones </w:t>
      </w:r>
      <w:r w:rsidR="001A4016" w:rsidRPr="00CA200A">
        <w:rPr>
          <w:b/>
          <w:bCs/>
          <w:lang w:val="es-PA"/>
        </w:rPr>
        <w:t>F</w:t>
      </w:r>
      <w:r w:rsidR="00CA283E" w:rsidRPr="00CA200A">
        <w:rPr>
          <w:b/>
          <w:bCs/>
          <w:lang w:val="es-PA"/>
        </w:rPr>
        <w:t xml:space="preserve">orzadas adoptadas por el Comité y el Grupo de Trabajo sobre Desapariciones </w:t>
      </w:r>
      <w:r w:rsidR="00015F9F" w:rsidRPr="00CA200A">
        <w:rPr>
          <w:b/>
          <w:bCs/>
          <w:lang w:val="es-PA"/>
        </w:rPr>
        <w:t>F</w:t>
      </w:r>
      <w:r w:rsidR="00CA283E" w:rsidRPr="00CA200A">
        <w:rPr>
          <w:b/>
          <w:bCs/>
          <w:lang w:val="es-PA"/>
        </w:rPr>
        <w:t xml:space="preserve">orzadas </w:t>
      </w:r>
      <w:r w:rsidR="00346F2B" w:rsidRPr="00CA200A">
        <w:rPr>
          <w:b/>
          <w:bCs/>
          <w:lang w:val="es-PA"/>
        </w:rPr>
        <w:t>o</w:t>
      </w:r>
      <w:r w:rsidR="00CA283E" w:rsidRPr="00CA200A">
        <w:rPr>
          <w:b/>
          <w:bCs/>
          <w:lang w:val="es-PA"/>
        </w:rPr>
        <w:t xml:space="preserve"> Involuntarias.</w:t>
      </w:r>
    </w:p>
    <w:p w14:paraId="3AF95E8B" w14:textId="08DE3B67" w:rsidR="00D1601A" w:rsidRPr="00CA200A" w:rsidRDefault="00653993" w:rsidP="007925CC">
      <w:pPr>
        <w:pStyle w:val="H1G"/>
      </w:pPr>
      <w:r w:rsidRPr="00CA200A">
        <w:tab/>
        <w:t>A.</w:t>
      </w:r>
      <w:r w:rsidRPr="00CA200A">
        <w:tab/>
      </w:r>
      <w:r w:rsidR="00D1601A" w:rsidRPr="00CA200A">
        <w:t>Información estadística sobre las desapariciones forzadas</w:t>
      </w:r>
    </w:p>
    <w:p w14:paraId="004699D3" w14:textId="3760A414" w:rsidR="00D1601A" w:rsidRPr="00CA200A" w:rsidRDefault="00D1601A" w:rsidP="00BD0D6D">
      <w:pPr>
        <w:spacing w:after="160" w:line="259" w:lineRule="auto"/>
        <w:ind w:left="1134" w:right="1133"/>
        <w:jc w:val="both"/>
      </w:pPr>
      <w:r w:rsidRPr="00CA200A">
        <w:t>16.</w:t>
      </w:r>
      <w:r w:rsidRPr="00CA200A">
        <w:tab/>
        <w:t xml:space="preserve">El Comité continúa preocupado por la ausencia de datos estadísticos claros y fiables sobre el número de personas desaparecidas en el Estado parte, incluidas aquellas que pudieran haber sido sometidas a desaparición forzada. A pesar </w:t>
      </w:r>
      <w:r w:rsidR="001B2182" w:rsidRPr="00CA200A">
        <w:t xml:space="preserve">de </w:t>
      </w:r>
      <w:r w:rsidRPr="00CA200A">
        <w:t xml:space="preserve">que el </w:t>
      </w:r>
      <w:r w:rsidRPr="00CA200A">
        <w:rPr>
          <w:lang w:val="es-MX"/>
        </w:rPr>
        <w:t>Registro Nacional de Desaparecidos</w:t>
      </w:r>
      <w:r w:rsidRPr="00CA200A">
        <w:t xml:space="preserve"> es el único registro oficial de personas desaparecidas, continúan existiendo múltiples bases de datos sobre personas desaparecidas en diferentes instituciones </w:t>
      </w:r>
      <w:r w:rsidRPr="00CA200A">
        <w:rPr>
          <w:lang w:val="es-CO"/>
        </w:rPr>
        <w:t>que contienen información divergente</w:t>
      </w:r>
      <w:r w:rsidRPr="00CA200A">
        <w:rPr>
          <w:rFonts w:eastAsia="Calibri"/>
          <w:lang w:val="es-CO" w:eastAsia="en-US"/>
        </w:rPr>
        <w:t xml:space="preserve">. </w:t>
      </w:r>
      <w:r w:rsidRPr="00CA200A">
        <w:t>Si bien reconoce</w:t>
      </w:r>
      <w:r w:rsidRPr="00CA200A">
        <w:rPr>
          <w:lang w:val="es-MX"/>
        </w:rPr>
        <w:t xml:space="preserve"> los avances en el proceso de depuración y consolidación</w:t>
      </w:r>
      <w:r w:rsidRPr="00CA200A">
        <w:rPr>
          <w:lang w:val="es-CO"/>
        </w:rPr>
        <w:t xml:space="preserve"> del R</w:t>
      </w:r>
      <w:r w:rsidR="002344A6" w:rsidRPr="00CA200A">
        <w:rPr>
          <w:lang w:val="es-CO"/>
        </w:rPr>
        <w:t>egistro</w:t>
      </w:r>
      <w:r w:rsidRPr="00CA200A">
        <w:rPr>
          <w:lang w:val="es-MX"/>
        </w:rPr>
        <w:t xml:space="preserve"> como fuente única de información, el Comité lamenta que este aún no haya finalizado (arts. </w:t>
      </w:r>
      <w:r w:rsidRPr="00CA200A">
        <w:t xml:space="preserve">1 a 3, 12 y 24). </w:t>
      </w:r>
    </w:p>
    <w:p w14:paraId="2F87DD2A" w14:textId="516263A9" w:rsidR="00D1601A" w:rsidRPr="00CA200A" w:rsidRDefault="00D1601A" w:rsidP="00F264AE">
      <w:pPr>
        <w:spacing w:after="120"/>
        <w:ind w:left="1134" w:right="1134"/>
        <w:jc w:val="both"/>
        <w:rPr>
          <w:b/>
          <w:bCs/>
        </w:rPr>
      </w:pPr>
      <w:r w:rsidRPr="00CA200A">
        <w:rPr>
          <w:bCs/>
          <w:lang w:val="es-MX"/>
        </w:rPr>
        <w:t>17.</w:t>
      </w:r>
      <w:r w:rsidRPr="00CA200A">
        <w:rPr>
          <w:bCs/>
          <w:lang w:val="es-MX"/>
        </w:rPr>
        <w:tab/>
      </w:r>
      <w:r w:rsidRPr="00CA200A">
        <w:rPr>
          <w:b/>
          <w:bCs/>
          <w:lang w:val="es-MX"/>
        </w:rPr>
        <w:t>El Comité recomienda al Estado parte concluir sin demora el proceso de depuración del R</w:t>
      </w:r>
      <w:r w:rsidR="002344A6" w:rsidRPr="00CA200A">
        <w:rPr>
          <w:b/>
          <w:bCs/>
          <w:lang w:val="es-MX"/>
        </w:rPr>
        <w:t>egistro Nacional de Desaparecidos</w:t>
      </w:r>
      <w:r w:rsidRPr="00CA200A">
        <w:rPr>
          <w:b/>
          <w:bCs/>
          <w:lang w:val="es-MX"/>
        </w:rPr>
        <w:t>, consolidar la información sobre personas desaparecidas contenida en las diferentes bases de datos estatales,</w:t>
      </w:r>
      <w:r w:rsidRPr="00CA200A">
        <w:rPr>
          <w:b/>
          <w:bCs/>
        </w:rPr>
        <w:t xml:space="preserve"> y generar estadísticas precisas y fiables sobre </w:t>
      </w:r>
      <w:r w:rsidRPr="00CA200A">
        <w:rPr>
          <w:b/>
        </w:rPr>
        <w:t>el número de personas desaparecidas y de aquellas que pudieran haber sido sometidas a desaparición forzada</w:t>
      </w:r>
      <w:r w:rsidRPr="00CA200A">
        <w:rPr>
          <w:b/>
          <w:bCs/>
          <w:lang w:val="es-MX"/>
        </w:rPr>
        <w:t xml:space="preserve">. Estas estadísticas deben permitir la identificación </w:t>
      </w:r>
      <w:r w:rsidRPr="00CA200A">
        <w:rPr>
          <w:rFonts w:eastAsia="MS Mincho"/>
          <w:b/>
          <w:lang w:val="es-ES_tradnl"/>
        </w:rPr>
        <w:t xml:space="preserve">de los diferentes grupos de víctimas, las causas y dinámicas de las desapariciones forzadas y los patrones de conducta, como base para </w:t>
      </w:r>
      <w:r w:rsidRPr="00CA200A">
        <w:rPr>
          <w:b/>
          <w:bCs/>
          <w:lang w:val="es-MX"/>
        </w:rPr>
        <w:t>adoptar medidas de prevención, investigación y búsqueda más eficaces.</w:t>
      </w:r>
      <w:r w:rsidRPr="00CA200A">
        <w:rPr>
          <w:rFonts w:eastAsia="MS Mincho"/>
          <w:b/>
          <w:lang w:val="es-ES_tradnl"/>
        </w:rPr>
        <w:t xml:space="preserve"> </w:t>
      </w:r>
      <w:r w:rsidRPr="00CA200A">
        <w:rPr>
          <w:b/>
          <w:bCs/>
          <w:lang w:val="es-MX"/>
        </w:rPr>
        <w:t xml:space="preserve">El </w:t>
      </w:r>
      <w:r w:rsidR="002344A6" w:rsidRPr="00CA200A">
        <w:rPr>
          <w:b/>
          <w:bCs/>
          <w:lang w:val="es-MX"/>
        </w:rPr>
        <w:t xml:space="preserve">Registro </w:t>
      </w:r>
      <w:r w:rsidRPr="00CA200A">
        <w:rPr>
          <w:b/>
          <w:bCs/>
        </w:rPr>
        <w:t xml:space="preserve">debe actualizarse sistemáticamente, asegurando el registro uniforme, exhaustivo e inmediato de todas las personas desaparecidas </w:t>
      </w:r>
      <w:r w:rsidR="00BE7896" w:rsidRPr="00CA200A">
        <w:rPr>
          <w:b/>
          <w:bCs/>
        </w:rPr>
        <w:t xml:space="preserve">de </w:t>
      </w:r>
      <w:r w:rsidRPr="00CA200A">
        <w:rPr>
          <w:b/>
          <w:bCs/>
        </w:rPr>
        <w:t xml:space="preserve">que </w:t>
      </w:r>
      <w:r w:rsidRPr="00CA200A">
        <w:rPr>
          <w:b/>
          <w:bCs/>
          <w:lang w:val="es-MX"/>
        </w:rPr>
        <w:t>se tenga conocimiento</w:t>
      </w:r>
      <w:r w:rsidR="002344A6" w:rsidRPr="00CA200A">
        <w:rPr>
          <w:b/>
          <w:bCs/>
          <w:lang w:val="es-MX"/>
        </w:rPr>
        <w:t xml:space="preserve">, y </w:t>
      </w:r>
      <w:r w:rsidRPr="00CA200A">
        <w:rPr>
          <w:b/>
          <w:bCs/>
          <w:lang w:val="es-MX"/>
        </w:rPr>
        <w:t xml:space="preserve">debe </w:t>
      </w:r>
      <w:r w:rsidRPr="00CA200A">
        <w:rPr>
          <w:b/>
          <w:bCs/>
        </w:rPr>
        <w:t>incluir, como mínimo, lo siguiente:</w:t>
      </w:r>
      <w:r w:rsidRPr="00CA200A">
        <w:t xml:space="preserve"> </w:t>
      </w:r>
    </w:p>
    <w:p w14:paraId="0A3C5FDE" w14:textId="46961DA4" w:rsidR="00D1601A" w:rsidRPr="00CA200A" w:rsidRDefault="00D1601A" w:rsidP="00F62366">
      <w:pPr>
        <w:pStyle w:val="SingleTxtG"/>
        <w:ind w:firstLine="567"/>
        <w:rPr>
          <w:b/>
          <w:bCs/>
        </w:rPr>
      </w:pPr>
      <w:r w:rsidRPr="00CA200A">
        <w:rPr>
          <w:b/>
          <w:bCs/>
        </w:rPr>
        <w:t>a)</w:t>
      </w:r>
      <w:r w:rsidRPr="00CA200A">
        <w:tab/>
      </w:r>
      <w:r w:rsidRPr="00CA200A">
        <w:rPr>
          <w:b/>
          <w:bCs/>
        </w:rPr>
        <w:t>El número total y la identidad de todas las personas desaparecidas</w:t>
      </w:r>
      <w:r w:rsidR="00330936" w:rsidRPr="00CA200A">
        <w:rPr>
          <w:b/>
          <w:bCs/>
        </w:rPr>
        <w:t xml:space="preserve">, </w:t>
      </w:r>
      <w:r w:rsidR="00816E83" w:rsidRPr="00CA200A">
        <w:rPr>
          <w:b/>
          <w:bCs/>
        </w:rPr>
        <w:t xml:space="preserve">individualizando </w:t>
      </w:r>
      <w:r w:rsidR="002344A6" w:rsidRPr="00CA200A">
        <w:rPr>
          <w:b/>
          <w:bCs/>
        </w:rPr>
        <w:t xml:space="preserve">a </w:t>
      </w:r>
      <w:r w:rsidRPr="00CA200A">
        <w:rPr>
          <w:b/>
        </w:rPr>
        <w:t>las que pudieran haber sido sometidas a desaparición forzada en el sentido del artículo 2 de la Convención</w:t>
      </w:r>
      <w:r w:rsidRPr="00CA200A">
        <w:rPr>
          <w:b/>
          <w:bCs/>
        </w:rPr>
        <w:t>;</w:t>
      </w:r>
    </w:p>
    <w:p w14:paraId="49366DB6" w14:textId="5AFB704C" w:rsidR="00D1601A" w:rsidRPr="00CA200A" w:rsidRDefault="00D1601A" w:rsidP="004F6A82">
      <w:pPr>
        <w:pStyle w:val="SingleTxtG"/>
        <w:ind w:firstLine="567"/>
        <w:rPr>
          <w:b/>
          <w:bCs/>
        </w:rPr>
      </w:pPr>
      <w:r w:rsidRPr="00CA200A">
        <w:rPr>
          <w:b/>
          <w:bCs/>
        </w:rPr>
        <w:t>b)</w:t>
      </w:r>
      <w:r w:rsidRPr="00CA200A">
        <w:tab/>
      </w:r>
      <w:r w:rsidRPr="00CA200A">
        <w:rPr>
          <w:b/>
          <w:bCs/>
        </w:rPr>
        <w:t>El sexo, la identidad de género,</w:t>
      </w:r>
      <w:r w:rsidR="004B12E3" w:rsidRPr="00CA200A">
        <w:rPr>
          <w:b/>
          <w:bCs/>
        </w:rPr>
        <w:t xml:space="preserve"> la</w:t>
      </w:r>
      <w:r w:rsidRPr="00CA200A">
        <w:rPr>
          <w:b/>
          <w:bCs/>
        </w:rPr>
        <w:t xml:space="preserve"> </w:t>
      </w:r>
      <w:r w:rsidR="00744203" w:rsidRPr="00CA200A">
        <w:rPr>
          <w:b/>
          <w:bCs/>
        </w:rPr>
        <w:t xml:space="preserve">orientación sexual, </w:t>
      </w:r>
      <w:r w:rsidRPr="00CA200A">
        <w:rPr>
          <w:b/>
          <w:bCs/>
        </w:rPr>
        <w:t xml:space="preserve">la edad, la nacionalidad y el grupo étnico de la persona desaparecida, así como el lugar, la fecha, el contexto y </w:t>
      </w:r>
      <w:r w:rsidR="00661093" w:rsidRPr="00CA200A">
        <w:rPr>
          <w:b/>
          <w:bCs/>
        </w:rPr>
        <w:t xml:space="preserve">las </w:t>
      </w:r>
      <w:r w:rsidRPr="00CA200A">
        <w:rPr>
          <w:b/>
          <w:bCs/>
        </w:rPr>
        <w:t>circunstancias de la desaparición, incluidos todos los elementos pertinentes para determinar si se trata de una desaparición forzada;</w:t>
      </w:r>
    </w:p>
    <w:p w14:paraId="481BC372" w14:textId="7BC55D54" w:rsidR="00D1601A" w:rsidRPr="00CA200A" w:rsidRDefault="00D1601A" w:rsidP="00F62366">
      <w:pPr>
        <w:pStyle w:val="SingleTxtG"/>
        <w:ind w:firstLine="567"/>
        <w:rPr>
          <w:b/>
          <w:bCs/>
        </w:rPr>
      </w:pPr>
      <w:r w:rsidRPr="00CA200A">
        <w:rPr>
          <w:b/>
          <w:bCs/>
        </w:rPr>
        <w:t>c)</w:t>
      </w:r>
      <w:r w:rsidRPr="00CA200A">
        <w:tab/>
      </w:r>
      <w:r w:rsidRPr="00CA200A">
        <w:rPr>
          <w:b/>
          <w:bCs/>
        </w:rPr>
        <w:t xml:space="preserve">El estado de los procedimientos </w:t>
      </w:r>
      <w:r w:rsidR="00330936" w:rsidRPr="00CA200A">
        <w:rPr>
          <w:b/>
          <w:bCs/>
        </w:rPr>
        <w:t xml:space="preserve">correspondientes </w:t>
      </w:r>
      <w:r w:rsidRPr="00CA200A">
        <w:rPr>
          <w:b/>
          <w:bCs/>
        </w:rPr>
        <w:t xml:space="preserve">de búsqueda e investigación, así como los de exhumación, identificación y entrega. </w:t>
      </w:r>
    </w:p>
    <w:p w14:paraId="01728EEF" w14:textId="443D6ADE" w:rsidR="00D1601A" w:rsidRPr="00CA200A" w:rsidRDefault="00653993" w:rsidP="007925CC">
      <w:pPr>
        <w:pStyle w:val="H1G"/>
      </w:pPr>
      <w:r w:rsidRPr="00CA200A">
        <w:tab/>
        <w:t>B.</w:t>
      </w:r>
      <w:r w:rsidRPr="00CA200A">
        <w:tab/>
      </w:r>
      <w:r w:rsidR="00D1601A" w:rsidRPr="00CA200A">
        <w:t>Investigación de casos de desaparición forzada</w:t>
      </w:r>
    </w:p>
    <w:p w14:paraId="5779893F" w14:textId="7D3DC606" w:rsidR="00D1601A" w:rsidRPr="00CA200A" w:rsidRDefault="00D1601A" w:rsidP="004864C9">
      <w:pPr>
        <w:spacing w:after="120"/>
        <w:ind w:left="1134" w:right="1134"/>
        <w:jc w:val="both"/>
        <w:rPr>
          <w:lang w:val="es-MX"/>
        </w:rPr>
      </w:pPr>
      <w:r w:rsidRPr="00CA200A">
        <w:t>18.</w:t>
      </w:r>
      <w:r w:rsidRPr="00CA200A">
        <w:tab/>
        <w:t xml:space="preserve">Al Comité le preocupa la falta de avances significativos en la investigación de casos de desaparición forzada a cargo de la Fiscalía y de </w:t>
      </w:r>
      <w:r w:rsidRPr="00CA200A">
        <w:rPr>
          <w:lang w:val="es-CO"/>
        </w:rPr>
        <w:t xml:space="preserve">la </w:t>
      </w:r>
      <w:r w:rsidR="006D780C" w:rsidRPr="00CA200A">
        <w:rPr>
          <w:rFonts w:eastAsia="Calibri"/>
          <w:lang w:val="es-PA" w:eastAsia="en-US"/>
        </w:rPr>
        <w:t>Jurisdicción Especial para la Paz</w:t>
      </w:r>
      <w:r w:rsidRPr="00CA200A">
        <w:rPr>
          <w:lang w:val="es-419"/>
        </w:rPr>
        <w:t>, incluyendo las desapariciones forzadas de menores,</w:t>
      </w:r>
      <w:r w:rsidRPr="00CA200A">
        <w:rPr>
          <w:rFonts w:eastAsia="Calibri"/>
          <w:lang w:val="es-419" w:eastAsia="es-CO"/>
        </w:rPr>
        <w:t xml:space="preserve"> de personas recluidas en cárceles </w:t>
      </w:r>
      <w:r w:rsidRPr="00CA200A">
        <w:rPr>
          <w:lang w:val="es-PA"/>
        </w:rPr>
        <w:t xml:space="preserve">y las </w:t>
      </w:r>
      <w:r w:rsidRPr="00CA200A">
        <w:t>ejecuciones extrajudiciales asociadas con desapariciones forzadas. Asimismo, l</w:t>
      </w:r>
      <w:r w:rsidRPr="00CA200A">
        <w:rPr>
          <w:lang w:val="es-PA"/>
        </w:rPr>
        <w:t>e</w:t>
      </w:r>
      <w:r w:rsidRPr="00CA200A">
        <w:t xml:space="preserve"> preocupa el gran número de procesos inactivos y el limitado número de condenas, incluso en contra de superiores militares y altos mandos del Ejército, perpetuando así la</w:t>
      </w:r>
      <w:r w:rsidR="001D22DD" w:rsidRPr="00CA200A">
        <w:t xml:space="preserve"> </w:t>
      </w:r>
      <w:r w:rsidRPr="00CA200A">
        <w:t>impunidad</w:t>
      </w:r>
      <w:r w:rsidR="0069104D" w:rsidRPr="00CA200A">
        <w:t>.</w:t>
      </w:r>
      <w:r w:rsidR="008C3EC1" w:rsidRPr="00CA200A">
        <w:t xml:space="preserve"> </w:t>
      </w:r>
      <w:r w:rsidRPr="00CA200A">
        <w:t xml:space="preserve">Preocupan también al Comité las alegaciones sobre la existencia de directrices elaboradas por las Fuerzas Armadas para que sus integrantes mantengan ante las </w:t>
      </w:r>
      <w:r w:rsidR="008C3EC1" w:rsidRPr="00CA200A">
        <w:t xml:space="preserve">instituciones </w:t>
      </w:r>
      <w:r w:rsidRPr="00CA200A">
        <w:t xml:space="preserve">del sistema de justicia transicional una versión coordinada sobre su actuación en el conflicto y oculten información útil para la investigación de delitos </w:t>
      </w:r>
      <w:r w:rsidRPr="00CA200A">
        <w:rPr>
          <w:lang w:val="es-CO"/>
        </w:rPr>
        <w:t>(arts. 2, 6,</w:t>
      </w:r>
      <w:r w:rsidR="00E42886" w:rsidRPr="00CA200A">
        <w:rPr>
          <w:lang w:val="es-CO"/>
        </w:rPr>
        <w:t xml:space="preserve"> </w:t>
      </w:r>
      <w:r w:rsidRPr="00CA200A">
        <w:rPr>
          <w:lang w:val="es-CO"/>
        </w:rPr>
        <w:t>12 y 24).</w:t>
      </w:r>
    </w:p>
    <w:p w14:paraId="6C93281D" w14:textId="655A38C4" w:rsidR="00D1601A" w:rsidRPr="00CA200A" w:rsidRDefault="00D1601A" w:rsidP="007925CC">
      <w:pPr>
        <w:pStyle w:val="SingleTxtG"/>
        <w:rPr>
          <w:b/>
        </w:rPr>
      </w:pPr>
      <w:r w:rsidRPr="00CA200A">
        <w:t>19.</w:t>
      </w:r>
      <w:r w:rsidRPr="00CA200A">
        <w:tab/>
      </w:r>
      <w:r w:rsidRPr="00CA200A">
        <w:rPr>
          <w:b/>
        </w:rPr>
        <w:t>El Comité recomienda al Estado parte que tome todas las medidas necesarias para:</w:t>
      </w:r>
    </w:p>
    <w:p w14:paraId="54B6DE2A" w14:textId="29CC876B" w:rsidR="00D1601A" w:rsidRPr="00CA200A" w:rsidRDefault="007925CC" w:rsidP="007925CC">
      <w:pPr>
        <w:pStyle w:val="SingleTxtG"/>
        <w:rPr>
          <w:b/>
        </w:rPr>
      </w:pPr>
      <w:r w:rsidRPr="00CA200A">
        <w:rPr>
          <w:b/>
        </w:rPr>
        <w:tab/>
        <w:t>a)</w:t>
      </w:r>
      <w:r w:rsidRPr="00CA200A">
        <w:rPr>
          <w:b/>
        </w:rPr>
        <w:tab/>
      </w:r>
      <w:r w:rsidR="00D1601A" w:rsidRPr="00CA200A">
        <w:rPr>
          <w:b/>
        </w:rPr>
        <w:t xml:space="preserve">Garantizar que los casos de desaparición forzada, sin excepción, se investiguen de oficio, de manera rápida, exhaustiva, imparcial, independiente y con enfoque diferencial, y que la </w:t>
      </w:r>
      <w:r w:rsidR="006D780C" w:rsidRPr="00CA200A">
        <w:rPr>
          <w:rFonts w:eastAsia="Calibri"/>
          <w:b/>
          <w:lang w:val="es-PA" w:eastAsia="en-US"/>
        </w:rPr>
        <w:t>Jurisdicción Especial para la Paz</w:t>
      </w:r>
      <w:r w:rsidR="00D1601A" w:rsidRPr="00CA200A">
        <w:rPr>
          <w:b/>
        </w:rPr>
        <w:t>, dentro de sus competencias, priorice la apertura de un macroproceso sobre las desapariciones forzadas cometidas en el marco del conflicto;</w:t>
      </w:r>
    </w:p>
    <w:p w14:paraId="01507445" w14:textId="0B8DA441" w:rsidR="00D1601A" w:rsidRPr="00CA200A" w:rsidRDefault="007925CC" w:rsidP="007925CC">
      <w:pPr>
        <w:pStyle w:val="SingleTxtG"/>
        <w:rPr>
          <w:rFonts w:eastAsia="Calibri"/>
          <w:b/>
          <w:lang w:val="es-CO"/>
        </w:rPr>
      </w:pPr>
      <w:r w:rsidRPr="00CA200A">
        <w:rPr>
          <w:b/>
        </w:rPr>
        <w:tab/>
        <w:t>b)</w:t>
      </w:r>
      <w:r w:rsidRPr="00CA200A">
        <w:rPr>
          <w:b/>
        </w:rPr>
        <w:tab/>
      </w:r>
      <w:r w:rsidR="00D1601A" w:rsidRPr="00CA200A">
        <w:rPr>
          <w:b/>
        </w:rPr>
        <w:t>Asegurar que los presuntos autores de una desaparición forzada, incluidos los superiores militares y civiles, y los funcionarios del Estado que hayan dado su autorización, apoyo o aquiescencia, sean enjuiciados y, si son declarados responsables, sean castigados con penas apropiadas;</w:t>
      </w:r>
      <w:r w:rsidR="00D1601A" w:rsidRPr="00CA200A">
        <w:rPr>
          <w:rFonts w:eastAsia="Calibri"/>
          <w:b/>
          <w:lang w:val="es-CO"/>
        </w:rPr>
        <w:t xml:space="preserve"> </w:t>
      </w:r>
    </w:p>
    <w:p w14:paraId="7B32AF8B" w14:textId="2673E971" w:rsidR="00D1601A" w:rsidRPr="00CA200A" w:rsidRDefault="007925CC" w:rsidP="007925CC">
      <w:pPr>
        <w:pStyle w:val="SingleTxtG"/>
        <w:rPr>
          <w:b/>
        </w:rPr>
      </w:pPr>
      <w:r w:rsidRPr="00CA200A">
        <w:rPr>
          <w:rFonts w:eastAsia="MS Mincho"/>
          <w:b/>
        </w:rPr>
        <w:tab/>
        <w:t>c)</w:t>
      </w:r>
      <w:r w:rsidRPr="00CA200A">
        <w:rPr>
          <w:rFonts w:eastAsia="MS Mincho"/>
          <w:b/>
        </w:rPr>
        <w:tab/>
      </w:r>
      <w:r w:rsidR="0032748D" w:rsidRPr="00CA200A">
        <w:rPr>
          <w:rFonts w:eastAsia="MS Mincho"/>
          <w:b/>
        </w:rPr>
        <w:t>I</w:t>
      </w:r>
      <w:r w:rsidR="00D1601A" w:rsidRPr="00CA200A">
        <w:rPr>
          <w:rFonts w:eastAsia="MS Mincho"/>
          <w:b/>
        </w:rPr>
        <w:t xml:space="preserve">mpedir que </w:t>
      </w:r>
      <w:r w:rsidR="00D1601A" w:rsidRPr="00CA200A">
        <w:rPr>
          <w:rFonts w:eastAsia="MS Mincho" w:cs="Arial"/>
          <w:b/>
          <w:szCs w:val="32"/>
        </w:rPr>
        <w:t>agente</w:t>
      </w:r>
      <w:r w:rsidR="00D1601A" w:rsidRPr="00CA200A">
        <w:rPr>
          <w:rFonts w:eastAsia="MS Mincho"/>
          <w:b/>
        </w:rPr>
        <w:t>s</w:t>
      </w:r>
      <w:r w:rsidR="00D1601A" w:rsidRPr="00CA200A">
        <w:rPr>
          <w:rFonts w:eastAsia="MS Mincho" w:cs="Arial"/>
          <w:b/>
          <w:szCs w:val="32"/>
        </w:rPr>
        <w:t xml:space="preserve"> del Estado, civil</w:t>
      </w:r>
      <w:r w:rsidR="00D1601A" w:rsidRPr="00CA200A">
        <w:rPr>
          <w:rFonts w:eastAsia="MS Mincho"/>
          <w:b/>
        </w:rPr>
        <w:t>es</w:t>
      </w:r>
      <w:r w:rsidR="00D1601A" w:rsidRPr="00CA200A">
        <w:rPr>
          <w:rFonts w:eastAsia="MS Mincho" w:cs="Arial"/>
          <w:b/>
          <w:szCs w:val="32"/>
        </w:rPr>
        <w:t xml:space="preserve"> o militar</w:t>
      </w:r>
      <w:r w:rsidR="00D1601A" w:rsidRPr="00CA200A">
        <w:rPr>
          <w:rFonts w:eastAsia="MS Mincho"/>
          <w:b/>
        </w:rPr>
        <w:t>es</w:t>
      </w:r>
      <w:r w:rsidR="00D1601A" w:rsidRPr="00CA200A">
        <w:rPr>
          <w:rFonts w:eastAsia="MS Mincho" w:cs="Arial"/>
          <w:b/>
          <w:szCs w:val="32"/>
        </w:rPr>
        <w:t xml:space="preserve">, </w:t>
      </w:r>
      <w:r w:rsidR="00D1601A" w:rsidRPr="00CA200A">
        <w:rPr>
          <w:rFonts w:eastAsia="MS Mincho"/>
          <w:b/>
        </w:rPr>
        <w:t>dicten instrucciones orientadas falsear u ocultar la verdad de los hechos y a obstaculizar el curso de las investigaciones</w:t>
      </w:r>
      <w:r w:rsidR="00D1601A" w:rsidRPr="00CA200A">
        <w:rPr>
          <w:b/>
        </w:rPr>
        <w:t>;</w:t>
      </w:r>
    </w:p>
    <w:p w14:paraId="6B0521DE" w14:textId="612B3498" w:rsidR="00D1601A" w:rsidRPr="00CA200A" w:rsidRDefault="007925CC">
      <w:pPr>
        <w:pStyle w:val="SingleTxtG"/>
        <w:rPr>
          <w:b/>
        </w:rPr>
      </w:pPr>
      <w:r w:rsidRPr="00CA200A">
        <w:rPr>
          <w:b/>
        </w:rPr>
        <w:tab/>
        <w:t>d)</w:t>
      </w:r>
      <w:r w:rsidRPr="00CA200A">
        <w:rPr>
          <w:b/>
        </w:rPr>
        <w:tab/>
      </w:r>
      <w:r w:rsidR="00D1601A" w:rsidRPr="00CA200A">
        <w:rPr>
          <w:b/>
        </w:rPr>
        <w:t xml:space="preserve">Garantizar que todas las autoridades que participan en la investigación de las desapariciones forzadas, incluyendo la </w:t>
      </w:r>
      <w:r w:rsidR="00CE44C8" w:rsidRPr="00CA200A">
        <w:rPr>
          <w:rFonts w:eastAsia="Calibri"/>
          <w:b/>
          <w:bCs/>
          <w:lang w:val="es-PA" w:eastAsia="en-US"/>
        </w:rPr>
        <w:t>Comisión para el Esclarecimiento de la Verdad, la Convivencia y No Repetición</w:t>
      </w:r>
      <w:r w:rsidR="00CE44C8" w:rsidRPr="00CA200A">
        <w:rPr>
          <w:b/>
          <w:bCs/>
        </w:rPr>
        <w:t xml:space="preserve"> </w:t>
      </w:r>
      <w:r w:rsidR="00D1601A" w:rsidRPr="00CA200A">
        <w:rPr>
          <w:b/>
        </w:rPr>
        <w:t xml:space="preserve">y la </w:t>
      </w:r>
      <w:r w:rsidR="006D780C" w:rsidRPr="00CA200A">
        <w:rPr>
          <w:rFonts w:eastAsia="Calibri"/>
          <w:b/>
          <w:bCs/>
          <w:lang w:val="es-PA" w:eastAsia="en-US"/>
        </w:rPr>
        <w:t>Jurisdicción Especial para la Paz</w:t>
      </w:r>
      <w:r w:rsidR="006D780C" w:rsidRPr="00CA200A">
        <w:rPr>
          <w:rFonts w:eastAsia="Calibri"/>
          <w:lang w:val="es-PA" w:eastAsia="en-US"/>
        </w:rPr>
        <w:t xml:space="preserve"> </w:t>
      </w:r>
      <w:r w:rsidR="00D1601A" w:rsidRPr="00CA200A">
        <w:rPr>
          <w:b/>
        </w:rPr>
        <w:t>tengan acceso efectivo y oportuno a toda la documentación pertinente que pudiera estar en poder de dependencias estatales, en particular de órganos de inteligencia de las fuerzas armadas y de seguridad.</w:t>
      </w:r>
    </w:p>
    <w:p w14:paraId="401C4459" w14:textId="4232A8B3" w:rsidR="00D1601A" w:rsidRPr="00CA200A" w:rsidRDefault="007925CC" w:rsidP="007925CC">
      <w:pPr>
        <w:pStyle w:val="SingleTxtG"/>
      </w:pPr>
      <w:r w:rsidRPr="00CA200A">
        <w:t>20.</w:t>
      </w:r>
      <w:r w:rsidRPr="00CA200A">
        <w:tab/>
      </w:r>
      <w:r w:rsidR="00D1601A" w:rsidRPr="00CA200A">
        <w:t xml:space="preserve">Preocupa al Comité </w:t>
      </w:r>
      <w:r w:rsidR="00D1601A" w:rsidRPr="00CA200A">
        <w:rPr>
          <w:rFonts w:eastAsia="Calibri"/>
          <w:lang w:val="es-CO"/>
        </w:rPr>
        <w:t xml:space="preserve">que </w:t>
      </w:r>
      <w:r w:rsidR="00D1601A" w:rsidRPr="00CA200A">
        <w:t xml:space="preserve">hayan sido ascendidos oficiales de la </w:t>
      </w:r>
      <w:r w:rsidR="00041B26" w:rsidRPr="00CA200A">
        <w:t>f</w:t>
      </w:r>
      <w:r w:rsidR="00D1601A" w:rsidRPr="00CA200A">
        <w:t xml:space="preserve">uerza </w:t>
      </w:r>
      <w:r w:rsidR="00041B26" w:rsidRPr="00CA200A">
        <w:t>p</w:t>
      </w:r>
      <w:r w:rsidR="00D1601A" w:rsidRPr="00CA200A">
        <w:t>ública bajo investigación por desaparición forzada y otras violaciones de derechos humanos,</w:t>
      </w:r>
      <w:r w:rsidR="00D1601A" w:rsidRPr="00CA200A">
        <w:rPr>
          <w:rFonts w:eastAsia="Calibri"/>
          <w:b/>
          <w:lang w:val="es-CO"/>
        </w:rPr>
        <w:t xml:space="preserve"> </w:t>
      </w:r>
      <w:r w:rsidR="00D1601A" w:rsidRPr="00CA200A">
        <w:rPr>
          <w:rFonts w:eastAsia="Calibri"/>
          <w:lang w:val="es-CO"/>
        </w:rPr>
        <w:t>causando</w:t>
      </w:r>
      <w:r w:rsidR="00FB55AA" w:rsidRPr="00CA200A">
        <w:rPr>
          <w:rFonts w:eastAsia="Calibri"/>
          <w:lang w:val="es-CO"/>
        </w:rPr>
        <w:t>,</w:t>
      </w:r>
      <w:r w:rsidR="00D1601A" w:rsidRPr="00CA200A">
        <w:rPr>
          <w:rFonts w:eastAsia="Calibri"/>
          <w:lang w:val="es-CO"/>
        </w:rPr>
        <w:t xml:space="preserve"> en consecuencia</w:t>
      </w:r>
      <w:r w:rsidR="00FB55AA" w:rsidRPr="00CA200A">
        <w:rPr>
          <w:rFonts w:eastAsia="Calibri"/>
          <w:lang w:val="es-CO"/>
        </w:rPr>
        <w:t>,</w:t>
      </w:r>
      <w:r w:rsidR="00D1601A" w:rsidRPr="00CA200A">
        <w:rPr>
          <w:rFonts w:eastAsia="Calibri"/>
          <w:lang w:val="es-CO"/>
        </w:rPr>
        <w:t xml:space="preserve"> la revictimización de las víctimas (art</w:t>
      </w:r>
      <w:r w:rsidR="00D67BB1" w:rsidRPr="00CA200A">
        <w:rPr>
          <w:rFonts w:eastAsia="Calibri"/>
          <w:lang w:val="es-CO"/>
        </w:rPr>
        <w:t>s.</w:t>
      </w:r>
      <w:r w:rsidR="00D1601A" w:rsidRPr="00CA200A">
        <w:rPr>
          <w:rFonts w:eastAsia="Calibri"/>
          <w:lang w:val="es-CO"/>
        </w:rPr>
        <w:t xml:space="preserve"> 12 y 24).</w:t>
      </w:r>
    </w:p>
    <w:p w14:paraId="0ACC42C2" w14:textId="35BC80C7" w:rsidR="00D1601A" w:rsidRPr="00CA200A" w:rsidRDefault="007925CC" w:rsidP="007925CC">
      <w:pPr>
        <w:pStyle w:val="SingleTxtG"/>
        <w:rPr>
          <w:b/>
        </w:rPr>
      </w:pPr>
      <w:r w:rsidRPr="00CA200A">
        <w:rPr>
          <w:bCs/>
        </w:rPr>
        <w:t>21.</w:t>
      </w:r>
      <w:r w:rsidRPr="00CA200A">
        <w:rPr>
          <w:b/>
        </w:rPr>
        <w:tab/>
      </w:r>
      <w:r w:rsidR="00D1601A" w:rsidRPr="00CA200A">
        <w:rPr>
          <w:b/>
        </w:rPr>
        <w:t xml:space="preserve">El Comité urge al Estado </w:t>
      </w:r>
      <w:r w:rsidR="00D67BB1" w:rsidRPr="00CA200A">
        <w:rPr>
          <w:b/>
        </w:rPr>
        <w:t>p</w:t>
      </w:r>
      <w:r w:rsidR="00D1601A" w:rsidRPr="00CA200A">
        <w:rPr>
          <w:b/>
        </w:rPr>
        <w:t xml:space="preserve">arte a tomar medidas legislativas para asegurar que, dentro de los requisitos para el ascenso de los </w:t>
      </w:r>
      <w:r w:rsidR="00D1601A" w:rsidRPr="00CA200A">
        <w:rPr>
          <w:rFonts w:eastAsia="Calibri"/>
          <w:b/>
          <w:lang w:val="es-CO"/>
        </w:rPr>
        <w:t xml:space="preserve">miembros de la </w:t>
      </w:r>
      <w:r w:rsidR="0069104D" w:rsidRPr="00CA200A">
        <w:rPr>
          <w:rFonts w:eastAsia="Calibri"/>
          <w:b/>
          <w:lang w:val="es-CO"/>
        </w:rPr>
        <w:t>f</w:t>
      </w:r>
      <w:r w:rsidR="00D1601A" w:rsidRPr="00CA200A">
        <w:rPr>
          <w:rFonts w:eastAsia="Calibri"/>
          <w:b/>
          <w:lang w:val="es-CO"/>
        </w:rPr>
        <w:t xml:space="preserve">uerza </w:t>
      </w:r>
      <w:r w:rsidR="0069104D" w:rsidRPr="00CA200A">
        <w:rPr>
          <w:rFonts w:eastAsia="Calibri"/>
          <w:b/>
          <w:lang w:val="es-CO"/>
        </w:rPr>
        <w:t>p</w:t>
      </w:r>
      <w:r w:rsidR="00D1601A" w:rsidRPr="00CA200A">
        <w:rPr>
          <w:rFonts w:eastAsia="Calibri"/>
          <w:b/>
          <w:lang w:val="es-CO"/>
        </w:rPr>
        <w:t xml:space="preserve">ública, acrediten que no existen investigaciones y/o procesos en su contra por delito de desaparición forzada u otra violación de derechos humanos. </w:t>
      </w:r>
    </w:p>
    <w:p w14:paraId="6007BBFC" w14:textId="6053B690" w:rsidR="00D1601A" w:rsidRPr="00CA200A" w:rsidRDefault="00447BD7" w:rsidP="00447BD7">
      <w:pPr>
        <w:pStyle w:val="H1G"/>
      </w:pPr>
      <w:r w:rsidRPr="00CA200A">
        <w:tab/>
      </w:r>
      <w:r w:rsidR="00653993" w:rsidRPr="00CA200A">
        <w:t>C.</w:t>
      </w:r>
      <w:r w:rsidR="00653993" w:rsidRPr="00CA200A">
        <w:tab/>
      </w:r>
      <w:r w:rsidRPr="00CA200A">
        <w:tab/>
      </w:r>
      <w:r w:rsidR="00D1601A" w:rsidRPr="00CA200A">
        <w:t xml:space="preserve">Investigación de las desapariciones perpetradas sin la autorización, </w:t>
      </w:r>
      <w:r w:rsidR="001E506F" w:rsidRPr="00CA200A">
        <w:br/>
      </w:r>
      <w:r w:rsidR="00D1601A" w:rsidRPr="00CA200A">
        <w:t>el apoyo o la aquiescencia de agentes del Estado</w:t>
      </w:r>
    </w:p>
    <w:p w14:paraId="18985B2F" w14:textId="067D0B70" w:rsidR="00D1601A" w:rsidRPr="00CA200A" w:rsidRDefault="00447BD7" w:rsidP="00F80B2A">
      <w:pPr>
        <w:spacing w:after="120"/>
        <w:ind w:left="1134" w:right="1134"/>
        <w:jc w:val="both"/>
      </w:pPr>
      <w:r w:rsidRPr="00CA200A">
        <w:t>22.</w:t>
      </w:r>
      <w:r w:rsidRPr="00CA200A">
        <w:tab/>
      </w:r>
      <w:r w:rsidR="00D1601A" w:rsidRPr="00CA200A">
        <w:t xml:space="preserve">El Comité observa con preocupación </w:t>
      </w:r>
      <w:r w:rsidR="00D1601A" w:rsidRPr="00CA200A">
        <w:rPr>
          <w:lang w:val="es-CO"/>
        </w:rPr>
        <w:t>los limitados avances en la investigación de desapariciones</w:t>
      </w:r>
      <w:r w:rsidR="00D1601A" w:rsidRPr="00CA200A">
        <w:t xml:space="preserve"> perpetradas por grupos armados organizados al margen de la ley</w:t>
      </w:r>
      <w:r w:rsidR="00D1601A" w:rsidRPr="00CA200A">
        <w:rPr>
          <w:lang w:val="es-CO"/>
        </w:rPr>
        <w:t xml:space="preserve">, en particular las relacionadas con las </w:t>
      </w:r>
      <w:r w:rsidR="0069104D" w:rsidRPr="00CA200A">
        <w:rPr>
          <w:lang w:val="es-CO"/>
        </w:rPr>
        <w:t>“</w:t>
      </w:r>
      <w:r w:rsidR="00D1601A" w:rsidRPr="00CA200A">
        <w:rPr>
          <w:lang w:val="es-CO"/>
        </w:rPr>
        <w:t>casas de pique</w:t>
      </w:r>
      <w:r w:rsidR="0069104D" w:rsidRPr="00CA200A">
        <w:rPr>
          <w:lang w:val="es-CO"/>
        </w:rPr>
        <w:t>”</w:t>
      </w:r>
      <w:r w:rsidR="00D1601A" w:rsidRPr="00CA200A">
        <w:rPr>
          <w:lang w:val="es-CO"/>
        </w:rPr>
        <w:t xml:space="preserve">, con el reclutamiento forzado de </w:t>
      </w:r>
      <w:r w:rsidR="00D1601A" w:rsidRPr="00CA200A">
        <w:t xml:space="preserve">niños y niñas, mayoritariamente en las comunidades indígenas y afrocolombianas, y con las desapariciones transfronterizas </w:t>
      </w:r>
      <w:r w:rsidR="00D1601A" w:rsidRPr="00CA200A">
        <w:rPr>
          <w:kern w:val="36"/>
          <w:lang w:eastAsia="en-GB"/>
        </w:rPr>
        <w:t>(</w:t>
      </w:r>
      <w:r w:rsidR="00D1601A" w:rsidRPr="00CA200A">
        <w:t>arts. 3, 12 y 25).</w:t>
      </w:r>
    </w:p>
    <w:p w14:paraId="27EEE035" w14:textId="1147E006" w:rsidR="00D1601A" w:rsidRPr="00CA200A" w:rsidRDefault="00D1601A" w:rsidP="00AA66BC">
      <w:pPr>
        <w:spacing w:after="120"/>
        <w:ind w:left="1134" w:right="1134"/>
        <w:jc w:val="both"/>
        <w:rPr>
          <w:b/>
        </w:rPr>
      </w:pPr>
      <w:r w:rsidRPr="00CA200A">
        <w:rPr>
          <w:bCs/>
        </w:rPr>
        <w:t>23.</w:t>
      </w:r>
      <w:r w:rsidRPr="00CA200A">
        <w:rPr>
          <w:bCs/>
        </w:rPr>
        <w:tab/>
      </w:r>
      <w:r w:rsidRPr="00CA200A">
        <w:rPr>
          <w:b/>
          <w:bCs/>
        </w:rPr>
        <w:t xml:space="preserve">El Comité recomienda al Estado parte que redoble sus esfuerzos para prevenir e </w:t>
      </w:r>
      <w:r w:rsidRPr="00CA200A">
        <w:rPr>
          <w:b/>
        </w:rPr>
        <w:t>investigar</w:t>
      </w:r>
      <w:r w:rsidRPr="00CA200A">
        <w:rPr>
          <w:b/>
          <w:bCs/>
        </w:rPr>
        <w:t xml:space="preserve"> de manera rápida, exhaustiva e imparcial todos los actos definidos en el artículo 2 de la Convención cometidos por</w:t>
      </w:r>
      <w:r w:rsidRPr="00CA200A">
        <w:rPr>
          <w:b/>
        </w:rPr>
        <w:t xml:space="preserve"> grupos armados organizados </w:t>
      </w:r>
      <w:r w:rsidRPr="00CA200A">
        <w:rPr>
          <w:b/>
          <w:bCs/>
        </w:rPr>
        <w:t xml:space="preserve">sin la autorización, el apoyo o la aquiescencia de los funcionarios del Estado, así como para procesar y sancionar a los responsables. </w:t>
      </w:r>
    </w:p>
    <w:p w14:paraId="5DC5085B" w14:textId="5C5237DA" w:rsidR="00D1601A" w:rsidRPr="00CA200A" w:rsidRDefault="00447BD7" w:rsidP="00447BD7">
      <w:pPr>
        <w:pStyle w:val="H1G"/>
      </w:pPr>
      <w:r w:rsidRPr="00CA200A">
        <w:tab/>
      </w:r>
      <w:r w:rsidR="00653993" w:rsidRPr="00CA200A">
        <w:t>D.</w:t>
      </w:r>
      <w:r w:rsidRPr="00CA200A">
        <w:tab/>
      </w:r>
      <w:r w:rsidR="00D1601A" w:rsidRPr="00CA200A">
        <w:t>Protección de las personas que denuncian y/o participan en la investigación de una desaparición forzada</w:t>
      </w:r>
    </w:p>
    <w:p w14:paraId="22B0E03F" w14:textId="1254D816" w:rsidR="00D1601A" w:rsidRPr="00CA200A" w:rsidRDefault="00D1601A" w:rsidP="003D5D6D">
      <w:pPr>
        <w:spacing w:after="120"/>
        <w:ind w:left="1134" w:right="1134"/>
        <w:jc w:val="both"/>
      </w:pPr>
      <w:r w:rsidRPr="00CA200A">
        <w:t>24.</w:t>
      </w:r>
      <w:r w:rsidRPr="00CA200A">
        <w:tab/>
        <w:t>El Comité contin</w:t>
      </w:r>
      <w:r w:rsidR="00297575" w:rsidRPr="00CA200A">
        <w:t>ú</w:t>
      </w:r>
      <w:r w:rsidRPr="00CA200A">
        <w:t xml:space="preserve">a preocupado por </w:t>
      </w:r>
      <w:r w:rsidRPr="00CA200A">
        <w:rPr>
          <w:bCs/>
          <w:lang w:val="es-ES_tradnl"/>
        </w:rPr>
        <w:t xml:space="preserve">los asesinatos, </w:t>
      </w:r>
      <w:r w:rsidRPr="00CA200A">
        <w:rPr>
          <w:bCs/>
        </w:rPr>
        <w:t>amenazas y represalias</w:t>
      </w:r>
      <w:r w:rsidRPr="00CA200A">
        <w:rPr>
          <w:rFonts w:eastAsia="Calibri"/>
          <w:vertAlign w:val="superscript"/>
          <w:lang w:eastAsia="en-US"/>
        </w:rPr>
        <w:t xml:space="preserve"> </w:t>
      </w:r>
      <w:r w:rsidRPr="00CA200A">
        <w:rPr>
          <w:bCs/>
        </w:rPr>
        <w:t xml:space="preserve">en contra de personas </w:t>
      </w:r>
      <w:r w:rsidRPr="00CA200A">
        <w:rPr>
          <w:bCs/>
          <w:lang w:val="es-ES_tradnl"/>
        </w:rPr>
        <w:t xml:space="preserve">defensoras de derechos humanos, </w:t>
      </w:r>
      <w:r w:rsidRPr="00CA200A">
        <w:rPr>
          <w:bCs/>
        </w:rPr>
        <w:t xml:space="preserve">de pueblos indígenas y de comunidades afrodescendientes, </w:t>
      </w:r>
      <w:r w:rsidRPr="00CA200A">
        <w:t xml:space="preserve">víctimas de desaparición forzada y sus familiares y representantes, incluyendo comparecientes ante la </w:t>
      </w:r>
      <w:r w:rsidR="00297575" w:rsidRPr="00CA200A">
        <w:rPr>
          <w:rFonts w:eastAsia="Calibri"/>
          <w:lang w:val="es-PA" w:eastAsia="en-US"/>
        </w:rPr>
        <w:t>Jurisdicción Especial para la Paz</w:t>
      </w:r>
      <w:r w:rsidRPr="00CA200A">
        <w:rPr>
          <w:lang w:val="es-CO"/>
        </w:rPr>
        <w:t xml:space="preserve">, así como por </w:t>
      </w:r>
      <w:r w:rsidRPr="00CA200A">
        <w:rPr>
          <w:bCs/>
        </w:rPr>
        <w:t>los altos niveles de impunidad por estos actos</w:t>
      </w:r>
      <w:r w:rsidRPr="00CA200A">
        <w:rPr>
          <w:lang w:val="es-CO"/>
        </w:rPr>
        <w:t xml:space="preserve">. Le preocupa, además, la </w:t>
      </w:r>
      <w:r w:rsidRPr="00CA200A">
        <w:rPr>
          <w:bCs/>
          <w:lang w:val="es-ES_tradnl"/>
        </w:rPr>
        <w:t>información relativa a: a) las</w:t>
      </w:r>
      <w:r w:rsidRPr="00CA200A">
        <w:rPr>
          <w:bCs/>
          <w:lang w:val="es-MX"/>
        </w:rPr>
        <w:t xml:space="preserve"> deficiencias en la implementación de los programas de protección, incluyendo</w:t>
      </w:r>
      <w:r w:rsidRPr="00CA200A">
        <w:rPr>
          <w:lang w:val="es-EC"/>
        </w:rPr>
        <w:t xml:space="preserve"> </w:t>
      </w:r>
      <w:r w:rsidRPr="00CA200A">
        <w:rPr>
          <w:bCs/>
          <w:lang w:val="es-MX"/>
        </w:rPr>
        <w:t>la falta de adecuación de las medidas a las necesidades de los beneficiarios, en particular mujeres y miembros de pueblos y comunidades indígenas y afrodescendientes; y b)</w:t>
      </w:r>
      <w:r w:rsidRPr="00CA200A">
        <w:rPr>
          <w:bCs/>
          <w:lang w:val="es-ES_tradnl"/>
        </w:rPr>
        <w:t xml:space="preserve"> la falta de recursos de la Unidad Nacional de Protección,</w:t>
      </w:r>
      <w:r w:rsidRPr="00CA200A">
        <w:rPr>
          <w:bCs/>
          <w:lang w:val="es-MX"/>
        </w:rPr>
        <w:t xml:space="preserve"> que afecta a la </w:t>
      </w:r>
      <w:r w:rsidRPr="00CA200A">
        <w:rPr>
          <w:bCs/>
        </w:rPr>
        <w:t>eficacia de sus medidas, en particular en zonas rurales</w:t>
      </w:r>
      <w:r w:rsidRPr="00CA200A">
        <w:rPr>
          <w:rFonts w:eastAsia="Calibri"/>
          <w:bCs/>
          <w:lang w:eastAsia="en-US"/>
        </w:rPr>
        <w:t xml:space="preserve"> </w:t>
      </w:r>
      <w:r w:rsidRPr="00CA200A">
        <w:rPr>
          <w:lang w:val="es-MX"/>
        </w:rPr>
        <w:t xml:space="preserve">(arts. 12 y 24). </w:t>
      </w:r>
    </w:p>
    <w:p w14:paraId="72B3FB7D" w14:textId="0D1954F3" w:rsidR="00D1601A" w:rsidRPr="00CA200A" w:rsidRDefault="00D1601A" w:rsidP="006F3B14">
      <w:pPr>
        <w:spacing w:after="120"/>
        <w:ind w:left="1134" w:right="1134"/>
        <w:jc w:val="both"/>
        <w:rPr>
          <w:rFonts w:eastAsia="Calibri"/>
          <w:b/>
          <w:bCs/>
          <w:lang w:val="es-MX" w:eastAsia="en-US"/>
        </w:rPr>
      </w:pPr>
      <w:r w:rsidRPr="00CA200A">
        <w:rPr>
          <w:lang w:val="es-MX"/>
        </w:rPr>
        <w:t>25.</w:t>
      </w:r>
      <w:r w:rsidRPr="00CA200A">
        <w:rPr>
          <w:lang w:val="es-MX"/>
        </w:rPr>
        <w:tab/>
      </w:r>
      <w:r w:rsidRPr="00CA200A">
        <w:rPr>
          <w:b/>
          <w:bCs/>
          <w:lang w:val="es-MX"/>
        </w:rPr>
        <w:t xml:space="preserve">El Comité urge al Estado </w:t>
      </w:r>
      <w:r w:rsidRPr="00CA200A">
        <w:rPr>
          <w:b/>
        </w:rPr>
        <w:t>parte a redoblar sus esfuerzos</w:t>
      </w:r>
      <w:r w:rsidRPr="00CA200A">
        <w:rPr>
          <w:b/>
          <w:lang w:val="es-419"/>
        </w:rPr>
        <w:t xml:space="preserve"> </w:t>
      </w:r>
      <w:r w:rsidRPr="00CA200A">
        <w:rPr>
          <w:b/>
          <w:bCs/>
          <w:lang w:val="es-MX"/>
        </w:rPr>
        <w:t xml:space="preserve">para </w:t>
      </w:r>
      <w:r w:rsidRPr="00CA200A">
        <w:rPr>
          <w:rFonts w:eastAsia="MS Mincho"/>
          <w:b/>
          <w:bCs/>
          <w:lang w:eastAsia="en-US"/>
        </w:rPr>
        <w:t>prevenir</w:t>
      </w:r>
      <w:r w:rsidRPr="00CA200A">
        <w:rPr>
          <w:rFonts w:eastAsia="SimSun"/>
          <w:b/>
        </w:rPr>
        <w:t xml:space="preserve"> los actos de violencia, </w:t>
      </w:r>
      <w:r w:rsidRPr="00CA200A">
        <w:rPr>
          <w:rFonts w:eastAsia="SimSun"/>
          <w:b/>
          <w:bCs/>
        </w:rPr>
        <w:t>amenazas y represalias</w:t>
      </w:r>
      <w:r w:rsidRPr="00CA200A">
        <w:rPr>
          <w:rFonts w:eastAsia="MS Mincho"/>
          <w:b/>
          <w:bCs/>
          <w:lang w:eastAsia="en-US"/>
        </w:rPr>
        <w:t xml:space="preserve"> </w:t>
      </w:r>
      <w:r w:rsidRPr="00CA200A">
        <w:rPr>
          <w:rFonts w:eastAsia="MS Mincho"/>
          <w:b/>
          <w:bCs/>
          <w:lang w:val="es-MX" w:eastAsia="en-US"/>
        </w:rPr>
        <w:t xml:space="preserve">contra </w:t>
      </w:r>
      <w:r w:rsidRPr="00CA200A">
        <w:rPr>
          <w:b/>
          <w:bCs/>
          <w:lang w:val="es-MX"/>
        </w:rPr>
        <w:t>los denunciantes, los testigos, los allegados de la</w:t>
      </w:r>
      <w:r w:rsidR="00C13768" w:rsidRPr="00CA200A">
        <w:rPr>
          <w:b/>
          <w:bCs/>
          <w:lang w:val="es-MX"/>
        </w:rPr>
        <w:t>s</w:t>
      </w:r>
      <w:r w:rsidRPr="00CA200A">
        <w:rPr>
          <w:b/>
          <w:bCs/>
          <w:lang w:val="es-MX"/>
        </w:rPr>
        <w:t xml:space="preserve"> persona</w:t>
      </w:r>
      <w:r w:rsidR="00C13768" w:rsidRPr="00CA200A">
        <w:rPr>
          <w:b/>
          <w:bCs/>
          <w:lang w:val="es-MX"/>
        </w:rPr>
        <w:t>s</w:t>
      </w:r>
      <w:r w:rsidRPr="00CA200A">
        <w:rPr>
          <w:b/>
          <w:bCs/>
          <w:lang w:val="es-MX"/>
        </w:rPr>
        <w:t xml:space="preserve"> desaparecida</w:t>
      </w:r>
      <w:r w:rsidR="00C13768" w:rsidRPr="00CA200A">
        <w:rPr>
          <w:b/>
          <w:bCs/>
          <w:lang w:val="es-MX"/>
        </w:rPr>
        <w:t>s</w:t>
      </w:r>
      <w:r w:rsidRPr="00CA200A">
        <w:rPr>
          <w:b/>
          <w:bCs/>
          <w:lang w:val="es-MX"/>
        </w:rPr>
        <w:t xml:space="preserve"> y sus defensores, así como contra quienes participan en la investigación de una desaparición forzada</w:t>
      </w:r>
      <w:r w:rsidRPr="00CA200A">
        <w:rPr>
          <w:rFonts w:asciiTheme="minorHAnsi" w:eastAsia="MS Mincho" w:hAnsiTheme="minorHAnsi" w:cstheme="minorHAnsi"/>
          <w:b/>
          <w:bCs/>
          <w:sz w:val="22"/>
          <w:szCs w:val="22"/>
          <w:lang w:eastAsia="en-US"/>
        </w:rPr>
        <w:t>.</w:t>
      </w:r>
      <w:r w:rsidRPr="00CA200A">
        <w:rPr>
          <w:rFonts w:eastAsia="MS Mincho"/>
          <w:b/>
          <w:bCs/>
          <w:lang w:val="es-MX" w:eastAsia="en-US"/>
        </w:rPr>
        <w:t xml:space="preserve"> </w:t>
      </w:r>
      <w:r w:rsidRPr="00CA200A">
        <w:rPr>
          <w:b/>
          <w:bCs/>
          <w:lang w:val="es-MX"/>
        </w:rPr>
        <w:t>En particular,</w:t>
      </w:r>
      <w:r w:rsidRPr="00CA200A">
        <w:rPr>
          <w:rFonts w:eastAsia="Calibri"/>
          <w:b/>
          <w:bCs/>
          <w:sz w:val="24"/>
          <w:szCs w:val="24"/>
          <w:lang w:val="es-MX" w:eastAsia="en-GB"/>
        </w:rPr>
        <w:t xml:space="preserve"> </w:t>
      </w:r>
      <w:r w:rsidRPr="00CA200A">
        <w:rPr>
          <w:rFonts w:eastAsia="Calibri"/>
          <w:b/>
          <w:bCs/>
          <w:lang w:val="es-MX" w:eastAsia="en-GB"/>
        </w:rPr>
        <w:t>le recomienda evaluar y revisar el modelo de protección actual garantizando:</w:t>
      </w:r>
      <w:r w:rsidRPr="00CA200A">
        <w:rPr>
          <w:rFonts w:eastAsia="Calibri"/>
          <w:b/>
          <w:bCs/>
          <w:sz w:val="24"/>
          <w:szCs w:val="24"/>
          <w:lang w:val="es-MX" w:eastAsia="en-GB"/>
        </w:rPr>
        <w:t xml:space="preserve"> </w:t>
      </w:r>
    </w:p>
    <w:p w14:paraId="253E7A72" w14:textId="4415895C" w:rsidR="00447BD7" w:rsidRPr="00CA200A" w:rsidRDefault="00447BD7" w:rsidP="00447BD7">
      <w:pPr>
        <w:pStyle w:val="SingleTxtG"/>
        <w:rPr>
          <w:b/>
          <w:bCs/>
        </w:rPr>
      </w:pPr>
      <w:r w:rsidRPr="00CA200A">
        <w:rPr>
          <w:b/>
          <w:bCs/>
          <w:lang w:val="es-MX"/>
        </w:rPr>
        <w:tab/>
        <w:t>a)</w:t>
      </w:r>
      <w:r w:rsidRPr="00CA200A">
        <w:rPr>
          <w:b/>
          <w:bCs/>
          <w:lang w:val="es-MX"/>
        </w:rPr>
        <w:tab/>
      </w:r>
      <w:r w:rsidR="00D1601A" w:rsidRPr="00CA200A">
        <w:rPr>
          <w:b/>
          <w:bCs/>
          <w:lang w:val="es-MX"/>
        </w:rPr>
        <w:t xml:space="preserve">La protección </w:t>
      </w:r>
      <w:r w:rsidR="00D1601A" w:rsidRPr="00CA200A">
        <w:rPr>
          <w:rFonts w:eastAsia="SimSun"/>
          <w:b/>
          <w:bCs/>
        </w:rPr>
        <w:t xml:space="preserve">de su vida e </w:t>
      </w:r>
      <w:r w:rsidR="00D1601A" w:rsidRPr="00CA200A">
        <w:rPr>
          <w:b/>
          <w:bCs/>
          <w:lang w:val="es-MX"/>
        </w:rPr>
        <w:t>integridad personal;</w:t>
      </w:r>
      <w:r w:rsidR="00D1601A" w:rsidRPr="00CA200A">
        <w:rPr>
          <w:b/>
          <w:bCs/>
        </w:rPr>
        <w:t xml:space="preserve"> </w:t>
      </w:r>
    </w:p>
    <w:p w14:paraId="0552BA3D" w14:textId="09410C5C" w:rsidR="00447BD7" w:rsidRPr="00CA200A" w:rsidRDefault="00447BD7" w:rsidP="00447BD7">
      <w:pPr>
        <w:pStyle w:val="SingleTxtG"/>
        <w:rPr>
          <w:b/>
          <w:bCs/>
          <w:lang w:val="es-MX"/>
        </w:rPr>
      </w:pPr>
      <w:r w:rsidRPr="00CA200A">
        <w:rPr>
          <w:b/>
          <w:bCs/>
        </w:rPr>
        <w:tab/>
        <w:t>b)</w:t>
      </w:r>
      <w:r w:rsidRPr="00CA200A">
        <w:rPr>
          <w:b/>
          <w:bCs/>
        </w:rPr>
        <w:tab/>
      </w:r>
      <w:r w:rsidR="00D1601A" w:rsidRPr="00CA200A">
        <w:rPr>
          <w:b/>
          <w:bCs/>
          <w:lang w:val="es-MX"/>
        </w:rPr>
        <w:t xml:space="preserve">La rápida y eficaz implementación de las </w:t>
      </w:r>
      <w:r w:rsidR="00D1601A" w:rsidRPr="00CA200A">
        <w:rPr>
          <w:rFonts w:eastAsia="SimSun"/>
          <w:b/>
          <w:bCs/>
        </w:rPr>
        <w:t>medidas de protección emitidas por las autoridades estatales, asegurando</w:t>
      </w:r>
      <w:r w:rsidR="00D1601A" w:rsidRPr="00CA200A">
        <w:rPr>
          <w:b/>
          <w:bCs/>
          <w:lang w:val="es-MX"/>
        </w:rPr>
        <w:t xml:space="preserve"> la coordinación entre ellas y la participación de las personas objeto de dicha protección en la valoración de los riesgos y en la determinación de las medidas de protección</w:t>
      </w:r>
      <w:r w:rsidR="00B90797" w:rsidRPr="00CA200A">
        <w:rPr>
          <w:b/>
          <w:bCs/>
          <w:lang w:val="es-MX"/>
        </w:rPr>
        <w:t>,</w:t>
      </w:r>
      <w:r w:rsidR="00D1601A" w:rsidRPr="00CA200A">
        <w:rPr>
          <w:b/>
          <w:bCs/>
          <w:lang w:val="es-MX"/>
        </w:rPr>
        <w:t xml:space="preserve"> que han de adoptarse con enfoque diferencial de acuerdo </w:t>
      </w:r>
      <w:r w:rsidR="00D1601A" w:rsidRPr="00CA200A">
        <w:rPr>
          <w:b/>
          <w:bCs/>
        </w:rPr>
        <w:t>al sexo, identidad de género, orientación sexual, edad, grupo étnico</w:t>
      </w:r>
      <w:r w:rsidR="00FC63D4" w:rsidRPr="00CA200A">
        <w:rPr>
          <w:b/>
          <w:bCs/>
        </w:rPr>
        <w:t>, discapacidad</w:t>
      </w:r>
      <w:r w:rsidR="00D1601A" w:rsidRPr="00CA200A">
        <w:rPr>
          <w:b/>
          <w:bCs/>
        </w:rPr>
        <w:t xml:space="preserve"> y situación de vulnerabilidad de la persona</w:t>
      </w:r>
      <w:r w:rsidR="00D1601A" w:rsidRPr="00CA200A">
        <w:rPr>
          <w:b/>
          <w:bCs/>
          <w:lang w:val="es-MX"/>
        </w:rPr>
        <w:t xml:space="preserve">; </w:t>
      </w:r>
    </w:p>
    <w:p w14:paraId="4721F290" w14:textId="77777777" w:rsidR="00447BD7" w:rsidRPr="00CA200A" w:rsidRDefault="00447BD7" w:rsidP="00447BD7">
      <w:pPr>
        <w:pStyle w:val="SingleTxtG"/>
        <w:rPr>
          <w:b/>
          <w:bCs/>
        </w:rPr>
      </w:pPr>
      <w:r w:rsidRPr="00CA200A">
        <w:rPr>
          <w:b/>
          <w:bCs/>
          <w:lang w:val="es-MX"/>
        </w:rPr>
        <w:tab/>
        <w:t>c)</w:t>
      </w:r>
      <w:r w:rsidRPr="00CA200A">
        <w:rPr>
          <w:b/>
          <w:bCs/>
          <w:lang w:val="es-MX"/>
        </w:rPr>
        <w:tab/>
      </w:r>
      <w:r w:rsidR="00D1601A" w:rsidRPr="00CA200A">
        <w:rPr>
          <w:b/>
          <w:bCs/>
        </w:rPr>
        <w:t xml:space="preserve">La investigación exhaustiva, imparcial y efectiva, y el enjuiciamiento y debido castigo de los responsables, así como la reparación integral de las víctimas; </w:t>
      </w:r>
    </w:p>
    <w:p w14:paraId="74AC1B9A" w14:textId="601DD14F" w:rsidR="00D1601A" w:rsidRPr="00CA200A" w:rsidRDefault="00447BD7" w:rsidP="00447BD7">
      <w:pPr>
        <w:pStyle w:val="SingleTxtG"/>
        <w:rPr>
          <w:b/>
          <w:bCs/>
        </w:rPr>
      </w:pPr>
      <w:r w:rsidRPr="00CA200A">
        <w:rPr>
          <w:b/>
          <w:bCs/>
          <w:lang w:val="es-MX"/>
        </w:rPr>
        <w:tab/>
        <w:t>d)</w:t>
      </w:r>
      <w:r w:rsidR="00D1601A" w:rsidRPr="00CA200A">
        <w:rPr>
          <w:b/>
          <w:bCs/>
          <w:lang w:val="es-MX"/>
        </w:rPr>
        <w:tab/>
        <w:t>Los recursos</w:t>
      </w:r>
      <w:r w:rsidR="00D1601A" w:rsidRPr="00CA200A">
        <w:rPr>
          <w:rFonts w:eastAsia="SimSun"/>
          <w:b/>
        </w:rPr>
        <w:t xml:space="preserve"> humanos, financieros y técnicos </w:t>
      </w:r>
      <w:r w:rsidR="00D1601A" w:rsidRPr="00CA200A">
        <w:rPr>
          <w:b/>
          <w:bCs/>
          <w:lang w:val="es-MX"/>
        </w:rPr>
        <w:t>necesarios para que los sistemas de protección puedan desarrollar sus mandatos de manera eficaz.</w:t>
      </w:r>
    </w:p>
    <w:p w14:paraId="20A38CA9" w14:textId="05A42866" w:rsidR="00D1601A" w:rsidRPr="00CA200A" w:rsidRDefault="00D1601A" w:rsidP="00447BD7">
      <w:pPr>
        <w:pStyle w:val="H1G"/>
      </w:pPr>
      <w:r w:rsidRPr="00CA200A">
        <w:tab/>
      </w:r>
      <w:r w:rsidR="00653993" w:rsidRPr="00CA200A">
        <w:t>E.</w:t>
      </w:r>
      <w:r w:rsidR="00447BD7" w:rsidRPr="00CA200A">
        <w:tab/>
      </w:r>
      <w:r w:rsidR="00447BD7" w:rsidRPr="00CA200A">
        <w:tab/>
      </w:r>
      <w:r w:rsidRPr="00CA200A">
        <w:t xml:space="preserve">Búsqueda de personas desaparecidas </w:t>
      </w:r>
    </w:p>
    <w:p w14:paraId="70DAE8D8" w14:textId="0135814E" w:rsidR="00D1601A" w:rsidRPr="00CA200A" w:rsidRDefault="00D1601A" w:rsidP="0015153C">
      <w:pPr>
        <w:spacing w:after="120"/>
        <w:ind w:left="1134" w:right="1134"/>
        <w:jc w:val="both"/>
        <w:rPr>
          <w:lang w:val="es-419"/>
        </w:rPr>
      </w:pPr>
      <w:r w:rsidRPr="00CA200A">
        <w:rPr>
          <w:bCs/>
          <w:lang w:val="es-MX"/>
        </w:rPr>
        <w:t>26</w:t>
      </w:r>
      <w:r w:rsidRPr="00CA200A">
        <w:rPr>
          <w:bCs/>
          <w:lang w:val="es-PA"/>
        </w:rPr>
        <w:t>.</w:t>
      </w:r>
      <w:r w:rsidRPr="00CA200A">
        <w:rPr>
          <w:bCs/>
          <w:lang w:val="es-PA"/>
        </w:rPr>
        <w:tab/>
      </w:r>
      <w:r w:rsidRPr="00CA200A">
        <w:rPr>
          <w:lang w:val="es-PA"/>
        </w:rPr>
        <w:t>El Comité expresa su preocupación por los escasos resultados en la búsqueda de</w:t>
      </w:r>
      <w:r w:rsidR="00F22EDF" w:rsidRPr="00CA200A">
        <w:rPr>
          <w:lang w:val="es-PA"/>
        </w:rPr>
        <w:t>l</w:t>
      </w:r>
      <w:r w:rsidRPr="00CA200A">
        <w:rPr>
          <w:lang w:val="es-PA"/>
        </w:rPr>
        <w:t xml:space="preserve"> </w:t>
      </w:r>
      <w:r w:rsidRPr="00CA200A">
        <w:rPr>
          <w:bCs/>
          <w:lang w:val="es-PA"/>
        </w:rPr>
        <w:t xml:space="preserve">gran número de personas desaparecidas en el Estado parte, incluyendo las </w:t>
      </w:r>
      <w:r w:rsidRPr="00CA200A">
        <w:rPr>
          <w:color w:val="000000"/>
          <w:lang w:val="es-PA"/>
        </w:rPr>
        <w:t>84</w:t>
      </w:r>
      <w:r w:rsidR="00294297" w:rsidRPr="00CA200A">
        <w:rPr>
          <w:color w:val="000000"/>
          <w:lang w:val="es-PA"/>
        </w:rPr>
        <w:t>.</w:t>
      </w:r>
      <w:r w:rsidRPr="00CA200A">
        <w:rPr>
          <w:color w:val="000000"/>
          <w:lang w:val="es-PA"/>
        </w:rPr>
        <w:t>330</w:t>
      </w:r>
      <w:r w:rsidR="00133BDD" w:rsidRPr="00CA200A">
        <w:rPr>
          <w:color w:val="000000"/>
          <w:lang w:val="es-PA"/>
        </w:rPr>
        <w:t xml:space="preserve"> </w:t>
      </w:r>
      <w:r w:rsidRPr="00CA200A">
        <w:rPr>
          <w:color w:val="000000"/>
          <w:lang w:val="es-PA"/>
        </w:rPr>
        <w:t xml:space="preserve">y los </w:t>
      </w:r>
      <w:r w:rsidRPr="00CA200A">
        <w:rPr>
          <w:lang w:val="es-PA"/>
        </w:rPr>
        <w:t>9.964 niños y niñas sometidos</w:t>
      </w:r>
      <w:r w:rsidRPr="00CA200A">
        <w:rPr>
          <w:bCs/>
          <w:lang w:val="es-PA"/>
        </w:rPr>
        <w:t xml:space="preserve"> a desaparición forzada</w:t>
      </w:r>
      <w:r w:rsidRPr="00CA200A">
        <w:rPr>
          <w:color w:val="000000"/>
          <w:lang w:val="es-PA"/>
        </w:rPr>
        <w:t xml:space="preserve"> registradas por la Fiscalía General de la Nación</w:t>
      </w:r>
      <w:r w:rsidRPr="00CA200A">
        <w:rPr>
          <w:bCs/>
          <w:lang w:val="es-PA"/>
        </w:rPr>
        <w:t>, así como de las personas desaparecidas a manos de</w:t>
      </w:r>
      <w:r w:rsidRPr="00CA200A">
        <w:rPr>
          <w:lang w:val="es-PA"/>
        </w:rPr>
        <w:t xml:space="preserve"> grupos armados organizados al margen de la ley sin la autorización, el apoyo o la aquiescencia de agentes del Estado, que incluyen a niños y niñas víctimas de reclutamiento forzado.</w:t>
      </w:r>
      <w:r w:rsidRPr="00CA200A">
        <w:rPr>
          <w:bCs/>
          <w:lang w:val="es-PA"/>
        </w:rPr>
        <w:t xml:space="preserve"> Si bien el</w:t>
      </w:r>
      <w:r w:rsidRPr="00CA200A">
        <w:rPr>
          <w:lang w:val="es-CO"/>
        </w:rPr>
        <w:t xml:space="preserve"> Comité toma nota de la coexistencia del </w:t>
      </w:r>
      <w:r w:rsidRPr="00CA200A">
        <w:rPr>
          <w:lang w:val="es-PA"/>
        </w:rPr>
        <w:t xml:space="preserve">Plan Nacional de Búsqueda de la </w:t>
      </w:r>
      <w:r w:rsidR="00E108D6" w:rsidRPr="00CA200A">
        <w:rPr>
          <w:rFonts w:eastAsia="Calibri"/>
          <w:lang w:val="es-PA" w:eastAsia="en-US"/>
        </w:rPr>
        <w:t>Comisión de Búsqueda de Personas Desaparecidas</w:t>
      </w:r>
      <w:r w:rsidR="00AC2861" w:rsidRPr="00CA200A">
        <w:rPr>
          <w:lang w:val="es-CO"/>
        </w:rPr>
        <w:t xml:space="preserve"> </w:t>
      </w:r>
      <w:r w:rsidRPr="00CA200A">
        <w:rPr>
          <w:lang w:val="es-CO"/>
        </w:rPr>
        <w:t xml:space="preserve">con el </w:t>
      </w:r>
      <w:r w:rsidRPr="00CA200A">
        <w:rPr>
          <w:lang w:val="es-419"/>
        </w:rPr>
        <w:t xml:space="preserve">Plan Nacional de Búsqueda y </w:t>
      </w:r>
      <w:r w:rsidRPr="00CA200A">
        <w:rPr>
          <w:lang w:val="es-CO"/>
        </w:rPr>
        <w:t xml:space="preserve">los planes regionales de búsqueda diseñados por la </w:t>
      </w:r>
      <w:r w:rsidR="00990B73" w:rsidRPr="00CA200A">
        <w:t>Unidad de Búsqueda de Personas dadas por Desaparecidas en el Contexto y en Razón del Conflicto Armado</w:t>
      </w:r>
      <w:r w:rsidRPr="00CA200A">
        <w:rPr>
          <w:lang w:val="es-CO"/>
        </w:rPr>
        <w:t>,</w:t>
      </w:r>
      <w:r w:rsidRPr="00CA200A">
        <w:rPr>
          <w:sz w:val="18"/>
          <w:szCs w:val="18"/>
          <w:lang w:val="es-PA"/>
        </w:rPr>
        <w:t xml:space="preserve"> </w:t>
      </w:r>
      <w:r w:rsidRPr="00CA200A">
        <w:rPr>
          <w:lang w:val="es-CO"/>
        </w:rPr>
        <w:t>le preocupan los retrasos en la implementación de estos dos últimos</w:t>
      </w:r>
      <w:r w:rsidRPr="00CA200A">
        <w:rPr>
          <w:lang w:val="es-PA"/>
        </w:rPr>
        <w:t xml:space="preserve">. Igualmente, le </w:t>
      </w:r>
      <w:r w:rsidRPr="00CA200A">
        <w:rPr>
          <w:bCs/>
          <w:lang w:val="es-PA"/>
        </w:rPr>
        <w:t xml:space="preserve">preocupa </w:t>
      </w:r>
      <w:r w:rsidRPr="00CA200A">
        <w:rPr>
          <w:lang w:val="es-PA"/>
        </w:rPr>
        <w:t xml:space="preserve">la información relativa a la falta de activación inmediata del </w:t>
      </w:r>
      <w:r w:rsidRPr="00CA200A">
        <w:rPr>
          <w:lang w:val="es-CO"/>
        </w:rPr>
        <w:t xml:space="preserve">Mecanismo de Búsqueda Urgente, que </w:t>
      </w:r>
      <w:r w:rsidRPr="00CA200A">
        <w:rPr>
          <w:lang w:val="es-PA"/>
        </w:rPr>
        <w:t xml:space="preserve">tiende </w:t>
      </w:r>
      <w:r w:rsidRPr="00CA200A">
        <w:rPr>
          <w:lang w:val="es-419"/>
        </w:rPr>
        <w:t xml:space="preserve">a convertirse en un procedimiento administrativo sin un resultado efectivo en la búsqueda </w:t>
      </w:r>
      <w:r w:rsidRPr="00CA200A">
        <w:rPr>
          <w:lang w:val="es-PA"/>
        </w:rPr>
        <w:t xml:space="preserve">(arts. </w:t>
      </w:r>
      <w:r w:rsidRPr="00CA200A">
        <w:rPr>
          <w:lang w:val="es-ES_tradnl"/>
        </w:rPr>
        <w:t>2, 3, 12, 24 y 25)</w:t>
      </w:r>
      <w:r w:rsidRPr="00CA200A">
        <w:rPr>
          <w:kern w:val="36"/>
          <w:lang w:val="es-ES_tradnl" w:eastAsia="en-GB"/>
        </w:rPr>
        <w:t>.</w:t>
      </w:r>
    </w:p>
    <w:p w14:paraId="19239344" w14:textId="2788F94B" w:rsidR="00D1601A" w:rsidRPr="00CA200A" w:rsidRDefault="00D1601A" w:rsidP="00447BD7">
      <w:pPr>
        <w:pStyle w:val="SingleTxtG"/>
        <w:rPr>
          <w:b/>
          <w:bCs/>
        </w:rPr>
      </w:pPr>
      <w:r w:rsidRPr="00CA200A">
        <w:rPr>
          <w:bCs/>
        </w:rPr>
        <w:t>27.</w:t>
      </w:r>
      <w:r w:rsidRPr="00CA200A">
        <w:rPr>
          <w:bCs/>
        </w:rPr>
        <w:tab/>
      </w:r>
      <w:r w:rsidRPr="00CA200A">
        <w:rPr>
          <w:b/>
          <w:bCs/>
        </w:rPr>
        <w:t>El Comité alienta al Estado parte a que</w:t>
      </w:r>
      <w:r w:rsidRPr="00CA200A">
        <w:rPr>
          <w:b/>
          <w:lang w:val="es-CO"/>
        </w:rPr>
        <w:t xml:space="preserve"> en el diseño e implementación de estrategias integrales de búsqueda</w:t>
      </w:r>
      <w:r w:rsidRPr="00CA200A">
        <w:rPr>
          <w:b/>
          <w:bCs/>
        </w:rPr>
        <w:t xml:space="preserve"> </w:t>
      </w:r>
      <w:r w:rsidRPr="00CA200A">
        <w:rPr>
          <w:b/>
          <w:lang w:val="es-CO"/>
        </w:rPr>
        <w:t>adopte sistemáticamente la metodología de los Principios Rectores para la Búsqueda de Personas Desaparecidas y le recomienda</w:t>
      </w:r>
      <w:r w:rsidRPr="00CA200A">
        <w:rPr>
          <w:b/>
          <w:bCs/>
        </w:rPr>
        <w:t>:</w:t>
      </w:r>
    </w:p>
    <w:p w14:paraId="5A0AB8BC" w14:textId="5D4984BA" w:rsidR="00447BD7" w:rsidRPr="00CA200A" w:rsidRDefault="00447BD7" w:rsidP="00447BD7">
      <w:pPr>
        <w:pStyle w:val="SingleTxtG"/>
        <w:rPr>
          <w:b/>
          <w:lang w:eastAsia="en-GB"/>
        </w:rPr>
      </w:pPr>
      <w:r w:rsidRPr="00CA200A">
        <w:rPr>
          <w:b/>
        </w:rPr>
        <w:tab/>
        <w:t>a)</w:t>
      </w:r>
      <w:r w:rsidRPr="00CA200A">
        <w:rPr>
          <w:b/>
        </w:rPr>
        <w:tab/>
      </w:r>
      <w:r w:rsidR="00D1601A" w:rsidRPr="00CA200A">
        <w:rPr>
          <w:b/>
        </w:rPr>
        <w:t xml:space="preserve">Asegurar la </w:t>
      </w:r>
      <w:r w:rsidR="00D1601A" w:rsidRPr="00CA200A">
        <w:rPr>
          <w:b/>
          <w:lang w:eastAsia="en-GB"/>
        </w:rPr>
        <w:t xml:space="preserve">implementación expedita de los Planes de Búsqueda diseñados por la </w:t>
      </w:r>
      <w:r w:rsidR="00990B73" w:rsidRPr="00CA200A">
        <w:rPr>
          <w:b/>
        </w:rPr>
        <w:t>Unidad de Búsqueda de Personas dadas por Desaparecidas en el Contexto y en Razón del Conflicto Armado</w:t>
      </w:r>
      <w:r w:rsidR="00D1601A" w:rsidRPr="00CA200A">
        <w:rPr>
          <w:b/>
          <w:lang w:eastAsia="en-GB"/>
        </w:rPr>
        <w:t xml:space="preserve">, y la coordinación interinstitucional entre las diferentes entidades creadas por el Acuerdo de Paz, la </w:t>
      </w:r>
      <w:r w:rsidR="00990B73" w:rsidRPr="00CA200A">
        <w:rPr>
          <w:b/>
          <w:color w:val="000000"/>
          <w:lang w:val="es-PA"/>
        </w:rPr>
        <w:t>Fiscalía General de la Nación</w:t>
      </w:r>
      <w:r w:rsidR="00990B73" w:rsidRPr="00CA200A">
        <w:rPr>
          <w:b/>
          <w:lang w:eastAsia="en-GB"/>
        </w:rPr>
        <w:t xml:space="preserve"> </w:t>
      </w:r>
      <w:r w:rsidR="00D1601A" w:rsidRPr="00CA200A">
        <w:rPr>
          <w:b/>
          <w:lang w:eastAsia="en-GB"/>
        </w:rPr>
        <w:t xml:space="preserve">y otras instituciones; </w:t>
      </w:r>
    </w:p>
    <w:p w14:paraId="096542D0" w14:textId="77777777" w:rsidR="00447BD7" w:rsidRPr="00CA200A" w:rsidRDefault="00447BD7" w:rsidP="00447BD7">
      <w:pPr>
        <w:pStyle w:val="SingleTxtG"/>
        <w:rPr>
          <w:b/>
          <w:lang w:eastAsia="en-GB"/>
        </w:rPr>
      </w:pPr>
      <w:r w:rsidRPr="00CA200A">
        <w:rPr>
          <w:b/>
        </w:rPr>
        <w:tab/>
        <w:t>b)</w:t>
      </w:r>
      <w:r w:rsidRPr="00CA200A">
        <w:rPr>
          <w:b/>
        </w:rPr>
        <w:tab/>
      </w:r>
      <w:r w:rsidR="00D1601A" w:rsidRPr="00CA200A">
        <w:rPr>
          <w:b/>
          <w:lang w:eastAsia="en-GB"/>
        </w:rPr>
        <w:t>Garantizar que los órganos con competencia para la búsqueda de personas desaparecidas cuenten con los recursos humanos, financieros y técnicos necesarios para el efectivo cumplimiento de sus mandatos;</w:t>
      </w:r>
    </w:p>
    <w:p w14:paraId="06FDD8DA" w14:textId="77777777" w:rsidR="00447BD7" w:rsidRPr="00CA200A" w:rsidRDefault="00447BD7" w:rsidP="00447BD7">
      <w:pPr>
        <w:pStyle w:val="SingleTxtG"/>
        <w:rPr>
          <w:b/>
        </w:rPr>
      </w:pPr>
      <w:r w:rsidRPr="00CA200A">
        <w:rPr>
          <w:b/>
        </w:rPr>
        <w:tab/>
        <w:t>c)</w:t>
      </w:r>
      <w:r w:rsidRPr="00CA200A">
        <w:rPr>
          <w:b/>
        </w:rPr>
        <w:tab/>
      </w:r>
      <w:r w:rsidR="00D1601A" w:rsidRPr="00CA200A">
        <w:rPr>
          <w:b/>
        </w:rPr>
        <w:t>Asegurar que, cuando se tenga noticia de una desaparición, la búsqueda se inicie de oficio y sin dilaciones en todos los casos;</w:t>
      </w:r>
    </w:p>
    <w:p w14:paraId="336BF81D" w14:textId="6875B8B9" w:rsidR="00447BD7" w:rsidRPr="00CA200A" w:rsidRDefault="00447BD7" w:rsidP="00447BD7">
      <w:pPr>
        <w:pStyle w:val="SingleTxtG"/>
        <w:rPr>
          <w:b/>
        </w:rPr>
      </w:pPr>
      <w:r w:rsidRPr="00CA200A">
        <w:rPr>
          <w:b/>
        </w:rPr>
        <w:tab/>
        <w:t>d)</w:t>
      </w:r>
      <w:r w:rsidRPr="00CA200A">
        <w:rPr>
          <w:b/>
        </w:rPr>
        <w:tab/>
      </w:r>
      <w:r w:rsidR="00D1601A" w:rsidRPr="00CA200A">
        <w:rPr>
          <w:b/>
        </w:rPr>
        <w:t xml:space="preserve">Intensificar sus esfuerzos para buscar, localizar y liberar a las personas desaparecidas, y en caso de encontrarlas sin vida, identificar y restituir dignamente sus restos mortales, aplicando </w:t>
      </w:r>
      <w:r w:rsidR="00D1601A" w:rsidRPr="00CA200A">
        <w:rPr>
          <w:b/>
          <w:lang w:val="es-MX"/>
        </w:rPr>
        <w:t xml:space="preserve">un enfoque diferencial en cuanto a las </w:t>
      </w:r>
      <w:r w:rsidR="00D1601A" w:rsidRPr="00CA200A">
        <w:rPr>
          <w:b/>
        </w:rPr>
        <w:t xml:space="preserve">mujeres, niñas, niños, adolescentes, personas </w:t>
      </w:r>
      <w:r w:rsidR="00990B73" w:rsidRPr="00CA200A">
        <w:rPr>
          <w:b/>
        </w:rPr>
        <w:t>lesbianas, gais, bisexuales, transgénero e intersexuales</w:t>
      </w:r>
      <w:r w:rsidR="00D1601A" w:rsidRPr="00CA200A">
        <w:rPr>
          <w:b/>
        </w:rPr>
        <w:t>,</w:t>
      </w:r>
      <w:r w:rsidR="00D1601A" w:rsidRPr="00CA200A" w:rsidDel="00C85D18">
        <w:rPr>
          <w:b/>
        </w:rPr>
        <w:t xml:space="preserve"> </w:t>
      </w:r>
      <w:r w:rsidR="00D1601A" w:rsidRPr="00CA200A">
        <w:rPr>
          <w:b/>
        </w:rPr>
        <w:t>grupo</w:t>
      </w:r>
      <w:r w:rsidR="004C0667" w:rsidRPr="00CA200A">
        <w:rPr>
          <w:b/>
        </w:rPr>
        <w:t>s</w:t>
      </w:r>
      <w:r w:rsidR="00D1601A" w:rsidRPr="00CA200A">
        <w:rPr>
          <w:b/>
        </w:rPr>
        <w:t xml:space="preserve"> étnicos y personas con discapacidad;</w:t>
      </w:r>
    </w:p>
    <w:p w14:paraId="1AF7F690" w14:textId="77777777" w:rsidR="00447BD7" w:rsidRPr="00CA200A" w:rsidRDefault="00447BD7" w:rsidP="00447BD7">
      <w:pPr>
        <w:pStyle w:val="SingleTxtG"/>
        <w:rPr>
          <w:b/>
        </w:rPr>
      </w:pPr>
      <w:r w:rsidRPr="00CA200A">
        <w:rPr>
          <w:b/>
        </w:rPr>
        <w:tab/>
        <w:t>e)</w:t>
      </w:r>
      <w:r w:rsidRPr="00CA200A">
        <w:rPr>
          <w:b/>
        </w:rPr>
        <w:tab/>
      </w:r>
      <w:r w:rsidR="00D1601A" w:rsidRPr="00CA200A">
        <w:rPr>
          <w:b/>
        </w:rPr>
        <w:t>Asegurar la restitución de los niños y niñas desaparecidos a sus familias de origen, y la recuperación de su verdadera identidad si esta hubiese sido sustituida;</w:t>
      </w:r>
    </w:p>
    <w:p w14:paraId="4E80F787" w14:textId="004E02A9" w:rsidR="00D1601A" w:rsidRPr="00CA200A" w:rsidRDefault="00447BD7" w:rsidP="00447BD7">
      <w:pPr>
        <w:pStyle w:val="SingleTxtG"/>
        <w:rPr>
          <w:b/>
        </w:rPr>
      </w:pPr>
      <w:r w:rsidRPr="00CA200A">
        <w:rPr>
          <w:b/>
        </w:rPr>
        <w:tab/>
        <w:t>f)</w:t>
      </w:r>
      <w:r w:rsidRPr="00CA200A">
        <w:rPr>
          <w:b/>
        </w:rPr>
        <w:tab/>
      </w:r>
      <w:r w:rsidR="00D1601A" w:rsidRPr="00CA200A">
        <w:rPr>
          <w:b/>
          <w:bCs/>
        </w:rPr>
        <w:t>Garantizar que la búsqueda de personas desaparecidas prosiga hasta ser localizadas y que la investigación de su desaparición continúe hasta que se hayan determinado los hechos y se haya identificado a los autores.</w:t>
      </w:r>
    </w:p>
    <w:p w14:paraId="456E3601" w14:textId="0190ECB1" w:rsidR="00D1601A" w:rsidRPr="00CA200A" w:rsidRDefault="00447BD7" w:rsidP="00447BD7">
      <w:pPr>
        <w:pStyle w:val="H1G"/>
        <w:rPr>
          <w:rFonts w:eastAsia="Calibri"/>
          <w:lang w:val="es-CO" w:eastAsia="en-US"/>
        </w:rPr>
      </w:pPr>
      <w:r w:rsidRPr="00CA200A">
        <w:rPr>
          <w:rFonts w:eastAsia="Calibri"/>
          <w:lang w:eastAsia="en-US"/>
        </w:rPr>
        <w:tab/>
      </w:r>
      <w:r w:rsidR="00653993" w:rsidRPr="00CA200A">
        <w:rPr>
          <w:rFonts w:eastAsia="Calibri"/>
          <w:lang w:eastAsia="en-US"/>
        </w:rPr>
        <w:t>F.</w:t>
      </w:r>
      <w:r w:rsidRPr="00CA200A">
        <w:rPr>
          <w:rFonts w:eastAsia="Calibri"/>
          <w:lang w:eastAsia="en-US"/>
        </w:rPr>
        <w:tab/>
      </w:r>
      <w:r w:rsidR="00D1601A" w:rsidRPr="00CA200A">
        <w:rPr>
          <w:rFonts w:eastAsia="Calibri"/>
          <w:lang w:eastAsia="en-US"/>
        </w:rPr>
        <w:t>Identificación y entrega digna de restos mortales</w:t>
      </w:r>
    </w:p>
    <w:p w14:paraId="0975F415" w14:textId="59009ED2" w:rsidR="00D1601A" w:rsidRPr="00CA200A" w:rsidRDefault="00D1601A" w:rsidP="003A6D9E">
      <w:pPr>
        <w:spacing w:after="120"/>
        <w:ind w:left="1134" w:right="1134"/>
        <w:jc w:val="both"/>
        <w:rPr>
          <w:rFonts w:eastAsia="Calibri"/>
          <w:bCs/>
          <w:lang w:eastAsia="es-CO"/>
        </w:rPr>
      </w:pPr>
      <w:r w:rsidRPr="00CA200A">
        <w:t>28.</w:t>
      </w:r>
      <w:r w:rsidRPr="00CA200A">
        <w:tab/>
        <w:t>El Comité observa con preocupación los limitados avances en la identificación y devolución de los restos de personas desaparecidas,</w:t>
      </w:r>
      <w:r w:rsidRPr="00CA200A">
        <w:rPr>
          <w:rFonts w:ascii="Calibri" w:eastAsia="Calibri" w:hAnsi="Calibri"/>
          <w:sz w:val="22"/>
          <w:szCs w:val="22"/>
          <w:lang w:eastAsia="en-US"/>
        </w:rPr>
        <w:t xml:space="preserve"> </w:t>
      </w:r>
      <w:r w:rsidRPr="00CA200A">
        <w:t>en particular de los más de 24</w:t>
      </w:r>
      <w:r w:rsidR="00D372E4" w:rsidRPr="00CA200A">
        <w:t>.000</w:t>
      </w:r>
      <w:r w:rsidRPr="00CA200A">
        <w:t xml:space="preserve"> cuerpos </w:t>
      </w:r>
      <w:r w:rsidRPr="00CA200A">
        <w:rPr>
          <w:rFonts w:eastAsia="Calibri"/>
          <w:bCs/>
          <w:lang w:val="es-CO" w:eastAsia="es-CO"/>
        </w:rPr>
        <w:t xml:space="preserve">inhumados no identificados en cementerios públicos </w:t>
      </w:r>
      <w:r w:rsidRPr="00CA200A">
        <w:rPr>
          <w:lang w:val="es-CO"/>
        </w:rPr>
        <w:t>y de los más de 4</w:t>
      </w:r>
      <w:r w:rsidR="00517CAF" w:rsidRPr="00CA200A">
        <w:rPr>
          <w:lang w:val="es-CO"/>
        </w:rPr>
        <w:t>.</w:t>
      </w:r>
      <w:r w:rsidRPr="00CA200A">
        <w:t>000 cuerpos de víctimas de desaparición forzada que faltan por identificar de los más de 10</w:t>
      </w:r>
      <w:r w:rsidR="00517CAF" w:rsidRPr="00CA200A">
        <w:t>.</w:t>
      </w:r>
      <w:r w:rsidRPr="00CA200A">
        <w:t xml:space="preserve">000 que se han exhumado. </w:t>
      </w:r>
      <w:r w:rsidRPr="00CA200A">
        <w:rPr>
          <w:lang w:val="es-CO"/>
        </w:rPr>
        <w:t xml:space="preserve">Le preocupa además la información recibida sobre: a) casos de familiares de personas desaparecidas que reportaron hallazgos de cuerpos a la </w:t>
      </w:r>
      <w:r w:rsidR="00D372E4" w:rsidRPr="00CA200A">
        <w:rPr>
          <w:bCs/>
          <w:color w:val="000000"/>
          <w:lang w:val="es-PA"/>
        </w:rPr>
        <w:t>Fiscalía General de la Nación</w:t>
      </w:r>
      <w:r w:rsidRPr="00CA200A">
        <w:rPr>
          <w:lang w:val="es-CO"/>
        </w:rPr>
        <w:t>, sin que esta tomase acción alguna para el levantamiento de los cadáveres y su identificación; b) la insuficiencia e inaccesibilidad</w:t>
      </w:r>
      <w:r w:rsidRPr="00CA200A">
        <w:rPr>
          <w:lang w:val="es-ES_tradnl"/>
        </w:rPr>
        <w:t xml:space="preserve"> de las </w:t>
      </w:r>
      <w:r w:rsidRPr="00CA200A">
        <w:t>campañas para la obtención de muestras genéticas, particularmente en zonas rurales; c) que no</w:t>
      </w:r>
      <w:r w:rsidRPr="00CA200A">
        <w:rPr>
          <w:lang w:val="es-CO"/>
        </w:rPr>
        <w:t xml:space="preserve"> todas las muestras recogidas hayan sido procesadas e incluidas en el Banco de Perfiles </w:t>
      </w:r>
      <w:r w:rsidR="00427358" w:rsidRPr="00CA200A">
        <w:rPr>
          <w:lang w:val="es-CO"/>
        </w:rPr>
        <w:t>G</w:t>
      </w:r>
      <w:r w:rsidRPr="00CA200A">
        <w:rPr>
          <w:lang w:val="es-CO"/>
        </w:rPr>
        <w:t>enéticos</w:t>
      </w:r>
      <w:r w:rsidRPr="00CA200A">
        <w:t xml:space="preserve">; y d) problemas </w:t>
      </w:r>
      <w:r w:rsidRPr="00CA200A">
        <w:rPr>
          <w:lang w:val="es-CO"/>
        </w:rPr>
        <w:t xml:space="preserve">en el manejo y protección de los cuerpos de personas no identificadas, tanto en cementerios </w:t>
      </w:r>
      <w:r w:rsidRPr="00CA200A">
        <w:t xml:space="preserve">públicos, privados y </w:t>
      </w:r>
      <w:r w:rsidR="007E4A3A" w:rsidRPr="00CA200A">
        <w:t xml:space="preserve">en </w:t>
      </w:r>
      <w:r w:rsidRPr="00CA200A">
        <w:t xml:space="preserve">campo abierto, </w:t>
      </w:r>
      <w:r w:rsidRPr="00CA200A">
        <w:rPr>
          <w:lang w:val="es-CO"/>
        </w:rPr>
        <w:t>causando la alteración, perdida, mezcla o destrucción de los cuerpos sin identificar, situaciones que se han exacerbado con la pandemia de C</w:t>
      </w:r>
      <w:r w:rsidR="007E4A3A" w:rsidRPr="00CA200A">
        <w:rPr>
          <w:lang w:val="es-CO"/>
        </w:rPr>
        <w:t>OVID</w:t>
      </w:r>
      <w:r w:rsidR="00543347" w:rsidRPr="00CA200A">
        <w:rPr>
          <w:lang w:val="es-CO"/>
        </w:rPr>
        <w:noBreakHyphen/>
      </w:r>
      <w:r w:rsidRPr="00CA200A">
        <w:rPr>
          <w:lang w:val="es-CO"/>
        </w:rPr>
        <w:t xml:space="preserve">19 </w:t>
      </w:r>
      <w:r w:rsidRPr="00CA200A">
        <w:rPr>
          <w:rFonts w:eastAsia="Calibri"/>
          <w:bCs/>
          <w:lang w:eastAsia="es-CO"/>
        </w:rPr>
        <w:t>(arts. 12 y 24).</w:t>
      </w:r>
    </w:p>
    <w:p w14:paraId="588A0953" w14:textId="7704AF34" w:rsidR="00D1601A" w:rsidRPr="00CA200A" w:rsidRDefault="00D1601A" w:rsidP="00447BD7">
      <w:pPr>
        <w:pStyle w:val="SingleTxtG"/>
      </w:pPr>
      <w:r w:rsidRPr="00CA200A">
        <w:t>29.</w:t>
      </w:r>
      <w:r w:rsidRPr="00CA200A">
        <w:tab/>
      </w:r>
      <w:r w:rsidRPr="00CA200A">
        <w:rPr>
          <w:b/>
        </w:rPr>
        <w:t>El Comité insta al Estado parte a:</w:t>
      </w:r>
    </w:p>
    <w:p w14:paraId="2B0ACD78" w14:textId="77777777" w:rsidR="00447BD7" w:rsidRPr="00CA200A" w:rsidRDefault="00447BD7" w:rsidP="00447BD7">
      <w:pPr>
        <w:pStyle w:val="SingleTxtG"/>
        <w:rPr>
          <w:b/>
          <w:bCs/>
        </w:rPr>
      </w:pPr>
      <w:r w:rsidRPr="00CA200A">
        <w:rPr>
          <w:b/>
          <w:bCs/>
        </w:rPr>
        <w:tab/>
        <w:t>a)</w:t>
      </w:r>
      <w:r w:rsidRPr="00CA200A">
        <w:rPr>
          <w:b/>
          <w:bCs/>
        </w:rPr>
        <w:tab/>
      </w:r>
      <w:r w:rsidR="00D1601A" w:rsidRPr="00CA200A">
        <w:rPr>
          <w:b/>
          <w:bCs/>
        </w:rPr>
        <w:t>Intensificar sus esfuerzos para identificar y restituir los restos humanos a los familiares en condiciones dignas y en consonancia con sus costumbres;</w:t>
      </w:r>
    </w:p>
    <w:p w14:paraId="58F907E1" w14:textId="07D9CD69" w:rsidR="00447BD7" w:rsidRPr="00CA200A" w:rsidRDefault="00447BD7" w:rsidP="00447BD7">
      <w:pPr>
        <w:pStyle w:val="SingleTxtG"/>
        <w:rPr>
          <w:b/>
          <w:bCs/>
        </w:rPr>
      </w:pPr>
      <w:r w:rsidRPr="00CA200A">
        <w:rPr>
          <w:b/>
          <w:bCs/>
        </w:rPr>
        <w:tab/>
        <w:t>b)</w:t>
      </w:r>
      <w:r w:rsidRPr="00CA200A">
        <w:rPr>
          <w:b/>
          <w:bCs/>
        </w:rPr>
        <w:tab/>
      </w:r>
      <w:r w:rsidR="00D1601A" w:rsidRPr="00CA200A">
        <w:rPr>
          <w:b/>
          <w:bCs/>
        </w:rPr>
        <w:t xml:space="preserve">Garantizar que, una </w:t>
      </w:r>
      <w:r w:rsidR="00427358" w:rsidRPr="00CA200A">
        <w:rPr>
          <w:b/>
          <w:bCs/>
        </w:rPr>
        <w:t xml:space="preserve">que </w:t>
      </w:r>
      <w:r w:rsidR="00D1601A" w:rsidRPr="00CA200A">
        <w:rPr>
          <w:b/>
          <w:bCs/>
        </w:rPr>
        <w:t xml:space="preserve">vez reciba la información sobre el hallazgo de cuerpos, </w:t>
      </w:r>
      <w:r w:rsidR="00427358" w:rsidRPr="00CA200A">
        <w:rPr>
          <w:b/>
          <w:bCs/>
        </w:rPr>
        <w:t xml:space="preserve">la </w:t>
      </w:r>
      <w:r w:rsidR="00427358" w:rsidRPr="00CA200A">
        <w:rPr>
          <w:b/>
          <w:bCs/>
          <w:color w:val="000000"/>
          <w:lang w:val="es-PA"/>
        </w:rPr>
        <w:t>Fiscalía General de la Nación</w:t>
      </w:r>
      <w:r w:rsidR="00427358" w:rsidRPr="00CA200A">
        <w:rPr>
          <w:b/>
          <w:bCs/>
        </w:rPr>
        <w:t xml:space="preserve"> </w:t>
      </w:r>
      <w:r w:rsidR="00D1601A" w:rsidRPr="00CA200A">
        <w:rPr>
          <w:b/>
          <w:bCs/>
        </w:rPr>
        <w:t xml:space="preserve">actúe de inmediato para asegurar la protección de los restos de personas desaparecidas, </w:t>
      </w:r>
      <w:r w:rsidR="00430FB7" w:rsidRPr="00CA200A">
        <w:rPr>
          <w:b/>
          <w:bCs/>
        </w:rPr>
        <w:t xml:space="preserve">y </w:t>
      </w:r>
      <w:r w:rsidR="00D1601A" w:rsidRPr="00CA200A">
        <w:rPr>
          <w:b/>
          <w:bCs/>
        </w:rPr>
        <w:t>proceder a su identificación inmediata, aun cuando estos hayan sido localizados por particulares sin la intervención de agentes del Estado;</w:t>
      </w:r>
    </w:p>
    <w:p w14:paraId="0F89B90B" w14:textId="77777777" w:rsidR="00447BD7" w:rsidRPr="00CA200A" w:rsidRDefault="00447BD7" w:rsidP="00447BD7">
      <w:pPr>
        <w:pStyle w:val="SingleTxtG"/>
        <w:rPr>
          <w:b/>
          <w:bCs/>
          <w:lang w:val="es-CO"/>
        </w:rPr>
      </w:pPr>
      <w:r w:rsidRPr="00CA200A">
        <w:rPr>
          <w:b/>
          <w:bCs/>
        </w:rPr>
        <w:tab/>
        <w:t>c)</w:t>
      </w:r>
      <w:r w:rsidRPr="00CA200A">
        <w:rPr>
          <w:b/>
          <w:bCs/>
        </w:rPr>
        <w:tab/>
        <w:t>A</w:t>
      </w:r>
      <w:r w:rsidR="00D1601A" w:rsidRPr="00CA200A">
        <w:rPr>
          <w:b/>
          <w:bCs/>
        </w:rPr>
        <w:t xml:space="preserve">segurar que las autoridades competentes protejan las zonas donde se estén realizando labores </w:t>
      </w:r>
      <w:r w:rsidR="00D1601A" w:rsidRPr="00CA200A">
        <w:rPr>
          <w:rFonts w:eastAsia="Calibri"/>
          <w:b/>
          <w:bCs/>
          <w:lang w:eastAsia="en-US"/>
        </w:rPr>
        <w:t>de exhumación y diligencias forenses, y los cementerios o lugares donde se encuentren</w:t>
      </w:r>
      <w:r w:rsidR="00D1601A" w:rsidRPr="00CA200A">
        <w:rPr>
          <w:rFonts w:eastAsia="Calibri"/>
          <w:b/>
          <w:bCs/>
          <w:lang w:val="es-CO" w:eastAsia="en-US"/>
        </w:rPr>
        <w:t xml:space="preserve"> cuerpos de personas no identificadas</w:t>
      </w:r>
      <w:r w:rsidR="00D1601A" w:rsidRPr="00CA200A">
        <w:rPr>
          <w:b/>
          <w:bCs/>
          <w:lang w:val="es-CO"/>
        </w:rPr>
        <w:t xml:space="preserve">; </w:t>
      </w:r>
    </w:p>
    <w:p w14:paraId="4898B8AE" w14:textId="77777777" w:rsidR="00447BD7" w:rsidRPr="00CA200A" w:rsidRDefault="00447BD7" w:rsidP="00447BD7">
      <w:pPr>
        <w:pStyle w:val="SingleTxtG"/>
        <w:rPr>
          <w:b/>
          <w:bCs/>
        </w:rPr>
      </w:pPr>
      <w:r w:rsidRPr="00CA200A">
        <w:rPr>
          <w:b/>
          <w:bCs/>
          <w:lang w:val="es-CO"/>
        </w:rPr>
        <w:tab/>
        <w:t>d)</w:t>
      </w:r>
      <w:r w:rsidRPr="00CA200A">
        <w:rPr>
          <w:b/>
          <w:bCs/>
          <w:lang w:val="es-CO"/>
        </w:rPr>
        <w:tab/>
      </w:r>
      <w:r w:rsidR="00D1601A" w:rsidRPr="00CA200A">
        <w:rPr>
          <w:b/>
          <w:bCs/>
        </w:rPr>
        <w:t xml:space="preserve">Asegurar que las campañas que se lleven a cabo para la obtención de información </w:t>
      </w:r>
      <w:r w:rsidR="00D1601A" w:rsidRPr="00CA200A">
        <w:rPr>
          <w:b/>
          <w:bCs/>
          <w:i/>
          <w:iCs/>
        </w:rPr>
        <w:t>ante mortem</w:t>
      </w:r>
      <w:r w:rsidR="00D1601A" w:rsidRPr="00CA200A">
        <w:rPr>
          <w:b/>
          <w:bCs/>
        </w:rPr>
        <w:t xml:space="preserve"> y muestras genéticas de familiares de personas desaparecidas sean suficientes y accesibles en todo el país, particularmente en las zonas rurales, y que las </w:t>
      </w:r>
      <w:r w:rsidR="00D1601A" w:rsidRPr="00CA200A">
        <w:rPr>
          <w:b/>
          <w:bCs/>
          <w:lang w:val="es-CO"/>
        </w:rPr>
        <w:t>muestras recogidas sean prontamente procesadas e incluidas en el Banco de Perfiles Genéticos</w:t>
      </w:r>
      <w:r w:rsidR="00D1601A" w:rsidRPr="00CA200A">
        <w:rPr>
          <w:b/>
          <w:bCs/>
        </w:rPr>
        <w:t>;</w:t>
      </w:r>
    </w:p>
    <w:p w14:paraId="1C45E067" w14:textId="49A9F6EE" w:rsidR="00D1601A" w:rsidRPr="00CA200A" w:rsidRDefault="00447BD7" w:rsidP="00447BD7">
      <w:pPr>
        <w:pStyle w:val="SingleTxtG"/>
        <w:rPr>
          <w:b/>
        </w:rPr>
      </w:pPr>
      <w:r w:rsidRPr="00CA200A">
        <w:rPr>
          <w:b/>
          <w:bCs/>
        </w:rPr>
        <w:tab/>
        <w:t>e)</w:t>
      </w:r>
      <w:r w:rsidRPr="00CA200A">
        <w:rPr>
          <w:b/>
          <w:bCs/>
        </w:rPr>
        <w:tab/>
      </w:r>
      <w:r w:rsidR="00D1601A" w:rsidRPr="00CA200A">
        <w:rPr>
          <w:b/>
        </w:rPr>
        <w:t>Garantizar los recursos técnicos, financieros, humanos y de infraestructura necesarios a los cementerios que guardan restos de personas</w:t>
      </w:r>
      <w:r w:rsidR="00D1601A" w:rsidRPr="00CA200A">
        <w:rPr>
          <w:rFonts w:eastAsia="Calibri"/>
          <w:b/>
          <w:bCs/>
          <w:lang w:val="es-CO" w:eastAsia="es-CO"/>
        </w:rPr>
        <w:t xml:space="preserve"> no identificadas, así como al </w:t>
      </w:r>
      <w:r w:rsidR="00D1601A" w:rsidRPr="00CA200A">
        <w:rPr>
          <w:rFonts w:eastAsia="Calibri"/>
          <w:b/>
          <w:szCs w:val="18"/>
          <w:lang w:val="es-CO"/>
        </w:rPr>
        <w:t>I</w:t>
      </w:r>
      <w:r w:rsidR="00427358" w:rsidRPr="00CA200A">
        <w:rPr>
          <w:rFonts w:eastAsia="Calibri"/>
          <w:b/>
          <w:szCs w:val="18"/>
          <w:lang w:val="es-CO"/>
        </w:rPr>
        <w:t>nstituto Nacional de Medicina Legal y Ciencias Forenses</w:t>
      </w:r>
      <w:r w:rsidR="00D1601A" w:rsidRPr="00CA200A">
        <w:rPr>
          <w:rFonts w:eastAsia="Calibri"/>
          <w:b/>
          <w:bCs/>
          <w:lang w:eastAsia="es-CO"/>
        </w:rPr>
        <w:t xml:space="preserve">, para asegurar el </w:t>
      </w:r>
      <w:r w:rsidR="00D1601A" w:rsidRPr="00CA200A">
        <w:rPr>
          <w:b/>
          <w:lang w:val="es-CO"/>
        </w:rPr>
        <w:t>manejo adecuado y la protección de los restos de personas no identificadas.</w:t>
      </w:r>
    </w:p>
    <w:p w14:paraId="0D84BC47" w14:textId="768501BD" w:rsidR="00D1601A" w:rsidRPr="00CA200A" w:rsidRDefault="00447BD7" w:rsidP="00447BD7">
      <w:pPr>
        <w:pStyle w:val="H1G"/>
        <w:rPr>
          <w:lang w:val="es-CO"/>
        </w:rPr>
      </w:pPr>
      <w:r w:rsidRPr="00CA200A">
        <w:rPr>
          <w:lang w:val="es-CO"/>
        </w:rPr>
        <w:tab/>
      </w:r>
      <w:r w:rsidR="00653993" w:rsidRPr="00CA200A">
        <w:rPr>
          <w:lang w:val="es-CO"/>
        </w:rPr>
        <w:t>G.</w:t>
      </w:r>
      <w:r w:rsidRPr="00CA200A">
        <w:rPr>
          <w:lang w:val="es-CO"/>
        </w:rPr>
        <w:tab/>
      </w:r>
      <w:r w:rsidR="00D1601A" w:rsidRPr="00CA200A">
        <w:rPr>
          <w:lang w:val="es-CO"/>
        </w:rPr>
        <w:t xml:space="preserve">Coordinación de la búsqueda, investigación e identificación </w:t>
      </w:r>
      <w:r w:rsidR="001E506F" w:rsidRPr="00CA200A">
        <w:rPr>
          <w:lang w:val="es-CO"/>
        </w:rPr>
        <w:br/>
      </w:r>
      <w:r w:rsidR="00D1601A" w:rsidRPr="00CA200A">
        <w:rPr>
          <w:lang w:val="es-CO"/>
        </w:rPr>
        <w:t>de personas desaparecidas</w:t>
      </w:r>
    </w:p>
    <w:p w14:paraId="4906A52B" w14:textId="4D824D46" w:rsidR="00D1601A" w:rsidRPr="00CA200A" w:rsidRDefault="00D1601A" w:rsidP="00447BD7">
      <w:pPr>
        <w:pStyle w:val="SingleTxtG"/>
        <w:rPr>
          <w:lang w:val="es-CO"/>
        </w:rPr>
      </w:pPr>
      <w:r w:rsidRPr="00CA200A">
        <w:rPr>
          <w:lang w:val="es-CO"/>
        </w:rPr>
        <w:t>30.</w:t>
      </w:r>
      <w:r w:rsidRPr="00CA200A">
        <w:rPr>
          <w:lang w:val="es-CO"/>
        </w:rPr>
        <w:tab/>
        <w:t xml:space="preserve">Preocupa al Comité la insuficiente coordinación e intercambio de información entre las instituciones encargadas de la búsqueda, </w:t>
      </w:r>
      <w:r w:rsidRPr="00CA200A">
        <w:t xml:space="preserve">investigación, </w:t>
      </w:r>
      <w:r w:rsidRPr="00CA200A">
        <w:rPr>
          <w:lang w:val="es-CO"/>
        </w:rPr>
        <w:t xml:space="preserve">recuperación e identificación de personas desaparecidas, incluyendo las sometidas a desaparición forzada, tanto dentro del </w:t>
      </w:r>
      <w:r w:rsidR="00154FDC" w:rsidRPr="00CA200A">
        <w:rPr>
          <w:rFonts w:eastAsia="Calibri"/>
          <w:lang w:val="es-PA" w:eastAsia="en-US"/>
        </w:rPr>
        <w:t xml:space="preserve">Sistema Integral de verdad, justicia, reparación y no repetición </w:t>
      </w:r>
      <w:r w:rsidRPr="00CA200A">
        <w:rPr>
          <w:rFonts w:eastAsia="Calibri"/>
          <w:lang w:val="es-PA" w:eastAsia="en-US"/>
        </w:rPr>
        <w:t>y</w:t>
      </w:r>
      <w:r w:rsidRPr="00CA200A">
        <w:rPr>
          <w:lang w:val="es-CO"/>
        </w:rPr>
        <w:t xml:space="preserve"> de la </w:t>
      </w:r>
      <w:r w:rsidR="00F20199" w:rsidRPr="00CA200A">
        <w:rPr>
          <w:color w:val="000000"/>
          <w:lang w:val="es-PA"/>
        </w:rPr>
        <w:t>Fiscalía General de la Nación</w:t>
      </w:r>
      <w:r w:rsidRPr="00CA200A">
        <w:rPr>
          <w:lang w:val="es-CO"/>
        </w:rPr>
        <w:t xml:space="preserve">, como entre estas dos entidades y </w:t>
      </w:r>
      <w:r w:rsidRPr="00CA200A">
        <w:t xml:space="preserve">otras instituciones estatales, en particular </w:t>
      </w:r>
      <w:r w:rsidRPr="00CA200A">
        <w:rPr>
          <w:lang w:val="es-CO"/>
        </w:rPr>
        <w:t xml:space="preserve">la </w:t>
      </w:r>
      <w:r w:rsidR="00DE4E63" w:rsidRPr="00CA200A">
        <w:rPr>
          <w:rFonts w:eastAsia="Calibri"/>
          <w:lang w:val="es-PA" w:eastAsia="en-US"/>
        </w:rPr>
        <w:t>Comisión de Búsqueda de Personas Desaparecidas</w:t>
      </w:r>
      <w:r w:rsidRPr="00CA200A">
        <w:rPr>
          <w:lang w:val="es-CO"/>
        </w:rPr>
        <w:t xml:space="preserve">, el </w:t>
      </w:r>
      <w:r w:rsidR="00427358" w:rsidRPr="00CA200A">
        <w:rPr>
          <w:rFonts w:eastAsia="Calibri"/>
          <w:bCs/>
          <w:szCs w:val="18"/>
          <w:lang w:val="es-CO"/>
        </w:rPr>
        <w:t>Instituto Nacional de Medicina Legal y Ciencias Forenses</w:t>
      </w:r>
      <w:r w:rsidR="00427358" w:rsidRPr="00CA200A">
        <w:rPr>
          <w:rFonts w:eastAsia="Calibri"/>
          <w:szCs w:val="18"/>
          <w:lang w:val="es-CO"/>
        </w:rPr>
        <w:t xml:space="preserve"> </w:t>
      </w:r>
      <w:r w:rsidRPr="00CA200A">
        <w:rPr>
          <w:lang w:val="es-CO"/>
        </w:rPr>
        <w:t>y la Defensoría del Pueblo. El Comité también está preocupado por la información recibida sobre la limitada participación de las víctimas en estos procesos (arts. 12 y 24).</w:t>
      </w:r>
    </w:p>
    <w:p w14:paraId="552E0788" w14:textId="03F63868" w:rsidR="00D1601A" w:rsidRPr="00CA200A" w:rsidRDefault="00D1601A" w:rsidP="00447BD7">
      <w:pPr>
        <w:pStyle w:val="SingleTxtG"/>
        <w:rPr>
          <w:b/>
        </w:rPr>
      </w:pPr>
      <w:r w:rsidRPr="00CA200A">
        <w:t>31.</w:t>
      </w:r>
      <w:r w:rsidRPr="00CA200A">
        <w:tab/>
      </w:r>
      <w:r w:rsidRPr="00CA200A">
        <w:rPr>
          <w:b/>
        </w:rPr>
        <w:t>El Comité recomienda al Estado parte que garantice:</w:t>
      </w:r>
    </w:p>
    <w:p w14:paraId="5DD5528F" w14:textId="77777777" w:rsidR="00447BD7" w:rsidRPr="00CA200A" w:rsidRDefault="00447BD7" w:rsidP="00447BD7">
      <w:pPr>
        <w:pStyle w:val="SingleTxtG"/>
        <w:rPr>
          <w:b/>
          <w:bCs/>
        </w:rPr>
      </w:pPr>
      <w:r w:rsidRPr="00CA200A">
        <w:rPr>
          <w:b/>
          <w:bCs/>
        </w:rPr>
        <w:tab/>
        <w:t>a)</w:t>
      </w:r>
      <w:r w:rsidRPr="00CA200A">
        <w:rPr>
          <w:b/>
          <w:bCs/>
        </w:rPr>
        <w:tab/>
      </w:r>
      <w:r w:rsidR="00D1601A" w:rsidRPr="00CA200A">
        <w:rPr>
          <w:b/>
          <w:bCs/>
        </w:rPr>
        <w:t xml:space="preserve">La coordinación, cooperación y cruce de datos entre las instituciones que participan en la búsqueda, investigación, recuperación e identificación de restos mortales de personas desaparecidas, a fin de que puedan desempeñar sus funciones eficazmente y con celeridad; </w:t>
      </w:r>
    </w:p>
    <w:p w14:paraId="7B5B837E" w14:textId="109FA19E" w:rsidR="00D1601A" w:rsidRPr="00CA200A" w:rsidRDefault="00447BD7" w:rsidP="00447BD7">
      <w:pPr>
        <w:pStyle w:val="SingleTxtG"/>
        <w:rPr>
          <w:b/>
        </w:rPr>
      </w:pPr>
      <w:r w:rsidRPr="00CA200A">
        <w:rPr>
          <w:b/>
          <w:bCs/>
        </w:rPr>
        <w:tab/>
        <w:t>b)</w:t>
      </w:r>
      <w:r w:rsidRPr="00CA200A">
        <w:rPr>
          <w:b/>
          <w:bCs/>
        </w:rPr>
        <w:tab/>
      </w:r>
      <w:r w:rsidR="00D1601A" w:rsidRPr="00CA200A">
        <w:rPr>
          <w:b/>
        </w:rPr>
        <w:t xml:space="preserve">La participación de </w:t>
      </w:r>
      <w:r w:rsidR="00D1601A" w:rsidRPr="00CA200A">
        <w:rPr>
          <w:b/>
          <w:bCs/>
        </w:rPr>
        <w:t>los allegados de las personas desaparecidas</w:t>
      </w:r>
      <w:r w:rsidR="00D1601A" w:rsidRPr="00CA200A">
        <w:rPr>
          <w:b/>
        </w:rPr>
        <w:t xml:space="preserve"> en los procesos de búsqueda e identificación de restos mortales, en las investigaciones y en todas las etapas procesales en el marco del debido proceso</w:t>
      </w:r>
      <w:r w:rsidR="001F0409" w:rsidRPr="00CA200A">
        <w:rPr>
          <w:b/>
        </w:rPr>
        <w:t>,</w:t>
      </w:r>
      <w:r w:rsidR="00D1601A" w:rsidRPr="00CA200A">
        <w:rPr>
          <w:b/>
        </w:rPr>
        <w:t xml:space="preserve"> velando por que sean regularmente informados acerca de la evolución y resultados de </w:t>
      </w:r>
      <w:r w:rsidR="001F0409" w:rsidRPr="00CA200A">
        <w:rPr>
          <w:b/>
        </w:rPr>
        <w:t>los mismos</w:t>
      </w:r>
      <w:r w:rsidR="00D1601A" w:rsidRPr="00CA200A">
        <w:rPr>
          <w:b/>
        </w:rPr>
        <w:t>.</w:t>
      </w:r>
    </w:p>
    <w:p w14:paraId="3CB8851F" w14:textId="38023CA0" w:rsidR="00D1601A" w:rsidRPr="00CA200A" w:rsidRDefault="00653993" w:rsidP="00CA200A">
      <w:pPr>
        <w:pStyle w:val="HChG"/>
      </w:pPr>
      <w:r w:rsidRPr="00CA200A">
        <w:tab/>
      </w:r>
      <w:r w:rsidR="0096198B" w:rsidRPr="00CA200A">
        <w:t>IV.</w:t>
      </w:r>
      <w:r w:rsidRPr="00CA200A">
        <w:tab/>
      </w:r>
      <w:r w:rsidR="00D1601A" w:rsidRPr="00CA200A">
        <w:t xml:space="preserve">Reparación </w:t>
      </w:r>
    </w:p>
    <w:p w14:paraId="6D88061F" w14:textId="09D30ACB" w:rsidR="00D1601A" w:rsidRPr="00CA200A" w:rsidRDefault="00D1601A" w:rsidP="00653993">
      <w:pPr>
        <w:pStyle w:val="H23G"/>
      </w:pPr>
      <w:r w:rsidRPr="00CA200A">
        <w:tab/>
      </w:r>
      <w:r w:rsidRPr="00CA200A">
        <w:tab/>
        <w:t xml:space="preserve">Derecho a la reparación </w:t>
      </w:r>
    </w:p>
    <w:p w14:paraId="74D312E4" w14:textId="6D5F7E81" w:rsidR="003A6D9E" w:rsidRPr="00CA200A" w:rsidRDefault="00D1601A" w:rsidP="00447BD7">
      <w:pPr>
        <w:pStyle w:val="SingleTxtG"/>
      </w:pPr>
      <w:r w:rsidRPr="00CA200A">
        <w:t>32.</w:t>
      </w:r>
      <w:r w:rsidRPr="00CA200A">
        <w:tab/>
        <w:t xml:space="preserve">Preocupa al Comité que, de las 185.422 víctimas de desaparición forzada registradas en el </w:t>
      </w:r>
      <w:r w:rsidR="00F5075B" w:rsidRPr="00CA200A">
        <w:t>Registro Único de Víctimas</w:t>
      </w:r>
      <w:r w:rsidRPr="00CA200A">
        <w:t xml:space="preserve">, solo una pequeña parte </w:t>
      </w:r>
      <w:r w:rsidR="002372E4" w:rsidRPr="00CA200A">
        <w:t>(</w:t>
      </w:r>
      <w:r w:rsidRPr="00CA200A">
        <w:rPr>
          <w:rFonts w:eastAsia="Calibri"/>
        </w:rPr>
        <w:t>12.490</w:t>
      </w:r>
      <w:r w:rsidR="002372E4" w:rsidRPr="00CA200A">
        <w:rPr>
          <w:rFonts w:eastAsia="Calibri"/>
        </w:rPr>
        <w:t>)</w:t>
      </w:r>
      <w:r w:rsidR="001F186D" w:rsidRPr="00CA200A">
        <w:rPr>
          <w:rFonts w:eastAsia="Calibri"/>
        </w:rPr>
        <w:t xml:space="preserve"> </w:t>
      </w:r>
      <w:r w:rsidR="005D3AE1" w:rsidRPr="00CA200A">
        <w:t>haya recibido reparaciones</w:t>
      </w:r>
      <w:r w:rsidR="004F0E21" w:rsidRPr="00CA200A">
        <w:t>, las cuales</w:t>
      </w:r>
      <w:r w:rsidR="001B4A82" w:rsidRPr="00CA200A">
        <w:t xml:space="preserve"> se han limitado</w:t>
      </w:r>
      <w:r w:rsidR="004F0E21" w:rsidRPr="00CA200A">
        <w:t xml:space="preserve"> a compensaciones económicas</w:t>
      </w:r>
      <w:r w:rsidR="005D3AE1" w:rsidRPr="00CA200A">
        <w:t xml:space="preserve">. </w:t>
      </w:r>
      <w:r w:rsidR="00E17E49" w:rsidRPr="00CA200A">
        <w:t>Le preocupa además la insuficiente coordinación y cruce de datos</w:t>
      </w:r>
      <w:r w:rsidR="00E17E49" w:rsidRPr="00CA200A">
        <w:rPr>
          <w:rFonts w:eastAsia="Calibri"/>
        </w:rPr>
        <w:t xml:space="preserve"> entre la Unidad para la Atención y Reparación Integral a las Víctimas, el </w:t>
      </w:r>
      <w:r w:rsidR="004E77B6" w:rsidRPr="00CA200A">
        <w:rPr>
          <w:rFonts w:eastAsia="Calibri"/>
          <w:lang w:val="es-PA" w:eastAsia="en-US"/>
        </w:rPr>
        <w:t>Sistema Integral de verdad, justicia, reparación y no repetición</w:t>
      </w:r>
      <w:r w:rsidR="00E17E49" w:rsidRPr="00CA200A">
        <w:rPr>
          <w:rFonts w:eastAsia="Calibri"/>
        </w:rPr>
        <w:t xml:space="preserve">, la </w:t>
      </w:r>
      <w:r w:rsidR="004F0CE0" w:rsidRPr="00CA200A">
        <w:rPr>
          <w:color w:val="000000"/>
          <w:lang w:val="es-PA"/>
        </w:rPr>
        <w:t>Fiscalía General de la Nación</w:t>
      </w:r>
      <w:r w:rsidR="00E17E49" w:rsidRPr="00CA200A">
        <w:rPr>
          <w:rFonts w:eastAsia="Calibri"/>
        </w:rPr>
        <w:t xml:space="preserve"> y el </w:t>
      </w:r>
      <w:r w:rsidR="001B2182" w:rsidRPr="00CA200A">
        <w:rPr>
          <w:lang w:val="es-MX"/>
        </w:rPr>
        <w:t>Registro Nacional de Desaparecidos</w:t>
      </w:r>
      <w:r w:rsidR="00E17E49" w:rsidRPr="00CA200A">
        <w:t xml:space="preserve">, lo que </w:t>
      </w:r>
      <w:r w:rsidR="00497029" w:rsidRPr="00CA200A">
        <w:t xml:space="preserve">conlleva </w:t>
      </w:r>
      <w:r w:rsidR="00E17E49" w:rsidRPr="00CA200A">
        <w:t>la</w:t>
      </w:r>
      <w:r w:rsidR="00E00CD9" w:rsidRPr="00CA200A">
        <w:t xml:space="preserve"> ausencia</w:t>
      </w:r>
      <w:r w:rsidR="00E17E49" w:rsidRPr="00CA200A">
        <w:t xml:space="preserve"> de datos exactos y fiables sobre el número de víctimas de desaparición forzada</w:t>
      </w:r>
      <w:r w:rsidR="00E00CD9" w:rsidRPr="00CA200A">
        <w:t xml:space="preserve"> que tendría</w:t>
      </w:r>
      <w:r w:rsidR="00930BFF" w:rsidRPr="00CA200A">
        <w:t>n</w:t>
      </w:r>
      <w:r w:rsidR="00E00CD9" w:rsidRPr="00CA200A">
        <w:t xml:space="preserve"> derecho a una </w:t>
      </w:r>
      <w:r w:rsidR="00E17E49" w:rsidRPr="00CA200A">
        <w:t>reparación</w:t>
      </w:r>
      <w:r w:rsidR="00E00CD9" w:rsidRPr="00CA200A">
        <w:t xml:space="preserve">. </w:t>
      </w:r>
      <w:r w:rsidR="005D3AE1" w:rsidRPr="00CA200A">
        <w:t xml:space="preserve">El Comité lamenta no haber recibido suficiente información </w:t>
      </w:r>
      <w:r w:rsidR="00E17E49" w:rsidRPr="00CA200A">
        <w:t>sobre</w:t>
      </w:r>
      <w:r w:rsidR="005D3AE1" w:rsidRPr="00CA200A">
        <w:t xml:space="preserve"> las medidas de reparación otorgadas ni de las previstas en la legislación nacional </w:t>
      </w:r>
      <w:r w:rsidR="000A2336" w:rsidRPr="00CA200A">
        <w:t>para</w:t>
      </w:r>
      <w:r w:rsidR="005D3AE1" w:rsidRPr="00CA200A">
        <w:t xml:space="preserve"> las víctimas de </w:t>
      </w:r>
      <w:r w:rsidR="000A2336" w:rsidRPr="00CA200A">
        <w:t xml:space="preserve">desapariciones </w:t>
      </w:r>
      <w:r w:rsidR="005D3AE1" w:rsidRPr="00CA200A">
        <w:t>forzada</w:t>
      </w:r>
      <w:r w:rsidR="000A2336" w:rsidRPr="00CA200A">
        <w:t>s</w:t>
      </w:r>
      <w:r w:rsidR="005D3AE1" w:rsidRPr="00CA200A">
        <w:t xml:space="preserve"> </w:t>
      </w:r>
      <w:r w:rsidR="000A2336" w:rsidRPr="00CA200A">
        <w:t xml:space="preserve">ocurridas </w:t>
      </w:r>
      <w:r w:rsidR="005D3AE1" w:rsidRPr="00CA200A">
        <w:t xml:space="preserve">fuera del </w:t>
      </w:r>
      <w:r w:rsidR="005B1C05" w:rsidRPr="00CA200A">
        <w:t xml:space="preserve">contexto del </w:t>
      </w:r>
      <w:r w:rsidR="005D3AE1" w:rsidRPr="00CA200A">
        <w:t xml:space="preserve">conflicto armado y que no están cubiertas por la Ley 1448 </w:t>
      </w:r>
      <w:r w:rsidR="00E17E49" w:rsidRPr="00CA200A">
        <w:t>de</w:t>
      </w:r>
      <w:r w:rsidR="005D3AE1" w:rsidRPr="00CA200A">
        <w:t xml:space="preserve"> 2011 </w:t>
      </w:r>
      <w:r w:rsidR="00EB5752" w:rsidRPr="00CA200A">
        <w:t>(art. 24).</w:t>
      </w:r>
      <w:r w:rsidR="0025155F" w:rsidRPr="00CA200A">
        <w:t xml:space="preserve"> </w:t>
      </w:r>
    </w:p>
    <w:p w14:paraId="7348D71B" w14:textId="0798A615" w:rsidR="003A6D9E" w:rsidRPr="00CA200A" w:rsidRDefault="009D7CE7" w:rsidP="00447BD7">
      <w:pPr>
        <w:pStyle w:val="SingleTxtG"/>
      </w:pPr>
      <w:r w:rsidRPr="00CA200A">
        <w:t>3</w:t>
      </w:r>
      <w:r w:rsidR="00036DD3" w:rsidRPr="00CA200A">
        <w:t>3</w:t>
      </w:r>
      <w:r w:rsidR="006377B5" w:rsidRPr="00CA200A">
        <w:t>.</w:t>
      </w:r>
      <w:r w:rsidR="006377B5" w:rsidRPr="00CA200A">
        <w:tab/>
      </w:r>
      <w:r w:rsidR="003A6D9E" w:rsidRPr="00CA200A">
        <w:rPr>
          <w:b/>
        </w:rPr>
        <w:t xml:space="preserve">El Comité recomienda al Estado parte </w:t>
      </w:r>
      <w:r w:rsidR="000A2336" w:rsidRPr="00CA200A">
        <w:rPr>
          <w:b/>
        </w:rPr>
        <w:t>tomar</w:t>
      </w:r>
      <w:r w:rsidR="00401B82" w:rsidRPr="00CA200A">
        <w:rPr>
          <w:b/>
        </w:rPr>
        <w:t xml:space="preserve"> las medidas necesarias para</w:t>
      </w:r>
      <w:r w:rsidR="005F0C0A" w:rsidRPr="00CA200A">
        <w:rPr>
          <w:b/>
        </w:rPr>
        <w:t>:</w:t>
      </w:r>
    </w:p>
    <w:p w14:paraId="4C712C08" w14:textId="03851E11" w:rsidR="003A6D9E" w:rsidRPr="00CA200A" w:rsidRDefault="00447BD7" w:rsidP="00447BD7">
      <w:pPr>
        <w:pStyle w:val="SingleTxtG"/>
        <w:rPr>
          <w:b/>
          <w:bCs/>
        </w:rPr>
      </w:pPr>
      <w:r w:rsidRPr="00CA200A">
        <w:rPr>
          <w:b/>
          <w:bCs/>
        </w:rPr>
        <w:tab/>
        <w:t>a)</w:t>
      </w:r>
      <w:r w:rsidRPr="00CA200A">
        <w:rPr>
          <w:b/>
          <w:bCs/>
        </w:rPr>
        <w:tab/>
      </w:r>
      <w:r w:rsidR="005F0C0A" w:rsidRPr="00CA200A">
        <w:rPr>
          <w:b/>
          <w:bCs/>
        </w:rPr>
        <w:t xml:space="preserve">Garantizar </w:t>
      </w:r>
      <w:r w:rsidR="00C143B7" w:rsidRPr="00CA200A">
        <w:rPr>
          <w:b/>
          <w:bCs/>
        </w:rPr>
        <w:t xml:space="preserve">que </w:t>
      </w:r>
      <w:r w:rsidR="00FB5B17" w:rsidRPr="00CA200A">
        <w:rPr>
          <w:b/>
          <w:bCs/>
        </w:rPr>
        <w:t>l</w:t>
      </w:r>
      <w:r w:rsidR="003A6D9E" w:rsidRPr="00CA200A">
        <w:rPr>
          <w:b/>
          <w:bCs/>
        </w:rPr>
        <w:t>a legislación nacional prev</w:t>
      </w:r>
      <w:r w:rsidR="00C143B7" w:rsidRPr="00CA200A">
        <w:rPr>
          <w:b/>
          <w:bCs/>
        </w:rPr>
        <w:t>ea</w:t>
      </w:r>
      <w:r w:rsidR="003A6D9E" w:rsidRPr="00CA200A">
        <w:rPr>
          <w:b/>
          <w:bCs/>
        </w:rPr>
        <w:t xml:space="preserve"> un amplio sistema de reparación e indemnizació</w:t>
      </w:r>
      <w:r w:rsidR="005F0C0A" w:rsidRPr="00CA200A">
        <w:rPr>
          <w:b/>
          <w:bCs/>
        </w:rPr>
        <w:t>n</w:t>
      </w:r>
      <w:r w:rsidR="003A6D9E" w:rsidRPr="00CA200A">
        <w:rPr>
          <w:b/>
          <w:bCs/>
        </w:rPr>
        <w:t>, de conformidad con el artículo 24, párr</w:t>
      </w:r>
      <w:r w:rsidR="002372E4" w:rsidRPr="00CA200A">
        <w:rPr>
          <w:b/>
          <w:bCs/>
        </w:rPr>
        <w:t xml:space="preserve">s. </w:t>
      </w:r>
      <w:r w:rsidR="003A6D9E" w:rsidRPr="00CA200A">
        <w:rPr>
          <w:b/>
          <w:bCs/>
        </w:rPr>
        <w:t>4 y 5, de la Convención,</w:t>
      </w:r>
      <w:r w:rsidR="00934CC4" w:rsidRPr="00CA200A">
        <w:rPr>
          <w:b/>
          <w:bCs/>
        </w:rPr>
        <w:t xml:space="preserve"> </w:t>
      </w:r>
      <w:r w:rsidR="00C143B7" w:rsidRPr="00CA200A">
        <w:rPr>
          <w:b/>
          <w:bCs/>
        </w:rPr>
        <w:t>para todas las víctimas de desaparición forzada, tal y como se definen en el artículo 24</w:t>
      </w:r>
      <w:r w:rsidR="002372E4" w:rsidRPr="00CA200A">
        <w:rPr>
          <w:b/>
          <w:bCs/>
        </w:rPr>
        <w:t>, párr</w:t>
      </w:r>
      <w:r w:rsidR="00C143B7" w:rsidRPr="00CA200A">
        <w:rPr>
          <w:b/>
          <w:bCs/>
        </w:rPr>
        <w:t>.</w:t>
      </w:r>
      <w:r w:rsidR="002372E4" w:rsidRPr="00CA200A">
        <w:rPr>
          <w:b/>
          <w:bCs/>
        </w:rPr>
        <w:t xml:space="preserve"> </w:t>
      </w:r>
      <w:r w:rsidR="00C143B7" w:rsidRPr="00CA200A">
        <w:rPr>
          <w:b/>
          <w:bCs/>
        </w:rPr>
        <w:t>1</w:t>
      </w:r>
      <w:r w:rsidR="002372E4" w:rsidRPr="00CA200A">
        <w:rPr>
          <w:b/>
          <w:bCs/>
        </w:rPr>
        <w:t>,</w:t>
      </w:r>
      <w:r w:rsidR="00C143B7" w:rsidRPr="00CA200A">
        <w:rPr>
          <w:b/>
          <w:bCs/>
        </w:rPr>
        <w:t xml:space="preserve"> de la Convención, </w:t>
      </w:r>
      <w:r w:rsidR="001F186D" w:rsidRPr="00CA200A">
        <w:rPr>
          <w:b/>
          <w:bCs/>
        </w:rPr>
        <w:t>a cargo d</w:t>
      </w:r>
      <w:r w:rsidR="003A6D9E" w:rsidRPr="00CA200A">
        <w:rPr>
          <w:b/>
          <w:bCs/>
        </w:rPr>
        <w:t>el Estado</w:t>
      </w:r>
      <w:r w:rsidR="005F0C0A" w:rsidRPr="00CA200A">
        <w:rPr>
          <w:b/>
          <w:bCs/>
        </w:rPr>
        <w:t xml:space="preserve">, </w:t>
      </w:r>
      <w:r w:rsidR="00C143B7" w:rsidRPr="00CA200A">
        <w:rPr>
          <w:b/>
          <w:bCs/>
        </w:rPr>
        <w:t xml:space="preserve">y </w:t>
      </w:r>
      <w:r w:rsidR="003A6D9E" w:rsidRPr="00CA200A">
        <w:rPr>
          <w:b/>
          <w:bCs/>
        </w:rPr>
        <w:t>que sea</w:t>
      </w:r>
      <w:r w:rsidR="005F0C0A" w:rsidRPr="00CA200A">
        <w:rPr>
          <w:b/>
          <w:bCs/>
        </w:rPr>
        <w:t xml:space="preserve"> incluso</w:t>
      </w:r>
      <w:r w:rsidR="003A6D9E" w:rsidRPr="00CA200A">
        <w:rPr>
          <w:b/>
          <w:bCs/>
        </w:rPr>
        <w:t xml:space="preserve"> aplicable </w:t>
      </w:r>
      <w:r w:rsidR="00401B82" w:rsidRPr="00CA200A">
        <w:rPr>
          <w:b/>
          <w:bCs/>
        </w:rPr>
        <w:t>aunque</w:t>
      </w:r>
      <w:r w:rsidR="003A6D9E" w:rsidRPr="00CA200A">
        <w:rPr>
          <w:b/>
          <w:bCs/>
        </w:rPr>
        <w:t xml:space="preserve"> no se h</w:t>
      </w:r>
      <w:r w:rsidR="00401B82" w:rsidRPr="00CA200A">
        <w:rPr>
          <w:b/>
          <w:bCs/>
        </w:rPr>
        <w:t>aya</w:t>
      </w:r>
      <w:r w:rsidR="005F0C0A" w:rsidRPr="00CA200A">
        <w:rPr>
          <w:b/>
          <w:bCs/>
        </w:rPr>
        <w:t xml:space="preserve"> </w:t>
      </w:r>
      <w:r w:rsidR="003A6D9E" w:rsidRPr="00CA200A">
        <w:rPr>
          <w:b/>
          <w:bCs/>
        </w:rPr>
        <w:t>iniciado un procedimiento penal;</w:t>
      </w:r>
    </w:p>
    <w:p w14:paraId="2CB30740" w14:textId="2004C5B9" w:rsidR="003A6D9E" w:rsidRPr="00CA200A" w:rsidRDefault="00447BD7" w:rsidP="00447BD7">
      <w:pPr>
        <w:pStyle w:val="SingleTxtG"/>
        <w:rPr>
          <w:b/>
          <w:bCs/>
        </w:rPr>
      </w:pPr>
      <w:r w:rsidRPr="00CA200A">
        <w:rPr>
          <w:b/>
          <w:bCs/>
        </w:rPr>
        <w:tab/>
        <w:t>b)</w:t>
      </w:r>
      <w:r w:rsidRPr="00CA200A">
        <w:rPr>
          <w:b/>
          <w:bCs/>
        </w:rPr>
        <w:tab/>
      </w:r>
      <w:r w:rsidR="005F0C0A" w:rsidRPr="00CA200A">
        <w:rPr>
          <w:b/>
          <w:bCs/>
        </w:rPr>
        <w:t xml:space="preserve">Asegurar </w:t>
      </w:r>
      <w:r w:rsidR="00C143B7" w:rsidRPr="00CA200A">
        <w:rPr>
          <w:b/>
          <w:bCs/>
        </w:rPr>
        <w:t xml:space="preserve">que </w:t>
      </w:r>
      <w:r w:rsidR="005F0C0A" w:rsidRPr="00CA200A">
        <w:rPr>
          <w:b/>
          <w:bCs/>
        </w:rPr>
        <w:t xml:space="preserve">todas </w:t>
      </w:r>
      <w:r w:rsidR="003A6D9E" w:rsidRPr="00CA200A">
        <w:rPr>
          <w:b/>
          <w:bCs/>
        </w:rPr>
        <w:t xml:space="preserve">las </w:t>
      </w:r>
      <w:r w:rsidR="006804C3" w:rsidRPr="00CA200A">
        <w:rPr>
          <w:b/>
          <w:bCs/>
        </w:rPr>
        <w:t>víctimas</w:t>
      </w:r>
      <w:r w:rsidR="003A6D9E" w:rsidRPr="00CA200A">
        <w:rPr>
          <w:b/>
          <w:bCs/>
        </w:rPr>
        <w:t xml:space="preserve"> de desaparición forzada, tal y como se definen en el artículo 24</w:t>
      </w:r>
      <w:r w:rsidR="00B07DCA" w:rsidRPr="00CA200A">
        <w:rPr>
          <w:b/>
          <w:bCs/>
        </w:rPr>
        <w:t>, párr</w:t>
      </w:r>
      <w:r w:rsidR="003A6D9E" w:rsidRPr="00CA200A">
        <w:rPr>
          <w:b/>
          <w:bCs/>
        </w:rPr>
        <w:t>.</w:t>
      </w:r>
      <w:r w:rsidR="00B07DCA" w:rsidRPr="00CA200A">
        <w:rPr>
          <w:b/>
          <w:bCs/>
        </w:rPr>
        <w:t xml:space="preserve"> </w:t>
      </w:r>
      <w:r w:rsidR="003A6D9E" w:rsidRPr="00CA200A">
        <w:rPr>
          <w:b/>
          <w:bCs/>
        </w:rPr>
        <w:t>1</w:t>
      </w:r>
      <w:r w:rsidR="00B07DCA" w:rsidRPr="00CA200A">
        <w:rPr>
          <w:b/>
          <w:bCs/>
        </w:rPr>
        <w:t>,</w:t>
      </w:r>
      <w:r w:rsidR="003A6D9E" w:rsidRPr="00CA200A">
        <w:rPr>
          <w:b/>
          <w:bCs/>
        </w:rPr>
        <w:t xml:space="preserve"> de la Convención, </w:t>
      </w:r>
      <w:r w:rsidR="00C143B7" w:rsidRPr="00CA200A">
        <w:rPr>
          <w:b/>
          <w:bCs/>
        </w:rPr>
        <w:t xml:space="preserve">reciben una reparación integral, </w:t>
      </w:r>
      <w:r w:rsidR="003A6D9E" w:rsidRPr="00CA200A">
        <w:rPr>
          <w:b/>
          <w:bCs/>
        </w:rPr>
        <w:t>incluidas las que están fuera del ámbito de aplicación de la Ley 1448 de 2011</w:t>
      </w:r>
      <w:r w:rsidR="00E27168" w:rsidRPr="00CA200A">
        <w:rPr>
          <w:b/>
          <w:bCs/>
        </w:rPr>
        <w:t>;</w:t>
      </w:r>
      <w:r w:rsidR="003A6D9E" w:rsidRPr="00CA200A">
        <w:rPr>
          <w:b/>
          <w:bCs/>
        </w:rPr>
        <w:t xml:space="preserve"> </w:t>
      </w:r>
    </w:p>
    <w:p w14:paraId="7B95DB35" w14:textId="2E285845" w:rsidR="00401B82" w:rsidRPr="00CA200A" w:rsidRDefault="00447BD7" w:rsidP="005E6870">
      <w:pPr>
        <w:pStyle w:val="SingleTxtG"/>
        <w:rPr>
          <w:b/>
        </w:rPr>
      </w:pPr>
      <w:r w:rsidRPr="00CA200A">
        <w:rPr>
          <w:b/>
          <w:bCs/>
        </w:rPr>
        <w:tab/>
        <w:t>c)</w:t>
      </w:r>
      <w:r w:rsidRPr="00CA200A">
        <w:rPr>
          <w:b/>
          <w:bCs/>
        </w:rPr>
        <w:tab/>
      </w:r>
      <w:r w:rsidR="00FB5B17" w:rsidRPr="00CA200A">
        <w:rPr>
          <w:b/>
        </w:rPr>
        <w:t>Garantizar que e</w:t>
      </w:r>
      <w:r w:rsidR="003A6D9E" w:rsidRPr="00CA200A">
        <w:rPr>
          <w:b/>
        </w:rPr>
        <w:t xml:space="preserve">l sistema </w:t>
      </w:r>
      <w:r w:rsidR="00940745" w:rsidRPr="00CA200A">
        <w:rPr>
          <w:b/>
        </w:rPr>
        <w:t xml:space="preserve">para conceder </w:t>
      </w:r>
      <w:r w:rsidR="003A6D9E" w:rsidRPr="00CA200A">
        <w:rPr>
          <w:b/>
        </w:rPr>
        <w:t>reparaciones t</w:t>
      </w:r>
      <w:r w:rsidR="00940745" w:rsidRPr="00CA200A">
        <w:rPr>
          <w:b/>
        </w:rPr>
        <w:t xml:space="preserve">ome </w:t>
      </w:r>
      <w:r w:rsidR="003A6D9E" w:rsidRPr="00CA200A">
        <w:rPr>
          <w:b/>
        </w:rPr>
        <w:t>en cuenta las circunstancias personales de las víctimas, como su sexo, identidad de género, orientación sexual, edad, origen étnico, condición social y discapacidad.</w:t>
      </w:r>
    </w:p>
    <w:p w14:paraId="4C46EF68" w14:textId="50C2616A" w:rsidR="003810AA" w:rsidRPr="00CA200A" w:rsidRDefault="003810AA" w:rsidP="00B53F4C">
      <w:pPr>
        <w:pStyle w:val="HChG"/>
      </w:pPr>
      <w:r w:rsidRPr="00CA200A">
        <w:tab/>
      </w:r>
      <w:r w:rsidR="0096198B" w:rsidRPr="00CA200A">
        <w:t>V</w:t>
      </w:r>
      <w:r w:rsidRPr="00CA200A">
        <w:t>.</w:t>
      </w:r>
      <w:r w:rsidRPr="00CA200A">
        <w:tab/>
      </w:r>
      <w:r w:rsidRPr="00CA200A">
        <w:tab/>
        <w:t>Implementación de los derechos y obligaciones de la Convención, difusión y seguimiento</w:t>
      </w:r>
    </w:p>
    <w:p w14:paraId="585B4D2F" w14:textId="6C9FCB5E" w:rsidR="003810AA" w:rsidRPr="00CA200A" w:rsidRDefault="003810AA" w:rsidP="003810AA">
      <w:pPr>
        <w:pStyle w:val="SingleTxtG"/>
      </w:pPr>
      <w:r w:rsidRPr="00CA200A">
        <w:t>34.</w:t>
      </w:r>
      <w:r w:rsidRPr="00CA200A">
        <w:tab/>
        <w:t>El Comité desea señalar las obligaciones contraídas por los Estados al ratificar la Convención e insta al Estado parte a asegurarse de que todas las medidas que adopte</w:t>
      </w:r>
      <w:r w:rsidR="002173EB" w:rsidRPr="00CA200A">
        <w:rPr>
          <w:rFonts w:eastAsia="Calibri"/>
          <w:lang w:val="es-EC" w:eastAsia="en-US"/>
        </w:rPr>
        <w:t xml:space="preserve"> </w:t>
      </w:r>
      <w:r w:rsidRPr="00CA200A">
        <w:t>se ajusten plenamente a la Convención y a otros instrumentos internacionales pertinentes.</w:t>
      </w:r>
    </w:p>
    <w:p w14:paraId="41ACED33" w14:textId="3CEB5093" w:rsidR="003810AA" w:rsidRPr="00CA200A" w:rsidRDefault="003810AA" w:rsidP="003810AA">
      <w:pPr>
        <w:spacing w:after="120"/>
        <w:ind w:left="1134" w:right="1134"/>
        <w:jc w:val="both"/>
      </w:pPr>
      <w:r w:rsidRPr="00CA200A">
        <w:t>35.</w:t>
      </w:r>
      <w:r w:rsidRPr="00CA200A">
        <w:tab/>
        <w:t xml:space="preserve">Asimismo, el Comité subraya la singular crueldad con la que las desapariciones forzadas afectan a las mujeres y los niños. Las mujeres víctimas de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Los niños víctimas de desaparición forzada, ya sea porque ellos mismos son sometidos a desaparición o porque sufren a consecuencia de la desaparición de sus allegados, son particularmente vulnerables a la violación de sus derechos humanos. Por lo tanto, el Comité pone especial énfasis en la necesidad de </w:t>
      </w:r>
      <w:r w:rsidRPr="00CA200A">
        <w:rPr>
          <w:lang w:val="es-EC"/>
        </w:rPr>
        <w:t>que el Estado parte integre sistemáticamente una perspectiva de género y tome en cuenta las necesidades específicas de</w:t>
      </w:r>
      <w:r w:rsidR="00F15DC8" w:rsidRPr="00CA200A">
        <w:rPr>
          <w:lang w:val="es-EC"/>
        </w:rPr>
        <w:t xml:space="preserve"> las mujeres</w:t>
      </w:r>
      <w:r w:rsidRPr="00CA200A">
        <w:rPr>
          <w:lang w:val="es-EC"/>
        </w:rPr>
        <w:t>, los niños y niñas cuando implemente las</w:t>
      </w:r>
      <w:r w:rsidR="003009FB" w:rsidRPr="00CA200A">
        <w:rPr>
          <w:lang w:val="es-EC"/>
        </w:rPr>
        <w:t xml:space="preserve"> recomendaciones </w:t>
      </w:r>
      <w:r w:rsidR="00E72C2A" w:rsidRPr="00CA200A">
        <w:rPr>
          <w:lang w:val="es-EC"/>
        </w:rPr>
        <w:t>que figuran en las</w:t>
      </w:r>
      <w:r w:rsidRPr="00CA200A">
        <w:rPr>
          <w:lang w:val="es-EC"/>
        </w:rPr>
        <w:t xml:space="preserve"> presentes </w:t>
      </w:r>
      <w:r w:rsidR="00E93F84" w:rsidRPr="00CA200A">
        <w:rPr>
          <w:lang w:val="es-EC"/>
        </w:rPr>
        <w:t xml:space="preserve">observaciones </w:t>
      </w:r>
      <w:r w:rsidR="00091D48" w:rsidRPr="00CA200A">
        <w:rPr>
          <w:lang w:val="es-EC"/>
        </w:rPr>
        <w:t xml:space="preserve">finales </w:t>
      </w:r>
      <w:r w:rsidRPr="00CA200A">
        <w:rPr>
          <w:lang w:val="es-EC"/>
        </w:rPr>
        <w:t>y el conjunto de los derechos y obligaciones de la Convención</w:t>
      </w:r>
      <w:r w:rsidRPr="00CA200A">
        <w:t>.</w:t>
      </w:r>
    </w:p>
    <w:p w14:paraId="2AFCD95E" w14:textId="1A36EB47" w:rsidR="008E026D" w:rsidRPr="00CA200A" w:rsidRDefault="003810AA" w:rsidP="003810AA">
      <w:pPr>
        <w:pStyle w:val="SingleTxtG"/>
      </w:pPr>
      <w:r w:rsidRPr="00CA200A">
        <w:t>36.</w:t>
      </w:r>
      <w:r w:rsidRPr="00CA200A">
        <w:tab/>
        <w:t>Se alienta al Estado parte a que difunda ampliamente la Convención, la información complementaria presentada con arreglo al artículo 29, párr</w:t>
      </w:r>
      <w:r w:rsidR="00296F78" w:rsidRPr="00CA200A">
        <w:t xml:space="preserve">. </w:t>
      </w:r>
      <w:r w:rsidRPr="00CA200A">
        <w:t>4, de la Convención y las</w:t>
      </w:r>
      <w:r w:rsidR="00E72C2A" w:rsidRPr="00CA200A">
        <w:t xml:space="preserve"> </w:t>
      </w:r>
      <w:r w:rsidRPr="00CA200A">
        <w:t>presentes observaciones</w:t>
      </w:r>
      <w:r w:rsidR="00091D48" w:rsidRPr="00CA200A">
        <w:t xml:space="preserve"> finales</w:t>
      </w:r>
      <w:r w:rsidRPr="00CA200A">
        <w:t xml:space="preserve">, a fin de sensibilizar a todas las autoridades </w:t>
      </w:r>
      <w:r w:rsidR="00BE2105" w:rsidRPr="00CA200A">
        <w:t>estatales</w:t>
      </w:r>
      <w:r w:rsidRPr="00CA200A">
        <w:t>,</w:t>
      </w:r>
      <w:r w:rsidR="00BE2105" w:rsidRPr="00CA200A">
        <w:t xml:space="preserve"> todos</w:t>
      </w:r>
      <w:r w:rsidRPr="00CA200A">
        <w:t xml:space="preserve"> </w:t>
      </w:r>
      <w:r w:rsidR="00E11BFB" w:rsidRPr="00CA200A">
        <w:t xml:space="preserve">los actores </w:t>
      </w:r>
      <w:r w:rsidRPr="00CA200A">
        <w:t>de la sociedad civil y la población en general.</w:t>
      </w:r>
      <w:r w:rsidR="00BF520C" w:rsidRPr="00CA200A">
        <w:t xml:space="preserve"> </w:t>
      </w:r>
      <w:r w:rsidR="00BF520C" w:rsidRPr="00CA200A">
        <w:rPr>
          <w:rFonts w:eastAsia="Calibri"/>
          <w:lang w:val="es-EC" w:eastAsia="en-US"/>
        </w:rPr>
        <w:t xml:space="preserve">El Comité también alienta al Estado parte a promover la participación de la sociedad civil en el proceso de implementación de las </w:t>
      </w:r>
      <w:r w:rsidR="00535980" w:rsidRPr="00CA200A">
        <w:rPr>
          <w:rFonts w:eastAsia="Calibri"/>
          <w:lang w:val="es-EC" w:eastAsia="en-US"/>
        </w:rPr>
        <w:t xml:space="preserve">recomendaciones </w:t>
      </w:r>
      <w:r w:rsidR="00E93836" w:rsidRPr="00CA200A">
        <w:rPr>
          <w:rFonts w:eastAsia="Calibri"/>
          <w:lang w:val="es-EC" w:eastAsia="en-US"/>
        </w:rPr>
        <w:t>que figuran</w:t>
      </w:r>
      <w:r w:rsidR="00535980" w:rsidRPr="00CA200A">
        <w:rPr>
          <w:rFonts w:eastAsia="Calibri"/>
          <w:lang w:val="es-EC" w:eastAsia="en-US"/>
        </w:rPr>
        <w:t xml:space="preserve"> en las </w:t>
      </w:r>
      <w:r w:rsidR="00BF520C" w:rsidRPr="00CA200A">
        <w:rPr>
          <w:rFonts w:eastAsia="Calibri"/>
          <w:lang w:val="es-EC" w:eastAsia="en-US"/>
        </w:rPr>
        <w:t>presentes observaciones</w:t>
      </w:r>
      <w:r w:rsidR="00581466" w:rsidRPr="00CA200A">
        <w:rPr>
          <w:rFonts w:eastAsia="Calibri"/>
          <w:lang w:val="es-EC" w:eastAsia="en-US"/>
        </w:rPr>
        <w:t xml:space="preserve"> finales</w:t>
      </w:r>
      <w:r w:rsidR="008E026D" w:rsidRPr="00CA200A">
        <w:rPr>
          <w:rFonts w:eastAsia="Calibri"/>
          <w:lang w:val="es-EC" w:eastAsia="en-US"/>
        </w:rPr>
        <w:t>.</w:t>
      </w:r>
    </w:p>
    <w:p w14:paraId="0A16ED4D" w14:textId="175483CC" w:rsidR="003810AA" w:rsidRDefault="003810AA">
      <w:pPr>
        <w:spacing w:after="120"/>
        <w:ind w:left="1134" w:right="1134"/>
        <w:jc w:val="both"/>
      </w:pPr>
      <w:r w:rsidRPr="00CA200A">
        <w:t>37.</w:t>
      </w:r>
      <w:r w:rsidRPr="00CA200A">
        <w:tab/>
        <w:t>En virtud del artículo 29, párr</w:t>
      </w:r>
      <w:r w:rsidR="00296F78" w:rsidRPr="00CA200A">
        <w:t xml:space="preserve">. </w:t>
      </w:r>
      <w:r w:rsidRPr="00CA200A">
        <w:t xml:space="preserve">4, de la Convención, el Comité solicita al Estado parte que presente, a más tardar el </w:t>
      </w:r>
      <w:r w:rsidR="00D27038" w:rsidRPr="00CA200A">
        <w:t>7</w:t>
      </w:r>
      <w:r w:rsidRPr="00CA200A">
        <w:t xml:space="preserve"> de mayo de 20</w:t>
      </w:r>
      <w:r w:rsidR="00D27038" w:rsidRPr="00CA200A">
        <w:t>22</w:t>
      </w:r>
      <w:r w:rsidRPr="00CA200A">
        <w:t xml:space="preserve">, </w:t>
      </w:r>
      <w:r w:rsidR="00C520BC" w:rsidRPr="00CA200A">
        <w:t>información pertinente sobre la aplicación de las recomendaciones formuladas por el Comité que figuran en los párrafos 17 (Registro Nacional de Desaparecidos), 19 (Investigación de desapariciones forzadas</w:t>
      </w:r>
      <w:r w:rsidR="00E813F1" w:rsidRPr="00CA200A">
        <w:t>)</w:t>
      </w:r>
      <w:r w:rsidR="00C520BC" w:rsidRPr="00CA200A">
        <w:t xml:space="preserve"> y 27 (Búsqueda de personas desaparecidas) </w:t>
      </w:r>
      <w:r w:rsidR="00091D48" w:rsidRPr="00CA200A">
        <w:rPr>
          <w:i/>
          <w:iCs/>
        </w:rPr>
        <w:t>supra</w:t>
      </w:r>
      <w:r w:rsidR="00C520BC" w:rsidRPr="00CA200A">
        <w:t>.</w:t>
      </w:r>
      <w:r w:rsidR="001D7BAC" w:rsidRPr="00CA200A">
        <w:t xml:space="preserve"> Asimismo, el Comité solicita al Estado parte que presente, a más tardar el </w:t>
      </w:r>
      <w:r w:rsidR="008067DB" w:rsidRPr="00CA200A">
        <w:t>7 de mayo de 2024</w:t>
      </w:r>
      <w:r w:rsidR="001D7BAC" w:rsidRPr="00CA200A">
        <w:t>, información específica y actualizada sobre la aplicación de cada una de las recomendaciones que figuran en las presentes observaciones</w:t>
      </w:r>
      <w:r w:rsidR="00581466" w:rsidRPr="00CA200A">
        <w:t xml:space="preserve"> finales</w:t>
      </w:r>
      <w:r w:rsidR="001D7BAC" w:rsidRPr="00CA200A">
        <w:t xml:space="preserve">, así como </w:t>
      </w:r>
      <w:r w:rsidRPr="00CA200A">
        <w:t>cualquier otra información que considere pertinente sobre el cumplimiento de las obligaciones contraídas en virtud de la Convención. El Comité alienta al Estado parte a que, en el proceso de elaboración de esa información, fomente y facilite la participación de la sociedad civil, en particular de las organizaciones de víctimas</w:t>
      </w:r>
      <w:r w:rsidR="008067DB" w:rsidRPr="00CA200A">
        <w:t xml:space="preserve"> de desaparición forzada</w:t>
      </w:r>
      <w:r w:rsidR="00BA4AEA" w:rsidRPr="00CA200A">
        <w:t>.</w:t>
      </w:r>
    </w:p>
    <w:p w14:paraId="643A420F" w14:textId="77777777" w:rsidR="00F12B67" w:rsidRPr="00C56714" w:rsidRDefault="00F12B67" w:rsidP="00F12B67">
      <w:pPr>
        <w:pStyle w:val="SingleTxtG"/>
        <w:suppressAutoHyphens/>
        <w:spacing w:before="240" w:after="0"/>
        <w:jc w:val="center"/>
        <w:rPr>
          <w:u w:val="single"/>
        </w:rPr>
      </w:pPr>
      <w:r>
        <w:rPr>
          <w:u w:val="single"/>
        </w:rPr>
        <w:tab/>
      </w:r>
      <w:r>
        <w:rPr>
          <w:u w:val="single"/>
        </w:rPr>
        <w:tab/>
      </w:r>
      <w:r>
        <w:rPr>
          <w:u w:val="single"/>
        </w:rPr>
        <w:tab/>
      </w:r>
    </w:p>
    <w:sectPr w:rsidR="00F12B67" w:rsidRPr="00C56714" w:rsidSect="00E45C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993"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C666" w14:textId="77777777" w:rsidR="00112095" w:rsidRPr="00A06E07" w:rsidRDefault="00112095" w:rsidP="00A06E07">
      <w:pPr>
        <w:pStyle w:val="Footer"/>
      </w:pPr>
    </w:p>
  </w:endnote>
  <w:endnote w:type="continuationSeparator" w:id="0">
    <w:p w14:paraId="24FC5544" w14:textId="77777777" w:rsidR="00112095" w:rsidRPr="00A06E07" w:rsidRDefault="00112095"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8110" w14:textId="3451C488" w:rsidR="002F6BB8" w:rsidRPr="00694DFC" w:rsidRDefault="002F6BB8" w:rsidP="00694DFC">
    <w:pPr>
      <w:pStyle w:val="Footer"/>
      <w:tabs>
        <w:tab w:val="right" w:pos="9638"/>
      </w:tabs>
    </w:pPr>
    <w:r w:rsidRPr="00694DFC">
      <w:rPr>
        <w:b/>
        <w:sz w:val="18"/>
      </w:rPr>
      <w:fldChar w:fldCharType="begin"/>
    </w:r>
    <w:r w:rsidRPr="00694DFC">
      <w:rPr>
        <w:b/>
        <w:sz w:val="18"/>
      </w:rPr>
      <w:instrText xml:space="preserve"> PAGE  \* MERGEFORMAT </w:instrText>
    </w:r>
    <w:r w:rsidRPr="00694DFC">
      <w:rPr>
        <w:b/>
        <w:sz w:val="18"/>
      </w:rPr>
      <w:fldChar w:fldCharType="separate"/>
    </w:r>
    <w:r w:rsidR="00FA4F00">
      <w:rPr>
        <w:b/>
        <w:noProof/>
        <w:sz w:val="18"/>
      </w:rPr>
      <w:t>2</w:t>
    </w:r>
    <w:r w:rsidRPr="00694DF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89F9" w14:textId="11D1C112" w:rsidR="002F6BB8" w:rsidRPr="00694DFC" w:rsidRDefault="002F6BB8" w:rsidP="00694DFC">
    <w:pPr>
      <w:pStyle w:val="Footer"/>
      <w:tabs>
        <w:tab w:val="right" w:pos="9638"/>
      </w:tabs>
      <w:rPr>
        <w:b/>
        <w:sz w:val="18"/>
      </w:rPr>
    </w:pPr>
    <w:r>
      <w:tab/>
    </w:r>
    <w:r w:rsidRPr="00694DFC">
      <w:rPr>
        <w:b/>
        <w:sz w:val="18"/>
      </w:rPr>
      <w:fldChar w:fldCharType="begin"/>
    </w:r>
    <w:r w:rsidRPr="00694DFC">
      <w:rPr>
        <w:b/>
        <w:sz w:val="18"/>
      </w:rPr>
      <w:instrText xml:space="preserve"> PAGE  \* MERGEFORMAT </w:instrText>
    </w:r>
    <w:r w:rsidRPr="00694DFC">
      <w:rPr>
        <w:b/>
        <w:sz w:val="18"/>
      </w:rPr>
      <w:fldChar w:fldCharType="separate"/>
    </w:r>
    <w:r w:rsidR="00FA4F00">
      <w:rPr>
        <w:b/>
        <w:noProof/>
        <w:sz w:val="18"/>
      </w:rPr>
      <w:t>3</w:t>
    </w:r>
    <w:r w:rsidRPr="00694D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8908" w14:textId="77A54176" w:rsidR="00BB2BEE" w:rsidRPr="00C66F64" w:rsidRDefault="00C66F64" w:rsidP="00C66F64">
    <w:pPr>
      <w:pStyle w:val="Footer"/>
      <w:tabs>
        <w:tab w:val="left" w:pos="6520"/>
        <w:tab w:val="right" w:pos="9638"/>
      </w:tabs>
      <w:spacing w:before="120" w:line="240" w:lineRule="auto"/>
      <w:rPr>
        <w:sz w:val="20"/>
      </w:rPr>
    </w:pPr>
    <w:r>
      <w:rPr>
        <w:sz w:val="20"/>
      </w:rPr>
      <w:t>GE.21-</w:t>
    </w:r>
    <w:proofErr w:type="gramStart"/>
    <w:r>
      <w:rPr>
        <w:sz w:val="20"/>
      </w:rPr>
      <w:t>07135  (</w:t>
    </w:r>
    <w:proofErr w:type="gramEnd"/>
    <w:r>
      <w:rPr>
        <w:sz w:val="20"/>
      </w:rPr>
      <w:t>S)</w:t>
    </w:r>
    <w:bookmarkStart w:id="0" w:name="_GoBack"/>
    <w:bookmarkEnd w:id="0"/>
    <w:r>
      <w:rPr>
        <w:sz w:val="20"/>
      </w:rPr>
      <w:tab/>
    </w:r>
    <w:r w:rsidRPr="00C66F64">
      <w:rPr>
        <w:noProof/>
        <w:sz w:val="20"/>
        <w:lang w:val="fr-CH" w:eastAsia="zh-CN"/>
      </w:rPr>
      <w:drawing>
        <wp:inline distT="0" distB="0" distL="0" distR="0" wp14:anchorId="024C8728" wp14:editId="4CE9AF25">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459FF6C" wp14:editId="2004FBF7">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EAE8" w14:textId="77777777" w:rsidR="00112095" w:rsidRPr="001075E9" w:rsidRDefault="00112095" w:rsidP="001075E9">
      <w:pPr>
        <w:tabs>
          <w:tab w:val="right" w:pos="2155"/>
        </w:tabs>
        <w:spacing w:after="80" w:line="240" w:lineRule="auto"/>
        <w:ind w:left="680"/>
        <w:rPr>
          <w:u w:val="single"/>
        </w:rPr>
      </w:pPr>
      <w:r>
        <w:rPr>
          <w:u w:val="single"/>
        </w:rPr>
        <w:tab/>
      </w:r>
    </w:p>
  </w:footnote>
  <w:footnote w:type="continuationSeparator" w:id="0">
    <w:p w14:paraId="6FCEE3AC" w14:textId="77777777" w:rsidR="00112095" w:rsidRDefault="00112095" w:rsidP="00407B78">
      <w:pPr>
        <w:tabs>
          <w:tab w:val="right" w:pos="2155"/>
        </w:tabs>
        <w:spacing w:after="80"/>
        <w:ind w:left="680"/>
        <w:rPr>
          <w:u w:val="single"/>
        </w:rPr>
      </w:pPr>
      <w:r>
        <w:rPr>
          <w:u w:val="single"/>
        </w:rPr>
        <w:tab/>
      </w:r>
    </w:p>
  </w:footnote>
  <w:footnote w:id="1">
    <w:p w14:paraId="0F5CA707" w14:textId="1E707B95" w:rsidR="009354AA" w:rsidRPr="009354AA" w:rsidRDefault="009354AA">
      <w:pPr>
        <w:pStyle w:val="FootnoteText"/>
      </w:pPr>
      <w:r>
        <w:rPr>
          <w:rStyle w:val="FootnoteReference"/>
        </w:rPr>
        <w:tab/>
      </w:r>
      <w:r w:rsidRPr="002A7FD4">
        <w:rPr>
          <w:rStyle w:val="FootnoteReference"/>
          <w:sz w:val="20"/>
          <w:vertAlign w:val="baseline"/>
        </w:rPr>
        <w:t>*</w:t>
      </w:r>
      <w:r>
        <w:rPr>
          <w:rStyle w:val="FootnoteReference"/>
          <w:sz w:val="20"/>
          <w:vertAlign w:val="baseline"/>
        </w:rPr>
        <w:tab/>
      </w:r>
      <w:r>
        <w:t>Aprobadas por el Comité en su 20º período de sesiones (12 de abril a 7 de mayo de 2021).</w:t>
      </w:r>
    </w:p>
  </w:footnote>
  <w:footnote w:id="2">
    <w:p w14:paraId="419010B7" w14:textId="77777777" w:rsidR="00702439" w:rsidRPr="00D57E5D" w:rsidRDefault="00702439" w:rsidP="00702439">
      <w:pPr>
        <w:pStyle w:val="FootnoteText"/>
        <w:rPr>
          <w:lang w:val="en-GB"/>
        </w:rPr>
      </w:pPr>
      <w:r>
        <w:tab/>
      </w:r>
      <w:r w:rsidRPr="00320D64">
        <w:rPr>
          <w:rStyle w:val="FootnoteReference"/>
        </w:rPr>
        <w:footnoteRef/>
      </w:r>
      <w:r w:rsidRPr="00D57E5D">
        <w:rPr>
          <w:rStyle w:val="FootnoteReference"/>
          <w:lang w:val="en-GB"/>
        </w:rPr>
        <w:tab/>
      </w:r>
      <w:r w:rsidRPr="00D57E5D">
        <w:rPr>
          <w:lang w:val="en-GB"/>
        </w:rPr>
        <w:tab/>
      </w:r>
      <w:r w:rsidRPr="00D57E5D">
        <w:rPr>
          <w:rFonts w:eastAsia="Calibri"/>
          <w:lang w:val="en-GB" w:eastAsia="en-GB"/>
        </w:rPr>
        <w:t>CED/C/COL/CO/1</w:t>
      </w:r>
      <w:r>
        <w:rPr>
          <w:rFonts w:eastAsia="Calibri"/>
          <w:lang w:val="en-GB" w:eastAsia="en-GB"/>
        </w:rPr>
        <w:t>.</w:t>
      </w:r>
    </w:p>
  </w:footnote>
  <w:footnote w:id="3">
    <w:p w14:paraId="79D5680D" w14:textId="7468E29E" w:rsidR="00C320B3" w:rsidRPr="00563E92" w:rsidRDefault="00D40503" w:rsidP="002A7FD4">
      <w:pPr>
        <w:pStyle w:val="FootnoteText"/>
        <w:rPr>
          <w:lang w:val="en-GB"/>
        </w:rPr>
      </w:pPr>
      <w:r w:rsidRPr="002A7FD4">
        <w:rPr>
          <w:lang w:val="en-US"/>
        </w:rPr>
        <w:tab/>
      </w:r>
      <w:r w:rsidR="00C320B3" w:rsidRPr="00563E92">
        <w:rPr>
          <w:rStyle w:val="FootnoteReference"/>
          <w:szCs w:val="18"/>
        </w:rPr>
        <w:footnoteRef/>
      </w:r>
      <w:r>
        <w:rPr>
          <w:lang w:val="en-GB"/>
        </w:rPr>
        <w:tab/>
      </w:r>
      <w:r w:rsidR="00B353B5" w:rsidRPr="002A7FD4">
        <w:rPr>
          <w:i/>
          <w:iCs/>
          <w:lang w:val="en-GB"/>
        </w:rPr>
        <w:t>Ibid</w:t>
      </w:r>
      <w:r w:rsidR="00B353B5">
        <w:rPr>
          <w:lang w:val="en-GB"/>
        </w:rPr>
        <w:t xml:space="preserve">., </w:t>
      </w:r>
      <w:r w:rsidR="00C320B3">
        <w:rPr>
          <w:rFonts w:eastAsia="Calibri"/>
          <w:lang w:val="en-GB" w:eastAsia="en-GB"/>
        </w:rPr>
        <w:t>pá</w:t>
      </w:r>
      <w:r w:rsidR="00C320B3" w:rsidRPr="00FD0C7C">
        <w:rPr>
          <w:rFonts w:eastAsia="Calibri"/>
          <w:lang w:val="en-GB" w:eastAsia="en-GB"/>
        </w:rPr>
        <w:t xml:space="preserve">rr. </w:t>
      </w:r>
      <w:r w:rsidR="00C320B3" w:rsidRPr="00563E92">
        <w:rPr>
          <w:rFonts w:eastAsia="Calibri"/>
          <w:lang w:val="en-GB" w:eastAsia="en-GB"/>
        </w:rPr>
        <w:t>15</w:t>
      </w:r>
      <w:r>
        <w:rPr>
          <w:rFonts w:eastAsia="Calibri"/>
          <w:lang w:val="en-GB" w:eastAsia="en-GB"/>
        </w:rPr>
        <w:t>.</w:t>
      </w:r>
    </w:p>
  </w:footnote>
  <w:footnote w:id="4">
    <w:p w14:paraId="6E492E49" w14:textId="77777777" w:rsidR="00955837" w:rsidRPr="00563E92" w:rsidRDefault="00955837" w:rsidP="00955837">
      <w:pPr>
        <w:pStyle w:val="FootnoteText"/>
        <w:rPr>
          <w:szCs w:val="18"/>
          <w:lang w:val="en-GB"/>
        </w:rPr>
      </w:pPr>
      <w:r>
        <w:rPr>
          <w:szCs w:val="18"/>
          <w:lang w:val="en-GB"/>
        </w:rPr>
        <w:tab/>
      </w:r>
      <w:r w:rsidRPr="00563E92">
        <w:rPr>
          <w:rStyle w:val="FootnoteReference"/>
          <w:szCs w:val="18"/>
        </w:rPr>
        <w:footnoteRef/>
      </w:r>
      <w:r>
        <w:rPr>
          <w:szCs w:val="18"/>
          <w:lang w:val="en-GB"/>
        </w:rPr>
        <w:tab/>
      </w:r>
      <w:r w:rsidRPr="00D57E5D">
        <w:rPr>
          <w:i/>
          <w:iCs/>
          <w:lang w:val="en-GB"/>
        </w:rPr>
        <w:t>Ibid</w:t>
      </w:r>
      <w:r>
        <w:rPr>
          <w:lang w:val="en-GB"/>
        </w:rPr>
        <w:t xml:space="preserve">., </w:t>
      </w:r>
      <w:r>
        <w:rPr>
          <w:rFonts w:eastAsia="Calibri"/>
          <w:szCs w:val="18"/>
          <w:lang w:val="en-GB" w:eastAsia="en-GB"/>
        </w:rPr>
        <w:t>pá</w:t>
      </w:r>
      <w:r w:rsidRPr="00563E92">
        <w:rPr>
          <w:rFonts w:eastAsia="Calibri"/>
          <w:szCs w:val="18"/>
          <w:lang w:val="en-GB" w:eastAsia="en-GB"/>
        </w:rPr>
        <w:t>rr. 17</w:t>
      </w:r>
      <w:r>
        <w:rPr>
          <w:rFonts w:eastAsia="Calibri"/>
          <w:szCs w:val="18"/>
          <w:lang w:val="en-GB" w:eastAsia="en-GB"/>
        </w:rPr>
        <w:t>.</w:t>
      </w:r>
    </w:p>
  </w:footnote>
  <w:footnote w:id="5">
    <w:p w14:paraId="1221C537" w14:textId="5ACE627C" w:rsidR="00C320B3" w:rsidRPr="002F6BB8" w:rsidRDefault="00D40503" w:rsidP="002A7FD4">
      <w:pPr>
        <w:pStyle w:val="FootnoteText"/>
        <w:rPr>
          <w:lang w:val="en-US"/>
        </w:rPr>
      </w:pPr>
      <w:r>
        <w:rPr>
          <w:lang w:val="en-US"/>
        </w:rPr>
        <w:tab/>
      </w:r>
      <w:r w:rsidR="00C320B3">
        <w:rPr>
          <w:rStyle w:val="FootnoteReference"/>
        </w:rPr>
        <w:footnoteRef/>
      </w:r>
      <w:r>
        <w:rPr>
          <w:lang w:val="en-US"/>
        </w:rPr>
        <w:tab/>
      </w:r>
      <w:r w:rsidR="00B353B5" w:rsidRPr="00D57E5D">
        <w:rPr>
          <w:i/>
          <w:iCs/>
          <w:lang w:val="en-GB"/>
        </w:rPr>
        <w:t>Ibid</w:t>
      </w:r>
      <w:r w:rsidR="00B353B5">
        <w:rPr>
          <w:lang w:val="en-GB"/>
        </w:rPr>
        <w:t xml:space="preserve">., </w:t>
      </w:r>
      <w:r w:rsidR="00C320B3">
        <w:rPr>
          <w:rFonts w:eastAsia="Calibri"/>
          <w:szCs w:val="18"/>
          <w:lang w:val="en-US" w:eastAsia="en-GB"/>
        </w:rPr>
        <w:t>pá</w:t>
      </w:r>
      <w:r w:rsidR="00C320B3" w:rsidRPr="002F6BB8">
        <w:rPr>
          <w:rFonts w:eastAsia="Calibri"/>
          <w:szCs w:val="18"/>
          <w:lang w:val="en-US" w:eastAsia="en-GB"/>
        </w:rPr>
        <w:t>rr. 30</w:t>
      </w:r>
      <w:r>
        <w:rPr>
          <w:rFonts w:eastAsia="Calibri"/>
          <w:szCs w:val="18"/>
          <w:lang w:val="en-US" w:eastAsia="en-GB"/>
        </w:rPr>
        <w:t>.</w:t>
      </w:r>
    </w:p>
  </w:footnote>
  <w:footnote w:id="6">
    <w:p w14:paraId="082A1DB9" w14:textId="77777777" w:rsidR="00D04922" w:rsidRPr="00BD0D6D" w:rsidRDefault="00D04922" w:rsidP="00D04922">
      <w:pPr>
        <w:pStyle w:val="FootnoteText"/>
        <w:rPr>
          <w:szCs w:val="18"/>
          <w:lang w:val="en-GB"/>
        </w:rPr>
      </w:pPr>
      <w:r>
        <w:rPr>
          <w:szCs w:val="18"/>
          <w:lang w:val="en-GB"/>
        </w:rPr>
        <w:tab/>
      </w:r>
      <w:r w:rsidRPr="00563E92">
        <w:rPr>
          <w:rStyle w:val="FootnoteReference"/>
          <w:szCs w:val="18"/>
        </w:rPr>
        <w:footnoteRef/>
      </w:r>
      <w:r>
        <w:rPr>
          <w:szCs w:val="18"/>
          <w:lang w:val="en-GB"/>
        </w:rPr>
        <w:tab/>
      </w:r>
      <w:r w:rsidRPr="00D57E5D">
        <w:rPr>
          <w:i/>
          <w:iCs/>
          <w:lang w:val="en-GB"/>
        </w:rPr>
        <w:t>Ibid</w:t>
      </w:r>
      <w:r>
        <w:rPr>
          <w:lang w:val="en-GB"/>
        </w:rPr>
        <w:t xml:space="preserve">., </w:t>
      </w:r>
      <w:r>
        <w:rPr>
          <w:rStyle w:val="Hyperlink"/>
          <w:color w:val="auto"/>
          <w:szCs w:val="18"/>
          <w:lang w:val="en-GB"/>
        </w:rPr>
        <w:t>pá</w:t>
      </w:r>
      <w:r w:rsidRPr="00BD0D6D">
        <w:rPr>
          <w:rStyle w:val="Hyperlink"/>
          <w:color w:val="auto"/>
          <w:szCs w:val="18"/>
          <w:lang w:val="en-GB"/>
        </w:rPr>
        <w:t>r</w:t>
      </w:r>
      <w:r>
        <w:rPr>
          <w:rStyle w:val="Hyperlink"/>
          <w:color w:val="auto"/>
          <w:szCs w:val="18"/>
          <w:lang w:val="en-GB"/>
        </w:rPr>
        <w:t>r</w:t>
      </w:r>
      <w:r w:rsidRPr="00BD0D6D">
        <w:rPr>
          <w:rStyle w:val="Hyperlink"/>
          <w:color w:val="auto"/>
          <w:szCs w:val="18"/>
          <w:lang w:val="en-GB"/>
        </w:rPr>
        <w:t xml:space="preserve">. </w:t>
      </w:r>
      <w:r w:rsidRPr="00BD0D6D">
        <w:rPr>
          <w:szCs w:val="18"/>
          <w:lang w:val="en-GB"/>
        </w:rPr>
        <w:t xml:space="preserve">40. </w:t>
      </w:r>
    </w:p>
  </w:footnote>
  <w:footnote w:id="7">
    <w:p w14:paraId="7FFE9B9F" w14:textId="77777777" w:rsidR="00025FE7" w:rsidRPr="00A82D10" w:rsidRDefault="00025FE7" w:rsidP="00025FE7">
      <w:pPr>
        <w:pStyle w:val="FootnoteText"/>
        <w:rPr>
          <w:szCs w:val="18"/>
          <w:lang w:val="en-GB"/>
        </w:rPr>
      </w:pPr>
      <w:r>
        <w:rPr>
          <w:szCs w:val="18"/>
          <w:lang w:val="en-GB"/>
        </w:rPr>
        <w:tab/>
      </w:r>
      <w:r w:rsidRPr="00563E92">
        <w:rPr>
          <w:rStyle w:val="FootnoteReference"/>
          <w:szCs w:val="18"/>
        </w:rPr>
        <w:footnoteRef/>
      </w:r>
      <w:r>
        <w:rPr>
          <w:szCs w:val="18"/>
          <w:lang w:val="en-GB"/>
        </w:rPr>
        <w:tab/>
      </w:r>
      <w:r w:rsidRPr="00D57E5D">
        <w:rPr>
          <w:i/>
          <w:iCs/>
          <w:lang w:val="en-GB"/>
        </w:rPr>
        <w:t>Ibid</w:t>
      </w:r>
      <w:r>
        <w:rPr>
          <w:lang w:val="en-GB"/>
        </w:rPr>
        <w:t xml:space="preserve">., </w:t>
      </w:r>
      <w:r>
        <w:rPr>
          <w:rFonts w:eastAsia="Calibri"/>
          <w:szCs w:val="18"/>
          <w:lang w:val="en-GB" w:eastAsia="en-GB"/>
        </w:rPr>
        <w:t>pá</w:t>
      </w:r>
      <w:r w:rsidRPr="00563E92">
        <w:rPr>
          <w:rFonts w:eastAsia="Calibri"/>
          <w:szCs w:val="18"/>
          <w:lang w:val="en-GB" w:eastAsia="en-GB"/>
        </w:rPr>
        <w:t xml:space="preserve">rr. </w:t>
      </w:r>
      <w:r w:rsidRPr="00A82D10">
        <w:rPr>
          <w:rFonts w:eastAsia="Calibri"/>
          <w:szCs w:val="18"/>
          <w:lang w:val="en-GB" w:eastAsia="en-GB"/>
        </w:rPr>
        <w:t>12</w:t>
      </w:r>
      <w:r>
        <w:rPr>
          <w:rFonts w:eastAsia="Calibri"/>
          <w:szCs w:val="18"/>
          <w:lang w:val="en-GB"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E3CF" w14:textId="519E5C86" w:rsidR="002F6BB8" w:rsidRPr="00694DFC" w:rsidRDefault="00CA200A">
    <w:pPr>
      <w:pStyle w:val="Header"/>
    </w:pPr>
    <w:fldSimple w:instr=" TITLE  \* MERGEFORMAT ">
      <w:r w:rsidR="0018008E">
        <w:t>CED/C/COL/OAI/1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DF16" w14:textId="006D86CC" w:rsidR="002F6BB8" w:rsidRPr="00694DFC" w:rsidRDefault="00CA200A" w:rsidP="00694DFC">
    <w:pPr>
      <w:pStyle w:val="Header"/>
      <w:jc w:val="right"/>
    </w:pPr>
    <w:fldSimple w:instr=" TITLE  \* MERGEFORMAT ">
      <w:r w:rsidR="0018008E">
        <w:t>CED/C/COL/OAI/1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D93"/>
    <w:multiLevelType w:val="hybridMultilevel"/>
    <w:tmpl w:val="412E049A"/>
    <w:lvl w:ilvl="0" w:tplc="8FE84B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82F31B6"/>
    <w:multiLevelType w:val="hybridMultilevel"/>
    <w:tmpl w:val="A9048160"/>
    <w:lvl w:ilvl="0" w:tplc="F1668D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8927AEC"/>
    <w:multiLevelType w:val="hybridMultilevel"/>
    <w:tmpl w:val="847AA670"/>
    <w:lvl w:ilvl="0" w:tplc="875A12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1102A0"/>
    <w:multiLevelType w:val="hybridMultilevel"/>
    <w:tmpl w:val="0D78F35E"/>
    <w:lvl w:ilvl="0" w:tplc="FD0A29A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3F33B5"/>
    <w:multiLevelType w:val="hybridMultilevel"/>
    <w:tmpl w:val="E49A7404"/>
    <w:lvl w:ilvl="0" w:tplc="E0F6FD1E">
      <w:start w:val="5"/>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767C07"/>
    <w:multiLevelType w:val="hybridMultilevel"/>
    <w:tmpl w:val="9490D728"/>
    <w:lvl w:ilvl="0" w:tplc="2736C7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354362D"/>
    <w:multiLevelType w:val="hybridMultilevel"/>
    <w:tmpl w:val="97FAE762"/>
    <w:lvl w:ilvl="0" w:tplc="C9764912">
      <w:start w:val="1"/>
      <w:numFmt w:val="lowerLetter"/>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190B6401"/>
    <w:multiLevelType w:val="hybridMultilevel"/>
    <w:tmpl w:val="A162B10A"/>
    <w:lvl w:ilvl="0" w:tplc="0BC60F06">
      <w:start w:val="1"/>
      <w:numFmt w:val="upperRoman"/>
      <w:lvlText w:val="%1."/>
      <w:lvlJc w:val="left"/>
      <w:pPr>
        <w:ind w:left="2706" w:hanging="72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9" w15:restartNumberingAfterBreak="0">
    <w:nsid w:val="1AC6569C"/>
    <w:multiLevelType w:val="hybridMultilevel"/>
    <w:tmpl w:val="CA4C7730"/>
    <w:lvl w:ilvl="0" w:tplc="D3C013EA">
      <w:start w:val="3"/>
      <w:numFmt w:val="lowerLetter"/>
      <w:lvlText w:val="%1)"/>
      <w:lvlJc w:val="left"/>
      <w:pPr>
        <w:ind w:left="2271"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831EA7"/>
    <w:multiLevelType w:val="hybridMultilevel"/>
    <w:tmpl w:val="39FAB9A8"/>
    <w:lvl w:ilvl="0" w:tplc="17E863A8">
      <w:start w:val="1"/>
      <w:numFmt w:val="lowerLetter"/>
      <w:lvlText w:val="%1)"/>
      <w:lvlJc w:val="left"/>
      <w:pPr>
        <w:ind w:left="2259" w:hanging="405"/>
      </w:pPr>
      <w:rPr>
        <w:rFonts w:hint="default"/>
        <w:b/>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289525F9"/>
    <w:multiLevelType w:val="hybridMultilevel"/>
    <w:tmpl w:val="1414B306"/>
    <w:lvl w:ilvl="0" w:tplc="9AC4F6E2">
      <w:start w:val="1"/>
      <w:numFmt w:val="decimal"/>
      <w:lvlText w:val="%1."/>
      <w:lvlJc w:val="left"/>
      <w:pPr>
        <w:ind w:left="720" w:hanging="360"/>
      </w:pPr>
      <w:rPr>
        <w:rFonts w:ascii="Times New Roman" w:eastAsia="Times New Roman" w:hAnsi="Times New Roman" w:cs="Times New Roman"/>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1015D7"/>
    <w:multiLevelType w:val="hybridMultilevel"/>
    <w:tmpl w:val="65FE2C74"/>
    <w:lvl w:ilvl="0" w:tplc="E3DAB8A0">
      <w:start w:val="1"/>
      <w:numFmt w:val="lowerLetter"/>
      <w:lvlText w:val="%1)"/>
      <w:lvlJc w:val="left"/>
      <w:pPr>
        <w:ind w:left="2271" w:hanging="570"/>
      </w:pPr>
      <w:rPr>
        <w:rFonts w:hint="default"/>
        <w:b/>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F5640C4"/>
    <w:multiLevelType w:val="hybridMultilevel"/>
    <w:tmpl w:val="F670DCCA"/>
    <w:lvl w:ilvl="0" w:tplc="DF8461CC">
      <w:start w:val="1"/>
      <w:numFmt w:val="decimal"/>
      <w:lvlText w:val="%1."/>
      <w:lvlJc w:val="left"/>
      <w:pPr>
        <w:ind w:left="720" w:hanging="360"/>
      </w:pPr>
      <w:rPr>
        <w:rFonts w:asciiTheme="minorHAnsi" w:eastAsiaTheme="minorHAnsi" w:hAnsiTheme="minorHAnsi" w:cstheme="minorBid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F4EC0"/>
    <w:multiLevelType w:val="hybridMultilevel"/>
    <w:tmpl w:val="4094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B36BC"/>
    <w:multiLevelType w:val="hybridMultilevel"/>
    <w:tmpl w:val="FBAEF6DE"/>
    <w:lvl w:ilvl="0" w:tplc="E1B09CE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D0D5E35"/>
    <w:multiLevelType w:val="hybridMultilevel"/>
    <w:tmpl w:val="3AE83C6A"/>
    <w:lvl w:ilvl="0" w:tplc="9DC2A37C">
      <w:start w:val="3"/>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692055"/>
    <w:multiLevelType w:val="hybridMultilevel"/>
    <w:tmpl w:val="2ED2A450"/>
    <w:lvl w:ilvl="0" w:tplc="C958B8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D3A73CF"/>
    <w:multiLevelType w:val="hybridMultilevel"/>
    <w:tmpl w:val="ED742BD2"/>
    <w:lvl w:ilvl="0" w:tplc="2736C7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08663E4"/>
    <w:multiLevelType w:val="hybridMultilevel"/>
    <w:tmpl w:val="DAD264D8"/>
    <w:lvl w:ilvl="0" w:tplc="E3DAB8A0">
      <w:start w:val="1"/>
      <w:numFmt w:val="lowerLetter"/>
      <w:lvlText w:val="%1)"/>
      <w:lvlJc w:val="left"/>
      <w:pPr>
        <w:ind w:left="2271" w:hanging="570"/>
      </w:pPr>
      <w:rPr>
        <w:rFonts w:hint="default"/>
        <w:b/>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1D93DD8"/>
    <w:multiLevelType w:val="hybridMultilevel"/>
    <w:tmpl w:val="50C0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21F80"/>
    <w:multiLevelType w:val="hybridMultilevel"/>
    <w:tmpl w:val="FB14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61CF2"/>
    <w:multiLevelType w:val="hybridMultilevel"/>
    <w:tmpl w:val="FB547C30"/>
    <w:lvl w:ilvl="0" w:tplc="0ABE5D04">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FD962A8"/>
    <w:multiLevelType w:val="hybridMultilevel"/>
    <w:tmpl w:val="28AA627E"/>
    <w:lvl w:ilvl="0" w:tplc="854A0010">
      <w:start w:val="3"/>
      <w:numFmt w:val="lowerLetter"/>
      <w:lvlText w:val="%1)"/>
      <w:lvlJc w:val="left"/>
      <w:pPr>
        <w:ind w:left="2271"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170C7B"/>
    <w:multiLevelType w:val="hybridMultilevel"/>
    <w:tmpl w:val="FACAB6CE"/>
    <w:lvl w:ilvl="0" w:tplc="02F6D0A4">
      <w:start w:val="2"/>
      <w:numFmt w:val="lowerLetter"/>
      <w:lvlText w:val="%1)"/>
      <w:lvlJc w:val="left"/>
      <w:pPr>
        <w:ind w:left="22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B5771"/>
    <w:multiLevelType w:val="hybridMultilevel"/>
    <w:tmpl w:val="53A8EBEA"/>
    <w:lvl w:ilvl="0" w:tplc="FD0A2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B755F"/>
    <w:multiLevelType w:val="hybridMultilevel"/>
    <w:tmpl w:val="2DD4750C"/>
    <w:lvl w:ilvl="0" w:tplc="6F20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2B3CE9"/>
    <w:multiLevelType w:val="hybridMultilevel"/>
    <w:tmpl w:val="3100573E"/>
    <w:lvl w:ilvl="0" w:tplc="3CFC20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87519F"/>
    <w:multiLevelType w:val="hybridMultilevel"/>
    <w:tmpl w:val="DFAC7E92"/>
    <w:lvl w:ilvl="0" w:tplc="FD0A2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6F1F25"/>
    <w:multiLevelType w:val="hybridMultilevel"/>
    <w:tmpl w:val="853498DC"/>
    <w:lvl w:ilvl="0" w:tplc="D6A032A6">
      <w:start w:val="1"/>
      <w:numFmt w:val="lowerLetter"/>
      <w:lvlText w:val="%1)"/>
      <w:lvlJc w:val="left"/>
      <w:pPr>
        <w:ind w:left="2628" w:hanging="149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1145EE"/>
    <w:multiLevelType w:val="hybridMultilevel"/>
    <w:tmpl w:val="6072689C"/>
    <w:lvl w:ilvl="0" w:tplc="4480751E">
      <w:start w:val="1"/>
      <w:numFmt w:val="lowerLetter"/>
      <w:lvlText w:val="%1)"/>
      <w:lvlJc w:val="left"/>
      <w:pPr>
        <w:ind w:left="1694" w:hanging="5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4" w15:restartNumberingAfterBreak="0">
    <w:nsid w:val="71052EA3"/>
    <w:multiLevelType w:val="hybridMultilevel"/>
    <w:tmpl w:val="27BA5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366586F"/>
    <w:multiLevelType w:val="hybridMultilevel"/>
    <w:tmpl w:val="E548A5C8"/>
    <w:lvl w:ilvl="0" w:tplc="758ABB2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2"/>
  </w:num>
  <w:num w:numId="2">
    <w:abstractNumId w:val="25"/>
  </w:num>
  <w:num w:numId="3">
    <w:abstractNumId w:val="47"/>
  </w:num>
  <w:num w:numId="4">
    <w:abstractNumId w:val="45"/>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8"/>
  </w:num>
  <w:num w:numId="18">
    <w:abstractNumId w:val="21"/>
  </w:num>
  <w:num w:numId="19">
    <w:abstractNumId w:val="31"/>
  </w:num>
  <w:num w:numId="20">
    <w:abstractNumId w:val="44"/>
  </w:num>
  <w:num w:numId="21">
    <w:abstractNumId w:val="24"/>
  </w:num>
  <w:num w:numId="22">
    <w:abstractNumId w:val="38"/>
  </w:num>
  <w:num w:numId="23">
    <w:abstractNumId w:val="23"/>
  </w:num>
  <w:num w:numId="24">
    <w:abstractNumId w:val="32"/>
  </w:num>
  <w:num w:numId="25">
    <w:abstractNumId w:val="11"/>
  </w:num>
  <w:num w:numId="26">
    <w:abstractNumId w:val="20"/>
  </w:num>
  <w:num w:numId="27">
    <w:abstractNumId w:val="33"/>
  </w:num>
  <w:num w:numId="28">
    <w:abstractNumId w:val="22"/>
  </w:num>
  <w:num w:numId="29">
    <w:abstractNumId w:val="10"/>
  </w:num>
  <w:num w:numId="30">
    <w:abstractNumId w:val="17"/>
  </w:num>
  <w:num w:numId="31">
    <w:abstractNumId w:val="26"/>
  </w:num>
  <w:num w:numId="32">
    <w:abstractNumId w:val="27"/>
  </w:num>
  <w:num w:numId="33">
    <w:abstractNumId w:val="37"/>
  </w:num>
  <w:num w:numId="34">
    <w:abstractNumId w:val="40"/>
  </w:num>
  <w:num w:numId="35">
    <w:abstractNumId w:val="13"/>
  </w:num>
  <w:num w:numId="36">
    <w:abstractNumId w:val="39"/>
  </w:num>
  <w:num w:numId="37">
    <w:abstractNumId w:val="28"/>
  </w:num>
  <w:num w:numId="38">
    <w:abstractNumId w:val="46"/>
  </w:num>
  <w:num w:numId="39">
    <w:abstractNumId w:val="41"/>
  </w:num>
  <w:num w:numId="40">
    <w:abstractNumId w:val="12"/>
  </w:num>
  <w:num w:numId="41">
    <w:abstractNumId w:val="30"/>
  </w:num>
  <w:num w:numId="42">
    <w:abstractNumId w:val="35"/>
  </w:num>
  <w:num w:numId="43">
    <w:abstractNumId w:val="19"/>
  </w:num>
  <w:num w:numId="44">
    <w:abstractNumId w:val="16"/>
  </w:num>
  <w:num w:numId="45">
    <w:abstractNumId w:val="29"/>
  </w:num>
  <w:num w:numId="46">
    <w:abstractNumId w:val="15"/>
  </w:num>
  <w:num w:numId="47">
    <w:abstractNumId w:val="36"/>
  </w:num>
  <w:num w:numId="48">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CO" w:vendorID="64" w:dllVersion="6" w:nlCheck="1" w:checkStyle="0"/>
  <w:activeWritingStyle w:appName="MSWord" w:lang="es-PA" w:vendorID="64" w:dllVersion="6" w:nlCheck="1" w:checkStyle="0"/>
  <w:activeWritingStyle w:appName="MSWord" w:lang="es-EC" w:vendorID="64" w:dllVersion="6" w:nlCheck="1" w:checkStyle="0"/>
  <w:activeWritingStyle w:appName="MSWord" w:lang="es-U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s-419" w:vendorID="64" w:dllVersion="6" w:nlCheck="1" w:checkStyle="0"/>
  <w:activeWritingStyle w:appName="MSWord" w:lang="fr-FR" w:vendorID="64" w:dllVersion="6" w:nlCheck="1" w:checkStyle="0"/>
  <w:activeWritingStyle w:appName="MSWord" w:lang="fr-CH"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PA" w:vendorID="64" w:dllVersion="0" w:nlCheck="1" w:checkStyle="0"/>
  <w:activeWritingStyle w:appName="MSWord" w:lang="es-EC"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F8"/>
    <w:rsid w:val="00000F4A"/>
    <w:rsid w:val="00006088"/>
    <w:rsid w:val="000071FA"/>
    <w:rsid w:val="00011690"/>
    <w:rsid w:val="0001218A"/>
    <w:rsid w:val="00013EE9"/>
    <w:rsid w:val="00015F9F"/>
    <w:rsid w:val="000167E2"/>
    <w:rsid w:val="00016C9F"/>
    <w:rsid w:val="000214BC"/>
    <w:rsid w:val="00023D45"/>
    <w:rsid w:val="00024D38"/>
    <w:rsid w:val="00025FE7"/>
    <w:rsid w:val="00027DEC"/>
    <w:rsid w:val="000317C4"/>
    <w:rsid w:val="00031E73"/>
    <w:rsid w:val="00031FE4"/>
    <w:rsid w:val="00033EE1"/>
    <w:rsid w:val="00034CB0"/>
    <w:rsid w:val="00034E9C"/>
    <w:rsid w:val="00036DD3"/>
    <w:rsid w:val="00037600"/>
    <w:rsid w:val="00037D3F"/>
    <w:rsid w:val="00037EAD"/>
    <w:rsid w:val="00041B26"/>
    <w:rsid w:val="00042B72"/>
    <w:rsid w:val="00042F1C"/>
    <w:rsid w:val="0004455A"/>
    <w:rsid w:val="00044E98"/>
    <w:rsid w:val="000474D2"/>
    <w:rsid w:val="00047CD4"/>
    <w:rsid w:val="0005065A"/>
    <w:rsid w:val="0005197C"/>
    <w:rsid w:val="000524F1"/>
    <w:rsid w:val="000553DF"/>
    <w:rsid w:val="000558BD"/>
    <w:rsid w:val="00056C70"/>
    <w:rsid w:val="00057A83"/>
    <w:rsid w:val="0006087F"/>
    <w:rsid w:val="00065973"/>
    <w:rsid w:val="00065B06"/>
    <w:rsid w:val="00072018"/>
    <w:rsid w:val="00072DF5"/>
    <w:rsid w:val="00073BD0"/>
    <w:rsid w:val="00074361"/>
    <w:rsid w:val="0007493B"/>
    <w:rsid w:val="00074C58"/>
    <w:rsid w:val="00075FCC"/>
    <w:rsid w:val="0008044F"/>
    <w:rsid w:val="00084D73"/>
    <w:rsid w:val="00086292"/>
    <w:rsid w:val="000867F1"/>
    <w:rsid w:val="00086E90"/>
    <w:rsid w:val="00087F7F"/>
    <w:rsid w:val="00091D48"/>
    <w:rsid w:val="000921EC"/>
    <w:rsid w:val="00096F91"/>
    <w:rsid w:val="000A2336"/>
    <w:rsid w:val="000A24EA"/>
    <w:rsid w:val="000A7706"/>
    <w:rsid w:val="000A7A81"/>
    <w:rsid w:val="000B57E7"/>
    <w:rsid w:val="000B5D50"/>
    <w:rsid w:val="000B61D1"/>
    <w:rsid w:val="000B6373"/>
    <w:rsid w:val="000B7A2E"/>
    <w:rsid w:val="000C0635"/>
    <w:rsid w:val="000C3699"/>
    <w:rsid w:val="000C3972"/>
    <w:rsid w:val="000C431C"/>
    <w:rsid w:val="000C6C6C"/>
    <w:rsid w:val="000D0271"/>
    <w:rsid w:val="000D17C6"/>
    <w:rsid w:val="000D3A98"/>
    <w:rsid w:val="000D3BA5"/>
    <w:rsid w:val="000E16FA"/>
    <w:rsid w:val="000E1C7F"/>
    <w:rsid w:val="000E2DC2"/>
    <w:rsid w:val="000E544F"/>
    <w:rsid w:val="000E6C65"/>
    <w:rsid w:val="000E7A4D"/>
    <w:rsid w:val="000F007F"/>
    <w:rsid w:val="000F09DF"/>
    <w:rsid w:val="000F0EB4"/>
    <w:rsid w:val="000F0F15"/>
    <w:rsid w:val="000F1B79"/>
    <w:rsid w:val="000F2E44"/>
    <w:rsid w:val="000F61B2"/>
    <w:rsid w:val="000F6262"/>
    <w:rsid w:val="00101DF7"/>
    <w:rsid w:val="0010600C"/>
    <w:rsid w:val="001065ED"/>
    <w:rsid w:val="001070AD"/>
    <w:rsid w:val="001075E9"/>
    <w:rsid w:val="0011022D"/>
    <w:rsid w:val="001116EE"/>
    <w:rsid w:val="0011189D"/>
    <w:rsid w:val="001118E5"/>
    <w:rsid w:val="00112095"/>
    <w:rsid w:val="00115DDD"/>
    <w:rsid w:val="001161D4"/>
    <w:rsid w:val="00121235"/>
    <w:rsid w:val="00124558"/>
    <w:rsid w:val="001250BF"/>
    <w:rsid w:val="00125135"/>
    <w:rsid w:val="00125AC2"/>
    <w:rsid w:val="00126234"/>
    <w:rsid w:val="001312D2"/>
    <w:rsid w:val="00133BDD"/>
    <w:rsid w:val="00133FC8"/>
    <w:rsid w:val="0013635B"/>
    <w:rsid w:val="00141186"/>
    <w:rsid w:val="00141C7A"/>
    <w:rsid w:val="00141F59"/>
    <w:rsid w:val="00142F66"/>
    <w:rsid w:val="00147A39"/>
    <w:rsid w:val="00147CE5"/>
    <w:rsid w:val="0015153C"/>
    <w:rsid w:val="00151B0E"/>
    <w:rsid w:val="00154FDC"/>
    <w:rsid w:val="00163515"/>
    <w:rsid w:val="001636BC"/>
    <w:rsid w:val="00163AB6"/>
    <w:rsid w:val="00173A30"/>
    <w:rsid w:val="00174DB2"/>
    <w:rsid w:val="00177A95"/>
    <w:rsid w:val="0018008E"/>
    <w:rsid w:val="00180183"/>
    <w:rsid w:val="00185CD1"/>
    <w:rsid w:val="00186183"/>
    <w:rsid w:val="0018649F"/>
    <w:rsid w:val="001873DD"/>
    <w:rsid w:val="00194275"/>
    <w:rsid w:val="00195D29"/>
    <w:rsid w:val="00196389"/>
    <w:rsid w:val="001A4016"/>
    <w:rsid w:val="001A5CAF"/>
    <w:rsid w:val="001A733E"/>
    <w:rsid w:val="001B0D34"/>
    <w:rsid w:val="001B13E0"/>
    <w:rsid w:val="001B2182"/>
    <w:rsid w:val="001B3EF6"/>
    <w:rsid w:val="001B4A82"/>
    <w:rsid w:val="001B7563"/>
    <w:rsid w:val="001C3D9E"/>
    <w:rsid w:val="001C7855"/>
    <w:rsid w:val="001C7A89"/>
    <w:rsid w:val="001C7ADF"/>
    <w:rsid w:val="001D22DD"/>
    <w:rsid w:val="001D4892"/>
    <w:rsid w:val="001D6E40"/>
    <w:rsid w:val="001D7426"/>
    <w:rsid w:val="001D7B55"/>
    <w:rsid w:val="001D7BAC"/>
    <w:rsid w:val="001E4F89"/>
    <w:rsid w:val="001E506F"/>
    <w:rsid w:val="001E529B"/>
    <w:rsid w:val="001E5886"/>
    <w:rsid w:val="001E791F"/>
    <w:rsid w:val="001F0409"/>
    <w:rsid w:val="001F186D"/>
    <w:rsid w:val="001F1C24"/>
    <w:rsid w:val="001F1C42"/>
    <w:rsid w:val="001F2B20"/>
    <w:rsid w:val="001F2BAB"/>
    <w:rsid w:val="001F3F40"/>
    <w:rsid w:val="001F50EB"/>
    <w:rsid w:val="001F6C70"/>
    <w:rsid w:val="00205246"/>
    <w:rsid w:val="00205F16"/>
    <w:rsid w:val="002060CB"/>
    <w:rsid w:val="0020611A"/>
    <w:rsid w:val="00206278"/>
    <w:rsid w:val="002066DB"/>
    <w:rsid w:val="0021446B"/>
    <w:rsid w:val="00214653"/>
    <w:rsid w:val="00214734"/>
    <w:rsid w:val="00214824"/>
    <w:rsid w:val="002159D0"/>
    <w:rsid w:val="002173EB"/>
    <w:rsid w:val="002203DB"/>
    <w:rsid w:val="00223706"/>
    <w:rsid w:val="002240A3"/>
    <w:rsid w:val="00225D06"/>
    <w:rsid w:val="00226241"/>
    <w:rsid w:val="00232FAE"/>
    <w:rsid w:val="002344A6"/>
    <w:rsid w:val="002372E4"/>
    <w:rsid w:val="00242717"/>
    <w:rsid w:val="002450B0"/>
    <w:rsid w:val="00250103"/>
    <w:rsid w:val="0025077A"/>
    <w:rsid w:val="0025155F"/>
    <w:rsid w:val="00252840"/>
    <w:rsid w:val="00252931"/>
    <w:rsid w:val="00253829"/>
    <w:rsid w:val="002578D4"/>
    <w:rsid w:val="002678CC"/>
    <w:rsid w:val="00267B25"/>
    <w:rsid w:val="0027129A"/>
    <w:rsid w:val="0027202C"/>
    <w:rsid w:val="00273DCD"/>
    <w:rsid w:val="00277AC8"/>
    <w:rsid w:val="00281CB9"/>
    <w:rsid w:val="0028375A"/>
    <w:rsid w:val="002842FD"/>
    <w:rsid w:val="0028719C"/>
    <w:rsid w:val="00291640"/>
    <w:rsid w:val="00293B63"/>
    <w:rsid w:val="00293C24"/>
    <w:rsid w:val="00294297"/>
    <w:rsid w:val="00294F5E"/>
    <w:rsid w:val="00296F78"/>
    <w:rsid w:val="00297575"/>
    <w:rsid w:val="002A06AB"/>
    <w:rsid w:val="002A2EFC"/>
    <w:rsid w:val="002A4078"/>
    <w:rsid w:val="002A5545"/>
    <w:rsid w:val="002A7D40"/>
    <w:rsid w:val="002A7FD4"/>
    <w:rsid w:val="002B0CD3"/>
    <w:rsid w:val="002B3396"/>
    <w:rsid w:val="002B5194"/>
    <w:rsid w:val="002B558E"/>
    <w:rsid w:val="002B664A"/>
    <w:rsid w:val="002B7A66"/>
    <w:rsid w:val="002C07D1"/>
    <w:rsid w:val="002C0E18"/>
    <w:rsid w:val="002C1D24"/>
    <w:rsid w:val="002C2E57"/>
    <w:rsid w:val="002C3FA2"/>
    <w:rsid w:val="002C41AC"/>
    <w:rsid w:val="002C48C6"/>
    <w:rsid w:val="002C54D9"/>
    <w:rsid w:val="002D5AAC"/>
    <w:rsid w:val="002D5E5F"/>
    <w:rsid w:val="002D7055"/>
    <w:rsid w:val="002E12FA"/>
    <w:rsid w:val="002E34ED"/>
    <w:rsid w:val="002E4A7E"/>
    <w:rsid w:val="002E681B"/>
    <w:rsid w:val="002F0F04"/>
    <w:rsid w:val="002F1EC1"/>
    <w:rsid w:val="002F1FB5"/>
    <w:rsid w:val="002F307E"/>
    <w:rsid w:val="002F4EA7"/>
    <w:rsid w:val="002F4EE2"/>
    <w:rsid w:val="002F558C"/>
    <w:rsid w:val="002F5F03"/>
    <w:rsid w:val="002F5F2B"/>
    <w:rsid w:val="002F6BB8"/>
    <w:rsid w:val="00300146"/>
    <w:rsid w:val="003009FB"/>
    <w:rsid w:val="00301299"/>
    <w:rsid w:val="003023A0"/>
    <w:rsid w:val="00302EDA"/>
    <w:rsid w:val="00302F09"/>
    <w:rsid w:val="00303577"/>
    <w:rsid w:val="00304622"/>
    <w:rsid w:val="00305BB9"/>
    <w:rsid w:val="00307FB6"/>
    <w:rsid w:val="00311616"/>
    <w:rsid w:val="00312666"/>
    <w:rsid w:val="003126FA"/>
    <w:rsid w:val="00313103"/>
    <w:rsid w:val="00314CDD"/>
    <w:rsid w:val="00316648"/>
    <w:rsid w:val="00317339"/>
    <w:rsid w:val="00320D64"/>
    <w:rsid w:val="00320D78"/>
    <w:rsid w:val="00322004"/>
    <w:rsid w:val="003234DF"/>
    <w:rsid w:val="003238A3"/>
    <w:rsid w:val="003241FE"/>
    <w:rsid w:val="0032582E"/>
    <w:rsid w:val="0032748D"/>
    <w:rsid w:val="00330936"/>
    <w:rsid w:val="00335929"/>
    <w:rsid w:val="00336D66"/>
    <w:rsid w:val="003402C2"/>
    <w:rsid w:val="003437BF"/>
    <w:rsid w:val="0034453C"/>
    <w:rsid w:val="00346F2B"/>
    <w:rsid w:val="00353412"/>
    <w:rsid w:val="003544E6"/>
    <w:rsid w:val="00357071"/>
    <w:rsid w:val="00360947"/>
    <w:rsid w:val="00360DD7"/>
    <w:rsid w:val="003618EB"/>
    <w:rsid w:val="00362651"/>
    <w:rsid w:val="003631AB"/>
    <w:rsid w:val="00363508"/>
    <w:rsid w:val="00364C8A"/>
    <w:rsid w:val="00370158"/>
    <w:rsid w:val="003706A5"/>
    <w:rsid w:val="00372593"/>
    <w:rsid w:val="0037276D"/>
    <w:rsid w:val="003735DB"/>
    <w:rsid w:val="00375058"/>
    <w:rsid w:val="003753FE"/>
    <w:rsid w:val="003810AA"/>
    <w:rsid w:val="00381C24"/>
    <w:rsid w:val="00382597"/>
    <w:rsid w:val="003842BD"/>
    <w:rsid w:val="00387BA9"/>
    <w:rsid w:val="00390BE1"/>
    <w:rsid w:val="003953F3"/>
    <w:rsid w:val="003956C5"/>
    <w:rsid w:val="003958D0"/>
    <w:rsid w:val="003A22A2"/>
    <w:rsid w:val="003A36AE"/>
    <w:rsid w:val="003A42F8"/>
    <w:rsid w:val="003A430C"/>
    <w:rsid w:val="003A57FD"/>
    <w:rsid w:val="003A57FE"/>
    <w:rsid w:val="003A6D9E"/>
    <w:rsid w:val="003B00E5"/>
    <w:rsid w:val="003B09A9"/>
    <w:rsid w:val="003B696A"/>
    <w:rsid w:val="003B7078"/>
    <w:rsid w:val="003B76E0"/>
    <w:rsid w:val="003B7F30"/>
    <w:rsid w:val="003C2668"/>
    <w:rsid w:val="003C285E"/>
    <w:rsid w:val="003C3B2D"/>
    <w:rsid w:val="003C45F4"/>
    <w:rsid w:val="003C6661"/>
    <w:rsid w:val="003D0E38"/>
    <w:rsid w:val="003D1DC2"/>
    <w:rsid w:val="003D359B"/>
    <w:rsid w:val="003D46F2"/>
    <w:rsid w:val="003D4BE5"/>
    <w:rsid w:val="003D51D6"/>
    <w:rsid w:val="003D5D6D"/>
    <w:rsid w:val="003D7A9B"/>
    <w:rsid w:val="003E0E0A"/>
    <w:rsid w:val="003E392C"/>
    <w:rsid w:val="003E5B5C"/>
    <w:rsid w:val="003E602B"/>
    <w:rsid w:val="003F02FE"/>
    <w:rsid w:val="003F357E"/>
    <w:rsid w:val="003F534F"/>
    <w:rsid w:val="003F5AF4"/>
    <w:rsid w:val="003F5F2B"/>
    <w:rsid w:val="003F7C57"/>
    <w:rsid w:val="0040044F"/>
    <w:rsid w:val="00400C70"/>
    <w:rsid w:val="00401984"/>
    <w:rsid w:val="00401B82"/>
    <w:rsid w:val="00403CD0"/>
    <w:rsid w:val="00404D6A"/>
    <w:rsid w:val="00405C9C"/>
    <w:rsid w:val="0040612E"/>
    <w:rsid w:val="004066CB"/>
    <w:rsid w:val="004067AB"/>
    <w:rsid w:val="0040700A"/>
    <w:rsid w:val="004074F3"/>
    <w:rsid w:val="00407B78"/>
    <w:rsid w:val="0041186A"/>
    <w:rsid w:val="00411921"/>
    <w:rsid w:val="00412328"/>
    <w:rsid w:val="00412AF3"/>
    <w:rsid w:val="004131F3"/>
    <w:rsid w:val="004138DC"/>
    <w:rsid w:val="00420700"/>
    <w:rsid w:val="00420864"/>
    <w:rsid w:val="00420EB0"/>
    <w:rsid w:val="00421BB4"/>
    <w:rsid w:val="004225CD"/>
    <w:rsid w:val="00422C50"/>
    <w:rsid w:val="004236B0"/>
    <w:rsid w:val="00423DA4"/>
    <w:rsid w:val="00424203"/>
    <w:rsid w:val="00425A9F"/>
    <w:rsid w:val="00426810"/>
    <w:rsid w:val="00427358"/>
    <w:rsid w:val="0042755B"/>
    <w:rsid w:val="00430FB7"/>
    <w:rsid w:val="004319C5"/>
    <w:rsid w:val="00431EB9"/>
    <w:rsid w:val="0043283E"/>
    <w:rsid w:val="004339C6"/>
    <w:rsid w:val="00434F2F"/>
    <w:rsid w:val="0043511D"/>
    <w:rsid w:val="00440E4D"/>
    <w:rsid w:val="00441DD1"/>
    <w:rsid w:val="00441EF0"/>
    <w:rsid w:val="00443E68"/>
    <w:rsid w:val="00444368"/>
    <w:rsid w:val="00445596"/>
    <w:rsid w:val="0044616D"/>
    <w:rsid w:val="0044719D"/>
    <w:rsid w:val="00447BD7"/>
    <w:rsid w:val="004531E6"/>
    <w:rsid w:val="00453A64"/>
    <w:rsid w:val="00454E07"/>
    <w:rsid w:val="00457052"/>
    <w:rsid w:val="00460986"/>
    <w:rsid w:val="00461E46"/>
    <w:rsid w:val="00462286"/>
    <w:rsid w:val="004625D4"/>
    <w:rsid w:val="00462D69"/>
    <w:rsid w:val="004649F0"/>
    <w:rsid w:val="00465F79"/>
    <w:rsid w:val="0046642D"/>
    <w:rsid w:val="00471E88"/>
    <w:rsid w:val="00472AF2"/>
    <w:rsid w:val="00475B51"/>
    <w:rsid w:val="00477509"/>
    <w:rsid w:val="00481683"/>
    <w:rsid w:val="004821DD"/>
    <w:rsid w:val="0048277C"/>
    <w:rsid w:val="004829A7"/>
    <w:rsid w:val="004838F7"/>
    <w:rsid w:val="00483F21"/>
    <w:rsid w:val="00484356"/>
    <w:rsid w:val="00485B0F"/>
    <w:rsid w:val="004864C9"/>
    <w:rsid w:val="00487FCD"/>
    <w:rsid w:val="00492474"/>
    <w:rsid w:val="00493AFF"/>
    <w:rsid w:val="00494822"/>
    <w:rsid w:val="00497029"/>
    <w:rsid w:val="004A08E9"/>
    <w:rsid w:val="004A10AD"/>
    <w:rsid w:val="004A5228"/>
    <w:rsid w:val="004A53E9"/>
    <w:rsid w:val="004B0459"/>
    <w:rsid w:val="004B12E3"/>
    <w:rsid w:val="004B1ABA"/>
    <w:rsid w:val="004B2E7B"/>
    <w:rsid w:val="004B77E4"/>
    <w:rsid w:val="004C0667"/>
    <w:rsid w:val="004C494F"/>
    <w:rsid w:val="004C515B"/>
    <w:rsid w:val="004C5945"/>
    <w:rsid w:val="004D1D50"/>
    <w:rsid w:val="004D32E5"/>
    <w:rsid w:val="004E2612"/>
    <w:rsid w:val="004E3F1C"/>
    <w:rsid w:val="004E77B6"/>
    <w:rsid w:val="004F0CE0"/>
    <w:rsid w:val="004F0E21"/>
    <w:rsid w:val="004F2BDB"/>
    <w:rsid w:val="004F4791"/>
    <w:rsid w:val="004F6A82"/>
    <w:rsid w:val="0050012D"/>
    <w:rsid w:val="0050108D"/>
    <w:rsid w:val="005032F9"/>
    <w:rsid w:val="0050398D"/>
    <w:rsid w:val="0050400A"/>
    <w:rsid w:val="00504114"/>
    <w:rsid w:val="005041F2"/>
    <w:rsid w:val="00505F73"/>
    <w:rsid w:val="0050693B"/>
    <w:rsid w:val="005073D1"/>
    <w:rsid w:val="005101AC"/>
    <w:rsid w:val="0051154B"/>
    <w:rsid w:val="005127D5"/>
    <w:rsid w:val="00512837"/>
    <w:rsid w:val="00512978"/>
    <w:rsid w:val="00512FF3"/>
    <w:rsid w:val="00513081"/>
    <w:rsid w:val="00514108"/>
    <w:rsid w:val="00516C62"/>
    <w:rsid w:val="00517901"/>
    <w:rsid w:val="00517CAF"/>
    <w:rsid w:val="005203E2"/>
    <w:rsid w:val="00520A9D"/>
    <w:rsid w:val="00522C6A"/>
    <w:rsid w:val="0052513B"/>
    <w:rsid w:val="00526683"/>
    <w:rsid w:val="00527B22"/>
    <w:rsid w:val="00527DB6"/>
    <w:rsid w:val="00530014"/>
    <w:rsid w:val="00535980"/>
    <w:rsid w:val="00536CBA"/>
    <w:rsid w:val="00537354"/>
    <w:rsid w:val="00541533"/>
    <w:rsid w:val="00541929"/>
    <w:rsid w:val="00542112"/>
    <w:rsid w:val="00543347"/>
    <w:rsid w:val="005439E8"/>
    <w:rsid w:val="00543A4B"/>
    <w:rsid w:val="00544A28"/>
    <w:rsid w:val="0054622E"/>
    <w:rsid w:val="00547239"/>
    <w:rsid w:val="00553B42"/>
    <w:rsid w:val="00555A74"/>
    <w:rsid w:val="00556708"/>
    <w:rsid w:val="005576F7"/>
    <w:rsid w:val="00563E92"/>
    <w:rsid w:val="00564E02"/>
    <w:rsid w:val="00565E44"/>
    <w:rsid w:val="00565FC2"/>
    <w:rsid w:val="00570340"/>
    <w:rsid w:val="0057054A"/>
    <w:rsid w:val="005709E0"/>
    <w:rsid w:val="005712B6"/>
    <w:rsid w:val="00572113"/>
    <w:rsid w:val="0057292E"/>
    <w:rsid w:val="00572E19"/>
    <w:rsid w:val="00573291"/>
    <w:rsid w:val="00576A31"/>
    <w:rsid w:val="00581466"/>
    <w:rsid w:val="00582B06"/>
    <w:rsid w:val="00582C5C"/>
    <w:rsid w:val="0058456E"/>
    <w:rsid w:val="00584ECD"/>
    <w:rsid w:val="00590794"/>
    <w:rsid w:val="00590EF9"/>
    <w:rsid w:val="005961C8"/>
    <w:rsid w:val="005969DE"/>
    <w:rsid w:val="005A142B"/>
    <w:rsid w:val="005A35C0"/>
    <w:rsid w:val="005A4F52"/>
    <w:rsid w:val="005A5EA9"/>
    <w:rsid w:val="005A6FBF"/>
    <w:rsid w:val="005B1C05"/>
    <w:rsid w:val="005B21C3"/>
    <w:rsid w:val="005B2B27"/>
    <w:rsid w:val="005B3FC0"/>
    <w:rsid w:val="005B4E1D"/>
    <w:rsid w:val="005B5649"/>
    <w:rsid w:val="005C1067"/>
    <w:rsid w:val="005C4D91"/>
    <w:rsid w:val="005D049E"/>
    <w:rsid w:val="005D0C73"/>
    <w:rsid w:val="005D0CF3"/>
    <w:rsid w:val="005D1C05"/>
    <w:rsid w:val="005D353B"/>
    <w:rsid w:val="005D3AE1"/>
    <w:rsid w:val="005D7914"/>
    <w:rsid w:val="005E2BD9"/>
    <w:rsid w:val="005E3CB3"/>
    <w:rsid w:val="005E5325"/>
    <w:rsid w:val="005E5ED4"/>
    <w:rsid w:val="005E6387"/>
    <w:rsid w:val="005E6870"/>
    <w:rsid w:val="005E6A71"/>
    <w:rsid w:val="005F07B7"/>
    <w:rsid w:val="005F0B42"/>
    <w:rsid w:val="005F0C0A"/>
    <w:rsid w:val="005F2E16"/>
    <w:rsid w:val="005F3AD4"/>
    <w:rsid w:val="005F7FD1"/>
    <w:rsid w:val="006014F4"/>
    <w:rsid w:val="00603462"/>
    <w:rsid w:val="00603A9E"/>
    <w:rsid w:val="00605324"/>
    <w:rsid w:val="006108EA"/>
    <w:rsid w:val="00614A35"/>
    <w:rsid w:val="0061553A"/>
    <w:rsid w:val="006160E5"/>
    <w:rsid w:val="006213EC"/>
    <w:rsid w:val="00623071"/>
    <w:rsid w:val="00625087"/>
    <w:rsid w:val="006366B2"/>
    <w:rsid w:val="006377B5"/>
    <w:rsid w:val="006377F6"/>
    <w:rsid w:val="00641FB6"/>
    <w:rsid w:val="00642C2A"/>
    <w:rsid w:val="006441DC"/>
    <w:rsid w:val="00644FE1"/>
    <w:rsid w:val="00646A64"/>
    <w:rsid w:val="00646C9F"/>
    <w:rsid w:val="00653993"/>
    <w:rsid w:val="00656E6B"/>
    <w:rsid w:val="00657A20"/>
    <w:rsid w:val="00661093"/>
    <w:rsid w:val="00661251"/>
    <w:rsid w:val="0066129D"/>
    <w:rsid w:val="00666C13"/>
    <w:rsid w:val="00675352"/>
    <w:rsid w:val="00676E9C"/>
    <w:rsid w:val="00676F82"/>
    <w:rsid w:val="006801D7"/>
    <w:rsid w:val="006804C3"/>
    <w:rsid w:val="00681A10"/>
    <w:rsid w:val="00681ECB"/>
    <w:rsid w:val="006828DD"/>
    <w:rsid w:val="006829FA"/>
    <w:rsid w:val="006844AB"/>
    <w:rsid w:val="0069104D"/>
    <w:rsid w:val="00691E52"/>
    <w:rsid w:val="00693CAB"/>
    <w:rsid w:val="00694DFC"/>
    <w:rsid w:val="00696339"/>
    <w:rsid w:val="006A1608"/>
    <w:rsid w:val="006A54F5"/>
    <w:rsid w:val="006A5864"/>
    <w:rsid w:val="006A6AF3"/>
    <w:rsid w:val="006A786B"/>
    <w:rsid w:val="006B086B"/>
    <w:rsid w:val="006B1B45"/>
    <w:rsid w:val="006B1ED2"/>
    <w:rsid w:val="006B1F37"/>
    <w:rsid w:val="006B3194"/>
    <w:rsid w:val="006B3653"/>
    <w:rsid w:val="006B454A"/>
    <w:rsid w:val="006B6966"/>
    <w:rsid w:val="006B6969"/>
    <w:rsid w:val="006B7CF1"/>
    <w:rsid w:val="006C165F"/>
    <w:rsid w:val="006C2031"/>
    <w:rsid w:val="006C2349"/>
    <w:rsid w:val="006C40F6"/>
    <w:rsid w:val="006C46D2"/>
    <w:rsid w:val="006C4705"/>
    <w:rsid w:val="006C62C8"/>
    <w:rsid w:val="006D03E7"/>
    <w:rsid w:val="006D0D7B"/>
    <w:rsid w:val="006D192D"/>
    <w:rsid w:val="006D461A"/>
    <w:rsid w:val="006D5129"/>
    <w:rsid w:val="006D780C"/>
    <w:rsid w:val="006E4770"/>
    <w:rsid w:val="006E660C"/>
    <w:rsid w:val="006E6715"/>
    <w:rsid w:val="006E6BB9"/>
    <w:rsid w:val="006E7CC8"/>
    <w:rsid w:val="006F1007"/>
    <w:rsid w:val="006F2853"/>
    <w:rsid w:val="006F35EE"/>
    <w:rsid w:val="006F3B14"/>
    <w:rsid w:val="006F446A"/>
    <w:rsid w:val="006F52F3"/>
    <w:rsid w:val="006F6770"/>
    <w:rsid w:val="006F731E"/>
    <w:rsid w:val="007021FF"/>
    <w:rsid w:val="00702439"/>
    <w:rsid w:val="00704B54"/>
    <w:rsid w:val="007059F8"/>
    <w:rsid w:val="00705A69"/>
    <w:rsid w:val="00707DA4"/>
    <w:rsid w:val="007106B7"/>
    <w:rsid w:val="00714B0C"/>
    <w:rsid w:val="0071518E"/>
    <w:rsid w:val="00715774"/>
    <w:rsid w:val="00716835"/>
    <w:rsid w:val="00716D57"/>
    <w:rsid w:val="00717035"/>
    <w:rsid w:val="00717690"/>
    <w:rsid w:val="00720849"/>
    <w:rsid w:val="00725C8E"/>
    <w:rsid w:val="00731A91"/>
    <w:rsid w:val="0073654D"/>
    <w:rsid w:val="0073696F"/>
    <w:rsid w:val="00740EA1"/>
    <w:rsid w:val="00741C29"/>
    <w:rsid w:val="00744203"/>
    <w:rsid w:val="00744385"/>
    <w:rsid w:val="00745318"/>
    <w:rsid w:val="007462D9"/>
    <w:rsid w:val="00746E3C"/>
    <w:rsid w:val="007524BD"/>
    <w:rsid w:val="00752559"/>
    <w:rsid w:val="00753AA1"/>
    <w:rsid w:val="00755817"/>
    <w:rsid w:val="00755F9B"/>
    <w:rsid w:val="00756E58"/>
    <w:rsid w:val="00757357"/>
    <w:rsid w:val="00757441"/>
    <w:rsid w:val="00757A48"/>
    <w:rsid w:val="007630CE"/>
    <w:rsid w:val="007632C0"/>
    <w:rsid w:val="00765E0F"/>
    <w:rsid w:val="00766199"/>
    <w:rsid w:val="00766A04"/>
    <w:rsid w:val="007671A7"/>
    <w:rsid w:val="007705AD"/>
    <w:rsid w:val="00773BA9"/>
    <w:rsid w:val="0077561F"/>
    <w:rsid w:val="00777108"/>
    <w:rsid w:val="007817B1"/>
    <w:rsid w:val="0078376A"/>
    <w:rsid w:val="00783CB3"/>
    <w:rsid w:val="00786232"/>
    <w:rsid w:val="0078763B"/>
    <w:rsid w:val="007921D4"/>
    <w:rsid w:val="007925CC"/>
    <w:rsid w:val="00794DA2"/>
    <w:rsid w:val="00797CEB"/>
    <w:rsid w:val="007A71B1"/>
    <w:rsid w:val="007B0311"/>
    <w:rsid w:val="007B049E"/>
    <w:rsid w:val="007B0C8D"/>
    <w:rsid w:val="007B1CD5"/>
    <w:rsid w:val="007B2D24"/>
    <w:rsid w:val="007B4B98"/>
    <w:rsid w:val="007C5043"/>
    <w:rsid w:val="007D2081"/>
    <w:rsid w:val="007D558C"/>
    <w:rsid w:val="007D5EE1"/>
    <w:rsid w:val="007D6C71"/>
    <w:rsid w:val="007E4A3A"/>
    <w:rsid w:val="007E53CE"/>
    <w:rsid w:val="007E677C"/>
    <w:rsid w:val="007E6A2B"/>
    <w:rsid w:val="007F2C52"/>
    <w:rsid w:val="007F6C74"/>
    <w:rsid w:val="00800489"/>
    <w:rsid w:val="008015D8"/>
    <w:rsid w:val="00802353"/>
    <w:rsid w:val="008067DB"/>
    <w:rsid w:val="00806D12"/>
    <w:rsid w:val="00810371"/>
    <w:rsid w:val="00810995"/>
    <w:rsid w:val="00811351"/>
    <w:rsid w:val="00811F50"/>
    <w:rsid w:val="008130D2"/>
    <w:rsid w:val="00814197"/>
    <w:rsid w:val="00814535"/>
    <w:rsid w:val="008154E9"/>
    <w:rsid w:val="00816E83"/>
    <w:rsid w:val="00817229"/>
    <w:rsid w:val="0082460E"/>
    <w:rsid w:val="00824DA1"/>
    <w:rsid w:val="00824E59"/>
    <w:rsid w:val="00825F8D"/>
    <w:rsid w:val="00826A76"/>
    <w:rsid w:val="00826E0E"/>
    <w:rsid w:val="00833B31"/>
    <w:rsid w:val="0083473F"/>
    <w:rsid w:val="00834B71"/>
    <w:rsid w:val="0083645D"/>
    <w:rsid w:val="00840308"/>
    <w:rsid w:val="0084093F"/>
    <w:rsid w:val="0084103E"/>
    <w:rsid w:val="00847269"/>
    <w:rsid w:val="00847914"/>
    <w:rsid w:val="00851BA2"/>
    <w:rsid w:val="008601DD"/>
    <w:rsid w:val="00860749"/>
    <w:rsid w:val="00861808"/>
    <w:rsid w:val="0086252B"/>
    <w:rsid w:val="0086424A"/>
    <w:rsid w:val="0086445C"/>
    <w:rsid w:val="00865141"/>
    <w:rsid w:val="0086648C"/>
    <w:rsid w:val="00867978"/>
    <w:rsid w:val="00870447"/>
    <w:rsid w:val="0087519A"/>
    <w:rsid w:val="00876156"/>
    <w:rsid w:val="008772D9"/>
    <w:rsid w:val="00881D62"/>
    <w:rsid w:val="00881F5F"/>
    <w:rsid w:val="00882E37"/>
    <w:rsid w:val="0088350E"/>
    <w:rsid w:val="00884C45"/>
    <w:rsid w:val="00886A63"/>
    <w:rsid w:val="00886AB2"/>
    <w:rsid w:val="00890186"/>
    <w:rsid w:val="00891249"/>
    <w:rsid w:val="008920DC"/>
    <w:rsid w:val="00893503"/>
    <w:rsid w:val="008935D9"/>
    <w:rsid w:val="00894693"/>
    <w:rsid w:val="00895600"/>
    <w:rsid w:val="008A08D7"/>
    <w:rsid w:val="008A1919"/>
    <w:rsid w:val="008A1A4B"/>
    <w:rsid w:val="008A1A85"/>
    <w:rsid w:val="008A26AC"/>
    <w:rsid w:val="008A3903"/>
    <w:rsid w:val="008A3C33"/>
    <w:rsid w:val="008A50BC"/>
    <w:rsid w:val="008A5AFB"/>
    <w:rsid w:val="008A67B4"/>
    <w:rsid w:val="008B05E4"/>
    <w:rsid w:val="008B14D4"/>
    <w:rsid w:val="008B3A18"/>
    <w:rsid w:val="008B56F2"/>
    <w:rsid w:val="008B6909"/>
    <w:rsid w:val="008C0FB9"/>
    <w:rsid w:val="008C247D"/>
    <w:rsid w:val="008C2542"/>
    <w:rsid w:val="008C2D1F"/>
    <w:rsid w:val="008C2D33"/>
    <w:rsid w:val="008C3CD4"/>
    <w:rsid w:val="008C3EC1"/>
    <w:rsid w:val="008C6625"/>
    <w:rsid w:val="008C73DC"/>
    <w:rsid w:val="008C7D67"/>
    <w:rsid w:val="008D050D"/>
    <w:rsid w:val="008D10A2"/>
    <w:rsid w:val="008D3488"/>
    <w:rsid w:val="008D5291"/>
    <w:rsid w:val="008E026D"/>
    <w:rsid w:val="008E0533"/>
    <w:rsid w:val="008E19F6"/>
    <w:rsid w:val="008F0309"/>
    <w:rsid w:val="008F1AB7"/>
    <w:rsid w:val="008F22E8"/>
    <w:rsid w:val="008F578B"/>
    <w:rsid w:val="008F7CAA"/>
    <w:rsid w:val="008F7FCB"/>
    <w:rsid w:val="009027A8"/>
    <w:rsid w:val="0090293B"/>
    <w:rsid w:val="00902F33"/>
    <w:rsid w:val="00903116"/>
    <w:rsid w:val="0090429A"/>
    <w:rsid w:val="00906890"/>
    <w:rsid w:val="00911BE4"/>
    <w:rsid w:val="009123D8"/>
    <w:rsid w:val="00913433"/>
    <w:rsid w:val="0091477B"/>
    <w:rsid w:val="00916A56"/>
    <w:rsid w:val="0092531C"/>
    <w:rsid w:val="009303D1"/>
    <w:rsid w:val="00930BFF"/>
    <w:rsid w:val="00934CC4"/>
    <w:rsid w:val="009354AA"/>
    <w:rsid w:val="00935A79"/>
    <w:rsid w:val="00940745"/>
    <w:rsid w:val="00940D35"/>
    <w:rsid w:val="009415B1"/>
    <w:rsid w:val="0094433D"/>
    <w:rsid w:val="00951972"/>
    <w:rsid w:val="00951CB6"/>
    <w:rsid w:val="00953E95"/>
    <w:rsid w:val="00955837"/>
    <w:rsid w:val="00955948"/>
    <w:rsid w:val="0096198B"/>
    <w:rsid w:val="009622C5"/>
    <w:rsid w:val="009622F9"/>
    <w:rsid w:val="00962ECD"/>
    <w:rsid w:val="00962F77"/>
    <w:rsid w:val="00964D8C"/>
    <w:rsid w:val="009708D7"/>
    <w:rsid w:val="00971209"/>
    <w:rsid w:val="0097252A"/>
    <w:rsid w:val="00972BDB"/>
    <w:rsid w:val="0097375C"/>
    <w:rsid w:val="00974F97"/>
    <w:rsid w:val="0097656D"/>
    <w:rsid w:val="00976D78"/>
    <w:rsid w:val="00980019"/>
    <w:rsid w:val="00980226"/>
    <w:rsid w:val="00980A88"/>
    <w:rsid w:val="00986F63"/>
    <w:rsid w:val="00990B73"/>
    <w:rsid w:val="00991F11"/>
    <w:rsid w:val="00993A68"/>
    <w:rsid w:val="00994A5B"/>
    <w:rsid w:val="00994C8A"/>
    <w:rsid w:val="00996149"/>
    <w:rsid w:val="009A6077"/>
    <w:rsid w:val="009A6703"/>
    <w:rsid w:val="009B3AD8"/>
    <w:rsid w:val="009B45A0"/>
    <w:rsid w:val="009C32EC"/>
    <w:rsid w:val="009C52A3"/>
    <w:rsid w:val="009D1411"/>
    <w:rsid w:val="009D1A41"/>
    <w:rsid w:val="009D7CE7"/>
    <w:rsid w:val="009E00E7"/>
    <w:rsid w:val="009E1662"/>
    <w:rsid w:val="009E74D2"/>
    <w:rsid w:val="009F1664"/>
    <w:rsid w:val="009F2948"/>
    <w:rsid w:val="009F3D15"/>
    <w:rsid w:val="009F4078"/>
    <w:rsid w:val="00A01547"/>
    <w:rsid w:val="00A0272B"/>
    <w:rsid w:val="00A03273"/>
    <w:rsid w:val="00A04047"/>
    <w:rsid w:val="00A06E07"/>
    <w:rsid w:val="00A1013F"/>
    <w:rsid w:val="00A10B06"/>
    <w:rsid w:val="00A12A66"/>
    <w:rsid w:val="00A14708"/>
    <w:rsid w:val="00A21C7A"/>
    <w:rsid w:val="00A248EE"/>
    <w:rsid w:val="00A256B7"/>
    <w:rsid w:val="00A25AB4"/>
    <w:rsid w:val="00A25FD2"/>
    <w:rsid w:val="00A261FB"/>
    <w:rsid w:val="00A30A99"/>
    <w:rsid w:val="00A31E43"/>
    <w:rsid w:val="00A321CC"/>
    <w:rsid w:val="00A3279B"/>
    <w:rsid w:val="00A34B7B"/>
    <w:rsid w:val="00A350A5"/>
    <w:rsid w:val="00A370AB"/>
    <w:rsid w:val="00A37E5B"/>
    <w:rsid w:val="00A40D68"/>
    <w:rsid w:val="00A40E95"/>
    <w:rsid w:val="00A44EAB"/>
    <w:rsid w:val="00A45063"/>
    <w:rsid w:val="00A4602B"/>
    <w:rsid w:val="00A460BE"/>
    <w:rsid w:val="00A52ABA"/>
    <w:rsid w:val="00A53E5A"/>
    <w:rsid w:val="00A558A2"/>
    <w:rsid w:val="00A55C44"/>
    <w:rsid w:val="00A56EDB"/>
    <w:rsid w:val="00A5768C"/>
    <w:rsid w:val="00A6068E"/>
    <w:rsid w:val="00A62026"/>
    <w:rsid w:val="00A67D9C"/>
    <w:rsid w:val="00A7395C"/>
    <w:rsid w:val="00A743DF"/>
    <w:rsid w:val="00A74A3C"/>
    <w:rsid w:val="00A7552A"/>
    <w:rsid w:val="00A76173"/>
    <w:rsid w:val="00A8062E"/>
    <w:rsid w:val="00A81F17"/>
    <w:rsid w:val="00A84021"/>
    <w:rsid w:val="00A862C9"/>
    <w:rsid w:val="00A87016"/>
    <w:rsid w:val="00A87B82"/>
    <w:rsid w:val="00A917B3"/>
    <w:rsid w:val="00A9284E"/>
    <w:rsid w:val="00A9611D"/>
    <w:rsid w:val="00A961DF"/>
    <w:rsid w:val="00A96AF1"/>
    <w:rsid w:val="00A976AD"/>
    <w:rsid w:val="00A97C42"/>
    <w:rsid w:val="00AA098C"/>
    <w:rsid w:val="00AA0F82"/>
    <w:rsid w:val="00AA1343"/>
    <w:rsid w:val="00AA1F5A"/>
    <w:rsid w:val="00AA1FD5"/>
    <w:rsid w:val="00AA2B11"/>
    <w:rsid w:val="00AA2C3D"/>
    <w:rsid w:val="00AA45E3"/>
    <w:rsid w:val="00AA55AA"/>
    <w:rsid w:val="00AA66BC"/>
    <w:rsid w:val="00AA6B63"/>
    <w:rsid w:val="00AA6BCD"/>
    <w:rsid w:val="00AA6D6E"/>
    <w:rsid w:val="00AB1935"/>
    <w:rsid w:val="00AB1E93"/>
    <w:rsid w:val="00AB3362"/>
    <w:rsid w:val="00AB4B51"/>
    <w:rsid w:val="00AB5752"/>
    <w:rsid w:val="00AB5C70"/>
    <w:rsid w:val="00AB60B5"/>
    <w:rsid w:val="00AB6A5C"/>
    <w:rsid w:val="00AC2861"/>
    <w:rsid w:val="00AC2DBE"/>
    <w:rsid w:val="00AC3384"/>
    <w:rsid w:val="00AC54D4"/>
    <w:rsid w:val="00AD0769"/>
    <w:rsid w:val="00AD4163"/>
    <w:rsid w:val="00AD4CC9"/>
    <w:rsid w:val="00AD7B5F"/>
    <w:rsid w:val="00AD7CEA"/>
    <w:rsid w:val="00AE1858"/>
    <w:rsid w:val="00AF5539"/>
    <w:rsid w:val="00AF7638"/>
    <w:rsid w:val="00B01972"/>
    <w:rsid w:val="00B07DCA"/>
    <w:rsid w:val="00B10302"/>
    <w:rsid w:val="00B10CC7"/>
    <w:rsid w:val="00B13422"/>
    <w:rsid w:val="00B2354B"/>
    <w:rsid w:val="00B24469"/>
    <w:rsid w:val="00B25E8E"/>
    <w:rsid w:val="00B25F1D"/>
    <w:rsid w:val="00B26220"/>
    <w:rsid w:val="00B26C94"/>
    <w:rsid w:val="00B27D30"/>
    <w:rsid w:val="00B30AB0"/>
    <w:rsid w:val="00B33EDE"/>
    <w:rsid w:val="00B34537"/>
    <w:rsid w:val="00B353B5"/>
    <w:rsid w:val="00B432D9"/>
    <w:rsid w:val="00B44903"/>
    <w:rsid w:val="00B44E8A"/>
    <w:rsid w:val="00B4695D"/>
    <w:rsid w:val="00B47672"/>
    <w:rsid w:val="00B52BF2"/>
    <w:rsid w:val="00B539E7"/>
    <w:rsid w:val="00B53F4C"/>
    <w:rsid w:val="00B55537"/>
    <w:rsid w:val="00B55822"/>
    <w:rsid w:val="00B603D7"/>
    <w:rsid w:val="00B62190"/>
    <w:rsid w:val="00B62458"/>
    <w:rsid w:val="00B63FFD"/>
    <w:rsid w:val="00B6526E"/>
    <w:rsid w:val="00B66E73"/>
    <w:rsid w:val="00B67802"/>
    <w:rsid w:val="00B704E9"/>
    <w:rsid w:val="00B70733"/>
    <w:rsid w:val="00B71243"/>
    <w:rsid w:val="00B734C9"/>
    <w:rsid w:val="00B73534"/>
    <w:rsid w:val="00B76F48"/>
    <w:rsid w:val="00B7733D"/>
    <w:rsid w:val="00B82A77"/>
    <w:rsid w:val="00B82DFC"/>
    <w:rsid w:val="00B86773"/>
    <w:rsid w:val="00B87B95"/>
    <w:rsid w:val="00B90797"/>
    <w:rsid w:val="00B9545B"/>
    <w:rsid w:val="00B95E13"/>
    <w:rsid w:val="00B95FF7"/>
    <w:rsid w:val="00B971B1"/>
    <w:rsid w:val="00B97A30"/>
    <w:rsid w:val="00BA046C"/>
    <w:rsid w:val="00BA11D1"/>
    <w:rsid w:val="00BA2168"/>
    <w:rsid w:val="00BA4AEA"/>
    <w:rsid w:val="00BA6355"/>
    <w:rsid w:val="00BA7745"/>
    <w:rsid w:val="00BA7C38"/>
    <w:rsid w:val="00BB0B63"/>
    <w:rsid w:val="00BB2BEE"/>
    <w:rsid w:val="00BB4E8B"/>
    <w:rsid w:val="00BB7176"/>
    <w:rsid w:val="00BC218D"/>
    <w:rsid w:val="00BC6F2D"/>
    <w:rsid w:val="00BC70DD"/>
    <w:rsid w:val="00BD0D6D"/>
    <w:rsid w:val="00BD1748"/>
    <w:rsid w:val="00BD2296"/>
    <w:rsid w:val="00BD33EE"/>
    <w:rsid w:val="00BD524D"/>
    <w:rsid w:val="00BD5253"/>
    <w:rsid w:val="00BD5996"/>
    <w:rsid w:val="00BE2105"/>
    <w:rsid w:val="00BE3B45"/>
    <w:rsid w:val="00BE6AD4"/>
    <w:rsid w:val="00BE7896"/>
    <w:rsid w:val="00BF4368"/>
    <w:rsid w:val="00BF520C"/>
    <w:rsid w:val="00BF70FE"/>
    <w:rsid w:val="00C0182D"/>
    <w:rsid w:val="00C0296F"/>
    <w:rsid w:val="00C02AE0"/>
    <w:rsid w:val="00C03D44"/>
    <w:rsid w:val="00C04489"/>
    <w:rsid w:val="00C11871"/>
    <w:rsid w:val="00C13768"/>
    <w:rsid w:val="00C143B7"/>
    <w:rsid w:val="00C1513B"/>
    <w:rsid w:val="00C15782"/>
    <w:rsid w:val="00C15FEF"/>
    <w:rsid w:val="00C20C28"/>
    <w:rsid w:val="00C23AEA"/>
    <w:rsid w:val="00C23D76"/>
    <w:rsid w:val="00C25F2E"/>
    <w:rsid w:val="00C269D6"/>
    <w:rsid w:val="00C27B65"/>
    <w:rsid w:val="00C30266"/>
    <w:rsid w:val="00C31198"/>
    <w:rsid w:val="00C320B3"/>
    <w:rsid w:val="00C35F0A"/>
    <w:rsid w:val="00C36238"/>
    <w:rsid w:val="00C42411"/>
    <w:rsid w:val="00C44C36"/>
    <w:rsid w:val="00C45CBE"/>
    <w:rsid w:val="00C46861"/>
    <w:rsid w:val="00C50C9D"/>
    <w:rsid w:val="00C520BC"/>
    <w:rsid w:val="00C5294F"/>
    <w:rsid w:val="00C53033"/>
    <w:rsid w:val="00C54B6C"/>
    <w:rsid w:val="00C5614C"/>
    <w:rsid w:val="00C562F4"/>
    <w:rsid w:val="00C57D00"/>
    <w:rsid w:val="00C6038A"/>
    <w:rsid w:val="00C60F0C"/>
    <w:rsid w:val="00C63312"/>
    <w:rsid w:val="00C6659F"/>
    <w:rsid w:val="00C66C98"/>
    <w:rsid w:val="00C66F64"/>
    <w:rsid w:val="00C704A3"/>
    <w:rsid w:val="00C70E76"/>
    <w:rsid w:val="00C713CF"/>
    <w:rsid w:val="00C805C9"/>
    <w:rsid w:val="00C85D18"/>
    <w:rsid w:val="00C86633"/>
    <w:rsid w:val="00C9204B"/>
    <w:rsid w:val="00C92939"/>
    <w:rsid w:val="00C93892"/>
    <w:rsid w:val="00C947DF"/>
    <w:rsid w:val="00C96B97"/>
    <w:rsid w:val="00CA034F"/>
    <w:rsid w:val="00CA1679"/>
    <w:rsid w:val="00CA1D1B"/>
    <w:rsid w:val="00CA200A"/>
    <w:rsid w:val="00CA263E"/>
    <w:rsid w:val="00CA283E"/>
    <w:rsid w:val="00CA3F13"/>
    <w:rsid w:val="00CA4A64"/>
    <w:rsid w:val="00CA7D14"/>
    <w:rsid w:val="00CB2789"/>
    <w:rsid w:val="00CB302D"/>
    <w:rsid w:val="00CB3F39"/>
    <w:rsid w:val="00CC374F"/>
    <w:rsid w:val="00CC5D17"/>
    <w:rsid w:val="00CC61DC"/>
    <w:rsid w:val="00CC6C43"/>
    <w:rsid w:val="00CD25F9"/>
    <w:rsid w:val="00CD3120"/>
    <w:rsid w:val="00CE1190"/>
    <w:rsid w:val="00CE1D4B"/>
    <w:rsid w:val="00CE3BCB"/>
    <w:rsid w:val="00CE3EB7"/>
    <w:rsid w:val="00CE4396"/>
    <w:rsid w:val="00CE44C8"/>
    <w:rsid w:val="00CE4904"/>
    <w:rsid w:val="00CE5A1A"/>
    <w:rsid w:val="00CF0456"/>
    <w:rsid w:val="00CF11B7"/>
    <w:rsid w:val="00CF55F6"/>
    <w:rsid w:val="00CF5E10"/>
    <w:rsid w:val="00D02D9B"/>
    <w:rsid w:val="00D03B34"/>
    <w:rsid w:val="00D04922"/>
    <w:rsid w:val="00D05F1A"/>
    <w:rsid w:val="00D13897"/>
    <w:rsid w:val="00D1601A"/>
    <w:rsid w:val="00D248F8"/>
    <w:rsid w:val="00D25FDE"/>
    <w:rsid w:val="00D27038"/>
    <w:rsid w:val="00D27761"/>
    <w:rsid w:val="00D2780B"/>
    <w:rsid w:val="00D278D7"/>
    <w:rsid w:val="00D315F1"/>
    <w:rsid w:val="00D32479"/>
    <w:rsid w:val="00D32ED5"/>
    <w:rsid w:val="00D33D63"/>
    <w:rsid w:val="00D372E4"/>
    <w:rsid w:val="00D40503"/>
    <w:rsid w:val="00D41F30"/>
    <w:rsid w:val="00D42F1F"/>
    <w:rsid w:val="00D4393A"/>
    <w:rsid w:val="00D458FF"/>
    <w:rsid w:val="00D47FEA"/>
    <w:rsid w:val="00D51A10"/>
    <w:rsid w:val="00D51BC7"/>
    <w:rsid w:val="00D51BF5"/>
    <w:rsid w:val="00D52375"/>
    <w:rsid w:val="00D531D6"/>
    <w:rsid w:val="00D54BE7"/>
    <w:rsid w:val="00D54C53"/>
    <w:rsid w:val="00D60CBE"/>
    <w:rsid w:val="00D61A42"/>
    <w:rsid w:val="00D63108"/>
    <w:rsid w:val="00D67BB1"/>
    <w:rsid w:val="00D70B59"/>
    <w:rsid w:val="00D72C57"/>
    <w:rsid w:val="00D74227"/>
    <w:rsid w:val="00D776A2"/>
    <w:rsid w:val="00D854A2"/>
    <w:rsid w:val="00D87C49"/>
    <w:rsid w:val="00D90138"/>
    <w:rsid w:val="00D90DA5"/>
    <w:rsid w:val="00D90E6B"/>
    <w:rsid w:val="00D9541F"/>
    <w:rsid w:val="00D95FBD"/>
    <w:rsid w:val="00D9627E"/>
    <w:rsid w:val="00D9775C"/>
    <w:rsid w:val="00DA06BB"/>
    <w:rsid w:val="00DA5CDF"/>
    <w:rsid w:val="00DA6A3E"/>
    <w:rsid w:val="00DB02A4"/>
    <w:rsid w:val="00DB087A"/>
    <w:rsid w:val="00DB6296"/>
    <w:rsid w:val="00DC1070"/>
    <w:rsid w:val="00DC18E0"/>
    <w:rsid w:val="00DC295F"/>
    <w:rsid w:val="00DC2DF2"/>
    <w:rsid w:val="00DC3743"/>
    <w:rsid w:val="00DC40B2"/>
    <w:rsid w:val="00DC7E44"/>
    <w:rsid w:val="00DD2A0E"/>
    <w:rsid w:val="00DD2ACD"/>
    <w:rsid w:val="00DD437C"/>
    <w:rsid w:val="00DD6707"/>
    <w:rsid w:val="00DD6AE9"/>
    <w:rsid w:val="00DD71C1"/>
    <w:rsid w:val="00DE020B"/>
    <w:rsid w:val="00DE0F47"/>
    <w:rsid w:val="00DE1341"/>
    <w:rsid w:val="00DE1A65"/>
    <w:rsid w:val="00DE413C"/>
    <w:rsid w:val="00DE466E"/>
    <w:rsid w:val="00DE4E63"/>
    <w:rsid w:val="00DF2069"/>
    <w:rsid w:val="00DF280E"/>
    <w:rsid w:val="00DF2A4A"/>
    <w:rsid w:val="00DF5890"/>
    <w:rsid w:val="00DF7452"/>
    <w:rsid w:val="00DF7772"/>
    <w:rsid w:val="00E00856"/>
    <w:rsid w:val="00E00CD9"/>
    <w:rsid w:val="00E0204C"/>
    <w:rsid w:val="00E03B90"/>
    <w:rsid w:val="00E03F4D"/>
    <w:rsid w:val="00E04ED6"/>
    <w:rsid w:val="00E058E6"/>
    <w:rsid w:val="00E05FDB"/>
    <w:rsid w:val="00E108D6"/>
    <w:rsid w:val="00E11BFB"/>
    <w:rsid w:val="00E13366"/>
    <w:rsid w:val="00E138A4"/>
    <w:rsid w:val="00E15B8D"/>
    <w:rsid w:val="00E167CB"/>
    <w:rsid w:val="00E17E49"/>
    <w:rsid w:val="00E21A71"/>
    <w:rsid w:val="00E21AFF"/>
    <w:rsid w:val="00E24258"/>
    <w:rsid w:val="00E26042"/>
    <w:rsid w:val="00E27168"/>
    <w:rsid w:val="00E30E21"/>
    <w:rsid w:val="00E31078"/>
    <w:rsid w:val="00E323DA"/>
    <w:rsid w:val="00E375CB"/>
    <w:rsid w:val="00E40A2C"/>
    <w:rsid w:val="00E42886"/>
    <w:rsid w:val="00E45C11"/>
    <w:rsid w:val="00E47D28"/>
    <w:rsid w:val="00E50228"/>
    <w:rsid w:val="00E5236B"/>
    <w:rsid w:val="00E53171"/>
    <w:rsid w:val="00E5738D"/>
    <w:rsid w:val="00E675D4"/>
    <w:rsid w:val="00E676AB"/>
    <w:rsid w:val="00E70146"/>
    <w:rsid w:val="00E72C2A"/>
    <w:rsid w:val="00E73F76"/>
    <w:rsid w:val="00E755EA"/>
    <w:rsid w:val="00E800E4"/>
    <w:rsid w:val="00E80EA8"/>
    <w:rsid w:val="00E813F1"/>
    <w:rsid w:val="00E83BE2"/>
    <w:rsid w:val="00E84DB8"/>
    <w:rsid w:val="00E84E6E"/>
    <w:rsid w:val="00E909E4"/>
    <w:rsid w:val="00E92639"/>
    <w:rsid w:val="00E93836"/>
    <w:rsid w:val="00E93F84"/>
    <w:rsid w:val="00E94779"/>
    <w:rsid w:val="00E971C6"/>
    <w:rsid w:val="00EA0DD8"/>
    <w:rsid w:val="00EA2C9F"/>
    <w:rsid w:val="00EA42B8"/>
    <w:rsid w:val="00EA4C12"/>
    <w:rsid w:val="00EB07FE"/>
    <w:rsid w:val="00EB0EF2"/>
    <w:rsid w:val="00EB18A4"/>
    <w:rsid w:val="00EB36DB"/>
    <w:rsid w:val="00EB5752"/>
    <w:rsid w:val="00EC2975"/>
    <w:rsid w:val="00EC3BD1"/>
    <w:rsid w:val="00EC3F99"/>
    <w:rsid w:val="00EC52D3"/>
    <w:rsid w:val="00EC56A4"/>
    <w:rsid w:val="00ED408D"/>
    <w:rsid w:val="00ED46D3"/>
    <w:rsid w:val="00ED4AFD"/>
    <w:rsid w:val="00EE703E"/>
    <w:rsid w:val="00EE713D"/>
    <w:rsid w:val="00EF1360"/>
    <w:rsid w:val="00EF188F"/>
    <w:rsid w:val="00EF3220"/>
    <w:rsid w:val="00EF4351"/>
    <w:rsid w:val="00EF4C03"/>
    <w:rsid w:val="00EF5FD4"/>
    <w:rsid w:val="00EF65F4"/>
    <w:rsid w:val="00F037F0"/>
    <w:rsid w:val="00F03C25"/>
    <w:rsid w:val="00F03F4C"/>
    <w:rsid w:val="00F0492F"/>
    <w:rsid w:val="00F070D6"/>
    <w:rsid w:val="00F07B45"/>
    <w:rsid w:val="00F07BF5"/>
    <w:rsid w:val="00F12A7A"/>
    <w:rsid w:val="00F12B67"/>
    <w:rsid w:val="00F1307E"/>
    <w:rsid w:val="00F13DF0"/>
    <w:rsid w:val="00F14247"/>
    <w:rsid w:val="00F14861"/>
    <w:rsid w:val="00F15DC8"/>
    <w:rsid w:val="00F16DC4"/>
    <w:rsid w:val="00F20199"/>
    <w:rsid w:val="00F224A0"/>
    <w:rsid w:val="00F22EDF"/>
    <w:rsid w:val="00F23193"/>
    <w:rsid w:val="00F264AE"/>
    <w:rsid w:val="00F31417"/>
    <w:rsid w:val="00F31DC5"/>
    <w:rsid w:val="00F32B71"/>
    <w:rsid w:val="00F36B55"/>
    <w:rsid w:val="00F3703F"/>
    <w:rsid w:val="00F44421"/>
    <w:rsid w:val="00F47C05"/>
    <w:rsid w:val="00F5075B"/>
    <w:rsid w:val="00F51060"/>
    <w:rsid w:val="00F518FC"/>
    <w:rsid w:val="00F51F17"/>
    <w:rsid w:val="00F52240"/>
    <w:rsid w:val="00F5320C"/>
    <w:rsid w:val="00F544C2"/>
    <w:rsid w:val="00F54548"/>
    <w:rsid w:val="00F57478"/>
    <w:rsid w:val="00F57673"/>
    <w:rsid w:val="00F62366"/>
    <w:rsid w:val="00F6259A"/>
    <w:rsid w:val="00F65796"/>
    <w:rsid w:val="00F67CCE"/>
    <w:rsid w:val="00F70201"/>
    <w:rsid w:val="00F74C19"/>
    <w:rsid w:val="00F75378"/>
    <w:rsid w:val="00F7686C"/>
    <w:rsid w:val="00F770DB"/>
    <w:rsid w:val="00F80B2A"/>
    <w:rsid w:val="00F82727"/>
    <w:rsid w:val="00F8290A"/>
    <w:rsid w:val="00F8313E"/>
    <w:rsid w:val="00F84159"/>
    <w:rsid w:val="00F84D53"/>
    <w:rsid w:val="00F858FF"/>
    <w:rsid w:val="00F87B07"/>
    <w:rsid w:val="00F87EA4"/>
    <w:rsid w:val="00F91E06"/>
    <w:rsid w:val="00F929FC"/>
    <w:rsid w:val="00F9375B"/>
    <w:rsid w:val="00F94155"/>
    <w:rsid w:val="00F959A4"/>
    <w:rsid w:val="00F97104"/>
    <w:rsid w:val="00FA0901"/>
    <w:rsid w:val="00FA1BBD"/>
    <w:rsid w:val="00FA1F20"/>
    <w:rsid w:val="00FA2C0C"/>
    <w:rsid w:val="00FA4F00"/>
    <w:rsid w:val="00FB044F"/>
    <w:rsid w:val="00FB1D25"/>
    <w:rsid w:val="00FB263C"/>
    <w:rsid w:val="00FB55AA"/>
    <w:rsid w:val="00FB5B17"/>
    <w:rsid w:val="00FB5F0D"/>
    <w:rsid w:val="00FB61ED"/>
    <w:rsid w:val="00FC0899"/>
    <w:rsid w:val="00FC63D4"/>
    <w:rsid w:val="00FC6862"/>
    <w:rsid w:val="00FC6DD8"/>
    <w:rsid w:val="00FC76A1"/>
    <w:rsid w:val="00FC77A2"/>
    <w:rsid w:val="00FD0C7C"/>
    <w:rsid w:val="00FD28D6"/>
    <w:rsid w:val="00FD29C8"/>
    <w:rsid w:val="00FD2EF7"/>
    <w:rsid w:val="00FD7770"/>
    <w:rsid w:val="00FE02C5"/>
    <w:rsid w:val="00FE24E2"/>
    <w:rsid w:val="00FE2830"/>
    <w:rsid w:val="00FE3525"/>
    <w:rsid w:val="00FE447E"/>
    <w:rsid w:val="00FE63CD"/>
    <w:rsid w:val="00FF1EC0"/>
    <w:rsid w:val="00FF4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70A80"/>
  <w15:docId w15:val="{5B40B55F-59D8-4891-ACFC-02E7A65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uiPriority w:val="99"/>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uiPriority w:val="99"/>
    <w:qForma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09"/>
    <w:rPr>
      <w:rFonts w:ascii="Tahoma" w:hAnsi="Tahoma" w:cs="Tahoma"/>
      <w:sz w:val="16"/>
      <w:szCs w:val="16"/>
      <w:lang w:val="es-ES" w:eastAsia="es-ES"/>
    </w:rPr>
  </w:style>
  <w:style w:type="paragraph" w:customStyle="1" w:styleId="ParNoG">
    <w:name w:val="_ParNo_G"/>
    <w:basedOn w:val="Normal"/>
    <w:qFormat/>
    <w:rsid w:val="00B25F1D"/>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locked/>
    <w:rsid w:val="003E602B"/>
    <w:rPr>
      <w:lang w:val="es-ES" w:eastAsia="es-ES"/>
    </w:rPr>
  </w:style>
  <w:style w:type="numbering" w:customStyle="1" w:styleId="NoList1">
    <w:name w:val="No List1"/>
    <w:next w:val="NoList"/>
    <w:uiPriority w:val="99"/>
    <w:semiHidden/>
    <w:unhideWhenUsed/>
    <w:rsid w:val="003E602B"/>
  </w:style>
  <w:style w:type="character" w:customStyle="1" w:styleId="EndnoteTextChar">
    <w:name w:val="Endnote Text Char"/>
    <w:aliases w:val="2_G Char"/>
    <w:basedOn w:val="DefaultParagraphFont"/>
    <w:link w:val="EndnoteText"/>
    <w:uiPriority w:val="99"/>
    <w:rsid w:val="003E602B"/>
    <w:rPr>
      <w:sz w:val="18"/>
      <w:lang w:val="es-ES" w:eastAsia="es-ES"/>
    </w:rPr>
  </w:style>
  <w:style w:type="character" w:customStyle="1" w:styleId="FootnoteTextChar">
    <w:name w:val="Footnote Text Char"/>
    <w:aliases w:val="5_G Char"/>
    <w:basedOn w:val="DefaultParagraphFont"/>
    <w:link w:val="FootnoteText"/>
    <w:uiPriority w:val="99"/>
    <w:rsid w:val="003E602B"/>
    <w:rPr>
      <w:sz w:val="18"/>
      <w:lang w:val="es-ES" w:eastAsia="es-ES"/>
    </w:rPr>
  </w:style>
  <w:style w:type="paragraph" w:customStyle="1" w:styleId="Default">
    <w:name w:val="Default"/>
    <w:rsid w:val="003E602B"/>
    <w:pPr>
      <w:autoSpaceDE w:val="0"/>
      <w:autoSpaceDN w:val="0"/>
      <w:adjustRightInd w:val="0"/>
    </w:pPr>
    <w:rPr>
      <w:rFonts w:eastAsia="Calibri"/>
      <w:color w:val="000000"/>
      <w:sz w:val="24"/>
      <w:szCs w:val="24"/>
      <w:lang w:val="es-CO" w:eastAsia="en-US"/>
    </w:rPr>
  </w:style>
  <w:style w:type="paragraph" w:customStyle="1" w:styleId="SingleTxt">
    <w:name w:val="__Single Txt"/>
    <w:basedOn w:val="Normal"/>
    <w:qFormat/>
    <w:rsid w:val="003E60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val="es-ES_tradnl" w:eastAsia="en-US"/>
    </w:rPr>
  </w:style>
  <w:style w:type="character" w:customStyle="1" w:styleId="H23GChar">
    <w:name w:val="_ H_2/3_G Char"/>
    <w:link w:val="H23G"/>
    <w:locked/>
    <w:rsid w:val="003E602B"/>
    <w:rPr>
      <w:b/>
      <w:lang w:val="es-ES" w:eastAsia="es-ES"/>
    </w:rPr>
  </w:style>
  <w:style w:type="paragraph" w:styleId="CommentText">
    <w:name w:val="annotation text"/>
    <w:basedOn w:val="Normal"/>
    <w:link w:val="CommentTextChar"/>
    <w:uiPriority w:val="99"/>
    <w:unhideWhenUsed/>
    <w:rsid w:val="003E602B"/>
    <w:pPr>
      <w:spacing w:after="160" w:line="240" w:lineRule="auto"/>
    </w:pPr>
    <w:rPr>
      <w:rFonts w:ascii="Calibri" w:eastAsia="Calibri" w:hAnsi="Calibri"/>
      <w:lang w:val="en-GB" w:eastAsia="en-US"/>
    </w:rPr>
  </w:style>
  <w:style w:type="character" w:customStyle="1" w:styleId="CommentTextChar">
    <w:name w:val="Comment Text Char"/>
    <w:basedOn w:val="DefaultParagraphFont"/>
    <w:link w:val="CommentText"/>
    <w:uiPriority w:val="99"/>
    <w:rsid w:val="003E602B"/>
    <w:rPr>
      <w:rFonts w:ascii="Calibri" w:eastAsia="Calibri" w:hAnsi="Calibri"/>
      <w:lang w:val="en-GB" w:eastAsia="en-US"/>
    </w:rPr>
  </w:style>
  <w:style w:type="paragraph" w:styleId="ListParagraph">
    <w:name w:val="List Paragraph"/>
    <w:basedOn w:val="Normal"/>
    <w:uiPriority w:val="34"/>
    <w:qFormat/>
    <w:rsid w:val="003E602B"/>
    <w:pPr>
      <w:ind w:left="720"/>
      <w:contextualSpacing/>
    </w:pPr>
  </w:style>
  <w:style w:type="paragraph" w:customStyle="1" w:styleId="Cuerpo">
    <w:name w:val="Cuerpo"/>
    <w:rsid w:val="003E602B"/>
    <w:pPr>
      <w:spacing w:line="360" w:lineRule="auto"/>
      <w:jc w:val="both"/>
    </w:pPr>
    <w:rPr>
      <w:rFonts w:ascii="Raleway" w:eastAsia="Arial Unicode MS" w:hAnsi="Raleway" w:cs="Arial Unicode MS"/>
      <w:color w:val="000000"/>
      <w:sz w:val="22"/>
      <w:szCs w:val="22"/>
      <w:lang w:val="es-ES_tradnl" w:eastAsia="es-CO"/>
      <w14:textOutline w14:w="0" w14:cap="flat" w14:cmpd="sng" w14:algn="ctr">
        <w14:noFill/>
        <w14:prstDash w14:val="solid"/>
        <w14:bevel/>
      </w14:textOutline>
    </w:rPr>
  </w:style>
  <w:style w:type="character" w:customStyle="1" w:styleId="hgkelc">
    <w:name w:val="hgkelc"/>
    <w:basedOn w:val="DefaultParagraphFont"/>
    <w:rsid w:val="003E602B"/>
  </w:style>
  <w:style w:type="character" w:customStyle="1" w:styleId="HeaderChar">
    <w:name w:val="Header Char"/>
    <w:aliases w:val="6_G Char"/>
    <w:basedOn w:val="DefaultParagraphFont"/>
    <w:link w:val="Header"/>
    <w:uiPriority w:val="99"/>
    <w:rsid w:val="003E602B"/>
    <w:rPr>
      <w:b/>
      <w:sz w:val="18"/>
      <w:lang w:val="es-ES" w:eastAsia="es-ES"/>
    </w:rPr>
  </w:style>
  <w:style w:type="character" w:customStyle="1" w:styleId="FooterChar">
    <w:name w:val="Footer Char"/>
    <w:aliases w:val="3_G Char"/>
    <w:basedOn w:val="DefaultParagraphFont"/>
    <w:link w:val="Footer"/>
    <w:uiPriority w:val="99"/>
    <w:rsid w:val="003E602B"/>
    <w:rPr>
      <w:sz w:val="16"/>
      <w:lang w:val="es-ES" w:eastAsia="es-ES"/>
    </w:rPr>
  </w:style>
  <w:style w:type="table" w:customStyle="1" w:styleId="GridTable5Dark-Accent11">
    <w:name w:val="Grid Table 5 Dark - Accent 11"/>
    <w:basedOn w:val="TableNormal"/>
    <w:next w:val="GridTable5Dark-Accent1"/>
    <w:uiPriority w:val="50"/>
    <w:rsid w:val="00460986"/>
    <w:rPr>
      <w:rFonts w:ascii="Arial" w:eastAsia="Arial" w:hAnsi="Arial" w:cs="Arial"/>
      <w:sz w:val="22"/>
      <w:szCs w:val="22"/>
      <w:lang w:val="es-419"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4609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semiHidden/>
    <w:unhideWhenUsed/>
    <w:rsid w:val="00800489"/>
    <w:rPr>
      <w:sz w:val="16"/>
      <w:szCs w:val="16"/>
    </w:rPr>
  </w:style>
  <w:style w:type="paragraph" w:styleId="CommentSubject">
    <w:name w:val="annotation subject"/>
    <w:basedOn w:val="CommentText"/>
    <w:next w:val="CommentText"/>
    <w:link w:val="CommentSubjectChar"/>
    <w:semiHidden/>
    <w:unhideWhenUsed/>
    <w:rsid w:val="00800489"/>
    <w:pPr>
      <w:spacing w:after="0"/>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semiHidden/>
    <w:rsid w:val="00800489"/>
    <w:rPr>
      <w:rFonts w:ascii="Calibri" w:eastAsia="Calibri" w:hAnsi="Calibri"/>
      <w:b/>
      <w:bCs/>
      <w:lang w:val="es-ES" w:eastAsia="es-ES"/>
    </w:rPr>
  </w:style>
  <w:style w:type="paragraph" w:styleId="Revision">
    <w:name w:val="Revision"/>
    <w:hidden/>
    <w:uiPriority w:val="99"/>
    <w:semiHidden/>
    <w:rsid w:val="00E755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3966">
      <w:bodyDiv w:val="1"/>
      <w:marLeft w:val="0"/>
      <w:marRight w:val="0"/>
      <w:marTop w:val="0"/>
      <w:marBottom w:val="0"/>
      <w:divBdr>
        <w:top w:val="none" w:sz="0" w:space="0" w:color="auto"/>
        <w:left w:val="none" w:sz="0" w:space="0" w:color="auto"/>
        <w:bottom w:val="none" w:sz="0" w:space="0" w:color="auto"/>
        <w:right w:val="none" w:sz="0" w:space="0" w:color="auto"/>
      </w:divBdr>
    </w:div>
    <w:div w:id="15034121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30588124">
      <w:bodyDiv w:val="1"/>
      <w:marLeft w:val="0"/>
      <w:marRight w:val="0"/>
      <w:marTop w:val="0"/>
      <w:marBottom w:val="0"/>
      <w:divBdr>
        <w:top w:val="none" w:sz="0" w:space="0" w:color="auto"/>
        <w:left w:val="none" w:sz="0" w:space="0" w:color="auto"/>
        <w:bottom w:val="none" w:sz="0" w:space="0" w:color="auto"/>
        <w:right w:val="none" w:sz="0" w:space="0" w:color="auto"/>
      </w:divBdr>
    </w:div>
    <w:div w:id="1449353789">
      <w:bodyDiv w:val="1"/>
      <w:marLeft w:val="0"/>
      <w:marRight w:val="0"/>
      <w:marTop w:val="0"/>
      <w:marBottom w:val="0"/>
      <w:divBdr>
        <w:top w:val="none" w:sz="0" w:space="0" w:color="auto"/>
        <w:left w:val="none" w:sz="0" w:space="0" w:color="auto"/>
        <w:bottom w:val="none" w:sz="0" w:space="0" w:color="auto"/>
        <w:right w:val="none" w:sz="0" w:space="0" w:color="auto"/>
      </w:divBdr>
    </w:div>
    <w:div w:id="212226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7612-D64A-4624-B06F-A8685D6C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8</Pages>
  <Words>4216</Words>
  <Characters>23146</Characters>
  <Application>Microsoft Office Word</Application>
  <DocSecurity>0</DocSecurity>
  <Lines>373</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CED/C/COL/OAI/R.1</vt:lpstr>
      <vt:lpstr>CED/C/IRQ/OAI/R.1</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CED/C/COL/OAI/1</dc:title>
  <dc:subject/>
  <dc:creator>Javier RODRIGUEZ PEREZ</dc:creator>
  <cp:keywords/>
  <cp:lastModifiedBy>Maria Luisa Zeballos Moreno</cp:lastModifiedBy>
  <cp:revision>3</cp:revision>
  <cp:lastPrinted>2021-06-28T14:52:00Z</cp:lastPrinted>
  <dcterms:created xsi:type="dcterms:W3CDTF">2021-06-28T14:51:00Z</dcterms:created>
  <dcterms:modified xsi:type="dcterms:W3CDTF">2021-06-28T14:54:00Z</dcterms:modified>
</cp:coreProperties>
</file>