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3D767A" w14:paraId="3C776AB3" w14:textId="77777777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6185FCB2" w14:textId="77777777" w:rsidR="006B3E27" w:rsidRPr="00911B4A" w:rsidRDefault="006B3E27" w:rsidP="00610BFF">
            <w:pPr>
              <w:kinsoku w:val="0"/>
              <w:overflowPunct w:val="0"/>
              <w:autoSpaceDE w:val="0"/>
              <w:autoSpaceDN w:val="0"/>
              <w:bidi w:val="0"/>
              <w:adjustRightInd w:val="0"/>
              <w:snapToGrid w:val="0"/>
              <w:jc w:val="right"/>
            </w:pPr>
            <w:bookmarkStart w:id="0" w:name="_Hlk119994778"/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6C3C24A2" w14:textId="33CC6C3D" w:rsidR="006B3E27" w:rsidRPr="003D767A" w:rsidRDefault="006B3E27" w:rsidP="00803632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3D767A">
              <w:rPr>
                <w:rFonts w:hint="cs"/>
                <w:sz w:val="30"/>
                <w:szCs w:val="30"/>
                <w:rtl/>
              </w:rPr>
              <w:t>الأمم</w:t>
            </w:r>
            <w:r w:rsidR="00DC6C5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3D767A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A56513D" w14:textId="388E8CCF" w:rsidR="006B3E27" w:rsidRPr="005D2E4E" w:rsidRDefault="005D2E4E" w:rsidP="005D2E4E">
            <w:pPr>
              <w:bidi w:val="0"/>
              <w:jc w:val="left"/>
            </w:pPr>
            <w:r w:rsidRPr="00DC6C59">
              <w:rPr>
                <w:sz w:val="40"/>
              </w:rPr>
              <w:t>CRPD</w:t>
            </w:r>
            <w:r w:rsidRPr="00DC6C59">
              <w:t>/C/GC/</w:t>
            </w:r>
            <w:r w:rsidRPr="005170C9">
              <w:t>8</w:t>
            </w:r>
          </w:p>
        </w:tc>
      </w:tr>
      <w:tr w:rsidR="006B3E27" w:rsidRPr="003D767A" w14:paraId="4F5C4C39" w14:textId="77777777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4C453130" w14:textId="77777777" w:rsidR="006B3E27" w:rsidRPr="003D767A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3D767A">
              <w:rPr>
                <w:noProof/>
                <w:sz w:val="56"/>
                <w:szCs w:val="56"/>
              </w:rPr>
              <w:drawing>
                <wp:inline distT="0" distB="0" distL="0" distR="0" wp14:anchorId="451C5A80" wp14:editId="6BC8AA9A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14:paraId="157CE850" w14:textId="59FC6325" w:rsidR="006B3E27" w:rsidRPr="005170C9" w:rsidRDefault="00606EDF" w:rsidP="00803632">
            <w:pPr>
              <w:spacing w:before="120" w:after="40" w:line="640" w:lineRule="exact"/>
              <w:ind w:left="57"/>
              <w:jc w:val="left"/>
              <w:rPr>
                <w:b/>
                <w:bCs/>
                <w:sz w:val="50"/>
                <w:szCs w:val="50"/>
                <w:rtl/>
              </w:rPr>
            </w:pPr>
            <w:r w:rsidRPr="005170C9">
              <w:rPr>
                <w:rFonts w:hint="cs"/>
                <w:b/>
                <w:bCs/>
                <w:sz w:val="50"/>
                <w:szCs w:val="50"/>
                <w:rtl/>
              </w:rPr>
              <w:t>اتفاق</w:t>
            </w:r>
            <w:r w:rsidR="007541BA" w:rsidRPr="005170C9">
              <w:rPr>
                <w:rFonts w:hint="cs"/>
                <w:b/>
                <w:bCs/>
                <w:sz w:val="50"/>
                <w:szCs w:val="50"/>
                <w:rtl/>
              </w:rPr>
              <w:t>ية</w:t>
            </w:r>
            <w:r w:rsidR="00DC6C59" w:rsidRPr="005170C9">
              <w:rPr>
                <w:rFonts w:hint="cs"/>
                <w:b/>
                <w:bCs/>
                <w:sz w:val="50"/>
                <w:szCs w:val="50"/>
                <w:rtl/>
              </w:rPr>
              <w:t xml:space="preserve"> </w:t>
            </w:r>
            <w:r w:rsidRPr="005170C9">
              <w:rPr>
                <w:rFonts w:hint="cs"/>
                <w:b/>
                <w:bCs/>
                <w:sz w:val="50"/>
                <w:szCs w:val="50"/>
                <w:rtl/>
              </w:rPr>
              <w:t>حقوق</w:t>
            </w:r>
            <w:r w:rsidR="00DC6C59" w:rsidRPr="005170C9">
              <w:rPr>
                <w:rFonts w:hint="cs"/>
                <w:b/>
                <w:bCs/>
                <w:sz w:val="50"/>
                <w:szCs w:val="50"/>
                <w:rtl/>
              </w:rPr>
              <w:t xml:space="preserve"> </w:t>
            </w:r>
            <w:r w:rsidRPr="005170C9">
              <w:rPr>
                <w:rFonts w:hint="cs"/>
                <w:b/>
                <w:bCs/>
                <w:sz w:val="50"/>
                <w:szCs w:val="50"/>
                <w:rtl/>
              </w:rPr>
              <w:t>الأشخاص</w:t>
            </w:r>
            <w:r w:rsidR="00DC6C59" w:rsidRPr="005170C9">
              <w:rPr>
                <w:rFonts w:hint="cs"/>
                <w:b/>
                <w:bCs/>
                <w:sz w:val="50"/>
                <w:szCs w:val="50"/>
                <w:rtl/>
              </w:rPr>
              <w:t xml:space="preserve"> </w:t>
            </w:r>
            <w:r w:rsidRPr="005170C9">
              <w:rPr>
                <w:rFonts w:hint="cs"/>
                <w:b/>
                <w:bCs/>
                <w:sz w:val="50"/>
                <w:szCs w:val="50"/>
                <w:rtl/>
              </w:rPr>
              <w:t>ذوي</w:t>
            </w:r>
            <w:r w:rsidR="00DC6C59" w:rsidRPr="005170C9">
              <w:rPr>
                <w:rFonts w:hint="cs"/>
                <w:b/>
                <w:bCs/>
                <w:sz w:val="50"/>
                <w:szCs w:val="50"/>
                <w:rtl/>
              </w:rPr>
              <w:t xml:space="preserve"> </w:t>
            </w:r>
            <w:r w:rsidRPr="005170C9">
              <w:rPr>
                <w:rFonts w:hint="cs"/>
                <w:b/>
                <w:bCs/>
                <w:sz w:val="50"/>
                <w:szCs w:val="50"/>
                <w:rtl/>
              </w:rPr>
              <w:t>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14:paraId="016F2E49" w14:textId="27324D2C" w:rsidR="006B3E27" w:rsidRDefault="005D2E4E" w:rsidP="00397C83">
            <w:pPr>
              <w:bidi w:val="0"/>
              <w:spacing w:before="240"/>
              <w:jc w:val="left"/>
            </w:pPr>
            <w:r>
              <w:t>Dist</w:t>
            </w:r>
            <w:r w:rsidR="00DC6C59" w:rsidRPr="00DC6C59">
              <w:t>r.</w:t>
            </w:r>
            <w:r w:rsidR="00DC6C59">
              <w:t xml:space="preserve">: </w:t>
            </w:r>
            <w:r>
              <w:t>General</w:t>
            </w:r>
          </w:p>
          <w:p w14:paraId="7B607733" w14:textId="53C61ADA" w:rsidR="005D2E4E" w:rsidRDefault="003520EF" w:rsidP="005D2E4E">
            <w:pPr>
              <w:bidi w:val="0"/>
              <w:spacing w:line="240" w:lineRule="exact"/>
              <w:jc w:val="left"/>
            </w:pPr>
            <w:r w:rsidRPr="005170C9">
              <w:rPr>
                <w:rFonts w:eastAsia="Times New Roman"/>
              </w:rPr>
              <w:t>7</w:t>
            </w:r>
            <w:r w:rsidR="00DC6C59">
              <w:rPr>
                <w:rFonts w:eastAsia="Times New Roman"/>
              </w:rPr>
              <w:t xml:space="preserve"> </w:t>
            </w:r>
            <w:r w:rsidRPr="00565D89">
              <w:rPr>
                <w:rFonts w:eastAsia="Times New Roman"/>
              </w:rPr>
              <w:t>October</w:t>
            </w:r>
            <w:r w:rsidR="00DC6C59">
              <w:rPr>
                <w:rFonts w:eastAsia="Times New Roman"/>
              </w:rPr>
              <w:t xml:space="preserve"> </w:t>
            </w:r>
            <w:r w:rsidRPr="005170C9">
              <w:rPr>
                <w:rFonts w:eastAsia="Times New Roman"/>
              </w:rPr>
              <w:t>2022</w:t>
            </w:r>
          </w:p>
          <w:p w14:paraId="0AE0431D" w14:textId="77777777" w:rsidR="005D2E4E" w:rsidRDefault="005D2E4E" w:rsidP="005D2E4E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73E911C9" w14:textId="302ED444" w:rsidR="005D2E4E" w:rsidRPr="005D2E4E" w:rsidRDefault="005D2E4E" w:rsidP="005D2E4E">
            <w:pPr>
              <w:bidi w:val="0"/>
              <w:spacing w:line="240" w:lineRule="exact"/>
              <w:jc w:val="left"/>
            </w:pPr>
            <w:r>
              <w:t>Origina</w:t>
            </w:r>
            <w:r w:rsidR="00DC6C59" w:rsidRPr="00DC6C59">
              <w:t>l</w:t>
            </w:r>
            <w:r w:rsidR="00DC6C59">
              <w:t xml:space="preserve">: </w:t>
            </w:r>
            <w:r>
              <w:t>English</w:t>
            </w:r>
          </w:p>
        </w:tc>
      </w:tr>
    </w:tbl>
    <w:p w14:paraId="5FA0A025" w14:textId="0DD5B0F0" w:rsidR="00EC13CA" w:rsidRPr="005170C9" w:rsidRDefault="00EC13CA" w:rsidP="00EC13CA">
      <w:pPr>
        <w:spacing w:before="120" w:after="120" w:line="360" w:lineRule="exact"/>
        <w:rPr>
          <w:b/>
          <w:bCs/>
          <w:sz w:val="24"/>
          <w:szCs w:val="26"/>
        </w:rPr>
      </w:pPr>
      <w:r w:rsidRPr="005170C9">
        <w:rPr>
          <w:b/>
          <w:bCs/>
          <w:sz w:val="24"/>
          <w:szCs w:val="26"/>
          <w:rtl/>
        </w:rPr>
        <w:t>اللجنة</w:t>
      </w:r>
      <w:r w:rsidR="00DC6C59" w:rsidRPr="005170C9">
        <w:rPr>
          <w:b/>
          <w:bCs/>
          <w:sz w:val="24"/>
          <w:szCs w:val="26"/>
          <w:rtl/>
        </w:rPr>
        <w:t xml:space="preserve"> </w:t>
      </w:r>
      <w:r w:rsidRPr="005170C9">
        <w:rPr>
          <w:b/>
          <w:bCs/>
          <w:sz w:val="24"/>
          <w:szCs w:val="26"/>
          <w:rtl/>
        </w:rPr>
        <w:t>المعنية</w:t>
      </w:r>
      <w:r w:rsidR="00DC6C59" w:rsidRPr="005170C9">
        <w:rPr>
          <w:b/>
          <w:bCs/>
          <w:sz w:val="24"/>
          <w:szCs w:val="26"/>
          <w:rtl/>
        </w:rPr>
        <w:t xml:space="preserve"> </w:t>
      </w:r>
      <w:r w:rsidRPr="005170C9">
        <w:rPr>
          <w:b/>
          <w:bCs/>
          <w:sz w:val="24"/>
          <w:szCs w:val="26"/>
          <w:rtl/>
        </w:rPr>
        <w:t>بحقوق</w:t>
      </w:r>
      <w:r w:rsidR="00DC6C59" w:rsidRPr="005170C9">
        <w:rPr>
          <w:b/>
          <w:bCs/>
          <w:sz w:val="24"/>
          <w:szCs w:val="26"/>
          <w:rtl/>
        </w:rPr>
        <w:t xml:space="preserve"> </w:t>
      </w:r>
      <w:r w:rsidRPr="005170C9">
        <w:rPr>
          <w:b/>
          <w:bCs/>
          <w:sz w:val="24"/>
          <w:szCs w:val="26"/>
          <w:rtl/>
        </w:rPr>
        <w:t>الأشخاص</w:t>
      </w:r>
      <w:r w:rsidR="00DC6C59" w:rsidRPr="005170C9">
        <w:rPr>
          <w:b/>
          <w:bCs/>
          <w:sz w:val="24"/>
          <w:szCs w:val="26"/>
          <w:rtl/>
        </w:rPr>
        <w:t xml:space="preserve"> </w:t>
      </w:r>
      <w:r w:rsidRPr="005170C9">
        <w:rPr>
          <w:b/>
          <w:bCs/>
          <w:sz w:val="24"/>
          <w:szCs w:val="26"/>
          <w:rtl/>
        </w:rPr>
        <w:t>ذوي</w:t>
      </w:r>
      <w:r w:rsidR="00DC6C59" w:rsidRPr="005170C9">
        <w:rPr>
          <w:b/>
          <w:bCs/>
          <w:sz w:val="24"/>
          <w:szCs w:val="26"/>
          <w:rtl/>
        </w:rPr>
        <w:t xml:space="preserve"> </w:t>
      </w:r>
      <w:r w:rsidRPr="005170C9">
        <w:rPr>
          <w:b/>
          <w:bCs/>
          <w:sz w:val="24"/>
          <w:szCs w:val="26"/>
          <w:rtl/>
        </w:rPr>
        <w:t>الإعاقة</w:t>
      </w:r>
    </w:p>
    <w:p w14:paraId="302C8BBA" w14:textId="199B7417" w:rsidR="00EC13CA" w:rsidRPr="005170C9" w:rsidRDefault="00EC13CA" w:rsidP="00EC13CA">
      <w:pPr>
        <w:pStyle w:val="HChGA"/>
        <w:rPr>
          <w:spacing w:val="-10"/>
          <w:rtl/>
        </w:rPr>
      </w:pPr>
      <w:r w:rsidRPr="005170C9">
        <w:rPr>
          <w:spacing w:val="-10"/>
          <w:rtl/>
        </w:rPr>
        <w:tab/>
      </w:r>
      <w:r w:rsidRPr="005170C9">
        <w:rPr>
          <w:spacing w:val="-10"/>
          <w:rtl/>
        </w:rPr>
        <w:tab/>
        <w:t>التعليق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العام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رقم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8(202</w:t>
      </w:r>
      <w:r w:rsidR="00DC6C59" w:rsidRPr="005170C9">
        <w:rPr>
          <w:spacing w:val="-10"/>
          <w:rtl/>
        </w:rPr>
        <w:t xml:space="preserve">2) </w:t>
      </w:r>
      <w:r w:rsidRPr="005170C9">
        <w:rPr>
          <w:spacing w:val="-10"/>
          <w:rtl/>
        </w:rPr>
        <w:t>بشأن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حق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الأشخاص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ذوي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الإعاقة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في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العمل</w:t>
      </w:r>
      <w:r w:rsidR="00DC6C59" w:rsidRPr="005170C9">
        <w:rPr>
          <w:spacing w:val="-10"/>
          <w:rtl/>
        </w:rPr>
        <w:t xml:space="preserve"> </w:t>
      </w:r>
      <w:r w:rsidRPr="005170C9">
        <w:rPr>
          <w:spacing w:val="-10"/>
          <w:rtl/>
        </w:rPr>
        <w:t>والعمالة</w:t>
      </w:r>
      <w:r w:rsidRPr="005170C9">
        <w:rPr>
          <w:b w:val="0"/>
          <w:bCs w:val="0"/>
          <w:spacing w:val="-10"/>
          <w:sz w:val="22"/>
          <w:szCs w:val="22"/>
          <w:rtl/>
        </w:rPr>
        <w:footnoteReference w:customMarkFollows="1" w:id="1"/>
        <w:t>*</w:t>
      </w:r>
    </w:p>
    <w:p w14:paraId="37F921B5" w14:textId="0D31FFEE" w:rsidR="00EC13CA" w:rsidRPr="005170C9" w:rsidRDefault="00EC13CA" w:rsidP="00EC13CA">
      <w:pPr>
        <w:pStyle w:val="HChGA"/>
      </w:pPr>
      <w:r w:rsidRPr="005170C9">
        <w:rPr>
          <w:rtl/>
        </w:rPr>
        <w:tab/>
        <w:t>أولا</w:t>
      </w:r>
      <w:r w:rsidRPr="005170C9">
        <w:rPr>
          <w:rFonts w:hint="cs"/>
          <w:rtl/>
        </w:rPr>
        <w:t>ً</w:t>
      </w:r>
      <w:r w:rsidRPr="005170C9">
        <w:rPr>
          <w:rtl/>
        </w:rPr>
        <w:t>-</w:t>
      </w:r>
      <w:r w:rsidRPr="005170C9">
        <w:rPr>
          <w:rtl/>
        </w:rPr>
        <w:tab/>
        <w:t>مقدمة</w:t>
      </w:r>
    </w:p>
    <w:p w14:paraId="6B8EED00" w14:textId="3488A947" w:rsidR="00EC13CA" w:rsidRPr="003520EF" w:rsidRDefault="00EC13CA" w:rsidP="00EC13CA">
      <w:pPr>
        <w:pStyle w:val="SingleTxtGA"/>
      </w:pPr>
      <w:r w:rsidRPr="005170C9">
        <w:rPr>
          <w:rtl/>
        </w:rPr>
        <w:t>1</w:t>
      </w:r>
      <w:r w:rsidRPr="003520EF">
        <w:rPr>
          <w:rtl/>
        </w:rPr>
        <w:t>-</w:t>
      </w:r>
      <w:r w:rsidRPr="003520EF">
        <w:rPr>
          <w:rtl/>
        </w:rPr>
        <w:tab/>
        <w:t>الهدف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التعليق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هو</w:t>
      </w:r>
      <w:r w:rsidR="00DC6C59">
        <w:rPr>
          <w:rtl/>
        </w:rPr>
        <w:t xml:space="preserve"> </w:t>
      </w:r>
      <w:r w:rsidRPr="003520EF">
        <w:rPr>
          <w:rtl/>
        </w:rPr>
        <w:t>توضيح</w:t>
      </w:r>
      <w:r w:rsidR="00DC6C59">
        <w:rPr>
          <w:rtl/>
        </w:rPr>
        <w:t xml:space="preserve"> </w:t>
      </w:r>
      <w:r w:rsidRPr="003520EF">
        <w:rPr>
          <w:rtl/>
        </w:rPr>
        <w:t>التزامات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المنصوص</w:t>
      </w:r>
      <w:r w:rsidR="00DC6C59">
        <w:rPr>
          <w:rtl/>
        </w:rPr>
        <w:t xml:space="preserve"> </w:t>
      </w:r>
      <w:r w:rsidRPr="003520EF">
        <w:rPr>
          <w:rtl/>
        </w:rPr>
        <w:t>عليه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الاتفاقية.</w:t>
      </w:r>
      <w:r w:rsidR="00DC6C59">
        <w:rPr>
          <w:rtl/>
        </w:rPr>
        <w:t xml:space="preserve"> </w:t>
      </w:r>
      <w:r w:rsidRPr="003520EF">
        <w:rPr>
          <w:rtl/>
        </w:rPr>
        <w:t>فالاتفاقية</w:t>
      </w:r>
      <w:r w:rsidR="00DC6C59">
        <w:rPr>
          <w:rtl/>
        </w:rPr>
        <w:t xml:space="preserve"> </w:t>
      </w:r>
      <w:r w:rsidRPr="003520EF">
        <w:rPr>
          <w:rtl/>
        </w:rPr>
        <w:t>تحدد</w:t>
      </w:r>
      <w:r w:rsidR="00DC6C59">
        <w:rPr>
          <w:rtl/>
        </w:rPr>
        <w:t xml:space="preserve"> </w:t>
      </w:r>
      <w:r w:rsidRPr="003520EF">
        <w:rPr>
          <w:rtl/>
        </w:rPr>
        <w:t>مبادئ</w:t>
      </w:r>
      <w:r w:rsidR="00DC6C59">
        <w:rPr>
          <w:rtl/>
        </w:rPr>
        <w:t xml:space="preserve"> </w:t>
      </w:r>
      <w:r w:rsidRPr="003520EF">
        <w:rPr>
          <w:rtl/>
        </w:rPr>
        <w:t>ومعايير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والعمالة،</w:t>
      </w:r>
      <w:r w:rsidR="00DC6C59">
        <w:rPr>
          <w:rtl/>
        </w:rPr>
        <w:t xml:space="preserve"> </w:t>
      </w:r>
      <w:r w:rsidRPr="003520EF">
        <w:rPr>
          <w:rtl/>
        </w:rPr>
        <w:t>وترسي</w:t>
      </w:r>
      <w:r w:rsidR="00DC6C59">
        <w:rPr>
          <w:rtl/>
        </w:rPr>
        <w:t xml:space="preserve"> </w:t>
      </w:r>
      <w:r w:rsidRPr="003520EF">
        <w:rPr>
          <w:rtl/>
        </w:rPr>
        <w:t>الأساس</w:t>
      </w:r>
      <w:r w:rsidR="00DC6C59">
        <w:rPr>
          <w:rtl/>
        </w:rPr>
        <w:t xml:space="preserve"> </w:t>
      </w:r>
      <w:r w:rsidRPr="003520EF">
        <w:rPr>
          <w:rtl/>
        </w:rPr>
        <w:t>للدول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للوفاء</w:t>
      </w:r>
      <w:r w:rsidR="00DC6C59">
        <w:rPr>
          <w:rtl/>
        </w:rPr>
        <w:t xml:space="preserve"> </w:t>
      </w:r>
      <w:r w:rsidRPr="003520EF">
        <w:rPr>
          <w:rtl/>
        </w:rPr>
        <w:t>بالتزاماتها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إطار</w:t>
      </w:r>
      <w:r w:rsidR="00DC6C59">
        <w:rPr>
          <w:rtl/>
        </w:rPr>
        <w:t xml:space="preserve"> </w:t>
      </w:r>
      <w:r w:rsidRPr="003520EF">
        <w:rPr>
          <w:rtl/>
        </w:rPr>
        <w:t>أهداف</w:t>
      </w:r>
      <w:r w:rsidR="00DC6C59">
        <w:rPr>
          <w:rtl/>
        </w:rPr>
        <w:t xml:space="preserve"> </w:t>
      </w:r>
      <w:r w:rsidRPr="003520EF">
        <w:rPr>
          <w:rtl/>
        </w:rPr>
        <w:t>التنمية</w:t>
      </w:r>
      <w:r w:rsidR="00DC6C59">
        <w:rPr>
          <w:rtl/>
        </w:rPr>
        <w:t xml:space="preserve"> </w:t>
      </w:r>
      <w:r w:rsidRPr="003520EF">
        <w:rPr>
          <w:rtl/>
        </w:rPr>
        <w:t>المستدامة،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سيما</w:t>
      </w:r>
      <w:r w:rsidR="00DC6C59">
        <w:rPr>
          <w:rtl/>
        </w:rPr>
        <w:t xml:space="preserve"> </w:t>
      </w:r>
      <w:r w:rsidRPr="003520EF">
        <w:rPr>
          <w:rtl/>
        </w:rPr>
        <w:t>الغاية</w:t>
      </w:r>
      <w:r w:rsidR="00DC6C59">
        <w:rPr>
          <w:rtl/>
        </w:rPr>
        <w:t xml:space="preserve"> </w:t>
      </w:r>
      <w:r w:rsidRPr="005170C9">
        <w:rPr>
          <w:rtl/>
        </w:rPr>
        <w:t>8</w:t>
      </w:r>
      <w:r w:rsidRPr="003520EF">
        <w:rPr>
          <w:rtl/>
        </w:rPr>
        <w:t>-</w:t>
      </w:r>
      <w:r w:rsidRPr="005170C9">
        <w:rPr>
          <w:rtl/>
        </w:rPr>
        <w:t>5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تحقيق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الكاملة</w:t>
      </w:r>
      <w:r w:rsidR="00DC6C59">
        <w:rPr>
          <w:rtl/>
        </w:rPr>
        <w:t xml:space="preserve"> </w:t>
      </w:r>
      <w:r w:rsidRPr="003520EF">
        <w:rPr>
          <w:rtl/>
        </w:rPr>
        <w:t>والمنتجة</w:t>
      </w:r>
      <w:r w:rsidR="00DC6C59">
        <w:rPr>
          <w:rtl/>
        </w:rPr>
        <w:t xml:space="preserve"> </w:t>
      </w:r>
      <w:r w:rsidRPr="003520EF">
        <w:rPr>
          <w:rtl/>
        </w:rPr>
        <w:t>وتوفير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اللائق</w:t>
      </w:r>
      <w:r w:rsidR="00DC6C59">
        <w:rPr>
          <w:rtl/>
        </w:rPr>
        <w:t xml:space="preserve"> </w:t>
      </w:r>
      <w:r w:rsidRPr="003520EF">
        <w:rPr>
          <w:rtl/>
        </w:rPr>
        <w:t>لجميع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والرجال،</w:t>
      </w:r>
      <w:r w:rsidR="00DC6C59">
        <w:rPr>
          <w:rtl/>
        </w:rPr>
        <w:t xml:space="preserve"> </w:t>
      </w:r>
      <w:r w:rsidRPr="003520EF">
        <w:rPr>
          <w:rtl/>
        </w:rPr>
        <w:t>بمن</w:t>
      </w:r>
      <w:r w:rsidR="00DC6C59">
        <w:rPr>
          <w:rtl/>
        </w:rPr>
        <w:t xml:space="preserve"> </w:t>
      </w:r>
      <w:r w:rsidRPr="003520EF">
        <w:rPr>
          <w:rtl/>
        </w:rPr>
        <w:t>فيهم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وتكافؤ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>
        <w:rPr>
          <w:rtl/>
        </w:rPr>
        <w:t xml:space="preserve"> </w:t>
      </w:r>
      <w:r w:rsidRPr="003520EF">
        <w:rPr>
          <w:rtl/>
        </w:rPr>
        <w:t>لقاء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المتكافئ</w:t>
      </w:r>
      <w:r w:rsidR="00DC6C59">
        <w:rPr>
          <w:rtl/>
        </w:rPr>
        <w:t xml:space="preserve"> </w:t>
      </w:r>
      <w:r w:rsidRPr="003520EF">
        <w:rPr>
          <w:rtl/>
        </w:rPr>
        <w:t>القيمة،</w:t>
      </w:r>
      <w:r w:rsidR="00DC6C59">
        <w:rPr>
          <w:rtl/>
        </w:rPr>
        <w:t xml:space="preserve"> </w:t>
      </w:r>
      <w:r w:rsidRPr="003520EF">
        <w:rPr>
          <w:rtl/>
        </w:rPr>
        <w:t>بحلول</w:t>
      </w:r>
      <w:r w:rsidR="00DC6C59">
        <w:rPr>
          <w:rtl/>
        </w:rPr>
        <w:t xml:space="preserve"> </w:t>
      </w:r>
      <w:r w:rsidRPr="003520EF">
        <w:rPr>
          <w:rtl/>
        </w:rPr>
        <w:t>عام</w:t>
      </w:r>
      <w:r w:rsidR="00DC6C59">
        <w:rPr>
          <w:rtl/>
        </w:rPr>
        <w:t xml:space="preserve"> </w:t>
      </w:r>
      <w:r w:rsidRPr="005170C9">
        <w:rPr>
          <w:rtl/>
        </w:rPr>
        <w:t>203</w:t>
      </w:r>
      <w:r w:rsidR="00DC6C59" w:rsidRPr="005170C9">
        <w:rPr>
          <w:rtl/>
        </w:rPr>
        <w:t>0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</w:p>
    <w:p w14:paraId="65270771" w14:textId="0000CDE1" w:rsidR="00EC13CA" w:rsidRPr="00DC6C59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2</w:t>
      </w:r>
      <w:r w:rsidRPr="00DC6C59">
        <w:rPr>
          <w:spacing w:val="-2"/>
          <w:rtl/>
        </w:rPr>
        <w:t>-</w:t>
      </w:r>
      <w:r w:rsidRPr="00DC6C59">
        <w:rPr>
          <w:spacing w:val="-2"/>
          <w:rtl/>
        </w:rPr>
        <w:tab/>
        <w:t>والحق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أساسي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لإعمال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حقوق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أخرى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حقوق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الإنسان،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ويشكل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جزء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يتجزأ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كرامة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الإنسان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وعنصرا</w:t>
      </w:r>
      <w:r w:rsidR="00476B81">
        <w:rPr>
          <w:rFonts w:hint="cs"/>
          <w:spacing w:val="-2"/>
          <w:rtl/>
        </w:rPr>
        <w:t>ً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متأصلا</w:t>
      </w:r>
      <w:r w:rsidR="00476B81">
        <w:rPr>
          <w:rFonts w:hint="cs"/>
          <w:spacing w:val="-2"/>
          <w:rtl/>
        </w:rPr>
        <w:t>ً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فيها.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ويسهم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بقاء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الأفراد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وبقاء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أسرتهم،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كما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يسهم،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حال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اختيار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قبوله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بحرية،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نمو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الإنسان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والاعتراف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به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داخل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المجتمع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2"/>
      </w:r>
      <w:r w:rsidR="00DC6C59" w:rsidRPr="005170C9">
        <w:rPr>
          <w:spacing w:val="-2"/>
          <w:vertAlign w:val="superscript"/>
          <w:rtl/>
        </w:rPr>
        <w:t>)</w:t>
      </w:r>
      <w:r w:rsidR="00DC6C59" w:rsidRPr="00DC6C59">
        <w:rPr>
          <w:spacing w:val="-2"/>
          <w:rtl/>
        </w:rPr>
        <w:t xml:space="preserve">. </w:t>
      </w:r>
      <w:r w:rsidRPr="00DC6C59">
        <w:rPr>
          <w:spacing w:val="-2"/>
          <w:rtl/>
        </w:rPr>
        <w:t>وقد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اعترف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العديد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الصكوك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القانونية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الدولية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والإقليمية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فالعهد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الدولي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الخاص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بالحقوق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الاقتصادية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والاجتماعية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والثقافية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يعلن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بمعناه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العام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المادة</w:t>
      </w:r>
      <w:r w:rsidR="00DC6C59" w:rsidRPr="00DC6C59">
        <w:rPr>
          <w:spacing w:val="-2"/>
          <w:rtl/>
        </w:rPr>
        <w:t xml:space="preserve"> </w:t>
      </w:r>
      <w:r w:rsidRPr="005170C9">
        <w:rPr>
          <w:spacing w:val="-2"/>
          <w:rtl/>
        </w:rPr>
        <w:t>6</w:t>
      </w:r>
      <w:r w:rsidRPr="00DC6C59">
        <w:rPr>
          <w:spacing w:val="-2"/>
          <w:rtl/>
        </w:rPr>
        <w:t>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ويتناول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بوضوح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البعد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الفردي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بالاعتراف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المادة</w:t>
      </w:r>
      <w:r w:rsidR="00DC6C59" w:rsidRPr="00DC6C59">
        <w:rPr>
          <w:spacing w:val="-2"/>
          <w:rtl/>
        </w:rPr>
        <w:t xml:space="preserve"> </w:t>
      </w:r>
      <w:r w:rsidRPr="005170C9">
        <w:rPr>
          <w:spacing w:val="-2"/>
          <w:rtl/>
        </w:rPr>
        <w:t>7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بما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لكل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شخص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التمتع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بشروط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عادلة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ومرضية،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ولا</w:t>
      </w:r>
      <w:r w:rsidR="00DC6C59" w:rsidRPr="00DC6C59">
        <w:rPr>
          <w:rFonts w:hint="cs"/>
          <w:spacing w:val="-2"/>
          <w:rtl/>
        </w:rPr>
        <w:t xml:space="preserve"> </w:t>
      </w:r>
      <w:r w:rsidRPr="00DC6C59">
        <w:rPr>
          <w:spacing w:val="-2"/>
          <w:rtl/>
        </w:rPr>
        <w:t>سيما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بظروف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تكفل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السلامة.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ويتم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تناول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البعد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الجماعي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المادة</w:t>
      </w:r>
      <w:r w:rsidR="00DC6C59" w:rsidRPr="00DC6C59">
        <w:rPr>
          <w:spacing w:val="-2"/>
          <w:rtl/>
        </w:rPr>
        <w:t xml:space="preserve"> </w:t>
      </w:r>
      <w:r w:rsidRPr="005170C9">
        <w:rPr>
          <w:spacing w:val="-2"/>
          <w:rtl/>
        </w:rPr>
        <w:t>8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العهد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تنص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كل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تكوين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النقابات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الانضمام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النقابة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يختارونها،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النقابات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ممارسة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نشاطها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بحرية.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وقد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استندت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اللجنة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وضع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هذا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التعليق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اجتهادها،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وإلى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اجتهاد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اللجنة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المعنية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بالحقوق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الاقتصادية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والاجتماعية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والثقافية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وغيرها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الهيئات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المنشأة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بموجب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معاهدات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حقوق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الإنسان.</w:t>
      </w:r>
      <w:r w:rsidR="00DC6C59" w:rsidRPr="00DC6C59">
        <w:rPr>
          <w:spacing w:val="-2"/>
          <w:rtl/>
        </w:rPr>
        <w:t xml:space="preserve"> </w:t>
      </w:r>
      <w:bookmarkStart w:id="1" w:name="_Hlk83385248"/>
      <w:bookmarkEnd w:id="1"/>
    </w:p>
    <w:p w14:paraId="2555705D" w14:textId="565F4B76" w:rsidR="00EC13CA" w:rsidRPr="00DC6C59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3</w:t>
      </w:r>
      <w:r w:rsidRPr="00DC6C59">
        <w:rPr>
          <w:spacing w:val="-2"/>
          <w:rtl/>
        </w:rPr>
        <w:t>-</w:t>
      </w:r>
      <w:r w:rsidRPr="00DC6C59">
        <w:rPr>
          <w:spacing w:val="-2"/>
          <w:rtl/>
        </w:rPr>
        <w:tab/>
        <w:t>والعمل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والعمالة</w:t>
      </w:r>
      <w:r w:rsidR="00DC6C59">
        <w:rPr>
          <w:spacing w:val="-2"/>
          <w:rtl/>
        </w:rPr>
        <w:t xml:space="preserve"> </w:t>
      </w:r>
      <w:proofErr w:type="spellStart"/>
      <w:r w:rsidRPr="00DC6C59">
        <w:rPr>
          <w:spacing w:val="-2"/>
          <w:rtl/>
        </w:rPr>
        <w:t>المجديان</w:t>
      </w:r>
      <w:proofErr w:type="spellEnd"/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ضروريان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للأمن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الاقتصادي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للشخص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وصحته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البدنية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والعقلية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ورفاهه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الشخصي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وشعوره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بالهوية.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بيد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اللجنة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تدرك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نظام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القيم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المعروف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باسم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لمصلحة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القادرين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بدنيا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يؤثر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سلبا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الفرص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المتاحة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للعديد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سعيهم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للحصول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عمل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وعمالة</w:t>
      </w:r>
      <w:r w:rsidR="00DC6C59">
        <w:rPr>
          <w:spacing w:val="-2"/>
          <w:rtl/>
        </w:rPr>
        <w:t xml:space="preserve"> </w:t>
      </w:r>
      <w:proofErr w:type="spellStart"/>
      <w:r w:rsidRPr="00DC6C59">
        <w:rPr>
          <w:spacing w:val="-2"/>
          <w:rtl/>
        </w:rPr>
        <w:t>مجديين</w:t>
      </w:r>
      <w:proofErr w:type="spellEnd"/>
      <w:r w:rsidRPr="00DC6C59">
        <w:rPr>
          <w:spacing w:val="-2"/>
          <w:rtl/>
        </w:rPr>
        <w:t>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لمصلحة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القادرين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بدنيا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"منظومة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قيم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تعتبر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بعض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الخصائص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النموذجية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للجسد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والذهن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أمراً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أساسياً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ليعيش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المرء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حياة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قيمة.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واستناداً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معايير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صارمة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للمظهر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والأداء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والسلوك،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تعتبر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طرقُ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التفكير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المتسمة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[بالتمييز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لمصلحة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القادرين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بدنيا]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تجربةَ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محنةً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تؤدي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المعاناة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والحرمان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lastRenderedPageBreak/>
        <w:t>الدوام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تدني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قيمة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الحياة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البشرية"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3"/>
      </w:r>
      <w:r w:rsidR="00DC6C59" w:rsidRPr="005170C9">
        <w:rPr>
          <w:spacing w:val="-2"/>
          <w:vertAlign w:val="superscript"/>
          <w:rtl/>
        </w:rPr>
        <w:t>)</w:t>
      </w:r>
      <w:r w:rsidR="00DC6C59" w:rsidRPr="00DC6C59">
        <w:rPr>
          <w:spacing w:val="-2"/>
          <w:rtl/>
        </w:rPr>
        <w:t>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ويؤدي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لمصلحة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القادرين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بدنيا</w:t>
      </w:r>
      <w:r w:rsidR="00476B81">
        <w:rPr>
          <w:rFonts w:hint="cs"/>
          <w:spacing w:val="-2"/>
          <w:rtl/>
        </w:rPr>
        <w:t>ً</w:t>
      </w:r>
      <w:r w:rsidRPr="00DC6C59">
        <w:rPr>
          <w:spacing w:val="-2"/>
          <w:rtl/>
        </w:rPr>
        <w:t>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الذي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يشكل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أساس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النماذج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الطبية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والخيرية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للإعاقة،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التحيز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الاجتماعي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وعدم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المساواة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ضد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لأنه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يشكل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ركيزة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تشريعات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وسياسات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وممارسات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قبيل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العمالة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المنفصلة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-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"الورشات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المحمية"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سبيل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المثال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-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ويمكن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يؤدي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المشاركة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غير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الطوعية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الاقتصاد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غير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الرسمي.</w:t>
      </w:r>
      <w:bookmarkStart w:id="2" w:name="_Hlk82698037"/>
      <w:bookmarkEnd w:id="2"/>
    </w:p>
    <w:p w14:paraId="59C4725B" w14:textId="2C5F0231" w:rsidR="00EC13CA" w:rsidRPr="005170C9" w:rsidRDefault="00EC13CA" w:rsidP="00EC13CA">
      <w:pPr>
        <w:pStyle w:val="SingleTxtGA"/>
        <w:rPr>
          <w:spacing w:val="-4"/>
        </w:rPr>
      </w:pPr>
      <w:r w:rsidRPr="005170C9">
        <w:rPr>
          <w:spacing w:val="-4"/>
          <w:rtl/>
        </w:rPr>
        <w:t>4</w:t>
      </w:r>
      <w:r w:rsidRPr="00DC6C59">
        <w:rPr>
          <w:spacing w:val="-4"/>
          <w:rtl/>
        </w:rPr>
        <w:t>-</w:t>
      </w:r>
      <w:r w:rsidRPr="00DC6C59">
        <w:rPr>
          <w:spacing w:val="-4"/>
          <w:rtl/>
        </w:rPr>
        <w:tab/>
        <w:t>ويواجه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الأشخاص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ذوو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الإعاقة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عقبات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تحول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دون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حصولهم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على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حقهم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والعمالة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سوق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المنفتحة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وممارستهم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له،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على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قدم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المساواة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مع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الآخرين.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ويواجه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الأشخاص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ذوو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الإعاقة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معدلات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بطالة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مرتفعة،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وانخفاضا</w:t>
      </w:r>
      <w:r w:rsidR="00476B81">
        <w:rPr>
          <w:rFonts w:hint="cs"/>
          <w:spacing w:val="-4"/>
          <w:rtl/>
        </w:rPr>
        <w:t>ً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الأجور،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وعدم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استقرار،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وانخفاضا</w:t>
      </w:r>
      <w:r w:rsidR="00476B81">
        <w:rPr>
          <w:rFonts w:hint="cs"/>
          <w:spacing w:val="-4"/>
          <w:rtl/>
        </w:rPr>
        <w:t>ً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المعايير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شروط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التشغيل،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وعدم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توفير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إمكانية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الوصول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بيئة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كما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احتمال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تعيينهم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مناصب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الإدارة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عندما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يتم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توظيفهم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رسميا</w:t>
      </w:r>
      <w:r w:rsidR="00476B81">
        <w:rPr>
          <w:rFonts w:hint="cs"/>
          <w:spacing w:val="-4"/>
          <w:rtl/>
        </w:rPr>
        <w:t>ً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أقل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غيرهم.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وتتفاقم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جميع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هذه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الحواجز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بالنسبة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للنساء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ذوات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الإعاقة.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ومن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المرجح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يتقاضى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الأشخاص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ذوو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الإعاقة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أجورا</w:t>
      </w:r>
      <w:r w:rsidR="00476B81">
        <w:rPr>
          <w:rFonts w:hint="cs"/>
          <w:spacing w:val="-4"/>
          <w:rtl/>
        </w:rPr>
        <w:t>ً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أقل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غيرهم،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ومن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المرجح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يكونوا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وظائف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هشة،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بما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ذلك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القطاع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غير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الرسمي،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أو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لحسابهم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الخاص،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أو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لبعض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الوقت</w:t>
      </w:r>
      <w:r w:rsidR="00DC6C59" w:rsidRPr="005170C9">
        <w:rPr>
          <w:spacing w:val="-4"/>
          <w:vertAlign w:val="superscript"/>
          <w:rtl/>
        </w:rPr>
        <w:t>(</w:t>
      </w:r>
      <w:r w:rsidR="00DC6C59" w:rsidRPr="005170C9">
        <w:rPr>
          <w:spacing w:val="-4"/>
          <w:vertAlign w:val="superscript"/>
          <w:lang w:val="en-US"/>
        </w:rPr>
        <w:footnoteReference w:id="4"/>
      </w:r>
      <w:r w:rsidR="00DC6C59" w:rsidRPr="005170C9">
        <w:rPr>
          <w:spacing w:val="-4"/>
          <w:vertAlign w:val="superscript"/>
          <w:rtl/>
        </w:rPr>
        <w:t>)</w:t>
      </w:r>
      <w:r w:rsidR="00DC6C59" w:rsidRPr="00DC6C59">
        <w:rPr>
          <w:spacing w:val="-4"/>
          <w:rtl/>
        </w:rPr>
        <w:t xml:space="preserve">. </w:t>
      </w:r>
      <w:r w:rsidRPr="00DC6C59">
        <w:rPr>
          <w:spacing w:val="-4"/>
          <w:rtl/>
        </w:rPr>
        <w:t>وتشير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البيانات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وغيرها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الأدلة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إلى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هذه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الفروق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تؤثر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تأثيرا</w:t>
      </w:r>
      <w:r w:rsidR="00476B81">
        <w:rPr>
          <w:rFonts w:hint="cs"/>
          <w:spacing w:val="-4"/>
          <w:rtl/>
        </w:rPr>
        <w:t>ً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بالغا</w:t>
      </w:r>
      <w:r w:rsidR="00476B81">
        <w:rPr>
          <w:rFonts w:hint="cs"/>
          <w:spacing w:val="-4"/>
          <w:rtl/>
        </w:rPr>
        <w:t>ً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على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الأشخاص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ذوي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الإعاقة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لأسباب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قبيل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ونوع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الجنس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والجنس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والأصل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الإثني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ومكان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الإقامة.</w:t>
      </w:r>
      <w:bookmarkStart w:id="4" w:name="_Hlk103947775"/>
      <w:bookmarkStart w:id="5" w:name="_Hlk83831001"/>
      <w:bookmarkEnd w:id="4"/>
      <w:bookmarkEnd w:id="5"/>
    </w:p>
    <w:p w14:paraId="71C24FAD" w14:textId="68C59068" w:rsidR="00DC6C59" w:rsidRPr="00DC6C59" w:rsidRDefault="00EC13CA" w:rsidP="00EC13CA">
      <w:pPr>
        <w:pStyle w:val="SingleTxtGA"/>
      </w:pPr>
      <w:r w:rsidRPr="005170C9">
        <w:rPr>
          <w:rtl/>
        </w:rPr>
        <w:t>5</w:t>
      </w:r>
      <w:r w:rsidRPr="003520EF">
        <w:rPr>
          <w:rtl/>
        </w:rPr>
        <w:t>-</w:t>
      </w:r>
      <w:r w:rsidRPr="003520EF">
        <w:rPr>
          <w:rtl/>
        </w:rPr>
        <w:tab/>
        <w:t>وتنشأ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الظروف</w:t>
      </w:r>
      <w:r w:rsidR="00DC6C59">
        <w:rPr>
          <w:rtl/>
        </w:rPr>
        <w:t xml:space="preserve"> </w:t>
      </w:r>
      <w:r w:rsidRPr="003520EF">
        <w:rPr>
          <w:rtl/>
        </w:rPr>
        <w:t>المتطورة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الاقتصادات</w:t>
      </w:r>
      <w:r w:rsidR="00DC6C59">
        <w:rPr>
          <w:rtl/>
        </w:rPr>
        <w:t xml:space="preserve"> </w:t>
      </w:r>
      <w:r w:rsidRPr="003520EF">
        <w:rPr>
          <w:rtl/>
        </w:rPr>
        <w:t>وسوق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تحديات</w:t>
      </w:r>
      <w:r w:rsidR="00DC6C59">
        <w:rPr>
          <w:rtl/>
        </w:rPr>
        <w:t xml:space="preserve"> </w:t>
      </w:r>
      <w:r w:rsidRPr="003520EF">
        <w:rPr>
          <w:rtl/>
        </w:rPr>
        <w:t>وفرص</w:t>
      </w:r>
      <w:r w:rsidR="00DC6C59">
        <w:rPr>
          <w:rtl/>
        </w:rPr>
        <w:t xml:space="preserve"> </w:t>
      </w:r>
      <w:r w:rsidRPr="003520EF">
        <w:rPr>
          <w:rtl/>
        </w:rPr>
        <w:t>جديدة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ويمكن</w:t>
      </w:r>
      <w:r w:rsidR="00DC6C59">
        <w:rPr>
          <w:rtl/>
        </w:rPr>
        <w:t xml:space="preserve"> </w:t>
      </w:r>
      <w:r w:rsidRPr="003520EF">
        <w:rPr>
          <w:rtl/>
        </w:rPr>
        <w:t>للتكنولوجيات</w:t>
      </w:r>
      <w:r w:rsidR="00DC6C59">
        <w:rPr>
          <w:rtl/>
        </w:rPr>
        <w:t xml:space="preserve"> </w:t>
      </w:r>
      <w:r w:rsidRPr="003520EF">
        <w:rPr>
          <w:rtl/>
        </w:rPr>
        <w:t>الجديدة،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الذكاء</w:t>
      </w:r>
      <w:r w:rsidR="00DC6C59">
        <w:rPr>
          <w:rtl/>
        </w:rPr>
        <w:t xml:space="preserve"> </w:t>
      </w:r>
      <w:r w:rsidRPr="003520EF">
        <w:rPr>
          <w:rtl/>
        </w:rPr>
        <w:t>الاصطناعي</w:t>
      </w:r>
      <w:r w:rsidR="00DC6C59">
        <w:rPr>
          <w:rtl/>
        </w:rPr>
        <w:t xml:space="preserve"> </w:t>
      </w:r>
      <w:r w:rsidRPr="003520EF">
        <w:rPr>
          <w:rtl/>
        </w:rPr>
        <w:t>والتحول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الرقمي،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تنشئ</w:t>
      </w:r>
      <w:r w:rsidR="00DC6C59">
        <w:rPr>
          <w:rtl/>
        </w:rPr>
        <w:t xml:space="preserve"> </w:t>
      </w:r>
      <w:r w:rsidRPr="003520EF">
        <w:rPr>
          <w:rtl/>
        </w:rPr>
        <w:t>حواجز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أشكالا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جديدة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التمييز،</w:t>
      </w:r>
      <w:r w:rsidR="00DC6C59">
        <w:rPr>
          <w:rtl/>
        </w:rPr>
        <w:t xml:space="preserve"> </w:t>
      </w:r>
      <w:r w:rsidRPr="003520EF">
        <w:rPr>
          <w:rtl/>
        </w:rPr>
        <w:t>كما</w:t>
      </w:r>
      <w:r w:rsidR="00DC6C59">
        <w:rPr>
          <w:rtl/>
        </w:rPr>
        <w:t xml:space="preserve"> </w:t>
      </w:r>
      <w:r w:rsidRPr="003520EF">
        <w:rPr>
          <w:rtl/>
        </w:rPr>
        <w:t>يمكنها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توفر</w:t>
      </w:r>
      <w:r w:rsidR="00DC6C59">
        <w:rPr>
          <w:rtl/>
        </w:rPr>
        <w:t xml:space="preserve"> </w:t>
      </w:r>
      <w:r w:rsidRPr="003520EF">
        <w:rPr>
          <w:rtl/>
        </w:rPr>
        <w:t>مسارات</w:t>
      </w:r>
      <w:r w:rsidR="00DC6C59">
        <w:rPr>
          <w:rtl/>
        </w:rPr>
        <w:t xml:space="preserve"> </w:t>
      </w:r>
      <w:r w:rsidRPr="003520EF">
        <w:rPr>
          <w:rtl/>
        </w:rPr>
        <w:t>جديدة</w:t>
      </w:r>
      <w:r w:rsidR="00DC6C59">
        <w:rPr>
          <w:rtl/>
        </w:rPr>
        <w:t xml:space="preserve"> </w:t>
      </w:r>
      <w:r w:rsidRPr="003520EF">
        <w:rPr>
          <w:rtl/>
        </w:rPr>
        <w:t>للعمل</w:t>
      </w:r>
      <w:r w:rsidR="00DC6C59">
        <w:rPr>
          <w:rtl/>
        </w:rPr>
        <w:t xml:space="preserve"> </w:t>
      </w:r>
      <w:r w:rsidRPr="003520EF">
        <w:rPr>
          <w:rtl/>
        </w:rPr>
        <w:t>وأشكال</w:t>
      </w:r>
      <w:r w:rsidR="00DC6C59">
        <w:rPr>
          <w:rtl/>
        </w:rPr>
        <w:t xml:space="preserve"> </w:t>
      </w:r>
      <w:r w:rsidRPr="003520EF">
        <w:rPr>
          <w:rtl/>
        </w:rPr>
        <w:t>جديدة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العمالة.</w:t>
      </w:r>
      <w:r w:rsidR="00DC6C59">
        <w:rPr>
          <w:rtl/>
        </w:rPr>
        <w:t xml:space="preserve"> </w:t>
      </w:r>
      <w:r w:rsidRPr="003520EF">
        <w:rPr>
          <w:rtl/>
        </w:rPr>
        <w:t>وتخلق</w:t>
      </w:r>
      <w:r w:rsidR="00DC6C59">
        <w:rPr>
          <w:rtl/>
        </w:rPr>
        <w:t xml:space="preserve"> </w:t>
      </w:r>
      <w:r w:rsidRPr="003520EF">
        <w:rPr>
          <w:rtl/>
        </w:rPr>
        <w:t>التحولات</w:t>
      </w:r>
      <w:r w:rsidR="00DC6C59">
        <w:rPr>
          <w:rtl/>
        </w:rPr>
        <w:t xml:space="preserve"> </w:t>
      </w:r>
      <w:r w:rsidRPr="003520EF">
        <w:rPr>
          <w:rtl/>
        </w:rPr>
        <w:t>الاقتصادية،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الانتقال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الاقتصاد</w:t>
      </w:r>
      <w:r w:rsidR="00DC6C59">
        <w:rPr>
          <w:rtl/>
        </w:rPr>
        <w:t xml:space="preserve"> </w:t>
      </w:r>
      <w:r w:rsidRPr="003520EF">
        <w:rPr>
          <w:rtl/>
        </w:rPr>
        <w:t>الأخضر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التصدي</w:t>
      </w:r>
      <w:r w:rsidR="00DC6C59">
        <w:rPr>
          <w:rtl/>
        </w:rPr>
        <w:t xml:space="preserve"> </w:t>
      </w:r>
      <w:r w:rsidRPr="003520EF">
        <w:rPr>
          <w:rtl/>
        </w:rPr>
        <w:t>للأزمات،</w:t>
      </w:r>
      <w:r w:rsidR="00DC6C59">
        <w:rPr>
          <w:rtl/>
        </w:rPr>
        <w:t xml:space="preserve"> </w:t>
      </w:r>
      <w:r w:rsidRPr="003520EF">
        <w:rPr>
          <w:rtl/>
        </w:rPr>
        <w:t>فرصا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للإدماج</w:t>
      </w:r>
      <w:r w:rsidR="00DC6C59">
        <w:rPr>
          <w:rtl/>
        </w:rPr>
        <w:t xml:space="preserve"> </w:t>
      </w:r>
      <w:r w:rsidRPr="003520EF">
        <w:rPr>
          <w:rtl/>
        </w:rPr>
        <w:t>كما</w:t>
      </w:r>
      <w:r w:rsidR="00DC6C59">
        <w:rPr>
          <w:rtl/>
        </w:rPr>
        <w:t xml:space="preserve"> </w:t>
      </w:r>
      <w:r w:rsidRPr="003520EF">
        <w:rPr>
          <w:rtl/>
        </w:rPr>
        <w:t>ينشأ</w:t>
      </w:r>
      <w:r w:rsidR="00DC6C59">
        <w:rPr>
          <w:rtl/>
        </w:rPr>
        <w:t xml:space="preserve"> </w:t>
      </w:r>
      <w:r w:rsidRPr="003520EF">
        <w:rPr>
          <w:rtl/>
        </w:rPr>
        <w:t>عنها</w:t>
      </w:r>
      <w:r w:rsidR="00DC6C59">
        <w:rPr>
          <w:rtl/>
        </w:rPr>
        <w:t xml:space="preserve"> </w:t>
      </w:r>
      <w:r w:rsidRPr="003520EF">
        <w:rPr>
          <w:rtl/>
        </w:rPr>
        <w:t>خطر</w:t>
      </w:r>
      <w:r w:rsidR="00DC6C59">
        <w:rPr>
          <w:rtl/>
        </w:rPr>
        <w:t xml:space="preserve"> </w:t>
      </w:r>
      <w:r w:rsidRPr="003520EF">
        <w:rPr>
          <w:rtl/>
        </w:rPr>
        <w:t>تخلف</w:t>
      </w:r>
      <w:r w:rsidR="00DC6C59">
        <w:rPr>
          <w:rtl/>
        </w:rPr>
        <w:t xml:space="preserve"> </w:t>
      </w:r>
      <w:r w:rsidRPr="003520EF">
        <w:rPr>
          <w:rtl/>
        </w:rPr>
        <w:t>الناس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الركب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5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</w:p>
    <w:p w14:paraId="74950C1A" w14:textId="77D99233" w:rsidR="00EC13CA" w:rsidRPr="003520EF" w:rsidRDefault="00EC13CA" w:rsidP="00EC13CA">
      <w:pPr>
        <w:pStyle w:val="SingleTxtGA"/>
      </w:pPr>
      <w:r w:rsidRPr="005170C9">
        <w:rPr>
          <w:rtl/>
        </w:rPr>
        <w:t>6</w:t>
      </w:r>
      <w:r w:rsidRPr="003520EF">
        <w:rPr>
          <w:rtl/>
        </w:rPr>
        <w:t>-</w:t>
      </w:r>
      <w:r w:rsidRPr="003520EF">
        <w:rPr>
          <w:rtl/>
        </w:rPr>
        <w:tab/>
        <w:t>وتُدرج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</w:t>
      </w:r>
      <w:r w:rsidR="00DC6C59">
        <w:rPr>
          <w:rtl/>
        </w:rPr>
        <w:t xml:space="preserve"> </w:t>
      </w:r>
      <w:r w:rsidRPr="003520EF">
        <w:rPr>
          <w:rtl/>
        </w:rPr>
        <w:t>عدة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متداخلة</w:t>
      </w:r>
      <w:r w:rsidR="00DC6C59">
        <w:rPr>
          <w:rtl/>
        </w:rPr>
        <w:t xml:space="preserve"> </w:t>
      </w:r>
      <w:r w:rsidRPr="003520EF">
        <w:rPr>
          <w:rtl/>
        </w:rPr>
        <w:t>ومترابطة</w:t>
      </w:r>
      <w:r w:rsidR="00DC6C59">
        <w:rPr>
          <w:rtl/>
        </w:rPr>
        <w:t xml:space="preserve"> </w:t>
      </w:r>
      <w:r w:rsidRPr="003520EF">
        <w:rPr>
          <w:rtl/>
        </w:rPr>
        <w:t>ضمن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وتشمل،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Fonts w:hint="cs"/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3520EF">
        <w:rPr>
          <w:rtl/>
        </w:rPr>
        <w:t>)(ب)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وملائمة،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وظروف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المأمونة،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التحرش،</w:t>
      </w:r>
      <w:r w:rsidR="00DC6C59">
        <w:rPr>
          <w:rtl/>
        </w:rPr>
        <w:t xml:space="preserve"> </w:t>
      </w:r>
      <w:r w:rsidRPr="003520EF">
        <w:rPr>
          <w:rtl/>
        </w:rPr>
        <w:t>وفي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3520EF">
        <w:rPr>
          <w:rtl/>
        </w:rPr>
        <w:t>)(ج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البعد</w:t>
      </w:r>
      <w:r w:rsidR="00DC6C59">
        <w:rPr>
          <w:rtl/>
        </w:rPr>
        <w:t xml:space="preserve"> </w:t>
      </w:r>
      <w:r w:rsidRPr="003520EF">
        <w:rPr>
          <w:rtl/>
        </w:rPr>
        <w:t>الجماعي</w:t>
      </w:r>
      <w:r w:rsidR="00DC6C59">
        <w:rPr>
          <w:rtl/>
        </w:rPr>
        <w:t xml:space="preserve"> </w:t>
      </w:r>
      <w:r w:rsidRPr="003520EF">
        <w:rPr>
          <w:rtl/>
        </w:rPr>
        <w:t>للحق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وممارسة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لحقوقهم</w:t>
      </w:r>
      <w:r w:rsidR="00DC6C59">
        <w:rPr>
          <w:rtl/>
        </w:rPr>
        <w:t xml:space="preserve"> </w:t>
      </w:r>
      <w:r w:rsidRPr="003520EF">
        <w:rPr>
          <w:rtl/>
        </w:rPr>
        <w:t>العمالية</w:t>
      </w:r>
      <w:r w:rsidR="00DC6C59">
        <w:rPr>
          <w:rtl/>
        </w:rPr>
        <w:t xml:space="preserve"> </w:t>
      </w:r>
      <w:r w:rsidRPr="003520EF">
        <w:rPr>
          <w:rtl/>
        </w:rPr>
        <w:t>والنقابية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والهدف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التعليق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هو</w:t>
      </w:r>
      <w:r w:rsidR="00DC6C59">
        <w:rPr>
          <w:rtl/>
        </w:rPr>
        <w:t xml:space="preserve"> </w:t>
      </w:r>
      <w:r w:rsidRPr="003520EF">
        <w:rPr>
          <w:rtl/>
        </w:rPr>
        <w:t>تقديم</w:t>
      </w:r>
      <w:r w:rsidR="00DC6C59">
        <w:rPr>
          <w:rtl/>
        </w:rPr>
        <w:t xml:space="preserve"> </w:t>
      </w:r>
      <w:r w:rsidRPr="003520EF">
        <w:rPr>
          <w:rtl/>
        </w:rPr>
        <w:t>لمحة</w:t>
      </w:r>
      <w:r w:rsidR="00DC6C59">
        <w:rPr>
          <w:rtl/>
        </w:rPr>
        <w:t xml:space="preserve"> </w:t>
      </w:r>
      <w:r w:rsidRPr="003520EF">
        <w:rPr>
          <w:rtl/>
        </w:rPr>
        <w:t>شاملة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التزامات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بموجب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مراعاة</w:t>
      </w:r>
      <w:r w:rsidR="00DC6C59">
        <w:rPr>
          <w:rtl/>
        </w:rPr>
        <w:t xml:space="preserve"> </w:t>
      </w:r>
      <w:r w:rsidRPr="003520EF">
        <w:rPr>
          <w:rtl/>
        </w:rPr>
        <w:t>ترابط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والمدرجة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تلك</w:t>
      </w:r>
      <w:r w:rsidR="00DC6C59">
        <w:rPr>
          <w:rtl/>
        </w:rPr>
        <w:t xml:space="preserve"> </w:t>
      </w:r>
      <w:r w:rsidRPr="003520EF">
        <w:rPr>
          <w:rtl/>
        </w:rPr>
        <w:t>المادة،</w:t>
      </w:r>
      <w:r w:rsidR="00DC6C59">
        <w:rPr>
          <w:rtl/>
        </w:rPr>
        <w:t xml:space="preserve"> </w:t>
      </w:r>
      <w:r w:rsidRPr="003520EF">
        <w:rPr>
          <w:rtl/>
        </w:rPr>
        <w:t>وتشابك</w:t>
      </w:r>
      <w:r w:rsidR="00DC6C59">
        <w:rPr>
          <w:rtl/>
        </w:rPr>
        <w:t xml:space="preserve"> </w:t>
      </w:r>
      <w:r w:rsidRPr="003520EF">
        <w:rPr>
          <w:rtl/>
        </w:rPr>
        <w:t>علاقة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بأحكام</w:t>
      </w:r>
      <w:r w:rsidR="00DC6C59">
        <w:rPr>
          <w:rtl/>
        </w:rPr>
        <w:t xml:space="preserve"> </w:t>
      </w:r>
      <w:r w:rsidRPr="003520EF">
        <w:rPr>
          <w:rtl/>
        </w:rPr>
        <w:t>مواد</w:t>
      </w:r>
      <w:r w:rsidR="00DC6C59">
        <w:rPr>
          <w:rtl/>
        </w:rPr>
        <w:t xml:space="preserve"> </w:t>
      </w:r>
      <w:r w:rsidRPr="003520EF">
        <w:rPr>
          <w:rtl/>
        </w:rPr>
        <w:t>أخرى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الاتفاقية.</w:t>
      </w:r>
      <w:r w:rsidR="00DC6C59">
        <w:rPr>
          <w:rtl/>
        </w:rPr>
        <w:t xml:space="preserve"> </w:t>
      </w:r>
    </w:p>
    <w:p w14:paraId="14FE380F" w14:textId="3E8DF7BE" w:rsidR="00EC13CA" w:rsidRPr="005170C9" w:rsidRDefault="00EC13CA" w:rsidP="00EC13CA">
      <w:pPr>
        <w:pStyle w:val="HChGA"/>
      </w:pPr>
      <w:r w:rsidRPr="005170C9">
        <w:rPr>
          <w:rtl/>
        </w:rPr>
        <w:tab/>
        <w:t>ثانيا</w:t>
      </w:r>
      <w:r w:rsidRPr="005170C9">
        <w:rPr>
          <w:rFonts w:hint="cs"/>
          <w:rtl/>
        </w:rPr>
        <w:t>ً</w:t>
      </w:r>
      <w:r w:rsidRPr="005170C9">
        <w:rPr>
          <w:rtl/>
        </w:rPr>
        <w:t>-</w:t>
      </w:r>
      <w:r w:rsidRPr="005170C9">
        <w:rPr>
          <w:rtl/>
        </w:rPr>
        <w:tab/>
        <w:t>نموذج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التعامل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مع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الإعاقة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من</w:t>
      </w:r>
      <w:r w:rsidR="00DC6C59" w:rsidRPr="005170C9">
        <w:rPr>
          <w:rtl/>
        </w:rPr>
        <w:t xml:space="preserve"> </w:t>
      </w:r>
      <w:r w:rsidRPr="005170C9">
        <w:rPr>
          <w:rtl/>
        </w:rPr>
        <w:t>منظور</w:t>
      </w:r>
      <w:r w:rsidR="00DC6C59" w:rsidRPr="005170C9">
        <w:rPr>
          <w:rtl/>
        </w:rPr>
        <w:t xml:space="preserve"> </w:t>
      </w:r>
      <w:r w:rsidRPr="005170C9">
        <w:rPr>
          <w:rtl/>
        </w:rPr>
        <w:t>حقوق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الإنسان</w:t>
      </w:r>
    </w:p>
    <w:p w14:paraId="77B95F9A" w14:textId="53AC9086" w:rsidR="00EC13CA" w:rsidRPr="00DC6C59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7</w:t>
      </w:r>
      <w:r w:rsidRPr="00DC6C59">
        <w:rPr>
          <w:spacing w:val="-2"/>
          <w:rtl/>
        </w:rPr>
        <w:t>-</w:t>
      </w:r>
      <w:r w:rsidRPr="00DC6C59">
        <w:rPr>
          <w:spacing w:val="-2"/>
          <w:rtl/>
        </w:rPr>
        <w:tab/>
        <w:t>ما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فتئت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اللجنة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تعرب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باستمرار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قلقها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لكون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تشريعات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وسياسات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الدول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الأطراف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تزال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تعكس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نهجا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موصوما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لصالح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القادرين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بدنيا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تجاه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خلال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النماذج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الخيرية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و/أو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الطبية،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الرغم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عدم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توافق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تلك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النماذج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الاتفاقية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7"/>
      </w:r>
      <w:r w:rsidR="00DC6C59" w:rsidRPr="005170C9">
        <w:rPr>
          <w:spacing w:val="-2"/>
          <w:vertAlign w:val="superscript"/>
          <w:rtl/>
        </w:rPr>
        <w:t>)</w:t>
      </w:r>
      <w:r w:rsidR="00DC6C59" w:rsidRPr="00DC6C59">
        <w:rPr>
          <w:spacing w:val="-2"/>
          <w:rtl/>
        </w:rPr>
        <w:t>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وبمقتضى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هذه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النماذج،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يعترف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بالأشخاص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lastRenderedPageBreak/>
        <w:t>كأشخاص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حقوق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وكأصحاب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حقوق،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يتم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"حصرهم"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إعاقاتهم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بدلا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ذلك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8"/>
      </w:r>
      <w:r w:rsidR="00DC6C59" w:rsidRPr="005170C9">
        <w:rPr>
          <w:spacing w:val="-2"/>
          <w:vertAlign w:val="superscript"/>
          <w:rtl/>
        </w:rPr>
        <w:t>)</w:t>
      </w:r>
      <w:r w:rsidR="00DC6C59" w:rsidRPr="00DC6C59">
        <w:rPr>
          <w:spacing w:val="-2"/>
          <w:rtl/>
        </w:rPr>
        <w:t>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وينظر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المعاملة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التمييزية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التفاضلية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واستبعاد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أنهما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القاعدة،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يضفي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عليها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الطابع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الشرعي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نهج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العجز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القائم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أساس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طبي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إزاء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وتمنع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هذه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النُّهج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الموصومة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لصالح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القادرين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بدنيا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الدول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الأطراف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إزالة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الحواجز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المستمرة،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ولا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سيما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القوالب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النمطية</w:t>
      </w:r>
      <w:r w:rsidR="00DC6C59">
        <w:rPr>
          <w:spacing w:val="-2"/>
          <w:rtl/>
        </w:rPr>
        <w:t xml:space="preserve"> </w:t>
      </w:r>
      <w:proofErr w:type="spellStart"/>
      <w:r w:rsidRPr="00DC6C59">
        <w:rPr>
          <w:spacing w:val="-2"/>
          <w:rtl/>
        </w:rPr>
        <w:t>والوصمات</w:t>
      </w:r>
      <w:proofErr w:type="spellEnd"/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المتعلقة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بالإعاقة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تجعل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عاجزين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قدم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المساواة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الآخرين.</w:t>
      </w:r>
    </w:p>
    <w:p w14:paraId="1D959414" w14:textId="625DA44E" w:rsidR="00EC13CA" w:rsidRPr="003520EF" w:rsidRDefault="00EC13CA" w:rsidP="00EC13CA">
      <w:pPr>
        <w:pStyle w:val="SingleTxtGA"/>
      </w:pPr>
      <w:r w:rsidRPr="005170C9">
        <w:rPr>
          <w:rtl/>
        </w:rPr>
        <w:t>8</w:t>
      </w:r>
      <w:r w:rsidRPr="003520EF">
        <w:rPr>
          <w:rtl/>
        </w:rPr>
        <w:t>-</w:t>
      </w:r>
      <w:r w:rsidRPr="003520EF">
        <w:rPr>
          <w:rtl/>
        </w:rPr>
        <w:tab/>
        <w:t>ولإعمال</w:t>
      </w:r>
      <w:r w:rsidR="00DC6C59">
        <w:rPr>
          <w:rtl/>
        </w:rPr>
        <w:t xml:space="preserve"> </w:t>
      </w:r>
      <w:r w:rsidRPr="003520EF">
        <w:rPr>
          <w:rtl/>
        </w:rPr>
        <w:t>الحقوق</w:t>
      </w:r>
      <w:r w:rsidR="00DC6C59">
        <w:rPr>
          <w:rtl/>
        </w:rPr>
        <w:t xml:space="preserve"> </w:t>
      </w:r>
      <w:r w:rsidRPr="003520EF">
        <w:rPr>
          <w:rtl/>
        </w:rPr>
        <w:t>المنصوص</w:t>
      </w:r>
      <w:r w:rsidR="00DC6C59">
        <w:rPr>
          <w:rtl/>
        </w:rPr>
        <w:t xml:space="preserve"> </w:t>
      </w:r>
      <w:r w:rsidRPr="003520EF">
        <w:rPr>
          <w:rtl/>
        </w:rPr>
        <w:t>عليها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الاتفاقية،</w:t>
      </w:r>
      <w:r w:rsidR="00DC6C59">
        <w:rPr>
          <w:rtl/>
        </w:rPr>
        <w:t xml:space="preserve"> </w:t>
      </w:r>
      <w:r w:rsidRPr="003520EF">
        <w:rPr>
          <w:rtl/>
        </w:rPr>
        <w:t>يتعين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تطبق</w:t>
      </w:r>
      <w:r w:rsidR="00DC6C59">
        <w:rPr>
          <w:rtl/>
        </w:rPr>
        <w:t xml:space="preserve"> </w:t>
      </w:r>
      <w:r w:rsidRPr="003520EF">
        <w:rPr>
          <w:rtl/>
        </w:rPr>
        <w:t>نموذج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القائم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الإنسان.</w:t>
      </w:r>
      <w:r w:rsidR="00DC6C59">
        <w:rPr>
          <w:rtl/>
        </w:rPr>
        <w:t xml:space="preserve"> </w:t>
      </w:r>
      <w:r w:rsidRPr="003520EF">
        <w:rPr>
          <w:rtl/>
        </w:rPr>
        <w:t>وتحدد</w:t>
      </w:r>
      <w:r w:rsidR="00DC6C59">
        <w:rPr>
          <w:rtl/>
        </w:rPr>
        <w:t xml:space="preserve"> </w:t>
      </w:r>
      <w:r w:rsidRPr="003520EF">
        <w:rPr>
          <w:rtl/>
        </w:rPr>
        <w:t>اللجنة،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تعليقها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رقم</w:t>
      </w:r>
      <w:r w:rsidR="00DC6C59">
        <w:rPr>
          <w:rtl/>
        </w:rPr>
        <w:t xml:space="preserve"> </w:t>
      </w:r>
      <w:r w:rsidRPr="005170C9">
        <w:rPr>
          <w:rtl/>
        </w:rPr>
        <w:t>6</w:t>
      </w:r>
      <w:r w:rsidRPr="003520EF">
        <w:rPr>
          <w:rtl/>
        </w:rPr>
        <w:t>(</w:t>
      </w:r>
      <w:r w:rsidRPr="005170C9">
        <w:rPr>
          <w:rtl/>
        </w:rPr>
        <w:t>201</w:t>
      </w:r>
      <w:r w:rsidR="00DC6C59" w:rsidRPr="005170C9">
        <w:rPr>
          <w:rtl/>
        </w:rPr>
        <w:t>8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وعدم</w:t>
      </w:r>
      <w:r w:rsidR="00DC6C59">
        <w:rPr>
          <w:rtl/>
        </w:rPr>
        <w:t xml:space="preserve"> </w:t>
      </w:r>
      <w:r w:rsidRPr="003520EF">
        <w:rPr>
          <w:rtl/>
        </w:rPr>
        <w:t>التمييز،</w:t>
      </w:r>
      <w:r w:rsidR="00DC6C59">
        <w:rPr>
          <w:rtl/>
        </w:rPr>
        <w:t xml:space="preserve"> </w:t>
      </w:r>
      <w:r w:rsidRPr="003520EF">
        <w:rPr>
          <w:rtl/>
        </w:rPr>
        <w:t>نموذج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القائم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الإنسان،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بمقتضاه</w:t>
      </w:r>
      <w:r w:rsidR="00DC6C59">
        <w:rPr>
          <w:rtl/>
        </w:rPr>
        <w:t xml:space="preserve"> </w:t>
      </w:r>
      <w:r w:rsidRPr="003520EF">
        <w:rPr>
          <w:rtl/>
        </w:rPr>
        <w:t>يُعترف</w:t>
      </w:r>
      <w:r w:rsidR="00DC6C59">
        <w:rPr>
          <w:rtl/>
        </w:rPr>
        <w:t xml:space="preserve"> </w:t>
      </w:r>
      <w:r w:rsidRPr="003520EF">
        <w:rPr>
          <w:rtl/>
        </w:rPr>
        <w:t>بأن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هي</w:t>
      </w:r>
      <w:r w:rsidR="00DC6C59">
        <w:rPr>
          <w:rtl/>
        </w:rPr>
        <w:t xml:space="preserve"> </w:t>
      </w:r>
      <w:r w:rsidRPr="003520EF">
        <w:rPr>
          <w:rtl/>
        </w:rPr>
        <w:t>مفهوم</w:t>
      </w:r>
      <w:r w:rsidR="00DC6C59">
        <w:rPr>
          <w:rtl/>
        </w:rPr>
        <w:t xml:space="preserve"> </w:t>
      </w:r>
      <w:r w:rsidRPr="003520EF">
        <w:rPr>
          <w:rtl/>
        </w:rPr>
        <w:t>اجتماعي،</w:t>
      </w:r>
      <w:r w:rsidR="00DC6C59">
        <w:rPr>
          <w:rtl/>
        </w:rPr>
        <w:t xml:space="preserve"> </w:t>
      </w:r>
      <w:r w:rsidRPr="003520EF">
        <w:rPr>
          <w:rtl/>
        </w:rPr>
        <w:t>وأن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جانب</w:t>
      </w:r>
      <w:r w:rsidR="00DC6C59">
        <w:rPr>
          <w:rtl/>
        </w:rPr>
        <w:t xml:space="preserve"> </w:t>
      </w:r>
      <w:r w:rsidRPr="003520EF">
        <w:rPr>
          <w:rtl/>
        </w:rPr>
        <w:t>قيِّم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جوانب</w:t>
      </w:r>
      <w:r w:rsidR="00DC6C59">
        <w:rPr>
          <w:rtl/>
        </w:rPr>
        <w:t xml:space="preserve"> </w:t>
      </w:r>
      <w:r w:rsidRPr="003520EF">
        <w:rPr>
          <w:rtl/>
        </w:rPr>
        <w:t>التنوع</w:t>
      </w:r>
      <w:r w:rsidR="00DC6C59">
        <w:rPr>
          <w:rtl/>
        </w:rPr>
        <w:t xml:space="preserve"> </w:t>
      </w:r>
      <w:r w:rsidRPr="003520EF">
        <w:rPr>
          <w:rtl/>
        </w:rPr>
        <w:t>والكرامة</w:t>
      </w:r>
      <w:r w:rsidR="00DC6C59">
        <w:rPr>
          <w:rtl/>
        </w:rPr>
        <w:t xml:space="preserve"> </w:t>
      </w:r>
      <w:r w:rsidRPr="003520EF">
        <w:rPr>
          <w:rtl/>
        </w:rPr>
        <w:t>البشرية،</w:t>
      </w:r>
      <w:r w:rsidR="00DC6C59">
        <w:rPr>
          <w:rtl/>
        </w:rPr>
        <w:t xml:space="preserve"> </w:t>
      </w:r>
      <w:r w:rsidRPr="003520EF">
        <w:rPr>
          <w:rtl/>
        </w:rPr>
        <w:t>وأنه</w:t>
      </w:r>
      <w:r w:rsidR="00DC6C59">
        <w:rPr>
          <w:rtl/>
        </w:rPr>
        <w:t xml:space="preserve"> </w:t>
      </w:r>
      <w:r w:rsidRPr="003520EF">
        <w:rPr>
          <w:rtl/>
        </w:rPr>
        <w:t>يجب</w:t>
      </w:r>
      <w:r w:rsidR="00DC6C59">
        <w:rPr>
          <w:rtl/>
        </w:rPr>
        <w:t xml:space="preserve"> </w:t>
      </w:r>
      <w:r w:rsidRPr="003520EF">
        <w:rPr>
          <w:rtl/>
        </w:rPr>
        <w:t>ألا</w:t>
      </w:r>
      <w:r w:rsidR="00DC6C59">
        <w:rPr>
          <w:rtl/>
        </w:rPr>
        <w:t xml:space="preserve"> </w:t>
      </w:r>
      <w:r w:rsidRPr="003520EF">
        <w:rPr>
          <w:rtl/>
        </w:rPr>
        <w:t>تُتخذ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سببا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مشروعا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للحرمان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تقييدها.</w:t>
      </w:r>
      <w:r w:rsidR="00DC6C59">
        <w:rPr>
          <w:rtl/>
        </w:rPr>
        <w:t xml:space="preserve"> </w:t>
      </w:r>
      <w:r w:rsidRPr="003520EF">
        <w:rPr>
          <w:rtl/>
        </w:rPr>
        <w:t>وسُلِّم</w:t>
      </w:r>
      <w:r w:rsidR="00DC6C59">
        <w:rPr>
          <w:rtl/>
        </w:rPr>
        <w:t xml:space="preserve"> </w:t>
      </w:r>
      <w:r w:rsidRPr="003520EF">
        <w:rPr>
          <w:rtl/>
        </w:rPr>
        <w:t>بأن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محدد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عدة</w:t>
      </w:r>
      <w:r w:rsidR="00DC6C59">
        <w:rPr>
          <w:rtl/>
        </w:rPr>
        <w:t xml:space="preserve"> </w:t>
      </w:r>
      <w:r w:rsidRPr="003520EF">
        <w:rPr>
          <w:rtl/>
        </w:rPr>
        <w:t>محددات</w:t>
      </w:r>
      <w:r w:rsidR="00DC6C59">
        <w:rPr>
          <w:rtl/>
        </w:rPr>
        <w:t xml:space="preserve"> </w:t>
      </w:r>
      <w:r w:rsidRPr="003520EF">
        <w:rPr>
          <w:rtl/>
        </w:rPr>
        <w:t>للهوية</w:t>
      </w:r>
      <w:r w:rsidR="00DC6C59">
        <w:rPr>
          <w:rtl/>
        </w:rPr>
        <w:t xml:space="preserve"> </w:t>
      </w:r>
      <w:r w:rsidRPr="003520EF">
        <w:rPr>
          <w:rtl/>
        </w:rPr>
        <w:t>المتعددة</w:t>
      </w:r>
      <w:r w:rsidR="00DC6C59">
        <w:rPr>
          <w:rtl/>
        </w:rPr>
        <w:t xml:space="preserve"> </w:t>
      </w:r>
      <w:r w:rsidRPr="003520EF">
        <w:rPr>
          <w:rtl/>
        </w:rPr>
        <w:t>الأبعاد،</w:t>
      </w:r>
      <w:r w:rsidR="00DC6C59">
        <w:rPr>
          <w:rtl/>
        </w:rPr>
        <w:t xml:space="preserve"> </w:t>
      </w:r>
      <w:r w:rsidRPr="003520EF">
        <w:rPr>
          <w:rtl/>
        </w:rPr>
        <w:t>ومن</w:t>
      </w:r>
      <w:r w:rsidR="00DC6C59">
        <w:rPr>
          <w:rtl/>
        </w:rPr>
        <w:t xml:space="preserve"> </w:t>
      </w:r>
      <w:r w:rsidRPr="003520EF">
        <w:rPr>
          <w:rtl/>
        </w:rPr>
        <w:t>ثم،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القوانين</w:t>
      </w:r>
      <w:r w:rsidR="00DC6C59">
        <w:rPr>
          <w:rtl/>
        </w:rPr>
        <w:t xml:space="preserve"> </w:t>
      </w:r>
      <w:r w:rsidRPr="003520EF">
        <w:rPr>
          <w:rtl/>
        </w:rPr>
        <w:t>والسياسات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بالإعاقة</w:t>
      </w:r>
      <w:r w:rsidR="00DC6C59">
        <w:rPr>
          <w:rtl/>
        </w:rPr>
        <w:t xml:space="preserve"> </w:t>
      </w:r>
      <w:r w:rsidRPr="003520EF">
        <w:rPr>
          <w:rtl/>
        </w:rPr>
        <w:t>يجب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تضع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الحسبان</w:t>
      </w:r>
      <w:r w:rsidR="00DC6C59">
        <w:rPr>
          <w:rtl/>
        </w:rPr>
        <w:t xml:space="preserve"> </w:t>
      </w:r>
      <w:r w:rsidRPr="003520EF">
        <w:rPr>
          <w:rtl/>
        </w:rPr>
        <w:t>تنوع</w:t>
      </w:r>
      <w:r w:rsidR="00DC6C59">
        <w:rPr>
          <w:rtl/>
        </w:rPr>
        <w:t xml:space="preserve"> </w:t>
      </w:r>
      <w:r w:rsidRPr="003520EF">
        <w:rPr>
          <w:rtl/>
        </w:rPr>
        <w:t>فئات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ومن</w:t>
      </w:r>
      <w:r w:rsidR="00DC6C59">
        <w:rPr>
          <w:rtl/>
        </w:rPr>
        <w:t xml:space="preserve"> </w:t>
      </w:r>
      <w:r w:rsidRPr="003520EF">
        <w:rPr>
          <w:rtl/>
        </w:rPr>
        <w:t>المسلم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مترابطة</w:t>
      </w:r>
      <w:r w:rsidR="00DC6C59">
        <w:rPr>
          <w:rtl/>
        </w:rPr>
        <w:t xml:space="preserve"> </w:t>
      </w:r>
      <w:r w:rsidRPr="003520EF">
        <w:rPr>
          <w:rtl/>
        </w:rPr>
        <w:t>ومتشابكة</w:t>
      </w:r>
      <w:r w:rsidR="00DC6C59">
        <w:rPr>
          <w:rtl/>
        </w:rPr>
        <w:t xml:space="preserve"> </w:t>
      </w:r>
      <w:r w:rsidRPr="003520EF">
        <w:rPr>
          <w:rtl/>
        </w:rPr>
        <w:t>وغير</w:t>
      </w:r>
      <w:r w:rsidR="00DC6C59">
        <w:rPr>
          <w:rtl/>
        </w:rPr>
        <w:t xml:space="preserve"> </w:t>
      </w:r>
      <w:r w:rsidRPr="003520EF">
        <w:rPr>
          <w:rtl/>
        </w:rPr>
        <w:t>قابلة</w:t>
      </w:r>
      <w:r w:rsidR="00DC6C59">
        <w:rPr>
          <w:rtl/>
        </w:rPr>
        <w:t xml:space="preserve"> </w:t>
      </w:r>
      <w:r w:rsidRPr="003520EF">
        <w:rPr>
          <w:rtl/>
        </w:rPr>
        <w:t>للتجزئة.</w:t>
      </w:r>
      <w:r w:rsidR="00DC6C59">
        <w:rPr>
          <w:rtl/>
        </w:rPr>
        <w:t xml:space="preserve"> </w:t>
      </w:r>
      <w:bookmarkStart w:id="6" w:name="_Hlk103335269"/>
      <w:bookmarkEnd w:id="6"/>
    </w:p>
    <w:p w14:paraId="0E5E83EF" w14:textId="5CAEE63E" w:rsidR="00EC13CA" w:rsidRPr="005170C9" w:rsidRDefault="00EC13CA" w:rsidP="00EC13CA">
      <w:pPr>
        <w:pStyle w:val="HChGA"/>
      </w:pPr>
      <w:r w:rsidRPr="005170C9">
        <w:rPr>
          <w:rtl/>
        </w:rPr>
        <w:tab/>
        <w:t>ثالثا</w:t>
      </w:r>
      <w:r w:rsidRPr="005170C9">
        <w:rPr>
          <w:rFonts w:hint="cs"/>
          <w:rtl/>
        </w:rPr>
        <w:t>ً</w:t>
      </w:r>
      <w:r w:rsidRPr="005170C9">
        <w:rPr>
          <w:rtl/>
        </w:rPr>
        <w:t>-</w:t>
      </w:r>
      <w:r w:rsidRPr="005170C9">
        <w:rPr>
          <w:rtl/>
        </w:rPr>
        <w:tab/>
        <w:t>المضمون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المعياري</w:t>
      </w:r>
    </w:p>
    <w:p w14:paraId="6D9233F5" w14:textId="736EB894" w:rsidR="00DC6C59" w:rsidRPr="00DC6C59" w:rsidRDefault="00EC13CA" w:rsidP="00EC13CA">
      <w:pPr>
        <w:pStyle w:val="SingleTxtGA"/>
      </w:pPr>
      <w:r w:rsidRPr="005170C9">
        <w:rPr>
          <w:rtl/>
        </w:rPr>
        <w:t>9</w:t>
      </w:r>
      <w:r w:rsidRPr="003520EF">
        <w:rPr>
          <w:rtl/>
        </w:rPr>
        <w:t>-</w:t>
      </w:r>
      <w:r w:rsidRPr="003520EF">
        <w:rPr>
          <w:rtl/>
        </w:rPr>
        <w:tab/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أساسي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وعنصر</w:t>
      </w:r>
      <w:r w:rsidR="00DC6C59">
        <w:rPr>
          <w:rtl/>
        </w:rPr>
        <w:t xml:space="preserve"> </w:t>
      </w:r>
      <w:r w:rsidRPr="003520EF">
        <w:rPr>
          <w:rtl/>
        </w:rPr>
        <w:t>أساسي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عناصر</w:t>
      </w:r>
      <w:r w:rsidR="00DC6C59">
        <w:rPr>
          <w:rtl/>
        </w:rPr>
        <w:t xml:space="preserve"> </w:t>
      </w:r>
      <w:r w:rsidRPr="003520EF">
        <w:rPr>
          <w:rtl/>
        </w:rPr>
        <w:t>الكرامة</w:t>
      </w:r>
      <w:r w:rsidR="00DC6C59">
        <w:rPr>
          <w:rtl/>
        </w:rPr>
        <w:t xml:space="preserve"> </w:t>
      </w:r>
      <w:r w:rsidRPr="003520EF">
        <w:rPr>
          <w:rtl/>
        </w:rPr>
        <w:t>الإنسانية.</w:t>
      </w:r>
      <w:r w:rsidR="00DC6C59">
        <w:rPr>
          <w:rtl/>
        </w:rPr>
        <w:t xml:space="preserve"> </w:t>
      </w:r>
      <w:r w:rsidRPr="003520EF">
        <w:rPr>
          <w:rtl/>
        </w:rPr>
        <w:t>وفي</w:t>
      </w:r>
      <w:r w:rsidR="00DC6C59">
        <w:rPr>
          <w:rtl/>
        </w:rPr>
        <w:t xml:space="preserve"> </w:t>
      </w:r>
      <w:r w:rsidRPr="003520EF">
        <w:rPr>
          <w:rtl/>
        </w:rPr>
        <w:t>الإعلان</w:t>
      </w:r>
      <w:r w:rsidR="00DC6C59">
        <w:rPr>
          <w:rtl/>
        </w:rPr>
        <w:t xml:space="preserve"> </w:t>
      </w:r>
      <w:r w:rsidRPr="003520EF">
        <w:rPr>
          <w:rtl/>
        </w:rPr>
        <w:t>العالمي</w:t>
      </w:r>
      <w:r w:rsidR="00DC6C59">
        <w:rPr>
          <w:rtl/>
        </w:rPr>
        <w:t xml:space="preserve"> </w:t>
      </w:r>
      <w:r w:rsidRPr="003520EF">
        <w:rPr>
          <w:rtl/>
        </w:rPr>
        <w:t>لحقوق</w:t>
      </w:r>
      <w:r w:rsidR="00DC6C59">
        <w:rPr>
          <w:rtl/>
        </w:rPr>
        <w:t xml:space="preserve"> </w:t>
      </w:r>
      <w:r w:rsidRPr="003520EF">
        <w:rPr>
          <w:rtl/>
        </w:rPr>
        <w:t>الإنسان،</w:t>
      </w:r>
      <w:r w:rsidR="00DC6C59">
        <w:rPr>
          <w:rtl/>
        </w:rPr>
        <w:t xml:space="preserve"> </w:t>
      </w:r>
      <w:r w:rsidRPr="003520EF">
        <w:rPr>
          <w:rtl/>
        </w:rPr>
        <w:t>تعترف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23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وزيادة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العهد</w:t>
      </w:r>
      <w:r w:rsidR="00DC6C59">
        <w:rPr>
          <w:rtl/>
        </w:rPr>
        <w:t xml:space="preserve"> </w:t>
      </w:r>
      <w:r w:rsidRPr="003520EF">
        <w:rPr>
          <w:rtl/>
        </w:rPr>
        <w:t>الدولي</w:t>
      </w:r>
      <w:r w:rsidR="00DC6C59">
        <w:rPr>
          <w:rtl/>
        </w:rPr>
        <w:t xml:space="preserve"> </w:t>
      </w:r>
      <w:r w:rsidRPr="003520EF">
        <w:rPr>
          <w:rtl/>
        </w:rPr>
        <w:t>الخاص</w:t>
      </w:r>
      <w:r w:rsidR="00DC6C59">
        <w:rPr>
          <w:rtl/>
        </w:rPr>
        <w:t xml:space="preserve"> </w:t>
      </w:r>
      <w:r w:rsidRPr="003520EF">
        <w:rPr>
          <w:rtl/>
        </w:rPr>
        <w:t>بالحقوق</w:t>
      </w:r>
      <w:r w:rsidR="00DC6C59">
        <w:rPr>
          <w:rtl/>
        </w:rPr>
        <w:t xml:space="preserve"> </w:t>
      </w:r>
      <w:r w:rsidRPr="003520EF">
        <w:rPr>
          <w:rtl/>
        </w:rPr>
        <w:t>الاقتصادية</w:t>
      </w:r>
      <w:r w:rsidR="00DC6C59">
        <w:rPr>
          <w:rtl/>
        </w:rPr>
        <w:t xml:space="preserve"> </w:t>
      </w:r>
      <w:r w:rsidRPr="003520EF">
        <w:rPr>
          <w:rtl/>
        </w:rPr>
        <w:t>والاجتماعية</w:t>
      </w:r>
      <w:r w:rsidR="00DC6C59">
        <w:rPr>
          <w:rtl/>
        </w:rPr>
        <w:t xml:space="preserve"> </w:t>
      </w:r>
      <w:r w:rsidRPr="003520EF">
        <w:rPr>
          <w:rtl/>
        </w:rPr>
        <w:t>والثقافية،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مشمول</w:t>
      </w:r>
      <w:r w:rsidR="00DC6C59">
        <w:rPr>
          <w:rtl/>
        </w:rPr>
        <w:t xml:space="preserve"> </w:t>
      </w:r>
      <w:r w:rsidRPr="003520EF">
        <w:rPr>
          <w:rtl/>
        </w:rPr>
        <w:t>بأحكام</w:t>
      </w:r>
      <w:r w:rsidR="00DC6C59">
        <w:rPr>
          <w:rtl/>
        </w:rPr>
        <w:t xml:space="preserve"> </w:t>
      </w:r>
      <w:r w:rsidRPr="003520EF">
        <w:rPr>
          <w:rtl/>
        </w:rPr>
        <w:t>الفقرة</w:t>
      </w:r>
      <w:r w:rsidR="00DC6C59">
        <w:rPr>
          <w:rtl/>
        </w:rPr>
        <w:t xml:space="preserve"> </w:t>
      </w:r>
      <w:r w:rsidRPr="005170C9">
        <w:rPr>
          <w:rtl/>
        </w:rPr>
        <w:t>3</w:t>
      </w:r>
      <w:r w:rsidRPr="003520EF">
        <w:rPr>
          <w:rtl/>
        </w:rPr>
        <w:t>(أ)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8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العهد</w:t>
      </w:r>
      <w:r w:rsidR="00DC6C59">
        <w:rPr>
          <w:rtl/>
        </w:rPr>
        <w:t xml:space="preserve"> </w:t>
      </w:r>
      <w:r w:rsidRPr="003520EF">
        <w:rPr>
          <w:rtl/>
        </w:rPr>
        <w:t>الدولي</w:t>
      </w:r>
      <w:r w:rsidR="00DC6C59">
        <w:rPr>
          <w:rtl/>
        </w:rPr>
        <w:t xml:space="preserve"> </w:t>
      </w:r>
      <w:r w:rsidRPr="003520EF">
        <w:rPr>
          <w:rtl/>
        </w:rPr>
        <w:t>الخاص</w:t>
      </w:r>
      <w:r w:rsidR="00DC6C59">
        <w:rPr>
          <w:rtl/>
        </w:rPr>
        <w:t xml:space="preserve"> </w:t>
      </w:r>
      <w:r w:rsidRPr="003520EF">
        <w:rPr>
          <w:rtl/>
        </w:rPr>
        <w:t>بالحقوق</w:t>
      </w:r>
      <w:r w:rsidR="00DC6C59">
        <w:rPr>
          <w:rtl/>
        </w:rPr>
        <w:t xml:space="preserve"> </w:t>
      </w:r>
      <w:r w:rsidRPr="003520EF">
        <w:rPr>
          <w:rtl/>
        </w:rPr>
        <w:t>المدنية</w:t>
      </w:r>
      <w:r w:rsidR="00DC6C59">
        <w:rPr>
          <w:rtl/>
        </w:rPr>
        <w:t xml:space="preserve"> </w:t>
      </w:r>
      <w:r w:rsidRPr="003520EF">
        <w:rPr>
          <w:rtl/>
        </w:rPr>
        <w:t>والسياسية،</w:t>
      </w:r>
      <w:r w:rsidR="00DC6C59">
        <w:rPr>
          <w:rtl/>
        </w:rPr>
        <w:t xml:space="preserve"> </w:t>
      </w:r>
      <w:r w:rsidRPr="003520EF">
        <w:rPr>
          <w:rtl/>
        </w:rPr>
        <w:t>والفقرة</w:t>
      </w:r>
      <w:r w:rsidR="00DC6C59">
        <w:rPr>
          <w:rtl/>
        </w:rPr>
        <w:t xml:space="preserve"> </w:t>
      </w:r>
      <w:r w:rsidRPr="003520EF">
        <w:rPr>
          <w:rtl/>
        </w:rPr>
        <w:t>(ه‍)</w:t>
      </w:r>
      <w:r w:rsidR="00E36C2A">
        <w:rPr>
          <w:rFonts w:hint="cs"/>
          <w:rtl/>
        </w:rPr>
        <w:t>‘</w:t>
      </w:r>
      <w:r w:rsidRPr="005170C9">
        <w:rPr>
          <w:rtl/>
        </w:rPr>
        <w:t>1</w:t>
      </w:r>
      <w:r w:rsidR="00E36C2A">
        <w:rPr>
          <w:rFonts w:hint="cs"/>
          <w:rtl/>
        </w:rPr>
        <w:t>‘</w:t>
      </w:r>
      <w:r w:rsidR="00DC6C59">
        <w:rPr>
          <w:rtl/>
        </w:rPr>
        <w:t xml:space="preserve"> </w:t>
      </w:r>
      <w:r w:rsidRPr="003520EF">
        <w:rPr>
          <w:rtl/>
        </w:rPr>
        <w:t>و</w:t>
      </w:r>
      <w:r w:rsidR="00E36C2A">
        <w:rPr>
          <w:rFonts w:hint="cs"/>
          <w:rtl/>
        </w:rPr>
        <w:t>‘</w:t>
      </w:r>
      <w:r w:rsidRPr="005170C9">
        <w:rPr>
          <w:rtl/>
        </w:rPr>
        <w:t>2</w:t>
      </w:r>
      <w:r w:rsidRPr="003520EF">
        <w:rPr>
          <w:rtl/>
        </w:rPr>
        <w:t>‘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5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</w:t>
      </w:r>
      <w:r w:rsidR="00DC6C59">
        <w:rPr>
          <w:rtl/>
        </w:rPr>
        <w:t xml:space="preserve"> </w:t>
      </w:r>
      <w:r w:rsidRPr="003520EF">
        <w:rPr>
          <w:rtl/>
        </w:rPr>
        <w:t>الدولية</w:t>
      </w:r>
      <w:r w:rsidR="00DC6C59">
        <w:rPr>
          <w:rtl/>
        </w:rPr>
        <w:t xml:space="preserve"> </w:t>
      </w:r>
      <w:r w:rsidRPr="003520EF">
        <w:rPr>
          <w:rtl/>
        </w:rPr>
        <w:t>للقضاء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أشكال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العنصري،</w:t>
      </w:r>
      <w:r w:rsidR="00DC6C59">
        <w:rPr>
          <w:rtl/>
        </w:rPr>
        <w:t xml:space="preserve"> </w:t>
      </w:r>
      <w:r w:rsidRPr="003520EF">
        <w:rPr>
          <w:rtl/>
        </w:rPr>
        <w:t>والمادة</w:t>
      </w:r>
      <w:r w:rsidR="00DC6C59">
        <w:rPr>
          <w:rtl/>
        </w:rPr>
        <w:t xml:space="preserve"> </w:t>
      </w:r>
      <w:r w:rsidRPr="005170C9">
        <w:rPr>
          <w:rtl/>
        </w:rPr>
        <w:t>11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اتفاقية</w:t>
      </w:r>
      <w:r w:rsidR="00DC6C59">
        <w:rPr>
          <w:rtl/>
        </w:rPr>
        <w:t xml:space="preserve"> </w:t>
      </w:r>
      <w:r w:rsidRPr="003520EF">
        <w:rPr>
          <w:rtl/>
        </w:rPr>
        <w:t>القضاء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أشكال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ضد</w:t>
      </w:r>
      <w:r w:rsidR="00DC6C59">
        <w:rPr>
          <w:rtl/>
        </w:rPr>
        <w:t xml:space="preserve"> </w:t>
      </w:r>
      <w:r w:rsidRPr="003520EF">
        <w:rPr>
          <w:rtl/>
        </w:rPr>
        <w:t>المرأة؛</w:t>
      </w:r>
      <w:r w:rsidR="00DC6C59">
        <w:rPr>
          <w:rtl/>
        </w:rPr>
        <w:t xml:space="preserve"> </w:t>
      </w:r>
      <w:r w:rsidRPr="003520EF">
        <w:rPr>
          <w:rtl/>
        </w:rPr>
        <w:t>والمادة</w:t>
      </w:r>
      <w:r w:rsidR="00DC6C59">
        <w:rPr>
          <w:rtl/>
        </w:rPr>
        <w:t xml:space="preserve"> </w:t>
      </w:r>
      <w:r w:rsidRPr="005170C9">
        <w:rPr>
          <w:rtl/>
        </w:rPr>
        <w:t>32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اتفاقية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الطفل؛</w:t>
      </w:r>
      <w:r w:rsidR="00DC6C59">
        <w:rPr>
          <w:rtl/>
        </w:rPr>
        <w:t xml:space="preserve"> </w:t>
      </w:r>
      <w:r w:rsidRPr="003520EF">
        <w:rPr>
          <w:rtl/>
        </w:rPr>
        <w:t>والمواد</w:t>
      </w:r>
      <w:r w:rsidR="00DC6C59">
        <w:rPr>
          <w:rtl/>
        </w:rPr>
        <w:t xml:space="preserve"> </w:t>
      </w:r>
      <w:r w:rsidRPr="005170C9">
        <w:rPr>
          <w:rtl/>
        </w:rPr>
        <w:t>25</w:t>
      </w:r>
      <w:r w:rsidR="00DC6C59"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26</w:t>
      </w:r>
      <w:r w:rsidR="00DC6C59"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40</w:t>
      </w:r>
      <w:r w:rsidR="00DC6C59"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52</w:t>
      </w:r>
      <w:r w:rsidR="00DC6C59"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54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</w:t>
      </w:r>
      <w:r w:rsidR="00DC6C59">
        <w:rPr>
          <w:rtl/>
        </w:rPr>
        <w:t xml:space="preserve"> </w:t>
      </w:r>
      <w:r w:rsidRPr="003520EF">
        <w:rPr>
          <w:rtl/>
        </w:rPr>
        <w:t>الدولية</w:t>
      </w:r>
      <w:r w:rsidR="00DC6C59">
        <w:rPr>
          <w:rtl/>
        </w:rPr>
        <w:t xml:space="preserve"> </w:t>
      </w:r>
      <w:r w:rsidRPr="003520EF">
        <w:rPr>
          <w:rtl/>
        </w:rPr>
        <w:t>لحماية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المهاجرين</w:t>
      </w:r>
      <w:r w:rsidR="00DC6C59">
        <w:rPr>
          <w:rtl/>
        </w:rPr>
        <w:t xml:space="preserve"> </w:t>
      </w:r>
      <w:r w:rsidRPr="003520EF">
        <w:rPr>
          <w:rtl/>
        </w:rPr>
        <w:t>وأفراد</w:t>
      </w:r>
      <w:r w:rsidR="00DC6C59">
        <w:rPr>
          <w:rtl/>
        </w:rPr>
        <w:t xml:space="preserve"> </w:t>
      </w:r>
      <w:r w:rsidRPr="003520EF">
        <w:rPr>
          <w:rtl/>
        </w:rPr>
        <w:t>أسرهم.</w:t>
      </w:r>
      <w:r w:rsidR="00DC6C59">
        <w:rPr>
          <w:rtl/>
        </w:rPr>
        <w:t xml:space="preserve"> </w:t>
      </w:r>
      <w:r w:rsidRPr="003520EF">
        <w:rPr>
          <w:rtl/>
        </w:rPr>
        <w:t>وبالمثل،</w:t>
      </w:r>
      <w:r w:rsidR="00DC6C59">
        <w:rPr>
          <w:rtl/>
        </w:rPr>
        <w:t xml:space="preserve"> </w:t>
      </w:r>
      <w:r w:rsidRPr="003520EF">
        <w:rPr>
          <w:rtl/>
        </w:rPr>
        <w:t>أعلنت</w:t>
      </w:r>
      <w:r w:rsidR="00DC6C59">
        <w:rPr>
          <w:rtl/>
        </w:rPr>
        <w:t xml:space="preserve"> </w:t>
      </w:r>
      <w:r w:rsidRPr="003520EF">
        <w:rPr>
          <w:rtl/>
        </w:rPr>
        <w:t>الجمعية</w:t>
      </w:r>
      <w:r w:rsidR="00DC6C59">
        <w:rPr>
          <w:rtl/>
        </w:rPr>
        <w:t xml:space="preserve"> </w:t>
      </w:r>
      <w:r w:rsidRPr="003520EF">
        <w:rPr>
          <w:rtl/>
        </w:rPr>
        <w:t>العامة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إعلان</w:t>
      </w:r>
      <w:r w:rsidR="00DC6C59">
        <w:rPr>
          <w:rtl/>
        </w:rPr>
        <w:t xml:space="preserve"> </w:t>
      </w:r>
      <w:r w:rsidRPr="003520EF">
        <w:rPr>
          <w:rtl/>
        </w:rPr>
        <w:t>التقدم</w:t>
      </w:r>
      <w:r w:rsidR="00DC6C59">
        <w:rPr>
          <w:rtl/>
        </w:rPr>
        <w:t xml:space="preserve"> </w:t>
      </w:r>
      <w:r w:rsidRPr="003520EF">
        <w:rPr>
          <w:rtl/>
        </w:rPr>
        <w:t>والنماء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الميدان</w:t>
      </w:r>
      <w:r w:rsidR="00DC6C59">
        <w:rPr>
          <w:rtl/>
        </w:rPr>
        <w:t xml:space="preserve"> </w:t>
      </w:r>
      <w:r w:rsidRPr="003520EF">
        <w:rPr>
          <w:rtl/>
        </w:rPr>
        <w:t>الاجتماعي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6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قرارها</w:t>
      </w:r>
      <w:r w:rsidR="00DC6C59">
        <w:rPr>
          <w:rtl/>
        </w:rPr>
        <w:t xml:space="preserve"> </w:t>
      </w:r>
      <w:r w:rsidRPr="005170C9">
        <w:rPr>
          <w:rtl/>
        </w:rPr>
        <w:t>2542</w:t>
      </w:r>
      <w:r w:rsidR="00DC6C59">
        <w:rPr>
          <w:rtl/>
        </w:rPr>
        <w:t xml:space="preserve"> </w:t>
      </w:r>
      <w:r w:rsidRPr="003520EF">
        <w:rPr>
          <w:rtl/>
        </w:rPr>
        <w:t>(د-</w:t>
      </w:r>
      <w:r w:rsidRPr="005170C9">
        <w:rPr>
          <w:rtl/>
        </w:rPr>
        <w:t>2</w:t>
      </w:r>
      <w:r w:rsidR="00DC6C59" w:rsidRPr="005170C9">
        <w:rPr>
          <w:rtl/>
        </w:rPr>
        <w:t>4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المؤرخ</w:t>
      </w:r>
      <w:r w:rsidR="00DC6C59">
        <w:rPr>
          <w:rFonts w:hint="eastAsia"/>
          <w:rtl/>
        </w:rPr>
        <w:t> </w:t>
      </w:r>
      <w:r w:rsidRPr="005170C9">
        <w:rPr>
          <w:rtl/>
        </w:rPr>
        <w:t>11</w:t>
      </w:r>
      <w:r w:rsidR="00DC6C59">
        <w:rPr>
          <w:rtl/>
        </w:rPr>
        <w:t xml:space="preserve"> </w:t>
      </w:r>
      <w:r w:rsidRPr="003520EF">
        <w:rPr>
          <w:rtl/>
        </w:rPr>
        <w:t>كانون</w:t>
      </w:r>
      <w:r w:rsidR="00DC6C59">
        <w:rPr>
          <w:rtl/>
        </w:rPr>
        <w:t xml:space="preserve"> </w:t>
      </w:r>
      <w:r w:rsidRPr="003520EF">
        <w:rPr>
          <w:rtl/>
        </w:rPr>
        <w:t>الأول/ديسمبر</w:t>
      </w:r>
      <w:r w:rsidR="00DC6C59">
        <w:rPr>
          <w:rtl/>
        </w:rPr>
        <w:t xml:space="preserve"> </w:t>
      </w:r>
      <w:r w:rsidRPr="005170C9">
        <w:rPr>
          <w:rtl/>
        </w:rPr>
        <w:t>196</w:t>
      </w:r>
      <w:r w:rsidR="00DC6C59" w:rsidRPr="005170C9">
        <w:rPr>
          <w:rtl/>
        </w:rPr>
        <w:t>9</w:t>
      </w:r>
      <w:r w:rsidR="00DC6C59" w:rsidRPr="00DC6C59">
        <w:rPr>
          <w:rtl/>
        </w:rPr>
        <w:t>.</w:t>
      </w:r>
    </w:p>
    <w:p w14:paraId="79D4DACF" w14:textId="3D7534E1" w:rsidR="00EC13CA" w:rsidRPr="003520EF" w:rsidRDefault="00EC13CA" w:rsidP="00EC13CA">
      <w:pPr>
        <w:pStyle w:val="SingleTxtGA"/>
      </w:pPr>
      <w:r w:rsidRPr="005170C9">
        <w:rPr>
          <w:rtl/>
        </w:rPr>
        <w:t>10</w:t>
      </w:r>
      <w:r w:rsidRPr="003520EF">
        <w:rPr>
          <w:rtl/>
        </w:rPr>
        <w:t>-</w:t>
      </w:r>
      <w:r w:rsidRPr="003520EF">
        <w:rPr>
          <w:rtl/>
        </w:rPr>
        <w:tab/>
        <w:t>وتنص</w:t>
      </w:r>
      <w:r w:rsidR="00DC6C59">
        <w:rPr>
          <w:rtl/>
        </w:rPr>
        <w:t xml:space="preserve"> </w:t>
      </w:r>
      <w:r w:rsidRPr="003520EF">
        <w:rPr>
          <w:rtl/>
        </w:rPr>
        <w:t>عدة</w:t>
      </w:r>
      <w:r w:rsidR="00DC6C59">
        <w:rPr>
          <w:rtl/>
        </w:rPr>
        <w:t xml:space="preserve"> </w:t>
      </w:r>
      <w:r w:rsidRPr="003520EF">
        <w:rPr>
          <w:rtl/>
        </w:rPr>
        <w:t>صكوك</w:t>
      </w:r>
      <w:r w:rsidR="00DC6C59">
        <w:rPr>
          <w:rtl/>
        </w:rPr>
        <w:t xml:space="preserve"> </w:t>
      </w:r>
      <w:r w:rsidRPr="003520EF">
        <w:rPr>
          <w:rtl/>
        </w:rPr>
        <w:t>إقليمية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-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الميثاق</w:t>
      </w:r>
      <w:r w:rsidR="00DC6C59">
        <w:rPr>
          <w:rtl/>
        </w:rPr>
        <w:t xml:space="preserve"> </w:t>
      </w:r>
      <w:r w:rsidRPr="003520EF">
        <w:rPr>
          <w:rtl/>
        </w:rPr>
        <w:t>الاجتماعي</w:t>
      </w:r>
      <w:r w:rsidR="00DC6C59">
        <w:rPr>
          <w:rtl/>
        </w:rPr>
        <w:t xml:space="preserve"> </w:t>
      </w:r>
      <w:r w:rsidRPr="003520EF">
        <w:rPr>
          <w:rtl/>
        </w:rPr>
        <w:t>الأوروبي</w:t>
      </w:r>
      <w:r w:rsidR="00DC6C59">
        <w:rPr>
          <w:rtl/>
        </w:rPr>
        <w:t xml:space="preserve"> </w:t>
      </w:r>
      <w:r w:rsidRPr="003520EF">
        <w:rPr>
          <w:rtl/>
        </w:rPr>
        <w:t>لعام</w:t>
      </w:r>
      <w:r w:rsidR="00DC6C59">
        <w:rPr>
          <w:rtl/>
        </w:rPr>
        <w:t xml:space="preserve"> </w:t>
      </w:r>
      <w:r w:rsidRPr="005170C9">
        <w:rPr>
          <w:rtl/>
        </w:rPr>
        <w:t>1961</w:t>
      </w:r>
      <w:r w:rsidR="00DC6C59">
        <w:rPr>
          <w:rtl/>
        </w:rPr>
        <w:t xml:space="preserve"> </w:t>
      </w:r>
      <w:r w:rsidRPr="003520EF">
        <w:rPr>
          <w:rtl/>
        </w:rPr>
        <w:t>(الباب</w:t>
      </w:r>
      <w:r w:rsidR="00DC6C59">
        <w:rPr>
          <w:rtl/>
        </w:rPr>
        <w:t xml:space="preserve"> </w:t>
      </w:r>
      <w:r w:rsidRPr="003520EF">
        <w:rPr>
          <w:rtl/>
        </w:rPr>
        <w:t>الثاني،</w:t>
      </w:r>
      <w:r w:rsidR="00DC6C59">
        <w:rPr>
          <w:rtl/>
        </w:rPr>
        <w:t xml:space="preserve"> </w:t>
      </w:r>
      <w:r w:rsidRPr="003520EF">
        <w:rPr>
          <w:rtl/>
        </w:rPr>
        <w:t>المواد</w:t>
      </w:r>
      <w:r w:rsidR="00DC6C59">
        <w:rPr>
          <w:rtl/>
        </w:rPr>
        <w:t xml:space="preserve"> </w:t>
      </w:r>
      <w:r w:rsidRPr="005170C9">
        <w:rPr>
          <w:rtl/>
        </w:rPr>
        <w:t>1</w:t>
      </w:r>
      <w:r w:rsidRPr="003520EF">
        <w:rPr>
          <w:rtl/>
        </w:rPr>
        <w:t>-</w:t>
      </w:r>
      <w:r w:rsidRPr="005170C9">
        <w:rPr>
          <w:rtl/>
        </w:rPr>
        <w:t>1</w:t>
      </w:r>
      <w:r w:rsidR="00DC6C59" w:rsidRPr="005170C9">
        <w:rPr>
          <w:rtl/>
        </w:rPr>
        <w:t>0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والميثاق</w:t>
      </w:r>
      <w:r w:rsidR="00DC6C59">
        <w:rPr>
          <w:rtl/>
        </w:rPr>
        <w:t xml:space="preserve"> </w:t>
      </w:r>
      <w:r w:rsidRPr="003520EF">
        <w:rPr>
          <w:rtl/>
        </w:rPr>
        <w:t>الاجتماعي</w:t>
      </w:r>
      <w:r w:rsidR="00DC6C59">
        <w:rPr>
          <w:rtl/>
        </w:rPr>
        <w:t xml:space="preserve"> </w:t>
      </w:r>
      <w:r w:rsidRPr="003520EF">
        <w:rPr>
          <w:rtl/>
        </w:rPr>
        <w:t>الأوروبي</w:t>
      </w:r>
      <w:r w:rsidR="00DC6C59">
        <w:rPr>
          <w:rtl/>
        </w:rPr>
        <w:t xml:space="preserve"> </w:t>
      </w:r>
      <w:r w:rsidRPr="003520EF">
        <w:rPr>
          <w:rtl/>
        </w:rPr>
        <w:t>(المنقح)</w:t>
      </w:r>
      <w:r w:rsidR="00DC6C59">
        <w:rPr>
          <w:rtl/>
        </w:rPr>
        <w:t xml:space="preserve"> </w:t>
      </w:r>
      <w:r w:rsidRPr="003520EF">
        <w:rPr>
          <w:rtl/>
        </w:rPr>
        <w:t>لعام</w:t>
      </w:r>
      <w:r w:rsidR="00DC6C59">
        <w:rPr>
          <w:rtl/>
        </w:rPr>
        <w:t xml:space="preserve"> </w:t>
      </w:r>
      <w:r w:rsidRPr="005170C9">
        <w:rPr>
          <w:rtl/>
        </w:rPr>
        <w:t>1996</w:t>
      </w:r>
      <w:r w:rsidR="00DC6C59">
        <w:rPr>
          <w:rtl/>
        </w:rPr>
        <w:t xml:space="preserve"> </w:t>
      </w:r>
      <w:r w:rsidRPr="003520EF">
        <w:rPr>
          <w:rtl/>
        </w:rPr>
        <w:t>(الباب</w:t>
      </w:r>
      <w:r w:rsidR="00DC6C59">
        <w:rPr>
          <w:rtl/>
        </w:rPr>
        <w:t xml:space="preserve"> </w:t>
      </w:r>
      <w:r w:rsidRPr="003520EF">
        <w:rPr>
          <w:rtl/>
        </w:rPr>
        <w:t>الثاني،</w:t>
      </w:r>
      <w:r w:rsidR="00DC6C59">
        <w:rPr>
          <w:rtl/>
        </w:rPr>
        <w:t xml:space="preserve"> </w:t>
      </w:r>
      <w:r w:rsidRPr="003520EF">
        <w:rPr>
          <w:rtl/>
        </w:rPr>
        <w:t>المواد</w:t>
      </w:r>
      <w:r w:rsidR="00DC6C59">
        <w:rPr>
          <w:rtl/>
        </w:rPr>
        <w:t xml:space="preserve"> </w:t>
      </w:r>
      <w:r w:rsidRPr="005170C9">
        <w:rPr>
          <w:rtl/>
        </w:rPr>
        <w:t>1</w:t>
      </w:r>
      <w:r w:rsidRPr="003520EF">
        <w:rPr>
          <w:rtl/>
        </w:rPr>
        <w:t>-</w:t>
      </w:r>
      <w:r w:rsidRPr="005170C9">
        <w:rPr>
          <w:rtl/>
        </w:rPr>
        <w:t>10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والميثاق</w:t>
      </w:r>
      <w:r w:rsidR="00DC6C59">
        <w:rPr>
          <w:rtl/>
        </w:rPr>
        <w:t xml:space="preserve"> </w:t>
      </w:r>
      <w:r w:rsidRPr="003520EF">
        <w:rPr>
          <w:rtl/>
        </w:rPr>
        <w:t>الأفريقي</w:t>
      </w:r>
      <w:r w:rsidR="00DC6C59">
        <w:rPr>
          <w:rtl/>
        </w:rPr>
        <w:t xml:space="preserve"> </w:t>
      </w:r>
      <w:r w:rsidRPr="003520EF">
        <w:rPr>
          <w:rtl/>
        </w:rPr>
        <w:t>لحقوق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والشعوب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15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والبروتوكول</w:t>
      </w:r>
      <w:r w:rsidR="00DC6C59">
        <w:rPr>
          <w:rtl/>
        </w:rPr>
        <w:t xml:space="preserve"> </w:t>
      </w:r>
      <w:r w:rsidRPr="003520EF">
        <w:rPr>
          <w:rtl/>
        </w:rPr>
        <w:t>الإضافي</w:t>
      </w:r>
      <w:r w:rsidR="00DC6C59">
        <w:rPr>
          <w:rtl/>
        </w:rPr>
        <w:t xml:space="preserve"> </w:t>
      </w:r>
      <w:r w:rsidRPr="003520EF">
        <w:rPr>
          <w:rtl/>
        </w:rPr>
        <w:t>للاتفاقية</w:t>
      </w:r>
      <w:r w:rsidR="00DC6C59">
        <w:rPr>
          <w:rtl/>
        </w:rPr>
        <w:t xml:space="preserve"> </w:t>
      </w:r>
      <w:r w:rsidRPr="003520EF">
        <w:rPr>
          <w:rtl/>
        </w:rPr>
        <w:t>الأمريكية</w:t>
      </w:r>
      <w:r w:rsidR="00DC6C59">
        <w:rPr>
          <w:rtl/>
        </w:rPr>
        <w:t xml:space="preserve"> </w:t>
      </w:r>
      <w:r w:rsidRPr="003520EF">
        <w:rPr>
          <w:rtl/>
        </w:rPr>
        <w:t>لحقوق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المتعلق</w:t>
      </w:r>
      <w:r w:rsidR="00DC6C59">
        <w:rPr>
          <w:rtl/>
        </w:rPr>
        <w:t xml:space="preserve"> </w:t>
      </w:r>
      <w:r w:rsidRPr="003520EF">
        <w:rPr>
          <w:rtl/>
        </w:rPr>
        <w:t>بالحقوق</w:t>
      </w:r>
      <w:r w:rsidR="00DC6C59">
        <w:rPr>
          <w:rtl/>
        </w:rPr>
        <w:t xml:space="preserve"> </w:t>
      </w:r>
      <w:r w:rsidRPr="003520EF">
        <w:rPr>
          <w:rtl/>
        </w:rPr>
        <w:t>الاقتصادية</w:t>
      </w:r>
      <w:r w:rsidR="00DC6C59">
        <w:rPr>
          <w:rtl/>
        </w:rPr>
        <w:t xml:space="preserve"> </w:t>
      </w:r>
      <w:r w:rsidRPr="003520EF">
        <w:rPr>
          <w:rtl/>
        </w:rPr>
        <w:t>والاجتماعية</w:t>
      </w:r>
      <w:r w:rsidR="00DC6C59">
        <w:rPr>
          <w:rtl/>
        </w:rPr>
        <w:t xml:space="preserve"> </w:t>
      </w:r>
      <w:r w:rsidRPr="003520EF">
        <w:rPr>
          <w:rtl/>
        </w:rPr>
        <w:t>والثقافية</w:t>
      </w:r>
      <w:r w:rsidR="00DC6C59">
        <w:rPr>
          <w:rtl/>
        </w:rPr>
        <w:t xml:space="preserve"> </w:t>
      </w:r>
      <w:r w:rsidRPr="003520EF">
        <w:rPr>
          <w:rtl/>
        </w:rPr>
        <w:t>(المواد</w:t>
      </w:r>
      <w:r w:rsidR="00DC6C59">
        <w:rPr>
          <w:rtl/>
        </w:rPr>
        <w:t xml:space="preserve"> </w:t>
      </w:r>
      <w:r w:rsidRPr="005170C9">
        <w:rPr>
          <w:rtl/>
        </w:rPr>
        <w:t>6</w:t>
      </w:r>
      <w:r w:rsidRPr="003520EF">
        <w:rPr>
          <w:rtl/>
        </w:rPr>
        <w:t>-</w:t>
      </w:r>
      <w:r w:rsidR="00DC6C59" w:rsidRPr="005170C9">
        <w:rPr>
          <w:rtl/>
        </w:rPr>
        <w:t>8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t>–</w:t>
      </w:r>
      <w:r w:rsidR="00DC6C59">
        <w:rPr>
          <w:rtl/>
        </w:rPr>
        <w:t xml:space="preserve"> </w:t>
      </w:r>
      <w:r w:rsidRPr="003520EF">
        <w:rPr>
          <w:rtl/>
        </w:rPr>
        <w:t>وتؤكد</w:t>
      </w:r>
      <w:r w:rsidR="00DC6C59">
        <w:rPr>
          <w:rtl/>
        </w:rPr>
        <w:t xml:space="preserve"> </w:t>
      </w:r>
      <w:r w:rsidRPr="003520EF">
        <w:rPr>
          <w:rtl/>
        </w:rPr>
        <w:t>المبدأ</w:t>
      </w:r>
      <w:r w:rsidR="00DC6C59">
        <w:rPr>
          <w:rtl/>
        </w:rPr>
        <w:t xml:space="preserve"> </w:t>
      </w:r>
      <w:r w:rsidRPr="003520EF">
        <w:rPr>
          <w:rtl/>
        </w:rPr>
        <w:t>القاضي</w:t>
      </w:r>
      <w:r w:rsidR="00DC6C59">
        <w:rPr>
          <w:rtl/>
        </w:rPr>
        <w:t xml:space="preserve"> </w:t>
      </w:r>
      <w:r w:rsidRPr="003520EF">
        <w:rPr>
          <w:rtl/>
        </w:rPr>
        <w:t>بأن</w:t>
      </w:r>
      <w:r w:rsidR="00DC6C59">
        <w:rPr>
          <w:rtl/>
        </w:rPr>
        <w:t xml:space="preserve"> </w:t>
      </w:r>
      <w:r w:rsidRPr="003520EF">
        <w:rPr>
          <w:rtl/>
        </w:rPr>
        <w:t>احترام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يفرض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التزاما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باتخاذ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ترمي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تحقيق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الكاملة.</w:t>
      </w:r>
      <w:r w:rsidR="00DC6C59">
        <w:rPr>
          <w:rtl/>
        </w:rPr>
        <w:t xml:space="preserve"> </w:t>
      </w:r>
    </w:p>
    <w:p w14:paraId="75DB20FF" w14:textId="649C401D" w:rsidR="00EC13CA" w:rsidRPr="003520EF" w:rsidRDefault="00EC13CA" w:rsidP="00EC13CA">
      <w:pPr>
        <w:pStyle w:val="SingleTxtGA"/>
      </w:pPr>
      <w:r w:rsidRPr="005170C9">
        <w:rPr>
          <w:rtl/>
        </w:rPr>
        <w:t>11</w:t>
      </w:r>
      <w:r w:rsidRPr="003520EF">
        <w:rPr>
          <w:rtl/>
        </w:rPr>
        <w:t>-</w:t>
      </w:r>
      <w:r w:rsidRPr="003520EF">
        <w:rPr>
          <w:rtl/>
        </w:rPr>
        <w:tab/>
        <w:t>وحددت</w:t>
      </w:r>
      <w:r w:rsidR="00DC6C59">
        <w:rPr>
          <w:rtl/>
        </w:rPr>
        <w:t xml:space="preserve"> </w:t>
      </w:r>
      <w:r w:rsidRPr="003520EF">
        <w:rPr>
          <w:rtl/>
        </w:rPr>
        <w:t>منظمة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الدولية</w:t>
      </w:r>
      <w:r w:rsidR="00DC6C59">
        <w:rPr>
          <w:rtl/>
        </w:rPr>
        <w:t xml:space="preserve"> </w:t>
      </w:r>
      <w:r w:rsidRPr="003520EF">
        <w:rPr>
          <w:rtl/>
        </w:rPr>
        <w:t>مجموعة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الاتفاقيات</w:t>
      </w:r>
      <w:r w:rsidR="00DC6C59">
        <w:rPr>
          <w:rtl/>
        </w:rPr>
        <w:t xml:space="preserve"> </w:t>
      </w:r>
      <w:r w:rsidRPr="003520EF">
        <w:rPr>
          <w:rtl/>
        </w:rPr>
        <w:t>الأساسية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بالحقوق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9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وتُعتبر</w:t>
      </w:r>
      <w:r w:rsidR="00DC6C59">
        <w:rPr>
          <w:rtl/>
        </w:rPr>
        <w:t xml:space="preserve"> </w:t>
      </w:r>
      <w:r w:rsidRPr="003520EF">
        <w:rPr>
          <w:rtl/>
        </w:rPr>
        <w:t>المواضيع</w:t>
      </w:r>
      <w:r w:rsidR="00DC6C59">
        <w:rPr>
          <w:rtl/>
        </w:rPr>
        <w:t xml:space="preserve"> </w:t>
      </w:r>
      <w:r w:rsidRPr="003520EF">
        <w:rPr>
          <w:rtl/>
        </w:rPr>
        <w:t>المشمولة</w:t>
      </w:r>
      <w:r w:rsidR="00DC6C59">
        <w:rPr>
          <w:rtl/>
        </w:rPr>
        <w:t xml:space="preserve"> </w:t>
      </w:r>
      <w:r w:rsidRPr="003520EF">
        <w:rPr>
          <w:rtl/>
        </w:rPr>
        <w:t>بأحكامها</w:t>
      </w:r>
      <w:r w:rsidR="00DC6C59">
        <w:rPr>
          <w:rtl/>
        </w:rPr>
        <w:t xml:space="preserve"> </w:t>
      </w:r>
      <w:r w:rsidRPr="003520EF">
        <w:rPr>
          <w:rtl/>
        </w:rPr>
        <w:t>مبادئ</w:t>
      </w:r>
      <w:r w:rsidR="00DC6C59">
        <w:rPr>
          <w:rtl/>
        </w:rPr>
        <w:t xml:space="preserve"> </w:t>
      </w:r>
      <w:r w:rsidRPr="003520EF">
        <w:rPr>
          <w:rtl/>
        </w:rPr>
        <w:t>وحقوق</w:t>
      </w:r>
      <w:r w:rsidR="00DC6C59">
        <w:rPr>
          <w:rtl/>
        </w:rPr>
        <w:t xml:space="preserve"> </w:t>
      </w:r>
      <w:r w:rsidRPr="003520EF">
        <w:rPr>
          <w:rtl/>
        </w:rPr>
        <w:t>أساسية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وتشمل</w:t>
      </w:r>
      <w:r w:rsidR="00DC6C59">
        <w:rPr>
          <w:rtl/>
        </w:rPr>
        <w:t xml:space="preserve"> </w:t>
      </w:r>
      <w:r w:rsidRPr="003520EF">
        <w:rPr>
          <w:rtl/>
        </w:rPr>
        <w:t>حرية</w:t>
      </w:r>
      <w:r w:rsidR="00DC6C59">
        <w:rPr>
          <w:rtl/>
        </w:rPr>
        <w:t xml:space="preserve"> </w:t>
      </w:r>
      <w:r w:rsidRPr="003520EF">
        <w:rPr>
          <w:rtl/>
        </w:rPr>
        <w:t>تكوين</w:t>
      </w:r>
      <w:r w:rsidR="00DC6C59">
        <w:rPr>
          <w:rtl/>
        </w:rPr>
        <w:t xml:space="preserve"> </w:t>
      </w:r>
      <w:r w:rsidRPr="003520EF">
        <w:rPr>
          <w:rtl/>
        </w:rPr>
        <w:t>الجمعيات</w:t>
      </w:r>
      <w:r w:rsidR="00DC6C59">
        <w:rPr>
          <w:rtl/>
        </w:rPr>
        <w:t xml:space="preserve"> </w:t>
      </w:r>
      <w:r w:rsidRPr="003520EF">
        <w:rPr>
          <w:rtl/>
        </w:rPr>
        <w:t>والاعتراف</w:t>
      </w:r>
      <w:r w:rsidR="00DC6C59">
        <w:rPr>
          <w:rtl/>
        </w:rPr>
        <w:t xml:space="preserve"> </w:t>
      </w:r>
      <w:r w:rsidRPr="003520EF">
        <w:rPr>
          <w:rtl/>
        </w:rPr>
        <w:t>الفعلي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التفاوض</w:t>
      </w:r>
      <w:r w:rsidR="00DC6C59">
        <w:rPr>
          <w:rtl/>
        </w:rPr>
        <w:t xml:space="preserve"> </w:t>
      </w:r>
      <w:r w:rsidRPr="003520EF">
        <w:rPr>
          <w:rtl/>
        </w:rPr>
        <w:t>الجماعي؛</w:t>
      </w:r>
      <w:r w:rsidR="00DC6C59">
        <w:rPr>
          <w:rtl/>
        </w:rPr>
        <w:t xml:space="preserve"> </w:t>
      </w:r>
      <w:r w:rsidRPr="003520EF">
        <w:rPr>
          <w:rtl/>
        </w:rPr>
        <w:t>والقضاء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أشكال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الجبري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الالزامي؛</w:t>
      </w:r>
      <w:r w:rsidR="00DC6C59">
        <w:rPr>
          <w:rtl/>
        </w:rPr>
        <w:t xml:space="preserve"> </w:t>
      </w:r>
      <w:r w:rsidRPr="003520EF">
        <w:rPr>
          <w:rtl/>
        </w:rPr>
        <w:t>والإلغاء</w:t>
      </w:r>
      <w:r w:rsidR="00DC6C59">
        <w:rPr>
          <w:rtl/>
        </w:rPr>
        <w:t xml:space="preserve"> </w:t>
      </w:r>
      <w:r w:rsidRPr="003520EF">
        <w:rPr>
          <w:rtl/>
        </w:rPr>
        <w:t>الفعلي</w:t>
      </w:r>
      <w:r w:rsidR="00DC6C59">
        <w:rPr>
          <w:rtl/>
        </w:rPr>
        <w:t xml:space="preserve"> </w:t>
      </w:r>
      <w:r w:rsidRPr="003520EF">
        <w:rPr>
          <w:rtl/>
        </w:rPr>
        <w:t>لعمل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والقضاء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بالعمالة</w:t>
      </w:r>
      <w:r w:rsidR="00DC6C59">
        <w:rPr>
          <w:rtl/>
        </w:rPr>
        <w:t xml:space="preserve"> </w:t>
      </w:r>
      <w:r w:rsidRPr="003520EF">
        <w:rPr>
          <w:rtl/>
        </w:rPr>
        <w:t>والمهن.</w:t>
      </w:r>
      <w:r w:rsidR="00DC6C59">
        <w:rPr>
          <w:rtl/>
        </w:rPr>
        <w:t xml:space="preserve"> </w:t>
      </w:r>
    </w:p>
    <w:p w14:paraId="728DC2C1" w14:textId="7669E354" w:rsidR="00EC13CA" w:rsidRPr="005170C9" w:rsidRDefault="00EC13CA" w:rsidP="00EC13CA">
      <w:pPr>
        <w:pStyle w:val="H1GA"/>
      </w:pPr>
      <w:r w:rsidRPr="005170C9">
        <w:rPr>
          <w:rtl/>
        </w:rPr>
        <w:lastRenderedPageBreak/>
        <w:tab/>
        <w:t>ألف-</w:t>
      </w:r>
      <w:r w:rsidRPr="005170C9">
        <w:rPr>
          <w:rtl/>
        </w:rPr>
        <w:tab/>
        <w:t>الحق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العمل،</w:t>
      </w:r>
      <w:r w:rsidR="00DC6C59" w:rsidRPr="005170C9">
        <w:rPr>
          <w:rtl/>
        </w:rPr>
        <w:t xml:space="preserve"> </w:t>
      </w:r>
      <w:r w:rsidRPr="005170C9">
        <w:rPr>
          <w:rtl/>
        </w:rPr>
        <w:t>على</w:t>
      </w:r>
      <w:r w:rsidR="00DC6C59" w:rsidRPr="005170C9">
        <w:rPr>
          <w:rtl/>
        </w:rPr>
        <w:t xml:space="preserve"> </w:t>
      </w:r>
      <w:r w:rsidRPr="005170C9">
        <w:rPr>
          <w:rtl/>
        </w:rPr>
        <w:t>قدم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المساواة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مع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الآخرين،</w:t>
      </w:r>
      <w:r w:rsidR="00DC6C59" w:rsidRPr="005170C9">
        <w:rPr>
          <w:rtl/>
        </w:rPr>
        <w:t xml:space="preserve"> </w:t>
      </w:r>
      <w:r w:rsidRPr="005170C9">
        <w:rPr>
          <w:rtl/>
        </w:rPr>
        <w:t>بما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ذلك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الحق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كسب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الرزق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عمل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يتم</w:t>
      </w:r>
      <w:r w:rsidR="00DC6C59" w:rsidRPr="005170C9">
        <w:rPr>
          <w:rtl/>
        </w:rPr>
        <w:t xml:space="preserve"> </w:t>
      </w:r>
      <w:r w:rsidRPr="005170C9">
        <w:rPr>
          <w:rtl/>
        </w:rPr>
        <w:t>اختياره</w:t>
      </w:r>
      <w:r w:rsidR="00DC6C59" w:rsidRPr="005170C9">
        <w:rPr>
          <w:rtl/>
        </w:rPr>
        <w:t xml:space="preserve"> </w:t>
      </w:r>
      <w:r w:rsidRPr="005170C9">
        <w:rPr>
          <w:rtl/>
        </w:rPr>
        <w:t>وقبوله</w:t>
      </w:r>
      <w:r w:rsidR="00DC6C59" w:rsidRPr="005170C9">
        <w:rPr>
          <w:rtl/>
        </w:rPr>
        <w:t xml:space="preserve"> </w:t>
      </w:r>
      <w:r w:rsidRPr="005170C9">
        <w:rPr>
          <w:rtl/>
        </w:rPr>
        <w:t>بحرية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سوق</w:t>
      </w:r>
      <w:r w:rsidR="00DC6C59" w:rsidRPr="005170C9">
        <w:rPr>
          <w:rtl/>
        </w:rPr>
        <w:t xml:space="preserve"> </w:t>
      </w:r>
      <w:r w:rsidRPr="005170C9">
        <w:rPr>
          <w:rtl/>
        </w:rPr>
        <w:t>عمل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منفتحة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وشاملة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ويسهل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الانخراط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فيها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</w:t>
      </w:r>
      <w:r w:rsidR="00DC6C59" w:rsidRPr="005170C9">
        <w:rPr>
          <w:rtl/>
        </w:rPr>
        <w:t xml:space="preserve">)، </w:t>
      </w:r>
      <w:r w:rsidRPr="005170C9">
        <w:rPr>
          <w:rtl/>
        </w:rPr>
        <w:t>الفاتحة)</w:t>
      </w:r>
      <w:r w:rsidR="00DC6C59" w:rsidRPr="005170C9">
        <w:rPr>
          <w:rtl/>
        </w:rPr>
        <w:t xml:space="preserve"> </w:t>
      </w:r>
    </w:p>
    <w:p w14:paraId="43756A83" w14:textId="6EF776AD" w:rsidR="00EC13CA" w:rsidRPr="003520EF" w:rsidRDefault="00EC13CA" w:rsidP="00EC13CA">
      <w:pPr>
        <w:pStyle w:val="SingleTxtGA"/>
      </w:pPr>
      <w:r w:rsidRPr="005170C9">
        <w:rPr>
          <w:rtl/>
        </w:rPr>
        <w:t>12</w:t>
      </w:r>
      <w:r w:rsidRPr="003520EF">
        <w:rPr>
          <w:rtl/>
        </w:rPr>
        <w:t>-</w:t>
      </w:r>
      <w:r w:rsidRPr="003520EF">
        <w:rPr>
          <w:rtl/>
        </w:rPr>
        <w:tab/>
        <w:t>بموجب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="00DC6C59" w:rsidRPr="005170C9">
        <w:rPr>
          <w:rtl/>
        </w:rPr>
        <w:t>1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تعترف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بحق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الآخرين؛</w:t>
      </w:r>
      <w:r w:rsidR="00DC6C59">
        <w:rPr>
          <w:rtl/>
        </w:rPr>
        <w:t xml:space="preserve"> </w:t>
      </w:r>
      <w:r w:rsidRPr="003520EF">
        <w:rPr>
          <w:rtl/>
        </w:rPr>
        <w:t>ويشمل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إتاحة</w:t>
      </w:r>
      <w:r w:rsidR="00DC6C59">
        <w:rPr>
          <w:rtl/>
        </w:rPr>
        <w:t xml:space="preserve"> </w:t>
      </w:r>
      <w:r w:rsidRPr="003520EF">
        <w:rPr>
          <w:rtl/>
        </w:rPr>
        <w:t>الفرصة</w:t>
      </w:r>
      <w:r w:rsidR="00DC6C59">
        <w:rPr>
          <w:rtl/>
        </w:rPr>
        <w:t xml:space="preserve"> </w:t>
      </w:r>
      <w:r w:rsidRPr="003520EF">
        <w:rPr>
          <w:rtl/>
        </w:rPr>
        <w:t>لهم</w:t>
      </w:r>
      <w:r w:rsidR="00DC6C59">
        <w:rPr>
          <w:rtl/>
        </w:rPr>
        <w:t xml:space="preserve"> </w:t>
      </w:r>
      <w:r w:rsidRPr="003520EF">
        <w:rPr>
          <w:rtl/>
        </w:rPr>
        <w:t>لكسب</w:t>
      </w:r>
      <w:r w:rsidR="00DC6C59">
        <w:rPr>
          <w:rtl/>
        </w:rPr>
        <w:t xml:space="preserve"> </w:t>
      </w:r>
      <w:r w:rsidRPr="003520EF">
        <w:rPr>
          <w:rtl/>
        </w:rPr>
        <w:t>الرزق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يختارونه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يقبلونه</w:t>
      </w:r>
      <w:r w:rsidR="00DC6C59">
        <w:rPr>
          <w:rtl/>
        </w:rPr>
        <w:t xml:space="preserve"> </w:t>
      </w:r>
      <w:r w:rsidRPr="003520EF">
        <w:rPr>
          <w:rtl/>
        </w:rPr>
        <w:t>بحرية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وبيئة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منفتحتين</w:t>
      </w:r>
      <w:r w:rsidR="00DC6C59">
        <w:rPr>
          <w:rtl/>
        </w:rPr>
        <w:t xml:space="preserve"> </w:t>
      </w:r>
      <w:r w:rsidRPr="003520EF">
        <w:rPr>
          <w:rtl/>
        </w:rPr>
        <w:t>أمام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وشاملتين</w:t>
      </w:r>
      <w:r w:rsidR="00DC6C59">
        <w:rPr>
          <w:rtl/>
        </w:rPr>
        <w:t xml:space="preserve"> </w:t>
      </w:r>
      <w:r w:rsidRPr="003520EF">
        <w:rPr>
          <w:rtl/>
        </w:rPr>
        <w:t>لهم</w:t>
      </w:r>
      <w:r w:rsidR="00DC6C59">
        <w:rPr>
          <w:rtl/>
        </w:rPr>
        <w:t xml:space="preserve"> </w:t>
      </w:r>
      <w:r w:rsidRPr="003520EF">
        <w:rPr>
          <w:rtl/>
        </w:rPr>
        <w:t>ويسهل</w:t>
      </w:r>
      <w:r w:rsidR="00DC6C59">
        <w:rPr>
          <w:rtl/>
        </w:rPr>
        <w:t xml:space="preserve"> </w:t>
      </w:r>
      <w:r w:rsidRPr="003520EF">
        <w:rPr>
          <w:rtl/>
        </w:rPr>
        <w:t>انخراطهم</w:t>
      </w:r>
      <w:r w:rsidR="00DC6C59">
        <w:rPr>
          <w:rtl/>
        </w:rPr>
        <w:t xml:space="preserve"> </w:t>
      </w:r>
      <w:r w:rsidRPr="003520EF">
        <w:rPr>
          <w:rtl/>
        </w:rPr>
        <w:t>فيهما.</w:t>
      </w:r>
      <w:r w:rsidR="00DC6C59">
        <w:rPr>
          <w:rtl/>
        </w:rPr>
        <w:t xml:space="preserve"> </w:t>
      </w:r>
      <w:r w:rsidRPr="003520EF">
        <w:rPr>
          <w:rtl/>
        </w:rPr>
        <w:t>ويعكس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المفهوم</w:t>
      </w:r>
      <w:r w:rsidR="00DC6C59">
        <w:rPr>
          <w:rtl/>
        </w:rPr>
        <w:t xml:space="preserve"> </w:t>
      </w:r>
      <w:r w:rsidRPr="003520EF">
        <w:rPr>
          <w:rtl/>
        </w:rPr>
        <w:t>اجتهاد</w:t>
      </w:r>
      <w:r w:rsidR="00DC6C59">
        <w:rPr>
          <w:rtl/>
        </w:rPr>
        <w:t xml:space="preserve"> </w:t>
      </w:r>
      <w:r w:rsidRPr="003520EF">
        <w:rPr>
          <w:rtl/>
        </w:rPr>
        <w:t>اللجنة</w:t>
      </w:r>
      <w:r w:rsidR="00DC6C59">
        <w:rPr>
          <w:rtl/>
        </w:rPr>
        <w:t xml:space="preserve"> </w:t>
      </w:r>
      <w:r w:rsidRPr="003520EF">
        <w:rPr>
          <w:rtl/>
        </w:rPr>
        <w:t>المعنية</w:t>
      </w:r>
      <w:r w:rsidR="00DC6C59">
        <w:rPr>
          <w:rtl/>
        </w:rPr>
        <w:t xml:space="preserve"> </w:t>
      </w:r>
      <w:r w:rsidRPr="003520EF">
        <w:rPr>
          <w:rtl/>
        </w:rPr>
        <w:t>بالحقوق</w:t>
      </w:r>
      <w:r w:rsidR="00DC6C59">
        <w:rPr>
          <w:rtl/>
        </w:rPr>
        <w:t xml:space="preserve"> </w:t>
      </w:r>
      <w:r w:rsidRPr="003520EF">
        <w:rPr>
          <w:rtl/>
        </w:rPr>
        <w:t>الاقتصادية</w:t>
      </w:r>
      <w:r w:rsidR="00DC6C59">
        <w:rPr>
          <w:rtl/>
        </w:rPr>
        <w:t xml:space="preserve"> </w:t>
      </w:r>
      <w:r w:rsidRPr="003520EF">
        <w:rPr>
          <w:rtl/>
        </w:rPr>
        <w:t>والاجتماعية</w:t>
      </w:r>
      <w:r w:rsidR="00DC6C59">
        <w:rPr>
          <w:rtl/>
        </w:rPr>
        <w:t xml:space="preserve"> </w:t>
      </w:r>
      <w:r w:rsidRPr="003520EF">
        <w:rPr>
          <w:rtl/>
        </w:rPr>
        <w:t>والثقافية،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أشارت</w:t>
      </w:r>
      <w:r w:rsidR="00DC6C59">
        <w:rPr>
          <w:rtl/>
        </w:rPr>
        <w:t xml:space="preserve"> </w:t>
      </w:r>
      <w:r w:rsidRPr="003520EF">
        <w:rPr>
          <w:rtl/>
        </w:rPr>
        <w:t>فيه</w:t>
      </w:r>
      <w:r w:rsidR="00DC6C59">
        <w:rPr>
          <w:rtl/>
        </w:rPr>
        <w:t xml:space="preserve"> </w:t>
      </w:r>
      <w:r w:rsidRPr="003520EF">
        <w:rPr>
          <w:rtl/>
        </w:rPr>
        <w:t>تلك</w:t>
      </w:r>
      <w:r w:rsidR="00DC6C59">
        <w:rPr>
          <w:rtl/>
        </w:rPr>
        <w:t xml:space="preserve"> </w:t>
      </w:r>
      <w:r w:rsidRPr="003520EF">
        <w:rPr>
          <w:rtl/>
        </w:rPr>
        <w:t>اللجنة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مبدأ</w:t>
      </w:r>
      <w:r w:rsidR="00DC6C59">
        <w:rPr>
          <w:rtl/>
        </w:rPr>
        <w:t xml:space="preserve"> </w:t>
      </w:r>
      <w:r w:rsidRPr="003520EF">
        <w:rPr>
          <w:rtl/>
        </w:rPr>
        <w:t>مساواة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: </w:t>
      </w:r>
      <w:r w:rsidRPr="003520EF">
        <w:rPr>
          <w:rtl/>
        </w:rPr>
        <w:t>فقد</w:t>
      </w:r>
      <w:r w:rsidR="00DC6C59">
        <w:rPr>
          <w:rtl/>
        </w:rPr>
        <w:t xml:space="preserve"> </w:t>
      </w:r>
      <w:r w:rsidRPr="003520EF">
        <w:rPr>
          <w:rtl/>
        </w:rPr>
        <w:t>لاحظت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فرصة</w:t>
      </w:r>
      <w:r w:rsidR="00DC6C59">
        <w:rPr>
          <w:rtl/>
        </w:rPr>
        <w:t xml:space="preserve"> </w:t>
      </w:r>
      <w:r w:rsidRPr="003520EF">
        <w:rPr>
          <w:rtl/>
        </w:rPr>
        <w:t>كسب</w:t>
      </w:r>
      <w:r w:rsidR="00DC6C59">
        <w:rPr>
          <w:rtl/>
        </w:rPr>
        <w:t xml:space="preserve"> </w:t>
      </w:r>
      <w:r w:rsidRPr="003520EF">
        <w:rPr>
          <w:rtl/>
        </w:rPr>
        <w:t>رزقهم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طريق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يختارونه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يقبلونه</w:t>
      </w:r>
      <w:r w:rsidR="00DC6C59">
        <w:rPr>
          <w:rtl/>
        </w:rPr>
        <w:t xml:space="preserve"> </w:t>
      </w:r>
      <w:r w:rsidRPr="003520EF">
        <w:rPr>
          <w:rtl/>
        </w:rPr>
        <w:t>بحرية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يتحقق</w:t>
      </w:r>
      <w:r w:rsidR="00DC6C59">
        <w:rPr>
          <w:rtl/>
        </w:rPr>
        <w:t xml:space="preserve"> </w:t>
      </w:r>
      <w:r w:rsidRPr="003520EF">
        <w:rPr>
          <w:rtl/>
        </w:rPr>
        <w:t>عندما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الفرصة</w:t>
      </w:r>
      <w:r w:rsidR="00DC6C59">
        <w:rPr>
          <w:rtl/>
        </w:rPr>
        <w:t xml:space="preserve"> </w:t>
      </w:r>
      <w:r w:rsidRPr="003520EF">
        <w:rPr>
          <w:rtl/>
        </w:rPr>
        <w:t>الحقيقية</w:t>
      </w:r>
      <w:r w:rsidR="00DC6C59">
        <w:rPr>
          <w:rtl/>
        </w:rPr>
        <w:t xml:space="preserve"> </w:t>
      </w:r>
      <w:r w:rsidRPr="003520EF">
        <w:rPr>
          <w:rtl/>
        </w:rPr>
        <w:t>الوحيدة</w:t>
      </w:r>
      <w:r w:rsidR="00DC6C59">
        <w:rPr>
          <w:rtl/>
        </w:rPr>
        <w:t xml:space="preserve"> </w:t>
      </w:r>
      <w:r w:rsidRPr="003520EF">
        <w:rPr>
          <w:rtl/>
        </w:rPr>
        <w:t>المتاحة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هي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مرافق</w:t>
      </w:r>
      <w:r w:rsidR="00DC6C59">
        <w:rPr>
          <w:rtl/>
        </w:rPr>
        <w:t xml:space="preserve"> </w:t>
      </w:r>
      <w:r w:rsidRPr="003520EF">
        <w:rPr>
          <w:rtl/>
        </w:rPr>
        <w:t>منفصلة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0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وترى</w:t>
      </w:r>
      <w:r w:rsidR="00DC6C59">
        <w:rPr>
          <w:rtl/>
        </w:rPr>
        <w:t xml:space="preserve"> </w:t>
      </w:r>
      <w:r w:rsidRPr="003520EF">
        <w:rPr>
          <w:rtl/>
        </w:rPr>
        <w:t>أنه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ألاّ</w:t>
      </w:r>
      <w:r w:rsidR="00DC6C59">
        <w:rPr>
          <w:rtl/>
        </w:rPr>
        <w:t xml:space="preserve"> </w:t>
      </w:r>
      <w:r w:rsidRPr="003520EF">
        <w:rPr>
          <w:rtl/>
        </w:rPr>
        <w:t>يُعزل</w:t>
      </w:r>
      <w:r w:rsidR="00DC6C59">
        <w:rPr>
          <w:rtl/>
        </w:rPr>
        <w:t xml:space="preserve"> </w:t>
      </w:r>
      <w:r w:rsidRPr="003520EF">
        <w:rPr>
          <w:rtl/>
        </w:rPr>
        <w:t>العاملون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أوارش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محمية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1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Fonts w:hint="cs"/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Pr="005170C9">
        <w:rPr>
          <w:rtl/>
        </w:rPr>
        <w:t>1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بتحديدها</w:t>
      </w:r>
      <w:r w:rsidR="00DC6C59">
        <w:rPr>
          <w:rtl/>
        </w:rPr>
        <w:t xml:space="preserve"> </w:t>
      </w:r>
      <w:r w:rsidRPr="003520EF">
        <w:rPr>
          <w:rtl/>
        </w:rPr>
        <w:t>صراحة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هذه،</w:t>
      </w:r>
      <w:r w:rsidR="00DC6C59">
        <w:rPr>
          <w:rtl/>
        </w:rPr>
        <w:t xml:space="preserve"> </w:t>
      </w:r>
      <w:r w:rsidRPr="003520EF">
        <w:rPr>
          <w:rtl/>
        </w:rPr>
        <w:t>تشير</w:t>
      </w:r>
      <w:r w:rsidR="00DC6C59">
        <w:rPr>
          <w:rtl/>
        </w:rPr>
        <w:t xml:space="preserve"> </w:t>
      </w:r>
      <w:r w:rsidRPr="003520EF">
        <w:rPr>
          <w:rtl/>
        </w:rPr>
        <w:t>بوضوح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أماكن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المنفصلة</w:t>
      </w:r>
      <w:r w:rsidR="00DC6C59">
        <w:rPr>
          <w:rtl/>
        </w:rPr>
        <w:t xml:space="preserve"> </w:t>
      </w:r>
      <w:r w:rsidRPr="003520EF">
        <w:rPr>
          <w:rtl/>
        </w:rPr>
        <w:t>تتنافى</w:t>
      </w:r>
      <w:r w:rsidR="00DC6C59">
        <w:rPr>
          <w:rtl/>
        </w:rPr>
        <w:t xml:space="preserve"> </w:t>
      </w:r>
      <w:r w:rsidRPr="003520EF">
        <w:rPr>
          <w:rtl/>
        </w:rPr>
        <w:t>معها.</w:t>
      </w:r>
      <w:r w:rsidR="00DC6C59">
        <w:rPr>
          <w:rtl/>
        </w:rPr>
        <w:t xml:space="preserve"> </w:t>
      </w:r>
      <w:bookmarkStart w:id="7" w:name="_Hlk103941852"/>
      <w:bookmarkStart w:id="8" w:name="_Hlk103941908"/>
      <w:bookmarkStart w:id="9" w:name="_Hlk103251897"/>
      <w:bookmarkEnd w:id="7"/>
      <w:bookmarkEnd w:id="8"/>
      <w:bookmarkEnd w:id="9"/>
    </w:p>
    <w:p w14:paraId="0A83FBEF" w14:textId="5620E8E8" w:rsidR="00EC13CA" w:rsidRPr="003520EF" w:rsidRDefault="00EC13CA" w:rsidP="00EC13CA">
      <w:pPr>
        <w:pStyle w:val="SingleTxtGA"/>
      </w:pPr>
      <w:r w:rsidRPr="005170C9">
        <w:rPr>
          <w:rtl/>
        </w:rPr>
        <w:t>13</w:t>
      </w:r>
      <w:r w:rsidRPr="003520EF">
        <w:rPr>
          <w:rtl/>
        </w:rPr>
        <w:t>-</w:t>
      </w:r>
      <w:r w:rsidRPr="003520EF">
        <w:rPr>
          <w:rtl/>
        </w:rPr>
        <w:tab/>
        <w:t>وعلى</w:t>
      </w:r>
      <w:r w:rsidR="00DC6C59">
        <w:rPr>
          <w:rtl/>
        </w:rPr>
        <w:t xml:space="preserve"> </w:t>
      </w:r>
      <w:r w:rsidRPr="003520EF">
        <w:rPr>
          <w:rtl/>
        </w:rPr>
        <w:t>الرغم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إحراز</w:t>
      </w:r>
      <w:r w:rsidR="00DC6C59">
        <w:rPr>
          <w:rtl/>
        </w:rPr>
        <w:t xml:space="preserve"> </w:t>
      </w:r>
      <w:r w:rsidRPr="003520EF">
        <w:rPr>
          <w:rtl/>
        </w:rPr>
        <w:t>بعض</w:t>
      </w:r>
      <w:r w:rsidR="00DC6C59">
        <w:rPr>
          <w:rtl/>
        </w:rPr>
        <w:t xml:space="preserve"> </w:t>
      </w:r>
      <w:r w:rsidRPr="003520EF">
        <w:rPr>
          <w:rtl/>
        </w:rPr>
        <w:t>التقدم،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يزال</w:t>
      </w:r>
      <w:r w:rsidR="00DC6C59">
        <w:rPr>
          <w:rtl/>
        </w:rPr>
        <w:t xml:space="preserve"> </w:t>
      </w:r>
      <w:r w:rsidRPr="003520EF">
        <w:rPr>
          <w:rtl/>
        </w:rPr>
        <w:t>الافتقار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المنفتحة</w:t>
      </w:r>
      <w:r w:rsidR="00DC6C59">
        <w:rPr>
          <w:rtl/>
        </w:rPr>
        <w:t xml:space="preserve"> </w:t>
      </w:r>
      <w:r w:rsidRPr="003520EF">
        <w:rPr>
          <w:rtl/>
        </w:rPr>
        <w:t>وقيام</w:t>
      </w:r>
      <w:r w:rsidR="00DC6C59">
        <w:rPr>
          <w:rtl/>
        </w:rPr>
        <w:t xml:space="preserve"> </w:t>
      </w:r>
      <w:r w:rsidRPr="003520EF">
        <w:rPr>
          <w:rtl/>
        </w:rPr>
        <w:t>الفصل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أماكن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يشكلان</w:t>
      </w:r>
      <w:r w:rsidR="00DC6C59">
        <w:rPr>
          <w:rtl/>
        </w:rPr>
        <w:t xml:space="preserve"> </w:t>
      </w:r>
      <w:r w:rsidRPr="003520EF">
        <w:rPr>
          <w:rtl/>
        </w:rPr>
        <w:t>أكبر</w:t>
      </w:r>
      <w:r w:rsidR="00DC6C59">
        <w:rPr>
          <w:rtl/>
        </w:rPr>
        <w:t xml:space="preserve"> </w:t>
      </w:r>
      <w:r w:rsidRPr="003520EF">
        <w:rPr>
          <w:rtl/>
        </w:rPr>
        <w:t>التحديات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تواجه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ويضع</w:t>
      </w:r>
      <w:r w:rsidR="00DC6C59">
        <w:rPr>
          <w:rtl/>
        </w:rPr>
        <w:t xml:space="preserve"> </w:t>
      </w:r>
      <w:r w:rsidRPr="003520EF">
        <w:rPr>
          <w:rtl/>
        </w:rPr>
        <w:t>التمييز،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الحرمان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المعقولة،</w:t>
      </w:r>
      <w:r w:rsidR="00DC6C59">
        <w:rPr>
          <w:rtl/>
        </w:rPr>
        <w:t xml:space="preserve"> </w:t>
      </w:r>
      <w:r w:rsidRPr="003520EF">
        <w:rPr>
          <w:rtl/>
        </w:rPr>
        <w:t>وتعذر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أماكن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والتحرش،</w:t>
      </w:r>
      <w:r w:rsidR="00DC6C59">
        <w:rPr>
          <w:rtl/>
        </w:rPr>
        <w:t xml:space="preserve"> </w:t>
      </w:r>
      <w:r w:rsidRPr="003520EF">
        <w:rPr>
          <w:rtl/>
        </w:rPr>
        <w:t>المزيد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العقبات</w:t>
      </w:r>
      <w:r w:rsidR="00DC6C59">
        <w:rPr>
          <w:rtl/>
        </w:rPr>
        <w:t xml:space="preserve"> </w:t>
      </w:r>
      <w:r w:rsidRPr="003520EF">
        <w:rPr>
          <w:rtl/>
        </w:rPr>
        <w:t>أمام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وبيئة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منفتحتين،</w:t>
      </w:r>
      <w:r w:rsidR="00DC6C59">
        <w:rPr>
          <w:rtl/>
        </w:rPr>
        <w:t xml:space="preserve"> </w:t>
      </w:r>
      <w:r w:rsidRPr="003520EF">
        <w:rPr>
          <w:rtl/>
        </w:rPr>
        <w:t>مما</w:t>
      </w:r>
      <w:r w:rsidR="00DC6C59">
        <w:rPr>
          <w:rtl/>
        </w:rPr>
        <w:t xml:space="preserve"> </w:t>
      </w:r>
      <w:r w:rsidRPr="003520EF">
        <w:rPr>
          <w:rtl/>
        </w:rPr>
        <w:t>يؤدي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اختيار</w:t>
      </w:r>
      <w:r w:rsidR="00DC6C59">
        <w:rPr>
          <w:rtl/>
        </w:rPr>
        <w:t xml:space="preserve"> </w:t>
      </w:r>
      <w:r w:rsidRPr="003520EF">
        <w:rPr>
          <w:rtl/>
        </w:rPr>
        <w:t>زائف</w:t>
      </w:r>
      <w:r w:rsidR="00DC6C59">
        <w:rPr>
          <w:rtl/>
        </w:rPr>
        <w:t xml:space="preserve"> </w:t>
      </w:r>
      <w:r w:rsidRPr="003520EF">
        <w:rPr>
          <w:rtl/>
        </w:rPr>
        <w:t>للعمل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مغلق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وتشير</w:t>
      </w:r>
      <w:r w:rsidR="00DC6C59">
        <w:rPr>
          <w:rtl/>
        </w:rPr>
        <w:t xml:space="preserve"> </w:t>
      </w:r>
      <w:r w:rsidRPr="003520EF">
        <w:rPr>
          <w:rtl/>
        </w:rPr>
        <w:t>اتفاقية</w:t>
      </w:r>
      <w:r w:rsidR="00DC6C59">
        <w:rPr>
          <w:rtl/>
        </w:rPr>
        <w:t xml:space="preserve"> </w:t>
      </w:r>
      <w:r w:rsidRPr="003520EF">
        <w:rPr>
          <w:rtl/>
        </w:rPr>
        <w:t>منظمة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الدولية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سياسة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لعام</w:t>
      </w:r>
      <w:r w:rsidR="00DC6C59">
        <w:rPr>
          <w:rtl/>
        </w:rPr>
        <w:t xml:space="preserve"> </w:t>
      </w:r>
      <w:r w:rsidRPr="005170C9">
        <w:rPr>
          <w:rtl/>
        </w:rPr>
        <w:t>1964</w:t>
      </w:r>
      <w:r w:rsidR="00DC6C59">
        <w:rPr>
          <w:rtl/>
        </w:rPr>
        <w:t xml:space="preserve"> </w:t>
      </w:r>
      <w:r w:rsidRPr="003520EF">
        <w:rPr>
          <w:rtl/>
        </w:rPr>
        <w:t>(رقم</w:t>
      </w:r>
      <w:r w:rsidR="00DC6C59">
        <w:rPr>
          <w:rtl/>
        </w:rPr>
        <w:t xml:space="preserve"> </w:t>
      </w:r>
      <w:r w:rsidRPr="005170C9">
        <w:rPr>
          <w:rtl/>
        </w:rPr>
        <w:t>12</w:t>
      </w:r>
      <w:r w:rsidR="00DC6C59" w:rsidRPr="005170C9">
        <w:rPr>
          <w:rtl/>
        </w:rPr>
        <w:t>2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"العمالة</w:t>
      </w:r>
      <w:r w:rsidR="00DC6C59">
        <w:rPr>
          <w:rtl/>
        </w:rPr>
        <w:t xml:space="preserve"> </w:t>
      </w:r>
      <w:r w:rsidRPr="003520EF">
        <w:rPr>
          <w:rtl/>
        </w:rPr>
        <w:t>الكاملة</w:t>
      </w:r>
      <w:r w:rsidR="00DC6C59">
        <w:rPr>
          <w:rtl/>
        </w:rPr>
        <w:t xml:space="preserve"> </w:t>
      </w:r>
      <w:r w:rsidRPr="003520EF">
        <w:rPr>
          <w:rtl/>
        </w:rPr>
        <w:t>المنتجة</w:t>
      </w:r>
      <w:r w:rsidR="00DC6C59">
        <w:rPr>
          <w:rtl/>
        </w:rPr>
        <w:t xml:space="preserve"> </w:t>
      </w:r>
      <w:r w:rsidRPr="003520EF">
        <w:rPr>
          <w:rtl/>
        </w:rPr>
        <w:t>والمختارة</w:t>
      </w:r>
      <w:r w:rsidR="00DC6C59">
        <w:rPr>
          <w:rtl/>
        </w:rPr>
        <w:t xml:space="preserve"> </w:t>
      </w:r>
      <w:r w:rsidRPr="003520EF">
        <w:rPr>
          <w:rtl/>
        </w:rPr>
        <w:t>بحرية"،</w:t>
      </w:r>
      <w:r w:rsidR="00DC6C59">
        <w:rPr>
          <w:rtl/>
        </w:rPr>
        <w:t xml:space="preserve"> </w:t>
      </w:r>
      <w:r w:rsidRPr="003520EF">
        <w:rPr>
          <w:rtl/>
        </w:rPr>
        <w:t>فتربط</w:t>
      </w:r>
      <w:r w:rsidR="00DC6C59">
        <w:rPr>
          <w:rtl/>
        </w:rPr>
        <w:t xml:space="preserve"> </w:t>
      </w:r>
      <w:r w:rsidRPr="003520EF">
        <w:rPr>
          <w:rtl/>
        </w:rPr>
        <w:t>التزام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بتهيئة</w:t>
      </w:r>
      <w:r w:rsidR="00DC6C59">
        <w:rPr>
          <w:rtl/>
        </w:rPr>
        <w:t xml:space="preserve"> </w:t>
      </w:r>
      <w:r w:rsidRPr="003520EF">
        <w:rPr>
          <w:rtl/>
        </w:rPr>
        <w:t>الظروف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المؤاتية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للعمالة</w:t>
      </w:r>
      <w:r w:rsidR="00DC6C59">
        <w:rPr>
          <w:rtl/>
        </w:rPr>
        <w:t xml:space="preserve"> </w:t>
      </w:r>
      <w:r w:rsidRPr="003520EF">
        <w:rPr>
          <w:rtl/>
        </w:rPr>
        <w:t>الكاملة</w:t>
      </w:r>
      <w:r w:rsidR="00DC6C59">
        <w:rPr>
          <w:rtl/>
        </w:rPr>
        <w:t xml:space="preserve"> </w:t>
      </w:r>
      <w:r w:rsidRPr="003520EF">
        <w:rPr>
          <w:rtl/>
        </w:rPr>
        <w:t>بالتزامها</w:t>
      </w:r>
      <w:r w:rsidR="00DC6C59">
        <w:rPr>
          <w:rtl/>
        </w:rPr>
        <w:t xml:space="preserve"> </w:t>
      </w:r>
      <w:r w:rsidRPr="003520EF">
        <w:rPr>
          <w:rtl/>
        </w:rPr>
        <w:t>بضمان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وجود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جبري.</w:t>
      </w:r>
    </w:p>
    <w:p w14:paraId="0464B939" w14:textId="1BD8E2C0" w:rsidR="00EC13CA" w:rsidRPr="003520EF" w:rsidRDefault="00EC13CA" w:rsidP="00EC13CA">
      <w:pPr>
        <w:pStyle w:val="SingleTxtGA"/>
      </w:pPr>
      <w:r w:rsidRPr="005170C9">
        <w:rPr>
          <w:rtl/>
        </w:rPr>
        <w:t>14</w:t>
      </w:r>
      <w:r w:rsidRPr="003520EF">
        <w:rPr>
          <w:rtl/>
        </w:rPr>
        <w:t>-</w:t>
      </w:r>
      <w:r w:rsidRPr="003520EF">
        <w:rPr>
          <w:rtl/>
        </w:rPr>
        <w:tab/>
        <w:t>وتلاحظ</w:t>
      </w:r>
      <w:r w:rsidR="00DC6C59">
        <w:rPr>
          <w:rtl/>
        </w:rPr>
        <w:t xml:space="preserve"> </w:t>
      </w:r>
      <w:r w:rsidRPr="003520EF">
        <w:rPr>
          <w:rtl/>
        </w:rPr>
        <w:t>اللجنة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المنفصلة،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ورشات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المحمية،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مجموعة</w:t>
      </w:r>
      <w:r w:rsidR="00DC6C59">
        <w:rPr>
          <w:rtl/>
        </w:rPr>
        <w:t xml:space="preserve"> </w:t>
      </w:r>
      <w:r w:rsidRPr="003520EF">
        <w:rPr>
          <w:rtl/>
        </w:rPr>
        <w:t>متنوعة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الممارسات</w:t>
      </w:r>
      <w:r w:rsidR="00DC6C59">
        <w:rPr>
          <w:rtl/>
        </w:rPr>
        <w:t xml:space="preserve"> </w:t>
      </w:r>
      <w:r w:rsidRPr="003520EF">
        <w:rPr>
          <w:rtl/>
        </w:rPr>
        <w:t>والخبرات،</w:t>
      </w:r>
      <w:r w:rsidR="00DC6C59">
        <w:rPr>
          <w:rtl/>
        </w:rPr>
        <w:t xml:space="preserve"> </w:t>
      </w:r>
      <w:r w:rsidRPr="003520EF">
        <w:rPr>
          <w:rtl/>
        </w:rPr>
        <w:t>تتسم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الأقل</w:t>
      </w:r>
      <w:r w:rsidR="00DC6C59">
        <w:rPr>
          <w:rtl/>
        </w:rPr>
        <w:t xml:space="preserve"> </w:t>
      </w:r>
      <w:r w:rsidRPr="003520EF">
        <w:rPr>
          <w:rtl/>
        </w:rPr>
        <w:t>ببعض</w:t>
      </w:r>
      <w:r w:rsidR="00DC6C59">
        <w:rPr>
          <w:rtl/>
        </w:rPr>
        <w:t xml:space="preserve"> </w:t>
      </w:r>
      <w:r w:rsidRPr="003520EF">
        <w:rPr>
          <w:rtl/>
        </w:rPr>
        <w:t>العناصر</w:t>
      </w:r>
      <w:r w:rsidR="00DC6C59">
        <w:rPr>
          <w:rtl/>
        </w:rPr>
        <w:t xml:space="preserve"> </w:t>
      </w:r>
      <w:r w:rsidRPr="003520EF">
        <w:rPr>
          <w:rtl/>
        </w:rPr>
        <w:t>التالية</w:t>
      </w:r>
      <w:r w:rsidR="00DC6C59">
        <w:rPr>
          <w:rtl/>
        </w:rPr>
        <w:t xml:space="preserve">: </w:t>
      </w:r>
    </w:p>
    <w:p w14:paraId="2722786E" w14:textId="5F12EA40" w:rsidR="00EC13CA" w:rsidRPr="003520EF" w:rsidRDefault="00EC13CA" w:rsidP="00EC13CA">
      <w:pPr>
        <w:pStyle w:val="SingleTxtGA"/>
      </w:pPr>
      <w:r w:rsidRPr="003520EF">
        <w:rPr>
          <w:rtl/>
        </w:rPr>
        <w:tab/>
        <w:t>(أ)</w:t>
      </w:r>
      <w:r w:rsidRPr="003520EF">
        <w:rPr>
          <w:rtl/>
        </w:rPr>
        <w:tab/>
        <w:t>يفصل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المنفتحة</w:t>
      </w:r>
      <w:r w:rsidR="00DC6C59">
        <w:rPr>
          <w:rtl/>
        </w:rPr>
        <w:t xml:space="preserve"> </w:t>
      </w:r>
      <w:r w:rsidRPr="003520EF">
        <w:rPr>
          <w:rtl/>
        </w:rPr>
        <w:t>والشاملة</w:t>
      </w:r>
      <w:r w:rsidR="00DC6C59">
        <w:rPr>
          <w:rtl/>
        </w:rPr>
        <w:t xml:space="preserve"> </w:t>
      </w:r>
      <w:r w:rsidRPr="003520EF">
        <w:rPr>
          <w:rtl/>
        </w:rPr>
        <w:t>للجميع</w:t>
      </w:r>
      <w:r w:rsidR="00DC6C59">
        <w:rPr>
          <w:rtl/>
        </w:rPr>
        <w:t xml:space="preserve"> </w:t>
      </w:r>
      <w:r w:rsidRPr="003520EF">
        <w:rPr>
          <w:rtl/>
        </w:rPr>
        <w:t>والتي</w:t>
      </w:r>
      <w:r w:rsidR="00DC6C59">
        <w:rPr>
          <w:rtl/>
        </w:rPr>
        <w:t xml:space="preserve"> </w:t>
      </w:r>
      <w:r w:rsidRPr="003520EF">
        <w:rPr>
          <w:rtl/>
        </w:rPr>
        <w:t>يسهل</w:t>
      </w:r>
      <w:r w:rsidR="00DC6C59">
        <w:rPr>
          <w:rtl/>
        </w:rPr>
        <w:t xml:space="preserve"> </w:t>
      </w:r>
      <w:r w:rsidRPr="003520EF">
        <w:rPr>
          <w:rtl/>
        </w:rPr>
        <w:t>الانخراط</w:t>
      </w:r>
      <w:r w:rsidR="00DC6C59">
        <w:rPr>
          <w:rtl/>
        </w:rPr>
        <w:t xml:space="preserve"> </w:t>
      </w:r>
      <w:r w:rsidRPr="003520EF">
        <w:rPr>
          <w:rtl/>
        </w:rPr>
        <w:t>فيها؛</w:t>
      </w:r>
      <w:r w:rsidR="00DC6C59">
        <w:rPr>
          <w:rtl/>
        </w:rPr>
        <w:t xml:space="preserve"> </w:t>
      </w:r>
    </w:p>
    <w:p w14:paraId="7072DAB1" w14:textId="6A10B087" w:rsidR="00EC13CA" w:rsidRPr="003520EF" w:rsidRDefault="00EC13CA" w:rsidP="00EC13CA">
      <w:pPr>
        <w:pStyle w:val="SingleTxtGA"/>
      </w:pPr>
      <w:r w:rsidRPr="003520EF">
        <w:rPr>
          <w:rtl/>
        </w:rPr>
        <w:tab/>
        <w:t>(ب)</w:t>
      </w:r>
      <w:r w:rsidRPr="003520EF">
        <w:rPr>
          <w:rtl/>
        </w:rPr>
        <w:tab/>
        <w:t>يتم</w:t>
      </w:r>
      <w:r w:rsidR="00DC6C59">
        <w:rPr>
          <w:rtl/>
        </w:rPr>
        <w:t xml:space="preserve"> </w:t>
      </w:r>
      <w:r w:rsidRPr="003520EF">
        <w:rPr>
          <w:rtl/>
        </w:rPr>
        <w:t>تنظيم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حول</w:t>
      </w:r>
      <w:r w:rsidR="00DC6C59">
        <w:rPr>
          <w:rtl/>
        </w:rPr>
        <w:t xml:space="preserve"> </w:t>
      </w:r>
      <w:r w:rsidRPr="003520EF">
        <w:rPr>
          <w:rtl/>
        </w:rPr>
        <w:t>بعض</w:t>
      </w:r>
      <w:r w:rsidR="00DC6C59">
        <w:rPr>
          <w:rtl/>
        </w:rPr>
        <w:t xml:space="preserve"> </w:t>
      </w:r>
      <w:r w:rsidRPr="003520EF">
        <w:rPr>
          <w:rtl/>
        </w:rPr>
        <w:t>الأنشطة</w:t>
      </w:r>
      <w:r w:rsidR="00DC6C59">
        <w:rPr>
          <w:rtl/>
        </w:rPr>
        <w:t xml:space="preserve"> </w:t>
      </w:r>
      <w:r w:rsidRPr="003520EF">
        <w:rPr>
          <w:rtl/>
        </w:rPr>
        <w:t>المحددة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يعتبر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قادرين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القيام</w:t>
      </w:r>
      <w:r w:rsidR="00DC6C59">
        <w:rPr>
          <w:rtl/>
        </w:rPr>
        <w:t xml:space="preserve"> </w:t>
      </w:r>
      <w:r w:rsidRPr="003520EF">
        <w:rPr>
          <w:rtl/>
        </w:rPr>
        <w:t>بها؛</w:t>
      </w:r>
      <w:r w:rsidR="00DC6C59">
        <w:rPr>
          <w:rtl/>
        </w:rPr>
        <w:t xml:space="preserve"> </w:t>
      </w:r>
    </w:p>
    <w:p w14:paraId="013CA420" w14:textId="6D2E0FC0" w:rsidR="00EC13CA" w:rsidRPr="003520EF" w:rsidRDefault="00EC13CA" w:rsidP="00EC13CA">
      <w:pPr>
        <w:pStyle w:val="SingleTxtGA"/>
      </w:pPr>
      <w:r w:rsidRPr="003520EF">
        <w:rPr>
          <w:rtl/>
        </w:rPr>
        <w:tab/>
        <w:t>(ج)</w:t>
      </w:r>
      <w:r w:rsidRPr="003520EF">
        <w:rPr>
          <w:rtl/>
        </w:rPr>
        <w:tab/>
        <w:t>يتم</w:t>
      </w:r>
      <w:r w:rsidR="00DC6C59">
        <w:rPr>
          <w:rtl/>
        </w:rPr>
        <w:t xml:space="preserve"> </w:t>
      </w:r>
      <w:r w:rsidRPr="003520EF">
        <w:rPr>
          <w:rtl/>
        </w:rPr>
        <w:t>التركيز</w:t>
      </w:r>
      <w:r w:rsidR="00DC6C59">
        <w:rPr>
          <w:rtl/>
        </w:rPr>
        <w:t xml:space="preserve"> </w:t>
      </w:r>
      <w:r w:rsidRPr="003520EF">
        <w:rPr>
          <w:rtl/>
        </w:rPr>
        <w:t>والتأكيد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النهج</w:t>
      </w:r>
      <w:r w:rsidR="00DC6C59">
        <w:rPr>
          <w:rtl/>
        </w:rPr>
        <w:t xml:space="preserve"> </w:t>
      </w:r>
      <w:r w:rsidRPr="003520EF">
        <w:rPr>
          <w:rtl/>
        </w:rPr>
        <w:t>الطبي</w:t>
      </w:r>
      <w:r w:rsidR="00DC6C59">
        <w:rPr>
          <w:rtl/>
        </w:rPr>
        <w:t xml:space="preserve"> </w:t>
      </w:r>
      <w:r w:rsidRPr="003520EF">
        <w:rPr>
          <w:rtl/>
        </w:rPr>
        <w:t>ونهج</w:t>
      </w:r>
      <w:r w:rsidR="00DC6C59">
        <w:rPr>
          <w:rtl/>
        </w:rPr>
        <w:t xml:space="preserve"> </w:t>
      </w:r>
      <w:r w:rsidRPr="003520EF">
        <w:rPr>
          <w:rtl/>
        </w:rPr>
        <w:t>إعادة</w:t>
      </w:r>
      <w:r w:rsidR="00DC6C59">
        <w:rPr>
          <w:rtl/>
        </w:rPr>
        <w:t xml:space="preserve"> </w:t>
      </w:r>
      <w:r w:rsidRPr="003520EF">
        <w:rPr>
          <w:rtl/>
        </w:rPr>
        <w:t>التأهيل</w:t>
      </w:r>
      <w:r w:rsidR="00DC6C59">
        <w:rPr>
          <w:rtl/>
        </w:rPr>
        <w:t xml:space="preserve"> </w:t>
      </w:r>
      <w:r w:rsidRPr="003520EF">
        <w:rPr>
          <w:rtl/>
        </w:rPr>
        <w:t>إزاء</w:t>
      </w:r>
      <w:r w:rsidR="00DC6C59">
        <w:rPr>
          <w:rtl/>
        </w:rPr>
        <w:t xml:space="preserve"> </w:t>
      </w:r>
      <w:r w:rsidRPr="003520EF">
        <w:rPr>
          <w:rtl/>
        </w:rPr>
        <w:t>الإعاقة؛</w:t>
      </w:r>
      <w:r w:rsidR="00DC6C59">
        <w:rPr>
          <w:rtl/>
        </w:rPr>
        <w:t xml:space="preserve"> </w:t>
      </w:r>
    </w:p>
    <w:p w14:paraId="0E7121CA" w14:textId="77FACC13" w:rsidR="00EC13CA" w:rsidRPr="003520EF" w:rsidRDefault="00EC13CA" w:rsidP="00EC13CA">
      <w:pPr>
        <w:pStyle w:val="SingleTxtGA"/>
      </w:pPr>
      <w:r w:rsidRPr="003520EF">
        <w:rPr>
          <w:rtl/>
        </w:rPr>
        <w:tab/>
        <w:t>(د)</w:t>
      </w:r>
      <w:r w:rsidRPr="003520EF">
        <w:rPr>
          <w:rtl/>
        </w:rPr>
        <w:tab/>
        <w:t>لا</w:t>
      </w:r>
      <w:r w:rsidR="00DC6C59">
        <w:rPr>
          <w:rtl/>
        </w:rPr>
        <w:t xml:space="preserve"> </w:t>
      </w:r>
      <w:r w:rsidRPr="003520EF">
        <w:rPr>
          <w:rtl/>
        </w:rPr>
        <w:t>يُشجَّع</w:t>
      </w:r>
      <w:r w:rsidR="00DC6C59">
        <w:rPr>
          <w:rtl/>
        </w:rPr>
        <w:t xml:space="preserve"> </w:t>
      </w:r>
      <w:r w:rsidRPr="003520EF">
        <w:rPr>
          <w:rtl/>
        </w:rPr>
        <w:t>الانتقال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المنفتحة</w:t>
      </w:r>
      <w:r w:rsidR="00DC6C59">
        <w:rPr>
          <w:rtl/>
        </w:rPr>
        <w:t xml:space="preserve"> </w:t>
      </w:r>
      <w:r w:rsidRPr="003520EF">
        <w:rPr>
          <w:rtl/>
        </w:rPr>
        <w:t>تشجيعا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فعليا</w:t>
      </w:r>
      <w:r w:rsidR="00476B81">
        <w:rPr>
          <w:rFonts w:hint="cs"/>
          <w:rtl/>
        </w:rPr>
        <w:t>ً</w:t>
      </w:r>
      <w:r w:rsidRPr="003520EF">
        <w:rPr>
          <w:rtl/>
        </w:rPr>
        <w:t>؛</w:t>
      </w:r>
      <w:r w:rsidR="00DC6C59">
        <w:rPr>
          <w:rtl/>
        </w:rPr>
        <w:t xml:space="preserve"> </w:t>
      </w:r>
    </w:p>
    <w:p w14:paraId="252A04C6" w14:textId="01CA895B" w:rsidR="00EC13CA" w:rsidRPr="003520EF" w:rsidRDefault="00EC13CA" w:rsidP="00EC13CA">
      <w:pPr>
        <w:pStyle w:val="SingleTxtGA"/>
      </w:pPr>
      <w:r w:rsidRPr="003520EF">
        <w:rPr>
          <w:rtl/>
        </w:rPr>
        <w:tab/>
        <w:t>(هـ)</w:t>
      </w:r>
      <w:r w:rsidRPr="003520EF">
        <w:rPr>
          <w:rtl/>
        </w:rPr>
        <w:tab/>
        <w:t>لا</w:t>
      </w:r>
      <w:r w:rsidR="00DC6C59">
        <w:rPr>
          <w:rtl/>
        </w:rPr>
        <w:t xml:space="preserve"> </w:t>
      </w:r>
      <w:r w:rsidRPr="003520EF">
        <w:rPr>
          <w:rtl/>
        </w:rPr>
        <w:t>يتقاضى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أجورا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متساوية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ذي</w:t>
      </w:r>
      <w:r w:rsidR="00DC6C59">
        <w:rPr>
          <w:rtl/>
        </w:rPr>
        <w:t xml:space="preserve"> </w:t>
      </w:r>
      <w:r w:rsidRPr="003520EF">
        <w:rPr>
          <w:rtl/>
        </w:rPr>
        <w:t>القيمة</w:t>
      </w:r>
      <w:r w:rsidR="00DC6C59">
        <w:rPr>
          <w:rtl/>
        </w:rPr>
        <w:t xml:space="preserve"> </w:t>
      </w:r>
      <w:r w:rsidRPr="003520EF">
        <w:rPr>
          <w:rtl/>
        </w:rPr>
        <w:t>المتساوية</w:t>
      </w:r>
      <w:r w:rsidR="009F00A8">
        <w:rPr>
          <w:rFonts w:hint="cs"/>
          <w:rtl/>
        </w:rPr>
        <w:t>؛</w:t>
      </w:r>
    </w:p>
    <w:p w14:paraId="5805DC5C" w14:textId="5894F551" w:rsidR="00EC13CA" w:rsidRPr="003520EF" w:rsidRDefault="00EC13CA" w:rsidP="00EC13CA">
      <w:pPr>
        <w:pStyle w:val="SingleTxtGA"/>
      </w:pPr>
      <w:r w:rsidRPr="003520EF">
        <w:rPr>
          <w:rtl/>
        </w:rPr>
        <w:tab/>
        <w:t>(و)</w:t>
      </w:r>
      <w:r w:rsidRPr="003520EF">
        <w:rPr>
          <w:rtl/>
        </w:rPr>
        <w:tab/>
        <w:t>لا</w:t>
      </w:r>
      <w:r w:rsidR="00DC6C59">
        <w:rPr>
          <w:rtl/>
        </w:rPr>
        <w:t xml:space="preserve"> </w:t>
      </w:r>
      <w:r w:rsidRPr="003520EF">
        <w:rPr>
          <w:rtl/>
        </w:rPr>
        <w:t>يتقاضى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أجرا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عملهم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الآخرين؛</w:t>
      </w:r>
    </w:p>
    <w:p w14:paraId="73E38EFF" w14:textId="71233978" w:rsidR="00EC13CA" w:rsidRPr="003520EF" w:rsidRDefault="00EC13CA" w:rsidP="00EC13CA">
      <w:pPr>
        <w:pStyle w:val="SingleTxtGA"/>
      </w:pPr>
      <w:r w:rsidRPr="003520EF">
        <w:rPr>
          <w:rtl/>
        </w:rPr>
        <w:tab/>
        <w:t>(ز)</w:t>
      </w:r>
      <w:r w:rsidRPr="003520EF">
        <w:rPr>
          <w:rtl/>
        </w:rPr>
        <w:tab/>
        <w:t>لا</w:t>
      </w:r>
      <w:r w:rsidR="00DC6C59">
        <w:rPr>
          <w:rtl/>
        </w:rPr>
        <w:t xml:space="preserve"> </w:t>
      </w:r>
      <w:r w:rsidRPr="003520EF">
        <w:rPr>
          <w:rtl/>
        </w:rPr>
        <w:t>يرتبط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عادة</w:t>
      </w:r>
      <w:r w:rsidR="00DC6C59">
        <w:rPr>
          <w:rtl/>
        </w:rPr>
        <w:t xml:space="preserve"> </w:t>
      </w:r>
      <w:r w:rsidRPr="003520EF">
        <w:rPr>
          <w:rtl/>
        </w:rPr>
        <w:t>بعقود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منتظمة،</w:t>
      </w:r>
      <w:r w:rsidR="00DC6C59">
        <w:rPr>
          <w:rtl/>
        </w:rPr>
        <w:t xml:space="preserve"> </w:t>
      </w:r>
      <w:r w:rsidRPr="003520EF">
        <w:rPr>
          <w:rtl/>
        </w:rPr>
        <w:t>وبالتالي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تشملهم</w:t>
      </w:r>
      <w:r w:rsidR="00DC6C59">
        <w:rPr>
          <w:rtl/>
        </w:rPr>
        <w:t xml:space="preserve"> </w:t>
      </w:r>
      <w:r w:rsidRPr="003520EF">
        <w:rPr>
          <w:rtl/>
        </w:rPr>
        <w:t>خطط</w:t>
      </w:r>
      <w:r w:rsidR="00DC6C59">
        <w:rPr>
          <w:rtl/>
        </w:rPr>
        <w:t xml:space="preserve"> </w:t>
      </w:r>
      <w:r w:rsidRPr="003520EF">
        <w:rPr>
          <w:rtl/>
        </w:rPr>
        <w:t>الضمان</w:t>
      </w:r>
      <w:r w:rsidR="00DC6C59">
        <w:rPr>
          <w:rtl/>
        </w:rPr>
        <w:t xml:space="preserve"> </w:t>
      </w:r>
      <w:r w:rsidRPr="003520EF">
        <w:rPr>
          <w:rtl/>
        </w:rPr>
        <w:t>الاجتماعي.</w:t>
      </w:r>
    </w:p>
    <w:p w14:paraId="7BF1BF6C" w14:textId="20DECDDA" w:rsidR="00EC13CA" w:rsidRPr="003520EF" w:rsidRDefault="00EC13CA" w:rsidP="00EC13CA">
      <w:pPr>
        <w:pStyle w:val="SingleTxtGA"/>
      </w:pPr>
      <w:r w:rsidRPr="005170C9">
        <w:rPr>
          <w:rtl/>
        </w:rPr>
        <w:lastRenderedPageBreak/>
        <w:t>15</w:t>
      </w:r>
      <w:r w:rsidRPr="003520EF">
        <w:rPr>
          <w:rtl/>
        </w:rPr>
        <w:t>-</w:t>
      </w:r>
      <w:r w:rsidRPr="003520EF">
        <w:rPr>
          <w:rtl/>
        </w:rPr>
        <w:tab/>
        <w:t>ولا</w:t>
      </w:r>
      <w:r w:rsidR="00DC6C59">
        <w:rPr>
          <w:rtl/>
        </w:rPr>
        <w:t xml:space="preserve"> </w:t>
      </w:r>
      <w:r w:rsidRPr="003520EF">
        <w:rPr>
          <w:rtl/>
        </w:rPr>
        <w:t>تُعتبر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المنفصلة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ورشات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المحمية،</w:t>
      </w:r>
      <w:r w:rsidR="00DC6C59">
        <w:rPr>
          <w:rtl/>
        </w:rPr>
        <w:t xml:space="preserve"> </w:t>
      </w:r>
      <w:r w:rsidRPr="003520EF">
        <w:rPr>
          <w:rtl/>
        </w:rPr>
        <w:t>مقياسا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للإعمال</w:t>
      </w:r>
      <w:r w:rsidR="00DC6C59">
        <w:rPr>
          <w:rtl/>
        </w:rPr>
        <w:t xml:space="preserve"> </w:t>
      </w:r>
      <w:r w:rsidRPr="003520EF">
        <w:rPr>
          <w:rtl/>
        </w:rPr>
        <w:t>التدريجي</w:t>
      </w:r>
      <w:r w:rsidR="00DC6C59">
        <w:rPr>
          <w:rtl/>
        </w:rPr>
        <w:t xml:space="preserve"> </w:t>
      </w:r>
      <w:r w:rsidRPr="003520EF">
        <w:rPr>
          <w:rtl/>
        </w:rPr>
        <w:t>للحق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يثبت</w:t>
      </w:r>
      <w:r w:rsidR="00DC6C59">
        <w:rPr>
          <w:rtl/>
        </w:rPr>
        <w:t xml:space="preserve"> </w:t>
      </w:r>
      <w:r w:rsidRPr="003520EF">
        <w:rPr>
          <w:rtl/>
        </w:rPr>
        <w:t>إلا</w:t>
      </w:r>
      <w:r w:rsidR="00DC6C59">
        <w:rPr>
          <w:rtl/>
        </w:rPr>
        <w:t xml:space="preserve"> </w:t>
      </w:r>
      <w:r w:rsidRPr="003520EF">
        <w:rPr>
          <w:rtl/>
        </w:rPr>
        <w:t>بالعمل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يتم</w:t>
      </w:r>
      <w:r w:rsidR="00DC6C59">
        <w:rPr>
          <w:rtl/>
        </w:rPr>
        <w:t xml:space="preserve"> </w:t>
      </w:r>
      <w:r w:rsidRPr="003520EF">
        <w:rPr>
          <w:rtl/>
        </w:rPr>
        <w:t>اختياره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قبوله</w:t>
      </w:r>
      <w:r w:rsidR="00DC6C59">
        <w:rPr>
          <w:rtl/>
        </w:rPr>
        <w:t xml:space="preserve"> </w:t>
      </w:r>
      <w:r w:rsidRPr="003520EF">
        <w:rPr>
          <w:rtl/>
        </w:rPr>
        <w:t>بحرية</w:t>
      </w:r>
      <w:r w:rsidR="00DC6C59">
        <w:rPr>
          <w:rtl/>
        </w:rPr>
        <w:t xml:space="preserve"> </w:t>
      </w:r>
      <w:r w:rsidRPr="003520EF">
        <w:rPr>
          <w:rtl/>
        </w:rPr>
        <w:t>ويُؤَدَّى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منفتحة</w:t>
      </w:r>
      <w:r w:rsidR="00DC6C59">
        <w:rPr>
          <w:rtl/>
        </w:rPr>
        <w:t xml:space="preserve"> </w:t>
      </w:r>
      <w:r w:rsidRPr="003520EF">
        <w:rPr>
          <w:rtl/>
        </w:rPr>
        <w:t>وشاملة.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يجوز</w:t>
      </w:r>
      <w:r w:rsidR="00DC6C59">
        <w:rPr>
          <w:rtl/>
        </w:rPr>
        <w:t xml:space="preserve"> </w:t>
      </w:r>
      <w:r w:rsidRPr="003520EF">
        <w:rPr>
          <w:rtl/>
        </w:rPr>
        <w:t>اعتبار</w:t>
      </w:r>
      <w:r w:rsidR="00DC6C59">
        <w:rPr>
          <w:rtl/>
        </w:rPr>
        <w:t xml:space="preserve"> </w:t>
      </w:r>
      <w:r w:rsidRPr="003520EF">
        <w:rPr>
          <w:rtl/>
        </w:rPr>
        <w:t>مشاريع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يديرها</w:t>
      </w:r>
      <w:r w:rsidR="00DC6C59">
        <w:rPr>
          <w:rtl/>
        </w:rPr>
        <w:t xml:space="preserve"> </w:t>
      </w:r>
      <w:r w:rsidRPr="003520EF">
        <w:rPr>
          <w:rtl/>
        </w:rPr>
        <w:t>ويقودها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مشاريع</w:t>
      </w:r>
      <w:r w:rsidR="00DC6C59">
        <w:rPr>
          <w:rtl/>
        </w:rPr>
        <w:t xml:space="preserve"> </w:t>
      </w:r>
      <w:r w:rsidRPr="003520EF">
        <w:rPr>
          <w:rtl/>
        </w:rPr>
        <w:t>الملكية</w:t>
      </w:r>
      <w:r w:rsidR="00DC6C59">
        <w:rPr>
          <w:rtl/>
        </w:rPr>
        <w:t xml:space="preserve"> </w:t>
      </w:r>
      <w:r w:rsidRPr="003520EF">
        <w:rPr>
          <w:rtl/>
        </w:rPr>
        <w:t>المشتركة</w:t>
      </w:r>
      <w:r w:rsidR="00DC6C59">
        <w:rPr>
          <w:rtl/>
        </w:rPr>
        <w:t xml:space="preserve"> </w:t>
      </w:r>
      <w:r w:rsidRPr="003520EF">
        <w:rPr>
          <w:rtl/>
        </w:rPr>
        <w:t>والتي</w:t>
      </w:r>
      <w:r w:rsidR="00DC6C59">
        <w:rPr>
          <w:rtl/>
        </w:rPr>
        <w:t xml:space="preserve"> </w:t>
      </w:r>
      <w:r w:rsidRPr="003520EF">
        <w:rPr>
          <w:rtl/>
        </w:rPr>
        <w:t>تُدار</w:t>
      </w:r>
      <w:r w:rsidR="00DC6C59">
        <w:rPr>
          <w:rtl/>
        </w:rPr>
        <w:t xml:space="preserve"> </w:t>
      </w:r>
      <w:r w:rsidRPr="003520EF">
        <w:rPr>
          <w:rtl/>
        </w:rPr>
        <w:t>ديمقراطيا</w:t>
      </w:r>
      <w:r w:rsidR="00476B81">
        <w:rPr>
          <w:rFonts w:hint="cs"/>
          <w:rtl/>
        </w:rPr>
        <w:t>ً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عملا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منفصلا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إذا</w:t>
      </w:r>
      <w:r w:rsidR="00DC6C59">
        <w:rPr>
          <w:rtl/>
        </w:rPr>
        <w:t xml:space="preserve"> </w:t>
      </w:r>
      <w:r w:rsidRPr="003520EF">
        <w:rPr>
          <w:rtl/>
        </w:rPr>
        <w:t>وفرت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ومرضية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الآخرين.</w:t>
      </w:r>
      <w:r w:rsidR="00DC6C59">
        <w:rPr>
          <w:rtl/>
        </w:rPr>
        <w:t xml:space="preserve"> </w:t>
      </w:r>
    </w:p>
    <w:p w14:paraId="04499CEE" w14:textId="3B26B222" w:rsidR="00EC13CA" w:rsidRPr="005170C9" w:rsidRDefault="00EC13CA" w:rsidP="00EC13CA">
      <w:pPr>
        <w:pStyle w:val="H1GA"/>
      </w:pPr>
      <w:r w:rsidRPr="005170C9">
        <w:rPr>
          <w:rtl/>
        </w:rPr>
        <w:tab/>
        <w:t>باء-</w:t>
      </w:r>
      <w:r w:rsidRPr="005170C9">
        <w:rPr>
          <w:rtl/>
        </w:rPr>
        <w:tab/>
        <w:t>حظر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التمييز</w:t>
      </w:r>
      <w:r w:rsidR="00DC6C59" w:rsidRPr="005170C9">
        <w:rPr>
          <w:rtl/>
        </w:rPr>
        <w:t xml:space="preserve"> </w:t>
      </w:r>
      <w:r w:rsidRPr="005170C9">
        <w:rPr>
          <w:rtl/>
        </w:rPr>
        <w:t>على</w:t>
      </w:r>
      <w:r w:rsidR="00DC6C59" w:rsidRPr="005170C9">
        <w:rPr>
          <w:rtl/>
        </w:rPr>
        <w:t xml:space="preserve"> </w:t>
      </w:r>
      <w:r w:rsidRPr="005170C9">
        <w:rPr>
          <w:rtl/>
        </w:rPr>
        <w:t>أساس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الإعاقة</w:t>
      </w:r>
      <w:r w:rsidR="00DC6C59" w:rsidRPr="005170C9">
        <w:rPr>
          <w:rtl/>
        </w:rPr>
        <w:t xml:space="preserve"> </w:t>
      </w:r>
      <w:r w:rsidRPr="005170C9">
        <w:rPr>
          <w:rtl/>
        </w:rPr>
        <w:t>(</w:t>
      </w:r>
      <w:r w:rsidRPr="005170C9">
        <w:rPr>
          <w:rFonts w:hint="cs"/>
          <w:rtl/>
        </w:rPr>
        <w:t>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27(1)(أ))</w:t>
      </w:r>
    </w:p>
    <w:p w14:paraId="17161255" w14:textId="36AEDB1D" w:rsidR="00EC13CA" w:rsidRPr="003520EF" w:rsidRDefault="00EC13CA" w:rsidP="00EC13CA">
      <w:pPr>
        <w:pStyle w:val="SingleTxtGA"/>
      </w:pPr>
      <w:r w:rsidRPr="005170C9">
        <w:rPr>
          <w:rtl/>
        </w:rPr>
        <w:t>16</w:t>
      </w:r>
      <w:r w:rsidRPr="003520EF">
        <w:rPr>
          <w:rtl/>
        </w:rPr>
        <w:t>-</w:t>
      </w:r>
      <w:r w:rsidRPr="003520EF">
        <w:rPr>
          <w:rtl/>
        </w:rPr>
        <w:tab/>
        <w:t>يعد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والمساواة</w:t>
      </w:r>
      <w:r w:rsidR="00DC6C59">
        <w:rPr>
          <w:rtl/>
        </w:rPr>
        <w:t xml:space="preserve"> </w:t>
      </w:r>
      <w:r w:rsidRPr="003520EF">
        <w:rPr>
          <w:rtl/>
        </w:rPr>
        <w:t>التزامين</w:t>
      </w:r>
      <w:r w:rsidR="00DC6C59">
        <w:rPr>
          <w:rtl/>
        </w:rPr>
        <w:t xml:space="preserve"> </w:t>
      </w:r>
      <w:r w:rsidRPr="003520EF">
        <w:rPr>
          <w:rtl/>
        </w:rPr>
        <w:t>أساسيين</w:t>
      </w:r>
      <w:r w:rsidR="00DC6C59">
        <w:rPr>
          <w:rtl/>
        </w:rPr>
        <w:t xml:space="preserve"> </w:t>
      </w:r>
      <w:r w:rsidRPr="003520EF">
        <w:rPr>
          <w:rtl/>
        </w:rPr>
        <w:t>نصت</w:t>
      </w:r>
      <w:r w:rsidR="00DC6C59">
        <w:rPr>
          <w:rtl/>
        </w:rPr>
        <w:t xml:space="preserve"> </w:t>
      </w:r>
      <w:r w:rsidRPr="003520EF">
        <w:rPr>
          <w:rtl/>
        </w:rPr>
        <w:t>عليهما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ويسريان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أعمال</w:t>
      </w:r>
      <w:r w:rsidR="00DC6C59">
        <w:rPr>
          <w:rtl/>
        </w:rPr>
        <w:t xml:space="preserve"> </w:t>
      </w:r>
      <w:r w:rsidRPr="003520EF">
        <w:rPr>
          <w:rtl/>
        </w:rPr>
        <w:t>أطراف</w:t>
      </w:r>
      <w:r w:rsidR="00DC6C59">
        <w:rPr>
          <w:rtl/>
        </w:rPr>
        <w:t xml:space="preserve"> </w:t>
      </w:r>
      <w:r w:rsidRPr="003520EF">
        <w:rPr>
          <w:rtl/>
        </w:rPr>
        <w:t>ثالثة،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قطاع</w:t>
      </w:r>
      <w:r w:rsidR="00DC6C59">
        <w:rPr>
          <w:rtl/>
        </w:rPr>
        <w:t xml:space="preserve"> </w:t>
      </w:r>
      <w:r w:rsidRPr="003520EF">
        <w:rPr>
          <w:rtl/>
        </w:rPr>
        <w:t>الأعمال</w:t>
      </w:r>
      <w:r w:rsidR="00DC6C59">
        <w:rPr>
          <w:rtl/>
        </w:rPr>
        <w:t xml:space="preserve"> </w:t>
      </w:r>
      <w:r w:rsidRPr="003520EF">
        <w:rPr>
          <w:rtl/>
        </w:rPr>
        <w:t>التجارية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2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وينطبقان</w:t>
      </w:r>
      <w:r w:rsidR="00DC6C59">
        <w:rPr>
          <w:rtl/>
        </w:rPr>
        <w:t xml:space="preserve"> </w:t>
      </w:r>
      <w:r w:rsidRPr="003520EF">
        <w:rPr>
          <w:rtl/>
        </w:rPr>
        <w:t>طوال</w:t>
      </w:r>
      <w:r w:rsidR="00DC6C59">
        <w:rPr>
          <w:rtl/>
        </w:rPr>
        <w:t xml:space="preserve"> </w:t>
      </w:r>
      <w:r w:rsidRPr="003520EF">
        <w:rPr>
          <w:rtl/>
        </w:rPr>
        <w:t>دورة</w:t>
      </w:r>
      <w:r w:rsidR="00DC6C59">
        <w:rPr>
          <w:rtl/>
        </w:rPr>
        <w:t xml:space="preserve"> </w:t>
      </w:r>
      <w:r w:rsidRPr="003520EF">
        <w:rPr>
          <w:rtl/>
        </w:rPr>
        <w:t>العمالة،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التعيين</w:t>
      </w:r>
      <w:r w:rsidR="00DC6C59">
        <w:rPr>
          <w:rtl/>
        </w:rPr>
        <w:t xml:space="preserve"> </w:t>
      </w:r>
      <w:r w:rsidRPr="003520EF">
        <w:rPr>
          <w:rtl/>
        </w:rPr>
        <w:t>والتوظيف</w:t>
      </w:r>
      <w:r w:rsidR="00DC6C59">
        <w:rPr>
          <w:rtl/>
        </w:rPr>
        <w:t xml:space="preserve"> </w:t>
      </w:r>
      <w:r w:rsidRPr="003520EF">
        <w:rPr>
          <w:rtl/>
        </w:rPr>
        <w:t>والعمالة،</w:t>
      </w:r>
      <w:r w:rsidR="00DC6C59">
        <w:rPr>
          <w:rtl/>
        </w:rPr>
        <w:t xml:space="preserve"> </w:t>
      </w:r>
      <w:r w:rsidRPr="003520EF">
        <w:rPr>
          <w:rtl/>
        </w:rPr>
        <w:t>ومواصلة</w:t>
      </w:r>
      <w:r w:rsidR="00DC6C59">
        <w:rPr>
          <w:rtl/>
        </w:rPr>
        <w:t xml:space="preserve"> </w:t>
      </w:r>
      <w:r w:rsidRPr="003520EF">
        <w:rPr>
          <w:rtl/>
        </w:rPr>
        <w:t>العمالة،</w:t>
      </w:r>
      <w:r w:rsidR="00DC6C59">
        <w:rPr>
          <w:rtl/>
        </w:rPr>
        <w:t xml:space="preserve"> </w:t>
      </w:r>
      <w:r w:rsidRPr="003520EF">
        <w:rPr>
          <w:rtl/>
        </w:rPr>
        <w:t>وبرامج</w:t>
      </w:r>
      <w:r w:rsidR="00DC6C59">
        <w:rPr>
          <w:rtl/>
        </w:rPr>
        <w:t xml:space="preserve"> </w:t>
      </w:r>
      <w:r w:rsidRPr="003520EF">
        <w:rPr>
          <w:rtl/>
        </w:rPr>
        <w:t>التدريب،</w:t>
      </w:r>
      <w:r w:rsidR="00DC6C59">
        <w:rPr>
          <w:rtl/>
        </w:rPr>
        <w:t xml:space="preserve"> </w:t>
      </w:r>
      <w:r w:rsidRPr="003520EF">
        <w:rPr>
          <w:rtl/>
        </w:rPr>
        <w:t>والتقدم</w:t>
      </w:r>
      <w:r w:rsidR="00DC6C59">
        <w:rPr>
          <w:rtl/>
        </w:rPr>
        <w:t xml:space="preserve"> </w:t>
      </w:r>
      <w:r w:rsidRPr="003520EF">
        <w:rPr>
          <w:rtl/>
        </w:rPr>
        <w:t>الوظيفي،</w:t>
      </w:r>
      <w:r w:rsidR="00DC6C59">
        <w:rPr>
          <w:rtl/>
        </w:rPr>
        <w:t xml:space="preserve"> </w:t>
      </w:r>
      <w:r w:rsidRPr="003520EF">
        <w:rPr>
          <w:rtl/>
        </w:rPr>
        <w:t>كما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البحث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وتقديم</w:t>
      </w:r>
      <w:r w:rsidR="00DC6C59">
        <w:rPr>
          <w:rtl/>
        </w:rPr>
        <w:t xml:space="preserve"> </w:t>
      </w:r>
      <w:r w:rsidRPr="003520EF">
        <w:rPr>
          <w:rtl/>
        </w:rPr>
        <w:t>الطلب</w:t>
      </w:r>
      <w:r w:rsidR="00DC6C59">
        <w:rPr>
          <w:rtl/>
        </w:rPr>
        <w:t xml:space="preserve"> </w:t>
      </w:r>
      <w:r w:rsidRPr="003520EF">
        <w:rPr>
          <w:rtl/>
        </w:rPr>
        <w:t>للحصول</w:t>
      </w:r>
      <w:r w:rsidR="00DC6C59">
        <w:rPr>
          <w:rtl/>
        </w:rPr>
        <w:t xml:space="preserve"> </w:t>
      </w:r>
      <w:r w:rsidRPr="003520EF">
        <w:rPr>
          <w:rtl/>
        </w:rPr>
        <w:t>عليه</w:t>
      </w:r>
      <w:r w:rsidR="00DC6C59">
        <w:rPr>
          <w:rtl/>
        </w:rPr>
        <w:t xml:space="preserve"> </w:t>
      </w:r>
      <w:r w:rsidRPr="003520EF">
        <w:rPr>
          <w:rtl/>
        </w:rPr>
        <w:t>والخروج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ولاحظت</w:t>
      </w:r>
      <w:r w:rsidR="00DC6C59">
        <w:rPr>
          <w:rtl/>
        </w:rPr>
        <w:t xml:space="preserve"> </w:t>
      </w:r>
      <w:r w:rsidRPr="003520EF">
        <w:rPr>
          <w:rtl/>
        </w:rPr>
        <w:t>اللجنة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اجتهادها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تحقيق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الفعلية</w:t>
      </w:r>
      <w:r w:rsidR="00DC6C59">
        <w:rPr>
          <w:rtl/>
        </w:rPr>
        <w:t xml:space="preserve"> </w:t>
      </w:r>
      <w:r w:rsidRPr="003520EF">
        <w:rPr>
          <w:rtl/>
        </w:rPr>
        <w:t>بموجب</w:t>
      </w:r>
      <w:r w:rsidR="00DC6C59">
        <w:rPr>
          <w:rtl/>
        </w:rPr>
        <w:t xml:space="preserve"> </w:t>
      </w:r>
      <w:r w:rsidRPr="003520EF">
        <w:rPr>
          <w:rtl/>
        </w:rPr>
        <w:t>الاتفاقية</w:t>
      </w:r>
      <w:r w:rsidR="00DC6C59">
        <w:rPr>
          <w:rtl/>
        </w:rPr>
        <w:t xml:space="preserve"> </w:t>
      </w:r>
      <w:r w:rsidRPr="003520EF">
        <w:rPr>
          <w:rtl/>
        </w:rPr>
        <w:t>يستوجب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تكفل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وجود</w:t>
      </w:r>
      <w:r w:rsidR="00DC6C59">
        <w:rPr>
          <w:rtl/>
        </w:rPr>
        <w:t xml:space="preserve"> </w:t>
      </w:r>
      <w:r w:rsidRPr="003520EF">
        <w:rPr>
          <w:rtl/>
        </w:rPr>
        <w:t>تمييز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3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وتحدد</w:t>
      </w:r>
      <w:r w:rsidR="00DC6C59">
        <w:rPr>
          <w:rtl/>
        </w:rPr>
        <w:t xml:space="preserve"> </w:t>
      </w:r>
      <w:r w:rsidRPr="003520EF">
        <w:rPr>
          <w:rtl/>
        </w:rPr>
        <w:t>الممارسة</w:t>
      </w:r>
      <w:r w:rsidR="00DC6C59">
        <w:rPr>
          <w:rtl/>
        </w:rPr>
        <w:t xml:space="preserve"> </w:t>
      </w:r>
      <w:r w:rsidRPr="003520EF">
        <w:rPr>
          <w:rtl/>
        </w:rPr>
        <w:t>الدولية</w:t>
      </w:r>
      <w:r w:rsidR="00DC6C59">
        <w:rPr>
          <w:rtl/>
        </w:rPr>
        <w:t xml:space="preserve"> </w:t>
      </w:r>
      <w:r w:rsidRPr="003520EF">
        <w:rPr>
          <w:rtl/>
        </w:rPr>
        <w:t>لحقوق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عددا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أشكال</w:t>
      </w:r>
      <w:r w:rsidR="00DC6C59">
        <w:rPr>
          <w:rtl/>
        </w:rPr>
        <w:t xml:space="preserve"> </w:t>
      </w:r>
      <w:r w:rsidRPr="003520EF">
        <w:rPr>
          <w:rtl/>
        </w:rPr>
        <w:t>التمييز،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يمكن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تحدث</w:t>
      </w:r>
      <w:r w:rsidR="00DC6C59">
        <w:rPr>
          <w:rtl/>
        </w:rPr>
        <w:t xml:space="preserve"> </w:t>
      </w:r>
      <w:r w:rsidRPr="003520EF">
        <w:rPr>
          <w:rtl/>
        </w:rPr>
        <w:t>بشكل</w:t>
      </w:r>
      <w:r w:rsidR="00DC6C59">
        <w:rPr>
          <w:rtl/>
        </w:rPr>
        <w:t xml:space="preserve"> </w:t>
      </w:r>
      <w:r w:rsidRPr="003520EF">
        <w:rPr>
          <w:rtl/>
        </w:rPr>
        <w:t>فردي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متزامن</w:t>
      </w:r>
      <w:r w:rsidR="00DC6C59">
        <w:rPr>
          <w:rtl/>
        </w:rPr>
        <w:t xml:space="preserve"> </w:t>
      </w:r>
      <w:r w:rsidRPr="003520EF">
        <w:rPr>
          <w:rtl/>
        </w:rPr>
        <w:t>وهي</w:t>
      </w:r>
      <w:r w:rsidR="00DC6C59">
        <w:rPr>
          <w:rtl/>
        </w:rPr>
        <w:t xml:space="preserve">: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المباشر،</w:t>
      </w:r>
      <w:r w:rsidR="00DC6C59">
        <w:rPr>
          <w:rtl/>
        </w:rPr>
        <w:t xml:space="preserve"> </w:t>
      </w:r>
      <w:r w:rsidRPr="003520EF">
        <w:rPr>
          <w:rtl/>
        </w:rPr>
        <w:t>والتمييز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المباشر،</w:t>
      </w:r>
      <w:r w:rsidR="00DC6C59">
        <w:rPr>
          <w:rtl/>
        </w:rPr>
        <w:t xml:space="preserve"> </w:t>
      </w:r>
      <w:r w:rsidRPr="003520EF">
        <w:rPr>
          <w:rtl/>
        </w:rPr>
        <w:t>والحرمان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المعقولة،</w:t>
      </w:r>
      <w:r w:rsidR="00DC6C59">
        <w:rPr>
          <w:rtl/>
        </w:rPr>
        <w:t xml:space="preserve"> </w:t>
      </w:r>
      <w:r w:rsidRPr="003520EF">
        <w:rPr>
          <w:rtl/>
        </w:rPr>
        <w:t>والتحرش،</w:t>
      </w:r>
      <w:r w:rsidR="00DC6C59">
        <w:rPr>
          <w:rtl/>
        </w:rPr>
        <w:t xml:space="preserve"> </w:t>
      </w:r>
      <w:r w:rsidRPr="003520EF">
        <w:rPr>
          <w:rtl/>
        </w:rPr>
        <w:t>والتمييز</w:t>
      </w:r>
      <w:r w:rsidR="00DC6C59">
        <w:rPr>
          <w:rtl/>
        </w:rPr>
        <w:t xml:space="preserve"> </w:t>
      </w:r>
      <w:r w:rsidRPr="003520EF">
        <w:rPr>
          <w:rtl/>
        </w:rPr>
        <w:t>بالتلازم.</w:t>
      </w:r>
      <w:r w:rsidR="00DC6C59">
        <w:rPr>
          <w:rtl/>
        </w:rPr>
        <w:t xml:space="preserve"> </w:t>
      </w:r>
    </w:p>
    <w:p w14:paraId="27BDE848" w14:textId="6D18C6D7" w:rsidR="00DC6C59" w:rsidRPr="00DC6C59" w:rsidRDefault="00EC13CA" w:rsidP="00EC13CA">
      <w:pPr>
        <w:pStyle w:val="SingleTxtGA"/>
      </w:pPr>
      <w:r w:rsidRPr="005170C9">
        <w:rPr>
          <w:rtl/>
        </w:rPr>
        <w:t>17</w:t>
      </w:r>
      <w:r w:rsidRPr="003520EF">
        <w:rPr>
          <w:rtl/>
        </w:rPr>
        <w:t>-</w:t>
      </w:r>
      <w:r w:rsidRPr="003520EF">
        <w:rPr>
          <w:rtl/>
        </w:rPr>
        <w:tab/>
        <w:t>ويحدث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المباشر</w:t>
      </w:r>
      <w:r w:rsidR="00DC6C59">
        <w:rPr>
          <w:rtl/>
        </w:rPr>
        <w:t xml:space="preserve"> </w:t>
      </w:r>
      <w:r w:rsidRPr="003520EF">
        <w:rPr>
          <w:rtl/>
        </w:rPr>
        <w:t>عندما</w:t>
      </w:r>
      <w:r w:rsidR="00DC6C59">
        <w:rPr>
          <w:rtl/>
        </w:rPr>
        <w:t xml:space="preserve"> </w:t>
      </w:r>
      <w:r w:rsidRPr="003520EF">
        <w:rPr>
          <w:rtl/>
        </w:rPr>
        <w:t>يعامل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معاملة</w:t>
      </w:r>
      <w:r w:rsidR="00DC6C59">
        <w:rPr>
          <w:rtl/>
        </w:rPr>
        <w:t xml:space="preserve"> </w:t>
      </w:r>
      <w:r w:rsidRPr="003520EF">
        <w:rPr>
          <w:rtl/>
        </w:rPr>
        <w:t>أقل</w:t>
      </w:r>
      <w:r w:rsidR="00DC6C59">
        <w:rPr>
          <w:rtl/>
        </w:rPr>
        <w:t xml:space="preserve"> </w:t>
      </w:r>
      <w:r w:rsidRPr="003520EF">
        <w:rPr>
          <w:rtl/>
        </w:rPr>
        <w:t>حظوة</w:t>
      </w:r>
      <w:r w:rsidR="00DC6C59">
        <w:rPr>
          <w:rtl/>
        </w:rPr>
        <w:t xml:space="preserve"> </w:t>
      </w:r>
      <w:r w:rsidRPr="003520EF">
        <w:rPr>
          <w:rtl/>
        </w:rPr>
        <w:t>لأي</w:t>
      </w:r>
      <w:r w:rsidR="00DC6C59">
        <w:rPr>
          <w:rtl/>
        </w:rPr>
        <w:t xml:space="preserve"> </w:t>
      </w:r>
      <w:r w:rsidRPr="003520EF">
        <w:rPr>
          <w:rtl/>
        </w:rPr>
        <w:t>سبب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بإعاقتهم.</w:t>
      </w:r>
      <w:r w:rsidR="00DC6C59">
        <w:rPr>
          <w:rtl/>
        </w:rPr>
        <w:t xml:space="preserve"> </w:t>
      </w:r>
      <w:r w:rsidRPr="003520EF">
        <w:rPr>
          <w:rtl/>
        </w:rPr>
        <w:t>ومن</w:t>
      </w:r>
      <w:r w:rsidR="00DC6C59">
        <w:rPr>
          <w:rtl/>
        </w:rPr>
        <w:t xml:space="preserve"> </w:t>
      </w:r>
      <w:r w:rsidRPr="003520EF">
        <w:rPr>
          <w:rtl/>
        </w:rPr>
        <w:t>الأمثلة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نظر</w:t>
      </w:r>
      <w:r w:rsidR="00DC6C59">
        <w:rPr>
          <w:rtl/>
        </w:rPr>
        <w:t xml:space="preserve"> </w:t>
      </w:r>
      <w:r w:rsidRPr="003520EF">
        <w:rPr>
          <w:rtl/>
        </w:rPr>
        <w:t>رب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تعيين</w:t>
      </w:r>
      <w:r w:rsidR="00DC6C59">
        <w:rPr>
          <w:rtl/>
        </w:rPr>
        <w:t xml:space="preserve"> </w:t>
      </w:r>
      <w:r w:rsidRPr="003520EF">
        <w:rPr>
          <w:rtl/>
        </w:rPr>
        <w:t>شخص</w:t>
      </w:r>
      <w:r w:rsidR="00DC6C59">
        <w:rPr>
          <w:rtl/>
        </w:rPr>
        <w:t xml:space="preserve"> </w:t>
      </w:r>
      <w:r w:rsidRPr="003520EF">
        <w:rPr>
          <w:rtl/>
        </w:rPr>
        <w:t>ذي</w:t>
      </w:r>
      <w:r w:rsidR="00DC6C59">
        <w:rPr>
          <w:rtl/>
        </w:rPr>
        <w:t xml:space="preserve"> </w:t>
      </w:r>
      <w:r w:rsidRPr="003520EF">
        <w:rPr>
          <w:rtl/>
        </w:rPr>
        <w:t>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وظيفة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افتراض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الشخص</w:t>
      </w:r>
      <w:r w:rsidR="00DC6C59">
        <w:rPr>
          <w:rtl/>
        </w:rPr>
        <w:t xml:space="preserve"> </w:t>
      </w:r>
      <w:r w:rsidRPr="003520EF">
        <w:rPr>
          <w:rtl/>
        </w:rPr>
        <w:t>ذي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لن</w:t>
      </w:r>
      <w:r w:rsidR="00DC6C59">
        <w:rPr>
          <w:rtl/>
        </w:rPr>
        <w:t xml:space="preserve"> </w:t>
      </w:r>
      <w:r w:rsidRPr="003520EF">
        <w:rPr>
          <w:rtl/>
        </w:rPr>
        <w:t>يكون</w:t>
      </w:r>
      <w:r w:rsidR="00DC6C59">
        <w:rPr>
          <w:rtl/>
        </w:rPr>
        <w:t xml:space="preserve"> </w:t>
      </w:r>
      <w:r w:rsidRPr="003520EF">
        <w:rPr>
          <w:rtl/>
        </w:rPr>
        <w:t>قادرا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القيام</w:t>
      </w:r>
      <w:r w:rsidR="00DC6C59">
        <w:rPr>
          <w:rtl/>
        </w:rPr>
        <w:t xml:space="preserve"> </w:t>
      </w:r>
      <w:r w:rsidRPr="003520EF">
        <w:rPr>
          <w:rtl/>
        </w:rPr>
        <w:t>بهذا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4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</w:p>
    <w:p w14:paraId="1456DE12" w14:textId="6A91281B" w:rsidR="00EC13CA" w:rsidRPr="003520EF" w:rsidRDefault="00EC13CA" w:rsidP="00EC13CA">
      <w:pPr>
        <w:pStyle w:val="SingleTxtGA"/>
      </w:pPr>
      <w:r w:rsidRPr="005170C9">
        <w:rPr>
          <w:rtl/>
        </w:rPr>
        <w:t>18</w:t>
      </w:r>
      <w:r w:rsidRPr="003520EF">
        <w:rPr>
          <w:rtl/>
        </w:rPr>
        <w:t>-</w:t>
      </w:r>
      <w:r w:rsidRPr="003520EF">
        <w:rPr>
          <w:rtl/>
        </w:rPr>
        <w:tab/>
        <w:t>ويقصد</w:t>
      </w:r>
      <w:r w:rsidR="00DC6C59">
        <w:rPr>
          <w:rtl/>
        </w:rPr>
        <w:t xml:space="preserve"> </w:t>
      </w:r>
      <w:r w:rsidRPr="003520EF">
        <w:rPr>
          <w:rtl/>
        </w:rPr>
        <w:t>بالتمييز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المباشر</w:t>
      </w:r>
      <w:r w:rsidR="00DC6C59">
        <w:rPr>
          <w:rtl/>
        </w:rPr>
        <w:t xml:space="preserve"> </w:t>
      </w:r>
      <w:r w:rsidRPr="003520EF">
        <w:rPr>
          <w:rtl/>
        </w:rPr>
        <w:t>تطبيق</w:t>
      </w:r>
      <w:r w:rsidR="00DC6C59">
        <w:rPr>
          <w:rtl/>
        </w:rPr>
        <w:t xml:space="preserve"> </w:t>
      </w:r>
      <w:r w:rsidRPr="003520EF">
        <w:rPr>
          <w:rtl/>
        </w:rPr>
        <w:t>القوانين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السياسات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الممارسات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تبدو</w:t>
      </w:r>
      <w:r w:rsidR="00DC6C59">
        <w:rPr>
          <w:rtl/>
        </w:rPr>
        <w:t xml:space="preserve"> </w:t>
      </w:r>
      <w:r w:rsidRPr="003520EF">
        <w:rPr>
          <w:rtl/>
        </w:rPr>
        <w:t>محايدة</w:t>
      </w:r>
      <w:r w:rsidR="00DC6C59">
        <w:rPr>
          <w:rtl/>
        </w:rPr>
        <w:t xml:space="preserve"> </w:t>
      </w:r>
      <w:r w:rsidRPr="003520EF">
        <w:rPr>
          <w:rtl/>
        </w:rPr>
        <w:t>لكن</w:t>
      </w:r>
      <w:r w:rsidR="00DC6C59">
        <w:rPr>
          <w:rtl/>
        </w:rPr>
        <w:t xml:space="preserve"> </w:t>
      </w:r>
      <w:r w:rsidRPr="003520EF">
        <w:rPr>
          <w:rtl/>
        </w:rPr>
        <w:t>تأثيرها</w:t>
      </w:r>
      <w:r w:rsidR="00DC6C59">
        <w:rPr>
          <w:rtl/>
        </w:rPr>
        <w:t xml:space="preserve"> </w:t>
      </w:r>
      <w:r w:rsidRPr="003520EF">
        <w:rPr>
          <w:rtl/>
        </w:rPr>
        <w:t>سلبي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ويحدث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عندما</w:t>
      </w:r>
      <w:r w:rsidR="00DC6C59">
        <w:rPr>
          <w:rtl/>
        </w:rPr>
        <w:t xml:space="preserve"> </w:t>
      </w:r>
      <w:r w:rsidRPr="003520EF">
        <w:rPr>
          <w:rtl/>
        </w:rPr>
        <w:t>تَستبعِدُ</w:t>
      </w:r>
      <w:r w:rsidR="00DC6C59">
        <w:rPr>
          <w:rtl/>
        </w:rPr>
        <w:t xml:space="preserve"> </w:t>
      </w:r>
      <w:r w:rsidRPr="003520EF">
        <w:rPr>
          <w:rtl/>
        </w:rPr>
        <w:t>فرصة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الأشخاصَ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لأن</w:t>
      </w:r>
      <w:r w:rsidR="00DC6C59">
        <w:rPr>
          <w:rtl/>
        </w:rPr>
        <w:t xml:space="preserve"> </w:t>
      </w:r>
      <w:r w:rsidRPr="003520EF">
        <w:rPr>
          <w:rtl/>
        </w:rPr>
        <w:t>الإطار</w:t>
      </w:r>
      <w:r w:rsidR="00DC6C59">
        <w:rPr>
          <w:rtl/>
        </w:rPr>
        <w:t xml:space="preserve"> </w:t>
      </w:r>
      <w:r w:rsidRPr="003520EF">
        <w:rPr>
          <w:rtl/>
        </w:rPr>
        <w:t>المحدد</w:t>
      </w:r>
      <w:r w:rsidR="00DC6C59">
        <w:rPr>
          <w:rtl/>
        </w:rPr>
        <w:t xml:space="preserve"> </w:t>
      </w:r>
      <w:r w:rsidRPr="003520EF">
        <w:rPr>
          <w:rtl/>
        </w:rPr>
        <w:t>للفرصة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يأخذ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الحسبان</w:t>
      </w:r>
      <w:r w:rsidR="00DC6C59">
        <w:rPr>
          <w:rtl/>
        </w:rPr>
        <w:t xml:space="preserve"> </w:t>
      </w:r>
      <w:r w:rsidRPr="003520EF">
        <w:rPr>
          <w:rtl/>
        </w:rPr>
        <w:t>حالتهم،</w:t>
      </w:r>
      <w:r w:rsidR="00DC6C59">
        <w:rPr>
          <w:rtl/>
        </w:rPr>
        <w:t xml:space="preserve"> </w:t>
      </w:r>
      <w:r w:rsidRPr="003520EF">
        <w:rPr>
          <w:rtl/>
        </w:rPr>
        <w:t>ونتيجة</w:t>
      </w:r>
      <w:r w:rsidR="00DC6C59">
        <w:rPr>
          <w:rtl/>
        </w:rPr>
        <w:t xml:space="preserve"> </w:t>
      </w:r>
      <w:r w:rsidRPr="003520EF">
        <w:rPr>
          <w:rtl/>
        </w:rPr>
        <w:t>لذلك،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يستطيعون</w:t>
      </w:r>
      <w:r w:rsidR="00DC6C59">
        <w:rPr>
          <w:rtl/>
        </w:rPr>
        <w:t xml:space="preserve"> </w:t>
      </w:r>
      <w:r w:rsidRPr="003520EF">
        <w:rPr>
          <w:rtl/>
        </w:rPr>
        <w:t>الاستفادة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الفرصة</w:t>
      </w:r>
      <w:r w:rsidR="00DC6C59">
        <w:rPr>
          <w:rtl/>
        </w:rPr>
        <w:t xml:space="preserve"> </w:t>
      </w:r>
      <w:r w:rsidRPr="003520EF">
        <w:rPr>
          <w:rtl/>
        </w:rPr>
        <w:t>نفسها.</w:t>
      </w:r>
      <w:r w:rsidR="00DC6C59">
        <w:rPr>
          <w:rtl/>
        </w:rPr>
        <w:t xml:space="preserve"> </w:t>
      </w:r>
      <w:r w:rsidRPr="003520EF">
        <w:rPr>
          <w:rtl/>
        </w:rPr>
        <w:t>وعلى</w:t>
      </w:r>
      <w:r w:rsidR="00DC6C59">
        <w:rPr>
          <w:rtl/>
        </w:rPr>
        <w:t xml:space="preserve"> </w:t>
      </w:r>
      <w:r w:rsidRPr="003520EF">
        <w:rPr>
          <w:rtl/>
        </w:rPr>
        <w:t>سبيل</w:t>
      </w:r>
      <w:r w:rsidR="00DC6C59">
        <w:rPr>
          <w:rtl/>
        </w:rPr>
        <w:t xml:space="preserve"> </w:t>
      </w:r>
      <w:r w:rsidRPr="003520EF">
        <w:rPr>
          <w:rtl/>
        </w:rPr>
        <w:t>المثال،</w:t>
      </w:r>
      <w:r w:rsidR="00DC6C59">
        <w:rPr>
          <w:rtl/>
        </w:rPr>
        <w:t xml:space="preserve"> </w:t>
      </w:r>
      <w:r w:rsidRPr="003520EF">
        <w:rPr>
          <w:rtl/>
        </w:rPr>
        <w:t>إذا</w:t>
      </w:r>
      <w:r w:rsidR="00DC6C59">
        <w:rPr>
          <w:rtl/>
        </w:rPr>
        <w:t xml:space="preserve"> </w:t>
      </w:r>
      <w:r w:rsidRPr="003520EF">
        <w:rPr>
          <w:rtl/>
        </w:rPr>
        <w:t>كانت</w:t>
      </w:r>
      <w:r w:rsidR="00DC6C59">
        <w:rPr>
          <w:rtl/>
        </w:rPr>
        <w:t xml:space="preserve"> </w:t>
      </w:r>
      <w:r w:rsidRPr="003520EF">
        <w:rPr>
          <w:rtl/>
        </w:rPr>
        <w:t>الطريقة</w:t>
      </w:r>
      <w:r w:rsidR="00DC6C59">
        <w:rPr>
          <w:rtl/>
        </w:rPr>
        <w:t xml:space="preserve"> </w:t>
      </w:r>
      <w:r w:rsidRPr="003520EF">
        <w:rPr>
          <w:rtl/>
        </w:rPr>
        <w:t>الوحيدة</w:t>
      </w:r>
      <w:r w:rsidR="00DC6C59">
        <w:rPr>
          <w:rtl/>
        </w:rPr>
        <w:t xml:space="preserve"> </w:t>
      </w:r>
      <w:r w:rsidRPr="003520EF">
        <w:rPr>
          <w:rtl/>
        </w:rPr>
        <w:t>لدخول</w:t>
      </w:r>
      <w:r w:rsidR="00DC6C59">
        <w:rPr>
          <w:rtl/>
        </w:rPr>
        <w:t xml:space="preserve"> </w:t>
      </w:r>
      <w:r w:rsidRPr="003520EF">
        <w:rPr>
          <w:rtl/>
        </w:rPr>
        <w:t>مبنى</w:t>
      </w:r>
      <w:r w:rsidR="00DC6C59">
        <w:rPr>
          <w:rtl/>
        </w:rPr>
        <w:t xml:space="preserve"> </w:t>
      </w:r>
      <w:r w:rsidRPr="003520EF">
        <w:rPr>
          <w:rtl/>
        </w:rPr>
        <w:t>عام</w:t>
      </w:r>
      <w:r w:rsidR="00DC6C59">
        <w:rPr>
          <w:rtl/>
        </w:rPr>
        <w:t xml:space="preserve"> </w:t>
      </w:r>
      <w:r w:rsidRPr="003520EF">
        <w:rPr>
          <w:rtl/>
        </w:rPr>
        <w:t>لإجراء</w:t>
      </w:r>
      <w:r w:rsidR="00DC6C59">
        <w:rPr>
          <w:rtl/>
        </w:rPr>
        <w:t xml:space="preserve"> </w:t>
      </w:r>
      <w:r w:rsidRPr="003520EF">
        <w:rPr>
          <w:rtl/>
        </w:rPr>
        <w:t>مقابلة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هي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طريق</w:t>
      </w:r>
      <w:r w:rsidR="00DC6C59">
        <w:rPr>
          <w:rtl/>
        </w:rPr>
        <w:t xml:space="preserve"> </w:t>
      </w:r>
      <w:r w:rsidRPr="003520EF">
        <w:rPr>
          <w:rtl/>
        </w:rPr>
        <w:t>استخدام</w:t>
      </w:r>
      <w:r w:rsidR="00DC6C59">
        <w:rPr>
          <w:rtl/>
        </w:rPr>
        <w:t xml:space="preserve"> </w:t>
      </w:r>
      <w:r w:rsidRPr="003520EF">
        <w:rPr>
          <w:rtl/>
        </w:rPr>
        <w:t>مجموعة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السلالم،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المرشحين</w:t>
      </w:r>
      <w:r w:rsidR="00DC6C59">
        <w:rPr>
          <w:rtl/>
        </w:rPr>
        <w:t xml:space="preserve"> </w:t>
      </w:r>
      <w:r w:rsidRPr="003520EF">
        <w:rPr>
          <w:rtl/>
        </w:rPr>
        <w:t>الذين</w:t>
      </w:r>
      <w:r w:rsidR="00DC6C59">
        <w:rPr>
          <w:rtl/>
        </w:rPr>
        <w:t xml:space="preserve"> </w:t>
      </w:r>
      <w:r w:rsidRPr="003520EF">
        <w:rPr>
          <w:rtl/>
        </w:rPr>
        <w:t>يستخدمون</w:t>
      </w:r>
      <w:r w:rsidR="00DC6C59">
        <w:rPr>
          <w:rtl/>
        </w:rPr>
        <w:t xml:space="preserve"> </w:t>
      </w:r>
      <w:r w:rsidRPr="003520EF">
        <w:rPr>
          <w:rtl/>
        </w:rPr>
        <w:t>الكراسي</w:t>
      </w:r>
      <w:r w:rsidR="00DC6C59">
        <w:rPr>
          <w:rtl/>
        </w:rPr>
        <w:t xml:space="preserve"> </w:t>
      </w:r>
      <w:r w:rsidRPr="003520EF">
        <w:rPr>
          <w:rtl/>
        </w:rPr>
        <w:t>المتحركة</w:t>
      </w:r>
      <w:r w:rsidR="00DC6C59">
        <w:rPr>
          <w:rtl/>
        </w:rPr>
        <w:t xml:space="preserve"> </w:t>
      </w:r>
      <w:r w:rsidRPr="003520EF">
        <w:rPr>
          <w:rtl/>
        </w:rPr>
        <w:t>يحشرون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وضع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لأنهم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قادرين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دخول</w:t>
      </w:r>
      <w:r w:rsidR="00DC6C59">
        <w:rPr>
          <w:rtl/>
        </w:rPr>
        <w:t xml:space="preserve"> </w:t>
      </w:r>
      <w:r w:rsidRPr="003520EF">
        <w:rPr>
          <w:rtl/>
        </w:rPr>
        <w:t>المبنى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5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وينطوي</w:t>
      </w:r>
      <w:r w:rsidR="00DC6C59">
        <w:rPr>
          <w:rtl/>
        </w:rPr>
        <w:t xml:space="preserve"> </w:t>
      </w:r>
      <w:r w:rsidRPr="003520EF">
        <w:rPr>
          <w:rtl/>
        </w:rPr>
        <w:t>حظر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المباشر</w:t>
      </w:r>
      <w:r w:rsidR="00DC6C59">
        <w:rPr>
          <w:rtl/>
        </w:rPr>
        <w:t xml:space="preserve"> </w:t>
      </w:r>
      <w:r w:rsidRPr="003520EF">
        <w:rPr>
          <w:rtl/>
        </w:rPr>
        <w:t>ضمنا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التزام</w:t>
      </w:r>
      <w:r w:rsidR="00DC6C59">
        <w:rPr>
          <w:rtl/>
        </w:rPr>
        <w:t xml:space="preserve"> </w:t>
      </w:r>
      <w:r w:rsidRPr="003520EF">
        <w:rPr>
          <w:rtl/>
        </w:rPr>
        <w:t>مستمر</w:t>
      </w:r>
      <w:r w:rsidR="00DC6C59">
        <w:rPr>
          <w:rtl/>
        </w:rPr>
        <w:t xml:space="preserve"> </w:t>
      </w:r>
      <w:r w:rsidRPr="003520EF">
        <w:rPr>
          <w:rtl/>
        </w:rPr>
        <w:t>بضمان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تصميم</w:t>
      </w:r>
      <w:r w:rsidR="00DC6C59">
        <w:rPr>
          <w:rtl/>
        </w:rPr>
        <w:t xml:space="preserve"> </w:t>
      </w:r>
      <w:r w:rsidRPr="003520EF">
        <w:rPr>
          <w:rtl/>
        </w:rPr>
        <w:t>شامل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الحالات.</w:t>
      </w:r>
      <w:r w:rsidR="00DC6C59">
        <w:rPr>
          <w:rtl/>
        </w:rPr>
        <w:t xml:space="preserve"> </w:t>
      </w:r>
      <w:bookmarkStart w:id="10" w:name="_Hlk95479792"/>
      <w:bookmarkStart w:id="11" w:name="_Hlk110253772"/>
      <w:bookmarkEnd w:id="10"/>
      <w:bookmarkEnd w:id="11"/>
    </w:p>
    <w:p w14:paraId="36122152" w14:textId="1E8BF1D3" w:rsidR="00DC6C59" w:rsidRPr="00DC6C59" w:rsidRDefault="00EC13CA" w:rsidP="00EC13CA">
      <w:pPr>
        <w:pStyle w:val="SingleTxtGA"/>
      </w:pPr>
      <w:r w:rsidRPr="005170C9">
        <w:rPr>
          <w:rtl/>
        </w:rPr>
        <w:t>19</w:t>
      </w:r>
      <w:r w:rsidRPr="003520EF">
        <w:rPr>
          <w:rtl/>
        </w:rPr>
        <w:t>-</w:t>
      </w:r>
      <w:r w:rsidRPr="003520EF">
        <w:rPr>
          <w:rtl/>
        </w:rPr>
        <w:tab/>
        <w:t>ويحدث</w:t>
      </w:r>
      <w:r w:rsidR="00DC6C59">
        <w:rPr>
          <w:rtl/>
        </w:rPr>
        <w:t xml:space="preserve"> </w:t>
      </w:r>
      <w:r w:rsidRPr="003520EF">
        <w:rPr>
          <w:rtl/>
        </w:rPr>
        <w:t>الحرمان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</w:t>
      </w:r>
      <w:r w:rsidR="00DC6C59">
        <w:rPr>
          <w:rtl/>
        </w:rPr>
        <w:t xml:space="preserve"> </w:t>
      </w:r>
      <w:r w:rsidRPr="003520EF">
        <w:rPr>
          <w:rtl/>
        </w:rPr>
        <w:t>عندما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يتم</w:t>
      </w:r>
      <w:r w:rsidR="00DC6C59">
        <w:rPr>
          <w:rtl/>
        </w:rPr>
        <w:t xml:space="preserve"> </w:t>
      </w:r>
      <w:r w:rsidRPr="003520EF">
        <w:rPr>
          <w:rtl/>
        </w:rPr>
        <w:t>تنفيذ</w:t>
      </w:r>
      <w:r w:rsidR="00DC6C59">
        <w:rPr>
          <w:rtl/>
        </w:rPr>
        <w:t xml:space="preserve"> </w:t>
      </w:r>
      <w:r w:rsidRPr="003520EF">
        <w:rPr>
          <w:rtl/>
        </w:rPr>
        <w:t>التعديلات</w:t>
      </w:r>
      <w:r w:rsidR="00DC6C59">
        <w:rPr>
          <w:rtl/>
        </w:rPr>
        <w:t xml:space="preserve"> </w:t>
      </w:r>
      <w:r w:rsidRPr="003520EF">
        <w:rPr>
          <w:rtl/>
        </w:rPr>
        <w:t>والترتيبات</w:t>
      </w:r>
      <w:r w:rsidR="00DC6C59">
        <w:rPr>
          <w:rtl/>
        </w:rPr>
        <w:t xml:space="preserve"> </w:t>
      </w:r>
      <w:r w:rsidRPr="003520EF">
        <w:rPr>
          <w:rtl/>
        </w:rPr>
        <w:t>وأدوات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>
        <w:rPr>
          <w:rtl/>
        </w:rPr>
        <w:t xml:space="preserve"> </w:t>
      </w:r>
      <w:r w:rsidRPr="003520EF">
        <w:rPr>
          <w:rtl/>
        </w:rPr>
        <w:t>الفردية</w:t>
      </w:r>
      <w:r w:rsidR="00DC6C59">
        <w:rPr>
          <w:rtl/>
        </w:rPr>
        <w:t xml:space="preserve"> </w:t>
      </w:r>
      <w:r w:rsidRPr="003520EF">
        <w:rPr>
          <w:rtl/>
        </w:rPr>
        <w:t>الضرورية</w:t>
      </w:r>
      <w:r w:rsidR="00DC6C59">
        <w:rPr>
          <w:rtl/>
        </w:rPr>
        <w:t xml:space="preserve"> </w:t>
      </w:r>
      <w:r w:rsidRPr="003520EF">
        <w:rPr>
          <w:rtl/>
        </w:rPr>
        <w:t>والمناسبة</w:t>
      </w:r>
      <w:r w:rsidR="00DC6C59">
        <w:rPr>
          <w:rtl/>
        </w:rPr>
        <w:t xml:space="preserve"> </w:t>
      </w:r>
      <w:r w:rsidRPr="003520EF">
        <w:rPr>
          <w:rtl/>
        </w:rPr>
        <w:t>(التي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تفرض</w:t>
      </w:r>
      <w:r w:rsidR="00DC6C59">
        <w:rPr>
          <w:rtl/>
        </w:rPr>
        <w:t xml:space="preserve"> </w:t>
      </w:r>
      <w:r w:rsidRPr="003520EF">
        <w:rPr>
          <w:rtl/>
        </w:rPr>
        <w:t>عبئا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متناسب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مبرر</w:t>
      </w:r>
      <w:r w:rsidR="00DC6C59">
        <w:rPr>
          <w:rtl/>
        </w:rPr>
        <w:t xml:space="preserve"> </w:t>
      </w:r>
      <w:r w:rsidRPr="003520EF">
        <w:rPr>
          <w:rtl/>
        </w:rPr>
        <w:t>له</w:t>
      </w:r>
      <w:r w:rsidR="00DC6C59" w:rsidRPr="00DC6C59">
        <w:rPr>
          <w:rtl/>
        </w:rPr>
        <w:t>).</w:t>
      </w:r>
      <w:r w:rsidR="00DC6C59">
        <w:rPr>
          <w:rtl/>
        </w:rPr>
        <w:t xml:space="preserve"> </w:t>
      </w:r>
      <w:r w:rsidRPr="003520EF">
        <w:rPr>
          <w:rtl/>
        </w:rPr>
        <w:t>وتعني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</w:t>
      </w:r>
      <w:r w:rsidR="00DC6C59">
        <w:rPr>
          <w:rtl/>
        </w:rPr>
        <w:t xml:space="preserve"> </w:t>
      </w:r>
      <w:r w:rsidRPr="003520EF">
        <w:rPr>
          <w:rtl/>
        </w:rPr>
        <w:t>تلك</w:t>
      </w:r>
      <w:r w:rsidR="00DC6C59">
        <w:rPr>
          <w:rtl/>
        </w:rPr>
        <w:t xml:space="preserve"> </w:t>
      </w:r>
      <w:r w:rsidRPr="003520EF">
        <w:rPr>
          <w:rtl/>
        </w:rPr>
        <w:t>التعديلات</w:t>
      </w:r>
      <w:r w:rsidR="00DC6C59">
        <w:rPr>
          <w:rtl/>
        </w:rPr>
        <w:t xml:space="preserve"> </w:t>
      </w:r>
      <w:r w:rsidRPr="003520EF">
        <w:rPr>
          <w:rtl/>
        </w:rPr>
        <w:t>والترتيبات</w:t>
      </w:r>
      <w:r w:rsidR="00DC6C59">
        <w:rPr>
          <w:rtl/>
        </w:rPr>
        <w:t xml:space="preserve"> </w:t>
      </w:r>
      <w:r w:rsidRPr="003520EF">
        <w:rPr>
          <w:rtl/>
        </w:rPr>
        <w:t>وأدوات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>
        <w:rPr>
          <w:rtl/>
        </w:rPr>
        <w:t xml:space="preserve"> </w:t>
      </w:r>
      <w:r w:rsidRPr="003520EF">
        <w:rPr>
          <w:rtl/>
        </w:rPr>
        <w:t>اللازمة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التمتع</w:t>
      </w:r>
      <w:r w:rsidR="00DC6C59">
        <w:rPr>
          <w:rtl/>
        </w:rPr>
        <w:t xml:space="preserve"> </w:t>
      </w:r>
      <w:r w:rsidRPr="003520EF">
        <w:rPr>
          <w:rtl/>
        </w:rPr>
        <w:t>بحق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حرية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الحريات</w:t>
      </w:r>
      <w:r w:rsidR="00DC6C59">
        <w:rPr>
          <w:rtl/>
        </w:rPr>
        <w:t xml:space="preserve"> </w:t>
      </w:r>
      <w:r w:rsidRPr="003520EF">
        <w:rPr>
          <w:rtl/>
        </w:rPr>
        <w:t>الأساسية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ممارستها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6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فعلى</w:t>
      </w:r>
      <w:r w:rsidR="00DC6C59">
        <w:rPr>
          <w:rtl/>
        </w:rPr>
        <w:t xml:space="preserve"> </w:t>
      </w:r>
      <w:r w:rsidRPr="003520EF">
        <w:rPr>
          <w:rtl/>
        </w:rPr>
        <w:t>سبيل</w:t>
      </w:r>
      <w:r w:rsidR="00DC6C59">
        <w:rPr>
          <w:rtl/>
        </w:rPr>
        <w:t xml:space="preserve"> </w:t>
      </w:r>
      <w:r w:rsidRPr="003520EF">
        <w:rPr>
          <w:rtl/>
        </w:rPr>
        <w:t>المثال،</w:t>
      </w:r>
      <w:r w:rsidR="00DC6C59">
        <w:rPr>
          <w:rtl/>
        </w:rPr>
        <w:t xml:space="preserve"> </w:t>
      </w:r>
      <w:r w:rsidRPr="003520EF">
        <w:rPr>
          <w:rtl/>
        </w:rPr>
        <w:t>يحرم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</w:t>
      </w:r>
      <w:r w:rsidR="00DC6C59">
        <w:rPr>
          <w:rtl/>
        </w:rPr>
        <w:t xml:space="preserve"> </w:t>
      </w:r>
      <w:r w:rsidRPr="003520EF">
        <w:rPr>
          <w:rtl/>
        </w:rPr>
        <w:t>موظف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يعاني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ضعف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البصر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يزود</w:t>
      </w:r>
      <w:r w:rsidR="00DC6C59">
        <w:rPr>
          <w:rtl/>
        </w:rPr>
        <w:t xml:space="preserve"> </w:t>
      </w:r>
      <w:r w:rsidRPr="003520EF">
        <w:rPr>
          <w:rtl/>
        </w:rPr>
        <w:t>بالمعدات</w:t>
      </w:r>
      <w:r w:rsidR="00DC6C59">
        <w:rPr>
          <w:rtl/>
        </w:rPr>
        <w:t xml:space="preserve"> </w:t>
      </w:r>
      <w:r w:rsidRPr="003520EF">
        <w:rPr>
          <w:rtl/>
        </w:rPr>
        <w:t>المناسبة</w:t>
      </w:r>
      <w:r w:rsidR="00DC6C59">
        <w:rPr>
          <w:rtl/>
        </w:rPr>
        <w:t xml:space="preserve"> </w:t>
      </w:r>
      <w:r w:rsidRPr="003520EF">
        <w:rPr>
          <w:rtl/>
        </w:rPr>
        <w:t>لأداء</w:t>
      </w:r>
      <w:r w:rsidR="00DC6C59">
        <w:rPr>
          <w:rtl/>
        </w:rPr>
        <w:t xml:space="preserve"> </w:t>
      </w:r>
      <w:r w:rsidRPr="003520EF">
        <w:rPr>
          <w:rtl/>
        </w:rPr>
        <w:t>المهام</w:t>
      </w:r>
      <w:r w:rsidR="00DC6C59">
        <w:rPr>
          <w:rtl/>
        </w:rPr>
        <w:t xml:space="preserve"> </w:t>
      </w:r>
      <w:r w:rsidRPr="003520EF">
        <w:rPr>
          <w:rtl/>
        </w:rPr>
        <w:t>المنوطة</w:t>
      </w:r>
      <w:r w:rsidR="00DC6C59">
        <w:rPr>
          <w:rtl/>
        </w:rPr>
        <w:t xml:space="preserve"> </w:t>
      </w:r>
      <w:r w:rsidRPr="003520EF">
        <w:rPr>
          <w:rtl/>
        </w:rPr>
        <w:t>به،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برنامج</w:t>
      </w:r>
      <w:r w:rsidR="00DC6C59">
        <w:rPr>
          <w:rtl/>
        </w:rPr>
        <w:t xml:space="preserve"> </w:t>
      </w:r>
      <w:r w:rsidRPr="003520EF">
        <w:rPr>
          <w:rtl/>
        </w:rPr>
        <w:t>حاسوبي</w:t>
      </w:r>
      <w:r w:rsidR="00DC6C59">
        <w:rPr>
          <w:rtl/>
        </w:rPr>
        <w:t xml:space="preserve"> </w:t>
      </w:r>
      <w:r w:rsidRPr="003520EF">
        <w:rPr>
          <w:rtl/>
        </w:rPr>
        <w:t>يكبر</w:t>
      </w:r>
      <w:r w:rsidR="00DC6C59">
        <w:rPr>
          <w:rtl/>
        </w:rPr>
        <w:t xml:space="preserve"> </w:t>
      </w:r>
      <w:r w:rsidRPr="003520EF">
        <w:rPr>
          <w:rtl/>
        </w:rPr>
        <w:t>النص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شاشة</w:t>
      </w:r>
      <w:r w:rsidR="00DC6C59">
        <w:rPr>
          <w:rtl/>
        </w:rPr>
        <w:t xml:space="preserve"> </w:t>
      </w:r>
      <w:r w:rsidRPr="003520EF">
        <w:rPr>
          <w:rtl/>
        </w:rPr>
        <w:t>الحاسوب.</w:t>
      </w:r>
      <w:r w:rsidR="00DC6C59">
        <w:rPr>
          <w:rtl/>
        </w:rPr>
        <w:t xml:space="preserve"> </w:t>
      </w:r>
      <w:r w:rsidRPr="003520EF">
        <w:rPr>
          <w:rtl/>
        </w:rPr>
        <w:t>وتشمل</w:t>
      </w:r>
      <w:r w:rsidR="00DC6C59">
        <w:rPr>
          <w:rtl/>
        </w:rPr>
        <w:t xml:space="preserve"> </w:t>
      </w:r>
      <w:r w:rsidRPr="003520EF">
        <w:rPr>
          <w:rtl/>
        </w:rPr>
        <w:t>الأمثلة</w:t>
      </w:r>
      <w:r w:rsidR="00DC6C59">
        <w:rPr>
          <w:rtl/>
        </w:rPr>
        <w:t xml:space="preserve"> </w:t>
      </w:r>
      <w:r w:rsidRPr="003520EF">
        <w:rPr>
          <w:rtl/>
        </w:rPr>
        <w:t>الأخرى</w:t>
      </w:r>
      <w:r w:rsidR="00DC6C59">
        <w:rPr>
          <w:rtl/>
        </w:rPr>
        <w:t xml:space="preserve"> </w:t>
      </w:r>
      <w:r w:rsidRPr="003520EF">
        <w:rPr>
          <w:rtl/>
        </w:rPr>
        <w:t>للترتيبات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</w:t>
      </w:r>
      <w:r w:rsidR="00DC6C59">
        <w:rPr>
          <w:rtl/>
        </w:rPr>
        <w:t xml:space="preserve"> </w:t>
      </w:r>
      <w:r w:rsidRPr="003520EF">
        <w:rPr>
          <w:rtl/>
        </w:rPr>
        <w:t>إتاحة</w:t>
      </w:r>
      <w:r w:rsidR="00DC6C59">
        <w:rPr>
          <w:rtl/>
        </w:rPr>
        <w:t xml:space="preserve"> </w:t>
      </w:r>
      <w:r w:rsidRPr="003520EF">
        <w:rPr>
          <w:rtl/>
        </w:rPr>
        <w:t>المعلومات</w:t>
      </w:r>
      <w:r w:rsidR="00DC6C59">
        <w:rPr>
          <w:rtl/>
        </w:rPr>
        <w:t xml:space="preserve"> </w:t>
      </w:r>
      <w:r w:rsidRPr="003520EF">
        <w:rPr>
          <w:rtl/>
        </w:rPr>
        <w:t>للفرد</w:t>
      </w:r>
      <w:r w:rsidR="00DC6C59">
        <w:rPr>
          <w:rtl/>
        </w:rPr>
        <w:t xml:space="preserve"> </w:t>
      </w:r>
      <w:r w:rsidRPr="003520EF">
        <w:rPr>
          <w:rtl/>
        </w:rPr>
        <w:t>ذي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وتعديل</w:t>
      </w:r>
      <w:r w:rsidR="00DC6C59">
        <w:rPr>
          <w:rtl/>
        </w:rPr>
        <w:t xml:space="preserve"> </w:t>
      </w:r>
      <w:r w:rsidRPr="003520EF">
        <w:rPr>
          <w:rtl/>
        </w:rPr>
        <w:t>معداته،</w:t>
      </w:r>
      <w:r w:rsidR="00DC6C59">
        <w:rPr>
          <w:rtl/>
        </w:rPr>
        <w:t xml:space="preserve"> </w:t>
      </w:r>
      <w:r w:rsidRPr="003520EF">
        <w:rPr>
          <w:rtl/>
        </w:rPr>
        <w:t>وتمكينه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lastRenderedPageBreak/>
        <w:t>البيت،</w:t>
      </w:r>
      <w:r w:rsidR="00DC6C59">
        <w:rPr>
          <w:rtl/>
        </w:rPr>
        <w:t xml:space="preserve"> </w:t>
      </w:r>
      <w:r w:rsidRPr="003520EF">
        <w:rPr>
          <w:rtl/>
        </w:rPr>
        <w:t>وضمان</w:t>
      </w:r>
      <w:r w:rsidR="00DC6C59">
        <w:rPr>
          <w:rtl/>
        </w:rPr>
        <w:t xml:space="preserve"> </w:t>
      </w:r>
      <w:r w:rsidRPr="003520EF">
        <w:rPr>
          <w:rtl/>
        </w:rPr>
        <w:t>توفير</w:t>
      </w:r>
      <w:r w:rsidR="00DC6C59">
        <w:rPr>
          <w:rtl/>
        </w:rPr>
        <w:t xml:space="preserve"> </w:t>
      </w:r>
      <w:r w:rsidRPr="003520EF">
        <w:rPr>
          <w:rtl/>
        </w:rPr>
        <w:t>مترجم</w:t>
      </w:r>
      <w:r w:rsidR="00DC6C59">
        <w:rPr>
          <w:rtl/>
        </w:rPr>
        <w:t xml:space="preserve"> </w:t>
      </w:r>
      <w:r w:rsidRPr="003520EF">
        <w:rPr>
          <w:rtl/>
        </w:rPr>
        <w:t>شفوي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الاجتماعات،</w:t>
      </w:r>
      <w:r w:rsidR="00DC6C59">
        <w:rPr>
          <w:rtl/>
        </w:rPr>
        <w:t xml:space="preserve"> </w:t>
      </w:r>
      <w:r w:rsidRPr="003520EF">
        <w:rPr>
          <w:rtl/>
        </w:rPr>
        <w:t>وإعادة</w:t>
      </w:r>
      <w:r w:rsidR="00DC6C59">
        <w:rPr>
          <w:rtl/>
        </w:rPr>
        <w:t xml:space="preserve"> </w:t>
      </w:r>
      <w:r w:rsidRPr="003520EF">
        <w:rPr>
          <w:rtl/>
        </w:rPr>
        <w:t>تنظيم</w:t>
      </w:r>
      <w:r w:rsidR="00DC6C59">
        <w:rPr>
          <w:rtl/>
        </w:rPr>
        <w:t xml:space="preserve"> </w:t>
      </w:r>
      <w:r w:rsidRPr="003520EF">
        <w:rPr>
          <w:rtl/>
        </w:rPr>
        <w:t>الأنشطة،</w:t>
      </w:r>
      <w:r w:rsidR="00DC6C59">
        <w:rPr>
          <w:rtl/>
        </w:rPr>
        <w:t xml:space="preserve"> </w:t>
      </w:r>
      <w:r w:rsidRPr="003520EF">
        <w:rPr>
          <w:rtl/>
        </w:rPr>
        <w:t>وإعادة</w:t>
      </w:r>
      <w:r w:rsidR="00DC6C59">
        <w:rPr>
          <w:rtl/>
        </w:rPr>
        <w:t xml:space="preserve"> </w:t>
      </w:r>
      <w:r w:rsidRPr="003520EF">
        <w:rPr>
          <w:rtl/>
        </w:rPr>
        <w:t>جدولة</w:t>
      </w:r>
      <w:r w:rsidR="00DC6C59">
        <w:rPr>
          <w:rtl/>
        </w:rPr>
        <w:t xml:space="preserve"> </w:t>
      </w:r>
      <w:r w:rsidRPr="003520EF">
        <w:rPr>
          <w:rtl/>
        </w:rPr>
        <w:t>مواعيد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توفير</w:t>
      </w:r>
      <w:r w:rsidR="00DC6C59">
        <w:rPr>
          <w:rtl/>
        </w:rPr>
        <w:t xml:space="preserve"> </w:t>
      </w:r>
      <w:r w:rsidRPr="003520EF">
        <w:rPr>
          <w:rtl/>
        </w:rPr>
        <w:t>موظفي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7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ولكي</w:t>
      </w:r>
      <w:r w:rsidR="00DC6C59">
        <w:rPr>
          <w:rtl/>
        </w:rPr>
        <w:t xml:space="preserve"> </w:t>
      </w:r>
      <w:r w:rsidRPr="003520EF">
        <w:rPr>
          <w:rtl/>
        </w:rPr>
        <w:t>تندرج</w:t>
      </w:r>
      <w:r w:rsidR="00DC6C59">
        <w:rPr>
          <w:rtl/>
        </w:rPr>
        <w:t xml:space="preserve"> </w:t>
      </w:r>
      <w:r w:rsidRPr="003520EF">
        <w:rPr>
          <w:rtl/>
        </w:rPr>
        <w:t>التغييرات</w:t>
      </w:r>
      <w:r w:rsidR="00DC6C59">
        <w:rPr>
          <w:rtl/>
        </w:rPr>
        <w:t xml:space="preserve"> </w:t>
      </w:r>
      <w:r w:rsidRPr="003520EF">
        <w:rPr>
          <w:rtl/>
        </w:rPr>
        <w:t>ضمن</w:t>
      </w:r>
      <w:r w:rsidR="00DC6C59">
        <w:rPr>
          <w:rtl/>
        </w:rPr>
        <w:t xml:space="preserve"> </w:t>
      </w:r>
      <w:r w:rsidRPr="003520EF">
        <w:rPr>
          <w:rtl/>
        </w:rPr>
        <w:t>مفهوم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المعقولة،</w:t>
      </w:r>
      <w:r w:rsidR="00DC6C59">
        <w:rPr>
          <w:rtl/>
        </w:rPr>
        <w:t xml:space="preserve"> </w:t>
      </w:r>
      <w:r w:rsidRPr="003520EF">
        <w:rPr>
          <w:rtl/>
        </w:rPr>
        <w:t>يلزم</w:t>
      </w:r>
      <w:r w:rsidR="00DC6C59">
        <w:rPr>
          <w:rtl/>
        </w:rPr>
        <w:t xml:space="preserve"> </w:t>
      </w:r>
      <w:r w:rsidRPr="003520EF">
        <w:rPr>
          <w:rtl/>
        </w:rPr>
        <w:t>التفاوض</w:t>
      </w:r>
      <w:r w:rsidR="00DC6C59">
        <w:rPr>
          <w:rtl/>
        </w:rPr>
        <w:t xml:space="preserve"> </w:t>
      </w:r>
      <w:r w:rsidRPr="003520EF">
        <w:rPr>
          <w:rtl/>
        </w:rPr>
        <w:t>بشأنها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الفرد.</w:t>
      </w:r>
      <w:r w:rsidR="00DC6C59">
        <w:rPr>
          <w:rtl/>
        </w:rPr>
        <w:t xml:space="preserve"> </w:t>
      </w:r>
      <w:r w:rsidRPr="003520EF">
        <w:rPr>
          <w:rtl/>
        </w:rPr>
        <w:t>ويسري</w:t>
      </w:r>
      <w:r w:rsidR="00DC6C59">
        <w:rPr>
          <w:rtl/>
        </w:rPr>
        <w:t xml:space="preserve"> </w:t>
      </w:r>
      <w:r w:rsidRPr="003520EF">
        <w:rPr>
          <w:rtl/>
        </w:rPr>
        <w:t>واجب</w:t>
      </w:r>
      <w:r w:rsidR="00DC6C59">
        <w:rPr>
          <w:rtl/>
        </w:rPr>
        <w:t xml:space="preserve"> </w:t>
      </w:r>
      <w:r w:rsidRPr="003520EF">
        <w:rPr>
          <w:rtl/>
        </w:rPr>
        <w:t>إتاحة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</w:t>
      </w:r>
      <w:r w:rsidR="00DC6C59">
        <w:rPr>
          <w:rtl/>
        </w:rPr>
        <w:t xml:space="preserve"> </w:t>
      </w:r>
      <w:r w:rsidRPr="003520EF">
        <w:rPr>
          <w:rtl/>
        </w:rPr>
        <w:t>اعتباراً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لحظة</w:t>
      </w:r>
      <w:r w:rsidR="00DC6C59">
        <w:rPr>
          <w:rtl/>
        </w:rPr>
        <w:t xml:space="preserve"> </w:t>
      </w:r>
      <w:r w:rsidRPr="003520EF">
        <w:rPr>
          <w:rtl/>
        </w:rPr>
        <w:t>تقديم</w:t>
      </w:r>
      <w:r w:rsidR="00DC6C59">
        <w:rPr>
          <w:rtl/>
        </w:rPr>
        <w:t xml:space="preserve"> </w:t>
      </w:r>
      <w:r w:rsidRPr="003520EF">
        <w:rPr>
          <w:rtl/>
        </w:rPr>
        <w:t>طلب</w:t>
      </w:r>
      <w:r w:rsidR="00DC6C59">
        <w:rPr>
          <w:rtl/>
        </w:rPr>
        <w:t xml:space="preserve"> </w:t>
      </w:r>
      <w:r w:rsidRPr="003520EF">
        <w:rPr>
          <w:rtl/>
        </w:rPr>
        <w:t>إتاحة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اللحظة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تتجلى</w:t>
      </w:r>
      <w:r w:rsidR="00DC6C59">
        <w:rPr>
          <w:rtl/>
        </w:rPr>
        <w:t xml:space="preserve"> </w:t>
      </w:r>
      <w:r w:rsidRPr="003520EF">
        <w:rPr>
          <w:rtl/>
        </w:rPr>
        <w:t>فيها</w:t>
      </w:r>
      <w:r w:rsidR="00DC6C59">
        <w:rPr>
          <w:rtl/>
        </w:rPr>
        <w:t xml:space="preserve"> </w:t>
      </w:r>
      <w:r w:rsidRPr="003520EF">
        <w:rPr>
          <w:rtl/>
        </w:rPr>
        <w:t>ضرورتها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8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Fonts w:hint="cs"/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وتشدد</w:t>
      </w:r>
      <w:r w:rsidR="00DC6C59">
        <w:rPr>
          <w:rtl/>
        </w:rPr>
        <w:t xml:space="preserve"> </w:t>
      </w:r>
      <w:r w:rsidRPr="003520EF">
        <w:rPr>
          <w:rtl/>
        </w:rPr>
        <w:t>اللجنة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واجب</w:t>
      </w:r>
      <w:r w:rsidR="00DC6C59">
        <w:rPr>
          <w:rtl/>
        </w:rPr>
        <w:t xml:space="preserve"> </w:t>
      </w:r>
      <w:r w:rsidRPr="003520EF">
        <w:rPr>
          <w:rtl/>
        </w:rPr>
        <w:t>توفير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</w:t>
      </w:r>
      <w:r w:rsidR="00DC6C59">
        <w:rPr>
          <w:rtl/>
        </w:rPr>
        <w:t xml:space="preserve"> </w:t>
      </w:r>
      <w:r w:rsidRPr="003520EF">
        <w:rPr>
          <w:rtl/>
        </w:rPr>
        <w:t>يختلف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واجب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الوصول،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ينبع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حظر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المباشر</w:t>
      </w:r>
      <w:r w:rsidR="00DC6C59">
        <w:rPr>
          <w:rtl/>
        </w:rPr>
        <w:t xml:space="preserve"> </w:t>
      </w:r>
      <w:r w:rsidRPr="003520EF">
        <w:rPr>
          <w:rtl/>
        </w:rPr>
        <w:t>المنصوص</w:t>
      </w:r>
      <w:r w:rsidR="00DC6C59">
        <w:rPr>
          <w:rtl/>
        </w:rPr>
        <w:t xml:space="preserve"> </w:t>
      </w:r>
      <w:r w:rsidRPr="003520EF">
        <w:rPr>
          <w:rtl/>
        </w:rPr>
        <w:t>عليه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المادتين</w:t>
      </w:r>
      <w:r w:rsidR="00DC6C59">
        <w:rPr>
          <w:rtl/>
        </w:rPr>
        <w:t xml:space="preserve"> </w:t>
      </w:r>
      <w:r w:rsidRPr="005170C9">
        <w:rPr>
          <w:rtl/>
        </w:rPr>
        <w:t>4</w:t>
      </w:r>
      <w:r w:rsidR="00DC6C59"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9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الاتفاقية.</w:t>
      </w:r>
      <w:r w:rsidR="00DC6C59">
        <w:rPr>
          <w:rtl/>
        </w:rPr>
        <w:t xml:space="preserve"> </w:t>
      </w:r>
      <w:r w:rsidRPr="003520EF">
        <w:rPr>
          <w:rtl/>
        </w:rPr>
        <w:t>ولئن</w:t>
      </w:r>
      <w:r w:rsidR="00DC6C59">
        <w:rPr>
          <w:rtl/>
        </w:rPr>
        <w:t xml:space="preserve"> </w:t>
      </w:r>
      <w:r w:rsidRPr="003520EF">
        <w:rPr>
          <w:rtl/>
        </w:rPr>
        <w:t>كان</w:t>
      </w:r>
      <w:r w:rsidR="00DC6C59">
        <w:rPr>
          <w:rtl/>
        </w:rPr>
        <w:t xml:space="preserve"> </w:t>
      </w:r>
      <w:r w:rsidRPr="003520EF">
        <w:rPr>
          <w:rtl/>
        </w:rPr>
        <w:t>الواجبان</w:t>
      </w:r>
      <w:r w:rsidR="00DC6C59">
        <w:rPr>
          <w:rtl/>
        </w:rPr>
        <w:t xml:space="preserve"> </w:t>
      </w:r>
      <w:r w:rsidRPr="003520EF">
        <w:rPr>
          <w:rtl/>
        </w:rPr>
        <w:t>معا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يهدفان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الوصول،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واجب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التصميم</w:t>
      </w:r>
      <w:r w:rsidR="00DC6C59">
        <w:rPr>
          <w:rtl/>
        </w:rPr>
        <w:t xml:space="preserve"> </w:t>
      </w:r>
      <w:r w:rsidRPr="003520EF">
        <w:rPr>
          <w:rtl/>
        </w:rPr>
        <w:t>الشامل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التكنولوجيات</w:t>
      </w:r>
      <w:r w:rsidR="00DC6C59">
        <w:rPr>
          <w:rtl/>
        </w:rPr>
        <w:t xml:space="preserve"> </w:t>
      </w:r>
      <w:r w:rsidRPr="003520EF">
        <w:rPr>
          <w:rtl/>
        </w:rPr>
        <w:t>المساعدة</w:t>
      </w:r>
      <w:r w:rsidR="00DC6C59">
        <w:rPr>
          <w:rtl/>
        </w:rPr>
        <w:t xml:space="preserve"> </w:t>
      </w:r>
      <w:r w:rsidRPr="003520EF">
        <w:rPr>
          <w:rtl/>
        </w:rPr>
        <w:t>ينطوي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تضمين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النظم</w:t>
      </w:r>
      <w:r w:rsidR="00DC6C59">
        <w:rPr>
          <w:rtl/>
        </w:rPr>
        <w:t xml:space="preserve"> </w:t>
      </w:r>
      <w:r w:rsidRPr="003520EF">
        <w:rPr>
          <w:rtl/>
        </w:rPr>
        <w:t>والعمليات</w:t>
      </w:r>
      <w:r w:rsidR="00DC6C59">
        <w:rPr>
          <w:rtl/>
        </w:rPr>
        <w:t xml:space="preserve"> </w:t>
      </w:r>
      <w:r w:rsidRPr="003520EF">
        <w:rPr>
          <w:rtl/>
        </w:rPr>
        <w:t>بصرف</w:t>
      </w:r>
      <w:r w:rsidR="00DC6C59">
        <w:rPr>
          <w:rtl/>
        </w:rPr>
        <w:t xml:space="preserve"> </w:t>
      </w:r>
      <w:r w:rsidRPr="003520EF">
        <w:rPr>
          <w:rtl/>
        </w:rPr>
        <w:t>النظر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احتياجات</w:t>
      </w:r>
      <w:r w:rsidR="00DC6C59">
        <w:rPr>
          <w:rtl/>
        </w:rPr>
        <w:t xml:space="preserve"> </w:t>
      </w:r>
      <w:r w:rsidRPr="003520EF">
        <w:rPr>
          <w:rtl/>
        </w:rPr>
        <w:t>شخص</w:t>
      </w:r>
      <w:r w:rsidR="00DC6C59">
        <w:rPr>
          <w:rtl/>
        </w:rPr>
        <w:t xml:space="preserve"> </w:t>
      </w:r>
      <w:r w:rsidRPr="003520EF">
        <w:rPr>
          <w:rtl/>
        </w:rPr>
        <w:t>معين</w:t>
      </w:r>
      <w:r w:rsidR="00DC6C59">
        <w:rPr>
          <w:rtl/>
        </w:rPr>
        <w:t xml:space="preserve"> </w:t>
      </w:r>
      <w:r w:rsidRPr="003520EF">
        <w:rPr>
          <w:rtl/>
        </w:rPr>
        <w:t>ذي</w:t>
      </w:r>
      <w:r w:rsidR="00DC6C59">
        <w:rPr>
          <w:rtl/>
        </w:rPr>
        <w:t xml:space="preserve"> </w:t>
      </w:r>
      <w:r w:rsidRPr="003520EF">
        <w:rPr>
          <w:rtl/>
        </w:rPr>
        <w:t>إعاقة،</w:t>
      </w:r>
      <w:r w:rsidR="00DC6C59">
        <w:rPr>
          <w:rtl/>
        </w:rPr>
        <w:t xml:space="preserve"> </w:t>
      </w:r>
      <w:r w:rsidRPr="003520EF">
        <w:rPr>
          <w:rtl/>
        </w:rPr>
        <w:t>مثلا</w:t>
      </w:r>
      <w:r w:rsidR="00476B81">
        <w:rPr>
          <w:rFonts w:hint="cs"/>
          <w:rtl/>
        </w:rPr>
        <w:t>ً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للوصول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مبنى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19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أما</w:t>
      </w:r>
      <w:r w:rsidR="00DC6C59">
        <w:rPr>
          <w:rtl/>
        </w:rPr>
        <w:t xml:space="preserve"> </w:t>
      </w:r>
      <w:r w:rsidRPr="003520EF">
        <w:rPr>
          <w:rtl/>
        </w:rPr>
        <w:t>واجب</w:t>
      </w:r>
      <w:r w:rsidR="00DC6C59">
        <w:rPr>
          <w:rtl/>
        </w:rPr>
        <w:t xml:space="preserve"> </w:t>
      </w:r>
      <w:r w:rsidRPr="003520EF">
        <w:rPr>
          <w:rtl/>
        </w:rPr>
        <w:t>توفير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ناحية</w:t>
      </w:r>
      <w:r w:rsidR="00DC6C59">
        <w:rPr>
          <w:rtl/>
        </w:rPr>
        <w:t xml:space="preserve"> </w:t>
      </w:r>
      <w:r w:rsidRPr="003520EF">
        <w:rPr>
          <w:rtl/>
        </w:rPr>
        <w:t>أخرى،</w:t>
      </w:r>
      <w:r w:rsidR="00DC6C59">
        <w:rPr>
          <w:rtl/>
        </w:rPr>
        <w:t xml:space="preserve"> </w:t>
      </w:r>
      <w:r w:rsidRPr="003520EF">
        <w:rPr>
          <w:rtl/>
        </w:rPr>
        <w:t>فيسري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اللحظة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يسعى</w:t>
      </w:r>
      <w:r w:rsidR="00DC6C59">
        <w:rPr>
          <w:rtl/>
        </w:rPr>
        <w:t xml:space="preserve"> </w:t>
      </w:r>
      <w:r w:rsidRPr="003520EF">
        <w:rPr>
          <w:rtl/>
        </w:rPr>
        <w:t>فيها</w:t>
      </w:r>
      <w:r w:rsidR="00DC6C59">
        <w:rPr>
          <w:rtl/>
        </w:rPr>
        <w:t xml:space="preserve"> </w:t>
      </w:r>
      <w:r w:rsidRPr="003520EF">
        <w:rPr>
          <w:rtl/>
        </w:rPr>
        <w:t>الشخص</w:t>
      </w:r>
      <w:r w:rsidR="00DC6C59">
        <w:rPr>
          <w:rtl/>
        </w:rPr>
        <w:t xml:space="preserve"> </w:t>
      </w:r>
      <w:r w:rsidRPr="003520EF">
        <w:rPr>
          <w:rtl/>
        </w:rPr>
        <w:t>ذو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ممارسة</w:t>
      </w:r>
      <w:r w:rsidR="00DC6C59">
        <w:rPr>
          <w:rtl/>
        </w:rPr>
        <w:t xml:space="preserve"> </w:t>
      </w:r>
      <w:r w:rsidRPr="003520EF">
        <w:rPr>
          <w:rtl/>
        </w:rPr>
        <w:t>حقوقه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يحتاج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حالات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بيئات</w:t>
      </w:r>
      <w:r w:rsidR="00DC6C59">
        <w:rPr>
          <w:rtl/>
        </w:rPr>
        <w:t xml:space="preserve"> </w:t>
      </w:r>
      <w:r w:rsidRPr="003520EF">
        <w:rPr>
          <w:rtl/>
        </w:rPr>
        <w:t>تتعذر</w:t>
      </w:r>
      <w:r w:rsidR="00DC6C59">
        <w:rPr>
          <w:rtl/>
        </w:rPr>
        <w:t xml:space="preserve"> </w:t>
      </w:r>
      <w:r w:rsidRPr="003520EF">
        <w:rPr>
          <w:rtl/>
        </w:rPr>
        <w:t>فيها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0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bookmarkStart w:id="13" w:name="_Hlk110255135"/>
    </w:p>
    <w:bookmarkEnd w:id="13"/>
    <w:p w14:paraId="73B034F6" w14:textId="6554D880" w:rsidR="00EC13CA" w:rsidRPr="003520EF" w:rsidRDefault="00EC13CA" w:rsidP="00EC13CA">
      <w:pPr>
        <w:pStyle w:val="SingleTxtGA"/>
      </w:pPr>
      <w:r w:rsidRPr="005170C9">
        <w:rPr>
          <w:rtl/>
        </w:rPr>
        <w:t>20</w:t>
      </w:r>
      <w:r w:rsidRPr="003520EF">
        <w:rPr>
          <w:rtl/>
        </w:rPr>
        <w:t>-</w:t>
      </w:r>
      <w:r w:rsidRPr="003520EF">
        <w:rPr>
          <w:rtl/>
        </w:rPr>
        <w:tab/>
        <w:t>ويشكل</w:t>
      </w:r>
      <w:r w:rsidR="00DC6C59">
        <w:rPr>
          <w:rtl/>
        </w:rPr>
        <w:t xml:space="preserve"> </w:t>
      </w:r>
      <w:r w:rsidRPr="003520EF">
        <w:rPr>
          <w:rtl/>
        </w:rPr>
        <w:t>"التحرش"</w:t>
      </w:r>
      <w:r w:rsidR="00DC6C59">
        <w:rPr>
          <w:rtl/>
        </w:rPr>
        <w:t xml:space="preserve"> </w:t>
      </w:r>
      <w:r w:rsidRPr="003520EF">
        <w:rPr>
          <w:rtl/>
        </w:rPr>
        <w:t>ضرباً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عند</w:t>
      </w:r>
      <w:r w:rsidR="00DC6C59">
        <w:rPr>
          <w:rtl/>
        </w:rPr>
        <w:t xml:space="preserve"> </w:t>
      </w:r>
      <w:r w:rsidRPr="003520EF">
        <w:rPr>
          <w:rtl/>
        </w:rPr>
        <w:t>حدوث</w:t>
      </w:r>
      <w:r w:rsidR="00DC6C59">
        <w:rPr>
          <w:rtl/>
        </w:rPr>
        <w:t xml:space="preserve"> </w:t>
      </w:r>
      <w:r w:rsidRPr="003520EF">
        <w:rPr>
          <w:rtl/>
        </w:rPr>
        <w:t>سلوك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مرغوب</w:t>
      </w:r>
      <w:r w:rsidR="00DC6C59">
        <w:rPr>
          <w:rtl/>
        </w:rPr>
        <w:t xml:space="preserve"> </w:t>
      </w:r>
      <w:r w:rsidRPr="003520EF">
        <w:rPr>
          <w:rtl/>
        </w:rPr>
        <w:t>فيه</w:t>
      </w:r>
      <w:r w:rsidR="00DC6C59">
        <w:rPr>
          <w:rtl/>
        </w:rPr>
        <w:t xml:space="preserve"> </w:t>
      </w:r>
      <w:r w:rsidRPr="003520EF">
        <w:rPr>
          <w:rtl/>
        </w:rPr>
        <w:t>يتصل</w:t>
      </w:r>
      <w:r w:rsidR="00DC6C59">
        <w:rPr>
          <w:rtl/>
        </w:rPr>
        <w:t xml:space="preserve"> </w:t>
      </w:r>
      <w:r w:rsidRPr="003520EF">
        <w:rPr>
          <w:rtl/>
        </w:rPr>
        <w:t>بالإعاقة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476B81">
        <w:rPr>
          <w:rFonts w:hint="cs"/>
          <w:rtl/>
        </w:rPr>
        <w:t> </w:t>
      </w:r>
      <w:r w:rsidRPr="003520EF">
        <w:rPr>
          <w:rtl/>
        </w:rPr>
        <w:t>بأي</w:t>
      </w:r>
      <w:r w:rsidR="00476B81">
        <w:rPr>
          <w:rFonts w:hint="cs"/>
          <w:rtl/>
        </w:rPr>
        <w:t> 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أسباب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المحظورة،</w:t>
      </w:r>
      <w:r w:rsidR="00DC6C59">
        <w:rPr>
          <w:rtl/>
        </w:rPr>
        <w:t xml:space="preserve"> </w:t>
      </w:r>
      <w:r w:rsidRPr="003520EF">
        <w:rPr>
          <w:rtl/>
        </w:rPr>
        <w:t>وذلك</w:t>
      </w:r>
      <w:r w:rsidR="00DC6C59">
        <w:rPr>
          <w:rtl/>
        </w:rPr>
        <w:t xml:space="preserve"> </w:t>
      </w:r>
      <w:r w:rsidRPr="003520EF">
        <w:rPr>
          <w:rtl/>
        </w:rPr>
        <w:t>بغرض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قصد</w:t>
      </w:r>
      <w:r w:rsidR="00DC6C59">
        <w:rPr>
          <w:rtl/>
        </w:rPr>
        <w:t xml:space="preserve"> </w:t>
      </w:r>
      <w:r w:rsidRPr="003520EF">
        <w:rPr>
          <w:rtl/>
        </w:rPr>
        <w:t>انتهاك</w:t>
      </w:r>
      <w:r w:rsidR="00DC6C59">
        <w:rPr>
          <w:rtl/>
        </w:rPr>
        <w:t xml:space="preserve"> </w:t>
      </w:r>
      <w:r w:rsidRPr="003520EF">
        <w:rPr>
          <w:rtl/>
        </w:rPr>
        <w:t>كرامة</w:t>
      </w:r>
      <w:r w:rsidR="00DC6C59">
        <w:rPr>
          <w:rtl/>
        </w:rPr>
        <w:t xml:space="preserve"> </w:t>
      </w:r>
      <w:r w:rsidRPr="003520EF">
        <w:rPr>
          <w:rtl/>
        </w:rPr>
        <w:t>الشخص</w:t>
      </w:r>
      <w:r w:rsidR="00DC6C59">
        <w:rPr>
          <w:rtl/>
        </w:rPr>
        <w:t xml:space="preserve"> </w:t>
      </w:r>
      <w:r w:rsidRPr="003520EF">
        <w:rPr>
          <w:rtl/>
        </w:rPr>
        <w:t>وخلق</w:t>
      </w:r>
      <w:r w:rsidR="00DC6C59">
        <w:rPr>
          <w:rtl/>
        </w:rPr>
        <w:t xml:space="preserve"> </w:t>
      </w:r>
      <w:r w:rsidRPr="003520EF">
        <w:rPr>
          <w:rtl/>
        </w:rPr>
        <w:t>بيئة</w:t>
      </w:r>
      <w:r w:rsidR="00DC6C59">
        <w:rPr>
          <w:rtl/>
        </w:rPr>
        <w:t xml:space="preserve"> </w:t>
      </w:r>
      <w:r w:rsidRPr="003520EF">
        <w:rPr>
          <w:rtl/>
        </w:rPr>
        <w:t>يكتنفها</w:t>
      </w:r>
      <w:r w:rsidR="00DC6C59">
        <w:rPr>
          <w:rtl/>
        </w:rPr>
        <w:t xml:space="preserve"> </w:t>
      </w:r>
      <w:r w:rsidRPr="003520EF">
        <w:rPr>
          <w:rtl/>
        </w:rPr>
        <w:t>التهديد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عدائية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مهينة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مُذلة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1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وبموجب</w:t>
      </w:r>
      <w:r w:rsidR="00DC6C59">
        <w:rPr>
          <w:rtl/>
        </w:rPr>
        <w:t xml:space="preserve"> </w:t>
      </w:r>
      <w:r w:rsidRPr="003520EF">
        <w:rPr>
          <w:rtl/>
        </w:rPr>
        <w:t>اتفاقية</w:t>
      </w:r>
      <w:r w:rsidR="00DC6C59">
        <w:rPr>
          <w:rtl/>
        </w:rPr>
        <w:t xml:space="preserve"> </w:t>
      </w:r>
      <w:r w:rsidRPr="003520EF">
        <w:rPr>
          <w:rtl/>
        </w:rPr>
        <w:t>منظمة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الدولية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القضاء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العنف</w:t>
      </w:r>
      <w:r w:rsidR="00DC6C59">
        <w:rPr>
          <w:rtl/>
        </w:rPr>
        <w:t xml:space="preserve"> </w:t>
      </w:r>
      <w:r w:rsidRPr="003520EF">
        <w:rPr>
          <w:rtl/>
        </w:rPr>
        <w:t>والتحرش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عالم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لعام</w:t>
      </w:r>
      <w:r w:rsidR="00DC6C59">
        <w:rPr>
          <w:rtl/>
        </w:rPr>
        <w:t xml:space="preserve"> </w:t>
      </w:r>
      <w:r w:rsidRPr="005170C9">
        <w:rPr>
          <w:rtl/>
        </w:rPr>
        <w:t>2019</w:t>
      </w:r>
      <w:r w:rsidR="00DC6C59">
        <w:rPr>
          <w:rtl/>
        </w:rPr>
        <w:t xml:space="preserve"> </w:t>
      </w:r>
      <w:r w:rsidRPr="003520EF">
        <w:rPr>
          <w:rtl/>
        </w:rPr>
        <w:t>(رقم</w:t>
      </w:r>
      <w:r w:rsidR="00DC6C59">
        <w:rPr>
          <w:rtl/>
        </w:rPr>
        <w:t xml:space="preserve"> </w:t>
      </w:r>
      <w:r w:rsidRPr="005170C9">
        <w:rPr>
          <w:rtl/>
        </w:rPr>
        <w:t>190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يشير</w:t>
      </w:r>
      <w:r w:rsidR="00DC6C59">
        <w:rPr>
          <w:rtl/>
        </w:rPr>
        <w:t xml:space="preserve"> </w:t>
      </w:r>
      <w:r w:rsidRPr="003520EF">
        <w:rPr>
          <w:rtl/>
        </w:rPr>
        <w:t>مصطلح</w:t>
      </w:r>
      <w:r w:rsidR="00DC6C59">
        <w:rPr>
          <w:rtl/>
        </w:rPr>
        <w:t xml:space="preserve"> </w:t>
      </w:r>
      <w:r w:rsidRPr="003520EF">
        <w:rPr>
          <w:rtl/>
        </w:rPr>
        <w:t>"العنف</w:t>
      </w:r>
      <w:r w:rsidR="00DC6C59">
        <w:rPr>
          <w:rtl/>
        </w:rPr>
        <w:t xml:space="preserve"> </w:t>
      </w:r>
      <w:r w:rsidRPr="003520EF">
        <w:rPr>
          <w:rtl/>
        </w:rPr>
        <w:t>والتحرش"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عالم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مجموعة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السلوكيات</w:t>
      </w:r>
      <w:r w:rsidR="00DC6C59">
        <w:rPr>
          <w:rtl/>
        </w:rPr>
        <w:t xml:space="preserve"> </w:t>
      </w:r>
      <w:r w:rsidRPr="003520EF">
        <w:rPr>
          <w:rtl/>
        </w:rPr>
        <w:t>والممارسات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المقبولة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التهديدات</w:t>
      </w:r>
      <w:r w:rsidR="00DC6C59">
        <w:rPr>
          <w:rtl/>
        </w:rPr>
        <w:t xml:space="preserve"> </w:t>
      </w:r>
      <w:r w:rsidRPr="003520EF">
        <w:rPr>
          <w:rtl/>
        </w:rPr>
        <w:t>المرتبطة</w:t>
      </w:r>
      <w:r w:rsidR="00DC6C59">
        <w:rPr>
          <w:rtl/>
        </w:rPr>
        <w:t xml:space="preserve"> </w:t>
      </w:r>
      <w:r w:rsidRPr="003520EF">
        <w:rPr>
          <w:rtl/>
        </w:rPr>
        <w:t>بها،</w:t>
      </w:r>
      <w:r w:rsidR="00DC6C59">
        <w:rPr>
          <w:rtl/>
        </w:rPr>
        <w:t xml:space="preserve"> </w:t>
      </w:r>
      <w:r w:rsidRPr="003520EF">
        <w:rPr>
          <w:rtl/>
        </w:rPr>
        <w:t>سواء</w:t>
      </w:r>
      <w:r w:rsidR="00DC6C59">
        <w:rPr>
          <w:rtl/>
        </w:rPr>
        <w:t xml:space="preserve"> </w:t>
      </w:r>
      <w:r w:rsidRPr="003520EF">
        <w:rPr>
          <w:rtl/>
        </w:rPr>
        <w:t>حدثت</w:t>
      </w:r>
      <w:r w:rsidR="00DC6C59">
        <w:rPr>
          <w:rtl/>
        </w:rPr>
        <w:t xml:space="preserve"> </w:t>
      </w:r>
      <w:r w:rsidRPr="003520EF">
        <w:rPr>
          <w:rtl/>
        </w:rPr>
        <w:t>مرة</w:t>
      </w:r>
      <w:r w:rsidR="00DC6C59">
        <w:rPr>
          <w:rtl/>
        </w:rPr>
        <w:t xml:space="preserve"> </w:t>
      </w:r>
      <w:r w:rsidRPr="003520EF">
        <w:rPr>
          <w:rtl/>
        </w:rPr>
        <w:t>واحدة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476B81">
        <w:rPr>
          <w:rFonts w:hint="cs"/>
          <w:rtl/>
        </w:rPr>
        <w:t> </w:t>
      </w:r>
      <w:r w:rsidRPr="003520EF">
        <w:rPr>
          <w:rtl/>
        </w:rPr>
        <w:t>تكررت،</w:t>
      </w:r>
      <w:r w:rsidR="00DC6C59">
        <w:rPr>
          <w:rtl/>
        </w:rPr>
        <w:t xml:space="preserve"> </w:t>
      </w:r>
      <w:r w:rsidRPr="003520EF">
        <w:rPr>
          <w:rtl/>
        </w:rPr>
        <w:t>تهدف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تؤدي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يحتمل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تؤدي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إلحاق</w:t>
      </w:r>
      <w:r w:rsidR="00DC6C59">
        <w:rPr>
          <w:rtl/>
        </w:rPr>
        <w:t xml:space="preserve"> </w:t>
      </w:r>
      <w:r w:rsidRPr="003520EF">
        <w:rPr>
          <w:rtl/>
        </w:rPr>
        <w:t>ضرر</w:t>
      </w:r>
      <w:r w:rsidR="00DC6C59">
        <w:rPr>
          <w:rtl/>
        </w:rPr>
        <w:t xml:space="preserve"> </w:t>
      </w:r>
      <w:r w:rsidRPr="003520EF">
        <w:rPr>
          <w:rtl/>
        </w:rPr>
        <w:t>جسدي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نفسي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جنسي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اقتصادي،</w:t>
      </w:r>
      <w:r w:rsidR="00DC6C59">
        <w:rPr>
          <w:rtl/>
        </w:rPr>
        <w:t xml:space="preserve"> </w:t>
      </w:r>
      <w:r w:rsidRPr="003520EF">
        <w:rPr>
          <w:rtl/>
        </w:rPr>
        <w:t>وتشمل</w:t>
      </w:r>
      <w:r w:rsidR="00DC6C59">
        <w:rPr>
          <w:rtl/>
        </w:rPr>
        <w:t xml:space="preserve"> </w:t>
      </w:r>
      <w:r w:rsidRPr="003520EF">
        <w:rPr>
          <w:rtl/>
        </w:rPr>
        <w:t>العنف</w:t>
      </w:r>
      <w:r w:rsidR="00DC6C59">
        <w:rPr>
          <w:rtl/>
        </w:rPr>
        <w:t xml:space="preserve"> </w:t>
      </w:r>
      <w:r w:rsidRPr="003520EF">
        <w:rPr>
          <w:rtl/>
        </w:rPr>
        <w:t>والتحرش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نوع</w:t>
      </w:r>
      <w:r w:rsidR="00DC6C59">
        <w:rPr>
          <w:rtl/>
        </w:rPr>
        <w:t xml:space="preserve"> </w:t>
      </w:r>
      <w:r w:rsidRPr="003520EF">
        <w:rPr>
          <w:rtl/>
        </w:rPr>
        <w:t>الجنس.</w:t>
      </w:r>
    </w:p>
    <w:p w14:paraId="49ECADB7" w14:textId="3940B88B" w:rsidR="00EC13CA" w:rsidRPr="003520EF" w:rsidRDefault="00EC13CA" w:rsidP="00EC13CA">
      <w:pPr>
        <w:pStyle w:val="SingleTxtGA"/>
      </w:pPr>
      <w:r w:rsidRPr="005170C9">
        <w:rPr>
          <w:rtl/>
        </w:rPr>
        <w:t>21</w:t>
      </w:r>
      <w:r w:rsidRPr="003520EF">
        <w:rPr>
          <w:rtl/>
        </w:rPr>
        <w:t>-</w:t>
      </w:r>
      <w:r w:rsidRPr="003520EF">
        <w:rPr>
          <w:rtl/>
        </w:rPr>
        <w:tab/>
        <w:t>وقد</w:t>
      </w:r>
      <w:r w:rsidR="00DC6C59">
        <w:rPr>
          <w:rtl/>
        </w:rPr>
        <w:t xml:space="preserve"> </w:t>
      </w:r>
      <w:r w:rsidRPr="003520EF">
        <w:rPr>
          <w:rtl/>
        </w:rPr>
        <w:t>يحدث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بالتلازم</w:t>
      </w:r>
      <w:r w:rsidR="00DC6C59">
        <w:rPr>
          <w:rtl/>
        </w:rPr>
        <w:t xml:space="preserve"> </w:t>
      </w:r>
      <w:r w:rsidRPr="003520EF">
        <w:rPr>
          <w:rtl/>
        </w:rPr>
        <w:t>عندما</w:t>
      </w:r>
      <w:r w:rsidR="00DC6C59">
        <w:rPr>
          <w:rtl/>
        </w:rPr>
        <w:t xml:space="preserve"> </w:t>
      </w:r>
      <w:r w:rsidRPr="003520EF">
        <w:rPr>
          <w:rtl/>
        </w:rPr>
        <w:t>يتعرض</w:t>
      </w:r>
      <w:r w:rsidR="00DC6C59">
        <w:rPr>
          <w:rtl/>
        </w:rPr>
        <w:t xml:space="preserve"> </w:t>
      </w:r>
      <w:r w:rsidRPr="003520EF">
        <w:rPr>
          <w:rtl/>
        </w:rPr>
        <w:t>أفراد</w:t>
      </w:r>
      <w:r w:rsidR="00DC6C59">
        <w:rPr>
          <w:rtl/>
        </w:rPr>
        <w:t xml:space="preserve"> </w:t>
      </w:r>
      <w:r w:rsidRPr="003520EF">
        <w:rPr>
          <w:rtl/>
        </w:rPr>
        <w:t>الأسرة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شخص</w:t>
      </w:r>
      <w:r w:rsidR="00DC6C59">
        <w:rPr>
          <w:rtl/>
        </w:rPr>
        <w:t xml:space="preserve"> </w:t>
      </w:r>
      <w:r w:rsidRPr="003520EF">
        <w:rPr>
          <w:rtl/>
        </w:rPr>
        <w:t>مرتبط</w:t>
      </w:r>
      <w:r w:rsidR="00DC6C59">
        <w:rPr>
          <w:rtl/>
        </w:rPr>
        <w:t xml:space="preserve"> </w:t>
      </w:r>
      <w:r w:rsidRPr="003520EF">
        <w:rPr>
          <w:rtl/>
        </w:rPr>
        <w:t>بطريقة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بشخص</w:t>
      </w:r>
      <w:r w:rsidR="00DC6C59">
        <w:rPr>
          <w:rtl/>
        </w:rPr>
        <w:t xml:space="preserve"> </w:t>
      </w:r>
      <w:r w:rsidRPr="003520EF">
        <w:rPr>
          <w:rtl/>
        </w:rPr>
        <w:t>ذي</w:t>
      </w:r>
      <w:r w:rsidR="00DC6C59">
        <w:rPr>
          <w:rtl/>
        </w:rPr>
        <w:t xml:space="preserve"> </w:t>
      </w:r>
      <w:r w:rsidRPr="003520EF">
        <w:rPr>
          <w:rtl/>
        </w:rPr>
        <w:t>إعاقة</w:t>
      </w:r>
      <w:r w:rsidR="00DC6C59">
        <w:rPr>
          <w:rtl/>
        </w:rPr>
        <w:t xml:space="preserve"> </w:t>
      </w:r>
      <w:r w:rsidRPr="003520EF">
        <w:rPr>
          <w:rtl/>
        </w:rPr>
        <w:t>للتمييز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بسبب</w:t>
      </w:r>
      <w:r w:rsidR="00DC6C59">
        <w:rPr>
          <w:rtl/>
        </w:rPr>
        <w:t xml:space="preserve"> </w:t>
      </w:r>
      <w:r w:rsidRPr="003520EF">
        <w:rPr>
          <w:rtl/>
        </w:rPr>
        <w:t>تلك</w:t>
      </w:r>
      <w:r w:rsidR="00DC6C59">
        <w:rPr>
          <w:rtl/>
        </w:rPr>
        <w:t xml:space="preserve"> </w:t>
      </w:r>
      <w:r w:rsidRPr="003520EF">
        <w:rPr>
          <w:rtl/>
        </w:rPr>
        <w:t>العلاقة،</w:t>
      </w:r>
      <w:r w:rsidR="00DC6C59">
        <w:rPr>
          <w:rtl/>
        </w:rPr>
        <w:t xml:space="preserve"> </w:t>
      </w:r>
      <w:r w:rsidRPr="003520EF">
        <w:rPr>
          <w:rtl/>
        </w:rPr>
        <w:t>مما</w:t>
      </w:r>
      <w:r w:rsidR="00DC6C59">
        <w:rPr>
          <w:rtl/>
        </w:rPr>
        <w:t xml:space="preserve"> </w:t>
      </w:r>
      <w:r w:rsidRPr="003520EF">
        <w:rPr>
          <w:rtl/>
        </w:rPr>
        <w:t>يكون</w:t>
      </w:r>
      <w:r w:rsidR="00DC6C59">
        <w:rPr>
          <w:rtl/>
        </w:rPr>
        <w:t xml:space="preserve"> </w:t>
      </w:r>
      <w:r w:rsidRPr="003520EF">
        <w:rPr>
          <w:rtl/>
        </w:rPr>
        <w:t>له</w:t>
      </w:r>
      <w:r w:rsidR="00DC6C59">
        <w:rPr>
          <w:rtl/>
        </w:rPr>
        <w:t xml:space="preserve"> </w:t>
      </w:r>
      <w:r w:rsidRPr="003520EF">
        <w:rPr>
          <w:rtl/>
        </w:rPr>
        <w:t>تأثير</w:t>
      </w:r>
      <w:r w:rsidR="00DC6C59">
        <w:rPr>
          <w:rtl/>
        </w:rPr>
        <w:t xml:space="preserve"> </w:t>
      </w:r>
      <w:r w:rsidRPr="003520EF">
        <w:rPr>
          <w:rtl/>
        </w:rPr>
        <w:t>مباشر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مباشر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حياة</w:t>
      </w:r>
      <w:r w:rsidR="00DC6C59">
        <w:rPr>
          <w:rtl/>
        </w:rPr>
        <w:t xml:space="preserve"> </w:t>
      </w:r>
      <w:r w:rsidRPr="003520EF">
        <w:rPr>
          <w:rtl/>
        </w:rPr>
        <w:t>الشخص</w:t>
      </w:r>
      <w:r w:rsidR="00DC6C59">
        <w:rPr>
          <w:rtl/>
        </w:rPr>
        <w:t xml:space="preserve"> </w:t>
      </w:r>
      <w:r w:rsidRPr="003520EF">
        <w:rPr>
          <w:rtl/>
        </w:rPr>
        <w:t>ذي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2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</w:p>
    <w:p w14:paraId="17D11223" w14:textId="03028D9B" w:rsidR="00EC13CA" w:rsidRPr="00DC6C59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22</w:t>
      </w:r>
      <w:r w:rsidRPr="00DC6C59">
        <w:rPr>
          <w:spacing w:val="-2"/>
          <w:rtl/>
        </w:rPr>
        <w:t>-</w:t>
      </w:r>
      <w:r w:rsidRPr="00DC6C59">
        <w:rPr>
          <w:spacing w:val="-2"/>
          <w:rtl/>
        </w:rPr>
        <w:tab/>
        <w:t>وكثيراً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يتعرض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بصورة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غير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متناسبة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متعدد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ومتقاطع.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ويعني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تنوع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فئات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أنهم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يواجهون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حواجز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متنوعة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تحول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دون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إعمال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الحق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واتباع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مسارات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مختلفة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نحو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طوال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حياتهم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العملية.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وبحدث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المتعدد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عندما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يتعرض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شخص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أساسين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اثنين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أكثر،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مما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يفضي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مركب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مستحكم.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ويحدث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المتقاطع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عندما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تتفاعل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فيها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عدة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أسس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وقت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واحد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لتصبح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كتلة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انفصام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لها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23"/>
      </w:r>
      <w:r w:rsidR="00DC6C59" w:rsidRPr="005170C9">
        <w:rPr>
          <w:spacing w:val="-2"/>
          <w:vertAlign w:val="superscript"/>
          <w:rtl/>
        </w:rPr>
        <w:t>)</w:t>
      </w:r>
      <w:r w:rsidR="00DC6C59" w:rsidRPr="00DC6C59">
        <w:rPr>
          <w:rFonts w:hint="cs"/>
          <w:spacing w:val="-2"/>
          <w:rtl/>
        </w:rPr>
        <w:t>.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ويعكس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مفهوما</w:t>
      </w:r>
      <w:r w:rsidR="00476B81">
        <w:rPr>
          <w:rFonts w:hint="cs"/>
          <w:spacing w:val="-2"/>
          <w:rtl/>
        </w:rPr>
        <w:t>ً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المتعدد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المتقاطع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فكرة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مفادها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الأفراد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يتعرضون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للتمييز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كأفراد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جماعات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متجانسة،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وإنما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كأفراد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لهم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محددات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هوية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متعددة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الأبعاد،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ولهم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أوضاع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وظروف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عيش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مختلفة.</w:t>
      </w:r>
      <w:r w:rsidR="00DC6C59">
        <w:rPr>
          <w:spacing w:val="-2"/>
          <w:rtl/>
        </w:rPr>
        <w:t xml:space="preserve"> </w:t>
      </w:r>
      <w:r w:rsidRPr="00DC6C59">
        <w:rPr>
          <w:rFonts w:ascii="Simplified Arabic" w:hAnsi="Simplified Arabic" w:hint="cs"/>
          <w:spacing w:val="-2"/>
          <w:rtl/>
        </w:rPr>
        <w:t>وتشمل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محددات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الهوية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المتقاطعة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العمر،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والعرق،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والانتماء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للشعوب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الأصلية،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والأصل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القومي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الاجتماعي،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ووضع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اللاجئ،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المهاجر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طالب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اللجوء،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والرأي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السياسي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غير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السياسي،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والدين،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والجنس،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والميل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الجنسي،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والهوية</w:t>
      </w:r>
      <w:r w:rsid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الجنسانية.</w:t>
      </w:r>
      <w:bookmarkStart w:id="14" w:name="_Hlk103344186"/>
      <w:bookmarkEnd w:id="14"/>
    </w:p>
    <w:p w14:paraId="4AB17539" w14:textId="0E097756" w:rsidR="00EC13CA" w:rsidRPr="003520EF" w:rsidRDefault="00EC13CA" w:rsidP="00EC13CA">
      <w:pPr>
        <w:pStyle w:val="SingleTxtGA"/>
      </w:pPr>
      <w:r w:rsidRPr="005170C9">
        <w:rPr>
          <w:rtl/>
        </w:rPr>
        <w:lastRenderedPageBreak/>
        <w:t>23</w:t>
      </w:r>
      <w:r w:rsidRPr="003520EF">
        <w:rPr>
          <w:rtl/>
        </w:rPr>
        <w:t>-</w:t>
      </w:r>
      <w:r w:rsidRPr="003520EF">
        <w:rPr>
          <w:rtl/>
        </w:rPr>
        <w:tab/>
        <w:t>وتعكس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المفاهيم</w:t>
      </w:r>
      <w:r w:rsidR="00DC6C59">
        <w:rPr>
          <w:rtl/>
        </w:rPr>
        <w:t xml:space="preserve"> </w:t>
      </w:r>
      <w:r w:rsidRPr="003520EF">
        <w:rPr>
          <w:rtl/>
        </w:rPr>
        <w:t>حقائق</w:t>
      </w:r>
      <w:r w:rsidR="00DC6C59">
        <w:rPr>
          <w:rtl/>
        </w:rPr>
        <w:t xml:space="preserve"> </w:t>
      </w:r>
      <w:r w:rsidRPr="003520EF">
        <w:rPr>
          <w:rtl/>
        </w:rPr>
        <w:t>وتجارب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يعيشه</w:t>
      </w:r>
      <w:r w:rsidR="00DC6C59">
        <w:rPr>
          <w:rtl/>
        </w:rPr>
        <w:t xml:space="preserve"> </w:t>
      </w:r>
      <w:r w:rsidRPr="003520EF">
        <w:rPr>
          <w:rtl/>
        </w:rPr>
        <w:t>الأفراد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حرمان</w:t>
      </w:r>
      <w:r w:rsidR="00DC6C59">
        <w:rPr>
          <w:rtl/>
        </w:rPr>
        <w:t xml:space="preserve"> </w:t>
      </w:r>
      <w:r w:rsidRPr="003520EF">
        <w:rPr>
          <w:rtl/>
        </w:rPr>
        <w:t>متزايد</w:t>
      </w:r>
      <w:r w:rsidR="00DC6C59">
        <w:rPr>
          <w:rtl/>
        </w:rPr>
        <w:t xml:space="preserve"> </w:t>
      </w:r>
      <w:r w:rsidRPr="003520EF">
        <w:rPr>
          <w:rtl/>
        </w:rPr>
        <w:t>ناجم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أشكال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المتعدد</w:t>
      </w:r>
      <w:r w:rsidR="00DC6C59">
        <w:rPr>
          <w:rtl/>
        </w:rPr>
        <w:t xml:space="preserve"> </w:t>
      </w:r>
      <w:r w:rsidRPr="003520EF">
        <w:rPr>
          <w:rtl/>
        </w:rPr>
        <w:t>والمتقاطع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4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وقد</w:t>
      </w:r>
      <w:r w:rsidR="00DC6C59">
        <w:rPr>
          <w:rtl/>
        </w:rPr>
        <w:t xml:space="preserve"> </w:t>
      </w:r>
      <w:r w:rsidRPr="003520EF">
        <w:rPr>
          <w:rtl/>
        </w:rPr>
        <w:t>عالجت</w:t>
      </w:r>
      <w:r w:rsidR="00DC6C59">
        <w:rPr>
          <w:rtl/>
        </w:rPr>
        <w:t xml:space="preserve"> </w:t>
      </w:r>
      <w:r w:rsidRPr="003520EF">
        <w:rPr>
          <w:rtl/>
        </w:rPr>
        <w:t>اللجنة</w:t>
      </w:r>
      <w:r w:rsidR="00DC6C59">
        <w:rPr>
          <w:rtl/>
        </w:rPr>
        <w:t xml:space="preserve"> </w:t>
      </w:r>
      <w:r w:rsidRPr="003520EF">
        <w:rPr>
          <w:rtl/>
        </w:rPr>
        <w:t>حالات</w:t>
      </w:r>
      <w:r w:rsidR="00DC6C59">
        <w:rPr>
          <w:rtl/>
        </w:rPr>
        <w:t xml:space="preserve"> </w:t>
      </w:r>
      <w:r w:rsidRPr="003520EF">
        <w:rPr>
          <w:rtl/>
        </w:rPr>
        <w:t>مختلفة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المتعدد</w:t>
      </w:r>
      <w:r w:rsidR="00DC6C59">
        <w:rPr>
          <w:rtl/>
        </w:rPr>
        <w:t xml:space="preserve"> </w:t>
      </w:r>
      <w:r w:rsidRPr="003520EF">
        <w:rPr>
          <w:rtl/>
        </w:rPr>
        <w:t>والمتقاطع.</w:t>
      </w:r>
      <w:r w:rsidR="00DC6C59">
        <w:rPr>
          <w:rtl/>
        </w:rPr>
        <w:t xml:space="preserve"> </w:t>
      </w:r>
      <w:r w:rsidRPr="003520EF">
        <w:rPr>
          <w:rtl/>
        </w:rPr>
        <w:t>فعلى</w:t>
      </w:r>
      <w:r w:rsidR="00DC6C59">
        <w:rPr>
          <w:rtl/>
        </w:rPr>
        <w:t xml:space="preserve"> </w:t>
      </w:r>
      <w:r w:rsidRPr="003520EF">
        <w:rPr>
          <w:rtl/>
        </w:rPr>
        <w:t>سبيل</w:t>
      </w:r>
      <w:r w:rsidR="00DC6C59">
        <w:rPr>
          <w:rtl/>
        </w:rPr>
        <w:t xml:space="preserve"> </w:t>
      </w:r>
      <w:r w:rsidRPr="003520EF">
        <w:rPr>
          <w:rtl/>
        </w:rPr>
        <w:t>المثال،</w:t>
      </w:r>
      <w:r w:rsidR="00DC6C59">
        <w:rPr>
          <w:rtl/>
        </w:rPr>
        <w:t xml:space="preserve"> </w:t>
      </w:r>
      <w:r w:rsidRPr="003520EF">
        <w:rPr>
          <w:rtl/>
        </w:rPr>
        <w:t>تواجه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والأشخاص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المتوافقين</w:t>
      </w:r>
      <w:r w:rsidR="00DC6C59">
        <w:rPr>
          <w:rtl/>
        </w:rPr>
        <w:t xml:space="preserve"> </w:t>
      </w:r>
      <w:r w:rsidRPr="003520EF">
        <w:rPr>
          <w:rtl/>
        </w:rPr>
        <w:t>جنسيا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تقاطعا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الحواجز</w:t>
      </w:r>
      <w:r w:rsidR="00DC6C59">
        <w:rPr>
          <w:rtl/>
        </w:rPr>
        <w:t xml:space="preserve"> </w:t>
      </w:r>
      <w:r w:rsidRPr="003520EF">
        <w:rPr>
          <w:rtl/>
        </w:rPr>
        <w:t>المتصلة</w:t>
      </w:r>
      <w:r w:rsidR="00DC6C59">
        <w:rPr>
          <w:rtl/>
        </w:rPr>
        <w:t xml:space="preserve"> </w:t>
      </w:r>
      <w:r w:rsidRPr="003520EF">
        <w:rPr>
          <w:rtl/>
        </w:rPr>
        <w:t>بنوع</w:t>
      </w:r>
      <w:r w:rsidR="00DC6C59">
        <w:rPr>
          <w:rtl/>
        </w:rPr>
        <w:t xml:space="preserve"> </w:t>
      </w:r>
      <w:r w:rsidRPr="003520EF">
        <w:rPr>
          <w:rtl/>
        </w:rPr>
        <w:t>الجنس</w:t>
      </w:r>
      <w:r w:rsidR="00DC6C59">
        <w:rPr>
          <w:rtl/>
        </w:rPr>
        <w:t xml:space="preserve"> </w:t>
      </w:r>
      <w:r w:rsidRPr="003520EF">
        <w:rPr>
          <w:rtl/>
        </w:rPr>
        <w:t>والإعاقة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المواقف</w:t>
      </w:r>
      <w:r w:rsidR="00DC6C59">
        <w:rPr>
          <w:rtl/>
        </w:rPr>
        <w:t xml:space="preserve"> </w:t>
      </w:r>
      <w:r w:rsidRPr="003520EF">
        <w:rPr>
          <w:rtl/>
        </w:rPr>
        <w:t>والظروف</w:t>
      </w:r>
      <w:r w:rsidR="00DC6C59">
        <w:rPr>
          <w:rtl/>
        </w:rPr>
        <w:t xml:space="preserve"> </w:t>
      </w:r>
      <w:r w:rsidRPr="003520EF">
        <w:rPr>
          <w:rtl/>
        </w:rPr>
        <w:t>والعمل</w:t>
      </w:r>
      <w:r w:rsidR="00DC6C59">
        <w:rPr>
          <w:rtl/>
        </w:rPr>
        <w:t xml:space="preserve"> </w:t>
      </w:r>
      <w:r w:rsidRPr="003520EF">
        <w:rPr>
          <w:rtl/>
        </w:rPr>
        <w:t>نفسه،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الآثار</w:t>
      </w:r>
      <w:r w:rsidR="00DC6C59">
        <w:rPr>
          <w:rtl/>
        </w:rPr>
        <w:t xml:space="preserve"> </w:t>
      </w:r>
      <w:r w:rsidRPr="003520EF">
        <w:rPr>
          <w:rtl/>
        </w:rPr>
        <w:t>المركبة</w:t>
      </w:r>
      <w:r w:rsidR="00DC6C59">
        <w:rPr>
          <w:rtl/>
        </w:rPr>
        <w:t xml:space="preserve"> </w:t>
      </w:r>
      <w:r w:rsidRPr="003520EF">
        <w:rPr>
          <w:rtl/>
        </w:rPr>
        <w:t>للتمييز</w:t>
      </w:r>
      <w:r w:rsidR="00DC6C59">
        <w:rPr>
          <w:rtl/>
        </w:rPr>
        <w:t xml:space="preserve"> </w:t>
      </w:r>
      <w:r w:rsidRPr="003520EF">
        <w:rPr>
          <w:rtl/>
        </w:rPr>
        <w:t>المتعدد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تحد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فرص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وتؤثر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حقهم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الأجر،</w:t>
      </w:r>
      <w:r w:rsidR="00DC6C59">
        <w:rPr>
          <w:rtl/>
        </w:rPr>
        <w:t xml:space="preserve"> </w:t>
      </w:r>
      <w:r w:rsidRPr="003520EF">
        <w:rPr>
          <w:rtl/>
        </w:rPr>
        <w:t>وتزيد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خطر</w:t>
      </w:r>
      <w:r w:rsidR="00DC6C59">
        <w:rPr>
          <w:rtl/>
        </w:rPr>
        <w:t xml:space="preserve"> </w:t>
      </w:r>
      <w:r w:rsidRPr="003520EF">
        <w:rPr>
          <w:rtl/>
        </w:rPr>
        <w:t>العنف</w:t>
      </w:r>
      <w:r w:rsidR="00DC6C59">
        <w:rPr>
          <w:rtl/>
        </w:rPr>
        <w:t xml:space="preserve"> </w:t>
      </w:r>
      <w:r w:rsidRPr="003520EF">
        <w:rPr>
          <w:rtl/>
        </w:rPr>
        <w:t>والتحرش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وبالمثل،</w:t>
      </w:r>
      <w:r w:rsidR="00DC6C59">
        <w:rPr>
          <w:rtl/>
        </w:rPr>
        <w:t xml:space="preserve"> </w:t>
      </w:r>
      <w:r w:rsidRPr="003520EF">
        <w:rPr>
          <w:rtl/>
        </w:rPr>
        <w:t>يتفاعل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المتصل</w:t>
      </w:r>
      <w:r w:rsidR="00DC6C59">
        <w:rPr>
          <w:rtl/>
        </w:rPr>
        <w:t xml:space="preserve"> </w:t>
      </w:r>
      <w:r w:rsidRPr="003520EF">
        <w:rPr>
          <w:rtl/>
        </w:rPr>
        <w:t>بالإعاقة</w:t>
      </w:r>
      <w:r w:rsidR="00DC6C59">
        <w:rPr>
          <w:rtl/>
        </w:rPr>
        <w:t xml:space="preserve"> </w:t>
      </w:r>
      <w:r w:rsidRPr="003520EF">
        <w:rPr>
          <w:rtl/>
        </w:rPr>
        <w:t>والعمر</w:t>
      </w:r>
      <w:r w:rsidR="00DC6C59">
        <w:rPr>
          <w:rtl/>
        </w:rPr>
        <w:t xml:space="preserve"> </w:t>
      </w:r>
      <w:r w:rsidRPr="003520EF">
        <w:rPr>
          <w:rtl/>
        </w:rPr>
        <w:t>مما</w:t>
      </w:r>
      <w:r w:rsidR="00DC6C59">
        <w:rPr>
          <w:rtl/>
        </w:rPr>
        <w:t xml:space="preserve"> </w:t>
      </w:r>
      <w:r w:rsidRPr="003520EF">
        <w:rPr>
          <w:rtl/>
        </w:rPr>
        <w:t>يترتب</w:t>
      </w:r>
      <w:r w:rsidR="00DC6C59">
        <w:rPr>
          <w:rtl/>
        </w:rPr>
        <w:t xml:space="preserve"> </w:t>
      </w:r>
      <w:r w:rsidRPr="003520EF">
        <w:rPr>
          <w:rtl/>
        </w:rPr>
        <w:t>عليه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الشباب</w:t>
      </w:r>
      <w:r w:rsidR="00DC6C59">
        <w:rPr>
          <w:rtl/>
        </w:rPr>
        <w:t xml:space="preserve"> </w:t>
      </w:r>
      <w:r w:rsidRPr="003520EF">
        <w:rPr>
          <w:rtl/>
        </w:rPr>
        <w:t>وكبار</w:t>
      </w:r>
      <w:r w:rsidR="00DC6C59">
        <w:rPr>
          <w:rtl/>
        </w:rPr>
        <w:t xml:space="preserve"> </w:t>
      </w:r>
      <w:r w:rsidRPr="003520EF">
        <w:rPr>
          <w:rtl/>
        </w:rPr>
        <w:t>السن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يمكن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يواجهوا</w:t>
      </w:r>
      <w:r w:rsidR="00DC6C59">
        <w:rPr>
          <w:rtl/>
        </w:rPr>
        <w:t xml:space="preserve"> </w:t>
      </w:r>
      <w:r w:rsidRPr="003520EF">
        <w:rPr>
          <w:rtl/>
        </w:rPr>
        <w:t>تحديات</w:t>
      </w:r>
      <w:r w:rsidR="00DC6C59">
        <w:rPr>
          <w:rtl/>
        </w:rPr>
        <w:t xml:space="preserve"> </w:t>
      </w:r>
      <w:r w:rsidRPr="003520EF">
        <w:rPr>
          <w:rtl/>
        </w:rPr>
        <w:t>مختلفة</w:t>
      </w:r>
      <w:r w:rsidR="00DC6C59">
        <w:rPr>
          <w:rtl/>
        </w:rPr>
        <w:t xml:space="preserve"> </w:t>
      </w:r>
      <w:r w:rsidRPr="003520EF">
        <w:rPr>
          <w:rtl/>
        </w:rPr>
        <w:t>اختلافا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كبيرا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إعمال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bookmarkStart w:id="15" w:name="_Hlk104548883"/>
      <w:bookmarkEnd w:id="15"/>
    </w:p>
    <w:p w14:paraId="14EAE181" w14:textId="7805EB5B" w:rsidR="00EC13CA" w:rsidRPr="005170C9" w:rsidRDefault="00EC13CA" w:rsidP="00EC13CA">
      <w:pPr>
        <w:pStyle w:val="H1GA"/>
        <w:rPr>
          <w:rFonts w:ascii="Times New Roman Bold" w:hAnsi="Times New Roman Bold" w:hint="eastAsia"/>
          <w:spacing w:val="-4"/>
        </w:rPr>
      </w:pPr>
      <w:r w:rsidRPr="005170C9">
        <w:rPr>
          <w:rFonts w:ascii="Times New Roman Bold" w:hAnsi="Times New Roman Bold"/>
          <w:spacing w:val="-4"/>
          <w:rtl/>
        </w:rPr>
        <w:tab/>
        <w:t>جيم-</w:t>
      </w:r>
      <w:r w:rsidRPr="005170C9">
        <w:rPr>
          <w:rFonts w:ascii="Times New Roman Bold" w:hAnsi="Times New Roman Bold"/>
          <w:spacing w:val="-4"/>
          <w:rtl/>
        </w:rPr>
        <w:tab/>
        <w:t>الحق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في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ظروف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عمل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عادلة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وملائمة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على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قدم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المساواة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مع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الآخرين</w:t>
      </w:r>
      <w:r w:rsidR="00DC6C59" w:rsidRPr="005170C9">
        <w:rPr>
          <w:rFonts w:ascii="Times New Roman Bold" w:hAnsi="Times New Roman Bold"/>
          <w:spacing w:val="-4"/>
          <w:rtl/>
        </w:rPr>
        <w:t xml:space="preserve"> </w:t>
      </w:r>
      <w:r w:rsidRPr="005170C9">
        <w:rPr>
          <w:rFonts w:ascii="Times New Roman Bold" w:hAnsi="Times New Roman Bold"/>
          <w:spacing w:val="-4"/>
          <w:rtl/>
        </w:rPr>
        <w:t>(المادة</w:t>
      </w:r>
      <w:r w:rsidR="00DC6C59" w:rsidRPr="005170C9">
        <w:rPr>
          <w:rFonts w:ascii="Times New Roman Bold" w:hAnsi="Times New Roman Bold" w:hint="cs"/>
          <w:spacing w:val="-4"/>
          <w:rtl/>
        </w:rPr>
        <w:t> </w:t>
      </w:r>
      <w:r w:rsidRPr="005170C9">
        <w:rPr>
          <w:rFonts w:ascii="Times New Roman Bold" w:hAnsi="Times New Roman Bold"/>
          <w:spacing w:val="-4"/>
          <w:rtl/>
        </w:rPr>
        <w:t>27(1)(ب))</w:t>
      </w:r>
    </w:p>
    <w:p w14:paraId="11D9C485" w14:textId="205ACA93" w:rsidR="00EC13CA" w:rsidRPr="003520EF" w:rsidRDefault="00EC13CA" w:rsidP="00EC13CA">
      <w:pPr>
        <w:pStyle w:val="SingleTxtGA"/>
      </w:pPr>
      <w:r w:rsidRPr="005170C9">
        <w:rPr>
          <w:rtl/>
        </w:rPr>
        <w:t>24</w:t>
      </w:r>
      <w:r w:rsidRPr="003520EF">
        <w:rPr>
          <w:rtl/>
        </w:rPr>
        <w:t>-</w:t>
      </w:r>
      <w:r w:rsidRPr="003520EF">
        <w:rPr>
          <w:rtl/>
        </w:rPr>
        <w:tab/>
        <w:t>تشير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3520EF">
        <w:rPr>
          <w:rtl/>
        </w:rPr>
        <w:t>)(ب)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وملائمة،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>:</w:t>
      </w:r>
    </w:p>
    <w:p w14:paraId="6A54CDB3" w14:textId="3325F4FF" w:rsidR="00EC13CA" w:rsidRPr="003520EF" w:rsidRDefault="00EC13CA" w:rsidP="00EC13CA">
      <w:pPr>
        <w:pStyle w:val="SingleTxtGA"/>
      </w:pPr>
      <w:r w:rsidRPr="003520EF">
        <w:rPr>
          <w:rtl/>
        </w:rPr>
        <w:tab/>
        <w:t>(أ)</w:t>
      </w:r>
      <w:r w:rsidRPr="003520EF">
        <w:rPr>
          <w:rtl/>
        </w:rPr>
        <w:tab/>
        <w:t>تكافؤ</w:t>
      </w:r>
      <w:r w:rsidR="00DC6C59">
        <w:rPr>
          <w:rtl/>
        </w:rPr>
        <w:t xml:space="preserve"> </w:t>
      </w:r>
      <w:r w:rsidRPr="003520EF">
        <w:rPr>
          <w:rtl/>
        </w:rPr>
        <w:t>الفرص</w:t>
      </w:r>
      <w:r w:rsidR="00DC6C59">
        <w:rPr>
          <w:rtl/>
        </w:rPr>
        <w:t xml:space="preserve"> </w:t>
      </w:r>
      <w:r w:rsidRPr="003520EF">
        <w:rPr>
          <w:rtl/>
        </w:rPr>
        <w:t>وتقاضي</w:t>
      </w:r>
      <w:r w:rsidR="00DC6C59">
        <w:rPr>
          <w:rtl/>
        </w:rPr>
        <w:t xml:space="preserve"> </w:t>
      </w:r>
      <w:r w:rsidRPr="003520EF">
        <w:rPr>
          <w:rtl/>
        </w:rPr>
        <w:t>أجر</w:t>
      </w:r>
      <w:r w:rsidR="00DC6C59">
        <w:rPr>
          <w:rtl/>
        </w:rPr>
        <w:t xml:space="preserve"> </w:t>
      </w:r>
      <w:r w:rsidRPr="003520EF">
        <w:rPr>
          <w:rtl/>
        </w:rPr>
        <w:t>متساو</w:t>
      </w:r>
      <w:r w:rsidR="00DC6C59">
        <w:rPr>
          <w:rtl/>
        </w:rPr>
        <w:t xml:space="preserve"> </w:t>
      </w:r>
      <w:r w:rsidRPr="003520EF">
        <w:rPr>
          <w:rtl/>
        </w:rPr>
        <w:t>لقاء</w:t>
      </w:r>
      <w:r w:rsidR="00DC6C59">
        <w:rPr>
          <w:rtl/>
        </w:rPr>
        <w:t xml:space="preserve"> </w:t>
      </w:r>
      <w:r w:rsidRPr="003520EF">
        <w:rPr>
          <w:rtl/>
        </w:rPr>
        <w:t>القيام</w:t>
      </w:r>
      <w:r w:rsidR="00DC6C59">
        <w:rPr>
          <w:rtl/>
        </w:rPr>
        <w:t xml:space="preserve"> </w:t>
      </w:r>
      <w:r w:rsidRPr="003520EF">
        <w:rPr>
          <w:rtl/>
        </w:rPr>
        <w:t>بعمل</w:t>
      </w:r>
      <w:r w:rsidR="00DC6C59">
        <w:rPr>
          <w:rtl/>
        </w:rPr>
        <w:t xml:space="preserve"> </w:t>
      </w:r>
      <w:r w:rsidRPr="003520EF">
        <w:rPr>
          <w:rtl/>
        </w:rPr>
        <w:t>متساوي</w:t>
      </w:r>
      <w:r w:rsidR="00DC6C59">
        <w:rPr>
          <w:rtl/>
        </w:rPr>
        <w:t xml:space="preserve"> </w:t>
      </w:r>
      <w:r w:rsidRPr="003520EF">
        <w:rPr>
          <w:rtl/>
        </w:rPr>
        <w:t>القيمة؛</w:t>
      </w:r>
    </w:p>
    <w:p w14:paraId="52642C62" w14:textId="2F3E83A9" w:rsidR="00EC13CA" w:rsidRPr="003520EF" w:rsidRDefault="00EC13CA" w:rsidP="00EC13CA">
      <w:pPr>
        <w:pStyle w:val="SingleTxtGA"/>
      </w:pPr>
      <w:r w:rsidRPr="003520EF">
        <w:rPr>
          <w:rtl/>
        </w:rPr>
        <w:tab/>
        <w:t>(ب)</w:t>
      </w:r>
      <w:r w:rsidRPr="003520EF">
        <w:rPr>
          <w:rtl/>
        </w:rPr>
        <w:tab/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المأمونة</w:t>
      </w:r>
      <w:r w:rsidR="00DC6C59">
        <w:rPr>
          <w:rtl/>
        </w:rPr>
        <w:t xml:space="preserve"> </w:t>
      </w:r>
      <w:r w:rsidRPr="003520EF">
        <w:rPr>
          <w:rtl/>
        </w:rPr>
        <w:t>والصحية،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التحرش؛</w:t>
      </w:r>
    </w:p>
    <w:p w14:paraId="68079C11" w14:textId="672CE974" w:rsidR="00EC13CA" w:rsidRPr="003520EF" w:rsidRDefault="00EC13CA" w:rsidP="00EC13CA">
      <w:pPr>
        <w:pStyle w:val="SingleTxtGA"/>
      </w:pPr>
      <w:r w:rsidRPr="003520EF">
        <w:rPr>
          <w:rtl/>
        </w:rPr>
        <w:tab/>
        <w:t>(ج)</w:t>
      </w:r>
      <w:r w:rsidRPr="003520EF">
        <w:rPr>
          <w:rtl/>
        </w:rPr>
        <w:tab/>
        <w:t>الانتصاف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المظالم.</w:t>
      </w:r>
    </w:p>
    <w:p w14:paraId="06FB2AAC" w14:textId="57515F23" w:rsidR="00EC13CA" w:rsidRPr="003520EF" w:rsidRDefault="00EC13CA" w:rsidP="00EC13CA">
      <w:pPr>
        <w:pStyle w:val="SingleTxtGA"/>
      </w:pPr>
      <w:r w:rsidRPr="005170C9">
        <w:rPr>
          <w:rtl/>
        </w:rPr>
        <w:t>25</w:t>
      </w:r>
      <w:r w:rsidRPr="003520EF">
        <w:rPr>
          <w:rtl/>
        </w:rPr>
        <w:t>-</w:t>
      </w:r>
      <w:r w:rsidRPr="003520EF">
        <w:rPr>
          <w:rtl/>
        </w:rPr>
        <w:tab/>
        <w:t>وحق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وملائمة</w:t>
      </w:r>
      <w:r w:rsidR="00DC6C59">
        <w:rPr>
          <w:rtl/>
        </w:rPr>
        <w:t xml:space="preserve"> </w:t>
      </w:r>
      <w:r w:rsidRPr="003520EF">
        <w:rPr>
          <w:rtl/>
        </w:rPr>
        <w:t>هو</w:t>
      </w:r>
      <w:r w:rsidR="00DC6C59">
        <w:rPr>
          <w:rtl/>
        </w:rPr>
        <w:t xml:space="preserve"> </w:t>
      </w:r>
      <w:r w:rsidRPr="003520EF">
        <w:rPr>
          <w:rtl/>
        </w:rPr>
        <w:t>نتيجة</w:t>
      </w:r>
      <w:r w:rsidR="00DC6C59">
        <w:rPr>
          <w:rtl/>
        </w:rPr>
        <w:t xml:space="preserve"> </w:t>
      </w:r>
      <w:r w:rsidRPr="003520EF">
        <w:rPr>
          <w:rtl/>
        </w:rPr>
        <w:t>طبيعية</w:t>
      </w:r>
      <w:r w:rsidR="00DC6C59">
        <w:rPr>
          <w:rtl/>
        </w:rPr>
        <w:t xml:space="preserve"> </w:t>
      </w:r>
      <w:r w:rsidRPr="003520EF">
        <w:rPr>
          <w:rtl/>
        </w:rPr>
        <w:t>للحق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فرصة</w:t>
      </w:r>
      <w:r w:rsidR="00DC6C59">
        <w:rPr>
          <w:rtl/>
        </w:rPr>
        <w:t xml:space="preserve"> </w:t>
      </w:r>
      <w:r w:rsidRPr="003520EF">
        <w:rPr>
          <w:rtl/>
        </w:rPr>
        <w:t>كسب</w:t>
      </w:r>
      <w:r w:rsidR="00DC6C59">
        <w:rPr>
          <w:rtl/>
        </w:rPr>
        <w:t xml:space="preserve"> </w:t>
      </w:r>
      <w:r w:rsidRPr="003520EF">
        <w:rPr>
          <w:rtl/>
        </w:rPr>
        <w:t>العيش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طريق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يتم</w:t>
      </w:r>
      <w:r w:rsidR="00DC6C59">
        <w:rPr>
          <w:rtl/>
        </w:rPr>
        <w:t xml:space="preserve"> </w:t>
      </w:r>
      <w:r w:rsidRPr="003520EF">
        <w:rPr>
          <w:rtl/>
        </w:rPr>
        <w:t>اختياره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قبوله</w:t>
      </w:r>
      <w:r w:rsidR="00DC6C59">
        <w:rPr>
          <w:rtl/>
        </w:rPr>
        <w:t xml:space="preserve"> </w:t>
      </w:r>
      <w:r w:rsidRPr="003520EF">
        <w:rPr>
          <w:rtl/>
        </w:rPr>
        <w:t>بحرية.</w:t>
      </w:r>
      <w:r w:rsidR="00DC6C59">
        <w:rPr>
          <w:rtl/>
        </w:rPr>
        <w:t xml:space="preserve"> </w:t>
      </w:r>
      <w:r w:rsidRPr="003520EF">
        <w:rPr>
          <w:rtl/>
        </w:rPr>
        <w:t>وهو</w:t>
      </w:r>
      <w:r w:rsidR="00DC6C59">
        <w:rPr>
          <w:rtl/>
        </w:rPr>
        <w:t xml:space="preserve"> </w:t>
      </w:r>
      <w:r w:rsidRPr="003520EF">
        <w:rPr>
          <w:rtl/>
        </w:rPr>
        <w:t>عنصر</w:t>
      </w:r>
      <w:r w:rsidR="00DC6C59">
        <w:rPr>
          <w:rtl/>
        </w:rPr>
        <w:t xml:space="preserve"> </w:t>
      </w:r>
      <w:r w:rsidRPr="003520EF">
        <w:rPr>
          <w:rtl/>
        </w:rPr>
        <w:t>هام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عناصر</w:t>
      </w:r>
      <w:r w:rsidR="00DC6C59">
        <w:rPr>
          <w:rtl/>
        </w:rPr>
        <w:t xml:space="preserve"> </w:t>
      </w:r>
      <w:r w:rsidRPr="003520EF">
        <w:rPr>
          <w:rtl/>
        </w:rPr>
        <w:t>الحقوق</w:t>
      </w:r>
      <w:r w:rsidR="00DC6C59">
        <w:rPr>
          <w:rtl/>
        </w:rPr>
        <w:t xml:space="preserve"> </w:t>
      </w:r>
      <w:r w:rsidRPr="003520EF">
        <w:rPr>
          <w:rtl/>
        </w:rPr>
        <w:t>الأخرى</w:t>
      </w:r>
      <w:r w:rsidR="00DC6C59">
        <w:rPr>
          <w:rtl/>
        </w:rPr>
        <w:t xml:space="preserve"> </w:t>
      </w:r>
      <w:r w:rsidRPr="003520EF">
        <w:rPr>
          <w:rtl/>
        </w:rPr>
        <w:t>المكرسة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الاتفاقية،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الحقوق</w:t>
      </w:r>
      <w:r w:rsidR="00DC6C59">
        <w:rPr>
          <w:rtl/>
        </w:rPr>
        <w:t xml:space="preserve"> </w:t>
      </w:r>
      <w:r w:rsidRPr="003520EF">
        <w:rPr>
          <w:rtl/>
        </w:rPr>
        <w:t>النقابية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3520EF">
        <w:rPr>
          <w:rtl/>
        </w:rPr>
        <w:t>)(ج)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والتمتع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شرط</w:t>
      </w:r>
      <w:r w:rsidR="00DC6C59">
        <w:rPr>
          <w:rtl/>
        </w:rPr>
        <w:t xml:space="preserve"> </w:t>
      </w:r>
      <w:r w:rsidRPr="003520EF">
        <w:rPr>
          <w:rtl/>
        </w:rPr>
        <w:t>مسبق</w:t>
      </w:r>
      <w:r w:rsidR="00DC6C59">
        <w:rPr>
          <w:rtl/>
        </w:rPr>
        <w:t xml:space="preserve"> </w:t>
      </w:r>
      <w:r w:rsidRPr="003520EF">
        <w:rPr>
          <w:rtl/>
        </w:rPr>
        <w:t>ونتيجة</w:t>
      </w:r>
      <w:r w:rsidR="00DC6C59">
        <w:rPr>
          <w:rtl/>
        </w:rPr>
        <w:t xml:space="preserve"> </w:t>
      </w:r>
      <w:r w:rsidRPr="003520EF">
        <w:rPr>
          <w:rtl/>
        </w:rPr>
        <w:t>للتمتع</w:t>
      </w:r>
      <w:r w:rsidR="00DC6C59">
        <w:rPr>
          <w:rtl/>
        </w:rPr>
        <w:t xml:space="preserve"> </w:t>
      </w:r>
      <w:r w:rsidRPr="003520EF">
        <w:rPr>
          <w:rtl/>
        </w:rPr>
        <w:t>بالحقوق</w:t>
      </w:r>
      <w:r w:rsidR="00DC6C59">
        <w:rPr>
          <w:rtl/>
        </w:rPr>
        <w:t xml:space="preserve"> </w:t>
      </w:r>
      <w:r w:rsidRPr="003520EF">
        <w:rPr>
          <w:rtl/>
        </w:rPr>
        <w:t>الأخرى</w:t>
      </w:r>
      <w:r w:rsidR="00DC6C59">
        <w:rPr>
          <w:rtl/>
        </w:rPr>
        <w:t xml:space="preserve"> </w:t>
      </w:r>
      <w:r w:rsidRPr="003520EF">
        <w:rPr>
          <w:rtl/>
        </w:rPr>
        <w:t>المنصوص</w:t>
      </w:r>
      <w:r w:rsidR="00DC6C59">
        <w:rPr>
          <w:rtl/>
        </w:rPr>
        <w:t xml:space="preserve"> </w:t>
      </w:r>
      <w:r w:rsidRPr="003520EF">
        <w:rPr>
          <w:rtl/>
        </w:rPr>
        <w:t>عليها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الاتفاقية،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مستوى</w:t>
      </w:r>
      <w:r w:rsidR="00DC6C59">
        <w:rPr>
          <w:rtl/>
        </w:rPr>
        <w:t xml:space="preserve"> </w:t>
      </w:r>
      <w:r w:rsidRPr="003520EF">
        <w:rPr>
          <w:rtl/>
        </w:rPr>
        <w:t>معيشة</w:t>
      </w:r>
      <w:r w:rsidR="00DC6C59">
        <w:rPr>
          <w:rtl/>
        </w:rPr>
        <w:t xml:space="preserve"> </w:t>
      </w:r>
      <w:r w:rsidRPr="003520EF">
        <w:rPr>
          <w:rtl/>
        </w:rPr>
        <w:t>لائق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Fonts w:hint="cs"/>
          <w:rtl/>
        </w:rPr>
        <w:t> </w:t>
      </w:r>
      <w:r w:rsidRPr="005170C9">
        <w:rPr>
          <w:rtl/>
        </w:rPr>
        <w:t>2</w:t>
      </w:r>
      <w:r w:rsidR="00DC6C59" w:rsidRPr="005170C9">
        <w:rPr>
          <w:rtl/>
        </w:rPr>
        <w:t>8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بأجر</w:t>
      </w:r>
      <w:r w:rsidR="00DC6C59">
        <w:rPr>
          <w:rtl/>
        </w:rPr>
        <w:t xml:space="preserve"> </w:t>
      </w:r>
      <w:r w:rsidRPr="003520EF">
        <w:rPr>
          <w:rtl/>
        </w:rPr>
        <w:t>لائق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5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</w:p>
    <w:p w14:paraId="6CA0AA93" w14:textId="444F51D6" w:rsidR="00EC13CA" w:rsidRPr="003520EF" w:rsidRDefault="00EC13CA" w:rsidP="00EC13CA">
      <w:pPr>
        <w:pStyle w:val="SingleTxtGA"/>
      </w:pPr>
      <w:r w:rsidRPr="005170C9">
        <w:rPr>
          <w:rtl/>
        </w:rPr>
        <w:t>26</w:t>
      </w:r>
      <w:r w:rsidRPr="003520EF">
        <w:rPr>
          <w:rtl/>
        </w:rPr>
        <w:t>-</w:t>
      </w:r>
      <w:r w:rsidRPr="003520EF">
        <w:rPr>
          <w:rtl/>
        </w:rPr>
        <w:tab/>
        <w:t>والحق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وملائمة</w:t>
      </w:r>
      <w:r w:rsidR="00DC6C59">
        <w:rPr>
          <w:rtl/>
        </w:rPr>
        <w:t xml:space="preserve"> </w:t>
      </w:r>
      <w:r w:rsidRPr="003520EF">
        <w:rPr>
          <w:rtl/>
        </w:rPr>
        <w:t>هو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لجميع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الأماكن،</w:t>
      </w:r>
      <w:r w:rsidR="00DC6C59">
        <w:rPr>
          <w:rtl/>
        </w:rPr>
        <w:t xml:space="preserve"> </w:t>
      </w:r>
      <w:r w:rsidRPr="003520EF">
        <w:rPr>
          <w:rtl/>
        </w:rPr>
        <w:t>بغض</w:t>
      </w:r>
      <w:r w:rsidR="00DC6C59">
        <w:rPr>
          <w:rtl/>
        </w:rPr>
        <w:t xml:space="preserve"> </w:t>
      </w:r>
      <w:r w:rsidRPr="003520EF">
        <w:rPr>
          <w:rtl/>
        </w:rPr>
        <w:t>النظر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نوع</w:t>
      </w:r>
      <w:r w:rsidR="00DC6C59">
        <w:rPr>
          <w:rtl/>
        </w:rPr>
        <w:t xml:space="preserve"> </w:t>
      </w:r>
      <w:r w:rsidRPr="003520EF">
        <w:rPr>
          <w:rtl/>
        </w:rPr>
        <w:t>الجنس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العمر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الخلفية</w:t>
      </w:r>
      <w:r w:rsidR="00DC6C59">
        <w:rPr>
          <w:rtl/>
        </w:rPr>
        <w:t xml:space="preserve"> </w:t>
      </w:r>
      <w:r w:rsidRPr="003520EF">
        <w:rPr>
          <w:rtl/>
        </w:rPr>
        <w:t>الثقافية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اللغوية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وضع</w:t>
      </w:r>
      <w:r w:rsidR="00DC6C59">
        <w:rPr>
          <w:rtl/>
        </w:rPr>
        <w:t xml:space="preserve"> </w:t>
      </w:r>
      <w:r w:rsidRPr="003520EF">
        <w:rPr>
          <w:rtl/>
        </w:rPr>
        <w:t>المهاجر،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476B81">
        <w:rPr>
          <w:rFonts w:hint="cs"/>
          <w:rtl/>
        </w:rPr>
        <w:t> </w:t>
      </w:r>
      <w:r w:rsidRPr="003520EF">
        <w:rPr>
          <w:rtl/>
        </w:rPr>
        <w:t>ما</w:t>
      </w:r>
      <w:r w:rsidR="00476B81">
        <w:rPr>
          <w:rFonts w:hint="cs"/>
          <w:rtl/>
        </w:rPr>
        <w:t> </w:t>
      </w:r>
      <w:r w:rsidRPr="003520EF">
        <w:rPr>
          <w:rtl/>
        </w:rPr>
        <w:t>إذا</w:t>
      </w:r>
      <w:r w:rsidR="00DC6C59">
        <w:rPr>
          <w:rtl/>
        </w:rPr>
        <w:t xml:space="preserve"> </w:t>
      </w:r>
      <w:r w:rsidRPr="003520EF">
        <w:rPr>
          <w:rtl/>
        </w:rPr>
        <w:t>كانوا</w:t>
      </w:r>
      <w:r w:rsidR="00DC6C59">
        <w:rPr>
          <w:rtl/>
        </w:rPr>
        <w:t xml:space="preserve"> </w:t>
      </w:r>
      <w:r w:rsidRPr="003520EF">
        <w:rPr>
          <w:rtl/>
        </w:rPr>
        <w:t>يعملون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القطاعين</w:t>
      </w:r>
      <w:r w:rsidR="00DC6C59">
        <w:rPr>
          <w:rtl/>
        </w:rPr>
        <w:t xml:space="preserve"> </w:t>
      </w:r>
      <w:r w:rsidRPr="003520EF">
        <w:rPr>
          <w:rtl/>
        </w:rPr>
        <w:t>الرسمي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الرسمي،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يعملون</w:t>
      </w:r>
      <w:r w:rsidR="00DC6C59">
        <w:rPr>
          <w:rtl/>
        </w:rPr>
        <w:t xml:space="preserve"> </w:t>
      </w:r>
      <w:r w:rsidRPr="003520EF">
        <w:rPr>
          <w:rtl/>
        </w:rPr>
        <w:t>لحسابهم</w:t>
      </w:r>
      <w:r w:rsidR="00DC6C59">
        <w:rPr>
          <w:rtl/>
        </w:rPr>
        <w:t xml:space="preserve"> </w:t>
      </w:r>
      <w:r w:rsidRPr="003520EF">
        <w:rPr>
          <w:rtl/>
        </w:rPr>
        <w:t>الخاص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يعملون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الزراعي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المناطق</w:t>
      </w:r>
      <w:r w:rsidR="00DC6C59">
        <w:rPr>
          <w:rtl/>
        </w:rPr>
        <w:t xml:space="preserve"> </w:t>
      </w:r>
      <w:r w:rsidRPr="003520EF">
        <w:rPr>
          <w:rtl/>
        </w:rPr>
        <w:t>الريفية</w:t>
      </w:r>
      <w:r w:rsidR="00DC6C59">
        <w:rPr>
          <w:rtl/>
        </w:rPr>
        <w:t xml:space="preserve"> </w:t>
      </w:r>
      <w:r w:rsidRPr="003520EF">
        <w:rPr>
          <w:rtl/>
        </w:rPr>
        <w:t>والنائية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6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وعلاوة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ذلك،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وملاءمة</w:t>
      </w:r>
      <w:r w:rsidR="00DC6C59">
        <w:rPr>
          <w:rtl/>
        </w:rPr>
        <w:t xml:space="preserve"> </w:t>
      </w:r>
      <w:r w:rsidRPr="003520EF">
        <w:rPr>
          <w:rtl/>
        </w:rPr>
        <w:t>يستوجب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تبرير</w:t>
      </w:r>
      <w:r w:rsidR="00DC6C59">
        <w:rPr>
          <w:rtl/>
        </w:rPr>
        <w:t xml:space="preserve"> </w:t>
      </w:r>
      <w:r w:rsidRPr="003520EF">
        <w:rPr>
          <w:rtl/>
        </w:rPr>
        <w:t>دفع</w:t>
      </w:r>
      <w:r w:rsidR="00DC6C59">
        <w:rPr>
          <w:rtl/>
        </w:rPr>
        <w:t xml:space="preserve"> </w:t>
      </w:r>
      <w:r w:rsidRPr="003520EF">
        <w:rPr>
          <w:rtl/>
        </w:rPr>
        <w:t>أجر</w:t>
      </w:r>
      <w:r w:rsidR="00DC6C59">
        <w:rPr>
          <w:rtl/>
        </w:rPr>
        <w:t xml:space="preserve"> </w:t>
      </w:r>
      <w:r w:rsidRPr="003520EF">
        <w:rPr>
          <w:rtl/>
        </w:rPr>
        <w:t>يقل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الحد</w:t>
      </w:r>
      <w:r w:rsidR="00DC6C59">
        <w:rPr>
          <w:rtl/>
        </w:rPr>
        <w:t xml:space="preserve"> </w:t>
      </w:r>
      <w:r w:rsidRPr="003520EF">
        <w:rPr>
          <w:rtl/>
        </w:rPr>
        <w:t>الأدنى</w:t>
      </w:r>
      <w:r w:rsidR="00DC6C59">
        <w:rPr>
          <w:rtl/>
        </w:rPr>
        <w:t xml:space="preserve"> </w:t>
      </w:r>
      <w:r w:rsidRPr="003520EF">
        <w:rPr>
          <w:rtl/>
        </w:rPr>
        <w:t>بالإعاقة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أي</w:t>
      </w:r>
      <w:r w:rsidR="00DC6C59">
        <w:rPr>
          <w:rtl/>
        </w:rPr>
        <w:t xml:space="preserve"> </w:t>
      </w:r>
      <w:r w:rsidRPr="003520EF">
        <w:rPr>
          <w:rtl/>
        </w:rPr>
        <w:t>ظرف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الظروف.</w:t>
      </w:r>
    </w:p>
    <w:p w14:paraId="6ABCBC0A" w14:textId="745E1FEA" w:rsidR="00EC13CA" w:rsidRPr="003520EF" w:rsidRDefault="00EC13CA" w:rsidP="00EC13CA">
      <w:pPr>
        <w:pStyle w:val="SingleTxtGA"/>
      </w:pPr>
      <w:r w:rsidRPr="005170C9">
        <w:rPr>
          <w:rtl/>
        </w:rPr>
        <w:t>27</w:t>
      </w:r>
      <w:r w:rsidRPr="003520EF">
        <w:rPr>
          <w:rtl/>
        </w:rPr>
        <w:t>-</w:t>
      </w:r>
      <w:r w:rsidRPr="003520EF">
        <w:rPr>
          <w:rtl/>
        </w:rPr>
        <w:tab/>
        <w:t>وتشمل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العادلة</w:t>
      </w:r>
      <w:r w:rsidR="00DC6C59">
        <w:rPr>
          <w:rtl/>
        </w:rPr>
        <w:t xml:space="preserve"> </w:t>
      </w:r>
      <w:r w:rsidRPr="003520EF">
        <w:rPr>
          <w:rtl/>
        </w:rPr>
        <w:t>والملائمة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الاستحقاقات</w:t>
      </w:r>
      <w:r w:rsidR="00DC6C59">
        <w:rPr>
          <w:rtl/>
        </w:rPr>
        <w:t xml:space="preserve"> </w:t>
      </w:r>
      <w:r w:rsidRPr="003520EF">
        <w:rPr>
          <w:rtl/>
        </w:rPr>
        <w:t>وأشكال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يتمتع</w:t>
      </w:r>
      <w:r w:rsidR="00DC6C59">
        <w:rPr>
          <w:rtl/>
        </w:rPr>
        <w:t xml:space="preserve"> </w:t>
      </w:r>
      <w:r w:rsidRPr="003520EF">
        <w:rPr>
          <w:rtl/>
        </w:rPr>
        <w:t>بها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الآخرون،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صندوق</w:t>
      </w:r>
      <w:r w:rsidR="00DC6C59">
        <w:rPr>
          <w:rtl/>
        </w:rPr>
        <w:t xml:space="preserve"> </w:t>
      </w:r>
      <w:r w:rsidRPr="003520EF">
        <w:rPr>
          <w:rtl/>
        </w:rPr>
        <w:t>استحقاقات</w:t>
      </w:r>
      <w:r w:rsidR="00DC6C59">
        <w:rPr>
          <w:rtl/>
        </w:rPr>
        <w:t xml:space="preserve"> </w:t>
      </w:r>
      <w:r w:rsidRPr="003520EF">
        <w:rPr>
          <w:rtl/>
        </w:rPr>
        <w:t>التقاعد،</w:t>
      </w:r>
      <w:r w:rsidR="00DC6C59">
        <w:rPr>
          <w:rtl/>
        </w:rPr>
        <w:t xml:space="preserve"> </w:t>
      </w:r>
      <w:r w:rsidRPr="003520EF">
        <w:rPr>
          <w:rtl/>
        </w:rPr>
        <w:t>والإجازات</w:t>
      </w:r>
      <w:r w:rsidR="00DC6C59">
        <w:rPr>
          <w:rtl/>
        </w:rPr>
        <w:t xml:space="preserve"> </w:t>
      </w:r>
      <w:r w:rsidRPr="003520EF">
        <w:rPr>
          <w:rtl/>
        </w:rPr>
        <w:t>المرضية،</w:t>
      </w:r>
      <w:r w:rsidR="00DC6C59">
        <w:rPr>
          <w:rtl/>
        </w:rPr>
        <w:t xml:space="preserve"> </w:t>
      </w:r>
      <w:r w:rsidRPr="003520EF">
        <w:rPr>
          <w:rtl/>
        </w:rPr>
        <w:t>وإجازة</w:t>
      </w:r>
      <w:r w:rsidR="00DC6C59">
        <w:rPr>
          <w:rtl/>
        </w:rPr>
        <w:t xml:space="preserve"> </w:t>
      </w:r>
      <w:r w:rsidRPr="003520EF">
        <w:rPr>
          <w:rtl/>
        </w:rPr>
        <w:t>الخدمة</w:t>
      </w:r>
      <w:r w:rsidR="00DC6C59">
        <w:rPr>
          <w:rtl/>
        </w:rPr>
        <w:t xml:space="preserve"> </w:t>
      </w:r>
      <w:r w:rsidRPr="003520EF">
        <w:rPr>
          <w:rtl/>
        </w:rPr>
        <w:t>الطويلة</w:t>
      </w:r>
      <w:r w:rsidR="00DC6C59">
        <w:rPr>
          <w:rtl/>
        </w:rPr>
        <w:t xml:space="preserve"> </w:t>
      </w:r>
      <w:r w:rsidRPr="003520EF">
        <w:rPr>
          <w:rtl/>
        </w:rPr>
        <w:t>الأمد،</w:t>
      </w:r>
      <w:r w:rsidR="00DC6C59">
        <w:rPr>
          <w:rtl/>
        </w:rPr>
        <w:t xml:space="preserve"> </w:t>
      </w:r>
      <w:r w:rsidRPr="003520EF">
        <w:rPr>
          <w:rtl/>
        </w:rPr>
        <w:t>والإجازة</w:t>
      </w:r>
      <w:r w:rsidR="00DC6C59">
        <w:rPr>
          <w:rtl/>
        </w:rPr>
        <w:t xml:space="preserve"> </w:t>
      </w:r>
      <w:r w:rsidRPr="003520EF">
        <w:rPr>
          <w:rtl/>
        </w:rPr>
        <w:t>الوالدية،</w:t>
      </w:r>
      <w:r w:rsidR="00DC6C59">
        <w:rPr>
          <w:rtl/>
        </w:rPr>
        <w:t xml:space="preserve"> </w:t>
      </w:r>
      <w:r w:rsidRPr="003520EF">
        <w:rPr>
          <w:rtl/>
        </w:rPr>
        <w:t>والترقية،</w:t>
      </w:r>
      <w:r w:rsidR="00DC6C59">
        <w:rPr>
          <w:rtl/>
        </w:rPr>
        <w:t xml:space="preserve"> </w:t>
      </w:r>
      <w:r w:rsidRPr="003520EF">
        <w:rPr>
          <w:rtl/>
        </w:rPr>
        <w:t>والراحة،</w:t>
      </w:r>
      <w:r w:rsidR="00DC6C59">
        <w:rPr>
          <w:rtl/>
        </w:rPr>
        <w:t xml:space="preserve"> </w:t>
      </w:r>
      <w:r w:rsidRPr="003520EF">
        <w:rPr>
          <w:rtl/>
        </w:rPr>
        <w:t>وأوقات</w:t>
      </w:r>
      <w:r w:rsidR="00DC6C59">
        <w:rPr>
          <w:rtl/>
        </w:rPr>
        <w:t xml:space="preserve"> </w:t>
      </w:r>
      <w:r w:rsidRPr="003520EF">
        <w:rPr>
          <w:rtl/>
        </w:rPr>
        <w:t>الفراغ،</w:t>
      </w:r>
      <w:r w:rsidR="00DC6C59">
        <w:rPr>
          <w:rtl/>
        </w:rPr>
        <w:t xml:space="preserve"> </w:t>
      </w:r>
      <w:r w:rsidRPr="003520EF">
        <w:rPr>
          <w:rtl/>
        </w:rPr>
        <w:t>والإجازات</w:t>
      </w:r>
      <w:r w:rsidR="00DC6C59">
        <w:rPr>
          <w:rtl/>
        </w:rPr>
        <w:t xml:space="preserve"> </w:t>
      </w:r>
      <w:r w:rsidRPr="003520EF">
        <w:rPr>
          <w:rtl/>
        </w:rPr>
        <w:t>الدورية</w:t>
      </w:r>
      <w:r w:rsidR="00DC6C59">
        <w:rPr>
          <w:rtl/>
        </w:rPr>
        <w:t xml:space="preserve"> </w:t>
      </w:r>
      <w:r w:rsidRPr="003520EF">
        <w:rPr>
          <w:rtl/>
        </w:rPr>
        <w:t>المدفوعة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7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</w:p>
    <w:p w14:paraId="6586C889" w14:textId="4484322B" w:rsidR="00EC13CA" w:rsidRPr="00DC6C59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28</w:t>
      </w:r>
      <w:r w:rsidRPr="00DC6C59">
        <w:rPr>
          <w:spacing w:val="-2"/>
          <w:rtl/>
        </w:rPr>
        <w:t>-</w:t>
      </w:r>
      <w:r w:rsidRPr="00DC6C59">
        <w:rPr>
          <w:spacing w:val="-2"/>
          <w:rtl/>
        </w:rPr>
        <w:tab/>
        <w:t>وللعمال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الحق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الحصول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أجر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متساو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العمال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الآخرين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عندما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يؤدون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نفس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الوظائف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وظائف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مماثلة.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وعلاوة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ذلك،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ينبغي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أيضا</w:t>
      </w:r>
      <w:r w:rsidR="00476B81">
        <w:rPr>
          <w:rFonts w:hint="cs"/>
          <w:spacing w:val="-2"/>
          <w:rtl/>
        </w:rPr>
        <w:t>ً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تكون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أجورهم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متساوية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حتى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عندما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يكون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عملهم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مختلفا</w:t>
      </w:r>
      <w:r w:rsidR="00476B81">
        <w:rPr>
          <w:rFonts w:hint="cs"/>
          <w:spacing w:val="-2"/>
          <w:rtl/>
        </w:rPr>
        <w:t>ً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تماما</w:t>
      </w:r>
      <w:r w:rsidR="00476B81">
        <w:rPr>
          <w:rFonts w:hint="cs"/>
          <w:spacing w:val="-2"/>
          <w:rtl/>
        </w:rPr>
        <w:t>ً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ولكنه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ذلك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متساوي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القيمة.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وينبغي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تكفل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الدول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الأطراف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عدم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إعفاء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أماكن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هي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بصدد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الانتقال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العمالة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المنفصلة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دفع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أجر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متساو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المتساوي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القيمة.</w:t>
      </w:r>
      <w:r w:rsidR="00DC6C59" w:rsidRPr="00DC6C59">
        <w:rPr>
          <w:spacing w:val="-2"/>
          <w:rtl/>
        </w:rPr>
        <w:t xml:space="preserve"> </w:t>
      </w:r>
    </w:p>
    <w:p w14:paraId="7EC8281A" w14:textId="27421A9C" w:rsidR="00EC13CA" w:rsidRPr="003520EF" w:rsidRDefault="00EC13CA" w:rsidP="00EC13CA">
      <w:pPr>
        <w:pStyle w:val="SingleTxtGA"/>
      </w:pPr>
      <w:r w:rsidRPr="005170C9">
        <w:rPr>
          <w:rtl/>
        </w:rPr>
        <w:lastRenderedPageBreak/>
        <w:t>29</w:t>
      </w:r>
      <w:r w:rsidRPr="003520EF">
        <w:rPr>
          <w:rtl/>
        </w:rPr>
        <w:t>-</w:t>
      </w:r>
      <w:r w:rsidRPr="003520EF">
        <w:rPr>
          <w:rtl/>
        </w:rPr>
        <w:tab/>
        <w:t>ويشمل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بيئة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آمنة</w:t>
      </w:r>
      <w:r w:rsidR="00DC6C59">
        <w:rPr>
          <w:rtl/>
        </w:rPr>
        <w:t xml:space="preserve"> </w:t>
      </w:r>
      <w:r w:rsidRPr="003520EF">
        <w:rPr>
          <w:rtl/>
        </w:rPr>
        <w:t>وصحية</w:t>
      </w:r>
      <w:r w:rsidR="00DC6C59">
        <w:rPr>
          <w:rtl/>
        </w:rPr>
        <w:t xml:space="preserve"> </w:t>
      </w:r>
      <w:r w:rsidRPr="003520EF">
        <w:rPr>
          <w:rtl/>
        </w:rPr>
        <w:t>شرط</w:t>
      </w:r>
      <w:r w:rsidR="00DC6C59">
        <w:rPr>
          <w:rtl/>
        </w:rPr>
        <w:t xml:space="preserve"> </w:t>
      </w:r>
      <w:r w:rsidRPr="003520EF">
        <w:rPr>
          <w:rtl/>
        </w:rPr>
        <w:t>وضع</w:t>
      </w:r>
      <w:r w:rsidR="00DC6C59">
        <w:rPr>
          <w:rtl/>
        </w:rPr>
        <w:t xml:space="preserve"> </w:t>
      </w:r>
      <w:r w:rsidRPr="003520EF">
        <w:rPr>
          <w:rtl/>
        </w:rPr>
        <w:t>سياسة</w:t>
      </w:r>
      <w:r w:rsidR="00DC6C59">
        <w:rPr>
          <w:rtl/>
        </w:rPr>
        <w:t xml:space="preserve"> </w:t>
      </w:r>
      <w:r w:rsidRPr="003520EF">
        <w:rPr>
          <w:rtl/>
        </w:rPr>
        <w:t>وطنية</w:t>
      </w:r>
      <w:r w:rsidR="00DC6C59">
        <w:rPr>
          <w:rtl/>
        </w:rPr>
        <w:t xml:space="preserve"> </w:t>
      </w:r>
      <w:r w:rsidRPr="003520EF">
        <w:rPr>
          <w:rtl/>
        </w:rPr>
        <w:t>منسجمة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الصحة</w:t>
      </w:r>
      <w:r w:rsidR="00DC6C59">
        <w:rPr>
          <w:rtl/>
        </w:rPr>
        <w:t xml:space="preserve"> </w:t>
      </w:r>
      <w:r w:rsidRPr="003520EF">
        <w:rPr>
          <w:rtl/>
        </w:rPr>
        <w:t>المهنية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والهدف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السياسة</w:t>
      </w:r>
      <w:r w:rsidR="00DC6C59">
        <w:rPr>
          <w:rtl/>
        </w:rPr>
        <w:t xml:space="preserve"> </w:t>
      </w:r>
      <w:r w:rsidRPr="003520EF">
        <w:rPr>
          <w:rtl/>
        </w:rPr>
        <w:t>هو</w:t>
      </w:r>
      <w:r w:rsidR="00DC6C59">
        <w:rPr>
          <w:rtl/>
        </w:rPr>
        <w:t xml:space="preserve"> </w:t>
      </w:r>
      <w:r w:rsidRPr="003520EF">
        <w:rPr>
          <w:rtl/>
        </w:rPr>
        <w:t>منع</w:t>
      </w:r>
      <w:r w:rsidR="00DC6C59">
        <w:rPr>
          <w:rtl/>
        </w:rPr>
        <w:t xml:space="preserve"> </w:t>
      </w:r>
      <w:r w:rsidRPr="003520EF">
        <w:rPr>
          <w:rtl/>
        </w:rPr>
        <w:t>الحوادث</w:t>
      </w:r>
      <w:r w:rsidR="00DC6C59">
        <w:rPr>
          <w:rtl/>
        </w:rPr>
        <w:t xml:space="preserve"> </w:t>
      </w:r>
      <w:r w:rsidRPr="003520EF">
        <w:rPr>
          <w:rtl/>
        </w:rPr>
        <w:t>والإصابات</w:t>
      </w:r>
      <w:r w:rsidR="00DC6C59">
        <w:rPr>
          <w:rtl/>
        </w:rPr>
        <w:t xml:space="preserve"> </w:t>
      </w:r>
      <w:r w:rsidRPr="003520EF">
        <w:rPr>
          <w:rtl/>
        </w:rPr>
        <w:t>الناشئة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المرتبطة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تحدث</w:t>
      </w:r>
      <w:r w:rsidR="00DC6C59">
        <w:rPr>
          <w:rtl/>
        </w:rPr>
        <w:t xml:space="preserve"> </w:t>
      </w:r>
      <w:r w:rsidRPr="003520EF">
        <w:rPr>
          <w:rtl/>
        </w:rPr>
        <w:t>أثناءه.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السياسة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العمال،</w:t>
      </w:r>
      <w:r w:rsidR="00DC6C59">
        <w:rPr>
          <w:rtl/>
        </w:rPr>
        <w:t xml:space="preserve"> </w:t>
      </w:r>
      <w:r w:rsidRPr="003520EF">
        <w:rPr>
          <w:rtl/>
        </w:rPr>
        <w:t>بمن</w:t>
      </w:r>
      <w:r w:rsidR="00DC6C59">
        <w:rPr>
          <w:rtl/>
        </w:rPr>
        <w:t xml:space="preserve"> </w:t>
      </w:r>
      <w:r w:rsidRPr="003520EF">
        <w:rPr>
          <w:rtl/>
        </w:rPr>
        <w:t>فيهم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كما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أولئك</w:t>
      </w:r>
      <w:r w:rsidR="00DC6C59">
        <w:rPr>
          <w:rtl/>
        </w:rPr>
        <w:t xml:space="preserve"> </w:t>
      </w:r>
      <w:r w:rsidRPr="003520EF">
        <w:rPr>
          <w:rtl/>
        </w:rPr>
        <w:t>الذين</w:t>
      </w:r>
      <w:r w:rsidR="00DC6C59">
        <w:rPr>
          <w:rtl/>
        </w:rPr>
        <w:t xml:space="preserve"> </w:t>
      </w:r>
      <w:r w:rsidRPr="003520EF">
        <w:rPr>
          <w:rtl/>
        </w:rPr>
        <w:t>يعملون</w:t>
      </w:r>
      <w:r w:rsidR="00DC6C59">
        <w:rPr>
          <w:rtl/>
        </w:rPr>
        <w:t xml:space="preserve"> </w:t>
      </w:r>
      <w:r w:rsidRPr="003520EF">
        <w:rPr>
          <w:rtl/>
        </w:rPr>
        <w:t>بعقود</w:t>
      </w:r>
      <w:r w:rsidR="00DC6C59">
        <w:rPr>
          <w:rtl/>
        </w:rPr>
        <w:t xml:space="preserve"> </w:t>
      </w:r>
      <w:r w:rsidRPr="003520EF">
        <w:rPr>
          <w:rtl/>
        </w:rPr>
        <w:t>قصيرة</w:t>
      </w:r>
      <w:r w:rsidR="00DC6C59">
        <w:rPr>
          <w:rtl/>
        </w:rPr>
        <w:t xml:space="preserve"> </w:t>
      </w:r>
      <w:r w:rsidRPr="003520EF">
        <w:rPr>
          <w:rtl/>
        </w:rPr>
        <w:t>الأجل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بعقود</w:t>
      </w:r>
      <w:r w:rsidR="00DC6C59">
        <w:rPr>
          <w:rtl/>
        </w:rPr>
        <w:t xml:space="preserve"> </w:t>
      </w:r>
      <w:r w:rsidRPr="003520EF">
        <w:rPr>
          <w:rtl/>
        </w:rPr>
        <w:t>طويلة</w:t>
      </w:r>
      <w:r w:rsidR="00DC6C59">
        <w:rPr>
          <w:rtl/>
        </w:rPr>
        <w:t xml:space="preserve"> </w:t>
      </w:r>
      <w:r w:rsidRPr="003520EF">
        <w:rPr>
          <w:rtl/>
        </w:rPr>
        <w:t>الأجل،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Fonts w:hint="cs"/>
          <w:rtl/>
        </w:rPr>
        <w:t> </w:t>
      </w:r>
      <w:r w:rsidRPr="003520EF">
        <w:rPr>
          <w:rtl/>
        </w:rPr>
        <w:t>يعملون</w:t>
      </w:r>
      <w:r w:rsidR="00DC6C59">
        <w:rPr>
          <w:rtl/>
        </w:rPr>
        <w:t xml:space="preserve"> </w:t>
      </w:r>
      <w:r w:rsidRPr="003520EF">
        <w:rPr>
          <w:rtl/>
        </w:rPr>
        <w:t>لبعض</w:t>
      </w:r>
      <w:r w:rsidR="00DC6C59">
        <w:rPr>
          <w:rtl/>
        </w:rPr>
        <w:t xml:space="preserve"> </w:t>
      </w:r>
      <w:r w:rsidRPr="003520EF">
        <w:rPr>
          <w:rtl/>
        </w:rPr>
        <w:t>الوقت،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يتمرنون،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يعملون</w:t>
      </w:r>
      <w:r w:rsidR="00DC6C59">
        <w:rPr>
          <w:rtl/>
        </w:rPr>
        <w:t xml:space="preserve"> </w:t>
      </w:r>
      <w:r w:rsidRPr="003520EF">
        <w:rPr>
          <w:rtl/>
        </w:rPr>
        <w:t>لحسابهم</w:t>
      </w:r>
      <w:r w:rsidR="00DC6C59">
        <w:rPr>
          <w:rtl/>
        </w:rPr>
        <w:t xml:space="preserve"> </w:t>
      </w:r>
      <w:r w:rsidRPr="003520EF">
        <w:rPr>
          <w:rtl/>
        </w:rPr>
        <w:t>الخاص،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هم</w:t>
      </w:r>
      <w:r w:rsidR="00DC6C59">
        <w:rPr>
          <w:rtl/>
        </w:rPr>
        <w:t xml:space="preserve"> </w:t>
      </w:r>
      <w:r w:rsidRPr="003520EF">
        <w:rPr>
          <w:rtl/>
        </w:rPr>
        <w:t>عمال</w:t>
      </w:r>
      <w:r w:rsidR="00DC6C59">
        <w:rPr>
          <w:rtl/>
        </w:rPr>
        <w:t xml:space="preserve"> </w:t>
      </w:r>
      <w:r w:rsidRPr="003520EF">
        <w:rPr>
          <w:rtl/>
        </w:rPr>
        <w:t>مهاجرون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يعملون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الرسمي.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لمنظمات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تشارك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صياغة</w:t>
      </w:r>
      <w:r w:rsidR="00DC6C59">
        <w:rPr>
          <w:rtl/>
        </w:rPr>
        <w:t xml:space="preserve"> </w:t>
      </w:r>
      <w:r w:rsidRPr="003520EF">
        <w:rPr>
          <w:rtl/>
        </w:rPr>
        <w:t>السياسة</w:t>
      </w:r>
      <w:r w:rsidR="00DC6C59">
        <w:rPr>
          <w:rtl/>
        </w:rPr>
        <w:t xml:space="preserve"> </w:t>
      </w:r>
      <w:r w:rsidRPr="003520EF">
        <w:rPr>
          <w:rtl/>
        </w:rPr>
        <w:t>الوطنية</w:t>
      </w:r>
      <w:r w:rsidR="00DC6C59">
        <w:rPr>
          <w:rtl/>
        </w:rPr>
        <w:t xml:space="preserve"> </w:t>
      </w:r>
      <w:r w:rsidRPr="003520EF">
        <w:rPr>
          <w:rtl/>
        </w:rPr>
        <w:t>وتنفيذها</w:t>
      </w:r>
      <w:r w:rsidR="00DC6C59">
        <w:rPr>
          <w:rtl/>
        </w:rPr>
        <w:t xml:space="preserve"> </w:t>
      </w:r>
      <w:r w:rsidRPr="003520EF">
        <w:rPr>
          <w:rtl/>
        </w:rPr>
        <w:t>واستعراضها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ألا</w:t>
      </w:r>
      <w:r w:rsidR="00DC6C59">
        <w:rPr>
          <w:rtl/>
        </w:rPr>
        <w:t xml:space="preserve"> </w:t>
      </w:r>
      <w:r w:rsidRPr="003520EF">
        <w:rPr>
          <w:rtl/>
        </w:rPr>
        <w:t>تسمح</w:t>
      </w:r>
      <w:r w:rsidR="00DC6C59">
        <w:rPr>
          <w:rtl/>
        </w:rPr>
        <w:t xml:space="preserve"> </w:t>
      </w:r>
      <w:r w:rsidRPr="003520EF">
        <w:rPr>
          <w:rtl/>
        </w:rPr>
        <w:t>السياسات</w:t>
      </w:r>
      <w:r w:rsidR="00DC6C59">
        <w:rPr>
          <w:rtl/>
        </w:rPr>
        <w:t xml:space="preserve"> </w:t>
      </w:r>
      <w:r w:rsidRPr="003520EF">
        <w:rPr>
          <w:rtl/>
        </w:rPr>
        <w:t>الوطنية</w:t>
      </w:r>
      <w:r w:rsidR="00DC6C59">
        <w:rPr>
          <w:rtl/>
        </w:rPr>
        <w:t xml:space="preserve"> </w:t>
      </w:r>
      <w:r w:rsidRPr="003520EF">
        <w:rPr>
          <w:rtl/>
        </w:rPr>
        <w:t>بالتمييز.</w:t>
      </w:r>
    </w:p>
    <w:p w14:paraId="5FB762B5" w14:textId="11DBCC0C" w:rsidR="00EC13CA" w:rsidRPr="003520EF" w:rsidRDefault="00EC13CA" w:rsidP="00EC13CA">
      <w:pPr>
        <w:pStyle w:val="SingleTxtGA"/>
      </w:pPr>
      <w:r w:rsidRPr="005170C9">
        <w:rPr>
          <w:rtl/>
        </w:rPr>
        <w:t>30</w:t>
      </w:r>
      <w:r w:rsidRPr="003520EF">
        <w:rPr>
          <w:rtl/>
        </w:rPr>
        <w:t>-</w:t>
      </w:r>
      <w:r w:rsidRPr="003520EF">
        <w:rPr>
          <w:rtl/>
        </w:rPr>
        <w:tab/>
        <w:t>وعلى</w:t>
      </w:r>
      <w:r w:rsidR="00DC6C59">
        <w:rPr>
          <w:rtl/>
        </w:rPr>
        <w:t xml:space="preserve"> </w:t>
      </w:r>
      <w:r w:rsidRPr="003520EF">
        <w:rPr>
          <w:rtl/>
        </w:rPr>
        <w:t>غرار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لاحظته</w:t>
      </w:r>
      <w:r w:rsidR="00DC6C59">
        <w:rPr>
          <w:rtl/>
        </w:rPr>
        <w:t xml:space="preserve"> </w:t>
      </w:r>
      <w:r w:rsidRPr="003520EF">
        <w:rPr>
          <w:rtl/>
        </w:rPr>
        <w:t>اللجنة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اجتهادها،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التحرش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تمتد</w:t>
      </w:r>
      <w:r w:rsidR="00DC6C59">
        <w:rPr>
          <w:rtl/>
        </w:rPr>
        <w:t xml:space="preserve"> </w:t>
      </w:r>
      <w:r w:rsidRPr="003520EF">
        <w:rPr>
          <w:rtl/>
        </w:rPr>
        <w:t>طوال</w:t>
      </w:r>
      <w:r w:rsidR="00DC6C59">
        <w:rPr>
          <w:rtl/>
        </w:rPr>
        <w:t xml:space="preserve"> </w:t>
      </w:r>
      <w:r w:rsidRPr="003520EF">
        <w:rPr>
          <w:rtl/>
        </w:rPr>
        <w:t>دورة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وتتطلب</w:t>
      </w:r>
      <w:r w:rsidR="00DC6C59">
        <w:rPr>
          <w:rtl/>
        </w:rPr>
        <w:t xml:space="preserve"> </w:t>
      </w:r>
      <w:r w:rsidRPr="003520EF">
        <w:rPr>
          <w:rtl/>
        </w:rPr>
        <w:t>سبل</w:t>
      </w:r>
      <w:r w:rsidR="00DC6C59">
        <w:rPr>
          <w:rtl/>
        </w:rPr>
        <w:t xml:space="preserve"> </w:t>
      </w:r>
      <w:r w:rsidRPr="003520EF">
        <w:rPr>
          <w:rtl/>
        </w:rPr>
        <w:t>انتصاف</w:t>
      </w:r>
      <w:r w:rsidR="00DC6C59">
        <w:rPr>
          <w:rtl/>
        </w:rPr>
        <w:t xml:space="preserve"> </w:t>
      </w:r>
      <w:r w:rsidRPr="003520EF">
        <w:rPr>
          <w:rtl/>
        </w:rPr>
        <w:t>فعالة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سن</w:t>
      </w:r>
      <w:r w:rsidR="00DC6C59">
        <w:rPr>
          <w:rtl/>
        </w:rPr>
        <w:t xml:space="preserve"> </w:t>
      </w:r>
      <w:r w:rsidRPr="003520EF">
        <w:rPr>
          <w:rtl/>
        </w:rPr>
        <w:t>وإنفاذ</w:t>
      </w:r>
      <w:r w:rsidR="00DC6C59">
        <w:rPr>
          <w:rtl/>
        </w:rPr>
        <w:t xml:space="preserve"> </w:t>
      </w:r>
      <w:r w:rsidRPr="003520EF">
        <w:rPr>
          <w:rtl/>
        </w:rPr>
        <w:t>تشريعات</w:t>
      </w:r>
      <w:r w:rsidR="00DC6C59">
        <w:rPr>
          <w:rtl/>
        </w:rPr>
        <w:t xml:space="preserve"> </w:t>
      </w:r>
      <w:r w:rsidRPr="003520EF">
        <w:rPr>
          <w:rtl/>
        </w:rPr>
        <w:t>محددة</w:t>
      </w:r>
      <w:r w:rsidR="00DC6C59">
        <w:rPr>
          <w:rtl/>
        </w:rPr>
        <w:t xml:space="preserve"> </w:t>
      </w:r>
      <w:r w:rsidRPr="003520EF">
        <w:rPr>
          <w:rtl/>
        </w:rPr>
        <w:t>وشاملة</w:t>
      </w:r>
      <w:r w:rsidR="00DC6C59">
        <w:rPr>
          <w:rtl/>
        </w:rPr>
        <w:t xml:space="preserve"> </w:t>
      </w:r>
      <w:r w:rsidRPr="003520EF">
        <w:rPr>
          <w:rtl/>
        </w:rPr>
        <w:t>لمكافحة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8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يكون</w:t>
      </w:r>
      <w:r w:rsidR="00DC6C59">
        <w:rPr>
          <w:rtl/>
        </w:rPr>
        <w:t xml:space="preserve"> </w:t>
      </w:r>
      <w:r w:rsidRPr="003520EF">
        <w:rPr>
          <w:rtl/>
        </w:rPr>
        <w:t>التشريع</w:t>
      </w:r>
      <w:r w:rsidR="00DC6C59">
        <w:rPr>
          <w:rtl/>
        </w:rPr>
        <w:t xml:space="preserve"> </w:t>
      </w:r>
      <w:r w:rsidRPr="003520EF">
        <w:rPr>
          <w:rtl/>
        </w:rPr>
        <w:t>مشفوعا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بسبل</w:t>
      </w:r>
      <w:r w:rsidR="00DC6C59">
        <w:rPr>
          <w:rtl/>
        </w:rPr>
        <w:t xml:space="preserve"> </w:t>
      </w:r>
      <w:r w:rsidRPr="003520EF">
        <w:rPr>
          <w:rtl/>
        </w:rPr>
        <w:t>انتصاف</w:t>
      </w:r>
      <w:r w:rsidR="00DC6C59">
        <w:rPr>
          <w:rtl/>
        </w:rPr>
        <w:t xml:space="preserve"> </w:t>
      </w:r>
      <w:r w:rsidRPr="003520EF">
        <w:rPr>
          <w:rtl/>
        </w:rPr>
        <w:t>قانونية</w:t>
      </w:r>
      <w:r w:rsidR="00DC6C59">
        <w:rPr>
          <w:rtl/>
        </w:rPr>
        <w:t xml:space="preserve"> </w:t>
      </w:r>
      <w:r w:rsidRPr="003520EF">
        <w:rPr>
          <w:rtl/>
        </w:rPr>
        <w:t>وجزاءات</w:t>
      </w:r>
      <w:r w:rsidR="00DC6C59">
        <w:rPr>
          <w:rtl/>
        </w:rPr>
        <w:t xml:space="preserve"> </w:t>
      </w:r>
      <w:r w:rsidRPr="003520EF">
        <w:rPr>
          <w:rtl/>
        </w:rPr>
        <w:t>مناسبة</w:t>
      </w:r>
      <w:r w:rsidR="00DC6C59">
        <w:rPr>
          <w:rtl/>
        </w:rPr>
        <w:t xml:space="preserve"> </w:t>
      </w:r>
      <w:r w:rsidRPr="003520EF">
        <w:rPr>
          <w:rtl/>
        </w:rPr>
        <w:t>وفعالة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476B81">
        <w:rPr>
          <w:rFonts w:hint="cs"/>
          <w:rtl/>
        </w:rPr>
        <w:t> 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بالتمييز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الإجراءات</w:t>
      </w:r>
      <w:r w:rsidR="00DC6C59">
        <w:rPr>
          <w:rtl/>
        </w:rPr>
        <w:t xml:space="preserve"> </w:t>
      </w:r>
      <w:r w:rsidRPr="003520EF">
        <w:rPr>
          <w:rtl/>
        </w:rPr>
        <w:t>المدنية</w:t>
      </w:r>
      <w:r w:rsidR="00DC6C59">
        <w:rPr>
          <w:rtl/>
        </w:rPr>
        <w:t xml:space="preserve"> </w:t>
      </w:r>
      <w:r w:rsidRPr="003520EF">
        <w:rPr>
          <w:rtl/>
        </w:rPr>
        <w:t>والإدارية</w:t>
      </w:r>
      <w:r w:rsidR="00DC6C59">
        <w:rPr>
          <w:rtl/>
        </w:rPr>
        <w:t xml:space="preserve"> </w:t>
      </w:r>
      <w:r w:rsidRPr="003520EF">
        <w:rPr>
          <w:rtl/>
        </w:rPr>
        <w:t>والجنائية.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سبل</w:t>
      </w:r>
      <w:r w:rsidR="00DC6C59">
        <w:rPr>
          <w:rtl/>
        </w:rPr>
        <w:t xml:space="preserve"> </w:t>
      </w:r>
      <w:r w:rsidRPr="003520EF">
        <w:rPr>
          <w:rtl/>
        </w:rPr>
        <w:t>الانتصاف</w:t>
      </w:r>
      <w:r w:rsidR="00DC6C59">
        <w:rPr>
          <w:rtl/>
        </w:rPr>
        <w:t xml:space="preserve"> </w:t>
      </w:r>
      <w:r w:rsidRPr="003520EF">
        <w:rPr>
          <w:rtl/>
        </w:rPr>
        <w:t>الفردية</w:t>
      </w:r>
      <w:r w:rsidR="00DC6C59">
        <w:rPr>
          <w:rtl/>
        </w:rPr>
        <w:t xml:space="preserve"> </w:t>
      </w:r>
      <w:r w:rsidRPr="003520EF">
        <w:rPr>
          <w:rtl/>
        </w:rPr>
        <w:t>مشفوعة</w:t>
      </w:r>
      <w:r w:rsidR="00DC6C59">
        <w:rPr>
          <w:rtl/>
        </w:rPr>
        <w:t xml:space="preserve"> </w:t>
      </w:r>
      <w:r w:rsidRPr="003520EF">
        <w:rPr>
          <w:rtl/>
        </w:rPr>
        <w:t>بتغييرات</w:t>
      </w:r>
      <w:r w:rsidR="00DC6C59">
        <w:rPr>
          <w:rtl/>
        </w:rPr>
        <w:t xml:space="preserve"> </w:t>
      </w:r>
      <w:r w:rsidRPr="003520EF">
        <w:rPr>
          <w:rtl/>
        </w:rPr>
        <w:t>فعالة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لمنع</w:t>
      </w:r>
      <w:r w:rsidR="00DC6C59">
        <w:rPr>
          <w:rtl/>
        </w:rPr>
        <w:t xml:space="preserve"> </w:t>
      </w:r>
      <w:r w:rsidRPr="003520EF">
        <w:rPr>
          <w:rtl/>
        </w:rPr>
        <w:t>الانتهاكات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المستقبل.</w:t>
      </w:r>
      <w:r w:rsidR="00DC6C59">
        <w:rPr>
          <w:rtl/>
        </w:rPr>
        <w:t xml:space="preserve"> </w:t>
      </w:r>
    </w:p>
    <w:p w14:paraId="19529DF0" w14:textId="277B7706" w:rsidR="00EC13CA" w:rsidRPr="005170C9" w:rsidRDefault="00EC13CA" w:rsidP="00EC13CA">
      <w:pPr>
        <w:pStyle w:val="H1GA"/>
      </w:pPr>
      <w:r w:rsidRPr="005170C9">
        <w:rPr>
          <w:rtl/>
        </w:rPr>
        <w:tab/>
        <w:t>دال-</w:t>
      </w:r>
      <w:r w:rsidRPr="005170C9">
        <w:rPr>
          <w:rtl/>
        </w:rPr>
        <w:tab/>
        <w:t>الحقوق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العمالية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والنقابية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27(1)(ج))</w:t>
      </w:r>
    </w:p>
    <w:p w14:paraId="26FC8B08" w14:textId="1779F266" w:rsidR="00DC6C59" w:rsidRPr="00DC6C59" w:rsidRDefault="00EC13CA" w:rsidP="00EC13CA">
      <w:pPr>
        <w:pStyle w:val="SingleTxtGA"/>
      </w:pPr>
      <w:r w:rsidRPr="005170C9">
        <w:rPr>
          <w:rtl/>
        </w:rPr>
        <w:t>31</w:t>
      </w:r>
      <w:r w:rsidRPr="003520EF">
        <w:rPr>
          <w:rtl/>
        </w:rPr>
        <w:t>-</w:t>
      </w:r>
      <w:r w:rsidRPr="003520EF">
        <w:rPr>
          <w:rtl/>
        </w:rPr>
        <w:tab/>
        <w:t>تشكّل</w:t>
      </w:r>
      <w:r w:rsidR="00DC6C59">
        <w:rPr>
          <w:rtl/>
        </w:rPr>
        <w:t xml:space="preserve"> </w:t>
      </w:r>
      <w:r w:rsidRPr="003520EF">
        <w:rPr>
          <w:rtl/>
        </w:rPr>
        <w:t>الحقوق</w:t>
      </w:r>
      <w:r w:rsidR="00DC6C59">
        <w:rPr>
          <w:rtl/>
        </w:rPr>
        <w:t xml:space="preserve"> </w:t>
      </w:r>
      <w:r w:rsidRPr="003520EF">
        <w:rPr>
          <w:rtl/>
        </w:rPr>
        <w:t>النقابية</w:t>
      </w:r>
      <w:r w:rsidR="00DC6C59">
        <w:rPr>
          <w:rtl/>
        </w:rPr>
        <w:t xml:space="preserve"> </w:t>
      </w:r>
      <w:r w:rsidRPr="003520EF">
        <w:rPr>
          <w:rtl/>
        </w:rPr>
        <w:t>وحرية</w:t>
      </w:r>
      <w:r w:rsidR="00DC6C59">
        <w:rPr>
          <w:rtl/>
        </w:rPr>
        <w:t xml:space="preserve"> </w:t>
      </w:r>
      <w:r w:rsidRPr="003520EF">
        <w:rPr>
          <w:rtl/>
        </w:rPr>
        <w:t>تكوين</w:t>
      </w:r>
      <w:r w:rsidR="00DC6C59">
        <w:rPr>
          <w:rtl/>
        </w:rPr>
        <w:t xml:space="preserve"> </w:t>
      </w:r>
      <w:r w:rsidRPr="003520EF">
        <w:rPr>
          <w:rtl/>
        </w:rPr>
        <w:t>الجمعيات</w:t>
      </w:r>
      <w:r w:rsidR="00DC6C59">
        <w:rPr>
          <w:rtl/>
        </w:rPr>
        <w:t xml:space="preserve"> </w:t>
      </w:r>
      <w:r w:rsidRPr="003520EF">
        <w:rPr>
          <w:rtl/>
        </w:rPr>
        <w:t>والحق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الإضراب</w:t>
      </w:r>
      <w:r w:rsidR="00DC6C59">
        <w:rPr>
          <w:rtl/>
        </w:rPr>
        <w:t xml:space="preserve"> </w:t>
      </w:r>
      <w:r w:rsidRPr="003520EF">
        <w:rPr>
          <w:rtl/>
        </w:rPr>
        <w:t>سبلاً</w:t>
      </w:r>
      <w:r w:rsidR="00DC6C59">
        <w:rPr>
          <w:rtl/>
        </w:rPr>
        <w:t xml:space="preserve"> </w:t>
      </w:r>
      <w:r w:rsidRPr="003520EF">
        <w:rPr>
          <w:rtl/>
        </w:rPr>
        <w:t>بالغة</w:t>
      </w:r>
      <w:r w:rsidR="00DC6C59">
        <w:rPr>
          <w:rtl/>
        </w:rPr>
        <w:t xml:space="preserve"> </w:t>
      </w:r>
      <w:r w:rsidRPr="003520EF">
        <w:rPr>
          <w:rtl/>
        </w:rPr>
        <w:t>الأهمية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الأخذ</w:t>
      </w:r>
      <w:r w:rsidR="00DC6C59">
        <w:rPr>
          <w:rtl/>
        </w:rPr>
        <w:t xml:space="preserve"> </w:t>
      </w:r>
      <w:r w:rsidRPr="003520EF">
        <w:rPr>
          <w:rtl/>
        </w:rPr>
        <w:t>بشروط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وملائمة</w:t>
      </w:r>
      <w:r w:rsidR="00DC6C59">
        <w:rPr>
          <w:rtl/>
        </w:rPr>
        <w:t xml:space="preserve"> </w:t>
      </w:r>
      <w:r w:rsidRPr="003520EF">
        <w:rPr>
          <w:rtl/>
        </w:rPr>
        <w:t>والحفاظ</w:t>
      </w:r>
      <w:r w:rsidR="00DC6C59">
        <w:rPr>
          <w:rtl/>
        </w:rPr>
        <w:t xml:space="preserve"> </w:t>
      </w:r>
      <w:r w:rsidRPr="003520EF">
        <w:rPr>
          <w:rtl/>
        </w:rPr>
        <w:t>عليها</w:t>
      </w:r>
      <w:r w:rsidR="00DC6C59">
        <w:rPr>
          <w:rtl/>
        </w:rPr>
        <w:t xml:space="preserve"> </w:t>
      </w:r>
      <w:r w:rsidRPr="003520EF">
        <w:rPr>
          <w:rtl/>
        </w:rPr>
        <w:t>والدفاع</w:t>
      </w:r>
      <w:r w:rsidR="00DC6C59">
        <w:rPr>
          <w:rtl/>
        </w:rPr>
        <w:t xml:space="preserve"> </w:t>
      </w:r>
      <w:r w:rsidRPr="003520EF">
        <w:rPr>
          <w:rtl/>
        </w:rPr>
        <w:t>عنها.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تقبل</w:t>
      </w:r>
      <w:r w:rsidR="00DC6C59">
        <w:rPr>
          <w:rtl/>
        </w:rPr>
        <w:t xml:space="preserve"> </w:t>
      </w:r>
      <w:r w:rsidRPr="003520EF">
        <w:rPr>
          <w:rtl/>
        </w:rPr>
        <w:t>النقابات</w:t>
      </w:r>
      <w:r w:rsidR="00DC6C59">
        <w:rPr>
          <w:rtl/>
        </w:rPr>
        <w:t xml:space="preserve"> </w:t>
      </w:r>
      <w:r w:rsidRPr="003520EF">
        <w:rPr>
          <w:rtl/>
        </w:rPr>
        <w:t>العمالية</w:t>
      </w:r>
      <w:r w:rsidR="00DC6C59">
        <w:rPr>
          <w:rtl/>
        </w:rPr>
        <w:t xml:space="preserve"> </w:t>
      </w:r>
      <w:r w:rsidRPr="003520EF">
        <w:rPr>
          <w:rtl/>
        </w:rPr>
        <w:t>المشاركة</w:t>
      </w:r>
      <w:r w:rsidR="00DC6C59">
        <w:rPr>
          <w:rtl/>
        </w:rPr>
        <w:t xml:space="preserve"> </w:t>
      </w:r>
      <w:r w:rsidRPr="003520EF">
        <w:rPr>
          <w:rtl/>
        </w:rPr>
        <w:t>الكاملة</w:t>
      </w:r>
      <w:r w:rsidR="00DC6C59">
        <w:rPr>
          <w:rtl/>
        </w:rPr>
        <w:t xml:space="preserve"> </w:t>
      </w:r>
      <w:r w:rsidRPr="003520EF">
        <w:rPr>
          <w:rtl/>
        </w:rPr>
        <w:t>والمجدية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</w:t>
      </w:r>
      <w:r w:rsidR="00DC6C59">
        <w:rPr>
          <w:rtl/>
        </w:rPr>
        <w:t xml:space="preserve"> </w:t>
      </w:r>
      <w:r w:rsidRPr="003520EF">
        <w:rPr>
          <w:rtl/>
        </w:rPr>
        <w:t>وتسمح</w:t>
      </w:r>
      <w:r w:rsidR="00DC6C59">
        <w:rPr>
          <w:rtl/>
        </w:rPr>
        <w:t xml:space="preserve"> </w:t>
      </w:r>
      <w:r w:rsidRPr="003520EF">
        <w:rPr>
          <w:rtl/>
        </w:rPr>
        <w:t>بها</w:t>
      </w:r>
      <w:r w:rsidR="00DC6C59">
        <w:rPr>
          <w:rtl/>
        </w:rPr>
        <w:t xml:space="preserve"> </w:t>
      </w:r>
      <w:r w:rsidRPr="003520EF">
        <w:rPr>
          <w:rtl/>
        </w:rPr>
        <w:t>وتتيحها.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تؤدي</w:t>
      </w:r>
      <w:r w:rsidR="00DC6C59">
        <w:rPr>
          <w:rtl/>
        </w:rPr>
        <w:t xml:space="preserve"> </w:t>
      </w:r>
      <w:r w:rsidRPr="003520EF">
        <w:rPr>
          <w:rtl/>
        </w:rPr>
        <w:t>النقابات</w:t>
      </w:r>
      <w:r w:rsidR="00DC6C59">
        <w:rPr>
          <w:rtl/>
        </w:rPr>
        <w:t xml:space="preserve"> </w:t>
      </w:r>
      <w:r w:rsidRPr="003520EF">
        <w:rPr>
          <w:rtl/>
        </w:rPr>
        <w:t>العمالية</w:t>
      </w:r>
      <w:r w:rsidR="00DC6C59">
        <w:rPr>
          <w:rtl/>
        </w:rPr>
        <w:t xml:space="preserve"> </w:t>
      </w:r>
      <w:r w:rsidRPr="003520EF">
        <w:rPr>
          <w:rtl/>
        </w:rPr>
        <w:t>دورا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هاما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الدفاع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بمن</w:t>
      </w:r>
      <w:r w:rsidR="00DC6C59">
        <w:rPr>
          <w:rtl/>
        </w:rPr>
        <w:t xml:space="preserve"> </w:t>
      </w:r>
      <w:r w:rsidRPr="003520EF">
        <w:rPr>
          <w:rtl/>
        </w:rPr>
        <w:t>فيهم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الذين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يزالون</w:t>
      </w:r>
      <w:r w:rsidR="00DC6C59">
        <w:rPr>
          <w:rtl/>
        </w:rPr>
        <w:t xml:space="preserve"> </w:t>
      </w:r>
      <w:r w:rsidRPr="003520EF">
        <w:rPr>
          <w:rtl/>
        </w:rPr>
        <w:t>يعملون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وظائف</w:t>
      </w:r>
      <w:r w:rsidR="00DC6C59">
        <w:rPr>
          <w:rtl/>
        </w:rPr>
        <w:t xml:space="preserve"> </w:t>
      </w:r>
      <w:r w:rsidRPr="003520EF">
        <w:rPr>
          <w:rtl/>
        </w:rPr>
        <w:t>منفصلة.</w:t>
      </w:r>
      <w:r w:rsidR="00DC6C59">
        <w:rPr>
          <w:rtl/>
        </w:rPr>
        <w:t xml:space="preserve"> </w:t>
      </w:r>
      <w:r w:rsidRPr="003520EF">
        <w:rPr>
          <w:rtl/>
        </w:rPr>
        <w:t>ويقع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عاتق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التزام</w:t>
      </w:r>
      <w:r w:rsidR="00DC6C59">
        <w:rPr>
          <w:rtl/>
        </w:rPr>
        <w:t xml:space="preserve"> </w:t>
      </w:r>
      <w:r w:rsidRPr="003520EF">
        <w:rPr>
          <w:rtl/>
        </w:rPr>
        <w:t>بأن</w:t>
      </w:r>
      <w:r w:rsidR="00DC6C59">
        <w:rPr>
          <w:rtl/>
        </w:rPr>
        <w:t xml:space="preserve"> </w:t>
      </w:r>
      <w:r w:rsidRPr="003520EF">
        <w:rPr>
          <w:rtl/>
        </w:rPr>
        <w:t>تحترم</w:t>
      </w:r>
      <w:r w:rsidR="00DC6C59">
        <w:rPr>
          <w:rtl/>
        </w:rPr>
        <w:t xml:space="preserve"> </w:t>
      </w:r>
      <w:r w:rsidRPr="003520EF">
        <w:rPr>
          <w:rtl/>
        </w:rPr>
        <w:t>وتحمي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يضطلع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المدافعون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وغيرهم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أفراد</w:t>
      </w:r>
      <w:r w:rsidR="00DC6C59">
        <w:rPr>
          <w:rtl/>
        </w:rPr>
        <w:t xml:space="preserve"> </w:t>
      </w:r>
      <w:r w:rsidRPr="003520EF">
        <w:rPr>
          <w:rtl/>
        </w:rPr>
        <w:t>المجتمع</w:t>
      </w:r>
      <w:r w:rsidR="00DC6C59">
        <w:rPr>
          <w:rtl/>
        </w:rPr>
        <w:t xml:space="preserve"> </w:t>
      </w:r>
      <w:r w:rsidRPr="003520EF">
        <w:rPr>
          <w:rtl/>
        </w:rPr>
        <w:t>المدني،</w:t>
      </w:r>
      <w:r w:rsidR="00DC6C59">
        <w:rPr>
          <w:rtl/>
        </w:rPr>
        <w:t xml:space="preserve"> </w:t>
      </w:r>
      <w:r w:rsidRPr="003520EF">
        <w:rPr>
          <w:rtl/>
        </w:rPr>
        <w:t>وبخاصة</w:t>
      </w:r>
      <w:r w:rsidR="00DC6C59">
        <w:rPr>
          <w:rtl/>
        </w:rPr>
        <w:t xml:space="preserve"> </w:t>
      </w:r>
      <w:r w:rsidRPr="003520EF">
        <w:rPr>
          <w:rtl/>
        </w:rPr>
        <w:t>نقابات</w:t>
      </w:r>
      <w:r w:rsidR="00DC6C59">
        <w:rPr>
          <w:rtl/>
        </w:rPr>
        <w:t xml:space="preserve"> </w:t>
      </w:r>
      <w:r w:rsidRPr="003520EF">
        <w:rPr>
          <w:rtl/>
        </w:rPr>
        <w:t>العمال،</w:t>
      </w:r>
      <w:r w:rsidR="00DC6C59">
        <w:rPr>
          <w:rtl/>
        </w:rPr>
        <w:t xml:space="preserve"> </w:t>
      </w:r>
      <w:r w:rsidRPr="003520EF">
        <w:rPr>
          <w:rtl/>
        </w:rPr>
        <w:t>ممن</w:t>
      </w:r>
      <w:r w:rsidR="00DC6C59">
        <w:rPr>
          <w:rtl/>
        </w:rPr>
        <w:t xml:space="preserve"> </w:t>
      </w:r>
      <w:r w:rsidRPr="003520EF">
        <w:rPr>
          <w:rtl/>
        </w:rPr>
        <w:t>يساعدون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والفئات</w:t>
      </w:r>
      <w:r w:rsidR="00DC6C59">
        <w:rPr>
          <w:rtl/>
        </w:rPr>
        <w:t xml:space="preserve"> </w:t>
      </w:r>
      <w:r w:rsidRPr="003520EF">
        <w:rPr>
          <w:rtl/>
        </w:rPr>
        <w:t>المهمشة</w:t>
      </w:r>
      <w:r w:rsidR="00DC6C59">
        <w:rPr>
          <w:rtl/>
        </w:rPr>
        <w:t xml:space="preserve"> </w:t>
      </w:r>
      <w:r w:rsidRPr="003520EF">
        <w:rPr>
          <w:rtl/>
        </w:rPr>
        <w:t>الأخرى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إعمال</w:t>
      </w:r>
      <w:r w:rsidR="00DC6C59">
        <w:rPr>
          <w:rtl/>
        </w:rPr>
        <w:t xml:space="preserve"> </w:t>
      </w:r>
      <w:r w:rsidRPr="003520EF">
        <w:rPr>
          <w:rtl/>
        </w:rPr>
        <w:t>حقهم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29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</w:p>
    <w:p w14:paraId="36FEBC21" w14:textId="7BA7F4E1" w:rsidR="00EC13CA" w:rsidRPr="003520EF" w:rsidRDefault="00EC13CA" w:rsidP="00EC13CA">
      <w:pPr>
        <w:pStyle w:val="SingleTxtGA"/>
      </w:pPr>
      <w:r w:rsidRPr="005170C9">
        <w:rPr>
          <w:rtl/>
        </w:rPr>
        <w:t>32</w:t>
      </w:r>
      <w:r w:rsidRPr="003520EF">
        <w:rPr>
          <w:rtl/>
        </w:rPr>
        <w:t>-</w:t>
      </w:r>
      <w:r w:rsidRPr="003520EF">
        <w:rPr>
          <w:rtl/>
        </w:rPr>
        <w:tab/>
        <w:t>ويتطلب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عمالة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المشاركة</w:t>
      </w:r>
      <w:r w:rsidR="00DC6C59">
        <w:rPr>
          <w:rtl/>
        </w:rPr>
        <w:t xml:space="preserve"> </w:t>
      </w:r>
      <w:r w:rsidRPr="003520EF">
        <w:rPr>
          <w:rtl/>
        </w:rPr>
        <w:t>الفعالة</w:t>
      </w:r>
      <w:r w:rsidR="00DC6C59">
        <w:rPr>
          <w:rtl/>
        </w:rPr>
        <w:t xml:space="preserve"> </w:t>
      </w:r>
      <w:r w:rsidRPr="003520EF">
        <w:rPr>
          <w:rtl/>
        </w:rPr>
        <w:t>للنقابات</w:t>
      </w:r>
      <w:r w:rsidR="00DC6C59">
        <w:rPr>
          <w:rtl/>
        </w:rPr>
        <w:t xml:space="preserve"> </w:t>
      </w:r>
      <w:r w:rsidRPr="003520EF">
        <w:rPr>
          <w:rtl/>
        </w:rPr>
        <w:t>العمالية</w:t>
      </w:r>
      <w:r w:rsidR="00DC6C59">
        <w:rPr>
          <w:rtl/>
        </w:rPr>
        <w:t xml:space="preserve"> </w:t>
      </w:r>
      <w:r w:rsidRPr="003520EF">
        <w:rPr>
          <w:rtl/>
        </w:rPr>
        <w:t>وغيرها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الجمعيات</w:t>
      </w:r>
      <w:r w:rsidR="00DC6C59">
        <w:rPr>
          <w:rtl/>
        </w:rPr>
        <w:t xml:space="preserve"> </w:t>
      </w:r>
      <w:r w:rsidRPr="003520EF">
        <w:rPr>
          <w:rtl/>
        </w:rPr>
        <w:t>التمثيلية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تحمي</w:t>
      </w:r>
      <w:r w:rsidR="00DC6C59">
        <w:rPr>
          <w:rtl/>
        </w:rPr>
        <w:t xml:space="preserve"> </w:t>
      </w:r>
      <w:r w:rsidRPr="003520EF">
        <w:rPr>
          <w:rtl/>
        </w:rPr>
        <w:t>وتعزز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الأولويات</w:t>
      </w:r>
      <w:r w:rsidR="00DC6C59">
        <w:rPr>
          <w:rtl/>
        </w:rPr>
        <w:t xml:space="preserve"> </w:t>
      </w:r>
      <w:r w:rsidRPr="003520EF">
        <w:rPr>
          <w:rtl/>
        </w:rPr>
        <w:t>وصنع</w:t>
      </w:r>
      <w:r w:rsidR="00DC6C59">
        <w:rPr>
          <w:rtl/>
        </w:rPr>
        <w:t xml:space="preserve"> </w:t>
      </w:r>
      <w:r w:rsidRPr="003520EF">
        <w:rPr>
          <w:rtl/>
        </w:rPr>
        <w:t>القرار</w:t>
      </w:r>
      <w:r w:rsidR="00DC6C59">
        <w:rPr>
          <w:rtl/>
        </w:rPr>
        <w:t xml:space="preserve"> </w:t>
      </w:r>
      <w:r w:rsidRPr="003520EF">
        <w:rPr>
          <w:rtl/>
        </w:rPr>
        <w:t>والتخطيط</w:t>
      </w:r>
      <w:r w:rsidR="00DC6C59">
        <w:rPr>
          <w:rtl/>
        </w:rPr>
        <w:t xml:space="preserve"> </w:t>
      </w:r>
      <w:r w:rsidRPr="003520EF">
        <w:rPr>
          <w:rtl/>
        </w:rPr>
        <w:t>للاستراتيجيات</w:t>
      </w:r>
      <w:r w:rsidR="00DC6C59">
        <w:rPr>
          <w:rtl/>
        </w:rPr>
        <w:t xml:space="preserve"> </w:t>
      </w:r>
      <w:r w:rsidRPr="003520EF">
        <w:rPr>
          <w:rtl/>
        </w:rPr>
        <w:t>وتنفيذها</w:t>
      </w:r>
      <w:r w:rsidR="00DC6C59">
        <w:rPr>
          <w:rtl/>
        </w:rPr>
        <w:t xml:space="preserve"> </w:t>
      </w:r>
      <w:r w:rsidRPr="003520EF">
        <w:rPr>
          <w:rtl/>
        </w:rPr>
        <w:t>وتقييمها.</w:t>
      </w:r>
    </w:p>
    <w:p w14:paraId="6584198C" w14:textId="30793EF4" w:rsidR="00EC13CA" w:rsidRPr="003520EF" w:rsidRDefault="00EC13CA" w:rsidP="00EC13CA">
      <w:pPr>
        <w:pStyle w:val="SingleTxtGA"/>
      </w:pPr>
      <w:r w:rsidRPr="005170C9">
        <w:rPr>
          <w:rtl/>
        </w:rPr>
        <w:t>33</w:t>
      </w:r>
      <w:r w:rsidRPr="003520EF">
        <w:rPr>
          <w:rtl/>
        </w:rPr>
        <w:t>-</w:t>
      </w:r>
      <w:r w:rsidRPr="003520EF">
        <w:rPr>
          <w:rtl/>
        </w:rPr>
        <w:tab/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تحظر</w:t>
      </w:r>
      <w:r w:rsidR="00DC6C59">
        <w:rPr>
          <w:rtl/>
        </w:rPr>
        <w:t xml:space="preserve"> </w:t>
      </w:r>
      <w:r w:rsidRPr="003520EF">
        <w:rPr>
          <w:rtl/>
        </w:rPr>
        <w:t>قوانين</w:t>
      </w:r>
      <w:r w:rsidR="00DC6C59">
        <w:rPr>
          <w:rtl/>
        </w:rPr>
        <w:t xml:space="preserve"> </w:t>
      </w:r>
      <w:r w:rsidRPr="003520EF">
        <w:rPr>
          <w:rtl/>
        </w:rPr>
        <w:t>ومدونات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العامة</w:t>
      </w:r>
      <w:r w:rsidR="00DC6C59">
        <w:rPr>
          <w:rtl/>
        </w:rPr>
        <w:t xml:space="preserve"> </w:t>
      </w:r>
      <w:r w:rsidRPr="003520EF">
        <w:rPr>
          <w:rtl/>
        </w:rPr>
        <w:t>صراحة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تتضمن</w:t>
      </w:r>
      <w:r w:rsidR="00DC6C59">
        <w:rPr>
          <w:rtl/>
        </w:rPr>
        <w:t xml:space="preserve"> </w:t>
      </w:r>
      <w:r w:rsidRPr="003520EF">
        <w:rPr>
          <w:rtl/>
        </w:rPr>
        <w:t>المسؤولية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توعية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المنتمين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نقابات</w:t>
      </w:r>
      <w:r w:rsidR="00DC6C59">
        <w:rPr>
          <w:rtl/>
        </w:rPr>
        <w:t xml:space="preserve"> </w:t>
      </w:r>
      <w:r w:rsidRPr="003520EF">
        <w:rPr>
          <w:rtl/>
        </w:rPr>
        <w:t>وأرباب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ومؤسسات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توعية</w:t>
      </w:r>
      <w:r w:rsidR="00DC6C59">
        <w:rPr>
          <w:rtl/>
        </w:rPr>
        <w:t xml:space="preserve"> </w:t>
      </w:r>
      <w:r w:rsidRPr="003520EF">
        <w:rPr>
          <w:rtl/>
        </w:rPr>
        <w:t>تامة</w:t>
      </w:r>
      <w:r w:rsidR="00DC6C59">
        <w:rPr>
          <w:rtl/>
        </w:rPr>
        <w:t xml:space="preserve"> </w:t>
      </w:r>
      <w:r w:rsidRPr="003520EF">
        <w:rPr>
          <w:rtl/>
        </w:rPr>
        <w:t>بقضايا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وعدم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سياق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وعمالتهم.</w:t>
      </w:r>
    </w:p>
    <w:p w14:paraId="17D50EB7" w14:textId="5160F333" w:rsidR="00EC13CA" w:rsidRPr="003520EF" w:rsidRDefault="00EC13CA" w:rsidP="00EC13CA">
      <w:pPr>
        <w:pStyle w:val="SingleTxtGA"/>
      </w:pPr>
      <w:r w:rsidRPr="005170C9">
        <w:rPr>
          <w:rtl/>
        </w:rPr>
        <w:t>34</w:t>
      </w:r>
      <w:r w:rsidRPr="003520EF">
        <w:rPr>
          <w:rtl/>
        </w:rPr>
        <w:t>-</w:t>
      </w:r>
      <w:r w:rsidRPr="003520EF">
        <w:rPr>
          <w:rtl/>
        </w:rPr>
        <w:tab/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تحظر</w:t>
      </w:r>
      <w:r w:rsidR="00DC6C59">
        <w:rPr>
          <w:rtl/>
        </w:rPr>
        <w:t xml:space="preserve"> </w:t>
      </w:r>
      <w:r w:rsidRPr="003520EF">
        <w:rPr>
          <w:rtl/>
        </w:rPr>
        <w:t>ترتيبات</w:t>
      </w:r>
      <w:r w:rsidR="00DC6C59">
        <w:rPr>
          <w:rtl/>
        </w:rPr>
        <w:t xml:space="preserve"> </w:t>
      </w:r>
      <w:r w:rsidRPr="003520EF">
        <w:rPr>
          <w:rtl/>
        </w:rPr>
        <w:t>المفاوضة</w:t>
      </w:r>
      <w:r w:rsidR="00DC6C59">
        <w:rPr>
          <w:rtl/>
        </w:rPr>
        <w:t xml:space="preserve"> </w:t>
      </w:r>
      <w:r w:rsidRPr="003520EF">
        <w:rPr>
          <w:rtl/>
        </w:rPr>
        <w:t>الجماعية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وعندما</w:t>
      </w:r>
      <w:r w:rsidR="00DC6C59">
        <w:rPr>
          <w:rtl/>
        </w:rPr>
        <w:t xml:space="preserve"> </w:t>
      </w:r>
      <w:r w:rsidRPr="003520EF">
        <w:rPr>
          <w:rtl/>
        </w:rPr>
        <w:t>تحدد</w:t>
      </w:r>
      <w:r w:rsidR="00DC6C59">
        <w:rPr>
          <w:rtl/>
        </w:rPr>
        <w:t xml:space="preserve"> </w:t>
      </w:r>
      <w:r w:rsidRPr="003520EF">
        <w:rPr>
          <w:rtl/>
        </w:rPr>
        <w:t>ترتيبات</w:t>
      </w:r>
      <w:r w:rsidR="00DC6C59">
        <w:rPr>
          <w:rtl/>
        </w:rPr>
        <w:t xml:space="preserve"> </w:t>
      </w:r>
      <w:r w:rsidRPr="003520EF">
        <w:rPr>
          <w:rtl/>
        </w:rPr>
        <w:t>المفاوضة</w:t>
      </w:r>
      <w:r w:rsidR="00DC6C59">
        <w:rPr>
          <w:rtl/>
        </w:rPr>
        <w:t xml:space="preserve"> </w:t>
      </w:r>
      <w:r w:rsidRPr="003520EF">
        <w:rPr>
          <w:rtl/>
        </w:rPr>
        <w:t>الجماعية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يجب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يتضمن</w:t>
      </w:r>
      <w:r w:rsidR="00DC6C59">
        <w:rPr>
          <w:rtl/>
        </w:rPr>
        <w:t xml:space="preserve"> </w:t>
      </w:r>
      <w:r w:rsidRPr="003520EF">
        <w:rPr>
          <w:rtl/>
        </w:rPr>
        <w:t>الترتيب</w:t>
      </w:r>
      <w:r w:rsidR="00DC6C59">
        <w:rPr>
          <w:rtl/>
        </w:rPr>
        <w:t xml:space="preserve"> </w:t>
      </w:r>
      <w:r w:rsidRPr="003520EF">
        <w:rPr>
          <w:rtl/>
        </w:rPr>
        <w:t>آلية</w:t>
      </w:r>
      <w:r w:rsidR="00DC6C59">
        <w:rPr>
          <w:rtl/>
        </w:rPr>
        <w:t xml:space="preserve"> </w:t>
      </w:r>
      <w:r w:rsidRPr="003520EF">
        <w:rPr>
          <w:rtl/>
        </w:rPr>
        <w:t>يمكن</w:t>
      </w:r>
      <w:r w:rsidR="00DC6C59">
        <w:rPr>
          <w:rtl/>
        </w:rPr>
        <w:t xml:space="preserve"> </w:t>
      </w:r>
      <w:r w:rsidRPr="003520EF">
        <w:rPr>
          <w:rtl/>
        </w:rPr>
        <w:t>للأُجَراء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خلالها</w:t>
      </w:r>
      <w:r w:rsidR="00DC6C59">
        <w:rPr>
          <w:rtl/>
        </w:rPr>
        <w:t xml:space="preserve"> </w:t>
      </w:r>
      <w:r w:rsidRPr="003520EF">
        <w:rPr>
          <w:rtl/>
        </w:rPr>
        <w:t>التماس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المعقولة.</w:t>
      </w:r>
    </w:p>
    <w:p w14:paraId="63A249CF" w14:textId="1175BA9A" w:rsidR="00EC13CA" w:rsidRPr="005170C9" w:rsidRDefault="00EC13CA" w:rsidP="00EC13CA">
      <w:pPr>
        <w:pStyle w:val="H1GA"/>
      </w:pPr>
      <w:r w:rsidRPr="005170C9">
        <w:rPr>
          <w:rtl/>
        </w:rPr>
        <w:lastRenderedPageBreak/>
        <w:tab/>
        <w:t>هاء-</w:t>
      </w:r>
      <w:r w:rsidRPr="005170C9">
        <w:rPr>
          <w:rtl/>
        </w:rPr>
        <w:tab/>
        <w:t>الحصول</w:t>
      </w:r>
      <w:r w:rsidR="00DC6C59" w:rsidRPr="005170C9">
        <w:rPr>
          <w:rtl/>
        </w:rPr>
        <w:t xml:space="preserve"> </w:t>
      </w:r>
      <w:r w:rsidRPr="005170C9">
        <w:rPr>
          <w:rtl/>
        </w:rPr>
        <w:t>على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التوجيه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التقني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والمهني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وخدمات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التوظيف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والتدريب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27(1)(د))</w:t>
      </w:r>
    </w:p>
    <w:p w14:paraId="63F68767" w14:textId="1D3866D3" w:rsidR="00EC13CA" w:rsidRPr="003520EF" w:rsidRDefault="00EC13CA" w:rsidP="00EC13CA">
      <w:pPr>
        <w:pStyle w:val="SingleTxtGA"/>
      </w:pPr>
      <w:bookmarkStart w:id="17" w:name="_Hlk82966823"/>
      <w:r w:rsidRPr="005170C9">
        <w:rPr>
          <w:rtl/>
        </w:rPr>
        <w:t>35</w:t>
      </w:r>
      <w:r w:rsidRPr="003520EF">
        <w:rPr>
          <w:rtl/>
        </w:rPr>
        <w:t>-</w:t>
      </w:r>
      <w:r w:rsidRPr="003520EF">
        <w:rPr>
          <w:rtl/>
        </w:rPr>
        <w:tab/>
        <w:t>يلزم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دون</w:t>
      </w:r>
      <w:r w:rsidR="00DC6C59">
        <w:rPr>
          <w:rtl/>
        </w:rPr>
        <w:t xml:space="preserve"> </w:t>
      </w:r>
      <w:r w:rsidRPr="003520EF">
        <w:rPr>
          <w:rtl/>
        </w:rPr>
        <w:t>تمييز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خدمات</w:t>
      </w:r>
      <w:r w:rsidR="00DC6C59">
        <w:rPr>
          <w:rtl/>
        </w:rPr>
        <w:t xml:space="preserve"> </w:t>
      </w:r>
      <w:r w:rsidRPr="003520EF">
        <w:rPr>
          <w:rtl/>
        </w:rPr>
        <w:t>التوجيه</w:t>
      </w:r>
      <w:r w:rsidR="00DC6C59">
        <w:rPr>
          <w:rtl/>
        </w:rPr>
        <w:t xml:space="preserve"> </w:t>
      </w:r>
      <w:r w:rsidRPr="003520EF">
        <w:rPr>
          <w:rtl/>
        </w:rPr>
        <w:t>والتدريب</w:t>
      </w:r>
      <w:r w:rsidR="00DC6C59">
        <w:rPr>
          <w:rtl/>
        </w:rPr>
        <w:t xml:space="preserve"> </w:t>
      </w:r>
      <w:r w:rsidRPr="003520EF">
        <w:rPr>
          <w:rtl/>
        </w:rPr>
        <w:t>والتوظيف</w:t>
      </w:r>
      <w:r w:rsidR="00DC6C59">
        <w:rPr>
          <w:rtl/>
        </w:rPr>
        <w:t xml:space="preserve"> </w:t>
      </w:r>
      <w:r w:rsidRPr="003520EF">
        <w:rPr>
          <w:rtl/>
        </w:rPr>
        <w:t>التقنية</w:t>
      </w:r>
      <w:r w:rsidR="00DC6C59">
        <w:rPr>
          <w:rtl/>
        </w:rPr>
        <w:t xml:space="preserve"> </w:t>
      </w:r>
      <w:r w:rsidRPr="003520EF">
        <w:rPr>
          <w:rtl/>
        </w:rPr>
        <w:t>والمهنية</w:t>
      </w:r>
      <w:r w:rsidR="00DC6C59">
        <w:rPr>
          <w:rtl/>
        </w:rPr>
        <w:t xml:space="preserve"> </w:t>
      </w:r>
      <w:r w:rsidRPr="003520EF">
        <w:rPr>
          <w:rtl/>
        </w:rPr>
        <w:t>العامة،</w:t>
      </w:r>
      <w:r w:rsidR="00DC6C59">
        <w:rPr>
          <w:rtl/>
        </w:rPr>
        <w:t xml:space="preserve"> </w:t>
      </w:r>
      <w:r w:rsidRPr="003520EF">
        <w:rPr>
          <w:rtl/>
        </w:rPr>
        <w:t>سواء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الخاص،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إعمال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0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وتشجع</w:t>
      </w:r>
      <w:r w:rsidR="00DC6C59">
        <w:rPr>
          <w:rtl/>
        </w:rPr>
        <w:t xml:space="preserve"> </w:t>
      </w:r>
      <w:r w:rsidRPr="003520EF">
        <w:rPr>
          <w:rtl/>
        </w:rPr>
        <w:t>مشاركة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الخدمات</w:t>
      </w:r>
      <w:r w:rsidR="00DC6C59">
        <w:rPr>
          <w:rtl/>
        </w:rPr>
        <w:t xml:space="preserve"> </w:t>
      </w:r>
      <w:r w:rsidRPr="003520EF">
        <w:rPr>
          <w:rtl/>
        </w:rPr>
        <w:t>الرئيسية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الفصل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الخدمات</w:t>
      </w:r>
      <w:r w:rsidR="00DC6C59">
        <w:rPr>
          <w:rtl/>
        </w:rPr>
        <w:t xml:space="preserve"> </w:t>
      </w:r>
      <w:r w:rsidRPr="003520EF">
        <w:rPr>
          <w:rtl/>
        </w:rPr>
        <w:t>ووصول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خدمات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والتدريب</w:t>
      </w:r>
      <w:r w:rsidR="00DC6C59">
        <w:rPr>
          <w:rtl/>
        </w:rPr>
        <w:t xml:space="preserve"> </w:t>
      </w:r>
      <w:r w:rsidRPr="003520EF">
        <w:rPr>
          <w:rtl/>
        </w:rPr>
        <w:t>المهني</w:t>
      </w:r>
      <w:r w:rsidR="00DC6C59">
        <w:rPr>
          <w:rtl/>
        </w:rPr>
        <w:t xml:space="preserve"> </w:t>
      </w:r>
      <w:r w:rsidRPr="003520EF">
        <w:rPr>
          <w:rtl/>
        </w:rPr>
        <w:t>المفتوحة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1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وقد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الخدمات</w:t>
      </w:r>
      <w:r w:rsidR="00DC6C59">
        <w:rPr>
          <w:rtl/>
        </w:rPr>
        <w:t xml:space="preserve"> </w:t>
      </w:r>
      <w:r w:rsidRPr="003520EF">
        <w:rPr>
          <w:rtl/>
        </w:rPr>
        <w:t>ملائمة</w:t>
      </w:r>
      <w:r w:rsidR="00DC6C59">
        <w:rPr>
          <w:rtl/>
        </w:rPr>
        <w:t xml:space="preserve"> </w:t>
      </w:r>
      <w:r w:rsidRPr="003520EF">
        <w:rPr>
          <w:rtl/>
        </w:rPr>
        <w:t>للدخول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أثناء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للانتقال</w:t>
      </w:r>
      <w:r w:rsidR="00DC6C59">
        <w:rPr>
          <w:rtl/>
        </w:rPr>
        <w:t xml:space="preserve"> </w:t>
      </w:r>
      <w:r w:rsidRPr="003520EF">
        <w:rPr>
          <w:rtl/>
        </w:rPr>
        <w:t>بين</w:t>
      </w:r>
      <w:r w:rsidR="00DC6C59">
        <w:rPr>
          <w:rtl/>
        </w:rPr>
        <w:t xml:space="preserve"> </w:t>
      </w:r>
      <w:r w:rsidRPr="003520EF">
        <w:rPr>
          <w:rtl/>
        </w:rPr>
        <w:t>الأدوار.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تتخذ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التصديق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القدرات</w:t>
      </w:r>
      <w:r w:rsidR="00DC6C59">
        <w:rPr>
          <w:rtl/>
        </w:rPr>
        <w:t xml:space="preserve"> </w:t>
      </w:r>
      <w:r w:rsidRPr="003520EF">
        <w:rPr>
          <w:rtl/>
        </w:rPr>
        <w:t>والتحصيل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وإدراج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صراحة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التشريعات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تتناول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المهني،</w:t>
      </w:r>
      <w:r w:rsidR="00DC6C59">
        <w:rPr>
          <w:rtl/>
        </w:rPr>
        <w:t xml:space="preserve"> </w:t>
      </w:r>
      <w:r w:rsidRPr="003520EF">
        <w:rPr>
          <w:rtl/>
        </w:rPr>
        <w:t>والإشارة</w:t>
      </w:r>
      <w:r w:rsidR="00DC6C59">
        <w:rPr>
          <w:rtl/>
        </w:rPr>
        <w:t xml:space="preserve"> </w:t>
      </w:r>
      <w:r w:rsidRPr="003520EF">
        <w:rPr>
          <w:rtl/>
        </w:rPr>
        <w:t>الصريحة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السياسات</w:t>
      </w:r>
      <w:r w:rsidR="00DC6C59">
        <w:rPr>
          <w:rtl/>
        </w:rPr>
        <w:t xml:space="preserve"> </w:t>
      </w:r>
      <w:r w:rsidRPr="003520EF">
        <w:rPr>
          <w:rtl/>
        </w:rPr>
        <w:t>العامة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تنظم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المهني،</w:t>
      </w:r>
      <w:r w:rsidR="00DC6C59">
        <w:rPr>
          <w:rtl/>
        </w:rPr>
        <w:t xml:space="preserve"> </w:t>
      </w:r>
      <w:r w:rsidRPr="003520EF">
        <w:rPr>
          <w:rtl/>
        </w:rPr>
        <w:t>وإمكانية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الأماكن</w:t>
      </w:r>
      <w:r w:rsidR="00DC6C59">
        <w:rPr>
          <w:rtl/>
        </w:rPr>
        <w:t xml:space="preserve"> </w:t>
      </w:r>
      <w:r w:rsidRPr="003520EF">
        <w:rPr>
          <w:rtl/>
        </w:rPr>
        <w:t>والمعلومات</w:t>
      </w:r>
      <w:r w:rsidR="00DC6C59">
        <w:rPr>
          <w:rtl/>
        </w:rPr>
        <w:t xml:space="preserve"> </w:t>
      </w:r>
      <w:r w:rsidRPr="003520EF">
        <w:rPr>
          <w:rtl/>
        </w:rPr>
        <w:t>والمواد،</w:t>
      </w:r>
      <w:r w:rsidR="00DC6C59">
        <w:rPr>
          <w:rtl/>
        </w:rPr>
        <w:t xml:space="preserve"> </w:t>
      </w:r>
      <w:r w:rsidRPr="003520EF">
        <w:rPr>
          <w:rtl/>
        </w:rPr>
        <w:t>وتوفير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المهني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وتمويل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توفير</w:t>
      </w:r>
      <w:r w:rsidR="00DC6C59">
        <w:rPr>
          <w:rtl/>
        </w:rPr>
        <w:t xml:space="preserve"> </w:t>
      </w:r>
      <w:r w:rsidRPr="003520EF">
        <w:rPr>
          <w:rtl/>
        </w:rPr>
        <w:t>خدمات</w:t>
      </w:r>
      <w:r w:rsidR="00DC6C59">
        <w:rPr>
          <w:rtl/>
        </w:rPr>
        <w:t xml:space="preserve"> </w:t>
      </w:r>
      <w:r w:rsidRPr="003520EF">
        <w:rPr>
          <w:rtl/>
        </w:rPr>
        <w:t>الإعداد</w:t>
      </w:r>
      <w:r w:rsidR="00DC6C59">
        <w:rPr>
          <w:rtl/>
        </w:rPr>
        <w:t xml:space="preserve"> </w:t>
      </w:r>
      <w:r w:rsidRPr="003520EF">
        <w:rPr>
          <w:rtl/>
        </w:rPr>
        <w:t>والتدريب</w:t>
      </w:r>
      <w:r w:rsidR="00DC6C59">
        <w:rPr>
          <w:rtl/>
        </w:rPr>
        <w:t xml:space="preserve"> </w:t>
      </w:r>
      <w:r w:rsidRPr="003520EF">
        <w:rPr>
          <w:rtl/>
        </w:rPr>
        <w:t>المهنية</w:t>
      </w:r>
      <w:r w:rsidR="00DC6C59">
        <w:rPr>
          <w:rtl/>
        </w:rPr>
        <w:t xml:space="preserve"> </w:t>
      </w:r>
      <w:r w:rsidRPr="003520EF">
        <w:rPr>
          <w:rtl/>
        </w:rPr>
        <w:t>والوظيفية</w:t>
      </w:r>
      <w:r w:rsidR="00DC6C59">
        <w:rPr>
          <w:rtl/>
        </w:rPr>
        <w:t xml:space="preserve"> </w:t>
      </w:r>
      <w:r w:rsidRPr="003520EF">
        <w:rPr>
          <w:rtl/>
        </w:rPr>
        <w:t>وغيرها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الخدمات</w:t>
      </w:r>
      <w:r w:rsidR="00DC6C59">
        <w:rPr>
          <w:rtl/>
        </w:rPr>
        <w:t xml:space="preserve"> </w:t>
      </w:r>
      <w:r w:rsidRPr="003520EF">
        <w:rPr>
          <w:rtl/>
        </w:rPr>
        <w:t>بطرق</w:t>
      </w:r>
      <w:r w:rsidR="00DC6C59">
        <w:rPr>
          <w:rtl/>
        </w:rPr>
        <w:t xml:space="preserve"> </w:t>
      </w:r>
      <w:r w:rsidRPr="003520EF">
        <w:rPr>
          <w:rtl/>
        </w:rPr>
        <w:t>ميسرة</w:t>
      </w:r>
      <w:r w:rsidR="00DC6C59">
        <w:rPr>
          <w:rtl/>
        </w:rPr>
        <w:t xml:space="preserve"> </w:t>
      </w:r>
      <w:r w:rsidRPr="003520EF">
        <w:rPr>
          <w:rtl/>
        </w:rPr>
        <w:t>وشاملة</w:t>
      </w:r>
      <w:r w:rsidR="00DC6C59">
        <w:rPr>
          <w:rtl/>
        </w:rPr>
        <w:t xml:space="preserve"> </w:t>
      </w:r>
      <w:r w:rsidRPr="003520EF">
        <w:rPr>
          <w:rtl/>
        </w:rPr>
        <w:t>للجميع،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>
        <w:rPr>
          <w:rtl/>
        </w:rPr>
        <w:t xml:space="preserve"> </w:t>
      </w:r>
      <w:r w:rsidRPr="003520EF">
        <w:rPr>
          <w:rtl/>
        </w:rPr>
        <w:t>المالي</w:t>
      </w:r>
      <w:r w:rsidR="00DC6C59">
        <w:rPr>
          <w:rtl/>
        </w:rPr>
        <w:t xml:space="preserve"> </w:t>
      </w:r>
      <w:r w:rsidRPr="003520EF">
        <w:rPr>
          <w:rtl/>
        </w:rPr>
        <w:t>للمشاركة.</w:t>
      </w:r>
    </w:p>
    <w:bookmarkEnd w:id="17"/>
    <w:p w14:paraId="03B56844" w14:textId="16B27D0E" w:rsidR="00EC13CA" w:rsidRPr="005170C9" w:rsidRDefault="00EC13CA" w:rsidP="00EC13CA">
      <w:pPr>
        <w:pStyle w:val="H1GA"/>
      </w:pPr>
      <w:r w:rsidRPr="005170C9">
        <w:rPr>
          <w:rtl/>
        </w:rPr>
        <w:tab/>
        <w:t>واو-</w:t>
      </w:r>
      <w:r w:rsidRPr="005170C9">
        <w:rPr>
          <w:rtl/>
        </w:rPr>
        <w:tab/>
        <w:t>تعزيز</w:t>
      </w:r>
      <w:r w:rsidR="00DC6C59" w:rsidRPr="005170C9">
        <w:rPr>
          <w:rtl/>
        </w:rPr>
        <w:t xml:space="preserve"> </w:t>
      </w:r>
      <w:r w:rsidRPr="005170C9">
        <w:rPr>
          <w:rtl/>
        </w:rPr>
        <w:t>فرص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والتقدم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الوظيفي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</w:t>
      </w:r>
      <w:r w:rsidR="00DC6C59" w:rsidRPr="005170C9">
        <w:rPr>
          <w:rtl/>
        </w:rPr>
        <w:t>1)</w:t>
      </w:r>
      <w:r w:rsidRPr="005170C9">
        <w:rPr>
          <w:rtl/>
        </w:rPr>
        <w:t>(ه))</w:t>
      </w:r>
    </w:p>
    <w:p w14:paraId="616DB71E" w14:textId="23BD374F" w:rsidR="00EC13CA" w:rsidRPr="003520EF" w:rsidRDefault="00EC13CA" w:rsidP="00EC13CA">
      <w:pPr>
        <w:pStyle w:val="SingleTxtGA"/>
      </w:pPr>
      <w:r w:rsidRPr="005170C9">
        <w:rPr>
          <w:rtl/>
        </w:rPr>
        <w:t>36</w:t>
      </w:r>
      <w:r w:rsidRPr="003520EF">
        <w:rPr>
          <w:rtl/>
        </w:rPr>
        <w:t>-</w:t>
      </w:r>
      <w:r w:rsidRPr="003520EF">
        <w:rPr>
          <w:rtl/>
        </w:rPr>
        <w:tab/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تكفل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فرصا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مجدية</w:t>
      </w:r>
      <w:r w:rsidR="00DC6C59">
        <w:rPr>
          <w:rtl/>
        </w:rPr>
        <w:t xml:space="preserve"> </w:t>
      </w:r>
      <w:r w:rsidRPr="003520EF">
        <w:rPr>
          <w:rtl/>
        </w:rPr>
        <w:t>لتطوير</w:t>
      </w:r>
      <w:r w:rsidR="00DC6C59">
        <w:rPr>
          <w:rtl/>
        </w:rPr>
        <w:t xml:space="preserve"> </w:t>
      </w:r>
      <w:r w:rsidRPr="003520EF">
        <w:rPr>
          <w:rtl/>
        </w:rPr>
        <w:t>حياتهم</w:t>
      </w:r>
      <w:r w:rsidR="00DC6C59">
        <w:rPr>
          <w:rtl/>
        </w:rPr>
        <w:t xml:space="preserve"> </w:t>
      </w:r>
      <w:r w:rsidRPr="003520EF">
        <w:rPr>
          <w:rtl/>
        </w:rPr>
        <w:t>المهنية،</w:t>
      </w:r>
      <w:r w:rsidR="00DC6C59">
        <w:rPr>
          <w:rtl/>
        </w:rPr>
        <w:t xml:space="preserve"> </w:t>
      </w:r>
      <w:r w:rsidRPr="003520EF">
        <w:rPr>
          <w:rtl/>
        </w:rPr>
        <w:t>أيا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كان</w:t>
      </w:r>
      <w:r w:rsidR="00DC6C59">
        <w:rPr>
          <w:rtl/>
        </w:rPr>
        <w:t xml:space="preserve"> </w:t>
      </w:r>
      <w:r w:rsidRPr="003520EF">
        <w:rPr>
          <w:rtl/>
        </w:rPr>
        <w:t>شكل</w:t>
      </w:r>
      <w:r w:rsidR="00DC6C59">
        <w:rPr>
          <w:rtl/>
        </w:rPr>
        <w:t xml:space="preserve"> </w:t>
      </w:r>
      <w:r w:rsidRPr="003520EF">
        <w:rPr>
          <w:rtl/>
        </w:rPr>
        <w:t>عملهم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2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وتشمل</w:t>
      </w:r>
      <w:r w:rsidR="00DC6C59">
        <w:rPr>
          <w:rtl/>
        </w:rPr>
        <w:t xml:space="preserve"> </w:t>
      </w:r>
      <w:r w:rsidRPr="003520EF">
        <w:rPr>
          <w:rtl/>
        </w:rPr>
        <w:t>فرص</w:t>
      </w:r>
      <w:r w:rsidR="00DC6C59">
        <w:rPr>
          <w:rtl/>
        </w:rPr>
        <w:t xml:space="preserve"> </w:t>
      </w:r>
      <w:r w:rsidRPr="003520EF">
        <w:rPr>
          <w:rtl/>
        </w:rPr>
        <w:t>التنمية</w:t>
      </w:r>
      <w:r w:rsidR="00DC6C59">
        <w:rPr>
          <w:rtl/>
        </w:rPr>
        <w:t xml:space="preserve"> </w:t>
      </w:r>
      <w:r w:rsidRPr="003520EF">
        <w:rPr>
          <w:rtl/>
        </w:rPr>
        <w:t>إعادة</w:t>
      </w:r>
      <w:r w:rsidR="00DC6C59">
        <w:rPr>
          <w:rtl/>
        </w:rPr>
        <w:t xml:space="preserve"> </w:t>
      </w:r>
      <w:r w:rsidRPr="003520EF">
        <w:rPr>
          <w:rtl/>
        </w:rPr>
        <w:t>صقل</w:t>
      </w:r>
      <w:r w:rsidR="00DC6C59">
        <w:rPr>
          <w:rtl/>
        </w:rPr>
        <w:t xml:space="preserve"> </w:t>
      </w:r>
      <w:r w:rsidRPr="003520EF">
        <w:rPr>
          <w:rtl/>
        </w:rPr>
        <w:t>المهارات</w:t>
      </w:r>
      <w:r w:rsidR="00DC6C59">
        <w:rPr>
          <w:rtl/>
        </w:rPr>
        <w:t xml:space="preserve"> </w:t>
      </w:r>
      <w:r w:rsidRPr="003520EF">
        <w:rPr>
          <w:rtl/>
        </w:rPr>
        <w:t>والارتقاء</w:t>
      </w:r>
      <w:r w:rsidR="00DC6C59">
        <w:rPr>
          <w:rtl/>
        </w:rPr>
        <w:t xml:space="preserve"> </w:t>
      </w:r>
      <w:r w:rsidRPr="003520EF">
        <w:rPr>
          <w:rtl/>
        </w:rPr>
        <w:t>بها،</w:t>
      </w:r>
      <w:r w:rsidR="00DC6C59">
        <w:rPr>
          <w:rtl/>
        </w:rPr>
        <w:t xml:space="preserve"> </w:t>
      </w:r>
      <w:r w:rsidRPr="003520EF">
        <w:rPr>
          <w:rtl/>
        </w:rPr>
        <w:t>والتدريب،</w:t>
      </w:r>
      <w:r w:rsidR="00DC6C59">
        <w:rPr>
          <w:rtl/>
        </w:rPr>
        <w:t xml:space="preserve"> </w:t>
      </w:r>
      <w:r w:rsidRPr="003520EF">
        <w:rPr>
          <w:rtl/>
        </w:rPr>
        <w:t>والتعلم</w:t>
      </w:r>
      <w:r w:rsidR="00DC6C59">
        <w:rPr>
          <w:rtl/>
        </w:rPr>
        <w:t xml:space="preserve"> </w:t>
      </w:r>
      <w:r w:rsidRPr="003520EF">
        <w:rPr>
          <w:rtl/>
        </w:rPr>
        <w:t>مدى</w:t>
      </w:r>
      <w:r w:rsidR="00DC6C59">
        <w:rPr>
          <w:rtl/>
        </w:rPr>
        <w:t xml:space="preserve"> </w:t>
      </w:r>
      <w:r w:rsidRPr="003520EF">
        <w:rPr>
          <w:rtl/>
        </w:rPr>
        <w:t>الحياة،</w:t>
      </w:r>
      <w:r w:rsidR="00DC6C59">
        <w:rPr>
          <w:rtl/>
        </w:rPr>
        <w:t xml:space="preserve"> </w:t>
      </w:r>
      <w:r w:rsidRPr="003520EF">
        <w:rPr>
          <w:rtl/>
        </w:rPr>
        <w:t>وبرامج</w:t>
      </w:r>
      <w:r w:rsidR="00DC6C59">
        <w:rPr>
          <w:rtl/>
        </w:rPr>
        <w:t xml:space="preserve"> </w:t>
      </w:r>
      <w:r w:rsidRPr="003520EF">
        <w:rPr>
          <w:rtl/>
        </w:rPr>
        <w:t>الإرشاد.</w:t>
      </w:r>
      <w:r w:rsidR="00DC6C59">
        <w:rPr>
          <w:rtl/>
        </w:rPr>
        <w:t xml:space="preserve"> </w:t>
      </w:r>
    </w:p>
    <w:p w14:paraId="4916DF80" w14:textId="7CA1E1D1" w:rsidR="00EC13CA" w:rsidRPr="003520EF" w:rsidRDefault="00EC13CA" w:rsidP="00EC13CA">
      <w:pPr>
        <w:pStyle w:val="SingleTxtGA"/>
      </w:pPr>
      <w:r w:rsidRPr="005170C9">
        <w:rPr>
          <w:rtl/>
        </w:rPr>
        <w:t>37</w:t>
      </w:r>
      <w:r w:rsidRPr="003520EF">
        <w:rPr>
          <w:rtl/>
        </w:rPr>
        <w:t>-</w:t>
      </w:r>
      <w:r w:rsidRPr="003520EF">
        <w:rPr>
          <w:rtl/>
        </w:rPr>
        <w:tab/>
        <w:t>ولجميع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الحق،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النظر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ترقيتهم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عمليات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وشفافة</w:t>
      </w:r>
      <w:r w:rsidR="00DC6C59">
        <w:rPr>
          <w:rtl/>
        </w:rPr>
        <w:t xml:space="preserve"> </w:t>
      </w:r>
      <w:r w:rsidRPr="003520EF">
        <w:rPr>
          <w:rtl/>
        </w:rPr>
        <w:t>وقائمة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الجدارة.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تحلل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الحواجز</w:t>
      </w:r>
      <w:r w:rsidR="00DC6C59">
        <w:rPr>
          <w:rtl/>
        </w:rPr>
        <w:t xml:space="preserve"> </w:t>
      </w:r>
      <w:r w:rsidRPr="003520EF">
        <w:rPr>
          <w:rtl/>
        </w:rPr>
        <w:t>المباشرة</w:t>
      </w:r>
      <w:r w:rsidR="00DC6C59">
        <w:rPr>
          <w:rtl/>
        </w:rPr>
        <w:t xml:space="preserve"> </w:t>
      </w:r>
      <w:r w:rsidRPr="003520EF">
        <w:rPr>
          <w:rtl/>
        </w:rPr>
        <w:t>وغير</w:t>
      </w:r>
      <w:r w:rsidR="00DC6C59">
        <w:rPr>
          <w:rtl/>
        </w:rPr>
        <w:t xml:space="preserve"> </w:t>
      </w:r>
      <w:r w:rsidRPr="003520EF">
        <w:rPr>
          <w:rtl/>
        </w:rPr>
        <w:t>المباشرة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تعترض</w:t>
      </w:r>
      <w:r w:rsidR="00DC6C59">
        <w:rPr>
          <w:rtl/>
        </w:rPr>
        <w:t xml:space="preserve"> </w:t>
      </w:r>
      <w:r w:rsidRPr="003520EF">
        <w:rPr>
          <w:rtl/>
        </w:rPr>
        <w:t>سبيل</w:t>
      </w:r>
      <w:r w:rsidR="00DC6C59">
        <w:rPr>
          <w:rtl/>
        </w:rPr>
        <w:t xml:space="preserve"> </w:t>
      </w:r>
      <w:r w:rsidRPr="003520EF">
        <w:rPr>
          <w:rtl/>
        </w:rPr>
        <w:t>التقدم</w:t>
      </w:r>
      <w:r w:rsidR="00DC6C59">
        <w:rPr>
          <w:rtl/>
        </w:rPr>
        <w:t xml:space="preserve"> </w:t>
      </w:r>
      <w:r w:rsidRPr="003520EF">
        <w:rPr>
          <w:rtl/>
        </w:rPr>
        <w:t>الوظيفي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سيما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ويشمل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المهني</w:t>
      </w:r>
      <w:r w:rsidR="00DC6C59">
        <w:rPr>
          <w:rtl/>
        </w:rPr>
        <w:t xml:space="preserve"> </w:t>
      </w:r>
      <w:r w:rsidRPr="003520EF">
        <w:rPr>
          <w:rtl/>
        </w:rPr>
        <w:t>المشار</w:t>
      </w:r>
      <w:r w:rsidR="00DC6C59">
        <w:rPr>
          <w:rtl/>
        </w:rPr>
        <w:t xml:space="preserve"> </w:t>
      </w:r>
      <w:r w:rsidRPr="003520EF">
        <w:rPr>
          <w:rtl/>
        </w:rPr>
        <w:t>إليه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="00DC6C59" w:rsidRPr="005170C9">
        <w:rPr>
          <w:rtl/>
        </w:rPr>
        <w:t>1</w:t>
      </w:r>
      <w:r w:rsidR="00DC6C59" w:rsidRPr="00DC6C59">
        <w:rPr>
          <w:rtl/>
        </w:rPr>
        <w:t>)</w:t>
      </w:r>
      <w:r w:rsidRPr="003520EF">
        <w:rPr>
          <w:rtl/>
        </w:rPr>
        <w:t>(د)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يضطلع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للتقدم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حياتهم</w:t>
      </w:r>
      <w:r w:rsidR="00DC6C59">
        <w:rPr>
          <w:rtl/>
        </w:rPr>
        <w:t xml:space="preserve"> </w:t>
      </w:r>
      <w:r w:rsidRPr="003520EF">
        <w:rPr>
          <w:rtl/>
        </w:rPr>
        <w:t>المهنية.</w:t>
      </w:r>
      <w:r w:rsidR="00DC6C59">
        <w:rPr>
          <w:rtl/>
        </w:rPr>
        <w:t xml:space="preserve"> </w:t>
      </w:r>
      <w:r w:rsidRPr="003520EF">
        <w:rPr>
          <w:rtl/>
        </w:rPr>
        <w:t>ويجب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الدورات</w:t>
      </w:r>
      <w:r w:rsidR="00DC6C59">
        <w:rPr>
          <w:rtl/>
        </w:rPr>
        <w:t xml:space="preserve"> </w:t>
      </w:r>
      <w:r w:rsidRPr="003520EF">
        <w:rPr>
          <w:rtl/>
        </w:rPr>
        <w:t>الدراسية</w:t>
      </w:r>
      <w:r w:rsidR="00DC6C59">
        <w:rPr>
          <w:rtl/>
        </w:rPr>
        <w:t xml:space="preserve"> </w:t>
      </w:r>
      <w:r w:rsidRPr="003520EF">
        <w:rPr>
          <w:rtl/>
        </w:rPr>
        <w:t>متاحة</w:t>
      </w:r>
      <w:r w:rsidR="00DC6C59">
        <w:rPr>
          <w:rtl/>
        </w:rPr>
        <w:t xml:space="preserve"> </w:t>
      </w:r>
      <w:r w:rsidRPr="003520EF">
        <w:rPr>
          <w:rtl/>
        </w:rPr>
        <w:t>ويجب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يكون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قادرين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طلب</w:t>
      </w:r>
      <w:r w:rsidR="00DC6C59">
        <w:rPr>
          <w:rtl/>
        </w:rPr>
        <w:t xml:space="preserve"> </w:t>
      </w:r>
      <w:r w:rsidRPr="003520EF">
        <w:rPr>
          <w:rtl/>
        </w:rPr>
        <w:t>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معقولة.</w:t>
      </w:r>
      <w:r w:rsidR="00DC6C59">
        <w:rPr>
          <w:rtl/>
        </w:rPr>
        <w:t xml:space="preserve"> </w:t>
      </w:r>
    </w:p>
    <w:p w14:paraId="0D891708" w14:textId="5D5619F4" w:rsidR="00EC13CA" w:rsidRPr="005170C9" w:rsidRDefault="00EC13CA" w:rsidP="00EC13CA">
      <w:pPr>
        <w:pStyle w:val="H1GA"/>
      </w:pPr>
      <w:r w:rsidRPr="005170C9">
        <w:rPr>
          <w:rtl/>
        </w:rPr>
        <w:tab/>
        <w:t>زاي-</w:t>
      </w:r>
      <w:r w:rsidRPr="005170C9">
        <w:rPr>
          <w:rtl/>
        </w:rPr>
        <w:tab/>
        <w:t>تعزيز</w:t>
      </w:r>
      <w:r w:rsidR="00DC6C59" w:rsidRPr="005170C9">
        <w:rPr>
          <w:rtl/>
        </w:rPr>
        <w:t xml:space="preserve"> </w:t>
      </w:r>
      <w:r w:rsidRPr="005170C9">
        <w:rPr>
          <w:rtl/>
        </w:rPr>
        <w:t>فرص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الحر</w:t>
      </w:r>
      <w:r w:rsidR="00DC6C59" w:rsidRPr="005170C9">
        <w:rPr>
          <w:rtl/>
        </w:rPr>
        <w:t xml:space="preserve"> </w:t>
      </w:r>
      <w:r w:rsidRPr="005170C9">
        <w:rPr>
          <w:rtl/>
        </w:rPr>
        <w:t>ومباشرة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الأعمال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الحرة،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وتكوين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التعاونيات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27(1)(و))</w:t>
      </w:r>
    </w:p>
    <w:p w14:paraId="1A36E136" w14:textId="2CFF9057" w:rsidR="00DC6C59" w:rsidRPr="00DC6C59" w:rsidRDefault="00EC13CA" w:rsidP="00EC13CA">
      <w:pPr>
        <w:pStyle w:val="SingleTxtGA"/>
        <w:rPr>
          <w:spacing w:val="-4"/>
        </w:rPr>
      </w:pPr>
      <w:r w:rsidRPr="005170C9">
        <w:rPr>
          <w:spacing w:val="-4"/>
          <w:rtl/>
        </w:rPr>
        <w:t>38</w:t>
      </w:r>
      <w:r w:rsidRPr="00DC6C59">
        <w:rPr>
          <w:spacing w:val="-4"/>
          <w:rtl/>
        </w:rPr>
        <w:t>-</w:t>
      </w:r>
      <w:r w:rsidRPr="00DC6C59">
        <w:rPr>
          <w:spacing w:val="-4"/>
          <w:rtl/>
        </w:rPr>
        <w:tab/>
        <w:t>للأشخاص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ذوي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الإعاقة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الحق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اختيار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عملهم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بحرية،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بما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ذلك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اختيار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إذا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كانوا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يرغبون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لحسابهم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الخاص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أو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بدء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أعمالهم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التجارية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الخاصة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أو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تعاونية.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وينبغي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تتخذ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الدول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الأطراف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تدابير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محددة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الهدف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لحماية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ودعم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الأشخاص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ذوي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الإعاقة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الاقتصاد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غير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الرسمي،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وتعزيز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وتسريع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انتقالهم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إلى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الاقتصاد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الرسمي،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ومنع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العمل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في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الاقتصاد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الرسمي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من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أن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يصبح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عملا</w:t>
      </w:r>
      <w:r w:rsidR="00476B81">
        <w:rPr>
          <w:rFonts w:hint="cs"/>
          <w:spacing w:val="-4"/>
          <w:rtl/>
        </w:rPr>
        <w:t>ً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غير</w:t>
      </w:r>
      <w:r w:rsidR="00DC6C59" w:rsidRPr="00DC6C59">
        <w:rPr>
          <w:spacing w:val="-4"/>
          <w:rtl/>
        </w:rPr>
        <w:t xml:space="preserve"> </w:t>
      </w:r>
      <w:r w:rsidRPr="00DC6C59">
        <w:rPr>
          <w:spacing w:val="-4"/>
          <w:rtl/>
        </w:rPr>
        <w:t>رسمي</w:t>
      </w:r>
      <w:r w:rsidR="00DC6C59" w:rsidRPr="005170C9">
        <w:rPr>
          <w:spacing w:val="-4"/>
          <w:vertAlign w:val="superscript"/>
          <w:rtl/>
        </w:rPr>
        <w:t>(</w:t>
      </w:r>
      <w:r w:rsidR="00DC6C59" w:rsidRPr="005170C9">
        <w:rPr>
          <w:spacing w:val="-4"/>
          <w:vertAlign w:val="superscript"/>
          <w:lang w:val="en-US"/>
        </w:rPr>
        <w:footnoteReference w:id="33"/>
      </w:r>
      <w:r w:rsidR="00DC6C59" w:rsidRPr="005170C9">
        <w:rPr>
          <w:spacing w:val="-4"/>
          <w:vertAlign w:val="superscript"/>
          <w:rtl/>
        </w:rPr>
        <w:t>)</w:t>
      </w:r>
      <w:r w:rsidR="00DC6C59" w:rsidRPr="00DC6C59">
        <w:rPr>
          <w:spacing w:val="-4"/>
          <w:rtl/>
        </w:rPr>
        <w:t>.</w:t>
      </w:r>
    </w:p>
    <w:p w14:paraId="3E6FCF61" w14:textId="7B427D6A" w:rsidR="00DC6C59" w:rsidRPr="00DC6C59" w:rsidRDefault="00EC13CA" w:rsidP="00DC6C59">
      <w:pPr>
        <w:pStyle w:val="SingleTxtGA"/>
        <w:spacing w:after="100"/>
      </w:pPr>
      <w:r w:rsidRPr="005170C9">
        <w:rPr>
          <w:rtl/>
        </w:rPr>
        <w:t>39</w:t>
      </w:r>
      <w:r w:rsidRPr="003520EF">
        <w:rPr>
          <w:rtl/>
        </w:rPr>
        <w:t>-</w:t>
      </w:r>
      <w:r w:rsidRPr="003520EF">
        <w:rPr>
          <w:rtl/>
        </w:rPr>
        <w:tab/>
        <w:t>ويتطلب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فرص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يتم</w:t>
      </w:r>
      <w:r w:rsidR="00DC6C59">
        <w:rPr>
          <w:rtl/>
        </w:rPr>
        <w:t xml:space="preserve"> </w:t>
      </w:r>
      <w:r w:rsidRPr="003520EF">
        <w:rPr>
          <w:rtl/>
        </w:rPr>
        <w:t>اختيارها</w:t>
      </w:r>
      <w:r w:rsidR="00DC6C59">
        <w:rPr>
          <w:rtl/>
        </w:rPr>
        <w:t xml:space="preserve"> </w:t>
      </w:r>
      <w:r w:rsidRPr="003520EF">
        <w:rPr>
          <w:rtl/>
        </w:rPr>
        <w:t>بحرية</w:t>
      </w:r>
      <w:r w:rsidR="00DC6C59">
        <w:rPr>
          <w:rtl/>
        </w:rPr>
        <w:t xml:space="preserve"> </w:t>
      </w:r>
      <w:r w:rsidRPr="003520EF">
        <w:rPr>
          <w:rtl/>
        </w:rPr>
        <w:t>تيسير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معلومات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تنظيم</w:t>
      </w:r>
      <w:r w:rsidR="00DC6C59">
        <w:rPr>
          <w:rtl/>
        </w:rPr>
        <w:t xml:space="preserve"> </w:t>
      </w:r>
      <w:r w:rsidRPr="003520EF">
        <w:rPr>
          <w:rtl/>
        </w:rPr>
        <w:t>المشاريع،</w:t>
      </w:r>
      <w:r w:rsidR="00DC6C59">
        <w:rPr>
          <w:rtl/>
        </w:rPr>
        <w:t xml:space="preserve"> </w:t>
      </w:r>
      <w:r w:rsidRPr="003520EF">
        <w:rPr>
          <w:rtl/>
        </w:rPr>
        <w:t>والمؤسسات</w:t>
      </w:r>
      <w:r w:rsidR="00DC6C59">
        <w:rPr>
          <w:rtl/>
        </w:rPr>
        <w:t xml:space="preserve"> </w:t>
      </w:r>
      <w:r w:rsidRPr="003520EF">
        <w:rPr>
          <w:rtl/>
        </w:rPr>
        <w:t>المتناهية</w:t>
      </w:r>
      <w:r w:rsidR="00DC6C59">
        <w:rPr>
          <w:rtl/>
        </w:rPr>
        <w:t xml:space="preserve"> </w:t>
      </w:r>
      <w:r w:rsidRPr="003520EF">
        <w:rPr>
          <w:rtl/>
        </w:rPr>
        <w:t>الصغر</w:t>
      </w:r>
      <w:r w:rsidR="00DC6C59">
        <w:rPr>
          <w:rtl/>
        </w:rPr>
        <w:t xml:space="preserve"> </w:t>
      </w:r>
      <w:r w:rsidRPr="003520EF">
        <w:rPr>
          <w:rtl/>
        </w:rPr>
        <w:t>والصغيرة</w:t>
      </w:r>
      <w:r w:rsidR="00DC6C59">
        <w:rPr>
          <w:rtl/>
        </w:rPr>
        <w:t xml:space="preserve"> </w:t>
      </w:r>
      <w:r w:rsidRPr="003520EF">
        <w:rPr>
          <w:rtl/>
        </w:rPr>
        <w:t>والمتوسطة،</w:t>
      </w:r>
      <w:r w:rsidR="00DC6C59">
        <w:rPr>
          <w:rtl/>
        </w:rPr>
        <w:t xml:space="preserve"> </w:t>
      </w:r>
      <w:r w:rsidRPr="003520EF">
        <w:rPr>
          <w:rtl/>
        </w:rPr>
        <w:t>وغيرها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أشكال</w:t>
      </w:r>
      <w:r w:rsidR="00DC6C59">
        <w:rPr>
          <w:rtl/>
        </w:rPr>
        <w:t xml:space="preserve"> </w:t>
      </w:r>
      <w:r w:rsidRPr="003520EF">
        <w:rPr>
          <w:rtl/>
        </w:rPr>
        <w:t>نماذج</w:t>
      </w:r>
      <w:r w:rsidR="00DC6C59">
        <w:rPr>
          <w:rtl/>
        </w:rPr>
        <w:t xml:space="preserve"> </w:t>
      </w:r>
      <w:r w:rsidRPr="003520EF">
        <w:rPr>
          <w:rtl/>
        </w:rPr>
        <w:t>الأعمال</w:t>
      </w:r>
      <w:r w:rsidR="00DC6C59">
        <w:rPr>
          <w:rtl/>
        </w:rPr>
        <w:t xml:space="preserve"> </w:t>
      </w:r>
      <w:r w:rsidRPr="003520EF">
        <w:rPr>
          <w:rtl/>
        </w:rPr>
        <w:t>والوحدات</w:t>
      </w:r>
      <w:r w:rsidR="00DC6C59">
        <w:rPr>
          <w:rtl/>
        </w:rPr>
        <w:t xml:space="preserve"> </w:t>
      </w:r>
      <w:r w:rsidRPr="003520EF">
        <w:rPr>
          <w:rtl/>
        </w:rPr>
        <w:lastRenderedPageBreak/>
        <w:t>الاقتصادية،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التعاونيات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4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أيضا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النظر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تيسير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التمييزي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خدمات</w:t>
      </w:r>
      <w:r w:rsidR="00DC6C59">
        <w:rPr>
          <w:rtl/>
        </w:rPr>
        <w:t xml:space="preserve"> </w:t>
      </w:r>
      <w:r w:rsidRPr="003520EF">
        <w:rPr>
          <w:rtl/>
        </w:rPr>
        <w:t>الأعمال</w:t>
      </w:r>
      <w:r w:rsidR="00DC6C59">
        <w:rPr>
          <w:rtl/>
        </w:rPr>
        <w:t xml:space="preserve"> </w:t>
      </w:r>
      <w:r w:rsidRPr="003520EF">
        <w:rPr>
          <w:rtl/>
        </w:rPr>
        <w:t>التجارية،</w:t>
      </w:r>
      <w:r w:rsidR="00DC6C59">
        <w:rPr>
          <w:rtl/>
        </w:rPr>
        <w:t xml:space="preserve"> </w:t>
      </w:r>
      <w:r w:rsidRPr="003520EF">
        <w:rPr>
          <w:rtl/>
        </w:rPr>
        <w:t>والأسواق،</w:t>
      </w:r>
      <w:r w:rsidR="00DC6C59">
        <w:rPr>
          <w:rtl/>
        </w:rPr>
        <w:t xml:space="preserve"> </w:t>
      </w:r>
      <w:r w:rsidRPr="003520EF">
        <w:rPr>
          <w:rtl/>
        </w:rPr>
        <w:t>والبنيات</w:t>
      </w:r>
      <w:r w:rsidR="00DC6C59">
        <w:rPr>
          <w:rtl/>
        </w:rPr>
        <w:t xml:space="preserve"> </w:t>
      </w:r>
      <w:r w:rsidRPr="003520EF">
        <w:rPr>
          <w:rtl/>
        </w:rPr>
        <w:t>التحتية</w:t>
      </w:r>
      <w:r w:rsidR="00DC6C59">
        <w:rPr>
          <w:rtl/>
        </w:rPr>
        <w:t xml:space="preserve"> </w:t>
      </w:r>
      <w:r w:rsidRPr="003520EF">
        <w:rPr>
          <w:rtl/>
        </w:rPr>
        <w:t>والتكنولوجيا،</w:t>
      </w:r>
      <w:r w:rsidR="00DC6C59">
        <w:rPr>
          <w:rtl/>
        </w:rPr>
        <w:t xml:space="preserve"> </w:t>
      </w:r>
      <w:r w:rsidRPr="003520EF">
        <w:rPr>
          <w:rtl/>
        </w:rPr>
        <w:t>والصحة</w:t>
      </w:r>
      <w:r w:rsidR="00DC6C59">
        <w:rPr>
          <w:rtl/>
        </w:rPr>
        <w:t xml:space="preserve"> </w:t>
      </w:r>
      <w:r w:rsidRPr="003520EF">
        <w:rPr>
          <w:rtl/>
        </w:rPr>
        <w:t>والسلامة</w:t>
      </w:r>
      <w:r w:rsidR="00DC6C59">
        <w:rPr>
          <w:rtl/>
        </w:rPr>
        <w:t xml:space="preserve"> </w:t>
      </w:r>
      <w:r w:rsidRPr="003520EF">
        <w:rPr>
          <w:rtl/>
        </w:rPr>
        <w:t>المهنيتين،</w:t>
      </w:r>
      <w:r w:rsidR="00DC6C59">
        <w:rPr>
          <w:rtl/>
        </w:rPr>
        <w:t xml:space="preserve"> </w:t>
      </w:r>
      <w:r w:rsidRPr="003520EF">
        <w:rPr>
          <w:rtl/>
        </w:rPr>
        <w:t>والخدمات</w:t>
      </w:r>
      <w:r w:rsidR="00DC6C59">
        <w:rPr>
          <w:rtl/>
        </w:rPr>
        <w:t xml:space="preserve"> </w:t>
      </w:r>
      <w:r w:rsidRPr="003520EF">
        <w:rPr>
          <w:rtl/>
        </w:rPr>
        <w:t>المالية،</w:t>
      </w:r>
      <w:r w:rsidR="00DC6C59">
        <w:rPr>
          <w:rtl/>
        </w:rPr>
        <w:t xml:space="preserve"> </w:t>
      </w:r>
      <w:r w:rsidRPr="003520EF">
        <w:rPr>
          <w:rtl/>
        </w:rPr>
        <w:t>والإرشاد،</w:t>
      </w:r>
      <w:r w:rsidR="00DC6C59">
        <w:rPr>
          <w:rtl/>
        </w:rPr>
        <w:t xml:space="preserve"> </w:t>
      </w:r>
      <w:r w:rsidRPr="003520EF">
        <w:rPr>
          <w:rtl/>
        </w:rPr>
        <w:t>وإقامة</w:t>
      </w:r>
      <w:r w:rsidR="00DC6C59">
        <w:rPr>
          <w:rtl/>
        </w:rPr>
        <w:t xml:space="preserve"> </w:t>
      </w:r>
      <w:r w:rsidRPr="003520EF">
        <w:rPr>
          <w:rtl/>
        </w:rPr>
        <w:t>الشبكات.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تضع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وتنفذ</w:t>
      </w:r>
      <w:r w:rsidR="00DC6C59">
        <w:rPr>
          <w:rtl/>
        </w:rPr>
        <w:t xml:space="preserve"> </w:t>
      </w:r>
      <w:r w:rsidRPr="003520EF">
        <w:rPr>
          <w:rtl/>
        </w:rPr>
        <w:t>إطارا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سياساتيا</w:t>
      </w:r>
      <w:r w:rsidR="00476B81">
        <w:rPr>
          <w:rFonts w:hint="cs"/>
          <w:rtl/>
        </w:rPr>
        <w:t>ً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متكاملا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يشمل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ويكفل</w:t>
      </w:r>
      <w:r w:rsidR="00DC6C59">
        <w:rPr>
          <w:rtl/>
        </w:rPr>
        <w:t xml:space="preserve"> </w:t>
      </w:r>
      <w:r w:rsidRPr="003520EF">
        <w:rPr>
          <w:rtl/>
        </w:rPr>
        <w:t>التنسيق</w:t>
      </w:r>
      <w:r w:rsidR="00DC6C59">
        <w:rPr>
          <w:rtl/>
        </w:rPr>
        <w:t xml:space="preserve"> </w:t>
      </w:r>
      <w:r w:rsidRPr="003520EF">
        <w:rPr>
          <w:rtl/>
        </w:rPr>
        <w:t>عبر</w:t>
      </w:r>
      <w:r w:rsidR="00DC6C59">
        <w:rPr>
          <w:rtl/>
        </w:rPr>
        <w:t xml:space="preserve"> </w:t>
      </w:r>
      <w:r w:rsidRPr="003520EF">
        <w:rPr>
          <w:rtl/>
        </w:rPr>
        <w:t>مختلف</w:t>
      </w:r>
      <w:r w:rsidR="00DC6C59">
        <w:rPr>
          <w:rtl/>
        </w:rPr>
        <w:t xml:space="preserve"> </w:t>
      </w:r>
      <w:r w:rsidRPr="003520EF">
        <w:rPr>
          <w:rtl/>
        </w:rPr>
        <w:t>مستويات</w:t>
      </w:r>
      <w:r w:rsidR="00DC6C59">
        <w:rPr>
          <w:rtl/>
        </w:rPr>
        <w:t xml:space="preserve"> </w:t>
      </w:r>
      <w:r w:rsidRPr="003520EF">
        <w:rPr>
          <w:rtl/>
        </w:rPr>
        <w:t>الحكومة</w:t>
      </w:r>
      <w:r w:rsidR="00DC6C59">
        <w:rPr>
          <w:rtl/>
        </w:rPr>
        <w:t xml:space="preserve"> </w:t>
      </w:r>
      <w:r w:rsidRPr="003520EF">
        <w:rPr>
          <w:rtl/>
        </w:rPr>
        <w:t>والتعاون</w:t>
      </w:r>
      <w:r w:rsidR="00DC6C59">
        <w:rPr>
          <w:rtl/>
        </w:rPr>
        <w:t xml:space="preserve"> </w:t>
      </w:r>
      <w:r w:rsidRPr="003520EF">
        <w:rPr>
          <w:rtl/>
        </w:rPr>
        <w:t>بين</w:t>
      </w:r>
      <w:r w:rsidR="00DC6C59">
        <w:rPr>
          <w:rtl/>
        </w:rPr>
        <w:t xml:space="preserve"> </w:t>
      </w:r>
      <w:r w:rsidRPr="003520EF">
        <w:rPr>
          <w:rtl/>
        </w:rPr>
        <w:t>الهيئات</w:t>
      </w:r>
      <w:r w:rsidR="00DC6C59">
        <w:rPr>
          <w:rtl/>
        </w:rPr>
        <w:t xml:space="preserve"> </w:t>
      </w:r>
      <w:r w:rsidRPr="003520EF">
        <w:rPr>
          <w:rtl/>
        </w:rPr>
        <w:t>والسلطات</w:t>
      </w:r>
      <w:r w:rsidR="00DC6C59">
        <w:rPr>
          <w:rtl/>
        </w:rPr>
        <w:t xml:space="preserve"> </w:t>
      </w:r>
      <w:r w:rsidRPr="003520EF">
        <w:rPr>
          <w:rtl/>
        </w:rPr>
        <w:t>ذات</w:t>
      </w:r>
      <w:r w:rsidR="00DC6C59">
        <w:rPr>
          <w:rtl/>
        </w:rPr>
        <w:t xml:space="preserve"> </w:t>
      </w:r>
      <w:r w:rsidRPr="003520EF">
        <w:rPr>
          <w:rtl/>
        </w:rPr>
        <w:t>الصلة،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السلطات</w:t>
      </w:r>
      <w:r w:rsidR="00DC6C59">
        <w:rPr>
          <w:rtl/>
        </w:rPr>
        <w:t xml:space="preserve"> </w:t>
      </w:r>
      <w:r w:rsidRPr="003520EF">
        <w:rPr>
          <w:rtl/>
        </w:rPr>
        <w:t>الضريبية</w:t>
      </w:r>
      <w:r w:rsidR="00DC6C59">
        <w:rPr>
          <w:rtl/>
        </w:rPr>
        <w:t xml:space="preserve"> </w:t>
      </w:r>
      <w:r w:rsidRPr="003520EF">
        <w:rPr>
          <w:rtl/>
        </w:rPr>
        <w:t>ومؤسسات</w:t>
      </w:r>
      <w:r w:rsidR="00DC6C59">
        <w:rPr>
          <w:rtl/>
        </w:rPr>
        <w:t xml:space="preserve"> </w:t>
      </w:r>
      <w:r w:rsidRPr="003520EF">
        <w:rPr>
          <w:rtl/>
        </w:rPr>
        <w:t>الضمان</w:t>
      </w:r>
      <w:r w:rsidR="00DC6C59">
        <w:rPr>
          <w:rtl/>
        </w:rPr>
        <w:t xml:space="preserve"> </w:t>
      </w:r>
      <w:r w:rsidRPr="003520EF">
        <w:rPr>
          <w:rtl/>
        </w:rPr>
        <w:t>الاجتماعي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5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</w:p>
    <w:p w14:paraId="19EC4BEF" w14:textId="5C78683E" w:rsidR="00EC13CA" w:rsidRPr="005170C9" w:rsidRDefault="00EC13CA" w:rsidP="00EC13CA">
      <w:pPr>
        <w:pStyle w:val="H1GA"/>
      </w:pPr>
      <w:r w:rsidRPr="005170C9">
        <w:rPr>
          <w:rtl/>
        </w:rPr>
        <w:tab/>
        <w:t>حاء-</w:t>
      </w:r>
      <w:r w:rsidRPr="005170C9">
        <w:rPr>
          <w:rtl/>
        </w:rPr>
        <w:tab/>
        <w:t>العمالة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القطاع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العام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27(1)(ز))</w:t>
      </w:r>
    </w:p>
    <w:p w14:paraId="1929CF4B" w14:textId="5C7070BA" w:rsidR="00EC13CA" w:rsidRPr="00DC6C59" w:rsidRDefault="00EC13CA" w:rsidP="00DC6C59">
      <w:pPr>
        <w:pStyle w:val="SingleTxtGA"/>
        <w:spacing w:after="100"/>
        <w:rPr>
          <w:spacing w:val="-2"/>
        </w:rPr>
      </w:pPr>
      <w:r w:rsidRPr="005170C9">
        <w:rPr>
          <w:spacing w:val="-2"/>
          <w:rtl/>
        </w:rPr>
        <w:t>40</w:t>
      </w:r>
      <w:r w:rsidRPr="00DC6C59">
        <w:rPr>
          <w:spacing w:val="-2"/>
          <w:rtl/>
        </w:rPr>
        <w:t>-</w:t>
      </w:r>
      <w:r w:rsidRPr="00DC6C59">
        <w:rPr>
          <w:spacing w:val="-2"/>
          <w:rtl/>
        </w:rPr>
        <w:tab/>
        <w:t>تنطبق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أحكام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الفقرات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الفرعية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الأخرى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المادة</w:t>
      </w:r>
      <w:r w:rsidR="00DC6C59" w:rsidRPr="00DC6C59">
        <w:rPr>
          <w:spacing w:val="-2"/>
          <w:rtl/>
        </w:rPr>
        <w:t xml:space="preserve"> </w:t>
      </w:r>
      <w:r w:rsidRPr="005170C9">
        <w:rPr>
          <w:spacing w:val="-2"/>
          <w:rtl/>
        </w:rPr>
        <w:t>27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أيضا</w:t>
      </w:r>
      <w:r w:rsidR="00476B81">
        <w:rPr>
          <w:rFonts w:hint="cs"/>
          <w:spacing w:val="-2"/>
          <w:rtl/>
        </w:rPr>
        <w:t>ً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القطاعين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العام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والخاص.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بيد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أنه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عندما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تكون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الدولة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الطرف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هي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رب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فإنه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ينبغي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تتبع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نهجا</w:t>
      </w:r>
      <w:r w:rsidR="00476B81">
        <w:rPr>
          <w:rFonts w:hint="cs"/>
          <w:spacing w:val="-2"/>
          <w:rtl/>
        </w:rPr>
        <w:t>ً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أكثر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صرامة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إزاء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الإدماج.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وينبغي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تستحدث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الدول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الأطراف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معايير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موضوعية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لتوظيف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وترقيتهم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أساس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الجدارة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وأن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تلتزم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بزيادة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عدد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الموظفين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وإذا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لزم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الأمر،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ينبغي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اتخاذ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تدابير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محددة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لإذكاء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الوعي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داخل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القطاع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العام،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واستقطاب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وتوظيفهم،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ودعم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مستخدَمي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القطاع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العام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حتى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يعكس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تنوع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المجتمع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المحلي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ويستفيد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التجارب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يعيشها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الإعاقة.</w:t>
      </w:r>
    </w:p>
    <w:p w14:paraId="74021DF3" w14:textId="3E028C09" w:rsidR="00EC13CA" w:rsidRPr="003520EF" w:rsidRDefault="00EC13CA" w:rsidP="00DC6C59">
      <w:pPr>
        <w:pStyle w:val="SingleTxtGA"/>
        <w:spacing w:after="100"/>
      </w:pPr>
      <w:bookmarkStart w:id="19" w:name="_Hlk83849922"/>
      <w:r w:rsidRPr="005170C9">
        <w:rPr>
          <w:rtl/>
        </w:rPr>
        <w:t>41</w:t>
      </w:r>
      <w:r w:rsidRPr="003520EF">
        <w:rPr>
          <w:rtl/>
        </w:rPr>
        <w:t>-</w:t>
      </w:r>
      <w:r w:rsidRPr="003520EF">
        <w:rPr>
          <w:rtl/>
        </w:rPr>
        <w:tab/>
        <w:t>وما</w:t>
      </w:r>
      <w:r w:rsidR="00DC6C59">
        <w:rPr>
          <w:rtl/>
        </w:rPr>
        <w:t xml:space="preserve"> </w:t>
      </w:r>
      <w:r w:rsidRPr="003520EF">
        <w:rPr>
          <w:rtl/>
        </w:rPr>
        <w:t>فتئت</w:t>
      </w:r>
      <w:r w:rsidR="00DC6C59">
        <w:rPr>
          <w:rtl/>
        </w:rPr>
        <w:t xml:space="preserve"> </w:t>
      </w:r>
      <w:r w:rsidRPr="003520EF">
        <w:rPr>
          <w:rtl/>
        </w:rPr>
        <w:t>اللجنة</w:t>
      </w:r>
      <w:r w:rsidR="00DC6C59">
        <w:rPr>
          <w:rtl/>
        </w:rPr>
        <w:t xml:space="preserve"> </w:t>
      </w:r>
      <w:r w:rsidRPr="003520EF">
        <w:rPr>
          <w:rtl/>
        </w:rPr>
        <w:t>توصي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سعيها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زيادة</w:t>
      </w:r>
      <w:r w:rsidR="00DC6C59">
        <w:rPr>
          <w:rtl/>
        </w:rPr>
        <w:t xml:space="preserve"> </w:t>
      </w:r>
      <w:r w:rsidRPr="003520EF">
        <w:rPr>
          <w:rtl/>
        </w:rPr>
        <w:t>توظيف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العام،</w:t>
      </w:r>
      <w:r w:rsidR="00DC6C59">
        <w:rPr>
          <w:rtl/>
        </w:rPr>
        <w:t xml:space="preserve"> </w:t>
      </w:r>
      <w:r w:rsidRPr="003520EF">
        <w:rPr>
          <w:rtl/>
        </w:rPr>
        <w:t>بوضع</w:t>
      </w:r>
      <w:r w:rsidR="00DC6C59">
        <w:rPr>
          <w:rtl/>
        </w:rPr>
        <w:t xml:space="preserve"> </w:t>
      </w:r>
      <w:r w:rsidRPr="003520EF">
        <w:rPr>
          <w:rtl/>
        </w:rPr>
        <w:t>وتنفيذ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تصحيحية،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تخصيص</w:t>
      </w:r>
      <w:r w:rsidR="00DC6C59">
        <w:rPr>
          <w:rtl/>
        </w:rPr>
        <w:t xml:space="preserve"> </w:t>
      </w:r>
      <w:r w:rsidRPr="003520EF">
        <w:rPr>
          <w:rtl/>
        </w:rPr>
        <w:t>تمويل</w:t>
      </w:r>
      <w:r w:rsidR="00DC6C59">
        <w:rPr>
          <w:rtl/>
        </w:rPr>
        <w:t xml:space="preserve"> </w:t>
      </w:r>
      <w:r w:rsidRPr="003520EF">
        <w:rPr>
          <w:rtl/>
        </w:rPr>
        <w:t>محدد</w:t>
      </w:r>
      <w:r w:rsidR="00DC6C59">
        <w:rPr>
          <w:rtl/>
        </w:rPr>
        <w:t xml:space="preserve"> </w:t>
      </w:r>
      <w:r w:rsidRPr="003520EF">
        <w:rPr>
          <w:rtl/>
        </w:rPr>
        <w:t>الأهداف</w:t>
      </w:r>
      <w:r w:rsidR="00DC6C59">
        <w:rPr>
          <w:rtl/>
        </w:rPr>
        <w:t xml:space="preserve"> </w:t>
      </w:r>
      <w:r w:rsidRPr="003520EF">
        <w:rPr>
          <w:rtl/>
        </w:rPr>
        <w:t>لتعزيز</w:t>
      </w:r>
      <w:r w:rsidR="00DC6C59">
        <w:rPr>
          <w:rtl/>
        </w:rPr>
        <w:t xml:space="preserve"> </w:t>
      </w:r>
      <w:r w:rsidRPr="003520EF">
        <w:rPr>
          <w:rtl/>
        </w:rPr>
        <w:t>توظيف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القطاعين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والخاص،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البرامج</w:t>
      </w:r>
      <w:r w:rsidR="00DC6C59">
        <w:rPr>
          <w:rtl/>
        </w:rPr>
        <w:t xml:space="preserve"> </w:t>
      </w:r>
      <w:r w:rsidRPr="003520EF">
        <w:rPr>
          <w:rtl/>
        </w:rPr>
        <w:t>المهنية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6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وتشمل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الأخرى</w:t>
      </w:r>
      <w:r w:rsidR="00DC6C59">
        <w:rPr>
          <w:rtl/>
        </w:rPr>
        <w:t xml:space="preserve"> </w:t>
      </w:r>
      <w:r w:rsidRPr="003520EF">
        <w:rPr>
          <w:rtl/>
        </w:rPr>
        <w:t>تخصيص</w:t>
      </w:r>
      <w:r w:rsidR="00DC6C59">
        <w:rPr>
          <w:rtl/>
        </w:rPr>
        <w:t xml:space="preserve"> </w:t>
      </w:r>
      <w:r w:rsidRPr="003520EF">
        <w:rPr>
          <w:rtl/>
        </w:rPr>
        <w:t>حصص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غايات</w:t>
      </w:r>
      <w:r w:rsidR="00DC6C59">
        <w:rPr>
          <w:rtl/>
        </w:rPr>
        <w:t xml:space="preserve"> </w:t>
      </w:r>
      <w:r w:rsidRPr="003520EF">
        <w:rPr>
          <w:rtl/>
        </w:rPr>
        <w:t>-</w:t>
      </w:r>
      <w:r w:rsidR="00DC6C59">
        <w:rPr>
          <w:rtl/>
        </w:rPr>
        <w:t xml:space="preserve"> </w:t>
      </w:r>
      <w:r w:rsidRPr="003520EF">
        <w:rPr>
          <w:rtl/>
        </w:rPr>
        <w:t>وهي</w:t>
      </w:r>
      <w:r w:rsidR="00DC6C59">
        <w:rPr>
          <w:rtl/>
        </w:rPr>
        <w:t xml:space="preserve"> </w:t>
      </w:r>
      <w:r w:rsidRPr="003520EF">
        <w:rPr>
          <w:rtl/>
        </w:rPr>
        <w:t>شروط</w:t>
      </w:r>
      <w:r w:rsidR="00DC6C59">
        <w:rPr>
          <w:rtl/>
        </w:rPr>
        <w:t xml:space="preserve"> </w:t>
      </w:r>
      <w:r w:rsidRPr="003520EF">
        <w:rPr>
          <w:rtl/>
        </w:rPr>
        <w:t>تنص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نسبة</w:t>
      </w:r>
      <w:r w:rsidR="00DC6C59">
        <w:rPr>
          <w:rtl/>
        </w:rPr>
        <w:t xml:space="preserve"> </w:t>
      </w:r>
      <w:r w:rsidRPr="003520EF">
        <w:rPr>
          <w:rtl/>
        </w:rPr>
        <w:t>مئوية</w:t>
      </w:r>
      <w:r w:rsidR="00DC6C59">
        <w:rPr>
          <w:rtl/>
        </w:rPr>
        <w:t xml:space="preserve"> </w:t>
      </w:r>
      <w:r w:rsidRPr="003520EF">
        <w:rPr>
          <w:rtl/>
        </w:rPr>
        <w:t>محددة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الأقل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القوى</w:t>
      </w:r>
      <w:r w:rsidR="00DC6C59">
        <w:rPr>
          <w:rtl/>
        </w:rPr>
        <w:t xml:space="preserve"> </w:t>
      </w:r>
      <w:r w:rsidRPr="003520EF">
        <w:rPr>
          <w:rtl/>
        </w:rPr>
        <w:t>العاملة</w:t>
      </w:r>
      <w:r w:rsidR="00DC6C59">
        <w:rPr>
          <w:rtl/>
        </w:rPr>
        <w:t xml:space="preserve"> </w:t>
      </w:r>
      <w:r w:rsidRPr="003520EF">
        <w:rPr>
          <w:rtl/>
        </w:rPr>
        <w:t>لدى</w:t>
      </w:r>
      <w:r w:rsidR="00DC6C59">
        <w:rPr>
          <w:rtl/>
        </w:rPr>
        <w:t xml:space="preserve"> </w:t>
      </w:r>
      <w:r w:rsidRPr="003520EF">
        <w:rPr>
          <w:rtl/>
        </w:rPr>
        <w:t>رب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مستخدَمين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إعاقة.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مشفوعة</w:t>
      </w:r>
      <w:r w:rsidR="00DC6C59">
        <w:rPr>
          <w:rtl/>
        </w:rPr>
        <w:t xml:space="preserve"> </w:t>
      </w:r>
      <w:r w:rsidRPr="003520EF">
        <w:rPr>
          <w:rtl/>
        </w:rPr>
        <w:t>بشرط</w:t>
      </w:r>
      <w:r w:rsidR="00DC6C59">
        <w:rPr>
          <w:rtl/>
        </w:rPr>
        <w:t xml:space="preserve"> </w:t>
      </w:r>
      <w:r w:rsidRPr="003520EF">
        <w:rPr>
          <w:rtl/>
        </w:rPr>
        <w:t>الإبلاغ</w:t>
      </w:r>
      <w:r w:rsidR="00DC6C59">
        <w:rPr>
          <w:rtl/>
        </w:rPr>
        <w:t xml:space="preserve"> </w:t>
      </w:r>
      <w:r w:rsidRPr="003520EF">
        <w:rPr>
          <w:rtl/>
        </w:rPr>
        <w:t>السنوي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امتثال</w:t>
      </w:r>
      <w:r w:rsidR="00DC6C59">
        <w:rPr>
          <w:rtl/>
        </w:rPr>
        <w:t xml:space="preserve"> </w:t>
      </w:r>
      <w:r w:rsidRPr="003520EF">
        <w:rPr>
          <w:rtl/>
        </w:rPr>
        <w:t>السلطات</w:t>
      </w:r>
      <w:r w:rsidR="00DC6C59">
        <w:rPr>
          <w:rtl/>
        </w:rPr>
        <w:t xml:space="preserve"> </w:t>
      </w:r>
      <w:r w:rsidRPr="003520EF">
        <w:rPr>
          <w:rtl/>
        </w:rPr>
        <w:t>العامة.</w:t>
      </w:r>
    </w:p>
    <w:bookmarkEnd w:id="19"/>
    <w:p w14:paraId="1043EBD7" w14:textId="7729DB36" w:rsidR="00EC13CA" w:rsidRPr="005170C9" w:rsidRDefault="00EC13CA" w:rsidP="00EC13CA">
      <w:pPr>
        <w:pStyle w:val="H1GA"/>
      </w:pPr>
      <w:r w:rsidRPr="005170C9">
        <w:rPr>
          <w:rtl/>
        </w:rPr>
        <w:tab/>
      </w:r>
      <w:r w:rsidRPr="005170C9">
        <w:rPr>
          <w:rFonts w:hint="cs"/>
          <w:rtl/>
        </w:rPr>
        <w:t>طاء</w:t>
      </w:r>
      <w:r w:rsidRPr="005170C9">
        <w:rPr>
          <w:rtl/>
        </w:rPr>
        <w:t>-</w:t>
      </w:r>
      <w:r w:rsidRPr="005170C9">
        <w:rPr>
          <w:rtl/>
        </w:rPr>
        <w:tab/>
        <w:t>تشجيع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العمالة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القطاع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الخاص،</w:t>
      </w:r>
      <w:r w:rsidR="00DC6C59" w:rsidRPr="005170C9">
        <w:rPr>
          <w:rtl/>
        </w:rPr>
        <w:t xml:space="preserve"> </w:t>
      </w:r>
      <w:r w:rsidRPr="005170C9">
        <w:rPr>
          <w:rtl/>
        </w:rPr>
        <w:t>بما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ذلك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البرامج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التصحيحية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27(1)(ح))</w:t>
      </w:r>
    </w:p>
    <w:p w14:paraId="18BB54A0" w14:textId="5FDE66B0" w:rsidR="00EC13CA" w:rsidRPr="00DC6C59" w:rsidRDefault="00EC13CA" w:rsidP="00DC6C59">
      <w:pPr>
        <w:pStyle w:val="SingleTxtGA"/>
        <w:spacing w:after="100"/>
        <w:rPr>
          <w:spacing w:val="-3"/>
        </w:rPr>
      </w:pPr>
      <w:r w:rsidRPr="005170C9">
        <w:rPr>
          <w:spacing w:val="-3"/>
          <w:rtl/>
        </w:rPr>
        <w:t>42</w:t>
      </w:r>
      <w:r w:rsidRPr="00DC6C59">
        <w:rPr>
          <w:spacing w:val="-3"/>
          <w:rtl/>
        </w:rPr>
        <w:t>-</w:t>
      </w:r>
      <w:r w:rsidRPr="00DC6C59">
        <w:rPr>
          <w:spacing w:val="-3"/>
          <w:rtl/>
        </w:rPr>
        <w:tab/>
        <w:t>أوصت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اللجنة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الدول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الأطراف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باستراتيجيات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لزيادة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توظيف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الأشخاص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ذوي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الإعاقة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في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القطاع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العام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تسري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بنفس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القدر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على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القطاع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الخاص.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وقد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يلزم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اتخاذ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تدابير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تصحيحية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محددة،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من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تخصيص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حصص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لزيادة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توظيف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الأشخاص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ذوي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الإعاقة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في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القطاع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الخاص.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وفي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الوقت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نفسه،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فإن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الحصص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وحدها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غير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كافية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لتعزيز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توظيف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الأشخاص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ذوي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الإعاقة،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وقد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يقاومها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الأشخاص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ذوو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الإعاقة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إذا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ركز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النظام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على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الإعاقة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بدلا</w:t>
      </w:r>
      <w:r w:rsidR="00476B81">
        <w:rPr>
          <w:rFonts w:hint="cs"/>
          <w:spacing w:val="-3"/>
          <w:rtl/>
        </w:rPr>
        <w:t>ً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من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القدرة.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وتثير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الحصص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أيضا</w:t>
      </w:r>
      <w:r w:rsidR="00476B81">
        <w:rPr>
          <w:rFonts w:hint="cs"/>
          <w:spacing w:val="-3"/>
          <w:rtl/>
        </w:rPr>
        <w:t>ً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مسائل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تتعلق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بالسرية.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وتشمل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التدابير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التصحيحية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الأخرى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تدابير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الشراء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العام،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مثل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عمليات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المناقصة،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التي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تعطي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الأفضلية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للمؤسسات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التي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يملكها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أشخاص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ذوو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إعاقة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أو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التي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توظف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أشخاصا</w:t>
      </w:r>
      <w:r w:rsidR="00476B81">
        <w:rPr>
          <w:rFonts w:hint="cs"/>
          <w:spacing w:val="-3"/>
          <w:rtl/>
        </w:rPr>
        <w:t>ً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ذوي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إعاقة،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وتخصيص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تمويل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محدد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الهدف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لتشجيع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توظيف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الأشخاص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ذوي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الإعاقة،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مثل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تعديل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بيئة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العمل،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ودعم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أجور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المتمرنين،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والتخفيضات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الضريبية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من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المرتبات،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وإعانات</w:t>
      </w:r>
      <w:r w:rsidR="00DC6C59" w:rsidRPr="00DC6C59">
        <w:rPr>
          <w:spacing w:val="-3"/>
          <w:rtl/>
        </w:rPr>
        <w:t xml:space="preserve"> </w:t>
      </w:r>
      <w:r w:rsidRPr="00DC6C59">
        <w:rPr>
          <w:spacing w:val="-3"/>
          <w:rtl/>
        </w:rPr>
        <w:t>الأجور.</w:t>
      </w:r>
    </w:p>
    <w:p w14:paraId="65AA3678" w14:textId="58A2CCF3" w:rsidR="00EC13CA" w:rsidRPr="00DC6C59" w:rsidRDefault="00EC13CA" w:rsidP="00DC6C59">
      <w:pPr>
        <w:pStyle w:val="SingleTxtGA"/>
        <w:spacing w:after="100"/>
        <w:rPr>
          <w:spacing w:val="-2"/>
        </w:rPr>
      </w:pPr>
      <w:r w:rsidRPr="005170C9">
        <w:rPr>
          <w:spacing w:val="-2"/>
          <w:rtl/>
        </w:rPr>
        <w:t>43</w:t>
      </w:r>
      <w:r w:rsidRPr="00DC6C59">
        <w:rPr>
          <w:spacing w:val="-2"/>
          <w:rtl/>
        </w:rPr>
        <w:t>-</w:t>
      </w:r>
      <w:r w:rsidRPr="00DC6C59">
        <w:rPr>
          <w:spacing w:val="-2"/>
          <w:rtl/>
        </w:rPr>
        <w:tab/>
        <w:t>ولا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تعتبر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سياسات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الشراء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التفضيلية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تشجع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تدعم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العمالة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المنفصلة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تدابير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تصحيحية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تتسق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الاتفاقية.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ولضمان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الاتساق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الاتفاقية،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تنطوي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الإجراءات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التصحيحية،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جملة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أمور،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يلي</w:t>
      </w:r>
      <w:r w:rsidR="00DC6C59" w:rsidRPr="00DC6C59">
        <w:rPr>
          <w:spacing w:val="-2"/>
          <w:rtl/>
        </w:rPr>
        <w:t xml:space="preserve">: </w:t>
      </w:r>
    </w:p>
    <w:p w14:paraId="4DF88A36" w14:textId="26A5C7BB" w:rsidR="00EC13CA" w:rsidRPr="003520EF" w:rsidRDefault="00EC13CA" w:rsidP="00DC6C59">
      <w:pPr>
        <w:pStyle w:val="SingleTxtGA"/>
        <w:spacing w:after="100"/>
      </w:pPr>
      <w:r w:rsidRPr="003520EF">
        <w:rPr>
          <w:rtl/>
        </w:rPr>
        <w:tab/>
        <w:t>(أ)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قيام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الأعمال</w:t>
      </w:r>
      <w:r w:rsidR="00DC6C59">
        <w:rPr>
          <w:rtl/>
        </w:rPr>
        <w:t xml:space="preserve"> </w:t>
      </w:r>
      <w:r w:rsidRPr="003520EF">
        <w:rPr>
          <w:rtl/>
        </w:rPr>
        <w:t>بحصر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مهن</w:t>
      </w:r>
      <w:r w:rsidR="00DC6C59">
        <w:rPr>
          <w:rtl/>
        </w:rPr>
        <w:t xml:space="preserve"> </w:t>
      </w:r>
      <w:r w:rsidRPr="003520EF">
        <w:rPr>
          <w:rtl/>
        </w:rPr>
        <w:t>معينة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Fonts w:hint="cs"/>
          <w:rtl/>
        </w:rPr>
        <w:t> </w:t>
      </w:r>
      <w:r w:rsidRPr="003520EF">
        <w:rPr>
          <w:rtl/>
        </w:rPr>
        <w:t>وظائف</w:t>
      </w:r>
      <w:r w:rsidR="00DC6C59">
        <w:rPr>
          <w:rtl/>
        </w:rPr>
        <w:t xml:space="preserve"> </w:t>
      </w:r>
      <w:r w:rsidRPr="003520EF">
        <w:rPr>
          <w:rtl/>
        </w:rPr>
        <w:t>محجوزة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وحدات</w:t>
      </w:r>
      <w:r w:rsidR="00DC6C59">
        <w:rPr>
          <w:rtl/>
        </w:rPr>
        <w:t xml:space="preserve"> </w:t>
      </w:r>
      <w:r w:rsidRPr="003520EF">
        <w:rPr>
          <w:rtl/>
        </w:rPr>
        <w:t>توظيف</w:t>
      </w:r>
      <w:r w:rsidR="00DC6C59">
        <w:rPr>
          <w:rtl/>
        </w:rPr>
        <w:t xml:space="preserve"> </w:t>
      </w:r>
      <w:r w:rsidRPr="003520EF">
        <w:rPr>
          <w:rtl/>
        </w:rPr>
        <w:t>محددة؛</w:t>
      </w:r>
    </w:p>
    <w:p w14:paraId="52DB13AE" w14:textId="5084773B" w:rsidR="00EC13CA" w:rsidRPr="003520EF" w:rsidRDefault="00EC13CA" w:rsidP="00C12E18">
      <w:pPr>
        <w:pStyle w:val="SingleTxtGA"/>
        <w:spacing w:after="100"/>
      </w:pPr>
      <w:r w:rsidRPr="003520EF">
        <w:rPr>
          <w:rtl/>
        </w:rPr>
        <w:lastRenderedPageBreak/>
        <w:tab/>
        <w:t>(ب)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تقييد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لفرص</w:t>
      </w:r>
      <w:r w:rsidR="00DC6C59">
        <w:rPr>
          <w:rtl/>
        </w:rPr>
        <w:t xml:space="preserve"> </w:t>
      </w:r>
      <w:r w:rsidRPr="003520EF">
        <w:rPr>
          <w:rtl/>
        </w:rPr>
        <w:t>وصول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الترقية</w:t>
      </w:r>
      <w:r w:rsidR="00DC6C59">
        <w:rPr>
          <w:rtl/>
        </w:rPr>
        <w:t xml:space="preserve"> </w:t>
      </w:r>
      <w:r w:rsidRPr="003520EF">
        <w:rPr>
          <w:rtl/>
        </w:rPr>
        <w:t>والنمو</w:t>
      </w:r>
      <w:r w:rsidR="00DC6C59">
        <w:rPr>
          <w:rtl/>
        </w:rPr>
        <w:t xml:space="preserve"> </w:t>
      </w:r>
      <w:r w:rsidRPr="003520EF">
        <w:rPr>
          <w:rtl/>
        </w:rPr>
        <w:t>الوظيفي؛</w:t>
      </w:r>
      <w:r w:rsidR="00DC6C59">
        <w:rPr>
          <w:rtl/>
        </w:rPr>
        <w:t xml:space="preserve"> </w:t>
      </w:r>
    </w:p>
    <w:p w14:paraId="398EE0CA" w14:textId="5B9E7108" w:rsidR="00EC13CA" w:rsidRPr="003520EF" w:rsidRDefault="00EC13CA" w:rsidP="00C12E18">
      <w:pPr>
        <w:pStyle w:val="SingleTxtGA"/>
        <w:spacing w:after="100"/>
      </w:pPr>
      <w:r w:rsidRPr="003520EF">
        <w:rPr>
          <w:rtl/>
        </w:rPr>
        <w:tab/>
        <w:t>(ج)</w:t>
      </w:r>
      <w:r w:rsidRPr="003520EF">
        <w:rPr>
          <w:rtl/>
        </w:rPr>
        <w:tab/>
        <w:t>اتخاذ</w:t>
      </w:r>
      <w:r w:rsidR="00DC6C59">
        <w:rPr>
          <w:rtl/>
        </w:rPr>
        <w:t xml:space="preserve"> </w:t>
      </w:r>
      <w:r w:rsidRPr="003520EF">
        <w:rPr>
          <w:rtl/>
        </w:rPr>
        <w:t>خطوات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ألا</w:t>
      </w:r>
      <w:r w:rsidR="00DC6C59">
        <w:rPr>
          <w:rtl/>
        </w:rPr>
        <w:t xml:space="preserve"> </w:t>
      </w:r>
      <w:r w:rsidRPr="003520EF">
        <w:rPr>
          <w:rtl/>
        </w:rPr>
        <w:t>يشكل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يتم</w:t>
      </w:r>
      <w:r w:rsidR="00DC6C59">
        <w:rPr>
          <w:rtl/>
        </w:rPr>
        <w:t xml:space="preserve"> </w:t>
      </w:r>
      <w:r w:rsidRPr="003520EF">
        <w:rPr>
          <w:rtl/>
        </w:rPr>
        <w:t>الترويج</w:t>
      </w:r>
      <w:r w:rsidR="00DC6C59">
        <w:rPr>
          <w:rtl/>
        </w:rPr>
        <w:t xml:space="preserve"> </w:t>
      </w:r>
      <w:r w:rsidRPr="003520EF">
        <w:rPr>
          <w:rtl/>
        </w:rPr>
        <w:t>له</w:t>
      </w:r>
      <w:r w:rsidR="00DC6C59">
        <w:rPr>
          <w:rtl/>
        </w:rPr>
        <w:t xml:space="preserve"> </w:t>
      </w:r>
      <w:r w:rsidRPr="003520EF">
        <w:rPr>
          <w:rtl/>
        </w:rPr>
        <w:t>بموجب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عملا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"صوريا</w:t>
      </w:r>
      <w:r w:rsidR="00DC6C59">
        <w:rPr>
          <w:rFonts w:hint="cs"/>
          <w:rtl/>
        </w:rPr>
        <w:t>ً</w:t>
      </w:r>
      <w:r w:rsidRPr="003520EF">
        <w:rPr>
          <w:rtl/>
        </w:rPr>
        <w:t>"،</w:t>
      </w:r>
      <w:r w:rsidR="00DC6C59">
        <w:rPr>
          <w:rtl/>
        </w:rPr>
        <w:t xml:space="preserve"> </w:t>
      </w:r>
      <w:r w:rsidRPr="003520EF">
        <w:rPr>
          <w:rtl/>
        </w:rPr>
        <w:t>حيث</w:t>
      </w:r>
      <w:r w:rsidR="00DC6C59">
        <w:rPr>
          <w:rtl/>
        </w:rPr>
        <w:t xml:space="preserve"> </w:t>
      </w:r>
      <w:r w:rsidRPr="003520EF">
        <w:rPr>
          <w:rtl/>
        </w:rPr>
        <w:t>يشغل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دون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يؤدوا</w:t>
      </w:r>
      <w:r w:rsidR="00DC6C59">
        <w:rPr>
          <w:rtl/>
        </w:rPr>
        <w:t xml:space="preserve"> </w:t>
      </w:r>
      <w:r w:rsidRPr="003520EF">
        <w:rPr>
          <w:rtl/>
        </w:rPr>
        <w:t>عملا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يكون</w:t>
      </w:r>
      <w:r w:rsidR="00DC6C59">
        <w:rPr>
          <w:rtl/>
        </w:rPr>
        <w:t xml:space="preserve"> </w:t>
      </w:r>
      <w:r w:rsidRPr="003520EF">
        <w:rPr>
          <w:rtl/>
        </w:rPr>
        <w:t>لهم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مُجد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الآخرين؛</w:t>
      </w:r>
      <w:r w:rsidR="00DC6C59">
        <w:rPr>
          <w:rtl/>
        </w:rPr>
        <w:t xml:space="preserve"> </w:t>
      </w:r>
    </w:p>
    <w:p w14:paraId="39527269" w14:textId="2CBCE667" w:rsidR="00EC13CA" w:rsidRPr="003520EF" w:rsidRDefault="00EC13CA" w:rsidP="00C12E18">
      <w:pPr>
        <w:pStyle w:val="SingleTxtGA"/>
        <w:spacing w:after="100"/>
      </w:pPr>
      <w:r w:rsidRPr="003520EF">
        <w:rPr>
          <w:rtl/>
        </w:rPr>
        <w:tab/>
        <w:t>(د)</w:t>
      </w:r>
      <w:r w:rsidRPr="003520EF">
        <w:rPr>
          <w:rtl/>
        </w:rPr>
        <w:tab/>
        <w:t>دمج</w:t>
      </w:r>
      <w:r w:rsidR="00DC6C59">
        <w:rPr>
          <w:rtl/>
        </w:rPr>
        <w:t xml:space="preserve"> </w:t>
      </w:r>
      <w:r w:rsidRPr="003520EF">
        <w:rPr>
          <w:rtl/>
        </w:rPr>
        <w:t>منظور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والمنظور</w:t>
      </w:r>
      <w:r w:rsidR="00DC6C59">
        <w:rPr>
          <w:rtl/>
        </w:rPr>
        <w:t xml:space="preserve"> </w:t>
      </w:r>
      <w:r w:rsidRPr="003520EF">
        <w:rPr>
          <w:rtl/>
        </w:rPr>
        <w:t>الجنساني</w:t>
      </w:r>
      <w:r w:rsidR="00DC6C59">
        <w:rPr>
          <w:rtl/>
        </w:rPr>
        <w:t xml:space="preserve"> </w:t>
      </w:r>
      <w:r w:rsidRPr="003520EF">
        <w:rPr>
          <w:rtl/>
        </w:rPr>
        <w:t>ومنظور</w:t>
      </w:r>
      <w:r w:rsidR="00DC6C59">
        <w:rPr>
          <w:rtl/>
        </w:rPr>
        <w:t xml:space="preserve"> </w:t>
      </w:r>
      <w:r w:rsidRPr="003520EF">
        <w:rPr>
          <w:rtl/>
        </w:rPr>
        <w:t>العمر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كله.</w:t>
      </w:r>
    </w:p>
    <w:p w14:paraId="2AFBF57F" w14:textId="68633504" w:rsidR="00EC13CA" w:rsidRPr="003520EF" w:rsidRDefault="00EC13CA" w:rsidP="00C12E18">
      <w:pPr>
        <w:pStyle w:val="SingleTxtGA"/>
        <w:spacing w:after="100"/>
      </w:pPr>
      <w:r w:rsidRPr="005170C9">
        <w:rPr>
          <w:rtl/>
        </w:rPr>
        <w:t>44</w:t>
      </w:r>
      <w:r w:rsidRPr="003520EF">
        <w:rPr>
          <w:rtl/>
        </w:rPr>
        <w:t>-</w:t>
      </w:r>
      <w:r w:rsidRPr="003520EF">
        <w:rPr>
          <w:rtl/>
        </w:rPr>
        <w:tab/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تتشاور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بصورة</w:t>
      </w:r>
      <w:r w:rsidR="00DC6C59">
        <w:rPr>
          <w:rtl/>
        </w:rPr>
        <w:t xml:space="preserve"> </w:t>
      </w:r>
      <w:r w:rsidRPr="003520EF">
        <w:rPr>
          <w:rtl/>
        </w:rPr>
        <w:t>وثيقة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منظمات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عند</w:t>
      </w:r>
      <w:r w:rsidR="00DC6C59">
        <w:rPr>
          <w:rtl/>
        </w:rPr>
        <w:t xml:space="preserve"> </w:t>
      </w:r>
      <w:r w:rsidRPr="003520EF">
        <w:rPr>
          <w:rtl/>
        </w:rPr>
        <w:t>تصميم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التصحيحية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7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وستكون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الخاص</w:t>
      </w:r>
      <w:r w:rsidR="00DC6C59">
        <w:rPr>
          <w:rtl/>
        </w:rPr>
        <w:t xml:space="preserve"> </w:t>
      </w:r>
      <w:r w:rsidRPr="003520EF">
        <w:rPr>
          <w:rtl/>
        </w:rPr>
        <w:t>أكثر</w:t>
      </w:r>
      <w:r w:rsidR="00DC6C59">
        <w:rPr>
          <w:rtl/>
        </w:rPr>
        <w:t xml:space="preserve"> </w:t>
      </w:r>
      <w:r w:rsidRPr="003520EF">
        <w:rPr>
          <w:rtl/>
        </w:rPr>
        <w:t>فعالية</w:t>
      </w:r>
      <w:r w:rsidR="00DC6C59">
        <w:rPr>
          <w:rtl/>
        </w:rPr>
        <w:t xml:space="preserve"> </w:t>
      </w:r>
      <w:r w:rsidRPr="003520EF">
        <w:rPr>
          <w:rtl/>
        </w:rPr>
        <w:t>إذا</w:t>
      </w:r>
      <w:r w:rsidR="00DC6C59">
        <w:rPr>
          <w:rtl/>
        </w:rPr>
        <w:t xml:space="preserve"> </w:t>
      </w:r>
      <w:r w:rsidRPr="003520EF">
        <w:rPr>
          <w:rtl/>
        </w:rPr>
        <w:t>شكلت</w:t>
      </w:r>
      <w:r w:rsidR="00DC6C59">
        <w:rPr>
          <w:rtl/>
        </w:rPr>
        <w:t xml:space="preserve"> </w:t>
      </w:r>
      <w:r w:rsidRPr="003520EF">
        <w:rPr>
          <w:rtl/>
        </w:rPr>
        <w:t>جزءا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نهج</w:t>
      </w:r>
      <w:r w:rsidR="00DC6C59">
        <w:rPr>
          <w:rtl/>
        </w:rPr>
        <w:t xml:space="preserve"> </w:t>
      </w:r>
      <w:r w:rsidRPr="003520EF">
        <w:rPr>
          <w:rtl/>
        </w:rPr>
        <w:t>شمولي</w:t>
      </w:r>
      <w:r w:rsidR="00DC6C59">
        <w:rPr>
          <w:rtl/>
        </w:rPr>
        <w:t xml:space="preserve"> </w:t>
      </w:r>
      <w:r w:rsidRPr="003520EF">
        <w:rPr>
          <w:rtl/>
        </w:rPr>
        <w:t>تتبعه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لتعزيز</w:t>
      </w:r>
      <w:r w:rsidR="00DC6C59">
        <w:rPr>
          <w:rtl/>
        </w:rPr>
        <w:t xml:space="preserve"> </w:t>
      </w:r>
      <w:r w:rsidRPr="003520EF">
        <w:rPr>
          <w:rtl/>
        </w:rPr>
        <w:t>عمالة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</w:p>
    <w:p w14:paraId="1F05CA54" w14:textId="4AA7A98E" w:rsidR="00EC13CA" w:rsidRPr="005170C9" w:rsidRDefault="00EC13CA" w:rsidP="00EC13CA">
      <w:pPr>
        <w:pStyle w:val="H1GA"/>
      </w:pPr>
      <w:r w:rsidRPr="005170C9">
        <w:rPr>
          <w:rtl/>
        </w:rPr>
        <w:tab/>
        <w:t>ياء-</w:t>
      </w:r>
      <w:r w:rsidRPr="005170C9">
        <w:rPr>
          <w:rtl/>
        </w:rPr>
        <w:tab/>
        <w:t>توفير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الترتيبات</w:t>
      </w:r>
      <w:r w:rsidR="00DC6C59" w:rsidRPr="005170C9">
        <w:rPr>
          <w:rtl/>
        </w:rPr>
        <w:t xml:space="preserve"> </w:t>
      </w:r>
      <w:proofErr w:type="spellStart"/>
      <w:r w:rsidRPr="005170C9">
        <w:rPr>
          <w:rtl/>
        </w:rPr>
        <w:t>التيسيرية</w:t>
      </w:r>
      <w:proofErr w:type="spellEnd"/>
      <w:r w:rsidR="00DC6C59" w:rsidRPr="005170C9">
        <w:rPr>
          <w:rtl/>
        </w:rPr>
        <w:t xml:space="preserve"> </w:t>
      </w:r>
      <w:r w:rsidRPr="005170C9">
        <w:rPr>
          <w:rtl/>
        </w:rPr>
        <w:t>المعقولة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مكان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27(1)'ط')</w:t>
      </w:r>
    </w:p>
    <w:p w14:paraId="3C2FAD0A" w14:textId="40F5D6FC" w:rsidR="00EC13CA" w:rsidRPr="00DC6C59" w:rsidRDefault="00EC13CA" w:rsidP="00C12E18">
      <w:pPr>
        <w:pStyle w:val="SingleTxtGA"/>
        <w:spacing w:after="100"/>
        <w:rPr>
          <w:spacing w:val="-2"/>
        </w:rPr>
      </w:pPr>
      <w:r w:rsidRPr="005170C9">
        <w:rPr>
          <w:spacing w:val="-2"/>
          <w:rtl/>
        </w:rPr>
        <w:t>45</w:t>
      </w:r>
      <w:r w:rsidRPr="00DC6C59">
        <w:rPr>
          <w:spacing w:val="-2"/>
          <w:rtl/>
        </w:rPr>
        <w:t>-</w:t>
      </w:r>
      <w:r w:rsidRPr="00DC6C59">
        <w:rPr>
          <w:spacing w:val="-2"/>
          <w:rtl/>
        </w:rPr>
        <w:tab/>
        <w:t>يختلف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واجب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توفير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الترتيبات</w:t>
      </w:r>
      <w:r w:rsidR="00DC6C59" w:rsidRPr="00DC6C59">
        <w:rPr>
          <w:spacing w:val="-2"/>
          <w:rtl/>
        </w:rPr>
        <w:t xml:space="preserve"> </w:t>
      </w:r>
      <w:proofErr w:type="spellStart"/>
      <w:r w:rsidRPr="00DC6C59">
        <w:rPr>
          <w:spacing w:val="-2"/>
          <w:rtl/>
        </w:rPr>
        <w:t>التيسيرية</w:t>
      </w:r>
      <w:proofErr w:type="spellEnd"/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المعقولة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واجب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ضمان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إمكانية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الوصول.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فالترتيبات</w:t>
      </w:r>
      <w:r w:rsidR="00DC6C59" w:rsidRPr="00DC6C59">
        <w:rPr>
          <w:spacing w:val="-2"/>
          <w:rtl/>
        </w:rPr>
        <w:t xml:space="preserve"> </w:t>
      </w:r>
      <w:proofErr w:type="spellStart"/>
      <w:r w:rsidRPr="00DC6C59">
        <w:rPr>
          <w:spacing w:val="-2"/>
          <w:rtl/>
        </w:rPr>
        <w:t>التيسيرية</w:t>
      </w:r>
      <w:proofErr w:type="spellEnd"/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المعقولة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تنطوي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الإفراد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توفير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التعديلات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والترتيبات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والدعم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لتمكين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الأشخاص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الوفاء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بالمتطلبات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المتأصلة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عملهم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قدم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المساواة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الآخرين.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وينبغي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تكفل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الدول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الأطراف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تسهيل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توفير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الترتيبات</w:t>
      </w:r>
      <w:r w:rsidR="00DC6C59" w:rsidRPr="00DC6C59">
        <w:rPr>
          <w:spacing w:val="-2"/>
          <w:rtl/>
        </w:rPr>
        <w:t xml:space="preserve"> </w:t>
      </w:r>
      <w:proofErr w:type="spellStart"/>
      <w:r w:rsidRPr="00DC6C59">
        <w:rPr>
          <w:spacing w:val="-2"/>
          <w:rtl/>
        </w:rPr>
        <w:t>التيسيرية</w:t>
      </w:r>
      <w:proofErr w:type="spellEnd"/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المعقولة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خلال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التدابير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والبرامج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توفر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المساعدة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التقنية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والمالية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لأرباب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القطاعين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العام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والخاص.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ومع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ذلك،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إطار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واجب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توفير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إمكانية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الوصول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الواقع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عاتق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أرباب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القطاعين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العام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والخاص،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يلزم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يضمن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أرباب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امتلاكهم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لعملية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واضحة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ويسهل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الانخراط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فيها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الوقت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المناسب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للتعامل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مع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الحاجة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إلى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الترتيبات</w:t>
      </w:r>
      <w:r w:rsidR="00DC6C59" w:rsidRPr="00DC6C59">
        <w:rPr>
          <w:spacing w:val="-2"/>
          <w:rtl/>
        </w:rPr>
        <w:t xml:space="preserve"> </w:t>
      </w:r>
      <w:proofErr w:type="spellStart"/>
      <w:r w:rsidRPr="00DC6C59">
        <w:rPr>
          <w:spacing w:val="-2"/>
          <w:rtl/>
        </w:rPr>
        <w:t>التيسيرية</w:t>
      </w:r>
      <w:proofErr w:type="spellEnd"/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المعقولة.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وعندما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يقف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الفرد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أو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رب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عائق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يحول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دون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الإدماج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الكامل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للفرد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ذي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الإعاقة،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فإنه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يجب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على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رب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العمل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اتخاذ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الخطوات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التالية،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لأن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عدم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القيام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بذلك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سيشكل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حرمانا</w:t>
      </w:r>
      <w:r w:rsidR="00476B81">
        <w:rPr>
          <w:rFonts w:hint="cs"/>
          <w:spacing w:val="-2"/>
          <w:rtl/>
        </w:rPr>
        <w:t>ً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من</w:t>
      </w:r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الترتيبات</w:t>
      </w:r>
      <w:r w:rsidR="00DC6C59" w:rsidRPr="00DC6C59">
        <w:rPr>
          <w:spacing w:val="-2"/>
          <w:rtl/>
        </w:rPr>
        <w:t xml:space="preserve"> </w:t>
      </w:r>
      <w:proofErr w:type="spellStart"/>
      <w:r w:rsidRPr="00DC6C59">
        <w:rPr>
          <w:spacing w:val="-2"/>
          <w:rtl/>
        </w:rPr>
        <w:t>التيسيرية</w:t>
      </w:r>
      <w:proofErr w:type="spellEnd"/>
      <w:r w:rsidR="00DC6C59" w:rsidRPr="00DC6C59">
        <w:rPr>
          <w:spacing w:val="-2"/>
          <w:rtl/>
        </w:rPr>
        <w:t xml:space="preserve"> </w:t>
      </w:r>
      <w:r w:rsidRPr="00DC6C59">
        <w:rPr>
          <w:spacing w:val="-2"/>
          <w:rtl/>
        </w:rPr>
        <w:t>المعقولة</w:t>
      </w:r>
      <w:r w:rsidR="00DC6C59" w:rsidRPr="00DC6C59">
        <w:rPr>
          <w:spacing w:val="-2"/>
          <w:rtl/>
        </w:rPr>
        <w:t>:</w:t>
      </w:r>
      <w:bookmarkStart w:id="20" w:name="_Hlk109986806"/>
      <w:bookmarkStart w:id="21" w:name="_Hlk110255950"/>
      <w:bookmarkEnd w:id="20"/>
    </w:p>
    <w:p w14:paraId="0C0E3F23" w14:textId="680F3B85" w:rsidR="00EC13CA" w:rsidRPr="003520EF" w:rsidRDefault="00EC13CA" w:rsidP="00C12E18">
      <w:pPr>
        <w:pStyle w:val="SingleTxtGA"/>
        <w:spacing w:after="100"/>
      </w:pPr>
      <w:r w:rsidRPr="003520EF">
        <w:rPr>
          <w:rtl/>
        </w:rPr>
        <w:tab/>
        <w:t>(أ)</w:t>
      </w:r>
      <w:r w:rsidRPr="003520EF">
        <w:rPr>
          <w:rtl/>
        </w:rPr>
        <w:tab/>
        <w:t>يعمل</w:t>
      </w:r>
      <w:r w:rsidR="00DC6C59">
        <w:rPr>
          <w:rtl/>
        </w:rPr>
        <w:t xml:space="preserve"> </w:t>
      </w:r>
      <w:r w:rsidRPr="003520EF">
        <w:rPr>
          <w:rtl/>
        </w:rPr>
        <w:t>رب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الفرد</w:t>
      </w:r>
      <w:r w:rsidR="00DC6C59">
        <w:rPr>
          <w:rtl/>
        </w:rPr>
        <w:t xml:space="preserve"> </w:t>
      </w:r>
      <w:r w:rsidRPr="003520EF">
        <w:rPr>
          <w:rtl/>
        </w:rPr>
        <w:t>لتحديد</w:t>
      </w:r>
      <w:r w:rsidR="00DC6C59">
        <w:rPr>
          <w:rtl/>
        </w:rPr>
        <w:t xml:space="preserve"> </w:t>
      </w:r>
      <w:r w:rsidRPr="003520EF">
        <w:rPr>
          <w:rtl/>
        </w:rPr>
        <w:t>الحلول</w:t>
      </w:r>
      <w:r w:rsidR="00DC6C59">
        <w:rPr>
          <w:rtl/>
        </w:rPr>
        <w:t xml:space="preserve"> </w:t>
      </w:r>
      <w:r w:rsidRPr="003520EF">
        <w:rPr>
          <w:rtl/>
        </w:rPr>
        <w:t>المحتملة</w:t>
      </w:r>
      <w:r w:rsidR="00DC6C59">
        <w:rPr>
          <w:rtl/>
        </w:rPr>
        <w:t xml:space="preserve"> </w:t>
      </w:r>
      <w:r w:rsidRPr="003520EF">
        <w:rPr>
          <w:rtl/>
        </w:rPr>
        <w:t>لإزالة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تجنب</w:t>
      </w:r>
      <w:r w:rsidR="00DC6C59">
        <w:rPr>
          <w:rtl/>
        </w:rPr>
        <w:t xml:space="preserve"> </w:t>
      </w:r>
      <w:r w:rsidRPr="003520EF">
        <w:rPr>
          <w:rtl/>
        </w:rPr>
        <w:t>الحاجز،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الحل</w:t>
      </w:r>
      <w:r w:rsidR="00DC6C59">
        <w:rPr>
          <w:rtl/>
        </w:rPr>
        <w:t xml:space="preserve"> </w:t>
      </w:r>
      <w:r w:rsidRPr="003520EF">
        <w:rPr>
          <w:rtl/>
        </w:rPr>
        <w:t>المفضل</w:t>
      </w:r>
      <w:r w:rsidR="00DC6C59">
        <w:rPr>
          <w:rtl/>
        </w:rPr>
        <w:t xml:space="preserve"> </w:t>
      </w:r>
      <w:r w:rsidRPr="003520EF">
        <w:rPr>
          <w:rtl/>
        </w:rPr>
        <w:t>للفرد؛</w:t>
      </w:r>
    </w:p>
    <w:p w14:paraId="1998E7C7" w14:textId="383C30C6" w:rsidR="00EC13CA" w:rsidRPr="003520EF" w:rsidRDefault="00EC13CA" w:rsidP="00C12E18">
      <w:pPr>
        <w:pStyle w:val="SingleTxtGA"/>
        <w:spacing w:after="100"/>
      </w:pPr>
      <w:r w:rsidRPr="003520EF">
        <w:rPr>
          <w:rtl/>
        </w:rPr>
        <w:tab/>
        <w:t>(ب)</w:t>
      </w:r>
      <w:r w:rsidRPr="003520EF">
        <w:rPr>
          <w:rtl/>
        </w:rPr>
        <w:tab/>
        <w:t>يقوم</w:t>
      </w:r>
      <w:r w:rsidR="00DC6C59">
        <w:rPr>
          <w:rtl/>
        </w:rPr>
        <w:t xml:space="preserve"> </w:t>
      </w:r>
      <w:r w:rsidRPr="003520EF">
        <w:rPr>
          <w:rtl/>
        </w:rPr>
        <w:t>رب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بتنفيذ</w:t>
      </w:r>
      <w:r w:rsidR="00DC6C59">
        <w:rPr>
          <w:rtl/>
        </w:rPr>
        <w:t xml:space="preserve"> </w:t>
      </w:r>
      <w:r w:rsidRPr="003520EF">
        <w:rPr>
          <w:rtl/>
        </w:rPr>
        <w:t>الحل</w:t>
      </w:r>
      <w:r w:rsidR="00DC6C59">
        <w:rPr>
          <w:rtl/>
        </w:rPr>
        <w:t xml:space="preserve"> </w:t>
      </w:r>
      <w:r w:rsidRPr="003520EF">
        <w:rPr>
          <w:rtl/>
        </w:rPr>
        <w:t>المفضل</w:t>
      </w:r>
      <w:r w:rsidR="00DC6C59">
        <w:rPr>
          <w:rtl/>
        </w:rPr>
        <w:t xml:space="preserve"> </w:t>
      </w:r>
      <w:r w:rsidRPr="003520EF">
        <w:rPr>
          <w:rtl/>
        </w:rPr>
        <w:t>لدى</w:t>
      </w:r>
      <w:r w:rsidR="00DC6C59">
        <w:rPr>
          <w:rtl/>
        </w:rPr>
        <w:t xml:space="preserve"> </w:t>
      </w:r>
      <w:r w:rsidRPr="003520EF">
        <w:rPr>
          <w:rtl/>
        </w:rPr>
        <w:t>الفرد،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لم</w:t>
      </w:r>
      <w:r w:rsidR="00DC6C59">
        <w:rPr>
          <w:rtl/>
        </w:rPr>
        <w:t xml:space="preserve"> </w:t>
      </w:r>
      <w:r w:rsidRPr="003520EF">
        <w:rPr>
          <w:rtl/>
        </w:rPr>
        <w:t>يكن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يفرض</w:t>
      </w:r>
      <w:r w:rsidR="00DC6C59">
        <w:rPr>
          <w:rtl/>
        </w:rPr>
        <w:t xml:space="preserve"> </w:t>
      </w:r>
      <w:r w:rsidRPr="003520EF">
        <w:rPr>
          <w:rtl/>
        </w:rPr>
        <w:t>عبئا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Fonts w:hint="cs"/>
          <w:rtl/>
        </w:rPr>
        <w:t> </w:t>
      </w:r>
      <w:r w:rsidRPr="003520EF">
        <w:rPr>
          <w:rtl/>
        </w:rPr>
        <w:t>مبرر</w:t>
      </w:r>
      <w:r w:rsidR="00DC6C59">
        <w:rPr>
          <w:rtl/>
        </w:rPr>
        <w:t xml:space="preserve"> </w:t>
      </w:r>
      <w:r w:rsidRPr="003520EF">
        <w:rPr>
          <w:rtl/>
        </w:rPr>
        <w:t>له،</w:t>
      </w:r>
      <w:r w:rsidR="00DC6C59">
        <w:rPr>
          <w:rtl/>
        </w:rPr>
        <w:t xml:space="preserve"> </w:t>
      </w:r>
      <w:r w:rsidRPr="003520EF">
        <w:rPr>
          <w:rtl/>
        </w:rPr>
        <w:t>وفي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الحالة</w:t>
      </w:r>
      <w:r w:rsidR="00DC6C59">
        <w:rPr>
          <w:rtl/>
        </w:rPr>
        <w:t xml:space="preserve"> </w:t>
      </w:r>
      <w:r w:rsidRPr="003520EF">
        <w:rPr>
          <w:rtl/>
        </w:rPr>
        <w:t>ينفذ</w:t>
      </w:r>
      <w:r w:rsidR="00DC6C59">
        <w:rPr>
          <w:rtl/>
        </w:rPr>
        <w:t xml:space="preserve"> </w:t>
      </w:r>
      <w:r w:rsidRPr="003520EF">
        <w:rPr>
          <w:rtl/>
        </w:rPr>
        <w:t>صاحب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حلا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آخر</w:t>
      </w:r>
      <w:r w:rsidR="00DC6C59">
        <w:rPr>
          <w:rtl/>
        </w:rPr>
        <w:t xml:space="preserve"> </w:t>
      </w:r>
      <w:r w:rsidRPr="003520EF">
        <w:rPr>
          <w:rtl/>
        </w:rPr>
        <w:t>محددا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يفرض</w:t>
      </w:r>
      <w:r w:rsidR="00DC6C59">
        <w:rPr>
          <w:rtl/>
        </w:rPr>
        <w:t xml:space="preserve"> </w:t>
      </w:r>
      <w:r w:rsidRPr="003520EF">
        <w:rPr>
          <w:rtl/>
        </w:rPr>
        <w:t>عبئا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مبرر</w:t>
      </w:r>
      <w:r w:rsidR="00DC6C59">
        <w:rPr>
          <w:rtl/>
        </w:rPr>
        <w:t xml:space="preserve"> </w:t>
      </w:r>
      <w:r w:rsidRPr="003520EF">
        <w:rPr>
          <w:rtl/>
        </w:rPr>
        <w:t>له،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ينفذ</w:t>
      </w:r>
      <w:r w:rsidR="00DC6C59">
        <w:rPr>
          <w:rtl/>
        </w:rPr>
        <w:t xml:space="preserve"> </w:t>
      </w:r>
      <w:r w:rsidRPr="003520EF">
        <w:rPr>
          <w:rtl/>
        </w:rPr>
        <w:t>الحل</w:t>
      </w:r>
      <w:r w:rsidR="00DC6C59">
        <w:rPr>
          <w:rtl/>
        </w:rPr>
        <w:t xml:space="preserve"> </w:t>
      </w:r>
      <w:r w:rsidRPr="003520EF">
        <w:rPr>
          <w:rtl/>
        </w:rPr>
        <w:t>المفضل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أقصى</w:t>
      </w:r>
      <w:r w:rsidR="00DC6C59">
        <w:rPr>
          <w:rtl/>
        </w:rPr>
        <w:t xml:space="preserve"> </w:t>
      </w:r>
      <w:r w:rsidRPr="003520EF">
        <w:rPr>
          <w:rtl/>
        </w:rPr>
        <w:t>حد</w:t>
      </w:r>
      <w:r w:rsidR="00DC6C59">
        <w:rPr>
          <w:rtl/>
        </w:rPr>
        <w:t xml:space="preserve"> </w:t>
      </w:r>
      <w:r w:rsidRPr="003520EF">
        <w:rPr>
          <w:rtl/>
        </w:rPr>
        <w:t>ممكن</w:t>
      </w:r>
      <w:r w:rsidR="00DC6C59">
        <w:rPr>
          <w:rtl/>
        </w:rPr>
        <w:t xml:space="preserve"> </w:t>
      </w:r>
      <w:r w:rsidRPr="003520EF">
        <w:rPr>
          <w:rtl/>
        </w:rPr>
        <w:t>دون</w:t>
      </w:r>
      <w:r w:rsidR="00DC6C59">
        <w:rPr>
          <w:rtl/>
        </w:rPr>
        <w:t xml:space="preserve"> </w:t>
      </w:r>
      <w:r w:rsidRPr="003520EF">
        <w:rPr>
          <w:rtl/>
        </w:rPr>
        <w:t>تحمل</w:t>
      </w:r>
      <w:r w:rsidR="00DC6C59">
        <w:rPr>
          <w:rtl/>
        </w:rPr>
        <w:t xml:space="preserve"> </w:t>
      </w:r>
      <w:r w:rsidRPr="003520EF">
        <w:rPr>
          <w:rtl/>
        </w:rPr>
        <w:t>العبء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المبرر.</w:t>
      </w:r>
      <w:r w:rsidR="00DC6C59">
        <w:rPr>
          <w:rtl/>
        </w:rPr>
        <w:t xml:space="preserve"> </w:t>
      </w:r>
      <w:bookmarkEnd w:id="21"/>
    </w:p>
    <w:p w14:paraId="1A006A67" w14:textId="38013A72" w:rsidR="00EC13CA" w:rsidRPr="005170C9" w:rsidRDefault="00EC13CA" w:rsidP="00EC13CA">
      <w:pPr>
        <w:pStyle w:val="H1GA"/>
      </w:pPr>
      <w:r w:rsidRPr="005170C9">
        <w:rPr>
          <w:rtl/>
        </w:rPr>
        <w:tab/>
        <w:t>كاف-</w:t>
      </w:r>
      <w:r w:rsidRPr="005170C9">
        <w:rPr>
          <w:rtl/>
        </w:rPr>
        <w:tab/>
        <w:t>تعزيز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اكتساب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الخبرة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العملية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سوق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المنفتحة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27(1)(ي))</w:t>
      </w:r>
    </w:p>
    <w:p w14:paraId="1CFEB23C" w14:textId="5C0629CB" w:rsidR="00EC13CA" w:rsidRPr="003520EF" w:rsidRDefault="00EC13CA" w:rsidP="00C12E18">
      <w:pPr>
        <w:pStyle w:val="SingleTxtGA"/>
        <w:spacing w:after="100"/>
      </w:pPr>
      <w:r w:rsidRPr="005170C9">
        <w:rPr>
          <w:rtl/>
        </w:rPr>
        <w:t>46</w:t>
      </w:r>
      <w:r w:rsidRPr="003520EF">
        <w:rPr>
          <w:rtl/>
        </w:rPr>
        <w:t>-</w:t>
      </w:r>
      <w:r w:rsidRPr="003520EF">
        <w:rPr>
          <w:rtl/>
        </w:rPr>
        <w:tab/>
        <w:t>يمكن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الخبرة</w:t>
      </w:r>
      <w:r w:rsidR="00DC6C59">
        <w:rPr>
          <w:rtl/>
        </w:rPr>
        <w:t xml:space="preserve"> </w:t>
      </w:r>
      <w:r w:rsidRPr="003520EF">
        <w:rPr>
          <w:rtl/>
        </w:rPr>
        <w:t>العملية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المنفتحة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الداخلي،</w:t>
      </w:r>
      <w:r w:rsidR="00DC6C59">
        <w:rPr>
          <w:rtl/>
        </w:rPr>
        <w:t xml:space="preserve"> </w:t>
      </w:r>
      <w:r w:rsidRPr="003520EF">
        <w:rPr>
          <w:rtl/>
        </w:rPr>
        <w:t>وخطط</w:t>
      </w:r>
      <w:r w:rsidR="00DC6C59">
        <w:rPr>
          <w:rtl/>
        </w:rPr>
        <w:t xml:space="preserve"> </w:t>
      </w:r>
      <w:r w:rsidRPr="003520EF">
        <w:rPr>
          <w:rtl/>
        </w:rPr>
        <w:t>التعلم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والمنح</w:t>
      </w:r>
      <w:r w:rsidR="00DC6C59">
        <w:rPr>
          <w:rtl/>
        </w:rPr>
        <w:t xml:space="preserve"> </w:t>
      </w:r>
      <w:r w:rsidRPr="003520EF">
        <w:rPr>
          <w:rtl/>
        </w:rPr>
        <w:t>الدراسية،</w:t>
      </w:r>
      <w:r w:rsidR="00DC6C59">
        <w:rPr>
          <w:rtl/>
        </w:rPr>
        <w:t xml:space="preserve"> </w:t>
      </w:r>
      <w:r w:rsidRPr="003520EF">
        <w:rPr>
          <w:rtl/>
        </w:rPr>
        <w:t>والإعانات</w:t>
      </w:r>
      <w:r w:rsidR="00DC6C59">
        <w:rPr>
          <w:rtl/>
        </w:rPr>
        <w:t xml:space="preserve"> </w:t>
      </w:r>
      <w:r w:rsidRPr="003520EF">
        <w:rPr>
          <w:rtl/>
        </w:rPr>
        <w:t>الدراسية،</w:t>
      </w:r>
      <w:r w:rsidR="00DC6C59">
        <w:rPr>
          <w:rtl/>
        </w:rPr>
        <w:t xml:space="preserve"> </w:t>
      </w:r>
      <w:r w:rsidRPr="003520EF">
        <w:rPr>
          <w:rtl/>
        </w:rPr>
        <w:t>والحوافز</w:t>
      </w:r>
      <w:r w:rsidR="00DC6C59">
        <w:rPr>
          <w:rtl/>
        </w:rPr>
        <w:t xml:space="preserve"> </w:t>
      </w:r>
      <w:r w:rsidRPr="003520EF">
        <w:rPr>
          <w:rtl/>
        </w:rPr>
        <w:t>المالية</w:t>
      </w:r>
      <w:r w:rsidR="00DC6C59">
        <w:rPr>
          <w:rtl/>
        </w:rPr>
        <w:t xml:space="preserve"> </w:t>
      </w:r>
      <w:r w:rsidRPr="003520EF">
        <w:rPr>
          <w:rtl/>
        </w:rPr>
        <w:t>للأعمال</w:t>
      </w:r>
      <w:r w:rsidR="00DC6C59">
        <w:rPr>
          <w:rtl/>
        </w:rPr>
        <w:t xml:space="preserve"> </w:t>
      </w:r>
      <w:r w:rsidRPr="003520EF">
        <w:rPr>
          <w:rtl/>
        </w:rPr>
        <w:t>التجارية،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التمرن</w:t>
      </w:r>
      <w:r w:rsidR="00DC6C59">
        <w:rPr>
          <w:rtl/>
        </w:rPr>
        <w:t xml:space="preserve"> </w:t>
      </w:r>
      <w:r w:rsidRPr="003520EF">
        <w:rPr>
          <w:rtl/>
        </w:rPr>
        <w:t>وغيره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خطط</w:t>
      </w:r>
      <w:r w:rsidR="00DC6C59">
        <w:rPr>
          <w:rtl/>
        </w:rPr>
        <w:t xml:space="preserve"> </w:t>
      </w:r>
      <w:r w:rsidRPr="003520EF">
        <w:rPr>
          <w:rtl/>
        </w:rPr>
        <w:t>التعلم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وتتيح</w:t>
      </w:r>
      <w:r w:rsidR="00DC6C59">
        <w:rPr>
          <w:rtl/>
        </w:rPr>
        <w:t xml:space="preserve"> </w:t>
      </w:r>
      <w:r w:rsidRPr="003520EF">
        <w:rPr>
          <w:rtl/>
        </w:rPr>
        <w:t>الخبرة</w:t>
      </w:r>
      <w:r w:rsidR="00DC6C59">
        <w:rPr>
          <w:rtl/>
        </w:rPr>
        <w:t xml:space="preserve"> </w:t>
      </w:r>
      <w:r w:rsidRPr="003520EF">
        <w:rPr>
          <w:rtl/>
        </w:rPr>
        <w:t>العملية</w:t>
      </w:r>
      <w:r w:rsidR="00DC6C59">
        <w:rPr>
          <w:rtl/>
        </w:rPr>
        <w:t xml:space="preserve"> </w:t>
      </w:r>
      <w:r w:rsidRPr="003520EF">
        <w:rPr>
          <w:rtl/>
        </w:rPr>
        <w:t>فرصة</w:t>
      </w:r>
      <w:r w:rsidR="00DC6C59">
        <w:rPr>
          <w:rtl/>
        </w:rPr>
        <w:t xml:space="preserve"> </w:t>
      </w:r>
      <w:r w:rsidRPr="003520EF">
        <w:rPr>
          <w:rtl/>
        </w:rPr>
        <w:t>لتغيير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وبناء</w:t>
      </w:r>
      <w:r w:rsidR="00DC6C59">
        <w:rPr>
          <w:rtl/>
        </w:rPr>
        <w:t xml:space="preserve"> </w:t>
      </w:r>
      <w:r w:rsidRPr="003520EF">
        <w:rPr>
          <w:rtl/>
        </w:rPr>
        <w:t>روابط</w:t>
      </w:r>
      <w:r w:rsidR="00DC6C59">
        <w:rPr>
          <w:rtl/>
        </w:rPr>
        <w:t xml:space="preserve"> </w:t>
      </w:r>
      <w:r w:rsidRPr="003520EF">
        <w:rPr>
          <w:rtl/>
        </w:rPr>
        <w:t>وإقامة</w:t>
      </w:r>
      <w:r w:rsidR="00DC6C59">
        <w:rPr>
          <w:rtl/>
        </w:rPr>
        <w:t xml:space="preserve"> </w:t>
      </w:r>
      <w:r w:rsidRPr="003520EF">
        <w:rPr>
          <w:rtl/>
        </w:rPr>
        <w:t>تفاهم</w:t>
      </w:r>
      <w:r w:rsidR="00DC6C59">
        <w:rPr>
          <w:rtl/>
        </w:rPr>
        <w:t xml:space="preserve"> </w:t>
      </w:r>
      <w:r w:rsidRPr="003520EF">
        <w:rPr>
          <w:rtl/>
        </w:rPr>
        <w:t>بين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الأعمال،</w:t>
      </w:r>
      <w:r w:rsidR="00DC6C59">
        <w:rPr>
          <w:rtl/>
        </w:rPr>
        <w:t xml:space="preserve"> </w:t>
      </w:r>
      <w:r w:rsidRPr="003520EF">
        <w:rPr>
          <w:rtl/>
        </w:rPr>
        <w:t>إضافة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كونها</w:t>
      </w:r>
      <w:r w:rsidR="00DC6C59">
        <w:rPr>
          <w:rtl/>
        </w:rPr>
        <w:t xml:space="preserve"> </w:t>
      </w:r>
      <w:r w:rsidRPr="003520EF">
        <w:rPr>
          <w:rtl/>
        </w:rPr>
        <w:t>أساسية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تطوير</w:t>
      </w:r>
      <w:r w:rsidR="00DC6C59">
        <w:rPr>
          <w:rtl/>
        </w:rPr>
        <w:t xml:space="preserve"> </w:t>
      </w:r>
      <w:r w:rsidRPr="003520EF">
        <w:rPr>
          <w:rtl/>
        </w:rPr>
        <w:t>مهارات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</w:p>
    <w:p w14:paraId="72085FD7" w14:textId="7827F41E" w:rsidR="00EC13CA" w:rsidRPr="003520EF" w:rsidRDefault="00EC13CA" w:rsidP="00C12E18">
      <w:pPr>
        <w:pStyle w:val="SingleTxtGA"/>
        <w:spacing w:after="100"/>
      </w:pPr>
      <w:r w:rsidRPr="005170C9">
        <w:rPr>
          <w:rtl/>
        </w:rPr>
        <w:t>47</w:t>
      </w:r>
      <w:r w:rsidRPr="003520EF">
        <w:rPr>
          <w:rtl/>
        </w:rPr>
        <w:t>-</w:t>
      </w:r>
      <w:r w:rsidRPr="003520EF">
        <w:rPr>
          <w:rtl/>
        </w:rPr>
        <w:tab/>
        <w:t>ويتعرض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بوجه</w:t>
      </w:r>
      <w:r w:rsidR="00DC6C59">
        <w:rPr>
          <w:rtl/>
        </w:rPr>
        <w:t xml:space="preserve"> </w:t>
      </w:r>
      <w:r w:rsidRPr="003520EF">
        <w:rPr>
          <w:rtl/>
        </w:rPr>
        <w:t>خاص</w:t>
      </w:r>
      <w:r w:rsidR="00DC6C59">
        <w:rPr>
          <w:rtl/>
        </w:rPr>
        <w:t xml:space="preserve"> </w:t>
      </w:r>
      <w:r w:rsidRPr="003520EF">
        <w:rPr>
          <w:rtl/>
        </w:rPr>
        <w:t>لخطر</w:t>
      </w:r>
      <w:r w:rsidR="00DC6C59">
        <w:rPr>
          <w:rtl/>
        </w:rPr>
        <w:t xml:space="preserve"> </w:t>
      </w:r>
      <w:r w:rsidRPr="003520EF">
        <w:rPr>
          <w:rtl/>
        </w:rPr>
        <w:t>الاستخدام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الملائم</w:t>
      </w:r>
      <w:r w:rsidR="00DC6C59">
        <w:rPr>
          <w:rtl/>
        </w:rPr>
        <w:t xml:space="preserve"> </w:t>
      </w:r>
      <w:r w:rsidRPr="003520EF">
        <w:rPr>
          <w:rtl/>
        </w:rPr>
        <w:t>للتدريب</w:t>
      </w:r>
      <w:r w:rsidR="00DC6C59">
        <w:rPr>
          <w:rtl/>
        </w:rPr>
        <w:t xml:space="preserve"> </w:t>
      </w:r>
      <w:r w:rsidRPr="003520EF">
        <w:rPr>
          <w:rtl/>
        </w:rPr>
        <w:t>الداخلي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المدفوع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>
        <w:rPr>
          <w:rtl/>
        </w:rPr>
        <w:t xml:space="preserve"> </w:t>
      </w:r>
      <w:r w:rsidRPr="003520EF">
        <w:rPr>
          <w:rtl/>
        </w:rPr>
        <w:t>وبرامج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ونظم</w:t>
      </w:r>
      <w:r w:rsidR="00DC6C59">
        <w:rPr>
          <w:rtl/>
        </w:rPr>
        <w:t xml:space="preserve"> </w:t>
      </w:r>
      <w:r w:rsidRPr="003520EF">
        <w:rPr>
          <w:rtl/>
        </w:rPr>
        <w:t>التطوع،</w:t>
      </w:r>
      <w:r w:rsidR="00DC6C59">
        <w:rPr>
          <w:rtl/>
        </w:rPr>
        <w:t xml:space="preserve"> </w:t>
      </w:r>
      <w:r w:rsidRPr="003520EF">
        <w:rPr>
          <w:rtl/>
        </w:rPr>
        <w:t>مما</w:t>
      </w:r>
      <w:r w:rsidR="00DC6C59">
        <w:rPr>
          <w:rtl/>
        </w:rPr>
        <w:t xml:space="preserve"> </w:t>
      </w:r>
      <w:r w:rsidRPr="003520EF">
        <w:rPr>
          <w:rtl/>
        </w:rPr>
        <w:t>يؤثر</w:t>
      </w:r>
      <w:r w:rsidR="00DC6C59">
        <w:rPr>
          <w:rtl/>
        </w:rPr>
        <w:t xml:space="preserve"> </w:t>
      </w:r>
      <w:r w:rsidRPr="003520EF">
        <w:rPr>
          <w:rtl/>
        </w:rPr>
        <w:t>سلبا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الأمن</w:t>
      </w:r>
      <w:r w:rsidR="00DC6C59">
        <w:rPr>
          <w:rtl/>
        </w:rPr>
        <w:t xml:space="preserve"> </w:t>
      </w:r>
      <w:r w:rsidRPr="003520EF">
        <w:rPr>
          <w:rtl/>
        </w:rPr>
        <w:t>الوظيفي</w:t>
      </w:r>
      <w:r w:rsidR="00DC6C59">
        <w:rPr>
          <w:rtl/>
        </w:rPr>
        <w:t xml:space="preserve"> </w:t>
      </w:r>
      <w:r w:rsidRPr="003520EF">
        <w:rPr>
          <w:rtl/>
        </w:rPr>
        <w:t>والآفاق</w:t>
      </w:r>
      <w:r w:rsidR="00DC6C59">
        <w:rPr>
          <w:rtl/>
        </w:rPr>
        <w:t xml:space="preserve"> </w:t>
      </w:r>
      <w:r w:rsidRPr="003520EF">
        <w:rPr>
          <w:rtl/>
        </w:rPr>
        <w:t>الوظيفية.</w:t>
      </w:r>
      <w:r w:rsidR="00DC6C59">
        <w:rPr>
          <w:rtl/>
        </w:rPr>
        <w:t xml:space="preserve"> </w:t>
      </w:r>
      <w:r w:rsidRPr="003520EF">
        <w:rPr>
          <w:rtl/>
        </w:rPr>
        <w:t>والشباب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معرضون</w:t>
      </w:r>
      <w:r w:rsidR="00DC6C59">
        <w:rPr>
          <w:rtl/>
        </w:rPr>
        <w:t xml:space="preserve"> </w:t>
      </w:r>
      <w:r w:rsidRPr="003520EF">
        <w:rPr>
          <w:rtl/>
        </w:rPr>
        <w:t>للخطر</w:t>
      </w:r>
      <w:r w:rsidR="00DC6C59">
        <w:rPr>
          <w:rtl/>
        </w:rPr>
        <w:t xml:space="preserve"> </w:t>
      </w:r>
      <w:r w:rsidRPr="003520EF">
        <w:rPr>
          <w:rtl/>
        </w:rPr>
        <w:t>بوجه</w:t>
      </w:r>
      <w:r w:rsidR="00DC6C59">
        <w:rPr>
          <w:rtl/>
        </w:rPr>
        <w:t xml:space="preserve"> </w:t>
      </w:r>
      <w:r w:rsidRPr="003520EF">
        <w:rPr>
          <w:rtl/>
        </w:rPr>
        <w:t>خاص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الصدد.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تنظم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وترصد</w:t>
      </w:r>
      <w:r w:rsidR="00DC6C59">
        <w:rPr>
          <w:rtl/>
        </w:rPr>
        <w:t xml:space="preserve"> </w:t>
      </w:r>
      <w:r w:rsidRPr="003520EF">
        <w:rPr>
          <w:rtl/>
        </w:rPr>
        <w:t>بوضوح</w:t>
      </w:r>
      <w:r w:rsidR="00DC6C59">
        <w:rPr>
          <w:rtl/>
        </w:rPr>
        <w:t xml:space="preserve"> </w:t>
      </w:r>
      <w:r w:rsidRPr="003520EF">
        <w:rPr>
          <w:rtl/>
        </w:rPr>
        <w:t>حالة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إطار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البرامج.</w:t>
      </w:r>
    </w:p>
    <w:p w14:paraId="4651B636" w14:textId="644ACB76" w:rsidR="00EC13CA" w:rsidRPr="005170C9" w:rsidRDefault="00EC13CA" w:rsidP="00EC13CA">
      <w:pPr>
        <w:pStyle w:val="H1GA"/>
      </w:pPr>
      <w:r w:rsidRPr="005170C9">
        <w:rPr>
          <w:rtl/>
        </w:rPr>
        <w:lastRenderedPageBreak/>
        <w:tab/>
        <w:t>لام-</w:t>
      </w:r>
      <w:r w:rsidRPr="005170C9">
        <w:rPr>
          <w:rtl/>
        </w:rPr>
        <w:tab/>
        <w:t>تعزيز</w:t>
      </w:r>
      <w:r w:rsidR="00DC6C59" w:rsidRPr="005170C9">
        <w:rPr>
          <w:rtl/>
        </w:rPr>
        <w:t xml:space="preserve"> </w:t>
      </w:r>
      <w:r w:rsidRPr="005170C9">
        <w:rPr>
          <w:rtl/>
        </w:rPr>
        <w:t>برامج</w:t>
      </w:r>
      <w:r w:rsidR="00DC6C59" w:rsidRPr="005170C9">
        <w:rPr>
          <w:rtl/>
        </w:rPr>
        <w:t xml:space="preserve"> </w:t>
      </w:r>
      <w:r w:rsidRPr="005170C9">
        <w:rPr>
          <w:rtl/>
        </w:rPr>
        <w:t>إعادة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التأهيل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المهني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والوظيفي،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والاحتفاظ</w:t>
      </w:r>
      <w:r w:rsidR="00DC6C59" w:rsidRPr="005170C9">
        <w:rPr>
          <w:rtl/>
        </w:rPr>
        <w:t xml:space="preserve"> </w:t>
      </w:r>
      <w:r w:rsidRPr="005170C9">
        <w:rPr>
          <w:rtl/>
        </w:rPr>
        <w:t>بالوظائف،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والعودة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إلى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</w:t>
      </w:r>
      <w:r w:rsidR="00DC6C59" w:rsidRPr="005170C9">
        <w:rPr>
          <w:rtl/>
        </w:rPr>
        <w:t>1)</w:t>
      </w:r>
      <w:r w:rsidRPr="005170C9">
        <w:rPr>
          <w:rtl/>
        </w:rPr>
        <w:t>(ك))</w:t>
      </w:r>
    </w:p>
    <w:p w14:paraId="47C8203D" w14:textId="6A94DBF4" w:rsidR="00EC13CA" w:rsidRPr="003520EF" w:rsidRDefault="00EC13CA" w:rsidP="00EC13CA">
      <w:pPr>
        <w:pStyle w:val="SingleTxtGA"/>
      </w:pPr>
      <w:r w:rsidRPr="005170C9">
        <w:rPr>
          <w:rtl/>
        </w:rPr>
        <w:t>48</w:t>
      </w:r>
      <w:r w:rsidRPr="003520EF">
        <w:rPr>
          <w:rtl/>
        </w:rPr>
        <w:t>-</w:t>
      </w:r>
      <w:r w:rsidRPr="003520EF">
        <w:rPr>
          <w:rtl/>
        </w:rPr>
        <w:tab/>
        <w:t>قد</w:t>
      </w:r>
      <w:r w:rsidR="00DC6C59">
        <w:rPr>
          <w:rtl/>
        </w:rPr>
        <w:t xml:space="preserve"> </w:t>
      </w:r>
      <w:r w:rsidRPr="003520EF">
        <w:rPr>
          <w:rtl/>
        </w:rPr>
        <w:t>يشعر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بالحاجة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إعادة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تطوير</w:t>
      </w:r>
      <w:r w:rsidR="00DC6C59">
        <w:rPr>
          <w:rtl/>
        </w:rPr>
        <w:t xml:space="preserve"> </w:t>
      </w:r>
      <w:r w:rsidRPr="003520EF">
        <w:rPr>
          <w:rtl/>
        </w:rPr>
        <w:t>مهارات</w:t>
      </w:r>
      <w:r w:rsidR="00DC6C59">
        <w:rPr>
          <w:rtl/>
        </w:rPr>
        <w:t xml:space="preserve"> </w:t>
      </w:r>
      <w:r w:rsidRPr="003520EF">
        <w:rPr>
          <w:rtl/>
        </w:rPr>
        <w:t>جديدة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تغيير</w:t>
      </w:r>
      <w:r w:rsidR="00DC6C59">
        <w:rPr>
          <w:rtl/>
        </w:rPr>
        <w:t xml:space="preserve"> </w:t>
      </w:r>
      <w:r w:rsidRPr="003520EF">
        <w:rPr>
          <w:rtl/>
        </w:rPr>
        <w:t>مهنتهم.</w:t>
      </w:r>
      <w:r w:rsidR="00DC6C59">
        <w:rPr>
          <w:rtl/>
        </w:rPr>
        <w:t xml:space="preserve"> </w:t>
      </w:r>
      <w:r w:rsidRPr="003520EF">
        <w:rPr>
          <w:rtl/>
        </w:rPr>
        <w:t>وتشكل</w:t>
      </w:r>
      <w:r w:rsidR="00DC6C59">
        <w:rPr>
          <w:rtl/>
        </w:rPr>
        <w:t xml:space="preserve"> </w:t>
      </w:r>
      <w:r w:rsidRPr="003520EF">
        <w:rPr>
          <w:rtl/>
        </w:rPr>
        <w:t>برامج</w:t>
      </w:r>
      <w:r w:rsidR="00DC6C59">
        <w:rPr>
          <w:rtl/>
        </w:rPr>
        <w:t xml:space="preserve"> </w:t>
      </w:r>
      <w:r w:rsidRPr="003520EF">
        <w:rPr>
          <w:rtl/>
        </w:rPr>
        <w:t>احتفاظ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بالوظائف</w:t>
      </w:r>
      <w:r w:rsidR="00DC6C59">
        <w:rPr>
          <w:rtl/>
        </w:rPr>
        <w:t xml:space="preserve"> </w:t>
      </w:r>
      <w:r w:rsidRPr="003520EF">
        <w:rPr>
          <w:rtl/>
        </w:rPr>
        <w:t>وعودتهم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جزءا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الجهود</w:t>
      </w:r>
      <w:r w:rsidR="00DC6C59">
        <w:rPr>
          <w:rtl/>
        </w:rPr>
        <w:t xml:space="preserve"> </w:t>
      </w:r>
      <w:r w:rsidRPr="003520EF">
        <w:rPr>
          <w:rtl/>
        </w:rPr>
        <w:t>الأوسع</w:t>
      </w:r>
      <w:r w:rsidR="00DC6C59">
        <w:rPr>
          <w:rtl/>
        </w:rPr>
        <w:t xml:space="preserve"> </w:t>
      </w:r>
      <w:r w:rsidRPr="003520EF">
        <w:rPr>
          <w:rtl/>
        </w:rPr>
        <w:t>نطاقا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والرامية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التطوير</w:t>
      </w:r>
      <w:r w:rsidR="00DC6C59">
        <w:rPr>
          <w:rtl/>
        </w:rPr>
        <w:t xml:space="preserve"> </w:t>
      </w:r>
      <w:r w:rsidRPr="003520EF">
        <w:rPr>
          <w:rtl/>
        </w:rPr>
        <w:t>المستمر</w:t>
      </w:r>
      <w:r w:rsidR="00DC6C59">
        <w:rPr>
          <w:rtl/>
        </w:rPr>
        <w:t xml:space="preserve"> </w:t>
      </w:r>
      <w:r w:rsidRPr="003520EF">
        <w:rPr>
          <w:rtl/>
        </w:rPr>
        <w:t>للقوى</w:t>
      </w:r>
      <w:r w:rsidR="00DC6C59">
        <w:rPr>
          <w:rtl/>
        </w:rPr>
        <w:t xml:space="preserve"> </w:t>
      </w:r>
      <w:r w:rsidRPr="003520EF">
        <w:rPr>
          <w:rtl/>
        </w:rPr>
        <w:t>العاملة.</w:t>
      </w:r>
      <w:r w:rsidR="00DC6C59">
        <w:rPr>
          <w:rtl/>
        </w:rPr>
        <w:t xml:space="preserve"> </w:t>
      </w:r>
      <w:r w:rsidRPr="003520EF">
        <w:rPr>
          <w:rtl/>
        </w:rPr>
        <w:t>ويتعين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تكفل</w:t>
      </w:r>
      <w:r w:rsidR="00DC6C59">
        <w:rPr>
          <w:rtl/>
        </w:rPr>
        <w:t xml:space="preserve"> </w:t>
      </w:r>
      <w:r w:rsidRPr="003520EF">
        <w:rPr>
          <w:rtl/>
        </w:rPr>
        <w:t>دعم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للبقاء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الانتقال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أدوار</w:t>
      </w:r>
      <w:r w:rsidR="00DC6C59">
        <w:rPr>
          <w:rtl/>
        </w:rPr>
        <w:t xml:space="preserve"> </w:t>
      </w:r>
      <w:r w:rsidRPr="003520EF">
        <w:rPr>
          <w:rtl/>
        </w:rPr>
        <w:t>جديدة</w:t>
      </w:r>
      <w:r w:rsidR="00DC6C59">
        <w:rPr>
          <w:rtl/>
        </w:rPr>
        <w:t xml:space="preserve"> </w:t>
      </w:r>
      <w:r w:rsidRPr="003520EF">
        <w:rPr>
          <w:rtl/>
        </w:rPr>
        <w:t>بعد</w:t>
      </w:r>
      <w:r w:rsidR="00DC6C59">
        <w:rPr>
          <w:rtl/>
        </w:rPr>
        <w:t xml:space="preserve"> </w:t>
      </w:r>
      <w:r w:rsidRPr="003520EF">
        <w:rPr>
          <w:rtl/>
        </w:rPr>
        <w:t>اكتسابهم</w:t>
      </w:r>
      <w:r w:rsidR="00DC6C59">
        <w:rPr>
          <w:rtl/>
        </w:rPr>
        <w:t xml:space="preserve"> </w:t>
      </w:r>
      <w:r w:rsidRPr="003520EF">
        <w:rPr>
          <w:rtl/>
        </w:rPr>
        <w:t>لإعاقة</w:t>
      </w:r>
      <w:r w:rsidR="00DC6C59">
        <w:rPr>
          <w:rtl/>
        </w:rPr>
        <w:t xml:space="preserve"> </w:t>
      </w:r>
      <w:r w:rsidRPr="003520EF">
        <w:rPr>
          <w:rtl/>
        </w:rPr>
        <w:t>جديدة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تفاقم</w:t>
      </w:r>
      <w:r w:rsidR="00DC6C59">
        <w:rPr>
          <w:rtl/>
        </w:rPr>
        <w:t xml:space="preserve"> </w:t>
      </w:r>
      <w:r w:rsidRPr="003520EF">
        <w:rPr>
          <w:rtl/>
        </w:rPr>
        <w:t>إعاقة</w:t>
      </w:r>
      <w:r w:rsidR="00DC6C59">
        <w:rPr>
          <w:rtl/>
        </w:rPr>
        <w:t xml:space="preserve"> </w:t>
      </w:r>
      <w:r w:rsidRPr="003520EF">
        <w:rPr>
          <w:rtl/>
        </w:rPr>
        <w:t>قائمة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8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</w:p>
    <w:p w14:paraId="7CF88BC3" w14:textId="250556C5" w:rsidR="00DC6C59" w:rsidRPr="005170C9" w:rsidRDefault="00EC13CA" w:rsidP="00EC13CA">
      <w:pPr>
        <w:pStyle w:val="SingleTxtGA"/>
      </w:pPr>
      <w:r w:rsidRPr="005170C9">
        <w:rPr>
          <w:rtl/>
        </w:rPr>
        <w:t>49</w:t>
      </w:r>
      <w:r w:rsidRPr="003520EF">
        <w:rPr>
          <w:rtl/>
        </w:rPr>
        <w:t>-</w:t>
      </w:r>
      <w:r w:rsidRPr="003520EF">
        <w:rPr>
          <w:rtl/>
        </w:rPr>
        <w:tab/>
        <w:t>وعند</w:t>
      </w:r>
      <w:r w:rsidR="00DC6C59">
        <w:rPr>
          <w:rtl/>
        </w:rPr>
        <w:t xml:space="preserve"> </w:t>
      </w:r>
      <w:r w:rsidRPr="003520EF">
        <w:rPr>
          <w:rtl/>
        </w:rPr>
        <w:t>توفير</w:t>
      </w:r>
      <w:r w:rsidR="00DC6C59">
        <w:rPr>
          <w:rtl/>
        </w:rPr>
        <w:t xml:space="preserve"> </w:t>
      </w:r>
      <w:r w:rsidRPr="003520EF">
        <w:rPr>
          <w:rtl/>
        </w:rPr>
        <w:t>إعادة</w:t>
      </w:r>
      <w:r w:rsidR="00DC6C59">
        <w:rPr>
          <w:rtl/>
        </w:rPr>
        <w:t xml:space="preserve"> </w:t>
      </w:r>
      <w:r w:rsidRPr="003520EF">
        <w:rPr>
          <w:rtl/>
        </w:rPr>
        <w:t>التأهيل،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تضمن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حصول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الناتجة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مرض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حادث،</w:t>
      </w:r>
      <w:r w:rsidR="00DC6C59">
        <w:rPr>
          <w:rtl/>
        </w:rPr>
        <w:t xml:space="preserve"> </w:t>
      </w:r>
      <w:r w:rsidRPr="003520EF">
        <w:rPr>
          <w:rtl/>
        </w:rPr>
        <w:t>وعند</w:t>
      </w:r>
      <w:r w:rsidR="00DC6C59">
        <w:rPr>
          <w:rtl/>
        </w:rPr>
        <w:t xml:space="preserve"> </w:t>
      </w:r>
      <w:r w:rsidRPr="003520EF">
        <w:rPr>
          <w:rtl/>
        </w:rPr>
        <w:t>الاقتضاء،</w:t>
      </w:r>
      <w:r w:rsidR="00DC6C59">
        <w:rPr>
          <w:rtl/>
        </w:rPr>
        <w:t xml:space="preserve"> </w:t>
      </w:r>
      <w:r w:rsidRPr="003520EF">
        <w:rPr>
          <w:rtl/>
        </w:rPr>
        <w:t>حصول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يعولونهم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تعويضات</w:t>
      </w:r>
      <w:r w:rsidR="00DC6C59">
        <w:rPr>
          <w:rtl/>
        </w:rPr>
        <w:t xml:space="preserve"> </w:t>
      </w:r>
      <w:r w:rsidRPr="003520EF">
        <w:rPr>
          <w:rtl/>
        </w:rPr>
        <w:t>كافية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تكاليف</w:t>
      </w:r>
      <w:r w:rsidR="00DC6C59">
        <w:rPr>
          <w:rtl/>
        </w:rPr>
        <w:t xml:space="preserve"> </w:t>
      </w:r>
      <w:r w:rsidRPr="003520EF">
        <w:rPr>
          <w:rtl/>
        </w:rPr>
        <w:t>العلاج</w:t>
      </w:r>
      <w:r w:rsidR="00DC6C59">
        <w:rPr>
          <w:rtl/>
        </w:rPr>
        <w:t xml:space="preserve"> </w:t>
      </w:r>
      <w:r w:rsidRPr="003520EF">
        <w:rPr>
          <w:rtl/>
        </w:rPr>
        <w:t>والكسب</w:t>
      </w:r>
      <w:r w:rsidR="00DC6C59">
        <w:rPr>
          <w:rtl/>
        </w:rPr>
        <w:t xml:space="preserve"> </w:t>
      </w:r>
      <w:r w:rsidRPr="003520EF">
        <w:rPr>
          <w:rtl/>
        </w:rPr>
        <w:t>الضائع</w:t>
      </w:r>
      <w:r w:rsidR="00DC6C59">
        <w:rPr>
          <w:rtl/>
        </w:rPr>
        <w:t xml:space="preserve"> </w:t>
      </w:r>
      <w:r w:rsidRPr="003520EF">
        <w:rPr>
          <w:rtl/>
        </w:rPr>
        <w:t>والتكاليف</w:t>
      </w:r>
      <w:r w:rsidR="00DC6C59">
        <w:rPr>
          <w:rtl/>
        </w:rPr>
        <w:t xml:space="preserve"> </w:t>
      </w:r>
      <w:r w:rsidRPr="003520EF">
        <w:rPr>
          <w:rtl/>
        </w:rPr>
        <w:t>الأخرى،</w:t>
      </w:r>
      <w:r w:rsidR="00DC6C59">
        <w:rPr>
          <w:rtl/>
        </w:rPr>
        <w:t xml:space="preserve"> </w:t>
      </w:r>
      <w:r w:rsidRPr="003520EF">
        <w:rPr>
          <w:rtl/>
        </w:rPr>
        <w:t>إضافةً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إمكانية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خدمات</w:t>
      </w:r>
      <w:r w:rsidR="00DC6C59">
        <w:rPr>
          <w:rtl/>
        </w:rPr>
        <w:t xml:space="preserve"> </w:t>
      </w:r>
      <w:r w:rsidRPr="003520EF">
        <w:rPr>
          <w:rtl/>
        </w:rPr>
        <w:t>إعادة</w:t>
      </w:r>
      <w:r w:rsidR="00DC6C59">
        <w:rPr>
          <w:rtl/>
        </w:rPr>
        <w:t xml:space="preserve"> </w:t>
      </w:r>
      <w:r w:rsidRPr="003520EF">
        <w:rPr>
          <w:rtl/>
        </w:rPr>
        <w:t>التأهيل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39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</w:p>
    <w:p w14:paraId="3439B83F" w14:textId="6BC70BFC" w:rsidR="00EC13CA" w:rsidRPr="003520EF" w:rsidRDefault="00EC13CA" w:rsidP="00EC13CA">
      <w:pPr>
        <w:pStyle w:val="SingleTxtGA"/>
      </w:pPr>
      <w:r w:rsidRPr="005170C9">
        <w:rPr>
          <w:rtl/>
        </w:rPr>
        <w:t>50</w:t>
      </w:r>
      <w:r w:rsidRPr="003520EF">
        <w:rPr>
          <w:rtl/>
        </w:rPr>
        <w:t>-</w:t>
      </w:r>
      <w:r w:rsidRPr="003520EF">
        <w:rPr>
          <w:rtl/>
        </w:rPr>
        <w:tab/>
        <w:t>وقد</w:t>
      </w:r>
      <w:r w:rsidR="00DC6C59">
        <w:rPr>
          <w:rtl/>
        </w:rPr>
        <w:t xml:space="preserve"> </w:t>
      </w:r>
      <w:r w:rsidRPr="003520EF">
        <w:rPr>
          <w:rtl/>
        </w:rPr>
        <w:t>تؤدي</w:t>
      </w:r>
      <w:r w:rsidR="00DC6C59">
        <w:rPr>
          <w:rtl/>
        </w:rPr>
        <w:t xml:space="preserve"> </w:t>
      </w:r>
      <w:r w:rsidRPr="003520EF">
        <w:rPr>
          <w:rtl/>
        </w:rPr>
        <w:t>برامج</w:t>
      </w:r>
      <w:r w:rsidR="00DC6C59">
        <w:rPr>
          <w:rtl/>
        </w:rPr>
        <w:t xml:space="preserve"> </w:t>
      </w:r>
      <w:r w:rsidRPr="003520EF">
        <w:rPr>
          <w:rtl/>
        </w:rPr>
        <w:t>العودة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استمرار</w:t>
      </w:r>
      <w:r w:rsidR="00DC6C59">
        <w:rPr>
          <w:rtl/>
        </w:rPr>
        <w:t xml:space="preserve"> </w:t>
      </w:r>
      <w:r w:rsidRPr="003520EF">
        <w:rPr>
          <w:rtl/>
        </w:rPr>
        <w:t>قيام</w:t>
      </w:r>
      <w:r w:rsidR="00DC6C59">
        <w:rPr>
          <w:rtl/>
        </w:rPr>
        <w:t xml:space="preserve"> </w:t>
      </w:r>
      <w:r w:rsidRPr="003520EF">
        <w:rPr>
          <w:rtl/>
        </w:rPr>
        <w:t>المستخدَم</w:t>
      </w:r>
      <w:r w:rsidR="00DC6C59">
        <w:rPr>
          <w:rtl/>
        </w:rPr>
        <w:t xml:space="preserve"> </w:t>
      </w:r>
      <w:r w:rsidRPr="003520EF">
        <w:rPr>
          <w:rtl/>
        </w:rPr>
        <w:t>المعني</w:t>
      </w:r>
      <w:r w:rsidR="00DC6C59">
        <w:rPr>
          <w:rtl/>
        </w:rPr>
        <w:t xml:space="preserve"> </w:t>
      </w:r>
      <w:r w:rsidRPr="003520EF">
        <w:rPr>
          <w:rtl/>
        </w:rPr>
        <w:t>بنفس</w:t>
      </w:r>
      <w:r w:rsidR="00DC6C59">
        <w:rPr>
          <w:rtl/>
        </w:rPr>
        <w:t xml:space="preserve"> </w:t>
      </w:r>
      <w:r w:rsidRPr="003520EF">
        <w:rPr>
          <w:rtl/>
        </w:rPr>
        <w:t>الدور،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انتقاله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دور</w:t>
      </w:r>
      <w:r w:rsidR="00DC6C59">
        <w:rPr>
          <w:rtl/>
        </w:rPr>
        <w:t xml:space="preserve"> </w:t>
      </w:r>
      <w:r w:rsidRPr="003520EF">
        <w:rPr>
          <w:rtl/>
        </w:rPr>
        <w:t>مختلف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نفس</w:t>
      </w:r>
      <w:r w:rsidR="00DC6C59">
        <w:rPr>
          <w:rtl/>
        </w:rPr>
        <w:t xml:space="preserve"> </w:t>
      </w:r>
      <w:r w:rsidRPr="003520EF">
        <w:rPr>
          <w:rtl/>
        </w:rPr>
        <w:t>رب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توليه</w:t>
      </w:r>
      <w:r w:rsidR="00DC6C59">
        <w:rPr>
          <w:rtl/>
        </w:rPr>
        <w:t xml:space="preserve"> </w:t>
      </w:r>
      <w:r w:rsidRPr="003520EF">
        <w:rPr>
          <w:rtl/>
        </w:rPr>
        <w:t>دورا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رب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مختلف.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ألا</w:t>
      </w:r>
      <w:r w:rsidR="00DC6C59">
        <w:rPr>
          <w:rtl/>
        </w:rPr>
        <w:t xml:space="preserve"> </w:t>
      </w:r>
      <w:r w:rsidRPr="003520EF">
        <w:rPr>
          <w:rtl/>
        </w:rPr>
        <w:t>تستخدم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البرامج</w:t>
      </w:r>
      <w:r w:rsidR="00DC6C59">
        <w:rPr>
          <w:rtl/>
        </w:rPr>
        <w:t xml:space="preserve"> </w:t>
      </w:r>
      <w:r w:rsidRPr="003520EF">
        <w:rPr>
          <w:rtl/>
        </w:rPr>
        <w:t>لتعزيز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بيئات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منفصلة.</w:t>
      </w:r>
      <w:r w:rsidR="00DC6C59">
        <w:rPr>
          <w:rtl/>
        </w:rPr>
        <w:t xml:space="preserve"> </w:t>
      </w:r>
    </w:p>
    <w:p w14:paraId="255E1E4F" w14:textId="70916C9A" w:rsidR="00EC13CA" w:rsidRPr="005170C9" w:rsidRDefault="00EC13CA" w:rsidP="00EC13CA">
      <w:pPr>
        <w:pStyle w:val="H1GA"/>
      </w:pPr>
      <w:r w:rsidRPr="005170C9">
        <w:rPr>
          <w:rtl/>
        </w:rPr>
        <w:tab/>
        <w:t>ميم-</w:t>
      </w:r>
      <w:r w:rsidRPr="005170C9">
        <w:rPr>
          <w:rtl/>
        </w:rPr>
        <w:tab/>
        <w:t>الرق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والعبودية</w:t>
      </w:r>
      <w:r w:rsidR="00DC6C59" w:rsidRPr="005170C9">
        <w:rPr>
          <w:rtl/>
        </w:rPr>
        <w:t xml:space="preserve"> </w:t>
      </w:r>
      <w:r w:rsidRPr="005170C9">
        <w:rPr>
          <w:rtl/>
        </w:rPr>
        <w:t>والعمل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الجبري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أو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القسري</w:t>
      </w:r>
      <w:r w:rsidR="00DC6C59" w:rsidRPr="005170C9">
        <w:rPr>
          <w:rtl/>
        </w:rPr>
        <w:t xml:space="preserve"> </w:t>
      </w:r>
      <w:r w:rsidRPr="005170C9">
        <w:rPr>
          <w:rtl/>
        </w:rPr>
        <w:t>(المادة</w:t>
      </w:r>
      <w:r w:rsidR="00DC6C59" w:rsidRPr="005170C9">
        <w:rPr>
          <w:rtl/>
        </w:rPr>
        <w:t xml:space="preserve"> </w:t>
      </w:r>
      <w:r w:rsidRPr="005170C9">
        <w:rPr>
          <w:rtl/>
        </w:rPr>
        <w:t>27(2))</w:t>
      </w:r>
    </w:p>
    <w:p w14:paraId="26BD72E0" w14:textId="568F532C" w:rsidR="00EC13CA" w:rsidRPr="003520EF" w:rsidRDefault="00EC13CA" w:rsidP="00EC13CA">
      <w:pPr>
        <w:pStyle w:val="SingleTxtGA"/>
      </w:pPr>
      <w:r w:rsidRPr="005170C9">
        <w:rPr>
          <w:rtl/>
        </w:rPr>
        <w:t>51</w:t>
      </w:r>
      <w:r w:rsidRPr="003520EF">
        <w:rPr>
          <w:rtl/>
        </w:rPr>
        <w:t>-</w:t>
      </w:r>
      <w:r w:rsidRPr="003520EF">
        <w:rPr>
          <w:rtl/>
        </w:rPr>
        <w:tab/>
        <w:t>يشكل</w:t>
      </w:r>
      <w:r w:rsidR="00DC6C59">
        <w:rPr>
          <w:rtl/>
        </w:rPr>
        <w:t xml:space="preserve"> </w:t>
      </w:r>
      <w:r w:rsidRPr="003520EF">
        <w:rPr>
          <w:rtl/>
        </w:rPr>
        <w:t>حظر</w:t>
      </w:r>
      <w:r w:rsidR="00DC6C59">
        <w:rPr>
          <w:rtl/>
        </w:rPr>
        <w:t xml:space="preserve"> </w:t>
      </w:r>
      <w:r w:rsidRPr="003520EF">
        <w:rPr>
          <w:rtl/>
        </w:rPr>
        <w:t>الرق</w:t>
      </w:r>
      <w:r w:rsidR="00DC6C59">
        <w:rPr>
          <w:rtl/>
        </w:rPr>
        <w:t xml:space="preserve"> </w:t>
      </w:r>
      <w:r w:rsidRPr="003520EF">
        <w:rPr>
          <w:rtl/>
        </w:rPr>
        <w:t>والعبودية</w:t>
      </w:r>
      <w:r w:rsidR="00DC6C59">
        <w:rPr>
          <w:rtl/>
        </w:rPr>
        <w:t xml:space="preserve"> </w:t>
      </w:r>
      <w:r w:rsidRPr="003520EF">
        <w:rPr>
          <w:rtl/>
        </w:rPr>
        <w:t>والعمل</w:t>
      </w:r>
      <w:r w:rsidR="00DC6C59">
        <w:rPr>
          <w:rtl/>
        </w:rPr>
        <w:t xml:space="preserve"> </w:t>
      </w:r>
      <w:r w:rsidRPr="003520EF">
        <w:rPr>
          <w:rtl/>
        </w:rPr>
        <w:t>الجبري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القسري</w:t>
      </w:r>
      <w:r w:rsidR="00DC6C59">
        <w:rPr>
          <w:rtl/>
        </w:rPr>
        <w:t xml:space="preserve"> </w:t>
      </w:r>
      <w:r w:rsidRPr="003520EF">
        <w:rPr>
          <w:rtl/>
        </w:rPr>
        <w:t>صُلب</w:t>
      </w:r>
      <w:r w:rsidR="00DC6C59">
        <w:rPr>
          <w:rtl/>
        </w:rPr>
        <w:t xml:space="preserve"> </w:t>
      </w:r>
      <w:r w:rsidRPr="003520EF">
        <w:rPr>
          <w:rtl/>
        </w:rPr>
        <w:t>القانون</w:t>
      </w:r>
      <w:r w:rsidR="00DC6C59">
        <w:rPr>
          <w:rtl/>
        </w:rPr>
        <w:t xml:space="preserve"> </w:t>
      </w:r>
      <w:r w:rsidRPr="003520EF">
        <w:rPr>
          <w:rtl/>
        </w:rPr>
        <w:t>الدولي</w:t>
      </w:r>
      <w:r w:rsidR="00DC6C59">
        <w:rPr>
          <w:rtl/>
        </w:rPr>
        <w:t xml:space="preserve"> </w:t>
      </w:r>
      <w:r w:rsidRPr="003520EF">
        <w:rPr>
          <w:rtl/>
        </w:rPr>
        <w:t>لحقوق</w:t>
      </w:r>
      <w:r w:rsidR="00DC6C59">
        <w:rPr>
          <w:rtl/>
        </w:rPr>
        <w:t xml:space="preserve"> </w:t>
      </w:r>
      <w:r w:rsidRPr="003520EF">
        <w:rPr>
          <w:rtl/>
        </w:rPr>
        <w:t>الإنسان.</w:t>
      </w:r>
      <w:r w:rsidR="00DC6C59">
        <w:rPr>
          <w:rtl/>
        </w:rPr>
        <w:t xml:space="preserve"> </w:t>
      </w:r>
      <w:r w:rsidRPr="003520EF">
        <w:rPr>
          <w:rtl/>
        </w:rPr>
        <w:t>ويتعرض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بمن</w:t>
      </w:r>
      <w:r w:rsidR="00DC6C59">
        <w:rPr>
          <w:rtl/>
        </w:rPr>
        <w:t xml:space="preserve"> </w:t>
      </w:r>
      <w:r w:rsidRPr="003520EF">
        <w:rPr>
          <w:rtl/>
        </w:rPr>
        <w:t>فيهم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لخطر</w:t>
      </w:r>
      <w:r w:rsidR="00DC6C59">
        <w:rPr>
          <w:rtl/>
        </w:rPr>
        <w:t xml:space="preserve"> </w:t>
      </w:r>
      <w:r w:rsidRPr="003520EF">
        <w:rPr>
          <w:rtl/>
        </w:rPr>
        <w:t>متزايد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حالات</w:t>
      </w:r>
      <w:r w:rsidR="00DC6C59">
        <w:rPr>
          <w:rtl/>
        </w:rPr>
        <w:t xml:space="preserve"> </w:t>
      </w:r>
      <w:r w:rsidRPr="003520EF">
        <w:rPr>
          <w:rtl/>
        </w:rPr>
        <w:t>الرق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C12E18">
        <w:rPr>
          <w:rFonts w:hint="cs"/>
          <w:rtl/>
        </w:rPr>
        <w:t> </w:t>
      </w:r>
      <w:r w:rsidRPr="003520EF">
        <w:rPr>
          <w:rtl/>
        </w:rPr>
        <w:t>العبودية،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المنفصل</w:t>
      </w:r>
      <w:r w:rsidR="00DC6C59">
        <w:rPr>
          <w:rtl/>
        </w:rPr>
        <w:t xml:space="preserve"> </w:t>
      </w:r>
      <w:r w:rsidRPr="003520EF">
        <w:rPr>
          <w:rtl/>
        </w:rPr>
        <w:t>والاختطاف</w:t>
      </w:r>
      <w:r w:rsidR="00DC6C59">
        <w:rPr>
          <w:rtl/>
        </w:rPr>
        <w:t xml:space="preserve"> </w:t>
      </w:r>
      <w:r w:rsidRPr="003520EF">
        <w:rPr>
          <w:rtl/>
        </w:rPr>
        <w:t>والعمل</w:t>
      </w:r>
      <w:r w:rsidR="00DC6C59">
        <w:rPr>
          <w:rtl/>
        </w:rPr>
        <w:t xml:space="preserve"> </w:t>
      </w:r>
      <w:r w:rsidRPr="003520EF">
        <w:rPr>
          <w:rtl/>
        </w:rPr>
        <w:t>الجبري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40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وتشمل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الحالات</w:t>
      </w:r>
      <w:r w:rsidR="00DC6C59">
        <w:rPr>
          <w:rtl/>
        </w:rPr>
        <w:t xml:space="preserve"> </w:t>
      </w:r>
      <w:r w:rsidRPr="003520EF">
        <w:rPr>
          <w:rtl/>
        </w:rPr>
        <w:t>عبودية</w:t>
      </w:r>
      <w:r w:rsidR="00DC6C59">
        <w:rPr>
          <w:rtl/>
        </w:rPr>
        <w:t xml:space="preserve"> </w:t>
      </w:r>
      <w:r w:rsidRPr="003520EF">
        <w:rPr>
          <w:rtl/>
        </w:rPr>
        <w:t>الدين،</w:t>
      </w:r>
      <w:r w:rsidR="00DC6C59">
        <w:rPr>
          <w:rtl/>
        </w:rPr>
        <w:t xml:space="preserve"> </w:t>
      </w:r>
      <w:r w:rsidRPr="003520EF">
        <w:rPr>
          <w:rtl/>
        </w:rPr>
        <w:t>والاتجار،</w:t>
      </w:r>
      <w:r w:rsidR="00DC6C59">
        <w:rPr>
          <w:rtl/>
        </w:rPr>
        <w:t xml:space="preserve"> </w:t>
      </w:r>
      <w:r w:rsidRPr="003520EF">
        <w:rPr>
          <w:rtl/>
        </w:rPr>
        <w:t>والتسول،</w:t>
      </w:r>
      <w:r w:rsidR="00DC6C59">
        <w:rPr>
          <w:rtl/>
        </w:rPr>
        <w:t xml:space="preserve"> </w:t>
      </w:r>
      <w:r w:rsidRPr="003520EF">
        <w:rPr>
          <w:rtl/>
        </w:rPr>
        <w:t>والعمل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المصانع</w:t>
      </w:r>
      <w:r w:rsidR="00DC6C59">
        <w:rPr>
          <w:rtl/>
        </w:rPr>
        <w:t xml:space="preserve"> </w:t>
      </w:r>
      <w:r w:rsidRPr="003520EF">
        <w:rPr>
          <w:rtl/>
        </w:rPr>
        <w:t>المستغلة</w:t>
      </w:r>
      <w:r w:rsidR="00DC6C59">
        <w:rPr>
          <w:rtl/>
        </w:rPr>
        <w:t xml:space="preserve"> </w:t>
      </w:r>
      <w:r w:rsidRPr="003520EF">
        <w:rPr>
          <w:rtl/>
        </w:rPr>
        <w:t>للعمال،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المزارع،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المنفصلة</w:t>
      </w:r>
      <w:r w:rsidR="00DC6C59">
        <w:rPr>
          <w:rtl/>
        </w:rPr>
        <w:t xml:space="preserve"> </w:t>
      </w:r>
      <w:r w:rsidRPr="003520EF">
        <w:rPr>
          <w:rtl/>
        </w:rPr>
        <w:t>مقابل</w:t>
      </w:r>
      <w:r w:rsidR="00DC6C59">
        <w:rPr>
          <w:rtl/>
        </w:rPr>
        <w:t xml:space="preserve"> </w:t>
      </w:r>
      <w:r w:rsidRPr="003520EF">
        <w:rPr>
          <w:rtl/>
        </w:rPr>
        <w:t>أجر</w:t>
      </w:r>
      <w:r w:rsidR="00DC6C59">
        <w:rPr>
          <w:rtl/>
        </w:rPr>
        <w:t xml:space="preserve"> </w:t>
      </w:r>
      <w:r w:rsidRPr="003520EF">
        <w:rPr>
          <w:rtl/>
        </w:rPr>
        <w:t>زهيد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بدون</w:t>
      </w:r>
      <w:r w:rsidR="00DC6C59">
        <w:rPr>
          <w:rtl/>
        </w:rPr>
        <w:t xml:space="preserve"> </w:t>
      </w:r>
      <w:r w:rsidRPr="003520EF">
        <w:rPr>
          <w:rtl/>
        </w:rPr>
        <w:t>أجر.</w:t>
      </w:r>
    </w:p>
    <w:p w14:paraId="4CECBB5D" w14:textId="4710EDE1" w:rsidR="00EC13CA" w:rsidRPr="003520EF" w:rsidRDefault="00EC13CA" w:rsidP="00EC13CA">
      <w:pPr>
        <w:pStyle w:val="SingleTxtGA"/>
      </w:pPr>
      <w:r w:rsidRPr="005170C9">
        <w:rPr>
          <w:rtl/>
        </w:rPr>
        <w:t>52</w:t>
      </w:r>
      <w:r w:rsidRPr="003520EF">
        <w:rPr>
          <w:rtl/>
        </w:rPr>
        <w:t>-</w:t>
      </w:r>
      <w:r w:rsidRPr="003520EF">
        <w:rPr>
          <w:rtl/>
        </w:rPr>
        <w:tab/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تضع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شاملة</w:t>
      </w:r>
      <w:r w:rsidR="00DC6C59">
        <w:rPr>
          <w:rtl/>
        </w:rPr>
        <w:t xml:space="preserve"> </w:t>
      </w:r>
      <w:r w:rsidRPr="003520EF">
        <w:rPr>
          <w:rtl/>
        </w:rPr>
        <w:t>لمنع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حالات</w:t>
      </w:r>
      <w:r w:rsidR="00DC6C59">
        <w:rPr>
          <w:rtl/>
        </w:rPr>
        <w:t xml:space="preserve"> </w:t>
      </w:r>
      <w:r w:rsidRPr="003520EF">
        <w:rPr>
          <w:rtl/>
        </w:rPr>
        <w:t>الرق</w:t>
      </w:r>
      <w:r w:rsidR="00DC6C59">
        <w:rPr>
          <w:rtl/>
        </w:rPr>
        <w:t xml:space="preserve"> </w:t>
      </w:r>
      <w:r w:rsidRPr="003520EF">
        <w:rPr>
          <w:rtl/>
        </w:rPr>
        <w:t>والعبودية</w:t>
      </w:r>
      <w:r w:rsidR="00DC6C59">
        <w:rPr>
          <w:rtl/>
        </w:rPr>
        <w:t xml:space="preserve"> </w:t>
      </w:r>
      <w:r w:rsidRPr="003520EF">
        <w:rPr>
          <w:rtl/>
        </w:rPr>
        <w:t>والعمل</w:t>
      </w:r>
      <w:r w:rsidR="00DC6C59">
        <w:rPr>
          <w:rtl/>
        </w:rPr>
        <w:t xml:space="preserve"> </w:t>
      </w:r>
      <w:r w:rsidRPr="003520EF">
        <w:rPr>
          <w:rtl/>
        </w:rPr>
        <w:t>الجبري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القسري</w:t>
      </w:r>
      <w:r w:rsidR="00DC6C59">
        <w:rPr>
          <w:rtl/>
        </w:rPr>
        <w:t xml:space="preserve"> </w:t>
      </w:r>
      <w:r w:rsidRPr="003520EF">
        <w:rPr>
          <w:rtl/>
        </w:rPr>
        <w:t>والتحقيق</w:t>
      </w:r>
      <w:r w:rsidR="00DC6C59">
        <w:rPr>
          <w:rtl/>
        </w:rPr>
        <w:t xml:space="preserve"> </w:t>
      </w:r>
      <w:r w:rsidRPr="003520EF">
        <w:rPr>
          <w:rtl/>
        </w:rPr>
        <w:t>بشأنها.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برامج</w:t>
      </w:r>
      <w:r w:rsidR="00DC6C59">
        <w:rPr>
          <w:rtl/>
        </w:rPr>
        <w:t xml:space="preserve"> </w:t>
      </w:r>
      <w:r w:rsidRPr="003520EF">
        <w:rPr>
          <w:rtl/>
        </w:rPr>
        <w:t>لإذكاء</w:t>
      </w:r>
      <w:r w:rsidR="00DC6C59">
        <w:rPr>
          <w:rtl/>
        </w:rPr>
        <w:t xml:space="preserve"> </w:t>
      </w:r>
      <w:r w:rsidRPr="003520EF">
        <w:rPr>
          <w:rtl/>
        </w:rPr>
        <w:t>الوعي،</w:t>
      </w:r>
      <w:r w:rsidR="00DC6C59">
        <w:rPr>
          <w:rtl/>
        </w:rPr>
        <w:t xml:space="preserve"> </w:t>
      </w:r>
      <w:r w:rsidRPr="003520EF">
        <w:rPr>
          <w:rtl/>
        </w:rPr>
        <w:t>وحملات</w:t>
      </w:r>
      <w:r w:rsidR="00DC6C59">
        <w:rPr>
          <w:rtl/>
        </w:rPr>
        <w:t xml:space="preserve"> </w:t>
      </w:r>
      <w:r w:rsidRPr="003520EF">
        <w:rPr>
          <w:rtl/>
        </w:rPr>
        <w:t>إعلامية،</w:t>
      </w:r>
      <w:r w:rsidR="00DC6C59">
        <w:rPr>
          <w:rtl/>
        </w:rPr>
        <w:t xml:space="preserve"> </w:t>
      </w:r>
      <w:r w:rsidRPr="003520EF">
        <w:rPr>
          <w:rtl/>
        </w:rPr>
        <w:t>وأحكام</w:t>
      </w:r>
      <w:r w:rsidR="00DC6C59">
        <w:rPr>
          <w:rtl/>
        </w:rPr>
        <w:t xml:space="preserve"> </w:t>
      </w:r>
      <w:r w:rsidRPr="003520EF">
        <w:rPr>
          <w:rtl/>
        </w:rPr>
        <w:t>تشريعية،</w:t>
      </w:r>
      <w:r w:rsidR="00DC6C59">
        <w:rPr>
          <w:rtl/>
        </w:rPr>
        <w:t xml:space="preserve"> </w:t>
      </w:r>
      <w:r w:rsidRPr="003520EF">
        <w:rPr>
          <w:rtl/>
        </w:rPr>
        <w:t>وإجراءات</w:t>
      </w:r>
      <w:r w:rsidR="00DC6C59">
        <w:rPr>
          <w:rtl/>
        </w:rPr>
        <w:t xml:space="preserve"> </w:t>
      </w:r>
      <w:r w:rsidRPr="003520EF">
        <w:rPr>
          <w:rtl/>
        </w:rPr>
        <w:t>لتقديم</w:t>
      </w:r>
      <w:r w:rsidR="00DC6C59">
        <w:rPr>
          <w:rtl/>
        </w:rPr>
        <w:t xml:space="preserve"> </w:t>
      </w:r>
      <w:r w:rsidRPr="003520EF">
        <w:rPr>
          <w:rtl/>
        </w:rPr>
        <w:t>الشكاوى،</w:t>
      </w:r>
      <w:r w:rsidR="00DC6C59">
        <w:rPr>
          <w:rtl/>
        </w:rPr>
        <w:t xml:space="preserve"> </w:t>
      </w:r>
      <w:r w:rsidRPr="003520EF">
        <w:rPr>
          <w:rtl/>
        </w:rPr>
        <w:t>ونظم</w:t>
      </w:r>
      <w:r w:rsidR="00DC6C59">
        <w:rPr>
          <w:rtl/>
        </w:rPr>
        <w:t xml:space="preserve"> </w:t>
      </w:r>
      <w:r w:rsidRPr="003520EF">
        <w:rPr>
          <w:rtl/>
        </w:rPr>
        <w:t>جزاءات،</w:t>
      </w:r>
      <w:r w:rsidR="00DC6C59">
        <w:rPr>
          <w:rtl/>
        </w:rPr>
        <w:t xml:space="preserve"> </w:t>
      </w:r>
      <w:r w:rsidRPr="003520EF">
        <w:rPr>
          <w:rtl/>
        </w:rPr>
        <w:t>وآليات</w:t>
      </w:r>
      <w:r w:rsidR="00DC6C59">
        <w:rPr>
          <w:rtl/>
        </w:rPr>
        <w:t xml:space="preserve"> </w:t>
      </w:r>
      <w:r w:rsidRPr="003520EF">
        <w:rPr>
          <w:rtl/>
        </w:rPr>
        <w:t>تحقيق،</w:t>
      </w:r>
      <w:r w:rsidR="00DC6C59">
        <w:rPr>
          <w:rtl/>
        </w:rPr>
        <w:t xml:space="preserve"> </w:t>
      </w:r>
      <w:r w:rsidRPr="003520EF">
        <w:rPr>
          <w:rtl/>
        </w:rPr>
        <w:t>وتدابير</w:t>
      </w:r>
      <w:r w:rsidR="00DC6C59">
        <w:rPr>
          <w:rtl/>
        </w:rPr>
        <w:t xml:space="preserve"> </w:t>
      </w:r>
      <w:r w:rsidRPr="003520EF">
        <w:rPr>
          <w:rtl/>
        </w:rPr>
        <w:t>للانتصاف</w:t>
      </w:r>
      <w:r w:rsidR="00DC6C59">
        <w:rPr>
          <w:rtl/>
        </w:rPr>
        <w:t xml:space="preserve"> </w:t>
      </w:r>
      <w:r w:rsidRPr="003520EF">
        <w:rPr>
          <w:rtl/>
        </w:rPr>
        <w:t>والجبر.</w:t>
      </w:r>
      <w:r w:rsidR="00DC6C59">
        <w:rPr>
          <w:rtl/>
        </w:rPr>
        <w:t xml:space="preserve"> </w:t>
      </w:r>
    </w:p>
    <w:p w14:paraId="30DCBD45" w14:textId="2A12F95F" w:rsidR="00EC13CA" w:rsidRPr="00C12E18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53</w:t>
      </w:r>
      <w:r w:rsidRPr="00C12E18">
        <w:rPr>
          <w:spacing w:val="-2"/>
          <w:rtl/>
        </w:rPr>
        <w:t>-</w:t>
      </w:r>
      <w:r w:rsidRPr="00C12E18">
        <w:rPr>
          <w:spacing w:val="-2"/>
          <w:rtl/>
        </w:rPr>
        <w:tab/>
        <w:t>ولكي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الدول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الأطراف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بالتزاماتها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بموجب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المادة</w:t>
      </w:r>
      <w:r w:rsidR="00DC6C59" w:rsidRPr="00C12E18">
        <w:rPr>
          <w:spacing w:val="-2"/>
          <w:rtl/>
        </w:rPr>
        <w:t xml:space="preserve"> </w:t>
      </w:r>
      <w:r w:rsidRPr="005170C9">
        <w:rPr>
          <w:spacing w:val="-2"/>
          <w:rtl/>
        </w:rPr>
        <w:t>27</w:t>
      </w:r>
      <w:r w:rsidRPr="00C12E18">
        <w:rPr>
          <w:spacing w:val="-2"/>
          <w:rtl/>
        </w:rPr>
        <w:t>(</w:t>
      </w:r>
      <w:r w:rsidR="00DC6C59" w:rsidRPr="005170C9">
        <w:rPr>
          <w:spacing w:val="-2"/>
          <w:rtl/>
        </w:rPr>
        <w:t>2</w:t>
      </w:r>
      <w:r w:rsidR="00DC6C59" w:rsidRPr="00C12E18">
        <w:rPr>
          <w:spacing w:val="-2"/>
          <w:rtl/>
        </w:rPr>
        <w:t xml:space="preserve">)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الاتفاقية،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ينبغي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تولي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اهتماما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لحق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الاختيار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والموافقة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وعدم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التعرض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للإكراه.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ويجب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الاختيار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سياق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الضرر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الذي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تسببه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ظروف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بعض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الحالات،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تكون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ظروف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المتاحة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ضارة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بصحة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ورفاههم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لأسباب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تتعلق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بإعاقتهم.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ويحتاج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هؤلاء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الأفراد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ترتيبات</w:t>
      </w:r>
      <w:r w:rsidR="00DC6C59" w:rsidRPr="00C12E18">
        <w:rPr>
          <w:spacing w:val="-2"/>
          <w:rtl/>
        </w:rPr>
        <w:t xml:space="preserve"> </w:t>
      </w:r>
      <w:proofErr w:type="spellStart"/>
      <w:r w:rsidRPr="00C12E18">
        <w:rPr>
          <w:spacing w:val="-2"/>
          <w:rtl/>
        </w:rPr>
        <w:t>تيسيرية</w:t>
      </w:r>
      <w:proofErr w:type="spellEnd"/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معقولة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خلال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إدخال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تعديلات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ظروف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وتوفير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حماية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اجتماعية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مجدية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وغير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ذلك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أشكال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الدعم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لضمان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إجبارهم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أداء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ضد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إرادتهم.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حالات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أخرى،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يتعرض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للضرر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الناجم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الفصل،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وعدم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المساواة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الأجر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المتساوي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القيمة،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ومحدودية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سبل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الحصول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يتم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اختياره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بحرية،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المساواة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الآخرين.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وينبع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خطر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الإكراه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حقيقة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lastRenderedPageBreak/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كثيرا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يواجهون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ضعفا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اجتماعيا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أوسع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نطاقا</w:t>
      </w:r>
      <w:r w:rsidR="00476B81">
        <w:rPr>
          <w:rFonts w:hint="cs"/>
          <w:spacing w:val="-2"/>
          <w:rtl/>
        </w:rPr>
        <w:t>ً</w:t>
      </w:r>
      <w:r w:rsidRPr="00C12E18">
        <w:rPr>
          <w:spacing w:val="-2"/>
          <w:rtl/>
        </w:rPr>
        <w:t>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وافتقارا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بدائل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مجدية،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وعلاقات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تبعية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رعاية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تصبح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استغلالية.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وينبغي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يؤخذ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هذا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الخطر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الحسبان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لأغراض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إذا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كانت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الموافقة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أعطيت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لا.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وحتى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عندما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تعطى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الموافقة،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ينبغي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إيلاء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الاهتمام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لسياق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الاستغلال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الإكراه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الأوسع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نطاقا</w:t>
      </w:r>
      <w:r w:rsidR="00476B81">
        <w:rPr>
          <w:rFonts w:hint="cs"/>
          <w:spacing w:val="-2"/>
          <w:rtl/>
        </w:rPr>
        <w:t>ً</w:t>
      </w:r>
      <w:r w:rsidRPr="00C12E18">
        <w:rPr>
          <w:spacing w:val="-2"/>
          <w:rtl/>
        </w:rPr>
        <w:t>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ولا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تكفي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الموافقة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للدلالة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شخصا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ليس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حالة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رق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عبودية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اتجار.</w:t>
      </w:r>
    </w:p>
    <w:p w14:paraId="1F55DBC8" w14:textId="78AAACA9" w:rsidR="00EC13CA" w:rsidRPr="005170C9" w:rsidRDefault="00EC13CA" w:rsidP="00EC13CA">
      <w:pPr>
        <w:pStyle w:val="HChGA"/>
      </w:pPr>
      <w:r w:rsidRPr="005170C9">
        <w:rPr>
          <w:rtl/>
        </w:rPr>
        <w:tab/>
        <w:t>رابعا</w:t>
      </w:r>
      <w:r w:rsidRPr="005170C9">
        <w:rPr>
          <w:rFonts w:hint="cs"/>
          <w:rtl/>
        </w:rPr>
        <w:t>ً</w:t>
      </w:r>
      <w:r w:rsidRPr="005170C9">
        <w:rPr>
          <w:rtl/>
        </w:rPr>
        <w:t>-</w:t>
      </w:r>
      <w:r w:rsidRPr="005170C9">
        <w:rPr>
          <w:rtl/>
        </w:rPr>
        <w:tab/>
        <w:t>التزامات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الدول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الأطراف</w:t>
      </w:r>
    </w:p>
    <w:p w14:paraId="3BDD47B8" w14:textId="38EC4E86" w:rsidR="00EC13CA" w:rsidRPr="005170C9" w:rsidRDefault="00EC13CA" w:rsidP="00EC13CA">
      <w:pPr>
        <w:pStyle w:val="H1GA"/>
      </w:pPr>
      <w:r w:rsidRPr="005170C9">
        <w:rPr>
          <w:rtl/>
        </w:rPr>
        <w:tab/>
        <w:t>ألف-</w:t>
      </w:r>
      <w:r w:rsidRPr="005170C9">
        <w:rPr>
          <w:rtl/>
        </w:rPr>
        <w:tab/>
        <w:t>الالتزامات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العامة</w:t>
      </w:r>
    </w:p>
    <w:p w14:paraId="3315434C" w14:textId="34F579D2" w:rsidR="00EC13CA" w:rsidRPr="003520EF" w:rsidRDefault="00EC13CA" w:rsidP="00EC13CA">
      <w:pPr>
        <w:pStyle w:val="SingleTxtGA"/>
      </w:pPr>
      <w:r w:rsidRPr="005170C9">
        <w:rPr>
          <w:rtl/>
        </w:rPr>
        <w:t>54</w:t>
      </w:r>
      <w:r w:rsidRPr="003520EF">
        <w:rPr>
          <w:rtl/>
        </w:rPr>
        <w:t>-</w:t>
      </w:r>
      <w:r w:rsidRPr="003520EF">
        <w:rPr>
          <w:rtl/>
        </w:rPr>
        <w:tab/>
        <w:t>تستوجب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4</w:t>
      </w:r>
      <w:r w:rsidRPr="003520EF">
        <w:rPr>
          <w:rtl/>
        </w:rPr>
        <w:t>(</w:t>
      </w:r>
      <w:r w:rsidR="00DC6C59" w:rsidRPr="005170C9">
        <w:rPr>
          <w:rtl/>
        </w:rPr>
        <w:t>2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تتخذ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الأطراف،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بالحقوق</w:t>
      </w:r>
      <w:r w:rsidR="00DC6C59">
        <w:rPr>
          <w:rtl/>
        </w:rPr>
        <w:t xml:space="preserve"> </w:t>
      </w:r>
      <w:r w:rsidRPr="003520EF">
        <w:rPr>
          <w:rtl/>
        </w:rPr>
        <w:t>الاقتصادية</w:t>
      </w:r>
      <w:r w:rsidR="00DC6C59">
        <w:rPr>
          <w:rtl/>
        </w:rPr>
        <w:t xml:space="preserve"> </w:t>
      </w:r>
      <w:r w:rsidRPr="003520EF">
        <w:rPr>
          <w:rtl/>
        </w:rPr>
        <w:t>والاجتماعية</w:t>
      </w:r>
      <w:r w:rsidR="00DC6C59">
        <w:rPr>
          <w:rtl/>
        </w:rPr>
        <w:t xml:space="preserve"> </w:t>
      </w:r>
      <w:r w:rsidRPr="003520EF">
        <w:rPr>
          <w:rtl/>
        </w:rPr>
        <w:t>والثقافية،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بأقصى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تسمح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مواردها</w:t>
      </w:r>
      <w:r w:rsidR="00DC6C59">
        <w:rPr>
          <w:rtl/>
        </w:rPr>
        <w:t xml:space="preserve"> </w:t>
      </w:r>
      <w:r w:rsidRPr="003520EF">
        <w:rPr>
          <w:rtl/>
        </w:rPr>
        <w:t>المتاحة،</w:t>
      </w:r>
      <w:r w:rsidR="00DC6C59">
        <w:rPr>
          <w:rtl/>
        </w:rPr>
        <w:t xml:space="preserve"> </w:t>
      </w:r>
      <w:r w:rsidRPr="003520EF">
        <w:rPr>
          <w:rtl/>
        </w:rPr>
        <w:t>وعند</w:t>
      </w:r>
      <w:r w:rsidR="00DC6C59">
        <w:rPr>
          <w:rtl/>
        </w:rPr>
        <w:t xml:space="preserve"> </w:t>
      </w:r>
      <w:r w:rsidRPr="003520EF">
        <w:rPr>
          <w:rtl/>
        </w:rPr>
        <w:t>الاقتضاء،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إطار</w:t>
      </w:r>
      <w:r w:rsidR="00DC6C59">
        <w:rPr>
          <w:rtl/>
        </w:rPr>
        <w:t xml:space="preserve"> </w:t>
      </w:r>
      <w:r w:rsidRPr="003520EF">
        <w:rPr>
          <w:rtl/>
        </w:rPr>
        <w:t>التعاون</w:t>
      </w:r>
      <w:r w:rsidR="00DC6C59">
        <w:rPr>
          <w:rtl/>
        </w:rPr>
        <w:t xml:space="preserve"> </w:t>
      </w:r>
      <w:r w:rsidRPr="003520EF">
        <w:rPr>
          <w:rtl/>
        </w:rPr>
        <w:t>الدولي،</w:t>
      </w:r>
      <w:r w:rsidR="00DC6C59">
        <w:rPr>
          <w:rtl/>
        </w:rPr>
        <w:t xml:space="preserve"> </w:t>
      </w:r>
      <w:r w:rsidRPr="003520EF">
        <w:rPr>
          <w:rtl/>
        </w:rPr>
        <w:t>بغية</w:t>
      </w:r>
      <w:r w:rsidR="00DC6C59">
        <w:rPr>
          <w:rtl/>
        </w:rPr>
        <w:t xml:space="preserve"> </w:t>
      </w:r>
      <w:r w:rsidRPr="003520EF">
        <w:rPr>
          <w:rtl/>
        </w:rPr>
        <w:t>الإعمال</w:t>
      </w:r>
      <w:r w:rsidR="00DC6C59">
        <w:rPr>
          <w:rtl/>
        </w:rPr>
        <w:t xml:space="preserve"> </w:t>
      </w:r>
      <w:r w:rsidRPr="003520EF">
        <w:rPr>
          <w:rtl/>
        </w:rPr>
        <w:t>الكامل</w:t>
      </w:r>
      <w:r w:rsidR="00DC6C59">
        <w:rPr>
          <w:rtl/>
        </w:rPr>
        <w:t xml:space="preserve"> </w:t>
      </w:r>
      <w:r w:rsidRPr="003520EF">
        <w:rPr>
          <w:rtl/>
        </w:rPr>
        <w:t>لتلك</w:t>
      </w:r>
      <w:r w:rsidR="00DC6C59">
        <w:rPr>
          <w:rtl/>
        </w:rPr>
        <w:t xml:space="preserve"> </w:t>
      </w:r>
      <w:r w:rsidRPr="003520EF">
        <w:rPr>
          <w:rtl/>
        </w:rPr>
        <w:t>الحقوق</w:t>
      </w:r>
      <w:r w:rsidR="00DC6C59">
        <w:rPr>
          <w:rtl/>
        </w:rPr>
        <w:t xml:space="preserve"> </w:t>
      </w:r>
      <w:r w:rsidRPr="003520EF">
        <w:rPr>
          <w:rtl/>
        </w:rPr>
        <w:t>تدريجيا</w:t>
      </w:r>
      <w:r w:rsidR="00476B81">
        <w:rPr>
          <w:rFonts w:hint="cs"/>
          <w:rtl/>
        </w:rPr>
        <w:t>ً</w:t>
      </w:r>
      <w:r w:rsidRPr="003520EF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ولذلك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الرئيسي</w:t>
      </w:r>
      <w:r w:rsidR="00DC6C59">
        <w:rPr>
          <w:rtl/>
        </w:rPr>
        <w:t xml:space="preserve"> </w:t>
      </w:r>
      <w:r w:rsidRPr="003520EF">
        <w:rPr>
          <w:rtl/>
        </w:rPr>
        <w:t>للدول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هو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الإعمال</w:t>
      </w:r>
      <w:r w:rsidR="00DC6C59">
        <w:rPr>
          <w:rtl/>
        </w:rPr>
        <w:t xml:space="preserve"> </w:t>
      </w:r>
      <w:r w:rsidRPr="003520EF">
        <w:rPr>
          <w:rtl/>
        </w:rPr>
        <w:t>التدريجي</w:t>
      </w:r>
      <w:r w:rsidR="00DC6C59">
        <w:rPr>
          <w:rtl/>
        </w:rPr>
        <w:t xml:space="preserve"> </w:t>
      </w:r>
      <w:r w:rsidRPr="003520EF">
        <w:rPr>
          <w:rtl/>
        </w:rPr>
        <w:t>للحق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ويجب</w:t>
      </w:r>
      <w:r w:rsidR="00DC6C59">
        <w:rPr>
          <w:rtl/>
        </w:rPr>
        <w:t xml:space="preserve"> </w:t>
      </w:r>
      <w:r w:rsidRPr="003520EF">
        <w:rPr>
          <w:rtl/>
        </w:rPr>
        <w:t>اتخاذ</w:t>
      </w:r>
      <w:r w:rsidR="00DC6C59">
        <w:rPr>
          <w:rtl/>
        </w:rPr>
        <w:t xml:space="preserve"> </w:t>
      </w:r>
      <w:r w:rsidRPr="003520EF">
        <w:rPr>
          <w:rtl/>
        </w:rPr>
        <w:t>خطوات</w:t>
      </w:r>
      <w:r w:rsidR="00DC6C59">
        <w:rPr>
          <w:rtl/>
        </w:rPr>
        <w:t xml:space="preserve"> </w:t>
      </w:r>
      <w:r w:rsidRPr="003520EF">
        <w:rPr>
          <w:rtl/>
        </w:rPr>
        <w:t>مدروسة</w:t>
      </w:r>
      <w:r w:rsidR="00DC6C59">
        <w:rPr>
          <w:rtl/>
        </w:rPr>
        <w:t xml:space="preserve"> </w:t>
      </w:r>
      <w:r w:rsidRPr="003520EF">
        <w:rPr>
          <w:rtl/>
        </w:rPr>
        <w:t>وملموسة</w:t>
      </w:r>
      <w:r w:rsidR="00DC6C59">
        <w:rPr>
          <w:rtl/>
        </w:rPr>
        <w:t xml:space="preserve"> </w:t>
      </w:r>
      <w:r w:rsidRPr="003520EF">
        <w:rPr>
          <w:rtl/>
        </w:rPr>
        <w:t>ومحددة</w:t>
      </w:r>
      <w:r w:rsidR="00DC6C59">
        <w:rPr>
          <w:rtl/>
        </w:rPr>
        <w:t xml:space="preserve"> </w:t>
      </w:r>
      <w:r w:rsidRPr="003520EF">
        <w:rPr>
          <w:rtl/>
        </w:rPr>
        <w:t>الهدف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تحقيق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الهدف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غضون</w:t>
      </w:r>
      <w:r w:rsidR="00DC6C59">
        <w:rPr>
          <w:rtl/>
        </w:rPr>
        <w:t xml:space="preserve"> </w:t>
      </w:r>
      <w:r w:rsidRPr="003520EF">
        <w:rPr>
          <w:rtl/>
        </w:rPr>
        <w:t>فترة</w:t>
      </w:r>
      <w:r w:rsidR="00DC6C59">
        <w:rPr>
          <w:rtl/>
        </w:rPr>
        <w:t xml:space="preserve"> </w:t>
      </w:r>
      <w:r w:rsidRPr="003520EF">
        <w:rPr>
          <w:rtl/>
        </w:rPr>
        <w:t>زمنية</w:t>
      </w:r>
      <w:r w:rsidR="00DC6C59">
        <w:rPr>
          <w:rtl/>
        </w:rPr>
        <w:t xml:space="preserve"> </w:t>
      </w:r>
      <w:r w:rsidRPr="003520EF">
        <w:rPr>
          <w:rtl/>
        </w:rPr>
        <w:t>قصيرة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حد</w:t>
      </w:r>
      <w:r w:rsidR="00DC6C59">
        <w:rPr>
          <w:rtl/>
        </w:rPr>
        <w:t xml:space="preserve"> </w:t>
      </w:r>
      <w:r w:rsidRPr="003520EF">
        <w:rPr>
          <w:rtl/>
        </w:rPr>
        <w:t>معقول</w:t>
      </w:r>
      <w:r w:rsidR="00DC6C59">
        <w:rPr>
          <w:rtl/>
        </w:rPr>
        <w:t xml:space="preserve"> </w:t>
      </w:r>
      <w:r w:rsidRPr="003520EF">
        <w:rPr>
          <w:rtl/>
        </w:rPr>
        <w:t>بعد</w:t>
      </w:r>
      <w:r w:rsidR="00DC6C59">
        <w:rPr>
          <w:rtl/>
        </w:rPr>
        <w:t xml:space="preserve"> </w:t>
      </w:r>
      <w:r w:rsidRPr="003520EF">
        <w:rPr>
          <w:rtl/>
        </w:rPr>
        <w:t>دخول</w:t>
      </w:r>
      <w:r w:rsidR="00DC6C59">
        <w:rPr>
          <w:rtl/>
        </w:rPr>
        <w:t xml:space="preserve"> </w:t>
      </w:r>
      <w:r w:rsidRPr="003520EF">
        <w:rPr>
          <w:rtl/>
        </w:rPr>
        <w:t>الاتفاقية</w:t>
      </w:r>
      <w:r w:rsidR="00DC6C59">
        <w:rPr>
          <w:rtl/>
        </w:rPr>
        <w:t xml:space="preserve"> </w:t>
      </w:r>
      <w:r w:rsidRPr="003520EF">
        <w:rPr>
          <w:rtl/>
        </w:rPr>
        <w:t>حيز</w:t>
      </w:r>
      <w:r w:rsidR="00DC6C59">
        <w:rPr>
          <w:rtl/>
        </w:rPr>
        <w:t xml:space="preserve"> </w:t>
      </w:r>
      <w:r w:rsidRPr="003520EF">
        <w:rPr>
          <w:rtl/>
        </w:rPr>
        <w:t>النفاذ</w:t>
      </w:r>
      <w:r w:rsidR="00DC6C59">
        <w:rPr>
          <w:rtl/>
        </w:rPr>
        <w:t xml:space="preserve"> </w:t>
      </w:r>
      <w:r w:rsidRPr="003520EF">
        <w:rPr>
          <w:rtl/>
        </w:rPr>
        <w:t>تجاه</w:t>
      </w:r>
      <w:r w:rsidR="00DC6C59">
        <w:rPr>
          <w:rtl/>
        </w:rPr>
        <w:t xml:space="preserve"> </w:t>
      </w:r>
      <w:r w:rsidRPr="003520EF">
        <w:rPr>
          <w:rtl/>
        </w:rPr>
        <w:t>الدولة</w:t>
      </w:r>
      <w:r w:rsidR="00DC6C59">
        <w:rPr>
          <w:rtl/>
        </w:rPr>
        <w:t xml:space="preserve"> </w:t>
      </w:r>
      <w:r w:rsidRPr="003520EF">
        <w:rPr>
          <w:rtl/>
        </w:rPr>
        <w:t>الطرف</w:t>
      </w:r>
      <w:r w:rsidR="00DC6C59">
        <w:rPr>
          <w:rtl/>
        </w:rPr>
        <w:t xml:space="preserve"> </w:t>
      </w:r>
      <w:r w:rsidRPr="003520EF">
        <w:rPr>
          <w:rtl/>
        </w:rPr>
        <w:t>المعنية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41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ويقترن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بالالتزامات</w:t>
      </w:r>
      <w:r w:rsidR="00DC6C59">
        <w:rPr>
          <w:rtl/>
        </w:rPr>
        <w:t xml:space="preserve"> </w:t>
      </w:r>
      <w:r w:rsidRPr="003520EF">
        <w:rPr>
          <w:rtl/>
        </w:rPr>
        <w:t>الفورية</w:t>
      </w:r>
      <w:r w:rsidR="00DC6C59">
        <w:rPr>
          <w:rtl/>
        </w:rPr>
        <w:t xml:space="preserve"> </w:t>
      </w:r>
      <w:r w:rsidRPr="003520EF">
        <w:rPr>
          <w:rtl/>
        </w:rPr>
        <w:t>للدول</w:t>
      </w:r>
      <w:r w:rsidR="00DC6C59">
        <w:rPr>
          <w:rtl/>
        </w:rPr>
        <w:t xml:space="preserve"> </w:t>
      </w:r>
      <w:r w:rsidRPr="003520EF">
        <w:rPr>
          <w:rtl/>
        </w:rPr>
        <w:t>الأطراف،</w:t>
      </w:r>
      <w:r w:rsidR="00DC6C59">
        <w:rPr>
          <w:rtl/>
        </w:rPr>
        <w:t xml:space="preserve"> </w:t>
      </w:r>
      <w:r w:rsidRPr="003520EF">
        <w:rPr>
          <w:rtl/>
        </w:rPr>
        <w:t>بموجب</w:t>
      </w:r>
      <w:r w:rsidR="00DC6C59">
        <w:rPr>
          <w:rtl/>
        </w:rPr>
        <w:t xml:space="preserve"> </w:t>
      </w:r>
      <w:r w:rsidRPr="003520EF">
        <w:rPr>
          <w:rtl/>
        </w:rPr>
        <w:t>المواد</w:t>
      </w:r>
      <w:r w:rsidR="00DC6C59">
        <w:rPr>
          <w:rtl/>
        </w:rPr>
        <w:t xml:space="preserve"> </w:t>
      </w:r>
      <w:r w:rsidRPr="005170C9">
        <w:rPr>
          <w:rtl/>
        </w:rPr>
        <w:t>4</w:t>
      </w:r>
      <w:r w:rsidRPr="003520EF">
        <w:rPr>
          <w:rtl/>
        </w:rPr>
        <w:t>(</w:t>
      </w:r>
      <w:r w:rsidR="00DC6C59" w:rsidRPr="005170C9">
        <w:rPr>
          <w:rtl/>
        </w:rPr>
        <w:t>1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5</w:t>
      </w:r>
      <w:r w:rsidR="00DC6C59"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27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بضمان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</w:p>
    <w:p w14:paraId="51C39233" w14:textId="0645B58D" w:rsidR="00EC13CA" w:rsidRPr="003520EF" w:rsidRDefault="00EC13CA" w:rsidP="00EC13CA">
      <w:pPr>
        <w:pStyle w:val="SingleTxtGA"/>
      </w:pPr>
      <w:r w:rsidRPr="005170C9">
        <w:rPr>
          <w:rtl/>
        </w:rPr>
        <w:t>55</w:t>
      </w:r>
      <w:r w:rsidRPr="003520EF">
        <w:rPr>
          <w:rtl/>
        </w:rPr>
        <w:t>-</w:t>
      </w:r>
      <w:r w:rsidRPr="003520EF">
        <w:rPr>
          <w:rtl/>
        </w:rPr>
        <w:tab/>
        <w:t>ويفرض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ثلاثة</w:t>
      </w:r>
      <w:r w:rsidR="00DC6C59">
        <w:rPr>
          <w:rtl/>
        </w:rPr>
        <w:t xml:space="preserve"> </w:t>
      </w:r>
      <w:r w:rsidRPr="003520EF">
        <w:rPr>
          <w:rtl/>
        </w:rPr>
        <w:t>أنواع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مستويات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الالتزامات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: </w:t>
      </w:r>
      <w:r w:rsidRPr="003520EF">
        <w:rPr>
          <w:rtl/>
        </w:rPr>
        <w:t>التزامات</w:t>
      </w:r>
      <w:r w:rsidR="00DC6C59">
        <w:rPr>
          <w:rtl/>
        </w:rPr>
        <w:t xml:space="preserve"> </w:t>
      </w:r>
      <w:r w:rsidRPr="003520EF">
        <w:rPr>
          <w:rtl/>
        </w:rPr>
        <w:t>الاحترام</w:t>
      </w:r>
      <w:r w:rsidR="00DC6C59">
        <w:rPr>
          <w:rtl/>
        </w:rPr>
        <w:t xml:space="preserve"> </w:t>
      </w:r>
      <w:r w:rsidRPr="003520EF">
        <w:rPr>
          <w:rtl/>
        </w:rPr>
        <w:t>والحماية</w:t>
      </w:r>
      <w:r w:rsidR="00DC6C59">
        <w:rPr>
          <w:rtl/>
        </w:rPr>
        <w:t xml:space="preserve"> </w:t>
      </w:r>
      <w:r w:rsidRPr="003520EF">
        <w:rPr>
          <w:rtl/>
        </w:rPr>
        <w:t>والأداء.</w:t>
      </w:r>
      <w:r w:rsidR="00DC6C59">
        <w:rPr>
          <w:rtl/>
        </w:rPr>
        <w:t xml:space="preserve"> </w:t>
      </w:r>
      <w:r w:rsidRPr="003520EF">
        <w:rPr>
          <w:rFonts w:ascii="Simplified Arabic" w:hAnsi="Simplified Arabic" w:hint="cs"/>
          <w:rtl/>
        </w:rPr>
        <w:t>ويشتمل</w:t>
      </w:r>
      <w:r w:rsidR="00DC6C59">
        <w:rPr>
          <w:rtl/>
        </w:rPr>
        <w:t xml:space="preserve"> </w:t>
      </w:r>
      <w:r w:rsidRPr="003520EF">
        <w:rPr>
          <w:rFonts w:ascii="Simplified Arabic" w:hAnsi="Simplified Arabic" w:hint="cs"/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بالأداء،</w:t>
      </w:r>
      <w:r w:rsidR="00DC6C59">
        <w:rPr>
          <w:rtl/>
        </w:rPr>
        <w:t xml:space="preserve"> </w:t>
      </w:r>
      <w:r w:rsidRPr="003520EF">
        <w:rPr>
          <w:rtl/>
        </w:rPr>
        <w:t>بدوره،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التزام</w:t>
      </w:r>
      <w:r w:rsidR="00DC6C59">
        <w:rPr>
          <w:rtl/>
        </w:rPr>
        <w:t xml:space="preserve"> </w:t>
      </w:r>
      <w:r w:rsidRPr="003520EF">
        <w:rPr>
          <w:rtl/>
        </w:rPr>
        <w:t>بالتسهيل</w:t>
      </w:r>
      <w:r w:rsidR="00DC6C59">
        <w:rPr>
          <w:rtl/>
        </w:rPr>
        <w:t xml:space="preserve"> </w:t>
      </w:r>
      <w:r w:rsidRPr="003520EF">
        <w:rPr>
          <w:rtl/>
        </w:rPr>
        <w:t>والتزام</w:t>
      </w:r>
      <w:r w:rsidR="00DC6C59">
        <w:rPr>
          <w:rtl/>
        </w:rPr>
        <w:t xml:space="preserve"> </w:t>
      </w:r>
      <w:r w:rsidRPr="003520EF">
        <w:rPr>
          <w:rtl/>
        </w:rPr>
        <w:t>بالتوفير</w:t>
      </w:r>
      <w:r w:rsidR="00DC6C59">
        <w:rPr>
          <w:rtl/>
        </w:rPr>
        <w:t xml:space="preserve"> </w:t>
      </w:r>
      <w:r w:rsidRPr="003520EF">
        <w:rPr>
          <w:rtl/>
        </w:rPr>
        <w:t>والتزام</w:t>
      </w:r>
      <w:r w:rsidR="00DC6C59">
        <w:rPr>
          <w:rtl/>
        </w:rPr>
        <w:t xml:space="preserve"> </w:t>
      </w:r>
      <w:r w:rsidRPr="003520EF">
        <w:rPr>
          <w:rtl/>
        </w:rPr>
        <w:t>بالتعزيز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42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ويرد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بالاحترام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4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3520EF">
        <w:rPr>
          <w:rtl/>
        </w:rPr>
        <w:t>)(د)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الاتفاقية،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بمقتضاها</w:t>
      </w:r>
      <w:r w:rsidR="00DC6C59">
        <w:rPr>
          <w:rtl/>
        </w:rPr>
        <w:t xml:space="preserve"> </w:t>
      </w:r>
      <w:r w:rsidRPr="003520EF">
        <w:rPr>
          <w:rtl/>
        </w:rPr>
        <w:t>يطلب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الدولة</w:t>
      </w:r>
      <w:r w:rsidR="00DC6C59">
        <w:rPr>
          <w:rtl/>
        </w:rPr>
        <w:t xml:space="preserve"> </w:t>
      </w:r>
      <w:r w:rsidRPr="003520EF">
        <w:rPr>
          <w:rtl/>
        </w:rPr>
        <w:t>الطرف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تمتنع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القيام</w:t>
      </w:r>
      <w:r w:rsidR="00DC6C59">
        <w:rPr>
          <w:rtl/>
        </w:rPr>
        <w:t xml:space="preserve"> </w:t>
      </w:r>
      <w:r w:rsidRPr="003520EF">
        <w:rPr>
          <w:rtl/>
        </w:rPr>
        <w:t>بأي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ممارسة</w:t>
      </w:r>
      <w:r w:rsidR="00DC6C59">
        <w:rPr>
          <w:rtl/>
        </w:rPr>
        <w:t xml:space="preserve"> </w:t>
      </w:r>
      <w:r w:rsidRPr="003520EF">
        <w:rPr>
          <w:rtl/>
        </w:rPr>
        <w:t>تتنافى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الاتفاقية.</w:t>
      </w:r>
      <w:r w:rsidR="00DC6C59">
        <w:rPr>
          <w:rtl/>
        </w:rPr>
        <w:t xml:space="preserve"> </w:t>
      </w:r>
      <w:r w:rsidRPr="003520EF">
        <w:rPr>
          <w:rtl/>
        </w:rPr>
        <w:t>ويرد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بالحماية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الفقرتين</w:t>
      </w:r>
      <w:r w:rsidR="00DC6C59">
        <w:rPr>
          <w:rtl/>
        </w:rPr>
        <w:t xml:space="preserve"> </w:t>
      </w:r>
      <w:r w:rsidRPr="005170C9">
        <w:rPr>
          <w:rtl/>
        </w:rPr>
        <w:t>1</w:t>
      </w:r>
      <w:r w:rsidRPr="003520EF">
        <w:rPr>
          <w:rtl/>
        </w:rPr>
        <w:t>(ج)</w:t>
      </w:r>
      <w:r w:rsidR="00DC6C59">
        <w:rPr>
          <w:rtl/>
        </w:rPr>
        <w:t xml:space="preserve"> </w:t>
      </w:r>
      <w:r w:rsidRPr="003520EF">
        <w:rPr>
          <w:rtl/>
        </w:rPr>
        <w:t>و(ه)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4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اللتين</w:t>
      </w:r>
      <w:r w:rsidR="00DC6C59">
        <w:rPr>
          <w:rtl/>
        </w:rPr>
        <w:t xml:space="preserve"> </w:t>
      </w:r>
      <w:r w:rsidRPr="003520EF">
        <w:rPr>
          <w:rtl/>
        </w:rPr>
        <w:t>يطلب</w:t>
      </w:r>
      <w:r w:rsidR="00DC6C59">
        <w:rPr>
          <w:rtl/>
        </w:rPr>
        <w:t xml:space="preserve"> </w:t>
      </w:r>
      <w:r w:rsidRPr="003520EF">
        <w:rPr>
          <w:rtl/>
        </w:rPr>
        <w:t>بموجبهما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الدولة</w:t>
      </w:r>
      <w:r w:rsidR="00DC6C59">
        <w:rPr>
          <w:rtl/>
        </w:rPr>
        <w:t xml:space="preserve"> </w:t>
      </w:r>
      <w:r w:rsidRPr="003520EF">
        <w:rPr>
          <w:rtl/>
        </w:rPr>
        <w:t>الطرف</w:t>
      </w:r>
      <w:r w:rsidR="00DC6C59">
        <w:rPr>
          <w:rtl/>
        </w:rPr>
        <w:t xml:space="preserve"> </w:t>
      </w:r>
      <w:r w:rsidRPr="003520EF">
        <w:rPr>
          <w:rtl/>
        </w:rPr>
        <w:t>مراعاة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وتعزيز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الإنسان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السياسات</w:t>
      </w:r>
      <w:r w:rsidR="00DC6C59">
        <w:rPr>
          <w:rtl/>
        </w:rPr>
        <w:t xml:space="preserve"> </w:t>
      </w:r>
      <w:r w:rsidRPr="003520EF">
        <w:rPr>
          <w:rtl/>
        </w:rPr>
        <w:t>والبرامج،</w:t>
      </w:r>
      <w:r w:rsidR="00DC6C59">
        <w:rPr>
          <w:rtl/>
        </w:rPr>
        <w:t xml:space="preserve"> </w:t>
      </w:r>
      <w:r w:rsidRPr="003520EF">
        <w:rPr>
          <w:rtl/>
        </w:rPr>
        <w:t>واتخاذ</w:t>
      </w:r>
      <w:r w:rsidR="00DC6C59">
        <w:rPr>
          <w:rtl/>
        </w:rPr>
        <w:t xml:space="preserve"> </w:t>
      </w:r>
      <w:r w:rsidRPr="003520EF">
        <w:rPr>
          <w:rtl/>
        </w:rPr>
        <w:t>كافة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المناسبة</w:t>
      </w:r>
      <w:r w:rsidR="00DC6C59">
        <w:rPr>
          <w:rtl/>
        </w:rPr>
        <w:t xml:space="preserve"> </w:t>
      </w:r>
      <w:r w:rsidRPr="003520EF">
        <w:rPr>
          <w:rtl/>
        </w:rPr>
        <w:t>للقضاء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جانب</w:t>
      </w:r>
      <w:r w:rsidR="00DC6C59">
        <w:rPr>
          <w:rtl/>
        </w:rPr>
        <w:t xml:space="preserve"> </w:t>
      </w:r>
      <w:r w:rsidRPr="003520EF">
        <w:rPr>
          <w:rtl/>
        </w:rPr>
        <w:t>أطراف</w:t>
      </w:r>
      <w:r w:rsidR="00DC6C59">
        <w:rPr>
          <w:rtl/>
        </w:rPr>
        <w:t xml:space="preserve"> </w:t>
      </w:r>
      <w:r w:rsidRPr="003520EF">
        <w:rPr>
          <w:rtl/>
        </w:rPr>
        <w:t>ثالثة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فيها</w:t>
      </w:r>
      <w:r w:rsidR="00DC6C59">
        <w:rPr>
          <w:rtl/>
        </w:rPr>
        <w:t xml:space="preserve"> </w:t>
      </w:r>
      <w:r w:rsidRPr="003520EF">
        <w:rPr>
          <w:rtl/>
        </w:rPr>
        <w:t>مؤسسات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الخاص.</w:t>
      </w:r>
      <w:r w:rsidR="00DC6C59">
        <w:rPr>
          <w:rtl/>
        </w:rPr>
        <w:t xml:space="preserve"> </w:t>
      </w:r>
      <w:r w:rsidRPr="003520EF">
        <w:rPr>
          <w:rtl/>
        </w:rPr>
        <w:t>ويرد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بالأداء،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سبيل</w:t>
      </w:r>
      <w:r w:rsidR="00DC6C59">
        <w:rPr>
          <w:rtl/>
        </w:rPr>
        <w:t xml:space="preserve"> </w:t>
      </w:r>
      <w:r w:rsidRPr="003520EF">
        <w:rPr>
          <w:rtl/>
        </w:rPr>
        <w:t>المثال،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4</w:t>
      </w:r>
      <w:r w:rsidRPr="003520EF">
        <w:rPr>
          <w:rtl/>
        </w:rPr>
        <w:t>(</w:t>
      </w:r>
      <w:r w:rsidR="00DC6C59" w:rsidRPr="005170C9">
        <w:rPr>
          <w:rtl/>
        </w:rPr>
        <w:t>1</w:t>
      </w:r>
      <w:r w:rsidR="00DC6C59" w:rsidRPr="00DC6C59">
        <w:rPr>
          <w:rtl/>
        </w:rPr>
        <w:t>)</w:t>
      </w:r>
      <w:r w:rsidRPr="003520EF">
        <w:rPr>
          <w:rtl/>
        </w:rPr>
        <w:t>(و)</w:t>
      </w:r>
      <w:r w:rsidR="00DC6C59">
        <w:rPr>
          <w:rtl/>
        </w:rPr>
        <w:t xml:space="preserve"> </w:t>
      </w:r>
      <w:r w:rsidR="003520EF" w:rsidRPr="003520EF">
        <w:rPr>
          <w:rtl/>
        </w:rPr>
        <w:t>و</w:t>
      </w:r>
      <w:r w:rsidRPr="003520EF">
        <w:rPr>
          <w:rtl/>
        </w:rPr>
        <w:t>(ز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بموجبها</w:t>
      </w:r>
      <w:r w:rsidR="00DC6C59">
        <w:rPr>
          <w:rtl/>
        </w:rPr>
        <w:t xml:space="preserve"> </w:t>
      </w:r>
      <w:r w:rsidRPr="003520EF">
        <w:rPr>
          <w:rtl/>
        </w:rPr>
        <w:t>يطلب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الدولة</w:t>
      </w:r>
      <w:r w:rsidR="00DC6C59">
        <w:rPr>
          <w:rtl/>
        </w:rPr>
        <w:t xml:space="preserve"> </w:t>
      </w:r>
      <w:r w:rsidRPr="003520EF">
        <w:rPr>
          <w:rtl/>
        </w:rPr>
        <w:t>إجراء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البحوث</w:t>
      </w:r>
      <w:r w:rsidR="00DC6C59">
        <w:rPr>
          <w:rtl/>
        </w:rPr>
        <w:t xml:space="preserve"> </w:t>
      </w:r>
      <w:r w:rsidRPr="003520EF">
        <w:rPr>
          <w:rtl/>
        </w:rPr>
        <w:t>والتطوير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مجال</w:t>
      </w:r>
      <w:r w:rsidR="00DC6C59">
        <w:rPr>
          <w:rtl/>
        </w:rPr>
        <w:t xml:space="preserve"> </w:t>
      </w:r>
      <w:r w:rsidRPr="003520EF">
        <w:rPr>
          <w:rtl/>
        </w:rPr>
        <w:t>السلع</w:t>
      </w:r>
      <w:r w:rsidR="00DC6C59">
        <w:rPr>
          <w:rtl/>
        </w:rPr>
        <w:t xml:space="preserve"> </w:t>
      </w:r>
      <w:r w:rsidRPr="003520EF">
        <w:rPr>
          <w:rtl/>
        </w:rPr>
        <w:t>والخدمات</w:t>
      </w:r>
      <w:r w:rsidR="00DC6C59">
        <w:rPr>
          <w:rtl/>
        </w:rPr>
        <w:t xml:space="preserve"> </w:t>
      </w:r>
      <w:r w:rsidRPr="003520EF">
        <w:rPr>
          <w:rtl/>
        </w:rPr>
        <w:t>المصممة</w:t>
      </w:r>
      <w:r w:rsidR="00DC6C59">
        <w:rPr>
          <w:rtl/>
        </w:rPr>
        <w:t xml:space="preserve"> </w:t>
      </w:r>
      <w:r w:rsidRPr="003520EF">
        <w:rPr>
          <w:rtl/>
        </w:rPr>
        <w:t>تصميما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عاما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والتكنولوجيات</w:t>
      </w:r>
      <w:r w:rsidR="00DC6C59">
        <w:rPr>
          <w:rtl/>
        </w:rPr>
        <w:t xml:space="preserve"> </w:t>
      </w:r>
      <w:r w:rsidRPr="003520EF">
        <w:rPr>
          <w:rtl/>
        </w:rPr>
        <w:t>المساعدة</w:t>
      </w:r>
      <w:r w:rsidR="00DC6C59">
        <w:rPr>
          <w:rtl/>
        </w:rPr>
        <w:t xml:space="preserve"> </w:t>
      </w:r>
      <w:r w:rsidRPr="003520EF">
        <w:rPr>
          <w:rtl/>
        </w:rPr>
        <w:t>الجديدة.</w:t>
      </w:r>
    </w:p>
    <w:p w14:paraId="56CC9554" w14:textId="72D25839" w:rsidR="00EC13CA" w:rsidRPr="003520EF" w:rsidRDefault="00EC13CA" w:rsidP="00EC13CA">
      <w:pPr>
        <w:pStyle w:val="SingleTxtGA"/>
      </w:pPr>
      <w:r w:rsidRPr="005170C9">
        <w:rPr>
          <w:rtl/>
        </w:rPr>
        <w:t>56</w:t>
      </w:r>
      <w:r w:rsidRPr="003520EF">
        <w:rPr>
          <w:rtl/>
        </w:rPr>
        <w:t>-</w:t>
      </w:r>
      <w:r w:rsidRPr="003520EF">
        <w:rPr>
          <w:rtl/>
        </w:rPr>
        <w:tab/>
        <w:t>ولا</w:t>
      </w:r>
      <w:r w:rsidR="00DC6C59">
        <w:rPr>
          <w:rtl/>
        </w:rPr>
        <w:t xml:space="preserve"> </w:t>
      </w:r>
      <w:r w:rsidRPr="003520EF">
        <w:rPr>
          <w:rtl/>
        </w:rPr>
        <w:t>يجوز</w:t>
      </w:r>
      <w:r w:rsidR="00DC6C59">
        <w:rPr>
          <w:rtl/>
        </w:rPr>
        <w:t xml:space="preserve"> </w:t>
      </w:r>
      <w:r w:rsidRPr="003520EF">
        <w:rPr>
          <w:rtl/>
        </w:rPr>
        <w:t>اتخاذ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تراجعية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بأي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الحقوق</w:t>
      </w:r>
      <w:r w:rsidR="00DC6C59">
        <w:rPr>
          <w:rtl/>
        </w:rPr>
        <w:t xml:space="preserve"> </w:t>
      </w:r>
      <w:r w:rsidRPr="003520EF">
        <w:rPr>
          <w:rtl/>
        </w:rPr>
        <w:t>المشمولة</w:t>
      </w:r>
      <w:r w:rsidR="00DC6C59">
        <w:rPr>
          <w:rtl/>
        </w:rPr>
        <w:t xml:space="preserve"> </w:t>
      </w:r>
      <w:r w:rsidRPr="003520EF">
        <w:rPr>
          <w:rtl/>
        </w:rPr>
        <w:t>بالاتفاقية،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وإذا</w:t>
      </w:r>
      <w:r w:rsidR="00DC6C59">
        <w:rPr>
          <w:rtl/>
        </w:rPr>
        <w:t xml:space="preserve"> </w:t>
      </w:r>
      <w:r w:rsidRPr="003520EF">
        <w:rPr>
          <w:rtl/>
        </w:rPr>
        <w:t>اتخذت</w:t>
      </w:r>
      <w:r w:rsidR="00DC6C59">
        <w:rPr>
          <w:rtl/>
        </w:rPr>
        <w:t xml:space="preserve"> </w:t>
      </w:r>
      <w:r w:rsidRPr="003520EF">
        <w:rPr>
          <w:rtl/>
        </w:rPr>
        <w:t>أي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تراجعية</w:t>
      </w:r>
      <w:r w:rsidR="00DC6C59">
        <w:rPr>
          <w:rtl/>
        </w:rPr>
        <w:t xml:space="preserve"> </w:t>
      </w:r>
      <w:r w:rsidRPr="003520EF">
        <w:rPr>
          <w:rtl/>
        </w:rPr>
        <w:t>عمداً،</w:t>
      </w:r>
      <w:r w:rsidR="00DC6C59">
        <w:rPr>
          <w:rtl/>
        </w:rPr>
        <w:t xml:space="preserve"> </w:t>
      </w:r>
      <w:r w:rsidRPr="003520EF">
        <w:rPr>
          <w:rtl/>
        </w:rPr>
        <w:t>فإنه</w:t>
      </w:r>
      <w:r w:rsidR="00DC6C59">
        <w:rPr>
          <w:rtl/>
        </w:rPr>
        <w:t xml:space="preserve"> </w:t>
      </w:r>
      <w:r w:rsidRPr="003520EF">
        <w:rPr>
          <w:rtl/>
        </w:rPr>
        <w:t>يقع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كاهل</w:t>
      </w:r>
      <w:r w:rsidR="00DC6C59">
        <w:rPr>
          <w:rtl/>
        </w:rPr>
        <w:t xml:space="preserve"> </w:t>
      </w:r>
      <w:r w:rsidRPr="003520EF">
        <w:rPr>
          <w:rtl/>
        </w:rPr>
        <w:t>الدولة</w:t>
      </w:r>
      <w:r w:rsidR="00DC6C59">
        <w:rPr>
          <w:rtl/>
        </w:rPr>
        <w:t xml:space="preserve"> </w:t>
      </w:r>
      <w:r w:rsidRPr="003520EF">
        <w:rPr>
          <w:rtl/>
        </w:rPr>
        <w:t>الطرف</w:t>
      </w:r>
      <w:r w:rsidR="00DC6C59">
        <w:rPr>
          <w:rtl/>
        </w:rPr>
        <w:t xml:space="preserve"> </w:t>
      </w:r>
      <w:r w:rsidRPr="003520EF">
        <w:rPr>
          <w:rtl/>
        </w:rPr>
        <w:t>عبء</w:t>
      </w:r>
      <w:r w:rsidR="00DC6C59">
        <w:rPr>
          <w:rtl/>
        </w:rPr>
        <w:t xml:space="preserve"> </w:t>
      </w:r>
      <w:r w:rsidRPr="003520EF">
        <w:rPr>
          <w:rtl/>
        </w:rPr>
        <w:t>إثبات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استُحدثت</w:t>
      </w:r>
      <w:r w:rsidR="00DC6C59">
        <w:rPr>
          <w:rtl/>
        </w:rPr>
        <w:t xml:space="preserve"> </w:t>
      </w:r>
      <w:r w:rsidRPr="003520EF">
        <w:rPr>
          <w:rtl/>
        </w:rPr>
        <w:t>بعد</w:t>
      </w:r>
      <w:r w:rsidR="00DC6C59">
        <w:rPr>
          <w:rtl/>
        </w:rPr>
        <w:t xml:space="preserve"> </w:t>
      </w:r>
      <w:r w:rsidRPr="003520EF">
        <w:rPr>
          <w:rtl/>
        </w:rPr>
        <w:t>النظر</w:t>
      </w:r>
      <w:r w:rsidR="00DC6C59">
        <w:rPr>
          <w:rtl/>
        </w:rPr>
        <w:t xml:space="preserve"> </w:t>
      </w:r>
      <w:r w:rsidRPr="003520EF">
        <w:rPr>
          <w:rtl/>
        </w:rPr>
        <w:t>بعناية</w:t>
      </w:r>
      <w:r w:rsidR="00DC6C59">
        <w:rPr>
          <w:rtl/>
        </w:rPr>
        <w:t xml:space="preserve"> </w:t>
      </w:r>
      <w:r w:rsidRPr="003520EF">
        <w:rPr>
          <w:rtl/>
        </w:rPr>
        <w:t>قصوى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البدائل،</w:t>
      </w:r>
      <w:r w:rsidR="00DC6C59">
        <w:rPr>
          <w:rtl/>
        </w:rPr>
        <w:t xml:space="preserve"> </w:t>
      </w:r>
      <w:r w:rsidRPr="003520EF">
        <w:rPr>
          <w:rtl/>
        </w:rPr>
        <w:t>وأن</w:t>
      </w:r>
      <w:r w:rsidR="00DC6C59">
        <w:rPr>
          <w:rtl/>
        </w:rPr>
        <w:t xml:space="preserve"> </w:t>
      </w:r>
      <w:r w:rsidRPr="003520EF">
        <w:rPr>
          <w:rtl/>
        </w:rPr>
        <w:t>هناك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يبررها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وجه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lastRenderedPageBreak/>
        <w:t>بالرجوع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الحقوق</w:t>
      </w:r>
      <w:r w:rsidR="00DC6C59">
        <w:rPr>
          <w:rtl/>
        </w:rPr>
        <w:t xml:space="preserve"> </w:t>
      </w:r>
      <w:r w:rsidRPr="003520EF">
        <w:rPr>
          <w:rtl/>
        </w:rPr>
        <w:t>المنصوص</w:t>
      </w:r>
      <w:r w:rsidR="00DC6C59">
        <w:rPr>
          <w:rtl/>
        </w:rPr>
        <w:t xml:space="preserve"> </w:t>
      </w:r>
      <w:r w:rsidRPr="003520EF">
        <w:rPr>
          <w:rtl/>
        </w:rPr>
        <w:t>عليها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الاتفاقية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سياق</w:t>
      </w:r>
      <w:r w:rsidR="00DC6C59">
        <w:rPr>
          <w:rtl/>
        </w:rPr>
        <w:t xml:space="preserve"> </w:t>
      </w:r>
      <w:r w:rsidRPr="003520EF">
        <w:rPr>
          <w:rtl/>
        </w:rPr>
        <w:t>الاستخدام</w:t>
      </w:r>
      <w:r w:rsidR="00DC6C59">
        <w:rPr>
          <w:rtl/>
        </w:rPr>
        <w:t xml:space="preserve"> </w:t>
      </w:r>
      <w:r w:rsidRPr="003520EF">
        <w:rPr>
          <w:rtl/>
        </w:rPr>
        <w:t>الكامل</w:t>
      </w:r>
      <w:r w:rsidR="00DC6C59">
        <w:rPr>
          <w:rtl/>
        </w:rPr>
        <w:t xml:space="preserve"> </w:t>
      </w:r>
      <w:r w:rsidRPr="003520EF">
        <w:rPr>
          <w:rtl/>
        </w:rPr>
        <w:t>لأقصى</w:t>
      </w:r>
      <w:r w:rsidR="00DC6C59">
        <w:rPr>
          <w:rtl/>
        </w:rPr>
        <w:t xml:space="preserve"> </w:t>
      </w:r>
      <w:r w:rsidRPr="003520EF">
        <w:rPr>
          <w:rtl/>
        </w:rPr>
        <w:t>الموارد</w:t>
      </w:r>
      <w:r w:rsidR="00DC6C59">
        <w:rPr>
          <w:rtl/>
        </w:rPr>
        <w:t xml:space="preserve"> </w:t>
      </w:r>
      <w:r w:rsidRPr="003520EF">
        <w:rPr>
          <w:rtl/>
        </w:rPr>
        <w:t>المتاحة</w:t>
      </w:r>
      <w:r w:rsidR="00DC6C59">
        <w:rPr>
          <w:rtl/>
        </w:rPr>
        <w:t xml:space="preserve"> </w:t>
      </w:r>
      <w:r w:rsidRPr="003520EF">
        <w:rPr>
          <w:rtl/>
        </w:rPr>
        <w:t>للدولة</w:t>
      </w:r>
      <w:r w:rsidR="00DC6C59">
        <w:rPr>
          <w:rtl/>
        </w:rPr>
        <w:t xml:space="preserve"> </w:t>
      </w:r>
      <w:r w:rsidRPr="003520EF">
        <w:rPr>
          <w:rtl/>
        </w:rPr>
        <w:t>الطرف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43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Fonts w:hint="cs"/>
          <w:rtl/>
        </w:rPr>
        <w:t>،</w:t>
      </w:r>
      <w:r w:rsidR="00DC6C59">
        <w:rPr>
          <w:rFonts w:hint="cs"/>
          <w:rtl/>
        </w:rPr>
        <w:t xml:space="preserve"> </w:t>
      </w:r>
      <w:r w:rsidRPr="003520EF">
        <w:rPr>
          <w:rtl/>
        </w:rPr>
        <w:t>وأنه</w:t>
      </w:r>
      <w:r w:rsidR="00DC6C59">
        <w:rPr>
          <w:rtl/>
        </w:rPr>
        <w:t xml:space="preserve"> </w:t>
      </w:r>
      <w:r w:rsidRPr="003520EF">
        <w:rPr>
          <w:rtl/>
        </w:rPr>
        <w:t>ليس</w:t>
      </w:r>
      <w:r w:rsidR="00DC6C59">
        <w:rPr>
          <w:rtl/>
        </w:rPr>
        <w:t xml:space="preserve"> </w:t>
      </w:r>
      <w:r w:rsidRPr="003520EF">
        <w:rPr>
          <w:rtl/>
        </w:rPr>
        <w:t>لها</w:t>
      </w:r>
      <w:r w:rsidR="00DC6C59">
        <w:rPr>
          <w:rtl/>
        </w:rPr>
        <w:t xml:space="preserve"> </w:t>
      </w:r>
      <w:r w:rsidRPr="003520EF">
        <w:rPr>
          <w:rtl/>
        </w:rPr>
        <w:t>أثر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متناسب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</w:p>
    <w:p w14:paraId="01899973" w14:textId="68AC24D3" w:rsidR="00EC13CA" w:rsidRPr="003520EF" w:rsidRDefault="00EC13CA" w:rsidP="00EC13CA">
      <w:pPr>
        <w:pStyle w:val="SingleTxtGA"/>
      </w:pPr>
      <w:r w:rsidRPr="005170C9">
        <w:rPr>
          <w:rtl/>
        </w:rPr>
        <w:t>57</w:t>
      </w:r>
      <w:r w:rsidRPr="003520EF">
        <w:rPr>
          <w:rtl/>
        </w:rPr>
        <w:t>-</w:t>
      </w:r>
      <w:r w:rsidRPr="003520EF">
        <w:rPr>
          <w:rtl/>
        </w:rPr>
        <w:tab/>
        <w:t>ويقتضي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بالاحترام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تمتنع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التدخل</w:t>
      </w:r>
      <w:r w:rsidR="00DC6C59">
        <w:rPr>
          <w:rtl/>
        </w:rPr>
        <w:t xml:space="preserve"> </w:t>
      </w:r>
      <w:r w:rsidRPr="003520EF">
        <w:rPr>
          <w:rtl/>
        </w:rPr>
        <w:t>بصورة</w:t>
      </w:r>
      <w:r w:rsidR="00DC6C59">
        <w:rPr>
          <w:rtl/>
        </w:rPr>
        <w:t xml:space="preserve"> </w:t>
      </w:r>
      <w:r w:rsidRPr="003520EF">
        <w:rPr>
          <w:rtl/>
        </w:rPr>
        <w:t>مباشرة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مباشرة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التمتع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بوسائل</w:t>
      </w:r>
      <w:r w:rsidR="00DC6C59">
        <w:rPr>
          <w:rtl/>
        </w:rPr>
        <w:t xml:space="preserve"> </w:t>
      </w:r>
      <w:r w:rsidRPr="003520EF">
        <w:rPr>
          <w:rtl/>
        </w:rPr>
        <w:t>منها</w:t>
      </w:r>
      <w:r w:rsidR="00DC6C59">
        <w:rPr>
          <w:rtl/>
        </w:rPr>
        <w:t xml:space="preserve"> </w:t>
      </w:r>
      <w:r w:rsidRPr="003520EF">
        <w:rPr>
          <w:rtl/>
        </w:rPr>
        <w:t>الامتناع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حرمان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فرص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اللائق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الحد</w:t>
      </w:r>
      <w:r w:rsidR="00DC6C59">
        <w:rPr>
          <w:rtl/>
        </w:rPr>
        <w:t xml:space="preserve"> </w:t>
      </w:r>
      <w:r w:rsidRPr="003520EF">
        <w:rPr>
          <w:rtl/>
        </w:rPr>
        <w:t>منها،</w:t>
      </w:r>
      <w:r w:rsidR="00DC6C59">
        <w:rPr>
          <w:rtl/>
        </w:rPr>
        <w:t xml:space="preserve"> </w:t>
      </w:r>
      <w:r w:rsidRPr="003520EF">
        <w:rPr>
          <w:rtl/>
        </w:rPr>
        <w:t>والامتناع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إعفاء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دفع</w:t>
      </w:r>
      <w:r w:rsidR="00DC6C59">
        <w:rPr>
          <w:rtl/>
        </w:rPr>
        <w:t xml:space="preserve"> </w:t>
      </w:r>
      <w:r w:rsidRPr="003520EF">
        <w:rPr>
          <w:rtl/>
        </w:rPr>
        <w:t>الحد</w:t>
      </w:r>
      <w:r w:rsidR="00DC6C59">
        <w:rPr>
          <w:rtl/>
        </w:rPr>
        <w:t xml:space="preserve"> </w:t>
      </w:r>
      <w:r w:rsidRPr="003520EF">
        <w:rPr>
          <w:rtl/>
        </w:rPr>
        <w:t>الأدنى</w:t>
      </w:r>
      <w:r w:rsidR="00DC6C59">
        <w:rPr>
          <w:rtl/>
        </w:rPr>
        <w:t xml:space="preserve"> </w:t>
      </w:r>
      <w:r w:rsidRPr="003520EF">
        <w:rPr>
          <w:rtl/>
        </w:rPr>
        <w:t>الوطني</w:t>
      </w:r>
      <w:r w:rsidR="00DC6C59">
        <w:rPr>
          <w:rtl/>
        </w:rPr>
        <w:t xml:space="preserve"> </w:t>
      </w:r>
      <w:r w:rsidRPr="003520EF">
        <w:rPr>
          <w:rtl/>
        </w:rPr>
        <w:t>للأجور</w:t>
      </w:r>
      <w:r w:rsidR="00DC6C59">
        <w:rPr>
          <w:rtl/>
        </w:rPr>
        <w:t xml:space="preserve"> </w:t>
      </w:r>
      <w:r w:rsidRPr="003520EF">
        <w:rPr>
          <w:rtl/>
        </w:rPr>
        <w:t>بسبب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وحظر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الجبري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القسري.</w:t>
      </w:r>
      <w:r w:rsidR="00DC6C59">
        <w:rPr>
          <w:rtl/>
        </w:rPr>
        <w:t xml:space="preserve"> </w:t>
      </w:r>
      <w:r w:rsidRPr="003520EF">
        <w:rPr>
          <w:rtl/>
        </w:rPr>
        <w:t>والدول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ملزمة</w:t>
      </w:r>
      <w:r w:rsidR="00DC6C59">
        <w:rPr>
          <w:rtl/>
        </w:rPr>
        <w:t xml:space="preserve"> </w:t>
      </w:r>
      <w:r w:rsidRPr="003520EF">
        <w:rPr>
          <w:rtl/>
        </w:rPr>
        <w:t>باحترام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والشباب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ظروف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عادلة</w:t>
      </w:r>
      <w:r w:rsidR="00DC6C59">
        <w:rPr>
          <w:rtl/>
        </w:rPr>
        <w:t xml:space="preserve"> </w:t>
      </w:r>
      <w:r w:rsidRPr="003520EF">
        <w:rPr>
          <w:rtl/>
        </w:rPr>
        <w:t>وملائمة،</w:t>
      </w:r>
      <w:r w:rsidR="00DC6C59">
        <w:rPr>
          <w:rtl/>
        </w:rPr>
        <w:t xml:space="preserve"> </w:t>
      </w:r>
      <w:r w:rsidRPr="003520EF">
        <w:rPr>
          <w:rtl/>
        </w:rPr>
        <w:t>ومن</w:t>
      </w:r>
      <w:r w:rsidR="00DC6C59">
        <w:rPr>
          <w:rtl/>
        </w:rPr>
        <w:t xml:space="preserve"> </w:t>
      </w:r>
      <w:r w:rsidRPr="003520EF">
        <w:rPr>
          <w:rtl/>
        </w:rPr>
        <w:t>ثم</w:t>
      </w:r>
      <w:r w:rsidR="00DC6C59">
        <w:rPr>
          <w:rtl/>
        </w:rPr>
        <w:t xml:space="preserve"> </w:t>
      </w:r>
      <w:r w:rsidRPr="003520EF">
        <w:rPr>
          <w:rtl/>
        </w:rPr>
        <w:t>فهي</w:t>
      </w:r>
      <w:r w:rsidR="00DC6C59">
        <w:rPr>
          <w:rtl/>
        </w:rPr>
        <w:t xml:space="preserve"> </w:t>
      </w:r>
      <w:r w:rsidRPr="003520EF">
        <w:rPr>
          <w:rtl/>
        </w:rPr>
        <w:t>مطالبة</w:t>
      </w:r>
      <w:r w:rsidR="00DC6C59">
        <w:rPr>
          <w:rtl/>
        </w:rPr>
        <w:t xml:space="preserve"> </w:t>
      </w:r>
      <w:r w:rsidRPr="003520EF">
        <w:rPr>
          <w:rtl/>
        </w:rPr>
        <w:t>باتخاذ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لمكافحة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المتعدد</w:t>
      </w:r>
      <w:r w:rsidR="00DC6C59">
        <w:rPr>
          <w:rtl/>
        </w:rPr>
        <w:t xml:space="preserve"> </w:t>
      </w:r>
      <w:r w:rsidRPr="003520EF">
        <w:rPr>
          <w:rtl/>
        </w:rPr>
        <w:t>والمتقاطع</w:t>
      </w:r>
      <w:r w:rsidR="00DC6C59">
        <w:rPr>
          <w:rtl/>
        </w:rPr>
        <w:t xml:space="preserve"> </w:t>
      </w:r>
      <w:r w:rsidRPr="003520EF">
        <w:rPr>
          <w:rtl/>
        </w:rPr>
        <w:t>وتحقيق</w:t>
      </w:r>
      <w:r w:rsidR="00DC6C59">
        <w:rPr>
          <w:rtl/>
        </w:rPr>
        <w:t xml:space="preserve"> </w:t>
      </w:r>
      <w:r w:rsidRPr="003520EF">
        <w:rPr>
          <w:rtl/>
        </w:rPr>
        <w:t>تكافؤ</w:t>
      </w:r>
      <w:r w:rsidR="00DC6C59">
        <w:rPr>
          <w:rtl/>
        </w:rPr>
        <w:t xml:space="preserve"> </w:t>
      </w:r>
      <w:r w:rsidRPr="003520EF">
        <w:rPr>
          <w:rtl/>
        </w:rPr>
        <w:t>الفرص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الترقية</w:t>
      </w:r>
      <w:r w:rsidR="00DC6C59">
        <w:rPr>
          <w:rtl/>
        </w:rPr>
        <w:t xml:space="preserve"> </w:t>
      </w:r>
      <w:r w:rsidRPr="003520EF">
        <w:rPr>
          <w:rtl/>
        </w:rPr>
        <w:t>والمساواة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المتساوي</w:t>
      </w:r>
      <w:r w:rsidR="00DC6C59">
        <w:rPr>
          <w:rtl/>
        </w:rPr>
        <w:t xml:space="preserve"> </w:t>
      </w:r>
      <w:r w:rsidRPr="003520EF">
        <w:rPr>
          <w:rtl/>
        </w:rPr>
        <w:t>القيمة.</w:t>
      </w:r>
      <w:r w:rsidR="00DC6C59">
        <w:rPr>
          <w:rtl/>
        </w:rPr>
        <w:t xml:space="preserve"> </w:t>
      </w:r>
      <w:r w:rsidRPr="003520EF">
        <w:rPr>
          <w:rtl/>
        </w:rPr>
        <w:t>ويجب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يتجنب</w:t>
      </w:r>
      <w:r w:rsidR="00DC6C59">
        <w:rPr>
          <w:rtl/>
        </w:rPr>
        <w:t xml:space="preserve"> </w:t>
      </w:r>
      <w:r w:rsidRPr="003520EF">
        <w:rPr>
          <w:rtl/>
        </w:rPr>
        <w:t>أي</w:t>
      </w:r>
      <w:r w:rsidR="00DC6C59">
        <w:rPr>
          <w:rtl/>
        </w:rPr>
        <w:t xml:space="preserve"> </w:t>
      </w:r>
      <w:r w:rsidRPr="003520EF">
        <w:rPr>
          <w:rtl/>
        </w:rPr>
        <w:t>تقييم</w:t>
      </w:r>
      <w:r w:rsidR="00DC6C59">
        <w:rPr>
          <w:rtl/>
        </w:rPr>
        <w:t xml:space="preserve"> </w:t>
      </w:r>
      <w:r w:rsidRPr="003520EF">
        <w:rPr>
          <w:rtl/>
        </w:rPr>
        <w:t>تجريه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لـ</w:t>
      </w:r>
      <w:r w:rsidR="00DC6C59">
        <w:rPr>
          <w:rtl/>
        </w:rPr>
        <w:t xml:space="preserve"> </w:t>
      </w:r>
      <w:r w:rsidRPr="003520EF">
        <w:rPr>
          <w:rtl/>
        </w:rPr>
        <w:t>"قيمة"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القوالب</w:t>
      </w:r>
      <w:r w:rsidR="00DC6C59">
        <w:rPr>
          <w:rtl/>
        </w:rPr>
        <w:t xml:space="preserve"> </w:t>
      </w:r>
      <w:r w:rsidRPr="003520EF">
        <w:rPr>
          <w:rtl/>
        </w:rPr>
        <w:t>النمطية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فيها</w:t>
      </w:r>
      <w:r w:rsidR="00DC6C59">
        <w:rPr>
          <w:rtl/>
        </w:rPr>
        <w:t xml:space="preserve"> </w:t>
      </w:r>
      <w:r w:rsidRPr="003520EF">
        <w:rPr>
          <w:rtl/>
        </w:rPr>
        <w:t>تلك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بجنسهم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نوع</w:t>
      </w:r>
      <w:r w:rsidR="00DC6C59">
        <w:rPr>
          <w:rtl/>
        </w:rPr>
        <w:t xml:space="preserve"> </w:t>
      </w:r>
      <w:r w:rsidRPr="003520EF">
        <w:rPr>
          <w:rtl/>
        </w:rPr>
        <w:t>جنسهم،</w:t>
      </w:r>
      <w:r w:rsidR="00DC6C59">
        <w:rPr>
          <w:rtl/>
        </w:rPr>
        <w:t xml:space="preserve"> </w:t>
      </w:r>
      <w:r w:rsidRPr="003520EF">
        <w:rPr>
          <w:rtl/>
        </w:rPr>
        <w:t>والتي</w:t>
      </w:r>
      <w:r w:rsidR="00DC6C59">
        <w:rPr>
          <w:rtl/>
        </w:rPr>
        <w:t xml:space="preserve"> </w:t>
      </w:r>
      <w:r w:rsidRPr="003520EF">
        <w:rPr>
          <w:rtl/>
        </w:rPr>
        <w:t>يمكن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تقلل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قيمة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تؤديه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الغالب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44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وبالإضافة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ذلك،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تتخذ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فورية</w:t>
      </w:r>
      <w:r w:rsidR="00DC6C59">
        <w:rPr>
          <w:rtl/>
        </w:rPr>
        <w:t xml:space="preserve"> </w:t>
      </w:r>
      <w:r w:rsidRPr="003520EF">
        <w:rPr>
          <w:rtl/>
        </w:rPr>
        <w:t>لإزالة</w:t>
      </w:r>
      <w:r w:rsidR="00DC6C59">
        <w:rPr>
          <w:rtl/>
        </w:rPr>
        <w:t xml:space="preserve"> </w:t>
      </w:r>
      <w:r w:rsidRPr="003520EF">
        <w:rPr>
          <w:rtl/>
        </w:rPr>
        <w:t>الحواجز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القوانين</w:t>
      </w:r>
      <w:r w:rsidR="00DC6C59">
        <w:rPr>
          <w:rtl/>
        </w:rPr>
        <w:t xml:space="preserve"> </w:t>
      </w:r>
      <w:r w:rsidRPr="003520EF">
        <w:rPr>
          <w:rtl/>
        </w:rPr>
        <w:t>والسياسات</w:t>
      </w:r>
      <w:r w:rsidR="00DC6C59">
        <w:rPr>
          <w:rtl/>
        </w:rPr>
        <w:t xml:space="preserve"> </w:t>
      </w:r>
      <w:r w:rsidRPr="003520EF">
        <w:rPr>
          <w:rtl/>
        </w:rPr>
        <w:t>والبرامج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تربط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بـ</w:t>
      </w:r>
      <w:r w:rsidR="00DC6C59">
        <w:rPr>
          <w:rtl/>
        </w:rPr>
        <w:t xml:space="preserve"> </w:t>
      </w:r>
      <w:r w:rsidRPr="003520EF">
        <w:rPr>
          <w:rtl/>
        </w:rPr>
        <w:t>"عدم</w:t>
      </w:r>
      <w:r w:rsidR="00DC6C59">
        <w:rPr>
          <w:rtl/>
        </w:rPr>
        <w:t xml:space="preserve"> </w:t>
      </w:r>
      <w:r w:rsidRPr="003520EF">
        <w:rPr>
          <w:rtl/>
        </w:rPr>
        <w:t>القدرة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العمل".</w:t>
      </w:r>
      <w:r w:rsidR="00DC6C59">
        <w:rPr>
          <w:rtl/>
        </w:rPr>
        <w:t xml:space="preserve"> </w:t>
      </w:r>
      <w:r w:rsidRPr="003520EF">
        <w:rPr>
          <w:rtl/>
        </w:rPr>
        <w:t>وعلى</w:t>
      </w:r>
      <w:r w:rsidR="00DC6C59">
        <w:rPr>
          <w:rtl/>
        </w:rPr>
        <w:t xml:space="preserve"> </w:t>
      </w:r>
      <w:r w:rsidRPr="003520EF">
        <w:rPr>
          <w:rtl/>
        </w:rPr>
        <w:t>وجه</w:t>
      </w:r>
      <w:r w:rsidR="00DC6C59">
        <w:rPr>
          <w:rtl/>
        </w:rPr>
        <w:t xml:space="preserve"> </w:t>
      </w:r>
      <w:r w:rsidRPr="003520EF">
        <w:rPr>
          <w:rtl/>
        </w:rPr>
        <w:t>الخصوص،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ألا</w:t>
      </w:r>
      <w:r w:rsidR="00DC6C59">
        <w:rPr>
          <w:rtl/>
        </w:rPr>
        <w:t xml:space="preserve"> </w:t>
      </w:r>
      <w:r w:rsidRPr="003520EF">
        <w:rPr>
          <w:rtl/>
        </w:rPr>
        <w:t>تستند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الرامية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تقييم</w:t>
      </w:r>
      <w:r w:rsidR="00DC6C59">
        <w:rPr>
          <w:rtl/>
        </w:rPr>
        <w:t xml:space="preserve"> </w:t>
      </w:r>
      <w:r w:rsidRPr="003520EF">
        <w:rPr>
          <w:rtl/>
        </w:rPr>
        <w:t>وضع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تصنيفه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تقييد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تؤدي</w:t>
      </w:r>
      <w:r w:rsidR="00DC6C59">
        <w:rPr>
          <w:rtl/>
        </w:rPr>
        <w:t xml:space="preserve"> </w:t>
      </w:r>
      <w:r w:rsidRPr="003520EF">
        <w:rPr>
          <w:rtl/>
        </w:rPr>
        <w:t>إليه.</w:t>
      </w:r>
    </w:p>
    <w:p w14:paraId="77F069E9" w14:textId="3B529014" w:rsidR="00DC6C59" w:rsidRPr="00C12E18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58</w:t>
      </w:r>
      <w:r w:rsidRPr="00C12E18">
        <w:rPr>
          <w:spacing w:val="-2"/>
          <w:rtl/>
        </w:rPr>
        <w:t>-</w:t>
      </w:r>
      <w:r w:rsidRPr="00C12E18">
        <w:rPr>
          <w:spacing w:val="-2"/>
          <w:rtl/>
        </w:rPr>
        <w:tab/>
        <w:t>ويقتضي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الالتزام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بالحماية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الدول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الأطراف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تتخذ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جميع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التدابير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المناسبة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للقضاء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أساس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جانب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الجهات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الفاعلة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الخاصة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غير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الدول،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مثل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مؤسسات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الأعمال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القطاع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ونقابات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وجميع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أفراد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المجتمع،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لمنع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النيل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الضمانات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المنصوص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عليها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المادة</w:t>
      </w:r>
      <w:r w:rsidR="00DC6C59" w:rsidRPr="00C12E18">
        <w:rPr>
          <w:spacing w:val="-2"/>
          <w:rtl/>
        </w:rPr>
        <w:t xml:space="preserve"> </w:t>
      </w:r>
      <w:r w:rsidRPr="005170C9">
        <w:rPr>
          <w:spacing w:val="-2"/>
          <w:rtl/>
        </w:rPr>
        <w:t>27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45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spacing w:val="-2"/>
          <w:rtl/>
        </w:rPr>
        <w:t xml:space="preserve">. </w:t>
      </w:r>
      <w:r w:rsidRPr="00C12E18">
        <w:rPr>
          <w:spacing w:val="-2"/>
          <w:rtl/>
        </w:rPr>
        <w:t>وعلى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وجه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الخصوص،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يقع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عاتق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الدول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الأطراف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التزام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بحماية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الأشكال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الرئيسية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يتعلق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والعمالة</w:t>
      </w:r>
      <w:r w:rsidR="00476B81">
        <w:rPr>
          <w:rFonts w:hint="cs"/>
          <w:spacing w:val="-2"/>
          <w:rtl/>
        </w:rPr>
        <w:t xml:space="preserve"> </w:t>
      </w:r>
      <w:r w:rsidRPr="00C12E18">
        <w:rPr>
          <w:spacing w:val="-2"/>
          <w:rtl/>
        </w:rPr>
        <w:t>-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المباشر،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غير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المباشر،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والحرمان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الترتيبات</w:t>
      </w:r>
      <w:r w:rsidR="00DC6C59" w:rsidRPr="00C12E18">
        <w:rPr>
          <w:spacing w:val="-2"/>
          <w:rtl/>
        </w:rPr>
        <w:t xml:space="preserve"> </w:t>
      </w:r>
      <w:proofErr w:type="spellStart"/>
      <w:r w:rsidRPr="00C12E18">
        <w:rPr>
          <w:spacing w:val="-2"/>
          <w:rtl/>
        </w:rPr>
        <w:t>التيسيرية</w:t>
      </w:r>
      <w:proofErr w:type="spellEnd"/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المعقولة،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والتحرش،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بالتلازم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-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تحدث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بشكل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فردي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متزامن.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وعلاوة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ذلك،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أوصت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اللجنة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اجتهادها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باتخاذ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تدابير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للتصدي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المتعدد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والمتقاطع،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ذلك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التدابير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التالية</w:t>
      </w:r>
      <w:r w:rsidR="00DC6C59" w:rsidRPr="00C12E18">
        <w:rPr>
          <w:spacing w:val="-2"/>
          <w:rtl/>
        </w:rPr>
        <w:t xml:space="preserve">: </w:t>
      </w:r>
      <w:r w:rsidRPr="00C12E18">
        <w:rPr>
          <w:spacing w:val="-2"/>
          <w:rtl/>
        </w:rPr>
        <w:t>اعتماد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تشريعات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وسياسات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وبرامج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تعترف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صراحة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المتعدد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والمتقاطع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46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spacing w:val="-2"/>
          <w:rtl/>
        </w:rPr>
        <w:t xml:space="preserve">، </w:t>
      </w:r>
      <w:r w:rsidRPr="00C12E18">
        <w:rPr>
          <w:spacing w:val="-2"/>
          <w:rtl/>
        </w:rPr>
        <w:t>لضمان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النظر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الشكاوى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المتعلقة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بهذا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بغية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تحديد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المسؤولية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وسبل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الانتصاف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السواء؛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ووضع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إطار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لجمع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البيانات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الصلة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بمكافحة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المتقاطع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الذي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تواجهه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النساء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والفتيات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47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spacing w:val="-2"/>
          <w:rtl/>
        </w:rPr>
        <w:t xml:space="preserve">؛ </w:t>
      </w:r>
      <w:r w:rsidRPr="00C12E18">
        <w:rPr>
          <w:spacing w:val="-2"/>
          <w:rtl/>
        </w:rPr>
        <w:t>والسماح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بتقديم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الشكاوى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المتعلقة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لأكثر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أساس،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وتحديد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مستويات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التعويض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لضحايا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وفرض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عقوبات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أشد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مرتكبيه؛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48"/>
      </w:r>
      <w:r w:rsidR="00D86E78" w:rsidRPr="005170C9">
        <w:rPr>
          <w:spacing w:val="-2"/>
          <w:vertAlign w:val="superscript"/>
          <w:rtl/>
        </w:rPr>
        <w:t>)</w:t>
      </w:r>
      <w:r w:rsidR="00DC6C59" w:rsidRPr="00C12E18">
        <w:rPr>
          <w:rFonts w:hint="cs"/>
          <w:spacing w:val="-2"/>
          <w:rtl/>
        </w:rPr>
        <w:t xml:space="preserve"> </w:t>
      </w:r>
      <w:r w:rsidRPr="00C12E18">
        <w:rPr>
          <w:spacing w:val="-2"/>
          <w:rtl/>
        </w:rPr>
        <w:t>وتعزيز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قوانين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مكافحة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للتصدي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المتقاطع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49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spacing w:val="-2"/>
          <w:rtl/>
        </w:rPr>
        <w:t xml:space="preserve">؛ </w:t>
      </w:r>
      <w:r w:rsidRPr="00C12E18">
        <w:rPr>
          <w:spacing w:val="-2"/>
          <w:rtl/>
        </w:rPr>
        <w:t>ودراسة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مدى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ملاءمة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الهياكل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الحالية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المستخدمة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للتصدي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المتقاطع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واعتماد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تدابير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فعالة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ومحددة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لمنع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أشكال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lastRenderedPageBreak/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المتقاطع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ضد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النساء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والفتيات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50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spacing w:val="-2"/>
          <w:rtl/>
        </w:rPr>
        <w:t xml:space="preserve">؛ </w:t>
      </w:r>
      <w:r w:rsidRPr="00C12E18">
        <w:rPr>
          <w:spacing w:val="-2"/>
          <w:rtl/>
        </w:rPr>
        <w:t>ووضع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أطر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للمشاركة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الجامعة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والشاملة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والشفافة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لمنظمات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أولئك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الذين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يعانون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المتقاطع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51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rFonts w:hint="cs"/>
          <w:spacing w:val="-2"/>
          <w:rtl/>
        </w:rPr>
        <w:t>.</w:t>
      </w:r>
    </w:p>
    <w:p w14:paraId="5AC18884" w14:textId="52040DC0" w:rsidR="00EC13CA" w:rsidRPr="003520EF" w:rsidRDefault="00EC13CA" w:rsidP="00EC13CA">
      <w:pPr>
        <w:pStyle w:val="SingleTxtGA"/>
      </w:pPr>
      <w:r w:rsidRPr="005170C9">
        <w:rPr>
          <w:rtl/>
        </w:rPr>
        <w:t>59</w:t>
      </w:r>
      <w:r w:rsidRPr="003520EF">
        <w:rPr>
          <w:rtl/>
        </w:rPr>
        <w:t>-</w:t>
      </w:r>
      <w:r w:rsidRPr="003520EF">
        <w:rPr>
          <w:rtl/>
        </w:rPr>
        <w:tab/>
        <w:t>وأخيرا</w:t>
      </w:r>
      <w:r w:rsidR="00476B81">
        <w:rPr>
          <w:rFonts w:hint="cs"/>
          <w:rtl/>
        </w:rPr>
        <w:t>ً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بالأداء-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يتضمن</w:t>
      </w:r>
      <w:r w:rsidR="00DC6C59">
        <w:rPr>
          <w:rtl/>
        </w:rPr>
        <w:t xml:space="preserve"> </w:t>
      </w:r>
      <w:r w:rsidRPr="003520EF">
        <w:rPr>
          <w:rtl/>
        </w:rPr>
        <w:t>الالتزامات</w:t>
      </w:r>
      <w:r w:rsidR="00DC6C59">
        <w:rPr>
          <w:rtl/>
        </w:rPr>
        <w:t xml:space="preserve"> </w:t>
      </w:r>
      <w:r w:rsidRPr="003520EF">
        <w:rPr>
          <w:rtl/>
        </w:rPr>
        <w:t>بالتسهيل</w:t>
      </w:r>
      <w:r w:rsidR="00DC6C59">
        <w:rPr>
          <w:rtl/>
        </w:rPr>
        <w:t xml:space="preserve"> </w:t>
      </w:r>
      <w:r w:rsidRPr="003520EF">
        <w:rPr>
          <w:rtl/>
        </w:rPr>
        <w:t>والتوفير</w:t>
      </w:r>
      <w:r w:rsidR="00DC6C59">
        <w:rPr>
          <w:rtl/>
        </w:rPr>
        <w:t xml:space="preserve"> </w:t>
      </w:r>
      <w:r w:rsidRPr="003520EF">
        <w:rPr>
          <w:rtl/>
        </w:rPr>
        <w:t>والتعزيز</w:t>
      </w:r>
      <w:r w:rsidR="009F00A8">
        <w:rPr>
          <w:rFonts w:hint="cs"/>
          <w:rtl/>
        </w:rPr>
        <w:t xml:space="preserve"> </w:t>
      </w:r>
      <w:r w:rsidRPr="003520EF">
        <w:rPr>
          <w:rtl/>
        </w:rPr>
        <w:t>-</w:t>
      </w:r>
      <w:r w:rsidR="00DC6C59">
        <w:rPr>
          <w:rtl/>
        </w:rPr>
        <w:t xml:space="preserve"> </w:t>
      </w:r>
      <w:r w:rsidRPr="003520EF">
        <w:rPr>
          <w:rtl/>
        </w:rPr>
        <w:t>يتطلب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تعتمد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تشريعية</w:t>
      </w:r>
      <w:r w:rsidR="00DC6C59">
        <w:rPr>
          <w:rtl/>
        </w:rPr>
        <w:t xml:space="preserve"> </w:t>
      </w:r>
      <w:r w:rsidRPr="003520EF">
        <w:rPr>
          <w:rtl/>
        </w:rPr>
        <w:t>وإدارية</w:t>
      </w:r>
      <w:r w:rsidR="00DC6C59">
        <w:rPr>
          <w:rtl/>
        </w:rPr>
        <w:t xml:space="preserve"> </w:t>
      </w:r>
      <w:r w:rsidRPr="003520EF">
        <w:rPr>
          <w:rtl/>
        </w:rPr>
        <w:t>وتدابير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الميزانية</w:t>
      </w:r>
      <w:r w:rsidR="00DC6C59">
        <w:rPr>
          <w:rtl/>
        </w:rPr>
        <w:t xml:space="preserve"> </w:t>
      </w:r>
      <w:r w:rsidRPr="003520EF">
        <w:rPr>
          <w:rtl/>
        </w:rPr>
        <w:t>وتدابير</w:t>
      </w:r>
      <w:r w:rsidR="00DC6C59">
        <w:rPr>
          <w:rtl/>
        </w:rPr>
        <w:t xml:space="preserve"> </w:t>
      </w:r>
      <w:r w:rsidRPr="003520EF">
        <w:rPr>
          <w:rtl/>
        </w:rPr>
        <w:t>قضائية</w:t>
      </w:r>
      <w:r w:rsidR="00DC6C59">
        <w:rPr>
          <w:rtl/>
        </w:rPr>
        <w:t xml:space="preserve"> </w:t>
      </w:r>
      <w:r w:rsidRPr="003520EF">
        <w:rPr>
          <w:rtl/>
        </w:rPr>
        <w:t>وترويجية</w:t>
      </w:r>
      <w:r w:rsidR="00DC6C59">
        <w:rPr>
          <w:rtl/>
        </w:rPr>
        <w:t xml:space="preserve"> </w:t>
      </w:r>
      <w:r w:rsidRPr="003520EF">
        <w:rPr>
          <w:rtl/>
        </w:rPr>
        <w:t>وغيرها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المناسبة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بيئات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مفتوحة</w:t>
      </w:r>
      <w:r w:rsidR="00DC6C59">
        <w:rPr>
          <w:rtl/>
        </w:rPr>
        <w:t xml:space="preserve"> </w:t>
      </w:r>
      <w:r w:rsidRPr="003520EF">
        <w:rPr>
          <w:rtl/>
        </w:rPr>
        <w:t>وشاملة</w:t>
      </w:r>
      <w:r w:rsidR="00DC6C59">
        <w:rPr>
          <w:rtl/>
        </w:rPr>
        <w:t xml:space="preserve"> </w:t>
      </w:r>
      <w:r w:rsidRPr="003520EF">
        <w:rPr>
          <w:rtl/>
        </w:rPr>
        <w:t>للجميع</w:t>
      </w:r>
      <w:r w:rsidR="00DC6C59">
        <w:rPr>
          <w:rtl/>
        </w:rPr>
        <w:t xml:space="preserve"> </w:t>
      </w:r>
      <w:r w:rsidRPr="003520EF">
        <w:rPr>
          <w:rtl/>
        </w:rPr>
        <w:t>ويمكن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إليها.</w:t>
      </w:r>
    </w:p>
    <w:p w14:paraId="00942759" w14:textId="3E7E8DC7" w:rsidR="00DC6C59" w:rsidRPr="00DC6C59" w:rsidRDefault="00EC13CA" w:rsidP="00EC13CA">
      <w:pPr>
        <w:pStyle w:val="SingleTxtGA"/>
      </w:pPr>
      <w:r w:rsidRPr="005170C9">
        <w:rPr>
          <w:rtl/>
        </w:rPr>
        <w:t>60</w:t>
      </w:r>
      <w:r w:rsidRPr="003520EF">
        <w:rPr>
          <w:rtl/>
        </w:rPr>
        <w:t>-</w:t>
      </w:r>
      <w:r w:rsidRPr="003520EF">
        <w:rPr>
          <w:rtl/>
        </w:rPr>
        <w:tab/>
        <w:t>ومن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الوفاء</w:t>
      </w:r>
      <w:r w:rsidR="00DC6C59">
        <w:rPr>
          <w:rtl/>
        </w:rPr>
        <w:t xml:space="preserve"> </w:t>
      </w:r>
      <w:r w:rsidRPr="003520EF">
        <w:rPr>
          <w:rtl/>
        </w:rPr>
        <w:t>بالالتزام</w:t>
      </w:r>
      <w:r w:rsidR="00DC6C59">
        <w:rPr>
          <w:rtl/>
        </w:rPr>
        <w:t xml:space="preserve"> </w:t>
      </w:r>
      <w:r w:rsidRPr="003520EF">
        <w:rPr>
          <w:rtl/>
        </w:rPr>
        <w:t>بتسهيل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والعمالة،</w:t>
      </w:r>
      <w:r w:rsidR="00DC6C59">
        <w:rPr>
          <w:rtl/>
        </w:rPr>
        <w:t xml:space="preserve"> </w:t>
      </w:r>
      <w:r w:rsidRPr="003520EF">
        <w:rPr>
          <w:rtl/>
        </w:rPr>
        <w:t>يتعين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تتخذ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إيجابية</w:t>
      </w:r>
      <w:r w:rsidR="00DC6C59">
        <w:rPr>
          <w:rtl/>
        </w:rPr>
        <w:t xml:space="preserve"> </w:t>
      </w:r>
      <w:r w:rsidRPr="003520EF">
        <w:rPr>
          <w:rtl/>
        </w:rPr>
        <w:t>لكي</w:t>
      </w:r>
      <w:r w:rsidR="00DC6C59">
        <w:rPr>
          <w:rtl/>
        </w:rPr>
        <w:t xml:space="preserve"> </w:t>
      </w:r>
      <w:r w:rsidRPr="003520EF">
        <w:rPr>
          <w:rtl/>
        </w:rPr>
        <w:t>تمكن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التعليم</w:t>
      </w:r>
      <w:r w:rsidR="00DC6C59">
        <w:rPr>
          <w:rtl/>
        </w:rPr>
        <w:t xml:space="preserve"> </w:t>
      </w:r>
      <w:r w:rsidRPr="003520EF">
        <w:rPr>
          <w:rtl/>
        </w:rPr>
        <w:t>والتدريب</w:t>
      </w:r>
      <w:r w:rsidR="00DC6C59">
        <w:rPr>
          <w:rtl/>
        </w:rPr>
        <w:t xml:space="preserve"> </w:t>
      </w:r>
      <w:r w:rsidRPr="003520EF">
        <w:rPr>
          <w:rtl/>
        </w:rPr>
        <w:t>التقنيين</w:t>
      </w:r>
      <w:r w:rsidR="00DC6C59">
        <w:rPr>
          <w:rtl/>
        </w:rPr>
        <w:t xml:space="preserve"> </w:t>
      </w:r>
      <w:r w:rsidRPr="003520EF">
        <w:rPr>
          <w:rtl/>
        </w:rPr>
        <w:t>والمهنيين</w:t>
      </w:r>
      <w:r w:rsidR="00DC6C59">
        <w:rPr>
          <w:rtl/>
        </w:rPr>
        <w:t xml:space="preserve"> </w:t>
      </w:r>
      <w:r w:rsidRPr="003520EF">
        <w:rPr>
          <w:rtl/>
        </w:rPr>
        <w:t>وتساعدهم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ذلك،</w:t>
      </w:r>
      <w:r w:rsidR="00DC6C59">
        <w:rPr>
          <w:rtl/>
        </w:rPr>
        <w:t xml:space="preserve"> </w:t>
      </w:r>
      <w:r w:rsidRPr="003520EF">
        <w:rPr>
          <w:rtl/>
        </w:rPr>
        <w:t>وأن</w:t>
      </w:r>
      <w:r w:rsidR="00DC6C59">
        <w:rPr>
          <w:rtl/>
        </w:rPr>
        <w:t xml:space="preserve"> </w:t>
      </w:r>
      <w:r w:rsidRPr="003520EF">
        <w:rPr>
          <w:rtl/>
        </w:rPr>
        <w:t>تنفذ</w:t>
      </w:r>
      <w:r w:rsidR="00DC6C59">
        <w:rPr>
          <w:rtl/>
        </w:rPr>
        <w:t xml:space="preserve"> </w:t>
      </w:r>
      <w:r w:rsidRPr="003520EF">
        <w:rPr>
          <w:rtl/>
        </w:rPr>
        <w:t>خطط</w:t>
      </w:r>
      <w:r w:rsidR="00DC6C59">
        <w:rPr>
          <w:rtl/>
        </w:rPr>
        <w:t xml:space="preserve"> </w:t>
      </w:r>
      <w:r w:rsidRPr="003520EF">
        <w:rPr>
          <w:rtl/>
        </w:rPr>
        <w:t>التعليم</w:t>
      </w:r>
      <w:r w:rsidR="00DC6C59">
        <w:rPr>
          <w:rtl/>
        </w:rPr>
        <w:t xml:space="preserve"> </w:t>
      </w:r>
      <w:r w:rsidRPr="003520EF">
        <w:rPr>
          <w:rtl/>
        </w:rPr>
        <w:t>التقني</w:t>
      </w:r>
      <w:r w:rsidR="00DC6C59">
        <w:rPr>
          <w:rtl/>
        </w:rPr>
        <w:t xml:space="preserve"> </w:t>
      </w:r>
      <w:r w:rsidRPr="003520EF">
        <w:rPr>
          <w:rtl/>
        </w:rPr>
        <w:t>والمهني</w:t>
      </w:r>
      <w:r w:rsidR="00DC6C59">
        <w:rPr>
          <w:rtl/>
        </w:rPr>
        <w:t xml:space="preserve"> </w:t>
      </w:r>
      <w:r w:rsidRPr="003520EF">
        <w:rPr>
          <w:rtl/>
        </w:rPr>
        <w:t>لتسهيل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عمل.</w:t>
      </w:r>
      <w:r w:rsidR="00DC6C59">
        <w:rPr>
          <w:rtl/>
        </w:rPr>
        <w:t xml:space="preserve"> </w:t>
      </w:r>
      <w:r w:rsidRPr="003520EF">
        <w:rPr>
          <w:rtl/>
        </w:rPr>
        <w:t>والدول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ملزمة</w:t>
      </w:r>
      <w:r w:rsidR="00DC6C59">
        <w:rPr>
          <w:rtl/>
        </w:rPr>
        <w:t xml:space="preserve"> </w:t>
      </w:r>
      <w:r w:rsidRPr="003520EF">
        <w:rPr>
          <w:rtl/>
        </w:rPr>
        <w:t>بإجراء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تشجيع</w:t>
      </w:r>
      <w:r w:rsidR="00DC6C59">
        <w:rPr>
          <w:rtl/>
        </w:rPr>
        <w:t xml:space="preserve"> </w:t>
      </w:r>
      <w:r w:rsidRPr="003520EF">
        <w:rPr>
          <w:rtl/>
        </w:rPr>
        <w:t>البحث</w:t>
      </w:r>
      <w:r w:rsidR="00DC6C59">
        <w:rPr>
          <w:rtl/>
        </w:rPr>
        <w:t xml:space="preserve"> </w:t>
      </w:r>
      <w:r w:rsidRPr="003520EF">
        <w:rPr>
          <w:rtl/>
        </w:rPr>
        <w:t>والتطوير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التكنولوجيات</w:t>
      </w:r>
      <w:r w:rsidR="00DC6C59">
        <w:rPr>
          <w:rtl/>
        </w:rPr>
        <w:t xml:space="preserve"> </w:t>
      </w:r>
      <w:r w:rsidRPr="003520EF">
        <w:rPr>
          <w:rtl/>
        </w:rPr>
        <w:t>الجديدة،</w:t>
      </w:r>
      <w:r w:rsidR="00DC6C59">
        <w:rPr>
          <w:rtl/>
        </w:rPr>
        <w:t xml:space="preserve"> </w:t>
      </w:r>
      <w:r w:rsidRPr="003520EF">
        <w:rPr>
          <w:rtl/>
        </w:rPr>
        <w:t>وتعزيز</w:t>
      </w:r>
      <w:r w:rsidR="00DC6C59">
        <w:rPr>
          <w:rtl/>
        </w:rPr>
        <w:t xml:space="preserve"> </w:t>
      </w:r>
      <w:r w:rsidRPr="003520EF">
        <w:rPr>
          <w:rtl/>
        </w:rPr>
        <w:t>توفيرها</w:t>
      </w:r>
      <w:r w:rsidR="00DC6C59">
        <w:rPr>
          <w:rtl/>
        </w:rPr>
        <w:t xml:space="preserve"> </w:t>
      </w:r>
      <w:r w:rsidRPr="003520EF">
        <w:rPr>
          <w:rtl/>
        </w:rPr>
        <w:t>واستعمالها،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تكنولوجيا</w:t>
      </w:r>
      <w:r w:rsidR="00DC6C59">
        <w:rPr>
          <w:rtl/>
        </w:rPr>
        <w:t xml:space="preserve"> </w:t>
      </w:r>
      <w:r w:rsidRPr="003520EF">
        <w:rPr>
          <w:rtl/>
        </w:rPr>
        <w:t>المعلومات</w:t>
      </w:r>
      <w:r w:rsidR="00DC6C59">
        <w:rPr>
          <w:rtl/>
        </w:rPr>
        <w:t xml:space="preserve"> </w:t>
      </w:r>
      <w:r w:rsidRPr="003520EF">
        <w:rPr>
          <w:rtl/>
        </w:rPr>
        <w:t>والاتصال،</w:t>
      </w:r>
      <w:r w:rsidR="00DC6C59">
        <w:rPr>
          <w:rtl/>
        </w:rPr>
        <w:t xml:space="preserve"> </w:t>
      </w:r>
      <w:r w:rsidRPr="003520EF">
        <w:rPr>
          <w:rtl/>
        </w:rPr>
        <w:t>والوسائل</w:t>
      </w:r>
      <w:r w:rsidR="00DC6C59">
        <w:rPr>
          <w:rtl/>
        </w:rPr>
        <w:t xml:space="preserve"> </w:t>
      </w:r>
      <w:r w:rsidRPr="003520EF">
        <w:rPr>
          <w:rtl/>
        </w:rPr>
        <w:t>والأجهزة</w:t>
      </w:r>
      <w:r w:rsidR="00DC6C59">
        <w:rPr>
          <w:rtl/>
        </w:rPr>
        <w:t xml:space="preserve"> </w:t>
      </w:r>
      <w:r w:rsidRPr="003520EF">
        <w:rPr>
          <w:rtl/>
        </w:rPr>
        <w:t>المساعدة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التنقل،</w:t>
      </w:r>
      <w:r w:rsidR="00DC6C59">
        <w:rPr>
          <w:rtl/>
        </w:rPr>
        <w:t xml:space="preserve"> </w:t>
      </w:r>
      <w:r w:rsidRPr="003520EF">
        <w:rPr>
          <w:rtl/>
        </w:rPr>
        <w:t>والتكنولوجيات</w:t>
      </w:r>
      <w:r w:rsidR="00DC6C59">
        <w:rPr>
          <w:rtl/>
        </w:rPr>
        <w:t xml:space="preserve"> </w:t>
      </w:r>
      <w:r w:rsidRPr="003520EF">
        <w:rPr>
          <w:rtl/>
        </w:rPr>
        <w:t>المساعدة</w:t>
      </w:r>
      <w:r w:rsidR="00DC6C59">
        <w:rPr>
          <w:rtl/>
        </w:rPr>
        <w:t xml:space="preserve"> </w:t>
      </w:r>
      <w:r w:rsidRPr="003520EF">
        <w:rPr>
          <w:rtl/>
        </w:rPr>
        <w:t>الملائمة،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إيلاء</w:t>
      </w:r>
      <w:r w:rsidR="00DC6C59">
        <w:rPr>
          <w:rtl/>
        </w:rPr>
        <w:t xml:space="preserve"> </w:t>
      </w:r>
      <w:r w:rsidRPr="003520EF">
        <w:rPr>
          <w:rtl/>
        </w:rPr>
        <w:t>الأولوية</w:t>
      </w:r>
      <w:r w:rsidR="00DC6C59">
        <w:rPr>
          <w:rtl/>
        </w:rPr>
        <w:t xml:space="preserve"> </w:t>
      </w:r>
      <w:r w:rsidRPr="003520EF">
        <w:rPr>
          <w:rtl/>
        </w:rPr>
        <w:t>لتوفير</w:t>
      </w:r>
      <w:r w:rsidR="00DC6C59">
        <w:rPr>
          <w:rtl/>
        </w:rPr>
        <w:t xml:space="preserve"> </w:t>
      </w:r>
      <w:r w:rsidRPr="003520EF">
        <w:rPr>
          <w:rtl/>
        </w:rPr>
        <w:t>التكنولوجيات</w:t>
      </w:r>
      <w:r w:rsidR="00DC6C59">
        <w:rPr>
          <w:rtl/>
        </w:rPr>
        <w:t xml:space="preserve"> </w:t>
      </w:r>
      <w:r w:rsidRPr="003520EF">
        <w:rPr>
          <w:rtl/>
        </w:rPr>
        <w:t>بتكلفة</w:t>
      </w:r>
      <w:r w:rsidR="00DC6C59">
        <w:rPr>
          <w:rtl/>
        </w:rPr>
        <w:t xml:space="preserve"> </w:t>
      </w:r>
      <w:r w:rsidRPr="003520EF">
        <w:rPr>
          <w:rtl/>
        </w:rPr>
        <w:t>ميسورة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52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؛</w:t>
      </w:r>
    </w:p>
    <w:p w14:paraId="6993AEF3" w14:textId="2FBC7229" w:rsidR="00EC13CA" w:rsidRPr="003520EF" w:rsidRDefault="00EC13CA" w:rsidP="00EC13CA">
      <w:pPr>
        <w:pStyle w:val="SingleTxtGA"/>
      </w:pPr>
      <w:r w:rsidRPr="005170C9">
        <w:rPr>
          <w:rtl/>
        </w:rPr>
        <w:t>61</w:t>
      </w:r>
      <w:r w:rsidRPr="003520EF">
        <w:rPr>
          <w:rtl/>
        </w:rPr>
        <w:t>-</w:t>
      </w:r>
      <w:r w:rsidRPr="003520EF">
        <w:rPr>
          <w:rtl/>
        </w:rPr>
        <w:tab/>
        <w:t>وللوفاء</w:t>
      </w:r>
      <w:r w:rsidR="00DC6C59">
        <w:rPr>
          <w:rtl/>
        </w:rPr>
        <w:t xml:space="preserve"> </w:t>
      </w:r>
      <w:r w:rsidRPr="003520EF">
        <w:rPr>
          <w:rtl/>
        </w:rPr>
        <w:t>بالالتزام</w:t>
      </w:r>
      <w:r w:rsidR="00DC6C59">
        <w:rPr>
          <w:rtl/>
        </w:rPr>
        <w:t xml:space="preserve"> </w:t>
      </w:r>
      <w:r w:rsidRPr="003520EF">
        <w:rPr>
          <w:rtl/>
        </w:rPr>
        <w:t>بتوفير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ملزمة</w:t>
      </w:r>
      <w:r w:rsidR="00DC6C59">
        <w:rPr>
          <w:rtl/>
        </w:rPr>
        <w:t xml:space="preserve"> </w:t>
      </w:r>
      <w:r w:rsidRPr="003520EF">
        <w:rPr>
          <w:rtl/>
        </w:rPr>
        <w:t>بالاعتراف</w:t>
      </w:r>
      <w:r w:rsidR="00DC6C59">
        <w:rPr>
          <w:rtl/>
        </w:rPr>
        <w:t xml:space="preserve"> </w:t>
      </w:r>
      <w:r w:rsidRPr="003520EF">
        <w:rPr>
          <w:rtl/>
        </w:rPr>
        <w:t>بهذا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النظم</w:t>
      </w:r>
      <w:r w:rsidR="00DC6C59">
        <w:rPr>
          <w:rtl/>
        </w:rPr>
        <w:t xml:space="preserve"> </w:t>
      </w:r>
      <w:r w:rsidRPr="003520EF">
        <w:rPr>
          <w:rtl/>
        </w:rPr>
        <w:t>القانونية</w:t>
      </w:r>
      <w:r w:rsidR="00DC6C59">
        <w:rPr>
          <w:rtl/>
        </w:rPr>
        <w:t xml:space="preserve"> </w:t>
      </w:r>
      <w:r w:rsidRPr="003520EF">
        <w:rPr>
          <w:rtl/>
        </w:rPr>
        <w:t>الوطنية</w:t>
      </w:r>
      <w:r w:rsidR="00DC6C59">
        <w:rPr>
          <w:rtl/>
        </w:rPr>
        <w:t xml:space="preserve"> </w:t>
      </w:r>
      <w:r w:rsidRPr="003520EF">
        <w:rPr>
          <w:rtl/>
        </w:rPr>
        <w:t>واعتماد</w:t>
      </w:r>
      <w:r w:rsidR="00DC6C59">
        <w:rPr>
          <w:rtl/>
        </w:rPr>
        <w:t xml:space="preserve"> </w:t>
      </w:r>
      <w:r w:rsidRPr="003520EF">
        <w:rPr>
          <w:rtl/>
        </w:rPr>
        <w:t>سياسة</w:t>
      </w:r>
      <w:r w:rsidR="00DC6C59">
        <w:rPr>
          <w:rtl/>
        </w:rPr>
        <w:t xml:space="preserve"> </w:t>
      </w:r>
      <w:r w:rsidRPr="003520EF">
        <w:rPr>
          <w:rtl/>
        </w:rPr>
        <w:t>وطنية</w:t>
      </w:r>
      <w:r w:rsidR="00DC6C59">
        <w:rPr>
          <w:rtl/>
        </w:rPr>
        <w:t xml:space="preserve"> </w:t>
      </w:r>
      <w:r w:rsidRPr="003520EF">
        <w:rPr>
          <w:rtl/>
        </w:rPr>
        <w:t>وخطة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مفصلة</w:t>
      </w:r>
      <w:r w:rsidR="00DC6C59">
        <w:rPr>
          <w:rtl/>
        </w:rPr>
        <w:t xml:space="preserve"> </w:t>
      </w:r>
      <w:r w:rsidRPr="003520EF">
        <w:rPr>
          <w:rtl/>
        </w:rPr>
        <w:t>لإعماله.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تخصص</w:t>
      </w:r>
      <w:r w:rsidR="00DC6C59">
        <w:rPr>
          <w:rtl/>
        </w:rPr>
        <w:t xml:space="preserve"> </w:t>
      </w:r>
      <w:r w:rsidRPr="003520EF">
        <w:rPr>
          <w:rtl/>
        </w:rPr>
        <w:t>للسياسة</w:t>
      </w:r>
      <w:r w:rsidR="00DC6C59">
        <w:rPr>
          <w:rtl/>
        </w:rPr>
        <w:t xml:space="preserve"> </w:t>
      </w:r>
      <w:r w:rsidRPr="003520EF">
        <w:rPr>
          <w:rtl/>
        </w:rPr>
        <w:t>والخطة</w:t>
      </w:r>
      <w:r w:rsidR="00DC6C59">
        <w:rPr>
          <w:rtl/>
        </w:rPr>
        <w:t xml:space="preserve"> </w:t>
      </w:r>
      <w:r w:rsidRPr="003520EF">
        <w:rPr>
          <w:rtl/>
        </w:rPr>
        <w:t>موارد</w:t>
      </w:r>
      <w:r w:rsidR="00DC6C59">
        <w:rPr>
          <w:rtl/>
        </w:rPr>
        <w:t xml:space="preserve"> </w:t>
      </w:r>
      <w:r w:rsidRPr="003520EF">
        <w:rPr>
          <w:rtl/>
        </w:rPr>
        <w:t>كافية</w:t>
      </w:r>
      <w:r w:rsidR="00DC6C59">
        <w:rPr>
          <w:rtl/>
        </w:rPr>
        <w:t xml:space="preserve"> </w:t>
      </w:r>
      <w:r w:rsidRPr="003520EF">
        <w:rPr>
          <w:rtl/>
        </w:rPr>
        <w:t>لزيادة</w:t>
      </w:r>
      <w:r w:rsidR="00DC6C59">
        <w:rPr>
          <w:rtl/>
        </w:rPr>
        <w:t xml:space="preserve"> </w:t>
      </w:r>
      <w:r w:rsidRPr="003520EF">
        <w:rPr>
          <w:rtl/>
        </w:rPr>
        <w:t>مشاركة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476B81">
        <w:rPr>
          <w:rFonts w:hint="cs"/>
          <w:rtl/>
        </w:rPr>
        <w:t> </w:t>
      </w:r>
      <w:r w:rsidRPr="003520EF">
        <w:rPr>
          <w:rtl/>
        </w:rPr>
        <w:t>سيما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والعمالة.</w:t>
      </w:r>
      <w:r w:rsidR="00DC6C59">
        <w:rPr>
          <w:rtl/>
        </w:rPr>
        <w:t xml:space="preserve"> </w:t>
      </w:r>
      <w:r w:rsidRPr="003520EF">
        <w:rPr>
          <w:rtl/>
        </w:rPr>
        <w:t>والدول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ملزمة</w:t>
      </w:r>
      <w:r w:rsidR="00DC6C59">
        <w:rPr>
          <w:rtl/>
        </w:rPr>
        <w:t xml:space="preserve"> </w:t>
      </w:r>
      <w:r w:rsidRPr="003520EF">
        <w:rPr>
          <w:rtl/>
        </w:rPr>
        <w:t>أيضا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بتزويد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بمعلومات</w:t>
      </w:r>
      <w:r w:rsidR="00DC6C59">
        <w:rPr>
          <w:rtl/>
        </w:rPr>
        <w:t xml:space="preserve"> </w:t>
      </w:r>
      <w:r w:rsidRPr="003520EF">
        <w:rPr>
          <w:rtl/>
        </w:rPr>
        <w:t>يسهل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إليها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التكنولوجيات</w:t>
      </w:r>
      <w:r w:rsidR="00DC6C59">
        <w:rPr>
          <w:rtl/>
        </w:rPr>
        <w:t xml:space="preserve"> </w:t>
      </w:r>
      <w:r w:rsidRPr="003520EF">
        <w:rPr>
          <w:rtl/>
        </w:rPr>
        <w:t>الجديدة</w:t>
      </w:r>
      <w:r w:rsidR="00DC6C59">
        <w:rPr>
          <w:rtl/>
        </w:rPr>
        <w:t xml:space="preserve"> </w:t>
      </w:r>
      <w:r w:rsidRPr="003520EF">
        <w:rPr>
          <w:rtl/>
        </w:rPr>
        <w:t>المستحدثة</w:t>
      </w:r>
      <w:r w:rsidR="00DC6C59">
        <w:rPr>
          <w:rtl/>
        </w:rPr>
        <w:t xml:space="preserve"> </w:t>
      </w:r>
      <w:r w:rsidRPr="003520EF">
        <w:rPr>
          <w:rtl/>
        </w:rPr>
        <w:t>عملا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بالالتزام</w:t>
      </w:r>
      <w:r w:rsidR="00DC6C59">
        <w:rPr>
          <w:rtl/>
        </w:rPr>
        <w:t xml:space="preserve"> </w:t>
      </w:r>
      <w:r w:rsidRPr="003520EF">
        <w:rPr>
          <w:rtl/>
        </w:rPr>
        <w:t>بالتسهيل.</w:t>
      </w:r>
    </w:p>
    <w:p w14:paraId="61ABA26D" w14:textId="017FFEF5" w:rsidR="00EC13CA" w:rsidRPr="003520EF" w:rsidRDefault="00EC13CA" w:rsidP="00EC13CA">
      <w:pPr>
        <w:pStyle w:val="SingleTxtGA"/>
      </w:pPr>
      <w:r w:rsidRPr="005170C9">
        <w:rPr>
          <w:rtl/>
        </w:rPr>
        <w:t>62</w:t>
      </w:r>
      <w:r w:rsidRPr="003520EF">
        <w:rPr>
          <w:rtl/>
        </w:rPr>
        <w:t>-</w:t>
      </w:r>
      <w:r w:rsidRPr="003520EF">
        <w:rPr>
          <w:rtl/>
        </w:rPr>
        <w:tab/>
        <w:t>ومن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الوفاء</w:t>
      </w:r>
      <w:r w:rsidR="00DC6C59">
        <w:rPr>
          <w:rtl/>
        </w:rPr>
        <w:t xml:space="preserve"> </w:t>
      </w:r>
      <w:r w:rsidRPr="003520EF">
        <w:rPr>
          <w:rtl/>
        </w:rPr>
        <w:t>بالالتزام</w:t>
      </w:r>
      <w:r w:rsidR="00DC6C59">
        <w:rPr>
          <w:rtl/>
        </w:rPr>
        <w:t xml:space="preserve"> </w:t>
      </w:r>
      <w:r w:rsidRPr="003520EF">
        <w:rPr>
          <w:rtl/>
        </w:rPr>
        <w:t>بتعزيز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والعمالة،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تتخذ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خطوات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تنظيم</w:t>
      </w:r>
      <w:r w:rsidR="00DC6C59">
        <w:rPr>
          <w:rtl/>
        </w:rPr>
        <w:t xml:space="preserve"> </w:t>
      </w:r>
      <w:r w:rsidRPr="003520EF">
        <w:rPr>
          <w:rtl/>
        </w:rPr>
        <w:t>حملات</w:t>
      </w:r>
      <w:r w:rsidR="00DC6C59">
        <w:rPr>
          <w:rtl/>
        </w:rPr>
        <w:t xml:space="preserve"> </w:t>
      </w:r>
      <w:r w:rsidRPr="003520EF">
        <w:rPr>
          <w:rtl/>
        </w:rPr>
        <w:t>ملائمة</w:t>
      </w:r>
      <w:r w:rsidR="00DC6C59">
        <w:rPr>
          <w:rtl/>
        </w:rPr>
        <w:t xml:space="preserve"> </w:t>
      </w:r>
      <w:r w:rsidRPr="003520EF">
        <w:rPr>
          <w:rtl/>
        </w:rPr>
        <w:t>للتثقيف</w:t>
      </w:r>
      <w:r w:rsidR="00DC6C59">
        <w:rPr>
          <w:rtl/>
        </w:rPr>
        <w:t xml:space="preserve"> </w:t>
      </w:r>
      <w:r w:rsidRPr="003520EF">
        <w:rPr>
          <w:rtl/>
        </w:rPr>
        <w:t>والإعلام</w:t>
      </w:r>
      <w:r w:rsidR="00DC6C59">
        <w:rPr>
          <w:rtl/>
        </w:rPr>
        <w:t xml:space="preserve"> </w:t>
      </w:r>
      <w:r w:rsidRPr="003520EF">
        <w:rPr>
          <w:rtl/>
        </w:rPr>
        <w:t>والتوعية،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تعميم</w:t>
      </w:r>
      <w:r w:rsidR="00DC6C59">
        <w:rPr>
          <w:rtl/>
        </w:rPr>
        <w:t xml:space="preserve"> </w:t>
      </w:r>
      <w:r w:rsidRPr="003520EF">
        <w:rPr>
          <w:rtl/>
        </w:rPr>
        <w:t>مراعاة</w:t>
      </w:r>
      <w:r w:rsidR="00DC6C59">
        <w:rPr>
          <w:rtl/>
        </w:rPr>
        <w:t xml:space="preserve"> </w:t>
      </w:r>
      <w:r w:rsidRPr="003520EF">
        <w:rPr>
          <w:rtl/>
        </w:rPr>
        <w:t>المنظور</w:t>
      </w:r>
      <w:r w:rsidR="00DC6C59">
        <w:rPr>
          <w:rtl/>
        </w:rPr>
        <w:t xml:space="preserve"> </w:t>
      </w:r>
      <w:r w:rsidRPr="003520EF">
        <w:rPr>
          <w:rtl/>
        </w:rPr>
        <w:t>الجنساني،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القطاعين</w:t>
      </w:r>
      <w:r w:rsidR="00DC6C59">
        <w:rPr>
          <w:rtl/>
        </w:rPr>
        <w:t xml:space="preserve"> </w:t>
      </w:r>
      <w:r w:rsidRPr="003520EF">
        <w:rPr>
          <w:rtl/>
        </w:rPr>
        <w:t>الخاص</w:t>
      </w:r>
      <w:r w:rsidR="00DC6C59">
        <w:rPr>
          <w:rtl/>
        </w:rPr>
        <w:t xml:space="preserve"> </w:t>
      </w:r>
      <w:r w:rsidRPr="003520EF">
        <w:rPr>
          <w:rtl/>
        </w:rPr>
        <w:t>والعام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السواء.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تستهدف</w:t>
      </w:r>
      <w:r w:rsidR="00DC6C59">
        <w:rPr>
          <w:rtl/>
        </w:rPr>
        <w:t xml:space="preserve"> </w:t>
      </w:r>
      <w:r w:rsidRPr="003520EF">
        <w:rPr>
          <w:rtl/>
        </w:rPr>
        <w:t>حملات</w:t>
      </w:r>
      <w:r w:rsidR="00DC6C59">
        <w:rPr>
          <w:rtl/>
        </w:rPr>
        <w:t xml:space="preserve"> </w:t>
      </w:r>
      <w:r w:rsidRPr="003520EF">
        <w:rPr>
          <w:rtl/>
        </w:rPr>
        <w:t>التوعية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والمستخدَمين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القطاعين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والخاص،</w:t>
      </w:r>
      <w:r w:rsidR="00DC6C59">
        <w:rPr>
          <w:rtl/>
        </w:rPr>
        <w:t xml:space="preserve"> </w:t>
      </w:r>
      <w:r w:rsidRPr="003520EF">
        <w:rPr>
          <w:rtl/>
        </w:rPr>
        <w:t>ووكالات</w:t>
      </w:r>
      <w:r w:rsidR="00DC6C59">
        <w:rPr>
          <w:rtl/>
        </w:rPr>
        <w:t xml:space="preserve"> </w:t>
      </w:r>
      <w:r w:rsidRPr="003520EF">
        <w:rPr>
          <w:rtl/>
        </w:rPr>
        <w:t>التوظيف</w:t>
      </w:r>
      <w:r w:rsidR="00DC6C59">
        <w:rPr>
          <w:rtl/>
        </w:rPr>
        <w:t xml:space="preserve"> </w:t>
      </w:r>
      <w:r w:rsidRPr="003520EF">
        <w:rPr>
          <w:rtl/>
        </w:rPr>
        <w:t>والعمالة،</w:t>
      </w:r>
      <w:r w:rsidR="00DC6C59">
        <w:rPr>
          <w:rtl/>
        </w:rPr>
        <w:t xml:space="preserve"> </w:t>
      </w:r>
      <w:r w:rsidRPr="003520EF">
        <w:rPr>
          <w:rtl/>
        </w:rPr>
        <w:t>وعامة</w:t>
      </w:r>
      <w:r w:rsidR="00DC6C59">
        <w:rPr>
          <w:rtl/>
        </w:rPr>
        <w:t xml:space="preserve"> </w:t>
      </w:r>
      <w:r w:rsidRPr="003520EF">
        <w:rPr>
          <w:rtl/>
        </w:rPr>
        <w:t>الجمهور،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باللغات</w:t>
      </w:r>
      <w:r w:rsidR="00DC6C59">
        <w:rPr>
          <w:rtl/>
        </w:rPr>
        <w:t xml:space="preserve"> </w:t>
      </w:r>
      <w:r w:rsidRPr="003520EF">
        <w:rPr>
          <w:rtl/>
        </w:rPr>
        <w:t>المناسبة</w:t>
      </w:r>
      <w:r w:rsidR="00DC6C59">
        <w:rPr>
          <w:rtl/>
        </w:rPr>
        <w:t xml:space="preserve"> </w:t>
      </w:r>
      <w:r w:rsidRPr="003520EF">
        <w:rPr>
          <w:rtl/>
        </w:rPr>
        <w:t>وبأشكال</w:t>
      </w:r>
      <w:r w:rsidR="00DC6C59">
        <w:rPr>
          <w:rtl/>
        </w:rPr>
        <w:t xml:space="preserve"> </w:t>
      </w:r>
      <w:r w:rsidRPr="003520EF">
        <w:rPr>
          <w:rtl/>
        </w:rPr>
        <w:t>ميسرة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</w:p>
    <w:p w14:paraId="10831CFF" w14:textId="01C19A1E" w:rsidR="00EC13CA" w:rsidRPr="005170C9" w:rsidRDefault="00EC13CA" w:rsidP="00EC13CA">
      <w:pPr>
        <w:pStyle w:val="H1GA"/>
      </w:pPr>
      <w:r w:rsidRPr="005170C9">
        <w:rPr>
          <w:rtl/>
        </w:rPr>
        <w:tab/>
        <w:t>باء-</w:t>
      </w:r>
      <w:r w:rsidRPr="005170C9">
        <w:rPr>
          <w:rtl/>
        </w:rPr>
        <w:tab/>
        <w:t>الالتزامات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الأساسية</w:t>
      </w:r>
    </w:p>
    <w:p w14:paraId="10FC1D9C" w14:textId="75AA7B28" w:rsidR="00EC13CA" w:rsidRPr="003520EF" w:rsidRDefault="00EC13CA" w:rsidP="00EC13CA">
      <w:pPr>
        <w:pStyle w:val="SingleTxtGA"/>
      </w:pPr>
      <w:r w:rsidRPr="005170C9">
        <w:rPr>
          <w:rtl/>
        </w:rPr>
        <w:t>63</w:t>
      </w:r>
      <w:r w:rsidRPr="003520EF">
        <w:rPr>
          <w:rtl/>
        </w:rPr>
        <w:t>-</w:t>
      </w:r>
      <w:r w:rsidRPr="003520EF">
        <w:rPr>
          <w:rtl/>
        </w:rPr>
        <w:tab/>
        <w:t>يقع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عاتق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التزام</w:t>
      </w:r>
      <w:r w:rsidR="00DC6C59">
        <w:rPr>
          <w:rtl/>
        </w:rPr>
        <w:t xml:space="preserve"> </w:t>
      </w:r>
      <w:r w:rsidRPr="003520EF">
        <w:rPr>
          <w:rtl/>
        </w:rPr>
        <w:t>أساسي</w:t>
      </w:r>
      <w:r w:rsidR="00DC6C59">
        <w:rPr>
          <w:rtl/>
        </w:rPr>
        <w:t xml:space="preserve"> </w:t>
      </w:r>
      <w:r w:rsidRPr="003520EF">
        <w:rPr>
          <w:rtl/>
        </w:rPr>
        <w:t>وفوري</w:t>
      </w:r>
      <w:r w:rsidR="00DC6C59">
        <w:rPr>
          <w:rtl/>
        </w:rPr>
        <w:t xml:space="preserve"> </w:t>
      </w:r>
      <w:r w:rsidRPr="003520EF">
        <w:rPr>
          <w:rtl/>
        </w:rPr>
        <w:t>للحد</w:t>
      </w:r>
      <w:r w:rsidR="00DC6C59">
        <w:rPr>
          <w:rtl/>
        </w:rPr>
        <w:t xml:space="preserve"> </w:t>
      </w:r>
      <w:r w:rsidRPr="003520EF">
        <w:rPr>
          <w:rtl/>
        </w:rPr>
        <w:t>الأدنى</w:t>
      </w:r>
      <w:r w:rsidR="00DC6C59">
        <w:rPr>
          <w:rtl/>
        </w:rPr>
        <w:t xml:space="preserve"> </w:t>
      </w:r>
      <w:r w:rsidRPr="003520EF">
        <w:rPr>
          <w:rtl/>
        </w:rPr>
        <w:t>بضمان</w:t>
      </w:r>
      <w:r w:rsidR="00DC6C59">
        <w:rPr>
          <w:rtl/>
        </w:rPr>
        <w:t xml:space="preserve"> </w:t>
      </w:r>
      <w:r w:rsidRPr="003520EF">
        <w:rPr>
          <w:rtl/>
        </w:rPr>
        <w:t>الوفاء،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أقل</w:t>
      </w:r>
      <w:r w:rsidR="00DC6C59">
        <w:rPr>
          <w:rtl/>
        </w:rPr>
        <w:t xml:space="preserve"> </w:t>
      </w:r>
      <w:r w:rsidRPr="003520EF">
        <w:rPr>
          <w:rtl/>
        </w:rPr>
        <w:t>تقدير،</w:t>
      </w:r>
      <w:r w:rsidR="00DC6C59">
        <w:rPr>
          <w:rtl/>
        </w:rPr>
        <w:t xml:space="preserve"> </w:t>
      </w:r>
      <w:r w:rsidRPr="003520EF">
        <w:rPr>
          <w:rtl/>
        </w:rPr>
        <w:t>بالمستويات</w:t>
      </w:r>
      <w:r w:rsidR="00DC6C59">
        <w:rPr>
          <w:rtl/>
        </w:rPr>
        <w:t xml:space="preserve"> </w:t>
      </w:r>
      <w:r w:rsidRPr="003520EF">
        <w:rPr>
          <w:rtl/>
        </w:rPr>
        <w:t>الأساسية</w:t>
      </w:r>
      <w:r w:rsidR="00DC6C59">
        <w:rPr>
          <w:rtl/>
        </w:rPr>
        <w:t xml:space="preserve"> </w:t>
      </w:r>
      <w:r w:rsidRPr="003520EF">
        <w:rPr>
          <w:rtl/>
        </w:rPr>
        <w:t>الدنيا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53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ويشمل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الأساسي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سياق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الالتزام</w:t>
      </w:r>
      <w:r w:rsidR="00DC6C59">
        <w:rPr>
          <w:rtl/>
        </w:rPr>
        <w:t xml:space="preserve"> </w:t>
      </w:r>
      <w:r w:rsidRPr="003520EF">
        <w:rPr>
          <w:rtl/>
        </w:rPr>
        <w:t>بضمان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والمساواة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54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</w:p>
    <w:p w14:paraId="33089B47" w14:textId="6B6FCB24" w:rsidR="00EC13CA" w:rsidRPr="003520EF" w:rsidRDefault="00EC13CA" w:rsidP="00EC13CA">
      <w:pPr>
        <w:pStyle w:val="SingleTxtGA"/>
      </w:pPr>
      <w:r w:rsidRPr="005170C9">
        <w:rPr>
          <w:rtl/>
        </w:rPr>
        <w:t>64</w:t>
      </w:r>
      <w:r w:rsidRPr="003520EF">
        <w:rPr>
          <w:rtl/>
        </w:rPr>
        <w:t>-</w:t>
      </w:r>
      <w:r w:rsidRPr="003520EF">
        <w:rPr>
          <w:rtl/>
        </w:rPr>
        <w:tab/>
        <w:t>وقد</w:t>
      </w:r>
      <w:r w:rsidR="00DC6C59">
        <w:rPr>
          <w:rtl/>
        </w:rPr>
        <w:t xml:space="preserve"> </w:t>
      </w:r>
      <w:r w:rsidRPr="003520EF">
        <w:rPr>
          <w:rtl/>
        </w:rPr>
        <w:t>حددت</w:t>
      </w:r>
      <w:r w:rsidR="00DC6C59">
        <w:rPr>
          <w:rtl/>
        </w:rPr>
        <w:t xml:space="preserve"> </w:t>
      </w:r>
      <w:r w:rsidRPr="003520EF">
        <w:rPr>
          <w:rtl/>
        </w:rPr>
        <w:t>اللجنة،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اجتهادها</w:t>
      </w:r>
      <w:r w:rsidR="00DC6C59">
        <w:rPr>
          <w:rtl/>
        </w:rPr>
        <w:t xml:space="preserve"> </w:t>
      </w:r>
      <w:r w:rsidRPr="003520EF">
        <w:rPr>
          <w:rtl/>
        </w:rPr>
        <w:t>المتعلق</w:t>
      </w:r>
      <w:r w:rsidR="00DC6C59">
        <w:rPr>
          <w:rtl/>
        </w:rPr>
        <w:t xml:space="preserve"> </w:t>
      </w:r>
      <w:r w:rsidRPr="003520EF">
        <w:rPr>
          <w:rtl/>
        </w:rPr>
        <w:t>بالمادة</w:t>
      </w:r>
      <w:r w:rsidR="00DC6C59">
        <w:rPr>
          <w:rtl/>
        </w:rPr>
        <w:t xml:space="preserve"> </w:t>
      </w:r>
      <w:r w:rsidRPr="005170C9">
        <w:rPr>
          <w:rtl/>
        </w:rPr>
        <w:t>5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الاتفاقية،</w:t>
      </w:r>
      <w:r w:rsidR="00DC6C59">
        <w:rPr>
          <w:rtl/>
        </w:rPr>
        <w:t xml:space="preserve"> </w:t>
      </w:r>
      <w:r w:rsidRPr="003520EF">
        <w:rPr>
          <w:rtl/>
        </w:rPr>
        <w:t>الخطوات</w:t>
      </w:r>
      <w:r w:rsidR="00DC6C59">
        <w:rPr>
          <w:rtl/>
        </w:rPr>
        <w:t xml:space="preserve"> </w:t>
      </w:r>
      <w:r w:rsidRPr="003520EF">
        <w:rPr>
          <w:rtl/>
        </w:rPr>
        <w:t>الفورية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يتعين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اتخاذها</w:t>
      </w:r>
      <w:r w:rsidR="00DC6C59">
        <w:rPr>
          <w:rtl/>
        </w:rPr>
        <w:t xml:space="preserve"> </w:t>
      </w:r>
      <w:r w:rsidRPr="003520EF">
        <w:rPr>
          <w:rtl/>
        </w:rPr>
        <w:t>لتحقيق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الفعلية</w:t>
      </w:r>
      <w:r w:rsidR="00DC6C59">
        <w:rPr>
          <w:rtl/>
        </w:rPr>
        <w:t xml:space="preserve"> </w:t>
      </w:r>
      <w:r w:rsidRPr="003520EF">
        <w:rPr>
          <w:rtl/>
        </w:rPr>
        <w:t>وضمان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بسبب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55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وبصفة</w:t>
      </w:r>
      <w:r w:rsidR="00DC6C59">
        <w:rPr>
          <w:rtl/>
        </w:rPr>
        <w:t xml:space="preserve"> </w:t>
      </w:r>
      <w:r w:rsidRPr="003520EF">
        <w:rPr>
          <w:rtl/>
        </w:rPr>
        <w:t>خاصة،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توفير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</w:t>
      </w:r>
      <w:r w:rsidR="00DC6C59">
        <w:rPr>
          <w:rtl/>
        </w:rPr>
        <w:t xml:space="preserve"> </w:t>
      </w:r>
      <w:r w:rsidRPr="003520EF">
        <w:rPr>
          <w:rtl/>
        </w:rPr>
        <w:t>عملا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lastRenderedPageBreak/>
        <w:t>بالمادتين</w:t>
      </w:r>
      <w:r w:rsidR="00C12E18">
        <w:rPr>
          <w:rFonts w:hint="cs"/>
          <w:rtl/>
        </w:rPr>
        <w:t> </w:t>
      </w:r>
      <w:r w:rsidRPr="005170C9">
        <w:rPr>
          <w:rtl/>
        </w:rPr>
        <w:t>5</w:t>
      </w:r>
      <w:r w:rsidRPr="003520EF">
        <w:rPr>
          <w:rtl/>
        </w:rPr>
        <w:t>(</w:t>
      </w:r>
      <w:r w:rsidR="00DC6C59" w:rsidRPr="005170C9">
        <w:rPr>
          <w:rtl/>
        </w:rPr>
        <w:t>3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="003520EF" w:rsidRPr="003520EF">
        <w:rPr>
          <w:rtl/>
        </w:rPr>
        <w:t>و</w:t>
      </w:r>
      <w:r w:rsidRPr="005170C9">
        <w:rPr>
          <w:rtl/>
        </w:rPr>
        <w:t>27</w:t>
      </w:r>
      <w:r w:rsidRPr="003520EF">
        <w:rPr>
          <w:rtl/>
        </w:rPr>
        <w:t>(</w:t>
      </w:r>
      <w:r w:rsidR="003520EF" w:rsidRPr="005170C9">
        <w:rPr>
          <w:rtl/>
        </w:rPr>
        <w:t>1</w:t>
      </w:r>
      <w:r w:rsidR="003520EF" w:rsidRPr="003520EF">
        <w:rPr>
          <w:rtl/>
        </w:rPr>
        <w:t>)</w:t>
      </w:r>
      <w:r w:rsidR="00D86E78">
        <w:rPr>
          <w:rFonts w:hint="cs"/>
          <w:rtl/>
        </w:rPr>
        <w:t>‘</w:t>
      </w:r>
      <w:r w:rsidRPr="005170C9">
        <w:rPr>
          <w:rtl/>
        </w:rPr>
        <w:t>1</w:t>
      </w:r>
      <w:r w:rsidR="00D86E78">
        <w:rPr>
          <w:rFonts w:hint="cs"/>
          <w:rtl/>
        </w:rPr>
        <w:t>‘</w:t>
      </w:r>
      <w:r w:rsidR="00DC6C59">
        <w:rPr>
          <w:rtl/>
        </w:rPr>
        <w:t xml:space="preserve"> </w:t>
      </w:r>
      <w:r w:rsidRPr="003520EF">
        <w:rPr>
          <w:rtl/>
        </w:rPr>
        <w:t>وتحقيق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الفعلية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التعجيل</w:t>
      </w:r>
      <w:r w:rsidR="00DC6C59">
        <w:rPr>
          <w:rtl/>
        </w:rPr>
        <w:t xml:space="preserve"> </w:t>
      </w:r>
      <w:r w:rsidRPr="003520EF">
        <w:rPr>
          <w:rtl/>
        </w:rPr>
        <w:t>بها</w:t>
      </w:r>
      <w:r w:rsidR="00DC6C59">
        <w:rPr>
          <w:rtl/>
        </w:rPr>
        <w:t xml:space="preserve"> </w:t>
      </w:r>
      <w:r w:rsidRPr="003520EF">
        <w:rPr>
          <w:rtl/>
        </w:rPr>
        <w:t>عملا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بالمادة</w:t>
      </w:r>
      <w:r w:rsidR="00C12E18">
        <w:rPr>
          <w:rFonts w:hint="eastAsia"/>
          <w:rtl/>
        </w:rPr>
        <w:t> </w:t>
      </w:r>
      <w:r w:rsidRPr="005170C9">
        <w:rPr>
          <w:rtl/>
        </w:rPr>
        <w:t>5</w:t>
      </w:r>
      <w:r w:rsidRPr="003520EF">
        <w:rPr>
          <w:rtl/>
        </w:rPr>
        <w:t>(</w:t>
      </w:r>
      <w:r w:rsidRPr="005170C9">
        <w:rPr>
          <w:rtl/>
        </w:rPr>
        <w:t>4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تقوم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يلي</w:t>
      </w:r>
      <w:r w:rsidR="00DC6C59">
        <w:rPr>
          <w:rtl/>
        </w:rPr>
        <w:t>:</w:t>
      </w:r>
    </w:p>
    <w:p w14:paraId="6C39AFB5" w14:textId="7B9C7BDB" w:rsidR="00EC13CA" w:rsidRPr="003520EF" w:rsidRDefault="00EC13CA" w:rsidP="00EC13CA">
      <w:pPr>
        <w:pStyle w:val="SingleTxtGA"/>
      </w:pPr>
      <w:r w:rsidRPr="003520EF">
        <w:rPr>
          <w:rtl/>
        </w:rPr>
        <w:tab/>
        <w:t>(أ)</w:t>
      </w:r>
      <w:r w:rsidRPr="003520EF">
        <w:rPr>
          <w:rtl/>
        </w:rPr>
        <w:tab/>
        <w:t>تيسير</w:t>
      </w:r>
      <w:r w:rsidR="00DC6C59">
        <w:rPr>
          <w:rtl/>
        </w:rPr>
        <w:t xml:space="preserve"> </w:t>
      </w:r>
      <w:r w:rsidRPr="003520EF">
        <w:rPr>
          <w:rtl/>
        </w:rPr>
        <w:t>الانتقال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تهيئة</w:t>
      </w:r>
      <w:r w:rsidR="00DC6C59">
        <w:rPr>
          <w:rtl/>
        </w:rPr>
        <w:t xml:space="preserve"> </w:t>
      </w:r>
      <w:r w:rsidRPr="003520EF">
        <w:rPr>
          <w:rtl/>
        </w:rPr>
        <w:t>بيئات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منفصلة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ودعم</w:t>
      </w:r>
      <w:r w:rsidR="00DC6C59">
        <w:rPr>
          <w:rtl/>
        </w:rPr>
        <w:t xml:space="preserve"> </w:t>
      </w:r>
      <w:r w:rsidRPr="003520EF">
        <w:rPr>
          <w:rtl/>
        </w:rPr>
        <w:t>مشاركتهم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منفتحة،</w:t>
      </w:r>
      <w:r w:rsidR="00DC6C59">
        <w:rPr>
          <w:rtl/>
        </w:rPr>
        <w:t xml:space="preserve"> </w:t>
      </w:r>
      <w:r w:rsidRPr="003520EF">
        <w:rPr>
          <w:rtl/>
        </w:rPr>
        <w:t>والحرص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التطبيق</w:t>
      </w:r>
      <w:r w:rsidR="00DC6C59">
        <w:rPr>
          <w:rtl/>
        </w:rPr>
        <w:t xml:space="preserve"> </w:t>
      </w:r>
      <w:r w:rsidRPr="003520EF">
        <w:rPr>
          <w:rtl/>
        </w:rPr>
        <w:t>الفوري</w:t>
      </w:r>
      <w:r w:rsidR="00DC6C59">
        <w:rPr>
          <w:rtl/>
        </w:rPr>
        <w:t xml:space="preserve"> </w:t>
      </w:r>
      <w:r w:rsidRPr="003520EF">
        <w:rPr>
          <w:rtl/>
        </w:rPr>
        <w:t>لحقوق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الأماكن</w:t>
      </w:r>
      <w:r w:rsidR="00DC6C59">
        <w:rPr>
          <w:rtl/>
        </w:rPr>
        <w:t xml:space="preserve"> </w:t>
      </w:r>
      <w:r w:rsidRPr="003520EF">
        <w:rPr>
          <w:rtl/>
        </w:rPr>
        <w:t>المنفصلة؛</w:t>
      </w:r>
      <w:r w:rsidR="00DC6C59">
        <w:rPr>
          <w:rtl/>
        </w:rPr>
        <w:t xml:space="preserve"> </w:t>
      </w:r>
    </w:p>
    <w:p w14:paraId="7C16A671" w14:textId="75C02BAC" w:rsidR="00EC13CA" w:rsidRPr="003520EF" w:rsidRDefault="00EC13CA" w:rsidP="00EC13CA">
      <w:pPr>
        <w:pStyle w:val="SingleTxtGA"/>
      </w:pPr>
      <w:r w:rsidRPr="003520EF">
        <w:rPr>
          <w:rtl/>
        </w:rPr>
        <w:tab/>
        <w:t>(ب)</w:t>
      </w:r>
      <w:r w:rsidRPr="003520EF">
        <w:rPr>
          <w:rtl/>
        </w:rPr>
        <w:tab/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المدعومة،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المساعدة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والتوجيه</w:t>
      </w:r>
      <w:r w:rsidR="00DC6C59">
        <w:rPr>
          <w:rtl/>
        </w:rPr>
        <w:t xml:space="preserve"> </w:t>
      </w:r>
      <w:r w:rsidRPr="003520EF">
        <w:rPr>
          <w:rtl/>
        </w:rPr>
        <w:t>الوظيفي،</w:t>
      </w:r>
      <w:r w:rsidR="00DC6C59">
        <w:rPr>
          <w:rtl/>
        </w:rPr>
        <w:t xml:space="preserve"> </w:t>
      </w:r>
      <w:r w:rsidRPr="003520EF">
        <w:rPr>
          <w:rtl/>
        </w:rPr>
        <w:t>وبرامج</w:t>
      </w:r>
      <w:r w:rsidR="00DC6C59">
        <w:rPr>
          <w:rtl/>
        </w:rPr>
        <w:t xml:space="preserve"> </w:t>
      </w:r>
      <w:r w:rsidRPr="003520EF">
        <w:rPr>
          <w:rtl/>
        </w:rPr>
        <w:t>التأهيل</w:t>
      </w:r>
      <w:r w:rsidR="00DC6C59">
        <w:rPr>
          <w:rtl/>
        </w:rPr>
        <w:t xml:space="preserve"> </w:t>
      </w:r>
      <w:r w:rsidRPr="003520EF">
        <w:rPr>
          <w:rtl/>
        </w:rPr>
        <w:t>المهني،</w:t>
      </w:r>
      <w:r w:rsidR="00DC6C59">
        <w:rPr>
          <w:rtl/>
        </w:rPr>
        <w:t xml:space="preserve"> </w:t>
      </w:r>
      <w:r w:rsidRPr="003520EF">
        <w:rPr>
          <w:rtl/>
        </w:rPr>
        <w:t>وحماية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وضمان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اختيار</w:t>
      </w:r>
      <w:r w:rsidR="00DC6C59">
        <w:rPr>
          <w:rtl/>
        </w:rPr>
        <w:t xml:space="preserve"> </w:t>
      </w:r>
      <w:r w:rsidRPr="003520EF">
        <w:rPr>
          <w:rtl/>
        </w:rPr>
        <w:t>عملهم</w:t>
      </w:r>
      <w:r w:rsidR="00DC6C59">
        <w:rPr>
          <w:rtl/>
        </w:rPr>
        <w:t xml:space="preserve"> </w:t>
      </w:r>
      <w:r w:rsidRPr="003520EF">
        <w:rPr>
          <w:rtl/>
        </w:rPr>
        <w:t>بحرية؛</w:t>
      </w:r>
    </w:p>
    <w:p w14:paraId="0BFC2847" w14:textId="49C9222A" w:rsidR="00EC13CA" w:rsidRPr="003520EF" w:rsidRDefault="00EC13CA" w:rsidP="00EC13CA">
      <w:pPr>
        <w:pStyle w:val="SingleTxtGA"/>
      </w:pPr>
      <w:r w:rsidRPr="003520EF">
        <w:rPr>
          <w:rtl/>
        </w:rPr>
        <w:tab/>
        <w:t>(ج)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حصول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أجر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يقل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الحد</w:t>
      </w:r>
      <w:r w:rsidR="00DC6C59">
        <w:rPr>
          <w:rtl/>
        </w:rPr>
        <w:t xml:space="preserve"> </w:t>
      </w:r>
      <w:r w:rsidRPr="003520EF">
        <w:rPr>
          <w:rtl/>
        </w:rPr>
        <w:t>الأدنى</w:t>
      </w:r>
      <w:r w:rsidR="00DC6C59">
        <w:rPr>
          <w:rtl/>
        </w:rPr>
        <w:t xml:space="preserve"> </w:t>
      </w:r>
      <w:r w:rsidRPr="003520EF">
        <w:rPr>
          <w:rtl/>
        </w:rPr>
        <w:t>للأجور،</w:t>
      </w:r>
      <w:r w:rsidR="00DC6C59">
        <w:rPr>
          <w:rtl/>
        </w:rPr>
        <w:t xml:space="preserve"> </w:t>
      </w:r>
      <w:r w:rsidRPr="003520EF">
        <w:rPr>
          <w:rtl/>
        </w:rPr>
        <w:t>وعدم</w:t>
      </w:r>
      <w:r w:rsidR="00DC6C59">
        <w:rPr>
          <w:rtl/>
        </w:rPr>
        <w:t xml:space="preserve"> </w:t>
      </w:r>
      <w:r w:rsidRPr="003520EF">
        <w:rPr>
          <w:rtl/>
        </w:rPr>
        <w:t>فقدان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الاستفادة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إعانات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عند</w:t>
      </w:r>
      <w:r w:rsidR="00DC6C59">
        <w:rPr>
          <w:rtl/>
        </w:rPr>
        <w:t xml:space="preserve"> </w:t>
      </w:r>
      <w:r w:rsidRPr="003520EF">
        <w:rPr>
          <w:rtl/>
        </w:rPr>
        <w:t>بدء</w:t>
      </w:r>
      <w:r w:rsidR="00DC6C59">
        <w:rPr>
          <w:rtl/>
        </w:rPr>
        <w:t xml:space="preserve"> </w:t>
      </w:r>
      <w:r w:rsidRPr="003520EF">
        <w:rPr>
          <w:rtl/>
        </w:rPr>
        <w:t>العمل؛</w:t>
      </w:r>
    </w:p>
    <w:p w14:paraId="63A1DC92" w14:textId="0F1E7E55" w:rsidR="00EC13CA" w:rsidRPr="003520EF" w:rsidRDefault="00EC13CA" w:rsidP="00EC13CA">
      <w:pPr>
        <w:pStyle w:val="SingleTxtGA"/>
      </w:pPr>
      <w:r w:rsidRPr="003520EF">
        <w:rPr>
          <w:rtl/>
        </w:rPr>
        <w:tab/>
        <w:t>(د)</w:t>
      </w:r>
      <w:r w:rsidRPr="003520EF">
        <w:rPr>
          <w:rtl/>
        </w:rPr>
        <w:tab/>
        <w:t>الاعتراف</w:t>
      </w:r>
      <w:r w:rsidR="00DC6C59">
        <w:rPr>
          <w:rtl/>
        </w:rPr>
        <w:t xml:space="preserve"> </w:t>
      </w:r>
      <w:r w:rsidRPr="003520EF">
        <w:rPr>
          <w:rtl/>
        </w:rPr>
        <w:t>صراحة</w:t>
      </w:r>
      <w:r w:rsidR="00DC6C59">
        <w:rPr>
          <w:rtl/>
        </w:rPr>
        <w:t xml:space="preserve"> </w:t>
      </w:r>
      <w:r w:rsidRPr="003520EF">
        <w:rPr>
          <w:rtl/>
        </w:rPr>
        <w:t>بأن</w:t>
      </w:r>
      <w:r w:rsidR="00DC6C59">
        <w:rPr>
          <w:rtl/>
        </w:rPr>
        <w:t xml:space="preserve"> </w:t>
      </w:r>
      <w:r w:rsidRPr="003520EF">
        <w:rPr>
          <w:rtl/>
        </w:rPr>
        <w:t>الحرمان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</w:t>
      </w:r>
      <w:r w:rsidR="00DC6C59">
        <w:rPr>
          <w:rtl/>
        </w:rPr>
        <w:t xml:space="preserve"> </w:t>
      </w:r>
      <w:r w:rsidRPr="003520EF">
        <w:rPr>
          <w:rtl/>
        </w:rPr>
        <w:t>يعد</w:t>
      </w:r>
      <w:r w:rsidR="00DC6C59">
        <w:rPr>
          <w:rtl/>
        </w:rPr>
        <w:t xml:space="preserve"> </w:t>
      </w:r>
      <w:r w:rsidRPr="003520EF">
        <w:rPr>
          <w:rtl/>
        </w:rPr>
        <w:t>تمييزاً،</w:t>
      </w:r>
      <w:r w:rsidR="00DC6C59">
        <w:rPr>
          <w:rtl/>
        </w:rPr>
        <w:t xml:space="preserve"> </w:t>
      </w:r>
      <w:r w:rsidRPr="003520EF">
        <w:rPr>
          <w:rtl/>
        </w:rPr>
        <w:t>وحظر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المتعدد</w:t>
      </w:r>
      <w:r w:rsidR="00DC6C59">
        <w:rPr>
          <w:rtl/>
        </w:rPr>
        <w:t xml:space="preserve"> </w:t>
      </w:r>
      <w:r w:rsidRPr="003520EF">
        <w:rPr>
          <w:rtl/>
        </w:rPr>
        <w:t>والمتقاطع،</w:t>
      </w:r>
      <w:r w:rsidR="00DC6C59">
        <w:rPr>
          <w:rtl/>
        </w:rPr>
        <w:t xml:space="preserve"> </w:t>
      </w:r>
      <w:r w:rsidRPr="003520EF">
        <w:rPr>
          <w:rtl/>
        </w:rPr>
        <w:t>والتحرش؛</w:t>
      </w:r>
      <w:r w:rsidR="00DC6C59">
        <w:rPr>
          <w:rtl/>
        </w:rPr>
        <w:t xml:space="preserve"> </w:t>
      </w:r>
    </w:p>
    <w:p w14:paraId="5397B065" w14:textId="7983B7E9" w:rsidR="00EC13CA" w:rsidRPr="003520EF" w:rsidRDefault="00EC13CA" w:rsidP="00EC13CA">
      <w:pPr>
        <w:pStyle w:val="SingleTxtGA"/>
      </w:pPr>
      <w:r w:rsidRPr="003520EF">
        <w:rPr>
          <w:rtl/>
        </w:rPr>
        <w:tab/>
        <w:t>(هـ)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الانتقال</w:t>
      </w:r>
      <w:r w:rsidR="00DC6C59">
        <w:rPr>
          <w:rtl/>
        </w:rPr>
        <w:t xml:space="preserve"> </w:t>
      </w:r>
      <w:r w:rsidRPr="003520EF">
        <w:rPr>
          <w:rtl/>
        </w:rPr>
        <w:t>السليم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والخروج</w:t>
      </w:r>
      <w:r w:rsidR="00DC6C59">
        <w:rPr>
          <w:rtl/>
        </w:rPr>
        <w:t xml:space="preserve"> </w:t>
      </w:r>
      <w:r w:rsidRPr="003520EF">
        <w:rPr>
          <w:rtl/>
        </w:rPr>
        <w:t>منه</w:t>
      </w:r>
      <w:r w:rsidR="00DC6C59">
        <w:rPr>
          <w:rtl/>
        </w:rPr>
        <w:t xml:space="preserve"> </w:t>
      </w:r>
      <w:r w:rsidRPr="003520EF">
        <w:rPr>
          <w:rtl/>
        </w:rPr>
        <w:t>بطريقة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تمييزية،</w:t>
      </w:r>
      <w:r w:rsidR="00DC6C59">
        <w:rPr>
          <w:rtl/>
        </w:rPr>
        <w:t xml:space="preserve"> </w:t>
      </w:r>
      <w:r w:rsidRPr="003520EF">
        <w:rPr>
          <w:rtl/>
        </w:rPr>
        <w:t>والحصول</w:t>
      </w:r>
      <w:r w:rsidR="00DC6C59">
        <w:rPr>
          <w:rtl/>
        </w:rPr>
        <w:t xml:space="preserve"> </w:t>
      </w:r>
      <w:r w:rsidRPr="003520EF">
        <w:rPr>
          <w:rtl/>
        </w:rPr>
        <w:t>المتساوي</w:t>
      </w:r>
      <w:r w:rsidR="00DC6C59">
        <w:rPr>
          <w:rtl/>
        </w:rPr>
        <w:t xml:space="preserve"> </w:t>
      </w:r>
      <w:r w:rsidRPr="003520EF">
        <w:rPr>
          <w:rtl/>
        </w:rPr>
        <w:t>والفعال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الاستحقاقات</w:t>
      </w:r>
      <w:r w:rsidR="00DC6C59">
        <w:rPr>
          <w:rtl/>
        </w:rPr>
        <w:t xml:space="preserve"> </w:t>
      </w:r>
      <w:r w:rsidRPr="003520EF">
        <w:rPr>
          <w:rtl/>
        </w:rPr>
        <w:t>والامتيازات،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استحقاقات</w:t>
      </w:r>
      <w:r w:rsidR="00DC6C59">
        <w:rPr>
          <w:rtl/>
        </w:rPr>
        <w:t xml:space="preserve"> </w:t>
      </w:r>
      <w:r w:rsidRPr="003520EF">
        <w:rPr>
          <w:rtl/>
        </w:rPr>
        <w:t>التقاعد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البطالة،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يجب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النيل</w:t>
      </w:r>
      <w:r w:rsidR="00DC6C59">
        <w:rPr>
          <w:rtl/>
        </w:rPr>
        <w:t xml:space="preserve"> </w:t>
      </w:r>
      <w:r w:rsidRPr="003520EF">
        <w:rPr>
          <w:rtl/>
        </w:rPr>
        <w:t>منها</w:t>
      </w:r>
      <w:r w:rsidR="00DC6C59">
        <w:rPr>
          <w:rtl/>
        </w:rPr>
        <w:t xml:space="preserve"> </w:t>
      </w:r>
      <w:r w:rsidRPr="003520EF">
        <w:rPr>
          <w:rtl/>
        </w:rPr>
        <w:t>بالاستبعاد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مما</w:t>
      </w:r>
      <w:r w:rsidR="00DC6C59">
        <w:rPr>
          <w:rtl/>
        </w:rPr>
        <w:t xml:space="preserve"> </w:t>
      </w:r>
      <w:r w:rsidRPr="003520EF">
        <w:rPr>
          <w:rtl/>
        </w:rPr>
        <w:t>يزيد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تفاقم</w:t>
      </w:r>
      <w:r w:rsidR="00DC6C59">
        <w:rPr>
          <w:rtl/>
        </w:rPr>
        <w:t xml:space="preserve"> </w:t>
      </w:r>
      <w:r w:rsidRPr="003520EF">
        <w:rPr>
          <w:rtl/>
        </w:rPr>
        <w:t>حالة</w:t>
      </w:r>
      <w:r w:rsidR="00DC6C59">
        <w:rPr>
          <w:rtl/>
        </w:rPr>
        <w:t xml:space="preserve"> </w:t>
      </w:r>
      <w:r w:rsidRPr="003520EF">
        <w:rPr>
          <w:rtl/>
        </w:rPr>
        <w:t>الاستبعاد؛</w:t>
      </w:r>
    </w:p>
    <w:p w14:paraId="7D56E6FB" w14:textId="227368E0" w:rsidR="00EC13CA" w:rsidRPr="003520EF" w:rsidRDefault="00EC13CA" w:rsidP="00EC13CA">
      <w:pPr>
        <w:pStyle w:val="SingleTxtGA"/>
      </w:pPr>
      <w:r w:rsidRPr="003520EF">
        <w:rPr>
          <w:rtl/>
        </w:rPr>
        <w:tab/>
        <w:t>(و)</w:t>
      </w:r>
      <w:r w:rsidRPr="003520EF">
        <w:rPr>
          <w:rtl/>
        </w:rPr>
        <w:tab/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بيئات</w:t>
      </w:r>
      <w:r w:rsidR="00DC6C59">
        <w:rPr>
          <w:rtl/>
        </w:rPr>
        <w:t xml:space="preserve"> </w:t>
      </w:r>
      <w:r w:rsidRPr="003520EF">
        <w:rPr>
          <w:rtl/>
        </w:rPr>
        <w:t>شاملة</w:t>
      </w:r>
      <w:r w:rsidR="00DC6C59">
        <w:rPr>
          <w:rtl/>
        </w:rPr>
        <w:t xml:space="preserve"> </w:t>
      </w:r>
      <w:r w:rsidRPr="003520EF">
        <w:rPr>
          <w:rtl/>
        </w:rPr>
        <w:t>للجميع</w:t>
      </w:r>
      <w:r w:rsidR="00DC6C59">
        <w:rPr>
          <w:rtl/>
        </w:rPr>
        <w:t xml:space="preserve"> </w:t>
      </w:r>
      <w:r w:rsidRPr="003520EF">
        <w:rPr>
          <w:rtl/>
        </w:rPr>
        <w:t>وآمنة</w:t>
      </w:r>
      <w:r w:rsidR="00DC6C59">
        <w:rPr>
          <w:rtl/>
        </w:rPr>
        <w:t xml:space="preserve"> </w:t>
      </w:r>
      <w:r w:rsidRPr="003520EF">
        <w:rPr>
          <w:rtl/>
        </w:rPr>
        <w:t>وصحية</w:t>
      </w:r>
      <w:r w:rsidR="00DC6C59">
        <w:rPr>
          <w:rtl/>
        </w:rPr>
        <w:t xml:space="preserve"> </w:t>
      </w:r>
      <w:r w:rsidRPr="003520EF">
        <w:rPr>
          <w:rtl/>
        </w:rPr>
        <w:t>ويسهل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إليها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القطاعين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والخاص،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مرافق</w:t>
      </w:r>
      <w:r w:rsidR="00DC6C59">
        <w:rPr>
          <w:rtl/>
        </w:rPr>
        <w:t xml:space="preserve"> </w:t>
      </w:r>
      <w:r w:rsidRPr="003520EF">
        <w:rPr>
          <w:rtl/>
        </w:rPr>
        <w:t>الاستحمام</w:t>
      </w:r>
      <w:r w:rsidR="00DC6C59">
        <w:rPr>
          <w:rtl/>
        </w:rPr>
        <w:t xml:space="preserve"> </w:t>
      </w:r>
      <w:r w:rsidRPr="003520EF">
        <w:rPr>
          <w:rtl/>
        </w:rPr>
        <w:t>المناسبة؛</w:t>
      </w:r>
    </w:p>
    <w:p w14:paraId="09E838A7" w14:textId="78DDD102" w:rsidR="00EC13CA" w:rsidRPr="003520EF" w:rsidRDefault="00EC13CA" w:rsidP="00EC13CA">
      <w:pPr>
        <w:pStyle w:val="SingleTxtGA"/>
      </w:pPr>
      <w:r w:rsidRPr="003520EF">
        <w:rPr>
          <w:rtl/>
        </w:rPr>
        <w:tab/>
        <w:t>(ز)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تمتع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بتكافؤ</w:t>
      </w:r>
      <w:r w:rsidR="00DC6C59">
        <w:rPr>
          <w:rtl/>
        </w:rPr>
        <w:t xml:space="preserve"> </w:t>
      </w:r>
      <w:r w:rsidRPr="003520EF">
        <w:rPr>
          <w:rtl/>
        </w:rPr>
        <w:t>الفرص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مجال</w:t>
      </w:r>
      <w:r w:rsidR="00DC6C59">
        <w:rPr>
          <w:rtl/>
        </w:rPr>
        <w:t xml:space="preserve"> </w:t>
      </w:r>
      <w:r w:rsidRPr="003520EF">
        <w:rPr>
          <w:rtl/>
        </w:rPr>
        <w:t>التقدم</w:t>
      </w:r>
      <w:r w:rsidR="00DC6C59">
        <w:rPr>
          <w:rtl/>
        </w:rPr>
        <w:t xml:space="preserve"> </w:t>
      </w:r>
      <w:r w:rsidRPr="003520EF">
        <w:rPr>
          <w:rtl/>
        </w:rPr>
        <w:t>الوظيفي،</w:t>
      </w:r>
      <w:r w:rsidR="00DC6C59">
        <w:rPr>
          <w:rtl/>
        </w:rPr>
        <w:t xml:space="preserve"> </w:t>
      </w:r>
      <w:r w:rsidRPr="003520EF">
        <w:rPr>
          <w:rtl/>
        </w:rPr>
        <w:t>وذلك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عقد</w:t>
      </w:r>
      <w:r w:rsidR="00DC6C59">
        <w:rPr>
          <w:rtl/>
        </w:rPr>
        <w:t xml:space="preserve"> </w:t>
      </w:r>
      <w:r w:rsidRPr="003520EF">
        <w:rPr>
          <w:rtl/>
        </w:rPr>
        <w:t>اجتماعات</w:t>
      </w:r>
      <w:r w:rsidR="00DC6C59">
        <w:rPr>
          <w:rtl/>
        </w:rPr>
        <w:t xml:space="preserve"> </w:t>
      </w:r>
      <w:r w:rsidRPr="003520EF">
        <w:rPr>
          <w:rtl/>
        </w:rPr>
        <w:t>التقييم</w:t>
      </w:r>
      <w:r w:rsidR="00DC6C59">
        <w:rPr>
          <w:rtl/>
        </w:rPr>
        <w:t xml:space="preserve"> </w:t>
      </w:r>
      <w:r w:rsidRPr="003520EF">
        <w:rPr>
          <w:rtl/>
        </w:rPr>
        <w:t>المنتظم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مديريهم،</w:t>
      </w:r>
      <w:r w:rsidR="00DC6C59">
        <w:rPr>
          <w:rtl/>
        </w:rPr>
        <w:t xml:space="preserve"> </w:t>
      </w:r>
      <w:r w:rsidRPr="003520EF">
        <w:rPr>
          <w:rtl/>
        </w:rPr>
        <w:t>وعن</w:t>
      </w:r>
      <w:r w:rsidR="00DC6C59">
        <w:rPr>
          <w:rtl/>
        </w:rPr>
        <w:t xml:space="preserve"> </w:t>
      </w:r>
      <w:r w:rsidRPr="003520EF">
        <w:rPr>
          <w:rtl/>
        </w:rPr>
        <w:t>طريق</w:t>
      </w:r>
      <w:r w:rsidR="00DC6C59">
        <w:rPr>
          <w:rtl/>
        </w:rPr>
        <w:t xml:space="preserve"> </w:t>
      </w:r>
      <w:r w:rsidRPr="003520EF">
        <w:rPr>
          <w:rtl/>
        </w:rPr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الأهداف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يتعين</w:t>
      </w:r>
      <w:r w:rsidR="00DC6C59">
        <w:rPr>
          <w:rtl/>
        </w:rPr>
        <w:t xml:space="preserve"> </w:t>
      </w:r>
      <w:r w:rsidRPr="003520EF">
        <w:rPr>
          <w:rtl/>
        </w:rPr>
        <w:t>تحقيقها،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إطار</w:t>
      </w:r>
      <w:r w:rsidR="00DC6C59">
        <w:rPr>
          <w:rtl/>
        </w:rPr>
        <w:t xml:space="preserve"> </w:t>
      </w:r>
      <w:r w:rsidRPr="003520EF">
        <w:rPr>
          <w:rtl/>
        </w:rPr>
        <w:t>استراتيجية</w:t>
      </w:r>
      <w:r w:rsidR="00DC6C59">
        <w:rPr>
          <w:rtl/>
        </w:rPr>
        <w:t xml:space="preserve"> </w:t>
      </w:r>
      <w:r w:rsidRPr="003520EF">
        <w:rPr>
          <w:rtl/>
        </w:rPr>
        <w:t>شاملة؛</w:t>
      </w:r>
    </w:p>
    <w:p w14:paraId="2CD20FBF" w14:textId="00535EFB" w:rsidR="00EC13CA" w:rsidRPr="003520EF" w:rsidRDefault="00EC13CA" w:rsidP="00EC13CA">
      <w:pPr>
        <w:pStyle w:val="SingleTxtGA"/>
      </w:pPr>
      <w:r w:rsidRPr="003520EF">
        <w:rPr>
          <w:rtl/>
        </w:rPr>
        <w:tab/>
        <w:t>(ح)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حصول</w:t>
      </w:r>
      <w:r w:rsidR="00DC6C59">
        <w:rPr>
          <w:rtl/>
        </w:rPr>
        <w:t xml:space="preserve"> </w:t>
      </w:r>
      <w:r w:rsidRPr="003520EF">
        <w:rPr>
          <w:rtl/>
        </w:rPr>
        <w:t>المستخدَمين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التعليم</w:t>
      </w:r>
      <w:r w:rsidR="00DC6C59">
        <w:rPr>
          <w:rtl/>
        </w:rPr>
        <w:t xml:space="preserve"> </w:t>
      </w:r>
      <w:r w:rsidRPr="003520EF">
        <w:rPr>
          <w:rtl/>
        </w:rPr>
        <w:t>والتدريب</w:t>
      </w:r>
      <w:r w:rsidR="00DC6C59">
        <w:rPr>
          <w:rtl/>
        </w:rPr>
        <w:t xml:space="preserve"> </w:t>
      </w:r>
      <w:r w:rsidRPr="003520EF">
        <w:rPr>
          <w:rtl/>
        </w:rPr>
        <w:t>وإعادة</w:t>
      </w:r>
      <w:r w:rsidR="00DC6C59">
        <w:rPr>
          <w:rtl/>
        </w:rPr>
        <w:t xml:space="preserve"> </w:t>
      </w:r>
      <w:r w:rsidRPr="003520EF">
        <w:rPr>
          <w:rtl/>
        </w:rPr>
        <w:t>التدريب،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476B81">
        <w:rPr>
          <w:rFonts w:hint="cs"/>
          <w:rtl/>
        </w:rPr>
        <w:t> 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المهني</w:t>
      </w:r>
      <w:r w:rsidR="00DC6C59">
        <w:rPr>
          <w:rtl/>
        </w:rPr>
        <w:t xml:space="preserve"> </w:t>
      </w:r>
      <w:r w:rsidRPr="003520EF">
        <w:rPr>
          <w:rtl/>
        </w:rPr>
        <w:t>وبناء</w:t>
      </w:r>
      <w:r w:rsidR="00DC6C59">
        <w:rPr>
          <w:rtl/>
        </w:rPr>
        <w:t xml:space="preserve"> </w:t>
      </w:r>
      <w:r w:rsidRPr="003520EF">
        <w:rPr>
          <w:rtl/>
        </w:rPr>
        <w:t>القدرات،</w:t>
      </w:r>
      <w:r w:rsidR="00DC6C59">
        <w:rPr>
          <w:rtl/>
        </w:rPr>
        <w:t xml:space="preserve"> </w:t>
      </w:r>
      <w:r w:rsidRPr="003520EF">
        <w:rPr>
          <w:rtl/>
        </w:rPr>
        <w:t>وتوفير</w:t>
      </w:r>
      <w:r w:rsidR="00DC6C59">
        <w:rPr>
          <w:rtl/>
        </w:rPr>
        <w:t xml:space="preserve"> </w:t>
      </w:r>
      <w:r w:rsidRPr="003520EF">
        <w:rPr>
          <w:rtl/>
        </w:rPr>
        <w:t>تدريب</w:t>
      </w:r>
      <w:r w:rsidR="00DC6C59">
        <w:rPr>
          <w:rtl/>
        </w:rPr>
        <w:t xml:space="preserve"> </w:t>
      </w:r>
      <w:r w:rsidRPr="003520EF">
        <w:rPr>
          <w:rtl/>
        </w:rPr>
        <w:t>لأرباب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ومنظمات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وأرباب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والنقابات</w:t>
      </w:r>
      <w:r w:rsidR="00DC6C59">
        <w:rPr>
          <w:rtl/>
        </w:rPr>
        <w:t xml:space="preserve"> </w:t>
      </w:r>
      <w:r w:rsidRPr="003520EF">
        <w:rPr>
          <w:rtl/>
        </w:rPr>
        <w:t>والسلطات</w:t>
      </w:r>
      <w:r w:rsidR="00DC6C59">
        <w:rPr>
          <w:rtl/>
        </w:rPr>
        <w:t xml:space="preserve"> </w:t>
      </w:r>
      <w:r w:rsidRPr="003520EF">
        <w:rPr>
          <w:rtl/>
        </w:rPr>
        <w:t>المختصة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عمالة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المعقولة؛</w:t>
      </w:r>
    </w:p>
    <w:p w14:paraId="11B2EB41" w14:textId="12A85893" w:rsidR="00EC13CA" w:rsidRPr="003520EF" w:rsidRDefault="00EC13CA" w:rsidP="00EC13CA">
      <w:pPr>
        <w:pStyle w:val="SingleTxtGA"/>
      </w:pPr>
      <w:r w:rsidRPr="003520EF">
        <w:rPr>
          <w:rtl/>
        </w:rPr>
        <w:tab/>
        <w:t>(ط)</w:t>
      </w:r>
      <w:r w:rsidRPr="003520EF">
        <w:rPr>
          <w:rtl/>
        </w:rPr>
        <w:tab/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تحقيق</w:t>
      </w:r>
      <w:r w:rsidR="00DC6C59">
        <w:rPr>
          <w:rtl/>
        </w:rPr>
        <w:t xml:space="preserve"> </w:t>
      </w:r>
      <w:r w:rsidRPr="003520EF">
        <w:rPr>
          <w:rtl/>
        </w:rPr>
        <w:t>عالمية</w:t>
      </w:r>
      <w:r w:rsidR="00DC6C59">
        <w:rPr>
          <w:rtl/>
        </w:rPr>
        <w:t xml:space="preserve"> </w:t>
      </w:r>
      <w:r w:rsidRPr="003520EF">
        <w:rPr>
          <w:rtl/>
        </w:rPr>
        <w:t>تطبيق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الصحة</w:t>
      </w:r>
      <w:r w:rsidR="00DC6C59">
        <w:rPr>
          <w:rtl/>
        </w:rPr>
        <w:t xml:space="preserve"> </w:t>
      </w:r>
      <w:r w:rsidRPr="003520EF">
        <w:rPr>
          <w:rtl/>
        </w:rPr>
        <w:t>والسلامة</w:t>
      </w:r>
      <w:r w:rsidR="00DC6C59">
        <w:rPr>
          <w:rtl/>
        </w:rPr>
        <w:t xml:space="preserve"> </w:t>
      </w:r>
      <w:r w:rsidRPr="003520EF">
        <w:rPr>
          <w:rtl/>
        </w:rPr>
        <w:t>المهنيتين،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وضع</w:t>
      </w:r>
      <w:r w:rsidR="00DC6C59">
        <w:rPr>
          <w:rtl/>
        </w:rPr>
        <w:t xml:space="preserve"> </w:t>
      </w:r>
      <w:r w:rsidRPr="003520EF">
        <w:rPr>
          <w:rtl/>
        </w:rPr>
        <w:t>أنظمة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تمييزية</w:t>
      </w:r>
      <w:r w:rsidR="00DC6C59">
        <w:rPr>
          <w:rtl/>
        </w:rPr>
        <w:t xml:space="preserve"> </w:t>
      </w:r>
      <w:r w:rsidRPr="003520EF">
        <w:rPr>
          <w:rtl/>
        </w:rPr>
        <w:t>للسلامة</w:t>
      </w:r>
      <w:r w:rsidR="00DC6C59">
        <w:rPr>
          <w:rtl/>
        </w:rPr>
        <w:t xml:space="preserve"> </w:t>
      </w:r>
      <w:r w:rsidRPr="003520EF">
        <w:rPr>
          <w:rtl/>
        </w:rPr>
        <w:t>والصحة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الإعاقة؛</w:t>
      </w:r>
    </w:p>
    <w:p w14:paraId="17F7E06D" w14:textId="2146656D" w:rsidR="00EC13CA" w:rsidRPr="003520EF" w:rsidRDefault="00EC13CA" w:rsidP="00EC13CA">
      <w:pPr>
        <w:pStyle w:val="SingleTxtGA"/>
      </w:pPr>
      <w:r w:rsidRPr="003520EF">
        <w:rPr>
          <w:rtl/>
        </w:rPr>
        <w:tab/>
        <w:t>(ي)</w:t>
      </w:r>
      <w:r w:rsidRPr="003520EF">
        <w:rPr>
          <w:rtl/>
        </w:rPr>
        <w:tab/>
        <w:t>الاعتراف</w:t>
      </w:r>
      <w:r w:rsidR="00DC6C59">
        <w:rPr>
          <w:rtl/>
        </w:rPr>
        <w:t xml:space="preserve"> </w:t>
      </w:r>
      <w:r w:rsidRPr="003520EF">
        <w:rPr>
          <w:rtl/>
        </w:rPr>
        <w:t>بحق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النقابي</w:t>
      </w:r>
      <w:r w:rsidR="00DC6C59">
        <w:rPr>
          <w:rtl/>
        </w:rPr>
        <w:t xml:space="preserve"> </w:t>
      </w:r>
      <w:r w:rsidRPr="003520EF">
        <w:rPr>
          <w:rtl/>
        </w:rPr>
        <w:t>والنقابات</w:t>
      </w:r>
      <w:r w:rsidR="00DC6C59">
        <w:rPr>
          <w:rtl/>
        </w:rPr>
        <w:t xml:space="preserve"> </w:t>
      </w:r>
      <w:r w:rsidRPr="003520EF">
        <w:rPr>
          <w:rtl/>
        </w:rPr>
        <w:t>العمالية.</w:t>
      </w:r>
      <w:r w:rsidR="00DC6C59">
        <w:rPr>
          <w:rtl/>
        </w:rPr>
        <w:t xml:space="preserve"> </w:t>
      </w:r>
    </w:p>
    <w:p w14:paraId="1B6977D6" w14:textId="4E4609BC" w:rsidR="00EC13CA" w:rsidRPr="00476B81" w:rsidRDefault="00EC13CA" w:rsidP="00EC13CA">
      <w:pPr>
        <w:pStyle w:val="SingleTxtGA"/>
        <w:rPr>
          <w:spacing w:val="-5"/>
        </w:rPr>
      </w:pPr>
      <w:r w:rsidRPr="005170C9">
        <w:rPr>
          <w:spacing w:val="-5"/>
          <w:rtl/>
        </w:rPr>
        <w:t>65</w:t>
      </w:r>
      <w:r w:rsidRPr="00476B81">
        <w:rPr>
          <w:spacing w:val="-5"/>
          <w:rtl/>
        </w:rPr>
        <w:t>-</w:t>
      </w:r>
      <w:r w:rsidRPr="00476B81">
        <w:rPr>
          <w:spacing w:val="-5"/>
          <w:rtl/>
        </w:rPr>
        <w:tab/>
        <w:t>وحددت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اللجنة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المعنية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بالحقوق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الاقتصادية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والاجتماعية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والثقافية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أيضا</w:t>
      </w:r>
      <w:r w:rsidR="00476B81" w:rsidRPr="00476B81">
        <w:rPr>
          <w:rFonts w:hint="cs"/>
          <w:spacing w:val="-5"/>
          <w:rtl/>
        </w:rPr>
        <w:t>ً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الالتزامات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الأساسية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فيما</w:t>
      </w:r>
      <w:r w:rsidR="00476B81" w:rsidRPr="00476B81">
        <w:rPr>
          <w:rFonts w:hint="cs"/>
          <w:spacing w:val="-5"/>
          <w:rtl/>
        </w:rPr>
        <w:t> </w:t>
      </w:r>
      <w:r w:rsidRPr="00476B81">
        <w:rPr>
          <w:spacing w:val="-5"/>
          <w:rtl/>
        </w:rPr>
        <w:t>يتعلق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الحق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في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العمل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في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ظروف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عادلة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وملائمة</w:t>
      </w:r>
      <w:r w:rsidR="00DC6C59" w:rsidRPr="005170C9">
        <w:rPr>
          <w:spacing w:val="-5"/>
          <w:vertAlign w:val="superscript"/>
          <w:rtl/>
        </w:rPr>
        <w:t>(</w:t>
      </w:r>
      <w:r w:rsidR="00DC6C59" w:rsidRPr="005170C9">
        <w:rPr>
          <w:spacing w:val="-5"/>
          <w:vertAlign w:val="superscript"/>
          <w:lang w:val="en-US"/>
        </w:rPr>
        <w:footnoteReference w:id="56"/>
      </w:r>
      <w:r w:rsidR="00DC6C59" w:rsidRPr="005170C9">
        <w:rPr>
          <w:spacing w:val="-5"/>
          <w:vertAlign w:val="superscript"/>
          <w:rtl/>
        </w:rPr>
        <w:t>)</w:t>
      </w:r>
      <w:r w:rsidR="00DC6C59" w:rsidRPr="00476B81">
        <w:rPr>
          <w:spacing w:val="-5"/>
          <w:rtl/>
        </w:rPr>
        <w:t xml:space="preserve">. </w:t>
      </w:r>
      <w:r w:rsidRPr="00476B81">
        <w:rPr>
          <w:spacing w:val="-5"/>
          <w:rtl/>
        </w:rPr>
        <w:t>فبصفة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خاصة،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ينبغي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للدول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الأطراف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أن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تقوم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بما</w:t>
      </w:r>
      <w:r w:rsidR="00DC6C59" w:rsidRPr="00476B81">
        <w:rPr>
          <w:spacing w:val="-5"/>
          <w:rtl/>
        </w:rPr>
        <w:t xml:space="preserve"> </w:t>
      </w:r>
      <w:r w:rsidRPr="00476B81">
        <w:rPr>
          <w:spacing w:val="-5"/>
          <w:rtl/>
        </w:rPr>
        <w:t>يلي</w:t>
      </w:r>
      <w:r w:rsidR="00DC6C59" w:rsidRPr="00476B81">
        <w:rPr>
          <w:spacing w:val="-5"/>
          <w:rtl/>
        </w:rPr>
        <w:t>:</w:t>
      </w:r>
    </w:p>
    <w:p w14:paraId="38271619" w14:textId="1CFE8A9A" w:rsidR="00EC13CA" w:rsidRPr="003520EF" w:rsidRDefault="00EC13CA" w:rsidP="00EC13CA">
      <w:pPr>
        <w:pStyle w:val="SingleTxtGA"/>
      </w:pPr>
      <w:r w:rsidRPr="003520EF">
        <w:rPr>
          <w:rtl/>
        </w:rPr>
        <w:tab/>
        <w:t>(أ)</w:t>
      </w:r>
      <w:r w:rsidRPr="003520EF">
        <w:rPr>
          <w:rtl/>
        </w:rPr>
        <w:tab/>
        <w:t>أن</w:t>
      </w:r>
      <w:r w:rsidR="00DC6C59">
        <w:rPr>
          <w:rtl/>
        </w:rPr>
        <w:t xml:space="preserve"> </w:t>
      </w:r>
      <w:r w:rsidRPr="003520EF">
        <w:rPr>
          <w:rtl/>
        </w:rPr>
        <w:t>تضع</w:t>
      </w:r>
      <w:r w:rsidR="00DC6C59">
        <w:rPr>
          <w:rtl/>
        </w:rPr>
        <w:t xml:space="preserve"> </w:t>
      </w:r>
      <w:r w:rsidRPr="003520EF">
        <w:rPr>
          <w:rtl/>
        </w:rPr>
        <w:t>نظاماً</w:t>
      </w:r>
      <w:r w:rsidR="00DC6C59">
        <w:rPr>
          <w:rtl/>
        </w:rPr>
        <w:t xml:space="preserve"> </w:t>
      </w:r>
      <w:r w:rsidRPr="003520EF">
        <w:rPr>
          <w:rtl/>
        </w:rPr>
        <w:t>شاملاً</w:t>
      </w:r>
      <w:r w:rsidR="00DC6C59">
        <w:rPr>
          <w:rtl/>
        </w:rPr>
        <w:t xml:space="preserve"> </w:t>
      </w:r>
      <w:r w:rsidRPr="003520EF">
        <w:rPr>
          <w:rtl/>
        </w:rPr>
        <w:t>لمكافحة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بين</w:t>
      </w:r>
      <w:r w:rsidR="00DC6C59">
        <w:rPr>
          <w:rtl/>
        </w:rPr>
        <w:t xml:space="preserve"> </w:t>
      </w:r>
      <w:r w:rsidRPr="003520EF">
        <w:rPr>
          <w:rtl/>
        </w:rPr>
        <w:t>الجنسين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المكافأة؛</w:t>
      </w:r>
    </w:p>
    <w:p w14:paraId="4E879040" w14:textId="525BCC76" w:rsidR="00EC13CA" w:rsidRPr="00C12E18" w:rsidRDefault="00EC13CA" w:rsidP="00EC13CA">
      <w:pPr>
        <w:pStyle w:val="SingleTxtGA"/>
        <w:rPr>
          <w:spacing w:val="-2"/>
        </w:rPr>
      </w:pPr>
      <w:r w:rsidRPr="00C12E18">
        <w:rPr>
          <w:spacing w:val="-2"/>
          <w:rtl/>
        </w:rPr>
        <w:tab/>
        <w:t>(ب)</w:t>
      </w:r>
      <w:r w:rsidRPr="00C12E18">
        <w:rPr>
          <w:spacing w:val="-2"/>
          <w:rtl/>
        </w:rPr>
        <w:tab/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تكفل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التشريعات،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بالتشاور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وأرباب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والمنظمات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تمثّلهم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وأية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أطراف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أخرى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صلة،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حداً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أدنى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للأجور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وغير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قابل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للتقييد،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يُحدّد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بمراعاة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العوامل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الاقتصادية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الصلة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ويُربط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بمؤشر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تكاليف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المعيشة،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لضمان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مستوى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معيشي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لائق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للعمال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وأسرهم؛</w:t>
      </w:r>
    </w:p>
    <w:p w14:paraId="41B5D8EB" w14:textId="6AB0AD1A" w:rsidR="00EC13CA" w:rsidRPr="003520EF" w:rsidRDefault="00EC13CA" w:rsidP="00EC13CA">
      <w:pPr>
        <w:pStyle w:val="SingleTxtGA"/>
      </w:pPr>
      <w:r w:rsidRPr="003520EF">
        <w:rPr>
          <w:rtl/>
        </w:rPr>
        <w:lastRenderedPageBreak/>
        <w:tab/>
        <w:t>(ج)</w:t>
      </w:r>
      <w:r w:rsidRPr="003520EF">
        <w:rPr>
          <w:rtl/>
        </w:rPr>
        <w:tab/>
        <w:t>أن</w:t>
      </w:r>
      <w:r w:rsidR="00DC6C59">
        <w:rPr>
          <w:rtl/>
        </w:rPr>
        <w:t xml:space="preserve"> </w:t>
      </w:r>
      <w:r w:rsidRPr="003520EF">
        <w:rPr>
          <w:rtl/>
        </w:rPr>
        <w:t>تدرج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القانون</w:t>
      </w:r>
      <w:r w:rsidR="00DC6C59">
        <w:rPr>
          <w:rtl/>
        </w:rPr>
        <w:t xml:space="preserve"> </w:t>
      </w:r>
      <w:r w:rsidRPr="003520EF">
        <w:rPr>
          <w:rtl/>
        </w:rPr>
        <w:t>تعريفاً</w:t>
      </w:r>
      <w:r w:rsidR="00DC6C59">
        <w:rPr>
          <w:rtl/>
        </w:rPr>
        <w:t xml:space="preserve"> </w:t>
      </w:r>
      <w:r w:rsidRPr="003520EF">
        <w:rPr>
          <w:rtl/>
        </w:rPr>
        <w:t>للتحرشَ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يشمل</w:t>
      </w:r>
      <w:r w:rsidR="00DC6C59">
        <w:rPr>
          <w:rtl/>
        </w:rPr>
        <w:t xml:space="preserve"> </w:t>
      </w:r>
      <w:r w:rsidRPr="003520EF">
        <w:rPr>
          <w:rtl/>
        </w:rPr>
        <w:t>التحرش</w:t>
      </w:r>
      <w:r w:rsidR="00DC6C59">
        <w:rPr>
          <w:rtl/>
        </w:rPr>
        <w:t xml:space="preserve"> </w:t>
      </w:r>
      <w:r w:rsidRPr="003520EF">
        <w:rPr>
          <w:rtl/>
        </w:rPr>
        <w:t>الجنسي،</w:t>
      </w:r>
      <w:r w:rsidR="00DC6C59">
        <w:rPr>
          <w:rtl/>
        </w:rPr>
        <w:t xml:space="preserve"> </w:t>
      </w:r>
      <w:r w:rsidRPr="003520EF">
        <w:rPr>
          <w:rtl/>
        </w:rPr>
        <w:t>وتكفل</w:t>
      </w:r>
      <w:r w:rsidR="00DC6C59">
        <w:rPr>
          <w:rtl/>
        </w:rPr>
        <w:t xml:space="preserve"> </w:t>
      </w:r>
      <w:r w:rsidRPr="003520EF">
        <w:rPr>
          <w:rtl/>
        </w:rPr>
        <w:t>وجود</w:t>
      </w:r>
      <w:r w:rsidR="00DC6C59">
        <w:rPr>
          <w:rtl/>
        </w:rPr>
        <w:t xml:space="preserve"> </w:t>
      </w:r>
      <w:r w:rsidRPr="003520EF">
        <w:rPr>
          <w:rtl/>
        </w:rPr>
        <w:t>إجراءات</w:t>
      </w:r>
      <w:r w:rsidR="00DC6C59">
        <w:rPr>
          <w:rtl/>
        </w:rPr>
        <w:t xml:space="preserve"> </w:t>
      </w:r>
      <w:r w:rsidRPr="003520EF">
        <w:rPr>
          <w:rtl/>
        </w:rPr>
        <w:t>وآليات</w:t>
      </w:r>
      <w:r w:rsidR="00DC6C59">
        <w:rPr>
          <w:rtl/>
        </w:rPr>
        <w:t xml:space="preserve"> </w:t>
      </w:r>
      <w:r w:rsidRPr="003520EF">
        <w:rPr>
          <w:rtl/>
        </w:rPr>
        <w:t>تظلم</w:t>
      </w:r>
      <w:r w:rsidR="00DC6C59">
        <w:rPr>
          <w:rtl/>
        </w:rPr>
        <w:t xml:space="preserve"> </w:t>
      </w:r>
      <w:r w:rsidRPr="003520EF">
        <w:rPr>
          <w:rtl/>
        </w:rPr>
        <w:t>مناسبة،</w:t>
      </w:r>
      <w:r w:rsidR="00DC6C59">
        <w:rPr>
          <w:rtl/>
        </w:rPr>
        <w:t xml:space="preserve"> </w:t>
      </w:r>
      <w:r w:rsidRPr="003520EF">
        <w:rPr>
          <w:rtl/>
        </w:rPr>
        <w:t>وتفرض</w:t>
      </w:r>
      <w:r w:rsidR="00DC6C59">
        <w:rPr>
          <w:rtl/>
        </w:rPr>
        <w:t xml:space="preserve"> </w:t>
      </w:r>
      <w:r w:rsidRPr="003520EF">
        <w:rPr>
          <w:rtl/>
        </w:rPr>
        <w:t>عقوبات</w:t>
      </w:r>
      <w:r w:rsidR="00DC6C59">
        <w:rPr>
          <w:rtl/>
        </w:rPr>
        <w:t xml:space="preserve"> </w:t>
      </w:r>
      <w:r w:rsidRPr="003520EF">
        <w:rPr>
          <w:rtl/>
        </w:rPr>
        <w:t>جنائية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التحرش</w:t>
      </w:r>
      <w:r w:rsidR="00DC6C59">
        <w:rPr>
          <w:rtl/>
        </w:rPr>
        <w:t xml:space="preserve"> </w:t>
      </w:r>
      <w:r w:rsidRPr="003520EF">
        <w:rPr>
          <w:rtl/>
        </w:rPr>
        <w:t>الجنسي؛</w:t>
      </w:r>
    </w:p>
    <w:p w14:paraId="784F77E6" w14:textId="3121501D" w:rsidR="00EC13CA" w:rsidRPr="003520EF" w:rsidRDefault="00EC13CA" w:rsidP="00EC13CA">
      <w:pPr>
        <w:pStyle w:val="SingleTxtGA"/>
      </w:pPr>
      <w:r w:rsidRPr="003520EF">
        <w:rPr>
          <w:rtl/>
        </w:rPr>
        <w:tab/>
        <w:t>(د)</w:t>
      </w:r>
      <w:r w:rsidRPr="003520EF">
        <w:rPr>
          <w:rtl/>
        </w:rPr>
        <w:tab/>
        <w:t>أن</w:t>
      </w:r>
      <w:r w:rsidR="00DC6C59">
        <w:rPr>
          <w:rtl/>
        </w:rPr>
        <w:t xml:space="preserve"> </w:t>
      </w:r>
      <w:r w:rsidRPr="003520EF">
        <w:rPr>
          <w:rtl/>
        </w:rPr>
        <w:t>تضع</w:t>
      </w:r>
      <w:r w:rsidR="00DC6C59">
        <w:rPr>
          <w:rtl/>
        </w:rPr>
        <w:t xml:space="preserve"> </w:t>
      </w:r>
      <w:r w:rsidRPr="003520EF">
        <w:rPr>
          <w:rtl/>
        </w:rPr>
        <w:t>معايير</w:t>
      </w:r>
      <w:r w:rsidR="00DC6C59">
        <w:rPr>
          <w:rtl/>
        </w:rPr>
        <w:t xml:space="preserve"> </w:t>
      </w:r>
      <w:r w:rsidRPr="003520EF">
        <w:rPr>
          <w:rtl/>
        </w:rPr>
        <w:t>دنيا</w:t>
      </w:r>
      <w:r w:rsidR="00DC6C59">
        <w:rPr>
          <w:rtl/>
        </w:rPr>
        <w:t xml:space="preserve"> </w:t>
      </w:r>
      <w:r w:rsidRPr="003520EF">
        <w:rPr>
          <w:rtl/>
        </w:rPr>
        <w:t>وتنفذها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بالراحة</w:t>
      </w:r>
      <w:r w:rsidR="00DC6C59">
        <w:rPr>
          <w:rtl/>
        </w:rPr>
        <w:t xml:space="preserve"> </w:t>
      </w:r>
      <w:r w:rsidRPr="003520EF">
        <w:rPr>
          <w:rtl/>
        </w:rPr>
        <w:t>وأوقات</w:t>
      </w:r>
      <w:r w:rsidR="00DC6C59">
        <w:rPr>
          <w:rtl/>
        </w:rPr>
        <w:t xml:space="preserve"> </w:t>
      </w:r>
      <w:r w:rsidRPr="003520EF">
        <w:rPr>
          <w:rtl/>
        </w:rPr>
        <w:t>الفراغ</w:t>
      </w:r>
      <w:r w:rsidR="00DC6C59">
        <w:rPr>
          <w:rtl/>
        </w:rPr>
        <w:t xml:space="preserve"> </w:t>
      </w:r>
      <w:r w:rsidRPr="003520EF">
        <w:rPr>
          <w:rtl/>
        </w:rPr>
        <w:t>ووضع</w:t>
      </w:r>
      <w:r w:rsidR="00DC6C59">
        <w:rPr>
          <w:rtl/>
        </w:rPr>
        <w:t xml:space="preserve"> </w:t>
      </w:r>
      <w:r w:rsidRPr="003520EF">
        <w:rPr>
          <w:rtl/>
        </w:rPr>
        <w:t>حدود</w:t>
      </w:r>
      <w:r w:rsidR="00DC6C59">
        <w:rPr>
          <w:rtl/>
        </w:rPr>
        <w:t xml:space="preserve"> </w:t>
      </w:r>
      <w:r w:rsidRPr="003520EF">
        <w:rPr>
          <w:rtl/>
        </w:rPr>
        <w:t>معقولة</w:t>
      </w:r>
      <w:r w:rsidR="00DC6C59">
        <w:rPr>
          <w:rtl/>
        </w:rPr>
        <w:t xml:space="preserve"> </w:t>
      </w:r>
      <w:r w:rsidRPr="003520EF">
        <w:rPr>
          <w:rtl/>
        </w:rPr>
        <w:t>لساعات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بالإجازات</w:t>
      </w:r>
      <w:r w:rsidR="00DC6C59">
        <w:rPr>
          <w:rtl/>
        </w:rPr>
        <w:t xml:space="preserve"> </w:t>
      </w:r>
      <w:r w:rsidRPr="003520EF">
        <w:rPr>
          <w:rtl/>
        </w:rPr>
        <w:t>المدفوعة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>
        <w:rPr>
          <w:rtl/>
        </w:rPr>
        <w:t xml:space="preserve"> </w:t>
      </w:r>
      <w:r w:rsidRPr="003520EF">
        <w:rPr>
          <w:rtl/>
        </w:rPr>
        <w:t>والعطل</w:t>
      </w:r>
      <w:r w:rsidR="00DC6C59">
        <w:rPr>
          <w:rtl/>
        </w:rPr>
        <w:t xml:space="preserve"> </w:t>
      </w:r>
      <w:r w:rsidRPr="003520EF">
        <w:rPr>
          <w:rtl/>
        </w:rPr>
        <w:t>العامة.</w:t>
      </w:r>
      <w:r w:rsidR="00DC6C59">
        <w:rPr>
          <w:rtl/>
        </w:rPr>
        <w:t xml:space="preserve"> </w:t>
      </w:r>
    </w:p>
    <w:p w14:paraId="1BB7AC2A" w14:textId="38E00921" w:rsidR="00EC13CA" w:rsidRPr="005170C9" w:rsidRDefault="00EC13CA" w:rsidP="00EC13CA">
      <w:pPr>
        <w:pStyle w:val="HChGA"/>
      </w:pPr>
      <w:r w:rsidRPr="005170C9">
        <w:rPr>
          <w:rtl/>
        </w:rPr>
        <w:tab/>
        <w:t>خامسا</w:t>
      </w:r>
      <w:r w:rsidRPr="005170C9">
        <w:rPr>
          <w:rFonts w:hint="cs"/>
          <w:rtl/>
        </w:rPr>
        <w:t>ً</w:t>
      </w:r>
      <w:r w:rsidRPr="005170C9">
        <w:rPr>
          <w:rtl/>
        </w:rPr>
        <w:t>-</w:t>
      </w:r>
      <w:r w:rsidRPr="005170C9">
        <w:rPr>
          <w:rtl/>
        </w:rPr>
        <w:tab/>
        <w:t>العلاقة</w:t>
      </w:r>
      <w:r w:rsidR="00DC6C59" w:rsidRPr="005170C9">
        <w:rPr>
          <w:rtl/>
        </w:rPr>
        <w:t xml:space="preserve"> </w:t>
      </w:r>
      <w:r w:rsidRPr="005170C9">
        <w:rPr>
          <w:rtl/>
        </w:rPr>
        <w:t>بمواد</w:t>
      </w:r>
      <w:r w:rsidR="00DC6C59" w:rsidRPr="005170C9">
        <w:rPr>
          <w:rtl/>
        </w:rPr>
        <w:t xml:space="preserve"> </w:t>
      </w:r>
      <w:r w:rsidRPr="005170C9">
        <w:rPr>
          <w:rtl/>
        </w:rPr>
        <w:t>أخرى</w:t>
      </w:r>
      <w:r w:rsidR="00DC6C59" w:rsidRPr="005170C9">
        <w:rPr>
          <w:rtl/>
        </w:rPr>
        <w:t xml:space="preserve"> </w:t>
      </w:r>
      <w:r w:rsidRPr="005170C9">
        <w:rPr>
          <w:rtl/>
        </w:rPr>
        <w:t>في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الاتفاقية</w:t>
      </w:r>
    </w:p>
    <w:p w14:paraId="7054999A" w14:textId="2B2D3AC4" w:rsidR="00EC13CA" w:rsidRPr="003520EF" w:rsidRDefault="00EC13CA" w:rsidP="00EC13CA">
      <w:pPr>
        <w:pStyle w:val="SingleTxtGA"/>
      </w:pPr>
      <w:r w:rsidRPr="005170C9">
        <w:rPr>
          <w:rtl/>
        </w:rPr>
        <w:t>66</w:t>
      </w:r>
      <w:r w:rsidRPr="003520EF">
        <w:rPr>
          <w:rtl/>
        </w:rPr>
        <w:t>-</w:t>
      </w:r>
      <w:r w:rsidRPr="003520EF">
        <w:rPr>
          <w:rtl/>
        </w:rPr>
        <w:tab/>
        <w:t>تشترط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5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الاتفاقية،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بالمساواة</w:t>
      </w:r>
      <w:r w:rsidR="00DC6C59">
        <w:rPr>
          <w:rtl/>
        </w:rPr>
        <w:t xml:space="preserve"> </w:t>
      </w:r>
      <w:r w:rsidRPr="003520EF">
        <w:rPr>
          <w:rtl/>
        </w:rPr>
        <w:t>وعدم</w:t>
      </w:r>
      <w:r w:rsidR="00DC6C59">
        <w:rPr>
          <w:rtl/>
        </w:rPr>
        <w:t xml:space="preserve"> </w:t>
      </w:r>
      <w:r w:rsidRPr="003520EF">
        <w:rPr>
          <w:rtl/>
        </w:rPr>
        <w:t>التمييز،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تقوم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بتعزيز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الشاملة</w:t>
      </w:r>
      <w:r w:rsidR="00DC6C59">
        <w:rPr>
          <w:rtl/>
        </w:rPr>
        <w:t xml:space="preserve"> </w:t>
      </w:r>
      <w:r w:rsidRPr="003520EF">
        <w:rPr>
          <w:rtl/>
        </w:rPr>
        <w:t>والقضاء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-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المباشر،</w:t>
      </w:r>
      <w:r w:rsidR="00DC6C59">
        <w:rPr>
          <w:rtl/>
        </w:rPr>
        <w:t xml:space="preserve"> </w:t>
      </w:r>
      <w:r w:rsidRPr="003520EF">
        <w:rPr>
          <w:rtl/>
        </w:rPr>
        <w:t>والتمييز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المباشر،</w:t>
      </w:r>
      <w:r w:rsidR="00DC6C59">
        <w:rPr>
          <w:rtl/>
        </w:rPr>
        <w:t xml:space="preserve"> </w:t>
      </w:r>
      <w:r w:rsidRPr="003520EF">
        <w:rPr>
          <w:rtl/>
        </w:rPr>
        <w:t>والحرمان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الترتيبات</w:t>
      </w:r>
      <w:r w:rsidR="00DC6C59">
        <w:rPr>
          <w:rtl/>
        </w:rPr>
        <w:t xml:space="preserve"> </w:t>
      </w:r>
      <w:proofErr w:type="spellStart"/>
      <w:r w:rsidRPr="003520EF">
        <w:rPr>
          <w:rtl/>
        </w:rPr>
        <w:t>التيسيرية</w:t>
      </w:r>
      <w:proofErr w:type="spellEnd"/>
      <w:r w:rsidR="00DC6C59">
        <w:rPr>
          <w:rtl/>
        </w:rPr>
        <w:t xml:space="preserve"> </w:t>
      </w:r>
      <w:r w:rsidRPr="003520EF">
        <w:rPr>
          <w:rtl/>
        </w:rPr>
        <w:t>المعقولة،</w:t>
      </w:r>
      <w:r w:rsidR="00DC6C59">
        <w:rPr>
          <w:rtl/>
        </w:rPr>
        <w:t xml:space="preserve"> </w:t>
      </w:r>
      <w:r w:rsidRPr="003520EF">
        <w:rPr>
          <w:rtl/>
        </w:rPr>
        <w:t>والتحرش</w:t>
      </w:r>
      <w:r w:rsidR="00DC6C59">
        <w:rPr>
          <w:rtl/>
        </w:rPr>
        <w:t xml:space="preserve"> </w:t>
      </w:r>
      <w:r w:rsidRPr="003520EF">
        <w:rPr>
          <w:rtl/>
        </w:rPr>
        <w:t>والتمييز</w:t>
      </w:r>
      <w:r w:rsidR="00DC6C59">
        <w:rPr>
          <w:rtl/>
        </w:rPr>
        <w:t xml:space="preserve"> </w:t>
      </w:r>
      <w:r w:rsidRPr="003520EF">
        <w:rPr>
          <w:rtl/>
        </w:rPr>
        <w:t>بالتلازم</w:t>
      </w:r>
      <w:r w:rsidR="00DC6C59">
        <w:rPr>
          <w:rtl/>
        </w:rPr>
        <w:t xml:space="preserve"> </w:t>
      </w:r>
      <w:r w:rsidRPr="003520EF">
        <w:rPr>
          <w:rtl/>
        </w:rPr>
        <w:t>-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مسائل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ودورة</w:t>
      </w:r>
      <w:r w:rsidR="00DC6C59">
        <w:rPr>
          <w:rtl/>
        </w:rPr>
        <w:t xml:space="preserve"> </w:t>
      </w:r>
      <w:r w:rsidRPr="003520EF">
        <w:rPr>
          <w:rtl/>
        </w:rPr>
        <w:t>العمالة.</w:t>
      </w:r>
      <w:r w:rsidR="00DC6C59">
        <w:rPr>
          <w:rtl/>
        </w:rPr>
        <w:t xml:space="preserve"> </w:t>
      </w:r>
      <w:r w:rsidRPr="003520EF">
        <w:rPr>
          <w:rtl/>
        </w:rPr>
        <w:t>وعلاوة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ذلك،</w:t>
      </w:r>
      <w:r w:rsidR="00DC6C59">
        <w:rPr>
          <w:rtl/>
        </w:rPr>
        <w:t xml:space="preserve"> </w:t>
      </w:r>
      <w:r w:rsidRPr="003520EF">
        <w:rPr>
          <w:rtl/>
        </w:rPr>
        <w:t>تواجه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المتوافقين</w:t>
      </w:r>
      <w:r w:rsidR="00DC6C59">
        <w:rPr>
          <w:rtl/>
        </w:rPr>
        <w:t xml:space="preserve"> </w:t>
      </w:r>
      <w:r w:rsidRPr="003520EF">
        <w:rPr>
          <w:rtl/>
        </w:rPr>
        <w:t>جنسيا</w:t>
      </w:r>
      <w:r w:rsidR="00476B81">
        <w:rPr>
          <w:rFonts w:hint="cs"/>
          <w:rtl/>
        </w:rPr>
        <w:t>ً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وكبار</w:t>
      </w:r>
      <w:r w:rsidR="00DC6C59">
        <w:rPr>
          <w:rtl/>
        </w:rPr>
        <w:t xml:space="preserve"> </w:t>
      </w:r>
      <w:r w:rsidRPr="003520EF">
        <w:rPr>
          <w:rtl/>
        </w:rPr>
        <w:t>السن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والشباب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حواجز</w:t>
      </w:r>
      <w:r w:rsidR="00DC6C59">
        <w:rPr>
          <w:rtl/>
        </w:rPr>
        <w:t xml:space="preserve"> </w:t>
      </w:r>
      <w:r w:rsidRPr="003520EF">
        <w:rPr>
          <w:rtl/>
        </w:rPr>
        <w:t>متقاطعة،</w:t>
      </w:r>
      <w:r w:rsidR="00DC6C59">
        <w:rPr>
          <w:rtl/>
        </w:rPr>
        <w:t xml:space="preserve"> </w:t>
      </w:r>
      <w:r w:rsidRPr="003520EF">
        <w:rPr>
          <w:rtl/>
        </w:rPr>
        <w:t>تتصل</w:t>
      </w:r>
      <w:r w:rsidR="00DC6C59">
        <w:rPr>
          <w:rtl/>
        </w:rPr>
        <w:t xml:space="preserve"> </w:t>
      </w:r>
      <w:r w:rsidRPr="003520EF">
        <w:rPr>
          <w:rtl/>
        </w:rPr>
        <w:t>بالجنس</w:t>
      </w:r>
      <w:r w:rsidR="00DC6C59">
        <w:rPr>
          <w:rtl/>
        </w:rPr>
        <w:t xml:space="preserve"> </w:t>
      </w:r>
      <w:r w:rsidRPr="003520EF">
        <w:rPr>
          <w:rtl/>
        </w:rPr>
        <w:t>ونوع</w:t>
      </w:r>
      <w:r w:rsidR="00DC6C59">
        <w:rPr>
          <w:rtl/>
        </w:rPr>
        <w:t xml:space="preserve"> </w:t>
      </w:r>
      <w:r w:rsidRPr="003520EF">
        <w:rPr>
          <w:rtl/>
        </w:rPr>
        <w:t>الجنس</w:t>
      </w:r>
      <w:r w:rsidR="00DC6C59">
        <w:rPr>
          <w:rtl/>
        </w:rPr>
        <w:t xml:space="preserve"> </w:t>
      </w:r>
      <w:r w:rsidRPr="003520EF">
        <w:rPr>
          <w:rtl/>
        </w:rPr>
        <w:t>والعمر</w:t>
      </w:r>
      <w:r w:rsidR="00DC6C59">
        <w:rPr>
          <w:rtl/>
        </w:rPr>
        <w:t xml:space="preserve"> </w:t>
      </w:r>
      <w:r w:rsidRPr="003520EF">
        <w:rPr>
          <w:rtl/>
        </w:rPr>
        <w:t>والإعاقة،</w:t>
      </w:r>
      <w:r w:rsidR="00DC6C59">
        <w:rPr>
          <w:rtl/>
        </w:rPr>
        <w:t xml:space="preserve"> </w:t>
      </w:r>
      <w:r w:rsidRPr="003520EF">
        <w:rPr>
          <w:rtl/>
        </w:rPr>
        <w:t>وتحد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فرص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وتؤثر</w:t>
      </w:r>
      <w:r w:rsidR="00DC6C59">
        <w:rPr>
          <w:rtl/>
        </w:rPr>
        <w:t xml:space="preserve"> </w:t>
      </w:r>
      <w:r w:rsidRPr="003520EF">
        <w:rPr>
          <w:rtl/>
        </w:rPr>
        <w:t>سلبا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التمتع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>
        <w:rPr>
          <w:rtl/>
        </w:rPr>
        <w:t xml:space="preserve"> </w:t>
      </w:r>
      <w:r w:rsidRPr="003520EF">
        <w:rPr>
          <w:rtl/>
        </w:rPr>
        <w:t>المتساوي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المتساوي</w:t>
      </w:r>
      <w:r w:rsidR="00DC6C59">
        <w:rPr>
          <w:rtl/>
        </w:rPr>
        <w:t xml:space="preserve"> </w:t>
      </w:r>
      <w:r w:rsidRPr="003520EF">
        <w:rPr>
          <w:rtl/>
        </w:rPr>
        <w:t>القيمة،</w:t>
      </w:r>
      <w:r w:rsidR="00DC6C59">
        <w:rPr>
          <w:rtl/>
        </w:rPr>
        <w:t xml:space="preserve"> </w:t>
      </w:r>
      <w:r w:rsidRPr="003520EF">
        <w:rPr>
          <w:rtl/>
        </w:rPr>
        <w:t>وتزيد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خطر</w:t>
      </w:r>
      <w:r w:rsidR="00DC6C59">
        <w:rPr>
          <w:rtl/>
        </w:rPr>
        <w:t xml:space="preserve"> </w:t>
      </w:r>
      <w:r w:rsidRPr="003520EF">
        <w:rPr>
          <w:rtl/>
        </w:rPr>
        <w:t>العنف</w:t>
      </w:r>
      <w:r w:rsidR="00DC6C59">
        <w:rPr>
          <w:rtl/>
        </w:rPr>
        <w:t xml:space="preserve"> </w:t>
      </w:r>
      <w:r w:rsidRPr="003520EF">
        <w:rPr>
          <w:rtl/>
        </w:rPr>
        <w:t>والتحرش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</w:p>
    <w:p w14:paraId="78959AAF" w14:textId="7145A676" w:rsidR="00EC13CA" w:rsidRPr="00C12E18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67</w:t>
      </w:r>
      <w:r w:rsidRPr="00C12E18">
        <w:rPr>
          <w:spacing w:val="-2"/>
          <w:rtl/>
        </w:rPr>
        <w:t>-</w:t>
      </w:r>
      <w:r w:rsidRPr="00C12E18">
        <w:rPr>
          <w:spacing w:val="-2"/>
          <w:rtl/>
        </w:rPr>
        <w:tab/>
        <w:t>وتتعرض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النساء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(المادة</w:t>
      </w:r>
      <w:r w:rsidR="00DC6C59" w:rsidRPr="00C12E18">
        <w:rPr>
          <w:spacing w:val="-2"/>
          <w:rtl/>
        </w:rPr>
        <w:t xml:space="preserve"> </w:t>
      </w:r>
      <w:r w:rsidR="00DC6C59" w:rsidRPr="005170C9">
        <w:rPr>
          <w:spacing w:val="-2"/>
          <w:rtl/>
        </w:rPr>
        <w:t>6</w:t>
      </w:r>
      <w:r w:rsidR="00DC6C59" w:rsidRPr="00C12E18">
        <w:rPr>
          <w:spacing w:val="-2"/>
          <w:rtl/>
        </w:rPr>
        <w:t xml:space="preserve">) </w:t>
      </w:r>
      <w:r w:rsidRPr="00C12E18">
        <w:rPr>
          <w:spacing w:val="-2"/>
          <w:rtl/>
        </w:rPr>
        <w:t>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متعدد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ومتقاطع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والعمالة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وطوال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دورة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العمالة،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يؤدي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حواجز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تحول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دون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المشاركة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المساواة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مكان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وتشمل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هذه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الحواجز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التحرش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الجنسي،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وعدم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المساواة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الأجر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المتساوي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القيمة،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والافتقار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الخيارات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الوظيفية،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والمسارات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الوظيفية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الأقل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تميزا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الآخرين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الذين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يمكنهم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الحصول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عمل،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وعدم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إمكانية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الوصول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سبل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الانتصاف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بسبب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المواقف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تؤدي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رفض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مطالباتهم،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والحواجز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المادية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وحواجز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المعلومات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والاتصالات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57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spacing w:val="-2"/>
          <w:rtl/>
        </w:rPr>
        <w:t xml:space="preserve">. </w:t>
      </w:r>
      <w:r w:rsidRPr="00C12E18">
        <w:rPr>
          <w:spacing w:val="-2"/>
          <w:rtl/>
        </w:rPr>
        <w:t>وتتعرض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النساء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لخطر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الاستغلال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الاقتصاد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غير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الرسمي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غير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المدفوع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الأجر،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يؤدي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بدوره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تفاقم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أوجه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المساواة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مجالات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قبيل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الأجور،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والصحة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والسلامة،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والراحة،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وأوقات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الفراغ،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والإجازة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المدفوعة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الأجر،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ذلك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إجازة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الأمومة.</w:t>
      </w:r>
      <w:r w:rsidR="00DC6C59" w:rsidRPr="00C12E18">
        <w:rPr>
          <w:spacing w:val="-2"/>
          <w:rtl/>
        </w:rPr>
        <w:t xml:space="preserve"> </w:t>
      </w:r>
    </w:p>
    <w:p w14:paraId="1E5C2197" w14:textId="180FECE3" w:rsidR="00EC13CA" w:rsidRPr="003520EF" w:rsidRDefault="00EC13CA" w:rsidP="00EC13CA">
      <w:pPr>
        <w:pStyle w:val="SingleTxtGA"/>
      </w:pPr>
      <w:r w:rsidRPr="005170C9">
        <w:rPr>
          <w:rtl/>
        </w:rPr>
        <w:t>68</w:t>
      </w:r>
      <w:r w:rsidRPr="003520EF">
        <w:rPr>
          <w:rtl/>
        </w:rPr>
        <w:t>-</w:t>
      </w:r>
      <w:r w:rsidRPr="003520EF">
        <w:rPr>
          <w:rtl/>
        </w:rPr>
        <w:tab/>
      </w:r>
      <w:bookmarkStart w:id="22" w:name="ويقدر"/>
      <w:r w:rsidRPr="003520EF">
        <w:rPr>
          <w:rtl/>
        </w:rPr>
        <w:t>ويقدر</w:t>
      </w:r>
      <w:r w:rsidR="00DC6C59">
        <w:rPr>
          <w:rtl/>
        </w:rPr>
        <w:t xml:space="preserve"> </w:t>
      </w:r>
      <w:bookmarkEnd w:id="22"/>
      <w:r w:rsidRPr="003520EF">
        <w:rPr>
          <w:rtl/>
        </w:rPr>
        <w:t>عدد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="00DC6C59" w:rsidRPr="005170C9">
        <w:rPr>
          <w:rtl/>
        </w:rPr>
        <w:t>7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العالم</w:t>
      </w:r>
      <w:r w:rsidR="00DC6C59">
        <w:rPr>
          <w:rtl/>
        </w:rPr>
        <w:t xml:space="preserve"> </w:t>
      </w:r>
      <w:r w:rsidRPr="003520EF">
        <w:rPr>
          <w:rtl/>
        </w:rPr>
        <w:t>بنحو</w:t>
      </w:r>
      <w:r w:rsidR="00DC6C59">
        <w:rPr>
          <w:rtl/>
        </w:rPr>
        <w:t xml:space="preserve"> </w:t>
      </w:r>
      <w:r w:rsidRPr="005170C9">
        <w:rPr>
          <w:rtl/>
        </w:rPr>
        <w:t>240</w:t>
      </w:r>
      <w:r w:rsidR="00DC6C59">
        <w:rPr>
          <w:rtl/>
        </w:rPr>
        <w:t xml:space="preserve"> </w:t>
      </w:r>
      <w:r w:rsidRPr="003520EF">
        <w:rPr>
          <w:rtl/>
        </w:rPr>
        <w:t>مليون</w:t>
      </w:r>
      <w:r w:rsidR="00DC6C59">
        <w:rPr>
          <w:rtl/>
        </w:rPr>
        <w:t xml:space="preserve"> </w:t>
      </w:r>
      <w:r w:rsidRPr="003520EF">
        <w:rPr>
          <w:rtl/>
        </w:rPr>
        <w:t>طفل.</w:t>
      </w:r>
      <w:r w:rsidR="00DC6C59">
        <w:rPr>
          <w:rtl/>
        </w:rPr>
        <w:t xml:space="preserve"> </w:t>
      </w:r>
      <w:r w:rsidRPr="003520EF">
        <w:rPr>
          <w:rtl/>
        </w:rPr>
        <w:t>ويعمل</w:t>
      </w:r>
      <w:r w:rsidR="00DC6C59">
        <w:rPr>
          <w:rtl/>
        </w:rPr>
        <w:t xml:space="preserve"> </w:t>
      </w:r>
      <w:r w:rsidRPr="003520EF">
        <w:rPr>
          <w:rtl/>
        </w:rPr>
        <w:t>ملايين</w:t>
      </w:r>
      <w:r w:rsidR="00DC6C59">
        <w:rPr>
          <w:rtl/>
        </w:rPr>
        <w:t xml:space="preserve"> </w:t>
      </w:r>
      <w:r w:rsidRPr="003520EF">
        <w:rPr>
          <w:rtl/>
        </w:rPr>
        <w:t>الأطفال،</w:t>
      </w:r>
      <w:r w:rsidR="00DC6C59">
        <w:rPr>
          <w:rtl/>
        </w:rPr>
        <w:t xml:space="preserve"> </w:t>
      </w:r>
      <w:r w:rsidRPr="003520EF">
        <w:rPr>
          <w:rtl/>
        </w:rPr>
        <w:t>سواء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عمالا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منزليين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مهن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خطيرة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أسرهم</w:t>
      </w:r>
      <w:r w:rsidR="00DC6C59">
        <w:rPr>
          <w:rtl/>
        </w:rPr>
        <w:t xml:space="preserve"> </w:t>
      </w:r>
      <w:r w:rsidRPr="003520EF">
        <w:rPr>
          <w:rtl/>
        </w:rPr>
        <w:t>دون</w:t>
      </w:r>
      <w:r w:rsidR="00DC6C59">
        <w:rPr>
          <w:rtl/>
        </w:rPr>
        <w:t xml:space="preserve"> </w:t>
      </w:r>
      <w:r w:rsidRPr="003520EF">
        <w:rPr>
          <w:rtl/>
        </w:rPr>
        <w:t>راحة</w:t>
      </w:r>
      <w:r w:rsidR="00DC6C59">
        <w:rPr>
          <w:rtl/>
        </w:rPr>
        <w:t xml:space="preserve"> </w:t>
      </w:r>
      <w:r w:rsidRPr="003520EF">
        <w:rPr>
          <w:rtl/>
        </w:rPr>
        <w:t>كافية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تعليم،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معظم</w:t>
      </w:r>
      <w:r w:rsidR="00DC6C59">
        <w:rPr>
          <w:rtl/>
        </w:rPr>
        <w:t xml:space="preserve"> </w:t>
      </w:r>
      <w:r w:rsidRPr="003520EF">
        <w:rPr>
          <w:rtl/>
        </w:rPr>
        <w:t>طفولتهم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58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والأطفال</w:t>
      </w:r>
      <w:r w:rsidR="00DC6C59">
        <w:rPr>
          <w:rtl/>
        </w:rPr>
        <w:t xml:space="preserve"> </w:t>
      </w:r>
      <w:r w:rsidRPr="003520EF">
        <w:rPr>
          <w:rtl/>
        </w:rPr>
        <w:t>والشباب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أكثر</w:t>
      </w:r>
      <w:r w:rsidR="00DC6C59">
        <w:rPr>
          <w:rtl/>
        </w:rPr>
        <w:t xml:space="preserve"> </w:t>
      </w:r>
      <w:r w:rsidRPr="003520EF">
        <w:rPr>
          <w:rtl/>
        </w:rPr>
        <w:t>عرضة</w:t>
      </w:r>
      <w:r w:rsidR="00DC6C59">
        <w:rPr>
          <w:rtl/>
        </w:rPr>
        <w:t xml:space="preserve"> </w:t>
      </w:r>
      <w:r w:rsidRPr="003520EF">
        <w:rPr>
          <w:rtl/>
        </w:rPr>
        <w:t>لعمل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الخطير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غيرهم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والشباب.</w:t>
      </w:r>
      <w:r w:rsidR="00DC6C59">
        <w:rPr>
          <w:rtl/>
        </w:rPr>
        <w:t xml:space="preserve"> </w:t>
      </w:r>
    </w:p>
    <w:p w14:paraId="4F8154A1" w14:textId="013428E1" w:rsidR="00EC13CA" w:rsidRPr="003520EF" w:rsidRDefault="00EC13CA" w:rsidP="00EC13CA">
      <w:pPr>
        <w:pStyle w:val="SingleTxtGA"/>
      </w:pPr>
      <w:r w:rsidRPr="005170C9">
        <w:rPr>
          <w:rtl/>
        </w:rPr>
        <w:t>69</w:t>
      </w:r>
      <w:r w:rsidRPr="003520EF">
        <w:rPr>
          <w:rtl/>
        </w:rPr>
        <w:t>-</w:t>
      </w:r>
      <w:r w:rsidRPr="003520EF">
        <w:rPr>
          <w:rtl/>
        </w:rPr>
        <w:tab/>
        <w:t>ويلزم</w:t>
      </w:r>
      <w:r w:rsidR="00DC6C59">
        <w:rPr>
          <w:rtl/>
        </w:rPr>
        <w:t xml:space="preserve"> </w:t>
      </w:r>
      <w:r w:rsidRPr="003520EF">
        <w:rPr>
          <w:rtl/>
        </w:rPr>
        <w:t>تنظيم</w:t>
      </w:r>
      <w:r w:rsidR="00DC6C59">
        <w:rPr>
          <w:rtl/>
        </w:rPr>
        <w:t xml:space="preserve"> </w:t>
      </w:r>
      <w:r w:rsidRPr="003520EF">
        <w:rPr>
          <w:rtl/>
        </w:rPr>
        <w:t>حملات</w:t>
      </w:r>
      <w:r w:rsidR="00DC6C59">
        <w:rPr>
          <w:rtl/>
        </w:rPr>
        <w:t xml:space="preserve"> </w:t>
      </w:r>
      <w:r w:rsidRPr="003520EF">
        <w:rPr>
          <w:rtl/>
        </w:rPr>
        <w:t>توعية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="00DC6C59" w:rsidRPr="005170C9">
        <w:rPr>
          <w:rtl/>
        </w:rPr>
        <w:t>8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تستهدف</w:t>
      </w:r>
      <w:r w:rsidR="00DC6C59">
        <w:rPr>
          <w:rtl/>
        </w:rPr>
        <w:t xml:space="preserve"> </w:t>
      </w:r>
      <w:r w:rsidRPr="003520EF">
        <w:rPr>
          <w:rtl/>
        </w:rPr>
        <w:t>القطاعين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والخاص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وحقوقهم</w:t>
      </w:r>
      <w:r w:rsidR="00DC6C59">
        <w:rPr>
          <w:rtl/>
        </w:rPr>
        <w:t xml:space="preserve"> </w:t>
      </w:r>
      <w:r w:rsidRPr="003520EF">
        <w:rPr>
          <w:rtl/>
        </w:rPr>
        <w:t>لمكافحة</w:t>
      </w:r>
      <w:r w:rsidR="00DC6C59">
        <w:rPr>
          <w:rtl/>
        </w:rPr>
        <w:t xml:space="preserve"> </w:t>
      </w:r>
      <w:r w:rsidRPr="003520EF">
        <w:rPr>
          <w:rtl/>
        </w:rPr>
        <w:t>القوالب</w:t>
      </w:r>
      <w:r w:rsidR="00DC6C59">
        <w:rPr>
          <w:rtl/>
        </w:rPr>
        <w:t xml:space="preserve"> </w:t>
      </w:r>
      <w:r w:rsidRPr="003520EF">
        <w:rPr>
          <w:rtl/>
        </w:rPr>
        <w:t>النمطية</w:t>
      </w:r>
      <w:r w:rsidR="00DC6C59">
        <w:rPr>
          <w:rtl/>
        </w:rPr>
        <w:t xml:space="preserve"> </w:t>
      </w:r>
      <w:r w:rsidRPr="003520EF">
        <w:rPr>
          <w:rtl/>
        </w:rPr>
        <w:t>والتحيزات</w:t>
      </w:r>
      <w:r w:rsidR="00DC6C59">
        <w:rPr>
          <w:rtl/>
        </w:rPr>
        <w:t xml:space="preserve"> </w:t>
      </w:r>
      <w:r w:rsidRPr="003520EF">
        <w:rPr>
          <w:rtl/>
        </w:rPr>
        <w:t>والممارسات</w:t>
      </w:r>
      <w:r w:rsidR="00DC6C59">
        <w:rPr>
          <w:rtl/>
        </w:rPr>
        <w:t xml:space="preserve"> </w:t>
      </w:r>
      <w:r w:rsidRPr="003520EF">
        <w:rPr>
          <w:rtl/>
        </w:rPr>
        <w:t>الضارة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مجالات</w:t>
      </w:r>
      <w:r w:rsidR="00DC6C59">
        <w:rPr>
          <w:rtl/>
        </w:rPr>
        <w:t xml:space="preserve"> </w:t>
      </w:r>
      <w:r w:rsidRPr="003520EF">
        <w:rPr>
          <w:rtl/>
        </w:rPr>
        <w:t>الحياة.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الحملات</w:t>
      </w:r>
      <w:r w:rsidR="00DC6C59">
        <w:rPr>
          <w:rtl/>
        </w:rPr>
        <w:t xml:space="preserve"> </w:t>
      </w:r>
      <w:r w:rsidRPr="003520EF">
        <w:rPr>
          <w:rtl/>
        </w:rPr>
        <w:t>إذكاء</w:t>
      </w:r>
      <w:r w:rsidR="00DC6C59">
        <w:rPr>
          <w:rtl/>
        </w:rPr>
        <w:t xml:space="preserve"> </w:t>
      </w:r>
      <w:r w:rsidRPr="003520EF">
        <w:rPr>
          <w:rtl/>
        </w:rPr>
        <w:t>الوعي</w:t>
      </w:r>
      <w:r w:rsidR="00DC6C59">
        <w:rPr>
          <w:rtl/>
        </w:rPr>
        <w:t xml:space="preserve"> </w:t>
      </w:r>
      <w:r w:rsidRPr="003520EF">
        <w:rPr>
          <w:rtl/>
        </w:rPr>
        <w:t>لمكافحة</w:t>
      </w:r>
      <w:r w:rsidR="00DC6C59">
        <w:rPr>
          <w:rtl/>
        </w:rPr>
        <w:t xml:space="preserve"> </w:t>
      </w:r>
      <w:r w:rsidRPr="003520EF">
        <w:rPr>
          <w:rtl/>
        </w:rPr>
        <w:t>القوالب</w:t>
      </w:r>
      <w:r w:rsidR="00DC6C59">
        <w:rPr>
          <w:rtl/>
        </w:rPr>
        <w:t xml:space="preserve"> </w:t>
      </w:r>
      <w:r w:rsidRPr="003520EF">
        <w:rPr>
          <w:rtl/>
        </w:rPr>
        <w:t>النمطية</w:t>
      </w:r>
      <w:r w:rsidR="00DC6C59">
        <w:rPr>
          <w:rtl/>
        </w:rPr>
        <w:t xml:space="preserve"> </w:t>
      </w:r>
      <w:r w:rsidRPr="003520EF">
        <w:rPr>
          <w:rtl/>
        </w:rPr>
        <w:t>القائمة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افتراضات</w:t>
      </w:r>
      <w:r w:rsidR="00DC6C59">
        <w:rPr>
          <w:rtl/>
        </w:rPr>
        <w:t xml:space="preserve"> </w:t>
      </w:r>
      <w:r w:rsidRPr="003520EF">
        <w:rPr>
          <w:rtl/>
        </w:rPr>
        <w:t>مفادها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بعض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-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المصابين</w:t>
      </w:r>
      <w:r w:rsidR="00DC6C59">
        <w:rPr>
          <w:rtl/>
        </w:rPr>
        <w:t xml:space="preserve"> </w:t>
      </w:r>
      <w:r w:rsidRPr="003520EF">
        <w:rPr>
          <w:rtl/>
        </w:rPr>
        <w:t>بالتوحد</w:t>
      </w:r>
      <w:r w:rsidR="00DC6C59">
        <w:rPr>
          <w:rtl/>
        </w:rPr>
        <w:t xml:space="preserve"> </w:t>
      </w:r>
      <w:r w:rsidRPr="003520EF">
        <w:rPr>
          <w:rtl/>
        </w:rPr>
        <w:t>والصُّم</w:t>
      </w:r>
      <w:r w:rsidR="00DC6C59">
        <w:rPr>
          <w:rtl/>
        </w:rPr>
        <w:t xml:space="preserve"> </w:t>
      </w:r>
      <w:r w:rsidRPr="003520EF">
        <w:rPr>
          <w:rtl/>
        </w:rPr>
        <w:t>والمكفوفين</w:t>
      </w:r>
      <w:r w:rsidR="00DC6C59">
        <w:rPr>
          <w:rtl/>
        </w:rPr>
        <w:t xml:space="preserve"> </w:t>
      </w:r>
      <w:r w:rsidRPr="003520EF">
        <w:rPr>
          <w:rtl/>
        </w:rPr>
        <w:t>والأشخاص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الإعاقات</w:t>
      </w:r>
      <w:r w:rsidR="00DC6C59">
        <w:rPr>
          <w:rtl/>
        </w:rPr>
        <w:t xml:space="preserve"> </w:t>
      </w:r>
      <w:r w:rsidRPr="003520EF">
        <w:rPr>
          <w:rtl/>
        </w:rPr>
        <w:t>النفسية</w:t>
      </w:r>
      <w:r w:rsidR="00DC6C59">
        <w:rPr>
          <w:rtl/>
        </w:rPr>
        <w:t xml:space="preserve"> </w:t>
      </w:r>
      <w:r w:rsidRPr="003520EF">
        <w:rPr>
          <w:rtl/>
        </w:rPr>
        <w:t>الاجتماعية</w:t>
      </w:r>
      <w:r w:rsidR="00DC6C59">
        <w:rPr>
          <w:rtl/>
        </w:rPr>
        <w:t xml:space="preserve"> </w:t>
      </w:r>
      <w:r w:rsidRPr="003520EF">
        <w:rPr>
          <w:rtl/>
        </w:rPr>
        <w:t>وغيرهم</w:t>
      </w:r>
      <w:r w:rsidR="00DC6C59">
        <w:rPr>
          <w:rtl/>
        </w:rPr>
        <w:t xml:space="preserve"> </w:t>
      </w:r>
      <w:r w:rsidRPr="003520EF">
        <w:rPr>
          <w:rtl/>
        </w:rPr>
        <w:t>-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المرجح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يتفاعلوا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زملائهم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المرجح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يكون</w:t>
      </w:r>
      <w:r w:rsidR="00DC6C59">
        <w:rPr>
          <w:rtl/>
        </w:rPr>
        <w:t xml:space="preserve"> </w:t>
      </w:r>
      <w:r w:rsidRPr="003520EF">
        <w:rPr>
          <w:rtl/>
        </w:rPr>
        <w:t>انتباههم</w:t>
      </w:r>
      <w:r w:rsidR="00DC6C59">
        <w:rPr>
          <w:rtl/>
        </w:rPr>
        <w:t xml:space="preserve"> </w:t>
      </w:r>
      <w:r w:rsidRPr="003520EF">
        <w:rPr>
          <w:rtl/>
        </w:rPr>
        <w:t>مشتتا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وبالتالي</w:t>
      </w:r>
      <w:r w:rsidR="00DC6C59">
        <w:rPr>
          <w:rtl/>
        </w:rPr>
        <w:t xml:space="preserve"> </w:t>
      </w:r>
      <w:r w:rsidRPr="003520EF">
        <w:rPr>
          <w:rtl/>
        </w:rPr>
        <w:t>يحتمل</w:t>
      </w:r>
      <w:r w:rsidR="00DC6C59">
        <w:rPr>
          <w:rtl/>
        </w:rPr>
        <w:t xml:space="preserve"> </w:t>
      </w:r>
      <w:r w:rsidRPr="003520EF">
        <w:rPr>
          <w:rtl/>
        </w:rPr>
        <w:t>ألا</w:t>
      </w:r>
      <w:r w:rsidR="00476B81">
        <w:rPr>
          <w:rFonts w:hint="cs"/>
          <w:rtl/>
        </w:rPr>
        <w:t> 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إنتاجيتهم</w:t>
      </w:r>
      <w:r w:rsidR="00DC6C59">
        <w:rPr>
          <w:rtl/>
        </w:rPr>
        <w:t xml:space="preserve"> </w:t>
      </w:r>
      <w:r w:rsidRPr="003520EF">
        <w:rPr>
          <w:rtl/>
        </w:rPr>
        <w:t>أكبر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إنتاجية</w:t>
      </w:r>
      <w:r w:rsidR="00DC6C59">
        <w:rPr>
          <w:rtl/>
        </w:rPr>
        <w:t xml:space="preserve"> </w:t>
      </w:r>
      <w:r w:rsidRPr="003520EF">
        <w:rPr>
          <w:rtl/>
        </w:rPr>
        <w:t>زملائهم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نُظم</w:t>
      </w:r>
      <w:r w:rsidR="00DC6C59">
        <w:rPr>
          <w:rtl/>
        </w:rPr>
        <w:t xml:space="preserve"> </w:t>
      </w:r>
      <w:r w:rsidRPr="003520EF">
        <w:rPr>
          <w:rtl/>
        </w:rPr>
        <w:t>القيم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لمصلحة</w:t>
      </w:r>
      <w:r w:rsidR="00DC6C59">
        <w:rPr>
          <w:rtl/>
        </w:rPr>
        <w:t xml:space="preserve"> </w:t>
      </w:r>
      <w:r w:rsidRPr="003520EF">
        <w:rPr>
          <w:rtl/>
        </w:rPr>
        <w:t>القادرين</w:t>
      </w:r>
      <w:r w:rsidR="00DC6C59">
        <w:rPr>
          <w:rtl/>
        </w:rPr>
        <w:t xml:space="preserve"> </w:t>
      </w:r>
      <w:r w:rsidRPr="003520EF">
        <w:rPr>
          <w:rtl/>
        </w:rPr>
        <w:t>بدنيا</w:t>
      </w:r>
      <w:r w:rsidR="00476B81">
        <w:rPr>
          <w:rFonts w:hint="cs"/>
          <w:rtl/>
        </w:rPr>
        <w:t>ً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والتي</w:t>
      </w:r>
      <w:r w:rsidR="00DC6C59">
        <w:rPr>
          <w:rtl/>
        </w:rPr>
        <w:t xml:space="preserve"> </w:t>
      </w:r>
      <w:r w:rsidRPr="003520EF">
        <w:rPr>
          <w:rtl/>
        </w:rPr>
        <w:t>تستند</w:t>
      </w:r>
      <w:r w:rsidR="00DC6C59">
        <w:rPr>
          <w:rtl/>
        </w:rPr>
        <w:t xml:space="preserve"> </w:t>
      </w:r>
      <w:r w:rsidRPr="003520EF">
        <w:rPr>
          <w:rtl/>
        </w:rPr>
        <w:t>إليها</w:t>
      </w:r>
      <w:r w:rsidR="00DC6C59">
        <w:rPr>
          <w:rtl/>
        </w:rPr>
        <w:t xml:space="preserve"> </w:t>
      </w:r>
      <w:r w:rsidRPr="003520EF">
        <w:rPr>
          <w:rtl/>
        </w:rPr>
        <w:t>التشريعات</w:t>
      </w:r>
      <w:r w:rsidR="00DC6C59">
        <w:rPr>
          <w:rtl/>
        </w:rPr>
        <w:t xml:space="preserve"> </w:t>
      </w:r>
      <w:r w:rsidRPr="003520EF">
        <w:rPr>
          <w:rtl/>
        </w:rPr>
        <w:t>والسياسات</w:t>
      </w:r>
      <w:r w:rsidR="00DC6C59">
        <w:rPr>
          <w:rtl/>
        </w:rPr>
        <w:t xml:space="preserve"> </w:t>
      </w:r>
      <w:r w:rsidRPr="003520EF">
        <w:rPr>
          <w:rtl/>
        </w:rPr>
        <w:t>والممارسات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تؤدي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والتمييز،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القضاء</w:t>
      </w:r>
      <w:r w:rsidR="00DC6C59">
        <w:rPr>
          <w:rtl/>
        </w:rPr>
        <w:t xml:space="preserve"> </w:t>
      </w:r>
      <w:r w:rsidRPr="003520EF">
        <w:rPr>
          <w:rtl/>
        </w:rPr>
        <w:t>عليها.</w:t>
      </w:r>
    </w:p>
    <w:p w14:paraId="185B82F5" w14:textId="6696DA3F" w:rsidR="00DC6C59" w:rsidRPr="00C12E18" w:rsidRDefault="00EC13CA" w:rsidP="00EC13CA">
      <w:pPr>
        <w:pStyle w:val="SingleTxtGA"/>
        <w:rPr>
          <w:spacing w:val="-2"/>
        </w:rPr>
      </w:pPr>
      <w:bookmarkStart w:id="23" w:name="_Hlk110258116"/>
      <w:r w:rsidRPr="005170C9">
        <w:rPr>
          <w:spacing w:val="-2"/>
          <w:rtl/>
        </w:rPr>
        <w:lastRenderedPageBreak/>
        <w:t>70</w:t>
      </w:r>
      <w:r w:rsidRPr="00C12E18">
        <w:rPr>
          <w:spacing w:val="-2"/>
          <w:rtl/>
        </w:rPr>
        <w:t>-</w:t>
      </w:r>
      <w:r w:rsidRPr="00C12E18">
        <w:rPr>
          <w:spacing w:val="-2"/>
          <w:rtl/>
        </w:rPr>
        <w:tab/>
        <w:t>ولا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يمكن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يتمتعوا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تمتعا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فعليا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بحقهم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والعمالة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قدم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المساواة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الآخرين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غياب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إمكانية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الوصول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(المادة</w:t>
      </w:r>
      <w:r w:rsidR="00DC6C59" w:rsidRPr="00C12E18">
        <w:rPr>
          <w:spacing w:val="-2"/>
          <w:rtl/>
        </w:rPr>
        <w:t xml:space="preserve"> </w:t>
      </w:r>
      <w:r w:rsidR="00DC6C59" w:rsidRPr="005170C9">
        <w:rPr>
          <w:spacing w:val="-2"/>
          <w:rtl/>
        </w:rPr>
        <w:t>9</w:t>
      </w:r>
      <w:r w:rsidR="00DC6C59" w:rsidRPr="00C12E18">
        <w:rPr>
          <w:spacing w:val="-2"/>
          <w:rtl/>
        </w:rPr>
        <w:t xml:space="preserve">) </w:t>
      </w:r>
      <w:r w:rsidRPr="00C12E18">
        <w:rPr>
          <w:spacing w:val="-2"/>
          <w:rtl/>
        </w:rPr>
        <w:t>والتنقل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الشخصي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(المادة</w:t>
      </w:r>
      <w:r w:rsidR="00DC6C59" w:rsidRPr="00C12E18">
        <w:rPr>
          <w:spacing w:val="-2"/>
          <w:rtl/>
        </w:rPr>
        <w:t xml:space="preserve"> </w:t>
      </w:r>
      <w:r w:rsidRPr="005170C9">
        <w:rPr>
          <w:spacing w:val="-2"/>
          <w:rtl/>
        </w:rPr>
        <w:t>2</w:t>
      </w:r>
      <w:r w:rsidR="00DC6C59" w:rsidRPr="005170C9">
        <w:rPr>
          <w:spacing w:val="-2"/>
          <w:rtl/>
        </w:rPr>
        <w:t>0</w:t>
      </w:r>
      <w:r w:rsidR="00DC6C59" w:rsidRPr="00C12E18">
        <w:rPr>
          <w:spacing w:val="-2"/>
          <w:rtl/>
        </w:rPr>
        <w:t xml:space="preserve">) </w:t>
      </w:r>
      <w:r w:rsidRPr="00C12E18">
        <w:rPr>
          <w:spacing w:val="-2"/>
          <w:rtl/>
        </w:rPr>
        <w:t>طوال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دورة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العمالة،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سواء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مكان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الأنشطة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النقابية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خلال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خدمات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النقل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والدعم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يمكن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الوصول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إليها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لبلوغ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مكان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عملهم.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وينبغي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إتاحة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إمكانية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الوصول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جميع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المعلومات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المتعلقة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والعمالة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خلال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الاستعانة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بلغة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الإشارة،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ولغة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برايل،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والصيغ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السهلة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القراءة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والفهم،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والأشكال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الإلكترونية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الميسرة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الاستعمال،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والكتابة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البديلة،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وأساليب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الاتصال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المعززة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البديلة،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وغير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ذلك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وسائل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وأشكال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التواصل</w:t>
      </w:r>
      <w:r w:rsidR="00DC6C59" w:rsidRPr="005170C9">
        <w:rPr>
          <w:spacing w:val="-2"/>
          <w:vertAlign w:val="superscript"/>
          <w:rtl/>
        </w:rPr>
        <w:t>(</w:t>
      </w:r>
      <w:bookmarkEnd w:id="23"/>
      <w:r w:rsidR="00DC6C59" w:rsidRPr="005170C9">
        <w:rPr>
          <w:spacing w:val="-2"/>
          <w:vertAlign w:val="superscript"/>
          <w:lang w:val="en-US"/>
        </w:rPr>
        <w:footnoteReference w:id="59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rFonts w:hint="cs"/>
          <w:spacing w:val="-2"/>
          <w:rtl/>
        </w:rPr>
        <w:t>.</w:t>
      </w:r>
    </w:p>
    <w:p w14:paraId="2442CCDE" w14:textId="143F4F3F" w:rsidR="00DC6C59" w:rsidRPr="00DC6C59" w:rsidRDefault="00EC13CA" w:rsidP="00EC13CA">
      <w:pPr>
        <w:pStyle w:val="SingleTxtGA"/>
      </w:pPr>
      <w:r w:rsidRPr="005170C9">
        <w:rPr>
          <w:rtl/>
        </w:rPr>
        <w:t>71</w:t>
      </w:r>
      <w:r w:rsidRPr="003520EF">
        <w:rPr>
          <w:rtl/>
        </w:rPr>
        <w:t>-</w:t>
      </w:r>
      <w:r w:rsidRPr="003520EF">
        <w:rPr>
          <w:rtl/>
        </w:rPr>
        <w:tab/>
        <w:t>وللأشخاص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الاعتراف</w:t>
      </w:r>
      <w:r w:rsidR="00DC6C59">
        <w:rPr>
          <w:rtl/>
        </w:rPr>
        <w:t xml:space="preserve"> </w:t>
      </w:r>
      <w:r w:rsidRPr="003520EF">
        <w:rPr>
          <w:rtl/>
        </w:rPr>
        <w:t>بهم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كل</w:t>
      </w:r>
      <w:r w:rsidR="00DC6C59">
        <w:rPr>
          <w:rtl/>
        </w:rPr>
        <w:t xml:space="preserve"> </w:t>
      </w:r>
      <w:r w:rsidRPr="003520EF">
        <w:rPr>
          <w:rtl/>
        </w:rPr>
        <w:t>مكان</w:t>
      </w:r>
      <w:r w:rsidR="00DC6C59">
        <w:rPr>
          <w:rtl/>
        </w:rPr>
        <w:t xml:space="preserve"> </w:t>
      </w:r>
      <w:r w:rsidRPr="003520EF">
        <w:rPr>
          <w:rtl/>
        </w:rPr>
        <w:t>كأشخاص</w:t>
      </w:r>
      <w:r w:rsidR="00DC6C59">
        <w:rPr>
          <w:rtl/>
        </w:rPr>
        <w:t xml:space="preserve"> </w:t>
      </w:r>
      <w:r w:rsidRPr="003520EF">
        <w:rPr>
          <w:rtl/>
        </w:rPr>
        <w:t>أمام</w:t>
      </w:r>
      <w:r w:rsidR="00DC6C59">
        <w:rPr>
          <w:rtl/>
        </w:rPr>
        <w:t xml:space="preserve"> </w:t>
      </w:r>
      <w:r w:rsidRPr="003520EF">
        <w:rPr>
          <w:rtl/>
        </w:rPr>
        <w:t>القانون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C12E18">
        <w:rPr>
          <w:rFonts w:hint="cs"/>
          <w:rtl/>
        </w:rPr>
        <w:t> </w:t>
      </w:r>
      <w:r w:rsidRPr="005170C9">
        <w:rPr>
          <w:rtl/>
        </w:rPr>
        <w:t>12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ويتمتعون</w:t>
      </w:r>
      <w:r w:rsidR="00DC6C59">
        <w:rPr>
          <w:rtl/>
        </w:rPr>
        <w:t xml:space="preserve"> </w:t>
      </w:r>
      <w:r w:rsidRPr="003520EF">
        <w:rPr>
          <w:rtl/>
        </w:rPr>
        <w:t>بالأهلية</w:t>
      </w:r>
      <w:r w:rsidR="00DC6C59">
        <w:rPr>
          <w:rtl/>
        </w:rPr>
        <w:t xml:space="preserve"> </w:t>
      </w:r>
      <w:r w:rsidRPr="003520EF">
        <w:rPr>
          <w:rtl/>
        </w:rPr>
        <w:t>القانونية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جوانب</w:t>
      </w:r>
      <w:r w:rsidR="00DC6C59">
        <w:rPr>
          <w:rtl/>
        </w:rPr>
        <w:t xml:space="preserve"> </w:t>
      </w:r>
      <w:r w:rsidRPr="003520EF">
        <w:rPr>
          <w:rtl/>
        </w:rPr>
        <w:t>الحياة،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ممارسة</w:t>
      </w:r>
      <w:r w:rsidR="00DC6C59">
        <w:rPr>
          <w:rtl/>
        </w:rPr>
        <w:t xml:space="preserve"> </w:t>
      </w:r>
      <w:r w:rsidRPr="003520EF">
        <w:rPr>
          <w:rtl/>
        </w:rPr>
        <w:t>الأهلية</w:t>
      </w:r>
      <w:r w:rsidR="00DC6C59">
        <w:rPr>
          <w:rtl/>
        </w:rPr>
        <w:t xml:space="preserve"> </w:t>
      </w:r>
      <w:r w:rsidRPr="003520EF">
        <w:rPr>
          <w:rtl/>
        </w:rPr>
        <w:t>القانونية</w:t>
      </w:r>
      <w:r w:rsidR="00DC6C59">
        <w:rPr>
          <w:rtl/>
        </w:rPr>
        <w:t xml:space="preserve"> </w:t>
      </w:r>
      <w:r w:rsidRPr="003520EF">
        <w:rPr>
          <w:rtl/>
        </w:rPr>
        <w:t>طوال</w:t>
      </w:r>
      <w:r w:rsidR="00DC6C59">
        <w:rPr>
          <w:rtl/>
        </w:rPr>
        <w:t xml:space="preserve"> </w:t>
      </w:r>
      <w:r w:rsidRPr="003520EF">
        <w:rPr>
          <w:rtl/>
        </w:rPr>
        <w:t>دورة</w:t>
      </w:r>
      <w:r w:rsidR="00DC6C59">
        <w:rPr>
          <w:rtl/>
        </w:rPr>
        <w:t xml:space="preserve"> </w:t>
      </w:r>
      <w:r w:rsidRPr="003520EF">
        <w:rPr>
          <w:rtl/>
        </w:rPr>
        <w:t>العمالة،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سيما</w:t>
      </w:r>
      <w:r w:rsidR="00DC6C59">
        <w:rPr>
          <w:rtl/>
        </w:rPr>
        <w:t xml:space="preserve"> </w:t>
      </w:r>
      <w:r w:rsidRPr="003520EF">
        <w:rPr>
          <w:rtl/>
        </w:rPr>
        <w:t>عند</w:t>
      </w:r>
      <w:r w:rsidR="00DC6C59">
        <w:rPr>
          <w:rtl/>
        </w:rPr>
        <w:t xml:space="preserve"> </w:t>
      </w:r>
      <w:r w:rsidRPr="003520EF">
        <w:rPr>
          <w:rtl/>
        </w:rPr>
        <w:t>الدخول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علاقة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(عن</w:t>
      </w:r>
      <w:r w:rsidR="00DC6C59">
        <w:rPr>
          <w:rtl/>
        </w:rPr>
        <w:t xml:space="preserve"> </w:t>
      </w:r>
      <w:r w:rsidRPr="003520EF">
        <w:rPr>
          <w:rtl/>
        </w:rPr>
        <w:t>طريق</w:t>
      </w:r>
      <w:r w:rsidR="00DC6C59">
        <w:rPr>
          <w:rtl/>
        </w:rPr>
        <w:t xml:space="preserve"> </w:t>
      </w:r>
      <w:r w:rsidRPr="003520EF">
        <w:rPr>
          <w:rtl/>
        </w:rPr>
        <w:t>عقد</w:t>
      </w:r>
      <w:r w:rsidR="00DC6C59">
        <w:rPr>
          <w:rtl/>
        </w:rPr>
        <w:t xml:space="preserve"> </w:t>
      </w:r>
      <w:r w:rsidRPr="003520EF">
        <w:rPr>
          <w:rtl/>
        </w:rPr>
        <w:t>رسمي،</w:t>
      </w:r>
      <w:r w:rsidR="00DC6C59">
        <w:rPr>
          <w:rtl/>
        </w:rPr>
        <w:t xml:space="preserve"> </w:t>
      </w:r>
      <w:r w:rsidRPr="003520EF">
        <w:rPr>
          <w:rtl/>
        </w:rPr>
        <w:t>مثلا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وللحصول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التمويل،</w:t>
      </w:r>
      <w:r w:rsidR="00DC6C59">
        <w:rPr>
          <w:rtl/>
        </w:rPr>
        <w:t xml:space="preserve"> </w:t>
      </w:r>
      <w:r w:rsidRPr="003520EF">
        <w:rPr>
          <w:rtl/>
        </w:rPr>
        <w:t>الائتمان</w:t>
      </w:r>
      <w:r w:rsidR="00DC6C59">
        <w:rPr>
          <w:rtl/>
        </w:rPr>
        <w:t xml:space="preserve"> </w:t>
      </w:r>
      <w:r w:rsidRPr="003520EF">
        <w:rPr>
          <w:rtl/>
        </w:rPr>
        <w:t>والتأمين.</w:t>
      </w:r>
      <w:r w:rsidR="00DC6C59">
        <w:rPr>
          <w:rtl/>
        </w:rPr>
        <w:t xml:space="preserve"> </w:t>
      </w:r>
      <w:r w:rsidRPr="003520EF">
        <w:rPr>
          <w:rtl/>
        </w:rPr>
        <w:t>ويمكن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يشمل</w:t>
      </w:r>
      <w:r w:rsidR="00DC6C59">
        <w:rPr>
          <w:rtl/>
        </w:rPr>
        <w:t xml:space="preserve"> </w:t>
      </w:r>
      <w:r w:rsidRPr="003520EF">
        <w:rPr>
          <w:rtl/>
        </w:rPr>
        <w:t>تقديم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>
        <w:rPr>
          <w:rtl/>
        </w:rPr>
        <w:t xml:space="preserve"> </w:t>
      </w:r>
      <w:r w:rsidRPr="003520EF">
        <w:rPr>
          <w:rtl/>
        </w:rPr>
        <w:t>لممارسة</w:t>
      </w:r>
      <w:r w:rsidR="00DC6C59">
        <w:rPr>
          <w:rtl/>
        </w:rPr>
        <w:t xml:space="preserve"> </w:t>
      </w:r>
      <w:r w:rsidRPr="003520EF">
        <w:rPr>
          <w:rtl/>
        </w:rPr>
        <w:t>الأهلية</w:t>
      </w:r>
      <w:r w:rsidR="00DC6C59">
        <w:rPr>
          <w:rtl/>
        </w:rPr>
        <w:t xml:space="preserve"> </w:t>
      </w:r>
      <w:r w:rsidRPr="003520EF">
        <w:rPr>
          <w:rtl/>
        </w:rPr>
        <w:t>القانونية</w:t>
      </w:r>
      <w:r w:rsidR="00DC6C59">
        <w:rPr>
          <w:rtl/>
        </w:rPr>
        <w:t xml:space="preserve"> </w:t>
      </w:r>
      <w:r w:rsidRPr="003520EF">
        <w:rPr>
          <w:rtl/>
        </w:rPr>
        <w:t>دعم</w:t>
      </w:r>
      <w:r w:rsidR="00DC6C59">
        <w:rPr>
          <w:rtl/>
        </w:rPr>
        <w:t xml:space="preserve"> </w:t>
      </w:r>
      <w:r w:rsidRPr="003520EF">
        <w:rPr>
          <w:rtl/>
        </w:rPr>
        <w:t>اتخاذ</w:t>
      </w:r>
      <w:r w:rsidR="00DC6C59">
        <w:rPr>
          <w:rtl/>
        </w:rPr>
        <w:t xml:space="preserve"> </w:t>
      </w:r>
      <w:r w:rsidRPr="003520EF">
        <w:rPr>
          <w:rtl/>
        </w:rPr>
        <w:t>القرارات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0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</w:p>
    <w:p w14:paraId="016B0330" w14:textId="7ED40C09" w:rsidR="00EC13CA" w:rsidRPr="003520EF" w:rsidRDefault="00EC13CA" w:rsidP="00EC13CA">
      <w:pPr>
        <w:pStyle w:val="SingleTxtGA"/>
      </w:pPr>
      <w:r w:rsidRPr="005170C9">
        <w:rPr>
          <w:rtl/>
        </w:rPr>
        <w:t>72</w:t>
      </w:r>
      <w:r w:rsidRPr="003520EF">
        <w:rPr>
          <w:rtl/>
        </w:rPr>
        <w:t>-</w:t>
      </w:r>
      <w:r w:rsidRPr="003520EF">
        <w:rPr>
          <w:rtl/>
        </w:rPr>
        <w:tab/>
        <w:t>ويحق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اللجوء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القضاء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1</w:t>
      </w:r>
      <w:r w:rsidR="00DC6C59" w:rsidRPr="005170C9">
        <w:rPr>
          <w:rtl/>
        </w:rPr>
        <w:t>3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بجميع</w:t>
      </w:r>
      <w:r w:rsidR="00DC6C59">
        <w:rPr>
          <w:rtl/>
        </w:rPr>
        <w:t xml:space="preserve"> </w:t>
      </w:r>
      <w:r w:rsidRPr="003520EF">
        <w:rPr>
          <w:rtl/>
        </w:rPr>
        <w:t>مجالات</w:t>
      </w:r>
      <w:r w:rsidR="00DC6C59">
        <w:rPr>
          <w:rtl/>
        </w:rPr>
        <w:t xml:space="preserve"> </w:t>
      </w:r>
      <w:r w:rsidRPr="003520EF">
        <w:rPr>
          <w:rtl/>
        </w:rPr>
        <w:t>قانون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بالعلاقات</w:t>
      </w:r>
      <w:r w:rsidR="00DC6C59">
        <w:rPr>
          <w:rtl/>
        </w:rPr>
        <w:t xml:space="preserve"> </w:t>
      </w:r>
      <w:r w:rsidRPr="003520EF">
        <w:rPr>
          <w:rtl/>
        </w:rPr>
        <w:t>المهنية</w:t>
      </w:r>
      <w:r w:rsidR="00DC6C59">
        <w:rPr>
          <w:rtl/>
        </w:rPr>
        <w:t xml:space="preserve"> </w:t>
      </w:r>
      <w:r w:rsidRPr="003520EF">
        <w:rPr>
          <w:rtl/>
        </w:rPr>
        <w:t>ومطالبات</w:t>
      </w:r>
      <w:r w:rsidR="00DC6C59">
        <w:rPr>
          <w:rtl/>
        </w:rPr>
        <w:t xml:space="preserve"> </w:t>
      </w:r>
      <w:r w:rsidRPr="003520EF">
        <w:rPr>
          <w:rtl/>
        </w:rPr>
        <w:t>التعويض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الإصابات</w:t>
      </w:r>
      <w:r w:rsidR="00DC6C59">
        <w:rPr>
          <w:rtl/>
        </w:rPr>
        <w:t xml:space="preserve"> </w:t>
      </w:r>
      <w:r w:rsidRPr="003520EF">
        <w:rPr>
          <w:rtl/>
        </w:rPr>
        <w:t>المتصلة</w:t>
      </w:r>
      <w:r w:rsidR="00DC6C59">
        <w:rPr>
          <w:rtl/>
        </w:rPr>
        <w:t xml:space="preserve"> </w:t>
      </w:r>
      <w:r w:rsidRPr="003520EF">
        <w:rPr>
          <w:rtl/>
        </w:rPr>
        <w:t>بالعمل.</w:t>
      </w:r>
      <w:r w:rsidR="00DC6C59">
        <w:rPr>
          <w:rtl/>
        </w:rPr>
        <w:t xml:space="preserve"> </w:t>
      </w:r>
    </w:p>
    <w:p w14:paraId="0165EC55" w14:textId="75AA45C6" w:rsidR="00EC13CA" w:rsidRPr="003520EF" w:rsidRDefault="00EC13CA" w:rsidP="00EC13CA">
      <w:pPr>
        <w:pStyle w:val="SingleTxtGA"/>
      </w:pPr>
      <w:r w:rsidRPr="005170C9">
        <w:rPr>
          <w:rtl/>
        </w:rPr>
        <w:t>73</w:t>
      </w:r>
      <w:r w:rsidRPr="003520EF">
        <w:rPr>
          <w:rtl/>
        </w:rPr>
        <w:t>-</w:t>
      </w:r>
      <w:r w:rsidRPr="003520EF">
        <w:rPr>
          <w:rtl/>
        </w:rPr>
        <w:tab/>
        <w:t>وللأشخاص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الاختيار</w:t>
      </w:r>
      <w:r w:rsidR="00DC6C59">
        <w:rPr>
          <w:rtl/>
        </w:rPr>
        <w:t xml:space="preserve"> </w:t>
      </w:r>
      <w:r w:rsidRPr="003520EF">
        <w:rPr>
          <w:rtl/>
        </w:rPr>
        <w:t>والموافقة</w:t>
      </w:r>
      <w:r w:rsidR="00DC6C59">
        <w:rPr>
          <w:rtl/>
        </w:rPr>
        <w:t xml:space="preserve"> </w:t>
      </w:r>
      <w:r w:rsidRPr="003520EF">
        <w:rPr>
          <w:rtl/>
        </w:rPr>
        <w:t>وعدم</w:t>
      </w:r>
      <w:r w:rsidR="00DC6C59">
        <w:rPr>
          <w:rtl/>
        </w:rPr>
        <w:t xml:space="preserve"> </w:t>
      </w:r>
      <w:r w:rsidRPr="003520EF">
        <w:rPr>
          <w:rtl/>
        </w:rPr>
        <w:t>التعرض</w:t>
      </w:r>
      <w:r w:rsidR="00DC6C59">
        <w:rPr>
          <w:rtl/>
        </w:rPr>
        <w:t xml:space="preserve"> </w:t>
      </w:r>
      <w:r w:rsidRPr="003520EF">
        <w:rPr>
          <w:rtl/>
        </w:rPr>
        <w:t>للإكراه.</w:t>
      </w:r>
      <w:r w:rsidR="00DC6C59">
        <w:rPr>
          <w:rtl/>
        </w:rPr>
        <w:t xml:space="preserve"> </w:t>
      </w:r>
      <w:r w:rsidRPr="003520EF">
        <w:rPr>
          <w:rtl/>
        </w:rPr>
        <w:t>وينبع</w:t>
      </w:r>
      <w:r w:rsidR="00DC6C59">
        <w:rPr>
          <w:rtl/>
        </w:rPr>
        <w:t xml:space="preserve"> </w:t>
      </w:r>
      <w:r w:rsidRPr="003520EF">
        <w:rPr>
          <w:rtl/>
        </w:rPr>
        <w:t>خطر</w:t>
      </w:r>
      <w:r w:rsidR="00DC6C59">
        <w:rPr>
          <w:rtl/>
        </w:rPr>
        <w:t xml:space="preserve"> </w:t>
      </w:r>
      <w:r w:rsidRPr="003520EF">
        <w:rPr>
          <w:rtl/>
        </w:rPr>
        <w:t>الإكراه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يواجهون</w:t>
      </w:r>
      <w:r w:rsidR="00DC6C59">
        <w:rPr>
          <w:rtl/>
        </w:rPr>
        <w:t xml:space="preserve"> </w:t>
      </w:r>
      <w:r w:rsidRPr="003520EF">
        <w:rPr>
          <w:rtl/>
        </w:rPr>
        <w:t>حواجز</w:t>
      </w:r>
      <w:r w:rsidR="00DC6C59">
        <w:rPr>
          <w:rtl/>
        </w:rPr>
        <w:t xml:space="preserve"> </w:t>
      </w:r>
      <w:r w:rsidRPr="003520EF">
        <w:rPr>
          <w:rtl/>
        </w:rPr>
        <w:t>اجتماعية</w:t>
      </w:r>
      <w:r w:rsidR="00DC6C59">
        <w:rPr>
          <w:rtl/>
        </w:rPr>
        <w:t xml:space="preserve"> </w:t>
      </w:r>
      <w:r w:rsidRPr="003520EF">
        <w:rPr>
          <w:rtl/>
        </w:rPr>
        <w:t>وبيئية</w:t>
      </w:r>
      <w:r w:rsidR="00DC6C59">
        <w:rPr>
          <w:rtl/>
        </w:rPr>
        <w:t xml:space="preserve"> </w:t>
      </w:r>
      <w:r w:rsidRPr="003520EF">
        <w:rPr>
          <w:rtl/>
        </w:rPr>
        <w:t>أكبر</w:t>
      </w:r>
      <w:r w:rsidR="00DC6C59">
        <w:rPr>
          <w:rtl/>
        </w:rPr>
        <w:t xml:space="preserve"> </w:t>
      </w:r>
      <w:r w:rsidRPr="003520EF">
        <w:rPr>
          <w:rtl/>
        </w:rPr>
        <w:t>تؤدي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زيادة</w:t>
      </w:r>
      <w:r w:rsidR="00DC6C59">
        <w:rPr>
          <w:rtl/>
        </w:rPr>
        <w:t xml:space="preserve"> </w:t>
      </w:r>
      <w:r w:rsidRPr="003520EF">
        <w:rPr>
          <w:rtl/>
        </w:rPr>
        <w:t>ضعفهم،</w:t>
      </w:r>
      <w:r w:rsidR="00DC6C59">
        <w:rPr>
          <w:rtl/>
        </w:rPr>
        <w:t xml:space="preserve"> </w:t>
      </w:r>
      <w:r w:rsidRPr="003520EF">
        <w:rPr>
          <w:rtl/>
        </w:rPr>
        <w:t>كما</w:t>
      </w:r>
      <w:r w:rsidR="00476B81">
        <w:rPr>
          <w:rFonts w:hint="cs"/>
          <w:rtl/>
        </w:rPr>
        <w:t> </w:t>
      </w:r>
      <w:r w:rsidRPr="003520EF">
        <w:rPr>
          <w:rtl/>
        </w:rPr>
        <w:t>يواجهون</w:t>
      </w:r>
      <w:r w:rsidR="00DC6C59">
        <w:rPr>
          <w:rtl/>
        </w:rPr>
        <w:t xml:space="preserve"> </w:t>
      </w:r>
      <w:r w:rsidRPr="003520EF">
        <w:rPr>
          <w:rtl/>
        </w:rPr>
        <w:t>انعدام</w:t>
      </w:r>
      <w:r w:rsidR="00DC6C59">
        <w:rPr>
          <w:rtl/>
        </w:rPr>
        <w:t xml:space="preserve"> </w:t>
      </w:r>
      <w:r w:rsidRPr="003520EF">
        <w:rPr>
          <w:rtl/>
        </w:rPr>
        <w:t>بدائل</w:t>
      </w:r>
      <w:r w:rsidR="00DC6C59">
        <w:rPr>
          <w:rtl/>
        </w:rPr>
        <w:t xml:space="preserve"> </w:t>
      </w:r>
      <w:r w:rsidRPr="003520EF">
        <w:rPr>
          <w:rtl/>
        </w:rPr>
        <w:t>مجدية،</w:t>
      </w:r>
      <w:r w:rsidR="00DC6C59">
        <w:rPr>
          <w:rtl/>
        </w:rPr>
        <w:t xml:space="preserve"> </w:t>
      </w:r>
      <w:r w:rsidRPr="003520EF">
        <w:rPr>
          <w:rtl/>
        </w:rPr>
        <w:t>وقيام</w:t>
      </w:r>
      <w:r w:rsidR="00DC6C59">
        <w:rPr>
          <w:rtl/>
        </w:rPr>
        <w:t xml:space="preserve"> </w:t>
      </w:r>
      <w:r w:rsidRPr="003520EF">
        <w:rPr>
          <w:rtl/>
        </w:rPr>
        <w:t>علاقات</w:t>
      </w:r>
      <w:r w:rsidR="00DC6C59">
        <w:rPr>
          <w:rtl/>
        </w:rPr>
        <w:t xml:space="preserve"> </w:t>
      </w:r>
      <w:r w:rsidRPr="003520EF">
        <w:rPr>
          <w:rtl/>
        </w:rPr>
        <w:t>التبعية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احتمال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تصبح</w:t>
      </w:r>
      <w:r w:rsidR="00DC6C59">
        <w:rPr>
          <w:rtl/>
        </w:rPr>
        <w:t xml:space="preserve"> </w:t>
      </w:r>
      <w:r w:rsidRPr="003520EF">
        <w:rPr>
          <w:rtl/>
        </w:rPr>
        <w:t>الرعاية</w:t>
      </w:r>
      <w:r w:rsidR="00DC6C59">
        <w:rPr>
          <w:rtl/>
        </w:rPr>
        <w:t xml:space="preserve"> </w:t>
      </w:r>
      <w:r w:rsidRPr="003520EF">
        <w:rPr>
          <w:rtl/>
        </w:rPr>
        <w:t>استغلالية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476B81">
        <w:rPr>
          <w:rFonts w:hint="cs"/>
          <w:rtl/>
        </w:rPr>
        <w:t> </w:t>
      </w:r>
      <w:r w:rsidRPr="005170C9">
        <w:rPr>
          <w:rtl/>
        </w:rPr>
        <w:t>1</w:t>
      </w:r>
      <w:r w:rsidR="00DC6C59" w:rsidRPr="005170C9">
        <w:rPr>
          <w:rtl/>
        </w:rPr>
        <w:t>6</w:t>
      </w:r>
      <w:r w:rsidR="00DC6C59" w:rsidRPr="00DC6C59">
        <w:rPr>
          <w:rtl/>
        </w:rPr>
        <w:t>).</w:t>
      </w:r>
      <w:r w:rsidR="00DC6C59">
        <w:rPr>
          <w:rtl/>
        </w:rPr>
        <w:t xml:space="preserve"> </w:t>
      </w:r>
      <w:r w:rsidRPr="003520EF">
        <w:rPr>
          <w:rtl/>
        </w:rPr>
        <w:t>ويكتسي</w:t>
      </w:r>
      <w:r w:rsidR="00DC6C59">
        <w:rPr>
          <w:rtl/>
        </w:rPr>
        <w:t xml:space="preserve"> </w:t>
      </w:r>
      <w:r w:rsidRPr="003520EF">
        <w:rPr>
          <w:rtl/>
        </w:rPr>
        <w:t>أهمية</w:t>
      </w:r>
      <w:r w:rsidR="00DC6C59">
        <w:rPr>
          <w:rtl/>
        </w:rPr>
        <w:t xml:space="preserve"> </w:t>
      </w:r>
      <w:r w:rsidRPr="003520EF">
        <w:rPr>
          <w:rtl/>
        </w:rPr>
        <w:t>بالغة</w:t>
      </w:r>
      <w:r w:rsidR="00DC6C59">
        <w:rPr>
          <w:rtl/>
        </w:rPr>
        <w:t xml:space="preserve"> </w:t>
      </w:r>
      <w:r w:rsidRPr="003520EF">
        <w:rPr>
          <w:rtl/>
        </w:rPr>
        <w:t>فهم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إذا</w:t>
      </w:r>
      <w:r w:rsidR="00DC6C59">
        <w:rPr>
          <w:rtl/>
        </w:rPr>
        <w:t xml:space="preserve"> </w:t>
      </w:r>
      <w:r w:rsidRPr="003520EF">
        <w:rPr>
          <w:rtl/>
        </w:rPr>
        <w:t>كانت</w:t>
      </w:r>
      <w:r w:rsidR="00DC6C59">
        <w:rPr>
          <w:rtl/>
        </w:rPr>
        <w:t xml:space="preserve"> </w:t>
      </w:r>
      <w:r w:rsidRPr="003520EF">
        <w:rPr>
          <w:rtl/>
        </w:rPr>
        <w:t>الموافقة</w:t>
      </w:r>
      <w:r w:rsidR="00DC6C59">
        <w:rPr>
          <w:rtl/>
        </w:rPr>
        <w:t xml:space="preserve"> </w:t>
      </w:r>
      <w:r w:rsidRPr="003520EF">
        <w:rPr>
          <w:rtl/>
        </w:rPr>
        <w:t>قد</w:t>
      </w:r>
      <w:r w:rsidR="00DC6C59">
        <w:rPr>
          <w:rtl/>
        </w:rPr>
        <w:t xml:space="preserve"> </w:t>
      </w:r>
      <w:r w:rsidRPr="003520EF">
        <w:rPr>
          <w:rtl/>
        </w:rPr>
        <w:t>أعطيت.</w:t>
      </w:r>
      <w:r w:rsidR="00DC6C59">
        <w:rPr>
          <w:rtl/>
        </w:rPr>
        <w:t xml:space="preserve"> </w:t>
      </w:r>
      <w:r w:rsidRPr="003520EF">
        <w:rPr>
          <w:rtl/>
        </w:rPr>
        <w:t>وكما</w:t>
      </w:r>
      <w:r w:rsidR="00DC6C59">
        <w:rPr>
          <w:rtl/>
        </w:rPr>
        <w:t xml:space="preserve"> </w:t>
      </w:r>
      <w:r w:rsidRPr="003520EF">
        <w:rPr>
          <w:rtl/>
        </w:rPr>
        <w:t>ذُكر</w:t>
      </w:r>
      <w:r w:rsidR="00DC6C59">
        <w:rPr>
          <w:rtl/>
        </w:rPr>
        <w:t xml:space="preserve"> </w:t>
      </w:r>
      <w:r w:rsidRPr="003520EF">
        <w:rPr>
          <w:rtl/>
        </w:rPr>
        <w:t>أعلاه،</w:t>
      </w:r>
      <w:r w:rsidR="00DC6C59">
        <w:rPr>
          <w:rtl/>
        </w:rPr>
        <w:t xml:space="preserve"> </w:t>
      </w:r>
      <w:r w:rsidRPr="003520EF">
        <w:rPr>
          <w:rtl/>
        </w:rPr>
        <w:t>حتى</w:t>
      </w:r>
      <w:r w:rsidR="00DC6C59">
        <w:rPr>
          <w:rtl/>
        </w:rPr>
        <w:t xml:space="preserve"> </w:t>
      </w:r>
      <w:r w:rsidRPr="003520EF">
        <w:rPr>
          <w:rtl/>
        </w:rPr>
        <w:t>عندما</w:t>
      </w:r>
      <w:r w:rsidR="00DC6C59">
        <w:rPr>
          <w:rtl/>
        </w:rPr>
        <w:t xml:space="preserve"> </w:t>
      </w:r>
      <w:r w:rsidRPr="003520EF">
        <w:rPr>
          <w:rtl/>
        </w:rPr>
        <w:t>تعطى</w:t>
      </w:r>
      <w:r w:rsidR="00DC6C59">
        <w:rPr>
          <w:rtl/>
        </w:rPr>
        <w:t xml:space="preserve"> </w:t>
      </w:r>
      <w:r w:rsidRPr="003520EF">
        <w:rPr>
          <w:rtl/>
        </w:rPr>
        <w:t>الموافقة،</w:t>
      </w:r>
      <w:r w:rsidR="00DC6C59">
        <w:rPr>
          <w:rtl/>
        </w:rPr>
        <w:t xml:space="preserve"> </w:t>
      </w:r>
      <w:r w:rsidRPr="003520EF">
        <w:rPr>
          <w:rtl/>
        </w:rPr>
        <w:t>يجب</w:t>
      </w:r>
      <w:r w:rsidR="00DC6C59">
        <w:rPr>
          <w:rtl/>
        </w:rPr>
        <w:t xml:space="preserve"> </w:t>
      </w:r>
      <w:r w:rsidRPr="003520EF">
        <w:rPr>
          <w:rtl/>
        </w:rPr>
        <w:t>النظر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الإكراه</w:t>
      </w:r>
      <w:r w:rsidR="00DC6C59">
        <w:rPr>
          <w:rtl/>
        </w:rPr>
        <w:t xml:space="preserve"> </w:t>
      </w:r>
      <w:r w:rsidRPr="003520EF">
        <w:rPr>
          <w:rtl/>
        </w:rPr>
        <w:t>والاستغلال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سياقهما</w:t>
      </w:r>
      <w:r w:rsidR="00DC6C59">
        <w:rPr>
          <w:rtl/>
        </w:rPr>
        <w:t xml:space="preserve"> </w:t>
      </w:r>
      <w:r w:rsidRPr="003520EF">
        <w:rPr>
          <w:rtl/>
        </w:rPr>
        <w:t>الواسع</w:t>
      </w:r>
      <w:r w:rsidR="00DC6C59">
        <w:rPr>
          <w:rtl/>
        </w:rPr>
        <w:t xml:space="preserve"> </w:t>
      </w:r>
      <w:r w:rsidRPr="003520EF">
        <w:rPr>
          <w:rtl/>
        </w:rPr>
        <w:t>وفي</w:t>
      </w:r>
      <w:r w:rsidR="00DC6C59">
        <w:rPr>
          <w:rtl/>
        </w:rPr>
        <w:t xml:space="preserve"> </w:t>
      </w:r>
      <w:r w:rsidRPr="003520EF">
        <w:rPr>
          <w:rtl/>
        </w:rPr>
        <w:t>البدائل</w:t>
      </w:r>
      <w:r w:rsidR="00DC6C59">
        <w:rPr>
          <w:rtl/>
        </w:rPr>
        <w:t xml:space="preserve"> </w:t>
      </w:r>
      <w:r w:rsidRPr="003520EF">
        <w:rPr>
          <w:rtl/>
        </w:rPr>
        <w:t>المجدية.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تكفي</w:t>
      </w:r>
      <w:r w:rsidR="00DC6C59">
        <w:rPr>
          <w:rtl/>
        </w:rPr>
        <w:t xml:space="preserve"> </w:t>
      </w:r>
      <w:r w:rsidRPr="003520EF">
        <w:rPr>
          <w:rtl/>
        </w:rPr>
        <w:t>الموافقة</w:t>
      </w:r>
      <w:r w:rsidR="00DC6C59">
        <w:rPr>
          <w:rtl/>
        </w:rPr>
        <w:t xml:space="preserve"> </w:t>
      </w:r>
      <w:r w:rsidRPr="003520EF">
        <w:rPr>
          <w:rtl/>
        </w:rPr>
        <w:t>للإشارة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الشخص</w:t>
      </w:r>
      <w:r w:rsidR="00DC6C59">
        <w:rPr>
          <w:rtl/>
        </w:rPr>
        <w:t xml:space="preserve"> </w:t>
      </w:r>
      <w:r w:rsidRPr="003520EF">
        <w:rPr>
          <w:rtl/>
        </w:rPr>
        <w:t>ذا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ليس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حالة</w:t>
      </w:r>
      <w:r w:rsidR="00DC6C59">
        <w:rPr>
          <w:rtl/>
        </w:rPr>
        <w:t xml:space="preserve"> </w:t>
      </w:r>
      <w:r w:rsidRPr="003520EF">
        <w:rPr>
          <w:rtl/>
        </w:rPr>
        <w:t>عبودية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رق.</w:t>
      </w:r>
      <w:r w:rsidR="00DC6C59">
        <w:rPr>
          <w:rtl/>
        </w:rPr>
        <w:t xml:space="preserve"> </w:t>
      </w:r>
      <w:r w:rsidRPr="003520EF">
        <w:rPr>
          <w:rtl/>
        </w:rPr>
        <w:t>ويتعرض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بوجه</w:t>
      </w:r>
      <w:r w:rsidR="00DC6C59">
        <w:rPr>
          <w:rtl/>
        </w:rPr>
        <w:t xml:space="preserve"> </w:t>
      </w:r>
      <w:r w:rsidRPr="003520EF">
        <w:rPr>
          <w:rtl/>
        </w:rPr>
        <w:t>خاص</w:t>
      </w:r>
      <w:r w:rsidR="00DC6C59">
        <w:rPr>
          <w:rtl/>
        </w:rPr>
        <w:t xml:space="preserve"> </w:t>
      </w:r>
      <w:r w:rsidRPr="003520EF">
        <w:rPr>
          <w:rtl/>
        </w:rPr>
        <w:t>للاستغلال</w:t>
      </w:r>
      <w:r w:rsidR="00DC6C59">
        <w:rPr>
          <w:rtl/>
        </w:rPr>
        <w:t xml:space="preserve"> </w:t>
      </w:r>
      <w:r w:rsidRPr="003520EF">
        <w:rPr>
          <w:rtl/>
        </w:rPr>
        <w:t>الاقتصادي،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فيه</w:t>
      </w:r>
      <w:r w:rsidR="00DC6C59">
        <w:rPr>
          <w:rtl/>
        </w:rPr>
        <w:t xml:space="preserve"> </w:t>
      </w:r>
      <w:r w:rsidRPr="003520EF">
        <w:rPr>
          <w:rtl/>
        </w:rPr>
        <w:t>أسوء</w:t>
      </w:r>
      <w:r w:rsidR="00DC6C59">
        <w:rPr>
          <w:rtl/>
        </w:rPr>
        <w:t xml:space="preserve"> </w:t>
      </w:r>
      <w:r w:rsidRPr="003520EF">
        <w:rPr>
          <w:rtl/>
        </w:rPr>
        <w:t>أشكال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والاتجار</w:t>
      </w:r>
      <w:r w:rsidR="00DC6C59">
        <w:rPr>
          <w:rtl/>
        </w:rPr>
        <w:t xml:space="preserve"> </w:t>
      </w:r>
      <w:r w:rsidRPr="003520EF">
        <w:rPr>
          <w:rtl/>
        </w:rPr>
        <w:t>بالمخدرات</w:t>
      </w:r>
      <w:r w:rsidR="00DC6C59">
        <w:rPr>
          <w:rtl/>
        </w:rPr>
        <w:t xml:space="preserve"> </w:t>
      </w:r>
      <w:r w:rsidRPr="003520EF">
        <w:rPr>
          <w:rtl/>
        </w:rPr>
        <w:t>والتسول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1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كما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الشباب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معرضون</w:t>
      </w:r>
      <w:r w:rsidR="00DC6C59">
        <w:rPr>
          <w:rtl/>
        </w:rPr>
        <w:t xml:space="preserve"> </w:t>
      </w:r>
      <w:r w:rsidRPr="003520EF">
        <w:rPr>
          <w:rtl/>
        </w:rPr>
        <w:t>بوجه</w:t>
      </w:r>
      <w:r w:rsidR="00DC6C59">
        <w:rPr>
          <w:rtl/>
        </w:rPr>
        <w:t xml:space="preserve"> </w:t>
      </w:r>
      <w:r w:rsidRPr="003520EF">
        <w:rPr>
          <w:rtl/>
        </w:rPr>
        <w:t>خاص</w:t>
      </w:r>
      <w:r w:rsidR="00DC6C59">
        <w:rPr>
          <w:rtl/>
        </w:rPr>
        <w:t xml:space="preserve"> </w:t>
      </w:r>
      <w:r w:rsidRPr="003520EF">
        <w:rPr>
          <w:rtl/>
        </w:rPr>
        <w:t>لخطر</w:t>
      </w:r>
      <w:r w:rsidR="00DC6C59">
        <w:rPr>
          <w:rtl/>
        </w:rPr>
        <w:t xml:space="preserve"> </w:t>
      </w:r>
      <w:r w:rsidRPr="003520EF">
        <w:rPr>
          <w:rtl/>
        </w:rPr>
        <w:t>الاستخدام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السليم</w:t>
      </w:r>
      <w:r w:rsidR="00DC6C59">
        <w:rPr>
          <w:rtl/>
        </w:rPr>
        <w:t xml:space="preserve"> </w:t>
      </w:r>
      <w:r w:rsidRPr="003520EF">
        <w:rPr>
          <w:rtl/>
        </w:rPr>
        <w:t>للتدريب</w:t>
      </w:r>
      <w:r w:rsidR="00DC6C59">
        <w:rPr>
          <w:rtl/>
        </w:rPr>
        <w:t xml:space="preserve"> </w:t>
      </w:r>
      <w:r w:rsidRPr="003520EF">
        <w:rPr>
          <w:rtl/>
        </w:rPr>
        <w:t>الداخلي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المدفوع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>
        <w:rPr>
          <w:rtl/>
        </w:rPr>
        <w:t xml:space="preserve"> </w:t>
      </w:r>
      <w:r w:rsidRPr="003520EF">
        <w:rPr>
          <w:rtl/>
        </w:rPr>
        <w:t>ولبرامج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ونظم</w:t>
      </w:r>
      <w:r w:rsidR="00DC6C59">
        <w:rPr>
          <w:rtl/>
        </w:rPr>
        <w:t xml:space="preserve"> </w:t>
      </w:r>
      <w:r w:rsidRPr="003520EF">
        <w:rPr>
          <w:rtl/>
        </w:rPr>
        <w:t>التطوع.</w:t>
      </w:r>
      <w:bookmarkStart w:id="24" w:name="_Hlk104637114"/>
      <w:bookmarkEnd w:id="24"/>
    </w:p>
    <w:p w14:paraId="3E282C95" w14:textId="68DB5052" w:rsidR="00EC13CA" w:rsidRPr="003520EF" w:rsidRDefault="00EC13CA" w:rsidP="00EC13CA">
      <w:pPr>
        <w:pStyle w:val="SingleTxtGA"/>
      </w:pPr>
      <w:r w:rsidRPr="005170C9">
        <w:rPr>
          <w:rtl/>
        </w:rPr>
        <w:t>74</w:t>
      </w:r>
      <w:r w:rsidRPr="003520EF">
        <w:rPr>
          <w:rtl/>
        </w:rPr>
        <w:t>-</w:t>
      </w:r>
      <w:r w:rsidRPr="003520EF">
        <w:rPr>
          <w:rtl/>
        </w:rPr>
        <w:tab/>
        <w:t>وحرية</w:t>
      </w:r>
      <w:r w:rsidR="00DC6C59">
        <w:rPr>
          <w:rtl/>
        </w:rPr>
        <w:t xml:space="preserve"> </w:t>
      </w:r>
      <w:r w:rsidRPr="003520EF">
        <w:rPr>
          <w:rtl/>
        </w:rPr>
        <w:t>اختيار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</w:t>
      </w:r>
      <w:r w:rsidR="00DC6C59">
        <w:rPr>
          <w:rtl/>
        </w:rPr>
        <w:t xml:space="preserve"> </w:t>
      </w:r>
      <w:r w:rsidRPr="003520EF">
        <w:rPr>
          <w:rtl/>
        </w:rPr>
        <w:t>أمر</w:t>
      </w:r>
      <w:r w:rsidR="00DC6C59">
        <w:rPr>
          <w:rtl/>
        </w:rPr>
        <w:t xml:space="preserve"> </w:t>
      </w:r>
      <w:r w:rsidRPr="003520EF">
        <w:rPr>
          <w:rtl/>
        </w:rPr>
        <w:t>أساسي</w:t>
      </w:r>
      <w:r w:rsidR="00DC6C59">
        <w:rPr>
          <w:rtl/>
        </w:rPr>
        <w:t xml:space="preserve"> </w:t>
      </w:r>
      <w:r w:rsidRPr="003520EF">
        <w:rPr>
          <w:rtl/>
        </w:rPr>
        <w:t>للعيش</w:t>
      </w:r>
      <w:r w:rsidR="00DC6C59">
        <w:rPr>
          <w:rtl/>
        </w:rPr>
        <w:t xml:space="preserve"> </w:t>
      </w:r>
      <w:r w:rsidRPr="003520EF">
        <w:rPr>
          <w:rtl/>
        </w:rPr>
        <w:t>المستقل</w:t>
      </w:r>
      <w:r w:rsidR="00DC6C59">
        <w:rPr>
          <w:rtl/>
        </w:rPr>
        <w:t xml:space="preserve"> </w:t>
      </w:r>
      <w:r w:rsidRPr="003520EF">
        <w:rPr>
          <w:rtl/>
        </w:rPr>
        <w:t>والإدماج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المجتمع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1</w:t>
      </w:r>
      <w:r w:rsidR="00DC6C59" w:rsidRPr="005170C9">
        <w:rPr>
          <w:rtl/>
        </w:rPr>
        <w:t>9</w:t>
      </w:r>
      <w:r w:rsidR="00DC6C59" w:rsidRPr="00DC6C59">
        <w:rPr>
          <w:rtl/>
        </w:rPr>
        <w:t>).</w:t>
      </w:r>
      <w:r w:rsidR="00DC6C59">
        <w:rPr>
          <w:rtl/>
        </w:rPr>
        <w:t xml:space="preserve"> </w:t>
      </w:r>
      <w:r w:rsidRPr="003520EF">
        <w:rPr>
          <w:rtl/>
        </w:rPr>
        <w:t>فهي</w:t>
      </w:r>
      <w:r w:rsidR="00DC6C59">
        <w:rPr>
          <w:rtl/>
        </w:rPr>
        <w:t xml:space="preserve"> </w:t>
      </w:r>
      <w:r w:rsidRPr="003520EF">
        <w:rPr>
          <w:rtl/>
        </w:rPr>
        <w:t>توفر</w:t>
      </w:r>
      <w:r w:rsidR="00DC6C59">
        <w:rPr>
          <w:rtl/>
        </w:rPr>
        <w:t xml:space="preserve"> </w:t>
      </w:r>
      <w:r w:rsidRPr="003520EF">
        <w:rPr>
          <w:rtl/>
        </w:rPr>
        <w:t>الاستقلال</w:t>
      </w:r>
      <w:r w:rsidR="00DC6C59">
        <w:rPr>
          <w:rtl/>
        </w:rPr>
        <w:t xml:space="preserve"> </w:t>
      </w:r>
      <w:r w:rsidRPr="003520EF">
        <w:rPr>
          <w:rtl/>
        </w:rPr>
        <w:t>الاقتصادي</w:t>
      </w:r>
      <w:r w:rsidR="00DC6C59">
        <w:rPr>
          <w:rtl/>
        </w:rPr>
        <w:t xml:space="preserve"> </w:t>
      </w:r>
      <w:r w:rsidRPr="003520EF">
        <w:rPr>
          <w:rtl/>
        </w:rPr>
        <w:t>والاختيار</w:t>
      </w:r>
      <w:r w:rsidR="00DC6C59">
        <w:rPr>
          <w:rtl/>
        </w:rPr>
        <w:t xml:space="preserve"> </w:t>
      </w:r>
      <w:r w:rsidRPr="003520EF">
        <w:rPr>
          <w:rtl/>
        </w:rPr>
        <w:t>والروابط</w:t>
      </w:r>
      <w:r w:rsidR="00DC6C59">
        <w:rPr>
          <w:rtl/>
        </w:rPr>
        <w:t xml:space="preserve"> </w:t>
      </w:r>
      <w:r w:rsidRPr="003520EF">
        <w:rPr>
          <w:rtl/>
        </w:rPr>
        <w:t>الاجتماعية</w:t>
      </w:r>
      <w:r w:rsidR="00DC6C59">
        <w:rPr>
          <w:rtl/>
        </w:rPr>
        <w:t xml:space="preserve"> </w:t>
      </w:r>
      <w:r w:rsidRPr="003520EF">
        <w:rPr>
          <w:rtl/>
        </w:rPr>
        <w:t>والصداقات</w:t>
      </w:r>
      <w:r w:rsidR="00DC6C59">
        <w:rPr>
          <w:rtl/>
        </w:rPr>
        <w:t xml:space="preserve"> </w:t>
      </w:r>
      <w:r w:rsidRPr="003520EF">
        <w:rPr>
          <w:rtl/>
        </w:rPr>
        <w:t>والهوية.</w:t>
      </w:r>
      <w:r w:rsidR="00DC6C59">
        <w:rPr>
          <w:rtl/>
        </w:rPr>
        <w:t xml:space="preserve"> </w:t>
      </w:r>
      <w:r w:rsidRPr="003520EF">
        <w:rPr>
          <w:rtl/>
        </w:rPr>
        <w:t>وبالنسبة</w:t>
      </w:r>
      <w:r w:rsidR="00DC6C59">
        <w:rPr>
          <w:rtl/>
        </w:rPr>
        <w:t xml:space="preserve"> </w:t>
      </w:r>
      <w:r w:rsidRPr="003520EF">
        <w:rPr>
          <w:rtl/>
        </w:rPr>
        <w:t>للعديد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تكتسي</w:t>
      </w:r>
      <w:r w:rsidR="00DC6C59">
        <w:rPr>
          <w:rtl/>
        </w:rPr>
        <w:t xml:space="preserve"> </w:t>
      </w:r>
      <w:r w:rsidRPr="003520EF">
        <w:rPr>
          <w:rtl/>
        </w:rPr>
        <w:t>البرامج</w:t>
      </w:r>
      <w:r w:rsidR="00DC6C59">
        <w:rPr>
          <w:rtl/>
        </w:rPr>
        <w:t xml:space="preserve"> </w:t>
      </w:r>
      <w:r w:rsidRPr="003520EF">
        <w:rPr>
          <w:rtl/>
        </w:rPr>
        <w:t>والدعم</w:t>
      </w:r>
      <w:r w:rsidR="00DC6C59">
        <w:rPr>
          <w:rtl/>
        </w:rPr>
        <w:t xml:space="preserve"> </w:t>
      </w:r>
      <w:r w:rsidRPr="003520EF">
        <w:rPr>
          <w:rtl/>
        </w:rPr>
        <w:t>المالي</w:t>
      </w:r>
      <w:r w:rsidR="00DC6C59">
        <w:rPr>
          <w:rtl/>
        </w:rPr>
        <w:t xml:space="preserve"> </w:t>
      </w:r>
      <w:r w:rsidRPr="003520EF">
        <w:rPr>
          <w:rtl/>
        </w:rPr>
        <w:t>لتوفير</w:t>
      </w:r>
      <w:r w:rsidR="00DC6C59">
        <w:rPr>
          <w:rtl/>
        </w:rPr>
        <w:t xml:space="preserve"> </w:t>
      </w:r>
      <w:r w:rsidRPr="003520EF">
        <w:rPr>
          <w:rtl/>
        </w:rPr>
        <w:t>المساعدة</w:t>
      </w:r>
      <w:r w:rsidR="00DC6C59">
        <w:rPr>
          <w:rtl/>
        </w:rPr>
        <w:t xml:space="preserve"> </w:t>
      </w:r>
      <w:r w:rsidRPr="003520EF">
        <w:rPr>
          <w:rtl/>
        </w:rPr>
        <w:t>الشخصية</w:t>
      </w:r>
      <w:r w:rsidR="00DC6C59">
        <w:rPr>
          <w:rtl/>
        </w:rPr>
        <w:t xml:space="preserve"> </w:t>
      </w:r>
      <w:r w:rsidRPr="003520EF">
        <w:rPr>
          <w:rtl/>
        </w:rPr>
        <w:t>أهمية</w:t>
      </w:r>
      <w:r w:rsidR="00DC6C59">
        <w:rPr>
          <w:rtl/>
        </w:rPr>
        <w:t xml:space="preserve"> </w:t>
      </w:r>
      <w:r w:rsidRPr="003520EF">
        <w:rPr>
          <w:rtl/>
        </w:rPr>
        <w:t>بالغة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حقهم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bookmarkStart w:id="25" w:name="_Hlk110258597"/>
    </w:p>
    <w:bookmarkEnd w:id="25"/>
    <w:p w14:paraId="26431BD8" w14:textId="2043B7BD" w:rsidR="00EC13CA" w:rsidRPr="00C12E18" w:rsidRDefault="00EC13CA" w:rsidP="00EC13CA">
      <w:pPr>
        <w:pStyle w:val="SingleTxtGA"/>
        <w:rPr>
          <w:spacing w:val="-2"/>
        </w:rPr>
      </w:pPr>
      <w:r w:rsidRPr="005170C9">
        <w:rPr>
          <w:spacing w:val="-2"/>
          <w:rtl/>
        </w:rPr>
        <w:t>75</w:t>
      </w:r>
      <w:r w:rsidRPr="00C12E18">
        <w:rPr>
          <w:spacing w:val="-2"/>
          <w:rtl/>
        </w:rPr>
        <w:t>-</w:t>
      </w:r>
      <w:r w:rsidRPr="00C12E18">
        <w:rPr>
          <w:spacing w:val="-2"/>
          <w:rtl/>
        </w:rPr>
        <w:tab/>
        <w:t>واحترام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الخصوصية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(المادة</w:t>
      </w:r>
      <w:r w:rsidR="00DC6C59" w:rsidRPr="00C12E18">
        <w:rPr>
          <w:spacing w:val="-2"/>
          <w:rtl/>
        </w:rPr>
        <w:t xml:space="preserve"> </w:t>
      </w:r>
      <w:r w:rsidRPr="005170C9">
        <w:rPr>
          <w:spacing w:val="-2"/>
          <w:rtl/>
        </w:rPr>
        <w:t>2</w:t>
      </w:r>
      <w:r w:rsidR="00DC6C59" w:rsidRPr="005170C9">
        <w:rPr>
          <w:spacing w:val="-2"/>
          <w:rtl/>
        </w:rPr>
        <w:t>2</w:t>
      </w:r>
      <w:r w:rsidR="00DC6C59" w:rsidRPr="00C12E18">
        <w:rPr>
          <w:spacing w:val="-2"/>
          <w:rtl/>
        </w:rPr>
        <w:t xml:space="preserve">) </w:t>
      </w:r>
      <w:r w:rsidRPr="00C12E18">
        <w:rPr>
          <w:spacing w:val="-2"/>
          <w:rtl/>
        </w:rPr>
        <w:t>عامل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الحياة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وغالبا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ينطوي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قضايا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شخصية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حساسة.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ويستوجب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احترام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خصوصية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المستخدَمين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يحصل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أرباب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موافقة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الموظف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قبل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إطلاع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-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موظفي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الموارد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البشرية،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سبيل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المثال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-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المعلومات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المتعلقة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العجز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يتم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الكشف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عنها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لهم.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ويمتد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شرط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حماية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المعلومات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السرية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طوال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دورة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ويشمل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الحماية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استخدام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المعلومات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الجينية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يمكن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تشير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قابلية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محتملة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للإصابة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ببعض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الإعاقات.</w:t>
      </w:r>
    </w:p>
    <w:p w14:paraId="778FF22D" w14:textId="4910F1A4" w:rsidR="00EC13CA" w:rsidRPr="003520EF" w:rsidRDefault="00EC13CA" w:rsidP="00EC13CA">
      <w:pPr>
        <w:pStyle w:val="SingleTxtGA"/>
      </w:pPr>
      <w:r w:rsidRPr="005170C9">
        <w:rPr>
          <w:rtl/>
        </w:rPr>
        <w:lastRenderedPageBreak/>
        <w:t>76</w:t>
      </w:r>
      <w:r w:rsidRPr="003520EF">
        <w:rPr>
          <w:rtl/>
        </w:rPr>
        <w:t>-</w:t>
      </w:r>
      <w:r w:rsidRPr="003520EF">
        <w:rPr>
          <w:rtl/>
        </w:rPr>
        <w:tab/>
        <w:t>ويؤدي</w:t>
      </w:r>
      <w:r w:rsidR="00DC6C59">
        <w:rPr>
          <w:rtl/>
        </w:rPr>
        <w:t xml:space="preserve"> </w:t>
      </w:r>
      <w:r w:rsidRPr="003520EF">
        <w:rPr>
          <w:rtl/>
        </w:rPr>
        <w:t>التعليم</w:t>
      </w:r>
      <w:r w:rsidR="00DC6C59">
        <w:rPr>
          <w:rtl/>
        </w:rPr>
        <w:t xml:space="preserve"> </w:t>
      </w:r>
      <w:r w:rsidRPr="003520EF">
        <w:rPr>
          <w:rtl/>
        </w:rPr>
        <w:t>الجامع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2</w:t>
      </w:r>
      <w:r w:rsidR="00DC6C59" w:rsidRPr="005170C9">
        <w:rPr>
          <w:rtl/>
        </w:rPr>
        <w:t>4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دورا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حيويا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تمكين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ممارسة</w:t>
      </w:r>
      <w:r w:rsidR="00DC6C59">
        <w:rPr>
          <w:rtl/>
        </w:rPr>
        <w:t xml:space="preserve"> </w:t>
      </w:r>
      <w:r w:rsidRPr="003520EF">
        <w:rPr>
          <w:rtl/>
        </w:rPr>
        <w:t>حقهم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باختيارهم</w:t>
      </w:r>
      <w:r w:rsidR="00DC6C59">
        <w:rPr>
          <w:rtl/>
        </w:rPr>
        <w:t xml:space="preserve"> </w:t>
      </w:r>
      <w:r w:rsidRPr="003520EF">
        <w:rPr>
          <w:rtl/>
        </w:rPr>
        <w:t>الحر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الآخرين.</w:t>
      </w:r>
      <w:r w:rsidR="00DC6C59">
        <w:rPr>
          <w:rtl/>
        </w:rPr>
        <w:t xml:space="preserve"> </w:t>
      </w:r>
      <w:r w:rsidRPr="003520EF">
        <w:rPr>
          <w:rtl/>
        </w:rPr>
        <w:t>ويُعِدَّ</w:t>
      </w:r>
      <w:r w:rsidR="00DC6C59">
        <w:rPr>
          <w:rtl/>
        </w:rPr>
        <w:t xml:space="preserve"> </w:t>
      </w:r>
      <w:r w:rsidRPr="003520EF">
        <w:rPr>
          <w:rtl/>
        </w:rPr>
        <w:t>التعليم</w:t>
      </w:r>
      <w:r w:rsidR="00DC6C59">
        <w:rPr>
          <w:rtl/>
        </w:rPr>
        <w:t xml:space="preserve"> </w:t>
      </w:r>
      <w:r w:rsidRPr="003520EF">
        <w:rPr>
          <w:rtl/>
        </w:rPr>
        <w:t>الجامع</w:t>
      </w:r>
      <w:r w:rsidR="00DC6C59">
        <w:rPr>
          <w:rtl/>
        </w:rPr>
        <w:t xml:space="preserve"> </w:t>
      </w:r>
      <w:r w:rsidRPr="003520EF">
        <w:rPr>
          <w:rtl/>
        </w:rPr>
        <w:t>والجيد</w:t>
      </w:r>
      <w:r w:rsidR="00DC6C59">
        <w:rPr>
          <w:rtl/>
        </w:rPr>
        <w:t xml:space="preserve"> </w:t>
      </w:r>
      <w:r w:rsidRPr="003520EF">
        <w:rPr>
          <w:rtl/>
        </w:rPr>
        <w:t>الأشخاصَ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للعمل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بتمكينهم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اكتساب</w:t>
      </w:r>
      <w:r w:rsidR="00DC6C59">
        <w:rPr>
          <w:rtl/>
        </w:rPr>
        <w:t xml:space="preserve"> </w:t>
      </w:r>
      <w:r w:rsidRPr="003520EF">
        <w:rPr>
          <w:rtl/>
        </w:rPr>
        <w:t>المعارف</w:t>
      </w:r>
      <w:r w:rsidR="00DC6C59">
        <w:rPr>
          <w:rtl/>
        </w:rPr>
        <w:t xml:space="preserve"> </w:t>
      </w:r>
      <w:r w:rsidRPr="003520EF">
        <w:rPr>
          <w:rtl/>
        </w:rPr>
        <w:t>والمهارات</w:t>
      </w:r>
      <w:r w:rsidR="00DC6C59">
        <w:rPr>
          <w:rtl/>
        </w:rPr>
        <w:t xml:space="preserve"> </w:t>
      </w:r>
      <w:r w:rsidRPr="003520EF">
        <w:rPr>
          <w:rtl/>
        </w:rPr>
        <w:t>والثقة</w:t>
      </w:r>
      <w:r w:rsidR="00DC6C59">
        <w:rPr>
          <w:rtl/>
        </w:rPr>
        <w:t xml:space="preserve"> </w:t>
      </w:r>
      <w:r w:rsidRPr="003520EF">
        <w:rPr>
          <w:rtl/>
        </w:rPr>
        <w:t>اللازمة</w:t>
      </w:r>
      <w:r w:rsidR="00DC6C59">
        <w:rPr>
          <w:rtl/>
        </w:rPr>
        <w:t xml:space="preserve"> </w:t>
      </w:r>
      <w:r w:rsidRPr="003520EF">
        <w:rPr>
          <w:rtl/>
        </w:rPr>
        <w:t>للمشاركة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المنفتحة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2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Fonts w:hint="cs"/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ثلث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الملتحقين</w:t>
      </w:r>
      <w:r w:rsidR="00DC6C59">
        <w:rPr>
          <w:rtl/>
        </w:rPr>
        <w:t xml:space="preserve"> </w:t>
      </w:r>
      <w:r w:rsidRPr="003520EF">
        <w:rPr>
          <w:rtl/>
        </w:rPr>
        <w:t>بالمدارس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أنحاء</w:t>
      </w:r>
      <w:r w:rsidR="00DC6C59">
        <w:rPr>
          <w:rtl/>
        </w:rPr>
        <w:t xml:space="preserve"> </w:t>
      </w:r>
      <w:r w:rsidRPr="003520EF">
        <w:rPr>
          <w:rtl/>
        </w:rPr>
        <w:t>العالم</w:t>
      </w:r>
      <w:r w:rsidR="00DC6C59">
        <w:rPr>
          <w:rtl/>
        </w:rPr>
        <w:t xml:space="preserve"> </w:t>
      </w:r>
      <w:r w:rsidRPr="003520EF">
        <w:rPr>
          <w:rtl/>
        </w:rPr>
        <w:t>هم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وتشجع</w:t>
      </w:r>
      <w:r w:rsidR="00DC6C59">
        <w:rPr>
          <w:rtl/>
        </w:rPr>
        <w:t xml:space="preserve"> </w:t>
      </w:r>
      <w:r w:rsidRPr="003520EF">
        <w:rPr>
          <w:rtl/>
        </w:rPr>
        <w:t>حكومات</w:t>
      </w:r>
      <w:r w:rsidR="00DC6C59">
        <w:rPr>
          <w:rtl/>
        </w:rPr>
        <w:t xml:space="preserve"> </w:t>
      </w:r>
      <w:r w:rsidRPr="003520EF">
        <w:rPr>
          <w:rtl/>
        </w:rPr>
        <w:t>كثيرة</w:t>
      </w:r>
      <w:r w:rsidR="00DC6C59">
        <w:rPr>
          <w:rtl/>
        </w:rPr>
        <w:t xml:space="preserve"> </w:t>
      </w:r>
      <w:r w:rsidRPr="003520EF">
        <w:rPr>
          <w:rtl/>
        </w:rPr>
        <w:t>التعليم</w:t>
      </w:r>
      <w:r w:rsidR="00DC6C59">
        <w:rPr>
          <w:rtl/>
        </w:rPr>
        <w:t xml:space="preserve"> </w:t>
      </w:r>
      <w:r w:rsidRPr="003520EF">
        <w:rPr>
          <w:rtl/>
        </w:rPr>
        <w:t>الجامع</w:t>
      </w:r>
      <w:r w:rsidR="00DC6C59">
        <w:rPr>
          <w:rtl/>
        </w:rPr>
        <w:t xml:space="preserve"> </w:t>
      </w:r>
      <w:r w:rsidRPr="003520EF">
        <w:rPr>
          <w:rtl/>
        </w:rPr>
        <w:t>رسميا</w:t>
      </w:r>
      <w:r w:rsidR="00476B81">
        <w:rPr>
          <w:rFonts w:hint="cs"/>
          <w:rtl/>
        </w:rPr>
        <w:t>ً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ولكن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الناحية</w:t>
      </w:r>
      <w:r w:rsidR="00DC6C59">
        <w:rPr>
          <w:rtl/>
        </w:rPr>
        <w:t xml:space="preserve"> </w:t>
      </w:r>
      <w:r w:rsidRPr="003520EF">
        <w:rPr>
          <w:rtl/>
        </w:rPr>
        <w:t>العملية،</w:t>
      </w:r>
      <w:r w:rsidR="00DC6C59">
        <w:rPr>
          <w:rtl/>
        </w:rPr>
        <w:t xml:space="preserve"> </w:t>
      </w:r>
      <w:r w:rsidRPr="003520EF">
        <w:rPr>
          <w:rtl/>
        </w:rPr>
        <w:t>يُستبعد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سيما</w:t>
      </w:r>
      <w:r w:rsidR="00DC6C59">
        <w:rPr>
          <w:rtl/>
        </w:rPr>
        <w:t xml:space="preserve"> </w:t>
      </w:r>
      <w:r w:rsidRPr="003520EF">
        <w:rPr>
          <w:rtl/>
        </w:rPr>
        <w:t>الفتيات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يعزلون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مدارس</w:t>
      </w:r>
      <w:r w:rsidR="00DC6C59">
        <w:rPr>
          <w:rtl/>
        </w:rPr>
        <w:t xml:space="preserve"> </w:t>
      </w:r>
      <w:r w:rsidRPr="003520EF">
        <w:rPr>
          <w:rtl/>
        </w:rPr>
        <w:t>خاصة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3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Fonts w:hint="cs"/>
          <w:rtl/>
        </w:rPr>
        <w:t>،</w:t>
      </w:r>
      <w:r w:rsidR="00DC6C59">
        <w:rPr>
          <w:rFonts w:hint="cs"/>
          <w:rtl/>
        </w:rPr>
        <w:t xml:space="preserve"> </w:t>
      </w:r>
      <w:r w:rsidRPr="003520EF">
        <w:rPr>
          <w:rtl/>
        </w:rPr>
        <w:t>مما</w:t>
      </w:r>
      <w:r w:rsidR="00DC6C59">
        <w:rPr>
          <w:rtl/>
        </w:rPr>
        <w:t xml:space="preserve"> </w:t>
      </w:r>
      <w:r w:rsidRPr="003520EF">
        <w:rPr>
          <w:rtl/>
        </w:rPr>
        <w:t>سيؤثر</w:t>
      </w:r>
      <w:r w:rsidR="00DC6C59">
        <w:rPr>
          <w:rtl/>
        </w:rPr>
        <w:t xml:space="preserve"> </w:t>
      </w:r>
      <w:r w:rsidRPr="003520EF">
        <w:rPr>
          <w:rtl/>
        </w:rPr>
        <w:t>سلبا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تمتعهم</w:t>
      </w:r>
      <w:r w:rsidR="00DC6C59">
        <w:rPr>
          <w:rtl/>
        </w:rPr>
        <w:t xml:space="preserve"> </w:t>
      </w:r>
      <w:r w:rsidRPr="003520EF">
        <w:rPr>
          <w:rtl/>
        </w:rPr>
        <w:t>بالحق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باختيارهم</w:t>
      </w:r>
      <w:r w:rsidR="00DC6C59">
        <w:rPr>
          <w:rtl/>
        </w:rPr>
        <w:t xml:space="preserve"> </w:t>
      </w:r>
      <w:r w:rsidRPr="003520EF">
        <w:rPr>
          <w:rtl/>
        </w:rPr>
        <w:t>الحر</w:t>
      </w:r>
      <w:r w:rsidR="00DC6C59">
        <w:rPr>
          <w:rtl/>
        </w:rPr>
        <w:t xml:space="preserve"> </w:t>
      </w:r>
      <w:r w:rsidRPr="003520EF">
        <w:rPr>
          <w:rtl/>
        </w:rPr>
        <w:t>وعلى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الآخرين.</w:t>
      </w:r>
      <w:r w:rsidR="00DC6C59">
        <w:rPr>
          <w:rtl/>
        </w:rPr>
        <w:t xml:space="preserve"> </w:t>
      </w:r>
      <w:r w:rsidRPr="003520EF">
        <w:rPr>
          <w:rtl/>
        </w:rPr>
        <w:t>ويتطلب</w:t>
      </w:r>
      <w:r w:rsidR="00DC6C59">
        <w:rPr>
          <w:rtl/>
        </w:rPr>
        <w:t xml:space="preserve"> </w:t>
      </w:r>
      <w:r w:rsidRPr="003520EF">
        <w:rPr>
          <w:rtl/>
        </w:rPr>
        <w:t>الانتقال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التعليم</w:t>
      </w:r>
      <w:r w:rsidR="00DC6C59">
        <w:rPr>
          <w:rtl/>
        </w:rPr>
        <w:t xml:space="preserve"> </w:t>
      </w:r>
      <w:r w:rsidRPr="003520EF">
        <w:rPr>
          <w:rtl/>
        </w:rPr>
        <w:t>الثانوي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العالي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اهتماما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خاصا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لإعمال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العمل.</w:t>
      </w:r>
      <w:r w:rsidR="00DC6C59">
        <w:rPr>
          <w:rtl/>
        </w:rPr>
        <w:t xml:space="preserve"> </w:t>
      </w:r>
      <w:r w:rsidRPr="003520EF">
        <w:rPr>
          <w:rtl/>
        </w:rPr>
        <w:t>ومن</w:t>
      </w:r>
      <w:r w:rsidR="00DC6C59">
        <w:rPr>
          <w:rtl/>
        </w:rPr>
        <w:t xml:space="preserve"> </w:t>
      </w:r>
      <w:r w:rsidRPr="003520EF">
        <w:rPr>
          <w:rtl/>
        </w:rPr>
        <w:t>المهم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المسارات</w:t>
      </w:r>
      <w:r w:rsidR="00DC6C59">
        <w:rPr>
          <w:rtl/>
        </w:rPr>
        <w:t xml:space="preserve"> </w:t>
      </w:r>
      <w:r w:rsidRPr="003520EF">
        <w:rPr>
          <w:rtl/>
        </w:rPr>
        <w:t>المؤدية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المنفتحة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وعدم</w:t>
      </w:r>
      <w:r w:rsidR="00DC6C59">
        <w:rPr>
          <w:rtl/>
        </w:rPr>
        <w:t xml:space="preserve"> </w:t>
      </w:r>
      <w:r w:rsidRPr="003520EF">
        <w:rPr>
          <w:rtl/>
        </w:rPr>
        <w:t>توجيه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بيئات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منفصلة.</w:t>
      </w:r>
      <w:r w:rsidR="00DC6C59">
        <w:rPr>
          <w:rtl/>
        </w:rPr>
        <w:t xml:space="preserve"> </w:t>
      </w:r>
      <w:r w:rsidRPr="003520EF">
        <w:rPr>
          <w:rtl/>
        </w:rPr>
        <w:t>والتعليم</w:t>
      </w:r>
      <w:r w:rsidR="00DC6C59">
        <w:rPr>
          <w:rtl/>
        </w:rPr>
        <w:t xml:space="preserve"> </w:t>
      </w:r>
      <w:r w:rsidRPr="003520EF">
        <w:rPr>
          <w:rtl/>
        </w:rPr>
        <w:t>مدى</w:t>
      </w:r>
      <w:r w:rsidR="00DC6C59">
        <w:rPr>
          <w:rtl/>
        </w:rPr>
        <w:t xml:space="preserve"> </w:t>
      </w:r>
      <w:r w:rsidRPr="003520EF">
        <w:rPr>
          <w:rtl/>
        </w:rPr>
        <w:t>الحياة</w:t>
      </w:r>
      <w:r w:rsidR="00DC6C59">
        <w:rPr>
          <w:rtl/>
        </w:rPr>
        <w:t xml:space="preserve"> </w:t>
      </w:r>
      <w:r w:rsidRPr="003520EF">
        <w:rPr>
          <w:rtl/>
        </w:rPr>
        <w:t>عنصر</w:t>
      </w:r>
      <w:r w:rsidR="00DC6C59">
        <w:rPr>
          <w:rtl/>
        </w:rPr>
        <w:t xml:space="preserve"> </w:t>
      </w:r>
      <w:r w:rsidRPr="003520EF">
        <w:rPr>
          <w:rtl/>
        </w:rPr>
        <w:t>أساسي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وتعزيز</w:t>
      </w:r>
      <w:r w:rsidR="00DC6C59">
        <w:rPr>
          <w:rtl/>
        </w:rPr>
        <w:t xml:space="preserve"> </w:t>
      </w:r>
      <w:r w:rsidRPr="003520EF">
        <w:rPr>
          <w:rtl/>
        </w:rPr>
        <w:t>التطوير</w:t>
      </w:r>
      <w:r w:rsidR="00DC6C59">
        <w:rPr>
          <w:rtl/>
        </w:rPr>
        <w:t xml:space="preserve"> </w:t>
      </w:r>
      <w:r w:rsidRPr="003520EF">
        <w:rPr>
          <w:rtl/>
        </w:rPr>
        <w:t>الوظيفي</w:t>
      </w:r>
      <w:r w:rsidR="00DC6C59">
        <w:rPr>
          <w:rtl/>
        </w:rPr>
        <w:t xml:space="preserve"> </w:t>
      </w:r>
      <w:r w:rsidRPr="003520EF">
        <w:rPr>
          <w:rtl/>
        </w:rPr>
        <w:t>المستمر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bookmarkStart w:id="26" w:name="_Hlk104039247"/>
      <w:bookmarkEnd w:id="26"/>
    </w:p>
    <w:p w14:paraId="684A97D7" w14:textId="7E6584C0" w:rsidR="00EC13CA" w:rsidRPr="003520EF" w:rsidRDefault="00EC13CA" w:rsidP="00EC13CA">
      <w:pPr>
        <w:pStyle w:val="SingleTxtGA"/>
      </w:pPr>
      <w:r w:rsidRPr="005170C9">
        <w:rPr>
          <w:rtl/>
        </w:rPr>
        <w:t>77</w:t>
      </w:r>
      <w:r w:rsidRPr="003520EF">
        <w:rPr>
          <w:rtl/>
        </w:rPr>
        <w:t>-</w:t>
      </w:r>
      <w:r w:rsidRPr="003520EF">
        <w:rPr>
          <w:rtl/>
        </w:rPr>
        <w:tab/>
        <w:t>وتقع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عاتق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مسؤولية</w:t>
      </w:r>
      <w:r w:rsidR="00DC6C59">
        <w:rPr>
          <w:rtl/>
        </w:rPr>
        <w:t xml:space="preserve"> </w:t>
      </w:r>
      <w:r w:rsidRPr="003520EF">
        <w:rPr>
          <w:rtl/>
        </w:rPr>
        <w:t>أساسية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صحة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وسلامتهم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2</w:t>
      </w:r>
      <w:r w:rsidR="00DC6C59" w:rsidRPr="005170C9">
        <w:rPr>
          <w:rtl/>
        </w:rPr>
        <w:t>5</w:t>
      </w:r>
      <w:r w:rsidR="00DC6C59" w:rsidRPr="00DC6C59">
        <w:rPr>
          <w:rtl/>
        </w:rPr>
        <w:t>).</w:t>
      </w:r>
      <w:r w:rsidR="00DC6C59">
        <w:rPr>
          <w:rtl/>
        </w:rPr>
        <w:t xml:space="preserve"> </w:t>
      </w:r>
      <w:r w:rsidRPr="003520EF">
        <w:rPr>
          <w:rtl/>
        </w:rPr>
        <w:t>وتعتبر</w:t>
      </w:r>
      <w:r w:rsidR="00DC6C59">
        <w:rPr>
          <w:rtl/>
        </w:rPr>
        <w:t xml:space="preserve"> </w:t>
      </w:r>
      <w:r w:rsidRPr="003520EF">
        <w:rPr>
          <w:rtl/>
        </w:rPr>
        <w:t>خدمات</w:t>
      </w:r>
      <w:r w:rsidR="00DC6C59">
        <w:rPr>
          <w:rtl/>
        </w:rPr>
        <w:t xml:space="preserve"> </w:t>
      </w:r>
      <w:r w:rsidRPr="003520EF">
        <w:rPr>
          <w:rtl/>
        </w:rPr>
        <w:t>وبرامج</w:t>
      </w:r>
      <w:r w:rsidR="00DC6C59">
        <w:rPr>
          <w:rtl/>
        </w:rPr>
        <w:t xml:space="preserve"> </w:t>
      </w:r>
      <w:r w:rsidRPr="003520EF">
        <w:rPr>
          <w:rtl/>
        </w:rPr>
        <w:t>التأهيل</w:t>
      </w:r>
      <w:r w:rsidR="00DC6C59">
        <w:rPr>
          <w:rtl/>
        </w:rPr>
        <w:t xml:space="preserve"> </w:t>
      </w:r>
      <w:r w:rsidRPr="003520EF">
        <w:rPr>
          <w:rtl/>
        </w:rPr>
        <w:t>وإعادة</w:t>
      </w:r>
      <w:r w:rsidR="00DC6C59">
        <w:rPr>
          <w:rtl/>
        </w:rPr>
        <w:t xml:space="preserve"> </w:t>
      </w:r>
      <w:r w:rsidRPr="003520EF">
        <w:rPr>
          <w:rtl/>
        </w:rPr>
        <w:t>التأهيل</w:t>
      </w:r>
      <w:r w:rsidR="00DC6C59">
        <w:rPr>
          <w:rtl/>
        </w:rPr>
        <w:t xml:space="preserve"> </w:t>
      </w:r>
      <w:r w:rsidRPr="003520EF">
        <w:rPr>
          <w:rtl/>
        </w:rPr>
        <w:t>الشاملة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2</w:t>
      </w:r>
      <w:r w:rsidR="00DC6C59" w:rsidRPr="005170C9">
        <w:rPr>
          <w:rtl/>
        </w:rPr>
        <w:t>6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أمرا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حيويا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لتوظيف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الإعاقة.</w:t>
      </w:r>
      <w:r w:rsidR="00DC6C59">
        <w:rPr>
          <w:rtl/>
        </w:rPr>
        <w:t xml:space="preserve"> </w:t>
      </w:r>
      <w:r w:rsidRPr="003520EF">
        <w:rPr>
          <w:rtl/>
        </w:rPr>
        <w:t>وعندما</w:t>
      </w:r>
      <w:r w:rsidR="00DC6C59">
        <w:rPr>
          <w:rtl/>
        </w:rPr>
        <w:t xml:space="preserve"> </w:t>
      </w:r>
      <w:r w:rsidRPr="003520EF">
        <w:rPr>
          <w:rtl/>
        </w:rPr>
        <w:t>يصاب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عندما</w:t>
      </w:r>
      <w:r w:rsidR="00DC6C59">
        <w:rPr>
          <w:rtl/>
        </w:rPr>
        <w:t xml:space="preserve"> </w:t>
      </w:r>
      <w:r w:rsidRPr="003520EF">
        <w:rPr>
          <w:rtl/>
        </w:rPr>
        <w:t>يكتسب</w:t>
      </w:r>
      <w:r w:rsidR="00DC6C59">
        <w:rPr>
          <w:rtl/>
        </w:rPr>
        <w:t xml:space="preserve"> </w:t>
      </w:r>
      <w:r w:rsidRPr="003520EF">
        <w:rPr>
          <w:rtl/>
        </w:rPr>
        <w:t>شخص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إعاقة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فإن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الأساسي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تحترم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إعادة</w:t>
      </w:r>
      <w:r w:rsidR="00DC6C59">
        <w:rPr>
          <w:rtl/>
        </w:rPr>
        <w:t xml:space="preserve"> </w:t>
      </w:r>
      <w:r w:rsidRPr="003520EF">
        <w:rPr>
          <w:rtl/>
        </w:rPr>
        <w:t>التأهيل</w:t>
      </w:r>
      <w:r w:rsidR="00DC6C59">
        <w:rPr>
          <w:rtl/>
        </w:rPr>
        <w:t xml:space="preserve"> </w:t>
      </w:r>
      <w:r w:rsidRPr="003520EF">
        <w:rPr>
          <w:rtl/>
        </w:rPr>
        <w:t>والعودة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احتراما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تاما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اختيار</w:t>
      </w:r>
      <w:r w:rsidR="00DC6C59">
        <w:rPr>
          <w:rtl/>
        </w:rPr>
        <w:t xml:space="preserve"> </w:t>
      </w:r>
      <w:r w:rsidRPr="003520EF">
        <w:rPr>
          <w:rtl/>
        </w:rPr>
        <w:t>الشخص</w:t>
      </w:r>
      <w:r w:rsidR="00DC6C59">
        <w:rPr>
          <w:rtl/>
        </w:rPr>
        <w:t xml:space="preserve"> </w:t>
      </w:r>
      <w:r w:rsidRPr="003520EF">
        <w:rPr>
          <w:rtl/>
        </w:rPr>
        <w:t>وتفضيلاته</w:t>
      </w:r>
      <w:r w:rsidR="00DC6C59">
        <w:rPr>
          <w:rtl/>
        </w:rPr>
        <w:t xml:space="preserve"> </w:t>
      </w:r>
      <w:r w:rsidRPr="003520EF">
        <w:rPr>
          <w:rtl/>
        </w:rPr>
        <w:t>وألا</w:t>
      </w:r>
      <w:r w:rsidR="00DC6C59">
        <w:rPr>
          <w:rtl/>
        </w:rPr>
        <w:t xml:space="preserve"> </w:t>
      </w:r>
      <w:r w:rsidRPr="003520EF">
        <w:rPr>
          <w:rtl/>
        </w:rPr>
        <w:t>تستخدم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لتشجيع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بيئات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المنفصلة.</w:t>
      </w:r>
      <w:r w:rsidR="00DC6C59">
        <w:rPr>
          <w:rtl/>
        </w:rPr>
        <w:t xml:space="preserve"> </w:t>
      </w:r>
      <w:bookmarkStart w:id="27" w:name="_Hlk115985674"/>
      <w:bookmarkEnd w:id="27"/>
    </w:p>
    <w:p w14:paraId="63CA67EF" w14:textId="17A2A7F9" w:rsidR="00DC6C59" w:rsidRPr="005170C9" w:rsidRDefault="00EC13CA" w:rsidP="00EC13CA">
      <w:pPr>
        <w:pStyle w:val="SingleTxtGA"/>
      </w:pPr>
      <w:r w:rsidRPr="005170C9">
        <w:rPr>
          <w:rtl/>
        </w:rPr>
        <w:t>78</w:t>
      </w:r>
      <w:r w:rsidRPr="003520EF">
        <w:rPr>
          <w:rtl/>
        </w:rPr>
        <w:t>-</w:t>
      </w:r>
      <w:r w:rsidRPr="003520EF">
        <w:rPr>
          <w:rtl/>
        </w:rPr>
        <w:tab/>
        <w:t>ويحق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الاجتماعية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2</w:t>
      </w:r>
      <w:r w:rsidR="00DC6C59" w:rsidRPr="005170C9">
        <w:rPr>
          <w:rtl/>
        </w:rPr>
        <w:t>8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لتغطية</w:t>
      </w:r>
      <w:r w:rsidR="00DC6C59">
        <w:rPr>
          <w:rtl/>
        </w:rPr>
        <w:t xml:space="preserve"> </w:t>
      </w:r>
      <w:r w:rsidRPr="003520EF">
        <w:rPr>
          <w:rtl/>
        </w:rPr>
        <w:t>فقدان</w:t>
      </w:r>
      <w:r w:rsidR="00DC6C59">
        <w:rPr>
          <w:rtl/>
        </w:rPr>
        <w:t xml:space="preserve"> </w:t>
      </w:r>
      <w:r w:rsidRPr="003520EF">
        <w:rPr>
          <w:rtl/>
        </w:rPr>
        <w:t>الدخل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قلته</w:t>
      </w:r>
      <w:r w:rsidR="00DC6C59">
        <w:rPr>
          <w:rtl/>
        </w:rPr>
        <w:t xml:space="preserve"> </w:t>
      </w:r>
      <w:r w:rsidRPr="003520EF">
        <w:rPr>
          <w:rtl/>
        </w:rPr>
        <w:t>بسبب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القدرة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يتم</w:t>
      </w:r>
      <w:r w:rsidR="00DC6C59">
        <w:rPr>
          <w:rtl/>
        </w:rPr>
        <w:t xml:space="preserve"> </w:t>
      </w:r>
      <w:r w:rsidRPr="003520EF">
        <w:rPr>
          <w:rtl/>
        </w:rPr>
        <w:t>اختياره</w:t>
      </w:r>
      <w:r w:rsidR="00DC6C59">
        <w:rPr>
          <w:rtl/>
        </w:rPr>
        <w:t xml:space="preserve"> </w:t>
      </w:r>
      <w:r w:rsidRPr="003520EF">
        <w:rPr>
          <w:rtl/>
        </w:rPr>
        <w:t>بحرية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القدرة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الحفاظ</w:t>
      </w:r>
      <w:r w:rsidR="00DC6C59">
        <w:rPr>
          <w:rtl/>
        </w:rPr>
        <w:t xml:space="preserve"> </w:t>
      </w:r>
      <w:r w:rsidRPr="003520EF">
        <w:rPr>
          <w:rtl/>
        </w:rPr>
        <w:t>عليه.</w:t>
      </w:r>
      <w:r w:rsidR="00DC6C59">
        <w:rPr>
          <w:rtl/>
        </w:rPr>
        <w:t xml:space="preserve"> </w:t>
      </w:r>
      <w:r w:rsidRPr="003520EF">
        <w:rPr>
          <w:rtl/>
        </w:rPr>
        <w:t>ويجب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يكفل</w:t>
      </w:r>
      <w:r w:rsidR="00DC6C59">
        <w:rPr>
          <w:rtl/>
        </w:rPr>
        <w:t xml:space="preserve"> </w:t>
      </w:r>
      <w:r w:rsidRPr="003520EF">
        <w:rPr>
          <w:rtl/>
        </w:rPr>
        <w:t>نظام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الاجتماعية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الكافية</w:t>
      </w:r>
      <w:r w:rsidR="00DC6C59">
        <w:rPr>
          <w:rtl/>
        </w:rPr>
        <w:t xml:space="preserve"> </w:t>
      </w:r>
      <w:r w:rsidRPr="003520EF">
        <w:rPr>
          <w:rtl/>
        </w:rPr>
        <w:t>للعمال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العاطلين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الآخرين.</w:t>
      </w:r>
      <w:r w:rsidR="00DC6C59">
        <w:rPr>
          <w:rtl/>
        </w:rPr>
        <w:t xml:space="preserve"> </w:t>
      </w:r>
      <w:r w:rsidRPr="003520EF">
        <w:rPr>
          <w:rtl/>
        </w:rPr>
        <w:t>ويشمل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الاجتماعية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العاملين</w:t>
      </w:r>
      <w:r w:rsidR="00DC6C59">
        <w:rPr>
          <w:rtl/>
        </w:rPr>
        <w:t xml:space="preserve"> </w:t>
      </w:r>
      <w:r w:rsidRPr="003520EF">
        <w:rPr>
          <w:rtl/>
        </w:rPr>
        <w:t>لبعض</w:t>
      </w:r>
      <w:r w:rsidR="00DC6C59">
        <w:rPr>
          <w:rtl/>
        </w:rPr>
        <w:t xml:space="preserve"> </w:t>
      </w:r>
      <w:r w:rsidRPr="003520EF">
        <w:rPr>
          <w:rtl/>
        </w:rPr>
        <w:t>الوقت،</w:t>
      </w:r>
      <w:r w:rsidR="00DC6C59">
        <w:rPr>
          <w:rtl/>
        </w:rPr>
        <w:t xml:space="preserve"> </w:t>
      </w:r>
      <w:r w:rsidRPr="003520EF">
        <w:rPr>
          <w:rtl/>
        </w:rPr>
        <w:t>والعمال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العرضيين،</w:t>
      </w:r>
      <w:r w:rsidR="00DC6C59">
        <w:rPr>
          <w:rtl/>
        </w:rPr>
        <w:t xml:space="preserve"> </w:t>
      </w:r>
      <w:r w:rsidRPr="003520EF">
        <w:rPr>
          <w:rtl/>
        </w:rPr>
        <w:t>والعمال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الموسميين،</w:t>
      </w:r>
      <w:r w:rsidR="00DC6C59">
        <w:rPr>
          <w:rtl/>
        </w:rPr>
        <w:t xml:space="preserve"> </w:t>
      </w:r>
      <w:r w:rsidRPr="003520EF">
        <w:rPr>
          <w:rtl/>
        </w:rPr>
        <w:t>والأشخاص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العاملين</w:t>
      </w:r>
      <w:r w:rsidR="00DC6C59">
        <w:rPr>
          <w:rtl/>
        </w:rPr>
        <w:t xml:space="preserve"> </w:t>
      </w:r>
      <w:r w:rsidRPr="003520EF">
        <w:rPr>
          <w:rtl/>
        </w:rPr>
        <w:t>لحسابهم</w:t>
      </w:r>
      <w:r w:rsidR="00DC6C59">
        <w:rPr>
          <w:rtl/>
        </w:rPr>
        <w:t xml:space="preserve"> </w:t>
      </w:r>
      <w:r w:rsidRPr="003520EF">
        <w:rPr>
          <w:rtl/>
        </w:rPr>
        <w:t>الخاص،</w:t>
      </w:r>
      <w:r w:rsidR="00DC6C59">
        <w:rPr>
          <w:rtl/>
        </w:rPr>
        <w:t xml:space="preserve"> </w:t>
      </w:r>
      <w:r w:rsidRPr="003520EF">
        <w:rPr>
          <w:rtl/>
        </w:rPr>
        <w:t>والأشخاص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العاملين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الاقتصاد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الرسمي.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الاستحقاقات</w:t>
      </w:r>
      <w:r w:rsidR="00DC6C59">
        <w:rPr>
          <w:rtl/>
        </w:rPr>
        <w:t xml:space="preserve"> </w:t>
      </w:r>
      <w:r w:rsidRPr="003520EF">
        <w:rPr>
          <w:rtl/>
        </w:rPr>
        <w:t>استمرار</w:t>
      </w:r>
      <w:r w:rsidR="00DC6C59">
        <w:rPr>
          <w:rtl/>
        </w:rPr>
        <w:t xml:space="preserve"> </w:t>
      </w:r>
      <w:r w:rsidRPr="003520EF">
        <w:rPr>
          <w:rtl/>
        </w:rPr>
        <w:t>مدفوعات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يتضح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مستمر،</w:t>
      </w:r>
      <w:r w:rsidR="00DC6C59">
        <w:rPr>
          <w:rtl/>
        </w:rPr>
        <w:t xml:space="preserve"> </w:t>
      </w:r>
      <w:r w:rsidRPr="003520EF">
        <w:rPr>
          <w:rtl/>
        </w:rPr>
        <w:t>وأن</w:t>
      </w:r>
      <w:r w:rsidR="00DC6C59">
        <w:rPr>
          <w:rtl/>
        </w:rPr>
        <w:t xml:space="preserve"> </w:t>
      </w:r>
      <w:r w:rsidRPr="003520EF">
        <w:rPr>
          <w:rtl/>
        </w:rPr>
        <w:t>تغطي</w:t>
      </w:r>
      <w:r w:rsidR="00DC6C59">
        <w:rPr>
          <w:rtl/>
        </w:rPr>
        <w:t xml:space="preserve"> </w:t>
      </w:r>
      <w:r w:rsidRPr="003520EF">
        <w:rPr>
          <w:rtl/>
        </w:rPr>
        <w:t>فترات</w:t>
      </w:r>
      <w:r w:rsidR="00DC6C59">
        <w:rPr>
          <w:rtl/>
        </w:rPr>
        <w:t xml:space="preserve"> </w:t>
      </w:r>
      <w:r w:rsidRPr="003520EF">
        <w:rPr>
          <w:rtl/>
        </w:rPr>
        <w:t>فقدان</w:t>
      </w:r>
      <w:r w:rsidR="00DC6C59">
        <w:rPr>
          <w:rtl/>
        </w:rPr>
        <w:t xml:space="preserve"> </w:t>
      </w:r>
      <w:r w:rsidRPr="003520EF">
        <w:rPr>
          <w:rtl/>
        </w:rPr>
        <w:t>الدخل</w:t>
      </w:r>
      <w:r w:rsidR="00DC6C59">
        <w:rPr>
          <w:rtl/>
        </w:rPr>
        <w:t xml:space="preserve"> </w:t>
      </w:r>
      <w:r w:rsidRPr="003520EF">
        <w:rPr>
          <w:rtl/>
        </w:rPr>
        <w:t>عندما</w:t>
      </w:r>
      <w:r w:rsidR="00DC6C59">
        <w:rPr>
          <w:rtl/>
        </w:rPr>
        <w:t xml:space="preserve"> </w:t>
      </w:r>
      <w:r w:rsidRPr="003520EF">
        <w:rPr>
          <w:rtl/>
        </w:rPr>
        <w:t>يطلب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المستخدَمين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عدم</w:t>
      </w:r>
      <w:r w:rsidR="00DC6C59">
        <w:rPr>
          <w:rtl/>
        </w:rPr>
        <w:t xml:space="preserve"> </w:t>
      </w:r>
      <w:r w:rsidRPr="003520EF">
        <w:rPr>
          <w:rtl/>
        </w:rPr>
        <w:t>الحضور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أثناء</w:t>
      </w:r>
      <w:r w:rsidR="00DC6C59">
        <w:rPr>
          <w:rtl/>
        </w:rPr>
        <w:t xml:space="preserve"> </w:t>
      </w:r>
      <w:r w:rsidRPr="003520EF">
        <w:rPr>
          <w:rtl/>
        </w:rPr>
        <w:t>حالة</w:t>
      </w:r>
      <w:r w:rsidR="00DC6C59">
        <w:rPr>
          <w:rtl/>
        </w:rPr>
        <w:t xml:space="preserve"> </w:t>
      </w:r>
      <w:r w:rsidRPr="003520EF">
        <w:rPr>
          <w:rtl/>
        </w:rPr>
        <w:t>صحية</w:t>
      </w:r>
      <w:r w:rsidR="00DC6C59">
        <w:rPr>
          <w:rtl/>
        </w:rPr>
        <w:t xml:space="preserve"> </w:t>
      </w:r>
      <w:r w:rsidRPr="003520EF">
        <w:rPr>
          <w:rtl/>
        </w:rPr>
        <w:t>عامة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غيرها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حالات</w:t>
      </w:r>
      <w:r w:rsidR="00DC6C59">
        <w:rPr>
          <w:rtl/>
        </w:rPr>
        <w:t xml:space="preserve"> </w:t>
      </w:r>
      <w:r w:rsidRPr="003520EF">
        <w:rPr>
          <w:rtl/>
        </w:rPr>
        <w:t>الطوارئ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4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وفي</w:t>
      </w:r>
      <w:r w:rsidR="00DC6C59">
        <w:rPr>
          <w:rtl/>
        </w:rPr>
        <w:t xml:space="preserve"> </w:t>
      </w:r>
      <w:r w:rsidRPr="003520EF">
        <w:rPr>
          <w:rtl/>
        </w:rPr>
        <w:t>حالة</w:t>
      </w:r>
      <w:r w:rsidR="00DC6C59">
        <w:rPr>
          <w:rtl/>
        </w:rPr>
        <w:t xml:space="preserve"> </w:t>
      </w:r>
      <w:r w:rsidRPr="003520EF">
        <w:rPr>
          <w:rtl/>
        </w:rPr>
        <w:t>توقف</w:t>
      </w:r>
      <w:r w:rsidR="00DC6C59">
        <w:rPr>
          <w:rtl/>
        </w:rPr>
        <w:t xml:space="preserve"> </w:t>
      </w:r>
      <w:r w:rsidRPr="003520EF">
        <w:rPr>
          <w:rtl/>
        </w:rPr>
        <w:t>العمالة،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تقديم</w:t>
      </w:r>
      <w:r w:rsidR="00DC6C59">
        <w:rPr>
          <w:rtl/>
        </w:rPr>
        <w:t xml:space="preserve"> </w:t>
      </w:r>
      <w:r w:rsidRPr="003520EF">
        <w:rPr>
          <w:rtl/>
        </w:rPr>
        <w:t>مدفوعات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جديد</w:t>
      </w:r>
      <w:r w:rsidR="00DC6C59">
        <w:rPr>
          <w:rtl/>
        </w:rPr>
        <w:t xml:space="preserve"> </w:t>
      </w:r>
      <w:r w:rsidRPr="003520EF">
        <w:rPr>
          <w:rtl/>
        </w:rPr>
        <w:t>وعلى</w:t>
      </w:r>
      <w:r w:rsidR="00DC6C59">
        <w:rPr>
          <w:rtl/>
        </w:rPr>
        <w:t xml:space="preserve"> </w:t>
      </w:r>
      <w:r w:rsidRPr="003520EF">
        <w:rPr>
          <w:rtl/>
        </w:rPr>
        <w:t>الفور.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مواصلة</w:t>
      </w:r>
      <w:r w:rsidR="00DC6C59">
        <w:rPr>
          <w:rtl/>
        </w:rPr>
        <w:t xml:space="preserve"> </w:t>
      </w:r>
      <w:r w:rsidRPr="003520EF">
        <w:rPr>
          <w:rtl/>
        </w:rPr>
        <w:t>مدفوعات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>
        <w:rPr>
          <w:rtl/>
        </w:rPr>
        <w:t xml:space="preserve"> </w:t>
      </w:r>
      <w:r w:rsidRPr="003520EF">
        <w:rPr>
          <w:rtl/>
        </w:rPr>
        <w:t>المتصلة</w:t>
      </w:r>
      <w:r w:rsidR="00DC6C59">
        <w:rPr>
          <w:rtl/>
        </w:rPr>
        <w:t xml:space="preserve"> </w:t>
      </w:r>
      <w:r w:rsidRPr="003520EF">
        <w:rPr>
          <w:rtl/>
        </w:rPr>
        <w:t>بالنفقات</w:t>
      </w:r>
      <w:r w:rsidR="00DC6C59">
        <w:rPr>
          <w:rtl/>
        </w:rPr>
        <w:t xml:space="preserve"> </w:t>
      </w:r>
      <w:r w:rsidRPr="003520EF">
        <w:rPr>
          <w:rtl/>
        </w:rPr>
        <w:t>الأساسية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بالإعاقة</w:t>
      </w:r>
      <w:r w:rsidR="00DC6C59">
        <w:rPr>
          <w:rtl/>
        </w:rPr>
        <w:t xml:space="preserve"> </w:t>
      </w:r>
      <w:r w:rsidRPr="003520EF">
        <w:rPr>
          <w:rtl/>
        </w:rPr>
        <w:t>طوال</w:t>
      </w:r>
      <w:r w:rsidR="00DC6C59">
        <w:rPr>
          <w:rtl/>
        </w:rPr>
        <w:t xml:space="preserve"> </w:t>
      </w:r>
      <w:r w:rsidRPr="003520EF">
        <w:rPr>
          <w:rtl/>
        </w:rPr>
        <w:t>فترة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الآخرين.</w:t>
      </w:r>
      <w:r w:rsidR="00DC6C59">
        <w:rPr>
          <w:rtl/>
        </w:rPr>
        <w:t xml:space="preserve"> </w:t>
      </w:r>
      <w:r w:rsidRPr="003520EF">
        <w:rPr>
          <w:rtl/>
        </w:rPr>
        <w:t>وينبغي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يشمل</w:t>
      </w:r>
      <w:r w:rsidR="00DC6C59">
        <w:rPr>
          <w:rtl/>
        </w:rPr>
        <w:t xml:space="preserve"> </w:t>
      </w:r>
      <w:r w:rsidRPr="003520EF">
        <w:rPr>
          <w:rtl/>
        </w:rPr>
        <w:t>الدعم</w:t>
      </w:r>
      <w:r w:rsidR="00DC6C59">
        <w:rPr>
          <w:rtl/>
        </w:rPr>
        <w:t xml:space="preserve"> </w:t>
      </w:r>
      <w:r w:rsidRPr="003520EF">
        <w:rPr>
          <w:rtl/>
        </w:rPr>
        <w:t>المقدم</w:t>
      </w:r>
      <w:r w:rsidR="00DC6C59">
        <w:rPr>
          <w:rtl/>
        </w:rPr>
        <w:t xml:space="preserve"> </w:t>
      </w:r>
      <w:r w:rsidRPr="003520EF">
        <w:rPr>
          <w:rtl/>
        </w:rPr>
        <w:t>أيضا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الأفراد</w:t>
      </w:r>
      <w:r w:rsidR="00DC6C59">
        <w:rPr>
          <w:rtl/>
        </w:rPr>
        <w:t xml:space="preserve"> </w:t>
      </w:r>
      <w:r w:rsidRPr="003520EF">
        <w:rPr>
          <w:rtl/>
        </w:rPr>
        <w:t>الذين</w:t>
      </w:r>
      <w:r w:rsidR="00DC6C59">
        <w:rPr>
          <w:rtl/>
        </w:rPr>
        <w:t xml:space="preserve"> </w:t>
      </w:r>
      <w:r w:rsidRPr="003520EF">
        <w:rPr>
          <w:rtl/>
        </w:rPr>
        <w:t>يدعمون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بمن</w:t>
      </w:r>
      <w:r w:rsidR="00DC6C59">
        <w:rPr>
          <w:rtl/>
        </w:rPr>
        <w:t xml:space="preserve"> </w:t>
      </w:r>
      <w:r w:rsidRPr="003520EF">
        <w:rPr>
          <w:rtl/>
        </w:rPr>
        <w:t>فيهم</w:t>
      </w:r>
      <w:r w:rsidR="00DC6C59">
        <w:rPr>
          <w:rtl/>
        </w:rPr>
        <w:t xml:space="preserve"> </w:t>
      </w:r>
      <w:r w:rsidRPr="003520EF">
        <w:rPr>
          <w:rtl/>
        </w:rPr>
        <w:t>مقدمو</w:t>
      </w:r>
      <w:r w:rsidR="00DC6C59">
        <w:rPr>
          <w:rtl/>
        </w:rPr>
        <w:t xml:space="preserve"> </w:t>
      </w:r>
      <w:r w:rsidRPr="003520EF">
        <w:rPr>
          <w:rtl/>
        </w:rPr>
        <w:t>الرعاية</w:t>
      </w:r>
      <w:r w:rsidR="00DC6C59">
        <w:rPr>
          <w:rtl/>
        </w:rPr>
        <w:t xml:space="preserve"> </w:t>
      </w:r>
      <w:r w:rsidRPr="003520EF">
        <w:rPr>
          <w:rtl/>
        </w:rPr>
        <w:t>الأولية</w:t>
      </w:r>
      <w:r w:rsidR="00DC6C59">
        <w:rPr>
          <w:rtl/>
        </w:rPr>
        <w:t xml:space="preserve"> </w:t>
      </w:r>
      <w:r w:rsidRPr="003520EF">
        <w:rPr>
          <w:rtl/>
        </w:rPr>
        <w:t>(وغالبيتهم</w:t>
      </w:r>
      <w:r w:rsidR="00DC6C59">
        <w:rPr>
          <w:rtl/>
        </w:rPr>
        <w:t xml:space="preserve"> </w:t>
      </w:r>
      <w:r w:rsidRPr="003520EF">
        <w:rPr>
          <w:rtl/>
        </w:rPr>
        <w:t>الساحقة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الإناث)</w:t>
      </w:r>
      <w:r w:rsidR="00DC6C59">
        <w:rPr>
          <w:rtl/>
        </w:rPr>
        <w:t xml:space="preserve"> </w:t>
      </w:r>
      <w:r w:rsidRPr="003520EF">
        <w:rPr>
          <w:rtl/>
        </w:rPr>
        <w:t>والأقارب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5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تعد</w:t>
      </w:r>
      <w:r w:rsidR="00DC6C59">
        <w:rPr>
          <w:rtl/>
        </w:rPr>
        <w:t xml:space="preserve"> </w:t>
      </w:r>
      <w:r w:rsidRPr="003520EF">
        <w:rPr>
          <w:rtl/>
        </w:rPr>
        <w:t>مفاهيمٌ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"عدم</w:t>
      </w:r>
      <w:r w:rsidR="00DC6C59">
        <w:rPr>
          <w:rtl/>
        </w:rPr>
        <w:t xml:space="preserve"> </w:t>
      </w:r>
      <w:r w:rsidRPr="003520EF">
        <w:rPr>
          <w:rtl/>
        </w:rPr>
        <w:t>القدرة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العمل"</w:t>
      </w:r>
      <w:r w:rsidR="00DC6C59">
        <w:rPr>
          <w:rtl/>
        </w:rPr>
        <w:t xml:space="preserve"> </w:t>
      </w:r>
      <w:r w:rsidR="003520EF" w:rsidRPr="003520EF">
        <w:rPr>
          <w:rtl/>
        </w:rPr>
        <w:t>و</w:t>
      </w:r>
      <w:r w:rsidRPr="003520EF">
        <w:rPr>
          <w:rtl/>
        </w:rPr>
        <w:t>"اللياقة</w:t>
      </w:r>
      <w:r w:rsidR="00DC6C59">
        <w:rPr>
          <w:rtl/>
        </w:rPr>
        <w:t xml:space="preserve"> </w:t>
      </w:r>
      <w:r w:rsidRPr="003520EF">
        <w:rPr>
          <w:rtl/>
        </w:rPr>
        <w:t>البدنية</w:t>
      </w:r>
      <w:r w:rsidR="00DC6C59">
        <w:rPr>
          <w:rtl/>
        </w:rPr>
        <w:t xml:space="preserve"> </w:t>
      </w:r>
      <w:r w:rsidRPr="003520EF">
        <w:rPr>
          <w:rtl/>
        </w:rPr>
        <w:t>للعمل"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عناصر</w:t>
      </w:r>
      <w:r w:rsidR="00DC6C59">
        <w:rPr>
          <w:rtl/>
        </w:rPr>
        <w:t xml:space="preserve"> </w:t>
      </w:r>
      <w:r w:rsidRPr="003520EF">
        <w:rPr>
          <w:rtl/>
        </w:rPr>
        <w:t>تصميم</w:t>
      </w:r>
      <w:r w:rsidR="00DC6C59">
        <w:rPr>
          <w:rtl/>
        </w:rPr>
        <w:t xml:space="preserve"> </w:t>
      </w:r>
      <w:r w:rsidRPr="003520EF">
        <w:rPr>
          <w:rtl/>
        </w:rPr>
        <w:t>نظم</w:t>
      </w:r>
      <w:r w:rsidR="00DC6C59">
        <w:rPr>
          <w:rtl/>
        </w:rPr>
        <w:t xml:space="preserve"> </w:t>
      </w:r>
      <w:r w:rsidRPr="003520EF">
        <w:rPr>
          <w:rtl/>
        </w:rPr>
        <w:t>الحماية</w:t>
      </w:r>
      <w:r w:rsidR="00DC6C59">
        <w:rPr>
          <w:rtl/>
        </w:rPr>
        <w:t xml:space="preserve"> </w:t>
      </w:r>
      <w:r w:rsidRPr="003520EF">
        <w:rPr>
          <w:rtl/>
        </w:rPr>
        <w:t>الاجتماعية.</w:t>
      </w:r>
      <w:r w:rsidR="00DC6C59">
        <w:rPr>
          <w:rtl/>
        </w:rPr>
        <w:t xml:space="preserve"> </w:t>
      </w:r>
      <w:r w:rsidRPr="003520EF">
        <w:rPr>
          <w:rtl/>
        </w:rPr>
        <w:t>ويتطلب</w:t>
      </w:r>
      <w:r w:rsidR="00DC6C59">
        <w:rPr>
          <w:rtl/>
        </w:rPr>
        <w:t xml:space="preserve"> </w:t>
      </w:r>
      <w:r w:rsidRPr="003520EF">
        <w:rPr>
          <w:rtl/>
        </w:rPr>
        <w:t>تنوع</w:t>
      </w:r>
      <w:r w:rsidR="00DC6C59">
        <w:rPr>
          <w:rtl/>
        </w:rPr>
        <w:t xml:space="preserve"> </w:t>
      </w:r>
      <w:r w:rsidRPr="003520EF">
        <w:rPr>
          <w:rtl/>
        </w:rPr>
        <w:t>الظروف</w:t>
      </w:r>
      <w:r w:rsidR="00DC6C59">
        <w:rPr>
          <w:rtl/>
        </w:rPr>
        <w:t xml:space="preserve"> </w:t>
      </w:r>
      <w:r w:rsidRPr="003520EF">
        <w:rPr>
          <w:rtl/>
        </w:rPr>
        <w:t>الشخصية</w:t>
      </w:r>
      <w:r w:rsidR="00DC6C59">
        <w:rPr>
          <w:rtl/>
        </w:rPr>
        <w:t xml:space="preserve"> </w:t>
      </w:r>
      <w:r w:rsidRPr="003520EF">
        <w:rPr>
          <w:rtl/>
        </w:rPr>
        <w:t>والاحتياجات</w:t>
      </w:r>
      <w:r w:rsidR="00DC6C59">
        <w:rPr>
          <w:rtl/>
        </w:rPr>
        <w:t xml:space="preserve"> </w:t>
      </w:r>
      <w:r w:rsidRPr="003520EF">
        <w:rPr>
          <w:rtl/>
        </w:rPr>
        <w:t>والحواجز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يواجهها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البحث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مأجور</w:t>
      </w:r>
      <w:r w:rsidR="00DC6C59">
        <w:rPr>
          <w:rtl/>
        </w:rPr>
        <w:t xml:space="preserve"> </w:t>
      </w:r>
      <w:r w:rsidRPr="003520EF">
        <w:rPr>
          <w:rtl/>
        </w:rPr>
        <w:t>والاحتفاظ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والعودة</w:t>
      </w:r>
      <w:r w:rsidR="00DC6C59">
        <w:rPr>
          <w:rtl/>
        </w:rPr>
        <w:t xml:space="preserve"> </w:t>
      </w:r>
      <w:r w:rsidRPr="003520EF">
        <w:rPr>
          <w:rtl/>
        </w:rPr>
        <w:t>إليه</w:t>
      </w:r>
      <w:r w:rsidR="00DC6C59">
        <w:rPr>
          <w:rtl/>
        </w:rPr>
        <w:t xml:space="preserve"> </w:t>
      </w:r>
      <w:r w:rsidRPr="003520EF">
        <w:rPr>
          <w:rtl/>
        </w:rPr>
        <w:t>تصميم</w:t>
      </w:r>
      <w:r w:rsidR="00DC6C59">
        <w:rPr>
          <w:rtl/>
        </w:rPr>
        <w:t xml:space="preserve"> </w:t>
      </w:r>
      <w:r w:rsidRPr="003520EF">
        <w:rPr>
          <w:rtl/>
        </w:rPr>
        <w:t>نظم</w:t>
      </w:r>
      <w:r w:rsidR="00DC6C59">
        <w:rPr>
          <w:rtl/>
        </w:rPr>
        <w:t xml:space="preserve"> </w:t>
      </w:r>
      <w:r w:rsidRPr="003520EF">
        <w:rPr>
          <w:rtl/>
        </w:rPr>
        <w:t>مرنة</w:t>
      </w:r>
      <w:r w:rsidR="00DC6C59">
        <w:rPr>
          <w:rtl/>
        </w:rPr>
        <w:t xml:space="preserve"> </w:t>
      </w:r>
      <w:r w:rsidRPr="003520EF">
        <w:rPr>
          <w:rtl/>
        </w:rPr>
        <w:t>للحماية</w:t>
      </w:r>
      <w:r w:rsidR="00DC6C59">
        <w:rPr>
          <w:rtl/>
        </w:rPr>
        <w:t xml:space="preserve"> </w:t>
      </w:r>
      <w:r w:rsidRPr="003520EF">
        <w:rPr>
          <w:rtl/>
        </w:rPr>
        <w:t>الاجتماعية</w:t>
      </w:r>
      <w:r w:rsidR="00DC6C59">
        <w:rPr>
          <w:rtl/>
        </w:rPr>
        <w:t xml:space="preserve"> </w:t>
      </w:r>
      <w:r w:rsidRPr="003520EF">
        <w:rPr>
          <w:rtl/>
        </w:rPr>
        <w:t>تستجيب</w:t>
      </w:r>
      <w:r w:rsidR="00DC6C59">
        <w:rPr>
          <w:rtl/>
        </w:rPr>
        <w:t xml:space="preserve"> </w:t>
      </w:r>
      <w:r w:rsidRPr="003520EF">
        <w:rPr>
          <w:rtl/>
        </w:rPr>
        <w:t>للحالات</w:t>
      </w:r>
      <w:r w:rsidR="00DC6C59">
        <w:rPr>
          <w:rtl/>
        </w:rPr>
        <w:t xml:space="preserve"> </w:t>
      </w:r>
      <w:r w:rsidRPr="003520EF">
        <w:rPr>
          <w:rtl/>
        </w:rPr>
        <w:t>الفردية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6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</w:p>
    <w:p w14:paraId="2ADBA936" w14:textId="5612B66D" w:rsidR="00DC6C59" w:rsidRPr="00DC6C59" w:rsidRDefault="00EC13CA" w:rsidP="00EC13CA">
      <w:pPr>
        <w:pStyle w:val="SingleTxtGA"/>
      </w:pPr>
      <w:r w:rsidRPr="005170C9">
        <w:rPr>
          <w:rtl/>
        </w:rPr>
        <w:lastRenderedPageBreak/>
        <w:t>79</w:t>
      </w:r>
      <w:r w:rsidRPr="003520EF">
        <w:rPr>
          <w:rtl/>
        </w:rPr>
        <w:t>-</w:t>
      </w:r>
      <w:r w:rsidRPr="003520EF">
        <w:rPr>
          <w:rtl/>
        </w:rPr>
        <w:tab/>
        <w:t>ويعتبر</w:t>
      </w:r>
      <w:r w:rsidR="00DC6C59">
        <w:rPr>
          <w:rtl/>
        </w:rPr>
        <w:t xml:space="preserve"> </w:t>
      </w:r>
      <w:r w:rsidRPr="003520EF">
        <w:rPr>
          <w:rtl/>
        </w:rPr>
        <w:t>التفاوض</w:t>
      </w:r>
      <w:r w:rsidR="00DC6C59">
        <w:rPr>
          <w:rtl/>
        </w:rPr>
        <w:t xml:space="preserve"> </w:t>
      </w:r>
      <w:r w:rsidRPr="003520EF">
        <w:rPr>
          <w:rtl/>
        </w:rPr>
        <w:t>الجماعي</w:t>
      </w:r>
      <w:r w:rsidR="00DC6C59">
        <w:rPr>
          <w:rtl/>
        </w:rPr>
        <w:t xml:space="preserve"> </w:t>
      </w:r>
      <w:r w:rsidRPr="003520EF">
        <w:rPr>
          <w:rtl/>
        </w:rPr>
        <w:t>أداة</w:t>
      </w:r>
      <w:r w:rsidR="00DC6C59">
        <w:rPr>
          <w:rtl/>
        </w:rPr>
        <w:t xml:space="preserve"> </w:t>
      </w:r>
      <w:r w:rsidRPr="003520EF">
        <w:rPr>
          <w:rtl/>
        </w:rPr>
        <w:t>ذات</w:t>
      </w:r>
      <w:r w:rsidR="00DC6C59">
        <w:rPr>
          <w:rtl/>
        </w:rPr>
        <w:t xml:space="preserve"> </w:t>
      </w:r>
      <w:r w:rsidRPr="003520EF">
        <w:rPr>
          <w:rtl/>
        </w:rPr>
        <w:t>أهمية</w:t>
      </w:r>
      <w:r w:rsidR="00DC6C59">
        <w:rPr>
          <w:rtl/>
        </w:rPr>
        <w:t xml:space="preserve"> </w:t>
      </w:r>
      <w:r w:rsidRPr="003520EF">
        <w:rPr>
          <w:rtl/>
        </w:rPr>
        <w:t>أساسية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سياسات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7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  <w:r w:rsidR="00DC6C59">
        <w:rPr>
          <w:rtl/>
        </w:rPr>
        <w:t xml:space="preserve"> </w:t>
      </w:r>
      <w:r w:rsidRPr="003520EF">
        <w:rPr>
          <w:rtl/>
        </w:rPr>
        <w:t>وتسري</w:t>
      </w:r>
      <w:r w:rsidR="00DC6C59">
        <w:rPr>
          <w:rtl/>
        </w:rPr>
        <w:t xml:space="preserve"> </w:t>
      </w:r>
      <w:r w:rsidRPr="003520EF">
        <w:rPr>
          <w:rtl/>
        </w:rPr>
        <w:t>الحقوق</w:t>
      </w:r>
      <w:r w:rsidR="00DC6C59">
        <w:rPr>
          <w:rtl/>
        </w:rPr>
        <w:t xml:space="preserve"> </w:t>
      </w:r>
      <w:r w:rsidRPr="003520EF">
        <w:rPr>
          <w:rtl/>
        </w:rPr>
        <w:t>المتصلة</w:t>
      </w:r>
      <w:r w:rsidR="00DC6C59">
        <w:rPr>
          <w:rtl/>
        </w:rPr>
        <w:t xml:space="preserve"> </w:t>
      </w:r>
      <w:r w:rsidRPr="003520EF">
        <w:rPr>
          <w:rtl/>
        </w:rPr>
        <w:t>بالنقابات</w:t>
      </w:r>
      <w:r w:rsidR="00DC6C59">
        <w:rPr>
          <w:rtl/>
        </w:rPr>
        <w:t xml:space="preserve"> </w:t>
      </w:r>
      <w:r w:rsidRPr="003520EF">
        <w:rPr>
          <w:rtl/>
        </w:rPr>
        <w:t>العمالية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بنفس</w:t>
      </w:r>
      <w:r w:rsidR="00DC6C59">
        <w:rPr>
          <w:rtl/>
        </w:rPr>
        <w:t xml:space="preserve"> </w:t>
      </w:r>
      <w:r w:rsidRPr="003520EF">
        <w:rPr>
          <w:rtl/>
        </w:rPr>
        <w:t>القدر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تسري</w:t>
      </w:r>
      <w:r w:rsidR="00DC6C59">
        <w:rPr>
          <w:rtl/>
        </w:rPr>
        <w:t xml:space="preserve"> </w:t>
      </w:r>
      <w:r w:rsidRPr="003520EF">
        <w:rPr>
          <w:rtl/>
        </w:rPr>
        <w:t>به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العمال</w:t>
      </w:r>
      <w:r w:rsidR="00DC6C59">
        <w:rPr>
          <w:rtl/>
        </w:rPr>
        <w:t xml:space="preserve"> </w:t>
      </w:r>
      <w:r w:rsidRPr="003520EF">
        <w:rPr>
          <w:rtl/>
        </w:rPr>
        <w:t>الآخرين.</w:t>
      </w:r>
      <w:r w:rsidR="00DC6C59">
        <w:rPr>
          <w:rtl/>
        </w:rPr>
        <w:t xml:space="preserve"> </w:t>
      </w:r>
      <w:r w:rsidRPr="003520EF">
        <w:rPr>
          <w:rtl/>
        </w:rPr>
        <w:t>وتعمل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3520EF">
        <w:rPr>
          <w:rtl/>
        </w:rPr>
        <w:t>)(ج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المقروءة</w:t>
      </w:r>
      <w:r w:rsidR="00DC6C59">
        <w:rPr>
          <w:rtl/>
        </w:rPr>
        <w:t xml:space="preserve"> </w:t>
      </w:r>
      <w:r w:rsidRPr="003520EF">
        <w:rPr>
          <w:rtl/>
        </w:rPr>
        <w:t>باقتران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المادة</w:t>
      </w:r>
      <w:r w:rsidR="00DC6C59">
        <w:rPr>
          <w:rtl/>
        </w:rPr>
        <w:t xml:space="preserve"> </w:t>
      </w:r>
      <w:r w:rsidRPr="005170C9">
        <w:rPr>
          <w:rtl/>
        </w:rPr>
        <w:t>29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تأكيد</w:t>
      </w:r>
      <w:r w:rsidR="00DC6C59">
        <w:rPr>
          <w:rtl/>
        </w:rPr>
        <w:t xml:space="preserve"> </w:t>
      </w:r>
      <w:r w:rsidRPr="003520EF">
        <w:rPr>
          <w:rtl/>
        </w:rPr>
        <w:t>أهمية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تكوين</w:t>
      </w:r>
      <w:r w:rsidR="00DC6C59">
        <w:rPr>
          <w:rtl/>
        </w:rPr>
        <w:t xml:space="preserve"> </w:t>
      </w:r>
      <w:r w:rsidRPr="003520EF">
        <w:rPr>
          <w:rtl/>
        </w:rPr>
        <w:t>منظمات</w:t>
      </w:r>
      <w:r w:rsidR="00DC6C59">
        <w:rPr>
          <w:rtl/>
        </w:rPr>
        <w:t xml:space="preserve"> </w:t>
      </w:r>
      <w:r w:rsidRPr="003520EF">
        <w:rPr>
          <w:rtl/>
        </w:rPr>
        <w:t>خاصة</w:t>
      </w:r>
      <w:r w:rsidR="00DC6C59">
        <w:rPr>
          <w:rtl/>
        </w:rPr>
        <w:t xml:space="preserve"> </w:t>
      </w:r>
      <w:r w:rsidRPr="003520EF">
        <w:rPr>
          <w:rtl/>
        </w:rPr>
        <w:t>بهم.</w:t>
      </w:r>
      <w:r w:rsidR="00DC6C59">
        <w:rPr>
          <w:rtl/>
        </w:rPr>
        <w:t xml:space="preserve"> </w:t>
      </w:r>
      <w:r w:rsidRPr="003520EF">
        <w:rPr>
          <w:rtl/>
        </w:rPr>
        <w:t>وإذا</w:t>
      </w:r>
      <w:r w:rsidR="00DC6C59">
        <w:rPr>
          <w:rtl/>
        </w:rPr>
        <w:t xml:space="preserve"> </w:t>
      </w:r>
      <w:r w:rsidRPr="003520EF">
        <w:rPr>
          <w:rtl/>
        </w:rPr>
        <w:t>أريد</w:t>
      </w:r>
      <w:r w:rsidR="00DC6C59">
        <w:rPr>
          <w:rtl/>
        </w:rPr>
        <w:t xml:space="preserve"> </w:t>
      </w:r>
      <w:r w:rsidRPr="003520EF">
        <w:rPr>
          <w:rtl/>
        </w:rPr>
        <w:t>لهذه</w:t>
      </w:r>
      <w:r w:rsidR="00DC6C59">
        <w:rPr>
          <w:rtl/>
        </w:rPr>
        <w:t xml:space="preserve"> </w:t>
      </w:r>
      <w:r w:rsidRPr="003520EF">
        <w:rPr>
          <w:rtl/>
        </w:rPr>
        <w:t>المنظمات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تكون</w:t>
      </w:r>
      <w:r w:rsidR="00DC6C59">
        <w:rPr>
          <w:rtl/>
        </w:rPr>
        <w:t xml:space="preserve"> </w:t>
      </w:r>
      <w:r w:rsidRPr="003520EF">
        <w:rPr>
          <w:rtl/>
        </w:rPr>
        <w:t>فعالة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النهوض</w:t>
      </w:r>
      <w:r w:rsidR="00DC6C59">
        <w:rPr>
          <w:rtl/>
        </w:rPr>
        <w:t xml:space="preserve"> </w:t>
      </w:r>
      <w:r w:rsidRPr="003520EF">
        <w:rPr>
          <w:rtl/>
        </w:rPr>
        <w:t>بالمصالح</w:t>
      </w:r>
      <w:r w:rsidR="00DC6C59">
        <w:rPr>
          <w:rtl/>
        </w:rPr>
        <w:t xml:space="preserve"> </w:t>
      </w:r>
      <w:r w:rsidRPr="003520EF">
        <w:rPr>
          <w:rtl/>
        </w:rPr>
        <w:t>الاقتصادية</w:t>
      </w:r>
      <w:r w:rsidR="00DC6C59">
        <w:rPr>
          <w:rtl/>
        </w:rPr>
        <w:t xml:space="preserve"> </w:t>
      </w:r>
      <w:r w:rsidRPr="003520EF">
        <w:rPr>
          <w:rtl/>
        </w:rPr>
        <w:t>والاجتماعية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وحمايتها،</w:t>
      </w:r>
      <w:r w:rsidR="00DC6C59">
        <w:rPr>
          <w:rtl/>
        </w:rPr>
        <w:t xml:space="preserve"> </w:t>
      </w:r>
      <w:r w:rsidRPr="003520EF">
        <w:rPr>
          <w:rtl/>
        </w:rPr>
        <w:t>فينبغي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تستشيرها</w:t>
      </w:r>
      <w:r w:rsidR="00DC6C59">
        <w:rPr>
          <w:rtl/>
        </w:rPr>
        <w:t xml:space="preserve"> </w:t>
      </w:r>
      <w:r w:rsidRPr="003520EF">
        <w:rPr>
          <w:rtl/>
        </w:rPr>
        <w:t>الهيئات</w:t>
      </w:r>
      <w:r w:rsidR="00DC6C59">
        <w:rPr>
          <w:rtl/>
        </w:rPr>
        <w:t xml:space="preserve"> </w:t>
      </w:r>
      <w:r w:rsidRPr="003520EF">
        <w:rPr>
          <w:rtl/>
        </w:rPr>
        <w:t>الحكومية</w:t>
      </w:r>
      <w:r w:rsidR="00DC6C59">
        <w:rPr>
          <w:rtl/>
        </w:rPr>
        <w:t xml:space="preserve"> </w:t>
      </w:r>
      <w:r w:rsidRPr="003520EF">
        <w:rPr>
          <w:rtl/>
        </w:rPr>
        <w:t>وغيرها</w:t>
      </w:r>
      <w:r w:rsidR="00DC6C59">
        <w:rPr>
          <w:rtl/>
        </w:rPr>
        <w:t xml:space="preserve"> </w:t>
      </w:r>
      <w:r w:rsidRPr="003520EF">
        <w:rPr>
          <w:rtl/>
        </w:rPr>
        <w:t>بصفة</w:t>
      </w:r>
      <w:r w:rsidR="00DC6C59">
        <w:rPr>
          <w:rtl/>
        </w:rPr>
        <w:t xml:space="preserve"> </w:t>
      </w:r>
      <w:r w:rsidRPr="003520EF">
        <w:rPr>
          <w:rtl/>
        </w:rPr>
        <w:t>منتظمة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بجميع</w:t>
      </w:r>
      <w:r w:rsidR="00DC6C59">
        <w:rPr>
          <w:rtl/>
        </w:rPr>
        <w:t xml:space="preserve"> </w:t>
      </w:r>
      <w:r w:rsidRPr="003520EF">
        <w:rPr>
          <w:rtl/>
        </w:rPr>
        <w:t>المسائل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لها</w:t>
      </w:r>
      <w:r w:rsidR="00DC6C59">
        <w:rPr>
          <w:rtl/>
        </w:rPr>
        <w:t xml:space="preserve"> </w:t>
      </w:r>
      <w:r w:rsidRPr="003520EF">
        <w:rPr>
          <w:rtl/>
        </w:rPr>
        <w:t>تأثير</w:t>
      </w:r>
      <w:r w:rsidR="00DC6C59">
        <w:rPr>
          <w:rtl/>
        </w:rPr>
        <w:t xml:space="preserve"> </w:t>
      </w:r>
      <w:r w:rsidRPr="003520EF">
        <w:rPr>
          <w:rtl/>
        </w:rPr>
        <w:t>عليها.</w:t>
      </w:r>
      <w:r w:rsidR="00DC6C59">
        <w:rPr>
          <w:rtl/>
        </w:rPr>
        <w:t xml:space="preserve"> </w:t>
      </w:r>
      <w:r w:rsidRPr="003520EF">
        <w:rPr>
          <w:rtl/>
        </w:rPr>
        <w:t>وقد</w:t>
      </w:r>
      <w:r w:rsidR="00DC6C59">
        <w:rPr>
          <w:rtl/>
        </w:rPr>
        <w:t xml:space="preserve"> </w:t>
      </w:r>
      <w:r w:rsidRPr="003520EF">
        <w:rPr>
          <w:rtl/>
        </w:rPr>
        <w:t>يكون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الضروري</w:t>
      </w:r>
      <w:r w:rsidR="00DC6C59">
        <w:rPr>
          <w:rtl/>
        </w:rPr>
        <w:t xml:space="preserve"> </w:t>
      </w:r>
      <w:r w:rsidRPr="003520EF">
        <w:rPr>
          <w:rtl/>
        </w:rPr>
        <w:t>أيضاً</w:t>
      </w:r>
      <w:r w:rsidR="00DC6C59">
        <w:rPr>
          <w:rtl/>
        </w:rPr>
        <w:t xml:space="preserve"> </w:t>
      </w:r>
      <w:r w:rsidRPr="003520EF">
        <w:rPr>
          <w:rtl/>
        </w:rPr>
        <w:t>دعم</w:t>
      </w:r>
      <w:r w:rsidR="00DC6C59">
        <w:rPr>
          <w:rtl/>
        </w:rPr>
        <w:t xml:space="preserve"> </w:t>
      </w:r>
      <w:r w:rsidRPr="003520EF">
        <w:rPr>
          <w:rtl/>
        </w:rPr>
        <w:t>هذه</w:t>
      </w:r>
      <w:r w:rsidR="00DC6C59">
        <w:rPr>
          <w:rtl/>
        </w:rPr>
        <w:t xml:space="preserve"> </w:t>
      </w:r>
      <w:r w:rsidRPr="003520EF">
        <w:rPr>
          <w:rtl/>
        </w:rPr>
        <w:t>المنظمات</w:t>
      </w:r>
      <w:r w:rsidR="00DC6C59">
        <w:rPr>
          <w:rtl/>
        </w:rPr>
        <w:t xml:space="preserve"> </w:t>
      </w:r>
      <w:r w:rsidRPr="003520EF">
        <w:rPr>
          <w:rtl/>
        </w:rPr>
        <w:t>ماليا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حتى</w:t>
      </w:r>
      <w:r w:rsidR="00DC6C59">
        <w:rPr>
          <w:rtl/>
        </w:rPr>
        <w:t xml:space="preserve"> </w:t>
      </w:r>
      <w:r w:rsidRPr="003520EF">
        <w:rPr>
          <w:rtl/>
        </w:rPr>
        <w:t>تضمن</w:t>
      </w:r>
      <w:r w:rsidR="00DC6C59">
        <w:rPr>
          <w:rtl/>
        </w:rPr>
        <w:t xml:space="preserve"> </w:t>
      </w:r>
      <w:r w:rsidRPr="003520EF">
        <w:rPr>
          <w:rtl/>
        </w:rPr>
        <w:t>البقاء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68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tl/>
        </w:rPr>
        <w:t>.</w:t>
      </w:r>
    </w:p>
    <w:p w14:paraId="5C0DD123" w14:textId="26ED4B91" w:rsidR="00EC13CA" w:rsidRPr="003520EF" w:rsidRDefault="00EC13CA" w:rsidP="00EC13CA">
      <w:pPr>
        <w:pStyle w:val="SingleTxtGA"/>
      </w:pPr>
      <w:r w:rsidRPr="005170C9">
        <w:rPr>
          <w:rtl/>
        </w:rPr>
        <w:t>80</w:t>
      </w:r>
      <w:r w:rsidRPr="003520EF">
        <w:rPr>
          <w:rtl/>
        </w:rPr>
        <w:t>-</w:t>
      </w:r>
      <w:r w:rsidRPr="003520EF">
        <w:rPr>
          <w:rtl/>
        </w:rPr>
        <w:tab/>
        <w:t>ومن</w:t>
      </w:r>
      <w:r w:rsidR="00DC6C59">
        <w:rPr>
          <w:rtl/>
        </w:rPr>
        <w:t xml:space="preserve"> </w:t>
      </w:r>
      <w:r w:rsidRPr="003520EF">
        <w:rPr>
          <w:rtl/>
        </w:rPr>
        <w:t>الضروري</w:t>
      </w:r>
      <w:r w:rsidR="00DC6C59">
        <w:rPr>
          <w:rtl/>
        </w:rPr>
        <w:t xml:space="preserve"> </w:t>
      </w:r>
      <w:r w:rsidRPr="003520EF">
        <w:rPr>
          <w:rtl/>
        </w:rPr>
        <w:t>جمع</w:t>
      </w:r>
      <w:r w:rsidR="00DC6C59">
        <w:rPr>
          <w:rtl/>
        </w:rPr>
        <w:t xml:space="preserve"> </w:t>
      </w:r>
      <w:r w:rsidRPr="003520EF">
        <w:rPr>
          <w:rtl/>
        </w:rPr>
        <w:t>وتحليل</w:t>
      </w:r>
      <w:r w:rsidR="00DC6C59">
        <w:rPr>
          <w:rtl/>
        </w:rPr>
        <w:t xml:space="preserve"> </w:t>
      </w:r>
      <w:r w:rsidRPr="003520EF">
        <w:rPr>
          <w:rtl/>
        </w:rPr>
        <w:t>البيانات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31</w:t>
      </w:r>
      <w:r w:rsidR="00DC6C59" w:rsidRPr="00DC6C59">
        <w:rPr>
          <w:rtl/>
        </w:rPr>
        <w:t>)،</w:t>
      </w:r>
      <w:r w:rsidR="00DC6C59">
        <w:rPr>
          <w:rtl/>
        </w:rPr>
        <w:t xml:space="preserve"> </w:t>
      </w:r>
      <w:r w:rsidRPr="003520EF">
        <w:rPr>
          <w:rtl/>
        </w:rPr>
        <w:t>المصنفة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أشكال</w:t>
      </w:r>
      <w:r w:rsidR="00DC6C59">
        <w:rPr>
          <w:rtl/>
        </w:rPr>
        <w:t xml:space="preserve"> </w:t>
      </w:r>
      <w:r w:rsidRPr="003520EF">
        <w:rPr>
          <w:rtl/>
        </w:rPr>
        <w:t>التمييز،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المتعدد</w:t>
      </w:r>
      <w:r w:rsidR="00DC6C59">
        <w:rPr>
          <w:rtl/>
        </w:rPr>
        <w:t xml:space="preserve"> </w:t>
      </w:r>
      <w:r w:rsidRPr="003520EF">
        <w:rPr>
          <w:rtl/>
        </w:rPr>
        <w:t>والمتقاطع،</w:t>
      </w:r>
      <w:r w:rsidR="00DC6C59">
        <w:rPr>
          <w:rtl/>
        </w:rPr>
        <w:t xml:space="preserve"> </w:t>
      </w:r>
      <w:r w:rsidRPr="003520EF">
        <w:rPr>
          <w:rtl/>
        </w:rPr>
        <w:t>لرصد</w:t>
      </w:r>
      <w:r w:rsidR="00DC6C59">
        <w:rPr>
          <w:rtl/>
        </w:rPr>
        <w:t xml:space="preserve"> </w:t>
      </w:r>
      <w:r w:rsidRPr="003520EF">
        <w:rPr>
          <w:rtl/>
        </w:rPr>
        <w:t>الحواجز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تحول</w:t>
      </w:r>
      <w:r w:rsidR="00DC6C59">
        <w:rPr>
          <w:rtl/>
        </w:rPr>
        <w:t xml:space="preserve"> </w:t>
      </w:r>
      <w:r w:rsidRPr="003520EF">
        <w:rPr>
          <w:rtl/>
        </w:rPr>
        <w:t>دون</w:t>
      </w:r>
      <w:r w:rsidR="00DC6C59">
        <w:rPr>
          <w:rtl/>
        </w:rPr>
        <w:t xml:space="preserve"> </w:t>
      </w:r>
      <w:r w:rsidRPr="003520EF">
        <w:rPr>
          <w:rtl/>
        </w:rPr>
        <w:t>توظيف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الآخرين.</w:t>
      </w:r>
      <w:r w:rsidR="00DC6C59">
        <w:rPr>
          <w:rtl/>
        </w:rPr>
        <w:t xml:space="preserve"> </w:t>
      </w:r>
      <w:r w:rsidRPr="003520EF">
        <w:rPr>
          <w:rtl/>
        </w:rPr>
        <w:t>وتتيح</w:t>
      </w:r>
      <w:r w:rsidR="00DC6C59">
        <w:rPr>
          <w:rtl/>
        </w:rPr>
        <w:t xml:space="preserve"> </w:t>
      </w:r>
      <w:r w:rsidRPr="003520EF">
        <w:rPr>
          <w:rtl/>
        </w:rPr>
        <w:t>البيانات</w:t>
      </w:r>
      <w:r w:rsidR="00DC6C59">
        <w:rPr>
          <w:rtl/>
        </w:rPr>
        <w:t xml:space="preserve"> </w:t>
      </w:r>
      <w:r w:rsidRPr="003520EF">
        <w:rPr>
          <w:rtl/>
        </w:rPr>
        <w:t>المصنفة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النحو</w:t>
      </w:r>
      <w:r w:rsidR="00DC6C59">
        <w:rPr>
          <w:rtl/>
        </w:rPr>
        <w:t xml:space="preserve"> </w:t>
      </w:r>
      <w:r w:rsidRPr="003520EF">
        <w:rPr>
          <w:rtl/>
        </w:rPr>
        <w:t>الملائم</w:t>
      </w:r>
      <w:r w:rsidR="00DC6C59">
        <w:rPr>
          <w:rtl/>
        </w:rPr>
        <w:t xml:space="preserve"> </w:t>
      </w:r>
      <w:r w:rsidRPr="003520EF">
        <w:rPr>
          <w:rtl/>
        </w:rPr>
        <w:t>أيضا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العاملين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الاقتصاد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الرسمي</w:t>
      </w:r>
      <w:r w:rsidR="00DC6C59">
        <w:rPr>
          <w:rtl/>
        </w:rPr>
        <w:t xml:space="preserve"> </w:t>
      </w:r>
      <w:r w:rsidRPr="003520EF">
        <w:rPr>
          <w:rtl/>
        </w:rPr>
        <w:t>والحواجز</w:t>
      </w:r>
      <w:r w:rsidR="00DC6C59">
        <w:rPr>
          <w:rtl/>
        </w:rPr>
        <w:t xml:space="preserve"> </w:t>
      </w:r>
      <w:r w:rsidRPr="003520EF">
        <w:rPr>
          <w:rtl/>
        </w:rPr>
        <w:t>المتصلة</w:t>
      </w:r>
      <w:r w:rsidR="00DC6C59">
        <w:rPr>
          <w:rtl/>
        </w:rPr>
        <w:t xml:space="preserve"> </w:t>
      </w:r>
      <w:r w:rsidRPr="003520EF">
        <w:rPr>
          <w:rtl/>
        </w:rPr>
        <w:t>بالعمل</w:t>
      </w:r>
      <w:r w:rsidR="00DC6C59">
        <w:rPr>
          <w:rtl/>
        </w:rPr>
        <w:t xml:space="preserve"> </w:t>
      </w:r>
      <w:r w:rsidRPr="003520EF">
        <w:rPr>
          <w:rtl/>
        </w:rPr>
        <w:t>الحر</w:t>
      </w:r>
      <w:r w:rsidR="00DC6C59">
        <w:rPr>
          <w:rtl/>
        </w:rPr>
        <w:t xml:space="preserve"> </w:t>
      </w:r>
      <w:r w:rsidRPr="003520EF">
        <w:rPr>
          <w:rtl/>
        </w:rPr>
        <w:t>وريادة</w:t>
      </w:r>
      <w:r w:rsidR="00DC6C59">
        <w:rPr>
          <w:rtl/>
        </w:rPr>
        <w:t xml:space="preserve"> </w:t>
      </w:r>
      <w:r w:rsidRPr="003520EF">
        <w:rPr>
          <w:rtl/>
        </w:rPr>
        <w:t>الأعمال.</w:t>
      </w:r>
    </w:p>
    <w:p w14:paraId="191D0987" w14:textId="7878B697" w:rsidR="00EC13CA" w:rsidRPr="005170C9" w:rsidRDefault="00EC13CA" w:rsidP="00EC13CA">
      <w:pPr>
        <w:pStyle w:val="SingleTxtGA"/>
      </w:pPr>
      <w:r w:rsidRPr="005170C9">
        <w:rPr>
          <w:rtl/>
        </w:rPr>
        <w:t>81</w:t>
      </w:r>
      <w:r w:rsidRPr="003520EF">
        <w:rPr>
          <w:rtl/>
        </w:rPr>
        <w:t>-</w:t>
      </w:r>
      <w:r w:rsidRPr="003520EF">
        <w:rPr>
          <w:rtl/>
        </w:rPr>
        <w:tab/>
        <w:t>والتعاون</w:t>
      </w:r>
      <w:r w:rsidR="00DC6C59">
        <w:rPr>
          <w:rtl/>
        </w:rPr>
        <w:t xml:space="preserve"> </w:t>
      </w:r>
      <w:r w:rsidRPr="003520EF">
        <w:rPr>
          <w:rtl/>
        </w:rPr>
        <w:t>الدولي</w:t>
      </w:r>
      <w:r w:rsidR="00DC6C59">
        <w:rPr>
          <w:rtl/>
        </w:rPr>
        <w:t xml:space="preserve"> </w:t>
      </w:r>
      <w:r w:rsidRPr="003520EF">
        <w:rPr>
          <w:rtl/>
        </w:rPr>
        <w:t>(المادة</w:t>
      </w:r>
      <w:r w:rsidR="00DC6C59">
        <w:rPr>
          <w:rtl/>
        </w:rPr>
        <w:t xml:space="preserve"> </w:t>
      </w:r>
      <w:r w:rsidRPr="005170C9">
        <w:rPr>
          <w:rtl/>
        </w:rPr>
        <w:t>3</w:t>
      </w:r>
      <w:r w:rsidR="00DC6C59" w:rsidRPr="005170C9">
        <w:rPr>
          <w:rtl/>
        </w:rPr>
        <w:t>2</w:t>
      </w:r>
      <w:r w:rsidR="00DC6C59" w:rsidRPr="00DC6C59">
        <w:rPr>
          <w:rtl/>
        </w:rPr>
        <w:t>)</w:t>
      </w:r>
      <w:r w:rsidR="00DC6C59">
        <w:rPr>
          <w:rtl/>
        </w:rPr>
        <w:t xml:space="preserve"> </w:t>
      </w:r>
      <w:r w:rsidRPr="003520EF">
        <w:rPr>
          <w:rtl/>
        </w:rPr>
        <w:t>أساسي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حيث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الجهود</w:t>
      </w:r>
      <w:r w:rsidR="00DC6C59">
        <w:rPr>
          <w:rtl/>
        </w:rPr>
        <w:t xml:space="preserve"> </w:t>
      </w:r>
      <w:r w:rsidRPr="003520EF">
        <w:rPr>
          <w:rtl/>
        </w:rPr>
        <w:t>الوطنية</w:t>
      </w:r>
      <w:r w:rsidR="00DC6C59">
        <w:rPr>
          <w:rtl/>
        </w:rPr>
        <w:t xml:space="preserve"> </w:t>
      </w:r>
      <w:r w:rsidRPr="003520EF">
        <w:rPr>
          <w:rtl/>
        </w:rPr>
        <w:t>الرامية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إعمال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ودفع</w:t>
      </w:r>
      <w:r w:rsidR="00DC6C59">
        <w:rPr>
          <w:rtl/>
        </w:rPr>
        <w:t xml:space="preserve"> </w:t>
      </w:r>
      <w:r w:rsidRPr="003520EF">
        <w:rPr>
          <w:rtl/>
        </w:rPr>
        <w:t>عجلة</w:t>
      </w:r>
      <w:r w:rsidR="00DC6C59">
        <w:rPr>
          <w:rtl/>
        </w:rPr>
        <w:t xml:space="preserve"> </w:t>
      </w:r>
      <w:r w:rsidRPr="003520EF">
        <w:rPr>
          <w:rtl/>
        </w:rPr>
        <w:t>التقدم</w:t>
      </w:r>
      <w:r w:rsidR="00DC6C59">
        <w:rPr>
          <w:rtl/>
        </w:rPr>
        <w:t xml:space="preserve"> </w:t>
      </w:r>
      <w:r w:rsidRPr="003520EF">
        <w:rPr>
          <w:rtl/>
        </w:rPr>
        <w:t>نحو</w:t>
      </w:r>
      <w:r w:rsidR="00DC6C59">
        <w:rPr>
          <w:rtl/>
        </w:rPr>
        <w:t xml:space="preserve"> </w:t>
      </w:r>
      <w:r w:rsidRPr="003520EF">
        <w:rPr>
          <w:rtl/>
        </w:rPr>
        <w:t>تحقيق</w:t>
      </w:r>
      <w:r w:rsidR="00DC6C59">
        <w:rPr>
          <w:rtl/>
        </w:rPr>
        <w:t xml:space="preserve"> </w:t>
      </w:r>
      <w:r w:rsidRPr="003520EF">
        <w:rPr>
          <w:rtl/>
        </w:rPr>
        <w:t>أهداف</w:t>
      </w:r>
      <w:r w:rsidR="00DC6C59">
        <w:rPr>
          <w:rtl/>
        </w:rPr>
        <w:t xml:space="preserve"> </w:t>
      </w:r>
      <w:r w:rsidRPr="003520EF">
        <w:rPr>
          <w:rtl/>
        </w:rPr>
        <w:t>التنمية</w:t>
      </w:r>
      <w:r w:rsidR="00DC6C59">
        <w:rPr>
          <w:rtl/>
        </w:rPr>
        <w:t xml:space="preserve"> </w:t>
      </w:r>
      <w:r w:rsidRPr="003520EF">
        <w:rPr>
          <w:rtl/>
        </w:rPr>
        <w:t>المستدامة،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سيما</w:t>
      </w:r>
      <w:r w:rsidR="00DC6C59">
        <w:rPr>
          <w:rtl/>
        </w:rPr>
        <w:t xml:space="preserve"> </w:t>
      </w:r>
      <w:r w:rsidRPr="003520EF">
        <w:rPr>
          <w:rtl/>
        </w:rPr>
        <w:t>الغاية</w:t>
      </w:r>
      <w:r w:rsidR="00DC6C59">
        <w:rPr>
          <w:rtl/>
        </w:rPr>
        <w:t xml:space="preserve"> </w:t>
      </w:r>
      <w:r w:rsidRPr="005170C9">
        <w:rPr>
          <w:rtl/>
        </w:rPr>
        <w:t>8</w:t>
      </w:r>
      <w:r w:rsidRPr="003520EF">
        <w:rPr>
          <w:rtl/>
        </w:rPr>
        <w:t>-</w:t>
      </w:r>
      <w:r w:rsidRPr="005170C9">
        <w:rPr>
          <w:rtl/>
        </w:rPr>
        <w:t>5</w:t>
      </w:r>
      <w:r w:rsidR="00DC6C59">
        <w:rPr>
          <w:rtl/>
        </w:rPr>
        <w:t xml:space="preserve"> </w:t>
      </w:r>
      <w:r w:rsidRPr="003520EF">
        <w:rPr>
          <w:rtl/>
        </w:rPr>
        <w:t>منها،</w:t>
      </w:r>
      <w:r w:rsidR="00DC6C59">
        <w:rPr>
          <w:rtl/>
        </w:rPr>
        <w:t xml:space="preserve"> </w:t>
      </w:r>
      <w:r w:rsidRPr="003520EF">
        <w:rPr>
          <w:rtl/>
        </w:rPr>
        <w:t>المتعلقة</w:t>
      </w:r>
      <w:r w:rsidR="00DC6C59">
        <w:rPr>
          <w:rtl/>
        </w:rPr>
        <w:t xml:space="preserve"> </w:t>
      </w:r>
      <w:r w:rsidRPr="003520EF">
        <w:rPr>
          <w:rtl/>
        </w:rPr>
        <w:t>بتحقيق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الكاملة</w:t>
      </w:r>
      <w:r w:rsidR="00DC6C59">
        <w:rPr>
          <w:rtl/>
        </w:rPr>
        <w:t xml:space="preserve"> </w:t>
      </w:r>
      <w:r w:rsidRPr="003520EF">
        <w:rPr>
          <w:rtl/>
        </w:rPr>
        <w:t>والمنتجة</w:t>
      </w:r>
      <w:r w:rsidR="00DC6C59">
        <w:rPr>
          <w:rtl/>
        </w:rPr>
        <w:t xml:space="preserve"> </w:t>
      </w:r>
      <w:r w:rsidRPr="003520EF">
        <w:rPr>
          <w:rtl/>
        </w:rPr>
        <w:t>وتوفير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اللائق</w:t>
      </w:r>
      <w:r w:rsidR="00DC6C59">
        <w:rPr>
          <w:rtl/>
        </w:rPr>
        <w:t xml:space="preserve"> </w:t>
      </w:r>
      <w:r w:rsidRPr="003520EF">
        <w:rPr>
          <w:rtl/>
        </w:rPr>
        <w:t>لجميع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وتكافؤ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>
        <w:rPr>
          <w:rtl/>
        </w:rPr>
        <w:t xml:space="preserve"> </w:t>
      </w:r>
      <w:r w:rsidRPr="003520EF">
        <w:rPr>
          <w:rtl/>
        </w:rPr>
        <w:t>لقاء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المتكافئ</w:t>
      </w:r>
      <w:r w:rsidR="00DC6C59">
        <w:rPr>
          <w:rtl/>
        </w:rPr>
        <w:t xml:space="preserve"> </w:t>
      </w:r>
      <w:r w:rsidRPr="003520EF">
        <w:rPr>
          <w:rtl/>
        </w:rPr>
        <w:t>القيمة.</w:t>
      </w:r>
      <w:r w:rsidR="00DC6C59">
        <w:rPr>
          <w:rtl/>
        </w:rPr>
        <w:t xml:space="preserve"> </w:t>
      </w:r>
      <w:r w:rsidRPr="003520EF">
        <w:rPr>
          <w:rtl/>
        </w:rPr>
        <w:t>والتعاون</w:t>
      </w:r>
      <w:r w:rsidR="00DC6C59">
        <w:rPr>
          <w:rtl/>
        </w:rPr>
        <w:t xml:space="preserve"> </w:t>
      </w:r>
      <w:r w:rsidRPr="003520EF">
        <w:rPr>
          <w:rtl/>
        </w:rPr>
        <w:t>الدولي</w:t>
      </w:r>
      <w:r w:rsidR="00DC6C59">
        <w:rPr>
          <w:rtl/>
        </w:rPr>
        <w:t xml:space="preserve"> </w:t>
      </w:r>
      <w:r w:rsidRPr="003520EF">
        <w:rPr>
          <w:rtl/>
        </w:rPr>
        <w:t>أساسي</w:t>
      </w:r>
      <w:r w:rsidR="00DC6C59">
        <w:rPr>
          <w:rtl/>
        </w:rPr>
        <w:t xml:space="preserve"> </w:t>
      </w:r>
      <w:r w:rsidRPr="003520EF">
        <w:rPr>
          <w:rtl/>
        </w:rPr>
        <w:t>أيضا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حيث</w:t>
      </w:r>
      <w:r w:rsidR="00DC6C59">
        <w:rPr>
          <w:rtl/>
        </w:rPr>
        <w:t xml:space="preserve"> </w:t>
      </w:r>
      <w:r w:rsidRPr="003520EF">
        <w:rPr>
          <w:rtl/>
        </w:rPr>
        <w:t>التصدي</w:t>
      </w:r>
      <w:r w:rsidR="00DC6C59">
        <w:rPr>
          <w:rtl/>
        </w:rPr>
        <w:t xml:space="preserve"> </w:t>
      </w:r>
      <w:r w:rsidRPr="003520EF">
        <w:rPr>
          <w:rtl/>
        </w:rPr>
        <w:t>لعدم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الحصول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التكنولوجيات</w:t>
      </w:r>
      <w:r w:rsidR="00DC6C59">
        <w:rPr>
          <w:rtl/>
        </w:rPr>
        <w:t xml:space="preserve"> </w:t>
      </w:r>
      <w:r w:rsidRPr="003520EF">
        <w:rPr>
          <w:rtl/>
        </w:rPr>
        <w:t>المساعدة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البيئات</w:t>
      </w:r>
      <w:r w:rsidR="00DC6C59">
        <w:rPr>
          <w:rtl/>
        </w:rPr>
        <w:t xml:space="preserve"> </w:t>
      </w:r>
      <w:r w:rsidRPr="003520EF">
        <w:rPr>
          <w:rtl/>
        </w:rPr>
        <w:t>الشحيحة</w:t>
      </w:r>
      <w:r w:rsidR="00DC6C59">
        <w:rPr>
          <w:rtl/>
        </w:rPr>
        <w:t xml:space="preserve"> </w:t>
      </w:r>
      <w:r w:rsidRPr="003520EF">
        <w:rPr>
          <w:rtl/>
        </w:rPr>
        <w:t>الموارد،</w:t>
      </w:r>
      <w:r w:rsidR="00DC6C59">
        <w:rPr>
          <w:rtl/>
        </w:rPr>
        <w:t xml:space="preserve"> </w:t>
      </w:r>
      <w:r w:rsidRPr="003520EF">
        <w:rPr>
          <w:rtl/>
        </w:rPr>
        <w:t>حتى</w:t>
      </w:r>
      <w:r w:rsidR="00DC6C59">
        <w:rPr>
          <w:rtl/>
        </w:rPr>
        <w:t xml:space="preserve"> </w:t>
      </w:r>
      <w:r w:rsidRPr="003520EF">
        <w:rPr>
          <w:rtl/>
        </w:rPr>
        <w:t>يتمكن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المشاركة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الآخرين.</w:t>
      </w:r>
      <w:bookmarkStart w:id="28" w:name="_Hlk110259140"/>
    </w:p>
    <w:bookmarkEnd w:id="28"/>
    <w:p w14:paraId="0A034368" w14:textId="33207741" w:rsidR="00EC13CA" w:rsidRPr="005170C9" w:rsidRDefault="00EC13CA" w:rsidP="00EC13CA">
      <w:pPr>
        <w:pStyle w:val="HChGA"/>
      </w:pPr>
      <w:r w:rsidRPr="005170C9">
        <w:rPr>
          <w:rtl/>
        </w:rPr>
        <w:tab/>
        <w:t>سادسا</w:t>
      </w:r>
      <w:r w:rsidRPr="005170C9">
        <w:rPr>
          <w:rFonts w:hint="cs"/>
          <w:rtl/>
        </w:rPr>
        <w:t>ً</w:t>
      </w:r>
      <w:r w:rsidRPr="005170C9">
        <w:rPr>
          <w:rtl/>
        </w:rPr>
        <w:t>-</w:t>
      </w:r>
      <w:r w:rsidRPr="005170C9">
        <w:rPr>
          <w:rtl/>
        </w:rPr>
        <w:tab/>
        <w:t>التنفيذ</w:t>
      </w:r>
      <w:r w:rsidR="00DC6C59" w:rsidRPr="005170C9">
        <w:rPr>
          <w:rtl/>
        </w:rPr>
        <w:t xml:space="preserve"> </w:t>
      </w:r>
      <w:r w:rsidRPr="005170C9">
        <w:rPr>
          <w:rtl/>
        </w:rPr>
        <w:t>على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الصعيد</w:t>
      </w:r>
      <w:r w:rsidR="00DC6C59" w:rsidRPr="005170C9">
        <w:rPr>
          <w:rtl/>
        </w:rPr>
        <w:t xml:space="preserve"> </w:t>
      </w:r>
      <w:r w:rsidRPr="005170C9">
        <w:rPr>
          <w:rtl/>
        </w:rPr>
        <w:t>الوطني</w:t>
      </w:r>
    </w:p>
    <w:p w14:paraId="3A3DAB92" w14:textId="15D58B81" w:rsidR="00EC13CA" w:rsidRPr="003520EF" w:rsidRDefault="00EC13CA" w:rsidP="00EC13CA">
      <w:pPr>
        <w:pStyle w:val="SingleTxtGA"/>
      </w:pPr>
      <w:r w:rsidRPr="005170C9">
        <w:rPr>
          <w:rtl/>
        </w:rPr>
        <w:t>82</w:t>
      </w:r>
      <w:r w:rsidRPr="003520EF">
        <w:rPr>
          <w:rtl/>
        </w:rPr>
        <w:t>-</w:t>
      </w:r>
      <w:r w:rsidRPr="003520EF">
        <w:rPr>
          <w:rtl/>
        </w:rPr>
        <w:tab/>
        <w:t>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وبالإضافة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إعمال</w:t>
      </w:r>
      <w:r w:rsidR="00DC6C59">
        <w:rPr>
          <w:rtl/>
        </w:rPr>
        <w:t xml:space="preserve"> </w:t>
      </w:r>
      <w:r w:rsidRPr="003520EF">
        <w:rPr>
          <w:rtl/>
        </w:rPr>
        <w:t>المضمون</w:t>
      </w:r>
      <w:r w:rsidR="00DC6C59">
        <w:rPr>
          <w:rtl/>
        </w:rPr>
        <w:t xml:space="preserve"> </w:t>
      </w:r>
      <w:r w:rsidRPr="003520EF">
        <w:rPr>
          <w:rtl/>
        </w:rPr>
        <w:t>المعياري</w:t>
      </w:r>
      <w:r w:rsidR="00DC6C59">
        <w:rPr>
          <w:rtl/>
        </w:rPr>
        <w:t xml:space="preserve"> </w:t>
      </w:r>
      <w:r w:rsidRPr="003520EF">
        <w:rPr>
          <w:rtl/>
        </w:rPr>
        <w:t>والوفاء</w:t>
      </w:r>
      <w:r w:rsidR="00DC6C59">
        <w:rPr>
          <w:rtl/>
        </w:rPr>
        <w:t xml:space="preserve"> </w:t>
      </w:r>
      <w:r w:rsidRPr="003520EF">
        <w:rPr>
          <w:rtl/>
        </w:rPr>
        <w:t>بالالتزامات</w:t>
      </w:r>
      <w:r w:rsidR="00DC6C59">
        <w:rPr>
          <w:rtl/>
        </w:rPr>
        <w:t xml:space="preserve"> </w:t>
      </w:r>
      <w:r w:rsidRPr="003520EF">
        <w:rPr>
          <w:rtl/>
        </w:rPr>
        <w:t>المبينة</w:t>
      </w:r>
      <w:r w:rsidR="00DC6C59">
        <w:rPr>
          <w:rtl/>
        </w:rPr>
        <w:t xml:space="preserve"> </w:t>
      </w:r>
      <w:r w:rsidRPr="003520EF">
        <w:rPr>
          <w:rtl/>
        </w:rPr>
        <w:t>أعلاه،</w:t>
      </w:r>
      <w:r w:rsidR="00DC6C59">
        <w:rPr>
          <w:rtl/>
        </w:rPr>
        <w:t xml:space="preserve"> </w:t>
      </w:r>
      <w:r w:rsidRPr="003520EF">
        <w:rPr>
          <w:rtl/>
        </w:rPr>
        <w:t>ينبغي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تتخذ</w:t>
      </w:r>
      <w:r w:rsidR="00DC6C59">
        <w:rPr>
          <w:rtl/>
        </w:rPr>
        <w:t xml:space="preserve"> </w:t>
      </w:r>
      <w:r w:rsidRPr="003520EF">
        <w:rPr>
          <w:rtl/>
        </w:rPr>
        <w:t>الدول</w:t>
      </w:r>
      <w:r w:rsidR="00DC6C59">
        <w:rPr>
          <w:rtl/>
        </w:rPr>
        <w:t xml:space="preserve"> </w:t>
      </w:r>
      <w:r w:rsidRPr="003520EF">
        <w:rPr>
          <w:rtl/>
        </w:rPr>
        <w:t>الأطراف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التالية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التنفيذ</w:t>
      </w:r>
      <w:r w:rsidR="00DC6C59">
        <w:rPr>
          <w:rtl/>
        </w:rPr>
        <w:t xml:space="preserve"> </w:t>
      </w:r>
      <w:r w:rsidRPr="003520EF">
        <w:rPr>
          <w:rtl/>
        </w:rPr>
        <w:t>الكامل</w:t>
      </w:r>
      <w:r w:rsidR="00DC6C59">
        <w:rPr>
          <w:rtl/>
        </w:rPr>
        <w:t xml:space="preserve"> </w:t>
      </w:r>
      <w:r w:rsidRPr="003520EF">
        <w:rPr>
          <w:rtl/>
        </w:rPr>
        <w:t>للمادة</w:t>
      </w:r>
      <w:r w:rsidR="00DC6C59">
        <w:rPr>
          <w:rtl/>
        </w:rPr>
        <w:t xml:space="preserve"> </w:t>
      </w:r>
      <w:r w:rsidRPr="005170C9">
        <w:rPr>
          <w:rtl/>
        </w:rPr>
        <w:t>27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الاتفاقية</w:t>
      </w:r>
      <w:r w:rsidR="00DC6C59">
        <w:rPr>
          <w:rtl/>
        </w:rPr>
        <w:t>:</w:t>
      </w:r>
    </w:p>
    <w:p w14:paraId="6AEBE21E" w14:textId="4A01B28B" w:rsidR="00EC13CA" w:rsidRPr="003520EF" w:rsidRDefault="00EC13CA" w:rsidP="00EC13CA">
      <w:pPr>
        <w:pStyle w:val="SingleTxtGA"/>
      </w:pPr>
      <w:r w:rsidRPr="003520EF">
        <w:rPr>
          <w:rtl/>
        </w:rPr>
        <w:tab/>
        <w:t>(أ)</w:t>
      </w:r>
      <w:r w:rsidRPr="003520EF">
        <w:rPr>
          <w:rtl/>
        </w:rPr>
        <w:tab/>
        <w:t>إجراء</w:t>
      </w:r>
      <w:r w:rsidR="00DC6C59">
        <w:rPr>
          <w:rtl/>
        </w:rPr>
        <w:t xml:space="preserve"> </w:t>
      </w:r>
      <w:r w:rsidRPr="003520EF">
        <w:rPr>
          <w:rtl/>
        </w:rPr>
        <w:t>دراسة</w:t>
      </w:r>
      <w:r w:rsidR="00DC6C59">
        <w:rPr>
          <w:rtl/>
        </w:rPr>
        <w:t xml:space="preserve"> </w:t>
      </w:r>
      <w:r w:rsidRPr="003520EF">
        <w:rPr>
          <w:rtl/>
        </w:rPr>
        <w:t>شاملة</w:t>
      </w:r>
      <w:r w:rsidR="00DC6C59">
        <w:rPr>
          <w:rtl/>
        </w:rPr>
        <w:t xml:space="preserve"> </w:t>
      </w:r>
      <w:r w:rsidRPr="003520EF">
        <w:rPr>
          <w:rtl/>
        </w:rPr>
        <w:t>لتحديد</w:t>
      </w:r>
      <w:r w:rsidR="00DC6C59">
        <w:rPr>
          <w:rtl/>
        </w:rPr>
        <w:t xml:space="preserve"> </w:t>
      </w:r>
      <w:r w:rsidRPr="003520EF">
        <w:rPr>
          <w:rtl/>
        </w:rPr>
        <w:t>ما</w:t>
      </w:r>
      <w:r w:rsidR="00DC6C59">
        <w:rPr>
          <w:rtl/>
        </w:rPr>
        <w:t xml:space="preserve"> </w:t>
      </w:r>
      <w:r w:rsidRPr="003520EF">
        <w:rPr>
          <w:rtl/>
        </w:rPr>
        <w:t>للتمييز</w:t>
      </w:r>
      <w:r w:rsidR="00DC6C59">
        <w:rPr>
          <w:rtl/>
        </w:rPr>
        <w:t xml:space="preserve"> </w:t>
      </w:r>
      <w:r w:rsidRPr="003520EF">
        <w:rPr>
          <w:rtl/>
        </w:rPr>
        <w:t>لمصلحة</w:t>
      </w:r>
      <w:r w:rsidR="00DC6C59">
        <w:rPr>
          <w:rtl/>
        </w:rPr>
        <w:t xml:space="preserve"> </w:t>
      </w:r>
      <w:r w:rsidRPr="003520EF">
        <w:rPr>
          <w:rtl/>
        </w:rPr>
        <w:t>القادرين</w:t>
      </w:r>
      <w:r w:rsidR="00DC6C59">
        <w:rPr>
          <w:rtl/>
        </w:rPr>
        <w:t xml:space="preserve"> </w:t>
      </w:r>
      <w:r w:rsidRPr="003520EF">
        <w:rPr>
          <w:rtl/>
        </w:rPr>
        <w:t>بدنيا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أثر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فرصة</w:t>
      </w:r>
      <w:r w:rsidR="00DC6C59">
        <w:rPr>
          <w:rtl/>
        </w:rPr>
        <w:t xml:space="preserve"> </w:t>
      </w:r>
      <w:r w:rsidRPr="003520EF">
        <w:rPr>
          <w:rtl/>
        </w:rPr>
        <w:t>كسب</w:t>
      </w:r>
      <w:r w:rsidR="00DC6C59">
        <w:rPr>
          <w:rtl/>
        </w:rPr>
        <w:t xml:space="preserve"> </w:t>
      </w:r>
      <w:r w:rsidRPr="003520EF">
        <w:rPr>
          <w:rtl/>
        </w:rPr>
        <w:t>العيش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طريق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الذي</w:t>
      </w:r>
      <w:r w:rsidR="00DC6C59">
        <w:rPr>
          <w:rtl/>
        </w:rPr>
        <w:t xml:space="preserve"> </w:t>
      </w:r>
      <w:r w:rsidRPr="003520EF">
        <w:rPr>
          <w:rtl/>
        </w:rPr>
        <w:t>يتم</w:t>
      </w:r>
      <w:r w:rsidR="00DC6C59">
        <w:rPr>
          <w:rtl/>
        </w:rPr>
        <w:t xml:space="preserve"> </w:t>
      </w:r>
      <w:r w:rsidRPr="003520EF">
        <w:rPr>
          <w:rtl/>
        </w:rPr>
        <w:t>اختياره</w:t>
      </w:r>
      <w:r w:rsidR="00DC6C59">
        <w:rPr>
          <w:rtl/>
        </w:rPr>
        <w:t xml:space="preserve"> </w:t>
      </w:r>
      <w:r w:rsidRPr="003520EF">
        <w:rPr>
          <w:rtl/>
        </w:rPr>
        <w:t>بحرية؛</w:t>
      </w:r>
      <w:r w:rsidR="00DC6C59">
        <w:rPr>
          <w:rtl/>
        </w:rPr>
        <w:t xml:space="preserve"> </w:t>
      </w:r>
    </w:p>
    <w:p w14:paraId="764E902E" w14:textId="7F1CA89B" w:rsidR="00EC13CA" w:rsidRPr="003520EF" w:rsidRDefault="00EC13CA" w:rsidP="00EC13CA">
      <w:pPr>
        <w:pStyle w:val="SingleTxtGA"/>
      </w:pPr>
      <w:r w:rsidRPr="003520EF">
        <w:rPr>
          <w:rtl/>
        </w:rPr>
        <w:tab/>
        <w:t>(ب)</w:t>
      </w:r>
      <w:r w:rsidRPr="003520EF">
        <w:rPr>
          <w:rtl/>
        </w:rPr>
        <w:tab/>
        <w:t>إجراء</w:t>
      </w:r>
      <w:r w:rsidR="00DC6C59">
        <w:rPr>
          <w:rtl/>
        </w:rPr>
        <w:t xml:space="preserve"> </w:t>
      </w:r>
      <w:r w:rsidRPr="003520EF">
        <w:rPr>
          <w:rtl/>
        </w:rPr>
        <w:t>دراسات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الحواجز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تحول</w:t>
      </w:r>
      <w:r w:rsidR="00DC6C59">
        <w:rPr>
          <w:rtl/>
        </w:rPr>
        <w:t xml:space="preserve"> </w:t>
      </w:r>
      <w:r w:rsidRPr="003520EF">
        <w:rPr>
          <w:rtl/>
        </w:rPr>
        <w:t>دون</w:t>
      </w:r>
      <w:r w:rsidR="00DC6C59">
        <w:rPr>
          <w:rtl/>
        </w:rPr>
        <w:t xml:space="preserve"> </w:t>
      </w:r>
      <w:r w:rsidRPr="003520EF">
        <w:rPr>
          <w:rtl/>
        </w:rPr>
        <w:t>حصول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وتحديد</w:t>
      </w:r>
      <w:r w:rsidR="00DC6C59">
        <w:rPr>
          <w:rtl/>
        </w:rPr>
        <w:t xml:space="preserve"> </w:t>
      </w:r>
      <w:r w:rsidRPr="003520EF">
        <w:rPr>
          <w:rtl/>
        </w:rPr>
        <w:t>التحديات</w:t>
      </w:r>
      <w:r w:rsidR="00DC6C59">
        <w:rPr>
          <w:rtl/>
        </w:rPr>
        <w:t xml:space="preserve"> </w:t>
      </w:r>
      <w:r w:rsidRPr="003520EF">
        <w:rPr>
          <w:rtl/>
        </w:rPr>
        <w:t>المعينة</w:t>
      </w:r>
      <w:r w:rsidR="00DC6C59">
        <w:rPr>
          <w:rtl/>
        </w:rPr>
        <w:t xml:space="preserve"> </w:t>
      </w:r>
      <w:r w:rsidRPr="003520EF">
        <w:rPr>
          <w:rtl/>
        </w:rPr>
        <w:t>المتصلة</w:t>
      </w:r>
      <w:r w:rsidR="00DC6C59">
        <w:rPr>
          <w:rtl/>
        </w:rPr>
        <w:t xml:space="preserve"> </w:t>
      </w:r>
      <w:r w:rsidRPr="003520EF">
        <w:rPr>
          <w:rtl/>
        </w:rPr>
        <w:t>بنوع</w:t>
      </w:r>
      <w:r w:rsidR="00DC6C59">
        <w:rPr>
          <w:rtl/>
        </w:rPr>
        <w:t xml:space="preserve"> </w:t>
      </w:r>
      <w:r w:rsidRPr="003520EF">
        <w:rPr>
          <w:rtl/>
        </w:rPr>
        <w:t>الجنس</w:t>
      </w:r>
      <w:r w:rsidR="00DC6C59">
        <w:rPr>
          <w:rtl/>
        </w:rPr>
        <w:t xml:space="preserve"> </w:t>
      </w:r>
      <w:r w:rsidRPr="003520EF">
        <w:rPr>
          <w:rtl/>
        </w:rPr>
        <w:t>والعمر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يواجهها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حيث</w:t>
      </w:r>
      <w:r w:rsidR="00DC6C59">
        <w:rPr>
          <w:rtl/>
        </w:rPr>
        <w:t xml:space="preserve"> </w:t>
      </w:r>
      <w:r w:rsidRPr="003520EF">
        <w:rPr>
          <w:rtl/>
        </w:rPr>
        <w:t>إعمال</w:t>
      </w:r>
      <w:r w:rsidR="00DC6C59">
        <w:rPr>
          <w:rtl/>
        </w:rPr>
        <w:t xml:space="preserve"> </w:t>
      </w:r>
      <w:r w:rsidRPr="003520EF">
        <w:rPr>
          <w:rtl/>
        </w:rPr>
        <w:t>هذا</w:t>
      </w:r>
      <w:r w:rsidR="00DC6C59">
        <w:rPr>
          <w:rtl/>
        </w:rPr>
        <w:t xml:space="preserve"> </w:t>
      </w:r>
      <w:r w:rsidRPr="003520EF">
        <w:rPr>
          <w:rtl/>
        </w:rPr>
        <w:t>الحق،</w:t>
      </w:r>
      <w:r w:rsidR="00DC6C59">
        <w:rPr>
          <w:rtl/>
        </w:rPr>
        <w:t xml:space="preserve"> </w:t>
      </w:r>
      <w:r w:rsidRPr="003520EF">
        <w:rPr>
          <w:rtl/>
        </w:rPr>
        <w:t>وتسليط</w:t>
      </w:r>
      <w:r w:rsidR="00DC6C59">
        <w:rPr>
          <w:rtl/>
        </w:rPr>
        <w:t xml:space="preserve"> </w:t>
      </w:r>
      <w:r w:rsidRPr="003520EF">
        <w:rPr>
          <w:rtl/>
        </w:rPr>
        <w:t>الضوء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الممارسات</w:t>
      </w:r>
      <w:r w:rsidR="00DC6C59">
        <w:rPr>
          <w:rtl/>
        </w:rPr>
        <w:t xml:space="preserve"> </w:t>
      </w:r>
      <w:r w:rsidRPr="003520EF">
        <w:rPr>
          <w:rtl/>
        </w:rPr>
        <w:t>والحلول</w:t>
      </w:r>
      <w:r w:rsidR="00DC6C59">
        <w:rPr>
          <w:rtl/>
        </w:rPr>
        <w:t xml:space="preserve"> </w:t>
      </w:r>
      <w:r w:rsidRPr="003520EF">
        <w:rPr>
          <w:rtl/>
        </w:rPr>
        <w:t>المبتكرة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تنبثق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وتعزيز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والعمالة؛</w:t>
      </w:r>
    </w:p>
    <w:p w14:paraId="3EFE3B82" w14:textId="2C0E5D08" w:rsidR="00EC13CA" w:rsidRPr="00C12E18" w:rsidRDefault="00EC13CA" w:rsidP="00EC13CA">
      <w:pPr>
        <w:pStyle w:val="SingleTxtGA"/>
        <w:rPr>
          <w:spacing w:val="-2"/>
        </w:rPr>
      </w:pPr>
      <w:r w:rsidRPr="00C12E18">
        <w:rPr>
          <w:spacing w:val="-2"/>
          <w:rtl/>
        </w:rPr>
        <w:tab/>
        <w:t>(ج)</w:t>
      </w:r>
      <w:r w:rsidRPr="00C12E18">
        <w:rPr>
          <w:spacing w:val="-2"/>
          <w:rtl/>
        </w:rPr>
        <w:tab/>
        <w:t>تماشيا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المادة</w:t>
      </w:r>
      <w:r w:rsidR="00DC6C59" w:rsidRPr="00C12E18">
        <w:rPr>
          <w:spacing w:val="-2"/>
          <w:rtl/>
        </w:rPr>
        <w:t xml:space="preserve"> </w:t>
      </w:r>
      <w:r w:rsidRPr="005170C9">
        <w:rPr>
          <w:spacing w:val="-2"/>
          <w:rtl/>
        </w:rPr>
        <w:t>4</w:t>
      </w:r>
      <w:r w:rsidRPr="00C12E18">
        <w:rPr>
          <w:spacing w:val="-2"/>
          <w:rtl/>
        </w:rPr>
        <w:t>(</w:t>
      </w:r>
      <w:r w:rsidR="00DC6C59" w:rsidRPr="005170C9">
        <w:rPr>
          <w:spacing w:val="-2"/>
          <w:rtl/>
        </w:rPr>
        <w:t>3</w:t>
      </w:r>
      <w:r w:rsidR="00DC6C59" w:rsidRPr="00C12E18">
        <w:rPr>
          <w:spacing w:val="-2"/>
          <w:rtl/>
        </w:rPr>
        <w:t xml:space="preserve">)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الاتفاقية،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إجراء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مشاورات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كثب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والإشراك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الفعلي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الفئات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الممثلة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تمثيلا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ناقصا</w:t>
      </w:r>
      <w:r w:rsidR="00476B81">
        <w:rPr>
          <w:rFonts w:hint="cs"/>
          <w:spacing w:val="-2"/>
          <w:rtl/>
        </w:rPr>
        <w:t>ً</w:t>
      </w:r>
      <w:r w:rsidRPr="00C12E18">
        <w:rPr>
          <w:spacing w:val="-2"/>
          <w:rtl/>
        </w:rPr>
        <w:t>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وذلك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خلال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المنظمات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تمثلهم،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وإجراء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استعراض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للتشريعات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والسياسات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والبرامج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والممارسات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الوطنية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المتعلقة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بالعمالة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ومواءمتها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الاتفاقية،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وإلغاء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القوانين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والأنظمة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تتسق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الاتفاقية،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وتغيير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أو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إلغاء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العادات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والممارسات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lastRenderedPageBreak/>
        <w:t>التمييزية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ضد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ووضع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مدونة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ممارسات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بشأن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تشغيل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لتكون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بمثابة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دليل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تدريجي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لمنع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التمييز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ضد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سوق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مكان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العمل؛</w:t>
      </w:r>
      <w:r w:rsidR="00DC6C59" w:rsidRPr="00C12E18">
        <w:rPr>
          <w:spacing w:val="-2"/>
          <w:rtl/>
        </w:rPr>
        <w:t xml:space="preserve"> </w:t>
      </w:r>
    </w:p>
    <w:p w14:paraId="3A3DBB60" w14:textId="38D3FF2A" w:rsidR="00EC13CA" w:rsidRPr="00C12E18" w:rsidRDefault="00EC13CA" w:rsidP="00EC13CA">
      <w:pPr>
        <w:pStyle w:val="SingleTxtGA"/>
        <w:rPr>
          <w:spacing w:val="-2"/>
        </w:rPr>
      </w:pPr>
      <w:r w:rsidRPr="00C12E18">
        <w:rPr>
          <w:spacing w:val="-2"/>
          <w:rtl/>
        </w:rPr>
        <w:tab/>
        <w:t>(د)</w:t>
      </w:r>
      <w:r w:rsidRPr="00C12E18">
        <w:rPr>
          <w:spacing w:val="-2"/>
          <w:rtl/>
        </w:rPr>
        <w:tab/>
        <w:t>الحرص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يشمل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الاستعراض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القطاعين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العام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والخاص،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يتضمن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إدماج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منظورات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نوع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الجنس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والسن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والإعاقة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القوانين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والسياسات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والبرامج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تنفيذها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وتقييمها</w:t>
      </w:r>
      <w:r w:rsidR="00DC6C59" w:rsidRPr="005170C9">
        <w:rPr>
          <w:spacing w:val="-2"/>
          <w:vertAlign w:val="superscript"/>
          <w:rtl/>
        </w:rPr>
        <w:t>(</w:t>
      </w:r>
      <w:r w:rsidR="00DC6C59" w:rsidRPr="005170C9">
        <w:rPr>
          <w:spacing w:val="-2"/>
          <w:vertAlign w:val="superscript"/>
          <w:lang w:val="en-US"/>
        </w:rPr>
        <w:footnoteReference w:id="69"/>
      </w:r>
      <w:r w:rsidR="00DC6C59" w:rsidRPr="005170C9">
        <w:rPr>
          <w:spacing w:val="-2"/>
          <w:vertAlign w:val="superscript"/>
          <w:rtl/>
        </w:rPr>
        <w:t>)</w:t>
      </w:r>
      <w:r w:rsidR="00DC6C59" w:rsidRPr="00C12E18">
        <w:rPr>
          <w:spacing w:val="-2"/>
          <w:rtl/>
        </w:rPr>
        <w:t xml:space="preserve">، </w:t>
      </w:r>
      <w:r w:rsidRPr="00C12E18">
        <w:rPr>
          <w:spacing w:val="-2"/>
          <w:rtl/>
        </w:rPr>
        <w:t>وأن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يمتد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المجالات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التالية</w:t>
      </w:r>
      <w:r w:rsidR="00DC6C59" w:rsidRPr="00C12E18">
        <w:rPr>
          <w:spacing w:val="-2"/>
          <w:rtl/>
        </w:rPr>
        <w:t xml:space="preserve">: </w:t>
      </w:r>
      <w:r w:rsidRPr="00C12E18">
        <w:rPr>
          <w:spacing w:val="-2"/>
          <w:rtl/>
        </w:rPr>
        <w:t>تعزيز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عمالة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الشباب؛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وتدابير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الصحة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والسلامة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المهنيتين</w:t>
      </w:r>
      <w:r w:rsidRPr="00C12E18">
        <w:rPr>
          <w:rFonts w:ascii="Simplified Arabic" w:hAnsi="Simplified Arabic" w:hint="cs"/>
          <w:spacing w:val="-2"/>
          <w:rtl/>
        </w:rPr>
        <w:t>؛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والحماية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العنف،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بما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ذلك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العنف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الجنساني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والتحرش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والعمل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الجبري؛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والانتقال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الاقتصاد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غير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المنظم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الاقتصاد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المنظم؛</w:t>
      </w:r>
    </w:p>
    <w:p w14:paraId="6D4A20D9" w14:textId="5BCFCFF2" w:rsidR="00EC13CA" w:rsidRPr="003520EF" w:rsidRDefault="00EC13CA" w:rsidP="00EC13CA">
      <w:pPr>
        <w:pStyle w:val="SingleTxtGA"/>
      </w:pPr>
      <w:r w:rsidRPr="003520EF">
        <w:rPr>
          <w:rtl/>
        </w:rPr>
        <w:tab/>
        <w:t>(ه)</w:t>
      </w:r>
      <w:r w:rsidRPr="003520EF">
        <w:rPr>
          <w:rtl/>
        </w:rPr>
        <w:tab/>
        <w:t>وضع</w:t>
      </w:r>
      <w:r w:rsidR="00DC6C59">
        <w:rPr>
          <w:rtl/>
        </w:rPr>
        <w:t xml:space="preserve"> </w:t>
      </w:r>
      <w:r w:rsidRPr="003520EF">
        <w:rPr>
          <w:rtl/>
        </w:rPr>
        <w:t>استراتيجية</w:t>
      </w:r>
      <w:r w:rsidR="00DC6C59">
        <w:rPr>
          <w:rtl/>
        </w:rPr>
        <w:t xml:space="preserve"> </w:t>
      </w:r>
      <w:r w:rsidRPr="003520EF">
        <w:rPr>
          <w:rtl/>
        </w:rPr>
        <w:t>وخطة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وطنيتين</w:t>
      </w:r>
      <w:r w:rsidR="00DC6C59">
        <w:rPr>
          <w:rtl/>
        </w:rPr>
        <w:t xml:space="preserve"> </w:t>
      </w:r>
      <w:r w:rsidRPr="003520EF">
        <w:rPr>
          <w:rtl/>
        </w:rPr>
        <w:t>للعمالة،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ويتم</w:t>
      </w:r>
      <w:r w:rsidR="00DC6C59">
        <w:rPr>
          <w:rtl/>
        </w:rPr>
        <w:t xml:space="preserve"> </w:t>
      </w:r>
      <w:r w:rsidRPr="003520EF">
        <w:rPr>
          <w:rtl/>
        </w:rPr>
        <w:t>صوغهما</w:t>
      </w:r>
      <w:r w:rsidR="00DC6C59">
        <w:rPr>
          <w:rtl/>
        </w:rPr>
        <w:t xml:space="preserve"> </w:t>
      </w:r>
      <w:r w:rsidRPr="003520EF">
        <w:rPr>
          <w:rtl/>
        </w:rPr>
        <w:t>واستعراضهما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عملية</w:t>
      </w:r>
      <w:r w:rsidR="00DC6C59">
        <w:rPr>
          <w:rtl/>
        </w:rPr>
        <w:t xml:space="preserve"> </w:t>
      </w:r>
      <w:r w:rsidRPr="003520EF">
        <w:rPr>
          <w:rtl/>
        </w:rPr>
        <w:t>تشاركية</w:t>
      </w:r>
      <w:r w:rsidR="00DC6C59">
        <w:rPr>
          <w:rtl/>
        </w:rPr>
        <w:t xml:space="preserve"> </w:t>
      </w:r>
      <w:r w:rsidRPr="003520EF">
        <w:rPr>
          <w:rtl/>
        </w:rPr>
        <w:t>شفافة،</w:t>
      </w:r>
      <w:r w:rsidR="00DC6C59">
        <w:rPr>
          <w:rtl/>
        </w:rPr>
        <w:t xml:space="preserve"> </w:t>
      </w:r>
      <w:r w:rsidRPr="003520EF">
        <w:rPr>
          <w:rtl/>
        </w:rPr>
        <w:t>وتتضمن</w:t>
      </w:r>
      <w:r w:rsidR="00DC6C59">
        <w:rPr>
          <w:rtl/>
        </w:rPr>
        <w:t xml:space="preserve"> </w:t>
      </w:r>
      <w:r w:rsidRPr="003520EF">
        <w:rPr>
          <w:rtl/>
        </w:rPr>
        <w:t>أساليب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المؤشرات</w:t>
      </w:r>
      <w:r w:rsidR="00DC6C59">
        <w:rPr>
          <w:rtl/>
        </w:rPr>
        <w:t xml:space="preserve"> </w:t>
      </w:r>
      <w:r w:rsidRPr="003520EF">
        <w:rPr>
          <w:rtl/>
        </w:rPr>
        <w:t>والمعايير</w:t>
      </w:r>
      <w:r w:rsidR="00DC6C59">
        <w:rPr>
          <w:rtl/>
        </w:rPr>
        <w:t xml:space="preserve"> </w:t>
      </w:r>
      <w:r w:rsidRPr="003520EF">
        <w:rPr>
          <w:rtl/>
        </w:rPr>
        <w:t>المرجعية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يمكن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خلالها</w:t>
      </w:r>
      <w:r w:rsidR="00DC6C59">
        <w:rPr>
          <w:rtl/>
        </w:rPr>
        <w:t xml:space="preserve"> </w:t>
      </w:r>
      <w:r w:rsidRPr="003520EF">
        <w:rPr>
          <w:rtl/>
        </w:rPr>
        <w:t>رصد</w:t>
      </w:r>
      <w:r w:rsidR="00DC6C59">
        <w:rPr>
          <w:rtl/>
        </w:rPr>
        <w:t xml:space="preserve"> </w:t>
      </w:r>
      <w:r w:rsidRPr="003520EF">
        <w:rPr>
          <w:rtl/>
        </w:rPr>
        <w:t>التقدم</w:t>
      </w:r>
      <w:r w:rsidR="00DC6C59">
        <w:rPr>
          <w:rtl/>
        </w:rPr>
        <w:t xml:space="preserve"> </w:t>
      </w:r>
      <w:r w:rsidRPr="003520EF">
        <w:rPr>
          <w:rtl/>
        </w:rPr>
        <w:t>المحرز؛</w:t>
      </w:r>
    </w:p>
    <w:p w14:paraId="4FDB0FE7" w14:textId="3096FEED" w:rsidR="00EC13CA" w:rsidRPr="003520EF" w:rsidRDefault="00EC13CA" w:rsidP="00EC13CA">
      <w:pPr>
        <w:pStyle w:val="SingleTxtGA"/>
      </w:pPr>
      <w:r w:rsidRPr="003520EF">
        <w:rPr>
          <w:rtl/>
        </w:rPr>
        <w:tab/>
        <w:t>(و)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إدماج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وتعزيز</w:t>
      </w:r>
      <w:r w:rsidR="00DC6C59">
        <w:rPr>
          <w:rtl/>
        </w:rPr>
        <w:t xml:space="preserve"> </w:t>
      </w:r>
      <w:r w:rsidRPr="003520EF">
        <w:rPr>
          <w:rtl/>
        </w:rPr>
        <w:t>حق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مجالات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والعمالة</w:t>
      </w:r>
      <w:r w:rsidR="00DC6C59">
        <w:rPr>
          <w:rtl/>
        </w:rPr>
        <w:t xml:space="preserve"> </w:t>
      </w:r>
      <w:r w:rsidRPr="003520EF">
        <w:rPr>
          <w:rtl/>
        </w:rPr>
        <w:t>الناشئة،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الاقتصاد</w:t>
      </w:r>
      <w:r w:rsidR="00DC6C59">
        <w:rPr>
          <w:rtl/>
        </w:rPr>
        <w:t xml:space="preserve"> </w:t>
      </w:r>
      <w:r w:rsidRPr="003520EF">
        <w:rPr>
          <w:rtl/>
        </w:rPr>
        <w:t>الرقمي،</w:t>
      </w:r>
      <w:r w:rsidR="00DC6C59">
        <w:rPr>
          <w:rtl/>
        </w:rPr>
        <w:t xml:space="preserve"> </w:t>
      </w:r>
      <w:r w:rsidRPr="003520EF">
        <w:rPr>
          <w:rtl/>
        </w:rPr>
        <w:t>والعمل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بعد،</w:t>
      </w:r>
      <w:r w:rsidR="00DC6C59">
        <w:rPr>
          <w:rtl/>
        </w:rPr>
        <w:t xml:space="preserve"> </w:t>
      </w:r>
      <w:r w:rsidRPr="003520EF">
        <w:rPr>
          <w:rtl/>
        </w:rPr>
        <w:t>وتنظيم</w:t>
      </w:r>
      <w:r w:rsidR="00DC6C59">
        <w:rPr>
          <w:rtl/>
        </w:rPr>
        <w:t xml:space="preserve"> </w:t>
      </w:r>
      <w:r w:rsidRPr="003520EF">
        <w:rPr>
          <w:rtl/>
        </w:rPr>
        <w:t>اقتصاد</w:t>
      </w:r>
      <w:r w:rsidR="00DC6C59">
        <w:rPr>
          <w:rtl/>
        </w:rPr>
        <w:t xml:space="preserve"> </w:t>
      </w:r>
      <w:r w:rsidRPr="003520EF">
        <w:rPr>
          <w:rtl/>
        </w:rPr>
        <w:t>العربة</w:t>
      </w:r>
      <w:r w:rsidR="00DC6C59">
        <w:rPr>
          <w:rtl/>
        </w:rPr>
        <w:t xml:space="preserve"> </w:t>
      </w:r>
      <w:r w:rsidRPr="003520EF">
        <w:rPr>
          <w:rtl/>
        </w:rPr>
        <w:t>واقتصاد</w:t>
      </w:r>
      <w:r w:rsidR="00DC6C59">
        <w:rPr>
          <w:rtl/>
        </w:rPr>
        <w:t xml:space="preserve"> </w:t>
      </w:r>
      <w:r w:rsidRPr="003520EF">
        <w:rPr>
          <w:rtl/>
        </w:rPr>
        <w:t>المنصة،</w:t>
      </w:r>
      <w:r w:rsidR="00DC6C59">
        <w:rPr>
          <w:rtl/>
        </w:rPr>
        <w:t xml:space="preserve"> </w:t>
      </w:r>
      <w:r w:rsidRPr="003520EF">
        <w:rPr>
          <w:rtl/>
        </w:rPr>
        <w:t>وإعادة</w:t>
      </w:r>
      <w:r w:rsidR="00DC6C59">
        <w:rPr>
          <w:rtl/>
        </w:rPr>
        <w:t xml:space="preserve"> </w:t>
      </w:r>
      <w:r w:rsidRPr="003520EF">
        <w:rPr>
          <w:rtl/>
        </w:rPr>
        <w:t>التنشيط</w:t>
      </w:r>
      <w:r w:rsidR="00DC6C59">
        <w:rPr>
          <w:rtl/>
        </w:rPr>
        <w:t xml:space="preserve"> </w:t>
      </w:r>
      <w:r w:rsidRPr="003520EF">
        <w:rPr>
          <w:rtl/>
        </w:rPr>
        <w:t>الاقتصادي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التعافي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الأزمات،</w:t>
      </w:r>
      <w:r w:rsidR="00DC6C59">
        <w:rPr>
          <w:rtl/>
        </w:rPr>
        <w:t xml:space="preserve"> </w:t>
      </w:r>
      <w:r w:rsidRPr="003520EF">
        <w:rPr>
          <w:rtl/>
        </w:rPr>
        <w:t>والانتقال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الاقتصاد</w:t>
      </w:r>
      <w:r w:rsidR="00DC6C59">
        <w:rPr>
          <w:rtl/>
        </w:rPr>
        <w:t xml:space="preserve"> </w:t>
      </w:r>
      <w:r w:rsidRPr="003520EF">
        <w:rPr>
          <w:rtl/>
        </w:rPr>
        <w:t>الأخضر،</w:t>
      </w:r>
      <w:r w:rsidR="00DC6C59">
        <w:rPr>
          <w:rtl/>
        </w:rPr>
        <w:t xml:space="preserve"> </w:t>
      </w:r>
      <w:r w:rsidRPr="003520EF">
        <w:rPr>
          <w:rtl/>
        </w:rPr>
        <w:t>واستخدام</w:t>
      </w:r>
      <w:r w:rsidR="00DC6C59">
        <w:rPr>
          <w:rtl/>
        </w:rPr>
        <w:t xml:space="preserve"> </w:t>
      </w:r>
      <w:r w:rsidRPr="003520EF">
        <w:rPr>
          <w:rtl/>
        </w:rPr>
        <w:t>الذكاء</w:t>
      </w:r>
      <w:r w:rsidR="00DC6C59">
        <w:rPr>
          <w:rtl/>
        </w:rPr>
        <w:t xml:space="preserve"> </w:t>
      </w:r>
      <w:r w:rsidRPr="003520EF">
        <w:rPr>
          <w:rtl/>
        </w:rPr>
        <w:t>الاصطناعي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التوظيف</w:t>
      </w:r>
      <w:r w:rsidR="00DC6C59">
        <w:rPr>
          <w:rtl/>
        </w:rPr>
        <w:t xml:space="preserve"> </w:t>
      </w:r>
      <w:r w:rsidRPr="003520EF">
        <w:rPr>
          <w:rtl/>
        </w:rPr>
        <w:t>والعمل؛</w:t>
      </w:r>
      <w:r w:rsidR="00DC6C59">
        <w:rPr>
          <w:rtl/>
        </w:rPr>
        <w:t xml:space="preserve"> </w:t>
      </w:r>
    </w:p>
    <w:p w14:paraId="21FE007D" w14:textId="01B5D09D" w:rsidR="00EC13CA" w:rsidRPr="003520EF" w:rsidRDefault="00EC13CA" w:rsidP="00EC13CA">
      <w:pPr>
        <w:pStyle w:val="SingleTxtGA"/>
      </w:pPr>
      <w:r w:rsidRPr="003520EF">
        <w:rPr>
          <w:rtl/>
        </w:rPr>
        <w:tab/>
        <w:t>(ز)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أن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وتعزيز</w:t>
      </w:r>
      <w:r w:rsidR="00DC6C59">
        <w:rPr>
          <w:rtl/>
        </w:rPr>
        <w:t xml:space="preserve"> </w:t>
      </w:r>
      <w:r w:rsidRPr="003520EF">
        <w:rPr>
          <w:rtl/>
        </w:rPr>
        <w:t>الحق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تنوع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وخبراتهم</w:t>
      </w:r>
      <w:r w:rsidR="00DC6C59">
        <w:rPr>
          <w:rtl/>
        </w:rPr>
        <w:t xml:space="preserve"> </w:t>
      </w:r>
      <w:r w:rsidRPr="003520EF">
        <w:rPr>
          <w:rtl/>
        </w:rPr>
        <w:t>ومهاراتهم</w:t>
      </w:r>
      <w:r w:rsidR="00DC6C59">
        <w:rPr>
          <w:rtl/>
        </w:rPr>
        <w:t xml:space="preserve"> </w:t>
      </w:r>
      <w:r w:rsidRPr="003520EF">
        <w:rPr>
          <w:rtl/>
        </w:rPr>
        <w:t>المهنية؛</w:t>
      </w:r>
    </w:p>
    <w:p w14:paraId="286580A5" w14:textId="19C53485" w:rsidR="00EC13CA" w:rsidRPr="003520EF" w:rsidRDefault="00EC13CA" w:rsidP="00EC13CA">
      <w:pPr>
        <w:pStyle w:val="SingleTxtGA"/>
      </w:pPr>
      <w:r w:rsidRPr="003520EF">
        <w:rPr>
          <w:rtl/>
        </w:rPr>
        <w:tab/>
        <w:t>(ح)</w:t>
      </w:r>
      <w:r w:rsidRPr="003520EF">
        <w:rPr>
          <w:rtl/>
        </w:rPr>
        <w:tab/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اتخاذ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للقضاء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استغلال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والأطفال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المتوافقين</w:t>
      </w:r>
      <w:r w:rsidR="00DC6C59">
        <w:rPr>
          <w:rtl/>
        </w:rPr>
        <w:t xml:space="preserve"> </w:t>
      </w:r>
      <w:r w:rsidRPr="003520EF">
        <w:rPr>
          <w:rtl/>
        </w:rPr>
        <w:t>جنسيا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الاقتصاد</w:t>
      </w:r>
      <w:r w:rsidR="00DC6C59">
        <w:rPr>
          <w:rtl/>
        </w:rPr>
        <w:t xml:space="preserve"> </w:t>
      </w:r>
      <w:r w:rsidRPr="003520EF">
        <w:rPr>
          <w:rtl/>
        </w:rPr>
        <w:t>الرسمي</w:t>
      </w:r>
      <w:r w:rsidR="00DC6C59">
        <w:rPr>
          <w:rtl/>
        </w:rPr>
        <w:t xml:space="preserve"> </w:t>
      </w:r>
      <w:r w:rsidRPr="003520EF">
        <w:rPr>
          <w:rtl/>
        </w:rPr>
        <w:t>وغير</w:t>
      </w:r>
      <w:r w:rsidR="00DC6C59">
        <w:rPr>
          <w:rtl/>
        </w:rPr>
        <w:t xml:space="preserve"> </w:t>
      </w:r>
      <w:r w:rsidRPr="003520EF">
        <w:rPr>
          <w:rtl/>
        </w:rPr>
        <w:t>الرسمي</w:t>
      </w:r>
      <w:r w:rsidR="00DC6C59">
        <w:rPr>
          <w:rtl/>
        </w:rPr>
        <w:t xml:space="preserve"> </w:t>
      </w:r>
      <w:r w:rsidRPr="003520EF">
        <w:rPr>
          <w:rtl/>
        </w:rPr>
        <w:t>وفي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المأجور،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اتخاذ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التالية</w:t>
      </w:r>
      <w:r w:rsidR="00DC6C59">
        <w:rPr>
          <w:rtl/>
        </w:rPr>
        <w:t xml:space="preserve">: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الإجازة</w:t>
      </w:r>
      <w:r w:rsidR="00DC6C59">
        <w:rPr>
          <w:rtl/>
        </w:rPr>
        <w:t xml:space="preserve"> </w:t>
      </w:r>
      <w:r w:rsidRPr="003520EF">
        <w:rPr>
          <w:rtl/>
        </w:rPr>
        <w:t>الوالدية</w:t>
      </w:r>
      <w:r w:rsidR="00DC6C59">
        <w:rPr>
          <w:rtl/>
        </w:rPr>
        <w:t xml:space="preserve"> </w:t>
      </w:r>
      <w:r w:rsidRPr="003520EF">
        <w:rPr>
          <w:rtl/>
        </w:rPr>
        <w:t>للجميع؛</w:t>
      </w:r>
      <w:r w:rsidR="00DC6C59">
        <w:rPr>
          <w:rtl/>
        </w:rPr>
        <w:t xml:space="preserve"> </w:t>
      </w:r>
      <w:r w:rsidRPr="003520EF">
        <w:rPr>
          <w:rtl/>
        </w:rPr>
        <w:t>واتخاذ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تصحيحية</w:t>
      </w:r>
      <w:r w:rsidR="00DC6C59">
        <w:rPr>
          <w:rtl/>
        </w:rPr>
        <w:t xml:space="preserve"> </w:t>
      </w:r>
      <w:r w:rsidRPr="003520EF">
        <w:rPr>
          <w:rtl/>
        </w:rPr>
        <w:t>لزيادة</w:t>
      </w:r>
      <w:r w:rsidR="00DC6C59">
        <w:rPr>
          <w:rtl/>
        </w:rPr>
        <w:t xml:space="preserve"> </w:t>
      </w:r>
      <w:r w:rsidRPr="003520EF">
        <w:rPr>
          <w:rtl/>
        </w:rPr>
        <w:t>عدد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قطاع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الرسمي؛</w:t>
      </w:r>
      <w:r w:rsidR="00DC6C59">
        <w:rPr>
          <w:rtl/>
        </w:rPr>
        <w:t xml:space="preserve"> </w:t>
      </w:r>
      <w:r w:rsidRPr="003520EF">
        <w:rPr>
          <w:rtl/>
        </w:rPr>
        <w:t>وسن</w:t>
      </w:r>
      <w:r w:rsidR="00DC6C59">
        <w:rPr>
          <w:rtl/>
        </w:rPr>
        <w:t xml:space="preserve"> </w:t>
      </w:r>
      <w:r w:rsidRPr="003520EF">
        <w:rPr>
          <w:rtl/>
        </w:rPr>
        <w:t>قوانين</w:t>
      </w:r>
      <w:r w:rsidR="00DC6C59">
        <w:rPr>
          <w:rtl/>
        </w:rPr>
        <w:t xml:space="preserve"> </w:t>
      </w:r>
      <w:r w:rsidRPr="003520EF">
        <w:rPr>
          <w:rtl/>
        </w:rPr>
        <w:t>وسياسات</w:t>
      </w:r>
      <w:r w:rsidR="00DC6C59">
        <w:rPr>
          <w:rtl/>
        </w:rPr>
        <w:t xml:space="preserve"> </w:t>
      </w:r>
      <w:r w:rsidRPr="003520EF">
        <w:rPr>
          <w:rtl/>
        </w:rPr>
        <w:t>تسمح</w:t>
      </w:r>
      <w:r w:rsidR="00DC6C59">
        <w:rPr>
          <w:rtl/>
        </w:rPr>
        <w:t xml:space="preserve"> </w:t>
      </w:r>
      <w:r w:rsidRPr="003520EF">
        <w:rPr>
          <w:rtl/>
        </w:rPr>
        <w:t>بإجازة</w:t>
      </w:r>
      <w:r w:rsidR="00DC6C59">
        <w:rPr>
          <w:rtl/>
        </w:rPr>
        <w:t xml:space="preserve"> </w:t>
      </w:r>
      <w:r w:rsidRPr="003520EF">
        <w:rPr>
          <w:rtl/>
        </w:rPr>
        <w:t>والدية</w:t>
      </w:r>
      <w:r w:rsidR="00DC6C59">
        <w:rPr>
          <w:rtl/>
        </w:rPr>
        <w:t xml:space="preserve"> </w:t>
      </w:r>
      <w:r w:rsidRPr="003520EF">
        <w:rPr>
          <w:rtl/>
        </w:rPr>
        <w:t>مدفوعة</w:t>
      </w:r>
      <w:r w:rsidR="00DC6C59">
        <w:rPr>
          <w:rtl/>
        </w:rPr>
        <w:t xml:space="preserve"> </w:t>
      </w:r>
      <w:r w:rsidRPr="003520EF">
        <w:rPr>
          <w:rtl/>
        </w:rPr>
        <w:t>الأجر</w:t>
      </w:r>
      <w:r w:rsidR="00DC6C59">
        <w:rPr>
          <w:rtl/>
        </w:rPr>
        <w:t xml:space="preserve"> </w:t>
      </w:r>
      <w:r w:rsidRPr="003520EF">
        <w:rPr>
          <w:rtl/>
        </w:rPr>
        <w:t>وكافية،</w:t>
      </w:r>
      <w:r w:rsidR="00DC6C59">
        <w:rPr>
          <w:rtl/>
        </w:rPr>
        <w:t xml:space="preserve"> </w:t>
      </w:r>
      <w:r w:rsidRPr="003520EF">
        <w:rPr>
          <w:rtl/>
        </w:rPr>
        <w:t>ورعاية</w:t>
      </w:r>
      <w:r w:rsidR="00DC6C59">
        <w:rPr>
          <w:rtl/>
        </w:rPr>
        <w:t xml:space="preserve"> </w:t>
      </w:r>
      <w:r w:rsidRPr="003520EF">
        <w:rPr>
          <w:rtl/>
        </w:rPr>
        <w:t>أطفال</w:t>
      </w:r>
      <w:r w:rsidR="00DC6C59">
        <w:rPr>
          <w:rtl/>
        </w:rPr>
        <w:t xml:space="preserve"> </w:t>
      </w:r>
      <w:r w:rsidRPr="003520EF">
        <w:rPr>
          <w:rtl/>
        </w:rPr>
        <w:t>ميسورة</w:t>
      </w:r>
      <w:r w:rsidR="00DC6C59">
        <w:rPr>
          <w:rtl/>
        </w:rPr>
        <w:t xml:space="preserve"> </w:t>
      </w:r>
      <w:r w:rsidRPr="003520EF">
        <w:rPr>
          <w:rtl/>
        </w:rPr>
        <w:t>التكلفة</w:t>
      </w:r>
      <w:r w:rsidR="00DC6C59">
        <w:rPr>
          <w:rtl/>
        </w:rPr>
        <w:t xml:space="preserve"> </w:t>
      </w:r>
      <w:r w:rsidRPr="003520EF">
        <w:rPr>
          <w:rtl/>
        </w:rPr>
        <w:t>وسهلة</w:t>
      </w:r>
      <w:r w:rsidR="00DC6C59">
        <w:rPr>
          <w:rtl/>
        </w:rPr>
        <w:t xml:space="preserve"> </w:t>
      </w:r>
      <w:r w:rsidRPr="003520EF">
        <w:rPr>
          <w:rtl/>
        </w:rPr>
        <w:t>المنال</w:t>
      </w:r>
      <w:r w:rsidR="00DC6C59">
        <w:rPr>
          <w:rtl/>
        </w:rPr>
        <w:t xml:space="preserve"> </w:t>
      </w:r>
      <w:r w:rsidRPr="003520EF">
        <w:rPr>
          <w:rtl/>
        </w:rPr>
        <w:t>وملائمة</w:t>
      </w:r>
      <w:r w:rsidR="00DC6C59">
        <w:rPr>
          <w:rtl/>
        </w:rPr>
        <w:t xml:space="preserve"> </w:t>
      </w:r>
      <w:r w:rsidRPr="003520EF">
        <w:rPr>
          <w:rtl/>
        </w:rPr>
        <w:t>وذات</w:t>
      </w:r>
      <w:r w:rsidR="00DC6C59">
        <w:rPr>
          <w:rtl/>
        </w:rPr>
        <w:t xml:space="preserve"> </w:t>
      </w:r>
      <w:r w:rsidRPr="003520EF">
        <w:rPr>
          <w:rtl/>
        </w:rPr>
        <w:t>نوعية</w:t>
      </w:r>
      <w:r w:rsidR="00DC6C59">
        <w:rPr>
          <w:rtl/>
        </w:rPr>
        <w:t xml:space="preserve"> </w:t>
      </w:r>
      <w:r w:rsidRPr="003520EF">
        <w:rPr>
          <w:rtl/>
        </w:rPr>
        <w:t>جيدة،</w:t>
      </w:r>
      <w:r w:rsidR="00DC6C59">
        <w:rPr>
          <w:rtl/>
        </w:rPr>
        <w:t xml:space="preserve"> </w:t>
      </w:r>
      <w:r w:rsidRPr="003520EF">
        <w:rPr>
          <w:rtl/>
        </w:rPr>
        <w:t>وتوفير</w:t>
      </w:r>
      <w:r w:rsidR="00DC6C59">
        <w:rPr>
          <w:rtl/>
        </w:rPr>
        <w:t xml:space="preserve"> </w:t>
      </w:r>
      <w:r w:rsidRPr="003520EF">
        <w:rPr>
          <w:rtl/>
        </w:rPr>
        <w:t>حماية</w:t>
      </w:r>
      <w:r w:rsidR="00DC6C59">
        <w:rPr>
          <w:rtl/>
        </w:rPr>
        <w:t xml:space="preserve"> </w:t>
      </w:r>
      <w:r w:rsidRPr="003520EF">
        <w:rPr>
          <w:rtl/>
        </w:rPr>
        <w:t>اجتماعية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تؤثر</w:t>
      </w:r>
      <w:r w:rsidR="00DC6C59">
        <w:rPr>
          <w:rtl/>
        </w:rPr>
        <w:t xml:space="preserve"> </w:t>
      </w:r>
      <w:r w:rsidRPr="003520EF">
        <w:rPr>
          <w:rtl/>
        </w:rPr>
        <w:t>سلبا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الحوامل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الذين</w:t>
      </w:r>
      <w:r w:rsidR="00DC6C59">
        <w:rPr>
          <w:rtl/>
        </w:rPr>
        <w:t xml:space="preserve"> </w:t>
      </w:r>
      <w:r w:rsidRPr="003520EF">
        <w:rPr>
          <w:rtl/>
        </w:rPr>
        <w:t>يتعين</w:t>
      </w:r>
      <w:r w:rsidR="00DC6C59">
        <w:rPr>
          <w:rtl/>
        </w:rPr>
        <w:t xml:space="preserve"> </w:t>
      </w:r>
      <w:r w:rsidRPr="003520EF">
        <w:rPr>
          <w:rtl/>
        </w:rPr>
        <w:t>عليهم</w:t>
      </w:r>
      <w:r w:rsidR="00DC6C59">
        <w:rPr>
          <w:rtl/>
        </w:rPr>
        <w:t xml:space="preserve"> </w:t>
      </w:r>
      <w:r w:rsidRPr="003520EF">
        <w:rPr>
          <w:rtl/>
        </w:rPr>
        <w:t>أخذ</w:t>
      </w:r>
      <w:r w:rsidR="00DC6C59">
        <w:rPr>
          <w:rtl/>
        </w:rPr>
        <w:t xml:space="preserve"> </w:t>
      </w:r>
      <w:r w:rsidRPr="003520EF">
        <w:rPr>
          <w:rtl/>
        </w:rPr>
        <w:t>إجازة</w:t>
      </w:r>
      <w:r w:rsidR="00DC6C59">
        <w:rPr>
          <w:rtl/>
        </w:rPr>
        <w:t xml:space="preserve"> </w:t>
      </w:r>
      <w:r w:rsidRPr="003520EF">
        <w:rPr>
          <w:rtl/>
        </w:rPr>
        <w:t>للوفاء</w:t>
      </w:r>
      <w:r w:rsidR="00DC6C59">
        <w:rPr>
          <w:rtl/>
        </w:rPr>
        <w:t xml:space="preserve"> </w:t>
      </w:r>
      <w:r w:rsidRPr="003520EF">
        <w:rPr>
          <w:rtl/>
        </w:rPr>
        <w:t>بالتزامات</w:t>
      </w:r>
      <w:r w:rsidR="00DC6C59">
        <w:rPr>
          <w:rtl/>
        </w:rPr>
        <w:t xml:space="preserve"> </w:t>
      </w:r>
      <w:r w:rsidRPr="003520EF">
        <w:rPr>
          <w:rtl/>
        </w:rPr>
        <w:t>تقديم</w:t>
      </w:r>
      <w:r w:rsidR="00DC6C59">
        <w:rPr>
          <w:rtl/>
        </w:rPr>
        <w:t xml:space="preserve"> </w:t>
      </w:r>
      <w:r w:rsidRPr="003520EF">
        <w:rPr>
          <w:rtl/>
        </w:rPr>
        <w:t>الرعاية؛</w:t>
      </w:r>
      <w:r w:rsidR="00DC6C59">
        <w:rPr>
          <w:rtl/>
        </w:rPr>
        <w:t xml:space="preserve"> </w:t>
      </w:r>
      <w:r w:rsidRPr="003520EF">
        <w:rPr>
          <w:rtl/>
        </w:rPr>
        <w:t>وسن</w:t>
      </w:r>
      <w:r w:rsidR="00DC6C59">
        <w:rPr>
          <w:rtl/>
        </w:rPr>
        <w:t xml:space="preserve"> </w:t>
      </w:r>
      <w:r w:rsidRPr="003520EF">
        <w:rPr>
          <w:rtl/>
        </w:rPr>
        <w:t>قوانين</w:t>
      </w:r>
      <w:r w:rsidR="00DC6C59">
        <w:rPr>
          <w:rtl/>
        </w:rPr>
        <w:t xml:space="preserve"> </w:t>
      </w:r>
      <w:r w:rsidRPr="003520EF">
        <w:rPr>
          <w:rtl/>
        </w:rPr>
        <w:t>وسياسات</w:t>
      </w:r>
      <w:r w:rsidR="00DC6C59">
        <w:rPr>
          <w:rtl/>
        </w:rPr>
        <w:t xml:space="preserve"> </w:t>
      </w:r>
      <w:r w:rsidRPr="003520EF">
        <w:rPr>
          <w:rtl/>
        </w:rPr>
        <w:t>لحماية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الأطفال</w:t>
      </w:r>
      <w:r w:rsidR="00DC6C59">
        <w:rPr>
          <w:rtl/>
        </w:rPr>
        <w:t xml:space="preserve"> </w:t>
      </w:r>
      <w:r w:rsidRPr="003520EF">
        <w:rPr>
          <w:rtl/>
        </w:rPr>
        <w:t>العاملين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الظروف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تنتهك</w:t>
      </w:r>
      <w:r w:rsidR="00DC6C59">
        <w:rPr>
          <w:rtl/>
        </w:rPr>
        <w:t xml:space="preserve"> </w:t>
      </w:r>
      <w:r w:rsidRPr="003520EF">
        <w:rPr>
          <w:rtl/>
        </w:rPr>
        <w:t>حقوقهم؛</w:t>
      </w:r>
      <w:r w:rsidR="00DC6C59">
        <w:rPr>
          <w:rtl/>
        </w:rPr>
        <w:t xml:space="preserve"> </w:t>
      </w:r>
      <w:r w:rsidRPr="003520EF">
        <w:rPr>
          <w:rtl/>
        </w:rPr>
        <w:t>وسن</w:t>
      </w:r>
      <w:r w:rsidR="00DC6C59">
        <w:rPr>
          <w:rtl/>
        </w:rPr>
        <w:t xml:space="preserve"> </w:t>
      </w:r>
      <w:r w:rsidRPr="003520EF">
        <w:rPr>
          <w:rtl/>
        </w:rPr>
        <w:t>قوانين</w:t>
      </w:r>
      <w:r w:rsidR="00DC6C59">
        <w:rPr>
          <w:rtl/>
        </w:rPr>
        <w:t xml:space="preserve"> </w:t>
      </w:r>
      <w:r w:rsidRPr="003520EF">
        <w:rPr>
          <w:rtl/>
        </w:rPr>
        <w:t>وسياسات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قيام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بمنع</w:t>
      </w:r>
      <w:r w:rsidR="00DC6C59">
        <w:rPr>
          <w:rtl/>
        </w:rPr>
        <w:t xml:space="preserve"> </w:t>
      </w:r>
      <w:r w:rsidRPr="003520EF">
        <w:rPr>
          <w:rtl/>
        </w:rPr>
        <w:t>العنف</w:t>
      </w:r>
      <w:r w:rsidR="00DC6C59">
        <w:rPr>
          <w:rtl/>
        </w:rPr>
        <w:t xml:space="preserve"> </w:t>
      </w:r>
      <w:r w:rsidRPr="003520EF">
        <w:rPr>
          <w:rtl/>
        </w:rPr>
        <w:t>الجنساني</w:t>
      </w:r>
      <w:r w:rsidR="00DC6C59">
        <w:rPr>
          <w:rtl/>
        </w:rPr>
        <w:t xml:space="preserve"> </w:t>
      </w:r>
      <w:r w:rsidRPr="003520EF">
        <w:rPr>
          <w:rtl/>
        </w:rPr>
        <w:t>والتصدي</w:t>
      </w:r>
      <w:r w:rsidR="00DC6C59">
        <w:rPr>
          <w:rtl/>
        </w:rPr>
        <w:t xml:space="preserve"> </w:t>
      </w:r>
      <w:r w:rsidRPr="003520EF">
        <w:rPr>
          <w:rtl/>
        </w:rPr>
        <w:t>له</w:t>
      </w:r>
      <w:r w:rsidR="00DC6C59">
        <w:rPr>
          <w:rtl/>
        </w:rPr>
        <w:t xml:space="preserve"> </w:t>
      </w:r>
      <w:r w:rsidRPr="003520EF">
        <w:rPr>
          <w:rtl/>
        </w:rPr>
        <w:t>بكفاءة</w:t>
      </w:r>
      <w:r w:rsidR="00DC6C59">
        <w:rPr>
          <w:rtl/>
        </w:rPr>
        <w:t xml:space="preserve"> </w:t>
      </w:r>
      <w:r w:rsidRPr="003520EF">
        <w:rPr>
          <w:rtl/>
        </w:rPr>
        <w:t>وتشجيع</w:t>
      </w:r>
      <w:r w:rsidR="00DC6C59">
        <w:rPr>
          <w:rtl/>
        </w:rPr>
        <w:t xml:space="preserve"> </w:t>
      </w:r>
      <w:r w:rsidRPr="003520EF">
        <w:rPr>
          <w:rtl/>
        </w:rPr>
        <w:t>إحداث</w:t>
      </w:r>
      <w:r w:rsidR="00DC6C59">
        <w:rPr>
          <w:rtl/>
        </w:rPr>
        <w:t xml:space="preserve"> </w:t>
      </w:r>
      <w:r w:rsidRPr="003520EF">
        <w:rPr>
          <w:rtl/>
        </w:rPr>
        <w:t>تحول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النموذج</w:t>
      </w:r>
      <w:r w:rsidR="00DC6C59">
        <w:rPr>
          <w:rtl/>
        </w:rPr>
        <w:t xml:space="preserve"> </w:t>
      </w:r>
      <w:r w:rsidRPr="003520EF">
        <w:rPr>
          <w:rtl/>
        </w:rPr>
        <w:t>المتصل</w:t>
      </w:r>
      <w:r w:rsidR="00DC6C59">
        <w:rPr>
          <w:rtl/>
        </w:rPr>
        <w:t xml:space="preserve"> </w:t>
      </w:r>
      <w:r w:rsidRPr="003520EF">
        <w:rPr>
          <w:rtl/>
        </w:rPr>
        <w:t>بالمعايير</w:t>
      </w:r>
      <w:r w:rsidR="00DC6C59">
        <w:rPr>
          <w:rtl/>
        </w:rPr>
        <w:t xml:space="preserve"> </w:t>
      </w:r>
      <w:r w:rsidRPr="003520EF">
        <w:rPr>
          <w:rtl/>
        </w:rPr>
        <w:t>الثقافية</w:t>
      </w:r>
      <w:r w:rsidR="00DC6C59">
        <w:rPr>
          <w:rtl/>
        </w:rPr>
        <w:t xml:space="preserve"> </w:t>
      </w:r>
      <w:r w:rsidRPr="003520EF">
        <w:rPr>
          <w:rtl/>
        </w:rPr>
        <w:t>والاجتماعية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تسهم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العنف</w:t>
      </w:r>
      <w:r w:rsidR="00DC6C59">
        <w:rPr>
          <w:rtl/>
        </w:rPr>
        <w:t xml:space="preserve"> </w:t>
      </w:r>
      <w:r w:rsidRPr="003520EF">
        <w:rPr>
          <w:rtl/>
        </w:rPr>
        <w:t>الجنساني؛</w:t>
      </w:r>
    </w:p>
    <w:p w14:paraId="59050D7C" w14:textId="2A088467" w:rsidR="00EC13CA" w:rsidRPr="003520EF" w:rsidRDefault="00EC13CA" w:rsidP="00EC13CA">
      <w:pPr>
        <w:pStyle w:val="SingleTxtGA"/>
      </w:pPr>
      <w:r w:rsidRPr="003520EF">
        <w:rPr>
          <w:rtl/>
        </w:rPr>
        <w:tab/>
        <w:t>(ط)</w:t>
      </w:r>
      <w:r w:rsidRPr="003520EF">
        <w:rPr>
          <w:rtl/>
        </w:rPr>
        <w:tab/>
        <w:t>الإنهاء</w:t>
      </w:r>
      <w:r w:rsidR="00DC6C59">
        <w:rPr>
          <w:rtl/>
        </w:rPr>
        <w:t xml:space="preserve"> </w:t>
      </w:r>
      <w:r w:rsidRPr="003520EF">
        <w:rPr>
          <w:rtl/>
        </w:rPr>
        <w:t>التدريجي</w:t>
      </w:r>
      <w:r w:rsidR="00DC6C59">
        <w:rPr>
          <w:rtl/>
        </w:rPr>
        <w:t xml:space="preserve"> </w:t>
      </w:r>
      <w:r w:rsidRPr="003520EF">
        <w:rPr>
          <w:rtl/>
        </w:rPr>
        <w:t>والسريع</w:t>
      </w:r>
      <w:r w:rsidR="00DC6C59">
        <w:rPr>
          <w:rtl/>
        </w:rPr>
        <w:t xml:space="preserve"> </w:t>
      </w:r>
      <w:r w:rsidRPr="003520EF">
        <w:rPr>
          <w:rtl/>
        </w:rPr>
        <w:t>للعمالة</w:t>
      </w:r>
      <w:r w:rsidR="00DC6C59">
        <w:rPr>
          <w:rtl/>
        </w:rPr>
        <w:t xml:space="preserve"> </w:t>
      </w:r>
      <w:r w:rsidRPr="003520EF">
        <w:rPr>
          <w:rtl/>
        </w:rPr>
        <w:t>المنفصلة،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ورشات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المحمية،</w:t>
      </w:r>
      <w:r w:rsidR="00DC6C59">
        <w:rPr>
          <w:rtl/>
        </w:rPr>
        <w:t xml:space="preserve"> </w:t>
      </w:r>
      <w:r w:rsidRPr="003520EF">
        <w:rPr>
          <w:rtl/>
        </w:rPr>
        <w:t>وذلك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طريق</w:t>
      </w:r>
      <w:r w:rsidR="00DC6C59">
        <w:rPr>
          <w:rtl/>
        </w:rPr>
        <w:t xml:space="preserve"> </w:t>
      </w:r>
      <w:r w:rsidRPr="003520EF">
        <w:rPr>
          <w:rtl/>
        </w:rPr>
        <w:t>اعتماد</w:t>
      </w:r>
      <w:r w:rsidR="00DC6C59">
        <w:rPr>
          <w:rtl/>
        </w:rPr>
        <w:t xml:space="preserve"> </w:t>
      </w:r>
      <w:r w:rsidRPr="003520EF">
        <w:rPr>
          <w:rtl/>
        </w:rPr>
        <w:t>خطط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ملموسة،</w:t>
      </w:r>
      <w:r w:rsidR="00DC6C59">
        <w:rPr>
          <w:rtl/>
        </w:rPr>
        <w:t xml:space="preserve"> </w:t>
      </w:r>
      <w:r w:rsidRPr="003520EF">
        <w:rPr>
          <w:rtl/>
        </w:rPr>
        <w:t>معززة</w:t>
      </w:r>
      <w:r w:rsidR="00DC6C59">
        <w:rPr>
          <w:rtl/>
        </w:rPr>
        <w:t xml:space="preserve"> </w:t>
      </w:r>
      <w:r w:rsidRPr="003520EF">
        <w:rPr>
          <w:rtl/>
        </w:rPr>
        <w:t>بالموارد</w:t>
      </w:r>
      <w:r w:rsidR="00DC6C59">
        <w:rPr>
          <w:rtl/>
        </w:rPr>
        <w:t xml:space="preserve"> </w:t>
      </w:r>
      <w:r w:rsidRPr="003520EF">
        <w:rPr>
          <w:rtl/>
        </w:rPr>
        <w:t>والأطر</w:t>
      </w:r>
      <w:r w:rsidR="00DC6C59">
        <w:rPr>
          <w:rtl/>
        </w:rPr>
        <w:t xml:space="preserve"> </w:t>
      </w:r>
      <w:r w:rsidRPr="003520EF">
        <w:rPr>
          <w:rtl/>
        </w:rPr>
        <w:t>الزمنية</w:t>
      </w:r>
      <w:r w:rsidR="00DC6C59">
        <w:rPr>
          <w:rtl/>
        </w:rPr>
        <w:t xml:space="preserve"> </w:t>
      </w:r>
      <w:r w:rsidRPr="003520EF">
        <w:rPr>
          <w:rtl/>
        </w:rPr>
        <w:t>وآليات</w:t>
      </w:r>
      <w:r w:rsidR="00DC6C59">
        <w:rPr>
          <w:rtl/>
        </w:rPr>
        <w:t xml:space="preserve"> </w:t>
      </w:r>
      <w:r w:rsidRPr="003520EF">
        <w:rPr>
          <w:rtl/>
        </w:rPr>
        <w:t>الرصد،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الانتقال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المنفصلة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سوق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المنفتحة،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الالتزامات</w:t>
      </w:r>
      <w:r w:rsidR="00DC6C59">
        <w:rPr>
          <w:rtl/>
        </w:rPr>
        <w:t xml:space="preserve"> </w:t>
      </w:r>
      <w:r w:rsidRPr="003520EF">
        <w:rPr>
          <w:rtl/>
        </w:rPr>
        <w:t>التالية</w:t>
      </w:r>
      <w:r w:rsidR="00DC6C59">
        <w:rPr>
          <w:rtl/>
        </w:rPr>
        <w:t>:</w:t>
      </w:r>
    </w:p>
    <w:p w14:paraId="7020706D" w14:textId="587EF8AD" w:rsidR="003520EF" w:rsidRPr="00C12E18" w:rsidRDefault="003520EF" w:rsidP="00C12E18">
      <w:pPr>
        <w:pStyle w:val="Roman1GA"/>
        <w:rPr>
          <w:spacing w:val="-4"/>
        </w:rPr>
      </w:pPr>
      <w:r w:rsidRPr="00C12E18">
        <w:rPr>
          <w:spacing w:val="-4"/>
          <w:rtl/>
        </w:rPr>
        <w:t>استعراض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القوانين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والسياسات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والنهج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والافتراضات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التي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استند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إليها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تعزيز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العمالة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المحمية؛</w:t>
      </w:r>
    </w:p>
    <w:p w14:paraId="39924C68" w14:textId="6D50AC7A" w:rsidR="003520EF" w:rsidRPr="00C12E18" w:rsidRDefault="003520EF" w:rsidP="00C12E18">
      <w:pPr>
        <w:pStyle w:val="Roman1GA"/>
        <w:rPr>
          <w:spacing w:val="-2"/>
        </w:rPr>
      </w:pPr>
      <w:r w:rsidRPr="00C12E18">
        <w:rPr>
          <w:spacing w:val="-2"/>
          <w:rtl/>
        </w:rPr>
        <w:t>التشاور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الوثيق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مع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الأشخاص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ذوي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الإعاقة،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على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سبيل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الأولوية،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وإشراكهم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إشراكا</w:t>
      </w:r>
      <w:r w:rsidR="00476B81">
        <w:rPr>
          <w:rFonts w:hint="cs"/>
          <w:spacing w:val="-2"/>
          <w:rtl/>
        </w:rPr>
        <w:t>ً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فعليا</w:t>
      </w:r>
      <w:r w:rsidR="00476B81">
        <w:rPr>
          <w:rFonts w:hint="cs"/>
          <w:spacing w:val="-2"/>
          <w:rtl/>
        </w:rPr>
        <w:t>ً</w:t>
      </w:r>
      <w:r w:rsidRPr="00C12E18">
        <w:rPr>
          <w:spacing w:val="-2"/>
          <w:rtl/>
        </w:rPr>
        <w:t>،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من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خلال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المنظمات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التي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تمثلهم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في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تصميم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عمليات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الانتقال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وتنفيذها</w:t>
      </w:r>
      <w:r w:rsidR="00DC6C59" w:rsidRPr="00C12E18">
        <w:rPr>
          <w:spacing w:val="-2"/>
          <w:rtl/>
        </w:rPr>
        <w:t xml:space="preserve"> </w:t>
      </w:r>
      <w:r w:rsidRPr="00C12E18">
        <w:rPr>
          <w:spacing w:val="-2"/>
          <w:rtl/>
        </w:rPr>
        <w:t>ورصدها؛</w:t>
      </w:r>
    </w:p>
    <w:p w14:paraId="23888D7A" w14:textId="696966CB" w:rsidR="00EC13CA" w:rsidRPr="003520EF" w:rsidRDefault="00EC13CA" w:rsidP="003520EF">
      <w:pPr>
        <w:pStyle w:val="SingleTxtGA"/>
      </w:pPr>
      <w:r w:rsidRPr="003520EF">
        <w:rPr>
          <w:rtl/>
        </w:rPr>
        <w:tab/>
        <w:t>(ي)</w:t>
      </w:r>
      <w:r w:rsidRPr="003520EF">
        <w:rPr>
          <w:rtl/>
        </w:rPr>
        <w:tab/>
        <w:t>وضع</w:t>
      </w:r>
      <w:r w:rsidR="00DC6C59">
        <w:rPr>
          <w:rtl/>
        </w:rPr>
        <w:t xml:space="preserve"> </w:t>
      </w:r>
      <w:r w:rsidRPr="003520EF">
        <w:rPr>
          <w:rtl/>
        </w:rPr>
        <w:t>وتنفيذ</w:t>
      </w:r>
      <w:r w:rsidR="00DC6C59">
        <w:rPr>
          <w:rtl/>
        </w:rPr>
        <w:t xml:space="preserve"> </w:t>
      </w:r>
      <w:r w:rsidRPr="003520EF">
        <w:rPr>
          <w:rtl/>
        </w:rPr>
        <w:t>برامج</w:t>
      </w:r>
      <w:r w:rsidR="00DC6C59">
        <w:rPr>
          <w:rtl/>
        </w:rPr>
        <w:t xml:space="preserve"> </w:t>
      </w:r>
      <w:r w:rsidRPr="003520EF">
        <w:rPr>
          <w:rtl/>
        </w:rPr>
        <w:t>للمعارف</w:t>
      </w:r>
      <w:r w:rsidR="00DC6C59">
        <w:rPr>
          <w:rtl/>
        </w:rPr>
        <w:t xml:space="preserve"> </w:t>
      </w:r>
      <w:r w:rsidRPr="003520EF">
        <w:rPr>
          <w:rtl/>
        </w:rPr>
        <w:t>والتوعية</w:t>
      </w:r>
      <w:r w:rsidR="00DC6C59">
        <w:rPr>
          <w:rtl/>
        </w:rPr>
        <w:t xml:space="preserve"> </w:t>
      </w:r>
      <w:r w:rsidRPr="003520EF">
        <w:rPr>
          <w:rtl/>
        </w:rPr>
        <w:t>وبناء</w:t>
      </w:r>
      <w:r w:rsidR="00DC6C59">
        <w:rPr>
          <w:rtl/>
        </w:rPr>
        <w:t xml:space="preserve"> </w:t>
      </w:r>
      <w:r w:rsidRPr="003520EF">
        <w:rPr>
          <w:rtl/>
        </w:rPr>
        <w:t>القدرات،</w:t>
      </w:r>
      <w:r w:rsidR="00DC6C59">
        <w:rPr>
          <w:rtl/>
        </w:rPr>
        <w:t xml:space="preserve"> </w:t>
      </w:r>
      <w:r w:rsidRPr="003520EF">
        <w:rPr>
          <w:rtl/>
        </w:rPr>
        <w:t>بمشاركة</w:t>
      </w:r>
      <w:r w:rsidR="00DC6C59">
        <w:rPr>
          <w:rtl/>
        </w:rPr>
        <w:t xml:space="preserve"> </w:t>
      </w:r>
      <w:r w:rsidRPr="003520EF">
        <w:rPr>
          <w:rtl/>
        </w:rPr>
        <w:t>مجدية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المنظمات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تمثلهم،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التدريب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القطاعين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والخاص</w:t>
      </w:r>
      <w:r w:rsidR="00DC6C59">
        <w:rPr>
          <w:rtl/>
        </w:rPr>
        <w:t xml:space="preserve"> </w:t>
      </w:r>
      <w:r w:rsidRPr="003520EF">
        <w:rPr>
          <w:rtl/>
        </w:rPr>
        <w:t>والاقتصاد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الرسمي،</w:t>
      </w:r>
      <w:r w:rsidR="00DC6C59">
        <w:rPr>
          <w:rtl/>
        </w:rPr>
        <w:t xml:space="preserve"> </w:t>
      </w:r>
      <w:r w:rsidRPr="003520EF">
        <w:rPr>
          <w:rtl/>
        </w:rPr>
        <w:t>لضمان</w:t>
      </w:r>
      <w:r w:rsidR="00DC6C59">
        <w:rPr>
          <w:rtl/>
        </w:rPr>
        <w:t xml:space="preserve"> </w:t>
      </w:r>
      <w:r w:rsidRPr="003520EF">
        <w:rPr>
          <w:rtl/>
        </w:rPr>
        <w:t>الامتثال</w:t>
      </w:r>
      <w:r w:rsidR="00DC6C59">
        <w:rPr>
          <w:rtl/>
        </w:rPr>
        <w:t xml:space="preserve"> </w:t>
      </w:r>
      <w:r w:rsidRPr="003520EF">
        <w:rPr>
          <w:rtl/>
        </w:rPr>
        <w:t>للاتفاقية؛</w:t>
      </w:r>
    </w:p>
    <w:p w14:paraId="48A841FC" w14:textId="771ED4F6" w:rsidR="00EC13CA" w:rsidRPr="003520EF" w:rsidRDefault="00EC13CA" w:rsidP="00DC6C59">
      <w:pPr>
        <w:pStyle w:val="SingleTxtGA"/>
      </w:pPr>
      <w:r w:rsidRPr="003520EF">
        <w:rPr>
          <w:rtl/>
        </w:rPr>
        <w:lastRenderedPageBreak/>
        <w:tab/>
        <w:t>(ك)</w:t>
      </w:r>
      <w:r w:rsidRPr="003520EF">
        <w:rPr>
          <w:rtl/>
        </w:rPr>
        <w:tab/>
        <w:t>وضع</w:t>
      </w:r>
      <w:r w:rsidR="00DC6C59">
        <w:rPr>
          <w:rtl/>
        </w:rPr>
        <w:t xml:space="preserve"> </w:t>
      </w:r>
      <w:r w:rsidRPr="003520EF">
        <w:rPr>
          <w:rtl/>
        </w:rPr>
        <w:t>أساليب</w:t>
      </w:r>
      <w:r w:rsidR="00DC6C59">
        <w:rPr>
          <w:rtl/>
        </w:rPr>
        <w:t xml:space="preserve"> </w:t>
      </w:r>
      <w:r w:rsidRPr="003520EF">
        <w:rPr>
          <w:rtl/>
        </w:rPr>
        <w:t>لجمع</w:t>
      </w:r>
      <w:r w:rsidR="00DC6C59">
        <w:rPr>
          <w:rtl/>
        </w:rPr>
        <w:t xml:space="preserve"> </w:t>
      </w:r>
      <w:r w:rsidRPr="003520EF">
        <w:rPr>
          <w:rtl/>
        </w:rPr>
        <w:t>البيانات</w:t>
      </w:r>
      <w:r w:rsidR="00DC6C59">
        <w:rPr>
          <w:rtl/>
        </w:rPr>
        <w:t xml:space="preserve"> </w:t>
      </w:r>
      <w:r w:rsidRPr="003520EF">
        <w:rPr>
          <w:rtl/>
        </w:rPr>
        <w:t>المصنفة</w:t>
      </w:r>
      <w:r w:rsidR="00DC6C59">
        <w:rPr>
          <w:rtl/>
        </w:rPr>
        <w:t xml:space="preserve"> </w:t>
      </w:r>
      <w:r w:rsidRPr="003520EF">
        <w:rPr>
          <w:rtl/>
        </w:rPr>
        <w:t>تصنيفا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ملائما</w:t>
      </w:r>
      <w:r w:rsidR="00476B81">
        <w:rPr>
          <w:rFonts w:hint="cs"/>
          <w:rtl/>
        </w:rPr>
        <w:t>ً</w:t>
      </w:r>
      <w:r w:rsidRPr="003520EF">
        <w:rPr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وفقا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لإطار</w:t>
      </w:r>
      <w:r w:rsidR="00DC6C59">
        <w:rPr>
          <w:rtl/>
        </w:rPr>
        <w:t xml:space="preserve"> </w:t>
      </w:r>
      <w:r w:rsidRPr="003520EF">
        <w:rPr>
          <w:rtl/>
        </w:rPr>
        <w:t>مفاهيمي</w:t>
      </w:r>
      <w:r w:rsidR="00DC6C59">
        <w:rPr>
          <w:rtl/>
        </w:rPr>
        <w:t xml:space="preserve"> </w:t>
      </w:r>
      <w:r w:rsidRPr="003520EF">
        <w:rPr>
          <w:rtl/>
        </w:rPr>
        <w:t>ومنهجي</w:t>
      </w:r>
      <w:r w:rsidR="00DC6C59">
        <w:rPr>
          <w:rtl/>
        </w:rPr>
        <w:t xml:space="preserve"> </w:t>
      </w:r>
      <w:r w:rsidRPr="003520EF">
        <w:rPr>
          <w:rtl/>
        </w:rPr>
        <w:t>قوي</w:t>
      </w:r>
      <w:r w:rsidR="00DC6C59">
        <w:rPr>
          <w:rtl/>
        </w:rPr>
        <w:t xml:space="preserve"> </w:t>
      </w:r>
      <w:r w:rsidRPr="003520EF">
        <w:rPr>
          <w:rtl/>
        </w:rPr>
        <w:t>لحقوق</w:t>
      </w:r>
      <w:r w:rsidR="00DC6C59">
        <w:rPr>
          <w:rtl/>
        </w:rPr>
        <w:t xml:space="preserve"> </w:t>
      </w:r>
      <w:r w:rsidRPr="003520EF">
        <w:rPr>
          <w:rtl/>
        </w:rPr>
        <w:t>الإنسان،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النحو</w:t>
      </w:r>
      <w:r w:rsidR="00DC6C59">
        <w:rPr>
          <w:rtl/>
        </w:rPr>
        <w:t xml:space="preserve"> </w:t>
      </w:r>
      <w:r w:rsidRPr="003520EF">
        <w:rPr>
          <w:rtl/>
        </w:rPr>
        <w:t>المبين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hyperlink r:id="rId9" w:history="1">
        <w:r w:rsidRPr="005170C9">
          <w:rPr>
            <w:rStyle w:val="Hyperlink"/>
            <w:i/>
            <w:iCs/>
            <w:rtl/>
            <w:lang w:val="en-US"/>
          </w:rPr>
          <w:t>مؤشرات</w:t>
        </w:r>
        <w:r w:rsidR="00DC6C59" w:rsidRPr="005170C9">
          <w:rPr>
            <w:rStyle w:val="Hyperlink"/>
            <w:i/>
            <w:iCs/>
            <w:rtl/>
            <w:lang w:val="en-US"/>
          </w:rPr>
          <w:t xml:space="preserve"> </w:t>
        </w:r>
        <w:r w:rsidRPr="005170C9">
          <w:rPr>
            <w:rStyle w:val="Hyperlink"/>
            <w:i/>
            <w:iCs/>
            <w:rtl/>
            <w:lang w:val="en-US"/>
          </w:rPr>
          <w:t>حقوق</w:t>
        </w:r>
        <w:r w:rsidR="00DC6C59" w:rsidRPr="005170C9">
          <w:rPr>
            <w:rStyle w:val="Hyperlink"/>
            <w:i/>
            <w:iCs/>
            <w:rtl/>
            <w:lang w:val="en-US"/>
          </w:rPr>
          <w:t xml:space="preserve"> </w:t>
        </w:r>
        <w:r w:rsidRPr="005170C9">
          <w:rPr>
            <w:rStyle w:val="Hyperlink"/>
            <w:i/>
            <w:iCs/>
            <w:rtl/>
            <w:lang w:val="en-US"/>
          </w:rPr>
          <w:t>الإنسان</w:t>
        </w:r>
        <w:r w:rsidR="00DC6C59" w:rsidRPr="005170C9">
          <w:rPr>
            <w:rStyle w:val="Hyperlink"/>
            <w:i/>
            <w:iCs/>
            <w:rtl/>
            <w:lang w:val="en-US"/>
          </w:rPr>
          <w:t xml:space="preserve">: </w:t>
        </w:r>
        <w:r w:rsidRPr="005170C9">
          <w:rPr>
            <w:rStyle w:val="Hyperlink"/>
            <w:i/>
            <w:iCs/>
            <w:rtl/>
            <w:lang w:val="en-US"/>
          </w:rPr>
          <w:t>دليل</w:t>
        </w:r>
        <w:r w:rsidR="00DC6C59" w:rsidRPr="005170C9">
          <w:rPr>
            <w:rStyle w:val="Hyperlink"/>
            <w:i/>
            <w:iCs/>
            <w:rtl/>
            <w:lang w:val="en-US"/>
          </w:rPr>
          <w:t xml:space="preserve"> </w:t>
        </w:r>
        <w:r w:rsidRPr="005170C9">
          <w:rPr>
            <w:rStyle w:val="Hyperlink"/>
            <w:i/>
            <w:iCs/>
            <w:rtl/>
            <w:lang w:val="en-US"/>
          </w:rPr>
          <w:t>للقياس</w:t>
        </w:r>
        <w:r w:rsidR="00DC6C59" w:rsidRPr="005170C9">
          <w:rPr>
            <w:rStyle w:val="Hyperlink"/>
            <w:i/>
            <w:iCs/>
            <w:rtl/>
            <w:lang w:val="en-US"/>
          </w:rPr>
          <w:t xml:space="preserve"> </w:t>
        </w:r>
        <w:r w:rsidRPr="005170C9">
          <w:rPr>
            <w:rStyle w:val="Hyperlink"/>
            <w:i/>
            <w:iCs/>
            <w:rtl/>
            <w:lang w:val="en-US"/>
          </w:rPr>
          <w:t>والتنفيذ</w:t>
        </w:r>
      </w:hyperlink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70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Fonts w:hint="cs"/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لتيسير</w:t>
      </w:r>
      <w:r w:rsidR="00DC6C59">
        <w:rPr>
          <w:rtl/>
        </w:rPr>
        <w:t xml:space="preserve"> </w:t>
      </w:r>
      <w:r w:rsidRPr="003520EF">
        <w:rPr>
          <w:rtl/>
        </w:rPr>
        <w:t>فهم</w:t>
      </w:r>
      <w:r w:rsidR="00DC6C59">
        <w:rPr>
          <w:rtl/>
        </w:rPr>
        <w:t xml:space="preserve"> </w:t>
      </w:r>
      <w:r w:rsidRPr="003520EF">
        <w:rPr>
          <w:rtl/>
        </w:rPr>
        <w:t>حالة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داخل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وخارجها،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إيلاء</w:t>
      </w:r>
      <w:r w:rsidR="00DC6C59">
        <w:rPr>
          <w:rtl/>
        </w:rPr>
        <w:t xml:space="preserve"> </w:t>
      </w:r>
      <w:r w:rsidRPr="003520EF">
        <w:rPr>
          <w:rtl/>
        </w:rPr>
        <w:t>اهتمام</w:t>
      </w:r>
      <w:r w:rsidR="00DC6C59">
        <w:rPr>
          <w:rtl/>
        </w:rPr>
        <w:t xml:space="preserve"> </w:t>
      </w:r>
      <w:r w:rsidRPr="003520EF">
        <w:rPr>
          <w:rtl/>
        </w:rPr>
        <w:t>خاص</w:t>
      </w:r>
      <w:r w:rsidR="00DC6C59">
        <w:rPr>
          <w:rtl/>
        </w:rPr>
        <w:t xml:space="preserve"> </w:t>
      </w:r>
      <w:r w:rsidRPr="003520EF">
        <w:rPr>
          <w:rtl/>
        </w:rPr>
        <w:t>لأهمية</w:t>
      </w:r>
      <w:r w:rsidR="00DC6C59">
        <w:rPr>
          <w:rtl/>
        </w:rPr>
        <w:t xml:space="preserve"> </w:t>
      </w:r>
      <w:r w:rsidRPr="003520EF">
        <w:rPr>
          <w:rtl/>
        </w:rPr>
        <w:t>وفعالية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الدولة</w:t>
      </w:r>
      <w:r w:rsidR="00DC6C59">
        <w:rPr>
          <w:rtl/>
        </w:rPr>
        <w:t xml:space="preserve"> </w:t>
      </w:r>
      <w:r w:rsidRPr="003520EF">
        <w:rPr>
          <w:rtl/>
        </w:rPr>
        <w:t>الطرف</w:t>
      </w:r>
      <w:r w:rsidR="00DC6C59">
        <w:rPr>
          <w:rtl/>
        </w:rPr>
        <w:t xml:space="preserve"> </w:t>
      </w:r>
      <w:r w:rsidRPr="003520EF">
        <w:rPr>
          <w:rtl/>
        </w:rPr>
        <w:t>الرامية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الاقتصاد</w:t>
      </w:r>
      <w:r w:rsidR="00DC6C59">
        <w:rPr>
          <w:rtl/>
        </w:rPr>
        <w:t xml:space="preserve"> </w:t>
      </w:r>
      <w:r w:rsidRPr="003520EF">
        <w:rPr>
          <w:rtl/>
        </w:rPr>
        <w:t>الرسمي؛</w:t>
      </w:r>
    </w:p>
    <w:p w14:paraId="79F83104" w14:textId="0343C3B0" w:rsidR="00EC13CA" w:rsidRPr="003520EF" w:rsidRDefault="00EC13CA" w:rsidP="003520EF">
      <w:pPr>
        <w:pStyle w:val="SingleTxtGA"/>
      </w:pPr>
      <w:r w:rsidRPr="003520EF">
        <w:rPr>
          <w:rtl/>
        </w:rPr>
        <w:tab/>
        <w:t>(ل)</w:t>
      </w:r>
      <w:r w:rsidRPr="003520EF">
        <w:rPr>
          <w:rtl/>
        </w:rPr>
        <w:tab/>
        <w:t>إنشاء</w:t>
      </w:r>
      <w:r w:rsidR="00DC6C59">
        <w:rPr>
          <w:rtl/>
        </w:rPr>
        <w:t xml:space="preserve"> </w:t>
      </w:r>
      <w:r w:rsidRPr="003520EF">
        <w:rPr>
          <w:rtl/>
        </w:rPr>
        <w:t>آليات</w:t>
      </w:r>
      <w:r w:rsidR="00DC6C59">
        <w:rPr>
          <w:rtl/>
        </w:rPr>
        <w:t xml:space="preserve"> </w:t>
      </w:r>
      <w:r w:rsidRPr="003520EF">
        <w:rPr>
          <w:rtl/>
        </w:rPr>
        <w:t>انتصاف</w:t>
      </w:r>
      <w:r w:rsidR="00DC6C59">
        <w:rPr>
          <w:rtl/>
        </w:rPr>
        <w:t xml:space="preserve"> </w:t>
      </w:r>
      <w:r w:rsidRPr="003520EF">
        <w:rPr>
          <w:rtl/>
        </w:rPr>
        <w:t>فعالة</w:t>
      </w:r>
      <w:r w:rsidR="00DC6C59">
        <w:rPr>
          <w:rtl/>
        </w:rPr>
        <w:t xml:space="preserve"> </w:t>
      </w:r>
      <w:r w:rsidRPr="003520EF">
        <w:rPr>
          <w:rtl/>
        </w:rPr>
        <w:t>ويسهل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إليها</w:t>
      </w:r>
      <w:r w:rsidR="00DC6C59">
        <w:rPr>
          <w:rtl/>
        </w:rPr>
        <w:t xml:space="preserve"> </w:t>
      </w:r>
      <w:r w:rsidRPr="003520EF">
        <w:rPr>
          <w:rtl/>
        </w:rPr>
        <w:t>وضمان</w:t>
      </w:r>
      <w:r w:rsidR="00DC6C59">
        <w:rPr>
          <w:rtl/>
        </w:rPr>
        <w:t xml:space="preserve"> </w:t>
      </w:r>
      <w:r w:rsidRPr="003520EF">
        <w:rPr>
          <w:rtl/>
        </w:rPr>
        <w:t>وصول</w:t>
      </w:r>
      <w:r w:rsidR="00DC6C59">
        <w:rPr>
          <w:rtl/>
        </w:rPr>
        <w:t xml:space="preserve"> </w:t>
      </w:r>
      <w:r w:rsidRPr="003520EF">
        <w:rPr>
          <w:rtl/>
        </w:rPr>
        <w:t>ضحايا</w:t>
      </w:r>
      <w:r w:rsidR="00DC6C59">
        <w:rPr>
          <w:rtl/>
        </w:rPr>
        <w:t xml:space="preserve"> </w:t>
      </w:r>
      <w:r w:rsidRPr="003520EF">
        <w:rPr>
          <w:rtl/>
        </w:rPr>
        <w:t>التمييز</w:t>
      </w:r>
      <w:r w:rsidR="00DC6C59">
        <w:rPr>
          <w:rtl/>
        </w:rPr>
        <w:t xml:space="preserve"> </w:t>
      </w:r>
      <w:r w:rsidRPr="003520EF">
        <w:rPr>
          <w:rtl/>
        </w:rPr>
        <w:t>القائم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أساس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العدالة،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قدم</w:t>
      </w:r>
      <w:r w:rsidR="00DC6C59">
        <w:rPr>
          <w:rtl/>
        </w:rPr>
        <w:t xml:space="preserve"> </w:t>
      </w:r>
      <w:r w:rsidRPr="003520EF">
        <w:rPr>
          <w:rtl/>
        </w:rPr>
        <w:t>المساواة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الآخرين،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وصول</w:t>
      </w:r>
      <w:r w:rsidR="00DC6C59">
        <w:rPr>
          <w:rtl/>
        </w:rPr>
        <w:t xml:space="preserve"> </w:t>
      </w:r>
      <w:r w:rsidRPr="003520EF">
        <w:rPr>
          <w:rtl/>
        </w:rPr>
        <w:t>جميع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إجراءات</w:t>
      </w:r>
      <w:r w:rsidR="00DC6C59">
        <w:rPr>
          <w:rtl/>
        </w:rPr>
        <w:t xml:space="preserve"> </w:t>
      </w:r>
      <w:r w:rsidRPr="003520EF">
        <w:rPr>
          <w:rtl/>
        </w:rPr>
        <w:t>قضائية</w:t>
      </w:r>
      <w:r w:rsidR="00DC6C59">
        <w:rPr>
          <w:rtl/>
        </w:rPr>
        <w:t xml:space="preserve"> </w:t>
      </w:r>
      <w:r w:rsidRPr="003520EF">
        <w:rPr>
          <w:rtl/>
        </w:rPr>
        <w:t>و/أو</w:t>
      </w:r>
      <w:r w:rsidR="00DC6C59">
        <w:rPr>
          <w:rtl/>
        </w:rPr>
        <w:t xml:space="preserve"> </w:t>
      </w:r>
      <w:r w:rsidRPr="003520EF">
        <w:rPr>
          <w:rtl/>
        </w:rPr>
        <w:t>إدارية</w:t>
      </w:r>
      <w:r w:rsidR="00DC6C59">
        <w:rPr>
          <w:rtl/>
        </w:rPr>
        <w:t xml:space="preserve"> </w:t>
      </w:r>
      <w:r w:rsidRPr="003520EF">
        <w:rPr>
          <w:rtl/>
        </w:rPr>
        <w:t>فعالة،</w:t>
      </w:r>
      <w:r w:rsidR="00DC6C59">
        <w:rPr>
          <w:rtl/>
        </w:rPr>
        <w:t xml:space="preserve"> </w:t>
      </w:r>
      <w:r w:rsidRPr="003520EF">
        <w:rPr>
          <w:rtl/>
        </w:rPr>
        <w:t>تشمل</w:t>
      </w:r>
      <w:r w:rsidR="00DC6C59">
        <w:rPr>
          <w:rtl/>
        </w:rPr>
        <w:t xml:space="preserve"> </w:t>
      </w:r>
      <w:r w:rsidRPr="003520EF">
        <w:rPr>
          <w:rtl/>
        </w:rPr>
        <w:t>آليات</w:t>
      </w:r>
      <w:r w:rsidR="00DC6C59">
        <w:rPr>
          <w:rtl/>
        </w:rPr>
        <w:t xml:space="preserve"> </w:t>
      </w:r>
      <w:r w:rsidRPr="003520EF">
        <w:rPr>
          <w:rtl/>
        </w:rPr>
        <w:t>فعالة</w:t>
      </w:r>
      <w:r w:rsidR="00DC6C59">
        <w:rPr>
          <w:rtl/>
        </w:rPr>
        <w:t xml:space="preserve"> </w:t>
      </w:r>
      <w:r w:rsidRPr="003520EF">
        <w:rPr>
          <w:rtl/>
        </w:rPr>
        <w:t>ويسهل</w:t>
      </w:r>
      <w:r w:rsidR="00DC6C59">
        <w:rPr>
          <w:rtl/>
        </w:rPr>
        <w:t xml:space="preserve"> </w:t>
      </w:r>
      <w:r w:rsidRPr="003520EF">
        <w:rPr>
          <w:rtl/>
        </w:rPr>
        <w:t>الوصول</w:t>
      </w:r>
      <w:r w:rsidR="00DC6C59">
        <w:rPr>
          <w:rtl/>
        </w:rPr>
        <w:t xml:space="preserve"> </w:t>
      </w:r>
      <w:r w:rsidRPr="003520EF">
        <w:rPr>
          <w:rtl/>
        </w:rPr>
        <w:t>إليها</w:t>
      </w:r>
      <w:r w:rsidR="00DC6C59">
        <w:rPr>
          <w:rtl/>
        </w:rPr>
        <w:t xml:space="preserve"> </w:t>
      </w:r>
      <w:r w:rsidRPr="003520EF">
        <w:rPr>
          <w:rtl/>
        </w:rPr>
        <w:t>لتقديم</w:t>
      </w:r>
      <w:r w:rsidR="00DC6C59">
        <w:rPr>
          <w:rtl/>
        </w:rPr>
        <w:t xml:space="preserve"> </w:t>
      </w:r>
      <w:r w:rsidRPr="003520EF">
        <w:rPr>
          <w:rtl/>
        </w:rPr>
        <w:t>الشكاوى،</w:t>
      </w:r>
      <w:r w:rsidR="00DC6C59">
        <w:rPr>
          <w:rtl/>
        </w:rPr>
        <w:t xml:space="preserve"> </w:t>
      </w:r>
      <w:r w:rsidRPr="003520EF">
        <w:rPr>
          <w:rtl/>
        </w:rPr>
        <w:t>وضمان</w:t>
      </w:r>
      <w:r w:rsidR="00DC6C59">
        <w:rPr>
          <w:rtl/>
        </w:rPr>
        <w:t xml:space="preserve"> </w:t>
      </w:r>
      <w:r w:rsidRPr="003520EF">
        <w:rPr>
          <w:rtl/>
        </w:rPr>
        <w:t>وصولهم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المساعدة</w:t>
      </w:r>
      <w:r w:rsidR="00DC6C59">
        <w:rPr>
          <w:rtl/>
        </w:rPr>
        <w:t xml:space="preserve"> </w:t>
      </w:r>
      <w:r w:rsidRPr="003520EF">
        <w:rPr>
          <w:rtl/>
        </w:rPr>
        <w:t>القانونية</w:t>
      </w:r>
      <w:r w:rsidR="00DC6C59">
        <w:rPr>
          <w:rtl/>
        </w:rPr>
        <w:t xml:space="preserve"> </w:t>
      </w:r>
      <w:r w:rsidRPr="003520EF">
        <w:rPr>
          <w:rtl/>
        </w:rPr>
        <w:t>المناسبة</w:t>
      </w:r>
      <w:r w:rsidR="00DC6C59">
        <w:rPr>
          <w:rtl/>
        </w:rPr>
        <w:t xml:space="preserve"> </w:t>
      </w:r>
      <w:r w:rsidRPr="003520EF">
        <w:rPr>
          <w:rtl/>
        </w:rPr>
        <w:t>والميسورة</w:t>
      </w:r>
      <w:r w:rsidR="00DC6C59">
        <w:rPr>
          <w:rtl/>
        </w:rPr>
        <w:t xml:space="preserve"> </w:t>
      </w:r>
      <w:r w:rsidRPr="003520EF">
        <w:rPr>
          <w:rtl/>
        </w:rPr>
        <w:t>التكلفة</w:t>
      </w:r>
      <w:r w:rsidR="00DC6C59">
        <w:rPr>
          <w:rtl/>
        </w:rPr>
        <w:t xml:space="preserve"> </w:t>
      </w:r>
      <w:r w:rsidRPr="003520EF">
        <w:rPr>
          <w:rtl/>
        </w:rPr>
        <w:t>والجيدة؛</w:t>
      </w:r>
      <w:r w:rsidR="00DC6C59">
        <w:rPr>
          <w:rtl/>
        </w:rPr>
        <w:t xml:space="preserve"> </w:t>
      </w:r>
    </w:p>
    <w:p w14:paraId="417D69CD" w14:textId="74DCD188" w:rsidR="00EC13CA" w:rsidRPr="003520EF" w:rsidRDefault="00EC13CA" w:rsidP="00EC13CA">
      <w:pPr>
        <w:pStyle w:val="SingleTxtGA"/>
      </w:pPr>
      <w:r w:rsidRPr="003520EF">
        <w:rPr>
          <w:rtl/>
        </w:rPr>
        <w:tab/>
        <w:t>(م)</w:t>
      </w:r>
      <w:r w:rsidRPr="003520EF">
        <w:rPr>
          <w:rtl/>
        </w:rPr>
        <w:tab/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وتعزيز</w:t>
      </w:r>
      <w:r w:rsidR="00DC6C59">
        <w:rPr>
          <w:rtl/>
        </w:rPr>
        <w:t xml:space="preserve"> </w:t>
      </w:r>
      <w:r w:rsidRPr="003520EF">
        <w:rPr>
          <w:rtl/>
        </w:rPr>
        <w:t>مسارات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للأشخاص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آليات</w:t>
      </w:r>
      <w:r w:rsidR="00DC6C59">
        <w:rPr>
          <w:rtl/>
        </w:rPr>
        <w:t xml:space="preserve"> </w:t>
      </w:r>
      <w:r w:rsidRPr="003520EF">
        <w:rPr>
          <w:rtl/>
        </w:rPr>
        <w:t>مطابقة</w:t>
      </w:r>
      <w:r w:rsidR="00DC6C59">
        <w:rPr>
          <w:rtl/>
        </w:rPr>
        <w:t xml:space="preserve"> </w:t>
      </w:r>
      <w:r w:rsidRPr="003520EF">
        <w:rPr>
          <w:rtl/>
        </w:rPr>
        <w:t>الوظائف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تمد</w:t>
      </w:r>
      <w:r w:rsidR="00DC6C59">
        <w:rPr>
          <w:rtl/>
        </w:rPr>
        <w:t xml:space="preserve"> </w:t>
      </w:r>
      <w:r w:rsidRPr="003520EF">
        <w:rPr>
          <w:rtl/>
        </w:rPr>
        <w:t>جسرا</w:t>
      </w:r>
      <w:r w:rsidR="00476B81">
        <w:rPr>
          <w:rFonts w:hint="cs"/>
          <w:rtl/>
        </w:rPr>
        <w:t>ً</w:t>
      </w:r>
      <w:r w:rsidR="00DC6C59">
        <w:rPr>
          <w:rtl/>
        </w:rPr>
        <w:t xml:space="preserve"> </w:t>
      </w:r>
      <w:r w:rsidRPr="003520EF">
        <w:rPr>
          <w:rtl/>
        </w:rPr>
        <w:t>بين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وأرباب</w:t>
      </w:r>
      <w:r w:rsidR="00DC6C59">
        <w:rPr>
          <w:rtl/>
        </w:rPr>
        <w:t xml:space="preserve"> </w:t>
      </w:r>
      <w:r w:rsidRPr="003520EF">
        <w:rPr>
          <w:rtl/>
        </w:rPr>
        <w:t>العمل،</w:t>
      </w:r>
      <w:r w:rsidR="00DC6C59">
        <w:rPr>
          <w:rtl/>
        </w:rPr>
        <w:t xml:space="preserve"> </w:t>
      </w:r>
      <w:r w:rsidRPr="003520EF">
        <w:rPr>
          <w:rtl/>
        </w:rPr>
        <w:t>ووضع</w:t>
      </w:r>
      <w:r w:rsidR="00DC6C59">
        <w:rPr>
          <w:rtl/>
        </w:rPr>
        <w:t xml:space="preserve"> </w:t>
      </w:r>
      <w:r w:rsidRPr="003520EF">
        <w:rPr>
          <w:rtl/>
        </w:rPr>
        <w:t>آليات</w:t>
      </w:r>
      <w:r w:rsidR="00DC6C59">
        <w:rPr>
          <w:rtl/>
        </w:rPr>
        <w:t xml:space="preserve"> </w:t>
      </w:r>
      <w:r w:rsidRPr="003520EF">
        <w:rPr>
          <w:rtl/>
        </w:rPr>
        <w:t>محددة</w:t>
      </w:r>
      <w:r w:rsidR="00DC6C59">
        <w:rPr>
          <w:rtl/>
        </w:rPr>
        <w:t xml:space="preserve"> </w:t>
      </w:r>
      <w:r w:rsidRPr="003520EF">
        <w:rPr>
          <w:rtl/>
        </w:rPr>
        <w:t>للانضمام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</w:t>
      </w:r>
      <w:r w:rsidR="00DC6C59">
        <w:rPr>
          <w:rtl/>
        </w:rPr>
        <w:t xml:space="preserve"> </w:t>
      </w:r>
      <w:r w:rsidRPr="003520EF">
        <w:rPr>
          <w:rtl/>
        </w:rPr>
        <w:t>العام؛</w:t>
      </w:r>
      <w:r w:rsidR="00DC6C59">
        <w:rPr>
          <w:rtl/>
        </w:rPr>
        <w:t xml:space="preserve"> </w:t>
      </w:r>
    </w:p>
    <w:p w14:paraId="0350C75A" w14:textId="157A679B" w:rsidR="00EC13CA" w:rsidRPr="003520EF" w:rsidRDefault="00EC13CA" w:rsidP="00EC13CA">
      <w:pPr>
        <w:pStyle w:val="SingleTxtGA"/>
      </w:pPr>
      <w:r w:rsidRPr="003520EF">
        <w:rPr>
          <w:rtl/>
        </w:rPr>
        <w:tab/>
        <w:t>(ن)</w:t>
      </w:r>
      <w:r w:rsidRPr="003520EF">
        <w:rPr>
          <w:rtl/>
        </w:rPr>
        <w:tab/>
        <w:t>تشجيع</w:t>
      </w:r>
      <w:r w:rsidR="00DC6C59">
        <w:rPr>
          <w:rtl/>
        </w:rPr>
        <w:t xml:space="preserve"> </w:t>
      </w:r>
      <w:r w:rsidRPr="003520EF">
        <w:rPr>
          <w:rtl/>
        </w:rPr>
        <w:t>وتعزيز</w:t>
      </w:r>
      <w:r w:rsidR="00DC6C59">
        <w:rPr>
          <w:rtl/>
        </w:rPr>
        <w:t xml:space="preserve"> </w:t>
      </w:r>
      <w:r w:rsidRPr="003520EF">
        <w:rPr>
          <w:rtl/>
        </w:rPr>
        <w:t>الشراكات</w:t>
      </w:r>
      <w:r w:rsidR="00DC6C59">
        <w:rPr>
          <w:rtl/>
        </w:rPr>
        <w:t xml:space="preserve"> </w:t>
      </w:r>
      <w:r w:rsidRPr="003520EF">
        <w:rPr>
          <w:rtl/>
        </w:rPr>
        <w:t>والشبكات</w:t>
      </w:r>
      <w:r w:rsidR="00DC6C59">
        <w:rPr>
          <w:rtl/>
        </w:rPr>
        <w:t xml:space="preserve"> </w:t>
      </w:r>
      <w:r w:rsidRPr="003520EF">
        <w:rPr>
          <w:rtl/>
        </w:rPr>
        <w:t>بين</w:t>
      </w:r>
      <w:r w:rsidR="00DC6C59">
        <w:rPr>
          <w:rtl/>
        </w:rPr>
        <w:t xml:space="preserve"> </w:t>
      </w:r>
      <w:r w:rsidRPr="003520EF">
        <w:rPr>
          <w:rtl/>
        </w:rPr>
        <w:t>أصحاب</w:t>
      </w:r>
      <w:r w:rsidR="00DC6C59">
        <w:rPr>
          <w:rtl/>
        </w:rPr>
        <w:t xml:space="preserve"> </w:t>
      </w:r>
      <w:r w:rsidRPr="003520EF">
        <w:rPr>
          <w:rtl/>
        </w:rPr>
        <w:t>المصلحة</w:t>
      </w:r>
      <w:r w:rsidR="00DC6C59">
        <w:rPr>
          <w:rtl/>
        </w:rPr>
        <w:t xml:space="preserve"> </w:t>
      </w:r>
      <w:r w:rsidRPr="003520EF">
        <w:rPr>
          <w:rtl/>
        </w:rPr>
        <w:t>المتعددين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أجل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فرص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لفائدة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استخدام</w:t>
      </w:r>
      <w:r w:rsidR="00DC6C59">
        <w:rPr>
          <w:rtl/>
        </w:rPr>
        <w:t xml:space="preserve"> </w:t>
      </w:r>
      <w:r w:rsidRPr="003520EF">
        <w:rPr>
          <w:rtl/>
        </w:rPr>
        <w:t>الشبكات</w:t>
      </w:r>
      <w:r w:rsidR="00DC6C59">
        <w:rPr>
          <w:rtl/>
        </w:rPr>
        <w:t xml:space="preserve"> </w:t>
      </w:r>
      <w:r w:rsidRPr="003520EF">
        <w:rPr>
          <w:rtl/>
        </w:rPr>
        <w:t>لحشد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بشأن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الإعاقة؛</w:t>
      </w:r>
      <w:r w:rsidR="00DC6C59">
        <w:rPr>
          <w:rtl/>
        </w:rPr>
        <w:t xml:space="preserve"> </w:t>
      </w:r>
      <w:r w:rsidRPr="003520EF">
        <w:rPr>
          <w:rtl/>
        </w:rPr>
        <w:t>والعمل</w:t>
      </w:r>
      <w:r w:rsidR="00DC6C59">
        <w:rPr>
          <w:rtl/>
        </w:rPr>
        <w:t xml:space="preserve"> </w:t>
      </w:r>
      <w:r w:rsidRPr="003520EF">
        <w:rPr>
          <w:rtl/>
        </w:rPr>
        <w:t>بشكل</w:t>
      </w:r>
      <w:r w:rsidR="00DC6C59">
        <w:rPr>
          <w:rtl/>
        </w:rPr>
        <w:t xml:space="preserve"> </w:t>
      </w:r>
      <w:r w:rsidRPr="003520EF">
        <w:rPr>
          <w:rtl/>
        </w:rPr>
        <w:t>تعاوني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منظمات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بطرق</w:t>
      </w:r>
      <w:r w:rsidR="00DC6C59">
        <w:rPr>
          <w:rtl/>
        </w:rPr>
        <w:t xml:space="preserve"> </w:t>
      </w:r>
      <w:r w:rsidRPr="003520EF">
        <w:rPr>
          <w:rtl/>
        </w:rPr>
        <w:t>منها</w:t>
      </w:r>
      <w:r w:rsidR="00DC6C59">
        <w:rPr>
          <w:rtl/>
        </w:rPr>
        <w:t xml:space="preserve"> </w:t>
      </w:r>
      <w:r w:rsidRPr="003520EF">
        <w:rPr>
          <w:rtl/>
        </w:rPr>
        <w:t>إرسال</w:t>
      </w:r>
      <w:r w:rsidR="00DC6C59">
        <w:rPr>
          <w:rtl/>
        </w:rPr>
        <w:t xml:space="preserve"> </w:t>
      </w:r>
      <w:r w:rsidRPr="003520EF">
        <w:rPr>
          <w:rtl/>
        </w:rPr>
        <w:t>شواغر</w:t>
      </w:r>
      <w:r w:rsidR="00DC6C59">
        <w:rPr>
          <w:rtl/>
        </w:rPr>
        <w:t xml:space="preserve"> </w:t>
      </w:r>
      <w:r w:rsidRPr="003520EF">
        <w:rPr>
          <w:rtl/>
        </w:rPr>
        <w:t>التوظيف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القطاعين</w:t>
      </w:r>
      <w:r w:rsidR="00DC6C59">
        <w:rPr>
          <w:rtl/>
        </w:rPr>
        <w:t xml:space="preserve"> </w:t>
      </w:r>
      <w:r w:rsidRPr="003520EF">
        <w:rPr>
          <w:rtl/>
        </w:rPr>
        <w:t>العام</w:t>
      </w:r>
      <w:r w:rsidR="00DC6C59">
        <w:rPr>
          <w:rtl/>
        </w:rPr>
        <w:t xml:space="preserve"> </w:t>
      </w:r>
      <w:r w:rsidRPr="003520EF">
        <w:rPr>
          <w:rtl/>
        </w:rPr>
        <w:t>والخاص</w:t>
      </w:r>
      <w:r w:rsidR="00DC6C59">
        <w:rPr>
          <w:rtl/>
        </w:rPr>
        <w:t xml:space="preserve"> </w:t>
      </w:r>
      <w:r w:rsidRPr="003520EF">
        <w:rPr>
          <w:rtl/>
        </w:rPr>
        <w:t>بانتظام</w:t>
      </w:r>
      <w:r w:rsidR="00DC6C59">
        <w:rPr>
          <w:rtl/>
        </w:rPr>
        <w:t xml:space="preserve"> </w:t>
      </w:r>
      <w:r w:rsidRPr="003520EF">
        <w:rPr>
          <w:rtl/>
        </w:rPr>
        <w:t>إلى</w:t>
      </w:r>
      <w:r w:rsidR="00DC6C59">
        <w:rPr>
          <w:rtl/>
        </w:rPr>
        <w:t xml:space="preserve"> </w:t>
      </w:r>
      <w:r w:rsidRPr="003520EF">
        <w:rPr>
          <w:rtl/>
        </w:rPr>
        <w:t>تلك</w:t>
      </w:r>
      <w:r w:rsidR="00DC6C59">
        <w:rPr>
          <w:rtl/>
        </w:rPr>
        <w:t xml:space="preserve"> </w:t>
      </w:r>
      <w:r w:rsidRPr="003520EF">
        <w:rPr>
          <w:rtl/>
        </w:rPr>
        <w:t>المنظمات؛</w:t>
      </w:r>
      <w:r w:rsidR="00DC6C59">
        <w:rPr>
          <w:rtl/>
        </w:rPr>
        <w:t xml:space="preserve"> </w:t>
      </w:r>
      <w:r w:rsidRPr="003520EF">
        <w:rPr>
          <w:rtl/>
        </w:rPr>
        <w:t>وتشجيع</w:t>
      </w:r>
      <w:r w:rsidR="00DC6C59">
        <w:rPr>
          <w:rtl/>
        </w:rPr>
        <w:t xml:space="preserve"> </w:t>
      </w:r>
      <w:r w:rsidRPr="003520EF">
        <w:rPr>
          <w:rtl/>
        </w:rPr>
        <w:t>الوكالات</w:t>
      </w:r>
      <w:r w:rsidR="00DC6C59">
        <w:rPr>
          <w:rtl/>
        </w:rPr>
        <w:t xml:space="preserve"> </w:t>
      </w:r>
      <w:r w:rsidRPr="003520EF">
        <w:rPr>
          <w:rtl/>
        </w:rPr>
        <w:t>الرئيسية</w:t>
      </w:r>
      <w:r w:rsidR="00DC6C59">
        <w:rPr>
          <w:rtl/>
        </w:rPr>
        <w:t xml:space="preserve"> </w:t>
      </w:r>
      <w:r w:rsidRPr="003520EF">
        <w:rPr>
          <w:rtl/>
        </w:rPr>
        <w:t>التي</w:t>
      </w:r>
      <w:r w:rsidR="00DC6C59">
        <w:rPr>
          <w:rtl/>
        </w:rPr>
        <w:t xml:space="preserve"> </w:t>
      </w:r>
      <w:r w:rsidRPr="003520EF">
        <w:rPr>
          <w:rtl/>
        </w:rPr>
        <w:t>تروج</w:t>
      </w:r>
      <w:r w:rsidR="00DC6C59">
        <w:rPr>
          <w:rtl/>
        </w:rPr>
        <w:t xml:space="preserve"> </w:t>
      </w:r>
      <w:r w:rsidRPr="003520EF">
        <w:rPr>
          <w:rtl/>
        </w:rPr>
        <w:t>للعمالة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قدرتها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دعم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خلال</w:t>
      </w:r>
      <w:r w:rsidR="00DC6C59">
        <w:rPr>
          <w:rtl/>
        </w:rPr>
        <w:t xml:space="preserve"> </w:t>
      </w:r>
      <w:r w:rsidRPr="003520EF">
        <w:rPr>
          <w:rtl/>
        </w:rPr>
        <w:t>إقامة</w:t>
      </w:r>
      <w:r w:rsidR="00DC6C59">
        <w:rPr>
          <w:rtl/>
        </w:rPr>
        <w:t xml:space="preserve"> </w:t>
      </w:r>
      <w:r w:rsidRPr="003520EF">
        <w:rPr>
          <w:rtl/>
        </w:rPr>
        <w:t>شراكات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المنظمات</w:t>
      </w:r>
      <w:r w:rsidR="00DC6C59">
        <w:rPr>
          <w:rtl/>
        </w:rPr>
        <w:t xml:space="preserve"> </w:t>
      </w:r>
      <w:r w:rsidRPr="003520EF">
        <w:rPr>
          <w:rtl/>
        </w:rPr>
        <w:t>العاملة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مجال</w:t>
      </w:r>
      <w:r w:rsidR="00DC6C59">
        <w:rPr>
          <w:rtl/>
        </w:rPr>
        <w:t xml:space="preserve"> </w:t>
      </w:r>
      <w:r w:rsidRPr="003520EF">
        <w:rPr>
          <w:rtl/>
        </w:rPr>
        <w:t>حقوق</w:t>
      </w:r>
      <w:r w:rsidR="00DC6C59">
        <w:rPr>
          <w:rtl/>
        </w:rPr>
        <w:t xml:space="preserve"> </w:t>
      </w:r>
      <w:r w:rsidRPr="003520EF">
        <w:rPr>
          <w:rtl/>
        </w:rPr>
        <w:t>الإعاقة؛</w:t>
      </w:r>
      <w:r w:rsidR="00DC6C59">
        <w:rPr>
          <w:rtl/>
        </w:rPr>
        <w:t xml:space="preserve"> </w:t>
      </w:r>
    </w:p>
    <w:p w14:paraId="4CFC6E0F" w14:textId="05C20FB9" w:rsidR="00EC13CA" w:rsidRPr="003520EF" w:rsidRDefault="00EC13CA" w:rsidP="00EC13CA">
      <w:pPr>
        <w:pStyle w:val="SingleTxtGA"/>
      </w:pPr>
      <w:r w:rsidRPr="003520EF">
        <w:rPr>
          <w:rtl/>
        </w:rPr>
        <w:tab/>
        <w:t>(س)</w:t>
      </w:r>
      <w:r w:rsidRPr="003520EF">
        <w:rPr>
          <w:rtl/>
        </w:rPr>
        <w:tab/>
        <w:t>تشجيع</w:t>
      </w:r>
      <w:r w:rsidR="00DC6C59">
        <w:rPr>
          <w:rtl/>
        </w:rPr>
        <w:t xml:space="preserve"> </w:t>
      </w:r>
      <w:r w:rsidRPr="003520EF">
        <w:rPr>
          <w:rtl/>
        </w:rPr>
        <w:t>أرباب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التابعين</w:t>
      </w:r>
      <w:r w:rsidR="00DC6C59">
        <w:rPr>
          <w:rtl/>
        </w:rPr>
        <w:t xml:space="preserve"> </w:t>
      </w:r>
      <w:r w:rsidRPr="003520EF">
        <w:rPr>
          <w:rtl/>
        </w:rPr>
        <w:t>للدولة</w:t>
      </w:r>
      <w:r w:rsidR="00DC6C59">
        <w:rPr>
          <w:rtl/>
        </w:rPr>
        <w:t xml:space="preserve"> </w:t>
      </w:r>
      <w:r w:rsidRPr="003520EF">
        <w:rPr>
          <w:rtl/>
        </w:rPr>
        <w:t>وغير</w:t>
      </w:r>
      <w:r w:rsidR="00DC6C59">
        <w:rPr>
          <w:rtl/>
        </w:rPr>
        <w:t xml:space="preserve"> </w:t>
      </w:r>
      <w:r w:rsidRPr="003520EF">
        <w:rPr>
          <w:rtl/>
        </w:rPr>
        <w:t>التابعين</w:t>
      </w:r>
      <w:r w:rsidR="00DC6C59">
        <w:rPr>
          <w:rtl/>
        </w:rPr>
        <w:t xml:space="preserve"> </w:t>
      </w:r>
      <w:r w:rsidRPr="003520EF">
        <w:rPr>
          <w:rtl/>
        </w:rPr>
        <w:t>لها</w:t>
      </w:r>
      <w:r w:rsidR="00DC6C59">
        <w:rPr>
          <w:rtl/>
        </w:rPr>
        <w:t xml:space="preserve"> </w:t>
      </w:r>
      <w:r w:rsidRPr="003520EF">
        <w:rPr>
          <w:rtl/>
        </w:rPr>
        <w:t>على</w:t>
      </w:r>
      <w:r w:rsidR="00DC6C59">
        <w:rPr>
          <w:rtl/>
        </w:rPr>
        <w:t xml:space="preserve"> </w:t>
      </w:r>
      <w:r w:rsidRPr="003520EF">
        <w:rPr>
          <w:rtl/>
        </w:rPr>
        <w:t>تقديم</w:t>
      </w:r>
      <w:r w:rsidR="00DC6C59">
        <w:rPr>
          <w:rtl/>
        </w:rPr>
        <w:t xml:space="preserve"> </w:t>
      </w:r>
      <w:r w:rsidRPr="003520EF">
        <w:rPr>
          <w:rtl/>
        </w:rPr>
        <w:t>تقارير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مستويات</w:t>
      </w:r>
      <w:r w:rsidR="00DC6C59">
        <w:rPr>
          <w:rtl/>
        </w:rPr>
        <w:t xml:space="preserve"> </w:t>
      </w:r>
      <w:r w:rsidRPr="003520EF">
        <w:rPr>
          <w:rtl/>
        </w:rPr>
        <w:t>وظروف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تقديم</w:t>
      </w:r>
      <w:r w:rsidR="00DC6C59">
        <w:rPr>
          <w:rtl/>
        </w:rPr>
        <w:t xml:space="preserve"> </w:t>
      </w:r>
      <w:r w:rsidRPr="003520EF">
        <w:rPr>
          <w:rtl/>
        </w:rPr>
        <w:t>معلومات</w:t>
      </w:r>
      <w:r w:rsidR="00DC6C59">
        <w:rPr>
          <w:rtl/>
        </w:rPr>
        <w:t xml:space="preserve"> </w:t>
      </w:r>
      <w:r w:rsidRPr="003520EF">
        <w:rPr>
          <w:rtl/>
        </w:rPr>
        <w:t>عن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المتخذة</w:t>
      </w:r>
      <w:r w:rsidR="00DC6C59">
        <w:rPr>
          <w:rtl/>
        </w:rPr>
        <w:t xml:space="preserve"> </w:t>
      </w:r>
      <w:r w:rsidRPr="003520EF">
        <w:rPr>
          <w:rtl/>
        </w:rPr>
        <w:t>والنتائج</w:t>
      </w:r>
      <w:r w:rsidR="00DC6C59">
        <w:rPr>
          <w:rtl/>
        </w:rPr>
        <w:t xml:space="preserve"> </w:t>
      </w:r>
      <w:r w:rsidRPr="003520EF">
        <w:rPr>
          <w:rtl/>
        </w:rPr>
        <w:t>المحققة</w:t>
      </w:r>
      <w:r w:rsidR="00DC6C59">
        <w:rPr>
          <w:rtl/>
        </w:rPr>
        <w:t xml:space="preserve"> </w:t>
      </w:r>
      <w:r w:rsidRPr="003520EF">
        <w:rPr>
          <w:rtl/>
        </w:rPr>
        <w:t>فيما</w:t>
      </w:r>
      <w:r w:rsidR="00DC6C59">
        <w:rPr>
          <w:rtl/>
        </w:rPr>
        <w:t xml:space="preserve"> </w:t>
      </w:r>
      <w:r w:rsidRPr="003520EF">
        <w:rPr>
          <w:rtl/>
        </w:rPr>
        <w:t>يتعلق</w:t>
      </w:r>
      <w:r w:rsidR="00DC6C59">
        <w:rPr>
          <w:rtl/>
        </w:rPr>
        <w:t xml:space="preserve"> </w:t>
      </w:r>
      <w:r w:rsidRPr="003520EF">
        <w:rPr>
          <w:rtl/>
        </w:rPr>
        <w:t>بالتقدم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المسار</w:t>
      </w:r>
      <w:r w:rsidR="00DC6C59">
        <w:rPr>
          <w:rtl/>
        </w:rPr>
        <w:t xml:space="preserve"> </w:t>
      </w:r>
      <w:r w:rsidRPr="003520EF">
        <w:rPr>
          <w:rtl/>
        </w:rPr>
        <w:t>المهني</w:t>
      </w:r>
      <w:r w:rsidR="00DC6C59">
        <w:rPr>
          <w:rtl/>
        </w:rPr>
        <w:t xml:space="preserve"> </w:t>
      </w:r>
      <w:r w:rsidRPr="003520EF">
        <w:rPr>
          <w:rtl/>
        </w:rPr>
        <w:t>لدى</w:t>
      </w:r>
      <w:r w:rsidR="00DC6C59">
        <w:rPr>
          <w:rtl/>
        </w:rPr>
        <w:t xml:space="preserve"> </w:t>
      </w:r>
      <w:r w:rsidRPr="003520EF">
        <w:rPr>
          <w:rtl/>
        </w:rPr>
        <w:t>الموظفين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الإعاقة؛</w:t>
      </w:r>
    </w:p>
    <w:p w14:paraId="0B170F4B" w14:textId="54BF5095" w:rsidR="00EC13CA" w:rsidRPr="003520EF" w:rsidRDefault="00EC13CA" w:rsidP="00EC13CA">
      <w:pPr>
        <w:pStyle w:val="SingleTxtGA"/>
      </w:pPr>
      <w:r w:rsidRPr="003520EF">
        <w:rPr>
          <w:rtl/>
        </w:rPr>
        <w:tab/>
        <w:t>(ع)</w:t>
      </w:r>
      <w:r w:rsidRPr="003520EF">
        <w:rPr>
          <w:rtl/>
        </w:rPr>
        <w:tab/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عمالة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ولا</w:t>
      </w:r>
      <w:r w:rsidR="00DC6C59">
        <w:rPr>
          <w:rtl/>
        </w:rPr>
        <w:t xml:space="preserve"> </w:t>
      </w:r>
      <w:r w:rsidRPr="003520EF">
        <w:rPr>
          <w:rtl/>
        </w:rPr>
        <w:t>سيما</w:t>
      </w:r>
      <w:r w:rsidR="00DC6C59">
        <w:rPr>
          <w:rtl/>
        </w:rPr>
        <w:t xml:space="preserve"> </w:t>
      </w:r>
      <w:r w:rsidRPr="003520EF">
        <w:rPr>
          <w:rtl/>
        </w:rPr>
        <w:t>النساء</w:t>
      </w:r>
      <w:r w:rsidR="00DC6C59">
        <w:rPr>
          <w:rtl/>
        </w:rPr>
        <w:t xml:space="preserve"> </w:t>
      </w:r>
      <w:r w:rsidRPr="003520EF">
        <w:rPr>
          <w:rtl/>
        </w:rPr>
        <w:t>ذوات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 w:rsidRPr="005170C9">
        <w:rPr>
          <w:vertAlign w:val="superscript"/>
          <w:rtl/>
        </w:rPr>
        <w:t>(</w:t>
      </w:r>
      <w:r w:rsidR="00DC6C59" w:rsidRPr="005170C9">
        <w:rPr>
          <w:vertAlign w:val="superscript"/>
          <w:lang w:val="en-US"/>
        </w:rPr>
        <w:footnoteReference w:id="71"/>
      </w:r>
      <w:r w:rsidR="00DC6C59" w:rsidRPr="005170C9">
        <w:rPr>
          <w:vertAlign w:val="superscript"/>
          <w:rtl/>
        </w:rPr>
        <w:t>)</w:t>
      </w:r>
      <w:r w:rsidR="00DC6C59" w:rsidRPr="00DC6C59">
        <w:rPr>
          <w:rFonts w:hint="cs"/>
          <w:rtl/>
        </w:rPr>
        <w:t>،</w:t>
      </w:r>
      <w:r w:rsidR="00DC6C59">
        <w:rPr>
          <w:rtl/>
        </w:rPr>
        <w:t xml:space="preserve"> </w:t>
      </w:r>
      <w:r w:rsidRPr="003520EF">
        <w:rPr>
          <w:rtl/>
        </w:rPr>
        <w:t>بطرق</w:t>
      </w:r>
      <w:r w:rsidR="00DC6C59">
        <w:rPr>
          <w:rtl/>
        </w:rPr>
        <w:t xml:space="preserve"> </w:t>
      </w:r>
      <w:r w:rsidRPr="003520EF">
        <w:rPr>
          <w:rtl/>
        </w:rPr>
        <w:t>منها</w:t>
      </w:r>
      <w:r w:rsidR="00DC6C59">
        <w:rPr>
          <w:rtl/>
        </w:rPr>
        <w:t xml:space="preserve"> </w:t>
      </w:r>
      <w:r w:rsidRPr="003520EF">
        <w:rPr>
          <w:rtl/>
        </w:rPr>
        <w:t>التدابير</w:t>
      </w:r>
      <w:r w:rsidR="00DC6C59">
        <w:rPr>
          <w:rtl/>
        </w:rPr>
        <w:t xml:space="preserve"> </w:t>
      </w:r>
      <w:r w:rsidRPr="003520EF">
        <w:rPr>
          <w:rtl/>
        </w:rPr>
        <w:t>التصحيحية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قبيل</w:t>
      </w:r>
      <w:r w:rsidR="00DC6C59">
        <w:rPr>
          <w:rtl/>
        </w:rPr>
        <w:t xml:space="preserve"> </w:t>
      </w:r>
      <w:r w:rsidRPr="003520EF">
        <w:rPr>
          <w:rtl/>
        </w:rPr>
        <w:t>آليات</w:t>
      </w:r>
      <w:r w:rsidR="00DC6C59">
        <w:rPr>
          <w:rtl/>
        </w:rPr>
        <w:t xml:space="preserve"> </w:t>
      </w:r>
      <w:r w:rsidRPr="003520EF">
        <w:rPr>
          <w:rtl/>
        </w:rPr>
        <w:t>وغايات</w:t>
      </w:r>
      <w:r w:rsidR="00DC6C59">
        <w:rPr>
          <w:rtl/>
        </w:rPr>
        <w:t xml:space="preserve"> </w:t>
      </w:r>
      <w:r w:rsidRPr="003520EF">
        <w:rPr>
          <w:rtl/>
        </w:rPr>
        <w:t>تخصيص</w:t>
      </w:r>
      <w:r w:rsidR="00DC6C59">
        <w:rPr>
          <w:rtl/>
        </w:rPr>
        <w:t xml:space="preserve"> </w:t>
      </w:r>
      <w:r w:rsidRPr="003520EF">
        <w:rPr>
          <w:rtl/>
        </w:rPr>
        <w:t>حصص،</w:t>
      </w:r>
      <w:r w:rsidR="00DC6C59">
        <w:rPr>
          <w:rtl/>
        </w:rPr>
        <w:t xml:space="preserve"> </w:t>
      </w:r>
      <w:r w:rsidRPr="003520EF">
        <w:rPr>
          <w:rtl/>
        </w:rPr>
        <w:t>واتخاذ</w:t>
      </w:r>
      <w:r w:rsidR="00DC6C59">
        <w:rPr>
          <w:rtl/>
        </w:rPr>
        <w:t xml:space="preserve"> </w:t>
      </w:r>
      <w:r w:rsidRPr="003520EF">
        <w:rPr>
          <w:rtl/>
        </w:rPr>
        <w:t>تدابير</w:t>
      </w:r>
      <w:r w:rsidR="00DC6C59">
        <w:rPr>
          <w:rtl/>
        </w:rPr>
        <w:t xml:space="preserve"> </w:t>
      </w:r>
      <w:r w:rsidRPr="003520EF">
        <w:rPr>
          <w:rtl/>
        </w:rPr>
        <w:t>للتخفيف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احتمال</w:t>
      </w:r>
      <w:r w:rsidR="00DC6C59">
        <w:rPr>
          <w:rtl/>
        </w:rPr>
        <w:t xml:space="preserve"> </w:t>
      </w:r>
      <w:r w:rsidRPr="003520EF">
        <w:rPr>
          <w:rtl/>
        </w:rPr>
        <w:t>حدوث</w:t>
      </w:r>
      <w:r w:rsidR="00DC6C59">
        <w:rPr>
          <w:rtl/>
        </w:rPr>
        <w:t xml:space="preserve"> </w:t>
      </w:r>
      <w:r w:rsidRPr="003520EF">
        <w:rPr>
          <w:rtl/>
        </w:rPr>
        <w:t>عواقب</w:t>
      </w:r>
      <w:r w:rsidR="00DC6C59">
        <w:rPr>
          <w:rtl/>
        </w:rPr>
        <w:t xml:space="preserve"> </w:t>
      </w:r>
      <w:r w:rsidRPr="003520EF">
        <w:rPr>
          <w:rtl/>
        </w:rPr>
        <w:t>سلبية</w:t>
      </w:r>
      <w:r w:rsidR="00DC6C59">
        <w:rPr>
          <w:rtl/>
        </w:rPr>
        <w:t xml:space="preserve"> </w:t>
      </w:r>
      <w:r w:rsidRPr="003520EF">
        <w:rPr>
          <w:rtl/>
        </w:rPr>
        <w:t>غير</w:t>
      </w:r>
      <w:r w:rsidR="00DC6C59">
        <w:rPr>
          <w:rtl/>
        </w:rPr>
        <w:t xml:space="preserve"> </w:t>
      </w:r>
      <w:r w:rsidRPr="003520EF">
        <w:rPr>
          <w:rtl/>
        </w:rPr>
        <w:t>مقصودة،</w:t>
      </w:r>
      <w:r w:rsidR="00DC6C59">
        <w:rPr>
          <w:rtl/>
        </w:rPr>
        <w:t xml:space="preserve"> </w:t>
      </w:r>
      <w:r w:rsidRPr="003520EF">
        <w:rPr>
          <w:rtl/>
        </w:rPr>
        <w:t>مثل</w:t>
      </w:r>
      <w:r w:rsidR="00DC6C59">
        <w:rPr>
          <w:rtl/>
        </w:rPr>
        <w:t xml:space="preserve"> </w:t>
      </w:r>
      <w:r w:rsidRPr="003520EF">
        <w:rPr>
          <w:rtl/>
        </w:rPr>
        <w:t>تعزيز</w:t>
      </w:r>
      <w:r w:rsidR="00DC6C59">
        <w:rPr>
          <w:rtl/>
        </w:rPr>
        <w:t xml:space="preserve"> </w:t>
      </w:r>
      <w:r w:rsidRPr="003520EF">
        <w:rPr>
          <w:rtl/>
        </w:rPr>
        <w:t>القوالب</w:t>
      </w:r>
      <w:r w:rsidR="00DC6C59">
        <w:rPr>
          <w:rtl/>
        </w:rPr>
        <w:t xml:space="preserve"> </w:t>
      </w:r>
      <w:r w:rsidRPr="003520EF">
        <w:rPr>
          <w:rtl/>
        </w:rPr>
        <w:t>النمطية،</w:t>
      </w:r>
      <w:r w:rsidR="00DC6C59">
        <w:rPr>
          <w:rtl/>
        </w:rPr>
        <w:t xml:space="preserve"> </w:t>
      </w:r>
      <w:r w:rsidRPr="003520EF">
        <w:rPr>
          <w:rtl/>
        </w:rPr>
        <w:t>والامتثال</w:t>
      </w:r>
      <w:r w:rsidR="00DC6C59">
        <w:rPr>
          <w:rtl/>
        </w:rPr>
        <w:t xml:space="preserve"> </w:t>
      </w:r>
      <w:r w:rsidRPr="003520EF">
        <w:rPr>
          <w:rtl/>
        </w:rPr>
        <w:t>المحدود،</w:t>
      </w:r>
      <w:r w:rsidR="00DC6C59">
        <w:rPr>
          <w:rtl/>
        </w:rPr>
        <w:t xml:space="preserve"> </w:t>
      </w:r>
      <w:r w:rsidRPr="003520EF">
        <w:rPr>
          <w:rtl/>
        </w:rPr>
        <w:t>والاكتفاء</w:t>
      </w:r>
      <w:r w:rsidR="00DC6C59">
        <w:rPr>
          <w:rtl/>
        </w:rPr>
        <w:t xml:space="preserve"> </w:t>
      </w:r>
      <w:r w:rsidRPr="003520EF">
        <w:rPr>
          <w:rtl/>
        </w:rPr>
        <w:t>بإيجاد</w:t>
      </w:r>
      <w:r w:rsidR="00DC6C59">
        <w:rPr>
          <w:rtl/>
        </w:rPr>
        <w:t xml:space="preserve"> </w:t>
      </w:r>
      <w:r w:rsidRPr="003520EF">
        <w:rPr>
          <w:rtl/>
        </w:rPr>
        <w:t>فرص</w:t>
      </w:r>
      <w:r w:rsidR="00DC6C59">
        <w:rPr>
          <w:rtl/>
        </w:rPr>
        <w:t xml:space="preserve"> </w:t>
      </w:r>
      <w:r w:rsidRPr="003520EF">
        <w:rPr>
          <w:rtl/>
        </w:rPr>
        <w:t>عمل</w:t>
      </w:r>
      <w:r w:rsidR="00DC6C59">
        <w:rPr>
          <w:rtl/>
        </w:rPr>
        <w:t xml:space="preserve"> </w:t>
      </w:r>
      <w:r w:rsidRPr="003520EF">
        <w:rPr>
          <w:rtl/>
        </w:rPr>
        <w:t>لفئات</w:t>
      </w:r>
      <w:r w:rsidR="00DC6C59">
        <w:rPr>
          <w:rtl/>
        </w:rPr>
        <w:t xml:space="preserve"> </w:t>
      </w:r>
      <w:r w:rsidRPr="003520EF">
        <w:rPr>
          <w:rtl/>
        </w:rPr>
        <w:t>محدودة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الإعاقة،</w:t>
      </w:r>
      <w:r w:rsidR="00DC6C59">
        <w:rPr>
          <w:rtl/>
        </w:rPr>
        <w:t xml:space="preserve"> </w:t>
      </w:r>
      <w:r w:rsidRPr="003520EF">
        <w:rPr>
          <w:rtl/>
        </w:rPr>
        <w:t>وذلك</w:t>
      </w:r>
      <w:r w:rsidR="00DC6C59">
        <w:rPr>
          <w:rtl/>
        </w:rPr>
        <w:t xml:space="preserve"> </w:t>
      </w:r>
      <w:r w:rsidRPr="003520EF">
        <w:rPr>
          <w:rtl/>
        </w:rPr>
        <w:t>بالقيام</w:t>
      </w:r>
      <w:r w:rsidR="00DC6C59">
        <w:rPr>
          <w:rtl/>
        </w:rPr>
        <w:t xml:space="preserve"> </w:t>
      </w:r>
      <w:r w:rsidRPr="003520EF">
        <w:rPr>
          <w:rtl/>
        </w:rPr>
        <w:t>بصفة</w:t>
      </w:r>
      <w:r w:rsidR="00DC6C59">
        <w:rPr>
          <w:rtl/>
        </w:rPr>
        <w:t xml:space="preserve"> </w:t>
      </w:r>
      <w:r w:rsidRPr="003520EF">
        <w:rPr>
          <w:rtl/>
        </w:rPr>
        <w:t>خاصة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يلي</w:t>
      </w:r>
      <w:r w:rsidR="00DC6C59">
        <w:rPr>
          <w:rtl/>
        </w:rPr>
        <w:t xml:space="preserve">: </w:t>
      </w:r>
    </w:p>
    <w:p w14:paraId="0EB27290" w14:textId="227BC54A" w:rsidR="00EC13CA" w:rsidRPr="003520EF" w:rsidRDefault="00EC13CA" w:rsidP="00C12E18">
      <w:pPr>
        <w:pStyle w:val="Roman1GA"/>
        <w:numPr>
          <w:ilvl w:val="0"/>
          <w:numId w:val="34"/>
        </w:numPr>
        <w:tabs>
          <w:tab w:val="clear" w:pos="2310"/>
        </w:tabs>
        <w:ind w:left="2614" w:hanging="380"/>
      </w:pP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الوضوح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الرصد</w:t>
      </w:r>
      <w:r w:rsidR="00DC6C59">
        <w:rPr>
          <w:rtl/>
        </w:rPr>
        <w:t xml:space="preserve"> </w:t>
      </w:r>
      <w:r w:rsidRPr="003520EF">
        <w:rPr>
          <w:rtl/>
        </w:rPr>
        <w:t>والشفافية</w:t>
      </w:r>
      <w:r w:rsidR="00DC6C59">
        <w:rPr>
          <w:rtl/>
        </w:rPr>
        <w:t xml:space="preserve"> </w:t>
      </w:r>
      <w:r w:rsidRPr="003520EF">
        <w:rPr>
          <w:rtl/>
        </w:rPr>
        <w:t>والإبلاغ؛</w:t>
      </w:r>
      <w:r w:rsidR="00DC6C59">
        <w:rPr>
          <w:rtl/>
        </w:rPr>
        <w:t xml:space="preserve"> </w:t>
      </w:r>
    </w:p>
    <w:p w14:paraId="6EE1A845" w14:textId="6706BC9E" w:rsidR="00EC13CA" w:rsidRPr="003520EF" w:rsidRDefault="00EC13CA" w:rsidP="00C12E18">
      <w:pPr>
        <w:pStyle w:val="Roman1GA"/>
      </w:pPr>
      <w:r w:rsidRPr="003520EF">
        <w:rPr>
          <w:rtl/>
        </w:rPr>
        <w:t>تحديد</w:t>
      </w:r>
      <w:r w:rsidR="00DC6C59">
        <w:rPr>
          <w:rtl/>
        </w:rPr>
        <w:t xml:space="preserve"> </w:t>
      </w:r>
      <w:r w:rsidRPr="003520EF">
        <w:rPr>
          <w:rtl/>
        </w:rPr>
        <w:t>ومنع</w:t>
      </w:r>
      <w:r w:rsidR="00DC6C59">
        <w:rPr>
          <w:rtl/>
        </w:rPr>
        <w:t xml:space="preserve"> </w:t>
      </w:r>
      <w:r w:rsidRPr="003520EF">
        <w:rPr>
          <w:rtl/>
        </w:rPr>
        <w:t>ممارسات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المتنافية</w:t>
      </w:r>
      <w:r w:rsidR="00DC6C59">
        <w:rPr>
          <w:rtl/>
        </w:rPr>
        <w:t xml:space="preserve"> </w:t>
      </w:r>
      <w:r w:rsidRPr="003520EF">
        <w:rPr>
          <w:rtl/>
        </w:rPr>
        <w:t>مع</w:t>
      </w:r>
      <w:r w:rsidR="00DC6C59">
        <w:rPr>
          <w:rtl/>
        </w:rPr>
        <w:t xml:space="preserve"> </w:t>
      </w:r>
      <w:r w:rsidRPr="003520EF">
        <w:rPr>
          <w:rtl/>
        </w:rPr>
        <w:t>الاتفاقية،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الفصل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القوالب</w:t>
      </w:r>
      <w:r w:rsidR="00DC6C59">
        <w:rPr>
          <w:rtl/>
        </w:rPr>
        <w:t xml:space="preserve"> </w:t>
      </w:r>
      <w:r w:rsidRPr="003520EF">
        <w:rPr>
          <w:rtl/>
        </w:rPr>
        <w:t>النمطية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التمييز؛</w:t>
      </w:r>
      <w:r w:rsidR="00DC6C59">
        <w:rPr>
          <w:rtl/>
        </w:rPr>
        <w:t xml:space="preserve"> </w:t>
      </w:r>
    </w:p>
    <w:p w14:paraId="6201547A" w14:textId="2CECB40D" w:rsidR="00EC13CA" w:rsidRPr="003520EF" w:rsidRDefault="00EC13CA" w:rsidP="00C12E18">
      <w:pPr>
        <w:pStyle w:val="Roman1GA"/>
      </w:pPr>
      <w:r w:rsidRPr="003520EF">
        <w:rPr>
          <w:rtl/>
        </w:rPr>
        <w:t>تقييم</w:t>
      </w:r>
      <w:r w:rsidR="00DC6C59">
        <w:rPr>
          <w:rtl/>
        </w:rPr>
        <w:t xml:space="preserve"> </w:t>
      </w:r>
      <w:r w:rsidRPr="003520EF">
        <w:rPr>
          <w:rtl/>
        </w:rPr>
        <w:t>الأداء</w:t>
      </w:r>
      <w:r w:rsidR="00DC6C59">
        <w:rPr>
          <w:rtl/>
        </w:rPr>
        <w:t xml:space="preserve"> </w:t>
      </w:r>
      <w:r w:rsidRPr="003520EF">
        <w:rPr>
          <w:rtl/>
        </w:rPr>
        <w:t>والنتائج،</w:t>
      </w:r>
      <w:r w:rsidR="00DC6C59">
        <w:rPr>
          <w:rtl/>
        </w:rPr>
        <w:t xml:space="preserve"> </w:t>
      </w:r>
      <w:r w:rsidRPr="003520EF">
        <w:rPr>
          <w:rtl/>
        </w:rPr>
        <w:t>بما</w:t>
      </w:r>
      <w:r w:rsidR="00DC6C59">
        <w:rPr>
          <w:rtl/>
        </w:rPr>
        <w:t xml:space="preserve"> </w:t>
      </w:r>
      <w:r w:rsidRPr="003520EF">
        <w:rPr>
          <w:rtl/>
        </w:rPr>
        <w:t>في</w:t>
      </w:r>
      <w:r w:rsidR="00DC6C59">
        <w:rPr>
          <w:rtl/>
        </w:rPr>
        <w:t xml:space="preserve"> </w:t>
      </w:r>
      <w:r w:rsidRPr="003520EF">
        <w:rPr>
          <w:rtl/>
        </w:rPr>
        <w:t>ذلك</w:t>
      </w:r>
      <w:r w:rsidR="00DC6C59">
        <w:rPr>
          <w:rtl/>
        </w:rPr>
        <w:t xml:space="preserve"> </w:t>
      </w:r>
      <w:r w:rsidRPr="003520EF">
        <w:rPr>
          <w:rtl/>
        </w:rPr>
        <w:t>تقييم</w:t>
      </w:r>
      <w:r w:rsidR="00DC6C59">
        <w:rPr>
          <w:rtl/>
        </w:rPr>
        <w:t xml:space="preserve"> </w:t>
      </w:r>
      <w:r w:rsidRPr="003520EF">
        <w:rPr>
          <w:rtl/>
        </w:rPr>
        <w:t>نوعية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المنجز</w:t>
      </w:r>
      <w:r w:rsidR="00DC6C59">
        <w:rPr>
          <w:rtl/>
        </w:rPr>
        <w:t xml:space="preserve"> </w:t>
      </w:r>
      <w:r w:rsidRPr="003520EF">
        <w:rPr>
          <w:rtl/>
        </w:rPr>
        <w:t>والتحقق</w:t>
      </w:r>
      <w:r w:rsidR="00DC6C59">
        <w:rPr>
          <w:rtl/>
        </w:rPr>
        <w:t xml:space="preserve"> </w:t>
      </w:r>
      <w:r w:rsidRPr="003520EF">
        <w:rPr>
          <w:rtl/>
        </w:rPr>
        <w:t>مما</w:t>
      </w:r>
      <w:r w:rsidR="00DC6C59">
        <w:rPr>
          <w:rtl/>
        </w:rPr>
        <w:t xml:space="preserve"> </w:t>
      </w:r>
      <w:r w:rsidRPr="003520EF">
        <w:rPr>
          <w:rtl/>
        </w:rPr>
        <w:t>إذا</w:t>
      </w:r>
      <w:r w:rsidR="00DC6C59">
        <w:rPr>
          <w:rtl/>
        </w:rPr>
        <w:t xml:space="preserve"> </w:t>
      </w:r>
      <w:r w:rsidRPr="003520EF">
        <w:rPr>
          <w:rtl/>
        </w:rPr>
        <w:t>كان</w:t>
      </w:r>
      <w:r w:rsidR="00DC6C59">
        <w:rPr>
          <w:rtl/>
        </w:rPr>
        <w:t xml:space="preserve"> </w:t>
      </w:r>
      <w:r w:rsidRPr="003520EF">
        <w:rPr>
          <w:rtl/>
        </w:rPr>
        <w:t>المستخدَمون</w:t>
      </w:r>
      <w:r w:rsidR="00DC6C59">
        <w:rPr>
          <w:rtl/>
        </w:rPr>
        <w:t xml:space="preserve"> </w:t>
      </w:r>
      <w:r w:rsidRPr="003520EF">
        <w:rPr>
          <w:rtl/>
        </w:rPr>
        <w:t>ذوو</w:t>
      </w:r>
      <w:r w:rsidR="00DC6C59">
        <w:rPr>
          <w:rtl/>
        </w:rPr>
        <w:t xml:space="preserve"> </w:t>
      </w:r>
      <w:r w:rsidRPr="003520EF">
        <w:rPr>
          <w:rtl/>
        </w:rPr>
        <w:t>الإعاقة</w:t>
      </w:r>
      <w:r w:rsidR="00DC6C59">
        <w:rPr>
          <w:rtl/>
        </w:rPr>
        <w:t xml:space="preserve"> </w:t>
      </w:r>
      <w:r w:rsidRPr="003520EF">
        <w:rPr>
          <w:rtl/>
        </w:rPr>
        <w:t>يصبحون</w:t>
      </w:r>
      <w:r w:rsidR="00DC6C59">
        <w:rPr>
          <w:rtl/>
        </w:rPr>
        <w:t xml:space="preserve"> </w:t>
      </w:r>
      <w:r w:rsidRPr="003520EF">
        <w:rPr>
          <w:rtl/>
        </w:rPr>
        <w:t>مقيدين</w:t>
      </w:r>
      <w:r w:rsidR="00DC6C59">
        <w:rPr>
          <w:rtl/>
        </w:rPr>
        <w:t xml:space="preserve"> </w:t>
      </w:r>
      <w:r w:rsidRPr="003520EF">
        <w:rPr>
          <w:rtl/>
        </w:rPr>
        <w:t>بأدوار</w:t>
      </w:r>
      <w:r w:rsidR="00DC6C59">
        <w:rPr>
          <w:rtl/>
        </w:rPr>
        <w:t xml:space="preserve"> </w:t>
      </w:r>
      <w:r w:rsidRPr="003520EF">
        <w:rPr>
          <w:rtl/>
        </w:rPr>
        <w:t>أو</w:t>
      </w:r>
      <w:r w:rsidR="00DC6C59">
        <w:rPr>
          <w:rtl/>
        </w:rPr>
        <w:t xml:space="preserve"> </w:t>
      </w:r>
      <w:r w:rsidRPr="003520EF">
        <w:rPr>
          <w:rtl/>
        </w:rPr>
        <w:t>أنواع</w:t>
      </w:r>
      <w:r w:rsidR="00DC6C59">
        <w:rPr>
          <w:rtl/>
        </w:rPr>
        <w:t xml:space="preserve"> </w:t>
      </w:r>
      <w:r w:rsidRPr="003520EF">
        <w:rPr>
          <w:rtl/>
        </w:rPr>
        <w:t>معينة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العمل</w:t>
      </w:r>
      <w:r w:rsidR="00DC6C59">
        <w:rPr>
          <w:rtl/>
        </w:rPr>
        <w:t xml:space="preserve"> </w:t>
      </w:r>
      <w:r w:rsidRPr="003520EF">
        <w:rPr>
          <w:rtl/>
        </w:rPr>
        <w:t>وما</w:t>
      </w:r>
      <w:r w:rsidR="00DC6C59">
        <w:rPr>
          <w:rtl/>
        </w:rPr>
        <w:t xml:space="preserve"> </w:t>
      </w:r>
      <w:r w:rsidRPr="003520EF">
        <w:rPr>
          <w:rtl/>
        </w:rPr>
        <w:t>إذا</w:t>
      </w:r>
      <w:r w:rsidR="00DC6C59">
        <w:rPr>
          <w:rtl/>
        </w:rPr>
        <w:t xml:space="preserve"> </w:t>
      </w:r>
      <w:r w:rsidRPr="003520EF">
        <w:rPr>
          <w:rtl/>
        </w:rPr>
        <w:t>كانت</w:t>
      </w:r>
      <w:r w:rsidR="00DC6C59">
        <w:rPr>
          <w:rtl/>
        </w:rPr>
        <w:t xml:space="preserve"> </w:t>
      </w:r>
      <w:r w:rsidRPr="003520EF">
        <w:rPr>
          <w:rtl/>
        </w:rPr>
        <w:t>لا</w:t>
      </w:r>
      <w:r w:rsidR="00DC6C59">
        <w:rPr>
          <w:rtl/>
        </w:rPr>
        <w:t xml:space="preserve"> </w:t>
      </w:r>
      <w:r w:rsidRPr="003520EF">
        <w:rPr>
          <w:rtl/>
        </w:rPr>
        <w:t>تستفيد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العمالة</w:t>
      </w:r>
      <w:r w:rsidR="00DC6C59">
        <w:rPr>
          <w:rtl/>
        </w:rPr>
        <w:t xml:space="preserve"> </w:t>
      </w:r>
      <w:r w:rsidRPr="003520EF">
        <w:rPr>
          <w:rtl/>
        </w:rPr>
        <w:t>إلا</w:t>
      </w:r>
      <w:r w:rsidR="00DC6C59">
        <w:rPr>
          <w:rtl/>
        </w:rPr>
        <w:t xml:space="preserve"> </w:t>
      </w:r>
      <w:r w:rsidRPr="003520EF">
        <w:rPr>
          <w:rtl/>
        </w:rPr>
        <w:t>فئات</w:t>
      </w:r>
      <w:r w:rsidR="00DC6C59">
        <w:rPr>
          <w:rtl/>
        </w:rPr>
        <w:t xml:space="preserve"> </w:t>
      </w:r>
      <w:r w:rsidRPr="003520EF">
        <w:rPr>
          <w:rtl/>
        </w:rPr>
        <w:t>معينة</w:t>
      </w:r>
      <w:r w:rsidR="00DC6C59">
        <w:rPr>
          <w:rtl/>
        </w:rPr>
        <w:t xml:space="preserve"> </w:t>
      </w:r>
      <w:r w:rsidRPr="003520EF">
        <w:rPr>
          <w:rtl/>
        </w:rPr>
        <w:t>من</w:t>
      </w:r>
      <w:r w:rsidR="00DC6C59">
        <w:rPr>
          <w:rtl/>
        </w:rPr>
        <w:t xml:space="preserve"> </w:t>
      </w:r>
      <w:r w:rsidRPr="003520EF">
        <w:rPr>
          <w:rtl/>
        </w:rPr>
        <w:t>الأشخاص</w:t>
      </w:r>
      <w:r w:rsidR="00DC6C59">
        <w:rPr>
          <w:rtl/>
        </w:rPr>
        <w:t xml:space="preserve"> </w:t>
      </w:r>
      <w:r w:rsidRPr="003520EF">
        <w:rPr>
          <w:rtl/>
        </w:rPr>
        <w:t>ذوي</w:t>
      </w:r>
      <w:r w:rsidR="00DC6C59">
        <w:rPr>
          <w:rtl/>
        </w:rPr>
        <w:t xml:space="preserve"> </w:t>
      </w:r>
      <w:r w:rsidRPr="003520EF">
        <w:rPr>
          <w:rtl/>
        </w:rPr>
        <w:t>الإعاقة؛</w:t>
      </w:r>
      <w:r w:rsidR="00DC6C59">
        <w:rPr>
          <w:rtl/>
        </w:rPr>
        <w:t xml:space="preserve"> </w:t>
      </w:r>
    </w:p>
    <w:p w14:paraId="6812BE6F" w14:textId="28A1D4AF" w:rsidR="00EC13CA" w:rsidRPr="003520EF" w:rsidRDefault="00EC13CA" w:rsidP="00C12E18">
      <w:pPr>
        <w:pStyle w:val="Roman1GA"/>
      </w:pPr>
      <w:r w:rsidRPr="003520EF">
        <w:rPr>
          <w:rtl/>
        </w:rPr>
        <w:t>ضمان</w:t>
      </w:r>
      <w:r w:rsidR="00DC6C59">
        <w:rPr>
          <w:rtl/>
        </w:rPr>
        <w:t xml:space="preserve"> </w:t>
      </w:r>
      <w:r w:rsidRPr="003520EF">
        <w:rPr>
          <w:rtl/>
        </w:rPr>
        <w:t>آليات</w:t>
      </w:r>
      <w:r w:rsidR="00DC6C59">
        <w:rPr>
          <w:rtl/>
        </w:rPr>
        <w:t xml:space="preserve"> </w:t>
      </w:r>
      <w:r w:rsidRPr="003520EF">
        <w:rPr>
          <w:rtl/>
        </w:rPr>
        <w:t>المساءلة</w:t>
      </w:r>
      <w:r w:rsidR="00DC6C59">
        <w:rPr>
          <w:rtl/>
        </w:rPr>
        <w:t xml:space="preserve"> </w:t>
      </w:r>
      <w:r w:rsidRPr="003520EF">
        <w:rPr>
          <w:rtl/>
        </w:rPr>
        <w:t>والإنفاذ</w:t>
      </w:r>
      <w:r w:rsidR="00DC6C59">
        <w:rPr>
          <w:rtl/>
        </w:rPr>
        <w:t xml:space="preserve"> </w:t>
      </w:r>
      <w:r w:rsidRPr="003520EF">
        <w:rPr>
          <w:rtl/>
        </w:rPr>
        <w:t>الملائمة؛</w:t>
      </w:r>
      <w:r w:rsidR="00DC6C59">
        <w:rPr>
          <w:rtl/>
        </w:rPr>
        <w:t xml:space="preserve"> </w:t>
      </w:r>
    </w:p>
    <w:p w14:paraId="32209AAA" w14:textId="49E72A7E" w:rsidR="00EC13CA" w:rsidRPr="00C12E18" w:rsidRDefault="00EC13CA" w:rsidP="00C12E18">
      <w:pPr>
        <w:pStyle w:val="Roman1GA"/>
        <w:rPr>
          <w:spacing w:val="-4"/>
        </w:rPr>
      </w:pPr>
      <w:r w:rsidRPr="00C12E18">
        <w:rPr>
          <w:spacing w:val="-4"/>
          <w:rtl/>
        </w:rPr>
        <w:t>ضمان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أن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تكون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التدبير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التصحيحية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مشفوعة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بتدابير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لدعم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أرباب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العمل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في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الوفاء</w:t>
      </w:r>
      <w:r w:rsidR="00DC6C59" w:rsidRPr="00C12E18">
        <w:rPr>
          <w:spacing w:val="-4"/>
          <w:rtl/>
        </w:rPr>
        <w:t xml:space="preserve"> </w:t>
      </w:r>
      <w:r w:rsidRPr="00C12E18">
        <w:rPr>
          <w:spacing w:val="-4"/>
          <w:rtl/>
        </w:rPr>
        <w:t>بها.</w:t>
      </w:r>
      <w:r w:rsidR="00DC6C59" w:rsidRPr="00C12E18">
        <w:rPr>
          <w:spacing w:val="-4"/>
          <w:rtl/>
        </w:rPr>
        <w:t xml:space="preserve"> </w:t>
      </w:r>
    </w:p>
    <w:p w14:paraId="5AD94DE2" w14:textId="196FB499" w:rsidR="00B54045" w:rsidRPr="003520EF" w:rsidRDefault="003520EF" w:rsidP="00C12E18">
      <w:pPr>
        <w:pStyle w:val="SingleTxtGA"/>
        <w:spacing w:line="320" w:lineRule="exact"/>
        <w:jc w:val="center"/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bookmarkEnd w:id="0"/>
    </w:p>
    <w:sectPr w:rsidR="00B54045" w:rsidRPr="003520EF" w:rsidSect="005D2E4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38EF" w14:textId="77777777" w:rsidR="000030D9" w:rsidRPr="002901D9" w:rsidRDefault="000030D9" w:rsidP="006A5EE7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31251619" w14:textId="77777777" w:rsidR="000030D9" w:rsidRDefault="000030D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56E8" w14:textId="45E0AB4C" w:rsidR="00610BFF" w:rsidRPr="00610BFF" w:rsidRDefault="00610BFF" w:rsidP="00610BFF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GE.22-16259</w:t>
    </w:r>
    <w:r>
      <w:rPr>
        <w:lang w:val="en-US"/>
      </w:rPr>
      <w:tab/>
    </w:r>
    <w:r w:rsidRPr="00610BFF">
      <w:rPr>
        <w:b/>
        <w:sz w:val="18"/>
        <w:lang w:val="en-US"/>
      </w:rPr>
      <w:fldChar w:fldCharType="begin"/>
    </w:r>
    <w:r w:rsidRPr="00610BFF">
      <w:rPr>
        <w:b/>
        <w:sz w:val="18"/>
        <w:lang w:val="en-US"/>
      </w:rPr>
      <w:instrText xml:space="preserve"> PAGE  \* MERGEFORMAT </w:instrText>
    </w:r>
    <w:r w:rsidRPr="00610BFF">
      <w:rPr>
        <w:b/>
        <w:sz w:val="18"/>
        <w:lang w:val="en-US"/>
      </w:rPr>
      <w:fldChar w:fldCharType="separate"/>
    </w:r>
    <w:r w:rsidRPr="00610BFF">
      <w:rPr>
        <w:b/>
        <w:noProof/>
        <w:sz w:val="18"/>
        <w:lang w:val="en-US"/>
      </w:rPr>
      <w:t>2</w:t>
    </w:r>
    <w:r w:rsidRPr="00610BFF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C322" w14:textId="27C5F42E" w:rsidR="006959B0" w:rsidRPr="00610BFF" w:rsidRDefault="00610BFF" w:rsidP="00610BFF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GE.22-16259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ABE4" w14:textId="770045F7" w:rsidR="00114439" w:rsidRPr="00610BFF" w:rsidRDefault="00610BFF" w:rsidP="00610BFF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163CA">
      <w:rPr>
        <w:noProof/>
      </w:rPr>
      <w:drawing>
        <wp:anchor distT="0" distB="0" distL="114300" distR="114300" simplePos="0" relativeHeight="251658240" behindDoc="1" locked="1" layoutInCell="0" allowOverlap="1" wp14:anchorId="10C61A16" wp14:editId="1F5918A4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22-16259</w:t>
    </w:r>
    <w:r w:rsidR="00DC6C59">
      <w:rPr>
        <w:sz w:val="20"/>
        <w:lang w:val="en-US"/>
      </w:rPr>
      <w:t xml:space="preserve"> </w:t>
    </w:r>
    <w:r>
      <w:rPr>
        <w:sz w:val="20"/>
        <w:lang w:val="en-US"/>
      </w:rPr>
      <w:t>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3AC7DF5" wp14:editId="4DAD7C87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C870" w14:textId="77777777" w:rsidR="000030D9" w:rsidRPr="00801A14" w:rsidRDefault="000030D9" w:rsidP="00801A14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37C80CB8" w14:textId="77777777" w:rsidR="000030D9" w:rsidRDefault="000030D9" w:rsidP="00656392">
      <w:pPr>
        <w:spacing w:line="240" w:lineRule="auto"/>
      </w:pPr>
      <w:r>
        <w:continuationSeparator/>
      </w:r>
    </w:p>
  </w:footnote>
  <w:footnote w:id="1">
    <w:p w14:paraId="7CBB0418" w14:textId="2A95CD31" w:rsidR="00EC13CA" w:rsidRPr="003520EF" w:rsidRDefault="003520EF" w:rsidP="003520EF">
      <w:pPr>
        <w:pStyle w:val="FootnoteText1"/>
      </w:pPr>
      <w:r>
        <w:rPr>
          <w:rFonts w:hint="cs"/>
          <w:rtl/>
        </w:rPr>
        <w:t>*</w:t>
      </w:r>
      <w:r w:rsidR="00EC13CA" w:rsidRPr="003520EF">
        <w:rPr>
          <w:rtl/>
        </w:rPr>
        <w:tab/>
        <w:t>اعتمدته</w:t>
      </w:r>
      <w:r w:rsidR="00DC6C59">
        <w:rPr>
          <w:rtl/>
        </w:rPr>
        <w:t xml:space="preserve"> </w:t>
      </w:r>
      <w:r w:rsidR="00EC13CA" w:rsidRPr="003520EF">
        <w:rPr>
          <w:rtl/>
        </w:rPr>
        <w:t>اللجنة</w:t>
      </w:r>
      <w:r w:rsidR="00DC6C59">
        <w:rPr>
          <w:rtl/>
        </w:rPr>
        <w:t xml:space="preserve"> </w:t>
      </w:r>
      <w:r w:rsidR="00EC13CA" w:rsidRPr="003520EF">
        <w:rPr>
          <w:rtl/>
        </w:rPr>
        <w:t>في</w:t>
      </w:r>
      <w:r w:rsidR="00DC6C59">
        <w:rPr>
          <w:rtl/>
        </w:rPr>
        <w:t xml:space="preserve"> </w:t>
      </w:r>
      <w:r w:rsidR="00EC13CA" w:rsidRPr="003520EF">
        <w:rPr>
          <w:rtl/>
        </w:rPr>
        <w:t>دورتها</w:t>
      </w:r>
      <w:r w:rsidR="00DC6C59">
        <w:rPr>
          <w:rtl/>
        </w:rPr>
        <w:t xml:space="preserve"> </w:t>
      </w:r>
      <w:r w:rsidR="00EC13CA" w:rsidRPr="003520EF">
        <w:rPr>
          <w:rtl/>
        </w:rPr>
        <w:t>السابعة</w:t>
      </w:r>
      <w:r w:rsidR="00DC6C59">
        <w:rPr>
          <w:rtl/>
        </w:rPr>
        <w:t xml:space="preserve"> </w:t>
      </w:r>
      <w:r w:rsidR="00EC13CA" w:rsidRPr="003520EF">
        <w:rPr>
          <w:rtl/>
        </w:rPr>
        <w:t>والعشرين</w:t>
      </w:r>
      <w:r w:rsidR="00DC6C59">
        <w:rPr>
          <w:rtl/>
        </w:rPr>
        <w:t xml:space="preserve"> </w:t>
      </w:r>
      <w:r w:rsidR="00EC13CA" w:rsidRPr="003520EF">
        <w:rPr>
          <w:rtl/>
        </w:rPr>
        <w:t>(</w:t>
      </w:r>
      <w:r w:rsidR="00EC13CA" w:rsidRPr="005170C9">
        <w:rPr>
          <w:rtl/>
        </w:rPr>
        <w:t>15</w:t>
      </w:r>
      <w:r w:rsidR="00DC6C59">
        <w:rPr>
          <w:rtl/>
        </w:rPr>
        <w:t xml:space="preserve"> </w:t>
      </w:r>
      <w:r w:rsidR="00EC13CA" w:rsidRPr="003520EF">
        <w:rPr>
          <w:rtl/>
        </w:rPr>
        <w:t>آب/أغسطس</w:t>
      </w:r>
      <w:r w:rsidR="00DC6C59">
        <w:rPr>
          <w:rtl/>
        </w:rPr>
        <w:t xml:space="preserve"> </w:t>
      </w:r>
      <w:r w:rsidR="00EC13CA" w:rsidRPr="003520EF">
        <w:rPr>
          <w:rtl/>
        </w:rPr>
        <w:t>-</w:t>
      </w:r>
      <w:r w:rsidR="00DC6C59">
        <w:rPr>
          <w:rtl/>
        </w:rPr>
        <w:t xml:space="preserve"> </w:t>
      </w:r>
      <w:r w:rsidR="00EC13CA" w:rsidRPr="005170C9">
        <w:rPr>
          <w:rtl/>
        </w:rPr>
        <w:t>9</w:t>
      </w:r>
      <w:r w:rsidR="00DC6C59">
        <w:rPr>
          <w:rtl/>
        </w:rPr>
        <w:t xml:space="preserve"> </w:t>
      </w:r>
      <w:r w:rsidR="00EC13CA" w:rsidRPr="003520EF">
        <w:rPr>
          <w:rtl/>
        </w:rPr>
        <w:t>أيلول/سبتمبر</w:t>
      </w:r>
      <w:r w:rsidR="00DC6C59">
        <w:rPr>
          <w:rtl/>
        </w:rPr>
        <w:t xml:space="preserve"> </w:t>
      </w:r>
      <w:r w:rsidR="00EC13CA" w:rsidRPr="005170C9">
        <w:rPr>
          <w:rtl/>
        </w:rPr>
        <w:t>2022</w:t>
      </w:r>
      <w:r w:rsidR="00DC6C59" w:rsidRPr="00DC6C59">
        <w:rPr>
          <w:rtl/>
        </w:rPr>
        <w:t>).</w:t>
      </w:r>
      <w:r w:rsidR="00DC6C59">
        <w:rPr>
          <w:rtl/>
        </w:rPr>
        <w:t xml:space="preserve"> </w:t>
      </w:r>
    </w:p>
  </w:footnote>
  <w:footnote w:id="2">
    <w:p w14:paraId="436B6C8D" w14:textId="781760F4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</w:t>
      </w:r>
      <w:r w:rsidRPr="005170C9">
        <w:rPr>
          <w:rtl/>
        </w:rPr>
        <w:t>2005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3">
    <w:p w14:paraId="06B7EAF9" w14:textId="09BF0366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الوثيقة</w:t>
      </w:r>
      <w:r>
        <w:rPr>
          <w:rtl/>
        </w:rPr>
        <w:t xml:space="preserve"> </w:t>
      </w:r>
      <w:hyperlink r:id="rId1" w:history="1">
        <w:r w:rsidRPr="005170C9">
          <w:rPr>
            <w:rStyle w:val="Hyperlink"/>
          </w:rPr>
          <w:t>A/HRC/43/41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9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4">
    <w:p w14:paraId="69BB78DD" w14:textId="45483916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bookmarkStart w:id="3" w:name="_Hlk82425275"/>
      <w:r w:rsidRPr="003520EF">
        <w:rPr>
          <w:rtl/>
        </w:rPr>
        <w:tab/>
      </w:r>
      <w:bookmarkEnd w:id="3"/>
      <w:r w:rsidRPr="00DC6C59">
        <w:rPr>
          <w:i/>
          <w:iCs/>
          <w:rtl/>
        </w:rPr>
        <w:t>تقرير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الإعاقة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والتنمية</w:t>
      </w:r>
      <w:r>
        <w:rPr>
          <w:i/>
          <w:iCs/>
          <w:rtl/>
        </w:rPr>
        <w:t xml:space="preserve">: </w:t>
      </w:r>
      <w:r w:rsidRPr="00DC6C59">
        <w:rPr>
          <w:i/>
          <w:iCs/>
          <w:rtl/>
        </w:rPr>
        <w:t>تحقيق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أهداف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التنمية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المستدامة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بمشاركة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الأشخاص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ذوي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الإعاقة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ولأجلهم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ومعهم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-</w:t>
      </w:r>
      <w:r>
        <w:rPr>
          <w:i/>
          <w:iCs/>
          <w:rtl/>
        </w:rPr>
        <w:t xml:space="preserve"> </w:t>
      </w:r>
      <w:r w:rsidRPr="00DC6C59">
        <w:rPr>
          <w:i/>
          <w:iCs/>
          <w:rtl/>
        </w:rPr>
        <w:t>2018</w:t>
      </w:r>
      <w:r>
        <w:rPr>
          <w:rtl/>
        </w:rPr>
        <w:t xml:space="preserve"> </w:t>
      </w:r>
      <w:r w:rsidRPr="00DC6C59">
        <w:rPr>
          <w:rtl/>
        </w:rPr>
        <w:t>(منشورات</w:t>
      </w:r>
      <w:r>
        <w:rPr>
          <w:rtl/>
        </w:rPr>
        <w:t xml:space="preserve"> </w:t>
      </w:r>
      <w:r w:rsidRPr="00DC6C59">
        <w:rPr>
          <w:rtl/>
        </w:rPr>
        <w:t>الأمم</w:t>
      </w:r>
      <w:r>
        <w:rPr>
          <w:rtl/>
        </w:rPr>
        <w:t xml:space="preserve"> </w:t>
      </w:r>
      <w:r w:rsidRPr="00DC6C59">
        <w:rPr>
          <w:rtl/>
        </w:rPr>
        <w:t>المتحدة،</w:t>
      </w:r>
      <w:r>
        <w:rPr>
          <w:rtl/>
        </w:rPr>
        <w:t xml:space="preserve"> </w:t>
      </w:r>
      <w:r w:rsidRPr="00DC6C59">
        <w:rPr>
          <w:rtl/>
        </w:rPr>
        <w:t>2019)،</w:t>
      </w:r>
      <w:r>
        <w:rPr>
          <w:rtl/>
        </w:rPr>
        <w:t xml:space="preserve"> </w:t>
      </w:r>
      <w:r w:rsidRPr="00DC6C59">
        <w:rPr>
          <w:rtl/>
        </w:rPr>
        <w:t>الصفحات</w:t>
      </w:r>
      <w:r>
        <w:rPr>
          <w:rtl/>
        </w:rPr>
        <w:t xml:space="preserve"> </w:t>
      </w:r>
      <w:r w:rsidRPr="00DC6C59">
        <w:rPr>
          <w:rtl/>
        </w:rPr>
        <w:t>152-155.</w:t>
      </w:r>
      <w:r>
        <w:rPr>
          <w:rtl/>
        </w:rPr>
        <w:t xml:space="preserve">  </w:t>
      </w:r>
    </w:p>
  </w:footnote>
  <w:footnote w:id="5">
    <w:p w14:paraId="498849EA" w14:textId="16FB3067" w:rsidR="00DC6C59" w:rsidRPr="00DC6C59" w:rsidRDefault="00DC6C59" w:rsidP="003520EF">
      <w:pPr>
        <w:pStyle w:val="FootnoteText1"/>
        <w:rPr>
          <w:spacing w:val="-2"/>
        </w:rPr>
      </w:pPr>
      <w:r w:rsidRPr="005170C9">
        <w:rPr>
          <w:spacing w:val="-2"/>
          <w:rtl/>
        </w:rPr>
        <w:t>(</w:t>
      </w:r>
      <w:r w:rsidRPr="005170C9">
        <w:rPr>
          <w:spacing w:val="-2"/>
        </w:rPr>
        <w:footnoteRef/>
      </w:r>
      <w:r w:rsidRPr="005170C9">
        <w:rPr>
          <w:spacing w:val="-2"/>
          <w:rtl/>
        </w:rPr>
        <w:t>)</w:t>
      </w:r>
      <w:r w:rsidRPr="00DC6C59">
        <w:rPr>
          <w:spacing w:val="-2"/>
          <w:rtl/>
        </w:rPr>
        <w:tab/>
        <w:t>انظر</w:t>
      </w:r>
      <w:r>
        <w:rPr>
          <w:spacing w:val="-2"/>
          <w:rtl/>
        </w:rPr>
        <w:t xml:space="preserve">: </w:t>
      </w:r>
      <w:r w:rsidRPr="00DC6C59">
        <w:rPr>
          <w:spacing w:val="-2"/>
        </w:rPr>
        <w:t>International</w:t>
      </w:r>
      <w:r>
        <w:rPr>
          <w:spacing w:val="-2"/>
        </w:rPr>
        <w:t xml:space="preserve"> </w:t>
      </w:r>
      <w:proofErr w:type="spellStart"/>
      <w:r w:rsidRPr="00DC6C59">
        <w:rPr>
          <w:spacing w:val="-2"/>
        </w:rPr>
        <w:t>Labour</w:t>
      </w:r>
      <w:proofErr w:type="spellEnd"/>
      <w:r>
        <w:rPr>
          <w:spacing w:val="-2"/>
        </w:rPr>
        <w:t xml:space="preserve"> </w:t>
      </w:r>
      <w:r w:rsidRPr="00DC6C59">
        <w:rPr>
          <w:spacing w:val="-2"/>
        </w:rPr>
        <w:t>Organization</w:t>
      </w:r>
      <w:r>
        <w:rPr>
          <w:spacing w:val="-2"/>
        </w:rPr>
        <w:t xml:space="preserve"> </w:t>
      </w:r>
      <w:r w:rsidRPr="00DC6C59">
        <w:rPr>
          <w:spacing w:val="-2"/>
        </w:rPr>
        <w:t>(ILO)</w:t>
      </w:r>
      <w:r>
        <w:rPr>
          <w:spacing w:val="-2"/>
        </w:rPr>
        <w:t xml:space="preserve"> </w:t>
      </w:r>
      <w:r w:rsidRPr="00DC6C59">
        <w:rPr>
          <w:spacing w:val="-2"/>
        </w:rPr>
        <w:t>Global</w:t>
      </w:r>
      <w:r>
        <w:rPr>
          <w:spacing w:val="-2"/>
        </w:rPr>
        <w:t xml:space="preserve"> </w:t>
      </w:r>
      <w:r w:rsidRPr="00DC6C59">
        <w:rPr>
          <w:spacing w:val="-2"/>
        </w:rPr>
        <w:t>Business</w:t>
      </w:r>
      <w:r>
        <w:rPr>
          <w:spacing w:val="-2"/>
        </w:rPr>
        <w:t xml:space="preserve"> </w:t>
      </w:r>
      <w:r w:rsidRPr="00DC6C59">
        <w:rPr>
          <w:spacing w:val="-2"/>
        </w:rPr>
        <w:t>and</w:t>
      </w:r>
      <w:r>
        <w:rPr>
          <w:spacing w:val="-2"/>
        </w:rPr>
        <w:t xml:space="preserve"> </w:t>
      </w:r>
      <w:r w:rsidRPr="00DC6C59">
        <w:rPr>
          <w:spacing w:val="-2"/>
        </w:rPr>
        <w:t>Disability</w:t>
      </w:r>
      <w:r>
        <w:rPr>
          <w:spacing w:val="-2"/>
        </w:rPr>
        <w:t xml:space="preserve"> </w:t>
      </w:r>
      <w:r w:rsidRPr="00DC6C59">
        <w:rPr>
          <w:spacing w:val="-2"/>
        </w:rPr>
        <w:t>Network</w:t>
      </w:r>
      <w:r>
        <w:rPr>
          <w:spacing w:val="-2"/>
        </w:rPr>
        <w:t xml:space="preserve"> </w:t>
      </w:r>
      <w:r w:rsidRPr="00DC6C59">
        <w:rPr>
          <w:spacing w:val="-2"/>
        </w:rPr>
        <w:t>and</w:t>
      </w:r>
      <w:r>
        <w:rPr>
          <w:spacing w:val="-2"/>
        </w:rPr>
        <w:t xml:space="preserve"> </w:t>
      </w:r>
      <w:r w:rsidRPr="00DC6C59">
        <w:rPr>
          <w:spacing w:val="-2"/>
        </w:rPr>
        <w:t>Fundación</w:t>
      </w:r>
      <w:r>
        <w:rPr>
          <w:spacing w:val="-2"/>
        </w:rPr>
        <w:t xml:space="preserve"> </w:t>
      </w:r>
      <w:r w:rsidRPr="00DC6C59">
        <w:rPr>
          <w:spacing w:val="-2"/>
        </w:rPr>
        <w:t>ONCE,</w:t>
      </w:r>
      <w:r>
        <w:rPr>
          <w:spacing w:val="-2"/>
        </w:rPr>
        <w:t xml:space="preserve"> </w:t>
      </w:r>
      <w:r w:rsidRPr="00DC6C59">
        <w:rPr>
          <w:spacing w:val="-2"/>
        </w:rPr>
        <w:t>“Making</w:t>
      </w:r>
      <w:r>
        <w:rPr>
          <w:spacing w:val="-2"/>
        </w:rPr>
        <w:t xml:space="preserve"> </w:t>
      </w:r>
      <w:r w:rsidRPr="00DC6C59">
        <w:rPr>
          <w:spacing w:val="-2"/>
        </w:rPr>
        <w:t>the</w:t>
      </w:r>
      <w:r>
        <w:rPr>
          <w:spacing w:val="-2"/>
        </w:rPr>
        <w:t xml:space="preserve"> </w:t>
      </w:r>
      <w:r w:rsidRPr="00DC6C59">
        <w:rPr>
          <w:spacing w:val="-2"/>
        </w:rPr>
        <w:t>future</w:t>
      </w:r>
      <w:r>
        <w:rPr>
          <w:spacing w:val="-2"/>
        </w:rPr>
        <w:t xml:space="preserve"> </w:t>
      </w:r>
      <w:r w:rsidRPr="00DC6C59">
        <w:rPr>
          <w:spacing w:val="-2"/>
        </w:rPr>
        <w:t>of</w:t>
      </w:r>
      <w:r>
        <w:rPr>
          <w:spacing w:val="-2"/>
        </w:rPr>
        <w:t xml:space="preserve"> </w:t>
      </w:r>
      <w:r w:rsidRPr="00DC6C59">
        <w:rPr>
          <w:spacing w:val="-2"/>
        </w:rPr>
        <w:t>work</w:t>
      </w:r>
      <w:r>
        <w:rPr>
          <w:spacing w:val="-2"/>
        </w:rPr>
        <w:t xml:space="preserve"> </w:t>
      </w:r>
      <w:r w:rsidRPr="00DC6C59">
        <w:rPr>
          <w:spacing w:val="-2"/>
        </w:rPr>
        <w:t>inclusive</w:t>
      </w:r>
      <w:r>
        <w:rPr>
          <w:spacing w:val="-2"/>
        </w:rPr>
        <w:t xml:space="preserve"> </w:t>
      </w:r>
      <w:r w:rsidRPr="00DC6C59">
        <w:rPr>
          <w:spacing w:val="-2"/>
        </w:rPr>
        <w:t>of</w:t>
      </w:r>
      <w:r>
        <w:rPr>
          <w:spacing w:val="-2"/>
        </w:rPr>
        <w:t xml:space="preserve"> </w:t>
      </w:r>
      <w:r w:rsidRPr="00DC6C59">
        <w:rPr>
          <w:spacing w:val="-2"/>
        </w:rPr>
        <w:t>persons</w:t>
      </w:r>
      <w:r>
        <w:rPr>
          <w:spacing w:val="-2"/>
        </w:rPr>
        <w:t xml:space="preserve"> </w:t>
      </w:r>
      <w:r w:rsidRPr="00DC6C59">
        <w:rPr>
          <w:spacing w:val="-2"/>
        </w:rPr>
        <w:t>with</w:t>
      </w:r>
      <w:r>
        <w:rPr>
          <w:spacing w:val="-2"/>
        </w:rPr>
        <w:t xml:space="preserve"> </w:t>
      </w:r>
      <w:r w:rsidRPr="00DC6C59">
        <w:rPr>
          <w:spacing w:val="-2"/>
        </w:rPr>
        <w:t>disabilities”,</w:t>
      </w:r>
      <w:r>
        <w:rPr>
          <w:spacing w:val="-2"/>
        </w:rPr>
        <w:t xml:space="preserve"> </w:t>
      </w:r>
      <w:r w:rsidRPr="005170C9">
        <w:rPr>
          <w:spacing w:val="-2"/>
        </w:rPr>
        <w:t>21</w:t>
      </w:r>
      <w:r>
        <w:rPr>
          <w:spacing w:val="-2"/>
        </w:rPr>
        <w:t xml:space="preserve"> </w:t>
      </w:r>
      <w:r w:rsidRPr="00DC6C59">
        <w:rPr>
          <w:spacing w:val="-2"/>
        </w:rPr>
        <w:t>November</w:t>
      </w:r>
      <w:r>
        <w:rPr>
          <w:spacing w:val="-2"/>
        </w:rPr>
        <w:t xml:space="preserve"> </w:t>
      </w:r>
      <w:r w:rsidRPr="005170C9">
        <w:rPr>
          <w:spacing w:val="-2"/>
        </w:rPr>
        <w:t>2019</w:t>
      </w:r>
      <w:r w:rsidRPr="00DC6C59">
        <w:rPr>
          <w:spacing w:val="-2"/>
          <w:rtl/>
        </w:rPr>
        <w:t>.</w:t>
      </w:r>
      <w:r>
        <w:rPr>
          <w:spacing w:val="-2"/>
          <w:rtl/>
        </w:rPr>
        <w:t xml:space="preserve"> </w:t>
      </w:r>
    </w:p>
  </w:footnote>
  <w:footnote w:id="6">
    <w:p w14:paraId="7817A2C3" w14:textId="7D6B4B7B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تتصل</w:t>
      </w:r>
      <w:r>
        <w:rPr>
          <w:rtl/>
        </w:rPr>
        <w:t xml:space="preserve"> </w:t>
      </w:r>
      <w:r w:rsidRPr="003520EF">
        <w:rPr>
          <w:rtl/>
        </w:rPr>
        <w:t>فاتحة</w:t>
      </w:r>
      <w:r>
        <w:rPr>
          <w:rtl/>
        </w:rPr>
        <w:t xml:space="preserve"> </w:t>
      </w:r>
      <w:r w:rsidRPr="003520EF">
        <w:rPr>
          <w:rtl/>
        </w:rPr>
        <w:t>المادة</w:t>
      </w:r>
      <w:r>
        <w:rPr>
          <w:rtl/>
        </w:rPr>
        <w:t xml:space="preserve"> </w:t>
      </w:r>
      <w:r w:rsidRPr="005170C9">
        <w:rPr>
          <w:rtl/>
        </w:rPr>
        <w:t>27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DC6C59">
        <w:rPr>
          <w:rtl/>
        </w:rPr>
        <w:t>)</w:t>
      </w:r>
      <w:r>
        <w:rPr>
          <w:rtl/>
        </w:rPr>
        <w:t xml:space="preserve"> </w:t>
      </w:r>
      <w:r w:rsidRPr="003520EF">
        <w:rPr>
          <w:rtl/>
        </w:rPr>
        <w:t>والفقرة</w:t>
      </w:r>
      <w:r>
        <w:rPr>
          <w:rtl/>
        </w:rPr>
        <w:t xml:space="preserve"> 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3520EF">
        <w:rPr>
          <w:rtl/>
        </w:rPr>
        <w:t>)(ب)</w:t>
      </w:r>
      <w:r>
        <w:rPr>
          <w:rtl/>
        </w:rPr>
        <w:t xml:space="preserve"> </w:t>
      </w:r>
      <w:r w:rsidRPr="003520EF">
        <w:rPr>
          <w:rtl/>
        </w:rPr>
        <w:t>و(ج)</w:t>
      </w:r>
      <w:r>
        <w:rPr>
          <w:rtl/>
        </w:rPr>
        <w:t xml:space="preserve"> </w:t>
      </w:r>
      <w:r w:rsidRPr="003520EF">
        <w:rPr>
          <w:rtl/>
        </w:rPr>
        <w:t>اتصالا</w:t>
      </w:r>
      <w:r w:rsidR="00B675D0"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مباشرا</w:t>
      </w:r>
      <w:r w:rsidR="00B675D0"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بثلاث</w:t>
      </w:r>
      <w:r>
        <w:rPr>
          <w:rtl/>
        </w:rPr>
        <w:t xml:space="preserve"> </w:t>
      </w:r>
      <w:r w:rsidRPr="003520EF">
        <w:rPr>
          <w:rtl/>
        </w:rPr>
        <w:t>مواد</w:t>
      </w:r>
      <w:r>
        <w:rPr>
          <w:rtl/>
        </w:rPr>
        <w:t xml:space="preserve"> </w:t>
      </w:r>
      <w:r w:rsidRPr="003520EF">
        <w:rPr>
          <w:rtl/>
        </w:rPr>
        <w:t>مترابطة</w:t>
      </w:r>
      <w:r>
        <w:rPr>
          <w:rtl/>
        </w:rPr>
        <w:t xml:space="preserve"> </w:t>
      </w:r>
      <w:r w:rsidRPr="003520EF">
        <w:rPr>
          <w:rtl/>
        </w:rPr>
        <w:t>من</w:t>
      </w:r>
      <w:r>
        <w:rPr>
          <w:rtl/>
        </w:rPr>
        <w:t xml:space="preserve"> </w:t>
      </w:r>
      <w:r w:rsidRPr="003520EF">
        <w:rPr>
          <w:rtl/>
        </w:rPr>
        <w:t>العهد</w:t>
      </w:r>
      <w:r>
        <w:rPr>
          <w:rtl/>
        </w:rPr>
        <w:t xml:space="preserve"> </w:t>
      </w:r>
      <w:r w:rsidRPr="003520EF">
        <w:rPr>
          <w:rtl/>
        </w:rPr>
        <w:t>الدولي</w:t>
      </w:r>
      <w:r>
        <w:rPr>
          <w:rtl/>
        </w:rPr>
        <w:t xml:space="preserve"> </w:t>
      </w:r>
      <w:r w:rsidRPr="003520EF">
        <w:rPr>
          <w:rtl/>
        </w:rPr>
        <w:t>الخاص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وهي</w:t>
      </w:r>
      <w:r>
        <w:rPr>
          <w:rtl/>
        </w:rPr>
        <w:t xml:space="preserve"> </w:t>
      </w:r>
      <w:r w:rsidRPr="003520EF">
        <w:rPr>
          <w:rtl/>
        </w:rPr>
        <w:t>المواد</w:t>
      </w:r>
      <w:r>
        <w:rPr>
          <w:rtl/>
        </w:rPr>
        <w:t xml:space="preserve"> </w:t>
      </w:r>
      <w:r w:rsidRPr="005170C9">
        <w:rPr>
          <w:rtl/>
        </w:rPr>
        <w:t>6</w:t>
      </w:r>
      <w:r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7</w:t>
      </w:r>
      <w:r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8</w:t>
      </w:r>
      <w:r w:rsidRPr="00DC6C59">
        <w:rPr>
          <w:rtl/>
        </w:rPr>
        <w:t>.</w:t>
      </w:r>
      <w:r>
        <w:rPr>
          <w:rtl/>
        </w:rPr>
        <w:t xml:space="preserve"> </w:t>
      </w:r>
      <w:r w:rsidRPr="003520EF">
        <w:rPr>
          <w:rtl/>
        </w:rPr>
        <w:t>وقد</w:t>
      </w:r>
      <w:r>
        <w:rPr>
          <w:rtl/>
        </w:rPr>
        <w:t xml:space="preserve"> </w:t>
      </w:r>
      <w:r w:rsidRPr="003520EF">
        <w:rPr>
          <w:rtl/>
        </w:rPr>
        <w:t>أصدرت</w:t>
      </w:r>
      <w:r>
        <w:rPr>
          <w:rtl/>
        </w:rPr>
        <w:t xml:space="preserve"> </w:t>
      </w:r>
      <w:r w:rsidRPr="003520EF">
        <w:rPr>
          <w:rtl/>
        </w:rPr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</w:t>
      </w:r>
      <w:r>
        <w:rPr>
          <w:rtl/>
        </w:rPr>
        <w:t xml:space="preserve"> </w:t>
      </w:r>
      <w:r w:rsidRPr="003520EF">
        <w:rPr>
          <w:rtl/>
        </w:rPr>
        <w:t>تعليقات</w:t>
      </w:r>
      <w:r>
        <w:rPr>
          <w:rtl/>
        </w:rPr>
        <w:t xml:space="preserve"> </w:t>
      </w:r>
      <w:r w:rsidRPr="003520EF">
        <w:rPr>
          <w:rtl/>
        </w:rPr>
        <w:t>عامة</w:t>
      </w:r>
      <w:r>
        <w:rPr>
          <w:rtl/>
        </w:rPr>
        <w:t xml:space="preserve"> </w:t>
      </w:r>
      <w:r w:rsidRPr="003520EF">
        <w:rPr>
          <w:rtl/>
        </w:rPr>
        <w:t>على</w:t>
      </w:r>
      <w:r>
        <w:rPr>
          <w:rtl/>
        </w:rPr>
        <w:t xml:space="preserve"> </w:t>
      </w:r>
      <w:r w:rsidRPr="003520EF">
        <w:rPr>
          <w:rtl/>
        </w:rPr>
        <w:t>المادتين</w:t>
      </w:r>
      <w:r>
        <w:rPr>
          <w:rtl/>
        </w:rPr>
        <w:t xml:space="preserve"> </w:t>
      </w:r>
      <w:r w:rsidRPr="005170C9">
        <w:rPr>
          <w:rtl/>
        </w:rPr>
        <w:t>6</w:t>
      </w:r>
      <w:r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7</w:t>
      </w:r>
      <w:r>
        <w:rPr>
          <w:rtl/>
        </w:rPr>
        <w:t xml:space="preserve"> </w:t>
      </w:r>
      <w:r w:rsidRPr="003520EF">
        <w:rPr>
          <w:rtl/>
        </w:rPr>
        <w:t>من</w:t>
      </w:r>
      <w:r>
        <w:rPr>
          <w:rtl/>
        </w:rPr>
        <w:t xml:space="preserve"> </w:t>
      </w:r>
      <w:r w:rsidRPr="003520EF">
        <w:rPr>
          <w:rtl/>
        </w:rPr>
        <w:t>العهد</w:t>
      </w:r>
      <w:r>
        <w:rPr>
          <w:rtl/>
        </w:rPr>
        <w:t xml:space="preserve">. </w:t>
      </w:r>
    </w:p>
  </w:footnote>
  <w:footnote w:id="7">
    <w:p w14:paraId="076A93CE" w14:textId="43CC9D55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6</w:t>
      </w:r>
      <w:r w:rsidRPr="003520EF">
        <w:rPr>
          <w:rtl/>
        </w:rPr>
        <w:t>(</w:t>
      </w:r>
      <w:r w:rsidRPr="005170C9">
        <w:rPr>
          <w:rtl/>
        </w:rPr>
        <w:t>2018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8">
    <w:p w14:paraId="2D62CF74" w14:textId="62FCD121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8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9">
    <w:p w14:paraId="4A18DCCF" w14:textId="2C33394D" w:rsidR="00DC6C59" w:rsidRPr="00DC6C59" w:rsidRDefault="00DC6C59" w:rsidP="00DC6C59">
      <w:pPr>
        <w:pStyle w:val="FootnoteText1"/>
        <w:rPr>
          <w:spacing w:val="-4"/>
        </w:rPr>
      </w:pPr>
      <w:r w:rsidRPr="005170C9">
        <w:rPr>
          <w:spacing w:val="-4"/>
          <w:rtl/>
        </w:rPr>
        <w:t>(</w:t>
      </w:r>
      <w:r w:rsidRPr="005170C9">
        <w:rPr>
          <w:spacing w:val="-4"/>
        </w:rPr>
        <w:footnoteRef/>
      </w:r>
      <w:r w:rsidRPr="005170C9">
        <w:rPr>
          <w:spacing w:val="-4"/>
          <w:rtl/>
        </w:rPr>
        <w:t>)</w:t>
      </w:r>
      <w:r w:rsidRPr="00DC6C59">
        <w:rPr>
          <w:spacing w:val="-4"/>
          <w:rtl/>
        </w:rPr>
        <w:tab/>
        <w:t>انظر</w:t>
      </w:r>
      <w:r>
        <w:rPr>
          <w:spacing w:val="-4"/>
          <w:rtl/>
        </w:rPr>
        <w:t>:</w:t>
      </w:r>
      <w:r w:rsidRPr="00DC6C59">
        <w:rPr>
          <w:spacing w:val="-4"/>
          <w:rtl/>
        </w:rPr>
        <w:t xml:space="preserve"> </w:t>
      </w:r>
      <w:hyperlink r:id="rId2" w:history="1">
        <w:r w:rsidRPr="00DC6C59">
          <w:rPr>
            <w:rStyle w:val="Hyperlink"/>
            <w:spacing w:val="-4"/>
          </w:rPr>
          <w:t>https</w:t>
        </w:r>
        <w:r>
          <w:rPr>
            <w:rStyle w:val="Hyperlink"/>
            <w:spacing w:val="-4"/>
          </w:rPr>
          <w:t>:</w:t>
        </w:r>
        <w:r w:rsidRPr="00DC6C59">
          <w:rPr>
            <w:rStyle w:val="Hyperlink"/>
            <w:spacing w:val="-4"/>
          </w:rPr>
          <w:t>//www.ilo.org/global/standards/introduction-to-international-labour-standards/conventions-and-recommendations/lang--en/index.htm</w:t>
        </w:r>
      </w:hyperlink>
      <w:r w:rsidRPr="00DC6C59">
        <w:rPr>
          <w:spacing w:val="-4"/>
          <w:rtl/>
        </w:rPr>
        <w:t xml:space="preserve">.  </w:t>
      </w:r>
    </w:p>
  </w:footnote>
  <w:footnote w:id="10">
    <w:p w14:paraId="7395953E" w14:textId="200DE890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5</w:t>
      </w:r>
      <w:r w:rsidRPr="003520EF">
        <w:rPr>
          <w:rtl/>
        </w:rPr>
        <w:t>(</w:t>
      </w:r>
      <w:r w:rsidRPr="005170C9">
        <w:rPr>
          <w:rtl/>
        </w:rPr>
        <w:t>1994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21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11">
    <w:p w14:paraId="3C92C978" w14:textId="44EF084A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47</w:t>
      </w:r>
      <w:r w:rsidRPr="003520EF">
        <w:rPr>
          <w:rtl/>
        </w:rPr>
        <w:t>(ج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12">
    <w:p w14:paraId="4F2123AB" w14:textId="79C8D2C6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24</w:t>
      </w:r>
      <w:r w:rsidRPr="003520EF">
        <w:rPr>
          <w:rtl/>
        </w:rPr>
        <w:t>(</w:t>
      </w:r>
      <w:r w:rsidRPr="005170C9">
        <w:rPr>
          <w:rtl/>
        </w:rPr>
        <w:t>2017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7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13">
    <w:p w14:paraId="3967ED78" w14:textId="13206439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6</w:t>
      </w:r>
      <w:r w:rsidRPr="003520EF">
        <w:rPr>
          <w:rtl/>
        </w:rPr>
        <w:t>(</w:t>
      </w:r>
      <w:r w:rsidRPr="005170C9">
        <w:rPr>
          <w:rtl/>
        </w:rPr>
        <w:t>2018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67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14">
    <w:p w14:paraId="6DBF9963" w14:textId="61717092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(أ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15">
    <w:p w14:paraId="25C4A425" w14:textId="70932A18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(ب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16">
    <w:p w14:paraId="073B1C03" w14:textId="690724D6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bookmarkStart w:id="12" w:name="_Hlk83823673"/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(ج</w:t>
      </w:r>
      <w:bookmarkEnd w:id="12"/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17">
    <w:p w14:paraId="00AD4180" w14:textId="76F7EF39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23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18">
    <w:p w14:paraId="29E55F1D" w14:textId="29F074FB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24</w:t>
      </w:r>
      <w:r w:rsidRPr="003520EF">
        <w:rPr>
          <w:rtl/>
        </w:rPr>
        <w:t>(ب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19">
    <w:p w14:paraId="3BAEA9E5" w14:textId="078BC952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24</w:t>
      </w:r>
      <w:r w:rsidRPr="003520EF">
        <w:rPr>
          <w:rtl/>
        </w:rPr>
        <w:t>(أ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20">
    <w:p w14:paraId="6CC2CEFC" w14:textId="18E2FC44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24</w:t>
      </w:r>
      <w:r w:rsidRPr="003520EF">
        <w:rPr>
          <w:rtl/>
        </w:rPr>
        <w:t>(ب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21">
    <w:p w14:paraId="1D7AD737" w14:textId="20B83FAF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(د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22">
    <w:p w14:paraId="1BE1699F" w14:textId="0469B7D2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r w:rsidRPr="00BA0EE3">
        <w:rPr>
          <w:rtl/>
        </w:rPr>
        <w:t>انظر،</w:t>
      </w:r>
      <w:r>
        <w:rPr>
          <w:rtl/>
        </w:rPr>
        <w:t xml:space="preserve"> </w:t>
      </w:r>
      <w:r w:rsidRPr="00BA0EE3">
        <w:rPr>
          <w:rtl/>
        </w:rPr>
        <w:t>على</w:t>
      </w:r>
      <w:r>
        <w:rPr>
          <w:rtl/>
        </w:rPr>
        <w:t xml:space="preserve"> </w:t>
      </w:r>
      <w:r w:rsidRPr="00BA0EE3">
        <w:rPr>
          <w:rtl/>
        </w:rPr>
        <w:t>سبيل</w:t>
      </w:r>
      <w:r>
        <w:rPr>
          <w:rtl/>
        </w:rPr>
        <w:t xml:space="preserve"> </w:t>
      </w:r>
      <w:r w:rsidRPr="00BA0EE3">
        <w:rPr>
          <w:rtl/>
        </w:rPr>
        <w:t>المثال،</w:t>
      </w:r>
      <w:r>
        <w:rPr>
          <w:rtl/>
        </w:rPr>
        <w:t xml:space="preserve"> </w:t>
      </w:r>
      <w:r w:rsidRPr="00BA0EE3">
        <w:rPr>
          <w:rtl/>
        </w:rPr>
        <w:t>قضية</w:t>
      </w:r>
      <w:r>
        <w:rPr>
          <w:rtl/>
        </w:rPr>
        <w:t xml:space="preserve"> </w:t>
      </w:r>
      <w:proofErr w:type="spellStart"/>
      <w:r w:rsidRPr="00BA0EE3">
        <w:rPr>
          <w:i/>
          <w:iCs/>
          <w:rtl/>
        </w:rPr>
        <w:t>بيليني</w:t>
      </w:r>
      <w:proofErr w:type="spellEnd"/>
      <w:r>
        <w:rPr>
          <w:i/>
          <w:iCs/>
          <w:rtl/>
        </w:rPr>
        <w:t xml:space="preserve"> </w:t>
      </w:r>
      <w:r w:rsidRPr="00BA0EE3">
        <w:rPr>
          <w:i/>
          <w:iCs/>
          <w:rtl/>
        </w:rPr>
        <w:t>وآخرون</w:t>
      </w:r>
      <w:r>
        <w:rPr>
          <w:i/>
          <w:iCs/>
          <w:rtl/>
        </w:rPr>
        <w:t xml:space="preserve"> </w:t>
      </w:r>
      <w:r w:rsidRPr="00BA0EE3">
        <w:rPr>
          <w:i/>
          <w:iCs/>
          <w:rtl/>
        </w:rPr>
        <w:t>ضد</w:t>
      </w:r>
      <w:r>
        <w:rPr>
          <w:i/>
          <w:iCs/>
          <w:rtl/>
        </w:rPr>
        <w:t xml:space="preserve"> </w:t>
      </w:r>
      <w:r w:rsidRPr="00BA0EE3">
        <w:rPr>
          <w:i/>
          <w:iCs/>
          <w:rtl/>
        </w:rPr>
        <w:t>إيطاليا</w:t>
      </w:r>
      <w:r>
        <w:rPr>
          <w:i/>
          <w:iCs/>
          <w:rtl/>
        </w:rPr>
        <w:t xml:space="preserve"> </w:t>
      </w:r>
      <w:r w:rsidRPr="00BA0EE3">
        <w:rPr>
          <w:i/>
          <w:iCs/>
        </w:rPr>
        <w:t>Bellini</w:t>
      </w:r>
      <w:r>
        <w:rPr>
          <w:i/>
          <w:iCs/>
        </w:rPr>
        <w:t xml:space="preserve"> </w:t>
      </w:r>
      <w:r w:rsidRPr="00BA0EE3">
        <w:rPr>
          <w:i/>
          <w:iCs/>
        </w:rPr>
        <w:t>et</w:t>
      </w:r>
      <w:r>
        <w:rPr>
          <w:i/>
          <w:iCs/>
        </w:rPr>
        <w:t xml:space="preserve"> </w:t>
      </w:r>
      <w:r w:rsidRPr="00BA0EE3">
        <w:rPr>
          <w:i/>
          <w:iCs/>
        </w:rPr>
        <w:t>a</w:t>
      </w:r>
      <w:r w:rsidRPr="00DC6C59">
        <w:rPr>
          <w:i/>
          <w:iCs/>
        </w:rPr>
        <w:t>l.</w:t>
      </w:r>
      <w:r>
        <w:rPr>
          <w:i/>
          <w:iCs/>
        </w:rPr>
        <w:t xml:space="preserve"> </w:t>
      </w:r>
      <w:r w:rsidRPr="00DC6C59">
        <w:rPr>
          <w:i/>
          <w:iCs/>
        </w:rPr>
        <w:t>v.</w:t>
      </w:r>
      <w:r>
        <w:rPr>
          <w:i/>
          <w:iCs/>
        </w:rPr>
        <w:t xml:space="preserve"> </w:t>
      </w:r>
      <w:r w:rsidRPr="00BA0EE3">
        <w:rPr>
          <w:i/>
          <w:iCs/>
        </w:rPr>
        <w:t>Italy</w:t>
      </w:r>
      <w:r>
        <w:rPr>
          <w:rtl/>
        </w:rPr>
        <w:t xml:space="preserve"> </w:t>
      </w:r>
      <w:r w:rsidRPr="003520EF">
        <w:rPr>
          <w:rtl/>
        </w:rPr>
        <w:t>(</w:t>
      </w:r>
      <w:hyperlink r:id="rId3" w:history="1">
        <w:r w:rsidRPr="005170C9">
          <w:rPr>
            <w:rStyle w:val="Hyperlink"/>
          </w:rPr>
          <w:t>CRPD/C/27/D/51/2018</w:t>
        </w:r>
      </w:hyperlink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23">
    <w:p w14:paraId="521065AB" w14:textId="29506C82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4</w:t>
      </w:r>
      <w:r w:rsidRPr="003520EF">
        <w:rPr>
          <w:rtl/>
        </w:rPr>
        <w:t>(ج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24">
    <w:p w14:paraId="4550A651" w14:textId="1A5ECB6B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16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25">
    <w:p w14:paraId="5C1AF708" w14:textId="72EBFE2A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47</w:t>
      </w:r>
      <w:r w:rsidRPr="003520EF">
        <w:rPr>
          <w:rtl/>
        </w:rPr>
        <w:t>(ج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26">
    <w:p w14:paraId="1F9F4063" w14:textId="50EB1BBA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bookmarkStart w:id="16" w:name="_Hlk83833904"/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bookmarkEnd w:id="16"/>
      <w:r w:rsidRPr="005170C9">
        <w:rPr>
          <w:rtl/>
        </w:rPr>
        <w:t>5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27">
    <w:p w14:paraId="1E05B29F" w14:textId="79359BB8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للمزيد</w:t>
      </w:r>
      <w:r>
        <w:rPr>
          <w:rtl/>
        </w:rPr>
        <w:t xml:space="preserve"> </w:t>
      </w:r>
      <w:r w:rsidRPr="003520EF">
        <w:rPr>
          <w:rtl/>
        </w:rPr>
        <w:t>من</w:t>
      </w:r>
      <w:r>
        <w:rPr>
          <w:rtl/>
        </w:rPr>
        <w:t xml:space="preserve"> </w:t>
      </w:r>
      <w:r w:rsidRPr="003520EF">
        <w:rPr>
          <w:rtl/>
        </w:rPr>
        <w:t>التفاصيل،</w:t>
      </w:r>
      <w:r>
        <w:rPr>
          <w:rtl/>
        </w:rPr>
        <w:t xml:space="preserve"> </w:t>
      </w:r>
      <w:r w:rsidRPr="003520EF">
        <w:rPr>
          <w:rtl/>
        </w:rPr>
        <w:t>انظر</w:t>
      </w:r>
      <w:r>
        <w:rPr>
          <w:rtl/>
        </w:rPr>
        <w:t xml:space="preserve"> </w:t>
      </w:r>
      <w:r w:rsidRPr="003520EF">
        <w:rPr>
          <w:rtl/>
        </w:rPr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28">
    <w:p w14:paraId="7BD8D4BC" w14:textId="550B45A0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6</w:t>
      </w:r>
      <w:r w:rsidRPr="003520EF">
        <w:rPr>
          <w:rtl/>
        </w:rPr>
        <w:t>(</w:t>
      </w:r>
      <w:r w:rsidRPr="005170C9">
        <w:rPr>
          <w:rtl/>
        </w:rPr>
        <w:t>2018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29">
    <w:p w14:paraId="0E2AED17" w14:textId="5DE6EB8C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</w:t>
      </w:r>
      <w:r w:rsidRPr="005170C9">
        <w:rPr>
          <w:rtl/>
        </w:rPr>
        <w:t>2005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51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30">
    <w:p w14:paraId="2AC1FFD2" w14:textId="16D6E2D4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انظر</w:t>
      </w:r>
      <w:r>
        <w:rPr>
          <w:rtl/>
        </w:rPr>
        <w:t xml:space="preserve"> </w:t>
      </w:r>
      <w:r w:rsidRPr="003520EF">
        <w:rPr>
          <w:rtl/>
        </w:rPr>
        <w:t>العهد</w:t>
      </w:r>
      <w:r>
        <w:rPr>
          <w:rtl/>
        </w:rPr>
        <w:t xml:space="preserve"> </w:t>
      </w:r>
      <w:r w:rsidRPr="003520EF">
        <w:rPr>
          <w:rtl/>
        </w:rPr>
        <w:t>الدولي</w:t>
      </w:r>
      <w:r>
        <w:rPr>
          <w:rtl/>
        </w:rPr>
        <w:t xml:space="preserve"> </w:t>
      </w:r>
      <w:r w:rsidRPr="003520EF">
        <w:rPr>
          <w:rtl/>
        </w:rPr>
        <w:t>الخاص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المادة</w:t>
      </w:r>
      <w:r>
        <w:rPr>
          <w:rtl/>
        </w:rPr>
        <w:t xml:space="preserve"> </w:t>
      </w:r>
      <w:r w:rsidRPr="005170C9">
        <w:rPr>
          <w:rtl/>
        </w:rPr>
        <w:t>6</w:t>
      </w:r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واتفاقية</w:t>
      </w:r>
      <w:r>
        <w:rPr>
          <w:rtl/>
        </w:rPr>
        <w:t xml:space="preserve"> </w:t>
      </w:r>
      <w:r w:rsidRPr="003520EF">
        <w:rPr>
          <w:rtl/>
        </w:rPr>
        <w:t>منظمة</w:t>
      </w:r>
      <w:r>
        <w:rPr>
          <w:rtl/>
        </w:rPr>
        <w:t xml:space="preserve"> </w:t>
      </w:r>
      <w:r w:rsidRPr="003520EF">
        <w:rPr>
          <w:rtl/>
        </w:rPr>
        <w:t>العمل</w:t>
      </w:r>
      <w:r>
        <w:rPr>
          <w:rtl/>
        </w:rPr>
        <w:t xml:space="preserve"> </w:t>
      </w:r>
      <w:r w:rsidRPr="003520EF">
        <w:rPr>
          <w:rtl/>
        </w:rPr>
        <w:t>الدولية</w:t>
      </w:r>
      <w:r>
        <w:rPr>
          <w:rtl/>
        </w:rPr>
        <w:t xml:space="preserve"> </w:t>
      </w:r>
      <w:r w:rsidRPr="003520EF">
        <w:rPr>
          <w:rtl/>
        </w:rPr>
        <w:t>بشأن</w:t>
      </w:r>
      <w:r>
        <w:rPr>
          <w:rtl/>
        </w:rPr>
        <w:t xml:space="preserve"> </w:t>
      </w:r>
      <w:r w:rsidRPr="003520EF">
        <w:rPr>
          <w:rtl/>
        </w:rPr>
        <w:t>التأهيل</w:t>
      </w:r>
      <w:r>
        <w:rPr>
          <w:rtl/>
        </w:rPr>
        <w:t xml:space="preserve"> </w:t>
      </w:r>
      <w:r w:rsidRPr="003520EF">
        <w:rPr>
          <w:rtl/>
        </w:rPr>
        <w:t>المهني</w:t>
      </w:r>
      <w:r>
        <w:rPr>
          <w:rtl/>
        </w:rPr>
        <w:t xml:space="preserve"> </w:t>
      </w:r>
      <w:r w:rsidRPr="003520EF">
        <w:rPr>
          <w:rtl/>
        </w:rPr>
        <w:t>والعمالة</w:t>
      </w:r>
      <w:r>
        <w:rPr>
          <w:rtl/>
        </w:rPr>
        <w:t xml:space="preserve"> </w:t>
      </w:r>
      <w:r w:rsidRPr="003520EF">
        <w:rPr>
          <w:rtl/>
        </w:rPr>
        <w:t>(المعوقون)</w:t>
      </w:r>
      <w:r>
        <w:rPr>
          <w:rtl/>
        </w:rPr>
        <w:t xml:space="preserve"> </w:t>
      </w:r>
      <w:r w:rsidRPr="003520EF">
        <w:rPr>
          <w:rtl/>
        </w:rPr>
        <w:t>الاتفاقية،</w:t>
      </w:r>
      <w:r>
        <w:rPr>
          <w:rtl/>
        </w:rPr>
        <w:t xml:space="preserve"> </w:t>
      </w:r>
      <w:r w:rsidRPr="003520EF">
        <w:rPr>
          <w:rtl/>
        </w:rPr>
        <w:t>لعام</w:t>
      </w:r>
      <w:r>
        <w:rPr>
          <w:rtl/>
        </w:rPr>
        <w:t xml:space="preserve"> </w:t>
      </w:r>
      <w:r w:rsidRPr="005170C9">
        <w:rPr>
          <w:rtl/>
        </w:rPr>
        <w:t>1983</w:t>
      </w:r>
      <w:r>
        <w:rPr>
          <w:rtl/>
        </w:rPr>
        <w:t xml:space="preserve"> </w:t>
      </w:r>
      <w:r w:rsidRPr="003520EF">
        <w:rPr>
          <w:rtl/>
        </w:rPr>
        <w:t>(رقم</w:t>
      </w:r>
      <w:r>
        <w:rPr>
          <w:rtl/>
        </w:rPr>
        <w:t xml:space="preserve"> </w:t>
      </w:r>
      <w:r w:rsidRPr="005170C9">
        <w:rPr>
          <w:rtl/>
        </w:rPr>
        <w:t>159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31">
    <w:p w14:paraId="56DD6233" w14:textId="3A2F4F9F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انظر</w:t>
      </w:r>
      <w:r>
        <w:rPr>
          <w:rtl/>
        </w:rPr>
        <w:t xml:space="preserve"> </w:t>
      </w:r>
      <w:hyperlink r:id="rId4" w:history="1">
        <w:r w:rsidRPr="005170C9">
          <w:rPr>
            <w:rStyle w:val="Hyperlink"/>
          </w:rPr>
          <w:t>CRPD/C/2/3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المرفق</w:t>
      </w:r>
      <w:r>
        <w:rPr>
          <w:rtl/>
        </w:rPr>
        <w:t xml:space="preserve">. </w:t>
      </w:r>
    </w:p>
  </w:footnote>
  <w:footnote w:id="32">
    <w:p w14:paraId="7AF7D634" w14:textId="5FDF99DA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r w:rsidRPr="00BA0EE3">
        <w:rPr>
          <w:rtl/>
        </w:rPr>
        <w:t>للاطلاع</w:t>
      </w:r>
      <w:r>
        <w:rPr>
          <w:rtl/>
        </w:rPr>
        <w:t xml:space="preserve"> </w:t>
      </w:r>
      <w:r w:rsidRPr="00BA0EE3">
        <w:rPr>
          <w:rtl/>
        </w:rPr>
        <w:t>على</w:t>
      </w:r>
      <w:r>
        <w:rPr>
          <w:rtl/>
        </w:rPr>
        <w:t xml:space="preserve"> </w:t>
      </w:r>
      <w:r w:rsidRPr="00BA0EE3">
        <w:rPr>
          <w:rtl/>
        </w:rPr>
        <w:t>مثال</w:t>
      </w:r>
      <w:r>
        <w:rPr>
          <w:rtl/>
        </w:rPr>
        <w:t xml:space="preserve"> </w:t>
      </w:r>
      <w:r w:rsidRPr="00BA0EE3">
        <w:rPr>
          <w:rtl/>
        </w:rPr>
        <w:t>على</w:t>
      </w:r>
      <w:r>
        <w:rPr>
          <w:rtl/>
        </w:rPr>
        <w:t xml:space="preserve"> </w:t>
      </w:r>
      <w:r w:rsidRPr="00BA0EE3">
        <w:rPr>
          <w:rtl/>
        </w:rPr>
        <w:t>الحالات</w:t>
      </w:r>
      <w:r>
        <w:rPr>
          <w:rtl/>
        </w:rPr>
        <w:t xml:space="preserve"> </w:t>
      </w:r>
      <w:r w:rsidRPr="00BA0EE3">
        <w:rPr>
          <w:rtl/>
        </w:rPr>
        <w:t>التي</w:t>
      </w:r>
      <w:r>
        <w:rPr>
          <w:rtl/>
        </w:rPr>
        <w:t xml:space="preserve"> </w:t>
      </w:r>
      <w:r w:rsidRPr="00BA0EE3">
        <w:rPr>
          <w:rtl/>
        </w:rPr>
        <w:t>لم</w:t>
      </w:r>
      <w:r>
        <w:rPr>
          <w:rtl/>
        </w:rPr>
        <w:t xml:space="preserve"> </w:t>
      </w:r>
      <w:r w:rsidRPr="00BA0EE3">
        <w:rPr>
          <w:rtl/>
        </w:rPr>
        <w:t>يقدم</w:t>
      </w:r>
      <w:r>
        <w:rPr>
          <w:rtl/>
        </w:rPr>
        <w:t xml:space="preserve"> </w:t>
      </w:r>
      <w:r w:rsidRPr="00BA0EE3">
        <w:rPr>
          <w:rtl/>
        </w:rPr>
        <w:t>فيها</w:t>
      </w:r>
      <w:r>
        <w:rPr>
          <w:rtl/>
        </w:rPr>
        <w:t xml:space="preserve"> </w:t>
      </w:r>
      <w:r w:rsidRPr="00BA0EE3">
        <w:rPr>
          <w:rtl/>
        </w:rPr>
        <w:t>هذا</w:t>
      </w:r>
      <w:r>
        <w:rPr>
          <w:rtl/>
        </w:rPr>
        <w:t xml:space="preserve"> </w:t>
      </w:r>
      <w:r w:rsidRPr="00BA0EE3">
        <w:rPr>
          <w:rtl/>
        </w:rPr>
        <w:t>الدعم</w:t>
      </w:r>
      <w:r>
        <w:rPr>
          <w:rtl/>
        </w:rPr>
        <w:t xml:space="preserve"> </w:t>
      </w:r>
      <w:r w:rsidRPr="00BA0EE3">
        <w:rPr>
          <w:rtl/>
        </w:rPr>
        <w:t>بشكل</w:t>
      </w:r>
      <w:r>
        <w:rPr>
          <w:rtl/>
        </w:rPr>
        <w:t xml:space="preserve"> </w:t>
      </w:r>
      <w:r w:rsidRPr="00BA0EE3">
        <w:rPr>
          <w:rtl/>
        </w:rPr>
        <w:t>مجد،</w:t>
      </w:r>
      <w:r>
        <w:rPr>
          <w:rtl/>
        </w:rPr>
        <w:t xml:space="preserve"> </w:t>
      </w:r>
      <w:r w:rsidRPr="00BA0EE3">
        <w:rPr>
          <w:rtl/>
        </w:rPr>
        <w:t>انظر</w:t>
      </w:r>
      <w:r>
        <w:rPr>
          <w:rtl/>
        </w:rPr>
        <w:t xml:space="preserve"> </w:t>
      </w:r>
      <w:r w:rsidRPr="00BA0EE3">
        <w:rPr>
          <w:rtl/>
        </w:rPr>
        <w:t>قضية</w:t>
      </w:r>
      <w:r>
        <w:rPr>
          <w:rtl/>
        </w:rPr>
        <w:t xml:space="preserve"> </w:t>
      </w:r>
      <w:proofErr w:type="spellStart"/>
      <w:r w:rsidRPr="00BA0EE3">
        <w:rPr>
          <w:i/>
          <w:iCs/>
          <w:rtl/>
        </w:rPr>
        <w:t>غرونينغر</w:t>
      </w:r>
      <w:proofErr w:type="spellEnd"/>
      <w:r>
        <w:rPr>
          <w:i/>
          <w:iCs/>
          <w:rtl/>
        </w:rPr>
        <w:t xml:space="preserve"> </w:t>
      </w:r>
      <w:r w:rsidRPr="00BA0EE3">
        <w:rPr>
          <w:i/>
          <w:iCs/>
          <w:rtl/>
        </w:rPr>
        <w:t>وآخرين</w:t>
      </w:r>
      <w:r>
        <w:rPr>
          <w:i/>
          <w:iCs/>
          <w:rtl/>
        </w:rPr>
        <w:t xml:space="preserve"> </w:t>
      </w:r>
      <w:r w:rsidRPr="00BA0EE3">
        <w:rPr>
          <w:i/>
          <w:iCs/>
          <w:rtl/>
        </w:rPr>
        <w:t>ضد</w:t>
      </w:r>
      <w:r>
        <w:rPr>
          <w:i/>
          <w:iCs/>
          <w:rtl/>
        </w:rPr>
        <w:t xml:space="preserve"> </w:t>
      </w:r>
      <w:r w:rsidRPr="00BA0EE3">
        <w:rPr>
          <w:i/>
          <w:iCs/>
          <w:rtl/>
        </w:rPr>
        <w:t>ألمانيا</w:t>
      </w:r>
      <w:r>
        <w:rPr>
          <w:i/>
          <w:iCs/>
          <w:rtl/>
        </w:rPr>
        <w:t xml:space="preserve"> </w:t>
      </w:r>
      <w:proofErr w:type="spellStart"/>
      <w:r w:rsidRPr="00BA0EE3">
        <w:rPr>
          <w:i/>
          <w:iCs/>
        </w:rPr>
        <w:t>Gröninger</w:t>
      </w:r>
      <w:proofErr w:type="spellEnd"/>
      <w:r>
        <w:rPr>
          <w:i/>
          <w:iCs/>
        </w:rPr>
        <w:t xml:space="preserve"> </w:t>
      </w:r>
      <w:r w:rsidRPr="00BA0EE3">
        <w:rPr>
          <w:i/>
          <w:iCs/>
        </w:rPr>
        <w:t>et</w:t>
      </w:r>
      <w:r>
        <w:rPr>
          <w:i/>
          <w:iCs/>
        </w:rPr>
        <w:t xml:space="preserve"> </w:t>
      </w:r>
      <w:r w:rsidRPr="00BA0EE3">
        <w:rPr>
          <w:i/>
          <w:iCs/>
        </w:rPr>
        <w:t>a</w:t>
      </w:r>
      <w:r w:rsidRPr="00DC6C59">
        <w:rPr>
          <w:i/>
          <w:iCs/>
        </w:rPr>
        <w:t>l.</w:t>
      </w:r>
      <w:r>
        <w:rPr>
          <w:i/>
          <w:iCs/>
        </w:rPr>
        <w:t xml:space="preserve"> </w:t>
      </w:r>
      <w:r w:rsidRPr="00DC6C59">
        <w:rPr>
          <w:i/>
          <w:iCs/>
        </w:rPr>
        <w:t>v.</w:t>
      </w:r>
      <w:r>
        <w:rPr>
          <w:i/>
          <w:iCs/>
        </w:rPr>
        <w:t xml:space="preserve"> </w:t>
      </w:r>
      <w:r w:rsidRPr="00BA0EE3">
        <w:rPr>
          <w:i/>
          <w:iCs/>
        </w:rPr>
        <w:t>Germany</w:t>
      </w:r>
      <w:r>
        <w:rPr>
          <w:rtl/>
        </w:rPr>
        <w:t xml:space="preserve"> </w:t>
      </w:r>
      <w:r w:rsidRPr="003520EF">
        <w:rPr>
          <w:rtl/>
        </w:rPr>
        <w:t>(</w:t>
      </w:r>
      <w:hyperlink r:id="rId5" w:history="1">
        <w:r w:rsidRPr="005170C9">
          <w:rPr>
            <w:rStyle w:val="Hyperlink"/>
          </w:rPr>
          <w:t>CRPD/C/D/2010</w:t>
        </w:r>
      </w:hyperlink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33">
    <w:p w14:paraId="76E8BD9A" w14:textId="792EFACF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انظر</w:t>
      </w:r>
      <w:r>
        <w:rPr>
          <w:rtl/>
        </w:rPr>
        <w:t xml:space="preserve"> </w:t>
      </w:r>
      <w:r w:rsidRPr="003520EF">
        <w:rPr>
          <w:rtl/>
        </w:rPr>
        <w:t>أيضاً</w:t>
      </w:r>
      <w:r>
        <w:rPr>
          <w:rtl/>
        </w:rPr>
        <w:t xml:space="preserve"> </w:t>
      </w:r>
      <w:r w:rsidRPr="003520EF">
        <w:rPr>
          <w:rtl/>
        </w:rPr>
        <w:t>توصية</w:t>
      </w:r>
      <w:r>
        <w:rPr>
          <w:rtl/>
        </w:rPr>
        <w:t xml:space="preserve"> </w:t>
      </w:r>
      <w:r w:rsidRPr="003520EF">
        <w:rPr>
          <w:rtl/>
        </w:rPr>
        <w:t>منظمة</w:t>
      </w:r>
      <w:r>
        <w:rPr>
          <w:rtl/>
        </w:rPr>
        <w:t xml:space="preserve"> </w:t>
      </w:r>
      <w:r w:rsidRPr="003520EF">
        <w:rPr>
          <w:rtl/>
        </w:rPr>
        <w:t>العمل</w:t>
      </w:r>
      <w:r>
        <w:rPr>
          <w:rtl/>
        </w:rPr>
        <w:t xml:space="preserve"> </w:t>
      </w:r>
      <w:r w:rsidRPr="003520EF">
        <w:rPr>
          <w:rtl/>
        </w:rPr>
        <w:t>الدولية</w:t>
      </w:r>
      <w:r>
        <w:rPr>
          <w:rtl/>
        </w:rPr>
        <w:t xml:space="preserve"> </w:t>
      </w:r>
      <w:r w:rsidRPr="003520EF">
        <w:rPr>
          <w:rtl/>
        </w:rPr>
        <w:t>بشأن</w:t>
      </w:r>
      <w:r>
        <w:rPr>
          <w:rtl/>
        </w:rPr>
        <w:t xml:space="preserve"> </w:t>
      </w:r>
      <w:r w:rsidRPr="003520EF">
        <w:rPr>
          <w:rtl/>
        </w:rPr>
        <w:t>الانتقال</w:t>
      </w:r>
      <w:r>
        <w:rPr>
          <w:rtl/>
        </w:rPr>
        <w:t xml:space="preserve"> </w:t>
      </w:r>
      <w:r w:rsidRPr="003520EF">
        <w:rPr>
          <w:rtl/>
        </w:rPr>
        <w:t>من</w:t>
      </w:r>
      <w:r>
        <w:rPr>
          <w:rtl/>
        </w:rPr>
        <w:t xml:space="preserve"> </w:t>
      </w:r>
      <w:r w:rsidRPr="003520EF">
        <w:rPr>
          <w:rtl/>
        </w:rPr>
        <w:t>الاقتصاد</w:t>
      </w:r>
      <w:r>
        <w:rPr>
          <w:rtl/>
        </w:rPr>
        <w:t xml:space="preserve"> </w:t>
      </w:r>
      <w:r w:rsidRPr="003520EF">
        <w:rPr>
          <w:rtl/>
        </w:rPr>
        <w:t>غير</w:t>
      </w:r>
      <w:r>
        <w:rPr>
          <w:rtl/>
        </w:rPr>
        <w:t xml:space="preserve"> </w:t>
      </w:r>
      <w:r w:rsidRPr="003520EF">
        <w:rPr>
          <w:rtl/>
        </w:rPr>
        <w:t>المنظم</w:t>
      </w:r>
      <w:r>
        <w:rPr>
          <w:rtl/>
        </w:rPr>
        <w:t xml:space="preserve"> </w:t>
      </w:r>
      <w:r w:rsidRPr="003520EF">
        <w:rPr>
          <w:rtl/>
        </w:rPr>
        <w:t>إلى</w:t>
      </w:r>
      <w:r>
        <w:rPr>
          <w:rtl/>
        </w:rPr>
        <w:t xml:space="preserve"> </w:t>
      </w:r>
      <w:r w:rsidRPr="003520EF">
        <w:rPr>
          <w:rtl/>
        </w:rPr>
        <w:t>الاقتصاد</w:t>
      </w:r>
      <w:r>
        <w:rPr>
          <w:rtl/>
        </w:rPr>
        <w:t xml:space="preserve"> </w:t>
      </w:r>
      <w:r w:rsidRPr="003520EF">
        <w:rPr>
          <w:rtl/>
        </w:rPr>
        <w:t>المنظم،</w:t>
      </w:r>
      <w:r>
        <w:rPr>
          <w:rtl/>
        </w:rPr>
        <w:t xml:space="preserve"> </w:t>
      </w:r>
      <w:r w:rsidRPr="005170C9">
        <w:rPr>
          <w:rtl/>
        </w:rPr>
        <w:t>2015</w:t>
      </w:r>
      <w:r>
        <w:rPr>
          <w:rFonts w:hint="cs"/>
          <w:rtl/>
        </w:rPr>
        <w:t xml:space="preserve"> </w:t>
      </w:r>
      <w:r w:rsidRPr="003520EF">
        <w:rPr>
          <w:rtl/>
        </w:rPr>
        <w:t>(رقم</w:t>
      </w:r>
      <w:r>
        <w:rPr>
          <w:rtl/>
        </w:rPr>
        <w:t xml:space="preserve"> </w:t>
      </w:r>
      <w:r w:rsidRPr="005170C9">
        <w:rPr>
          <w:rtl/>
        </w:rPr>
        <w:t>204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34">
    <w:p w14:paraId="33CB0C27" w14:textId="41DEFAB1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bookmarkStart w:id="18" w:name="_Hlk83832842"/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11</w:t>
      </w:r>
      <w:r w:rsidRPr="003520EF">
        <w:rPr>
          <w:rtl/>
        </w:rPr>
        <w:t>(ز</w:t>
      </w:r>
      <w:bookmarkEnd w:id="18"/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35">
    <w:p w14:paraId="325BB4C1" w14:textId="76045041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المرجع</w:t>
      </w:r>
      <w:r>
        <w:rPr>
          <w:rtl/>
        </w:rPr>
        <w:t xml:space="preserve"> </w:t>
      </w:r>
      <w:r w:rsidRPr="003520EF">
        <w:rPr>
          <w:rtl/>
        </w:rPr>
        <w:t>نفسه،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36">
    <w:p w14:paraId="23E3A173" w14:textId="7CBC64EB" w:rsidR="00DC6C59" w:rsidRPr="00DC6C59" w:rsidRDefault="00DC6C59" w:rsidP="00DC6C59">
      <w:pPr>
        <w:pStyle w:val="FootnoteText1"/>
        <w:rPr>
          <w:spacing w:val="-4"/>
        </w:rPr>
      </w:pPr>
      <w:r w:rsidRPr="005170C9">
        <w:rPr>
          <w:spacing w:val="-4"/>
          <w:rtl/>
        </w:rPr>
        <w:t>(</w:t>
      </w:r>
      <w:r w:rsidRPr="005170C9">
        <w:rPr>
          <w:spacing w:val="-4"/>
        </w:rPr>
        <w:footnoteRef/>
      </w:r>
      <w:r w:rsidRPr="005170C9">
        <w:rPr>
          <w:spacing w:val="-4"/>
          <w:rtl/>
        </w:rPr>
        <w:t>)</w:t>
      </w:r>
      <w:r w:rsidRPr="00DC6C59">
        <w:rPr>
          <w:spacing w:val="-4"/>
          <w:rtl/>
        </w:rPr>
        <w:tab/>
        <w:t xml:space="preserve">على سبيل المثال، </w:t>
      </w:r>
      <w:hyperlink r:id="rId6" w:history="1">
        <w:r w:rsidRPr="005170C9">
          <w:rPr>
            <w:rStyle w:val="Hyperlink"/>
            <w:spacing w:val="-4"/>
          </w:rPr>
          <w:t>CRPD/C/CAN/CO/1</w:t>
        </w:r>
      </w:hyperlink>
      <w:r w:rsidRPr="00DC6C59">
        <w:rPr>
          <w:spacing w:val="-4"/>
          <w:rtl/>
        </w:rPr>
        <w:t xml:space="preserve">، الفقرة </w:t>
      </w:r>
      <w:r w:rsidRPr="005170C9">
        <w:rPr>
          <w:spacing w:val="-4"/>
          <w:rtl/>
        </w:rPr>
        <w:t>48</w:t>
      </w:r>
      <w:r w:rsidRPr="00DC6C59">
        <w:rPr>
          <w:spacing w:val="-4"/>
          <w:rtl/>
        </w:rPr>
        <w:t>(ج). و</w:t>
      </w:r>
      <w:hyperlink r:id="rId7" w:history="1">
        <w:r w:rsidRPr="005170C9">
          <w:rPr>
            <w:rStyle w:val="Hyperlink"/>
            <w:spacing w:val="-4"/>
          </w:rPr>
          <w:t>CRPD/C/GTM/CO/1</w:t>
        </w:r>
      </w:hyperlink>
      <w:r w:rsidRPr="00DC6C59">
        <w:rPr>
          <w:spacing w:val="-4"/>
          <w:rtl/>
        </w:rPr>
        <w:t xml:space="preserve">، الفقرة </w:t>
      </w:r>
      <w:r w:rsidRPr="005170C9">
        <w:rPr>
          <w:spacing w:val="-4"/>
          <w:rtl/>
        </w:rPr>
        <w:t>63</w:t>
      </w:r>
      <w:r w:rsidRPr="00DC6C59">
        <w:rPr>
          <w:spacing w:val="-4"/>
          <w:rtl/>
        </w:rPr>
        <w:t>. و</w:t>
      </w:r>
      <w:hyperlink r:id="rId8" w:history="1">
        <w:r w:rsidRPr="005170C9">
          <w:rPr>
            <w:rStyle w:val="Hyperlink"/>
            <w:spacing w:val="-4"/>
          </w:rPr>
          <w:t>CRPD/C/JOR/CO/1</w:t>
        </w:r>
      </w:hyperlink>
      <w:r w:rsidRPr="00DC6C59">
        <w:rPr>
          <w:spacing w:val="-4"/>
          <w:rtl/>
        </w:rPr>
        <w:t xml:space="preserve">، الفقرة </w:t>
      </w:r>
      <w:r w:rsidRPr="005170C9">
        <w:rPr>
          <w:spacing w:val="-4"/>
          <w:rtl/>
        </w:rPr>
        <w:t>50</w:t>
      </w:r>
      <w:r w:rsidRPr="00DC6C59">
        <w:rPr>
          <w:spacing w:val="-4"/>
          <w:rtl/>
        </w:rPr>
        <w:t>(ج)؛ و</w:t>
      </w:r>
      <w:hyperlink r:id="rId9" w:history="1">
        <w:r w:rsidRPr="005170C9">
          <w:rPr>
            <w:rStyle w:val="Hyperlink"/>
            <w:spacing w:val="-4"/>
          </w:rPr>
          <w:t>CRPD/C/URY/CO/1</w:t>
        </w:r>
      </w:hyperlink>
      <w:r w:rsidRPr="00DC6C59">
        <w:rPr>
          <w:spacing w:val="-4"/>
          <w:rtl/>
        </w:rPr>
        <w:t xml:space="preserve">، الفقرتان </w:t>
      </w:r>
      <w:r w:rsidRPr="005170C9">
        <w:rPr>
          <w:spacing w:val="-4"/>
          <w:rtl/>
        </w:rPr>
        <w:t>57</w:t>
      </w:r>
      <w:r w:rsidRPr="00DC6C59">
        <w:rPr>
          <w:spacing w:val="-4"/>
          <w:rtl/>
        </w:rPr>
        <w:t>-</w:t>
      </w:r>
      <w:r w:rsidRPr="005170C9">
        <w:rPr>
          <w:spacing w:val="-4"/>
          <w:rtl/>
        </w:rPr>
        <w:t>58</w:t>
      </w:r>
      <w:r w:rsidRPr="00DC6C59">
        <w:rPr>
          <w:spacing w:val="-4"/>
          <w:rtl/>
        </w:rPr>
        <w:t xml:space="preserve">. </w:t>
      </w:r>
    </w:p>
  </w:footnote>
  <w:footnote w:id="37">
    <w:p w14:paraId="3C546DA4" w14:textId="22A4995F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6</w:t>
      </w:r>
      <w:r w:rsidRPr="003520EF">
        <w:rPr>
          <w:rtl/>
        </w:rPr>
        <w:t>(</w:t>
      </w:r>
      <w:r w:rsidRPr="005170C9">
        <w:rPr>
          <w:rtl/>
        </w:rPr>
        <w:t>2018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29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38">
    <w:p w14:paraId="09B91727" w14:textId="512D08E2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r w:rsidRPr="001A09C7">
        <w:rPr>
          <w:rtl/>
        </w:rPr>
        <w:t>انظر</w:t>
      </w:r>
      <w:r>
        <w:rPr>
          <w:rtl/>
        </w:rPr>
        <w:t xml:space="preserve"> </w:t>
      </w:r>
      <w:r w:rsidRPr="001A09C7">
        <w:rPr>
          <w:rtl/>
        </w:rPr>
        <w:t>قضية</w:t>
      </w:r>
      <w:r>
        <w:rPr>
          <w:rtl/>
        </w:rPr>
        <w:t xml:space="preserve"> </w:t>
      </w:r>
      <w:r w:rsidRPr="001A09C7">
        <w:rPr>
          <w:i/>
          <w:iCs/>
        </w:rPr>
        <w:t>J.</w:t>
      </w:r>
      <w:r w:rsidRPr="00DC6C59">
        <w:rPr>
          <w:i/>
          <w:iCs/>
        </w:rPr>
        <w:t>M.</w:t>
      </w:r>
      <w:r>
        <w:rPr>
          <w:i/>
          <w:iCs/>
        </w:rPr>
        <w:t xml:space="preserve"> </w:t>
      </w:r>
      <w:r w:rsidRPr="00DC6C59">
        <w:rPr>
          <w:i/>
          <w:iCs/>
        </w:rPr>
        <w:t>v.</w:t>
      </w:r>
      <w:r>
        <w:rPr>
          <w:i/>
          <w:iCs/>
        </w:rPr>
        <w:t xml:space="preserve"> </w:t>
      </w:r>
      <w:r w:rsidRPr="001A09C7">
        <w:rPr>
          <w:i/>
          <w:iCs/>
        </w:rPr>
        <w:t>Spain</w:t>
      </w:r>
      <w:r>
        <w:t xml:space="preserve"> </w:t>
      </w:r>
      <w:r w:rsidRPr="001A09C7">
        <w:t>(</w:t>
      </w:r>
      <w:hyperlink r:id="rId10" w:history="1">
        <w:r w:rsidRPr="00DC6C59">
          <w:rPr>
            <w:rStyle w:val="Hyperlink"/>
          </w:rPr>
          <w:t>CRPD/C/23/D/37/2016</w:t>
        </w:r>
      </w:hyperlink>
      <w:r w:rsidRPr="00DC6C59">
        <w:rPr>
          <w:rtl/>
        </w:rPr>
        <w:t>)</w:t>
      </w:r>
      <w:r>
        <w:rPr>
          <w:rtl/>
        </w:rPr>
        <w:t xml:space="preserve"> </w:t>
      </w:r>
      <w:r w:rsidRPr="001A09C7">
        <w:rPr>
          <w:rtl/>
        </w:rPr>
        <w:t>وقضية</w:t>
      </w:r>
      <w:r>
        <w:rPr>
          <w:rtl/>
        </w:rPr>
        <w:t xml:space="preserve"> </w:t>
      </w:r>
      <w:r w:rsidRPr="001A09C7">
        <w:rPr>
          <w:i/>
          <w:iCs/>
        </w:rPr>
        <w:t>V.F.</w:t>
      </w:r>
      <w:r w:rsidRPr="00DC6C59">
        <w:rPr>
          <w:i/>
          <w:iCs/>
        </w:rPr>
        <w:t>C.</w:t>
      </w:r>
      <w:r>
        <w:rPr>
          <w:i/>
          <w:iCs/>
        </w:rPr>
        <w:t xml:space="preserve"> </w:t>
      </w:r>
      <w:r w:rsidRPr="00DC6C59">
        <w:rPr>
          <w:i/>
          <w:iCs/>
        </w:rPr>
        <w:t>v.</w:t>
      </w:r>
      <w:r>
        <w:rPr>
          <w:i/>
          <w:iCs/>
        </w:rPr>
        <w:t xml:space="preserve"> </w:t>
      </w:r>
      <w:r w:rsidRPr="001A09C7">
        <w:rPr>
          <w:i/>
          <w:iCs/>
        </w:rPr>
        <w:t>Spain</w:t>
      </w:r>
      <w:r>
        <w:t xml:space="preserve"> </w:t>
      </w:r>
      <w:r w:rsidRPr="001A09C7">
        <w:t>(</w:t>
      </w:r>
      <w:hyperlink r:id="rId11" w:history="1">
        <w:r w:rsidRPr="00DC6C59">
          <w:rPr>
            <w:rStyle w:val="Hyperlink"/>
          </w:rPr>
          <w:t>CRPD/C/21/D/34/2015</w:t>
        </w:r>
      </w:hyperlink>
      <w:r w:rsidRPr="00DC6C59">
        <w:rPr>
          <w:rtl/>
        </w:rPr>
        <w:t>)،</w:t>
      </w:r>
      <w:r>
        <w:rPr>
          <w:rtl/>
        </w:rPr>
        <w:t xml:space="preserve"> </w:t>
      </w:r>
      <w:r w:rsidRPr="001A09C7">
        <w:rPr>
          <w:rtl/>
        </w:rPr>
        <w:t>وفيهما</w:t>
      </w:r>
      <w:r>
        <w:rPr>
          <w:rtl/>
        </w:rPr>
        <w:t xml:space="preserve"> </w:t>
      </w:r>
      <w:r w:rsidRPr="001A09C7">
        <w:rPr>
          <w:rtl/>
        </w:rPr>
        <w:t>خلصت</w:t>
      </w:r>
      <w:r>
        <w:rPr>
          <w:rtl/>
        </w:rPr>
        <w:t xml:space="preserve"> </w:t>
      </w:r>
      <w:r w:rsidRPr="001A09C7">
        <w:rPr>
          <w:rtl/>
        </w:rPr>
        <w:t>اللجنة</w:t>
      </w:r>
      <w:r>
        <w:rPr>
          <w:rtl/>
        </w:rPr>
        <w:t xml:space="preserve"> </w:t>
      </w:r>
      <w:r w:rsidRPr="001A09C7">
        <w:rPr>
          <w:rtl/>
        </w:rPr>
        <w:t>إلى</w:t>
      </w:r>
      <w:r>
        <w:rPr>
          <w:rtl/>
        </w:rPr>
        <w:t xml:space="preserve"> </w:t>
      </w:r>
      <w:r w:rsidRPr="001A09C7">
        <w:rPr>
          <w:rtl/>
        </w:rPr>
        <w:t>أن</w:t>
      </w:r>
      <w:r>
        <w:rPr>
          <w:rtl/>
        </w:rPr>
        <w:t xml:space="preserve"> </w:t>
      </w:r>
      <w:r w:rsidRPr="001A09C7">
        <w:rPr>
          <w:rtl/>
        </w:rPr>
        <w:t>الدولة</w:t>
      </w:r>
      <w:r>
        <w:rPr>
          <w:rtl/>
        </w:rPr>
        <w:t xml:space="preserve"> </w:t>
      </w:r>
      <w:r w:rsidRPr="001A09C7">
        <w:rPr>
          <w:rtl/>
        </w:rPr>
        <w:t>الطرف</w:t>
      </w:r>
      <w:r>
        <w:rPr>
          <w:rtl/>
        </w:rPr>
        <w:t xml:space="preserve"> </w:t>
      </w:r>
      <w:r w:rsidRPr="001A09C7">
        <w:rPr>
          <w:rtl/>
        </w:rPr>
        <w:t>لم</w:t>
      </w:r>
      <w:r>
        <w:rPr>
          <w:rtl/>
        </w:rPr>
        <w:t xml:space="preserve"> </w:t>
      </w:r>
      <w:r w:rsidRPr="001A09C7">
        <w:rPr>
          <w:rtl/>
        </w:rPr>
        <w:t>تف</w:t>
      </w:r>
      <w:r>
        <w:rPr>
          <w:rtl/>
        </w:rPr>
        <w:t xml:space="preserve"> </w:t>
      </w:r>
      <w:r w:rsidRPr="001A09C7">
        <w:rPr>
          <w:rtl/>
        </w:rPr>
        <w:t>بالتزاماتها</w:t>
      </w:r>
      <w:r>
        <w:rPr>
          <w:rtl/>
        </w:rPr>
        <w:t xml:space="preserve"> </w:t>
      </w:r>
      <w:r w:rsidRPr="001A09C7">
        <w:rPr>
          <w:rtl/>
        </w:rPr>
        <w:t>بموجب</w:t>
      </w:r>
      <w:r>
        <w:rPr>
          <w:rtl/>
        </w:rPr>
        <w:t xml:space="preserve"> </w:t>
      </w:r>
      <w:r w:rsidRPr="001A09C7">
        <w:rPr>
          <w:rtl/>
        </w:rPr>
        <w:t>الاتفاقية</w:t>
      </w:r>
      <w:r>
        <w:rPr>
          <w:rtl/>
        </w:rPr>
        <w:t xml:space="preserve"> </w:t>
      </w:r>
      <w:r w:rsidRPr="001A09C7">
        <w:rPr>
          <w:rtl/>
        </w:rPr>
        <w:t>بعدم</w:t>
      </w:r>
      <w:r>
        <w:rPr>
          <w:rtl/>
        </w:rPr>
        <w:t xml:space="preserve"> </w:t>
      </w:r>
      <w:r w:rsidRPr="001A09C7">
        <w:rPr>
          <w:rtl/>
        </w:rPr>
        <w:t>ضمان</w:t>
      </w:r>
      <w:r>
        <w:rPr>
          <w:rtl/>
        </w:rPr>
        <w:t xml:space="preserve"> </w:t>
      </w:r>
      <w:r w:rsidRPr="001A09C7">
        <w:rPr>
          <w:rtl/>
        </w:rPr>
        <w:t>استمرار</w:t>
      </w:r>
      <w:r>
        <w:rPr>
          <w:rtl/>
        </w:rPr>
        <w:t xml:space="preserve"> </w:t>
      </w:r>
      <w:r w:rsidRPr="001A09C7">
        <w:rPr>
          <w:rtl/>
        </w:rPr>
        <w:t>أصحاب</w:t>
      </w:r>
      <w:r>
        <w:rPr>
          <w:rtl/>
        </w:rPr>
        <w:t xml:space="preserve"> </w:t>
      </w:r>
      <w:r w:rsidRPr="001A09C7">
        <w:rPr>
          <w:rtl/>
        </w:rPr>
        <w:t>البلاغ</w:t>
      </w:r>
      <w:r>
        <w:rPr>
          <w:rtl/>
        </w:rPr>
        <w:t xml:space="preserve"> </w:t>
      </w:r>
      <w:r w:rsidRPr="001A09C7">
        <w:rPr>
          <w:rtl/>
        </w:rPr>
        <w:t>في</w:t>
      </w:r>
      <w:r>
        <w:rPr>
          <w:rtl/>
        </w:rPr>
        <w:t xml:space="preserve"> </w:t>
      </w:r>
      <w:r w:rsidRPr="001A09C7">
        <w:rPr>
          <w:rtl/>
        </w:rPr>
        <w:t>العمل</w:t>
      </w:r>
      <w:r>
        <w:rPr>
          <w:rtl/>
        </w:rPr>
        <w:t xml:space="preserve"> </w:t>
      </w:r>
      <w:r w:rsidRPr="001A09C7">
        <w:rPr>
          <w:rtl/>
        </w:rPr>
        <w:t>بتكليفهم</w:t>
      </w:r>
      <w:r>
        <w:rPr>
          <w:rtl/>
        </w:rPr>
        <w:t xml:space="preserve"> </w:t>
      </w:r>
      <w:r w:rsidRPr="001A09C7">
        <w:rPr>
          <w:rtl/>
        </w:rPr>
        <w:t>بمهام</w:t>
      </w:r>
      <w:r>
        <w:rPr>
          <w:rtl/>
        </w:rPr>
        <w:t xml:space="preserve"> </w:t>
      </w:r>
      <w:r w:rsidRPr="001A09C7">
        <w:rPr>
          <w:rtl/>
        </w:rPr>
        <w:t>معدلة.</w:t>
      </w:r>
      <w:r>
        <w:rPr>
          <w:rtl/>
        </w:rPr>
        <w:t xml:space="preserve">  </w:t>
      </w:r>
    </w:p>
  </w:footnote>
  <w:footnote w:id="39">
    <w:p w14:paraId="531C4BE0" w14:textId="6D63FF38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29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40">
    <w:p w14:paraId="73D25060" w14:textId="64BE976D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12" w:history="1">
        <w:r w:rsidRPr="005170C9">
          <w:rPr>
            <w:rStyle w:val="Hyperlink"/>
          </w:rPr>
          <w:t>CRPD/C/BOL/CO/1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الفقرتان</w:t>
      </w:r>
      <w:r>
        <w:rPr>
          <w:rtl/>
        </w:rPr>
        <w:t xml:space="preserve"> </w:t>
      </w:r>
      <w:r w:rsidRPr="005170C9">
        <w:rPr>
          <w:rtl/>
        </w:rPr>
        <w:t>41</w:t>
      </w:r>
      <w:r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42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41">
    <w:p w14:paraId="20FFCC6F" w14:textId="00BC524A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3</w:t>
      </w:r>
      <w:r w:rsidRPr="003520EF">
        <w:rPr>
          <w:rtl/>
        </w:rPr>
        <w:t>(</w:t>
      </w:r>
      <w:r w:rsidRPr="005170C9">
        <w:rPr>
          <w:rtl/>
        </w:rPr>
        <w:t>1990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42">
    <w:p w14:paraId="284639E7" w14:textId="001BAAA9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لاحظت</w:t>
      </w:r>
      <w:r>
        <w:rPr>
          <w:rtl/>
        </w:rPr>
        <w:t xml:space="preserve"> </w:t>
      </w:r>
      <w:r w:rsidRPr="003520EF">
        <w:rPr>
          <w:rtl/>
        </w:rPr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في</w:t>
      </w:r>
      <w:r>
        <w:rPr>
          <w:rtl/>
        </w:rPr>
        <w:t xml:space="preserve"> </w:t>
      </w:r>
      <w:r w:rsidRPr="003520EF">
        <w:rPr>
          <w:rtl/>
        </w:rPr>
        <w:t>تعليقيها</w:t>
      </w:r>
      <w:r>
        <w:rPr>
          <w:rtl/>
        </w:rPr>
        <w:t xml:space="preserve"> </w:t>
      </w:r>
      <w:r w:rsidRPr="003520EF">
        <w:rPr>
          <w:rtl/>
        </w:rPr>
        <w:t>العامين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12</w:t>
      </w:r>
      <w:r w:rsidRPr="003520EF">
        <w:rPr>
          <w:rtl/>
        </w:rPr>
        <w:t>(</w:t>
      </w:r>
      <w:r w:rsidRPr="005170C9">
        <w:rPr>
          <w:rtl/>
        </w:rPr>
        <w:t>1999</w:t>
      </w:r>
      <w:r w:rsidRPr="00DC6C59">
        <w:rPr>
          <w:rtl/>
        </w:rPr>
        <w:t>)</w:t>
      </w:r>
      <w:r>
        <w:rPr>
          <w:rtl/>
        </w:rPr>
        <w:t xml:space="preserve"> </w:t>
      </w:r>
      <w:r w:rsidRPr="003520EF">
        <w:rPr>
          <w:rtl/>
        </w:rPr>
        <w:t>(الفقرة</w:t>
      </w:r>
      <w:r>
        <w:rPr>
          <w:rtl/>
        </w:rPr>
        <w:t xml:space="preserve"> </w:t>
      </w:r>
      <w:r w:rsidRPr="005170C9">
        <w:rPr>
          <w:rtl/>
        </w:rPr>
        <w:t>15</w:t>
      </w:r>
      <w:r w:rsidRPr="00DC6C59">
        <w:rPr>
          <w:rtl/>
        </w:rPr>
        <w:t>)</w:t>
      </w:r>
      <w:r>
        <w:rPr>
          <w:rtl/>
        </w:rPr>
        <w:t xml:space="preserve"> </w:t>
      </w:r>
      <w:r w:rsidRPr="003520EF">
        <w:rPr>
          <w:rtl/>
        </w:rPr>
        <w:t>ورقم</w:t>
      </w:r>
      <w:r w:rsidR="00B675D0">
        <w:rPr>
          <w:rFonts w:hint="eastAsia"/>
          <w:rtl/>
        </w:rPr>
        <w:t> </w:t>
      </w:r>
      <w:r w:rsidRPr="005170C9">
        <w:rPr>
          <w:rtl/>
        </w:rPr>
        <w:t>13</w:t>
      </w:r>
      <w:r w:rsidRPr="003520EF">
        <w:rPr>
          <w:rtl/>
        </w:rPr>
        <w:t>(</w:t>
      </w:r>
      <w:r w:rsidRPr="005170C9">
        <w:rPr>
          <w:rtl/>
        </w:rPr>
        <w:t>1999</w:t>
      </w:r>
      <w:r w:rsidRPr="00DC6C59">
        <w:rPr>
          <w:rtl/>
        </w:rPr>
        <w:t>)</w:t>
      </w:r>
      <w:r>
        <w:rPr>
          <w:rtl/>
        </w:rPr>
        <w:t xml:space="preserve"> </w:t>
      </w:r>
      <w:r w:rsidRPr="003520EF">
        <w:rPr>
          <w:rtl/>
        </w:rPr>
        <w:t>(الفقرة</w:t>
      </w:r>
      <w:r>
        <w:rPr>
          <w:rtl/>
        </w:rPr>
        <w:t xml:space="preserve"> </w:t>
      </w:r>
      <w:r w:rsidRPr="005170C9">
        <w:rPr>
          <w:rtl/>
        </w:rPr>
        <w:t>46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أن</w:t>
      </w:r>
      <w:r>
        <w:rPr>
          <w:rtl/>
        </w:rPr>
        <w:t xml:space="preserve"> </w:t>
      </w:r>
      <w:r w:rsidRPr="003520EF">
        <w:rPr>
          <w:rtl/>
        </w:rPr>
        <w:t>الالتزام</w:t>
      </w:r>
      <w:r>
        <w:rPr>
          <w:rtl/>
        </w:rPr>
        <w:t xml:space="preserve"> </w:t>
      </w:r>
      <w:r w:rsidRPr="003520EF">
        <w:rPr>
          <w:rtl/>
        </w:rPr>
        <w:t>بالأداء</w:t>
      </w:r>
      <w:r>
        <w:rPr>
          <w:rtl/>
        </w:rPr>
        <w:t xml:space="preserve"> </w:t>
      </w:r>
      <w:r w:rsidRPr="003520EF">
        <w:rPr>
          <w:rtl/>
        </w:rPr>
        <w:t>يتضمن</w:t>
      </w:r>
      <w:r>
        <w:rPr>
          <w:rtl/>
        </w:rPr>
        <w:t xml:space="preserve"> </w:t>
      </w:r>
      <w:r w:rsidRPr="003520EF">
        <w:rPr>
          <w:rtl/>
        </w:rPr>
        <w:t>التزاما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بالتسهيل</w:t>
      </w:r>
      <w:r>
        <w:rPr>
          <w:rtl/>
        </w:rPr>
        <w:t xml:space="preserve"> </w:t>
      </w:r>
      <w:r w:rsidRPr="003520EF">
        <w:rPr>
          <w:rtl/>
        </w:rPr>
        <w:t>والتزاما</w:t>
      </w:r>
      <w:r w:rsidR="00B675D0"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بالتوفير.</w:t>
      </w:r>
      <w:r>
        <w:rPr>
          <w:rtl/>
        </w:rPr>
        <w:t xml:space="preserve"> </w:t>
      </w:r>
      <w:r w:rsidRPr="003520EF">
        <w:rPr>
          <w:rtl/>
        </w:rPr>
        <w:t>ثم</w:t>
      </w:r>
      <w:r>
        <w:rPr>
          <w:rtl/>
        </w:rPr>
        <w:t xml:space="preserve"> </w:t>
      </w:r>
      <w:r w:rsidRPr="003520EF">
        <w:rPr>
          <w:rtl/>
        </w:rPr>
        <w:t>أدرجت</w:t>
      </w:r>
      <w:r>
        <w:rPr>
          <w:rtl/>
        </w:rPr>
        <w:t xml:space="preserve"> </w:t>
      </w:r>
      <w:r w:rsidRPr="003520EF">
        <w:rPr>
          <w:rtl/>
        </w:rPr>
        <w:t>أيضا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في</w:t>
      </w:r>
      <w:r>
        <w:rPr>
          <w:rtl/>
        </w:rPr>
        <w:t xml:space="preserve"> </w:t>
      </w:r>
      <w:r w:rsidRPr="003520EF">
        <w:rPr>
          <w:rtl/>
        </w:rPr>
        <w:t>تعليقها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 w:rsidR="00B675D0">
        <w:rPr>
          <w:rFonts w:hint="eastAsia"/>
          <w:rtl/>
        </w:rPr>
        <w:t> </w:t>
      </w:r>
      <w:r w:rsidRPr="005170C9">
        <w:rPr>
          <w:rtl/>
        </w:rPr>
        <w:t>14</w:t>
      </w:r>
      <w:r w:rsidRPr="003520EF">
        <w:rPr>
          <w:rtl/>
        </w:rPr>
        <w:t>(</w:t>
      </w:r>
      <w:r w:rsidRPr="005170C9">
        <w:rPr>
          <w:rtl/>
        </w:rPr>
        <w:t>2000</w:t>
      </w:r>
      <w:r w:rsidRPr="00DC6C59">
        <w:rPr>
          <w:rtl/>
        </w:rPr>
        <w:t>)</w:t>
      </w:r>
      <w:r>
        <w:rPr>
          <w:rtl/>
        </w:rPr>
        <w:t xml:space="preserve"> </w:t>
      </w:r>
      <w:r w:rsidRPr="003520EF">
        <w:rPr>
          <w:rtl/>
        </w:rPr>
        <w:t>(الفقرة</w:t>
      </w:r>
      <w:r>
        <w:rPr>
          <w:rtl/>
        </w:rPr>
        <w:t xml:space="preserve"> </w:t>
      </w:r>
      <w:r w:rsidRPr="005170C9">
        <w:rPr>
          <w:rtl/>
        </w:rPr>
        <w:t>33</w:t>
      </w:r>
      <w:r w:rsidRPr="00DC6C59">
        <w:rPr>
          <w:rtl/>
        </w:rPr>
        <w:t>)</w:t>
      </w:r>
      <w:r>
        <w:rPr>
          <w:rtl/>
        </w:rPr>
        <w:t xml:space="preserve"> </w:t>
      </w:r>
      <w:r w:rsidRPr="003520EF">
        <w:rPr>
          <w:rtl/>
        </w:rPr>
        <w:t>التزاما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ثالثا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-</w:t>
      </w:r>
      <w:r>
        <w:rPr>
          <w:rtl/>
        </w:rPr>
        <w:t xml:space="preserve"> </w:t>
      </w:r>
      <w:r w:rsidRPr="003520EF">
        <w:rPr>
          <w:rtl/>
        </w:rPr>
        <w:t>الالتزام</w:t>
      </w:r>
      <w:r>
        <w:rPr>
          <w:rtl/>
        </w:rPr>
        <w:t xml:space="preserve"> </w:t>
      </w:r>
      <w:r w:rsidRPr="003520EF">
        <w:rPr>
          <w:rtl/>
        </w:rPr>
        <w:t>بالتعزيز</w:t>
      </w:r>
      <w:r>
        <w:rPr>
          <w:rtl/>
        </w:rPr>
        <w:t xml:space="preserve"> </w:t>
      </w:r>
      <w:r w:rsidRPr="003520EF">
        <w:rPr>
          <w:rtl/>
        </w:rPr>
        <w:t>-</w:t>
      </w:r>
      <w:r>
        <w:rPr>
          <w:rtl/>
        </w:rPr>
        <w:t xml:space="preserve"> </w:t>
      </w:r>
      <w:r w:rsidRPr="003520EF">
        <w:rPr>
          <w:rtl/>
        </w:rPr>
        <w:t>في</w:t>
      </w:r>
      <w:r>
        <w:rPr>
          <w:rtl/>
        </w:rPr>
        <w:t xml:space="preserve"> </w:t>
      </w:r>
      <w:r w:rsidRPr="003520EF">
        <w:rPr>
          <w:rtl/>
        </w:rPr>
        <w:t>الالتزام</w:t>
      </w:r>
      <w:r>
        <w:rPr>
          <w:rtl/>
        </w:rPr>
        <w:t xml:space="preserve"> </w:t>
      </w:r>
      <w:r w:rsidRPr="003520EF">
        <w:rPr>
          <w:rtl/>
        </w:rPr>
        <w:t>بالأداء،</w:t>
      </w:r>
      <w:r>
        <w:rPr>
          <w:rtl/>
        </w:rPr>
        <w:t xml:space="preserve"> </w:t>
      </w:r>
      <w:r w:rsidRPr="003520EF">
        <w:rPr>
          <w:rtl/>
        </w:rPr>
        <w:t>استنادا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إلى</w:t>
      </w:r>
      <w:r>
        <w:rPr>
          <w:rtl/>
        </w:rPr>
        <w:t xml:space="preserve"> </w:t>
      </w:r>
      <w:r w:rsidRPr="003520EF">
        <w:rPr>
          <w:rtl/>
        </w:rPr>
        <w:t>أهمية</w:t>
      </w:r>
      <w:r>
        <w:rPr>
          <w:rtl/>
        </w:rPr>
        <w:t xml:space="preserve"> </w:t>
      </w:r>
      <w:r w:rsidRPr="003520EF">
        <w:rPr>
          <w:rtl/>
        </w:rPr>
        <w:t>تعزيز</w:t>
      </w:r>
      <w:r>
        <w:rPr>
          <w:rtl/>
        </w:rPr>
        <w:t xml:space="preserve"> </w:t>
      </w:r>
      <w:r w:rsidRPr="003520EF">
        <w:rPr>
          <w:rtl/>
        </w:rPr>
        <w:t>الصحة</w:t>
      </w:r>
      <w:r>
        <w:rPr>
          <w:rtl/>
        </w:rPr>
        <w:t xml:space="preserve"> </w:t>
      </w:r>
      <w:r w:rsidRPr="003520EF">
        <w:rPr>
          <w:rtl/>
        </w:rPr>
        <w:t>في</w:t>
      </w:r>
      <w:r>
        <w:rPr>
          <w:rtl/>
        </w:rPr>
        <w:t xml:space="preserve"> </w:t>
      </w:r>
      <w:r w:rsidRPr="003520EF">
        <w:rPr>
          <w:rtl/>
        </w:rPr>
        <w:t>عمل</w:t>
      </w:r>
      <w:r>
        <w:rPr>
          <w:rtl/>
        </w:rPr>
        <w:t xml:space="preserve"> </w:t>
      </w:r>
      <w:r w:rsidRPr="003520EF">
        <w:rPr>
          <w:rtl/>
        </w:rPr>
        <w:t>منظمة</w:t>
      </w:r>
      <w:r>
        <w:rPr>
          <w:rtl/>
        </w:rPr>
        <w:t xml:space="preserve"> </w:t>
      </w:r>
      <w:r w:rsidRPr="003520EF">
        <w:rPr>
          <w:rtl/>
        </w:rPr>
        <w:t>الصحة</w:t>
      </w:r>
      <w:r>
        <w:rPr>
          <w:rtl/>
        </w:rPr>
        <w:t xml:space="preserve"> </w:t>
      </w:r>
      <w:r w:rsidRPr="003520EF">
        <w:rPr>
          <w:rtl/>
        </w:rPr>
        <w:t>العالمية</w:t>
      </w:r>
      <w:r>
        <w:rPr>
          <w:rtl/>
        </w:rPr>
        <w:t xml:space="preserve"> </w:t>
      </w:r>
      <w:r w:rsidRPr="003520EF">
        <w:rPr>
          <w:rtl/>
        </w:rPr>
        <w:t>وغيرها.</w:t>
      </w:r>
      <w:r>
        <w:rPr>
          <w:rtl/>
        </w:rPr>
        <w:t xml:space="preserve"> </w:t>
      </w:r>
      <w:r w:rsidRPr="003520EF">
        <w:rPr>
          <w:rtl/>
        </w:rPr>
        <w:t>وبالنظر</w:t>
      </w:r>
      <w:r>
        <w:rPr>
          <w:rtl/>
        </w:rPr>
        <w:t xml:space="preserve"> </w:t>
      </w:r>
      <w:r w:rsidRPr="003520EF">
        <w:rPr>
          <w:rtl/>
        </w:rPr>
        <w:t>إلى</w:t>
      </w:r>
      <w:r>
        <w:rPr>
          <w:rtl/>
        </w:rPr>
        <w:t xml:space="preserve"> </w:t>
      </w:r>
      <w:r w:rsidRPr="003520EF">
        <w:rPr>
          <w:rtl/>
        </w:rPr>
        <w:t>أن</w:t>
      </w:r>
      <w:r>
        <w:rPr>
          <w:rtl/>
        </w:rPr>
        <w:t xml:space="preserve"> </w:t>
      </w:r>
      <w:r w:rsidRPr="003520EF">
        <w:rPr>
          <w:rtl/>
        </w:rPr>
        <w:t>الغرض</w:t>
      </w:r>
      <w:r>
        <w:rPr>
          <w:rtl/>
        </w:rPr>
        <w:t xml:space="preserve"> </w:t>
      </w:r>
      <w:r w:rsidRPr="003520EF">
        <w:rPr>
          <w:rtl/>
        </w:rPr>
        <w:t>من</w:t>
      </w:r>
      <w:r>
        <w:rPr>
          <w:rtl/>
        </w:rPr>
        <w:t xml:space="preserve"> </w:t>
      </w:r>
      <w:r w:rsidRPr="003520EF">
        <w:rPr>
          <w:rtl/>
        </w:rPr>
        <w:t>الاتفاقية،</w:t>
      </w:r>
      <w:r>
        <w:rPr>
          <w:rtl/>
        </w:rPr>
        <w:t xml:space="preserve"> </w:t>
      </w:r>
      <w:r w:rsidRPr="003520EF">
        <w:rPr>
          <w:rtl/>
        </w:rPr>
        <w:t>بموجب</w:t>
      </w:r>
      <w:r>
        <w:rPr>
          <w:rtl/>
        </w:rPr>
        <w:t xml:space="preserve"> </w:t>
      </w:r>
      <w:r w:rsidRPr="003520EF">
        <w:rPr>
          <w:rtl/>
        </w:rPr>
        <w:t>المادة</w:t>
      </w:r>
      <w:r>
        <w:rPr>
          <w:rtl/>
        </w:rPr>
        <w:t xml:space="preserve"> </w:t>
      </w:r>
      <w:r w:rsidRPr="005170C9">
        <w:rPr>
          <w:rtl/>
        </w:rPr>
        <w:t>1</w:t>
      </w:r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هو</w:t>
      </w:r>
      <w:r>
        <w:rPr>
          <w:rtl/>
        </w:rPr>
        <w:t xml:space="preserve"> </w:t>
      </w:r>
      <w:r w:rsidRPr="003520EF">
        <w:rPr>
          <w:rtl/>
        </w:rPr>
        <w:t>تعزيز</w:t>
      </w:r>
      <w:r>
        <w:rPr>
          <w:rtl/>
        </w:rPr>
        <w:t xml:space="preserve"> </w:t>
      </w:r>
      <w:r w:rsidRPr="003520EF">
        <w:rPr>
          <w:rtl/>
        </w:rPr>
        <w:t>تمتع</w:t>
      </w:r>
      <w:r>
        <w:rPr>
          <w:rtl/>
        </w:rPr>
        <w:t xml:space="preserve"> </w:t>
      </w:r>
      <w:r w:rsidRPr="003520EF">
        <w:rPr>
          <w:rtl/>
        </w:rPr>
        <w:t>جميع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</w:t>
      </w:r>
      <w:r>
        <w:rPr>
          <w:rtl/>
        </w:rPr>
        <w:t xml:space="preserve"> </w:t>
      </w:r>
      <w:r w:rsidRPr="003520EF">
        <w:rPr>
          <w:rtl/>
        </w:rPr>
        <w:t>تمتعا</w:t>
      </w:r>
      <w:r w:rsidR="00B675D0"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كاملا</w:t>
      </w:r>
      <w:r w:rsidR="00B675D0"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وعلى</w:t>
      </w:r>
      <w:r>
        <w:rPr>
          <w:rtl/>
        </w:rPr>
        <w:t xml:space="preserve"> </w:t>
      </w:r>
      <w:r w:rsidRPr="003520EF">
        <w:rPr>
          <w:rtl/>
        </w:rPr>
        <w:t>قدم</w:t>
      </w:r>
      <w:r>
        <w:rPr>
          <w:rtl/>
        </w:rPr>
        <w:t xml:space="preserve"> </w:t>
      </w:r>
      <w:r w:rsidRPr="003520EF">
        <w:rPr>
          <w:rtl/>
        </w:rPr>
        <w:t>المساواة</w:t>
      </w:r>
      <w:r>
        <w:rPr>
          <w:rtl/>
        </w:rPr>
        <w:t xml:space="preserve"> </w:t>
      </w:r>
      <w:r w:rsidRPr="003520EF">
        <w:rPr>
          <w:rtl/>
        </w:rPr>
        <w:t>بجميع</w:t>
      </w:r>
      <w:r>
        <w:rPr>
          <w:rtl/>
        </w:rPr>
        <w:t xml:space="preserve"> </w:t>
      </w:r>
      <w:r w:rsidRPr="003520EF">
        <w:rPr>
          <w:rtl/>
        </w:rPr>
        <w:t>حقوق</w:t>
      </w:r>
      <w:r>
        <w:rPr>
          <w:rtl/>
        </w:rPr>
        <w:t xml:space="preserve"> </w:t>
      </w:r>
      <w:r w:rsidRPr="003520EF">
        <w:rPr>
          <w:rtl/>
        </w:rPr>
        <w:t>الإنسان</w:t>
      </w:r>
      <w:r>
        <w:rPr>
          <w:rtl/>
        </w:rPr>
        <w:t xml:space="preserve"> </w:t>
      </w:r>
      <w:r w:rsidRPr="003520EF">
        <w:rPr>
          <w:rtl/>
        </w:rPr>
        <w:t>والحريات</w:t>
      </w:r>
      <w:r>
        <w:rPr>
          <w:rtl/>
        </w:rPr>
        <w:t xml:space="preserve"> </w:t>
      </w:r>
      <w:r w:rsidRPr="003520EF">
        <w:rPr>
          <w:rtl/>
        </w:rPr>
        <w:t>الأساسية</w:t>
      </w:r>
      <w:r>
        <w:rPr>
          <w:rtl/>
        </w:rPr>
        <w:t xml:space="preserve"> </w:t>
      </w:r>
      <w:r w:rsidRPr="003520EF">
        <w:rPr>
          <w:rtl/>
        </w:rPr>
        <w:t>وتعزيز</w:t>
      </w:r>
      <w:r>
        <w:rPr>
          <w:rtl/>
        </w:rPr>
        <w:t xml:space="preserve"> </w:t>
      </w:r>
      <w:r w:rsidRPr="003520EF">
        <w:rPr>
          <w:rtl/>
        </w:rPr>
        <w:t>احترام</w:t>
      </w:r>
      <w:r>
        <w:rPr>
          <w:rtl/>
        </w:rPr>
        <w:t xml:space="preserve"> </w:t>
      </w:r>
      <w:r w:rsidRPr="003520EF">
        <w:rPr>
          <w:rtl/>
        </w:rPr>
        <w:t>كرامتهم</w:t>
      </w:r>
      <w:r>
        <w:rPr>
          <w:rtl/>
        </w:rPr>
        <w:t xml:space="preserve"> </w:t>
      </w:r>
      <w:r w:rsidRPr="003520EF">
        <w:rPr>
          <w:rtl/>
        </w:rPr>
        <w:t>المتأصلة،</w:t>
      </w:r>
      <w:r>
        <w:rPr>
          <w:rtl/>
        </w:rPr>
        <w:t xml:space="preserve"> </w:t>
      </w:r>
      <w:r w:rsidRPr="003520EF">
        <w:rPr>
          <w:rtl/>
        </w:rPr>
        <w:t>فقد</w:t>
      </w:r>
      <w:r>
        <w:rPr>
          <w:rtl/>
        </w:rPr>
        <w:t xml:space="preserve"> </w:t>
      </w:r>
      <w:r w:rsidRPr="003520EF">
        <w:rPr>
          <w:rtl/>
        </w:rPr>
        <w:t>أُدرج</w:t>
      </w:r>
      <w:r>
        <w:rPr>
          <w:rtl/>
        </w:rPr>
        <w:t xml:space="preserve"> </w:t>
      </w:r>
      <w:r w:rsidRPr="003520EF">
        <w:rPr>
          <w:rtl/>
        </w:rPr>
        <w:t>الالتزام</w:t>
      </w:r>
      <w:r>
        <w:rPr>
          <w:rtl/>
        </w:rPr>
        <w:t xml:space="preserve"> </w:t>
      </w:r>
      <w:r w:rsidRPr="003520EF">
        <w:rPr>
          <w:rtl/>
        </w:rPr>
        <w:t>بالتعزيز</w:t>
      </w:r>
      <w:r>
        <w:rPr>
          <w:rtl/>
        </w:rPr>
        <w:t xml:space="preserve"> </w:t>
      </w:r>
      <w:r w:rsidRPr="003520EF">
        <w:rPr>
          <w:rtl/>
        </w:rPr>
        <w:t>في</w:t>
      </w:r>
      <w:r>
        <w:rPr>
          <w:rtl/>
        </w:rPr>
        <w:t xml:space="preserve"> </w:t>
      </w:r>
      <w:r w:rsidRPr="003520EF">
        <w:rPr>
          <w:rtl/>
        </w:rPr>
        <w:t>هذا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تحت</w:t>
      </w:r>
      <w:r>
        <w:rPr>
          <w:rtl/>
        </w:rPr>
        <w:t xml:space="preserve"> </w:t>
      </w:r>
      <w:r w:rsidRPr="003520EF">
        <w:rPr>
          <w:rtl/>
        </w:rPr>
        <w:t>الالتزام</w:t>
      </w:r>
      <w:r>
        <w:rPr>
          <w:rtl/>
        </w:rPr>
        <w:t xml:space="preserve"> </w:t>
      </w:r>
      <w:r w:rsidRPr="003520EF">
        <w:rPr>
          <w:rtl/>
        </w:rPr>
        <w:t>بالأداء</w:t>
      </w:r>
      <w:r>
        <w:rPr>
          <w:rtl/>
        </w:rPr>
        <w:t xml:space="preserve">. </w:t>
      </w:r>
    </w:p>
  </w:footnote>
  <w:footnote w:id="43">
    <w:p w14:paraId="0345477A" w14:textId="449992A6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التعليقان</w:t>
      </w:r>
      <w:r>
        <w:rPr>
          <w:rtl/>
        </w:rPr>
        <w:t xml:space="preserve"> </w:t>
      </w:r>
      <w:r w:rsidRPr="003520EF">
        <w:rPr>
          <w:rtl/>
        </w:rPr>
        <w:t>العامان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3</w:t>
      </w:r>
      <w:r w:rsidRPr="003520EF">
        <w:rPr>
          <w:rtl/>
        </w:rPr>
        <w:t>(</w:t>
      </w:r>
      <w:r w:rsidRPr="005170C9">
        <w:rPr>
          <w:rtl/>
        </w:rPr>
        <w:t>1990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9</w:t>
      </w:r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ورقم</w:t>
      </w:r>
      <w:r>
        <w:rPr>
          <w:rtl/>
        </w:rPr>
        <w:t xml:space="preserve"> </w:t>
      </w:r>
      <w:r w:rsidRPr="005170C9">
        <w:rPr>
          <w:rtl/>
        </w:rPr>
        <w:t>14</w:t>
      </w:r>
      <w:r w:rsidRPr="003520EF">
        <w:rPr>
          <w:rtl/>
        </w:rPr>
        <w:t>(</w:t>
      </w:r>
      <w:r w:rsidRPr="005170C9">
        <w:rPr>
          <w:rtl/>
        </w:rPr>
        <w:t>2000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Fonts w:hint="cs"/>
          <w:rtl/>
        </w:rPr>
        <w:t xml:space="preserve"> </w:t>
      </w:r>
      <w:r w:rsidRPr="005170C9">
        <w:rPr>
          <w:rtl/>
        </w:rPr>
        <w:t>32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44">
    <w:p w14:paraId="41091E0A" w14:textId="70F2555E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47</w:t>
      </w:r>
      <w:r w:rsidRPr="003520EF">
        <w:rPr>
          <w:rtl/>
        </w:rPr>
        <w:t>(أ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45">
    <w:p w14:paraId="632D1FF7" w14:textId="7359D1FD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؛</w:t>
      </w:r>
      <w:r>
        <w:rPr>
          <w:rtl/>
        </w:rPr>
        <w:t xml:space="preserve"> </w:t>
      </w:r>
      <w:r w:rsidRPr="003520EF">
        <w:rPr>
          <w:rtl/>
        </w:rPr>
        <w:t>واللجنة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الإنسان،</w:t>
      </w:r>
      <w:r>
        <w:rPr>
          <w:rtl/>
        </w:rPr>
        <w:t xml:space="preserve"> </w:t>
      </w:r>
      <w:r w:rsidRPr="003520EF">
        <w:rPr>
          <w:rtl/>
        </w:rPr>
        <w:t>التعليقان</w:t>
      </w:r>
      <w:r>
        <w:rPr>
          <w:rtl/>
        </w:rPr>
        <w:t xml:space="preserve"> </w:t>
      </w:r>
      <w:r w:rsidRPr="003520EF">
        <w:rPr>
          <w:rtl/>
        </w:rPr>
        <w:t>العامان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</w:t>
      </w:r>
      <w:r w:rsidRPr="005170C9">
        <w:rPr>
          <w:rtl/>
        </w:rPr>
        <w:t>1989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9</w:t>
      </w:r>
      <w:r w:rsidRPr="003520EF">
        <w:rPr>
          <w:rtl/>
        </w:rPr>
        <w:t>؛</w:t>
      </w:r>
      <w:r>
        <w:rPr>
          <w:rtl/>
        </w:rPr>
        <w:t xml:space="preserve"> </w:t>
      </w:r>
      <w:r w:rsidRPr="003520EF">
        <w:rPr>
          <w:rtl/>
        </w:rPr>
        <w:t>ورقم</w:t>
      </w:r>
      <w:r>
        <w:rPr>
          <w:rtl/>
        </w:rPr>
        <w:t xml:space="preserve"> </w:t>
      </w:r>
      <w:r w:rsidRPr="005170C9">
        <w:rPr>
          <w:rtl/>
        </w:rPr>
        <w:t>28</w:t>
      </w:r>
      <w:r w:rsidRPr="003520EF">
        <w:rPr>
          <w:rtl/>
        </w:rPr>
        <w:t>(</w:t>
      </w:r>
      <w:r w:rsidRPr="005170C9">
        <w:rPr>
          <w:rtl/>
        </w:rPr>
        <w:t>2000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31</w:t>
      </w:r>
      <w:r w:rsidRPr="003520EF">
        <w:rPr>
          <w:rtl/>
        </w:rPr>
        <w:t>؛</w:t>
      </w:r>
      <w:r>
        <w:rPr>
          <w:rtl/>
        </w:rPr>
        <w:t xml:space="preserve"> </w:t>
      </w:r>
      <w:r w:rsidRPr="003520EF">
        <w:rPr>
          <w:rtl/>
        </w:rPr>
        <w:t>واللجنة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20</w:t>
      </w:r>
      <w:r w:rsidRPr="003520EF">
        <w:rPr>
          <w:rtl/>
        </w:rPr>
        <w:t>(</w:t>
      </w:r>
      <w:r w:rsidRPr="005170C9">
        <w:rPr>
          <w:rtl/>
        </w:rPr>
        <w:t>2009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11</w:t>
      </w:r>
      <w:r w:rsidRPr="003520EF">
        <w:rPr>
          <w:rtl/>
        </w:rPr>
        <w:t>؛</w:t>
      </w:r>
      <w:r>
        <w:rPr>
          <w:rtl/>
        </w:rPr>
        <w:t xml:space="preserve"> </w:t>
      </w:r>
      <w:r w:rsidRPr="003520EF">
        <w:rPr>
          <w:rtl/>
        </w:rPr>
        <w:t>واللجنة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بالقضاء</w:t>
      </w:r>
      <w:r>
        <w:rPr>
          <w:rtl/>
        </w:rPr>
        <w:t xml:space="preserve"> </w:t>
      </w:r>
      <w:r w:rsidRPr="003520EF">
        <w:rPr>
          <w:rtl/>
        </w:rPr>
        <w:t>على</w:t>
      </w:r>
      <w:r>
        <w:rPr>
          <w:rtl/>
        </w:rPr>
        <w:t xml:space="preserve"> </w:t>
      </w:r>
      <w:r w:rsidRPr="003520EF">
        <w:rPr>
          <w:rtl/>
        </w:rPr>
        <w:t>التمييز</w:t>
      </w:r>
      <w:r>
        <w:rPr>
          <w:rtl/>
        </w:rPr>
        <w:t xml:space="preserve"> </w:t>
      </w:r>
      <w:r w:rsidRPr="003520EF">
        <w:rPr>
          <w:rtl/>
        </w:rPr>
        <w:t>ضد</w:t>
      </w:r>
      <w:r>
        <w:rPr>
          <w:rtl/>
        </w:rPr>
        <w:t xml:space="preserve"> </w:t>
      </w:r>
      <w:r w:rsidRPr="003520EF">
        <w:rPr>
          <w:rtl/>
        </w:rPr>
        <w:t>المرأة،</w:t>
      </w:r>
      <w:r>
        <w:rPr>
          <w:rtl/>
        </w:rPr>
        <w:t xml:space="preserve"> </w:t>
      </w:r>
      <w:r w:rsidRPr="003520EF">
        <w:rPr>
          <w:rtl/>
        </w:rPr>
        <w:t>التوصية</w:t>
      </w:r>
      <w:r>
        <w:rPr>
          <w:rtl/>
        </w:rPr>
        <w:t xml:space="preserve"> </w:t>
      </w:r>
      <w:r w:rsidRPr="003520EF">
        <w:rPr>
          <w:rtl/>
        </w:rPr>
        <w:t>العامة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28</w:t>
      </w:r>
      <w:r w:rsidRPr="003520EF">
        <w:rPr>
          <w:rtl/>
        </w:rPr>
        <w:t>(</w:t>
      </w:r>
      <w:r w:rsidRPr="005170C9">
        <w:rPr>
          <w:rtl/>
        </w:rPr>
        <w:t>2010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9</w:t>
      </w:r>
      <w:r w:rsidRPr="003520EF">
        <w:rPr>
          <w:rtl/>
        </w:rPr>
        <w:t>؛</w:t>
      </w:r>
      <w:r>
        <w:rPr>
          <w:rtl/>
        </w:rPr>
        <w:t xml:space="preserve"> </w:t>
      </w:r>
      <w:r w:rsidRPr="003520EF">
        <w:rPr>
          <w:rtl/>
        </w:rPr>
        <w:t>ولجنة</w:t>
      </w:r>
      <w:r>
        <w:rPr>
          <w:rtl/>
        </w:rPr>
        <w:t xml:space="preserve"> </w:t>
      </w:r>
      <w:r w:rsidRPr="003520EF">
        <w:rPr>
          <w:rtl/>
        </w:rPr>
        <w:t>القضاء</w:t>
      </w:r>
      <w:r>
        <w:rPr>
          <w:rtl/>
        </w:rPr>
        <w:t xml:space="preserve"> </w:t>
      </w:r>
      <w:r w:rsidRPr="003520EF">
        <w:rPr>
          <w:rtl/>
        </w:rPr>
        <w:t>على</w:t>
      </w:r>
      <w:r>
        <w:rPr>
          <w:rtl/>
        </w:rPr>
        <w:t xml:space="preserve"> </w:t>
      </w:r>
      <w:r w:rsidRPr="003520EF">
        <w:rPr>
          <w:rtl/>
        </w:rPr>
        <w:t>التمييز</w:t>
      </w:r>
      <w:r>
        <w:rPr>
          <w:rtl/>
        </w:rPr>
        <w:t xml:space="preserve"> </w:t>
      </w:r>
      <w:r w:rsidRPr="003520EF">
        <w:rPr>
          <w:rtl/>
        </w:rPr>
        <w:t>العنصري،</w:t>
      </w:r>
      <w:r>
        <w:rPr>
          <w:rtl/>
        </w:rPr>
        <w:t xml:space="preserve"> </w:t>
      </w:r>
      <w:r w:rsidRPr="003520EF">
        <w:rPr>
          <w:rtl/>
        </w:rPr>
        <w:t>التوصية</w:t>
      </w:r>
      <w:r>
        <w:rPr>
          <w:rtl/>
        </w:rPr>
        <w:t xml:space="preserve"> </w:t>
      </w:r>
      <w:r w:rsidRPr="003520EF">
        <w:rPr>
          <w:rtl/>
        </w:rPr>
        <w:t>العامة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25</w:t>
      </w:r>
      <w:r w:rsidRPr="003520EF">
        <w:rPr>
          <w:rtl/>
        </w:rPr>
        <w:t>(</w:t>
      </w:r>
      <w:r w:rsidRPr="005170C9">
        <w:rPr>
          <w:rtl/>
        </w:rPr>
        <w:t>2000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الفقرتان</w:t>
      </w:r>
      <w:r>
        <w:rPr>
          <w:rtl/>
        </w:rPr>
        <w:t xml:space="preserve"> </w:t>
      </w:r>
      <w:r w:rsidRPr="005170C9">
        <w:rPr>
          <w:rtl/>
        </w:rPr>
        <w:t>1</w:t>
      </w:r>
      <w:r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46">
    <w:p w14:paraId="4A191F68" w14:textId="1857F55D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13" w:history="1">
        <w:r w:rsidRPr="005170C9">
          <w:rPr>
            <w:rStyle w:val="Hyperlink"/>
          </w:rPr>
          <w:t>CRPD/C/BRA/CO/1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13</w:t>
      </w:r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و</w:t>
      </w:r>
      <w:hyperlink r:id="rId14" w:history="1">
        <w:r w:rsidRPr="005170C9">
          <w:rPr>
            <w:rStyle w:val="Hyperlink"/>
          </w:rPr>
          <w:t>CRPD/C/MUS/CO/1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الفقرتان</w:t>
      </w:r>
      <w:r>
        <w:rPr>
          <w:rtl/>
        </w:rPr>
        <w:t xml:space="preserve"> </w:t>
      </w:r>
      <w:r w:rsidRPr="005170C9">
        <w:rPr>
          <w:rtl/>
        </w:rPr>
        <w:t>10</w:t>
      </w:r>
      <w:r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12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47">
    <w:p w14:paraId="46AF7B3A" w14:textId="573846DA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r w:rsidRPr="001A09C7">
        <w:rPr>
          <w:rStyle w:val="Hyperlink"/>
        </w:rPr>
        <w:t>CRPD/C/CZE/CO/</w:t>
      </w:r>
      <w:r w:rsidRPr="005170C9">
        <w:t>1</w:t>
      </w:r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Fonts w:hint="cs"/>
          <w:rtl/>
        </w:rPr>
        <w:t xml:space="preserve"> </w:t>
      </w:r>
      <w:r w:rsidRPr="001A09C7">
        <w:rPr>
          <w:rtl/>
        </w:rPr>
        <w:t>14</w:t>
      </w:r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و</w:t>
      </w:r>
      <w:hyperlink r:id="rId15" w:history="1">
        <w:r w:rsidRPr="005170C9">
          <w:rPr>
            <w:rStyle w:val="Hyperlink"/>
          </w:rPr>
          <w:t>CRPD/C/DEU/CO/1</w:t>
        </w:r>
      </w:hyperlink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16</w:t>
      </w:r>
      <w:r w:rsidRPr="003520EF">
        <w:rPr>
          <w:rtl/>
        </w:rPr>
        <w:t>(ب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48">
    <w:p w14:paraId="2954CFF8" w14:textId="5DAB1B1B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16" w:history="1">
        <w:r w:rsidRPr="005170C9">
          <w:rPr>
            <w:rStyle w:val="Hyperlink"/>
          </w:rPr>
          <w:t>CRPD/C/DNK/CO/1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17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49">
    <w:p w14:paraId="4F7A4B3C" w14:textId="4750A7AE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17" w:history="1">
        <w:r w:rsidRPr="00DC6C59">
          <w:rPr>
            <w:rStyle w:val="Hyperlink"/>
          </w:rPr>
          <w:t>CRPD/C/AUS/CO/1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15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0">
    <w:p w14:paraId="12063273" w14:textId="4085C067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18" w:history="1">
        <w:r w:rsidRPr="00DC6C59">
          <w:rPr>
            <w:rStyle w:val="Hyperlink"/>
          </w:rPr>
          <w:t>CRPD/C/SWE/CO/1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الفقرتان</w:t>
      </w:r>
      <w:r>
        <w:rPr>
          <w:rtl/>
        </w:rPr>
        <w:t xml:space="preserve"> </w:t>
      </w:r>
      <w:r w:rsidRPr="005170C9">
        <w:rPr>
          <w:rtl/>
        </w:rPr>
        <w:t>12</w:t>
      </w:r>
      <w:r>
        <w:rPr>
          <w:rtl/>
        </w:rPr>
        <w:t xml:space="preserve"> </w:t>
      </w:r>
      <w:r w:rsidRPr="003520EF">
        <w:rPr>
          <w:rtl/>
        </w:rPr>
        <w:t>و</w:t>
      </w:r>
      <w:r w:rsidRPr="005170C9">
        <w:rPr>
          <w:rtl/>
        </w:rPr>
        <w:t>14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1">
    <w:p w14:paraId="72C0070A" w14:textId="4637B8AF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19" w:history="1">
        <w:r w:rsidRPr="005170C9">
          <w:rPr>
            <w:rStyle w:val="Hyperlink"/>
          </w:rPr>
          <w:t>CRPD/C/DEU/CO/1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10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2">
    <w:p w14:paraId="562C1321" w14:textId="694A9ACB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الاتفاقية،</w:t>
      </w:r>
      <w:r>
        <w:rPr>
          <w:rtl/>
        </w:rPr>
        <w:t xml:space="preserve"> </w:t>
      </w:r>
      <w:r w:rsidRPr="003520EF">
        <w:rPr>
          <w:rtl/>
        </w:rPr>
        <w:t>المادة</w:t>
      </w:r>
      <w:r>
        <w:rPr>
          <w:rtl/>
        </w:rPr>
        <w:t xml:space="preserve"> </w:t>
      </w:r>
      <w:r w:rsidRPr="005170C9">
        <w:rPr>
          <w:rtl/>
        </w:rPr>
        <w:t>4</w:t>
      </w:r>
      <w:r w:rsidRPr="003520EF">
        <w:rPr>
          <w:rtl/>
        </w:rPr>
        <w:t>(</w:t>
      </w:r>
      <w:r w:rsidRPr="005170C9">
        <w:rPr>
          <w:rtl/>
        </w:rPr>
        <w:t>1</w:t>
      </w:r>
      <w:r w:rsidRPr="003520EF">
        <w:rPr>
          <w:rtl/>
        </w:rPr>
        <w:t>)(ز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53">
    <w:p w14:paraId="1AEEB458" w14:textId="7CFA5EE5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3</w:t>
      </w:r>
      <w:r w:rsidRPr="003520EF">
        <w:rPr>
          <w:rtl/>
        </w:rPr>
        <w:t>(</w:t>
      </w:r>
      <w:r w:rsidRPr="005170C9">
        <w:rPr>
          <w:rtl/>
        </w:rPr>
        <w:t>1990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10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4">
    <w:p w14:paraId="37F9A7B8" w14:textId="7BCB86C1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</w:t>
      </w:r>
      <w:r w:rsidRPr="005170C9">
        <w:rPr>
          <w:rtl/>
        </w:rPr>
        <w:t>2005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31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5">
    <w:p w14:paraId="39D3A3E0" w14:textId="395CC7D9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6</w:t>
      </w:r>
      <w:r w:rsidRPr="003520EF">
        <w:rPr>
          <w:rtl/>
        </w:rPr>
        <w:t>(</w:t>
      </w:r>
      <w:r w:rsidRPr="005170C9">
        <w:rPr>
          <w:rtl/>
        </w:rPr>
        <w:t>2018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67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6">
    <w:p w14:paraId="4BDE4A49" w14:textId="1095F85A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65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7">
    <w:p w14:paraId="5AE3E5B9" w14:textId="17D389D9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3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58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8">
    <w:p w14:paraId="060CDCE9" w14:textId="028898F0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لجنة</w:t>
      </w:r>
      <w:r>
        <w:rPr>
          <w:rtl/>
        </w:rPr>
        <w:t xml:space="preserve"> </w:t>
      </w:r>
      <w:r w:rsidRPr="003520EF">
        <w:rPr>
          <w:rtl/>
        </w:rPr>
        <w:t>حقوق</w:t>
      </w:r>
      <w:r>
        <w:rPr>
          <w:rtl/>
        </w:rPr>
        <w:t xml:space="preserve"> </w:t>
      </w:r>
      <w:r w:rsidRPr="003520EF">
        <w:rPr>
          <w:rtl/>
        </w:rPr>
        <w:t>الطفل،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17</w:t>
      </w:r>
      <w:r w:rsidRPr="003520EF">
        <w:rPr>
          <w:rtl/>
        </w:rPr>
        <w:t>(</w:t>
      </w:r>
      <w:r w:rsidRPr="005170C9">
        <w:rPr>
          <w:rtl/>
        </w:rPr>
        <w:t>2013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29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59">
    <w:p w14:paraId="009DA863" w14:textId="716E6764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2</w:t>
      </w:r>
      <w:r w:rsidRPr="003520EF">
        <w:rPr>
          <w:rtl/>
        </w:rPr>
        <w:t>(</w:t>
      </w:r>
      <w:r w:rsidRPr="005170C9">
        <w:rPr>
          <w:rtl/>
        </w:rPr>
        <w:t>2014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41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60">
    <w:p w14:paraId="01A55AD3" w14:textId="0736E2DE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انظر</w:t>
      </w:r>
      <w:r>
        <w:rPr>
          <w:rtl/>
        </w:rPr>
        <w:t xml:space="preserve"> </w:t>
      </w:r>
      <w:r w:rsidRPr="003520EF">
        <w:rPr>
          <w:rtl/>
        </w:rPr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</w:t>
      </w:r>
      <w:r w:rsidRPr="003520EF">
        <w:rPr>
          <w:rtl/>
        </w:rPr>
        <w:t>(</w:t>
      </w:r>
      <w:r w:rsidRPr="005170C9">
        <w:rPr>
          <w:rtl/>
        </w:rPr>
        <w:t>2014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61">
    <w:p w14:paraId="4FBB1409" w14:textId="596CF73C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لجنة</w:t>
      </w:r>
      <w:r>
        <w:rPr>
          <w:rtl/>
        </w:rPr>
        <w:t xml:space="preserve"> </w:t>
      </w:r>
      <w:r w:rsidRPr="003520EF">
        <w:rPr>
          <w:rtl/>
        </w:rPr>
        <w:t>حقوق</w:t>
      </w:r>
      <w:r>
        <w:rPr>
          <w:rtl/>
        </w:rPr>
        <w:t xml:space="preserve"> </w:t>
      </w:r>
      <w:r w:rsidRPr="003520EF">
        <w:rPr>
          <w:rtl/>
        </w:rPr>
        <w:t>الطفل،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9</w:t>
      </w:r>
      <w:r w:rsidRPr="003520EF">
        <w:rPr>
          <w:rtl/>
        </w:rPr>
        <w:t>(</w:t>
      </w:r>
      <w:r w:rsidRPr="005170C9">
        <w:rPr>
          <w:rtl/>
        </w:rPr>
        <w:t>2006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75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62">
    <w:p w14:paraId="55294FD7" w14:textId="155C083F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4</w:t>
      </w:r>
      <w:r w:rsidRPr="003520EF">
        <w:rPr>
          <w:rtl/>
        </w:rPr>
        <w:t>(</w:t>
      </w:r>
      <w:r w:rsidRPr="005170C9">
        <w:rPr>
          <w:rtl/>
        </w:rPr>
        <w:t>2016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56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63">
    <w:p w14:paraId="1CC4C254" w14:textId="03D168E3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بالقضاء</w:t>
      </w:r>
      <w:r>
        <w:rPr>
          <w:rtl/>
        </w:rPr>
        <w:t xml:space="preserve"> </w:t>
      </w:r>
      <w:r w:rsidRPr="003520EF">
        <w:rPr>
          <w:rtl/>
        </w:rPr>
        <w:t>على</w:t>
      </w:r>
      <w:r>
        <w:rPr>
          <w:rtl/>
        </w:rPr>
        <w:t xml:space="preserve"> </w:t>
      </w:r>
      <w:r w:rsidRPr="003520EF">
        <w:rPr>
          <w:rtl/>
        </w:rPr>
        <w:t>التمييز</w:t>
      </w:r>
      <w:r>
        <w:rPr>
          <w:rtl/>
        </w:rPr>
        <w:t xml:space="preserve"> </w:t>
      </w:r>
      <w:r w:rsidRPr="003520EF">
        <w:rPr>
          <w:rtl/>
        </w:rPr>
        <w:t>ضد</w:t>
      </w:r>
      <w:r>
        <w:rPr>
          <w:rtl/>
        </w:rPr>
        <w:t xml:space="preserve"> </w:t>
      </w:r>
      <w:r w:rsidRPr="003520EF">
        <w:rPr>
          <w:rtl/>
        </w:rPr>
        <w:t>المرأة،</w:t>
      </w:r>
      <w:r>
        <w:rPr>
          <w:rtl/>
        </w:rPr>
        <w:t xml:space="preserve"> </w:t>
      </w:r>
      <w:r w:rsidRPr="003520EF">
        <w:rPr>
          <w:rtl/>
        </w:rPr>
        <w:t>التوصية</w:t>
      </w:r>
      <w:r>
        <w:rPr>
          <w:rtl/>
        </w:rPr>
        <w:t xml:space="preserve"> </w:t>
      </w:r>
      <w:r w:rsidRPr="003520EF">
        <w:rPr>
          <w:rtl/>
        </w:rPr>
        <w:t>العامة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36</w:t>
      </w:r>
      <w:r w:rsidRPr="003520EF">
        <w:rPr>
          <w:rtl/>
        </w:rPr>
        <w:t>(</w:t>
      </w:r>
      <w:r w:rsidRPr="005170C9">
        <w:rPr>
          <w:rtl/>
        </w:rPr>
        <w:t>2017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الفقرتان</w:t>
      </w:r>
      <w:r>
        <w:rPr>
          <w:rtl/>
        </w:rPr>
        <w:t xml:space="preserve"> </w:t>
      </w:r>
      <w:r w:rsidRPr="005170C9">
        <w:rPr>
          <w:rtl/>
        </w:rPr>
        <w:t>43</w:t>
      </w:r>
      <w:r w:rsidRPr="003520EF">
        <w:rPr>
          <w:rtl/>
        </w:rPr>
        <w:t>-</w:t>
      </w:r>
      <w:r w:rsidRPr="005170C9">
        <w:rPr>
          <w:rtl/>
        </w:rPr>
        <w:t>44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64">
    <w:p w14:paraId="3CB2F4AC" w14:textId="37B238C6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</w:t>
      </w:r>
      <w:r w:rsidRPr="005170C9">
        <w:rPr>
          <w:rtl/>
        </w:rPr>
        <w:t>2005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37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65">
    <w:p w14:paraId="621E3017" w14:textId="7980D81F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5</w:t>
      </w:r>
      <w:r w:rsidRPr="003520EF">
        <w:rPr>
          <w:rtl/>
        </w:rPr>
        <w:t>(</w:t>
      </w:r>
      <w:r w:rsidRPr="005170C9">
        <w:rPr>
          <w:rtl/>
        </w:rPr>
        <w:t>1994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28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66">
    <w:p w14:paraId="0E13D7DD" w14:textId="5168D502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20" w:history="1">
        <w:r w:rsidRPr="00DC6C59">
          <w:rPr>
            <w:rStyle w:val="Hyperlink"/>
          </w:rPr>
          <w:t>CRPD/C/</w:t>
        </w:r>
        <w:r w:rsidRPr="005170C9">
          <w:rPr>
            <w:rStyle w:val="Hyperlink"/>
          </w:rPr>
          <w:t>15</w:t>
        </w:r>
        <w:r w:rsidRPr="00DC6C59">
          <w:rPr>
            <w:rStyle w:val="Hyperlink"/>
          </w:rPr>
          <w:t>/</w:t>
        </w:r>
        <w:r w:rsidRPr="005170C9">
          <w:rPr>
            <w:rStyle w:val="Hyperlink"/>
          </w:rPr>
          <w:t>4</w:t>
        </w:r>
      </w:hyperlink>
      <w:r>
        <w:rPr>
          <w:rtl/>
        </w:rPr>
        <w:t xml:space="preserve"> </w:t>
      </w:r>
      <w:r w:rsidRPr="003520EF">
        <w:rPr>
          <w:rtl/>
        </w:rPr>
        <w:t>و</w:t>
      </w:r>
      <w:hyperlink r:id="rId21" w:history="1">
        <w:r w:rsidRPr="005170C9">
          <w:rPr>
            <w:rStyle w:val="Hyperlink"/>
          </w:rPr>
          <w:t>CRPD/C/15/4/Corr.1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102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67">
    <w:p w14:paraId="60778212" w14:textId="6D668110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3520EF">
        <w:rPr>
          <w:rtl/>
        </w:rPr>
        <w:t>(</w:t>
      </w:r>
      <w:r w:rsidRPr="005170C9">
        <w:rPr>
          <w:rtl/>
        </w:rPr>
        <w:t>2005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39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68">
    <w:p w14:paraId="3841C4A6" w14:textId="406EC7F9" w:rsidR="00DC6C59" w:rsidRPr="003520EF" w:rsidRDefault="00DC6C59" w:rsidP="003520EF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بالحقوق</w:t>
      </w:r>
      <w:r>
        <w:rPr>
          <w:rtl/>
        </w:rPr>
        <w:t xml:space="preserve"> </w:t>
      </w:r>
      <w:r w:rsidRPr="003520EF">
        <w:rPr>
          <w:rtl/>
        </w:rPr>
        <w:t>الاقتصادية</w:t>
      </w:r>
      <w:r>
        <w:rPr>
          <w:rtl/>
        </w:rPr>
        <w:t xml:space="preserve"> </w:t>
      </w:r>
      <w:r w:rsidRPr="003520EF">
        <w:rPr>
          <w:rtl/>
        </w:rPr>
        <w:t>والاجتماعية</w:t>
      </w:r>
      <w:r>
        <w:rPr>
          <w:rtl/>
        </w:rPr>
        <w:t xml:space="preserve"> </w:t>
      </w:r>
      <w:r w:rsidRPr="003520EF">
        <w:rPr>
          <w:rtl/>
        </w:rPr>
        <w:t>والثقافية،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5</w:t>
      </w:r>
      <w:r w:rsidRPr="003520EF">
        <w:rPr>
          <w:rtl/>
        </w:rPr>
        <w:t>(</w:t>
      </w:r>
      <w:r w:rsidRPr="005170C9">
        <w:rPr>
          <w:rtl/>
        </w:rPr>
        <w:t>1994</w:t>
      </w:r>
      <w:r w:rsidRPr="00DC6C59">
        <w:rPr>
          <w:rtl/>
        </w:rPr>
        <w:t>)،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26</w:t>
      </w:r>
      <w:r w:rsidRPr="00DC6C59">
        <w:rPr>
          <w:rtl/>
        </w:rPr>
        <w:t>.</w:t>
      </w:r>
      <w:r>
        <w:rPr>
          <w:rtl/>
        </w:rPr>
        <w:t xml:space="preserve"> </w:t>
      </w:r>
      <w:r w:rsidRPr="003520EF">
        <w:rPr>
          <w:rtl/>
        </w:rPr>
        <w:t>وانظر</w:t>
      </w:r>
      <w:r>
        <w:rPr>
          <w:rtl/>
        </w:rPr>
        <w:t xml:space="preserve"> </w:t>
      </w:r>
      <w:r w:rsidRPr="003520EF">
        <w:rPr>
          <w:rtl/>
        </w:rPr>
        <w:t>أيضا</w:t>
      </w:r>
      <w:r w:rsidR="00B675D0">
        <w:rPr>
          <w:rFonts w:hint="cs"/>
          <w:rtl/>
        </w:rPr>
        <w:t>ً</w:t>
      </w:r>
      <w:r>
        <w:rPr>
          <w:rtl/>
        </w:rPr>
        <w:t xml:space="preserve"> </w:t>
      </w:r>
      <w:r w:rsidRPr="003520EF">
        <w:rPr>
          <w:rtl/>
        </w:rPr>
        <w:t>اللجنة</w:t>
      </w:r>
      <w:r>
        <w:rPr>
          <w:rtl/>
        </w:rPr>
        <w:t xml:space="preserve"> </w:t>
      </w:r>
      <w:r w:rsidRPr="003520EF">
        <w:rPr>
          <w:rtl/>
        </w:rPr>
        <w:t>المعنية</w:t>
      </w:r>
      <w:r>
        <w:rPr>
          <w:rtl/>
        </w:rPr>
        <w:t xml:space="preserve"> </w:t>
      </w:r>
      <w:r w:rsidRPr="003520EF">
        <w:rPr>
          <w:rtl/>
        </w:rPr>
        <w:t>بحقوق</w:t>
      </w:r>
      <w:r>
        <w:rPr>
          <w:rtl/>
        </w:rPr>
        <w:t xml:space="preserve"> </w:t>
      </w:r>
      <w:r w:rsidRPr="003520EF">
        <w:rPr>
          <w:rtl/>
        </w:rPr>
        <w:t>الأشخاص</w:t>
      </w:r>
      <w:r>
        <w:rPr>
          <w:rtl/>
        </w:rPr>
        <w:t xml:space="preserve"> </w:t>
      </w:r>
      <w:r w:rsidRPr="003520EF">
        <w:rPr>
          <w:rtl/>
        </w:rPr>
        <w:t>ذوي</w:t>
      </w:r>
      <w:r>
        <w:rPr>
          <w:rtl/>
        </w:rPr>
        <w:t xml:space="preserve"> </w:t>
      </w:r>
      <w:r w:rsidRPr="003520EF">
        <w:rPr>
          <w:rtl/>
        </w:rPr>
        <w:t>الإعاقة،</w:t>
      </w:r>
      <w:r>
        <w:rPr>
          <w:rtl/>
        </w:rPr>
        <w:t xml:space="preserve"> </w:t>
      </w:r>
      <w:r w:rsidRPr="003520EF">
        <w:rPr>
          <w:rtl/>
        </w:rPr>
        <w:t>التعليق</w:t>
      </w:r>
      <w:r>
        <w:rPr>
          <w:rtl/>
        </w:rPr>
        <w:t xml:space="preserve"> </w:t>
      </w:r>
      <w:r w:rsidRPr="003520EF">
        <w:rPr>
          <w:rtl/>
        </w:rPr>
        <w:t>العام</w:t>
      </w:r>
      <w:r>
        <w:rPr>
          <w:rtl/>
        </w:rPr>
        <w:t xml:space="preserve"> </w:t>
      </w:r>
      <w:r w:rsidRPr="003520EF">
        <w:rPr>
          <w:rtl/>
        </w:rPr>
        <w:t>رقم</w:t>
      </w:r>
      <w:r>
        <w:rPr>
          <w:rtl/>
        </w:rPr>
        <w:t xml:space="preserve"> </w:t>
      </w:r>
      <w:r w:rsidRPr="005170C9">
        <w:rPr>
          <w:rtl/>
        </w:rPr>
        <w:t>7</w:t>
      </w:r>
      <w:r w:rsidRPr="003520EF">
        <w:rPr>
          <w:rtl/>
        </w:rPr>
        <w:t>(</w:t>
      </w:r>
      <w:r w:rsidRPr="005170C9">
        <w:rPr>
          <w:rtl/>
        </w:rPr>
        <w:t>2018</w:t>
      </w:r>
      <w:r w:rsidRPr="00DC6C59">
        <w:rPr>
          <w:rtl/>
        </w:rPr>
        <w:t>).</w:t>
      </w:r>
      <w:r>
        <w:rPr>
          <w:rtl/>
        </w:rPr>
        <w:t xml:space="preserve"> </w:t>
      </w:r>
    </w:p>
  </w:footnote>
  <w:footnote w:id="69">
    <w:p w14:paraId="05341E58" w14:textId="0CEFF717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22" w:history="1">
        <w:r w:rsidRPr="005170C9">
          <w:rPr>
            <w:rStyle w:val="Hyperlink"/>
          </w:rPr>
          <w:t>CRPD/C/DNK/CO/1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19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70">
    <w:p w14:paraId="4A44B0DA" w14:textId="12C04A96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23" w:history="1">
        <w:r w:rsidRPr="00DC6C59">
          <w:rPr>
            <w:rStyle w:val="Hyperlink"/>
            <w:rtl/>
          </w:rPr>
          <w:t>مفوّضية</w:t>
        </w:r>
        <w:r>
          <w:rPr>
            <w:rStyle w:val="Hyperlink"/>
            <w:rtl/>
          </w:rPr>
          <w:t xml:space="preserve"> </w:t>
        </w:r>
        <w:r w:rsidRPr="00DC6C59">
          <w:rPr>
            <w:rStyle w:val="Hyperlink"/>
            <w:rtl/>
          </w:rPr>
          <w:t>الأمم</w:t>
        </w:r>
        <w:r>
          <w:rPr>
            <w:rStyle w:val="Hyperlink"/>
            <w:rtl/>
          </w:rPr>
          <w:t xml:space="preserve"> </w:t>
        </w:r>
        <w:r w:rsidRPr="00DC6C59">
          <w:rPr>
            <w:rStyle w:val="Hyperlink"/>
            <w:rtl/>
          </w:rPr>
          <w:t>المتحدة</w:t>
        </w:r>
        <w:r>
          <w:rPr>
            <w:rStyle w:val="Hyperlink"/>
            <w:rtl/>
          </w:rPr>
          <w:t xml:space="preserve"> </w:t>
        </w:r>
        <w:r w:rsidRPr="00DC6C59">
          <w:rPr>
            <w:rStyle w:val="Hyperlink"/>
            <w:rtl/>
          </w:rPr>
          <w:t>السامية</w:t>
        </w:r>
        <w:r>
          <w:rPr>
            <w:rStyle w:val="Hyperlink"/>
            <w:rtl/>
          </w:rPr>
          <w:t xml:space="preserve"> </w:t>
        </w:r>
        <w:r w:rsidRPr="00DC6C59">
          <w:rPr>
            <w:rStyle w:val="Hyperlink"/>
            <w:rtl/>
          </w:rPr>
          <w:t>لحقوق</w:t>
        </w:r>
        <w:r>
          <w:rPr>
            <w:rStyle w:val="Hyperlink"/>
            <w:rtl/>
          </w:rPr>
          <w:t xml:space="preserve"> </w:t>
        </w:r>
        <w:r w:rsidRPr="00DC6C59">
          <w:rPr>
            <w:rStyle w:val="Hyperlink"/>
            <w:rtl/>
          </w:rPr>
          <w:t>الإنسان</w:t>
        </w:r>
      </w:hyperlink>
      <w:r>
        <w:rPr>
          <w:rtl/>
        </w:rPr>
        <w:t xml:space="preserve"> </w:t>
      </w:r>
      <w:r w:rsidRPr="003520EF">
        <w:rPr>
          <w:rtl/>
        </w:rPr>
        <w:t>(جنيف،</w:t>
      </w:r>
      <w:r>
        <w:rPr>
          <w:rtl/>
        </w:rPr>
        <w:t xml:space="preserve"> </w:t>
      </w:r>
      <w:r w:rsidRPr="005170C9">
        <w:rPr>
          <w:rtl/>
        </w:rPr>
        <w:t>2012</w:t>
      </w:r>
      <w:r w:rsidRPr="00DC6C59">
        <w:rPr>
          <w:rtl/>
        </w:rPr>
        <w:t>).</w:t>
      </w:r>
      <w:r>
        <w:rPr>
          <w:rtl/>
        </w:rPr>
        <w:t xml:space="preserve"> </w:t>
      </w:r>
      <w:r w:rsidRPr="003520EF">
        <w:rPr>
          <w:rtl/>
        </w:rPr>
        <w:t>وانظر</w:t>
      </w:r>
      <w:r>
        <w:rPr>
          <w:rtl/>
        </w:rPr>
        <w:t xml:space="preserve"> </w:t>
      </w:r>
      <w:r w:rsidRPr="003520EF">
        <w:rPr>
          <w:rtl/>
        </w:rPr>
        <w:t>أيضاً</w:t>
      </w:r>
      <w:r>
        <w:rPr>
          <w:rtl/>
        </w:rPr>
        <w:t xml:space="preserve"> </w:t>
      </w:r>
      <w:hyperlink r:id="rId24" w:history="1">
        <w:r w:rsidRPr="005170C9">
          <w:rPr>
            <w:rStyle w:val="Hyperlink"/>
          </w:rPr>
          <w:t>CRPD/C/CZE/CO/1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14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  <w:footnote w:id="71">
    <w:p w14:paraId="2DBC27F4" w14:textId="143D02FF" w:rsidR="00DC6C59" w:rsidRPr="003520EF" w:rsidRDefault="00DC6C59" w:rsidP="00DC6C59">
      <w:pPr>
        <w:pStyle w:val="FootnoteText1"/>
      </w:pPr>
      <w:r w:rsidRPr="005170C9">
        <w:rPr>
          <w:rtl/>
        </w:rPr>
        <w:t>(</w:t>
      </w:r>
      <w:r w:rsidRPr="005170C9">
        <w:footnoteRef/>
      </w:r>
      <w:r w:rsidRPr="005170C9">
        <w:rPr>
          <w:rtl/>
        </w:rPr>
        <w:t>)</w:t>
      </w:r>
      <w:r w:rsidRPr="003520EF">
        <w:rPr>
          <w:rtl/>
        </w:rPr>
        <w:tab/>
      </w:r>
      <w:hyperlink r:id="rId25" w:history="1">
        <w:r w:rsidRPr="005170C9">
          <w:rPr>
            <w:rStyle w:val="Hyperlink"/>
          </w:rPr>
          <w:t>CRPD/C/DNK/CO/1</w:t>
        </w:r>
      </w:hyperlink>
      <w:r w:rsidRPr="003520EF">
        <w:rPr>
          <w:rtl/>
        </w:rPr>
        <w:t>،</w:t>
      </w:r>
      <w:r>
        <w:rPr>
          <w:rtl/>
        </w:rPr>
        <w:t xml:space="preserve"> </w:t>
      </w:r>
      <w:r w:rsidRPr="003520EF">
        <w:rPr>
          <w:rtl/>
        </w:rPr>
        <w:t>الفقرة</w:t>
      </w:r>
      <w:r>
        <w:rPr>
          <w:rtl/>
        </w:rPr>
        <w:t xml:space="preserve"> </w:t>
      </w:r>
      <w:r w:rsidRPr="005170C9">
        <w:rPr>
          <w:rtl/>
        </w:rPr>
        <w:t>18</w:t>
      </w:r>
      <w:r w:rsidRPr="00DC6C59">
        <w:rPr>
          <w:rtl/>
        </w:rPr>
        <w:t>.</w:t>
      </w: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83BA" w14:textId="3F3FCCE2" w:rsidR="00610BFF" w:rsidRPr="00610BFF" w:rsidRDefault="00610BFF" w:rsidP="00610BFF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B1EBB">
      <w:t>CRPD/C/GC/8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61D0" w14:textId="62B00315" w:rsidR="00610BFF" w:rsidRPr="00610BFF" w:rsidRDefault="00610BFF" w:rsidP="00610BFF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B1EBB">
      <w:t>CRPD/C/GC/8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Bullet1GA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B5E"/>
    <w:multiLevelType w:val="hybridMultilevel"/>
    <w:tmpl w:val="D7A0D5E4"/>
    <w:lvl w:ilvl="0" w:tplc="47D407D6">
      <w:numFmt w:val="bullet"/>
      <w:lvlText w:val=""/>
      <w:lvlJc w:val="left"/>
      <w:pPr>
        <w:ind w:left="1380" w:hanging="102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0DE"/>
    <w:multiLevelType w:val="hybridMultilevel"/>
    <w:tmpl w:val="3A42731E"/>
    <w:lvl w:ilvl="0" w:tplc="C63A1486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851AF4"/>
    <w:multiLevelType w:val="hybridMultilevel"/>
    <w:tmpl w:val="462EC7C6"/>
    <w:lvl w:ilvl="0" w:tplc="7A2C7C9E">
      <w:start w:val="1"/>
      <w:numFmt w:val="bullet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976D3"/>
    <w:multiLevelType w:val="hybridMultilevel"/>
    <w:tmpl w:val="8C96B98C"/>
    <w:lvl w:ilvl="0" w:tplc="C63A1486">
      <w:start w:val="1"/>
      <w:numFmt w:val="lowerRoman"/>
      <w:lvlText w:val="(%1)"/>
      <w:lvlJc w:val="righ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102C1EBB"/>
    <w:multiLevelType w:val="hybridMultilevel"/>
    <w:tmpl w:val="E62A7BEA"/>
    <w:lvl w:ilvl="0" w:tplc="D9A89244">
      <w:start w:val="8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D6575"/>
    <w:multiLevelType w:val="multilevel"/>
    <w:tmpl w:val="0409001D"/>
    <w:lvl w:ilvl="0">
      <w:start w:val="1"/>
      <w:numFmt w:val="decimal"/>
      <w:pStyle w:val="Roman2GA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0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BDB"/>
    <w:multiLevelType w:val="hybridMultilevel"/>
    <w:tmpl w:val="26CE1992"/>
    <w:lvl w:ilvl="0" w:tplc="C63A1486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5F272F0"/>
    <w:multiLevelType w:val="hybridMultilevel"/>
    <w:tmpl w:val="041017B8"/>
    <w:lvl w:ilvl="0" w:tplc="50A08A22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3" w15:restartNumberingAfterBreak="0">
    <w:nsid w:val="26C33298"/>
    <w:multiLevelType w:val="hybridMultilevel"/>
    <w:tmpl w:val="4ECE8A7A"/>
    <w:lvl w:ilvl="0" w:tplc="C63A1486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C233AE"/>
    <w:multiLevelType w:val="hybridMultilevel"/>
    <w:tmpl w:val="CE6A4C16"/>
    <w:lvl w:ilvl="0" w:tplc="B0F4FC9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A3267E0"/>
    <w:multiLevelType w:val="hybridMultilevel"/>
    <w:tmpl w:val="930CA588"/>
    <w:lvl w:ilvl="0" w:tplc="B0F4FC9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AE83315"/>
    <w:multiLevelType w:val="hybridMultilevel"/>
    <w:tmpl w:val="EF7ACE6C"/>
    <w:lvl w:ilvl="0" w:tplc="B0F4FC94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C2545E3"/>
    <w:multiLevelType w:val="multilevel"/>
    <w:tmpl w:val="D0FE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11F67"/>
    <w:multiLevelType w:val="hybridMultilevel"/>
    <w:tmpl w:val="370E78DC"/>
    <w:lvl w:ilvl="0" w:tplc="0C090013">
      <w:start w:val="1"/>
      <w:numFmt w:val="upperRoman"/>
      <w:lvlText w:val="%1."/>
      <w:lvlJc w:val="right"/>
      <w:pPr>
        <w:ind w:left="2940" w:hanging="360"/>
      </w:pPr>
    </w:lvl>
    <w:lvl w:ilvl="1" w:tplc="08090019">
      <w:start w:val="1"/>
      <w:numFmt w:val="lowerLetter"/>
      <w:lvlText w:val="%2."/>
      <w:lvlJc w:val="left"/>
      <w:pPr>
        <w:ind w:left="3660" w:hanging="360"/>
      </w:pPr>
    </w:lvl>
    <w:lvl w:ilvl="2" w:tplc="0809001B">
      <w:start w:val="1"/>
      <w:numFmt w:val="lowerRoman"/>
      <w:lvlText w:val="%3."/>
      <w:lvlJc w:val="right"/>
      <w:pPr>
        <w:ind w:left="4380" w:hanging="180"/>
      </w:pPr>
    </w:lvl>
    <w:lvl w:ilvl="3" w:tplc="0809000F">
      <w:start w:val="1"/>
      <w:numFmt w:val="decimal"/>
      <w:lvlText w:val="%4."/>
      <w:lvlJc w:val="left"/>
      <w:pPr>
        <w:ind w:left="5100" w:hanging="360"/>
      </w:pPr>
    </w:lvl>
    <w:lvl w:ilvl="4" w:tplc="08090019">
      <w:start w:val="1"/>
      <w:numFmt w:val="lowerLetter"/>
      <w:lvlText w:val="%5."/>
      <w:lvlJc w:val="left"/>
      <w:pPr>
        <w:ind w:left="5820" w:hanging="360"/>
      </w:pPr>
    </w:lvl>
    <w:lvl w:ilvl="5" w:tplc="0809001B">
      <w:start w:val="1"/>
      <w:numFmt w:val="lowerRoman"/>
      <w:lvlText w:val="%6."/>
      <w:lvlJc w:val="right"/>
      <w:pPr>
        <w:ind w:left="6540" w:hanging="180"/>
      </w:pPr>
    </w:lvl>
    <w:lvl w:ilvl="6" w:tplc="0809000F">
      <w:start w:val="1"/>
      <w:numFmt w:val="decimal"/>
      <w:lvlText w:val="%7."/>
      <w:lvlJc w:val="left"/>
      <w:pPr>
        <w:ind w:left="7260" w:hanging="360"/>
      </w:pPr>
    </w:lvl>
    <w:lvl w:ilvl="7" w:tplc="08090019">
      <w:start w:val="1"/>
      <w:numFmt w:val="lowerLetter"/>
      <w:lvlText w:val="%8."/>
      <w:lvlJc w:val="left"/>
      <w:pPr>
        <w:ind w:left="7980" w:hanging="360"/>
      </w:pPr>
    </w:lvl>
    <w:lvl w:ilvl="8" w:tplc="0809001B">
      <w:start w:val="1"/>
      <w:numFmt w:val="lowerRoman"/>
      <w:lvlText w:val="%9."/>
      <w:lvlJc w:val="right"/>
      <w:pPr>
        <w:ind w:left="8700" w:hanging="180"/>
      </w:pPr>
    </w:lvl>
  </w:abstractNum>
  <w:abstractNum w:abstractNumId="19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75D52"/>
    <w:multiLevelType w:val="hybridMultilevel"/>
    <w:tmpl w:val="B622CBCC"/>
    <w:lvl w:ilvl="0" w:tplc="EF10EA04">
      <w:start w:val="1"/>
      <w:numFmt w:val="decimal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1734E"/>
    <w:multiLevelType w:val="hybridMultilevel"/>
    <w:tmpl w:val="6D12BDDC"/>
    <w:lvl w:ilvl="0" w:tplc="B0F4FC9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A2B4E"/>
    <w:multiLevelType w:val="hybridMultilevel"/>
    <w:tmpl w:val="20CCA952"/>
    <w:lvl w:ilvl="0" w:tplc="B0F4FC9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01C3344"/>
    <w:multiLevelType w:val="hybridMultilevel"/>
    <w:tmpl w:val="E674736E"/>
    <w:lvl w:ilvl="0" w:tplc="DBEA322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54B2370"/>
    <w:multiLevelType w:val="hybridMultilevel"/>
    <w:tmpl w:val="7720856A"/>
    <w:lvl w:ilvl="0" w:tplc="D090D7F2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29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3454C"/>
    <w:multiLevelType w:val="hybridMultilevel"/>
    <w:tmpl w:val="56B848AA"/>
    <w:lvl w:ilvl="0" w:tplc="C63A1486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2A83FFC"/>
    <w:multiLevelType w:val="hybridMultilevel"/>
    <w:tmpl w:val="CCC4EF9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4C12D88"/>
    <w:multiLevelType w:val="hybridMultilevel"/>
    <w:tmpl w:val="04C2D26E"/>
    <w:lvl w:ilvl="0" w:tplc="B0F4FC9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78004BB"/>
    <w:multiLevelType w:val="hybridMultilevel"/>
    <w:tmpl w:val="56B848AA"/>
    <w:lvl w:ilvl="0" w:tplc="C63A1486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81E3788"/>
    <w:multiLevelType w:val="hybridMultilevel"/>
    <w:tmpl w:val="3A1CBD0A"/>
    <w:lvl w:ilvl="0" w:tplc="B0F4FC9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9782BBC"/>
    <w:multiLevelType w:val="hybridMultilevel"/>
    <w:tmpl w:val="F5D22E1A"/>
    <w:lvl w:ilvl="0" w:tplc="38D6E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859DF"/>
    <w:multiLevelType w:val="hybridMultilevel"/>
    <w:tmpl w:val="319EEB8C"/>
    <w:lvl w:ilvl="0" w:tplc="B0F4FC9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8" w15:restartNumberingAfterBreak="0">
    <w:nsid w:val="5E412300"/>
    <w:multiLevelType w:val="multilevel"/>
    <w:tmpl w:val="0809001F"/>
    <w:lvl w:ilvl="0">
      <w:start w:val="1"/>
      <w:numFmt w:val="decimal"/>
      <w:pStyle w:val="Bullet2G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ParaNoG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3ABA"/>
    <w:multiLevelType w:val="multilevel"/>
    <w:tmpl w:val="9F60B15E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8C14FEF"/>
    <w:multiLevelType w:val="hybridMultilevel"/>
    <w:tmpl w:val="4ECE8A7A"/>
    <w:lvl w:ilvl="0" w:tplc="C63A1486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9836A18"/>
    <w:multiLevelType w:val="hybridMultilevel"/>
    <w:tmpl w:val="44FA8FC6"/>
    <w:lvl w:ilvl="0" w:tplc="0C090013">
      <w:start w:val="1"/>
      <w:numFmt w:val="upp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AE32A09"/>
    <w:multiLevelType w:val="hybridMultilevel"/>
    <w:tmpl w:val="B8DC87A6"/>
    <w:lvl w:ilvl="0" w:tplc="72A485D8">
      <w:start w:val="1"/>
      <w:numFmt w:val="decimal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38"/>
  </w:num>
  <w:num w:numId="5">
    <w:abstractNumId w:val="39"/>
  </w:num>
  <w:num w:numId="6">
    <w:abstractNumId w:val="43"/>
  </w:num>
  <w:num w:numId="7">
    <w:abstractNumId w:val="8"/>
  </w:num>
  <w:num w:numId="8">
    <w:abstractNumId w:val="31"/>
  </w:num>
  <w:num w:numId="9">
    <w:abstractNumId w:val="23"/>
  </w:num>
  <w:num w:numId="10">
    <w:abstractNumId w:val="14"/>
  </w:num>
  <w:num w:numId="11">
    <w:abstractNumId w:val="34"/>
  </w:num>
  <w:num w:numId="12">
    <w:abstractNumId w:val="26"/>
  </w:num>
  <w:num w:numId="13">
    <w:abstractNumId w:val="36"/>
  </w:num>
  <w:num w:numId="14">
    <w:abstractNumId w:val="32"/>
  </w:num>
  <w:num w:numId="15">
    <w:abstractNumId w:val="15"/>
  </w:num>
  <w:num w:numId="16">
    <w:abstractNumId w:val="13"/>
  </w:num>
  <w:num w:numId="17">
    <w:abstractNumId w:val="44"/>
  </w:num>
  <w:num w:numId="18">
    <w:abstractNumId w:val="33"/>
  </w:num>
  <w:num w:numId="19">
    <w:abstractNumId w:val="30"/>
  </w:num>
  <w:num w:numId="20">
    <w:abstractNumId w:val="3"/>
  </w:num>
  <w:num w:numId="21">
    <w:abstractNumId w:val="16"/>
  </w:num>
  <w:num w:numId="22">
    <w:abstractNumId w:val="6"/>
  </w:num>
  <w:num w:numId="23">
    <w:abstractNumId w:val="11"/>
  </w:num>
  <w:num w:numId="24">
    <w:abstractNumId w:val="2"/>
  </w:num>
  <w:num w:numId="25">
    <w:abstractNumId w:val="7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18"/>
  </w:num>
  <w:num w:numId="28">
    <w:abstractNumId w:val="27"/>
  </w:num>
  <w:num w:numId="29">
    <w:abstractNumId w:val="3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2"/>
  </w:num>
  <w:num w:numId="33">
    <w:abstractNumId w:val="12"/>
  </w:num>
  <w:num w:numId="3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D9"/>
    <w:rsid w:val="000030D9"/>
    <w:rsid w:val="000076D5"/>
    <w:rsid w:val="000204DC"/>
    <w:rsid w:val="00037ED2"/>
    <w:rsid w:val="00043663"/>
    <w:rsid w:val="000505CF"/>
    <w:rsid w:val="0008448B"/>
    <w:rsid w:val="000C3055"/>
    <w:rsid w:val="000D701C"/>
    <w:rsid w:val="000E2A71"/>
    <w:rsid w:val="00114439"/>
    <w:rsid w:val="00160263"/>
    <w:rsid w:val="00181F96"/>
    <w:rsid w:val="00185BED"/>
    <w:rsid w:val="001867BF"/>
    <w:rsid w:val="001A09C7"/>
    <w:rsid w:val="001A1371"/>
    <w:rsid w:val="001B346A"/>
    <w:rsid w:val="001E1CAD"/>
    <w:rsid w:val="001E290D"/>
    <w:rsid w:val="001F201A"/>
    <w:rsid w:val="002144FA"/>
    <w:rsid w:val="0023469A"/>
    <w:rsid w:val="00241847"/>
    <w:rsid w:val="00243C8A"/>
    <w:rsid w:val="0026279F"/>
    <w:rsid w:val="00267A0E"/>
    <w:rsid w:val="002901D9"/>
    <w:rsid w:val="002976C2"/>
    <w:rsid w:val="002B4C32"/>
    <w:rsid w:val="0032278B"/>
    <w:rsid w:val="003260FF"/>
    <w:rsid w:val="00343D95"/>
    <w:rsid w:val="003520EF"/>
    <w:rsid w:val="00374341"/>
    <w:rsid w:val="00397C83"/>
    <w:rsid w:val="003D1062"/>
    <w:rsid w:val="003D5984"/>
    <w:rsid w:val="003D767A"/>
    <w:rsid w:val="00420D7B"/>
    <w:rsid w:val="00450B21"/>
    <w:rsid w:val="00453B63"/>
    <w:rsid w:val="00455780"/>
    <w:rsid w:val="004653FA"/>
    <w:rsid w:val="00476B81"/>
    <w:rsid w:val="00476CEF"/>
    <w:rsid w:val="0049167B"/>
    <w:rsid w:val="004B0A1C"/>
    <w:rsid w:val="004D298E"/>
    <w:rsid w:val="004E4D42"/>
    <w:rsid w:val="005170C9"/>
    <w:rsid w:val="00517BC9"/>
    <w:rsid w:val="0054149D"/>
    <w:rsid w:val="0054472E"/>
    <w:rsid w:val="005662A9"/>
    <w:rsid w:val="005771AA"/>
    <w:rsid w:val="005827D4"/>
    <w:rsid w:val="0059622A"/>
    <w:rsid w:val="005C5878"/>
    <w:rsid w:val="005C7CEA"/>
    <w:rsid w:val="005D2E4E"/>
    <w:rsid w:val="005D3C0B"/>
    <w:rsid w:val="005E5217"/>
    <w:rsid w:val="005F0FA4"/>
    <w:rsid w:val="005F30EE"/>
    <w:rsid w:val="00600888"/>
    <w:rsid w:val="0060473A"/>
    <w:rsid w:val="00606EDF"/>
    <w:rsid w:val="00610BFF"/>
    <w:rsid w:val="00614B4E"/>
    <w:rsid w:val="006163CA"/>
    <w:rsid w:val="006333FB"/>
    <w:rsid w:val="00656392"/>
    <w:rsid w:val="0068781D"/>
    <w:rsid w:val="006959B0"/>
    <w:rsid w:val="006A5EE7"/>
    <w:rsid w:val="006B3E27"/>
    <w:rsid w:val="006B53DE"/>
    <w:rsid w:val="006B6507"/>
    <w:rsid w:val="006C104C"/>
    <w:rsid w:val="006F30EE"/>
    <w:rsid w:val="00702272"/>
    <w:rsid w:val="00726F9E"/>
    <w:rsid w:val="00733704"/>
    <w:rsid w:val="007541BA"/>
    <w:rsid w:val="00770CD9"/>
    <w:rsid w:val="00780362"/>
    <w:rsid w:val="0078071A"/>
    <w:rsid w:val="007E3F4E"/>
    <w:rsid w:val="00801A14"/>
    <w:rsid w:val="00803632"/>
    <w:rsid w:val="00850B8E"/>
    <w:rsid w:val="00852A9A"/>
    <w:rsid w:val="008F49E1"/>
    <w:rsid w:val="0090370F"/>
    <w:rsid w:val="00911B4A"/>
    <w:rsid w:val="009269D2"/>
    <w:rsid w:val="00941975"/>
    <w:rsid w:val="00942135"/>
    <w:rsid w:val="009521B0"/>
    <w:rsid w:val="009A7E9F"/>
    <w:rsid w:val="009E5018"/>
    <w:rsid w:val="009F00A8"/>
    <w:rsid w:val="009F15BC"/>
    <w:rsid w:val="00A12B37"/>
    <w:rsid w:val="00A13D0C"/>
    <w:rsid w:val="00A32291"/>
    <w:rsid w:val="00A50EC0"/>
    <w:rsid w:val="00A54442"/>
    <w:rsid w:val="00AA3959"/>
    <w:rsid w:val="00AB0F58"/>
    <w:rsid w:val="00AB6758"/>
    <w:rsid w:val="00B13763"/>
    <w:rsid w:val="00B44067"/>
    <w:rsid w:val="00B45F89"/>
    <w:rsid w:val="00B477A4"/>
    <w:rsid w:val="00B54045"/>
    <w:rsid w:val="00B675D0"/>
    <w:rsid w:val="00B73AAE"/>
    <w:rsid w:val="00B74F82"/>
    <w:rsid w:val="00BA0EE3"/>
    <w:rsid w:val="00BC4823"/>
    <w:rsid w:val="00C04E25"/>
    <w:rsid w:val="00C12E18"/>
    <w:rsid w:val="00C438D7"/>
    <w:rsid w:val="00C53FE8"/>
    <w:rsid w:val="00C77FB3"/>
    <w:rsid w:val="00C81B50"/>
    <w:rsid w:val="00CD1801"/>
    <w:rsid w:val="00D077A7"/>
    <w:rsid w:val="00D10EF1"/>
    <w:rsid w:val="00D42810"/>
    <w:rsid w:val="00D86E78"/>
    <w:rsid w:val="00D914A7"/>
    <w:rsid w:val="00DC6C59"/>
    <w:rsid w:val="00DD13C3"/>
    <w:rsid w:val="00DD596E"/>
    <w:rsid w:val="00DD621E"/>
    <w:rsid w:val="00DD74C6"/>
    <w:rsid w:val="00DF0575"/>
    <w:rsid w:val="00E36C2A"/>
    <w:rsid w:val="00E46840"/>
    <w:rsid w:val="00E70E04"/>
    <w:rsid w:val="00EB1EBB"/>
    <w:rsid w:val="00EC05A7"/>
    <w:rsid w:val="00EC13CA"/>
    <w:rsid w:val="00EC4B6B"/>
    <w:rsid w:val="00ED7442"/>
    <w:rsid w:val="00EF1EE5"/>
    <w:rsid w:val="00F5023D"/>
    <w:rsid w:val="00F763B4"/>
    <w:rsid w:val="00F81F7B"/>
    <w:rsid w:val="00F900C3"/>
    <w:rsid w:val="00FD3EB5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9224FE4"/>
  <w15:docId w15:val="{C3867B7A-5CA1-471B-AB37-B6D77F3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FA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uiPriority w:val="9"/>
    <w:qFormat/>
    <w:rsid w:val="004653FA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3FA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3FA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3F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53FA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53FA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4653FA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4653FA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4653FA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4653FA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4653FA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4653FA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4653F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4653F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4653F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4653F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4653FA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4653FA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4653FA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4653FA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4653FA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4653FA"/>
    <w:pPr>
      <w:numPr>
        <w:numId w:val="4"/>
      </w:numPr>
      <w:tabs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4653FA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C12E18"/>
    <w:pPr>
      <w:numPr>
        <w:numId w:val="32"/>
      </w:numPr>
      <w:tabs>
        <w:tab w:val="clear" w:pos="2310"/>
        <w:tab w:val="left" w:pos="2612"/>
      </w:tabs>
      <w:ind w:left="2612"/>
    </w:pPr>
  </w:style>
  <w:style w:type="paragraph" w:customStyle="1" w:styleId="Roman2GA">
    <w:name w:val="_Roman 2_GA"/>
    <w:basedOn w:val="Bullet2GA"/>
    <w:qFormat/>
    <w:rsid w:val="004653FA"/>
    <w:pPr>
      <w:numPr>
        <w:numId w:val="7"/>
      </w:numPr>
      <w:tabs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qFormat/>
    <w:rsid w:val="004653FA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rsid w:val="004653FA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4653FA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uiPriority w:val="99"/>
    <w:qFormat/>
    <w:rsid w:val="004653FA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uiPriority w:val="99"/>
    <w:rsid w:val="004653FA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4653FA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4653FA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4653FA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uiPriority w:val="9"/>
    <w:rsid w:val="004653FA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4653FA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4653FA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4653FA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653FA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rsid w:val="004653FA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rsid w:val="004653FA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rsid w:val="004653FA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rsid w:val="004653FA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rsid w:val="004653FA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rsid w:val="004653FA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653F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653FA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653FA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53FA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rsid w:val="004653FA"/>
    <w:rPr>
      <w:b/>
      <w:bCs/>
    </w:rPr>
  </w:style>
  <w:style w:type="table" w:styleId="TableGrid">
    <w:name w:val="Table Grid"/>
    <w:basedOn w:val="TableNormal"/>
    <w:rsid w:val="004653FA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53FA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4653FA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4653FA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4653FA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4653FA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4653FA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4653FA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4653FA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4653FA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4653FA"/>
    <w:rPr>
      <w:rFonts w:ascii="Times New Roman" w:eastAsia="PMingLiU" w:hAnsi="Times New Roman" w:cs="Simplified Arabic"/>
      <w:lang w:val="en-GB"/>
    </w:rPr>
  </w:style>
  <w:style w:type="character" w:customStyle="1" w:styleId="TOC1Char">
    <w:name w:val="TOC 1 Char"/>
    <w:basedOn w:val="DefaultParagraphFont"/>
    <w:link w:val="TOC1"/>
    <w:uiPriority w:val="39"/>
    <w:rsid w:val="004653FA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4653FA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4653FA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4653FA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4653FA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4653FA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NormalA">
    <w:name w:val="Normal_A"/>
    <w:basedOn w:val="Normal"/>
    <w:qFormat/>
    <w:rsid w:val="004653FA"/>
  </w:style>
  <w:style w:type="paragraph" w:customStyle="1" w:styleId="FootnoteGA">
    <w:name w:val="_Footnote_GA"/>
    <w:basedOn w:val="Normal"/>
    <w:qFormat/>
    <w:rsid w:val="004653FA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4653FA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4653FA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4653FA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4653FA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4653F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4653F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4653FA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911B4A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911B4A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911B4A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4653FA"/>
    <w:rPr>
      <w:lang w:val="en-US" w:eastAsia="zh-TW"/>
    </w:rPr>
  </w:style>
  <w:style w:type="paragraph" w:customStyle="1" w:styleId="STitleMGA">
    <w:name w:val="S_Title_M_GA"/>
    <w:basedOn w:val="SMGA"/>
    <w:qFormat/>
    <w:rsid w:val="004653FA"/>
    <w:rPr>
      <w:lang w:eastAsia="zh-TW"/>
    </w:rPr>
  </w:style>
  <w:style w:type="paragraph" w:customStyle="1" w:styleId="STitleSGA">
    <w:name w:val="S_Title_S_GA"/>
    <w:basedOn w:val="SSGA"/>
    <w:qFormat/>
    <w:rsid w:val="004653FA"/>
    <w:rPr>
      <w:lang w:eastAsia="zh-TW"/>
    </w:rPr>
  </w:style>
  <w:style w:type="paragraph" w:customStyle="1" w:styleId="HMG">
    <w:name w:val="_ H __M_G"/>
    <w:basedOn w:val="Normal"/>
    <w:next w:val="Normal"/>
    <w:rsid w:val="00EC13CA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  <w:outlineLvl w:val="0"/>
    </w:pPr>
    <w:rPr>
      <w:rFonts w:eastAsia="SimSun" w:hAnsiTheme="minorHAnsi" w:cs="Traditional Arabic" w:hint="cs"/>
      <w:b/>
      <w:sz w:val="34"/>
      <w:szCs w:val="30"/>
      <w:lang w:val="en-GB" w:eastAsia="zh-CN"/>
    </w:rPr>
  </w:style>
  <w:style w:type="paragraph" w:customStyle="1" w:styleId="HChG">
    <w:name w:val="_ H _Ch_G"/>
    <w:basedOn w:val="Normal"/>
    <w:next w:val="Normal"/>
    <w:rsid w:val="00EC13C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  <w:outlineLvl w:val="1"/>
    </w:pPr>
    <w:rPr>
      <w:rFonts w:eastAsia="SimSun" w:hAnsiTheme="minorHAnsi" w:cs="Traditional Arabic" w:hint="cs"/>
      <w:b/>
      <w:sz w:val="28"/>
      <w:szCs w:val="30"/>
      <w:lang w:val="en-GB" w:eastAsia="zh-CN"/>
    </w:rPr>
  </w:style>
  <w:style w:type="paragraph" w:customStyle="1" w:styleId="H1G">
    <w:name w:val="_ H_1_G"/>
    <w:basedOn w:val="Normal"/>
    <w:next w:val="Normal"/>
    <w:rsid w:val="00EC13C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  <w:outlineLvl w:val="2"/>
    </w:pPr>
    <w:rPr>
      <w:rFonts w:eastAsia="SimSun" w:hAnsiTheme="minorHAnsi" w:cs="Traditional Arabic" w:hint="cs"/>
      <w:b/>
      <w:sz w:val="24"/>
      <w:szCs w:val="30"/>
      <w:lang w:val="en-GB" w:eastAsia="zh-CN"/>
    </w:rPr>
  </w:style>
  <w:style w:type="paragraph" w:customStyle="1" w:styleId="H23G">
    <w:name w:val="_ H_2/3_G"/>
    <w:basedOn w:val="Normal"/>
    <w:next w:val="Normal"/>
    <w:rsid w:val="00EC13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  <w:outlineLvl w:val="3"/>
    </w:pPr>
    <w:rPr>
      <w:rFonts w:eastAsia="SimSun" w:hAnsiTheme="minorHAnsi" w:cs="Traditional Arabic" w:hint="cs"/>
      <w:b/>
      <w:szCs w:val="30"/>
      <w:lang w:val="en-GB" w:eastAsia="zh-CN"/>
    </w:rPr>
  </w:style>
  <w:style w:type="paragraph" w:customStyle="1" w:styleId="H4G">
    <w:name w:val="_ H_4_G"/>
    <w:basedOn w:val="Normal"/>
    <w:next w:val="Normal"/>
    <w:rsid w:val="00EC13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  <w:outlineLvl w:val="4"/>
    </w:pPr>
    <w:rPr>
      <w:rFonts w:eastAsia="SimSun" w:hAnsiTheme="minorHAnsi" w:cs="Traditional Arabic" w:hint="cs"/>
      <w:i/>
      <w:szCs w:val="30"/>
      <w:lang w:val="en-GB" w:eastAsia="zh-CN"/>
    </w:rPr>
  </w:style>
  <w:style w:type="paragraph" w:customStyle="1" w:styleId="H56G">
    <w:name w:val="_ H_5/6_G"/>
    <w:basedOn w:val="Normal"/>
    <w:next w:val="Normal"/>
    <w:rsid w:val="00EC13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  <w:outlineLvl w:val="5"/>
    </w:pPr>
    <w:rPr>
      <w:rFonts w:eastAsia="SimSun" w:hAnsiTheme="minorHAnsi" w:cs="Traditional Arabic" w:hint="cs"/>
      <w:szCs w:val="30"/>
      <w:lang w:val="en-GB" w:eastAsia="zh-CN"/>
    </w:rPr>
  </w:style>
  <w:style w:type="paragraph" w:customStyle="1" w:styleId="SingleTxtG">
    <w:name w:val="_ Single Txt_G"/>
    <w:basedOn w:val="Normal"/>
    <w:link w:val="SingleTxtGChar"/>
    <w:rsid w:val="00EC13CA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rFonts w:eastAsia="SimSun" w:hAnsiTheme="minorHAnsi" w:cs="Traditional Arabic"/>
      <w:szCs w:val="30"/>
      <w:lang w:val="en-GB" w:eastAsia="zh-CN"/>
    </w:rPr>
  </w:style>
  <w:style w:type="paragraph" w:customStyle="1" w:styleId="SLG">
    <w:name w:val="__S_L_G"/>
    <w:basedOn w:val="Normal"/>
    <w:next w:val="Normal"/>
    <w:rsid w:val="00EC13CA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eastAsia="SimSun" w:hAnsiTheme="minorHAnsi" w:cs="Traditional Arabic" w:hint="cs"/>
      <w:b/>
      <w:sz w:val="56"/>
      <w:szCs w:val="30"/>
      <w:lang w:val="en-GB" w:eastAsia="zh-CN"/>
    </w:rPr>
  </w:style>
  <w:style w:type="paragraph" w:customStyle="1" w:styleId="SMG">
    <w:name w:val="__S_M_G"/>
    <w:basedOn w:val="Normal"/>
    <w:next w:val="Normal"/>
    <w:rsid w:val="00EC13C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SimSun" w:hAnsiTheme="minorHAnsi" w:cs="Traditional Arabic" w:hint="cs"/>
      <w:b/>
      <w:sz w:val="40"/>
      <w:szCs w:val="30"/>
      <w:lang w:val="en-GB" w:eastAsia="zh-CN"/>
    </w:rPr>
  </w:style>
  <w:style w:type="paragraph" w:customStyle="1" w:styleId="SSG">
    <w:name w:val="__S_S_G"/>
    <w:basedOn w:val="Normal"/>
    <w:next w:val="Normal"/>
    <w:rsid w:val="00EC13CA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eastAsia="SimSun" w:hAnsiTheme="minorHAnsi" w:cs="Traditional Arabic" w:hint="cs"/>
      <w:b/>
      <w:sz w:val="28"/>
      <w:szCs w:val="30"/>
      <w:lang w:val="en-GB" w:eastAsia="zh-CN"/>
    </w:rPr>
  </w:style>
  <w:style w:type="paragraph" w:customStyle="1" w:styleId="XLargeG">
    <w:name w:val="__XLarge_G"/>
    <w:basedOn w:val="Normal"/>
    <w:next w:val="Normal"/>
    <w:rsid w:val="00EC13C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SimSun" w:hAnsiTheme="minorHAnsi" w:cs="Traditional Arabic" w:hint="cs"/>
      <w:b/>
      <w:sz w:val="40"/>
      <w:szCs w:val="30"/>
      <w:lang w:val="en-GB" w:eastAsia="zh-CN"/>
    </w:rPr>
  </w:style>
  <w:style w:type="paragraph" w:customStyle="1" w:styleId="Bullet1G">
    <w:name w:val="_Bullet 1_G"/>
    <w:basedOn w:val="Normal"/>
    <w:rsid w:val="00EC13CA"/>
    <w:pPr>
      <w:numPr>
        <w:numId w:val="1"/>
      </w:numPr>
      <w:suppressAutoHyphens/>
      <w:bidi w:val="0"/>
      <w:spacing w:after="120"/>
      <w:ind w:right="1134"/>
      <w:jc w:val="both"/>
    </w:pPr>
    <w:rPr>
      <w:rFonts w:eastAsia="SimSun" w:hAnsiTheme="minorHAnsi" w:cs="Traditional Arabic" w:hint="cs"/>
      <w:szCs w:val="30"/>
      <w:lang w:val="en-GB" w:eastAsia="zh-CN"/>
    </w:rPr>
  </w:style>
  <w:style w:type="paragraph" w:customStyle="1" w:styleId="Bullet2G">
    <w:name w:val="_Bullet 2_G"/>
    <w:basedOn w:val="Normal"/>
    <w:rsid w:val="00EC13CA"/>
    <w:pPr>
      <w:numPr>
        <w:numId w:val="2"/>
      </w:numPr>
      <w:suppressAutoHyphens/>
      <w:bidi w:val="0"/>
      <w:spacing w:after="120"/>
      <w:ind w:right="1134"/>
      <w:jc w:val="both"/>
    </w:pPr>
    <w:rPr>
      <w:rFonts w:eastAsia="SimSun" w:hAnsiTheme="minorHAnsi" w:cs="Traditional Arabic" w:hint="cs"/>
      <w:szCs w:val="30"/>
      <w:lang w:val="en-GB" w:eastAsia="zh-CN"/>
    </w:rPr>
  </w:style>
  <w:style w:type="paragraph" w:customStyle="1" w:styleId="ParaNoG">
    <w:name w:val="_ParaNo._G"/>
    <w:basedOn w:val="SingleTxtG"/>
    <w:rsid w:val="00EC13CA"/>
    <w:pPr>
      <w:tabs>
        <w:tab w:val="num" w:pos="0"/>
      </w:tabs>
    </w:pPr>
  </w:style>
  <w:style w:type="numbering" w:styleId="111111">
    <w:name w:val="Outline List 2"/>
    <w:basedOn w:val="NoList"/>
    <w:semiHidden/>
    <w:rsid w:val="00EC13CA"/>
    <w:pPr>
      <w:numPr>
        <w:numId w:val="5"/>
      </w:numPr>
    </w:pPr>
  </w:style>
  <w:style w:type="numbering" w:styleId="1ai">
    <w:name w:val="Outline List 1"/>
    <w:basedOn w:val="NoList"/>
    <w:semiHidden/>
    <w:rsid w:val="00EC13CA"/>
    <w:pPr>
      <w:numPr>
        <w:numId w:val="6"/>
      </w:numPr>
    </w:pPr>
  </w:style>
  <w:style w:type="character" w:styleId="EndnoteReference">
    <w:name w:val="endnote reference"/>
    <w:aliases w:val="1_G"/>
    <w:rsid w:val="00EC13C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C13CA"/>
    <w:pPr>
      <w:tabs>
        <w:tab w:val="right" w:pos="1021"/>
      </w:tabs>
      <w:suppressAutoHyphens/>
      <w:bidi w:val="0"/>
      <w:spacing w:line="220" w:lineRule="exact"/>
      <w:ind w:left="1134" w:right="1134" w:hanging="1134"/>
      <w:jc w:val="left"/>
    </w:pPr>
    <w:rPr>
      <w:rFonts w:eastAsia="SimSun" w:hAnsiTheme="minorHAnsi" w:cs="Traditional Arabic" w:hint="cs"/>
      <w:sz w:val="18"/>
      <w:szCs w:val="30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C13CA"/>
    <w:rPr>
      <w:rFonts w:ascii="Times New Roman" w:eastAsia="SimSun" w:cs="Traditional Arabic"/>
      <w:sz w:val="18"/>
      <w:szCs w:val="30"/>
      <w:lang w:val="en-GB" w:eastAsia="zh-CN"/>
    </w:rPr>
  </w:style>
  <w:style w:type="character" w:styleId="FootnoteReference">
    <w:name w:val="footnote reference"/>
    <w:aliases w:val="4_G"/>
    <w:rsid w:val="00EC13CA"/>
    <w:rPr>
      <w:rFonts w:ascii="Times New Roman" w:hAnsi="Times New Roman"/>
      <w:sz w:val="18"/>
      <w:vertAlign w:val="superscript"/>
    </w:rPr>
  </w:style>
  <w:style w:type="character" w:styleId="BookTitle">
    <w:name w:val="Book Title"/>
    <w:basedOn w:val="DefaultParagraphFont"/>
    <w:uiPriority w:val="33"/>
    <w:rsid w:val="00EC13C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CA"/>
    <w:pPr>
      <w:suppressAutoHyphens/>
      <w:bidi w:val="0"/>
      <w:spacing w:line="240" w:lineRule="auto"/>
      <w:jc w:val="left"/>
    </w:pPr>
    <w:rPr>
      <w:rFonts w:ascii="Tahoma" w:eastAsia="SimSun" w:hAnsi="Tahoma" w:cs="Tahoma" w:hint="cs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CA"/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EC13CA"/>
    <w:rPr>
      <w:rFonts w:ascii="Times New Roman" w:eastAsia="SimSun" w:cs="Traditional Arabic"/>
      <w:sz w:val="20"/>
      <w:szCs w:val="30"/>
      <w:lang w:val="en-GB" w:eastAsia="zh-CN"/>
    </w:rPr>
  </w:style>
  <w:style w:type="paragraph" w:styleId="ListParagraph">
    <w:name w:val="List Paragraph"/>
    <w:basedOn w:val="Normal"/>
    <w:uiPriority w:val="34"/>
    <w:qFormat/>
    <w:rsid w:val="00EC13CA"/>
    <w:pPr>
      <w:bidi w:val="0"/>
      <w:spacing w:line="276" w:lineRule="auto"/>
      <w:ind w:left="720" w:hanging="357"/>
      <w:contextualSpacing/>
      <w:jc w:val="left"/>
    </w:pPr>
    <w:rPr>
      <w:rFonts w:eastAsia="SimSun" w:hAnsiTheme="minorHAnsi" w:cs="Traditional Arabic" w:hint="cs"/>
      <w:sz w:val="22"/>
      <w:szCs w:val="3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C13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sites/default/files/Documents/Publications/Human_rights_indicators_ar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r/CRPD/C/JOR/CO/1" TargetMode="External"/><Relationship Id="rId13" Type="http://schemas.openxmlformats.org/officeDocument/2006/relationships/hyperlink" Target="https://undocs.org/ar/CRPD/C/BRA/CO/1" TargetMode="External"/><Relationship Id="rId18" Type="http://schemas.openxmlformats.org/officeDocument/2006/relationships/hyperlink" Target="https://undocs.org/ar/CRPD/C/SWE/CO/1" TargetMode="External"/><Relationship Id="rId3" Type="http://schemas.openxmlformats.org/officeDocument/2006/relationships/hyperlink" Target="https://undocs.org/ar/CRPD/C/27/D/51/2018" TargetMode="External"/><Relationship Id="rId21" Type="http://schemas.openxmlformats.org/officeDocument/2006/relationships/hyperlink" Target="https://undocs.org/ar/CRPD/C/15/4/Corr.1" TargetMode="External"/><Relationship Id="rId7" Type="http://schemas.openxmlformats.org/officeDocument/2006/relationships/hyperlink" Target="https://undocs.org/ar/CRPD/C/GTM/CO/1" TargetMode="External"/><Relationship Id="rId12" Type="http://schemas.openxmlformats.org/officeDocument/2006/relationships/hyperlink" Target="https://undocs.org/ar/CRPD/C/BOL/CO/1" TargetMode="External"/><Relationship Id="rId17" Type="http://schemas.openxmlformats.org/officeDocument/2006/relationships/hyperlink" Target="https://undocs.org/ar/CRPD/C/AUS/CO/1" TargetMode="External"/><Relationship Id="rId25" Type="http://schemas.openxmlformats.org/officeDocument/2006/relationships/hyperlink" Target="https://undocs.org/ar/CRPD/C/DNK/CO/1" TargetMode="External"/><Relationship Id="rId2" Type="http://schemas.openxmlformats.org/officeDocument/2006/relationships/hyperlink" Target="https://www.ilo.org/global/standards/introduction-to-international-labour-standards/conventions-and-recommendations/lang--en/index.htm" TargetMode="External"/><Relationship Id="rId16" Type="http://schemas.openxmlformats.org/officeDocument/2006/relationships/hyperlink" Target="https://undocs.org/ar/CRPD/C/DNK/CO/1" TargetMode="External"/><Relationship Id="rId20" Type="http://schemas.openxmlformats.org/officeDocument/2006/relationships/hyperlink" Target="https://undocs.org/ar/CRPD/C/15/4" TargetMode="External"/><Relationship Id="rId1" Type="http://schemas.openxmlformats.org/officeDocument/2006/relationships/hyperlink" Target="https://undocs.org/ar/A/HRC/43/41" TargetMode="External"/><Relationship Id="rId6" Type="http://schemas.openxmlformats.org/officeDocument/2006/relationships/hyperlink" Target="https://undocs.org/ar/CRPD/C/CAN/CO/1" TargetMode="External"/><Relationship Id="rId11" Type="http://schemas.openxmlformats.org/officeDocument/2006/relationships/hyperlink" Target="https://undocs.org/ar/CRPD/C/21/D/34/2015" TargetMode="External"/><Relationship Id="rId24" Type="http://schemas.openxmlformats.org/officeDocument/2006/relationships/hyperlink" Target="https://undocs.org/ar/CRPD/C/CZE/CO/1" TargetMode="External"/><Relationship Id="rId5" Type="http://schemas.openxmlformats.org/officeDocument/2006/relationships/hyperlink" Target="https://undocs.org/ar/CRPD/C/D/2010" TargetMode="External"/><Relationship Id="rId15" Type="http://schemas.openxmlformats.org/officeDocument/2006/relationships/hyperlink" Target="https://undocs.org/ar/CRPD/C/DEU/CO/1" TargetMode="External"/><Relationship Id="rId23" Type="http://schemas.openxmlformats.org/officeDocument/2006/relationships/hyperlink" Target="https://www.ohchr.org/sites/default/files/Documents/Publications/Human_rights_indicators_ar.pdf" TargetMode="External"/><Relationship Id="rId10" Type="http://schemas.openxmlformats.org/officeDocument/2006/relationships/hyperlink" Target="https://undocs.org/ar/CRPD/C/23/D/37/2016" TargetMode="External"/><Relationship Id="rId19" Type="http://schemas.openxmlformats.org/officeDocument/2006/relationships/hyperlink" Target="https://undocs.org/ar/CRPD/C/DEU/CO/1" TargetMode="External"/><Relationship Id="rId4" Type="http://schemas.openxmlformats.org/officeDocument/2006/relationships/hyperlink" Target="https://undocs.org/ar/CRPD/C/2/3" TargetMode="External"/><Relationship Id="rId9" Type="http://schemas.openxmlformats.org/officeDocument/2006/relationships/hyperlink" Target="https://undocs.org/ar/CRPD/C/URY/CO/1" TargetMode="External"/><Relationship Id="rId14" Type="http://schemas.openxmlformats.org/officeDocument/2006/relationships/hyperlink" Target="https://undocs.org/ar/CRPD/C/MUS/CO/1" TargetMode="External"/><Relationship Id="rId22" Type="http://schemas.openxmlformats.org/officeDocument/2006/relationships/hyperlink" Target="https://undocs.org/ar/CRPD/C/DNK/CO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6980-AF9E-49CF-931A-5A44A03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6</TotalTime>
  <Pages>22</Pages>
  <Words>8339</Words>
  <Characters>47704</Characters>
  <Application>Microsoft Office Word</Application>
  <DocSecurity>0</DocSecurity>
  <Lines>712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CRPD/C/GC/8</vt:lpstr>
      <vt:lpstr>    التعليق العام رقم 8(2022) بشأن حق الأشخاص ذوي الإعاقة في العمل والعمالة*</vt:lpstr>
      <vt:lpstr>    أولاً-	مقدمة</vt:lpstr>
      <vt:lpstr>    ثانياً-	نموذج التعامل مع الإعاقة من منظور حقوق الإنسان</vt:lpstr>
      <vt:lpstr>    ثالثاً-	المضمون المعياري</vt:lpstr>
      <vt:lpstr>        ألف-	الحق في العمل، على قدم المساواة مع الآخرين، بما في ذلك الحق في كسب الرزق ف</vt:lpstr>
      <vt:lpstr>        باء-	حظر التمييز على أساس الإعاقة (المادة 27(1)(أ))</vt:lpstr>
      <vt:lpstr>        جيم-	الحق في ظروف عمل عادلة وملائمة على قدم المساواة مع الآخرين (المادة 27(1)(ب</vt:lpstr>
      <vt:lpstr>        دال-	الحقوق العمالية والنقابية (المادة 27(1)(ج))</vt:lpstr>
      <vt:lpstr>        هاء-	الحصول على التوجيه التقني والمهني وخدمات التوظيف والتدريب (المادة 27(1)(د)</vt:lpstr>
      <vt:lpstr>        واو-	تعزيز فرص العمل والتقدم الوظيفي (المادة 27(1)(ه))</vt:lpstr>
      <vt:lpstr>        زاي-	تعزيز فرص العمل الحر ومباشرة الأعمال الحرة، وتكوين التعاونيات (المادة 27(1</vt:lpstr>
      <vt:lpstr>        حاء-	العمالة في القطاع العام (المادة 27(1)(ز))</vt:lpstr>
      <vt:lpstr>        طاء-	تشجيع العمالة في القطاع الخاص، بما في ذلك البرامج التصحيحية (المادة 27(1)(</vt:lpstr>
      <vt:lpstr>        ياء-	توفير الترتيبات التيسيرية المعقولة في مكان العمل (المادة 27(1)'ط')</vt:lpstr>
      <vt:lpstr>        كاف-	تعزيز اكتساب الخبرة العملية في سوق العمل المنفتحة (المادة 27(1)(ي))</vt:lpstr>
      <vt:lpstr>        لام-	تعزيز برامج إعادة التأهيل المهني والوظيفي، والاحتفاظ بالوظائف، والعودة إلى</vt:lpstr>
      <vt:lpstr>        ميم-	الرق والعبودية والعمل الجبري أو القسري (المادة 27(2))</vt:lpstr>
      <vt:lpstr>    رابعاً-	التزامات الدول الأطراف</vt:lpstr>
      <vt:lpstr>        ألف-	الالتزامات العامة</vt:lpstr>
      <vt:lpstr>        باء-	الالتزامات الأساسية</vt:lpstr>
      <vt:lpstr>    خامساً-	العلاقة بمواد أخرى في الاتفاقية</vt:lpstr>
      <vt:lpstr>    سادساً-	التنفيذ على الصعيد الوطني</vt:lpstr>
    </vt:vector>
  </TitlesOfParts>
  <Company>DCM</Company>
  <LinksUpToDate>false</LinksUpToDate>
  <CharactersWithSpaces>55881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CRPD/C/GC/8</dc:title>
  <dc:subject>GE.2216259(A)</dc:subject>
  <dc:creator>bah - </dc:creator>
  <cp:keywords>GE.(A)</cp:keywords>
  <dc:description>Distr.: General
7 October 2022
Arabic
Original: English</dc:description>
  <cp:lastModifiedBy>Jamal Alkahlout</cp:lastModifiedBy>
  <cp:revision>4</cp:revision>
  <cp:lastPrinted>2022-11-21T18:43:00Z</cp:lastPrinted>
  <dcterms:created xsi:type="dcterms:W3CDTF">2022-11-21T18:43:00Z</dcterms:created>
  <dcterms:modified xsi:type="dcterms:W3CDTF">2022-11-22T06:35:00Z</dcterms:modified>
</cp:coreProperties>
</file>