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BC55C8">
            <w:pPr>
              <w:rPr>
                <w:rFonts w:hint="cs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0967EB" w:rsidP="000967EB">
            <w:pPr>
              <w:bidi w:val="0"/>
              <w:spacing w:after="20"/>
              <w:jc w:val="left"/>
              <w:rPr>
                <w:szCs w:val="20"/>
              </w:rPr>
            </w:pPr>
            <w:r w:rsidRPr="000967EB">
              <w:rPr>
                <w:sz w:val="40"/>
                <w:szCs w:val="20"/>
              </w:rPr>
              <w:t>CRPD</w:t>
            </w:r>
            <w:r>
              <w:rPr>
                <w:szCs w:val="20"/>
              </w:rPr>
              <w:t>/C/5/2/Rev.1</w:t>
            </w:r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8D70D4" w:rsidRDefault="00257225" w:rsidP="008D70D4">
            <w:pPr>
              <w:jc w:val="right"/>
              <w:rPr>
                <w:rFonts w:hint="cs"/>
                <w:szCs w:val="6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0967EB" w:rsidRDefault="000967EB" w:rsidP="000967EB">
            <w:pPr>
              <w:bidi w:val="0"/>
              <w:spacing w:before="240"/>
              <w:jc w:val="left"/>
            </w:pPr>
            <w:r>
              <w:t>Distr.: General</w:t>
            </w:r>
          </w:p>
          <w:p w:rsidR="000967EB" w:rsidRDefault="000967EB" w:rsidP="000967EB">
            <w:pPr>
              <w:bidi w:val="0"/>
              <w:jc w:val="left"/>
            </w:pPr>
            <w:r>
              <w:t>12 April 2012</w:t>
            </w:r>
          </w:p>
          <w:p w:rsidR="000967EB" w:rsidRDefault="000967EB" w:rsidP="000967EB">
            <w:pPr>
              <w:bidi w:val="0"/>
              <w:jc w:val="left"/>
            </w:pPr>
            <w:r>
              <w:t>Arabic</w:t>
            </w:r>
          </w:p>
          <w:p w:rsidR="00257225" w:rsidRPr="008B4BC6" w:rsidRDefault="000967EB" w:rsidP="000967EB">
            <w:pPr>
              <w:bidi w:val="0"/>
              <w:jc w:val="left"/>
            </w:pPr>
            <w:r>
              <w:t>Original: English</w:t>
            </w:r>
          </w:p>
        </w:tc>
      </w:tr>
    </w:tbl>
    <w:p w:rsidR="000967EB" w:rsidRPr="009D3AAA" w:rsidRDefault="000967EB" w:rsidP="000967EB">
      <w:pPr>
        <w:spacing w:before="120" w:line="380" w:lineRule="exact"/>
        <w:rPr>
          <w:rFonts w:hint="cs"/>
          <w:b/>
          <w:bCs/>
          <w:sz w:val="36"/>
          <w:szCs w:val="36"/>
          <w:rtl/>
        </w:rPr>
      </w:pPr>
      <w:r w:rsidRPr="009D3AAA">
        <w:rPr>
          <w:b/>
          <w:bCs/>
          <w:sz w:val="36"/>
          <w:szCs w:val="36"/>
          <w:rtl/>
        </w:rPr>
        <w:t>اللجنة المعنية بحقوق الأشخاص ذوي الإعاقة</w:t>
      </w:r>
    </w:p>
    <w:p w:rsidR="000967EB" w:rsidRPr="009D3AAA" w:rsidRDefault="000967EB" w:rsidP="000967EB">
      <w:pPr>
        <w:spacing w:line="380" w:lineRule="exact"/>
        <w:rPr>
          <w:b/>
          <w:bCs/>
          <w:rtl/>
        </w:rPr>
      </w:pPr>
      <w:r w:rsidRPr="009D3AAA">
        <w:rPr>
          <w:b/>
          <w:bCs/>
          <w:rtl/>
        </w:rPr>
        <w:t>الدورة الخامسة</w:t>
      </w:r>
    </w:p>
    <w:p w:rsidR="000967EB" w:rsidRDefault="000967EB" w:rsidP="000967EB">
      <w:pPr>
        <w:spacing w:line="380" w:lineRule="exact"/>
        <w:rPr>
          <w:rtl/>
        </w:rPr>
      </w:pPr>
      <w:r>
        <w:rPr>
          <w:rtl/>
        </w:rPr>
        <w:t>11-1</w:t>
      </w:r>
      <w:r>
        <w:rPr>
          <w:rFonts w:hint="cs"/>
          <w:rtl/>
        </w:rPr>
        <w:t>5</w:t>
      </w:r>
      <w:r>
        <w:rPr>
          <w:rtl/>
        </w:rPr>
        <w:t xml:space="preserve"> نيسان/أبريل 2011</w:t>
      </w:r>
    </w:p>
    <w:p w:rsidR="000967EB" w:rsidRDefault="000967EB" w:rsidP="000967EB">
      <w:pPr>
        <w:pStyle w:val="HChGA"/>
        <w:ind w:right="1800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صفحة معلومات</w:t>
      </w:r>
      <w:r>
        <w:rPr>
          <w:rtl/>
        </w:rPr>
        <w:t xml:space="preserve"> بشأن إجراءات تقديم البلاغات إلى</w:t>
      </w:r>
      <w:r>
        <w:rPr>
          <w:rFonts w:hint="cs"/>
          <w:rtl/>
        </w:rPr>
        <w:t xml:space="preserve"> </w:t>
      </w:r>
      <w:r>
        <w:rPr>
          <w:rtl/>
        </w:rPr>
        <w:t>اللجنة</w:t>
      </w:r>
      <w:r>
        <w:rPr>
          <w:rFonts w:hint="cs"/>
          <w:rtl/>
        </w:rPr>
        <w:t xml:space="preserve"> </w:t>
      </w:r>
      <w:r>
        <w:rPr>
          <w:rtl/>
        </w:rPr>
        <w:t>المعنية بحقوق الأشخاص ذوي الإعاقة بموجب</w:t>
      </w:r>
      <w:r>
        <w:rPr>
          <w:rFonts w:hint="cs"/>
          <w:rtl/>
        </w:rPr>
        <w:t xml:space="preserve"> </w:t>
      </w:r>
      <w:r>
        <w:rPr>
          <w:rtl/>
        </w:rPr>
        <w:t xml:space="preserve">البروتوكول الاختياري </w:t>
      </w:r>
      <w:r>
        <w:rPr>
          <w:rFonts w:hint="cs"/>
          <w:rtl/>
        </w:rPr>
        <w:t>ل</w:t>
      </w:r>
      <w:r>
        <w:rPr>
          <w:rtl/>
        </w:rPr>
        <w:t>لاتفاقية</w:t>
      </w:r>
    </w:p>
    <w:p w:rsidR="000967EB" w:rsidRDefault="000967EB" w:rsidP="002E638C">
      <w:pPr>
        <w:pStyle w:val="SingleTxtGA"/>
        <w:rPr>
          <w:rtl/>
        </w:rPr>
      </w:pPr>
      <w:r>
        <w:rPr>
          <w:rtl/>
        </w:rPr>
        <w:t>1-</w:t>
      </w:r>
      <w:r>
        <w:rPr>
          <w:rtl/>
        </w:rPr>
        <w:tab/>
        <w:t>دخل البروتوكول الاختياري لاتفاقية حقوق الأشخاص ذوي الإعاقة حيز النفاذ في</w:t>
      </w:r>
      <w:r>
        <w:rPr>
          <w:rFonts w:hint="cs"/>
          <w:rtl/>
        </w:rPr>
        <w:t> </w:t>
      </w:r>
      <w:r>
        <w:rPr>
          <w:rtl/>
        </w:rPr>
        <w:t>3 أيار/مايو 2008. و</w:t>
      </w:r>
      <w:r>
        <w:rPr>
          <w:rFonts w:hint="cs"/>
          <w:rtl/>
        </w:rPr>
        <w:t>بموجب هذا البروتوكول، تتمتع</w:t>
      </w:r>
      <w:r>
        <w:rPr>
          <w:rtl/>
        </w:rPr>
        <w:t xml:space="preserve"> اللجنة المعنية بحقوق الأشخاص</w:t>
      </w:r>
      <w:r>
        <w:rPr>
          <w:rFonts w:hint="cs"/>
          <w:rtl/>
        </w:rPr>
        <w:t xml:space="preserve"> </w:t>
      </w:r>
      <w:r>
        <w:rPr>
          <w:rtl/>
        </w:rPr>
        <w:t>ذوي الإعاقة، وهي هيئة مؤلفة من خبر</w:t>
      </w:r>
      <w:r>
        <w:rPr>
          <w:rFonts w:hint="cs"/>
          <w:rtl/>
        </w:rPr>
        <w:t>اء</w:t>
      </w:r>
      <w:r>
        <w:rPr>
          <w:rtl/>
        </w:rPr>
        <w:t xml:space="preserve"> مستقل</w:t>
      </w:r>
      <w:r>
        <w:rPr>
          <w:rFonts w:hint="cs"/>
          <w:rtl/>
        </w:rPr>
        <w:t>ين</w:t>
      </w:r>
      <w:r>
        <w:rPr>
          <w:rtl/>
        </w:rPr>
        <w:t>، باختصاص تلقي بلاغات من أفراد أو</w:t>
      </w:r>
      <w:r w:rsidR="002E638C">
        <w:rPr>
          <w:rFonts w:hint="cs"/>
          <w:rtl/>
        </w:rPr>
        <w:t> </w:t>
      </w:r>
      <w:r>
        <w:rPr>
          <w:rtl/>
        </w:rPr>
        <w:t xml:space="preserve">مجموعات </w:t>
      </w:r>
      <w:r>
        <w:rPr>
          <w:rFonts w:hint="cs"/>
          <w:rtl/>
        </w:rPr>
        <w:t>من ال</w:t>
      </w:r>
      <w:r>
        <w:rPr>
          <w:rtl/>
        </w:rPr>
        <w:t>أفراد</w:t>
      </w:r>
      <w:r>
        <w:rPr>
          <w:rFonts w:hint="cs"/>
          <w:rtl/>
        </w:rPr>
        <w:t>،</w:t>
      </w:r>
      <w:r>
        <w:rPr>
          <w:rtl/>
        </w:rPr>
        <w:t xml:space="preserve"> أو بالنيابة عن</w:t>
      </w:r>
      <w:r>
        <w:rPr>
          <w:rFonts w:hint="cs"/>
          <w:rtl/>
        </w:rPr>
        <w:t>هم،</w:t>
      </w:r>
      <w:r>
        <w:rPr>
          <w:rtl/>
        </w:rPr>
        <w:t xml:space="preserve"> يدعون </w:t>
      </w:r>
      <w:r>
        <w:rPr>
          <w:rFonts w:hint="cs"/>
          <w:rtl/>
        </w:rPr>
        <w:t xml:space="preserve">فيها </w:t>
      </w:r>
      <w:r>
        <w:rPr>
          <w:rtl/>
        </w:rPr>
        <w:t xml:space="preserve">أنهم ضحايا انتهاك </w:t>
      </w:r>
      <w:r>
        <w:rPr>
          <w:rFonts w:hint="cs"/>
          <w:rtl/>
        </w:rPr>
        <w:t>ل</w:t>
      </w:r>
      <w:r>
        <w:rPr>
          <w:rtl/>
        </w:rPr>
        <w:t>لحقوق التي تعترف بها الاتفاقية وتحميها، والنظر في تلك البلاغات.</w:t>
      </w:r>
    </w:p>
    <w:p w:rsidR="000967EB" w:rsidRDefault="000967EB" w:rsidP="000967EB">
      <w:pPr>
        <w:pStyle w:val="SingleTxtGA"/>
        <w:rPr>
          <w:rtl/>
        </w:rPr>
      </w:pPr>
      <w:r>
        <w:rPr>
          <w:rtl/>
        </w:rPr>
        <w:t>2-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 xml:space="preserve">البلاغات المقدمة من أفراد أو مجموعات </w:t>
      </w:r>
      <w:r>
        <w:rPr>
          <w:rFonts w:hint="cs"/>
          <w:rtl/>
        </w:rPr>
        <w:t>من ال</w:t>
      </w:r>
      <w:r>
        <w:rPr>
          <w:rtl/>
        </w:rPr>
        <w:t xml:space="preserve">أفراد </w:t>
      </w:r>
      <w:r>
        <w:rPr>
          <w:rFonts w:hint="cs"/>
          <w:rtl/>
        </w:rPr>
        <w:t>ال</w:t>
      </w:r>
      <w:r>
        <w:rPr>
          <w:rtl/>
        </w:rPr>
        <w:t>خاضعين للولاية القضائية لدولة طرف في الاتفاقية والبروتوكول الاختياري</w:t>
      </w:r>
      <w:r>
        <w:rPr>
          <w:rFonts w:hint="cs"/>
          <w:rtl/>
        </w:rPr>
        <w:t xml:space="preserve"> الملحق بها، أو بالنيابة عنهم، تخضع</w:t>
      </w:r>
      <w:r>
        <w:rPr>
          <w:rtl/>
        </w:rPr>
        <w:t xml:space="preserve"> للأحكام الواردة في المادتين 1 و2 من البروتوكول الاختياري والمادة 55 </w:t>
      </w:r>
      <w:r w:rsidR="0060167B">
        <w:rPr>
          <w:rtl/>
        </w:rPr>
        <w:t>وما </w:t>
      </w:r>
      <w:r>
        <w:rPr>
          <w:rtl/>
        </w:rPr>
        <w:t xml:space="preserve">يليها من النظام الداخلي للجنة المعنية بحقوق الأشخاص ذوي الإعاقة. </w:t>
      </w:r>
    </w:p>
    <w:p w:rsidR="000967EB" w:rsidRDefault="000967EB" w:rsidP="000967EB">
      <w:pPr>
        <w:pStyle w:val="SingleTxtGA"/>
        <w:rPr>
          <w:rtl/>
        </w:rPr>
      </w:pPr>
      <w:r>
        <w:rPr>
          <w:rtl/>
        </w:rPr>
        <w:t>3-</w:t>
      </w:r>
      <w:r>
        <w:rPr>
          <w:rtl/>
        </w:rPr>
        <w:tab/>
        <w:t xml:space="preserve">وبموجب الفقرة 2 من المادة 1 من البروتوكول الاختياري والفقرة </w:t>
      </w:r>
      <w:r>
        <w:rPr>
          <w:rFonts w:hint="cs"/>
          <w:rtl/>
        </w:rPr>
        <w:t>4</w:t>
      </w:r>
      <w:r>
        <w:rPr>
          <w:rtl/>
        </w:rPr>
        <w:t xml:space="preserve"> من المادة 55 من النظام الداخلي للجنة،</w:t>
      </w:r>
      <w:r w:rsidR="0060167B">
        <w:rPr>
          <w:rtl/>
        </w:rPr>
        <w:t xml:space="preserve"> لا </w:t>
      </w:r>
      <w:r>
        <w:rPr>
          <w:rtl/>
        </w:rPr>
        <w:t xml:space="preserve">تتلقى اللجنة أي بلاغ </w:t>
      </w:r>
      <w:r>
        <w:rPr>
          <w:rFonts w:hint="cs"/>
          <w:rtl/>
        </w:rPr>
        <w:t>ي</w:t>
      </w:r>
      <w:r>
        <w:rPr>
          <w:rtl/>
        </w:rPr>
        <w:t>تعلق بدولة طرف في الاتفاقية</w:t>
      </w:r>
      <w:r>
        <w:rPr>
          <w:rFonts w:hint="cs"/>
          <w:rtl/>
        </w:rPr>
        <w:t xml:space="preserve"> ولكنها</w:t>
      </w:r>
      <w:r>
        <w:rPr>
          <w:rtl/>
        </w:rPr>
        <w:t xml:space="preserve"> ليست طرفاً في البروتوكول الاختياري.</w:t>
      </w:r>
    </w:p>
    <w:p w:rsidR="000967EB" w:rsidRDefault="000967EB" w:rsidP="000967EB">
      <w:pPr>
        <w:pStyle w:val="SingleTxtGA"/>
        <w:rPr>
          <w:rtl/>
        </w:rPr>
      </w:pPr>
      <w:r>
        <w:rPr>
          <w:rFonts w:hint="cs"/>
          <w:rtl/>
        </w:rPr>
        <w:t>4-</w:t>
      </w:r>
      <w:r>
        <w:rPr>
          <w:rFonts w:hint="cs"/>
          <w:rtl/>
        </w:rPr>
        <w:tab/>
      </w:r>
      <w:r>
        <w:rPr>
          <w:rtl/>
        </w:rPr>
        <w:t xml:space="preserve">وبموجب الفقرة 3 من المادة 55، مقروءةً بالاقتران مع المادة 24 من النظام الداخلي للجنة،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 xml:space="preserve">أن </w:t>
      </w:r>
      <w:r>
        <w:rPr>
          <w:rtl/>
        </w:rPr>
        <w:t xml:space="preserve">تقدم البلاغات خطياً أو بأي شكل </w:t>
      </w:r>
      <w:r>
        <w:rPr>
          <w:rFonts w:hint="cs"/>
          <w:rtl/>
        </w:rPr>
        <w:t xml:space="preserve">آخر </w:t>
      </w:r>
      <w:r>
        <w:rPr>
          <w:rtl/>
        </w:rPr>
        <w:t>بديل يتيح إحالة نسخة مقروءة من</w:t>
      </w:r>
      <w:r>
        <w:rPr>
          <w:rFonts w:hint="cs"/>
          <w:rtl/>
        </w:rPr>
        <w:t xml:space="preserve"> </w:t>
      </w:r>
      <w:r>
        <w:rPr>
          <w:rtl/>
        </w:rPr>
        <w:t>مضمونها إلى الدولة الطرف.</w:t>
      </w:r>
    </w:p>
    <w:p w:rsidR="000967EB" w:rsidRDefault="000967EB" w:rsidP="000967EB">
      <w:pPr>
        <w:pStyle w:val="SingleTxtGA"/>
        <w:rPr>
          <w:rtl/>
        </w:rPr>
      </w:pPr>
      <w:r>
        <w:rPr>
          <w:rtl/>
        </w:rPr>
        <w:t>5-</w:t>
      </w:r>
      <w:r>
        <w:rPr>
          <w:rtl/>
        </w:rPr>
        <w:tab/>
        <w:t xml:space="preserve">ولغات عمل الأمانة هي الإسبانية والإنكليزية والروسية والفرنسية؛ </w:t>
      </w:r>
      <w:r>
        <w:rPr>
          <w:rFonts w:hint="cs"/>
          <w:rtl/>
        </w:rPr>
        <w:t>و</w:t>
      </w:r>
      <w:r>
        <w:rPr>
          <w:rtl/>
        </w:rPr>
        <w:t>ينبغي تقديم كل البلاغات بإحدى هذه اللغات.</w:t>
      </w:r>
    </w:p>
    <w:p w:rsidR="000967EB" w:rsidRDefault="000967EB" w:rsidP="000967EB">
      <w:pPr>
        <w:pStyle w:val="SingleTxtGA"/>
        <w:rPr>
          <w:rtl/>
        </w:rPr>
      </w:pPr>
      <w:r>
        <w:rPr>
          <w:rtl/>
        </w:rPr>
        <w:t>6-</w:t>
      </w:r>
      <w:r>
        <w:rPr>
          <w:rtl/>
        </w:rPr>
        <w:tab/>
        <w:t>وبموجب الفقرة 2 من المادة 68 من النظام الداخلي للجنة، تطبق اللجنة المعايير المنصوص عليها في المادة 12 من الاتفاقية، التي تعترف لصاحب البلاغ أو</w:t>
      </w:r>
      <w:r>
        <w:rPr>
          <w:rFonts w:hint="cs"/>
          <w:rtl/>
        </w:rPr>
        <w:t xml:space="preserve"> </w:t>
      </w:r>
      <w:r>
        <w:rPr>
          <w:rtl/>
        </w:rPr>
        <w:t>الشخص المدعى أنه ضحية بالأهلية القانونية أمام اللجنة، بصرف النظر ع</w:t>
      </w:r>
      <w:r>
        <w:rPr>
          <w:rFonts w:hint="cs"/>
          <w:rtl/>
        </w:rPr>
        <w:t>ن اعتراف</w:t>
      </w:r>
      <w:r>
        <w:rPr>
          <w:rtl/>
        </w:rPr>
        <w:t xml:space="preserve"> الدولة الطرف الموجه ضدها البلاغ </w:t>
      </w:r>
      <w:r>
        <w:rPr>
          <w:rFonts w:hint="cs"/>
          <w:rtl/>
        </w:rPr>
        <w:t>به</w:t>
      </w:r>
      <w:r>
        <w:rPr>
          <w:rtl/>
        </w:rPr>
        <w:t xml:space="preserve">ذه الأهلية </w:t>
      </w:r>
      <w:r>
        <w:rPr>
          <w:rFonts w:hint="cs"/>
          <w:rtl/>
        </w:rPr>
        <w:t>أو عدم اعترافها بها</w:t>
      </w:r>
      <w:r>
        <w:rPr>
          <w:rtl/>
        </w:rPr>
        <w:t>.</w:t>
      </w:r>
    </w:p>
    <w:p w:rsidR="000967EB" w:rsidRPr="000967EB" w:rsidRDefault="000967EB" w:rsidP="000967EB">
      <w:pPr>
        <w:pStyle w:val="SingleTxtGA"/>
        <w:rPr>
          <w:rFonts w:hint="cs"/>
          <w:spacing w:val="-2"/>
          <w:rtl/>
        </w:rPr>
      </w:pPr>
      <w:r w:rsidRPr="000967EB">
        <w:rPr>
          <w:spacing w:val="-2"/>
          <w:rtl/>
        </w:rPr>
        <w:t>7-</w:t>
      </w:r>
      <w:r w:rsidRPr="000967EB">
        <w:rPr>
          <w:rFonts w:hint="cs"/>
          <w:spacing w:val="-2"/>
          <w:rtl/>
        </w:rPr>
        <w:tab/>
      </w:r>
      <w:r w:rsidRPr="000967EB">
        <w:rPr>
          <w:spacing w:val="-2"/>
          <w:rtl/>
        </w:rPr>
        <w:t>و</w:t>
      </w:r>
      <w:r w:rsidRPr="000967EB">
        <w:rPr>
          <w:rFonts w:hint="cs"/>
          <w:spacing w:val="-2"/>
          <w:rtl/>
        </w:rPr>
        <w:t xml:space="preserve">تنظر اللجنة في البلاغات المقدمة من </w:t>
      </w:r>
      <w:r w:rsidRPr="000967EB">
        <w:rPr>
          <w:rFonts w:hint="cs"/>
          <w:spacing w:val="-2"/>
          <w:rtl/>
          <w:lang w:bidi="ar"/>
        </w:rPr>
        <w:t>الشخص المدعى أنه ضحية (الأشخاص المدّعى أنهم ضحايا)</w:t>
      </w:r>
      <w:r w:rsidRPr="000967EB">
        <w:rPr>
          <w:rFonts w:hint="cs"/>
          <w:spacing w:val="-2"/>
          <w:rtl/>
        </w:rPr>
        <w:t xml:space="preserve"> أو من أي شخص يملك (أشخاص يملكون) ترخيص</w:t>
      </w:r>
      <w:r w:rsidR="0060167B">
        <w:rPr>
          <w:rFonts w:hint="cs"/>
          <w:spacing w:val="-2"/>
          <w:rtl/>
        </w:rPr>
        <w:t xml:space="preserve">اً </w:t>
      </w:r>
      <w:r w:rsidRPr="000967EB">
        <w:rPr>
          <w:rFonts w:hint="cs"/>
          <w:spacing w:val="-2"/>
          <w:rtl/>
        </w:rPr>
        <w:t>للتصرف نيابة عنه أو عنهم (يرجى تقديم</w:t>
      </w:r>
      <w:r w:rsidR="0060167B">
        <w:rPr>
          <w:rFonts w:hint="cs"/>
          <w:spacing w:val="-2"/>
          <w:rtl/>
        </w:rPr>
        <w:t xml:space="preserve"> ما </w:t>
      </w:r>
      <w:r w:rsidRPr="000967EB">
        <w:rPr>
          <w:rFonts w:hint="cs"/>
          <w:spacing w:val="-2"/>
          <w:rtl/>
        </w:rPr>
        <w:t xml:space="preserve">يؤكد هذا الترخيص، ويفي بهذا الغرض تقديم بيان موقع فقط). وأي شخص يقدم بلاغاً </w:t>
      </w:r>
      <w:r w:rsidRPr="000967EB">
        <w:rPr>
          <w:spacing w:val="-2"/>
          <w:rtl/>
        </w:rPr>
        <w:t xml:space="preserve">نيابةً عن أفراد أو مجموعات من الأفراد دون </w:t>
      </w:r>
      <w:r w:rsidRPr="000967EB">
        <w:rPr>
          <w:rFonts w:hint="cs"/>
          <w:spacing w:val="-2"/>
          <w:rtl/>
        </w:rPr>
        <w:t>تقديم</w:t>
      </w:r>
      <w:r w:rsidRPr="000967EB">
        <w:rPr>
          <w:spacing w:val="-2"/>
          <w:rtl/>
        </w:rPr>
        <w:t xml:space="preserve"> دليل على موافقتهم، فعل</w:t>
      </w:r>
      <w:r w:rsidRPr="000967EB">
        <w:rPr>
          <w:rFonts w:hint="cs"/>
          <w:spacing w:val="-2"/>
          <w:rtl/>
        </w:rPr>
        <w:t>يه</w:t>
      </w:r>
      <w:r w:rsidRPr="000967EB">
        <w:rPr>
          <w:spacing w:val="-2"/>
          <w:rtl/>
        </w:rPr>
        <w:t xml:space="preserve"> أن </w:t>
      </w:r>
      <w:r w:rsidRPr="000967EB">
        <w:rPr>
          <w:rFonts w:hint="cs"/>
          <w:spacing w:val="-2"/>
          <w:rtl/>
        </w:rPr>
        <w:t xml:space="preserve">يقدم </w:t>
      </w:r>
      <w:r w:rsidRPr="000967EB">
        <w:rPr>
          <w:spacing w:val="-2"/>
          <w:rtl/>
        </w:rPr>
        <w:t xml:space="preserve">تبريراً خطياً لسبب عدم قدرة الشخص المدعى أنه ضحية </w:t>
      </w:r>
      <w:r w:rsidRPr="000967EB">
        <w:rPr>
          <w:rFonts w:hint="cs"/>
          <w:spacing w:val="-2"/>
          <w:rtl/>
          <w:lang w:bidi="ar"/>
        </w:rPr>
        <w:t xml:space="preserve">(الأشخاص المدّعى أنهم ضحايا) </w:t>
      </w:r>
      <w:r w:rsidRPr="000967EB">
        <w:rPr>
          <w:spacing w:val="-2"/>
          <w:rtl/>
        </w:rPr>
        <w:t>على تقديم البلاغ بنفسه</w:t>
      </w:r>
      <w:r w:rsidRPr="000967EB">
        <w:rPr>
          <w:rFonts w:hint="cs"/>
          <w:spacing w:val="-2"/>
          <w:rtl/>
        </w:rPr>
        <w:t xml:space="preserve"> (بأنفسهم) وسبب عدم التمكن من تقديم</w:t>
      </w:r>
      <w:r w:rsidR="0060167B">
        <w:rPr>
          <w:rFonts w:hint="cs"/>
          <w:spacing w:val="-2"/>
          <w:rtl/>
        </w:rPr>
        <w:t xml:space="preserve"> ما </w:t>
      </w:r>
      <w:r w:rsidRPr="000967EB">
        <w:rPr>
          <w:rFonts w:hint="cs"/>
          <w:spacing w:val="-2"/>
          <w:rtl/>
        </w:rPr>
        <w:t>يؤكد الترخيص</w:t>
      </w:r>
      <w:r w:rsidRPr="000967EB">
        <w:rPr>
          <w:spacing w:val="-2"/>
          <w:rtl/>
        </w:rPr>
        <w:t>.</w:t>
      </w:r>
    </w:p>
    <w:p w:rsidR="000967EB" w:rsidRDefault="000967EB" w:rsidP="000967EB">
      <w:pPr>
        <w:pStyle w:val="SingleTxtGA"/>
        <w:rPr>
          <w:rtl/>
        </w:rPr>
      </w:pPr>
      <w:r>
        <w:rPr>
          <w:rtl/>
        </w:rPr>
        <w:t>8-</w:t>
      </w:r>
      <w:r>
        <w:rPr>
          <w:rtl/>
        </w:rPr>
        <w:tab/>
        <w:t>وبموجب المادة 2 من البروتوكول الاختياري، تعتبر اللجنة البلاغ غير مقبول في الحالات التالية:</w:t>
      </w:r>
    </w:p>
    <w:p w:rsidR="000967EB" w:rsidRDefault="000967EB" w:rsidP="000967EB">
      <w:pPr>
        <w:pStyle w:val="SingleTxtGA"/>
        <w:rPr>
          <w:rtl/>
        </w:rPr>
      </w:pPr>
      <w:r>
        <w:rPr>
          <w:rtl/>
        </w:rPr>
        <w:tab/>
        <w:t>(أ)</w:t>
      </w:r>
      <w:r>
        <w:rPr>
          <w:rtl/>
        </w:rPr>
        <w:tab/>
        <w:t>إذا كان البلاغ مجهول</w:t>
      </w:r>
      <w:r>
        <w:rPr>
          <w:rFonts w:hint="cs"/>
          <w:rtl/>
        </w:rPr>
        <w:t xml:space="preserve"> المصدر</w:t>
      </w:r>
      <w:r>
        <w:rPr>
          <w:rtl/>
        </w:rPr>
        <w:t>؛</w:t>
      </w:r>
    </w:p>
    <w:p w:rsidR="000967EB" w:rsidRDefault="000967EB" w:rsidP="000967EB">
      <w:pPr>
        <w:pStyle w:val="SingleTxtGA"/>
        <w:rPr>
          <w:rtl/>
        </w:rPr>
      </w:pPr>
      <w:r>
        <w:rPr>
          <w:rtl/>
        </w:rPr>
        <w:tab/>
        <w:t>(ب)</w:t>
      </w:r>
      <w:r>
        <w:rPr>
          <w:rtl/>
        </w:rPr>
        <w:tab/>
        <w:t xml:space="preserve">أو </w:t>
      </w:r>
      <w:r>
        <w:rPr>
          <w:rFonts w:hint="cs"/>
          <w:rtl/>
        </w:rPr>
        <w:t xml:space="preserve">إذا </w:t>
      </w:r>
      <w:r>
        <w:rPr>
          <w:rtl/>
        </w:rPr>
        <w:t>شكّل البلاغ إساءة استعمال للحق في تقديم هذه البلاغات أو كان متعارضاً مع أحكام الاتفاقية؛</w:t>
      </w:r>
    </w:p>
    <w:p w:rsidR="000967EB" w:rsidRDefault="000967EB" w:rsidP="002E638C">
      <w:pPr>
        <w:pStyle w:val="SingleTxtGA"/>
        <w:rPr>
          <w:rtl/>
        </w:rPr>
      </w:pPr>
      <w:r>
        <w:rPr>
          <w:rtl/>
        </w:rPr>
        <w:tab/>
        <w:t>(ج)</w:t>
      </w:r>
      <w:r>
        <w:rPr>
          <w:rtl/>
        </w:rPr>
        <w:tab/>
      </w:r>
      <w:r w:rsidRPr="00E97115">
        <w:rPr>
          <w:spacing w:val="-2"/>
          <w:rtl/>
        </w:rPr>
        <w:t xml:space="preserve">أو </w:t>
      </w:r>
      <w:r>
        <w:rPr>
          <w:rFonts w:hint="cs"/>
          <w:spacing w:val="-2"/>
          <w:rtl/>
        </w:rPr>
        <w:t xml:space="preserve">إذا </w:t>
      </w:r>
      <w:r w:rsidRPr="00E97115">
        <w:rPr>
          <w:spacing w:val="-2"/>
          <w:rtl/>
        </w:rPr>
        <w:t>كانت المسألة نفسها قد سبق أن نظرت فيها اللجنة أو كانت أو</w:t>
      </w:r>
      <w:r w:rsidR="002E638C">
        <w:rPr>
          <w:rFonts w:hint="eastAsia"/>
          <w:spacing w:val="-2"/>
          <w:rtl/>
        </w:rPr>
        <w:t> </w:t>
      </w:r>
      <w:r w:rsidR="0060167B">
        <w:rPr>
          <w:rFonts w:hint="cs"/>
          <w:spacing w:val="-2"/>
          <w:rtl/>
        </w:rPr>
        <w:t>ما </w:t>
      </w:r>
      <w:r w:rsidRPr="00E97115">
        <w:rPr>
          <w:spacing w:val="-2"/>
          <w:rtl/>
        </w:rPr>
        <w:t>زالت</w:t>
      </w:r>
      <w:r>
        <w:rPr>
          <w:rtl/>
        </w:rPr>
        <w:t xml:space="preserve"> محل دراسة في إطار إجراء آخر من إجراءات التحقيق الدولي أو التسوية الدولية؛</w:t>
      </w:r>
    </w:p>
    <w:p w:rsidR="000967EB" w:rsidRDefault="000967EB" w:rsidP="000967EB">
      <w:pPr>
        <w:pStyle w:val="SingleTxtGA"/>
        <w:rPr>
          <w:rtl/>
        </w:rPr>
      </w:pPr>
      <w:r>
        <w:rPr>
          <w:rtl/>
        </w:rPr>
        <w:tab/>
        <w:t>(د)</w:t>
      </w:r>
      <w:r>
        <w:rPr>
          <w:rFonts w:hint="cs"/>
          <w:rtl/>
        </w:rPr>
        <w:tab/>
      </w:r>
      <w:r>
        <w:rPr>
          <w:rtl/>
        </w:rPr>
        <w:t xml:space="preserve">أو </w:t>
      </w:r>
      <w:r>
        <w:rPr>
          <w:rFonts w:hint="cs"/>
          <w:rtl/>
        </w:rPr>
        <w:t>إذا</w:t>
      </w:r>
      <w:r w:rsidR="0060167B">
        <w:rPr>
          <w:rFonts w:hint="cs"/>
          <w:rtl/>
        </w:rPr>
        <w:t xml:space="preserve"> لم </w:t>
      </w:r>
      <w:r>
        <w:rPr>
          <w:rtl/>
        </w:rPr>
        <w:t>ت</w:t>
      </w:r>
      <w:r>
        <w:rPr>
          <w:rFonts w:hint="cs"/>
          <w:rtl/>
        </w:rPr>
        <w:t>ُ</w:t>
      </w:r>
      <w:r>
        <w:rPr>
          <w:rtl/>
        </w:rPr>
        <w:t xml:space="preserve">ستنفد جميع سبل الانتصاف المحلية. </w:t>
      </w:r>
      <w:r w:rsidR="0060167B">
        <w:rPr>
          <w:rtl/>
        </w:rPr>
        <w:t>ولا </w:t>
      </w:r>
      <w:r>
        <w:rPr>
          <w:rtl/>
        </w:rPr>
        <w:t>تسري هذه القاعدة إذا كان</w:t>
      </w:r>
      <w:r>
        <w:rPr>
          <w:rFonts w:hint="cs"/>
          <w:rtl/>
        </w:rPr>
        <w:t>ت الإجراءات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 xml:space="preserve">إعمال سبل الانتصاف </w:t>
      </w:r>
      <w:r>
        <w:rPr>
          <w:rFonts w:hint="cs"/>
          <w:rtl/>
        </w:rPr>
        <w:t xml:space="preserve">تطول على نحو </w:t>
      </w:r>
      <w:r>
        <w:rPr>
          <w:rtl/>
        </w:rPr>
        <w:t xml:space="preserve">غير معقول أو </w:t>
      </w:r>
      <w:r>
        <w:rPr>
          <w:rFonts w:hint="cs"/>
          <w:rtl/>
        </w:rPr>
        <w:t xml:space="preserve">إذا </w:t>
      </w:r>
      <w:r>
        <w:rPr>
          <w:rtl/>
        </w:rPr>
        <w:t>كان من</w:t>
      </w:r>
      <w:r>
        <w:rPr>
          <w:rFonts w:hint="cs"/>
          <w:rtl/>
        </w:rPr>
        <w:t xml:space="preserve"> </w:t>
      </w:r>
      <w:r>
        <w:rPr>
          <w:rtl/>
        </w:rPr>
        <w:t>غير</w:t>
      </w:r>
      <w:r>
        <w:rPr>
          <w:rFonts w:hint="cs"/>
          <w:rtl/>
        </w:rPr>
        <w:t xml:space="preserve"> </w:t>
      </w:r>
      <w:r>
        <w:rPr>
          <w:rtl/>
        </w:rPr>
        <w:t xml:space="preserve">المرجح أن </w:t>
      </w:r>
      <w:r>
        <w:rPr>
          <w:rFonts w:hint="cs"/>
          <w:rtl/>
        </w:rPr>
        <w:t>ت</w:t>
      </w:r>
      <w:r>
        <w:rPr>
          <w:rtl/>
        </w:rPr>
        <w:t>فضي إلى انتصاف فعال؛</w:t>
      </w:r>
    </w:p>
    <w:p w:rsidR="000967EB" w:rsidRDefault="000967EB" w:rsidP="000967EB">
      <w:pPr>
        <w:pStyle w:val="SingleTxtGA"/>
        <w:rPr>
          <w:rtl/>
        </w:rPr>
      </w:pPr>
      <w:r>
        <w:rPr>
          <w:rtl/>
        </w:rPr>
        <w:tab/>
        <w:t>(</w:t>
      </w:r>
      <w:r w:rsidRPr="000967EB">
        <w:rPr>
          <w:rFonts w:hint="cs"/>
          <w:sz w:val="30"/>
          <w:rtl/>
        </w:rPr>
        <w:t>ﻫ</w:t>
      </w:r>
      <w:r>
        <w:rPr>
          <w:rFonts w:hint="cs"/>
          <w:rtl/>
        </w:rPr>
        <w:t>)</w:t>
      </w:r>
      <w:r>
        <w:rPr>
          <w:rtl/>
        </w:rPr>
        <w:tab/>
        <w:t xml:space="preserve">أو إذا كان البلاغ يستند </w:t>
      </w:r>
      <w:r>
        <w:rPr>
          <w:rFonts w:hint="cs"/>
          <w:rtl/>
        </w:rPr>
        <w:t xml:space="preserve">بشكل واضح إلى أسس واهية </w:t>
      </w:r>
      <w:r>
        <w:rPr>
          <w:rtl/>
        </w:rPr>
        <w:t xml:space="preserve">أو </w:t>
      </w:r>
      <w:r>
        <w:rPr>
          <w:rFonts w:hint="cs"/>
          <w:rtl/>
        </w:rPr>
        <w:t>إذا</w:t>
      </w:r>
      <w:r w:rsidR="0060167B">
        <w:rPr>
          <w:rFonts w:hint="cs"/>
          <w:rtl/>
        </w:rPr>
        <w:t xml:space="preserve"> لم </w:t>
      </w:r>
      <w:r>
        <w:rPr>
          <w:rFonts w:hint="cs"/>
          <w:rtl/>
        </w:rPr>
        <w:t xml:space="preserve">يكن مسنوداً </w:t>
      </w:r>
      <w:r>
        <w:rPr>
          <w:rtl/>
        </w:rPr>
        <w:t xml:space="preserve">بأدلة كافية؛ </w:t>
      </w:r>
    </w:p>
    <w:p w:rsidR="000967EB" w:rsidRDefault="000967EB" w:rsidP="000967EB">
      <w:pPr>
        <w:pStyle w:val="SingleTxtGA"/>
        <w:rPr>
          <w:rtl/>
        </w:rPr>
      </w:pPr>
      <w:r>
        <w:rPr>
          <w:rFonts w:hint="cs"/>
          <w:rtl/>
        </w:rPr>
        <w:tab/>
      </w:r>
      <w:r>
        <w:rPr>
          <w:rtl/>
        </w:rPr>
        <w:t>(و‌)</w:t>
      </w:r>
      <w:r>
        <w:rPr>
          <w:rtl/>
        </w:rPr>
        <w:tab/>
        <w:t xml:space="preserve">أو إذا كانت الوقائع موضوع البلاغ قد حدثت قبل بدء نفاذ البروتوكول </w:t>
      </w:r>
      <w:r>
        <w:rPr>
          <w:rFonts w:hint="cs"/>
          <w:rtl/>
        </w:rPr>
        <w:t xml:space="preserve">الاختياري </w:t>
      </w:r>
      <w:r>
        <w:rPr>
          <w:rtl/>
        </w:rPr>
        <w:t>بالنسبة إلى الدولة الطرف المعنية، إلا إذا استمرت تلك الوقائع بعد تاريخ النفاذ.</w:t>
      </w:r>
    </w:p>
    <w:p w:rsidR="000967EB" w:rsidRDefault="000967EB" w:rsidP="000967EB">
      <w:pPr>
        <w:pStyle w:val="SingleTxtGA"/>
        <w:rPr>
          <w:rtl/>
        </w:rPr>
      </w:pPr>
      <w:r>
        <w:rPr>
          <w:rtl/>
        </w:rPr>
        <w:t>9-</w:t>
      </w:r>
      <w:r>
        <w:rPr>
          <w:rFonts w:hint="cs"/>
          <w:rtl/>
        </w:rPr>
        <w:tab/>
      </w:r>
      <w:r>
        <w:rPr>
          <w:rtl/>
        </w:rPr>
        <w:t>ودون الإخلال بأحكام المادة 2 من البروتوكول الاختياري، تتوخى اللجنة السرية في عرض أي بلاغ يقدم إليها على الدولة الطرف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عملاً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المادة 3 من البروتوكول الاختياري والفقرة 1 من المادة 70 من النظام الداخلي للجنة.</w:t>
      </w:r>
    </w:p>
    <w:p w:rsidR="000967EB" w:rsidRDefault="000967EB" w:rsidP="000967EB">
      <w:pPr>
        <w:pStyle w:val="SingleTxtGA"/>
        <w:spacing w:after="0"/>
        <w:rPr>
          <w:rtl/>
        </w:rPr>
      </w:pPr>
      <w:r>
        <w:rPr>
          <w:rtl/>
        </w:rPr>
        <w:t>10-</w:t>
      </w:r>
      <w:r>
        <w:rPr>
          <w:rtl/>
        </w:rPr>
        <w:tab/>
      </w:r>
      <w:r>
        <w:rPr>
          <w:rFonts w:hint="cs"/>
          <w:rtl/>
        </w:rPr>
        <w:t>ويمكن</w:t>
      </w:r>
      <w:r>
        <w:rPr>
          <w:rtl/>
        </w:rPr>
        <w:t xml:space="preserve"> الاطلاع على مزيد من المعلومات عن اتفاقية حقوق الأشخاص ذوي الإعاقة وبروتوكولها الاختياري والنظام الداخلي للجنة في الموقع الشبكي التالي:</w:t>
      </w:r>
    </w:p>
    <w:p w:rsidR="000967EB" w:rsidRDefault="000967EB" w:rsidP="000967EB">
      <w:pPr>
        <w:pStyle w:val="SingleTxtGA"/>
        <w:rPr>
          <w:rFonts w:hint="cs"/>
          <w:rtl/>
        </w:rPr>
      </w:pPr>
      <w:r>
        <w:t>http://www.ohchr.org/EN/HRBodies/CRPD/Pages/CRPDIndex.aspx</w:t>
      </w:r>
      <w:r>
        <w:rPr>
          <w:rFonts w:hint="cs"/>
          <w:rtl/>
        </w:rPr>
        <w:t>.</w:t>
      </w:r>
    </w:p>
    <w:p w:rsidR="000967EB" w:rsidRDefault="000967EB" w:rsidP="000967EB">
      <w:pPr>
        <w:pStyle w:val="SingleTxtGA"/>
        <w:rPr>
          <w:rFonts w:hint="cs"/>
          <w:rtl/>
        </w:rPr>
      </w:pPr>
      <w:r>
        <w:rPr>
          <w:rtl/>
        </w:rPr>
        <w:t>11-</w:t>
      </w:r>
      <w:r>
        <w:rPr>
          <w:rtl/>
        </w:rPr>
        <w:tab/>
        <w:t xml:space="preserve">ولتقديم أي بلاغ، يرجى اتباع المبادئ التوجيهية </w:t>
      </w:r>
      <w:r>
        <w:rPr>
          <w:rFonts w:hint="cs"/>
          <w:rtl/>
        </w:rPr>
        <w:t xml:space="preserve">الواردة في الوثيقة </w:t>
      </w:r>
      <w:r>
        <w:rPr>
          <w:lang w:val="fr-CH"/>
        </w:rPr>
        <w:t>CRPD</w:t>
      </w:r>
      <w:r>
        <w:t>/C/5/3/Rev.1</w:t>
      </w:r>
      <w:r>
        <w:rPr>
          <w:rtl/>
        </w:rPr>
        <w:t>. ويرجى</w:t>
      </w:r>
      <w:r>
        <w:rPr>
          <w:rFonts w:hint="cs"/>
          <w:rtl/>
        </w:rPr>
        <w:t xml:space="preserve"> </w:t>
      </w:r>
      <w:r>
        <w:rPr>
          <w:rtl/>
        </w:rPr>
        <w:t>تقديم، إضافة إلى جميع المعلومات ذات الصلة بالبلاغ المتاحة وقت تقديمه، أي</w:t>
      </w:r>
      <w:r>
        <w:rPr>
          <w:rFonts w:hint="cs"/>
          <w:rtl/>
        </w:rPr>
        <w:t>ة</w:t>
      </w:r>
      <w:r>
        <w:rPr>
          <w:rtl/>
        </w:rPr>
        <w:t xml:space="preserve"> معلومات </w:t>
      </w:r>
      <w:r>
        <w:rPr>
          <w:rFonts w:hint="cs"/>
          <w:rtl/>
        </w:rPr>
        <w:t>يُتحصل عليها</w:t>
      </w:r>
      <w:r>
        <w:rPr>
          <w:rtl/>
        </w:rPr>
        <w:t xml:space="preserve"> في وقت لاحق، من قبيل الوثائق التي تثبت استنفاد سبل الانتصاف المحلية </w:t>
      </w:r>
      <w:r>
        <w:rPr>
          <w:rFonts w:hint="cs"/>
          <w:rtl/>
        </w:rPr>
        <w:t>أ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 xml:space="preserve">الوثائق التي تتضمن معلومات ذات صلة </w:t>
      </w:r>
      <w:r>
        <w:rPr>
          <w:rFonts w:hint="cs"/>
          <w:rtl/>
        </w:rPr>
        <w:t>بالقضية</w:t>
      </w:r>
      <w:r>
        <w:rPr>
          <w:rtl/>
        </w:rPr>
        <w:t xml:space="preserve"> (كقرارات المحاكم المحلية، والتشريعات الداخلية، </w:t>
      </w:r>
      <w:r>
        <w:rPr>
          <w:rFonts w:hint="cs"/>
          <w:rtl/>
        </w:rPr>
        <w:t>وما</w:t>
      </w:r>
      <w:r>
        <w:rPr>
          <w:rFonts w:hint="eastAsia"/>
          <w:rtl/>
        </w:rPr>
        <w:t> </w:t>
      </w:r>
      <w:r>
        <w:rPr>
          <w:rFonts w:hint="cs"/>
          <w:rtl/>
        </w:rPr>
        <w:t>إلى</w:t>
      </w:r>
      <w:r>
        <w:rPr>
          <w:rFonts w:hint="eastAsia"/>
          <w:rtl/>
        </w:rPr>
        <w:t> </w:t>
      </w:r>
      <w:r>
        <w:rPr>
          <w:rFonts w:hint="cs"/>
          <w:rtl/>
        </w:rPr>
        <w:t>ذلك</w:t>
      </w:r>
      <w:r>
        <w:rPr>
          <w:rtl/>
        </w:rPr>
        <w:t>).</w:t>
      </w:r>
    </w:p>
    <w:p w:rsidR="000967EB" w:rsidRPr="00E97115" w:rsidRDefault="000967EB" w:rsidP="000967EB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0967EB" w:rsidRPr="00E97115" w:rsidSect="0071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EE" w:rsidRPr="00FE6865" w:rsidRDefault="00E105EE" w:rsidP="00FE6865">
      <w:pPr>
        <w:pStyle w:val="Footer"/>
      </w:pPr>
    </w:p>
  </w:endnote>
  <w:endnote w:type="continuationSeparator" w:id="0">
    <w:p w:rsidR="00E105EE" w:rsidRDefault="00E1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EB" w:rsidRPr="000967EB" w:rsidRDefault="000967EB" w:rsidP="000967EB">
    <w:pPr>
      <w:pStyle w:val="Footer"/>
      <w:tabs>
        <w:tab w:val="right" w:pos="9598"/>
      </w:tabs>
    </w:pPr>
    <w:r>
      <w:t>GE.12-41743</w:t>
    </w:r>
    <w:r>
      <w:tab/>
    </w:r>
    <w:r w:rsidRPr="000967EB">
      <w:rPr>
        <w:b/>
        <w:sz w:val="18"/>
      </w:rPr>
      <w:fldChar w:fldCharType="begin"/>
    </w:r>
    <w:r w:rsidRPr="000967EB">
      <w:rPr>
        <w:b/>
        <w:sz w:val="18"/>
      </w:rPr>
      <w:instrText xml:space="preserve"> PAGE  \* MERGEFORMAT </w:instrText>
    </w:r>
    <w:r w:rsidRPr="000967EB">
      <w:rPr>
        <w:b/>
        <w:sz w:val="18"/>
      </w:rPr>
      <w:fldChar w:fldCharType="separate"/>
    </w:r>
    <w:r w:rsidR="002E638C">
      <w:rPr>
        <w:b/>
        <w:noProof/>
        <w:sz w:val="18"/>
      </w:rPr>
      <w:t>2</w:t>
    </w:r>
    <w:r w:rsidRPr="000967E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EB" w:rsidRPr="000967EB" w:rsidRDefault="000967EB" w:rsidP="000967EB">
    <w:pPr>
      <w:pStyle w:val="Footer"/>
      <w:tabs>
        <w:tab w:val="right" w:pos="9598"/>
      </w:tabs>
      <w:rPr>
        <w:b/>
        <w:sz w:val="18"/>
      </w:rPr>
    </w:pPr>
    <w:r w:rsidRPr="000967EB">
      <w:rPr>
        <w:b/>
        <w:sz w:val="18"/>
      </w:rPr>
      <w:fldChar w:fldCharType="begin"/>
    </w:r>
    <w:r w:rsidRPr="000967EB">
      <w:rPr>
        <w:b/>
        <w:sz w:val="18"/>
      </w:rPr>
      <w:instrText xml:space="preserve"> PAGE  \* MERGEFORMAT </w:instrText>
    </w:r>
    <w:r w:rsidRPr="000967EB">
      <w:rPr>
        <w:b/>
        <w:sz w:val="18"/>
      </w:rPr>
      <w:fldChar w:fldCharType="separate"/>
    </w:r>
    <w:r w:rsidR="002E638C">
      <w:rPr>
        <w:b/>
        <w:noProof/>
        <w:sz w:val="18"/>
      </w:rPr>
      <w:t>3</w:t>
    </w:r>
    <w:r w:rsidRPr="000967EB">
      <w:rPr>
        <w:b/>
        <w:sz w:val="18"/>
      </w:rPr>
      <w:fldChar w:fldCharType="end"/>
    </w:r>
    <w:r>
      <w:rPr>
        <w:b/>
        <w:sz w:val="18"/>
      </w:rPr>
      <w:tab/>
    </w:r>
    <w:r>
      <w:t>GE.12-41743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2A" w:rsidRDefault="000967EB" w:rsidP="002E638C">
    <w:pPr>
      <w:pStyle w:val="Footer"/>
      <w:jc w:val="right"/>
    </w:pPr>
    <w:r>
      <w:rPr>
        <w:sz w:val="20"/>
      </w:rPr>
      <w:t>(A)   GE.12-41743</w:t>
    </w:r>
    <w:r w:rsidR="0074672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1.5pt;height:25.5pt;z-index:-2;mso-position-horizontal-relative:text;mso-position-vertical-relative:text" wrapcoords="-177 0 -177 20965 21600 20965 21600 0 -177 0" o:allowincell="f">
          <v:imagedata r:id="rId1" o:title="PleaseRecycleArabic"/>
          <w10:wrap type="tight"/>
          <w10:anchorlock/>
        </v:shape>
      </w:pict>
    </w:r>
    <w:r w:rsidR="0060167B">
      <w:rPr>
        <w:sz w:val="20"/>
      </w:rPr>
      <w:t xml:space="preserve">    180412    2</w:t>
    </w:r>
    <w:r w:rsidR="002E638C">
      <w:rPr>
        <w:sz w:val="20"/>
      </w:rPr>
      <w:t>3</w:t>
    </w:r>
    <w:r w:rsidR="0060167B">
      <w:rPr>
        <w:sz w:val="20"/>
      </w:rPr>
      <w:t>0412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EE" w:rsidRDefault="00E105EE" w:rsidP="0024127C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E105EE" w:rsidRDefault="00E105EE" w:rsidP="0024127C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EB" w:rsidRPr="000967EB" w:rsidRDefault="000967EB" w:rsidP="000967EB">
    <w:pPr>
      <w:pStyle w:val="Header"/>
      <w:jc w:val="right"/>
    </w:pPr>
    <w:r w:rsidRPr="000967EB">
      <w:t>CRPD/C/5/2/Rev.1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2A" w:rsidRPr="000967EB" w:rsidRDefault="000967EB" w:rsidP="000967EB">
    <w:pPr>
      <w:pStyle w:val="Header"/>
      <w:jc w:val="left"/>
    </w:pPr>
    <w:r w:rsidRPr="000967EB">
      <w:t>CRPD/C/5/2/Rev.1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2A" w:rsidRDefault="0074672A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30.55pt;margin-top:19.35pt;width:192.45pt;height:97.65pt;z-index:2" o:allowincell="f" filled="f" stroked="f">
          <v:textbox inset="0,0,0,0">
            <w:txbxContent>
              <w:p w:rsidR="0074672A" w:rsidRPr="002E4D7B" w:rsidRDefault="0074672A" w:rsidP="002E4D7B">
                <w:pPr>
                  <w:spacing w:line="600" w:lineRule="exact"/>
                  <w:jc w:val="left"/>
                  <w:rPr>
                    <w:rFonts w:hint="cs"/>
                    <w:szCs w:val="56"/>
                  </w:rPr>
                </w:pPr>
                <w:r>
                  <w:rPr>
                    <w:rFonts w:hint="cs"/>
                    <w:b/>
                    <w:bCs/>
                    <w:sz w:val="56"/>
                    <w:szCs w:val="56"/>
                    <w:rtl/>
                  </w:rPr>
                  <w:t>اتفاقية حقوق الأشخاص</w:t>
                </w:r>
                <w:r>
                  <w:rPr>
                    <w:rFonts w:hint="cs"/>
                    <w:b/>
                    <w:bCs/>
                    <w:sz w:val="56"/>
                    <w:szCs w:val="56"/>
                    <w:rtl/>
                  </w:rPr>
                  <w:br/>
                  <w:t>ذوي الإعاقة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4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1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1"/>
  </w:num>
  <w:num w:numId="22">
    <w:abstractNumId w:val="13"/>
  </w:num>
  <w:num w:numId="23">
    <w:abstractNumId w:val="8"/>
  </w:num>
  <w:num w:numId="24">
    <w:abstractNumId w:val="20"/>
  </w:num>
  <w:num w:numId="25">
    <w:abstractNumId w:val="13"/>
  </w:num>
  <w:num w:numId="26">
    <w:abstractNumId w:val="1"/>
  </w:num>
  <w:num w:numId="27">
    <w:abstractNumId w:val="3"/>
  </w:num>
  <w:num w:numId="28">
    <w:abstractNumId w:val="2"/>
  </w:num>
  <w:num w:numId="29">
    <w:abstractNumId w:val="15"/>
  </w:num>
  <w:num w:numId="30">
    <w:abstractNumId w:val="4"/>
  </w:num>
  <w:num w:numId="31">
    <w:abstractNumId w:val="7"/>
  </w:num>
  <w:num w:numId="32">
    <w:abstractNumId w:val="14"/>
  </w:num>
  <w:num w:numId="33">
    <w:abstractNumId w:val="17"/>
  </w:num>
  <w:num w:numId="34">
    <w:abstractNumId w:val="21"/>
  </w:num>
  <w:num w:numId="35">
    <w:abstractNumId w:val="5"/>
  </w:num>
  <w:num w:numId="36">
    <w:abstractNumId w:val="16"/>
  </w:num>
  <w:num w:numId="37">
    <w:abstractNumId w:val="18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68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72A"/>
    <w:rsid w:val="00040E25"/>
    <w:rsid w:val="00042149"/>
    <w:rsid w:val="000648EA"/>
    <w:rsid w:val="000957C8"/>
    <w:rsid w:val="000967EB"/>
    <w:rsid w:val="00097049"/>
    <w:rsid w:val="000A04D5"/>
    <w:rsid w:val="000B52F2"/>
    <w:rsid w:val="000D0EAE"/>
    <w:rsid w:val="000D5380"/>
    <w:rsid w:val="000D6654"/>
    <w:rsid w:val="000E103D"/>
    <w:rsid w:val="000F0264"/>
    <w:rsid w:val="000F2EBF"/>
    <w:rsid w:val="000F3A9F"/>
    <w:rsid w:val="000F5FF6"/>
    <w:rsid w:val="001022B5"/>
    <w:rsid w:val="00113FA5"/>
    <w:rsid w:val="001455A0"/>
    <w:rsid w:val="001602A3"/>
    <w:rsid w:val="001A5161"/>
    <w:rsid w:val="001A60BD"/>
    <w:rsid w:val="001B1104"/>
    <w:rsid w:val="00232277"/>
    <w:rsid w:val="0023736D"/>
    <w:rsid w:val="0024127C"/>
    <w:rsid w:val="00257225"/>
    <w:rsid w:val="002E4D7B"/>
    <w:rsid w:val="002E638C"/>
    <w:rsid w:val="00310160"/>
    <w:rsid w:val="00341A8C"/>
    <w:rsid w:val="003519E6"/>
    <w:rsid w:val="0038155D"/>
    <w:rsid w:val="003B4356"/>
    <w:rsid w:val="003F08A8"/>
    <w:rsid w:val="004250E3"/>
    <w:rsid w:val="00472A81"/>
    <w:rsid w:val="004A20A6"/>
    <w:rsid w:val="004B2C92"/>
    <w:rsid w:val="004D6A3A"/>
    <w:rsid w:val="004F4AD7"/>
    <w:rsid w:val="00557CD3"/>
    <w:rsid w:val="00571432"/>
    <w:rsid w:val="005732A2"/>
    <w:rsid w:val="005762A5"/>
    <w:rsid w:val="00590BA3"/>
    <w:rsid w:val="005B46D9"/>
    <w:rsid w:val="005B7AE0"/>
    <w:rsid w:val="005F146F"/>
    <w:rsid w:val="005F71B6"/>
    <w:rsid w:val="0060167B"/>
    <w:rsid w:val="00654786"/>
    <w:rsid w:val="00660FD4"/>
    <w:rsid w:val="006A3E06"/>
    <w:rsid w:val="006A4425"/>
    <w:rsid w:val="006B00A4"/>
    <w:rsid w:val="006B4669"/>
    <w:rsid w:val="006F6BF8"/>
    <w:rsid w:val="00707BDF"/>
    <w:rsid w:val="00710727"/>
    <w:rsid w:val="00715F45"/>
    <w:rsid w:val="00731815"/>
    <w:rsid w:val="00731B84"/>
    <w:rsid w:val="00734AE7"/>
    <w:rsid w:val="0074672A"/>
    <w:rsid w:val="0079344E"/>
    <w:rsid w:val="007E197F"/>
    <w:rsid w:val="007F68C4"/>
    <w:rsid w:val="008153DE"/>
    <w:rsid w:val="00852A10"/>
    <w:rsid w:val="00862634"/>
    <w:rsid w:val="00866C59"/>
    <w:rsid w:val="00877306"/>
    <w:rsid w:val="008A6242"/>
    <w:rsid w:val="008B4BC6"/>
    <w:rsid w:val="008D70D4"/>
    <w:rsid w:val="00901E57"/>
    <w:rsid w:val="009070DF"/>
    <w:rsid w:val="00935F0E"/>
    <w:rsid w:val="0095208F"/>
    <w:rsid w:val="00977B3F"/>
    <w:rsid w:val="009814AE"/>
    <w:rsid w:val="009901D3"/>
    <w:rsid w:val="00996BBE"/>
    <w:rsid w:val="009B2C03"/>
    <w:rsid w:val="009D1DD5"/>
    <w:rsid w:val="009F722C"/>
    <w:rsid w:val="00A1410D"/>
    <w:rsid w:val="00A26157"/>
    <w:rsid w:val="00A265C3"/>
    <w:rsid w:val="00A33AF7"/>
    <w:rsid w:val="00A43F9A"/>
    <w:rsid w:val="00A53F38"/>
    <w:rsid w:val="00A543D4"/>
    <w:rsid w:val="00AD0014"/>
    <w:rsid w:val="00AD4CF2"/>
    <w:rsid w:val="00AF0BBA"/>
    <w:rsid w:val="00B30468"/>
    <w:rsid w:val="00B44E31"/>
    <w:rsid w:val="00B77A5F"/>
    <w:rsid w:val="00BA4F7E"/>
    <w:rsid w:val="00BB2C41"/>
    <w:rsid w:val="00BC2E49"/>
    <w:rsid w:val="00BC55C8"/>
    <w:rsid w:val="00BC5C10"/>
    <w:rsid w:val="00BE2964"/>
    <w:rsid w:val="00C21623"/>
    <w:rsid w:val="00C24FBD"/>
    <w:rsid w:val="00C473BA"/>
    <w:rsid w:val="00C611ED"/>
    <w:rsid w:val="00C6490A"/>
    <w:rsid w:val="00C64FE1"/>
    <w:rsid w:val="00C66FEE"/>
    <w:rsid w:val="00C74296"/>
    <w:rsid w:val="00C8345E"/>
    <w:rsid w:val="00CA5F7C"/>
    <w:rsid w:val="00D51067"/>
    <w:rsid w:val="00D75657"/>
    <w:rsid w:val="00D960AD"/>
    <w:rsid w:val="00DA0E0E"/>
    <w:rsid w:val="00DB0C39"/>
    <w:rsid w:val="00DB7679"/>
    <w:rsid w:val="00DF1702"/>
    <w:rsid w:val="00DF4DD8"/>
    <w:rsid w:val="00DF668E"/>
    <w:rsid w:val="00E04826"/>
    <w:rsid w:val="00E105EE"/>
    <w:rsid w:val="00E14D2B"/>
    <w:rsid w:val="00E20DBA"/>
    <w:rsid w:val="00E6524A"/>
    <w:rsid w:val="00E660D6"/>
    <w:rsid w:val="00E707A0"/>
    <w:rsid w:val="00E771AB"/>
    <w:rsid w:val="00EA796F"/>
    <w:rsid w:val="00EB077B"/>
    <w:rsid w:val="00EC50B9"/>
    <w:rsid w:val="00ED26A0"/>
    <w:rsid w:val="00F1727A"/>
    <w:rsid w:val="00F34764"/>
    <w:rsid w:val="00F41A7C"/>
    <w:rsid w:val="00F54E3C"/>
    <w:rsid w:val="00F70CA5"/>
    <w:rsid w:val="00F82442"/>
    <w:rsid w:val="00F874BD"/>
    <w:rsid w:val="00FB1D0B"/>
    <w:rsid w:val="00FE55A3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  <w:lang w:val="en-US" w:eastAsia="en-US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F70CA5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semiHidden/>
    <w:rsid w:val="00FE6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</Template>
  <TotalTime>0</TotalTime>
  <Pages>3</Pages>
  <Words>569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CRPD/C/5/2/Rev.1</vt:lpstr>
    </vt:vector>
  </TitlesOfParts>
  <Company>CSD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CRPD/C/5/2/Rev.1</dc:title>
  <dc:subject>SEDDIKI</dc:subject>
  <dc:creator>ALY</dc:creator>
  <cp:keywords/>
  <dc:description/>
  <cp:lastModifiedBy>BAHNASSAWY</cp:lastModifiedBy>
  <cp:revision>2</cp:revision>
  <cp:lastPrinted>2012-04-20T14:21:00Z</cp:lastPrinted>
  <dcterms:created xsi:type="dcterms:W3CDTF">2012-04-23T06:58:00Z</dcterms:created>
  <dcterms:modified xsi:type="dcterms:W3CDTF">2012-04-23T06:58:00Z</dcterms:modified>
</cp:coreProperties>
</file>