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E9A47" w14:textId="77777777" w:rsidR="00525527" w:rsidRPr="00B34C89" w:rsidRDefault="00525527" w:rsidP="00525527">
      <w:pPr>
        <w:spacing w:line="240" w:lineRule="auto"/>
        <w:rPr>
          <w:sz w:val="2"/>
        </w:rPr>
        <w:sectPr w:rsidR="00525527" w:rsidRPr="00B34C89" w:rsidSect="00CB2F44">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B34C89">
        <w:rPr>
          <w:rStyle w:val="CommentReference"/>
        </w:rPr>
        <w:commentReference w:id="0"/>
      </w:r>
    </w:p>
    <w:p w14:paraId="6B280639" w14:textId="37A99C06" w:rsidR="00CB2F44" w:rsidRPr="00D2738E" w:rsidRDefault="00CB2F44" w:rsidP="00D2738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710"/>
        <w:rPr>
          <w:lang w:val="fr-CH"/>
        </w:rPr>
      </w:pPr>
      <w:r w:rsidRPr="00D2738E">
        <w:rPr>
          <w:lang w:val="fr-CH"/>
        </w:rPr>
        <w:t>Comité pour l</w:t>
      </w:r>
      <w:r w:rsidR="00B34C89" w:rsidRPr="00D2738E">
        <w:rPr>
          <w:lang w:val="fr-CH"/>
        </w:rPr>
        <w:t>’</w:t>
      </w:r>
      <w:r w:rsidRPr="00D2738E">
        <w:rPr>
          <w:lang w:val="fr-CH"/>
        </w:rPr>
        <w:t xml:space="preserve">élimination de la </w:t>
      </w:r>
      <w:r w:rsidR="00D2738E" w:rsidRPr="00D2738E">
        <w:rPr>
          <w:lang w:val="fr-CH"/>
        </w:rPr>
        <w:t>d</w:t>
      </w:r>
      <w:r w:rsidRPr="00D2738E">
        <w:rPr>
          <w:lang w:val="fr-CH"/>
        </w:rPr>
        <w:t>iscrimination</w:t>
      </w:r>
      <w:r w:rsidR="00D2738E" w:rsidRPr="00D2738E">
        <w:rPr>
          <w:lang w:val="fr-CH"/>
        </w:rPr>
        <w:t xml:space="preserve"> </w:t>
      </w:r>
      <w:r w:rsidRPr="00D2738E">
        <w:rPr>
          <w:lang w:val="fr-CH"/>
        </w:rPr>
        <w:t>à l</w:t>
      </w:r>
      <w:r w:rsidR="00B34C89" w:rsidRPr="00D2738E">
        <w:rPr>
          <w:lang w:val="fr-CH"/>
        </w:rPr>
        <w:t>’</w:t>
      </w:r>
      <w:r w:rsidRPr="00D2738E">
        <w:rPr>
          <w:lang w:val="fr-CH"/>
        </w:rPr>
        <w:t>égard des femmes</w:t>
      </w:r>
    </w:p>
    <w:p w14:paraId="4A2DDEF6" w14:textId="5CCF6B98" w:rsidR="00CB2F44" w:rsidRPr="00B34C89" w:rsidRDefault="00CB2F44" w:rsidP="00CB2F44">
      <w:pPr>
        <w:pStyle w:val="SingleTxt"/>
        <w:spacing w:after="0" w:line="120" w:lineRule="exact"/>
        <w:rPr>
          <w:sz w:val="10"/>
          <w:lang w:val="fr-CH"/>
        </w:rPr>
      </w:pPr>
    </w:p>
    <w:p w14:paraId="1C5F7E90" w14:textId="168713B6" w:rsidR="00CB2F44" w:rsidRPr="00B34C89" w:rsidRDefault="00CB2F44" w:rsidP="00CB2F44">
      <w:pPr>
        <w:pStyle w:val="SingleTxt"/>
        <w:spacing w:after="0" w:line="120" w:lineRule="exact"/>
        <w:rPr>
          <w:sz w:val="10"/>
          <w:lang w:val="fr-CH"/>
        </w:rPr>
      </w:pPr>
    </w:p>
    <w:p w14:paraId="570BE5D6" w14:textId="7E7D2FD6" w:rsidR="00CB2F44" w:rsidRPr="00B34C89" w:rsidRDefault="00CB2F44" w:rsidP="00CB2F44">
      <w:pPr>
        <w:pStyle w:val="SingleTxt"/>
        <w:spacing w:after="0" w:line="120" w:lineRule="exact"/>
        <w:rPr>
          <w:sz w:val="10"/>
          <w:lang w:val="fr-CH"/>
        </w:rPr>
      </w:pPr>
    </w:p>
    <w:p w14:paraId="7983AF2A" w14:textId="5EFA4F64" w:rsidR="00CB2F44" w:rsidRPr="00B34C89" w:rsidRDefault="00CB2F44" w:rsidP="00CB2F44">
      <w:pPr>
        <w:pStyle w:val="TitleHCH"/>
        <w:ind w:right="1260"/>
        <w:rPr>
          <w:vertAlign w:val="superscript"/>
          <w:lang w:val="fr-CH"/>
        </w:rPr>
      </w:pPr>
      <w:r w:rsidRPr="00B34C89">
        <w:rPr>
          <w:lang w:val="fr-FR"/>
        </w:rPr>
        <w:tab/>
      </w:r>
      <w:r w:rsidRPr="00B34C89">
        <w:rPr>
          <w:lang w:val="fr-FR"/>
        </w:rPr>
        <w:tab/>
        <w:t xml:space="preserve">Décision adoptée par le Comité au titre du </w:t>
      </w:r>
      <w:r w:rsidR="009703B5" w:rsidRPr="00B34C89">
        <w:rPr>
          <w:lang w:val="fr-FR"/>
        </w:rPr>
        <w:t>paragraphe</w:t>
      </w:r>
      <w:r w:rsidR="009703B5">
        <w:rPr>
          <w:lang w:val="fr-FR"/>
        </w:rPr>
        <w:t> </w:t>
      </w:r>
      <w:r w:rsidRPr="00B34C89">
        <w:rPr>
          <w:lang w:val="fr-FR"/>
        </w:rPr>
        <w:t>1 de l</w:t>
      </w:r>
      <w:r w:rsidR="00B34C89">
        <w:rPr>
          <w:lang w:val="fr-FR"/>
        </w:rPr>
        <w:t>’</w:t>
      </w:r>
      <w:r w:rsidRPr="00B34C89">
        <w:rPr>
          <w:lang w:val="fr-FR"/>
        </w:rPr>
        <w:t>article 4 du Protocole facultatif, concernant la communication n</w:t>
      </w:r>
      <w:r w:rsidRPr="00B34C89">
        <w:rPr>
          <w:vertAlign w:val="superscript"/>
          <w:lang w:val="fr-FR"/>
        </w:rPr>
        <w:t>o</w:t>
      </w:r>
      <w:r w:rsidRPr="00B34C89">
        <w:rPr>
          <w:lang w:val="fr-FR"/>
        </w:rPr>
        <w:t> 128/2018</w:t>
      </w:r>
      <w:r w:rsidRPr="00755E5A">
        <w:rPr>
          <w:b w:val="0"/>
          <w:sz w:val="20"/>
          <w:szCs w:val="20"/>
          <w:lang w:val="fr-CH"/>
        </w:rPr>
        <w:footnoteReference w:customMarkFollows="1" w:id="1"/>
        <w:t>*</w:t>
      </w:r>
      <w:r w:rsidRPr="00755E5A">
        <w:rPr>
          <w:sz w:val="20"/>
          <w:szCs w:val="20"/>
        </w:rPr>
        <w:t>,</w:t>
      </w:r>
      <w:bookmarkStart w:id="1" w:name="_GoBack"/>
      <w:bookmarkEnd w:id="1"/>
      <w:r w:rsidRPr="00755E5A">
        <w:rPr>
          <w:b w:val="0"/>
          <w:sz w:val="20"/>
          <w:szCs w:val="20"/>
          <w:lang w:val="fr-CH"/>
        </w:rPr>
        <w:footnoteReference w:customMarkFollows="1" w:id="2"/>
        <w:t>**</w:t>
      </w:r>
    </w:p>
    <w:p w14:paraId="2740FD2E" w14:textId="033D9712" w:rsidR="00CB2F44" w:rsidRPr="00B34C89" w:rsidRDefault="00CB2F44" w:rsidP="00CB2F44">
      <w:pPr>
        <w:pStyle w:val="SingleTxt"/>
        <w:spacing w:after="0" w:line="120" w:lineRule="exact"/>
        <w:rPr>
          <w:sz w:val="10"/>
          <w:lang w:val="fr-CH"/>
        </w:rPr>
      </w:pPr>
    </w:p>
    <w:p w14:paraId="6CD93A58" w14:textId="64A033A3" w:rsidR="00CB2F44" w:rsidRPr="00B34C89" w:rsidRDefault="00CB2F44" w:rsidP="00CB2F44">
      <w:pPr>
        <w:pStyle w:val="SingleTxt"/>
        <w:spacing w:after="0" w:line="120" w:lineRule="exact"/>
        <w:rPr>
          <w:sz w:val="10"/>
          <w:lang w:val="fr-CH"/>
        </w:rPr>
      </w:pPr>
    </w:p>
    <w:tbl>
      <w:tblPr>
        <w:tblW w:w="0" w:type="auto"/>
        <w:tblInd w:w="1260" w:type="dxa"/>
        <w:tblLayout w:type="fixed"/>
        <w:tblCellMar>
          <w:left w:w="0" w:type="dxa"/>
          <w:right w:w="0" w:type="dxa"/>
        </w:tblCellMar>
        <w:tblLook w:val="04A0" w:firstRow="1" w:lastRow="0" w:firstColumn="1" w:lastColumn="0" w:noHBand="0" w:noVBand="1"/>
      </w:tblPr>
      <w:tblGrid>
        <w:gridCol w:w="3060"/>
        <w:gridCol w:w="4260"/>
      </w:tblGrid>
      <w:tr w:rsidR="008B1BEF" w:rsidRPr="00755E5A" w14:paraId="51C9600B" w14:textId="77777777" w:rsidTr="00755E5A">
        <w:trPr>
          <w:cantSplit/>
        </w:trPr>
        <w:tc>
          <w:tcPr>
            <w:tcW w:w="3060" w:type="dxa"/>
            <w:shd w:val="clear" w:color="auto" w:fill="auto"/>
            <w:noWrap/>
            <w:hideMark/>
          </w:tcPr>
          <w:p w14:paraId="00DCDAFB" w14:textId="32AC6343" w:rsidR="00CB2F44" w:rsidRPr="00755E5A" w:rsidRDefault="00CB2F44" w:rsidP="00755E5A">
            <w:pPr>
              <w:pStyle w:val="SingleTxt"/>
              <w:tabs>
                <w:tab w:val="clear" w:pos="1267"/>
                <w:tab w:val="left" w:pos="288"/>
                <w:tab w:val="left" w:pos="576"/>
                <w:tab w:val="left" w:pos="864"/>
                <w:tab w:val="left" w:pos="1152"/>
              </w:tabs>
              <w:spacing w:before="40" w:after="80" w:line="240" w:lineRule="exact"/>
              <w:ind w:left="-2" w:right="40"/>
              <w:jc w:val="left"/>
              <w:rPr>
                <w:iCs/>
                <w:szCs w:val="20"/>
                <w:lang w:val="fr-CH"/>
              </w:rPr>
            </w:pPr>
            <w:r w:rsidRPr="00755E5A">
              <w:rPr>
                <w:i/>
                <w:iCs/>
                <w:szCs w:val="20"/>
                <w:lang w:val="fr-CH"/>
              </w:rPr>
              <w:t>Communication présentée par</w:t>
            </w:r>
            <w:r w:rsidR="00B34C89" w:rsidRPr="00755E5A">
              <w:rPr>
                <w:iCs/>
                <w:szCs w:val="20"/>
                <w:lang w:val="fr-CH"/>
              </w:rPr>
              <w:t> :</w:t>
            </w:r>
          </w:p>
        </w:tc>
        <w:tc>
          <w:tcPr>
            <w:tcW w:w="4260" w:type="dxa"/>
            <w:shd w:val="clear" w:color="auto" w:fill="auto"/>
            <w:noWrap/>
            <w:hideMark/>
          </w:tcPr>
          <w:p w14:paraId="33C96F8E" w14:textId="77777777" w:rsidR="00CB2F44" w:rsidRPr="00755E5A" w:rsidRDefault="00CB2F44" w:rsidP="00755E5A">
            <w:pPr>
              <w:pStyle w:val="SingleTxt"/>
              <w:tabs>
                <w:tab w:val="left" w:pos="288"/>
                <w:tab w:val="left" w:pos="576"/>
                <w:tab w:val="left" w:pos="864"/>
                <w:tab w:val="left" w:pos="1152"/>
              </w:tabs>
              <w:spacing w:before="40" w:after="80" w:line="240" w:lineRule="exact"/>
              <w:ind w:left="0" w:right="43"/>
              <w:jc w:val="left"/>
              <w:rPr>
                <w:iCs/>
                <w:szCs w:val="20"/>
                <w:lang w:val="fr-CH"/>
              </w:rPr>
            </w:pPr>
            <w:r w:rsidRPr="00755E5A">
              <w:rPr>
                <w:iCs/>
                <w:szCs w:val="20"/>
                <w:lang w:val="fr-CH"/>
              </w:rPr>
              <w:t>K. S. (représentée par un conseil, Ireneusz C. Kamiński)</w:t>
            </w:r>
          </w:p>
        </w:tc>
      </w:tr>
      <w:tr w:rsidR="008B1BEF" w:rsidRPr="00755E5A" w14:paraId="020A80DD" w14:textId="77777777" w:rsidTr="00755E5A">
        <w:trPr>
          <w:cantSplit/>
        </w:trPr>
        <w:tc>
          <w:tcPr>
            <w:tcW w:w="3060" w:type="dxa"/>
            <w:shd w:val="clear" w:color="auto" w:fill="auto"/>
            <w:noWrap/>
            <w:hideMark/>
          </w:tcPr>
          <w:p w14:paraId="357679F3" w14:textId="429F118A" w:rsidR="00CB2F44" w:rsidRPr="00755E5A" w:rsidRDefault="00CB2F44" w:rsidP="00755E5A">
            <w:pPr>
              <w:pStyle w:val="SingleTxt"/>
              <w:tabs>
                <w:tab w:val="clear" w:pos="1267"/>
                <w:tab w:val="left" w:pos="288"/>
                <w:tab w:val="left" w:pos="576"/>
                <w:tab w:val="left" w:pos="864"/>
                <w:tab w:val="left" w:pos="1152"/>
              </w:tabs>
              <w:spacing w:before="40" w:after="80" w:line="240" w:lineRule="exact"/>
              <w:ind w:left="-2" w:right="40"/>
              <w:jc w:val="left"/>
              <w:rPr>
                <w:iCs/>
                <w:szCs w:val="20"/>
                <w:lang w:val="fr-CH"/>
              </w:rPr>
            </w:pPr>
            <w:r w:rsidRPr="00755E5A">
              <w:rPr>
                <w:i/>
                <w:iCs/>
                <w:szCs w:val="20"/>
                <w:lang w:val="fr-CH"/>
              </w:rPr>
              <w:t>Victime(s) présumée(s)</w:t>
            </w:r>
            <w:r w:rsidR="00B34C89" w:rsidRPr="00755E5A">
              <w:rPr>
                <w:iCs/>
                <w:szCs w:val="20"/>
                <w:lang w:val="fr-CH"/>
              </w:rPr>
              <w:t> :</w:t>
            </w:r>
          </w:p>
        </w:tc>
        <w:tc>
          <w:tcPr>
            <w:tcW w:w="4260" w:type="dxa"/>
            <w:shd w:val="clear" w:color="auto" w:fill="auto"/>
            <w:noWrap/>
            <w:hideMark/>
          </w:tcPr>
          <w:p w14:paraId="1D31294F" w14:textId="220EBC75" w:rsidR="00CB2F44" w:rsidRPr="00755E5A" w:rsidRDefault="00CB2F44" w:rsidP="00755E5A">
            <w:pPr>
              <w:pStyle w:val="SingleTxt"/>
              <w:tabs>
                <w:tab w:val="left" w:pos="288"/>
                <w:tab w:val="left" w:pos="576"/>
                <w:tab w:val="left" w:pos="864"/>
                <w:tab w:val="left" w:pos="1152"/>
              </w:tabs>
              <w:spacing w:before="40" w:after="80" w:line="240" w:lineRule="exact"/>
              <w:ind w:left="0" w:right="43"/>
              <w:jc w:val="left"/>
              <w:rPr>
                <w:iCs/>
                <w:szCs w:val="20"/>
                <w:lang w:val="en-GB"/>
              </w:rPr>
            </w:pPr>
            <w:r w:rsidRPr="00755E5A">
              <w:rPr>
                <w:iCs/>
                <w:szCs w:val="20"/>
                <w:lang w:val="fr-CH"/>
              </w:rPr>
              <w:t>L</w:t>
            </w:r>
            <w:r w:rsidR="00B34C89" w:rsidRPr="00755E5A">
              <w:rPr>
                <w:iCs/>
                <w:szCs w:val="20"/>
                <w:lang w:val="fr-CH"/>
              </w:rPr>
              <w:t>’</w:t>
            </w:r>
            <w:r w:rsidRPr="00755E5A">
              <w:rPr>
                <w:iCs/>
                <w:szCs w:val="20"/>
                <w:lang w:val="fr-CH"/>
              </w:rPr>
              <w:t>auteure</w:t>
            </w:r>
          </w:p>
        </w:tc>
      </w:tr>
      <w:tr w:rsidR="008B1BEF" w:rsidRPr="00755E5A" w14:paraId="4FAD9656" w14:textId="77777777" w:rsidTr="00755E5A">
        <w:trPr>
          <w:cantSplit/>
        </w:trPr>
        <w:tc>
          <w:tcPr>
            <w:tcW w:w="3060" w:type="dxa"/>
            <w:shd w:val="clear" w:color="auto" w:fill="auto"/>
            <w:noWrap/>
            <w:hideMark/>
          </w:tcPr>
          <w:p w14:paraId="67FE447F" w14:textId="5E5A0070" w:rsidR="00CB2F44" w:rsidRPr="00755E5A" w:rsidRDefault="00CB2F44" w:rsidP="00755E5A">
            <w:pPr>
              <w:pStyle w:val="SingleTxt"/>
              <w:tabs>
                <w:tab w:val="clear" w:pos="1267"/>
                <w:tab w:val="left" w:pos="288"/>
                <w:tab w:val="left" w:pos="576"/>
                <w:tab w:val="left" w:pos="864"/>
                <w:tab w:val="left" w:pos="1152"/>
              </w:tabs>
              <w:spacing w:before="40" w:after="80" w:line="240" w:lineRule="exact"/>
              <w:ind w:left="-2" w:right="40"/>
              <w:jc w:val="left"/>
              <w:rPr>
                <w:iCs/>
                <w:szCs w:val="20"/>
                <w:lang w:val="fr-CH"/>
              </w:rPr>
            </w:pPr>
            <w:r w:rsidRPr="00755E5A">
              <w:rPr>
                <w:i/>
                <w:iCs/>
                <w:szCs w:val="20"/>
                <w:lang w:val="fr-CH"/>
              </w:rPr>
              <w:t>État partie</w:t>
            </w:r>
            <w:r w:rsidR="00B34C89" w:rsidRPr="00755E5A">
              <w:rPr>
                <w:iCs/>
                <w:szCs w:val="20"/>
                <w:lang w:val="fr-CH"/>
              </w:rPr>
              <w:t> :</w:t>
            </w:r>
          </w:p>
        </w:tc>
        <w:tc>
          <w:tcPr>
            <w:tcW w:w="4260" w:type="dxa"/>
            <w:shd w:val="clear" w:color="auto" w:fill="auto"/>
            <w:noWrap/>
            <w:hideMark/>
          </w:tcPr>
          <w:p w14:paraId="2096AE68" w14:textId="77777777" w:rsidR="00CB2F44" w:rsidRPr="00755E5A" w:rsidRDefault="00CB2F44" w:rsidP="00755E5A">
            <w:pPr>
              <w:pStyle w:val="SingleTxt"/>
              <w:tabs>
                <w:tab w:val="left" w:pos="288"/>
                <w:tab w:val="left" w:pos="576"/>
                <w:tab w:val="left" w:pos="864"/>
                <w:tab w:val="left" w:pos="1152"/>
              </w:tabs>
              <w:spacing w:before="40" w:after="80" w:line="240" w:lineRule="exact"/>
              <w:ind w:left="0" w:right="43"/>
              <w:jc w:val="left"/>
              <w:rPr>
                <w:iCs/>
                <w:szCs w:val="20"/>
                <w:lang w:val="fr-CH"/>
              </w:rPr>
            </w:pPr>
            <w:r w:rsidRPr="00755E5A">
              <w:rPr>
                <w:iCs/>
                <w:szCs w:val="20"/>
                <w:lang w:val="fr-CH"/>
              </w:rPr>
              <w:t>Pologne</w:t>
            </w:r>
          </w:p>
        </w:tc>
      </w:tr>
      <w:tr w:rsidR="008B1BEF" w:rsidRPr="00755E5A" w14:paraId="6332C657" w14:textId="77777777" w:rsidTr="00755E5A">
        <w:trPr>
          <w:cantSplit/>
        </w:trPr>
        <w:tc>
          <w:tcPr>
            <w:tcW w:w="3060" w:type="dxa"/>
            <w:shd w:val="clear" w:color="auto" w:fill="auto"/>
            <w:noWrap/>
            <w:hideMark/>
          </w:tcPr>
          <w:p w14:paraId="516D30D1" w14:textId="6321D520" w:rsidR="00CB2F44" w:rsidRPr="00755E5A" w:rsidRDefault="00CB2F44" w:rsidP="00755E5A">
            <w:pPr>
              <w:pStyle w:val="SingleTxt"/>
              <w:tabs>
                <w:tab w:val="clear" w:pos="1267"/>
                <w:tab w:val="left" w:pos="288"/>
                <w:tab w:val="left" w:pos="576"/>
                <w:tab w:val="left" w:pos="864"/>
                <w:tab w:val="left" w:pos="1152"/>
              </w:tabs>
              <w:spacing w:before="40" w:after="80" w:line="240" w:lineRule="exact"/>
              <w:ind w:left="-2" w:right="40"/>
              <w:jc w:val="left"/>
              <w:rPr>
                <w:iCs/>
                <w:szCs w:val="20"/>
                <w:lang w:val="fr-CH"/>
              </w:rPr>
            </w:pPr>
            <w:r w:rsidRPr="00755E5A">
              <w:rPr>
                <w:i/>
                <w:iCs/>
                <w:szCs w:val="20"/>
                <w:lang w:val="fr-CH"/>
              </w:rPr>
              <w:t>Date de la communication</w:t>
            </w:r>
            <w:r w:rsidR="00B34C89" w:rsidRPr="00755E5A">
              <w:rPr>
                <w:iCs/>
                <w:szCs w:val="20"/>
                <w:lang w:val="fr-CH"/>
              </w:rPr>
              <w:t> :</w:t>
            </w:r>
          </w:p>
        </w:tc>
        <w:tc>
          <w:tcPr>
            <w:tcW w:w="4260" w:type="dxa"/>
            <w:shd w:val="clear" w:color="auto" w:fill="auto"/>
            <w:noWrap/>
            <w:hideMark/>
          </w:tcPr>
          <w:p w14:paraId="64F69804" w14:textId="77777777" w:rsidR="00CB2F44" w:rsidRPr="00755E5A" w:rsidRDefault="00CB2F44" w:rsidP="00755E5A">
            <w:pPr>
              <w:pStyle w:val="SingleTxt"/>
              <w:tabs>
                <w:tab w:val="left" w:pos="288"/>
                <w:tab w:val="left" w:pos="576"/>
                <w:tab w:val="left" w:pos="864"/>
                <w:tab w:val="left" w:pos="1152"/>
              </w:tabs>
              <w:spacing w:before="40" w:after="80" w:line="240" w:lineRule="exact"/>
              <w:ind w:left="0" w:right="43"/>
              <w:jc w:val="left"/>
              <w:rPr>
                <w:iCs/>
                <w:szCs w:val="20"/>
                <w:lang w:val="fr-CH"/>
              </w:rPr>
            </w:pPr>
            <w:r w:rsidRPr="00755E5A">
              <w:rPr>
                <w:iCs/>
                <w:szCs w:val="20"/>
                <w:lang w:val="fr-CH"/>
              </w:rPr>
              <w:t>11 avril 2017 (date de la lettre initiale)</w:t>
            </w:r>
          </w:p>
        </w:tc>
      </w:tr>
      <w:tr w:rsidR="008B1BEF" w:rsidRPr="00755E5A" w14:paraId="356B4544" w14:textId="77777777" w:rsidTr="00755E5A">
        <w:trPr>
          <w:cantSplit/>
        </w:trPr>
        <w:tc>
          <w:tcPr>
            <w:tcW w:w="3060" w:type="dxa"/>
            <w:shd w:val="clear" w:color="auto" w:fill="auto"/>
            <w:noWrap/>
            <w:hideMark/>
          </w:tcPr>
          <w:p w14:paraId="2DEFDF3C" w14:textId="4C047BD0" w:rsidR="00CB2F44" w:rsidRPr="00755E5A" w:rsidRDefault="00CB2F44" w:rsidP="00755E5A">
            <w:pPr>
              <w:pStyle w:val="SingleTxt"/>
              <w:tabs>
                <w:tab w:val="clear" w:pos="1267"/>
                <w:tab w:val="left" w:pos="288"/>
                <w:tab w:val="left" w:pos="576"/>
                <w:tab w:val="left" w:pos="864"/>
                <w:tab w:val="left" w:pos="1152"/>
              </w:tabs>
              <w:spacing w:before="40" w:after="80" w:line="240" w:lineRule="exact"/>
              <w:ind w:left="-2" w:right="40"/>
              <w:jc w:val="left"/>
              <w:rPr>
                <w:iCs/>
                <w:szCs w:val="20"/>
                <w:lang w:val="fr-CH"/>
              </w:rPr>
            </w:pPr>
            <w:r w:rsidRPr="00755E5A">
              <w:rPr>
                <w:i/>
                <w:iCs/>
                <w:szCs w:val="20"/>
                <w:lang w:val="fr-CH"/>
              </w:rPr>
              <w:t>Références</w:t>
            </w:r>
            <w:r w:rsidR="00B34C89" w:rsidRPr="00755E5A">
              <w:rPr>
                <w:iCs/>
                <w:szCs w:val="20"/>
                <w:lang w:val="fr-CH"/>
              </w:rPr>
              <w:t> :</w:t>
            </w:r>
          </w:p>
        </w:tc>
        <w:tc>
          <w:tcPr>
            <w:tcW w:w="4260" w:type="dxa"/>
            <w:shd w:val="clear" w:color="auto" w:fill="auto"/>
            <w:noWrap/>
            <w:hideMark/>
          </w:tcPr>
          <w:p w14:paraId="6653BC4A" w14:textId="57B192CC" w:rsidR="00CB2F44" w:rsidRPr="00755E5A" w:rsidRDefault="00CB2F44" w:rsidP="00755E5A">
            <w:pPr>
              <w:pStyle w:val="SingleTxt"/>
              <w:tabs>
                <w:tab w:val="left" w:pos="288"/>
                <w:tab w:val="left" w:pos="576"/>
                <w:tab w:val="left" w:pos="864"/>
                <w:tab w:val="left" w:pos="1152"/>
              </w:tabs>
              <w:spacing w:before="40" w:after="80" w:line="240" w:lineRule="exact"/>
              <w:ind w:left="0" w:right="43"/>
              <w:jc w:val="left"/>
              <w:rPr>
                <w:iCs/>
                <w:szCs w:val="20"/>
                <w:lang w:val="fr-CH"/>
              </w:rPr>
            </w:pPr>
            <w:r w:rsidRPr="00755E5A">
              <w:rPr>
                <w:iCs/>
                <w:szCs w:val="20"/>
                <w:lang w:val="fr-CH"/>
              </w:rPr>
              <w:t>Communiquées à l</w:t>
            </w:r>
            <w:r w:rsidR="00B34C89" w:rsidRPr="00755E5A">
              <w:rPr>
                <w:iCs/>
                <w:szCs w:val="20"/>
                <w:lang w:val="fr-CH"/>
              </w:rPr>
              <w:t>’</w:t>
            </w:r>
            <w:r w:rsidRPr="00755E5A">
              <w:rPr>
                <w:iCs/>
                <w:szCs w:val="20"/>
                <w:lang w:val="fr-CH"/>
              </w:rPr>
              <w:t>État partie le 4 avril 2018 (non publiées sous forme de document)</w:t>
            </w:r>
          </w:p>
        </w:tc>
      </w:tr>
      <w:tr w:rsidR="008B1BEF" w:rsidRPr="00755E5A" w14:paraId="592CAA67" w14:textId="77777777" w:rsidTr="00755E5A">
        <w:trPr>
          <w:cantSplit/>
        </w:trPr>
        <w:tc>
          <w:tcPr>
            <w:tcW w:w="3060" w:type="dxa"/>
            <w:shd w:val="clear" w:color="auto" w:fill="auto"/>
            <w:noWrap/>
            <w:hideMark/>
          </w:tcPr>
          <w:p w14:paraId="6F4D0822" w14:textId="47061B43" w:rsidR="00CB2F44" w:rsidRPr="00755E5A" w:rsidRDefault="00CB2F44" w:rsidP="00755E5A">
            <w:pPr>
              <w:pStyle w:val="SingleTxt"/>
              <w:tabs>
                <w:tab w:val="clear" w:pos="1267"/>
                <w:tab w:val="left" w:pos="288"/>
                <w:tab w:val="left" w:pos="576"/>
                <w:tab w:val="left" w:pos="864"/>
                <w:tab w:val="left" w:pos="1152"/>
              </w:tabs>
              <w:spacing w:before="40" w:after="80" w:line="240" w:lineRule="exact"/>
              <w:ind w:left="-2" w:right="40"/>
              <w:jc w:val="left"/>
              <w:rPr>
                <w:iCs/>
                <w:szCs w:val="20"/>
                <w:lang w:val="fr-CH"/>
              </w:rPr>
            </w:pPr>
            <w:r w:rsidRPr="00755E5A">
              <w:rPr>
                <w:i/>
                <w:iCs/>
                <w:szCs w:val="20"/>
                <w:lang w:val="fr-CH"/>
              </w:rPr>
              <w:t>Date de la décision</w:t>
            </w:r>
            <w:r w:rsidR="00B34C89" w:rsidRPr="00755E5A">
              <w:rPr>
                <w:iCs/>
                <w:szCs w:val="20"/>
                <w:lang w:val="fr-CH"/>
              </w:rPr>
              <w:t> :</w:t>
            </w:r>
          </w:p>
        </w:tc>
        <w:tc>
          <w:tcPr>
            <w:tcW w:w="4260" w:type="dxa"/>
            <w:shd w:val="clear" w:color="auto" w:fill="auto"/>
            <w:noWrap/>
            <w:hideMark/>
          </w:tcPr>
          <w:p w14:paraId="793DF6A9" w14:textId="77777777" w:rsidR="00CB2F44" w:rsidRPr="00755E5A" w:rsidRDefault="00CB2F44" w:rsidP="00755E5A">
            <w:pPr>
              <w:pStyle w:val="SingleTxt"/>
              <w:tabs>
                <w:tab w:val="left" w:pos="288"/>
                <w:tab w:val="left" w:pos="576"/>
                <w:tab w:val="left" w:pos="864"/>
                <w:tab w:val="left" w:pos="1152"/>
              </w:tabs>
              <w:spacing w:before="40" w:after="80" w:line="240" w:lineRule="exact"/>
              <w:ind w:left="0" w:right="43"/>
              <w:jc w:val="left"/>
              <w:rPr>
                <w:iCs/>
                <w:szCs w:val="20"/>
                <w:lang w:val="fr-CH"/>
              </w:rPr>
            </w:pPr>
            <w:r w:rsidRPr="00755E5A">
              <w:rPr>
                <w:iCs/>
                <w:szCs w:val="20"/>
                <w:lang w:val="fr-CH"/>
              </w:rPr>
              <w:t>6 juillet 2020</w:t>
            </w:r>
          </w:p>
        </w:tc>
      </w:tr>
      <w:tr w:rsidR="008B1BEF" w:rsidRPr="00755E5A" w14:paraId="3D8F9204" w14:textId="77777777" w:rsidTr="00755E5A">
        <w:trPr>
          <w:cantSplit/>
        </w:trPr>
        <w:tc>
          <w:tcPr>
            <w:tcW w:w="3060" w:type="dxa"/>
            <w:shd w:val="clear" w:color="auto" w:fill="auto"/>
            <w:noWrap/>
            <w:hideMark/>
          </w:tcPr>
          <w:p w14:paraId="219218BF" w14:textId="41F40906" w:rsidR="00CB2F44" w:rsidRPr="00755E5A" w:rsidRDefault="00CB2F44" w:rsidP="00755E5A">
            <w:pPr>
              <w:pStyle w:val="SingleTxt"/>
              <w:tabs>
                <w:tab w:val="clear" w:pos="1267"/>
                <w:tab w:val="left" w:pos="288"/>
                <w:tab w:val="left" w:pos="576"/>
                <w:tab w:val="left" w:pos="864"/>
                <w:tab w:val="left" w:pos="1152"/>
              </w:tabs>
              <w:spacing w:before="40" w:after="80" w:line="240" w:lineRule="exact"/>
              <w:ind w:left="-2" w:right="40"/>
              <w:jc w:val="left"/>
              <w:rPr>
                <w:iCs/>
                <w:szCs w:val="20"/>
                <w:lang w:val="fr-CH"/>
              </w:rPr>
            </w:pPr>
            <w:r w:rsidRPr="00755E5A">
              <w:rPr>
                <w:i/>
                <w:iCs/>
                <w:szCs w:val="20"/>
                <w:lang w:val="fr-CH"/>
              </w:rPr>
              <w:t>Objet</w:t>
            </w:r>
            <w:r w:rsidR="00B34C89" w:rsidRPr="00755E5A">
              <w:rPr>
                <w:iCs/>
                <w:szCs w:val="20"/>
                <w:lang w:val="fr-CH"/>
              </w:rPr>
              <w:t> :</w:t>
            </w:r>
          </w:p>
        </w:tc>
        <w:tc>
          <w:tcPr>
            <w:tcW w:w="4260" w:type="dxa"/>
            <w:shd w:val="clear" w:color="auto" w:fill="auto"/>
            <w:noWrap/>
            <w:hideMark/>
          </w:tcPr>
          <w:p w14:paraId="7CCC1D5E" w14:textId="3451F9CF" w:rsidR="00CB2F44" w:rsidRPr="00755E5A" w:rsidRDefault="00CB2F44" w:rsidP="00755E5A">
            <w:pPr>
              <w:pStyle w:val="SingleTxt"/>
              <w:tabs>
                <w:tab w:val="left" w:pos="288"/>
                <w:tab w:val="left" w:pos="576"/>
                <w:tab w:val="left" w:pos="864"/>
                <w:tab w:val="left" w:pos="1152"/>
              </w:tabs>
              <w:spacing w:before="40" w:after="80" w:line="240" w:lineRule="exact"/>
              <w:ind w:left="0" w:right="43"/>
              <w:jc w:val="left"/>
              <w:rPr>
                <w:iCs/>
                <w:szCs w:val="20"/>
                <w:lang w:val="fr-CH"/>
              </w:rPr>
            </w:pPr>
            <w:r w:rsidRPr="00755E5A">
              <w:rPr>
                <w:iCs/>
                <w:szCs w:val="20"/>
                <w:lang w:val="fr-CH"/>
              </w:rPr>
              <w:t>Manquement de l</w:t>
            </w:r>
            <w:r w:rsidR="00B34C89" w:rsidRPr="00755E5A">
              <w:rPr>
                <w:iCs/>
                <w:szCs w:val="20"/>
                <w:lang w:val="fr-CH"/>
              </w:rPr>
              <w:t>’</w:t>
            </w:r>
            <w:r w:rsidRPr="00755E5A">
              <w:rPr>
                <w:iCs/>
                <w:szCs w:val="20"/>
                <w:lang w:val="fr-CH"/>
              </w:rPr>
              <w:t>État partie à l</w:t>
            </w:r>
            <w:r w:rsidR="00B34C89" w:rsidRPr="00755E5A">
              <w:rPr>
                <w:iCs/>
                <w:szCs w:val="20"/>
                <w:lang w:val="fr-CH"/>
              </w:rPr>
              <w:t>’</w:t>
            </w:r>
            <w:r w:rsidRPr="00755E5A">
              <w:rPr>
                <w:iCs/>
                <w:szCs w:val="20"/>
                <w:lang w:val="fr-CH"/>
              </w:rPr>
              <w:t>obligation d</w:t>
            </w:r>
            <w:r w:rsidR="00B34C89" w:rsidRPr="00755E5A">
              <w:rPr>
                <w:iCs/>
                <w:szCs w:val="20"/>
                <w:lang w:val="fr-CH"/>
              </w:rPr>
              <w:t>’</w:t>
            </w:r>
            <w:r w:rsidRPr="00755E5A">
              <w:rPr>
                <w:iCs/>
                <w:szCs w:val="20"/>
                <w:lang w:val="fr-CH"/>
              </w:rPr>
              <w:t>agir avec la diligence requise pour protéger l</w:t>
            </w:r>
            <w:r w:rsidR="00B34C89" w:rsidRPr="00755E5A">
              <w:rPr>
                <w:iCs/>
                <w:szCs w:val="20"/>
                <w:lang w:val="fr-CH"/>
              </w:rPr>
              <w:t>’</w:t>
            </w:r>
            <w:r w:rsidRPr="00755E5A">
              <w:rPr>
                <w:iCs/>
                <w:szCs w:val="20"/>
                <w:lang w:val="fr-CH"/>
              </w:rPr>
              <w:t>auteure contre la violence domestique</w:t>
            </w:r>
          </w:p>
        </w:tc>
      </w:tr>
      <w:tr w:rsidR="008B1BEF" w:rsidRPr="00755E5A" w14:paraId="70DE4E27" w14:textId="77777777" w:rsidTr="00755E5A">
        <w:trPr>
          <w:cantSplit/>
        </w:trPr>
        <w:tc>
          <w:tcPr>
            <w:tcW w:w="3060" w:type="dxa"/>
            <w:shd w:val="clear" w:color="auto" w:fill="auto"/>
            <w:noWrap/>
            <w:hideMark/>
          </w:tcPr>
          <w:p w14:paraId="47E16876" w14:textId="21D27940" w:rsidR="00CB2F44" w:rsidRPr="00755E5A" w:rsidRDefault="00CB2F44" w:rsidP="00755E5A">
            <w:pPr>
              <w:pStyle w:val="SingleTxt"/>
              <w:tabs>
                <w:tab w:val="clear" w:pos="1267"/>
                <w:tab w:val="left" w:pos="288"/>
                <w:tab w:val="left" w:pos="576"/>
                <w:tab w:val="left" w:pos="864"/>
                <w:tab w:val="left" w:pos="1152"/>
              </w:tabs>
              <w:spacing w:before="40" w:after="80" w:line="240" w:lineRule="exact"/>
              <w:ind w:left="-2" w:right="40"/>
              <w:jc w:val="left"/>
              <w:rPr>
                <w:iCs/>
                <w:szCs w:val="20"/>
                <w:lang w:val="fr-CH"/>
              </w:rPr>
            </w:pPr>
            <w:r w:rsidRPr="00755E5A">
              <w:rPr>
                <w:i/>
                <w:iCs/>
                <w:szCs w:val="20"/>
                <w:lang w:val="fr-CH"/>
              </w:rPr>
              <w:t>Question(s) de procédure</w:t>
            </w:r>
            <w:r w:rsidR="00B34C89" w:rsidRPr="00755E5A">
              <w:rPr>
                <w:iCs/>
                <w:szCs w:val="20"/>
                <w:lang w:val="fr-CH"/>
              </w:rPr>
              <w:t> :</w:t>
            </w:r>
          </w:p>
        </w:tc>
        <w:tc>
          <w:tcPr>
            <w:tcW w:w="4260" w:type="dxa"/>
            <w:shd w:val="clear" w:color="auto" w:fill="auto"/>
            <w:noWrap/>
            <w:hideMark/>
          </w:tcPr>
          <w:p w14:paraId="2D715BDF" w14:textId="5CEDD971" w:rsidR="00CB2F44" w:rsidRPr="00755E5A" w:rsidRDefault="00CB2F44" w:rsidP="00755E5A">
            <w:pPr>
              <w:pStyle w:val="SingleTxt"/>
              <w:tabs>
                <w:tab w:val="left" w:pos="288"/>
                <w:tab w:val="left" w:pos="576"/>
                <w:tab w:val="left" w:pos="864"/>
                <w:tab w:val="left" w:pos="1152"/>
              </w:tabs>
              <w:spacing w:before="40" w:after="80" w:line="240" w:lineRule="exact"/>
              <w:ind w:left="0" w:right="43"/>
              <w:jc w:val="left"/>
              <w:rPr>
                <w:iCs/>
                <w:szCs w:val="20"/>
                <w:lang w:val="fr-CH"/>
              </w:rPr>
            </w:pPr>
            <w:r w:rsidRPr="00755E5A">
              <w:rPr>
                <w:iCs/>
                <w:szCs w:val="20"/>
                <w:lang w:val="fr-CH"/>
              </w:rPr>
              <w:t>Épuisement des recours internes</w:t>
            </w:r>
            <w:r w:rsidR="00B34C89" w:rsidRPr="00755E5A">
              <w:rPr>
                <w:iCs/>
                <w:szCs w:val="20"/>
                <w:lang w:val="fr-CH"/>
              </w:rPr>
              <w:t> ;</w:t>
            </w:r>
            <w:r w:rsidRPr="00755E5A">
              <w:rPr>
                <w:iCs/>
                <w:szCs w:val="20"/>
                <w:lang w:val="fr-CH"/>
              </w:rPr>
              <w:t xml:space="preserve"> examen de la même question devant une autre instance internationale d</w:t>
            </w:r>
            <w:r w:rsidR="00B34C89" w:rsidRPr="00755E5A">
              <w:rPr>
                <w:iCs/>
                <w:szCs w:val="20"/>
                <w:lang w:val="fr-CH"/>
              </w:rPr>
              <w:t>’</w:t>
            </w:r>
            <w:r w:rsidRPr="00755E5A">
              <w:rPr>
                <w:iCs/>
                <w:szCs w:val="20"/>
                <w:lang w:val="fr-CH"/>
              </w:rPr>
              <w:t>enquête ou de règlement</w:t>
            </w:r>
          </w:p>
        </w:tc>
      </w:tr>
      <w:tr w:rsidR="008B1BEF" w:rsidRPr="00755E5A" w14:paraId="16131F31" w14:textId="77777777" w:rsidTr="00755E5A">
        <w:trPr>
          <w:cantSplit/>
        </w:trPr>
        <w:tc>
          <w:tcPr>
            <w:tcW w:w="3060" w:type="dxa"/>
            <w:shd w:val="clear" w:color="auto" w:fill="auto"/>
            <w:noWrap/>
            <w:hideMark/>
          </w:tcPr>
          <w:p w14:paraId="1B692DB3" w14:textId="7EF81902" w:rsidR="00CB2F44" w:rsidRPr="00755E5A" w:rsidRDefault="00CB2F44" w:rsidP="00755E5A">
            <w:pPr>
              <w:pStyle w:val="SingleTxt"/>
              <w:tabs>
                <w:tab w:val="clear" w:pos="1267"/>
                <w:tab w:val="left" w:pos="288"/>
                <w:tab w:val="left" w:pos="576"/>
                <w:tab w:val="left" w:pos="864"/>
                <w:tab w:val="left" w:pos="1152"/>
              </w:tabs>
              <w:spacing w:before="40" w:after="80" w:line="240" w:lineRule="exact"/>
              <w:ind w:left="-2" w:right="40"/>
              <w:jc w:val="left"/>
              <w:rPr>
                <w:iCs/>
                <w:szCs w:val="20"/>
                <w:lang w:val="fr-CH"/>
              </w:rPr>
            </w:pPr>
            <w:r w:rsidRPr="00755E5A">
              <w:rPr>
                <w:i/>
                <w:iCs/>
                <w:szCs w:val="20"/>
                <w:lang w:val="fr-CH"/>
              </w:rPr>
              <w:t>Article(s) de la Convention</w:t>
            </w:r>
            <w:r w:rsidR="00B34C89" w:rsidRPr="00755E5A">
              <w:rPr>
                <w:iCs/>
                <w:szCs w:val="20"/>
                <w:lang w:val="fr-CH"/>
              </w:rPr>
              <w:t> :</w:t>
            </w:r>
          </w:p>
        </w:tc>
        <w:tc>
          <w:tcPr>
            <w:tcW w:w="4260" w:type="dxa"/>
            <w:shd w:val="clear" w:color="auto" w:fill="auto"/>
            <w:noWrap/>
            <w:hideMark/>
          </w:tcPr>
          <w:p w14:paraId="2D0AE580" w14:textId="77777777" w:rsidR="00CB2F44" w:rsidRPr="00755E5A" w:rsidRDefault="00CB2F44" w:rsidP="00755E5A">
            <w:pPr>
              <w:pStyle w:val="SingleTxt"/>
              <w:tabs>
                <w:tab w:val="left" w:pos="288"/>
                <w:tab w:val="left" w:pos="576"/>
                <w:tab w:val="left" w:pos="864"/>
                <w:tab w:val="left" w:pos="1152"/>
              </w:tabs>
              <w:spacing w:before="40" w:after="80" w:line="240" w:lineRule="exact"/>
              <w:ind w:left="0" w:right="43"/>
              <w:jc w:val="left"/>
              <w:rPr>
                <w:iCs/>
                <w:szCs w:val="20"/>
                <w:lang w:val="fr-CH"/>
              </w:rPr>
            </w:pPr>
            <w:r w:rsidRPr="00755E5A">
              <w:rPr>
                <w:iCs/>
                <w:szCs w:val="20"/>
                <w:lang w:val="fr-CH"/>
              </w:rPr>
              <w:t>2 a) et c) à f), 3, 5 a) et 16</w:t>
            </w:r>
          </w:p>
        </w:tc>
      </w:tr>
      <w:tr w:rsidR="008B1BEF" w:rsidRPr="00755E5A" w14:paraId="2104FB89" w14:textId="77777777" w:rsidTr="00755E5A">
        <w:trPr>
          <w:cantSplit/>
        </w:trPr>
        <w:tc>
          <w:tcPr>
            <w:tcW w:w="3060" w:type="dxa"/>
            <w:shd w:val="clear" w:color="auto" w:fill="auto"/>
            <w:noWrap/>
            <w:hideMark/>
          </w:tcPr>
          <w:p w14:paraId="76A05D69" w14:textId="6957472C" w:rsidR="00CB2F44" w:rsidRPr="00755E5A" w:rsidRDefault="00CB2F44" w:rsidP="00755E5A">
            <w:pPr>
              <w:pStyle w:val="SingleTxt"/>
              <w:tabs>
                <w:tab w:val="clear" w:pos="1267"/>
                <w:tab w:val="left" w:pos="288"/>
                <w:tab w:val="left" w:pos="576"/>
                <w:tab w:val="left" w:pos="864"/>
                <w:tab w:val="left" w:pos="1152"/>
              </w:tabs>
              <w:spacing w:before="40" w:after="80" w:line="240" w:lineRule="exact"/>
              <w:ind w:left="-2" w:right="40"/>
              <w:jc w:val="left"/>
              <w:rPr>
                <w:iCs/>
                <w:szCs w:val="20"/>
                <w:lang w:val="fr-CH"/>
              </w:rPr>
            </w:pPr>
            <w:r w:rsidRPr="00755E5A">
              <w:rPr>
                <w:i/>
                <w:iCs/>
                <w:szCs w:val="20"/>
                <w:lang w:val="fr-CH"/>
              </w:rPr>
              <w:t>Article(s) du Protocole facultatif</w:t>
            </w:r>
            <w:r w:rsidR="00B34C89" w:rsidRPr="00755E5A">
              <w:rPr>
                <w:iCs/>
                <w:szCs w:val="20"/>
                <w:lang w:val="fr-CH"/>
              </w:rPr>
              <w:t> :</w:t>
            </w:r>
          </w:p>
        </w:tc>
        <w:tc>
          <w:tcPr>
            <w:tcW w:w="4260" w:type="dxa"/>
            <w:shd w:val="clear" w:color="auto" w:fill="auto"/>
            <w:noWrap/>
            <w:hideMark/>
          </w:tcPr>
          <w:p w14:paraId="012C7158" w14:textId="77777777" w:rsidR="00CB2F44" w:rsidRPr="00755E5A" w:rsidRDefault="00CB2F44" w:rsidP="00755E5A">
            <w:pPr>
              <w:pStyle w:val="SingleTxt"/>
              <w:tabs>
                <w:tab w:val="left" w:pos="288"/>
                <w:tab w:val="left" w:pos="576"/>
                <w:tab w:val="left" w:pos="864"/>
                <w:tab w:val="left" w:pos="1152"/>
              </w:tabs>
              <w:spacing w:before="40" w:after="80" w:line="240" w:lineRule="exact"/>
              <w:ind w:left="0" w:right="43"/>
              <w:jc w:val="left"/>
              <w:rPr>
                <w:iCs/>
                <w:szCs w:val="20"/>
                <w:lang w:val="fr-CH"/>
              </w:rPr>
            </w:pPr>
            <w:r w:rsidRPr="00755E5A">
              <w:rPr>
                <w:iCs/>
                <w:szCs w:val="20"/>
                <w:lang w:val="fr-CH"/>
              </w:rPr>
              <w:t>4 (par. 1 et 2 a))</w:t>
            </w:r>
          </w:p>
        </w:tc>
      </w:tr>
    </w:tbl>
    <w:p w14:paraId="573283F2" w14:textId="77777777" w:rsidR="00CB2F44" w:rsidRPr="00CB2F44" w:rsidRDefault="00CB2F44" w:rsidP="00CB2F44">
      <w:pPr>
        <w:pStyle w:val="SingleTxt"/>
        <w:rPr>
          <w:lang w:val="fr-FR"/>
        </w:rPr>
      </w:pPr>
    </w:p>
    <w:p w14:paraId="47FCC3B3" w14:textId="77777777" w:rsidR="00CB2F44" w:rsidRPr="00CB2F44" w:rsidRDefault="00CB2F44" w:rsidP="00CB2F44">
      <w:pPr>
        <w:pStyle w:val="SingleTxt"/>
        <w:rPr>
          <w:lang w:val="fr-FR"/>
        </w:rPr>
      </w:pPr>
      <w:r w:rsidRPr="00CB2F44">
        <w:rPr>
          <w:lang w:val="fr-FR"/>
        </w:rPr>
        <w:br w:type="page"/>
      </w:r>
    </w:p>
    <w:p w14:paraId="46EC9806" w14:textId="077025C8" w:rsidR="00CB2F44" w:rsidRPr="00B34C89" w:rsidRDefault="00CB2F44" w:rsidP="00CB2F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34C89">
        <w:rPr>
          <w:lang w:val="fr-FR"/>
        </w:rPr>
        <w:lastRenderedPageBreak/>
        <w:tab/>
      </w:r>
      <w:r w:rsidRPr="00B34C89">
        <w:rPr>
          <w:lang w:val="fr-FR"/>
        </w:rPr>
        <w:tab/>
        <w:t>Exposé des faits</w:t>
      </w:r>
    </w:p>
    <w:p w14:paraId="74661556" w14:textId="0B4D807A" w:rsidR="00CB2F44" w:rsidRPr="00B34C89" w:rsidRDefault="00CB2F44" w:rsidP="00CB2F44">
      <w:pPr>
        <w:pStyle w:val="SingleTxt"/>
        <w:spacing w:after="0" w:line="120" w:lineRule="exact"/>
        <w:rPr>
          <w:sz w:val="10"/>
          <w:lang w:val="fr-FR"/>
        </w:rPr>
      </w:pPr>
    </w:p>
    <w:p w14:paraId="7D90EA87" w14:textId="78657856" w:rsidR="00CB2F44" w:rsidRPr="00B34C89" w:rsidRDefault="00CB2F44" w:rsidP="00CB2F44">
      <w:pPr>
        <w:pStyle w:val="SingleTxt"/>
        <w:numPr>
          <w:ilvl w:val="0"/>
          <w:numId w:val="13"/>
        </w:numPr>
        <w:spacing w:line="240" w:lineRule="exact"/>
        <w:ind w:left="1267"/>
        <w:rPr>
          <w:lang w:val="fr-FR"/>
        </w:rPr>
      </w:pPr>
      <w:r w:rsidRPr="00CB2F44">
        <w:rPr>
          <w:lang w:val="fr-FR"/>
        </w:rPr>
        <w:t>L</w:t>
      </w:r>
      <w:r w:rsidR="00B34C89">
        <w:rPr>
          <w:lang w:val="fr-FR"/>
        </w:rPr>
        <w:t>’</w:t>
      </w:r>
      <w:r w:rsidRPr="00CB2F44">
        <w:rPr>
          <w:lang w:val="fr-FR"/>
        </w:rPr>
        <w:t>auteure de la communication est K. S., de nationalité polonaise, née en 1944. Elle affirme que l</w:t>
      </w:r>
      <w:r w:rsidR="00B34C89">
        <w:rPr>
          <w:lang w:val="fr-FR"/>
        </w:rPr>
        <w:t>’</w:t>
      </w:r>
      <w:r w:rsidRPr="00CB2F44">
        <w:rPr>
          <w:lang w:val="fr-FR"/>
        </w:rPr>
        <w:t>État partie a violé les droits qu</w:t>
      </w:r>
      <w:r w:rsidR="00B34C89">
        <w:rPr>
          <w:lang w:val="fr-FR"/>
        </w:rPr>
        <w:t>’</w:t>
      </w:r>
      <w:r w:rsidRPr="00CB2F44">
        <w:rPr>
          <w:lang w:val="fr-FR"/>
        </w:rPr>
        <w:t>elle tient des alinéas a) et c) à f) de l</w:t>
      </w:r>
      <w:r w:rsidR="00B34C89">
        <w:rPr>
          <w:lang w:val="fr-FR"/>
        </w:rPr>
        <w:t>’</w:t>
      </w:r>
      <w:r w:rsidRPr="00CB2F44">
        <w:rPr>
          <w:lang w:val="fr-FR"/>
        </w:rPr>
        <w:t>article 2, de l</w:t>
      </w:r>
      <w:r w:rsidR="00B34C89">
        <w:rPr>
          <w:lang w:val="fr-FR"/>
        </w:rPr>
        <w:t>’</w:t>
      </w:r>
      <w:r w:rsidRPr="00CB2F44">
        <w:rPr>
          <w:lang w:val="fr-FR"/>
        </w:rPr>
        <w:t>article 3, de l</w:t>
      </w:r>
      <w:r w:rsidR="00B34C89">
        <w:rPr>
          <w:lang w:val="fr-FR"/>
        </w:rPr>
        <w:t>’</w:t>
      </w:r>
      <w:r w:rsidRPr="00CB2F44">
        <w:rPr>
          <w:lang w:val="fr-FR"/>
        </w:rPr>
        <w:t>alinéa a) de l</w:t>
      </w:r>
      <w:r w:rsidR="00B34C89">
        <w:rPr>
          <w:lang w:val="fr-FR"/>
        </w:rPr>
        <w:t>’</w:t>
      </w:r>
      <w:r w:rsidRPr="00CB2F44">
        <w:rPr>
          <w:lang w:val="fr-FR"/>
        </w:rPr>
        <w:t>article 5 et de l</w:t>
      </w:r>
      <w:r w:rsidR="00B34C89">
        <w:rPr>
          <w:lang w:val="fr-FR"/>
        </w:rPr>
        <w:t>’</w:t>
      </w:r>
      <w:r w:rsidRPr="00CB2F44">
        <w:rPr>
          <w:lang w:val="fr-FR"/>
        </w:rPr>
        <w:t>article 16 de la Convention. Le Protocole facultatif à la Convention est entré en vigueur pour l</w:t>
      </w:r>
      <w:r w:rsidR="00B34C89">
        <w:rPr>
          <w:lang w:val="fr-FR"/>
        </w:rPr>
        <w:t>’</w:t>
      </w:r>
      <w:r w:rsidRPr="00CB2F44">
        <w:rPr>
          <w:lang w:val="fr-FR"/>
        </w:rPr>
        <w:t>État partie le 22 mars 2004. L</w:t>
      </w:r>
      <w:r w:rsidR="00B34C89">
        <w:rPr>
          <w:lang w:val="fr-FR"/>
        </w:rPr>
        <w:t>’</w:t>
      </w:r>
      <w:r w:rsidRPr="00CB2F44">
        <w:rPr>
          <w:lang w:val="fr-FR"/>
        </w:rPr>
        <w:t>auteure est représentée par un conseil, Ireneusz C. Kamiński.</w:t>
      </w:r>
    </w:p>
    <w:p w14:paraId="3591F85B" w14:textId="3BF187A3" w:rsidR="00CB2F44" w:rsidRPr="00B34C89" w:rsidRDefault="00CB2F44" w:rsidP="00CB2F44">
      <w:pPr>
        <w:pStyle w:val="SingleTxt"/>
        <w:spacing w:after="0" w:line="120" w:lineRule="exact"/>
        <w:rPr>
          <w:sz w:val="10"/>
          <w:lang w:val="fr-FR"/>
        </w:rPr>
      </w:pPr>
    </w:p>
    <w:p w14:paraId="3B8240C4" w14:textId="43CE1DEC" w:rsidR="00CB2F44" w:rsidRPr="00B34C89" w:rsidRDefault="00CB2F44" w:rsidP="00CB2F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34C89">
        <w:rPr>
          <w:lang w:val="fr-FR"/>
        </w:rPr>
        <w:tab/>
      </w:r>
      <w:r w:rsidRPr="00B34C89">
        <w:rPr>
          <w:lang w:val="fr-FR"/>
        </w:rPr>
        <w:tab/>
        <w:t>Rappel des faits présentés par l</w:t>
      </w:r>
      <w:r w:rsidR="00B34C89">
        <w:rPr>
          <w:lang w:val="fr-FR"/>
        </w:rPr>
        <w:t>’</w:t>
      </w:r>
      <w:r w:rsidRPr="00B34C89">
        <w:rPr>
          <w:lang w:val="fr-FR"/>
        </w:rPr>
        <w:t>auteure</w:t>
      </w:r>
    </w:p>
    <w:p w14:paraId="78076033" w14:textId="4E028029" w:rsidR="00CB2F44" w:rsidRPr="00B34C89" w:rsidRDefault="00CB2F44" w:rsidP="00CB2F44">
      <w:pPr>
        <w:pStyle w:val="SingleTxt"/>
        <w:spacing w:after="0" w:line="120" w:lineRule="exact"/>
        <w:rPr>
          <w:sz w:val="10"/>
          <w:lang w:val="fr-FR"/>
        </w:rPr>
      </w:pPr>
    </w:p>
    <w:p w14:paraId="0EFB85A2" w14:textId="17F32516" w:rsidR="00CB2F44" w:rsidRPr="00CB2F44" w:rsidRDefault="00CB2F44" w:rsidP="00CB2F44">
      <w:pPr>
        <w:pStyle w:val="SingleTxt"/>
        <w:numPr>
          <w:ilvl w:val="0"/>
          <w:numId w:val="15"/>
        </w:numPr>
        <w:tabs>
          <w:tab w:val="left" w:pos="1742"/>
        </w:tabs>
        <w:spacing w:line="240" w:lineRule="exact"/>
        <w:rPr>
          <w:lang w:val="fr-FR"/>
        </w:rPr>
      </w:pPr>
      <w:r w:rsidRPr="00CB2F44">
        <w:rPr>
          <w:lang w:val="fr-FR"/>
        </w:rPr>
        <w:t>Le 27 mars 1989, l</w:t>
      </w:r>
      <w:r w:rsidR="00B34C89">
        <w:rPr>
          <w:lang w:val="fr-FR"/>
        </w:rPr>
        <w:t>’</w:t>
      </w:r>
      <w:r w:rsidRPr="00CB2F44">
        <w:rPr>
          <w:lang w:val="fr-FR"/>
        </w:rPr>
        <w:t>auteure a épousé E. S. Ils avaient chacun des enfants de précédents mariages et ont vécu ensemble au domicile de l</w:t>
      </w:r>
      <w:r w:rsidR="00B34C89">
        <w:rPr>
          <w:lang w:val="fr-FR"/>
        </w:rPr>
        <w:t>’</w:t>
      </w:r>
      <w:r w:rsidRPr="00CB2F44">
        <w:rPr>
          <w:lang w:val="fr-FR"/>
        </w:rPr>
        <w:t>auteure. E. S. aidait l</w:t>
      </w:r>
      <w:r w:rsidR="00B34C89">
        <w:rPr>
          <w:lang w:val="fr-FR"/>
        </w:rPr>
        <w:t>’</w:t>
      </w:r>
      <w:r w:rsidRPr="00CB2F44">
        <w:rPr>
          <w:lang w:val="fr-FR"/>
        </w:rPr>
        <w:t>auteure à gérer son entreprise. Par la suite, il a commencé à abuser de l</w:t>
      </w:r>
      <w:r w:rsidR="00B34C89">
        <w:rPr>
          <w:lang w:val="fr-FR"/>
        </w:rPr>
        <w:t>’</w:t>
      </w:r>
      <w:r w:rsidRPr="00CB2F44">
        <w:rPr>
          <w:lang w:val="fr-FR"/>
        </w:rPr>
        <w:t>alcool et est devenu agressif et violent à l</w:t>
      </w:r>
      <w:r w:rsidR="00B34C89">
        <w:rPr>
          <w:lang w:val="fr-FR"/>
        </w:rPr>
        <w:t>’</w:t>
      </w:r>
      <w:r w:rsidRPr="00CB2F44">
        <w:rPr>
          <w:lang w:val="fr-FR"/>
        </w:rPr>
        <w:t>égard de l</w:t>
      </w:r>
      <w:r w:rsidR="00B34C89">
        <w:rPr>
          <w:lang w:val="fr-FR"/>
        </w:rPr>
        <w:t>’</w:t>
      </w:r>
      <w:r w:rsidRPr="00CB2F44">
        <w:rPr>
          <w:lang w:val="fr-FR"/>
        </w:rPr>
        <w:t>auteure et de ses filles</w:t>
      </w:r>
      <w:r w:rsidRPr="00CB2F44">
        <w:rPr>
          <w:vertAlign w:val="superscript"/>
          <w:lang w:val="fr-CH"/>
        </w:rPr>
        <w:footnoteReference w:id="3"/>
      </w:r>
      <w:r w:rsidRPr="00CB2F44">
        <w:rPr>
          <w:lang w:val="fr-FR"/>
        </w:rPr>
        <w:t>.</w:t>
      </w:r>
    </w:p>
    <w:p w14:paraId="624256F0" w14:textId="1C6842A5" w:rsidR="00CB2F44" w:rsidRPr="00B34C89" w:rsidRDefault="00CB2F44" w:rsidP="00CB2F44">
      <w:pPr>
        <w:pStyle w:val="SingleTxt"/>
        <w:numPr>
          <w:ilvl w:val="0"/>
          <w:numId w:val="15"/>
        </w:numPr>
        <w:tabs>
          <w:tab w:val="left" w:pos="1742"/>
        </w:tabs>
        <w:spacing w:line="240" w:lineRule="exact"/>
        <w:rPr>
          <w:lang w:val="fr-FR"/>
        </w:rPr>
      </w:pPr>
      <w:r w:rsidRPr="00CB2F44">
        <w:rPr>
          <w:lang w:val="fr-FR"/>
        </w:rPr>
        <w:t>Le 14 juillet 2005, le tribunal régional de Varsovie a prononcé le divorce de l</w:t>
      </w:r>
      <w:r w:rsidR="00B34C89">
        <w:rPr>
          <w:lang w:val="fr-FR"/>
        </w:rPr>
        <w:t>’</w:t>
      </w:r>
      <w:r w:rsidRPr="00CB2F44">
        <w:rPr>
          <w:lang w:val="fr-FR"/>
        </w:rPr>
        <w:t>auteure et d</w:t>
      </w:r>
      <w:r w:rsidR="00B34C89">
        <w:rPr>
          <w:lang w:val="fr-FR"/>
        </w:rPr>
        <w:t>’</w:t>
      </w:r>
      <w:r w:rsidRPr="00CB2F44">
        <w:rPr>
          <w:lang w:val="fr-FR"/>
        </w:rPr>
        <w:t>E. S., en attribuant le tort exclusif à ce dernier. Le mari de l</w:t>
      </w:r>
      <w:r w:rsidR="00B34C89">
        <w:rPr>
          <w:lang w:val="fr-FR"/>
        </w:rPr>
        <w:t>’</w:t>
      </w:r>
      <w:r w:rsidRPr="00CB2F44">
        <w:rPr>
          <w:lang w:val="fr-FR"/>
        </w:rPr>
        <w:t>auteure a fait appel de cette décision. Le 21 avril 2006, la cour d</w:t>
      </w:r>
      <w:r w:rsidR="00B34C89">
        <w:rPr>
          <w:lang w:val="fr-FR"/>
        </w:rPr>
        <w:t>’</w:t>
      </w:r>
      <w:r w:rsidRPr="00CB2F44">
        <w:rPr>
          <w:lang w:val="fr-FR"/>
        </w:rPr>
        <w:t>appel de Varsovie a confirmé le divorce. Elle a mis en évidence les antécédents d</w:t>
      </w:r>
      <w:r w:rsidR="00B34C89">
        <w:rPr>
          <w:lang w:val="fr-FR"/>
        </w:rPr>
        <w:t>’</w:t>
      </w:r>
      <w:r w:rsidRPr="00CB2F44">
        <w:rPr>
          <w:lang w:val="fr-FR"/>
        </w:rPr>
        <w:t>alcoolisme du mari et a décrit certains actes de violence domestique qu</w:t>
      </w:r>
      <w:r w:rsidR="00B34C89">
        <w:rPr>
          <w:lang w:val="fr-FR"/>
        </w:rPr>
        <w:t>’</w:t>
      </w:r>
      <w:r w:rsidRPr="00CB2F44">
        <w:rPr>
          <w:lang w:val="fr-FR"/>
        </w:rPr>
        <w:t>il avait commis.</w:t>
      </w:r>
    </w:p>
    <w:p w14:paraId="60877A07" w14:textId="48614F89" w:rsidR="00CB2F44" w:rsidRPr="00B34C89" w:rsidRDefault="00CB2F44" w:rsidP="00CB2F44">
      <w:pPr>
        <w:pStyle w:val="SingleTxt"/>
        <w:spacing w:after="0" w:line="120" w:lineRule="exact"/>
        <w:rPr>
          <w:sz w:val="10"/>
          <w:lang w:val="fr-FR"/>
        </w:rPr>
      </w:pPr>
    </w:p>
    <w:p w14:paraId="260E3325" w14:textId="0C1732EC" w:rsidR="00CB2F44" w:rsidRPr="00B34C89" w:rsidRDefault="00CB2F44" w:rsidP="00CB2F4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34C89">
        <w:rPr>
          <w:lang w:val="fr-FR"/>
        </w:rPr>
        <w:tab/>
      </w:r>
      <w:r w:rsidRPr="00B34C89">
        <w:rPr>
          <w:lang w:val="fr-FR"/>
        </w:rPr>
        <w:tab/>
        <w:t>Poursuites pénales engagées contre le mari de l</w:t>
      </w:r>
      <w:r w:rsidR="00B34C89">
        <w:rPr>
          <w:lang w:val="fr-FR"/>
        </w:rPr>
        <w:t>’</w:t>
      </w:r>
      <w:r w:rsidRPr="00B34C89">
        <w:rPr>
          <w:lang w:val="fr-FR"/>
        </w:rPr>
        <w:t>auteure, y compris les plaintes non abouties déposées par celle-ci</w:t>
      </w:r>
    </w:p>
    <w:p w14:paraId="4002B42B" w14:textId="42C6B9BA" w:rsidR="00CB2F44" w:rsidRPr="00B34C89" w:rsidRDefault="00CB2F44" w:rsidP="00CB2F44">
      <w:pPr>
        <w:pStyle w:val="SingleTxt"/>
        <w:spacing w:after="0" w:line="120" w:lineRule="exact"/>
        <w:rPr>
          <w:sz w:val="10"/>
          <w:lang w:val="fr-FR"/>
        </w:rPr>
      </w:pPr>
    </w:p>
    <w:p w14:paraId="09CCD2E2" w14:textId="21CFD619" w:rsidR="00CB2F44" w:rsidRPr="00CB2F44" w:rsidRDefault="00CB2F44" w:rsidP="00CB2F44">
      <w:pPr>
        <w:pStyle w:val="SingleTxt"/>
        <w:numPr>
          <w:ilvl w:val="0"/>
          <w:numId w:val="15"/>
        </w:numPr>
        <w:tabs>
          <w:tab w:val="left" w:pos="1742"/>
        </w:tabs>
        <w:spacing w:line="240" w:lineRule="exact"/>
        <w:rPr>
          <w:lang w:val="fr-FR"/>
        </w:rPr>
      </w:pPr>
      <w:r w:rsidRPr="00CB2F44">
        <w:rPr>
          <w:lang w:val="fr-FR"/>
        </w:rPr>
        <w:t>Le 26 décembre 2003, alors qu</w:t>
      </w:r>
      <w:r w:rsidR="00B34C89">
        <w:rPr>
          <w:lang w:val="fr-FR"/>
        </w:rPr>
        <w:t>’</w:t>
      </w:r>
      <w:r w:rsidRPr="00CB2F44">
        <w:rPr>
          <w:lang w:val="fr-FR"/>
        </w:rPr>
        <w:t>il était sous l</w:t>
      </w:r>
      <w:r w:rsidR="00B34C89">
        <w:rPr>
          <w:lang w:val="fr-FR"/>
        </w:rPr>
        <w:t>’</w:t>
      </w:r>
      <w:r w:rsidRPr="00CB2F44">
        <w:rPr>
          <w:lang w:val="fr-FR"/>
        </w:rPr>
        <w:t>emprise de l</w:t>
      </w:r>
      <w:r w:rsidR="00B34C89">
        <w:rPr>
          <w:lang w:val="fr-FR"/>
        </w:rPr>
        <w:t>’</w:t>
      </w:r>
      <w:r w:rsidRPr="00CB2F44">
        <w:rPr>
          <w:lang w:val="fr-FR"/>
        </w:rPr>
        <w:t>alcool, le mari a menacé l</w:t>
      </w:r>
      <w:r w:rsidR="00B34C89">
        <w:rPr>
          <w:lang w:val="fr-FR"/>
        </w:rPr>
        <w:t>’</w:t>
      </w:r>
      <w:r w:rsidRPr="00CB2F44">
        <w:rPr>
          <w:lang w:val="fr-FR"/>
        </w:rPr>
        <w:t>auteure et ses filles. Elles ont été contraintes de s</w:t>
      </w:r>
      <w:r w:rsidR="00B34C89">
        <w:rPr>
          <w:lang w:val="fr-FR"/>
        </w:rPr>
        <w:t>’</w:t>
      </w:r>
      <w:r w:rsidRPr="00CB2F44">
        <w:rPr>
          <w:lang w:val="fr-FR"/>
        </w:rPr>
        <w:t>enfermer dans la chambre de l</w:t>
      </w:r>
      <w:r w:rsidR="00B34C89">
        <w:rPr>
          <w:lang w:val="fr-FR"/>
        </w:rPr>
        <w:t>’</w:t>
      </w:r>
      <w:r w:rsidRPr="00CB2F44">
        <w:rPr>
          <w:lang w:val="fr-FR"/>
        </w:rPr>
        <w:t>une des filles, le mari de l</w:t>
      </w:r>
      <w:r w:rsidR="00B34C89">
        <w:rPr>
          <w:lang w:val="fr-FR"/>
        </w:rPr>
        <w:t>’</w:t>
      </w:r>
      <w:r w:rsidRPr="00CB2F44">
        <w:rPr>
          <w:lang w:val="fr-FR"/>
        </w:rPr>
        <w:t>auteure se trouvant de l</w:t>
      </w:r>
      <w:r w:rsidR="00B34C89">
        <w:rPr>
          <w:lang w:val="fr-FR"/>
        </w:rPr>
        <w:t>’</w:t>
      </w:r>
      <w:r w:rsidRPr="00CB2F44">
        <w:rPr>
          <w:lang w:val="fr-FR"/>
        </w:rPr>
        <w:t>autre côté de la porte. L</w:t>
      </w:r>
      <w:r w:rsidR="00B34C89">
        <w:rPr>
          <w:lang w:val="fr-FR"/>
        </w:rPr>
        <w:t>’</w:t>
      </w:r>
      <w:r w:rsidRPr="00CB2F44">
        <w:rPr>
          <w:lang w:val="fr-FR"/>
        </w:rPr>
        <w:t>auteure n</w:t>
      </w:r>
      <w:r w:rsidR="00B34C89">
        <w:rPr>
          <w:lang w:val="fr-FR"/>
        </w:rPr>
        <w:t>’</w:t>
      </w:r>
      <w:r w:rsidRPr="00CB2F44">
        <w:rPr>
          <w:lang w:val="fr-FR"/>
        </w:rPr>
        <w:t>a pas pu appeler les forces de l</w:t>
      </w:r>
      <w:r w:rsidR="00B34C89">
        <w:rPr>
          <w:lang w:val="fr-FR"/>
        </w:rPr>
        <w:t>’</w:t>
      </w:r>
      <w:r w:rsidRPr="00CB2F44">
        <w:rPr>
          <w:lang w:val="fr-FR"/>
        </w:rPr>
        <w:t>ordre à ce moment-là car elle a dû attendre que son mari se calme, mais elle a porté plainte auprès de la police le lendemain. Le 7 janvier 2004, le mari de l</w:t>
      </w:r>
      <w:r w:rsidR="00B34C89">
        <w:rPr>
          <w:lang w:val="fr-FR"/>
        </w:rPr>
        <w:t>’</w:t>
      </w:r>
      <w:r w:rsidRPr="00CB2F44">
        <w:rPr>
          <w:lang w:val="fr-FR"/>
        </w:rPr>
        <w:t>auteure a retiré 200 000 zlotys du compte de placement de l</w:t>
      </w:r>
      <w:r w:rsidR="00B34C89">
        <w:rPr>
          <w:lang w:val="fr-FR"/>
        </w:rPr>
        <w:t>’</w:t>
      </w:r>
      <w:r w:rsidRPr="00CB2F44">
        <w:rPr>
          <w:lang w:val="fr-FR"/>
        </w:rPr>
        <w:t>auteure sans l</w:t>
      </w:r>
      <w:r w:rsidR="00B34C89">
        <w:rPr>
          <w:lang w:val="fr-FR"/>
        </w:rPr>
        <w:t>’</w:t>
      </w:r>
      <w:r w:rsidRPr="00CB2F44">
        <w:rPr>
          <w:lang w:val="fr-FR"/>
        </w:rPr>
        <w:t>en informer. Par la suite, il a dit à l</w:t>
      </w:r>
      <w:r w:rsidR="00B34C89">
        <w:rPr>
          <w:lang w:val="fr-FR"/>
        </w:rPr>
        <w:t>’</w:t>
      </w:r>
      <w:r w:rsidRPr="00CB2F44">
        <w:rPr>
          <w:lang w:val="fr-FR"/>
        </w:rPr>
        <w:t>auteure qu</w:t>
      </w:r>
      <w:r w:rsidR="00B34C89">
        <w:rPr>
          <w:lang w:val="fr-FR"/>
        </w:rPr>
        <w:t>’</w:t>
      </w:r>
      <w:r w:rsidRPr="00CB2F44">
        <w:rPr>
          <w:lang w:val="fr-FR"/>
        </w:rPr>
        <w:t>il ne lui rendrait l</w:t>
      </w:r>
      <w:r w:rsidR="00B34C89">
        <w:rPr>
          <w:lang w:val="fr-FR"/>
        </w:rPr>
        <w:t>’</w:t>
      </w:r>
      <w:r w:rsidRPr="00CB2F44">
        <w:rPr>
          <w:lang w:val="fr-FR"/>
        </w:rPr>
        <w:t>argent que si elle retirait sa plainte. L</w:t>
      </w:r>
      <w:r w:rsidR="00B34C89">
        <w:rPr>
          <w:lang w:val="fr-FR"/>
        </w:rPr>
        <w:t>’</w:t>
      </w:r>
      <w:r w:rsidRPr="00CB2F44">
        <w:rPr>
          <w:lang w:val="fr-FR"/>
        </w:rPr>
        <w:t>auteure a retiré sa plainte et, le 30 janvier 2004, le bureau du procureur du district de Piaseczno a mis fin à la procédure.</w:t>
      </w:r>
    </w:p>
    <w:p w14:paraId="11C2E3AC" w14:textId="068232E5" w:rsidR="00CB2F44" w:rsidRPr="00CB2F44" w:rsidRDefault="00CB2F44" w:rsidP="0093064A">
      <w:pPr>
        <w:pStyle w:val="SingleTxt"/>
        <w:numPr>
          <w:ilvl w:val="0"/>
          <w:numId w:val="15"/>
        </w:numPr>
        <w:tabs>
          <w:tab w:val="left" w:pos="1742"/>
        </w:tabs>
        <w:spacing w:line="240" w:lineRule="exact"/>
        <w:rPr>
          <w:lang w:val="fr-FR"/>
        </w:rPr>
      </w:pPr>
      <w:r w:rsidRPr="00CB2F44">
        <w:rPr>
          <w:lang w:val="fr-FR"/>
        </w:rPr>
        <w:t>Le 15</w:t>
      </w:r>
      <w:r w:rsidRPr="00CB2F44">
        <w:t> </w:t>
      </w:r>
      <w:r w:rsidRPr="00CB2F44">
        <w:rPr>
          <w:lang w:val="fr-FR"/>
        </w:rPr>
        <w:t>mars 2004, l</w:t>
      </w:r>
      <w:r w:rsidR="00B34C89">
        <w:rPr>
          <w:lang w:val="fr-FR"/>
        </w:rPr>
        <w:t>’</w:t>
      </w:r>
      <w:r w:rsidRPr="00CB2F44">
        <w:rPr>
          <w:lang w:val="fr-FR"/>
        </w:rPr>
        <w:t>auteure a de nouveau porté plainte, affirmant que son mari les avait menacées, elle et ses filles, et qu</w:t>
      </w:r>
      <w:r w:rsidR="00B34C89">
        <w:rPr>
          <w:lang w:val="fr-FR"/>
        </w:rPr>
        <w:t>’</w:t>
      </w:r>
      <w:r w:rsidRPr="00CB2F44">
        <w:rPr>
          <w:lang w:val="fr-FR"/>
        </w:rPr>
        <w:t>il lui avait volé 204 783 zlotys. Interrogée par la police, l</w:t>
      </w:r>
      <w:r w:rsidR="00B34C89">
        <w:rPr>
          <w:lang w:val="fr-FR"/>
        </w:rPr>
        <w:t>’</w:t>
      </w:r>
      <w:r w:rsidRPr="00CB2F44">
        <w:rPr>
          <w:lang w:val="fr-FR"/>
        </w:rPr>
        <w:t>auteure a expliqué qu</w:t>
      </w:r>
      <w:r w:rsidR="00B34C89">
        <w:rPr>
          <w:lang w:val="fr-FR"/>
        </w:rPr>
        <w:t>’</w:t>
      </w:r>
      <w:r w:rsidRPr="00CB2F44">
        <w:rPr>
          <w:lang w:val="fr-FR"/>
        </w:rPr>
        <w:t>elle avait retiré sa précédente plainte sous la menace de son mari. Le 5 avril 2004, la police du district de Piaseczno a refusé d</w:t>
      </w:r>
      <w:r w:rsidR="00B34C89">
        <w:rPr>
          <w:lang w:val="fr-FR"/>
        </w:rPr>
        <w:t>’</w:t>
      </w:r>
      <w:r w:rsidRPr="00CB2F44">
        <w:rPr>
          <w:lang w:val="fr-FR"/>
        </w:rPr>
        <w:t>ouvrir une enquête, déclarant que l</w:t>
      </w:r>
      <w:r w:rsidR="00B34C89">
        <w:rPr>
          <w:lang w:val="fr-FR"/>
        </w:rPr>
        <w:t>’</w:t>
      </w:r>
      <w:r w:rsidRPr="00CB2F44">
        <w:rPr>
          <w:lang w:val="fr-FR"/>
        </w:rPr>
        <w:t>auteure n</w:t>
      </w:r>
      <w:r w:rsidR="00B34C89">
        <w:rPr>
          <w:lang w:val="fr-FR"/>
        </w:rPr>
        <w:t>’</w:t>
      </w:r>
      <w:r w:rsidRPr="00CB2F44">
        <w:rPr>
          <w:lang w:val="fr-FR"/>
        </w:rPr>
        <w:t>avait pas suffisamment étayé ses allégations concernant les menaces dont elle aurait fait l</w:t>
      </w:r>
      <w:r w:rsidR="00B34C89">
        <w:rPr>
          <w:lang w:val="fr-FR"/>
        </w:rPr>
        <w:t>’</w:t>
      </w:r>
      <w:r w:rsidRPr="00CB2F44">
        <w:rPr>
          <w:lang w:val="fr-FR"/>
        </w:rPr>
        <w:t>objet.</w:t>
      </w:r>
    </w:p>
    <w:p w14:paraId="7CA50078" w14:textId="15569B0B" w:rsidR="00CB2F44" w:rsidRPr="00CB2F44" w:rsidRDefault="00CB2F44" w:rsidP="0093064A">
      <w:pPr>
        <w:pStyle w:val="SingleTxt"/>
        <w:numPr>
          <w:ilvl w:val="0"/>
          <w:numId w:val="15"/>
        </w:numPr>
        <w:tabs>
          <w:tab w:val="left" w:pos="1742"/>
        </w:tabs>
        <w:spacing w:line="240" w:lineRule="exact"/>
        <w:rPr>
          <w:lang w:val="fr-FR"/>
        </w:rPr>
      </w:pPr>
      <w:r w:rsidRPr="00CB2F44">
        <w:rPr>
          <w:lang w:val="fr-FR"/>
        </w:rPr>
        <w:t>Les 4 et 13 janvier 2005</w:t>
      </w:r>
      <w:r w:rsidRPr="00CB2F44">
        <w:rPr>
          <w:vertAlign w:val="superscript"/>
          <w:lang w:val="fr-CH"/>
        </w:rPr>
        <w:footnoteReference w:id="4"/>
      </w:r>
      <w:r w:rsidRPr="00CB2F44">
        <w:rPr>
          <w:lang w:val="fr-FR"/>
        </w:rPr>
        <w:t>, l</w:t>
      </w:r>
      <w:r w:rsidR="00B34C89">
        <w:rPr>
          <w:lang w:val="fr-FR"/>
        </w:rPr>
        <w:t>’</w:t>
      </w:r>
      <w:r w:rsidRPr="00CB2F44">
        <w:rPr>
          <w:lang w:val="fr-FR"/>
        </w:rPr>
        <w:t>auteure a déposé, auprès du bureau du procureur du district de Piaseczno, une autre plainte dans laquelle elle affirmait que son mari était alcoolique, qu</w:t>
      </w:r>
      <w:r w:rsidR="00B34C89">
        <w:rPr>
          <w:lang w:val="fr-FR"/>
        </w:rPr>
        <w:t>’</w:t>
      </w:r>
      <w:r w:rsidRPr="00CB2F44">
        <w:rPr>
          <w:lang w:val="fr-FR"/>
        </w:rPr>
        <w:t>il les avait</w:t>
      </w:r>
      <w:r w:rsidR="00D00684">
        <w:rPr>
          <w:lang w:val="fr-FR"/>
        </w:rPr>
        <w:t>,</w:t>
      </w:r>
      <w:r w:rsidRPr="00CB2F44">
        <w:rPr>
          <w:lang w:val="fr-FR"/>
        </w:rPr>
        <w:t xml:space="preserve"> à plusieurs reprises</w:t>
      </w:r>
      <w:r w:rsidR="00D00684">
        <w:rPr>
          <w:lang w:val="fr-FR"/>
        </w:rPr>
        <w:t>,</w:t>
      </w:r>
      <w:r w:rsidRPr="00CB2F44">
        <w:rPr>
          <w:lang w:val="fr-FR"/>
        </w:rPr>
        <w:t xml:space="preserve"> menacées de mort, elle et ses filles, et qu</w:t>
      </w:r>
      <w:r w:rsidR="00B34C89">
        <w:rPr>
          <w:lang w:val="fr-FR"/>
        </w:rPr>
        <w:t>’</w:t>
      </w:r>
      <w:r w:rsidRPr="00CB2F44">
        <w:rPr>
          <w:lang w:val="fr-FR"/>
        </w:rPr>
        <w:t>il avait aussi menacé d</w:t>
      </w:r>
      <w:r w:rsidR="00B34C89">
        <w:rPr>
          <w:lang w:val="fr-FR"/>
        </w:rPr>
        <w:t>’</w:t>
      </w:r>
      <w:r w:rsidRPr="00CB2F44">
        <w:rPr>
          <w:lang w:val="fr-FR"/>
        </w:rPr>
        <w:t>incendier leur maison. Elle a également affirmé qu</w:t>
      </w:r>
      <w:r w:rsidR="00B34C89">
        <w:rPr>
          <w:lang w:val="fr-FR"/>
        </w:rPr>
        <w:t>’</w:t>
      </w:r>
      <w:r w:rsidRPr="00CB2F44">
        <w:rPr>
          <w:lang w:val="fr-FR"/>
        </w:rPr>
        <w:t>il la maltraitait psychologiquement et physiquement en l</w:t>
      </w:r>
      <w:r w:rsidR="00B34C89">
        <w:rPr>
          <w:lang w:val="fr-FR"/>
        </w:rPr>
        <w:t>’</w:t>
      </w:r>
      <w:r w:rsidRPr="00CB2F44">
        <w:rPr>
          <w:lang w:val="fr-FR"/>
        </w:rPr>
        <w:t>empêchant d</w:t>
      </w:r>
      <w:r w:rsidR="00B34C89">
        <w:rPr>
          <w:lang w:val="fr-FR"/>
        </w:rPr>
        <w:t>’</w:t>
      </w:r>
      <w:r w:rsidRPr="00CB2F44">
        <w:rPr>
          <w:lang w:val="fr-FR"/>
        </w:rPr>
        <w:t>utiliser l</w:t>
      </w:r>
      <w:r w:rsidR="00B34C89">
        <w:rPr>
          <w:lang w:val="fr-FR"/>
        </w:rPr>
        <w:t>’</w:t>
      </w:r>
      <w:r w:rsidRPr="00CB2F44">
        <w:rPr>
          <w:lang w:val="fr-FR"/>
        </w:rPr>
        <w:t>eau chaude, le chauffage et le téléphone. Le 7 février 2005, l</w:t>
      </w:r>
      <w:r w:rsidR="00B34C89">
        <w:rPr>
          <w:lang w:val="fr-FR"/>
        </w:rPr>
        <w:t>’</w:t>
      </w:r>
      <w:r w:rsidRPr="00CB2F44">
        <w:rPr>
          <w:lang w:val="fr-FR"/>
        </w:rPr>
        <w:t>auteure a été interrogée</w:t>
      </w:r>
      <w:r w:rsidR="00B34C89">
        <w:rPr>
          <w:lang w:val="fr-FR"/>
        </w:rPr>
        <w:t> ;</w:t>
      </w:r>
      <w:r w:rsidRPr="00CB2F44">
        <w:rPr>
          <w:lang w:val="fr-FR"/>
        </w:rPr>
        <w:t xml:space="preserve"> pendant l</w:t>
      </w:r>
      <w:r w:rsidR="00B34C89">
        <w:rPr>
          <w:lang w:val="fr-FR"/>
        </w:rPr>
        <w:t>’</w:t>
      </w:r>
      <w:r w:rsidRPr="00CB2F44">
        <w:rPr>
          <w:lang w:val="fr-FR"/>
        </w:rPr>
        <w:t>entretien, elle a dit craindre pour sa sécurité. Elle a également déclaré à la police qu</w:t>
      </w:r>
      <w:r w:rsidR="00B34C89">
        <w:rPr>
          <w:lang w:val="fr-FR"/>
        </w:rPr>
        <w:t>’</w:t>
      </w:r>
      <w:r w:rsidRPr="00CB2F44">
        <w:rPr>
          <w:lang w:val="fr-FR"/>
        </w:rPr>
        <w:t>elle n</w:t>
      </w:r>
      <w:r w:rsidR="00B34C89">
        <w:rPr>
          <w:lang w:val="fr-FR"/>
        </w:rPr>
        <w:t>’</w:t>
      </w:r>
      <w:r w:rsidRPr="00CB2F44">
        <w:rPr>
          <w:lang w:val="fr-FR"/>
        </w:rPr>
        <w:t>avait jamais demandé de certificat médical après avoir été maltraitée physiquement par son mari, parce qu</w:t>
      </w:r>
      <w:r w:rsidR="00B34C89">
        <w:rPr>
          <w:lang w:val="fr-FR"/>
        </w:rPr>
        <w:t>’</w:t>
      </w:r>
      <w:r w:rsidRPr="00CB2F44">
        <w:rPr>
          <w:lang w:val="fr-FR"/>
        </w:rPr>
        <w:t>elle avait honte d</w:t>
      </w:r>
      <w:r w:rsidR="00B34C89">
        <w:rPr>
          <w:lang w:val="fr-FR"/>
        </w:rPr>
        <w:t>’</w:t>
      </w:r>
      <w:r w:rsidRPr="00CB2F44">
        <w:rPr>
          <w:lang w:val="fr-FR"/>
        </w:rPr>
        <w:t xml:space="preserve">être victime de violence </w:t>
      </w:r>
      <w:r w:rsidRPr="00CB2F44">
        <w:rPr>
          <w:lang w:val="fr-FR"/>
        </w:rPr>
        <w:lastRenderedPageBreak/>
        <w:t>domestique. Le 8 février 2005, le bureau du procureur du district de Piaseczno a engagé une procédure pénale.</w:t>
      </w:r>
    </w:p>
    <w:p w14:paraId="610FE444" w14:textId="338A829B" w:rsidR="00CB2F44" w:rsidRPr="00CB2F44" w:rsidRDefault="00CB2F44" w:rsidP="00B34C89">
      <w:pPr>
        <w:pStyle w:val="SingleTxt"/>
        <w:numPr>
          <w:ilvl w:val="0"/>
          <w:numId w:val="15"/>
        </w:numPr>
        <w:tabs>
          <w:tab w:val="left" w:pos="1742"/>
        </w:tabs>
        <w:spacing w:line="240" w:lineRule="exact"/>
        <w:rPr>
          <w:lang w:val="fr-FR"/>
        </w:rPr>
      </w:pPr>
      <w:r w:rsidRPr="00CB2F44">
        <w:rPr>
          <w:lang w:val="fr-FR"/>
        </w:rPr>
        <w:t>Bien que les filles de l</w:t>
      </w:r>
      <w:r w:rsidR="00B34C89">
        <w:rPr>
          <w:lang w:val="fr-FR"/>
        </w:rPr>
        <w:t>’</w:t>
      </w:r>
      <w:r w:rsidRPr="00CB2F44">
        <w:rPr>
          <w:lang w:val="fr-FR"/>
        </w:rPr>
        <w:t>auteure aient confirmé les allégations de celle-ci au cours d</w:t>
      </w:r>
      <w:r w:rsidR="00B34C89">
        <w:rPr>
          <w:lang w:val="fr-FR"/>
        </w:rPr>
        <w:t>’</w:t>
      </w:r>
      <w:r w:rsidRPr="00CB2F44">
        <w:rPr>
          <w:lang w:val="fr-FR"/>
        </w:rPr>
        <w:t>un interrogatoire mené le 3 mars 2005, la police de district a abandonné la procédure le 19 mai 2005, par manque de preuves. L</w:t>
      </w:r>
      <w:r w:rsidR="00B34C89">
        <w:rPr>
          <w:lang w:val="fr-FR"/>
        </w:rPr>
        <w:t>’</w:t>
      </w:r>
      <w:r w:rsidRPr="00CB2F44">
        <w:rPr>
          <w:lang w:val="fr-FR"/>
        </w:rPr>
        <w:t>auteure a fait appel de cette décision de la police de district, qui a été annulée par le bureau du procureur de Varsovie le 12 juillet 2005.</w:t>
      </w:r>
    </w:p>
    <w:p w14:paraId="39B4FB77" w14:textId="43C48918" w:rsidR="00CB2F44" w:rsidRPr="00CB2F44" w:rsidRDefault="00CB2F44" w:rsidP="00B34C89">
      <w:pPr>
        <w:pStyle w:val="SingleTxt"/>
        <w:numPr>
          <w:ilvl w:val="0"/>
          <w:numId w:val="15"/>
        </w:numPr>
        <w:tabs>
          <w:tab w:val="left" w:pos="1742"/>
        </w:tabs>
        <w:spacing w:line="240" w:lineRule="exact"/>
        <w:rPr>
          <w:lang w:val="fr-FR"/>
        </w:rPr>
      </w:pPr>
      <w:r w:rsidRPr="00CB2F44">
        <w:rPr>
          <w:lang w:val="fr-FR"/>
        </w:rPr>
        <w:t>Le 19 août 2005, l</w:t>
      </w:r>
      <w:r w:rsidR="00B34C89">
        <w:rPr>
          <w:lang w:val="fr-FR"/>
        </w:rPr>
        <w:t>’</w:t>
      </w:r>
      <w:r w:rsidRPr="00CB2F44">
        <w:rPr>
          <w:lang w:val="fr-FR"/>
        </w:rPr>
        <w:t>auteure a déposé une autre plainte, affirmant que son mari l</w:t>
      </w:r>
      <w:r w:rsidR="00B34C89">
        <w:rPr>
          <w:lang w:val="fr-FR"/>
        </w:rPr>
        <w:t>’</w:t>
      </w:r>
      <w:r w:rsidRPr="00CB2F44">
        <w:rPr>
          <w:lang w:val="fr-FR"/>
        </w:rPr>
        <w:t>avait menacée de mort et avait dit qu</w:t>
      </w:r>
      <w:r w:rsidR="00B34C89">
        <w:rPr>
          <w:lang w:val="fr-FR"/>
        </w:rPr>
        <w:t>’</w:t>
      </w:r>
      <w:r w:rsidRPr="00CB2F44">
        <w:rPr>
          <w:lang w:val="fr-FR"/>
        </w:rPr>
        <w:t>il incendierait la maison. L</w:t>
      </w:r>
      <w:r w:rsidR="00B34C89">
        <w:rPr>
          <w:lang w:val="fr-FR"/>
        </w:rPr>
        <w:t>’</w:t>
      </w:r>
      <w:r w:rsidRPr="00CB2F44">
        <w:rPr>
          <w:lang w:val="fr-FR"/>
        </w:rPr>
        <w:t>auteure a été interrogée le 7 septembre 2005 et a confirmé les faits signalés dans sa plainte initiale. Le 30 septembre 2005, le mari de l</w:t>
      </w:r>
      <w:r w:rsidR="00B34C89">
        <w:rPr>
          <w:lang w:val="fr-FR"/>
        </w:rPr>
        <w:t>’</w:t>
      </w:r>
      <w:r w:rsidRPr="00CB2F44">
        <w:rPr>
          <w:lang w:val="fr-FR"/>
        </w:rPr>
        <w:t>auteure a été accusé d</w:t>
      </w:r>
      <w:r w:rsidR="00B34C89">
        <w:rPr>
          <w:lang w:val="fr-FR"/>
        </w:rPr>
        <w:t>’</w:t>
      </w:r>
      <w:r w:rsidRPr="00CB2F44">
        <w:rPr>
          <w:lang w:val="fr-FR"/>
        </w:rPr>
        <w:t>avoir détourné 250 000 zlotys du compte bancaire qu</w:t>
      </w:r>
      <w:r w:rsidR="00B34C89">
        <w:rPr>
          <w:lang w:val="fr-FR"/>
        </w:rPr>
        <w:t>’</w:t>
      </w:r>
      <w:r w:rsidRPr="00CB2F44">
        <w:rPr>
          <w:lang w:val="fr-FR"/>
        </w:rPr>
        <w:t>il détenait conjointement avec l</w:t>
      </w:r>
      <w:r w:rsidR="00B34C89">
        <w:rPr>
          <w:lang w:val="fr-FR"/>
        </w:rPr>
        <w:t>’</w:t>
      </w:r>
      <w:r w:rsidRPr="00CB2F44">
        <w:rPr>
          <w:lang w:val="fr-FR"/>
        </w:rPr>
        <w:t>auteure, en violation du paragraphe 1 de l</w:t>
      </w:r>
      <w:r w:rsidR="00B34C89">
        <w:rPr>
          <w:lang w:val="fr-FR"/>
        </w:rPr>
        <w:t>’</w:t>
      </w:r>
      <w:r w:rsidRPr="00CB2F44">
        <w:rPr>
          <w:lang w:val="fr-FR"/>
        </w:rPr>
        <w:t>article 284 et du paragraphe 1 de l</w:t>
      </w:r>
      <w:r w:rsidR="00B34C89">
        <w:rPr>
          <w:lang w:val="fr-FR"/>
        </w:rPr>
        <w:t>’</w:t>
      </w:r>
      <w:r w:rsidRPr="00CB2F44">
        <w:rPr>
          <w:lang w:val="fr-FR"/>
        </w:rPr>
        <w:t>article 294 du Code pénal, et d</w:t>
      </w:r>
      <w:r w:rsidR="00B34C89">
        <w:rPr>
          <w:lang w:val="fr-FR"/>
        </w:rPr>
        <w:t>’</w:t>
      </w:r>
      <w:r w:rsidRPr="00CB2F44">
        <w:rPr>
          <w:lang w:val="fr-FR"/>
        </w:rPr>
        <w:t>avoir infligé des mauvais traitements à l</w:t>
      </w:r>
      <w:r w:rsidR="00B34C89">
        <w:rPr>
          <w:lang w:val="fr-FR"/>
        </w:rPr>
        <w:t>’</w:t>
      </w:r>
      <w:r w:rsidRPr="00CB2F44">
        <w:rPr>
          <w:lang w:val="fr-FR"/>
        </w:rPr>
        <w:t>auteure, sous la forme de menaces et de violences, entre le 1</w:t>
      </w:r>
      <w:r w:rsidRPr="00CB2F44">
        <w:rPr>
          <w:vertAlign w:val="superscript"/>
          <w:lang w:val="fr-FR"/>
        </w:rPr>
        <w:t>er</w:t>
      </w:r>
      <w:r w:rsidRPr="00CB2F44">
        <w:rPr>
          <w:lang w:val="fr-FR"/>
        </w:rPr>
        <w:t xml:space="preserve"> mars 2003 et le 7 septembre 2005, en violation du </w:t>
      </w:r>
      <w:r w:rsidR="00BC21FC" w:rsidRPr="00CB2F44">
        <w:rPr>
          <w:lang w:val="fr-FR"/>
        </w:rPr>
        <w:t>paragraphe</w:t>
      </w:r>
      <w:r w:rsidR="00BC21FC">
        <w:rPr>
          <w:lang w:val="fr-FR"/>
        </w:rPr>
        <w:t> </w:t>
      </w:r>
      <w:r w:rsidRPr="00CB2F44">
        <w:rPr>
          <w:lang w:val="fr-FR"/>
        </w:rPr>
        <w:t>1 de l</w:t>
      </w:r>
      <w:r w:rsidR="00B34C89">
        <w:rPr>
          <w:lang w:val="fr-FR"/>
        </w:rPr>
        <w:t>’</w:t>
      </w:r>
      <w:r w:rsidRPr="00CB2F44">
        <w:rPr>
          <w:lang w:val="fr-FR"/>
        </w:rPr>
        <w:t>article 207 du Code pénal. L</w:t>
      </w:r>
      <w:r w:rsidR="00B34C89">
        <w:rPr>
          <w:lang w:val="fr-FR"/>
        </w:rPr>
        <w:t>’</w:t>
      </w:r>
      <w:r w:rsidRPr="00CB2F44">
        <w:rPr>
          <w:lang w:val="fr-FR"/>
        </w:rPr>
        <w:t>auteure, qui vivait encore avec son mari et se sentait menacée par sa conduite, a demandé que la procédure orale soit accélérée.</w:t>
      </w:r>
    </w:p>
    <w:p w14:paraId="6F1FDA3F" w14:textId="0AC8AF01" w:rsidR="00CB2F44" w:rsidRPr="00CB2F44" w:rsidRDefault="00CB2F44" w:rsidP="00B34C89">
      <w:pPr>
        <w:pStyle w:val="SingleTxt"/>
        <w:numPr>
          <w:ilvl w:val="0"/>
          <w:numId w:val="15"/>
        </w:numPr>
        <w:tabs>
          <w:tab w:val="left" w:pos="1742"/>
        </w:tabs>
        <w:spacing w:line="240" w:lineRule="exact"/>
        <w:rPr>
          <w:lang w:val="fr-FR"/>
        </w:rPr>
      </w:pPr>
      <w:r w:rsidRPr="00CB2F44">
        <w:rPr>
          <w:lang w:val="fr-FR"/>
        </w:rPr>
        <w:t>Le 7 mars 2006, l</w:t>
      </w:r>
      <w:r w:rsidR="00B34C89">
        <w:rPr>
          <w:lang w:val="fr-FR"/>
        </w:rPr>
        <w:t>’</w:t>
      </w:r>
      <w:r w:rsidRPr="00CB2F44">
        <w:rPr>
          <w:lang w:val="fr-FR"/>
        </w:rPr>
        <w:t>auteure a de nouveau demandé qu</w:t>
      </w:r>
      <w:r w:rsidR="00B34C89">
        <w:rPr>
          <w:lang w:val="fr-FR"/>
        </w:rPr>
        <w:t>’</w:t>
      </w:r>
      <w:r w:rsidRPr="00CB2F44">
        <w:rPr>
          <w:lang w:val="fr-FR"/>
        </w:rPr>
        <w:t>une procédure pénale soit ouverte contre son mari pour des violences physiques commises en juin 2005, des menaces de mort proférées en février et en août 2005 et de mauvais traitements généralisés qui l</w:t>
      </w:r>
      <w:r w:rsidR="00B34C89">
        <w:rPr>
          <w:lang w:val="fr-FR"/>
        </w:rPr>
        <w:t>’</w:t>
      </w:r>
      <w:r w:rsidRPr="00CB2F44">
        <w:rPr>
          <w:lang w:val="fr-FR"/>
        </w:rPr>
        <w:t>avaient empêchée de mener une vie normale. Lors de l</w:t>
      </w:r>
      <w:r w:rsidR="00B34C89">
        <w:rPr>
          <w:lang w:val="fr-FR"/>
        </w:rPr>
        <w:t>’</w:t>
      </w:r>
      <w:r w:rsidRPr="00CB2F44">
        <w:rPr>
          <w:lang w:val="fr-FR"/>
        </w:rPr>
        <w:t>interrogatoire de police, elle a affirmé que son mari avait désigné une hache et déclaré qu</w:t>
      </w:r>
      <w:r w:rsidR="00B34C89">
        <w:rPr>
          <w:lang w:val="fr-FR"/>
        </w:rPr>
        <w:t>’</w:t>
      </w:r>
      <w:r w:rsidRPr="00CB2F44">
        <w:rPr>
          <w:lang w:val="fr-FR"/>
        </w:rPr>
        <w:t>il leur couperait la tête, à elles et à ses filles. En outre, elle a affirmé qu</w:t>
      </w:r>
      <w:r w:rsidR="00B34C89">
        <w:rPr>
          <w:lang w:val="fr-FR"/>
        </w:rPr>
        <w:t>’</w:t>
      </w:r>
      <w:r w:rsidRPr="00CB2F44">
        <w:rPr>
          <w:lang w:val="fr-FR"/>
        </w:rPr>
        <w:t>il avait intentionnellement endommagé sa voiture. Le 26 avril 2006, la police de district a abandonné l</w:t>
      </w:r>
      <w:r w:rsidR="00B34C89">
        <w:rPr>
          <w:lang w:val="fr-FR"/>
        </w:rPr>
        <w:t>’</w:t>
      </w:r>
      <w:r w:rsidRPr="00CB2F44">
        <w:rPr>
          <w:lang w:val="fr-FR"/>
        </w:rPr>
        <w:t>enquête faute de témoins objectifs, et ce malgré les témoignages des filles de l</w:t>
      </w:r>
      <w:r w:rsidR="00B34C89">
        <w:rPr>
          <w:lang w:val="fr-FR"/>
        </w:rPr>
        <w:t>’</w:t>
      </w:r>
      <w:r w:rsidRPr="00CB2F44">
        <w:rPr>
          <w:lang w:val="fr-FR"/>
        </w:rPr>
        <w:t>auteure. Cette décision a été confirmée par le bureau du procureur de district, le 28 avril 2006, et par le tribunal du district de Varsovie</w:t>
      </w:r>
      <w:r w:rsidRPr="00CB2F44">
        <w:rPr>
          <w:lang w:val="fr-FR"/>
        </w:rPr>
        <w:noBreakHyphen/>
        <w:t>Mokotów, le 25 octobre 2006.</w:t>
      </w:r>
    </w:p>
    <w:p w14:paraId="340490CF" w14:textId="4FEE77DA" w:rsidR="00CB2F44" w:rsidRPr="00CB2F44" w:rsidRDefault="00CB2F44" w:rsidP="00B34C89">
      <w:pPr>
        <w:pStyle w:val="SingleTxt"/>
        <w:numPr>
          <w:ilvl w:val="0"/>
          <w:numId w:val="15"/>
        </w:numPr>
        <w:tabs>
          <w:tab w:val="left" w:pos="1742"/>
        </w:tabs>
        <w:spacing w:line="240" w:lineRule="exact"/>
        <w:rPr>
          <w:lang w:val="fr-FR"/>
        </w:rPr>
      </w:pPr>
      <w:r w:rsidRPr="00CB2F44">
        <w:rPr>
          <w:lang w:val="fr-FR"/>
        </w:rPr>
        <w:t>Le 8 mars 2006, le tribunal de district de Varsovie a ordonné que deux experts procèdent à l</w:t>
      </w:r>
      <w:r w:rsidR="00B34C89">
        <w:rPr>
          <w:lang w:val="fr-FR"/>
        </w:rPr>
        <w:t>’</w:t>
      </w:r>
      <w:r w:rsidRPr="00CB2F44">
        <w:rPr>
          <w:lang w:val="fr-FR"/>
        </w:rPr>
        <w:t>examen psychiatrique du mari et déterminent son aptitude à être jugé. Le 13 avril 2006, les experts ont conclu qu</w:t>
      </w:r>
      <w:r w:rsidR="00B34C89">
        <w:rPr>
          <w:lang w:val="fr-FR"/>
        </w:rPr>
        <w:t>’</w:t>
      </w:r>
      <w:r w:rsidRPr="00CB2F44">
        <w:rPr>
          <w:lang w:val="fr-FR"/>
        </w:rPr>
        <w:t>ils avaient besoin de prolonger la période d</w:t>
      </w:r>
      <w:r w:rsidR="00B34C89">
        <w:rPr>
          <w:lang w:val="fr-FR"/>
        </w:rPr>
        <w:t>’</w:t>
      </w:r>
      <w:r w:rsidRPr="00CB2F44">
        <w:rPr>
          <w:lang w:val="fr-FR"/>
        </w:rPr>
        <w:t>observation clinique pour pouvoir prendre une décision éclairée. Le 19 avril 2006, le tribunal de district a ordonné que le mari soit placé en hôpital psychiatrique pendant six semaines.</w:t>
      </w:r>
    </w:p>
    <w:p w14:paraId="2E341AA9" w14:textId="0A78D2C5" w:rsidR="00CB2F44" w:rsidRPr="00CB2F44" w:rsidRDefault="00CB2F44" w:rsidP="00B34C89">
      <w:pPr>
        <w:pStyle w:val="SingleTxt"/>
        <w:numPr>
          <w:ilvl w:val="0"/>
          <w:numId w:val="15"/>
        </w:numPr>
        <w:tabs>
          <w:tab w:val="left" w:pos="1742"/>
        </w:tabs>
        <w:spacing w:line="240" w:lineRule="exact"/>
        <w:rPr>
          <w:lang w:val="fr-FR"/>
        </w:rPr>
      </w:pPr>
      <w:r w:rsidRPr="00CB2F44">
        <w:rPr>
          <w:lang w:val="fr-FR"/>
        </w:rPr>
        <w:t>Le 4 mai 2006, avant que le mari de l</w:t>
      </w:r>
      <w:r w:rsidR="00B34C89">
        <w:rPr>
          <w:lang w:val="fr-FR"/>
        </w:rPr>
        <w:t>’</w:t>
      </w:r>
      <w:r w:rsidRPr="00CB2F44">
        <w:rPr>
          <w:lang w:val="fr-FR"/>
        </w:rPr>
        <w:t>auteure ne soit placé en hôpital psychiatrique, un incendie s</w:t>
      </w:r>
      <w:r w:rsidR="00B34C89">
        <w:rPr>
          <w:lang w:val="fr-FR"/>
        </w:rPr>
        <w:t>’</w:t>
      </w:r>
      <w:r w:rsidRPr="00CB2F44">
        <w:rPr>
          <w:lang w:val="fr-FR"/>
        </w:rPr>
        <w:t>est déclaré dans leur maison commune et le mari est décédé. La police a trouvé une lettre que le mari avait rédigée avant de se suicider, dans laquelle il accusait l</w:t>
      </w:r>
      <w:r w:rsidR="00B34C89">
        <w:rPr>
          <w:lang w:val="fr-FR"/>
        </w:rPr>
        <w:t>’</w:t>
      </w:r>
      <w:r w:rsidRPr="00CB2F44">
        <w:rPr>
          <w:lang w:val="fr-FR"/>
        </w:rPr>
        <w:t>auteure et ses filles d</w:t>
      </w:r>
      <w:r w:rsidR="00B34C89">
        <w:rPr>
          <w:lang w:val="fr-FR"/>
        </w:rPr>
        <w:t>’</w:t>
      </w:r>
      <w:r w:rsidRPr="00CB2F44">
        <w:rPr>
          <w:lang w:val="fr-FR"/>
        </w:rPr>
        <w:t>être responsables de ses « tourments ». Le 30 mai 2008, l</w:t>
      </w:r>
      <w:r w:rsidR="00B34C89">
        <w:rPr>
          <w:lang w:val="fr-FR"/>
        </w:rPr>
        <w:t>’</w:t>
      </w:r>
      <w:r w:rsidRPr="00CB2F44">
        <w:rPr>
          <w:lang w:val="fr-FR"/>
        </w:rPr>
        <w:t>enquête pénale à cet égard a été abandonnée et le bureau du procureur de district a estimé qu</w:t>
      </w:r>
      <w:r w:rsidR="00B34C89">
        <w:rPr>
          <w:lang w:val="fr-FR"/>
        </w:rPr>
        <w:t>’</w:t>
      </w:r>
      <w:r w:rsidRPr="00CB2F44">
        <w:rPr>
          <w:lang w:val="fr-FR"/>
        </w:rPr>
        <w:t>aucun élément de preuve ne permettait de conclure à l</w:t>
      </w:r>
      <w:r w:rsidR="00B34C89">
        <w:rPr>
          <w:lang w:val="fr-FR"/>
        </w:rPr>
        <w:t>’</w:t>
      </w:r>
      <w:r w:rsidRPr="00CB2F44">
        <w:rPr>
          <w:lang w:val="fr-FR"/>
        </w:rPr>
        <w:t>implication d</w:t>
      </w:r>
      <w:r w:rsidR="00B34C89">
        <w:rPr>
          <w:lang w:val="fr-FR"/>
        </w:rPr>
        <w:t>’</w:t>
      </w:r>
      <w:r w:rsidRPr="00CB2F44">
        <w:rPr>
          <w:lang w:val="fr-FR"/>
        </w:rPr>
        <w:t>un tiers dans l</w:t>
      </w:r>
      <w:r w:rsidR="00B34C89">
        <w:rPr>
          <w:lang w:val="fr-FR"/>
        </w:rPr>
        <w:t>’</w:t>
      </w:r>
      <w:r w:rsidRPr="00CB2F44">
        <w:rPr>
          <w:lang w:val="fr-FR"/>
        </w:rPr>
        <w:t>incendie.</w:t>
      </w:r>
    </w:p>
    <w:p w14:paraId="1FEF877C" w14:textId="58E4619B" w:rsidR="00CB2F44" w:rsidRDefault="00CB2F44" w:rsidP="00B34C89">
      <w:pPr>
        <w:pStyle w:val="SingleTxt"/>
        <w:numPr>
          <w:ilvl w:val="0"/>
          <w:numId w:val="15"/>
        </w:numPr>
        <w:tabs>
          <w:tab w:val="left" w:pos="1742"/>
        </w:tabs>
        <w:spacing w:line="240" w:lineRule="exact"/>
        <w:rPr>
          <w:lang w:val="fr-FR"/>
        </w:rPr>
      </w:pPr>
      <w:r w:rsidRPr="00CB2F44">
        <w:rPr>
          <w:lang w:val="fr-FR"/>
        </w:rPr>
        <w:t>Selon l</w:t>
      </w:r>
      <w:r w:rsidR="00B34C89">
        <w:rPr>
          <w:lang w:val="fr-FR"/>
        </w:rPr>
        <w:t>’</w:t>
      </w:r>
      <w:r w:rsidRPr="00CB2F44">
        <w:rPr>
          <w:lang w:val="fr-FR"/>
        </w:rPr>
        <w:t>auteure, en résumé, le comportement violent de son mari a été reconnu par les autorités puisque</w:t>
      </w:r>
      <w:r w:rsidR="00B34C89">
        <w:rPr>
          <w:lang w:val="fr-FR"/>
        </w:rPr>
        <w:t> :</w:t>
      </w:r>
      <w:r w:rsidRPr="00CB2F44">
        <w:rPr>
          <w:lang w:val="fr-FR"/>
        </w:rPr>
        <w:t xml:space="preserve"> a) le 14 juillet 2005, le tribunal régional de Varsovie a jugé que, tout au long de leur mariage, son mari avait commis des actes de violence physique et verbale contre elle et ses filles</w:t>
      </w:r>
      <w:r w:rsidR="00B34C89">
        <w:rPr>
          <w:lang w:val="fr-FR"/>
        </w:rPr>
        <w:t> ;</w:t>
      </w:r>
      <w:r w:rsidRPr="00CB2F44">
        <w:rPr>
          <w:lang w:val="fr-FR"/>
        </w:rPr>
        <w:t xml:space="preserve"> b) le 30 septembre 2005, un acte d</w:t>
      </w:r>
      <w:r w:rsidR="00B34C89">
        <w:rPr>
          <w:lang w:val="fr-FR"/>
        </w:rPr>
        <w:t>’</w:t>
      </w:r>
      <w:r w:rsidRPr="00CB2F44">
        <w:rPr>
          <w:lang w:val="fr-FR"/>
        </w:rPr>
        <w:t>accusation a été émis contre son mari pour des violences commises entre le 1</w:t>
      </w:r>
      <w:r w:rsidRPr="00CB2F44">
        <w:rPr>
          <w:vertAlign w:val="superscript"/>
          <w:lang w:val="fr-FR"/>
        </w:rPr>
        <w:t>er</w:t>
      </w:r>
      <w:r w:rsidRPr="00CB2F44">
        <w:rPr>
          <w:lang w:val="fr-FR"/>
        </w:rPr>
        <w:t> mars 2003 et le 7 septembre 2005</w:t>
      </w:r>
      <w:r w:rsidR="00B34C89">
        <w:rPr>
          <w:lang w:val="fr-FR"/>
        </w:rPr>
        <w:t> ;</w:t>
      </w:r>
      <w:r w:rsidRPr="00CB2F44">
        <w:rPr>
          <w:lang w:val="fr-FR"/>
        </w:rPr>
        <w:t xml:space="preserve"> c) le 30 mai 2008, le procureur de district a abandonné l</w:t>
      </w:r>
      <w:r w:rsidR="00B34C89">
        <w:rPr>
          <w:lang w:val="fr-FR"/>
        </w:rPr>
        <w:t>’</w:t>
      </w:r>
      <w:r w:rsidRPr="00CB2F44">
        <w:rPr>
          <w:lang w:val="fr-FR"/>
        </w:rPr>
        <w:t>enquête sur l</w:t>
      </w:r>
      <w:r w:rsidR="00B34C89">
        <w:rPr>
          <w:lang w:val="fr-FR"/>
        </w:rPr>
        <w:t>’</w:t>
      </w:r>
      <w:r w:rsidRPr="00CB2F44">
        <w:rPr>
          <w:lang w:val="fr-FR"/>
        </w:rPr>
        <w:t>incendie de leur maison au motif que le mari de l</w:t>
      </w:r>
      <w:r w:rsidR="00B34C89">
        <w:rPr>
          <w:lang w:val="fr-FR"/>
        </w:rPr>
        <w:t>’</w:t>
      </w:r>
      <w:r w:rsidRPr="00CB2F44">
        <w:rPr>
          <w:lang w:val="fr-FR"/>
        </w:rPr>
        <w:t>auteure avait lui-même mis le feu, opinion qui a été confirmée par le tribunal régional de Varsovie le 7 mai 2010.</w:t>
      </w:r>
    </w:p>
    <w:p w14:paraId="4C815678" w14:textId="18DF074C" w:rsidR="00B34C89" w:rsidRPr="00B34C89" w:rsidRDefault="00B34C89" w:rsidP="00B34C89">
      <w:pPr>
        <w:pStyle w:val="SingleTxt"/>
        <w:spacing w:after="0" w:line="120" w:lineRule="exact"/>
        <w:rPr>
          <w:sz w:val="10"/>
          <w:lang w:val="fr-FR"/>
        </w:rPr>
      </w:pPr>
    </w:p>
    <w:p w14:paraId="432D5B77" w14:textId="7095BFBC" w:rsidR="00CB2F44" w:rsidRDefault="00CB2F44" w:rsidP="00B34C8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2F44">
        <w:rPr>
          <w:lang w:val="fr-FR"/>
        </w:rPr>
        <w:lastRenderedPageBreak/>
        <w:tab/>
      </w:r>
      <w:r w:rsidRPr="00CB2F44">
        <w:rPr>
          <w:lang w:val="fr-FR"/>
        </w:rPr>
        <w:tab/>
        <w:t>Procédure civile contre l</w:t>
      </w:r>
      <w:r w:rsidR="00B34C89">
        <w:rPr>
          <w:lang w:val="fr-FR"/>
        </w:rPr>
        <w:t>’</w:t>
      </w:r>
      <w:r w:rsidRPr="00CB2F44">
        <w:rPr>
          <w:lang w:val="fr-FR"/>
        </w:rPr>
        <w:t>État partie</w:t>
      </w:r>
    </w:p>
    <w:p w14:paraId="3BE993EC" w14:textId="0ADC8BB2" w:rsidR="00B34C89" w:rsidRPr="00B34C89" w:rsidRDefault="00B34C89" w:rsidP="00B34C89">
      <w:pPr>
        <w:pStyle w:val="SingleTxt"/>
        <w:spacing w:after="0" w:line="120" w:lineRule="exact"/>
        <w:rPr>
          <w:sz w:val="10"/>
          <w:lang w:val="fr-FR"/>
        </w:rPr>
      </w:pPr>
    </w:p>
    <w:p w14:paraId="3E1ABFA5" w14:textId="5F7C58D8" w:rsidR="00CB2F44" w:rsidRPr="00CB2F44" w:rsidRDefault="00CB2F44" w:rsidP="00B34C89">
      <w:pPr>
        <w:pStyle w:val="SingleTxt"/>
        <w:numPr>
          <w:ilvl w:val="0"/>
          <w:numId w:val="15"/>
        </w:numPr>
        <w:tabs>
          <w:tab w:val="left" w:pos="1742"/>
        </w:tabs>
        <w:spacing w:line="240" w:lineRule="exact"/>
        <w:rPr>
          <w:lang w:val="fr-FR"/>
        </w:rPr>
      </w:pPr>
      <w:r w:rsidRPr="00CB2F44">
        <w:rPr>
          <w:lang w:val="fr-FR"/>
        </w:rPr>
        <w:t>Le 20 juin 2007, l</w:t>
      </w:r>
      <w:r w:rsidR="00B34C89">
        <w:rPr>
          <w:lang w:val="fr-FR"/>
        </w:rPr>
        <w:t>’</w:t>
      </w:r>
      <w:r w:rsidRPr="00CB2F44">
        <w:rPr>
          <w:lang w:val="fr-FR"/>
        </w:rPr>
        <w:t>auteure a intenté une action pour responsabilité délictuelle contre l</w:t>
      </w:r>
      <w:r w:rsidR="00B34C89">
        <w:rPr>
          <w:lang w:val="fr-FR"/>
        </w:rPr>
        <w:t>’</w:t>
      </w:r>
      <w:r w:rsidRPr="00CB2F44">
        <w:rPr>
          <w:lang w:val="fr-FR"/>
        </w:rPr>
        <w:t>État partie, réclamant une indemnité couvrant la valeur de la maison (595 170 zlotys) et des dommages-intérêts pour préjudice non pécuniaire (50 000 zlotys). L</w:t>
      </w:r>
      <w:r w:rsidR="00B34C89">
        <w:rPr>
          <w:lang w:val="fr-FR"/>
        </w:rPr>
        <w:t>’</w:t>
      </w:r>
      <w:r w:rsidRPr="00CB2F44">
        <w:rPr>
          <w:lang w:val="fr-FR"/>
        </w:rPr>
        <w:t>auteure a allégué que, bien que les autorités aient eu connaissance du comportement violent de son mari, elles ne lui avaient pas fourni la protection dont elle avait besoin.</w:t>
      </w:r>
    </w:p>
    <w:p w14:paraId="2336E77F" w14:textId="440A53D8" w:rsidR="00CB2F44" w:rsidRPr="00CB2F44" w:rsidRDefault="00CB2F44" w:rsidP="004E5A27">
      <w:pPr>
        <w:pStyle w:val="SingleTxt"/>
        <w:numPr>
          <w:ilvl w:val="0"/>
          <w:numId w:val="15"/>
        </w:numPr>
        <w:spacing w:line="240" w:lineRule="exact"/>
        <w:rPr>
          <w:lang w:val="fr-FR"/>
        </w:rPr>
      </w:pPr>
      <w:r w:rsidRPr="00CB2F44">
        <w:rPr>
          <w:lang w:val="fr-FR"/>
        </w:rPr>
        <w:t>Le 7 mai 2010, le tribunal régional de Varsovie a rejeté la plainte, estimant que l</w:t>
      </w:r>
      <w:r w:rsidR="00B34C89">
        <w:rPr>
          <w:lang w:val="fr-FR"/>
        </w:rPr>
        <w:t>’</w:t>
      </w:r>
      <w:r w:rsidRPr="00CB2F44">
        <w:rPr>
          <w:lang w:val="fr-FR"/>
        </w:rPr>
        <w:t>auteure n</w:t>
      </w:r>
      <w:r w:rsidR="00B34C89">
        <w:rPr>
          <w:lang w:val="fr-FR"/>
        </w:rPr>
        <w:t>’</w:t>
      </w:r>
      <w:r w:rsidRPr="00CB2F44">
        <w:rPr>
          <w:lang w:val="fr-FR"/>
        </w:rPr>
        <w:t>avait pas réussi à prouver l</w:t>
      </w:r>
      <w:r w:rsidR="00B34C89">
        <w:rPr>
          <w:lang w:val="fr-FR"/>
        </w:rPr>
        <w:t>’</w:t>
      </w:r>
      <w:r w:rsidRPr="00CB2F44">
        <w:rPr>
          <w:lang w:val="fr-FR"/>
        </w:rPr>
        <w:t>illégalité des actes de l</w:t>
      </w:r>
      <w:r w:rsidR="00B34C89">
        <w:rPr>
          <w:lang w:val="fr-FR"/>
        </w:rPr>
        <w:t>’</w:t>
      </w:r>
      <w:r w:rsidRPr="00CB2F44">
        <w:rPr>
          <w:lang w:val="fr-FR"/>
        </w:rPr>
        <w:t>État partie. S</w:t>
      </w:r>
      <w:r w:rsidR="00B34C89">
        <w:rPr>
          <w:lang w:val="fr-FR"/>
        </w:rPr>
        <w:t>’</w:t>
      </w:r>
      <w:r w:rsidRPr="00CB2F44">
        <w:rPr>
          <w:lang w:val="fr-FR"/>
        </w:rPr>
        <w:t>il a conclu que la police avait commis une erreur en décidant d</w:t>
      </w:r>
      <w:r w:rsidR="00B34C89">
        <w:rPr>
          <w:lang w:val="fr-FR"/>
        </w:rPr>
        <w:t>’</w:t>
      </w:r>
      <w:r w:rsidRPr="00CB2F44">
        <w:rPr>
          <w:lang w:val="fr-FR"/>
        </w:rPr>
        <w:t>abandonner ses enquêtes le 19 mai 2005 et le 26 avril 2006, le tribunal a estimé que l</w:t>
      </w:r>
      <w:r w:rsidR="00B34C89">
        <w:rPr>
          <w:lang w:val="fr-FR"/>
        </w:rPr>
        <w:t>’</w:t>
      </w:r>
      <w:r w:rsidRPr="00CB2F44">
        <w:rPr>
          <w:lang w:val="fr-FR"/>
        </w:rPr>
        <w:t>auteure n</w:t>
      </w:r>
      <w:r w:rsidR="00B34C89">
        <w:rPr>
          <w:lang w:val="fr-FR"/>
        </w:rPr>
        <w:t>’</w:t>
      </w:r>
      <w:r w:rsidRPr="00CB2F44">
        <w:rPr>
          <w:lang w:val="fr-FR"/>
        </w:rPr>
        <w:t>était pas parvenue à établir un lien de causalité entre la conduite illégale de la police et l</w:t>
      </w:r>
      <w:r w:rsidR="00B34C89">
        <w:rPr>
          <w:lang w:val="fr-FR"/>
        </w:rPr>
        <w:t>’</w:t>
      </w:r>
      <w:r w:rsidRPr="00CB2F44">
        <w:rPr>
          <w:lang w:val="fr-FR"/>
        </w:rPr>
        <w:t>incendie.</w:t>
      </w:r>
      <w:bookmarkStart w:id="2" w:name="_Hlk36717146"/>
      <w:bookmarkEnd w:id="2"/>
    </w:p>
    <w:p w14:paraId="0C5BC2B7" w14:textId="6EB278C6" w:rsidR="00CB2F44" w:rsidRPr="00CB2F44" w:rsidRDefault="00CB2F44" w:rsidP="004E5A27">
      <w:pPr>
        <w:pStyle w:val="SingleTxt"/>
        <w:numPr>
          <w:ilvl w:val="0"/>
          <w:numId w:val="15"/>
        </w:numPr>
        <w:spacing w:line="240" w:lineRule="exact"/>
        <w:rPr>
          <w:lang w:val="fr-FR"/>
        </w:rPr>
      </w:pPr>
      <w:r w:rsidRPr="00CB2F44">
        <w:rPr>
          <w:lang w:val="fr-FR"/>
        </w:rPr>
        <w:t>L</w:t>
      </w:r>
      <w:r w:rsidR="00B34C89">
        <w:rPr>
          <w:lang w:val="fr-FR"/>
        </w:rPr>
        <w:t>’</w:t>
      </w:r>
      <w:r w:rsidRPr="00CB2F44">
        <w:rPr>
          <w:lang w:val="fr-FR"/>
        </w:rPr>
        <w:t>auteure a formé un recours contre cette décision devant la cour d</w:t>
      </w:r>
      <w:r w:rsidR="00B34C89">
        <w:rPr>
          <w:lang w:val="fr-FR"/>
        </w:rPr>
        <w:t>’</w:t>
      </w:r>
      <w:r w:rsidRPr="00CB2F44">
        <w:rPr>
          <w:lang w:val="fr-FR"/>
        </w:rPr>
        <w:t>appel de Varsovie, recours qui a été rejeté le 5 mai 2011. La cour d</w:t>
      </w:r>
      <w:r w:rsidR="00B34C89">
        <w:rPr>
          <w:lang w:val="fr-FR"/>
        </w:rPr>
        <w:t>’</w:t>
      </w:r>
      <w:r w:rsidRPr="00CB2F44">
        <w:rPr>
          <w:lang w:val="fr-FR"/>
        </w:rPr>
        <w:t>appel a confirmé les conclusions du tribunal régional, à l</w:t>
      </w:r>
      <w:r w:rsidR="00B34C89">
        <w:rPr>
          <w:lang w:val="fr-FR"/>
        </w:rPr>
        <w:t>’</w:t>
      </w:r>
      <w:r w:rsidRPr="00CB2F44">
        <w:rPr>
          <w:lang w:val="fr-FR"/>
        </w:rPr>
        <w:t>exception de l</w:t>
      </w:r>
      <w:r w:rsidR="00B34C89">
        <w:rPr>
          <w:lang w:val="fr-FR"/>
        </w:rPr>
        <w:t>’</w:t>
      </w:r>
      <w:r w:rsidRPr="00CB2F44">
        <w:rPr>
          <w:lang w:val="fr-FR"/>
        </w:rPr>
        <w:t>affirmation selon laquelle le mari de l</w:t>
      </w:r>
      <w:r w:rsidR="00B34C89">
        <w:rPr>
          <w:lang w:val="fr-FR"/>
        </w:rPr>
        <w:t>’</w:t>
      </w:r>
      <w:r w:rsidRPr="00CB2F44">
        <w:rPr>
          <w:lang w:val="fr-FR"/>
        </w:rPr>
        <w:t>auteure avait provoqué l</w:t>
      </w:r>
      <w:r w:rsidR="00B34C89">
        <w:rPr>
          <w:lang w:val="fr-FR"/>
        </w:rPr>
        <w:t>’</w:t>
      </w:r>
      <w:r w:rsidRPr="00CB2F44">
        <w:rPr>
          <w:lang w:val="fr-FR"/>
        </w:rPr>
        <w:t>incendie, ce qui n</w:t>
      </w:r>
      <w:r w:rsidR="00B34C89">
        <w:rPr>
          <w:lang w:val="fr-FR"/>
        </w:rPr>
        <w:t>’</w:t>
      </w:r>
      <w:r w:rsidRPr="00CB2F44">
        <w:rPr>
          <w:lang w:val="fr-FR"/>
        </w:rPr>
        <w:t>avait pu être le cas puisque l</w:t>
      </w:r>
      <w:r w:rsidR="00B34C89">
        <w:rPr>
          <w:lang w:val="fr-FR"/>
        </w:rPr>
        <w:t>’</w:t>
      </w:r>
      <w:r w:rsidRPr="00CB2F44">
        <w:rPr>
          <w:lang w:val="fr-FR"/>
        </w:rPr>
        <w:t>homme était déjà mort quand le feu a pris. La cour d</w:t>
      </w:r>
      <w:r w:rsidR="00B34C89">
        <w:rPr>
          <w:lang w:val="fr-FR"/>
        </w:rPr>
        <w:t>’</w:t>
      </w:r>
      <w:r w:rsidRPr="00CB2F44">
        <w:rPr>
          <w:lang w:val="fr-FR"/>
        </w:rPr>
        <w:t>appel a conclu que le recours formé par l</w:t>
      </w:r>
      <w:r w:rsidR="00B34C89">
        <w:rPr>
          <w:lang w:val="fr-FR"/>
        </w:rPr>
        <w:t>’</w:t>
      </w:r>
      <w:r w:rsidRPr="00CB2F44">
        <w:rPr>
          <w:lang w:val="fr-FR"/>
        </w:rPr>
        <w:t>auteure était infondé et qu</w:t>
      </w:r>
      <w:r w:rsidR="00B34C89">
        <w:rPr>
          <w:lang w:val="fr-FR"/>
        </w:rPr>
        <w:t>’</w:t>
      </w:r>
      <w:r w:rsidRPr="00CB2F44">
        <w:rPr>
          <w:lang w:val="fr-FR"/>
        </w:rPr>
        <w:t>elle n</w:t>
      </w:r>
      <w:r w:rsidR="00B34C89">
        <w:rPr>
          <w:lang w:val="fr-FR"/>
        </w:rPr>
        <w:t>’</w:t>
      </w:r>
      <w:r w:rsidRPr="00CB2F44">
        <w:rPr>
          <w:lang w:val="fr-FR"/>
        </w:rPr>
        <w:t>avait subi aucun préjudice moral.</w:t>
      </w:r>
    </w:p>
    <w:p w14:paraId="37499636" w14:textId="4FD029FB" w:rsidR="00CB2F44" w:rsidRPr="00CB2F44" w:rsidRDefault="00CB2F44" w:rsidP="004E5A27">
      <w:pPr>
        <w:pStyle w:val="SingleTxt"/>
        <w:numPr>
          <w:ilvl w:val="0"/>
          <w:numId w:val="15"/>
        </w:numPr>
        <w:spacing w:line="240" w:lineRule="exact"/>
        <w:rPr>
          <w:lang w:val="fr-FR"/>
        </w:rPr>
      </w:pPr>
      <w:r w:rsidRPr="00CB2F44">
        <w:rPr>
          <w:lang w:val="fr-FR"/>
        </w:rPr>
        <w:t>Le 26 octobre 2011, quelques jours avant la date limite de dépôt d</w:t>
      </w:r>
      <w:r w:rsidR="00B34C89">
        <w:rPr>
          <w:lang w:val="fr-FR"/>
        </w:rPr>
        <w:t>’</w:t>
      </w:r>
      <w:r w:rsidRPr="00CB2F44">
        <w:rPr>
          <w:lang w:val="fr-FR"/>
        </w:rPr>
        <w:t>un pourvoi en cassation, l</w:t>
      </w:r>
      <w:r w:rsidR="00B34C89">
        <w:rPr>
          <w:lang w:val="fr-FR"/>
        </w:rPr>
        <w:t>’</w:t>
      </w:r>
      <w:r w:rsidRPr="00CB2F44">
        <w:rPr>
          <w:lang w:val="fr-FR"/>
        </w:rPr>
        <w:t>avocat de l</w:t>
      </w:r>
      <w:r w:rsidR="00B34C89">
        <w:rPr>
          <w:lang w:val="fr-FR"/>
        </w:rPr>
        <w:t>’</w:t>
      </w:r>
      <w:r w:rsidRPr="00CB2F44">
        <w:rPr>
          <w:lang w:val="fr-FR"/>
        </w:rPr>
        <w:t>auteure l</w:t>
      </w:r>
      <w:r w:rsidR="00B34C89">
        <w:rPr>
          <w:lang w:val="fr-FR"/>
        </w:rPr>
        <w:t>’</w:t>
      </w:r>
      <w:r w:rsidRPr="00CB2F44">
        <w:rPr>
          <w:lang w:val="fr-FR"/>
        </w:rPr>
        <w:t>a informée qu</w:t>
      </w:r>
      <w:r w:rsidR="00B34C89">
        <w:rPr>
          <w:lang w:val="fr-FR"/>
        </w:rPr>
        <w:t>’</w:t>
      </w:r>
      <w:r w:rsidRPr="00CB2F44">
        <w:rPr>
          <w:lang w:val="fr-FR"/>
        </w:rPr>
        <w:t>il ne formerait pas de pourvoi. Il lui a dit qu</w:t>
      </w:r>
      <w:r w:rsidR="00B34C89">
        <w:rPr>
          <w:lang w:val="fr-FR"/>
        </w:rPr>
        <w:t>’</w:t>
      </w:r>
      <w:r w:rsidRPr="00CB2F44">
        <w:rPr>
          <w:lang w:val="fr-FR"/>
        </w:rPr>
        <w:t>il estimait que le pourvoi serait jugé irrecevable car, selon le Code de procédure civile, les questions relatives à la recevabilité des preuves ou aux faits ne pouvaient être examinées dans le cadre d</w:t>
      </w:r>
      <w:r w:rsidR="00B34C89">
        <w:rPr>
          <w:lang w:val="fr-FR"/>
        </w:rPr>
        <w:t>’</w:t>
      </w:r>
      <w:r w:rsidRPr="00CB2F44">
        <w:rPr>
          <w:lang w:val="fr-FR"/>
        </w:rPr>
        <w:t>un pourvoi en cassation</w:t>
      </w:r>
      <w:r w:rsidRPr="00CB2F44">
        <w:rPr>
          <w:vertAlign w:val="superscript"/>
          <w:lang w:val="fr-CH"/>
        </w:rPr>
        <w:footnoteReference w:id="5"/>
      </w:r>
      <w:r w:rsidRPr="00CB2F44">
        <w:rPr>
          <w:lang w:val="fr-FR"/>
        </w:rPr>
        <w:t>. L</w:t>
      </w:r>
      <w:r w:rsidR="00B34C89">
        <w:rPr>
          <w:lang w:val="fr-FR"/>
        </w:rPr>
        <w:t>’</w:t>
      </w:r>
      <w:r w:rsidRPr="00CB2F44">
        <w:rPr>
          <w:lang w:val="fr-FR"/>
        </w:rPr>
        <w:t>auteure fait en outre remarquer que, selon le code de déontologie contraignant qui était alors en vigueur en Pologne, un avocat n</w:t>
      </w:r>
      <w:r w:rsidR="00B34C89">
        <w:rPr>
          <w:lang w:val="fr-FR"/>
        </w:rPr>
        <w:t>’</w:t>
      </w:r>
      <w:r w:rsidRPr="00CB2F44">
        <w:rPr>
          <w:lang w:val="fr-FR"/>
        </w:rPr>
        <w:t>avait pas le droit de faire appel si cela enfreignait manifestement les exigences réglementaires applicables à ce type de recours. Elle soutient que, de ce fait, c</w:t>
      </w:r>
      <w:r w:rsidR="00B34C89">
        <w:rPr>
          <w:lang w:val="fr-FR"/>
        </w:rPr>
        <w:t>’</w:t>
      </w:r>
      <w:r w:rsidRPr="00CB2F44">
        <w:rPr>
          <w:lang w:val="fr-FR"/>
        </w:rPr>
        <w:t>est à l</w:t>
      </w:r>
      <w:r w:rsidR="00B34C89">
        <w:rPr>
          <w:lang w:val="fr-FR"/>
        </w:rPr>
        <w:t>’</w:t>
      </w:r>
      <w:r w:rsidRPr="00CB2F44">
        <w:rPr>
          <w:lang w:val="fr-FR"/>
        </w:rPr>
        <w:t>avocat qu</w:t>
      </w:r>
      <w:r w:rsidR="00B34C89">
        <w:rPr>
          <w:lang w:val="fr-FR"/>
        </w:rPr>
        <w:t>’</w:t>
      </w:r>
      <w:r w:rsidRPr="00CB2F44">
        <w:rPr>
          <w:lang w:val="fr-FR"/>
        </w:rPr>
        <w:t>il appartenait de décider en dernier lieu si un recours pouvait et devait être introduit, en particulier lorsque l</w:t>
      </w:r>
      <w:r w:rsidR="00B34C89">
        <w:rPr>
          <w:lang w:val="fr-FR"/>
        </w:rPr>
        <w:t>’</w:t>
      </w:r>
      <w:r w:rsidRPr="00CB2F44">
        <w:rPr>
          <w:lang w:val="fr-FR"/>
        </w:rPr>
        <w:t>assistance d</w:t>
      </w:r>
      <w:r w:rsidR="00B34C89">
        <w:rPr>
          <w:lang w:val="fr-FR"/>
        </w:rPr>
        <w:t>’</w:t>
      </w:r>
      <w:r w:rsidRPr="00CB2F44">
        <w:rPr>
          <w:lang w:val="fr-FR"/>
        </w:rPr>
        <w:t>un avocat était légalement requise</w:t>
      </w:r>
      <w:r w:rsidRPr="00CB2F44">
        <w:rPr>
          <w:vertAlign w:val="superscript"/>
          <w:lang w:val="fr-CH"/>
        </w:rPr>
        <w:footnoteReference w:id="6"/>
      </w:r>
      <w:r w:rsidRPr="00CB2F44">
        <w:rPr>
          <w:lang w:val="fr-FR"/>
        </w:rPr>
        <w:t>.</w:t>
      </w:r>
    </w:p>
    <w:p w14:paraId="1D146425" w14:textId="656D20F1" w:rsidR="00CB2F44" w:rsidRDefault="00CB2F44" w:rsidP="004E5A27">
      <w:pPr>
        <w:pStyle w:val="SingleTxt"/>
        <w:numPr>
          <w:ilvl w:val="0"/>
          <w:numId w:val="15"/>
        </w:numPr>
        <w:spacing w:line="240" w:lineRule="exact"/>
        <w:rPr>
          <w:lang w:val="fr-FR"/>
        </w:rPr>
      </w:pPr>
      <w:r w:rsidRPr="00CB2F44">
        <w:rPr>
          <w:lang w:val="fr-FR"/>
        </w:rPr>
        <w:t>Le 26 mars 2012, l</w:t>
      </w:r>
      <w:r w:rsidR="00B34C89">
        <w:rPr>
          <w:lang w:val="fr-FR"/>
        </w:rPr>
        <w:t>’</w:t>
      </w:r>
      <w:r w:rsidRPr="00CB2F44">
        <w:rPr>
          <w:lang w:val="fr-FR"/>
        </w:rPr>
        <w:t>auteure a saisi la Cour européenne des droits de l</w:t>
      </w:r>
      <w:r w:rsidR="00B34C89">
        <w:rPr>
          <w:lang w:val="fr-FR"/>
        </w:rPr>
        <w:t>’</w:t>
      </w:r>
      <w:r w:rsidRPr="00CB2F44">
        <w:rPr>
          <w:lang w:val="fr-FR"/>
        </w:rPr>
        <w:t>homme, qui a déclaré sa requête irrecevable le 30 août 2016</w:t>
      </w:r>
      <w:r w:rsidRPr="00CB2F44">
        <w:rPr>
          <w:vertAlign w:val="superscript"/>
          <w:lang w:val="fr-CH"/>
        </w:rPr>
        <w:footnoteReference w:id="7"/>
      </w:r>
      <w:r w:rsidRPr="00CB2F44">
        <w:rPr>
          <w:lang w:val="fr-FR"/>
        </w:rPr>
        <w:t>. La Cour a estimé que la requête avait été introduite trop tard et l</w:t>
      </w:r>
      <w:r w:rsidR="00B34C89">
        <w:rPr>
          <w:lang w:val="fr-FR"/>
        </w:rPr>
        <w:t>’</w:t>
      </w:r>
      <w:r w:rsidRPr="00CB2F44">
        <w:rPr>
          <w:lang w:val="fr-FR"/>
        </w:rPr>
        <w:t>a rejetée conformément</w:t>
      </w:r>
      <w:r w:rsidR="008A7DAF">
        <w:rPr>
          <w:lang w:val="fr-FR"/>
        </w:rPr>
        <w:t xml:space="preserve"> aux</w:t>
      </w:r>
      <w:r w:rsidRPr="00CB2F44">
        <w:rPr>
          <w:lang w:val="fr-FR"/>
        </w:rPr>
        <w:t xml:space="preserve"> paragraphes 1 et 4 de l</w:t>
      </w:r>
      <w:r w:rsidR="00B34C89">
        <w:rPr>
          <w:lang w:val="fr-FR"/>
        </w:rPr>
        <w:t>’</w:t>
      </w:r>
      <w:r w:rsidRPr="00CB2F44">
        <w:rPr>
          <w:lang w:val="fr-FR"/>
        </w:rPr>
        <w:t>article 35 de la Convention européenne des droits de l</w:t>
      </w:r>
      <w:r w:rsidR="00B34C89">
        <w:rPr>
          <w:lang w:val="fr-FR"/>
        </w:rPr>
        <w:t>’</w:t>
      </w:r>
      <w:r w:rsidRPr="00CB2F44">
        <w:rPr>
          <w:lang w:val="fr-FR"/>
        </w:rPr>
        <w:t>homme.</w:t>
      </w:r>
    </w:p>
    <w:p w14:paraId="23CFAC64" w14:textId="71154C18" w:rsidR="004E5A27" w:rsidRPr="004E5A27" w:rsidRDefault="004E5A27" w:rsidP="004E5A27">
      <w:pPr>
        <w:pStyle w:val="SingleTxt"/>
        <w:spacing w:after="0" w:line="120" w:lineRule="exact"/>
        <w:rPr>
          <w:sz w:val="10"/>
          <w:lang w:val="fr-FR"/>
        </w:rPr>
      </w:pPr>
    </w:p>
    <w:p w14:paraId="3252A0B5" w14:textId="1E094E92" w:rsidR="00CB2F44" w:rsidRDefault="00CB2F44" w:rsidP="004E5A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2F44">
        <w:rPr>
          <w:lang w:val="fr-FR"/>
        </w:rPr>
        <w:tab/>
      </w:r>
      <w:r w:rsidRPr="00CB2F44">
        <w:rPr>
          <w:lang w:val="fr-FR"/>
        </w:rPr>
        <w:tab/>
        <w:t>Teneur de la plainte</w:t>
      </w:r>
    </w:p>
    <w:p w14:paraId="6617EDE2" w14:textId="3F0DF5CE" w:rsidR="004E5A27" w:rsidRPr="004E5A27" w:rsidRDefault="004E5A27" w:rsidP="004E5A27">
      <w:pPr>
        <w:pStyle w:val="SingleTxt"/>
        <w:spacing w:after="0" w:line="120" w:lineRule="exact"/>
        <w:rPr>
          <w:sz w:val="10"/>
          <w:lang w:val="fr-FR"/>
        </w:rPr>
      </w:pPr>
    </w:p>
    <w:p w14:paraId="26EBFB40" w14:textId="65CC286C" w:rsidR="00CB2F44" w:rsidRPr="00CB2F44" w:rsidRDefault="00CB2F44" w:rsidP="004E5A27">
      <w:pPr>
        <w:pStyle w:val="SingleTxt"/>
        <w:numPr>
          <w:ilvl w:val="0"/>
          <w:numId w:val="16"/>
        </w:numPr>
        <w:rPr>
          <w:lang w:val="fr-FR"/>
        </w:rPr>
      </w:pPr>
      <w:r w:rsidRPr="00CB2F44">
        <w:rPr>
          <w:lang w:val="fr-FR"/>
        </w:rPr>
        <w:t>L</w:t>
      </w:r>
      <w:r w:rsidR="00B34C89">
        <w:rPr>
          <w:lang w:val="fr-FR"/>
        </w:rPr>
        <w:t>’</w:t>
      </w:r>
      <w:r w:rsidRPr="00CB2F44">
        <w:rPr>
          <w:lang w:val="fr-FR"/>
        </w:rPr>
        <w:t>auteure affirme que les autorités de l</w:t>
      </w:r>
      <w:r w:rsidR="00B34C89">
        <w:rPr>
          <w:lang w:val="fr-FR"/>
        </w:rPr>
        <w:t>’</w:t>
      </w:r>
      <w:r w:rsidRPr="00CB2F44">
        <w:rPr>
          <w:lang w:val="fr-FR"/>
        </w:rPr>
        <w:t>État partie ne l</w:t>
      </w:r>
      <w:r w:rsidR="00B34C89">
        <w:rPr>
          <w:lang w:val="fr-FR"/>
        </w:rPr>
        <w:t>’</w:t>
      </w:r>
      <w:r w:rsidRPr="00CB2F44">
        <w:rPr>
          <w:lang w:val="fr-FR"/>
        </w:rPr>
        <w:t>ont pas protégée efficacement contre son mari, violant ainsi les droits qu</w:t>
      </w:r>
      <w:r w:rsidR="00B34C89">
        <w:rPr>
          <w:lang w:val="fr-FR"/>
        </w:rPr>
        <w:t>’</w:t>
      </w:r>
      <w:r w:rsidRPr="00CB2F44">
        <w:rPr>
          <w:lang w:val="fr-FR"/>
        </w:rPr>
        <w:t>elle tient des alinéas a) et c)</w:t>
      </w:r>
      <w:r w:rsidR="008A7DAF">
        <w:rPr>
          <w:lang w:val="fr-FR"/>
        </w:rPr>
        <w:t xml:space="preserve"> </w:t>
      </w:r>
      <w:r w:rsidRPr="00CB2F44">
        <w:rPr>
          <w:lang w:val="fr-FR"/>
        </w:rPr>
        <w:t>à f) de l</w:t>
      </w:r>
      <w:r w:rsidR="00B34C89">
        <w:rPr>
          <w:lang w:val="fr-FR"/>
        </w:rPr>
        <w:t>’</w:t>
      </w:r>
      <w:r w:rsidRPr="00CB2F44">
        <w:rPr>
          <w:lang w:val="fr-FR"/>
        </w:rPr>
        <w:t>article 2, lus conjointement avec l</w:t>
      </w:r>
      <w:r w:rsidR="00B34C89">
        <w:rPr>
          <w:lang w:val="fr-FR"/>
        </w:rPr>
        <w:t>’</w:t>
      </w:r>
      <w:r w:rsidRPr="00CB2F44">
        <w:rPr>
          <w:lang w:val="fr-FR"/>
        </w:rPr>
        <w:t>article 3 de la Convention. Plus précisément, elles n</w:t>
      </w:r>
      <w:r w:rsidR="00B34C89">
        <w:rPr>
          <w:lang w:val="fr-FR"/>
        </w:rPr>
        <w:t>’</w:t>
      </w:r>
      <w:r w:rsidRPr="00CB2F44">
        <w:rPr>
          <w:lang w:val="fr-FR"/>
        </w:rPr>
        <w:t>ont pas arrêté le mari, ne l</w:t>
      </w:r>
      <w:r w:rsidR="00B34C89">
        <w:rPr>
          <w:lang w:val="fr-FR"/>
        </w:rPr>
        <w:t>’</w:t>
      </w:r>
      <w:r w:rsidRPr="00CB2F44">
        <w:rPr>
          <w:lang w:val="fr-FR"/>
        </w:rPr>
        <w:t>ont pas séparé de son épouse</w:t>
      </w:r>
      <w:r w:rsidRPr="00CB2F44">
        <w:rPr>
          <w:vertAlign w:val="superscript"/>
          <w:lang w:val="fr-CH"/>
        </w:rPr>
        <w:footnoteReference w:id="8"/>
      </w:r>
      <w:r w:rsidRPr="00CB2F44">
        <w:rPr>
          <w:lang w:val="fr-FR"/>
        </w:rPr>
        <w:t xml:space="preserve"> et n</w:t>
      </w:r>
      <w:r w:rsidR="00B34C89">
        <w:rPr>
          <w:lang w:val="fr-FR"/>
        </w:rPr>
        <w:t>’</w:t>
      </w:r>
      <w:r w:rsidRPr="00CB2F44">
        <w:rPr>
          <w:lang w:val="fr-FR"/>
        </w:rPr>
        <w:t xml:space="preserve">ont </w:t>
      </w:r>
      <w:r w:rsidRPr="00CB2F44">
        <w:rPr>
          <w:lang w:val="fr-FR"/>
        </w:rPr>
        <w:lastRenderedPageBreak/>
        <w:t>pas fait en sorte qu</w:t>
      </w:r>
      <w:r w:rsidR="00B34C89">
        <w:rPr>
          <w:lang w:val="fr-FR"/>
        </w:rPr>
        <w:t>’</w:t>
      </w:r>
      <w:r w:rsidRPr="00CB2F44">
        <w:rPr>
          <w:lang w:val="fr-FR"/>
        </w:rPr>
        <w:t>il soit jugé dans les meilleurs délais</w:t>
      </w:r>
      <w:r w:rsidRPr="00CB2F44">
        <w:rPr>
          <w:vertAlign w:val="superscript"/>
          <w:lang w:val="fr-CH"/>
        </w:rPr>
        <w:footnoteReference w:id="9"/>
      </w:r>
      <w:r w:rsidRPr="00CB2F44">
        <w:rPr>
          <w:lang w:val="fr-FR"/>
        </w:rPr>
        <w:t>. Elle affirme que les autorités avaient connaissance des violences qu</w:t>
      </w:r>
      <w:r w:rsidR="00B34C89">
        <w:rPr>
          <w:lang w:val="fr-FR"/>
        </w:rPr>
        <w:t>’</w:t>
      </w:r>
      <w:r w:rsidRPr="00CB2F44">
        <w:rPr>
          <w:lang w:val="fr-FR"/>
        </w:rPr>
        <w:t>elle avait subies, et, ce au moins depuis le 10 mars 2004, date à laquelle elle avait porté plainte pour la deuxième fois. En outre, elle fait valoir que les autorités ont pris acte du comportement violent de son mari à plusieurs reprises. Bien qu</w:t>
      </w:r>
      <w:r w:rsidR="00B34C89">
        <w:rPr>
          <w:lang w:val="fr-FR"/>
        </w:rPr>
        <w:t>’</w:t>
      </w:r>
      <w:r w:rsidRPr="00CB2F44">
        <w:rPr>
          <w:lang w:val="fr-FR"/>
        </w:rPr>
        <w:t>ayant eu connaissance des faits, les autorités n</w:t>
      </w:r>
      <w:r w:rsidR="00B34C89">
        <w:rPr>
          <w:lang w:val="fr-FR"/>
        </w:rPr>
        <w:t>’</w:t>
      </w:r>
      <w:r w:rsidRPr="00CB2F44">
        <w:rPr>
          <w:lang w:val="fr-FR"/>
        </w:rPr>
        <w:t>ont pas agi avec la diligence voulue pour prévenir la violation des droits de l</w:t>
      </w:r>
      <w:r w:rsidR="00B34C89">
        <w:rPr>
          <w:lang w:val="fr-FR"/>
        </w:rPr>
        <w:t>’</w:t>
      </w:r>
      <w:r w:rsidRPr="00CB2F44">
        <w:rPr>
          <w:lang w:val="fr-FR"/>
        </w:rPr>
        <w:t>auteure ou enquêter sur les actes de violence et les punir</w:t>
      </w:r>
      <w:r w:rsidRPr="00CB2F44">
        <w:rPr>
          <w:vertAlign w:val="superscript"/>
          <w:lang w:val="fr-CH"/>
        </w:rPr>
        <w:footnoteReference w:id="10"/>
      </w:r>
      <w:r w:rsidRPr="00CB2F44">
        <w:rPr>
          <w:lang w:val="fr-FR"/>
        </w:rPr>
        <w:t>.</w:t>
      </w:r>
    </w:p>
    <w:p w14:paraId="46128244" w14:textId="0D52215B" w:rsidR="00CB2F44" w:rsidRPr="00CB2F44" w:rsidRDefault="00CB2F44" w:rsidP="004E5A27">
      <w:pPr>
        <w:pStyle w:val="SingleTxt"/>
        <w:numPr>
          <w:ilvl w:val="0"/>
          <w:numId w:val="16"/>
        </w:numPr>
        <w:spacing w:line="240" w:lineRule="exact"/>
        <w:rPr>
          <w:lang w:val="fr-FR"/>
        </w:rPr>
      </w:pPr>
      <w:r w:rsidRPr="00CB2F44">
        <w:rPr>
          <w:lang w:val="fr-FR"/>
        </w:rPr>
        <w:t>L</w:t>
      </w:r>
      <w:r w:rsidR="00B34C89">
        <w:rPr>
          <w:lang w:val="fr-FR"/>
        </w:rPr>
        <w:t>’</w:t>
      </w:r>
      <w:r w:rsidRPr="00CB2F44">
        <w:rPr>
          <w:lang w:val="fr-FR"/>
        </w:rPr>
        <w:t>auteure fait valoir que les autorités ont violé l</w:t>
      </w:r>
      <w:r w:rsidR="00B34C89">
        <w:rPr>
          <w:lang w:val="fr-FR"/>
        </w:rPr>
        <w:t>’</w:t>
      </w:r>
      <w:r w:rsidRPr="00CB2F44">
        <w:rPr>
          <w:lang w:val="fr-FR"/>
        </w:rPr>
        <w:t>alinéa e) de l</w:t>
      </w:r>
      <w:r w:rsidR="00B34C89">
        <w:rPr>
          <w:lang w:val="fr-FR"/>
        </w:rPr>
        <w:t>’</w:t>
      </w:r>
      <w:r w:rsidRPr="00CB2F44">
        <w:rPr>
          <w:lang w:val="fr-FR"/>
        </w:rPr>
        <w:t>article 2, lu conjointement avec l</w:t>
      </w:r>
      <w:r w:rsidR="00B34C89">
        <w:rPr>
          <w:lang w:val="fr-FR"/>
        </w:rPr>
        <w:t>’</w:t>
      </w:r>
      <w:r w:rsidRPr="00CB2F44">
        <w:rPr>
          <w:lang w:val="fr-FR"/>
        </w:rPr>
        <w:t>article 1</w:t>
      </w:r>
      <w:r w:rsidRPr="00CB2F44">
        <w:rPr>
          <w:vertAlign w:val="superscript"/>
          <w:lang w:val="fr-FR"/>
        </w:rPr>
        <w:t>er</w:t>
      </w:r>
      <w:r w:rsidRPr="00CB2F44">
        <w:rPr>
          <w:lang w:val="fr-FR"/>
        </w:rPr>
        <w:t xml:space="preserve"> de la Convention, lorsqu</w:t>
      </w:r>
      <w:r w:rsidR="00B34C89">
        <w:rPr>
          <w:lang w:val="fr-FR"/>
        </w:rPr>
        <w:t>’</w:t>
      </w:r>
      <w:r w:rsidRPr="00CB2F44">
        <w:rPr>
          <w:lang w:val="fr-FR"/>
        </w:rPr>
        <w:t>elles ont failli à leur obligation de la protéger, en ce qu</w:t>
      </w:r>
      <w:r w:rsidR="00B34C89">
        <w:rPr>
          <w:lang w:val="fr-FR"/>
        </w:rPr>
        <w:t>’</w:t>
      </w:r>
      <w:r w:rsidRPr="00CB2F44">
        <w:rPr>
          <w:lang w:val="fr-FR"/>
        </w:rPr>
        <w:t>elles ne lui ont pas accordé d</w:t>
      </w:r>
      <w:r w:rsidR="00B34C89">
        <w:rPr>
          <w:lang w:val="fr-FR"/>
        </w:rPr>
        <w:t>’</w:t>
      </w:r>
      <w:r w:rsidRPr="00CB2F44">
        <w:rPr>
          <w:lang w:val="fr-FR"/>
        </w:rPr>
        <w:t>indemnité civile, alors qu</w:t>
      </w:r>
      <w:r w:rsidR="00B34C89">
        <w:rPr>
          <w:lang w:val="fr-FR"/>
        </w:rPr>
        <w:t>’</w:t>
      </w:r>
      <w:r w:rsidRPr="00CB2F44">
        <w:rPr>
          <w:lang w:val="fr-FR"/>
        </w:rPr>
        <w:t>elles avaient reconnu, le 7 mai 2010, l</w:t>
      </w:r>
      <w:r w:rsidR="00B34C89">
        <w:rPr>
          <w:lang w:val="fr-FR"/>
        </w:rPr>
        <w:t>’</w:t>
      </w:r>
      <w:r w:rsidRPr="00CB2F44">
        <w:rPr>
          <w:lang w:val="fr-FR"/>
        </w:rPr>
        <w:t>illégalité de certains actes de la police.</w:t>
      </w:r>
    </w:p>
    <w:p w14:paraId="4F1C5780" w14:textId="4D1DAD71" w:rsidR="00CB2F44" w:rsidRDefault="00CB2F44" w:rsidP="004E5A27">
      <w:pPr>
        <w:pStyle w:val="SingleTxt"/>
        <w:numPr>
          <w:ilvl w:val="0"/>
          <w:numId w:val="16"/>
        </w:numPr>
        <w:spacing w:line="240" w:lineRule="exact"/>
        <w:rPr>
          <w:lang w:val="fr-FR"/>
        </w:rPr>
      </w:pPr>
      <w:r w:rsidRPr="00CB2F44">
        <w:rPr>
          <w:lang w:val="fr-FR"/>
        </w:rPr>
        <w:t>L</w:t>
      </w:r>
      <w:r w:rsidR="00B34C89">
        <w:rPr>
          <w:lang w:val="fr-FR"/>
        </w:rPr>
        <w:t>’</w:t>
      </w:r>
      <w:r w:rsidRPr="00CB2F44">
        <w:rPr>
          <w:lang w:val="fr-FR"/>
        </w:rPr>
        <w:t>auteure fait valoir que l</w:t>
      </w:r>
      <w:r w:rsidR="00B34C89">
        <w:rPr>
          <w:lang w:val="fr-FR"/>
        </w:rPr>
        <w:t>’</w:t>
      </w:r>
      <w:r w:rsidRPr="00CB2F44">
        <w:rPr>
          <w:lang w:val="fr-FR"/>
        </w:rPr>
        <w:t>État partie a violé les alinéas d) et e) de l</w:t>
      </w:r>
      <w:r w:rsidR="00B34C89">
        <w:rPr>
          <w:lang w:val="fr-FR"/>
        </w:rPr>
        <w:t>’</w:t>
      </w:r>
      <w:r w:rsidRPr="00CB2F44">
        <w:rPr>
          <w:lang w:val="fr-FR"/>
        </w:rPr>
        <w:t>article 2, lus conjointement avec l</w:t>
      </w:r>
      <w:r w:rsidR="00B34C89">
        <w:rPr>
          <w:lang w:val="fr-FR"/>
        </w:rPr>
        <w:t>’</w:t>
      </w:r>
      <w:r w:rsidRPr="00CB2F44">
        <w:rPr>
          <w:lang w:val="fr-FR"/>
        </w:rPr>
        <w:t>alinéa f) de l</w:t>
      </w:r>
      <w:r w:rsidR="00B34C89">
        <w:rPr>
          <w:lang w:val="fr-FR"/>
        </w:rPr>
        <w:t>’</w:t>
      </w:r>
      <w:r w:rsidRPr="00CB2F44">
        <w:rPr>
          <w:lang w:val="fr-FR"/>
        </w:rPr>
        <w:t>article 2, l</w:t>
      </w:r>
      <w:r w:rsidR="00B34C89">
        <w:rPr>
          <w:lang w:val="fr-FR"/>
        </w:rPr>
        <w:t>’</w:t>
      </w:r>
      <w:r w:rsidRPr="00CB2F44">
        <w:rPr>
          <w:lang w:val="fr-FR"/>
        </w:rPr>
        <w:t>alinéa a) de l</w:t>
      </w:r>
      <w:r w:rsidR="00B34C89">
        <w:rPr>
          <w:lang w:val="fr-FR"/>
        </w:rPr>
        <w:t>’</w:t>
      </w:r>
      <w:r w:rsidRPr="00CB2F44">
        <w:rPr>
          <w:lang w:val="fr-FR"/>
        </w:rPr>
        <w:t>article 5 et l</w:t>
      </w:r>
      <w:r w:rsidR="00B34C89">
        <w:rPr>
          <w:lang w:val="fr-FR"/>
        </w:rPr>
        <w:t>’</w:t>
      </w:r>
      <w:r w:rsidRPr="00CB2F44">
        <w:rPr>
          <w:lang w:val="fr-FR"/>
        </w:rPr>
        <w:t>article 16 de la Convention, car il n</w:t>
      </w:r>
      <w:r w:rsidR="00B34C89">
        <w:rPr>
          <w:lang w:val="fr-FR"/>
        </w:rPr>
        <w:t>’</w:t>
      </w:r>
      <w:r w:rsidRPr="00CB2F44">
        <w:rPr>
          <w:lang w:val="fr-FR"/>
        </w:rPr>
        <w:t>a pas pris de mesures efficaces pour éliminer les stéréotypes fondés sur le genre qui font obstacle à la protection des femmes victimes de violence domestique. Elle affirme que ce problème systémique a contribué à l</w:t>
      </w:r>
      <w:r w:rsidR="00B34C89">
        <w:rPr>
          <w:lang w:val="fr-FR"/>
        </w:rPr>
        <w:t>’</w:t>
      </w:r>
      <w:r w:rsidRPr="00CB2F44">
        <w:rPr>
          <w:lang w:val="fr-FR"/>
        </w:rPr>
        <w:t>attitude discriminatoire des autorités à son égard et à leur incapacité de la protéger efficacement contre son mari.</w:t>
      </w:r>
    </w:p>
    <w:p w14:paraId="166BBC9F" w14:textId="0693A9C3" w:rsidR="004E5A27" w:rsidRPr="004E5A27" w:rsidRDefault="004E5A27" w:rsidP="004E5A27">
      <w:pPr>
        <w:pStyle w:val="SingleTxt"/>
        <w:spacing w:after="0" w:line="120" w:lineRule="exact"/>
        <w:rPr>
          <w:sz w:val="10"/>
          <w:lang w:val="fr-FR"/>
        </w:rPr>
      </w:pPr>
    </w:p>
    <w:p w14:paraId="0D559974" w14:textId="76416B68" w:rsidR="00CB2F44" w:rsidRDefault="00CB2F44" w:rsidP="004E5A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2F44">
        <w:rPr>
          <w:lang w:val="fr-FR"/>
        </w:rPr>
        <w:tab/>
      </w:r>
      <w:r w:rsidRPr="00CB2F44">
        <w:rPr>
          <w:lang w:val="fr-FR"/>
        </w:rPr>
        <w:tab/>
        <w:t>Observations de l</w:t>
      </w:r>
      <w:r w:rsidR="00B34C89">
        <w:rPr>
          <w:lang w:val="fr-FR"/>
        </w:rPr>
        <w:t>’</w:t>
      </w:r>
      <w:r w:rsidRPr="00CB2F44">
        <w:rPr>
          <w:lang w:val="fr-FR"/>
        </w:rPr>
        <w:t>État partie sur la recevabilité</w:t>
      </w:r>
    </w:p>
    <w:p w14:paraId="46C26A58" w14:textId="2B768BA9" w:rsidR="004E5A27" w:rsidRPr="004E5A27" w:rsidRDefault="004E5A27" w:rsidP="004E5A27">
      <w:pPr>
        <w:pStyle w:val="SingleTxt"/>
        <w:spacing w:after="0" w:line="120" w:lineRule="exact"/>
        <w:rPr>
          <w:sz w:val="10"/>
          <w:lang w:val="fr-FR"/>
        </w:rPr>
      </w:pPr>
    </w:p>
    <w:p w14:paraId="27ECA35A" w14:textId="7904519E" w:rsidR="00CB2F44" w:rsidRPr="00CB2F44" w:rsidRDefault="00CB2F44" w:rsidP="004E5A27">
      <w:pPr>
        <w:pStyle w:val="SingleTxt"/>
        <w:numPr>
          <w:ilvl w:val="0"/>
          <w:numId w:val="17"/>
        </w:numPr>
        <w:rPr>
          <w:lang w:val="fr-FR"/>
        </w:rPr>
      </w:pPr>
      <w:r w:rsidRPr="00CB2F44">
        <w:rPr>
          <w:lang w:val="fr-FR"/>
        </w:rPr>
        <w:t>Le 4 juin 2018, l</w:t>
      </w:r>
      <w:r w:rsidR="00B34C89">
        <w:rPr>
          <w:lang w:val="fr-FR"/>
        </w:rPr>
        <w:t>’</w:t>
      </w:r>
      <w:r w:rsidRPr="00CB2F44">
        <w:rPr>
          <w:lang w:val="fr-FR"/>
        </w:rPr>
        <w:t>État partie a fait valoir que la communication était irrecevable pour non-épuisement des recours internes.</w:t>
      </w:r>
    </w:p>
    <w:p w14:paraId="3C436D9E" w14:textId="2BE0BF4D" w:rsidR="00CB2F44" w:rsidRDefault="00CB2F44" w:rsidP="004E5A27">
      <w:pPr>
        <w:pStyle w:val="SingleTxt"/>
        <w:numPr>
          <w:ilvl w:val="0"/>
          <w:numId w:val="17"/>
        </w:numPr>
        <w:spacing w:line="240" w:lineRule="exact"/>
        <w:rPr>
          <w:lang w:val="fr-FR"/>
        </w:rPr>
      </w:pPr>
      <w:r w:rsidRPr="00CB2F44">
        <w:rPr>
          <w:lang w:val="fr-FR"/>
        </w:rPr>
        <w:t>L</w:t>
      </w:r>
      <w:r w:rsidR="00B34C89">
        <w:rPr>
          <w:lang w:val="fr-FR"/>
        </w:rPr>
        <w:t>’</w:t>
      </w:r>
      <w:r w:rsidRPr="00CB2F44">
        <w:rPr>
          <w:lang w:val="fr-FR"/>
        </w:rPr>
        <w:t>État partie fait tout d</w:t>
      </w:r>
      <w:r w:rsidR="00B34C89">
        <w:rPr>
          <w:lang w:val="fr-FR"/>
        </w:rPr>
        <w:t>’</w:t>
      </w:r>
      <w:r w:rsidRPr="00CB2F44">
        <w:rPr>
          <w:lang w:val="fr-FR"/>
        </w:rPr>
        <w:t>abord remarquer que l</w:t>
      </w:r>
      <w:r w:rsidR="00B34C89">
        <w:rPr>
          <w:lang w:val="fr-FR"/>
        </w:rPr>
        <w:t>’</w:t>
      </w:r>
      <w:r w:rsidRPr="00CB2F44">
        <w:rPr>
          <w:lang w:val="fr-FR"/>
        </w:rPr>
        <w:t>auteure n</w:t>
      </w:r>
      <w:r w:rsidR="00B34C89">
        <w:rPr>
          <w:lang w:val="fr-FR"/>
        </w:rPr>
        <w:t>’</w:t>
      </w:r>
      <w:r w:rsidRPr="00CB2F44">
        <w:rPr>
          <w:lang w:val="fr-FR"/>
        </w:rPr>
        <w:t>a pas formé de pourvoi en cassation devant la Cour suprême contre l</w:t>
      </w:r>
      <w:r w:rsidR="00B34C89">
        <w:rPr>
          <w:lang w:val="fr-FR"/>
        </w:rPr>
        <w:t>’</w:t>
      </w:r>
      <w:r w:rsidRPr="00CB2F44">
        <w:rPr>
          <w:lang w:val="fr-FR"/>
        </w:rPr>
        <w:t>arrêt de la cour d</w:t>
      </w:r>
      <w:r w:rsidR="00B34C89">
        <w:rPr>
          <w:lang w:val="fr-FR"/>
        </w:rPr>
        <w:t>’</w:t>
      </w:r>
      <w:r w:rsidRPr="00CB2F44">
        <w:rPr>
          <w:lang w:val="fr-FR"/>
        </w:rPr>
        <w:t>appel. En outre, elle n</w:t>
      </w:r>
      <w:r w:rsidR="00B34C89">
        <w:rPr>
          <w:lang w:val="fr-FR"/>
        </w:rPr>
        <w:t>’</w:t>
      </w:r>
      <w:r w:rsidRPr="00CB2F44">
        <w:rPr>
          <w:lang w:val="fr-FR"/>
        </w:rPr>
        <w:t>a pas intenté d</w:t>
      </w:r>
      <w:r w:rsidR="00B34C89">
        <w:rPr>
          <w:lang w:val="fr-FR"/>
        </w:rPr>
        <w:t>’</w:t>
      </w:r>
      <w:r w:rsidRPr="00CB2F44">
        <w:rPr>
          <w:lang w:val="fr-FR"/>
        </w:rPr>
        <w:t>action contre la compagnie d</w:t>
      </w:r>
      <w:r w:rsidR="00B34C89">
        <w:rPr>
          <w:lang w:val="fr-FR"/>
        </w:rPr>
        <w:t>’</w:t>
      </w:r>
      <w:r w:rsidRPr="00CB2F44">
        <w:rPr>
          <w:lang w:val="fr-FR"/>
        </w:rPr>
        <w:t>assurance en ce qui concerne la destruction de sa maison. Sa maison était assurée contre les accidents, y compris les incendies. La compagnie d</w:t>
      </w:r>
      <w:r w:rsidR="00B34C89">
        <w:rPr>
          <w:lang w:val="fr-FR"/>
        </w:rPr>
        <w:t>’</w:t>
      </w:r>
      <w:r w:rsidRPr="00CB2F44">
        <w:rPr>
          <w:lang w:val="fr-FR"/>
        </w:rPr>
        <w:t>assurance lui a versé une indemnité d</w:t>
      </w:r>
      <w:r w:rsidR="00B34C89">
        <w:rPr>
          <w:lang w:val="fr-FR"/>
        </w:rPr>
        <w:t>’</w:t>
      </w:r>
      <w:r w:rsidRPr="00CB2F44">
        <w:rPr>
          <w:lang w:val="fr-FR"/>
        </w:rPr>
        <w:t>un montant de 106 634 zlotys, soit 50</w:t>
      </w:r>
      <w:r w:rsidR="00B34C89">
        <w:rPr>
          <w:lang w:val="fr-FR"/>
        </w:rPr>
        <w:t> %</w:t>
      </w:r>
      <w:r w:rsidRPr="00CB2F44">
        <w:rPr>
          <w:lang w:val="fr-FR"/>
        </w:rPr>
        <w:t xml:space="preserve"> de la valeur estimée du bien. Le restant de l</w:t>
      </w:r>
      <w:r w:rsidR="00B34C89">
        <w:rPr>
          <w:lang w:val="fr-FR"/>
        </w:rPr>
        <w:t>’</w:t>
      </w:r>
      <w:r w:rsidRPr="00CB2F44">
        <w:rPr>
          <w:lang w:val="fr-FR"/>
        </w:rPr>
        <w:t>indemnité devait être versé après l</w:t>
      </w:r>
      <w:r w:rsidR="00B34C89">
        <w:rPr>
          <w:lang w:val="fr-FR"/>
        </w:rPr>
        <w:t>’</w:t>
      </w:r>
      <w:r w:rsidRPr="00CB2F44">
        <w:rPr>
          <w:lang w:val="fr-FR"/>
        </w:rPr>
        <w:t>achèvement de la procédure de partage des biens liée au divorce de l</w:t>
      </w:r>
      <w:r w:rsidR="00B34C89">
        <w:rPr>
          <w:lang w:val="fr-FR"/>
        </w:rPr>
        <w:t>’</w:t>
      </w:r>
      <w:r w:rsidRPr="00CB2F44">
        <w:rPr>
          <w:lang w:val="fr-FR"/>
        </w:rPr>
        <w:t>auteure. L</w:t>
      </w:r>
      <w:r w:rsidR="00B34C89">
        <w:rPr>
          <w:lang w:val="fr-FR"/>
        </w:rPr>
        <w:t>’</w:t>
      </w:r>
      <w:r w:rsidRPr="00CB2F44">
        <w:rPr>
          <w:lang w:val="fr-FR"/>
        </w:rPr>
        <w:t>État partie note que si l</w:t>
      </w:r>
      <w:r w:rsidR="00B34C89">
        <w:rPr>
          <w:lang w:val="fr-FR"/>
        </w:rPr>
        <w:t>’</w:t>
      </w:r>
      <w:r w:rsidRPr="00CB2F44">
        <w:rPr>
          <w:lang w:val="fr-FR"/>
        </w:rPr>
        <w:t>auteure conteste le montant de l</w:t>
      </w:r>
      <w:r w:rsidR="00B34C89">
        <w:rPr>
          <w:lang w:val="fr-FR"/>
        </w:rPr>
        <w:t>’</w:t>
      </w:r>
      <w:r w:rsidRPr="00CB2F44">
        <w:rPr>
          <w:lang w:val="fr-FR"/>
        </w:rPr>
        <w:t>indemnisation qui lui a été versé, elle peut engager une procédure civile contre la compagnie d</w:t>
      </w:r>
      <w:r w:rsidR="00B34C89">
        <w:rPr>
          <w:lang w:val="fr-FR"/>
        </w:rPr>
        <w:t>’</w:t>
      </w:r>
      <w:r w:rsidRPr="00CB2F44">
        <w:rPr>
          <w:lang w:val="fr-FR"/>
        </w:rPr>
        <w:t>assurance en vertu des articles 23 et 24 du Code civil. Il fait également valoir que, durant la procédure interne, l</w:t>
      </w:r>
      <w:r w:rsidR="00B34C89">
        <w:rPr>
          <w:lang w:val="fr-FR"/>
        </w:rPr>
        <w:t>’</w:t>
      </w:r>
      <w:r w:rsidRPr="00CB2F44">
        <w:rPr>
          <w:lang w:val="fr-FR"/>
        </w:rPr>
        <w:t>auteure n</w:t>
      </w:r>
      <w:r w:rsidR="00B34C89">
        <w:rPr>
          <w:lang w:val="fr-FR"/>
        </w:rPr>
        <w:t>’</w:t>
      </w:r>
      <w:r w:rsidRPr="00CB2F44">
        <w:rPr>
          <w:lang w:val="fr-FR"/>
        </w:rPr>
        <w:t>a pas formulé d</w:t>
      </w:r>
      <w:r w:rsidR="00B34C89">
        <w:rPr>
          <w:lang w:val="fr-FR"/>
        </w:rPr>
        <w:t>’</w:t>
      </w:r>
      <w:r w:rsidRPr="00CB2F44">
        <w:rPr>
          <w:lang w:val="fr-FR"/>
        </w:rPr>
        <w:t>allégation de discrimination fondée sur le genre. Si elle estimait être victime de discrimination, elle aurait pu intenter une action devant les juridictions nationales en vertu du Code civil. Or, l</w:t>
      </w:r>
      <w:r w:rsidR="00B34C89">
        <w:rPr>
          <w:lang w:val="fr-FR"/>
        </w:rPr>
        <w:t>’</w:t>
      </w:r>
      <w:r w:rsidRPr="00CB2F44">
        <w:rPr>
          <w:lang w:val="fr-FR"/>
        </w:rPr>
        <w:t>auteure ne s</w:t>
      </w:r>
      <w:r w:rsidR="00B34C89">
        <w:rPr>
          <w:lang w:val="fr-FR"/>
        </w:rPr>
        <w:t>’</w:t>
      </w:r>
      <w:r w:rsidRPr="00CB2F44">
        <w:rPr>
          <w:lang w:val="fr-FR"/>
        </w:rPr>
        <w:t>est pas prévalue de cette possibilité.</w:t>
      </w:r>
      <w:bookmarkStart w:id="3" w:name="_Hlk36559839"/>
      <w:bookmarkEnd w:id="3"/>
    </w:p>
    <w:p w14:paraId="6817C89C" w14:textId="7377E821" w:rsidR="00ED3B61" w:rsidRPr="00ED3B61" w:rsidRDefault="00ED3B61" w:rsidP="00ED3B61">
      <w:pPr>
        <w:pStyle w:val="SingleTxt"/>
        <w:spacing w:after="0" w:line="120" w:lineRule="exact"/>
        <w:rPr>
          <w:sz w:val="10"/>
          <w:lang w:val="fr-FR"/>
        </w:rPr>
      </w:pPr>
    </w:p>
    <w:p w14:paraId="01D1098A" w14:textId="5E8E229A" w:rsidR="00CB2F44" w:rsidRDefault="00CB2F44" w:rsidP="00ED3B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2F44">
        <w:rPr>
          <w:lang w:val="fr-FR"/>
        </w:rPr>
        <w:tab/>
      </w:r>
      <w:r w:rsidRPr="00CB2F44">
        <w:rPr>
          <w:lang w:val="fr-FR"/>
        </w:rPr>
        <w:tab/>
        <w:t>Commentaires de l</w:t>
      </w:r>
      <w:r w:rsidR="00B34C89">
        <w:rPr>
          <w:lang w:val="fr-FR"/>
        </w:rPr>
        <w:t>’</w:t>
      </w:r>
      <w:r w:rsidRPr="00CB2F44">
        <w:rPr>
          <w:lang w:val="fr-FR"/>
        </w:rPr>
        <w:t>auteure sur les observations de l</w:t>
      </w:r>
      <w:r w:rsidR="00B34C89">
        <w:rPr>
          <w:lang w:val="fr-FR"/>
        </w:rPr>
        <w:t>’</w:t>
      </w:r>
      <w:r w:rsidRPr="00CB2F44">
        <w:rPr>
          <w:lang w:val="fr-FR"/>
        </w:rPr>
        <w:t>État partie concernant la recevabilité</w:t>
      </w:r>
    </w:p>
    <w:p w14:paraId="0DD25F3E" w14:textId="5A9C7336" w:rsidR="00ED3B61" w:rsidRPr="00ED3B61" w:rsidRDefault="00ED3B61" w:rsidP="00ED3B61">
      <w:pPr>
        <w:pStyle w:val="SingleTxt"/>
        <w:spacing w:after="0" w:line="120" w:lineRule="exact"/>
        <w:rPr>
          <w:sz w:val="10"/>
          <w:lang w:val="fr-FR"/>
        </w:rPr>
      </w:pPr>
    </w:p>
    <w:p w14:paraId="4B679D04" w14:textId="0256B9FF" w:rsidR="00CB2F44" w:rsidRPr="00CB2F44" w:rsidRDefault="00CB2F44" w:rsidP="00ED3B61">
      <w:pPr>
        <w:pStyle w:val="SingleTxt"/>
        <w:numPr>
          <w:ilvl w:val="0"/>
          <w:numId w:val="18"/>
        </w:numPr>
        <w:rPr>
          <w:lang w:val="fr-FR"/>
        </w:rPr>
      </w:pPr>
      <w:r w:rsidRPr="00CB2F44">
        <w:rPr>
          <w:lang w:val="fr-FR"/>
        </w:rPr>
        <w:t>Le 20 juillet 2018, l</w:t>
      </w:r>
      <w:r w:rsidR="00B34C89">
        <w:rPr>
          <w:lang w:val="fr-FR"/>
        </w:rPr>
        <w:t>’</w:t>
      </w:r>
      <w:r w:rsidRPr="00CB2F44">
        <w:rPr>
          <w:lang w:val="fr-FR"/>
        </w:rPr>
        <w:t>auteure a présenté ses commentaires sur les observations de l</w:t>
      </w:r>
      <w:r w:rsidR="00B34C89">
        <w:rPr>
          <w:lang w:val="fr-FR"/>
        </w:rPr>
        <w:t>’</w:t>
      </w:r>
      <w:r w:rsidRPr="00CB2F44">
        <w:rPr>
          <w:lang w:val="fr-FR"/>
        </w:rPr>
        <w:t>État partie. Elle prend note de l</w:t>
      </w:r>
      <w:r w:rsidR="00B34C89">
        <w:rPr>
          <w:lang w:val="fr-FR"/>
        </w:rPr>
        <w:t>’</w:t>
      </w:r>
      <w:r w:rsidRPr="00CB2F44">
        <w:rPr>
          <w:lang w:val="fr-FR"/>
        </w:rPr>
        <w:t>affirmation de l</w:t>
      </w:r>
      <w:r w:rsidR="00B34C89">
        <w:rPr>
          <w:lang w:val="fr-FR"/>
        </w:rPr>
        <w:t>’</w:t>
      </w:r>
      <w:r w:rsidRPr="00CB2F44">
        <w:rPr>
          <w:lang w:val="fr-FR"/>
        </w:rPr>
        <w:t>État partie selon laquelle elle n</w:t>
      </w:r>
      <w:r w:rsidR="00B34C89">
        <w:rPr>
          <w:lang w:val="fr-FR"/>
        </w:rPr>
        <w:t>’</w:t>
      </w:r>
      <w:r w:rsidRPr="00CB2F44">
        <w:rPr>
          <w:lang w:val="fr-FR"/>
        </w:rPr>
        <w:t>aurait pas épuisé les recours internes car elle n</w:t>
      </w:r>
      <w:r w:rsidR="00B34C89">
        <w:rPr>
          <w:lang w:val="fr-FR"/>
        </w:rPr>
        <w:t>’</w:t>
      </w:r>
      <w:r w:rsidRPr="00CB2F44">
        <w:rPr>
          <w:lang w:val="fr-FR"/>
        </w:rPr>
        <w:t>a pas formé de pourvoi en cassation devant la Cour suprême contre l</w:t>
      </w:r>
      <w:r w:rsidR="00B34C89">
        <w:rPr>
          <w:lang w:val="fr-FR"/>
        </w:rPr>
        <w:t>’</w:t>
      </w:r>
      <w:r w:rsidRPr="00CB2F44">
        <w:rPr>
          <w:lang w:val="fr-FR"/>
        </w:rPr>
        <w:t>arrêt de la cour d</w:t>
      </w:r>
      <w:r w:rsidR="00B34C89">
        <w:rPr>
          <w:lang w:val="fr-FR"/>
        </w:rPr>
        <w:t>’</w:t>
      </w:r>
      <w:r w:rsidRPr="00CB2F44">
        <w:rPr>
          <w:lang w:val="fr-FR"/>
        </w:rPr>
        <w:t xml:space="preserve">appel. Elle signale que dans le cadre de la procédure judiciaire, elle a été représentée par un avocat de son choix au </w:t>
      </w:r>
      <w:r w:rsidRPr="00CB2F44">
        <w:rPr>
          <w:lang w:val="fr-FR"/>
        </w:rPr>
        <w:lastRenderedPageBreak/>
        <w:t>titre de l</w:t>
      </w:r>
      <w:r w:rsidR="00B34C89">
        <w:rPr>
          <w:lang w:val="fr-FR"/>
        </w:rPr>
        <w:t>’</w:t>
      </w:r>
      <w:r w:rsidRPr="00CB2F44">
        <w:rPr>
          <w:lang w:val="fr-FR"/>
        </w:rPr>
        <w:t>aide juridictionnelle. Le 26 août 2011, une copie de l</w:t>
      </w:r>
      <w:r w:rsidR="00B34C89">
        <w:rPr>
          <w:lang w:val="fr-FR"/>
        </w:rPr>
        <w:t>’</w:t>
      </w:r>
      <w:r w:rsidRPr="00CB2F44">
        <w:rPr>
          <w:lang w:val="fr-FR"/>
        </w:rPr>
        <w:t>arrêt de la cour d</w:t>
      </w:r>
      <w:r w:rsidR="00B34C89">
        <w:rPr>
          <w:lang w:val="fr-FR"/>
        </w:rPr>
        <w:t>’</w:t>
      </w:r>
      <w:r w:rsidRPr="00CB2F44">
        <w:rPr>
          <w:lang w:val="fr-FR"/>
        </w:rPr>
        <w:t>appel a été présentée à cet avocat. Le 5 octobre 2011, l</w:t>
      </w:r>
      <w:r w:rsidR="00B34C89">
        <w:rPr>
          <w:lang w:val="fr-FR"/>
        </w:rPr>
        <w:t>’</w:t>
      </w:r>
      <w:r w:rsidRPr="00CB2F44">
        <w:rPr>
          <w:lang w:val="fr-FR"/>
        </w:rPr>
        <w:t>auteure a demandé à son avocat s</w:t>
      </w:r>
      <w:r w:rsidR="00B34C89">
        <w:rPr>
          <w:lang w:val="fr-FR"/>
        </w:rPr>
        <w:t>’</w:t>
      </w:r>
      <w:r w:rsidRPr="00CB2F44">
        <w:rPr>
          <w:lang w:val="fr-FR"/>
        </w:rPr>
        <w:t>il envisageait de former un pourvoi en cassation. Le 26 octobre 2011, soit le jour de l</w:t>
      </w:r>
      <w:r w:rsidR="00B34C89">
        <w:rPr>
          <w:lang w:val="fr-FR"/>
        </w:rPr>
        <w:t>’</w:t>
      </w:r>
      <w:r w:rsidRPr="00CB2F44">
        <w:rPr>
          <w:lang w:val="fr-FR"/>
        </w:rPr>
        <w:t>expiration du délai de deux mois fixé pour former ledit pourvoi, l</w:t>
      </w:r>
      <w:r w:rsidR="00B34C89">
        <w:rPr>
          <w:lang w:val="fr-FR"/>
        </w:rPr>
        <w:t>’</w:t>
      </w:r>
      <w:r w:rsidRPr="00CB2F44">
        <w:rPr>
          <w:lang w:val="fr-FR"/>
        </w:rPr>
        <w:t>avocat a répondu que rien ne justifiait ce recours. L</w:t>
      </w:r>
      <w:r w:rsidR="00B34C89">
        <w:rPr>
          <w:lang w:val="fr-FR"/>
        </w:rPr>
        <w:t>’</w:t>
      </w:r>
      <w:r w:rsidRPr="00CB2F44">
        <w:rPr>
          <w:lang w:val="fr-FR"/>
        </w:rPr>
        <w:t>auteure fait valoir que l</w:t>
      </w:r>
      <w:r w:rsidR="00B34C89">
        <w:rPr>
          <w:lang w:val="fr-FR"/>
        </w:rPr>
        <w:t>’</w:t>
      </w:r>
      <w:r w:rsidRPr="00CB2F44">
        <w:rPr>
          <w:lang w:val="fr-FR"/>
        </w:rPr>
        <w:t>État partie n</w:t>
      </w:r>
      <w:r w:rsidR="00B34C89">
        <w:rPr>
          <w:lang w:val="fr-FR"/>
        </w:rPr>
        <w:t>’</w:t>
      </w:r>
      <w:r w:rsidRPr="00CB2F44">
        <w:rPr>
          <w:lang w:val="fr-FR"/>
        </w:rPr>
        <w:t>a fourni aucune explication sur la manière dont elle aurait pu former un pourvoi en cassation une fois ce délai expiré. Par ailleurs, elle fait remarquer que l</w:t>
      </w:r>
      <w:r w:rsidR="00B34C89">
        <w:rPr>
          <w:lang w:val="fr-FR"/>
        </w:rPr>
        <w:t>’</w:t>
      </w:r>
      <w:r w:rsidRPr="00CB2F44">
        <w:rPr>
          <w:lang w:val="fr-FR"/>
        </w:rPr>
        <w:t>État partie a présenté, le 17 juin 2015, des observations sur la recevabilité et sur le fond de la requête que l</w:t>
      </w:r>
      <w:r w:rsidR="00B34C89">
        <w:rPr>
          <w:lang w:val="fr-FR"/>
        </w:rPr>
        <w:t>’</w:t>
      </w:r>
      <w:r w:rsidRPr="00CB2F44">
        <w:rPr>
          <w:lang w:val="fr-FR"/>
        </w:rPr>
        <w:t>auteure avait soumise à la Cour européenne des droits de l</w:t>
      </w:r>
      <w:r w:rsidR="00B34C89">
        <w:rPr>
          <w:lang w:val="fr-FR"/>
        </w:rPr>
        <w:t>’</w:t>
      </w:r>
      <w:r w:rsidRPr="00CB2F44">
        <w:rPr>
          <w:lang w:val="fr-FR"/>
        </w:rPr>
        <w:t>homme, et qu</w:t>
      </w:r>
      <w:r w:rsidR="00B34C89">
        <w:rPr>
          <w:lang w:val="fr-FR"/>
        </w:rPr>
        <w:t>’</w:t>
      </w:r>
      <w:r w:rsidRPr="00CB2F44">
        <w:rPr>
          <w:lang w:val="fr-FR"/>
        </w:rPr>
        <w:t>à cette occasion il avait adopté, au sujet de la possibilité de former un pourvoi en cassation, un point de vue opposé à celui qu</w:t>
      </w:r>
      <w:r w:rsidR="00B34C89">
        <w:rPr>
          <w:lang w:val="fr-FR"/>
        </w:rPr>
        <w:t>’</w:t>
      </w:r>
      <w:r w:rsidRPr="00CB2F44">
        <w:rPr>
          <w:lang w:val="fr-FR"/>
        </w:rPr>
        <w:t>il a avancé dans le cadre de ses observations devant le Comité. L</w:t>
      </w:r>
      <w:r w:rsidR="00B34C89">
        <w:rPr>
          <w:lang w:val="fr-FR"/>
        </w:rPr>
        <w:t>’</w:t>
      </w:r>
      <w:r w:rsidRPr="00CB2F44">
        <w:rPr>
          <w:lang w:val="fr-FR"/>
        </w:rPr>
        <w:t>État partie avait alors déclaré qu</w:t>
      </w:r>
      <w:r w:rsidR="00B34C89">
        <w:rPr>
          <w:lang w:val="fr-FR"/>
        </w:rPr>
        <w:t>’</w:t>
      </w:r>
      <w:r w:rsidRPr="00CB2F44">
        <w:rPr>
          <w:lang w:val="fr-FR"/>
        </w:rPr>
        <w:t>un tel pourvoi aurait porté sur un jugement définitif et exécutoire et qu</w:t>
      </w:r>
      <w:r w:rsidR="00B34C89">
        <w:rPr>
          <w:lang w:val="fr-FR"/>
        </w:rPr>
        <w:t>’</w:t>
      </w:r>
      <w:r w:rsidRPr="00CB2F44">
        <w:rPr>
          <w:lang w:val="fr-FR"/>
        </w:rPr>
        <w:t>il aurait donc constitué un recours en appel extraordinaire. Il avait fait valoir que la Cour suprême ne devait pas être considérée comme une juridiction de troisième degré et que le pourvoi en cassation constituait une exception plutôt qu</w:t>
      </w:r>
      <w:r w:rsidR="00B34C89">
        <w:rPr>
          <w:lang w:val="fr-FR"/>
        </w:rPr>
        <w:t>’</w:t>
      </w:r>
      <w:r w:rsidRPr="00CB2F44">
        <w:rPr>
          <w:lang w:val="fr-FR"/>
        </w:rPr>
        <w:t>une règle. Il avait affirmé qu</w:t>
      </w:r>
      <w:r w:rsidR="00B34C89">
        <w:rPr>
          <w:lang w:val="fr-FR"/>
        </w:rPr>
        <w:t>’</w:t>
      </w:r>
      <w:r w:rsidRPr="00CB2F44">
        <w:rPr>
          <w:lang w:val="fr-FR"/>
        </w:rPr>
        <w:t>en droit polonais, ce recours se limitait à des cas exceptionnels et ne présentait qu</w:t>
      </w:r>
      <w:r w:rsidR="00B34C89">
        <w:rPr>
          <w:lang w:val="fr-FR"/>
        </w:rPr>
        <w:t>’</w:t>
      </w:r>
      <w:r w:rsidRPr="00CB2F44">
        <w:rPr>
          <w:lang w:val="fr-FR"/>
        </w:rPr>
        <w:t>un caractère complémentaire vis-à-vis d</w:t>
      </w:r>
      <w:r w:rsidR="00B34C89">
        <w:rPr>
          <w:lang w:val="fr-FR"/>
        </w:rPr>
        <w:t>’</w:t>
      </w:r>
      <w:r w:rsidRPr="00CB2F44">
        <w:rPr>
          <w:lang w:val="fr-FR"/>
        </w:rPr>
        <w:t>une procédure devant des juridictions de premier et de second degré. Il avait alors conclu que la requérante n</w:t>
      </w:r>
      <w:r w:rsidR="00B34C89">
        <w:rPr>
          <w:lang w:val="fr-FR"/>
        </w:rPr>
        <w:t>’</w:t>
      </w:r>
      <w:r w:rsidRPr="00CB2F44">
        <w:rPr>
          <w:lang w:val="fr-FR"/>
        </w:rPr>
        <w:t>était pas tenue de former un pourvoi en cassation devant la Cour suprême, car son affaire avait été examinée par des juridictions de premier et de second degrés</w:t>
      </w:r>
      <w:r w:rsidRPr="00CB2F44">
        <w:rPr>
          <w:vertAlign w:val="superscript"/>
          <w:lang w:val="fr-CH"/>
        </w:rPr>
        <w:footnoteReference w:id="11"/>
      </w:r>
      <w:r w:rsidRPr="00CB2F44">
        <w:rPr>
          <w:lang w:val="fr-FR"/>
        </w:rPr>
        <w:t>. L</w:t>
      </w:r>
      <w:r w:rsidR="00B34C89">
        <w:rPr>
          <w:lang w:val="fr-FR"/>
        </w:rPr>
        <w:t>’</w:t>
      </w:r>
      <w:r w:rsidRPr="00CB2F44">
        <w:rPr>
          <w:lang w:val="fr-FR"/>
        </w:rPr>
        <w:t>auteure estime qu</w:t>
      </w:r>
      <w:r w:rsidR="00B34C89">
        <w:rPr>
          <w:lang w:val="fr-FR"/>
        </w:rPr>
        <w:t>’</w:t>
      </w:r>
      <w:r w:rsidRPr="00CB2F44">
        <w:rPr>
          <w:lang w:val="fr-FR"/>
        </w:rPr>
        <w:t>une requérante n</w:t>
      </w:r>
      <w:r w:rsidR="00B34C89">
        <w:rPr>
          <w:lang w:val="fr-FR"/>
        </w:rPr>
        <w:t>’</w:t>
      </w:r>
      <w:r w:rsidRPr="00CB2F44">
        <w:rPr>
          <w:lang w:val="fr-FR"/>
        </w:rPr>
        <w:t>est pas tenue de former un pourvoi en cassation lorsque son avocat l</w:t>
      </w:r>
      <w:r w:rsidR="00B34C89">
        <w:rPr>
          <w:lang w:val="fr-FR"/>
        </w:rPr>
        <w:t>’</w:t>
      </w:r>
      <w:r w:rsidRPr="00CB2F44">
        <w:rPr>
          <w:lang w:val="fr-FR"/>
        </w:rPr>
        <w:t>informe que sa requête n</w:t>
      </w:r>
      <w:r w:rsidR="00B34C89">
        <w:rPr>
          <w:lang w:val="fr-FR"/>
        </w:rPr>
        <w:t>’</w:t>
      </w:r>
      <w:r w:rsidRPr="00CB2F44">
        <w:rPr>
          <w:lang w:val="fr-FR"/>
        </w:rPr>
        <w:t>a aucune chance d</w:t>
      </w:r>
      <w:r w:rsidR="00B34C89">
        <w:rPr>
          <w:lang w:val="fr-FR"/>
        </w:rPr>
        <w:t>’</w:t>
      </w:r>
      <w:r w:rsidRPr="00CB2F44">
        <w:rPr>
          <w:lang w:val="fr-FR"/>
        </w:rPr>
        <w:t>aboutir devant la Cour suprême.</w:t>
      </w:r>
      <w:bookmarkStart w:id="4" w:name="_Hlk36718575"/>
      <w:bookmarkStart w:id="5" w:name="_Hlk36560888"/>
      <w:bookmarkEnd w:id="4"/>
      <w:bookmarkEnd w:id="5"/>
    </w:p>
    <w:p w14:paraId="60FF90E6" w14:textId="7AACB38D" w:rsidR="00CB2F44" w:rsidRPr="00CB2F44" w:rsidRDefault="00CB2F44" w:rsidP="00371CE4">
      <w:pPr>
        <w:pStyle w:val="SingleTxt"/>
        <w:numPr>
          <w:ilvl w:val="0"/>
          <w:numId w:val="18"/>
        </w:numPr>
        <w:spacing w:line="240" w:lineRule="exact"/>
        <w:rPr>
          <w:lang w:val="fr-FR"/>
        </w:rPr>
      </w:pPr>
      <w:r w:rsidRPr="00CB2F44">
        <w:rPr>
          <w:lang w:val="fr-FR"/>
        </w:rPr>
        <w:t>L</w:t>
      </w:r>
      <w:r w:rsidR="00B34C89">
        <w:rPr>
          <w:lang w:val="fr-FR"/>
        </w:rPr>
        <w:t>’</w:t>
      </w:r>
      <w:r w:rsidRPr="00CB2F44">
        <w:rPr>
          <w:lang w:val="fr-FR"/>
        </w:rPr>
        <w:t>auteure prend également note de l</w:t>
      </w:r>
      <w:r w:rsidR="00B34C89">
        <w:rPr>
          <w:lang w:val="fr-FR"/>
        </w:rPr>
        <w:t>’</w:t>
      </w:r>
      <w:r w:rsidRPr="00CB2F44">
        <w:rPr>
          <w:lang w:val="fr-FR"/>
        </w:rPr>
        <w:t>affirmation de l</w:t>
      </w:r>
      <w:r w:rsidR="00B34C89">
        <w:rPr>
          <w:lang w:val="fr-FR"/>
        </w:rPr>
        <w:t>’</w:t>
      </w:r>
      <w:r w:rsidRPr="00CB2F44">
        <w:rPr>
          <w:lang w:val="fr-FR"/>
        </w:rPr>
        <w:t>État partie selon laquelle elle aurait dû engager une action en justice contre sa compagnie d</w:t>
      </w:r>
      <w:r w:rsidR="00B34C89">
        <w:rPr>
          <w:lang w:val="fr-FR"/>
        </w:rPr>
        <w:t>’</w:t>
      </w:r>
      <w:r w:rsidRPr="00CB2F44">
        <w:rPr>
          <w:lang w:val="fr-FR"/>
        </w:rPr>
        <w:t>assurance concernant les dommages résultant de la destruction de la maison par l</w:t>
      </w:r>
      <w:r w:rsidR="00B34C89">
        <w:rPr>
          <w:lang w:val="fr-FR"/>
        </w:rPr>
        <w:t>’</w:t>
      </w:r>
      <w:r w:rsidRPr="00CB2F44">
        <w:rPr>
          <w:lang w:val="fr-FR"/>
        </w:rPr>
        <w:t>incendie provoqué par son ex-mari. Elle fait valoir qu</w:t>
      </w:r>
      <w:r w:rsidR="00B34C89">
        <w:rPr>
          <w:lang w:val="fr-FR"/>
        </w:rPr>
        <w:t>’</w:t>
      </w:r>
      <w:r w:rsidRPr="00CB2F44">
        <w:rPr>
          <w:lang w:val="fr-FR"/>
        </w:rPr>
        <w:t>une telle plainte serait dirigée contre une société de droit privé donnée et ne permettrait pas de remédier aux omissions et aux lacunes des organes publics concernés.</w:t>
      </w:r>
    </w:p>
    <w:p w14:paraId="4766AE5B" w14:textId="6279D9C3" w:rsidR="00CB2F44" w:rsidRDefault="00CB2F44" w:rsidP="00371CE4">
      <w:pPr>
        <w:pStyle w:val="SingleTxt"/>
        <w:numPr>
          <w:ilvl w:val="0"/>
          <w:numId w:val="18"/>
        </w:numPr>
        <w:spacing w:line="240" w:lineRule="exact"/>
        <w:rPr>
          <w:lang w:val="fr-FR"/>
        </w:rPr>
      </w:pPr>
      <w:r w:rsidRPr="00CB2F44">
        <w:rPr>
          <w:lang w:val="fr-FR"/>
        </w:rPr>
        <w:t>En outre, l</w:t>
      </w:r>
      <w:r w:rsidR="00B34C89">
        <w:rPr>
          <w:lang w:val="fr-FR"/>
        </w:rPr>
        <w:t>’</w:t>
      </w:r>
      <w:r w:rsidRPr="00CB2F44">
        <w:rPr>
          <w:lang w:val="fr-FR"/>
        </w:rPr>
        <w:t>auteure prend note de l</w:t>
      </w:r>
      <w:r w:rsidR="00B34C89">
        <w:rPr>
          <w:lang w:val="fr-FR"/>
        </w:rPr>
        <w:t>’</w:t>
      </w:r>
      <w:r w:rsidRPr="00CB2F44">
        <w:rPr>
          <w:lang w:val="fr-FR"/>
        </w:rPr>
        <w:t>affirmation de l</w:t>
      </w:r>
      <w:r w:rsidR="00B34C89">
        <w:rPr>
          <w:lang w:val="fr-FR"/>
        </w:rPr>
        <w:t>’</w:t>
      </w:r>
      <w:r w:rsidRPr="00CB2F44">
        <w:rPr>
          <w:lang w:val="fr-FR"/>
        </w:rPr>
        <w:t>État partie selon laquelle elle aurait dû porter plainte pour discrimination. Elle signale qu</w:t>
      </w:r>
      <w:r w:rsidR="00B34C89">
        <w:rPr>
          <w:lang w:val="fr-FR"/>
        </w:rPr>
        <w:t>’</w:t>
      </w:r>
      <w:r w:rsidRPr="00CB2F44">
        <w:rPr>
          <w:lang w:val="fr-FR"/>
        </w:rPr>
        <w:t>elle a engagé une action en justice contre l</w:t>
      </w:r>
      <w:r w:rsidR="00B34C89">
        <w:rPr>
          <w:lang w:val="fr-FR"/>
        </w:rPr>
        <w:t>’</w:t>
      </w:r>
      <w:r w:rsidRPr="00CB2F44">
        <w:rPr>
          <w:lang w:val="fr-FR"/>
        </w:rPr>
        <w:t>État en vertu de l</w:t>
      </w:r>
      <w:r w:rsidR="00B34C89">
        <w:rPr>
          <w:lang w:val="fr-FR"/>
        </w:rPr>
        <w:t>’</w:t>
      </w:r>
      <w:r w:rsidRPr="00CB2F44">
        <w:rPr>
          <w:lang w:val="fr-FR"/>
        </w:rPr>
        <w:t>article 417 du Code civil. Dans le cadre de ces procédures, les juridictions ont constaté que les autorités publiques avaient commis des omissions et que leurs actions présentaient certaines lacunes et irrégularités</w:t>
      </w:r>
      <w:r w:rsidR="00B34C89">
        <w:rPr>
          <w:lang w:val="fr-FR"/>
        </w:rPr>
        <w:t> ;</w:t>
      </w:r>
      <w:r w:rsidRPr="00CB2F44">
        <w:rPr>
          <w:lang w:val="fr-FR"/>
        </w:rPr>
        <w:t xml:space="preserve"> toutefois, elles ont conclu qu</w:t>
      </w:r>
      <w:r w:rsidR="00B34C89">
        <w:rPr>
          <w:lang w:val="fr-FR"/>
        </w:rPr>
        <w:t>’</w:t>
      </w:r>
      <w:r w:rsidRPr="00CB2F44">
        <w:rPr>
          <w:lang w:val="fr-FR"/>
        </w:rPr>
        <w:t>il n</w:t>
      </w:r>
      <w:r w:rsidR="00B34C89">
        <w:rPr>
          <w:lang w:val="fr-FR"/>
        </w:rPr>
        <w:t>’</w:t>
      </w:r>
      <w:r w:rsidRPr="00CB2F44">
        <w:rPr>
          <w:lang w:val="fr-FR"/>
        </w:rPr>
        <w:t>y avait pas de lien de causalité entre ces actions et omissions et le fait que le mari de la requérante avait incendié la maison. En conséquence, la plainte de l</w:t>
      </w:r>
      <w:r w:rsidR="00B34C89">
        <w:rPr>
          <w:lang w:val="fr-FR"/>
        </w:rPr>
        <w:t>’</w:t>
      </w:r>
      <w:r w:rsidRPr="00CB2F44">
        <w:rPr>
          <w:lang w:val="fr-FR"/>
        </w:rPr>
        <w:t>auteure a été rejetée. Elle soutient que ce recours serait donc inefficace ou redondant au vu des résultats de la procédure qu</w:t>
      </w:r>
      <w:r w:rsidR="00B34C89">
        <w:rPr>
          <w:lang w:val="fr-FR"/>
        </w:rPr>
        <w:t>’</w:t>
      </w:r>
      <w:r w:rsidRPr="00CB2F44">
        <w:rPr>
          <w:lang w:val="fr-FR"/>
        </w:rPr>
        <w:t>elle a déjà engagée. Elle fait également remarquer que la discrimination fait partie intégrante de la violence fondée sur le genre. Il est donc redondant ou, en termes juridiques, excessivement formaliste d</w:t>
      </w:r>
      <w:r w:rsidR="00B34C89">
        <w:rPr>
          <w:lang w:val="fr-FR"/>
        </w:rPr>
        <w:t>’</w:t>
      </w:r>
      <w:r w:rsidRPr="00CB2F44">
        <w:rPr>
          <w:lang w:val="fr-FR"/>
        </w:rPr>
        <w:t>exiger que les victimes de violence fondée sur le genre invoquent expressément la discrimination dans leurs allégations. Elle fait valoir que, dans le cadre de l</w:t>
      </w:r>
      <w:r w:rsidR="00B34C89">
        <w:rPr>
          <w:lang w:val="fr-FR"/>
        </w:rPr>
        <w:t>’</w:t>
      </w:r>
      <w:r w:rsidRPr="00CB2F44">
        <w:rPr>
          <w:lang w:val="fr-FR"/>
        </w:rPr>
        <w:t>action en justice qu</w:t>
      </w:r>
      <w:r w:rsidR="00B34C89">
        <w:rPr>
          <w:lang w:val="fr-FR"/>
        </w:rPr>
        <w:t>’</w:t>
      </w:r>
      <w:r w:rsidRPr="00CB2F44">
        <w:rPr>
          <w:lang w:val="fr-FR"/>
        </w:rPr>
        <w:t>elle a intenté contre l</w:t>
      </w:r>
      <w:r w:rsidR="00B34C89">
        <w:rPr>
          <w:lang w:val="fr-FR"/>
        </w:rPr>
        <w:t>’</w:t>
      </w:r>
      <w:r w:rsidRPr="00CB2F44">
        <w:rPr>
          <w:lang w:val="fr-FR"/>
        </w:rPr>
        <w:t>État pour responsabilité délictuelle à l</w:t>
      </w:r>
      <w:r w:rsidR="00B34C89">
        <w:rPr>
          <w:lang w:val="fr-FR"/>
        </w:rPr>
        <w:t>’</w:t>
      </w:r>
      <w:r w:rsidRPr="00CB2F44">
        <w:rPr>
          <w:lang w:val="fr-FR"/>
        </w:rPr>
        <w:t>égard des préjudices qu</w:t>
      </w:r>
      <w:r w:rsidR="00B34C89">
        <w:rPr>
          <w:lang w:val="fr-FR"/>
        </w:rPr>
        <w:t>’</w:t>
      </w:r>
      <w:r w:rsidRPr="00CB2F44">
        <w:rPr>
          <w:lang w:val="fr-FR"/>
        </w:rPr>
        <w:t>elle a subis en tant que victime de violence domestique fondée sur le genre, ainsi que des allégations qu</w:t>
      </w:r>
      <w:r w:rsidR="00B34C89">
        <w:rPr>
          <w:lang w:val="fr-FR"/>
        </w:rPr>
        <w:t>’</w:t>
      </w:r>
      <w:r w:rsidRPr="00CB2F44">
        <w:rPr>
          <w:lang w:val="fr-FR"/>
        </w:rPr>
        <w:t>elle a présentées à ce titre, elle a implicitement soulevé la question de la discrimination résultant de l</w:t>
      </w:r>
      <w:r w:rsidR="00B34C89">
        <w:rPr>
          <w:lang w:val="fr-FR"/>
        </w:rPr>
        <w:t>’</w:t>
      </w:r>
      <w:r w:rsidRPr="00CB2F44">
        <w:rPr>
          <w:lang w:val="fr-FR"/>
        </w:rPr>
        <w:t>absence de protection adéquate et a donc épuisé tous les recours internes disponibles.</w:t>
      </w:r>
    </w:p>
    <w:p w14:paraId="77A3F730" w14:textId="684ED51C" w:rsidR="00371CE4" w:rsidRPr="00371CE4" w:rsidRDefault="00371CE4" w:rsidP="00371CE4">
      <w:pPr>
        <w:pStyle w:val="SingleTxt"/>
        <w:spacing w:after="0" w:line="120" w:lineRule="exact"/>
        <w:rPr>
          <w:sz w:val="10"/>
          <w:lang w:val="fr-FR"/>
        </w:rPr>
      </w:pPr>
    </w:p>
    <w:p w14:paraId="493BBAFD" w14:textId="00826BD9" w:rsidR="00CB2F44" w:rsidRDefault="00CB2F44" w:rsidP="00371C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2F44">
        <w:rPr>
          <w:lang w:val="fr-FR"/>
        </w:rPr>
        <w:lastRenderedPageBreak/>
        <w:tab/>
      </w:r>
      <w:r w:rsidRPr="00CB2F44">
        <w:rPr>
          <w:lang w:val="fr-FR"/>
        </w:rPr>
        <w:tab/>
        <w:t>Observations de l</w:t>
      </w:r>
      <w:r w:rsidR="00B34C89">
        <w:rPr>
          <w:lang w:val="fr-FR"/>
        </w:rPr>
        <w:t>’</w:t>
      </w:r>
      <w:r w:rsidRPr="00CB2F44">
        <w:rPr>
          <w:lang w:val="fr-FR"/>
        </w:rPr>
        <w:t>État partie sur le fond</w:t>
      </w:r>
    </w:p>
    <w:p w14:paraId="26700507" w14:textId="327DA2EE" w:rsidR="00371CE4" w:rsidRPr="00371CE4" w:rsidRDefault="00371CE4" w:rsidP="00371CE4">
      <w:pPr>
        <w:pStyle w:val="SingleTxt"/>
        <w:keepNext/>
        <w:spacing w:after="0" w:line="120" w:lineRule="exact"/>
        <w:rPr>
          <w:sz w:val="10"/>
          <w:lang w:val="fr-FR"/>
        </w:rPr>
      </w:pPr>
    </w:p>
    <w:p w14:paraId="13816543" w14:textId="6A9D639F" w:rsidR="00CB2F44" w:rsidRPr="00CB2F44" w:rsidRDefault="00CB2F44" w:rsidP="00371CE4">
      <w:pPr>
        <w:pStyle w:val="SingleTxt"/>
        <w:numPr>
          <w:ilvl w:val="0"/>
          <w:numId w:val="19"/>
        </w:numPr>
        <w:rPr>
          <w:lang w:val="fr-FR"/>
        </w:rPr>
      </w:pPr>
      <w:r w:rsidRPr="00CB2F44">
        <w:rPr>
          <w:lang w:val="fr-FR"/>
        </w:rPr>
        <w:t>Le 24 novembre 2018, l</w:t>
      </w:r>
      <w:r w:rsidR="00B34C89">
        <w:rPr>
          <w:lang w:val="fr-FR"/>
        </w:rPr>
        <w:t>’</w:t>
      </w:r>
      <w:r w:rsidRPr="00CB2F44">
        <w:rPr>
          <w:lang w:val="fr-FR"/>
        </w:rPr>
        <w:t>État partie a présenté ses observations sur le fond, réitérant sa précédente observation concernant l</w:t>
      </w:r>
      <w:r w:rsidR="00B34C89">
        <w:rPr>
          <w:lang w:val="fr-FR"/>
        </w:rPr>
        <w:t>’</w:t>
      </w:r>
      <w:r w:rsidRPr="00CB2F44">
        <w:rPr>
          <w:lang w:val="fr-FR"/>
        </w:rPr>
        <w:t>irrecevabilité de la communication.</w:t>
      </w:r>
    </w:p>
    <w:p w14:paraId="66167DA6" w14:textId="3B567B04" w:rsidR="00CB2F44" w:rsidRPr="00CB2F44" w:rsidRDefault="00CB2F44" w:rsidP="00371CE4">
      <w:pPr>
        <w:pStyle w:val="SingleTxt"/>
        <w:numPr>
          <w:ilvl w:val="0"/>
          <w:numId w:val="19"/>
        </w:numPr>
        <w:spacing w:line="240" w:lineRule="exact"/>
        <w:rPr>
          <w:lang w:val="fr-FR"/>
        </w:rPr>
      </w:pPr>
      <w:r w:rsidRPr="00CB2F44">
        <w:rPr>
          <w:lang w:val="fr-FR"/>
        </w:rPr>
        <w:t>Les violations de la Convention auraient eu lieu entre 2004 et 2006. Depuis lors, l</w:t>
      </w:r>
      <w:r w:rsidR="00B34C89">
        <w:rPr>
          <w:lang w:val="fr-FR"/>
        </w:rPr>
        <w:t>’</w:t>
      </w:r>
      <w:r w:rsidRPr="00CB2F44">
        <w:rPr>
          <w:lang w:val="fr-FR"/>
        </w:rPr>
        <w:t>État partie a mis en place un cadre juridique global pour assurer la protection la plus large possible des femmes contre la violence domestique. Le droit pénal, le droit de la famille et les politiques sociales ont été modifiés à plusieurs reprises. Toutefois, l</w:t>
      </w:r>
      <w:r w:rsidR="00B34C89">
        <w:rPr>
          <w:lang w:val="fr-FR"/>
        </w:rPr>
        <w:t>’</w:t>
      </w:r>
      <w:r w:rsidRPr="00CB2F44">
        <w:rPr>
          <w:lang w:val="fr-FR"/>
        </w:rPr>
        <w:t>État partie reconnaît que jusqu</w:t>
      </w:r>
      <w:r w:rsidR="00B34C89">
        <w:rPr>
          <w:lang w:val="fr-FR"/>
        </w:rPr>
        <w:t>’</w:t>
      </w:r>
      <w:r w:rsidRPr="00CB2F44">
        <w:rPr>
          <w:lang w:val="fr-FR"/>
        </w:rPr>
        <w:t>à l</w:t>
      </w:r>
      <w:r w:rsidR="00B34C89">
        <w:rPr>
          <w:lang w:val="fr-FR"/>
        </w:rPr>
        <w:t>’</w:t>
      </w:r>
      <w:r w:rsidRPr="00CB2F44">
        <w:rPr>
          <w:lang w:val="fr-FR"/>
        </w:rPr>
        <w:t>entrée en vigueur de la loi de 2005 relative à la lutte contre la violence domestique, son système juridique ne comptait aucun acte de ce niveau dans ce domaine.</w:t>
      </w:r>
    </w:p>
    <w:p w14:paraId="07DF3FFF" w14:textId="7FBA0A16" w:rsidR="00CB2F44" w:rsidRPr="00CB2F44" w:rsidRDefault="00CB2F44" w:rsidP="00371CE4">
      <w:pPr>
        <w:pStyle w:val="SingleTxt"/>
        <w:numPr>
          <w:ilvl w:val="0"/>
          <w:numId w:val="19"/>
        </w:numPr>
        <w:spacing w:line="240" w:lineRule="exact"/>
        <w:rPr>
          <w:lang w:val="fr-FR"/>
        </w:rPr>
      </w:pPr>
      <w:r w:rsidRPr="00CB2F44">
        <w:rPr>
          <w:lang w:val="fr-FR"/>
        </w:rPr>
        <w:t>L</w:t>
      </w:r>
      <w:r w:rsidR="00B34C89">
        <w:rPr>
          <w:lang w:val="fr-FR"/>
        </w:rPr>
        <w:t>’</w:t>
      </w:r>
      <w:r w:rsidRPr="00CB2F44">
        <w:rPr>
          <w:lang w:val="fr-FR"/>
        </w:rPr>
        <w:t>État partie soutient qu</w:t>
      </w:r>
      <w:r w:rsidR="00B34C89">
        <w:rPr>
          <w:lang w:val="fr-FR"/>
        </w:rPr>
        <w:t>’</w:t>
      </w:r>
      <w:r w:rsidRPr="00CB2F44">
        <w:rPr>
          <w:lang w:val="fr-FR"/>
        </w:rPr>
        <w:t>à l</w:t>
      </w:r>
      <w:r w:rsidR="00B34C89">
        <w:rPr>
          <w:lang w:val="fr-FR"/>
        </w:rPr>
        <w:t>’</w:t>
      </w:r>
      <w:r w:rsidRPr="00CB2F44">
        <w:rPr>
          <w:lang w:val="fr-FR"/>
        </w:rPr>
        <w:t>époque considérée, la procédure des « cartes bleues » (</w:t>
      </w:r>
      <w:r w:rsidRPr="00CB2F44">
        <w:rPr>
          <w:i/>
          <w:iCs/>
          <w:lang w:val="fr-FR"/>
        </w:rPr>
        <w:t>Niebieskie Karty</w:t>
      </w:r>
      <w:r w:rsidRPr="00CB2F44">
        <w:rPr>
          <w:lang w:val="fr-FR"/>
        </w:rPr>
        <w:t>) engagée lors d</w:t>
      </w:r>
      <w:r w:rsidR="00B34C89">
        <w:rPr>
          <w:lang w:val="fr-FR"/>
        </w:rPr>
        <w:t>’</w:t>
      </w:r>
      <w:r w:rsidRPr="00CB2F44">
        <w:rPr>
          <w:lang w:val="fr-FR"/>
        </w:rPr>
        <w:t>interventions à domicile dans les cas de violence domestique était régie par l</w:t>
      </w:r>
      <w:r w:rsidR="00B34C89">
        <w:rPr>
          <w:lang w:val="fr-FR"/>
        </w:rPr>
        <w:t>’</w:t>
      </w:r>
      <w:r w:rsidRPr="00CB2F44">
        <w:rPr>
          <w:lang w:val="fr-FR"/>
        </w:rPr>
        <w:t>ordonnance n</w:t>
      </w:r>
      <w:r w:rsidRPr="00CB2F44">
        <w:rPr>
          <w:vertAlign w:val="superscript"/>
          <w:lang w:val="fr-FR"/>
        </w:rPr>
        <w:t>o</w:t>
      </w:r>
      <w:r w:rsidRPr="00CB2F44">
        <w:rPr>
          <w:lang w:val="fr-FR"/>
        </w:rPr>
        <w:t> 21 du directeur général de la police du 31 décembre 2002</w:t>
      </w:r>
      <w:r w:rsidRPr="00CB2F44">
        <w:rPr>
          <w:vertAlign w:val="superscript"/>
          <w:lang w:val="fr-CH"/>
        </w:rPr>
        <w:footnoteReference w:id="12"/>
      </w:r>
      <w:r w:rsidRPr="00CB2F44">
        <w:rPr>
          <w:lang w:val="fr-FR"/>
        </w:rPr>
        <w:t>. Toutefois, s</w:t>
      </w:r>
      <w:r w:rsidR="00B34C89">
        <w:rPr>
          <w:lang w:val="fr-FR"/>
        </w:rPr>
        <w:t>’</w:t>
      </w:r>
      <w:r w:rsidRPr="00CB2F44">
        <w:rPr>
          <w:lang w:val="fr-FR"/>
        </w:rPr>
        <w:t>il n</w:t>
      </w:r>
      <w:r w:rsidR="00B34C89">
        <w:rPr>
          <w:lang w:val="fr-FR"/>
        </w:rPr>
        <w:t>’</w:t>
      </w:r>
      <w:r w:rsidRPr="00CB2F44">
        <w:rPr>
          <w:lang w:val="fr-FR"/>
        </w:rPr>
        <w:t>y avait pas d</w:t>
      </w:r>
      <w:r w:rsidR="00B34C89">
        <w:rPr>
          <w:lang w:val="fr-FR"/>
        </w:rPr>
        <w:t>’</w:t>
      </w:r>
      <w:r w:rsidRPr="00CB2F44">
        <w:rPr>
          <w:lang w:val="fr-FR"/>
        </w:rPr>
        <w:t>intervention à domicile et qu</w:t>
      </w:r>
      <w:r w:rsidR="00B34C89">
        <w:rPr>
          <w:lang w:val="fr-FR"/>
        </w:rPr>
        <w:t>’</w:t>
      </w:r>
      <w:r w:rsidRPr="00CB2F44">
        <w:rPr>
          <w:lang w:val="fr-FR"/>
        </w:rPr>
        <w:t>une victime de violence domestique se rendait elle-même au poste pour signaler les faits, le personnel de police n</w:t>
      </w:r>
      <w:r w:rsidR="00B34C89">
        <w:rPr>
          <w:lang w:val="fr-FR"/>
        </w:rPr>
        <w:t>’</w:t>
      </w:r>
      <w:r w:rsidRPr="00CB2F44">
        <w:rPr>
          <w:lang w:val="fr-FR"/>
        </w:rPr>
        <w:t>était pas tenu de remplir le formulaire de la « carte bleue – A ». L</w:t>
      </w:r>
      <w:r w:rsidR="00B34C89">
        <w:rPr>
          <w:lang w:val="fr-FR"/>
        </w:rPr>
        <w:t>’</w:t>
      </w:r>
      <w:r w:rsidRPr="00CB2F44">
        <w:rPr>
          <w:lang w:val="fr-FR"/>
        </w:rPr>
        <w:t>obligation de coopérer avec les organismes publics, les administrations locales et les organisations de la société civile incombait au seul fonctionnaire de police de quartier chargé du dossier. Au cours des 15 dernières années, la procédure des « cartes bleues » a été modifiée de manière à couvrir toutes les démarches entamées et accomplies par les représentants des services d</w:t>
      </w:r>
      <w:r w:rsidR="00B34C89">
        <w:rPr>
          <w:lang w:val="fr-FR"/>
        </w:rPr>
        <w:t>’</w:t>
      </w:r>
      <w:r w:rsidRPr="00CB2F44">
        <w:rPr>
          <w:lang w:val="fr-FR"/>
        </w:rPr>
        <w:t>assistance sociale, les comités municipaux chargés de la lutte contre les problèmes liés à l</w:t>
      </w:r>
      <w:r w:rsidR="00B34C89">
        <w:rPr>
          <w:lang w:val="fr-FR"/>
        </w:rPr>
        <w:t>’</w:t>
      </w:r>
      <w:r w:rsidRPr="00CB2F44">
        <w:rPr>
          <w:lang w:val="fr-FR"/>
        </w:rPr>
        <w:t>alcool, la police et le personnel éducatif et médical lorsqu</w:t>
      </w:r>
      <w:r w:rsidR="00B34C89">
        <w:rPr>
          <w:lang w:val="fr-FR"/>
        </w:rPr>
        <w:t>’</w:t>
      </w:r>
      <w:r w:rsidRPr="00CB2F44">
        <w:rPr>
          <w:lang w:val="fr-FR"/>
        </w:rPr>
        <w:t>il existe des raisons valables de croire que des actes de violence domestique ont été commis.</w:t>
      </w:r>
    </w:p>
    <w:p w14:paraId="1AA6C253" w14:textId="1F21F2B1" w:rsidR="00CB2F44" w:rsidRPr="00CB2F44" w:rsidRDefault="00CB2F44" w:rsidP="00371CE4">
      <w:pPr>
        <w:pStyle w:val="SingleTxt"/>
        <w:numPr>
          <w:ilvl w:val="0"/>
          <w:numId w:val="19"/>
        </w:numPr>
        <w:spacing w:line="240" w:lineRule="exact"/>
        <w:rPr>
          <w:lang w:val="fr-FR"/>
        </w:rPr>
      </w:pPr>
      <w:r w:rsidRPr="00CB2F44">
        <w:rPr>
          <w:lang w:val="fr-FR"/>
        </w:rPr>
        <w:t>La loi relative à la lutte contre la violence domestique, entrée en vigueur le 21 novembre 2005 et modifiée en 2010, est le premier texte législatif fondamental qui réglemente de manière exhaustive les questions liées à la prévention de la violence domestique. L</w:t>
      </w:r>
      <w:r w:rsidR="00B34C89">
        <w:rPr>
          <w:lang w:val="fr-FR"/>
        </w:rPr>
        <w:t>’</w:t>
      </w:r>
      <w:r w:rsidRPr="00CB2F44">
        <w:rPr>
          <w:lang w:val="fr-FR"/>
        </w:rPr>
        <w:t>État partie fournit une description détaillée du champ d</w:t>
      </w:r>
      <w:r w:rsidR="00B34C89">
        <w:rPr>
          <w:lang w:val="fr-FR"/>
        </w:rPr>
        <w:t>’</w:t>
      </w:r>
      <w:r w:rsidRPr="00CB2F44">
        <w:rPr>
          <w:lang w:val="fr-FR"/>
        </w:rPr>
        <w:t>application de la loi, des définitions de la violence domestique et des membres de la famille, de la réglementation du système de prévention, des responsabilités et des tâches qui incombent aux organes de l</w:t>
      </w:r>
      <w:r w:rsidR="00B34C89">
        <w:rPr>
          <w:lang w:val="fr-FR"/>
        </w:rPr>
        <w:t>’</w:t>
      </w:r>
      <w:r w:rsidRPr="00CB2F44">
        <w:rPr>
          <w:lang w:val="fr-FR"/>
        </w:rPr>
        <w:t>administration centrale et aux services de l</w:t>
      </w:r>
      <w:r w:rsidR="00B34C89">
        <w:rPr>
          <w:lang w:val="fr-FR"/>
        </w:rPr>
        <w:t>’</w:t>
      </w:r>
      <w:r w:rsidRPr="00CB2F44">
        <w:rPr>
          <w:lang w:val="fr-FR"/>
        </w:rPr>
        <w:t>administration locale, ainsi que de l</w:t>
      </w:r>
      <w:r w:rsidR="00B34C89">
        <w:rPr>
          <w:lang w:val="fr-FR"/>
        </w:rPr>
        <w:t>’</w:t>
      </w:r>
      <w:r w:rsidRPr="00CB2F44">
        <w:rPr>
          <w:lang w:val="fr-FR"/>
        </w:rPr>
        <w:t>aide apportée aux personnes touchées par la violence domestique. Depuis l</w:t>
      </w:r>
      <w:r w:rsidR="00B34C89">
        <w:rPr>
          <w:lang w:val="fr-FR"/>
        </w:rPr>
        <w:t>’</w:t>
      </w:r>
      <w:r w:rsidRPr="00CB2F44">
        <w:rPr>
          <w:lang w:val="fr-FR"/>
        </w:rPr>
        <w:t>entrée en vigueur, le 1</w:t>
      </w:r>
      <w:r w:rsidRPr="00CB2F44">
        <w:rPr>
          <w:vertAlign w:val="superscript"/>
          <w:lang w:val="fr-FR"/>
        </w:rPr>
        <w:t>er</w:t>
      </w:r>
      <w:r w:rsidRPr="00CB2F44">
        <w:rPr>
          <w:lang w:val="fr-FR"/>
        </w:rPr>
        <w:t> août 2010, de la version modifiée de la loi, une victime de violence domestique peut demander à une juridiction d</w:t>
      </w:r>
      <w:r w:rsidR="00B34C89">
        <w:rPr>
          <w:lang w:val="fr-FR"/>
        </w:rPr>
        <w:t>’</w:t>
      </w:r>
      <w:r w:rsidRPr="00CB2F44">
        <w:rPr>
          <w:lang w:val="fr-FR"/>
        </w:rPr>
        <w:t>ordonner à l</w:t>
      </w:r>
      <w:r w:rsidR="00B34C89">
        <w:rPr>
          <w:lang w:val="fr-FR"/>
        </w:rPr>
        <w:t>’</w:t>
      </w:r>
      <w:r w:rsidRPr="00CB2F44">
        <w:rPr>
          <w:lang w:val="fr-FR"/>
        </w:rPr>
        <w:t xml:space="preserve">auteur de ces actes de quitter la résidence commune. En outre, le nouvel </w:t>
      </w:r>
      <w:bookmarkStart w:id="6" w:name="_Hlk43110296"/>
      <w:r w:rsidRPr="00CB2F44">
        <w:rPr>
          <w:lang w:val="fr-FR"/>
        </w:rPr>
        <w:t>article 275a</w:t>
      </w:r>
      <w:bookmarkEnd w:id="6"/>
      <w:r w:rsidRPr="00CB2F44">
        <w:rPr>
          <w:lang w:val="fr-FR"/>
        </w:rPr>
        <w:t xml:space="preserve"> du Code de procédure pénale prévoit des mesures préventives qui permettent d</w:t>
      </w:r>
      <w:r w:rsidR="00B34C89">
        <w:rPr>
          <w:lang w:val="fr-FR"/>
        </w:rPr>
        <w:t>’</w:t>
      </w:r>
      <w:r w:rsidRPr="00CB2F44">
        <w:rPr>
          <w:lang w:val="fr-FR"/>
        </w:rPr>
        <w:t>ordonner à une personne accusée d</w:t>
      </w:r>
      <w:r w:rsidR="00B34C89">
        <w:rPr>
          <w:lang w:val="fr-FR"/>
        </w:rPr>
        <w:t>’</w:t>
      </w:r>
      <w:r w:rsidRPr="00CB2F44">
        <w:rPr>
          <w:lang w:val="fr-FR"/>
        </w:rPr>
        <w:t>avoir commis une infraction violente contre un membre de son ménage de quitter la résidence qu</w:t>
      </w:r>
      <w:r w:rsidR="00B34C89">
        <w:rPr>
          <w:lang w:val="fr-FR"/>
        </w:rPr>
        <w:t>’</w:t>
      </w:r>
      <w:r w:rsidRPr="00CB2F44">
        <w:rPr>
          <w:lang w:val="fr-FR"/>
        </w:rPr>
        <w:t>elle partage avec la partie lésée.</w:t>
      </w:r>
    </w:p>
    <w:p w14:paraId="0A79B5D5" w14:textId="74683E26" w:rsidR="00CB2F44" w:rsidRPr="00CB2F44" w:rsidRDefault="00CB2F44" w:rsidP="00371CE4">
      <w:pPr>
        <w:pStyle w:val="SingleTxt"/>
        <w:numPr>
          <w:ilvl w:val="0"/>
          <w:numId w:val="19"/>
        </w:numPr>
        <w:spacing w:line="240" w:lineRule="exact"/>
        <w:rPr>
          <w:lang w:val="fr-FR"/>
        </w:rPr>
      </w:pPr>
      <w:r w:rsidRPr="00CB2F44">
        <w:rPr>
          <w:lang w:val="fr-FR"/>
        </w:rPr>
        <w:t>L</w:t>
      </w:r>
      <w:r w:rsidR="00B34C89">
        <w:rPr>
          <w:lang w:val="fr-FR"/>
        </w:rPr>
        <w:t>’</w:t>
      </w:r>
      <w:r w:rsidRPr="00CB2F44">
        <w:rPr>
          <w:lang w:val="fr-FR"/>
        </w:rPr>
        <w:t>État partie mentionne également la modification de la loi sur la police du 6 avril 1990 par l</w:t>
      </w:r>
      <w:r w:rsidR="00B34C89">
        <w:rPr>
          <w:lang w:val="fr-FR"/>
        </w:rPr>
        <w:t>’</w:t>
      </w:r>
      <w:r w:rsidRPr="00CB2F44">
        <w:rPr>
          <w:lang w:val="fr-FR"/>
        </w:rPr>
        <w:t>ajout de l</w:t>
      </w:r>
      <w:r w:rsidR="00B34C89">
        <w:rPr>
          <w:lang w:val="fr-FR"/>
        </w:rPr>
        <w:t>’</w:t>
      </w:r>
      <w:r w:rsidRPr="00CB2F44">
        <w:rPr>
          <w:lang w:val="fr-FR"/>
        </w:rPr>
        <w:t>article 15a, en vertu duquel un policier peut détenir un auteur de violences domestiques qui constitue une menace directe pour la vie et la santé d</w:t>
      </w:r>
      <w:r w:rsidR="00B34C89">
        <w:rPr>
          <w:lang w:val="fr-FR"/>
        </w:rPr>
        <w:t>’</w:t>
      </w:r>
      <w:r w:rsidRPr="00CB2F44">
        <w:rPr>
          <w:lang w:val="fr-FR"/>
        </w:rPr>
        <w:t>une victime.</w:t>
      </w:r>
    </w:p>
    <w:p w14:paraId="7A417162" w14:textId="5E252D71" w:rsidR="00CB2F44" w:rsidRPr="00CB2F44" w:rsidRDefault="00CB2F44" w:rsidP="00371CE4">
      <w:pPr>
        <w:pStyle w:val="SingleTxt"/>
        <w:numPr>
          <w:ilvl w:val="0"/>
          <w:numId w:val="19"/>
        </w:numPr>
        <w:spacing w:line="240" w:lineRule="exact"/>
        <w:rPr>
          <w:lang w:val="fr-FR"/>
        </w:rPr>
      </w:pPr>
      <w:r w:rsidRPr="00CB2F44">
        <w:rPr>
          <w:lang w:val="fr-FR"/>
        </w:rPr>
        <w:t>Entré en vigueur le 18 octobre 2011, le règlement du Conseil des ministres du 13 septembre 2011 relatif à la procédure des « cartes bleues » et aux formulaires associés</w:t>
      </w:r>
      <w:r w:rsidRPr="00CB2F44">
        <w:rPr>
          <w:vertAlign w:val="superscript"/>
          <w:lang w:val="fr-CH"/>
        </w:rPr>
        <w:footnoteReference w:id="13"/>
      </w:r>
      <w:r w:rsidRPr="00CB2F44">
        <w:rPr>
          <w:lang w:val="fr-FR"/>
        </w:rPr>
        <w:t xml:space="preserve"> détermine les domaines de compétences des cinq entités qui participent à la procédure. L</w:t>
      </w:r>
      <w:r w:rsidR="00B34C89">
        <w:rPr>
          <w:lang w:val="fr-FR"/>
        </w:rPr>
        <w:t>’</w:t>
      </w:r>
      <w:r w:rsidRPr="00CB2F44">
        <w:rPr>
          <w:lang w:val="fr-FR"/>
        </w:rPr>
        <w:t>État partie explique en détail la démarche et les interventions des fonctionnaires de police dans le cadre de cette procédure.</w:t>
      </w:r>
    </w:p>
    <w:p w14:paraId="3BA7C7F8" w14:textId="534D28C8" w:rsidR="00CB2F44" w:rsidRPr="00CB2F44" w:rsidRDefault="00CB2F44" w:rsidP="00371CE4">
      <w:pPr>
        <w:pStyle w:val="SingleTxt"/>
        <w:numPr>
          <w:ilvl w:val="0"/>
          <w:numId w:val="19"/>
        </w:numPr>
        <w:spacing w:line="240" w:lineRule="exact"/>
        <w:rPr>
          <w:lang w:val="fr-FR"/>
        </w:rPr>
      </w:pPr>
      <w:r w:rsidRPr="00CB2F44">
        <w:rPr>
          <w:lang w:val="fr-FR"/>
        </w:rPr>
        <w:lastRenderedPageBreak/>
        <w:t>Le lancement des activités prévues par la loi relative à la lutte contre la violence domestique figure dans les programmes nationaux de prévention de la violence domestique pour les périodes 2006-2016 et 2014-2020.</w:t>
      </w:r>
    </w:p>
    <w:p w14:paraId="2EAF493D" w14:textId="52226D9A" w:rsidR="00CB2F44" w:rsidRPr="00CB2F44" w:rsidRDefault="00CB2F44" w:rsidP="00371CE4">
      <w:pPr>
        <w:pStyle w:val="SingleTxt"/>
        <w:numPr>
          <w:ilvl w:val="0"/>
          <w:numId w:val="19"/>
        </w:numPr>
        <w:spacing w:line="240" w:lineRule="exact"/>
        <w:rPr>
          <w:lang w:val="fr-FR"/>
        </w:rPr>
      </w:pPr>
      <w:r w:rsidRPr="00CB2F44">
        <w:rPr>
          <w:lang w:val="fr-FR"/>
        </w:rPr>
        <w:t>À l</w:t>
      </w:r>
      <w:r w:rsidR="00B34C89">
        <w:rPr>
          <w:lang w:val="fr-FR"/>
        </w:rPr>
        <w:t>’</w:t>
      </w:r>
      <w:r w:rsidRPr="00CB2F44">
        <w:rPr>
          <w:lang w:val="fr-FR"/>
        </w:rPr>
        <w:t>époque considérée, des dispositions générales aux fins de la protection des victimes de violence domestique étaient en vigueur, notamment celles figurant au chapitre XXVI du Code pénal concernant les infractions contre la famille et la tutelle. En outre, conformément au paragraphe 2 de l</w:t>
      </w:r>
      <w:r w:rsidR="00B34C89">
        <w:rPr>
          <w:lang w:val="fr-FR"/>
        </w:rPr>
        <w:t>’</w:t>
      </w:r>
      <w:r w:rsidRPr="00CB2F44">
        <w:rPr>
          <w:lang w:val="fr-FR"/>
        </w:rPr>
        <w:t>article 58 du Code de la famille et de la tutelle, qui était en vigueur au moment des faits, dans le cadre d</w:t>
      </w:r>
      <w:r w:rsidR="00B34C89">
        <w:rPr>
          <w:lang w:val="fr-FR"/>
        </w:rPr>
        <w:t>’</w:t>
      </w:r>
      <w:r w:rsidRPr="00CB2F44">
        <w:rPr>
          <w:lang w:val="fr-FR"/>
        </w:rPr>
        <w:t>une procédure de divorce, dans des cas exceptionnels, lorsque le comportement manifestement répréhensible d</w:t>
      </w:r>
      <w:r w:rsidR="00B34C89">
        <w:rPr>
          <w:lang w:val="fr-FR"/>
        </w:rPr>
        <w:t>’</w:t>
      </w:r>
      <w:r w:rsidRPr="00CB2F44">
        <w:rPr>
          <w:lang w:val="fr-FR"/>
        </w:rPr>
        <w:t>un conjoint rend la cohabitation impossible, une juridiction peut ordonner l</w:t>
      </w:r>
      <w:r w:rsidR="00B34C89">
        <w:rPr>
          <w:lang w:val="fr-FR"/>
        </w:rPr>
        <w:t>’</w:t>
      </w:r>
      <w:r w:rsidRPr="00CB2F44">
        <w:rPr>
          <w:lang w:val="fr-FR"/>
        </w:rPr>
        <w:t>expulsion de ce dernier, à la demande de l</w:t>
      </w:r>
      <w:r w:rsidR="00B34C89">
        <w:rPr>
          <w:lang w:val="fr-FR"/>
        </w:rPr>
        <w:t>’</w:t>
      </w:r>
      <w:r w:rsidRPr="00CB2F44">
        <w:rPr>
          <w:lang w:val="fr-FR"/>
        </w:rPr>
        <w:t>autre conjoint. L</w:t>
      </w:r>
      <w:r w:rsidR="00B34C89">
        <w:rPr>
          <w:lang w:val="fr-FR"/>
        </w:rPr>
        <w:t>’</w:t>
      </w:r>
      <w:r w:rsidRPr="00CB2F44">
        <w:rPr>
          <w:lang w:val="fr-FR"/>
        </w:rPr>
        <w:t>État partie souligne qu</w:t>
      </w:r>
      <w:r w:rsidR="00B34C89">
        <w:rPr>
          <w:lang w:val="fr-FR"/>
        </w:rPr>
        <w:t>’</w:t>
      </w:r>
      <w:r w:rsidRPr="00CB2F44">
        <w:rPr>
          <w:lang w:val="fr-FR"/>
        </w:rPr>
        <w:t>il ressort du dossier de la procédure de divorce que l</w:t>
      </w:r>
      <w:r w:rsidR="00B34C89">
        <w:rPr>
          <w:lang w:val="fr-FR"/>
        </w:rPr>
        <w:t>’</w:t>
      </w:r>
      <w:r w:rsidRPr="00CB2F44">
        <w:rPr>
          <w:lang w:val="fr-FR"/>
        </w:rPr>
        <w:t>auteure n</w:t>
      </w:r>
      <w:r w:rsidR="00B34C89">
        <w:rPr>
          <w:lang w:val="fr-FR"/>
        </w:rPr>
        <w:t>’</w:t>
      </w:r>
      <w:r w:rsidRPr="00CB2F44">
        <w:rPr>
          <w:lang w:val="fr-FR"/>
        </w:rPr>
        <w:t>avait pas demandé que son mari soit expulsé de leur domicile commun. Lorsqu</w:t>
      </w:r>
      <w:r w:rsidR="00B34C89">
        <w:rPr>
          <w:lang w:val="fr-FR"/>
        </w:rPr>
        <w:t>’</w:t>
      </w:r>
      <w:r w:rsidRPr="00CB2F44">
        <w:rPr>
          <w:lang w:val="fr-FR"/>
        </w:rPr>
        <w:t>elle a confirmé le divorce, le 21 avril 2006, la cour d</w:t>
      </w:r>
      <w:r w:rsidR="00B34C89">
        <w:rPr>
          <w:lang w:val="fr-FR"/>
        </w:rPr>
        <w:t>’</w:t>
      </w:r>
      <w:r w:rsidRPr="00CB2F44">
        <w:rPr>
          <w:lang w:val="fr-FR"/>
        </w:rPr>
        <w:t>appel n</w:t>
      </w:r>
      <w:r w:rsidR="00B34C89">
        <w:rPr>
          <w:lang w:val="fr-FR"/>
        </w:rPr>
        <w:t>’</w:t>
      </w:r>
      <w:r w:rsidRPr="00CB2F44">
        <w:rPr>
          <w:lang w:val="fr-FR"/>
        </w:rPr>
        <w:t>a pas statué sur une telle demande. Si une telle demande avait été formulée, la cour aurait été tenue de se prononcer sur la question. L</w:t>
      </w:r>
      <w:r w:rsidR="00B34C89">
        <w:rPr>
          <w:lang w:val="fr-FR"/>
        </w:rPr>
        <w:t>’</w:t>
      </w:r>
      <w:r w:rsidRPr="00CB2F44">
        <w:rPr>
          <w:lang w:val="fr-FR"/>
        </w:rPr>
        <w:t>État partie fait observer que l</w:t>
      </w:r>
      <w:r w:rsidR="00B34C89">
        <w:rPr>
          <w:lang w:val="fr-FR"/>
        </w:rPr>
        <w:t>’</w:t>
      </w:r>
      <w:r w:rsidRPr="00CB2F44">
        <w:rPr>
          <w:lang w:val="fr-FR"/>
        </w:rPr>
        <w:t>auteure a été représentée par un avocat professionnel pendant la procédure de divorce.</w:t>
      </w:r>
    </w:p>
    <w:p w14:paraId="15998254" w14:textId="0DD38AD5" w:rsidR="00CB2F44" w:rsidRPr="00CB2F44" w:rsidRDefault="00CB2F44" w:rsidP="00371CE4">
      <w:pPr>
        <w:pStyle w:val="SingleTxt"/>
        <w:numPr>
          <w:ilvl w:val="0"/>
          <w:numId w:val="19"/>
        </w:numPr>
        <w:spacing w:line="240" w:lineRule="exact"/>
        <w:rPr>
          <w:lang w:val="fr-FR"/>
        </w:rPr>
      </w:pPr>
      <w:r w:rsidRPr="00CB2F44">
        <w:rPr>
          <w:lang w:val="fr-FR"/>
        </w:rPr>
        <w:t>L</w:t>
      </w:r>
      <w:r w:rsidR="00B34C89">
        <w:rPr>
          <w:lang w:val="fr-FR"/>
        </w:rPr>
        <w:t>’</w:t>
      </w:r>
      <w:r w:rsidRPr="00CB2F44">
        <w:rPr>
          <w:lang w:val="fr-FR"/>
        </w:rPr>
        <w:t>État partie affirme que sa législation actuelle prévoit un cadre normatif efficace en matière de protection contre la violence domestique et que, même au moment des faits, il existait un cadre juridique général visant à protéger les victimes de violence domestique. En conséquence, il fait valoir qu</w:t>
      </w:r>
      <w:r w:rsidR="00B34C89">
        <w:rPr>
          <w:lang w:val="fr-FR"/>
        </w:rPr>
        <w:t>’</w:t>
      </w:r>
      <w:r w:rsidRPr="00CB2F44">
        <w:rPr>
          <w:lang w:val="fr-FR"/>
        </w:rPr>
        <w:t>il n</w:t>
      </w:r>
      <w:r w:rsidR="00B34C89">
        <w:rPr>
          <w:lang w:val="fr-FR"/>
        </w:rPr>
        <w:t>’</w:t>
      </w:r>
      <w:r w:rsidRPr="00CB2F44">
        <w:rPr>
          <w:lang w:val="fr-FR"/>
        </w:rPr>
        <w:t>a pas violé les alinéas a) à c) et e) de l</w:t>
      </w:r>
      <w:r w:rsidR="00B34C89">
        <w:rPr>
          <w:lang w:val="fr-FR"/>
        </w:rPr>
        <w:t>’</w:t>
      </w:r>
      <w:r w:rsidRPr="00CB2F44">
        <w:rPr>
          <w:lang w:val="fr-FR"/>
        </w:rPr>
        <w:t>article 2, lus conjointement avec l</w:t>
      </w:r>
      <w:r w:rsidR="00B34C89">
        <w:rPr>
          <w:lang w:val="fr-FR"/>
        </w:rPr>
        <w:t>’</w:t>
      </w:r>
      <w:r w:rsidRPr="00CB2F44">
        <w:rPr>
          <w:lang w:val="fr-FR"/>
        </w:rPr>
        <w:t>article 1</w:t>
      </w:r>
      <w:r w:rsidRPr="00CB2F44">
        <w:rPr>
          <w:vertAlign w:val="superscript"/>
          <w:lang w:val="fr-FR"/>
        </w:rPr>
        <w:t>er</w:t>
      </w:r>
      <w:r w:rsidRPr="00CB2F44">
        <w:rPr>
          <w:lang w:val="fr-FR"/>
        </w:rPr>
        <w:t> de la Convention.</w:t>
      </w:r>
      <w:bookmarkStart w:id="7" w:name="_Hlk36719399"/>
      <w:bookmarkEnd w:id="7"/>
    </w:p>
    <w:p w14:paraId="3D2989D6" w14:textId="643794BE" w:rsidR="00CB2F44" w:rsidRPr="00CB2F44" w:rsidRDefault="00CB2F44" w:rsidP="00763344">
      <w:pPr>
        <w:pStyle w:val="SingleTxt"/>
        <w:numPr>
          <w:ilvl w:val="0"/>
          <w:numId w:val="19"/>
        </w:numPr>
        <w:spacing w:line="240" w:lineRule="exact"/>
        <w:rPr>
          <w:lang w:val="fr-FR"/>
        </w:rPr>
      </w:pPr>
      <w:r w:rsidRPr="00CB2F44">
        <w:rPr>
          <w:lang w:val="fr-FR"/>
        </w:rPr>
        <w:t>En ce qui concerne les allégations de violation des droits que l</w:t>
      </w:r>
      <w:r w:rsidR="00B34C89">
        <w:rPr>
          <w:lang w:val="fr-FR"/>
        </w:rPr>
        <w:t>’</w:t>
      </w:r>
      <w:r w:rsidRPr="00CB2F44">
        <w:rPr>
          <w:lang w:val="fr-FR"/>
        </w:rPr>
        <w:t>auteure tient des alinéas a), c), e) et f) de l</w:t>
      </w:r>
      <w:r w:rsidR="00B34C89">
        <w:rPr>
          <w:lang w:val="fr-FR"/>
        </w:rPr>
        <w:t>’</w:t>
      </w:r>
      <w:r w:rsidRPr="00CB2F44">
        <w:rPr>
          <w:lang w:val="fr-FR"/>
        </w:rPr>
        <w:t>article 2 et de l</w:t>
      </w:r>
      <w:r w:rsidR="00B34C89">
        <w:rPr>
          <w:lang w:val="fr-FR"/>
        </w:rPr>
        <w:t>’</w:t>
      </w:r>
      <w:r w:rsidRPr="00CB2F44">
        <w:rPr>
          <w:lang w:val="fr-FR"/>
        </w:rPr>
        <w:t>article 3, lus conjointement avec l</w:t>
      </w:r>
      <w:r w:rsidR="00B34C89">
        <w:rPr>
          <w:lang w:val="fr-FR"/>
        </w:rPr>
        <w:t>’</w:t>
      </w:r>
      <w:r w:rsidRPr="00CB2F44">
        <w:rPr>
          <w:lang w:val="fr-FR"/>
        </w:rPr>
        <w:t>article 1</w:t>
      </w:r>
      <w:r w:rsidRPr="00CB2F44">
        <w:rPr>
          <w:vertAlign w:val="superscript"/>
          <w:lang w:val="fr-FR"/>
        </w:rPr>
        <w:t>er</w:t>
      </w:r>
      <w:r w:rsidRPr="00CB2F44">
        <w:rPr>
          <w:lang w:val="fr-FR"/>
        </w:rPr>
        <w:t xml:space="preserve"> de la Convention, l</w:t>
      </w:r>
      <w:r w:rsidR="00B34C89">
        <w:rPr>
          <w:lang w:val="fr-FR"/>
        </w:rPr>
        <w:t>’</w:t>
      </w:r>
      <w:r w:rsidRPr="00CB2F44">
        <w:rPr>
          <w:lang w:val="fr-FR"/>
        </w:rPr>
        <w:t>État partie fait valoir que les autorités ont agi conformément à la loi. Même s</w:t>
      </w:r>
      <w:r w:rsidR="00B34C89">
        <w:rPr>
          <w:lang w:val="fr-FR"/>
        </w:rPr>
        <w:t>’</w:t>
      </w:r>
      <w:r w:rsidRPr="00CB2F44">
        <w:rPr>
          <w:lang w:val="fr-FR"/>
        </w:rPr>
        <w:t>il y a eu des manquements de la part de la police concernant l</w:t>
      </w:r>
      <w:r w:rsidR="00B34C89">
        <w:rPr>
          <w:lang w:val="fr-FR"/>
        </w:rPr>
        <w:t>’</w:t>
      </w:r>
      <w:r w:rsidRPr="00CB2F44">
        <w:rPr>
          <w:lang w:val="fr-FR"/>
        </w:rPr>
        <w:t>application de l</w:t>
      </w:r>
      <w:r w:rsidR="00B34C89">
        <w:rPr>
          <w:lang w:val="fr-FR"/>
        </w:rPr>
        <w:t>’</w:t>
      </w:r>
      <w:r w:rsidRPr="00CB2F44">
        <w:rPr>
          <w:lang w:val="fr-FR"/>
        </w:rPr>
        <w:t>ordonnance n</w:t>
      </w:r>
      <w:r w:rsidRPr="00CB2F44">
        <w:rPr>
          <w:vertAlign w:val="superscript"/>
          <w:lang w:val="fr-FR"/>
        </w:rPr>
        <w:t>o</w:t>
      </w:r>
      <w:r w:rsidRPr="00CB2F44">
        <w:rPr>
          <w:lang w:val="fr-FR"/>
        </w:rPr>
        <w:t xml:space="preserve"> 21 du directeur général de la police du </w:t>
      </w:r>
      <w:r w:rsidRPr="00CB2F44">
        <w:t>31 décembre</w:t>
      </w:r>
      <w:r w:rsidRPr="00CB2F44">
        <w:rPr>
          <w:lang w:val="fr-FR"/>
        </w:rPr>
        <w:t xml:space="preserve"> 2002, les conséquences de cette omission n</w:t>
      </w:r>
      <w:r w:rsidR="00B34C89">
        <w:rPr>
          <w:lang w:val="fr-FR"/>
        </w:rPr>
        <w:t>’</w:t>
      </w:r>
      <w:r w:rsidRPr="00CB2F44">
        <w:rPr>
          <w:lang w:val="fr-FR"/>
        </w:rPr>
        <w:t>étaient pas liées au préjudice pécuniaire (argent volé, incendie de la maison) et n</w:t>
      </w:r>
      <w:r w:rsidR="00B34C89">
        <w:rPr>
          <w:lang w:val="fr-FR"/>
        </w:rPr>
        <w:t>’</w:t>
      </w:r>
      <w:r w:rsidRPr="00CB2F44">
        <w:rPr>
          <w:lang w:val="fr-FR"/>
        </w:rPr>
        <w:t>étaient pas une source de préjudice non pécuniaire. À cet égard, l</w:t>
      </w:r>
      <w:r w:rsidR="00B34C89">
        <w:rPr>
          <w:lang w:val="fr-FR"/>
        </w:rPr>
        <w:t>’</w:t>
      </w:r>
      <w:r w:rsidRPr="00CB2F44">
        <w:rPr>
          <w:lang w:val="fr-FR"/>
        </w:rPr>
        <w:t>État partie partage le point de vue du tribunal régional de Varsovie et de la cour d</w:t>
      </w:r>
      <w:r w:rsidR="00B34C89">
        <w:rPr>
          <w:lang w:val="fr-FR"/>
        </w:rPr>
        <w:t>’</w:t>
      </w:r>
      <w:r w:rsidRPr="00CB2F44">
        <w:rPr>
          <w:lang w:val="fr-FR"/>
        </w:rPr>
        <w:t>appel de Varsovie pour ce qui est des motifs de leurs jugements respectifs du 7 mai 2010 et du 5 mai 2011. Dans le cadre de la procédure civile, l</w:t>
      </w:r>
      <w:r w:rsidR="00B34C89">
        <w:rPr>
          <w:lang w:val="fr-FR"/>
        </w:rPr>
        <w:t>’</w:t>
      </w:r>
      <w:r w:rsidRPr="00CB2F44">
        <w:rPr>
          <w:lang w:val="fr-FR"/>
        </w:rPr>
        <w:t>auteure a déposé une demande d</w:t>
      </w:r>
      <w:r w:rsidR="00B34C89">
        <w:rPr>
          <w:lang w:val="fr-FR"/>
        </w:rPr>
        <w:t>’</w:t>
      </w:r>
      <w:r w:rsidRPr="00CB2F44">
        <w:rPr>
          <w:lang w:val="fr-FR"/>
        </w:rPr>
        <w:t>indemnisation auprès du Trésor public (595 170 zlotys à titre de dommages et intérêts et 50 000 zlotys à titre de réparation pour les actes illégaux commis par les organes publics).</w:t>
      </w:r>
      <w:bookmarkStart w:id="8" w:name="_Hlk36719545"/>
      <w:bookmarkEnd w:id="8"/>
    </w:p>
    <w:p w14:paraId="7D99AEDB" w14:textId="3480C113" w:rsidR="00CB2F44" w:rsidRPr="00CB2F44" w:rsidRDefault="00CB2F44" w:rsidP="00763344">
      <w:pPr>
        <w:pStyle w:val="SingleTxt"/>
        <w:numPr>
          <w:ilvl w:val="0"/>
          <w:numId w:val="19"/>
        </w:numPr>
        <w:spacing w:line="240" w:lineRule="exact"/>
        <w:rPr>
          <w:lang w:val="fr-FR"/>
        </w:rPr>
      </w:pPr>
      <w:r w:rsidRPr="00CB2F44">
        <w:rPr>
          <w:lang w:val="fr-FR"/>
        </w:rPr>
        <w:t>Les juridictions nationales ont dûment analysé les circonstances et ont établi qu</w:t>
      </w:r>
      <w:r w:rsidR="00B34C89">
        <w:rPr>
          <w:lang w:val="fr-FR"/>
        </w:rPr>
        <w:t>’</w:t>
      </w:r>
      <w:r w:rsidRPr="00CB2F44">
        <w:rPr>
          <w:lang w:val="fr-FR"/>
        </w:rPr>
        <w:t>il n</w:t>
      </w:r>
      <w:r w:rsidR="00B34C89">
        <w:rPr>
          <w:lang w:val="fr-FR"/>
        </w:rPr>
        <w:t>’</w:t>
      </w:r>
      <w:r w:rsidRPr="00CB2F44">
        <w:rPr>
          <w:lang w:val="fr-FR"/>
        </w:rPr>
        <w:t>existait pas de lien de causalité probant entre la négligence dont la police, le bureau du procureur et le tribunal de district ont fait preuve dans l</w:t>
      </w:r>
      <w:r w:rsidR="00B34C89">
        <w:rPr>
          <w:lang w:val="fr-FR"/>
        </w:rPr>
        <w:t>’</w:t>
      </w:r>
      <w:r w:rsidRPr="00CB2F44">
        <w:rPr>
          <w:lang w:val="fr-FR"/>
        </w:rPr>
        <w:t>exercice de leurs fonctions, d</w:t>
      </w:r>
      <w:r w:rsidR="00B34C89">
        <w:rPr>
          <w:lang w:val="fr-FR"/>
        </w:rPr>
        <w:t>’</w:t>
      </w:r>
      <w:r w:rsidRPr="00CB2F44">
        <w:rPr>
          <w:lang w:val="fr-FR"/>
        </w:rPr>
        <w:t>une part, et les pertes subies, d</w:t>
      </w:r>
      <w:r w:rsidR="00B34C89">
        <w:rPr>
          <w:lang w:val="fr-FR"/>
        </w:rPr>
        <w:t>’</w:t>
      </w:r>
      <w:r w:rsidRPr="00CB2F44">
        <w:rPr>
          <w:lang w:val="fr-FR"/>
        </w:rPr>
        <w:t>autre part. L</w:t>
      </w:r>
      <w:r w:rsidR="00B34C89">
        <w:rPr>
          <w:lang w:val="fr-FR"/>
        </w:rPr>
        <w:t>’</w:t>
      </w:r>
      <w:r w:rsidRPr="00CB2F44">
        <w:rPr>
          <w:lang w:val="fr-FR"/>
        </w:rPr>
        <w:t>auteure n</w:t>
      </w:r>
      <w:r w:rsidR="00B34C89">
        <w:rPr>
          <w:lang w:val="fr-FR"/>
        </w:rPr>
        <w:t>’</w:t>
      </w:r>
      <w:r w:rsidRPr="00CB2F44">
        <w:rPr>
          <w:lang w:val="fr-FR"/>
        </w:rPr>
        <w:t>a pas prouvé l</w:t>
      </w:r>
      <w:r w:rsidR="00B34C89">
        <w:rPr>
          <w:lang w:val="fr-FR"/>
        </w:rPr>
        <w:t>’</w:t>
      </w:r>
      <w:r w:rsidRPr="00CB2F44">
        <w:rPr>
          <w:lang w:val="fr-FR"/>
        </w:rPr>
        <w:t>illégalité de la procédure menée par le tribunal de district. La première audience s</w:t>
      </w:r>
      <w:r w:rsidR="00B34C89">
        <w:rPr>
          <w:lang w:val="fr-FR"/>
        </w:rPr>
        <w:t>’</w:t>
      </w:r>
      <w:r w:rsidRPr="00CB2F44">
        <w:rPr>
          <w:lang w:val="fr-FR"/>
        </w:rPr>
        <w:t>est tenue le 8 mars 2006, dans le respect de l</w:t>
      </w:r>
      <w:r w:rsidR="00B34C89">
        <w:rPr>
          <w:lang w:val="fr-FR"/>
        </w:rPr>
        <w:t>’</w:t>
      </w:r>
      <w:r w:rsidRPr="00CB2F44">
        <w:rPr>
          <w:lang w:val="fr-FR"/>
        </w:rPr>
        <w:t>obligation d</w:t>
      </w:r>
      <w:r w:rsidR="00B34C89">
        <w:rPr>
          <w:lang w:val="fr-FR"/>
        </w:rPr>
        <w:t>’</w:t>
      </w:r>
      <w:r w:rsidRPr="00CB2F44">
        <w:rPr>
          <w:lang w:val="fr-FR"/>
        </w:rPr>
        <w:t>agir sans retard déraisonnable. Le 19 avril 2006, sur la base de l</w:t>
      </w:r>
      <w:r w:rsidR="00B34C89">
        <w:rPr>
          <w:lang w:val="fr-FR"/>
        </w:rPr>
        <w:t>’</w:t>
      </w:r>
      <w:r w:rsidRPr="00CB2F44">
        <w:rPr>
          <w:lang w:val="fr-FR"/>
        </w:rPr>
        <w:t>expertise de deux psychiatres, le tribunal de district a ordonné que le mari de l</w:t>
      </w:r>
      <w:r w:rsidR="00B34C89">
        <w:rPr>
          <w:lang w:val="fr-FR"/>
        </w:rPr>
        <w:t>’</w:t>
      </w:r>
      <w:r w:rsidRPr="00CB2F44">
        <w:rPr>
          <w:lang w:val="fr-FR"/>
        </w:rPr>
        <w:t>auteure soit admis en observation psychiatrique, conformément à l</w:t>
      </w:r>
      <w:r w:rsidR="00B34C89">
        <w:rPr>
          <w:lang w:val="fr-FR"/>
        </w:rPr>
        <w:t>’</w:t>
      </w:r>
      <w:r w:rsidRPr="00CB2F44">
        <w:rPr>
          <w:lang w:val="fr-FR"/>
        </w:rPr>
        <w:t>article 203 du Code de procédure pénale, afin d</w:t>
      </w:r>
      <w:r w:rsidR="00B34C89">
        <w:rPr>
          <w:lang w:val="fr-FR"/>
        </w:rPr>
        <w:t>’</w:t>
      </w:r>
      <w:r w:rsidRPr="00CB2F44">
        <w:rPr>
          <w:lang w:val="fr-FR"/>
        </w:rPr>
        <w:t>établir s</w:t>
      </w:r>
      <w:r w:rsidR="00B34C89">
        <w:rPr>
          <w:lang w:val="fr-FR"/>
        </w:rPr>
        <w:t>’</w:t>
      </w:r>
      <w:r w:rsidRPr="00CB2F44">
        <w:rPr>
          <w:lang w:val="fr-FR"/>
        </w:rPr>
        <w:t>il était apte à assumer la responsabilité pénale de ses actes. Comme cette décision pouvait faire l</w:t>
      </w:r>
      <w:r w:rsidR="00B34C89">
        <w:rPr>
          <w:lang w:val="fr-FR"/>
        </w:rPr>
        <w:t>’</w:t>
      </w:r>
      <w:r w:rsidRPr="00CB2F44">
        <w:rPr>
          <w:lang w:val="fr-FR"/>
        </w:rPr>
        <w:t>objet d</w:t>
      </w:r>
      <w:r w:rsidR="00B34C89">
        <w:rPr>
          <w:lang w:val="fr-FR"/>
        </w:rPr>
        <w:t>’</w:t>
      </w:r>
      <w:r w:rsidRPr="00CB2F44">
        <w:rPr>
          <w:lang w:val="fr-FR"/>
        </w:rPr>
        <w:t>un appel, le tribunal ne pouvait la faire exécuter tant qu</w:t>
      </w:r>
      <w:r w:rsidR="00B34C89">
        <w:rPr>
          <w:lang w:val="fr-FR"/>
        </w:rPr>
        <w:t>’</w:t>
      </w:r>
      <w:r w:rsidRPr="00CB2F44">
        <w:rPr>
          <w:lang w:val="fr-FR"/>
        </w:rPr>
        <w:t>elle n</w:t>
      </w:r>
      <w:r w:rsidR="00B34C89">
        <w:rPr>
          <w:lang w:val="fr-FR"/>
        </w:rPr>
        <w:t>’</w:t>
      </w:r>
      <w:r w:rsidRPr="00CB2F44">
        <w:rPr>
          <w:lang w:val="fr-FR"/>
        </w:rPr>
        <w:t>était pas définitive. Le mari de l</w:t>
      </w:r>
      <w:r w:rsidR="00B34C89">
        <w:rPr>
          <w:lang w:val="fr-FR"/>
        </w:rPr>
        <w:t>’</w:t>
      </w:r>
      <w:r w:rsidRPr="00CB2F44">
        <w:rPr>
          <w:lang w:val="fr-FR"/>
        </w:rPr>
        <w:t>auteure n</w:t>
      </w:r>
      <w:r w:rsidR="00B34C89">
        <w:rPr>
          <w:lang w:val="fr-FR"/>
        </w:rPr>
        <w:t>’</w:t>
      </w:r>
      <w:r w:rsidRPr="00CB2F44">
        <w:rPr>
          <w:lang w:val="fr-FR"/>
        </w:rPr>
        <w:t>a pas fait obstacle à la procédure, a comparu aux deux audiences et a subi l</w:t>
      </w:r>
      <w:r w:rsidR="00B34C89">
        <w:rPr>
          <w:lang w:val="fr-FR"/>
        </w:rPr>
        <w:t>’</w:t>
      </w:r>
      <w:r w:rsidRPr="00CB2F44">
        <w:rPr>
          <w:lang w:val="fr-FR"/>
        </w:rPr>
        <w:t>examen psychiatrique. Le tribunal de district a déclaré que durant la procédure pénale, il n</w:t>
      </w:r>
      <w:r w:rsidR="00B34C89">
        <w:rPr>
          <w:lang w:val="fr-FR"/>
        </w:rPr>
        <w:t>’</w:t>
      </w:r>
      <w:r w:rsidRPr="00CB2F44">
        <w:rPr>
          <w:lang w:val="fr-FR"/>
        </w:rPr>
        <w:t>y avait aucun motif raisonnable de croire que le mari de l</w:t>
      </w:r>
      <w:r w:rsidR="00B34C89">
        <w:rPr>
          <w:lang w:val="fr-FR"/>
        </w:rPr>
        <w:t>’</w:t>
      </w:r>
      <w:r w:rsidRPr="00CB2F44">
        <w:rPr>
          <w:lang w:val="fr-FR"/>
        </w:rPr>
        <w:t>auteure aurait pu concrétiser ses menaces.</w:t>
      </w:r>
      <w:bookmarkStart w:id="9" w:name="_Hlk36720028"/>
      <w:bookmarkEnd w:id="9"/>
    </w:p>
    <w:p w14:paraId="0BD5F8C7" w14:textId="656BF8C2" w:rsidR="00CB2F44" w:rsidRPr="00CB2F44" w:rsidRDefault="00CB2F44" w:rsidP="00763344">
      <w:pPr>
        <w:pStyle w:val="SingleTxt"/>
        <w:numPr>
          <w:ilvl w:val="0"/>
          <w:numId w:val="19"/>
        </w:numPr>
        <w:spacing w:line="240" w:lineRule="exact"/>
        <w:rPr>
          <w:lang w:val="fr-FR"/>
        </w:rPr>
      </w:pPr>
      <w:r w:rsidRPr="00CB2F44">
        <w:rPr>
          <w:lang w:val="fr-FR"/>
        </w:rPr>
        <w:t>Les juridictions ont toutefois conclu que les actes de la police et du procureur du district de Piaseczno étaient partiellement justifiés. L</w:t>
      </w:r>
      <w:r w:rsidR="00B34C89">
        <w:rPr>
          <w:lang w:val="fr-FR"/>
        </w:rPr>
        <w:t>’</w:t>
      </w:r>
      <w:r w:rsidRPr="00CB2F44">
        <w:rPr>
          <w:lang w:val="fr-FR"/>
        </w:rPr>
        <w:t xml:space="preserve">auteure et ses filles ont retiré </w:t>
      </w:r>
      <w:r w:rsidRPr="00CB2F44">
        <w:rPr>
          <w:lang w:val="fr-FR"/>
        </w:rPr>
        <w:lastRenderedPageBreak/>
        <w:t>leur demande d</w:t>
      </w:r>
      <w:r w:rsidR="00B34C89">
        <w:rPr>
          <w:lang w:val="fr-FR"/>
        </w:rPr>
        <w:t>’</w:t>
      </w:r>
      <w:r w:rsidRPr="00CB2F44">
        <w:rPr>
          <w:lang w:val="fr-FR"/>
        </w:rPr>
        <w:t>engagement de poursuites et le bureau du procureur de district a abandonné la procédure, ce que l</w:t>
      </w:r>
      <w:r w:rsidR="00B34C89">
        <w:rPr>
          <w:lang w:val="fr-FR"/>
        </w:rPr>
        <w:t>’</w:t>
      </w:r>
      <w:r w:rsidRPr="00CB2F44">
        <w:rPr>
          <w:lang w:val="fr-FR"/>
        </w:rPr>
        <w:t>auteure n</w:t>
      </w:r>
      <w:r w:rsidR="00B34C89">
        <w:rPr>
          <w:lang w:val="fr-FR"/>
        </w:rPr>
        <w:t>’</w:t>
      </w:r>
      <w:r w:rsidRPr="00CB2F44">
        <w:rPr>
          <w:lang w:val="fr-FR"/>
        </w:rPr>
        <w:t>a pas contesté. De plus, les juridictions ont fait observer que, dans la plainte qu</w:t>
      </w:r>
      <w:r w:rsidR="00B34C89">
        <w:rPr>
          <w:lang w:val="fr-FR"/>
        </w:rPr>
        <w:t>’</w:t>
      </w:r>
      <w:r w:rsidRPr="00CB2F44">
        <w:rPr>
          <w:lang w:val="fr-FR"/>
        </w:rPr>
        <w:t>elle avait déposée le 15 mars 2004, l</w:t>
      </w:r>
      <w:r w:rsidR="00B34C89">
        <w:rPr>
          <w:lang w:val="fr-FR"/>
        </w:rPr>
        <w:t>’</w:t>
      </w:r>
      <w:r w:rsidRPr="00CB2F44">
        <w:rPr>
          <w:lang w:val="fr-FR"/>
        </w:rPr>
        <w:t>auteure avait demandé que des poursuites soient engagées contre son mari non pas parce que ce dernier avait proféré des menaces, mais parce qu</w:t>
      </w:r>
      <w:r w:rsidR="00B34C89">
        <w:rPr>
          <w:lang w:val="fr-FR"/>
        </w:rPr>
        <w:t>’</w:t>
      </w:r>
      <w:r w:rsidRPr="00CB2F44">
        <w:rPr>
          <w:lang w:val="fr-FR"/>
        </w:rPr>
        <w:t>il avait volé des fonds. Par conséquent, ni la police ni le procureur n</w:t>
      </w:r>
      <w:r w:rsidR="00B34C89">
        <w:rPr>
          <w:lang w:val="fr-FR"/>
        </w:rPr>
        <w:t>’</w:t>
      </w:r>
      <w:r w:rsidRPr="00CB2F44">
        <w:rPr>
          <w:lang w:val="fr-FR"/>
        </w:rPr>
        <w:t>avaient de motif d</w:t>
      </w:r>
      <w:r w:rsidR="00B34C89">
        <w:rPr>
          <w:lang w:val="fr-FR"/>
        </w:rPr>
        <w:t>’</w:t>
      </w:r>
      <w:r w:rsidRPr="00CB2F44">
        <w:rPr>
          <w:lang w:val="fr-FR"/>
        </w:rPr>
        <w:t>engager des poursuites contre le mari pour des actes visés au paragraphe 1 de l</w:t>
      </w:r>
      <w:r w:rsidR="00B34C89">
        <w:rPr>
          <w:lang w:val="fr-FR"/>
        </w:rPr>
        <w:t>’</w:t>
      </w:r>
      <w:r w:rsidRPr="00CB2F44">
        <w:rPr>
          <w:lang w:val="fr-FR"/>
        </w:rPr>
        <w:t>article 190 du Code pénal. En ce qui concerne l</w:t>
      </w:r>
      <w:r w:rsidR="00B34C89">
        <w:rPr>
          <w:lang w:val="fr-FR"/>
        </w:rPr>
        <w:t>’</w:t>
      </w:r>
      <w:r w:rsidRPr="00CB2F44">
        <w:rPr>
          <w:lang w:val="fr-FR"/>
        </w:rPr>
        <w:t>allégation de l</w:t>
      </w:r>
      <w:r w:rsidR="00B34C89">
        <w:rPr>
          <w:lang w:val="fr-FR"/>
        </w:rPr>
        <w:t>’</w:t>
      </w:r>
      <w:r w:rsidRPr="00CB2F44">
        <w:rPr>
          <w:lang w:val="fr-FR"/>
        </w:rPr>
        <w:t>auteure selon laquelle la police n</w:t>
      </w:r>
      <w:r w:rsidR="00B34C89">
        <w:rPr>
          <w:lang w:val="fr-FR"/>
        </w:rPr>
        <w:t>’</w:t>
      </w:r>
      <w:r w:rsidRPr="00CB2F44">
        <w:rPr>
          <w:lang w:val="fr-FR"/>
        </w:rPr>
        <w:t>a pas déclenché la procédure des « cartes bleues », l</w:t>
      </w:r>
      <w:r w:rsidR="00B34C89">
        <w:rPr>
          <w:lang w:val="fr-FR"/>
        </w:rPr>
        <w:t>’</w:t>
      </w:r>
      <w:r w:rsidRPr="00CB2F44">
        <w:rPr>
          <w:lang w:val="fr-FR"/>
        </w:rPr>
        <w:t>État partie souligne que les juridictions ont élargi l</w:t>
      </w:r>
      <w:r w:rsidR="00B34C89">
        <w:rPr>
          <w:lang w:val="fr-FR"/>
        </w:rPr>
        <w:t>’</w:t>
      </w:r>
      <w:r w:rsidRPr="00CB2F44">
        <w:rPr>
          <w:lang w:val="fr-FR"/>
        </w:rPr>
        <w:t>interprétation de l</w:t>
      </w:r>
      <w:r w:rsidR="00B34C89">
        <w:rPr>
          <w:lang w:val="fr-FR"/>
        </w:rPr>
        <w:t>’</w:t>
      </w:r>
      <w:r w:rsidRPr="00CB2F44">
        <w:rPr>
          <w:lang w:val="fr-FR"/>
        </w:rPr>
        <w:t>ordonnance n</w:t>
      </w:r>
      <w:r w:rsidRPr="00CB2F44">
        <w:rPr>
          <w:vertAlign w:val="superscript"/>
          <w:lang w:val="fr-FR"/>
        </w:rPr>
        <w:t>o</w:t>
      </w:r>
      <w:r w:rsidRPr="00CB2F44">
        <w:rPr>
          <w:lang w:val="fr-FR"/>
        </w:rPr>
        <w:t> 21 et la portée littérale de l</w:t>
      </w:r>
      <w:r w:rsidR="00B34C89">
        <w:rPr>
          <w:lang w:val="fr-FR"/>
        </w:rPr>
        <w:t>’</w:t>
      </w:r>
      <w:r w:rsidRPr="00CB2F44">
        <w:rPr>
          <w:lang w:val="fr-FR"/>
        </w:rPr>
        <w:t>obligation incombant aux fonctionnaires de police à ce titre</w:t>
      </w:r>
      <w:r w:rsidR="00B34C89">
        <w:rPr>
          <w:lang w:val="fr-FR"/>
        </w:rPr>
        <w:t> ;</w:t>
      </w:r>
      <w:r w:rsidRPr="00CB2F44">
        <w:rPr>
          <w:lang w:val="fr-FR"/>
        </w:rPr>
        <w:t xml:space="preserve"> selon elles, l</w:t>
      </w:r>
      <w:r w:rsidR="00B34C89">
        <w:rPr>
          <w:lang w:val="fr-FR"/>
        </w:rPr>
        <w:t>’</w:t>
      </w:r>
      <w:r w:rsidRPr="00CB2F44">
        <w:rPr>
          <w:lang w:val="fr-FR"/>
        </w:rPr>
        <w:t>ordonnance aurait dû s</w:t>
      </w:r>
      <w:r w:rsidR="00B34C89">
        <w:rPr>
          <w:lang w:val="fr-FR"/>
        </w:rPr>
        <w:t>’</w:t>
      </w:r>
      <w:r w:rsidRPr="00CB2F44">
        <w:rPr>
          <w:lang w:val="fr-FR"/>
        </w:rPr>
        <w:t>appliquer à la situation de l</w:t>
      </w:r>
      <w:r w:rsidR="00B34C89">
        <w:rPr>
          <w:lang w:val="fr-FR"/>
        </w:rPr>
        <w:t>’</w:t>
      </w:r>
      <w:r w:rsidRPr="00CB2F44">
        <w:rPr>
          <w:lang w:val="fr-FR"/>
        </w:rPr>
        <w:t>auteure, aux fins d</w:t>
      </w:r>
      <w:r w:rsidR="00B34C89">
        <w:rPr>
          <w:lang w:val="fr-FR"/>
        </w:rPr>
        <w:t>’</w:t>
      </w:r>
      <w:r w:rsidRPr="00CB2F44">
        <w:rPr>
          <w:lang w:val="fr-FR"/>
        </w:rPr>
        <w:t>assurer la sécurité de la victime de violence domestique dans les cas où la police n</w:t>
      </w:r>
      <w:r w:rsidR="00B34C89">
        <w:rPr>
          <w:lang w:val="fr-FR"/>
        </w:rPr>
        <w:t>’</w:t>
      </w:r>
      <w:r w:rsidRPr="00CB2F44">
        <w:rPr>
          <w:lang w:val="fr-FR"/>
        </w:rPr>
        <w:t>intervient pas à domicile.</w:t>
      </w:r>
    </w:p>
    <w:p w14:paraId="2AB5AF74" w14:textId="7A3315EC" w:rsidR="00CB2F44" w:rsidRPr="00CB2F44" w:rsidRDefault="00CB2F44" w:rsidP="00763344">
      <w:pPr>
        <w:pStyle w:val="SingleTxt"/>
        <w:numPr>
          <w:ilvl w:val="0"/>
          <w:numId w:val="19"/>
        </w:numPr>
        <w:spacing w:line="240" w:lineRule="exact"/>
        <w:rPr>
          <w:lang w:val="fr-FR"/>
        </w:rPr>
      </w:pPr>
      <w:r w:rsidRPr="00CB2F44">
        <w:rPr>
          <w:lang w:val="fr-FR"/>
        </w:rPr>
        <w:t>La décision d</w:t>
      </w:r>
      <w:r w:rsidR="00B34C89">
        <w:rPr>
          <w:lang w:val="fr-FR"/>
        </w:rPr>
        <w:t>’</w:t>
      </w:r>
      <w:r w:rsidRPr="00CB2F44">
        <w:rPr>
          <w:lang w:val="fr-FR"/>
        </w:rPr>
        <w:t>abandonner l</w:t>
      </w:r>
      <w:r w:rsidR="00B34C89">
        <w:rPr>
          <w:lang w:val="fr-FR"/>
        </w:rPr>
        <w:t>’</w:t>
      </w:r>
      <w:r w:rsidRPr="00CB2F44">
        <w:rPr>
          <w:lang w:val="fr-FR"/>
        </w:rPr>
        <w:t>enquête, prise le 19 mai 2005 et confirmée par le procureur de district le 23 mai 2005, n</w:t>
      </w:r>
      <w:r w:rsidR="00B34C89">
        <w:rPr>
          <w:lang w:val="fr-FR"/>
        </w:rPr>
        <w:t>’</w:t>
      </w:r>
      <w:r w:rsidRPr="00CB2F44">
        <w:rPr>
          <w:lang w:val="fr-FR"/>
        </w:rPr>
        <w:t>a pas eu de retombées négatives permanentes sur l</w:t>
      </w:r>
      <w:r w:rsidR="00B34C89">
        <w:rPr>
          <w:lang w:val="fr-FR"/>
        </w:rPr>
        <w:t>’</w:t>
      </w:r>
      <w:r w:rsidRPr="00CB2F44">
        <w:rPr>
          <w:lang w:val="fr-FR"/>
        </w:rPr>
        <w:t>auteure, puisque le procureur de district de Varsovie a annulé cette décision le 12 juillet 2005 et que le mari de l</w:t>
      </w:r>
      <w:r w:rsidR="00B34C89">
        <w:rPr>
          <w:lang w:val="fr-FR"/>
        </w:rPr>
        <w:t>’</w:t>
      </w:r>
      <w:r w:rsidRPr="00CB2F44">
        <w:rPr>
          <w:lang w:val="fr-FR"/>
        </w:rPr>
        <w:t>auteure a été inculpé de plusieurs infractions. Les juridictions ont conclu que l</w:t>
      </w:r>
      <w:r w:rsidR="00B34C89">
        <w:rPr>
          <w:lang w:val="fr-FR"/>
        </w:rPr>
        <w:t>’</w:t>
      </w:r>
      <w:r w:rsidRPr="00CB2F44">
        <w:rPr>
          <w:lang w:val="fr-FR"/>
        </w:rPr>
        <w:t>incendie ne pouvait être considéré comme une conséquence typique des omissions des forces de l</w:t>
      </w:r>
      <w:r w:rsidR="00B34C89">
        <w:rPr>
          <w:lang w:val="fr-FR"/>
        </w:rPr>
        <w:t>’</w:t>
      </w:r>
      <w:r w:rsidRPr="00CB2F44">
        <w:rPr>
          <w:lang w:val="fr-FR"/>
        </w:rPr>
        <w:t>ordre. Cet incendie était de nature extraordinaire et n</w:t>
      </w:r>
      <w:r w:rsidR="00B34C89">
        <w:rPr>
          <w:lang w:val="fr-FR"/>
        </w:rPr>
        <w:t>’</w:t>
      </w:r>
      <w:r w:rsidRPr="00CB2F44">
        <w:rPr>
          <w:lang w:val="fr-FR"/>
        </w:rPr>
        <w:t>aurait pu être anticipé dans la succession habituelle des évènements. Même si la procédure engagée contre le mari de l</w:t>
      </w:r>
      <w:r w:rsidR="00B34C89">
        <w:rPr>
          <w:lang w:val="fr-FR"/>
        </w:rPr>
        <w:t>’</w:t>
      </w:r>
      <w:r w:rsidRPr="00CB2F44">
        <w:rPr>
          <w:lang w:val="fr-FR"/>
        </w:rPr>
        <w:t>auteure pour mauvais traitements et détournement de fonds a initialement été abandonnée, le recours que l</w:t>
      </w:r>
      <w:r w:rsidR="00B34C89">
        <w:rPr>
          <w:lang w:val="fr-FR"/>
        </w:rPr>
        <w:t>’</w:t>
      </w:r>
      <w:r w:rsidRPr="00CB2F44">
        <w:rPr>
          <w:lang w:val="fr-FR"/>
        </w:rPr>
        <w:t>auteure a formé s</w:t>
      </w:r>
      <w:r w:rsidR="00B34C89">
        <w:rPr>
          <w:lang w:val="fr-FR"/>
        </w:rPr>
        <w:t>’</w:t>
      </w:r>
      <w:r w:rsidRPr="00CB2F44">
        <w:rPr>
          <w:lang w:val="fr-FR"/>
        </w:rPr>
        <w:t>est révélé justifié et efficace, de sorte que la décision d</w:t>
      </w:r>
      <w:r w:rsidR="00B34C89">
        <w:rPr>
          <w:lang w:val="fr-FR"/>
        </w:rPr>
        <w:t>’</w:t>
      </w:r>
      <w:r w:rsidRPr="00CB2F44">
        <w:rPr>
          <w:lang w:val="fr-FR"/>
        </w:rPr>
        <w:t>abandon de la procédure, jugée incorrecte, a été annulée.</w:t>
      </w:r>
    </w:p>
    <w:p w14:paraId="1718C1B8" w14:textId="14DCEAB6" w:rsidR="00CB2F44" w:rsidRPr="00CB2F44" w:rsidRDefault="00CB2F44" w:rsidP="00763344">
      <w:pPr>
        <w:pStyle w:val="SingleTxt"/>
        <w:numPr>
          <w:ilvl w:val="0"/>
          <w:numId w:val="19"/>
        </w:numPr>
        <w:spacing w:line="240" w:lineRule="exact"/>
        <w:rPr>
          <w:lang w:val="fr-FR"/>
        </w:rPr>
      </w:pPr>
      <w:r w:rsidRPr="00CB2F44">
        <w:rPr>
          <w:lang w:val="fr-FR"/>
        </w:rPr>
        <w:t>Afin de protéger son droit à un procès équitable, et sur la base des éléments communiqués par les psychiatres, le mari de l</w:t>
      </w:r>
      <w:r w:rsidR="00B34C89">
        <w:rPr>
          <w:lang w:val="fr-FR"/>
        </w:rPr>
        <w:t>’</w:t>
      </w:r>
      <w:r w:rsidRPr="00CB2F44">
        <w:rPr>
          <w:lang w:val="fr-FR"/>
        </w:rPr>
        <w:t>auteure a été admis en observation dans un hôpital psychiatrique. Il ressort du compte rendu de l</w:t>
      </w:r>
      <w:r w:rsidR="00B34C89">
        <w:rPr>
          <w:lang w:val="fr-FR"/>
        </w:rPr>
        <w:t>’</w:t>
      </w:r>
      <w:r w:rsidRPr="00CB2F44">
        <w:rPr>
          <w:lang w:val="fr-FR"/>
        </w:rPr>
        <w:t>audience du 8 mars 2005 que ce n</w:t>
      </w:r>
      <w:r w:rsidR="00B34C89">
        <w:rPr>
          <w:lang w:val="fr-FR"/>
        </w:rPr>
        <w:t>’</w:t>
      </w:r>
      <w:r w:rsidRPr="00CB2F44">
        <w:rPr>
          <w:lang w:val="fr-FR"/>
        </w:rPr>
        <w:t>est qu</w:t>
      </w:r>
      <w:r w:rsidR="00B34C89">
        <w:rPr>
          <w:lang w:val="fr-FR"/>
        </w:rPr>
        <w:t>’</w:t>
      </w:r>
      <w:r w:rsidRPr="00CB2F44">
        <w:rPr>
          <w:lang w:val="fr-FR"/>
        </w:rPr>
        <w:t>à ce moment-là que l</w:t>
      </w:r>
      <w:r w:rsidR="00B34C89">
        <w:rPr>
          <w:lang w:val="fr-FR"/>
        </w:rPr>
        <w:t>’</w:t>
      </w:r>
      <w:r w:rsidRPr="00CB2F44">
        <w:rPr>
          <w:lang w:val="fr-FR"/>
        </w:rPr>
        <w:t>auteure a révélé que son mari souffrait de schizophrénie paranoïde. Comme l</w:t>
      </w:r>
      <w:r w:rsidR="00B34C89">
        <w:rPr>
          <w:lang w:val="fr-FR"/>
        </w:rPr>
        <w:t>’</w:t>
      </w:r>
      <w:r w:rsidRPr="00CB2F44">
        <w:rPr>
          <w:lang w:val="fr-FR"/>
        </w:rPr>
        <w:t>a confirmé le tribunal régional de Varsovie, durant la procédure en première instance, rien ne justifiait d</w:t>
      </w:r>
      <w:r w:rsidR="00B34C89">
        <w:rPr>
          <w:lang w:val="fr-FR"/>
        </w:rPr>
        <w:t>’</w:t>
      </w:r>
      <w:r w:rsidRPr="00CB2F44">
        <w:rPr>
          <w:lang w:val="fr-FR"/>
        </w:rPr>
        <w:t>appliquer des mesures préventives, telles que la détention provisoire, à l</w:t>
      </w:r>
      <w:r w:rsidR="00B34C89">
        <w:rPr>
          <w:lang w:val="fr-FR"/>
        </w:rPr>
        <w:t>’</w:t>
      </w:r>
      <w:r w:rsidRPr="00CB2F44">
        <w:rPr>
          <w:lang w:val="fr-FR"/>
        </w:rPr>
        <w:t>égard du mari de l</w:t>
      </w:r>
      <w:r w:rsidR="00B34C89">
        <w:rPr>
          <w:lang w:val="fr-FR"/>
        </w:rPr>
        <w:t>’</w:t>
      </w:r>
      <w:r w:rsidRPr="00CB2F44">
        <w:rPr>
          <w:lang w:val="fr-FR"/>
        </w:rPr>
        <w:t>auteure puisque ce dernier avait rempli ses obligations procédurales et n</w:t>
      </w:r>
      <w:r w:rsidR="00B34C89">
        <w:rPr>
          <w:lang w:val="fr-FR"/>
        </w:rPr>
        <w:t>’</w:t>
      </w:r>
      <w:r w:rsidRPr="00CB2F44">
        <w:rPr>
          <w:lang w:val="fr-FR"/>
        </w:rPr>
        <w:t>avait pas entravé la procédure pénale de quelque manière que ce soit. Le tribunal n</w:t>
      </w:r>
      <w:r w:rsidR="00B34C89">
        <w:rPr>
          <w:lang w:val="fr-FR"/>
        </w:rPr>
        <w:t>’</w:t>
      </w:r>
      <w:r w:rsidRPr="00CB2F44">
        <w:rPr>
          <w:lang w:val="fr-FR"/>
        </w:rPr>
        <w:t>a pas pu établir avec certitude que le mari de l</w:t>
      </w:r>
      <w:r w:rsidR="00B34C89">
        <w:rPr>
          <w:lang w:val="fr-FR"/>
        </w:rPr>
        <w:t>’</w:t>
      </w:r>
      <w:r w:rsidRPr="00CB2F44">
        <w:rPr>
          <w:lang w:val="fr-FR"/>
        </w:rPr>
        <w:t>auteure avait incendié la maison car, selon les résultats de son autopsie, il n</w:t>
      </w:r>
      <w:r w:rsidR="00B34C89">
        <w:rPr>
          <w:lang w:val="fr-FR"/>
        </w:rPr>
        <w:t>’</w:t>
      </w:r>
      <w:r w:rsidRPr="00CB2F44">
        <w:rPr>
          <w:lang w:val="fr-FR"/>
        </w:rPr>
        <w:t>était plus en vie au moment où le feu a pris. Par conséquent, l</w:t>
      </w:r>
      <w:r w:rsidR="00B34C89">
        <w:rPr>
          <w:lang w:val="fr-FR"/>
        </w:rPr>
        <w:t>’</w:t>
      </w:r>
      <w:r w:rsidRPr="00CB2F44">
        <w:rPr>
          <w:lang w:val="fr-FR"/>
        </w:rPr>
        <w:t>État partie soutient qu</w:t>
      </w:r>
      <w:r w:rsidR="00B34C89">
        <w:rPr>
          <w:lang w:val="fr-FR"/>
        </w:rPr>
        <w:t>’</w:t>
      </w:r>
      <w:r w:rsidRPr="00CB2F44">
        <w:rPr>
          <w:lang w:val="fr-FR"/>
        </w:rPr>
        <w:t>il n</w:t>
      </w:r>
      <w:r w:rsidR="00B34C89">
        <w:rPr>
          <w:lang w:val="fr-FR"/>
        </w:rPr>
        <w:t>’</w:t>
      </w:r>
      <w:r w:rsidRPr="00CB2F44">
        <w:rPr>
          <w:lang w:val="fr-FR"/>
        </w:rPr>
        <w:t>y a pas eu de violation des droits que l</w:t>
      </w:r>
      <w:r w:rsidR="00B34C89">
        <w:rPr>
          <w:lang w:val="fr-FR"/>
        </w:rPr>
        <w:t>’</w:t>
      </w:r>
      <w:r w:rsidRPr="00CB2F44">
        <w:rPr>
          <w:lang w:val="fr-FR"/>
        </w:rPr>
        <w:t>auteure tient des articles précités de la Convention.</w:t>
      </w:r>
    </w:p>
    <w:p w14:paraId="2BCC7BBF" w14:textId="7A24F1D9" w:rsidR="00CB2F44" w:rsidRPr="00CB2F44" w:rsidRDefault="00CB2F44" w:rsidP="00763344">
      <w:pPr>
        <w:pStyle w:val="SingleTxt"/>
        <w:numPr>
          <w:ilvl w:val="0"/>
          <w:numId w:val="19"/>
        </w:numPr>
        <w:spacing w:line="240" w:lineRule="exact"/>
        <w:rPr>
          <w:lang w:val="fr-FR"/>
        </w:rPr>
      </w:pPr>
      <w:r w:rsidRPr="00CB2F44">
        <w:rPr>
          <w:lang w:val="fr-FR"/>
        </w:rPr>
        <w:t>En ce qui concerne les allégations de l</w:t>
      </w:r>
      <w:r w:rsidR="00B34C89">
        <w:rPr>
          <w:lang w:val="fr-FR"/>
        </w:rPr>
        <w:t>’</w:t>
      </w:r>
      <w:r w:rsidRPr="00CB2F44">
        <w:rPr>
          <w:lang w:val="fr-FR"/>
        </w:rPr>
        <w:t>auteure selon lesquelles l</w:t>
      </w:r>
      <w:r w:rsidR="00B34C89">
        <w:rPr>
          <w:lang w:val="fr-FR"/>
        </w:rPr>
        <w:t>’</w:t>
      </w:r>
      <w:r w:rsidRPr="00CB2F44">
        <w:rPr>
          <w:lang w:val="fr-FR"/>
        </w:rPr>
        <w:t>État partie, faute d</w:t>
      </w:r>
      <w:r w:rsidR="00B34C89">
        <w:rPr>
          <w:lang w:val="fr-FR"/>
        </w:rPr>
        <w:t>’</w:t>
      </w:r>
      <w:r w:rsidRPr="00CB2F44">
        <w:rPr>
          <w:lang w:val="fr-FR"/>
        </w:rPr>
        <w:t>avoir pris des mesures efficaces pour éliminer les stéréotypes fondés sur le genre qui entravent la protection des droits des femmes victimes de violence domestique, a violé les droits que l</w:t>
      </w:r>
      <w:r w:rsidR="00B34C89">
        <w:rPr>
          <w:lang w:val="fr-FR"/>
        </w:rPr>
        <w:t>’</w:t>
      </w:r>
      <w:r w:rsidRPr="00CB2F44">
        <w:rPr>
          <w:lang w:val="fr-FR"/>
        </w:rPr>
        <w:t>auteure tient des alinéas d) à f) de l</w:t>
      </w:r>
      <w:r w:rsidR="00B34C89">
        <w:rPr>
          <w:lang w:val="fr-FR"/>
        </w:rPr>
        <w:t>’</w:t>
      </w:r>
      <w:r w:rsidRPr="00CB2F44">
        <w:rPr>
          <w:lang w:val="fr-FR"/>
        </w:rPr>
        <w:t>article 2, de l</w:t>
      </w:r>
      <w:r w:rsidR="00B34C89">
        <w:rPr>
          <w:lang w:val="fr-FR"/>
        </w:rPr>
        <w:t>’</w:t>
      </w:r>
      <w:r w:rsidRPr="00CB2F44">
        <w:rPr>
          <w:lang w:val="fr-FR"/>
        </w:rPr>
        <w:t>alinéa a) de l</w:t>
      </w:r>
      <w:r w:rsidR="00B34C89">
        <w:rPr>
          <w:lang w:val="fr-FR"/>
        </w:rPr>
        <w:t>’</w:t>
      </w:r>
      <w:r w:rsidRPr="00CB2F44">
        <w:rPr>
          <w:lang w:val="fr-FR"/>
        </w:rPr>
        <w:t>article 5 et de l</w:t>
      </w:r>
      <w:r w:rsidR="00B34C89">
        <w:rPr>
          <w:lang w:val="fr-FR"/>
        </w:rPr>
        <w:t>’</w:t>
      </w:r>
      <w:r w:rsidRPr="00CB2F44">
        <w:rPr>
          <w:lang w:val="fr-FR"/>
        </w:rPr>
        <w:t>article 16 de la Convention, l</w:t>
      </w:r>
      <w:r w:rsidR="00B34C89">
        <w:rPr>
          <w:lang w:val="fr-FR"/>
        </w:rPr>
        <w:t>’</w:t>
      </w:r>
      <w:r w:rsidRPr="00CB2F44">
        <w:rPr>
          <w:lang w:val="fr-FR"/>
        </w:rPr>
        <w:t>État partie affirme qu</w:t>
      </w:r>
      <w:r w:rsidR="00B34C89">
        <w:rPr>
          <w:lang w:val="fr-FR"/>
        </w:rPr>
        <w:t>’</w:t>
      </w:r>
      <w:r w:rsidRPr="00CB2F44">
        <w:rPr>
          <w:lang w:val="fr-FR"/>
        </w:rPr>
        <w:t>il attache une grande importance aux mesures visant à éliminer tous les stéréotypes négatifs à l</w:t>
      </w:r>
      <w:r w:rsidR="00B34C89">
        <w:rPr>
          <w:lang w:val="fr-FR"/>
        </w:rPr>
        <w:t>’</w:t>
      </w:r>
      <w:r w:rsidRPr="00CB2F44">
        <w:rPr>
          <w:lang w:val="fr-FR"/>
        </w:rPr>
        <w:t>égard de tous les groupes protégés par la loi en accordant son appui et son patronage à des projets réalisés par des organisations non gouvernementales. Il énumère également les instruments juridiques internationaux qu</w:t>
      </w:r>
      <w:r w:rsidR="00B34C89">
        <w:rPr>
          <w:lang w:val="fr-FR"/>
        </w:rPr>
        <w:t>’</w:t>
      </w:r>
      <w:r w:rsidRPr="00CB2F44">
        <w:rPr>
          <w:lang w:val="fr-FR"/>
        </w:rPr>
        <w:t>il a ratifiés, dont la Convention du Conseil de l</w:t>
      </w:r>
      <w:r w:rsidR="00B34C89">
        <w:rPr>
          <w:lang w:val="fr-FR"/>
        </w:rPr>
        <w:t>’</w:t>
      </w:r>
      <w:r w:rsidRPr="00CB2F44">
        <w:rPr>
          <w:lang w:val="fr-FR"/>
        </w:rPr>
        <w:t>Europe sur la prévention et la lutte contre la violence à l</w:t>
      </w:r>
      <w:r w:rsidR="00B34C89">
        <w:rPr>
          <w:lang w:val="fr-FR"/>
        </w:rPr>
        <w:t>’</w:t>
      </w:r>
      <w:r w:rsidRPr="00CB2F44">
        <w:rPr>
          <w:lang w:val="fr-FR"/>
        </w:rPr>
        <w:t>égard des femmes et la violence domestique (Convention d</w:t>
      </w:r>
      <w:r w:rsidR="00B34C89">
        <w:rPr>
          <w:lang w:val="fr-FR"/>
        </w:rPr>
        <w:t>’</w:t>
      </w:r>
      <w:r w:rsidRPr="00CB2F44">
        <w:rPr>
          <w:lang w:val="fr-FR"/>
        </w:rPr>
        <w:t>Istanbul).</w:t>
      </w:r>
    </w:p>
    <w:p w14:paraId="5EB4284D" w14:textId="765F18B3" w:rsidR="00CB2F44" w:rsidRPr="00CB2F44" w:rsidRDefault="00CB2F44" w:rsidP="00763344">
      <w:pPr>
        <w:pStyle w:val="SingleTxt"/>
        <w:numPr>
          <w:ilvl w:val="0"/>
          <w:numId w:val="19"/>
        </w:numPr>
        <w:spacing w:line="240" w:lineRule="exact"/>
        <w:rPr>
          <w:lang w:val="fr-FR"/>
        </w:rPr>
      </w:pPr>
      <w:r w:rsidRPr="00CB2F44">
        <w:rPr>
          <w:lang w:val="fr-FR"/>
        </w:rPr>
        <w:t>Les forces de l</w:t>
      </w:r>
      <w:r w:rsidR="00B34C89">
        <w:rPr>
          <w:lang w:val="fr-FR"/>
        </w:rPr>
        <w:t>’</w:t>
      </w:r>
      <w:r w:rsidRPr="00CB2F44">
        <w:rPr>
          <w:lang w:val="fr-FR"/>
        </w:rPr>
        <w:t>ordre prennent des mesures pour que leur personnel bénéficie d</w:t>
      </w:r>
      <w:r w:rsidR="00B34C89">
        <w:rPr>
          <w:lang w:val="fr-FR"/>
        </w:rPr>
        <w:t>’</w:t>
      </w:r>
      <w:r w:rsidRPr="00CB2F44">
        <w:rPr>
          <w:lang w:val="fr-FR"/>
        </w:rPr>
        <w:t xml:space="preserve">une préparation professionnelle approfondie en matière de prévention de la violence domestique. Tous les fonctionnaires de police sont tenus de suivre une formation professionnelle de base qui aborde les droits humains. En novembre 2013, la question </w:t>
      </w:r>
      <w:r w:rsidRPr="00CB2F44">
        <w:rPr>
          <w:lang w:val="fr-FR"/>
        </w:rPr>
        <w:lastRenderedPageBreak/>
        <w:t>de la violence domestique a été inscrite au programme de formation de base et de formation à l</w:t>
      </w:r>
      <w:r w:rsidR="00B34C89">
        <w:rPr>
          <w:lang w:val="fr-FR"/>
        </w:rPr>
        <w:t>’</w:t>
      </w:r>
      <w:r w:rsidRPr="00CB2F44">
        <w:rPr>
          <w:lang w:val="fr-FR"/>
        </w:rPr>
        <w:t>encadrement de la police. Le programme national pour l</w:t>
      </w:r>
      <w:r w:rsidR="00B34C89">
        <w:rPr>
          <w:lang w:val="fr-FR"/>
        </w:rPr>
        <w:t>’</w:t>
      </w:r>
      <w:r w:rsidRPr="00CB2F44">
        <w:rPr>
          <w:lang w:val="fr-FR"/>
        </w:rPr>
        <w:t>égalité de traitement 2013-2016 comporte des objectifs et des priorités en matière de lutte contre la violence domestique et de protection des victimes. Un manuel destiné aux fonctionnaires qui interviennent dans les cas de violence domestique, ainsi que des outils et des procédures d</w:t>
      </w:r>
      <w:r w:rsidR="00B34C89">
        <w:rPr>
          <w:lang w:val="fr-FR"/>
        </w:rPr>
        <w:t>’</w:t>
      </w:r>
      <w:r w:rsidRPr="00CB2F44">
        <w:rPr>
          <w:lang w:val="fr-FR"/>
        </w:rPr>
        <w:t>évaluation des risques ont été élaborés et mis en place en décembre 2013, à la suite d</w:t>
      </w:r>
      <w:r w:rsidR="00B34C89">
        <w:rPr>
          <w:lang w:val="fr-FR"/>
        </w:rPr>
        <w:t>’</w:t>
      </w:r>
      <w:r w:rsidRPr="00CB2F44">
        <w:rPr>
          <w:lang w:val="fr-FR"/>
        </w:rPr>
        <w:t>une formation dispensée à l</w:t>
      </w:r>
      <w:r w:rsidR="00B34C89">
        <w:rPr>
          <w:lang w:val="fr-FR"/>
        </w:rPr>
        <w:t>’</w:t>
      </w:r>
      <w:r w:rsidRPr="00CB2F44">
        <w:rPr>
          <w:lang w:val="fr-FR"/>
        </w:rPr>
        <w:t>échelle nationale (35 000 membres du personnel formés). En 2013 et 2014, l</w:t>
      </w:r>
      <w:r w:rsidR="00B34C89">
        <w:rPr>
          <w:lang w:val="fr-FR"/>
        </w:rPr>
        <w:t>’</w:t>
      </w:r>
      <w:r w:rsidRPr="00CB2F44">
        <w:rPr>
          <w:lang w:val="fr-FR"/>
        </w:rPr>
        <w:t>Agence nationale de prévention des problèmes liés à l</w:t>
      </w:r>
      <w:r w:rsidR="00B34C89">
        <w:rPr>
          <w:lang w:val="fr-FR"/>
        </w:rPr>
        <w:t>’</w:t>
      </w:r>
      <w:r w:rsidRPr="00CB2F44">
        <w:rPr>
          <w:lang w:val="fr-FR"/>
        </w:rPr>
        <w:t>alcool a organisé des séances de formation sur la question de la violence domestique et sexuelle liée à l</w:t>
      </w:r>
      <w:r w:rsidR="00B34C89">
        <w:rPr>
          <w:lang w:val="fr-FR"/>
        </w:rPr>
        <w:t>’</w:t>
      </w:r>
      <w:r w:rsidRPr="00CB2F44">
        <w:rPr>
          <w:lang w:val="fr-FR"/>
        </w:rPr>
        <w:t>alcool. De 2013 à 2015, la Représentante du Gouvernement pour l</w:t>
      </w:r>
      <w:r w:rsidR="00B34C89">
        <w:rPr>
          <w:lang w:val="fr-FR"/>
        </w:rPr>
        <w:t>’</w:t>
      </w:r>
      <w:r w:rsidRPr="00CB2F44">
        <w:rPr>
          <w:lang w:val="fr-FR"/>
        </w:rPr>
        <w:t>égalité de traitement a réalisé un projet sur les droits des victimes d</w:t>
      </w:r>
      <w:r w:rsidR="00B34C89">
        <w:rPr>
          <w:lang w:val="fr-FR"/>
        </w:rPr>
        <w:t>’</w:t>
      </w:r>
      <w:r w:rsidRPr="00CB2F44">
        <w:rPr>
          <w:lang w:val="fr-FR"/>
        </w:rPr>
        <w:t>infractions sexuelles. L</w:t>
      </w:r>
      <w:r w:rsidR="00B34C89">
        <w:rPr>
          <w:lang w:val="fr-FR"/>
        </w:rPr>
        <w:t>’</w:t>
      </w:r>
      <w:r w:rsidRPr="00CB2F44">
        <w:rPr>
          <w:lang w:val="fr-FR"/>
        </w:rPr>
        <w:t>État partie a également mené diverses initiatives par l</w:t>
      </w:r>
      <w:r w:rsidR="00B34C89">
        <w:rPr>
          <w:lang w:val="fr-FR"/>
        </w:rPr>
        <w:t>’</w:t>
      </w:r>
      <w:r w:rsidRPr="00CB2F44">
        <w:rPr>
          <w:lang w:val="fr-FR"/>
        </w:rPr>
        <w:t>intermédiaire du Ministère de la famille, du travail et de la politique sociale en 2014 et 2015.</w:t>
      </w:r>
    </w:p>
    <w:p w14:paraId="407AEA9D" w14:textId="3943896F" w:rsidR="00CB2F44" w:rsidRPr="00CB2F44" w:rsidRDefault="00CB2F44" w:rsidP="00763344">
      <w:pPr>
        <w:pStyle w:val="SingleTxt"/>
        <w:numPr>
          <w:ilvl w:val="0"/>
          <w:numId w:val="19"/>
        </w:numPr>
        <w:spacing w:line="240" w:lineRule="exact"/>
        <w:rPr>
          <w:lang w:val="fr-FR"/>
        </w:rPr>
      </w:pPr>
      <w:r w:rsidRPr="00CB2F44">
        <w:rPr>
          <w:lang w:val="fr-FR"/>
        </w:rPr>
        <w:t>L</w:t>
      </w:r>
      <w:r w:rsidR="00B34C89">
        <w:rPr>
          <w:lang w:val="fr-FR"/>
        </w:rPr>
        <w:t>’</w:t>
      </w:r>
      <w:r w:rsidRPr="00CB2F44">
        <w:rPr>
          <w:lang w:val="fr-FR"/>
        </w:rPr>
        <w:t>État partie fait valoir que la demande d</w:t>
      </w:r>
      <w:r w:rsidR="00B34C89">
        <w:rPr>
          <w:lang w:val="fr-FR"/>
        </w:rPr>
        <w:t>’</w:t>
      </w:r>
      <w:r w:rsidRPr="00CB2F44">
        <w:rPr>
          <w:lang w:val="fr-FR"/>
        </w:rPr>
        <w:t>indemnisation présentée par l</w:t>
      </w:r>
      <w:r w:rsidR="00B34C89">
        <w:rPr>
          <w:lang w:val="fr-FR"/>
        </w:rPr>
        <w:t>’</w:t>
      </w:r>
      <w:r w:rsidRPr="00CB2F44">
        <w:rPr>
          <w:lang w:val="fr-FR"/>
        </w:rPr>
        <w:t>auteure pour les pertes liées à la destruction de la maison est infondée, car le préjudice subi ne résulte pas de violations de la Convention, ni d</w:t>
      </w:r>
      <w:r w:rsidR="00B34C89">
        <w:rPr>
          <w:lang w:val="fr-FR"/>
        </w:rPr>
        <w:t>’</w:t>
      </w:r>
      <w:r w:rsidRPr="00CB2F44">
        <w:rPr>
          <w:lang w:val="fr-FR"/>
        </w:rPr>
        <w:t>actes ou d</w:t>
      </w:r>
      <w:r w:rsidR="00B34C89">
        <w:rPr>
          <w:lang w:val="fr-FR"/>
        </w:rPr>
        <w:t>’</w:t>
      </w:r>
      <w:r w:rsidRPr="00CB2F44">
        <w:rPr>
          <w:lang w:val="fr-FR"/>
        </w:rPr>
        <w:t>omissions des autorités publiques. De plus, la demande de l</w:t>
      </w:r>
      <w:r w:rsidR="00B34C89">
        <w:rPr>
          <w:lang w:val="fr-FR"/>
        </w:rPr>
        <w:t>’</w:t>
      </w:r>
      <w:r w:rsidRPr="00CB2F44">
        <w:rPr>
          <w:lang w:val="fr-FR"/>
        </w:rPr>
        <w:t>auteure concernant le versement d</w:t>
      </w:r>
      <w:r w:rsidR="00B34C89">
        <w:rPr>
          <w:lang w:val="fr-FR"/>
        </w:rPr>
        <w:t>’</w:t>
      </w:r>
      <w:r w:rsidRPr="00CB2F44">
        <w:rPr>
          <w:lang w:val="fr-FR"/>
        </w:rPr>
        <w:t>un montant correspondant à la valeur totale de la maison est injustifiée, car l</w:t>
      </w:r>
      <w:r w:rsidR="00B34C89">
        <w:rPr>
          <w:lang w:val="fr-FR"/>
        </w:rPr>
        <w:t>’</w:t>
      </w:r>
      <w:r w:rsidRPr="00CB2F44">
        <w:rPr>
          <w:lang w:val="fr-FR"/>
        </w:rPr>
        <w:t>auteure ne saurait être considérée comme l</w:t>
      </w:r>
      <w:r w:rsidR="00B34C89">
        <w:rPr>
          <w:lang w:val="fr-FR"/>
        </w:rPr>
        <w:t>’</w:t>
      </w:r>
      <w:r w:rsidRPr="00CB2F44">
        <w:rPr>
          <w:lang w:val="fr-FR"/>
        </w:rPr>
        <w:t>unique propriétaire de ce bien. Elle et son mari était copropriétaires de la maison à parts égales. Selon la législation de l</w:t>
      </w:r>
      <w:r w:rsidR="00B34C89">
        <w:rPr>
          <w:lang w:val="fr-FR"/>
        </w:rPr>
        <w:t>’</w:t>
      </w:r>
      <w:r w:rsidRPr="00CB2F44">
        <w:rPr>
          <w:lang w:val="fr-FR"/>
        </w:rPr>
        <w:t>État partie relative à la cessation de la propriété commune, une propriété commune devient une propriété partagée à laquelle s</w:t>
      </w:r>
      <w:r w:rsidR="00B34C89">
        <w:rPr>
          <w:lang w:val="fr-FR"/>
        </w:rPr>
        <w:t>’</w:t>
      </w:r>
      <w:r w:rsidRPr="00CB2F44">
        <w:rPr>
          <w:lang w:val="fr-FR"/>
        </w:rPr>
        <w:t>appliquent les dispositions concernant la propriété commune héritée. Le jugement de divorce définitif peut servir de base à l</w:t>
      </w:r>
      <w:r w:rsidR="00B34C89">
        <w:rPr>
          <w:lang w:val="fr-FR"/>
        </w:rPr>
        <w:t>’</w:t>
      </w:r>
      <w:r w:rsidRPr="00CB2F44">
        <w:rPr>
          <w:lang w:val="fr-FR"/>
        </w:rPr>
        <w:t>inscription de la propriété partagée au registre foncier et hypothécaire au profit des ex-époux. Dans le cas d</w:t>
      </w:r>
      <w:r w:rsidR="00B34C89">
        <w:rPr>
          <w:lang w:val="fr-FR"/>
        </w:rPr>
        <w:t>’</w:t>
      </w:r>
      <w:r w:rsidRPr="00CB2F44">
        <w:rPr>
          <w:lang w:val="fr-FR"/>
        </w:rPr>
        <w:t>un partage de la propriété commune, l</w:t>
      </w:r>
      <w:r w:rsidR="00B34C89">
        <w:rPr>
          <w:lang w:val="fr-FR"/>
        </w:rPr>
        <w:t>’</w:t>
      </w:r>
      <w:r w:rsidRPr="00CB2F44">
        <w:rPr>
          <w:lang w:val="fr-FR"/>
        </w:rPr>
        <w:t>auteure aurait reçu la moitié de la valeur du bien ou aurait dû verser à son mari une somme correspondant à la valeur de sa part.</w:t>
      </w:r>
    </w:p>
    <w:p w14:paraId="46875E4E" w14:textId="6EFC2B48" w:rsidR="00CB2F44" w:rsidRPr="00CB2F44" w:rsidRDefault="00CB2F44" w:rsidP="00763344">
      <w:pPr>
        <w:pStyle w:val="SingleTxt"/>
        <w:numPr>
          <w:ilvl w:val="0"/>
          <w:numId w:val="19"/>
        </w:numPr>
        <w:spacing w:line="240" w:lineRule="exact"/>
        <w:rPr>
          <w:lang w:val="fr-FR"/>
        </w:rPr>
      </w:pPr>
      <w:r w:rsidRPr="00CB2F44">
        <w:rPr>
          <w:lang w:val="fr-FR"/>
        </w:rPr>
        <w:t>Rien ne permet de conclure que l</w:t>
      </w:r>
      <w:r w:rsidR="00B34C89">
        <w:rPr>
          <w:lang w:val="fr-FR"/>
        </w:rPr>
        <w:t>’</w:t>
      </w:r>
      <w:r w:rsidRPr="00CB2F44">
        <w:rPr>
          <w:lang w:val="fr-FR"/>
        </w:rPr>
        <w:t>auteure aurait eu le droit de disposer de la maison à titre exclusif, car elle n</w:t>
      </w:r>
      <w:r w:rsidR="00B34C89">
        <w:rPr>
          <w:lang w:val="fr-FR"/>
        </w:rPr>
        <w:t>’</w:t>
      </w:r>
      <w:r w:rsidRPr="00CB2F44">
        <w:rPr>
          <w:lang w:val="fr-FR"/>
        </w:rPr>
        <w:t>en aurait pas été l</w:t>
      </w:r>
      <w:r w:rsidR="00B34C89">
        <w:rPr>
          <w:lang w:val="fr-FR"/>
        </w:rPr>
        <w:t>’</w:t>
      </w:r>
      <w:r w:rsidRPr="00CB2F44">
        <w:rPr>
          <w:lang w:val="fr-FR"/>
        </w:rPr>
        <w:t>unique propriétaire même si le bien n</w:t>
      </w:r>
      <w:r w:rsidR="00B34C89">
        <w:rPr>
          <w:lang w:val="fr-FR"/>
        </w:rPr>
        <w:t>’</w:t>
      </w:r>
      <w:r w:rsidRPr="00CB2F44">
        <w:rPr>
          <w:lang w:val="fr-FR"/>
        </w:rPr>
        <w:t>avait pas été détruit. Quand le mari de l</w:t>
      </w:r>
      <w:r w:rsidR="00B34C89">
        <w:rPr>
          <w:lang w:val="fr-FR"/>
        </w:rPr>
        <w:t>’</w:t>
      </w:r>
      <w:r w:rsidRPr="00CB2F44">
        <w:rPr>
          <w:lang w:val="fr-FR"/>
        </w:rPr>
        <w:t>auteure, E. S., est décédé, les enfants de ce dernier sont devenus ses héritiers de plein droit. D</w:t>
      </w:r>
      <w:r w:rsidR="00B34C89">
        <w:rPr>
          <w:lang w:val="fr-FR"/>
        </w:rPr>
        <w:t>’</w:t>
      </w:r>
      <w:r w:rsidRPr="00CB2F44">
        <w:rPr>
          <w:lang w:val="fr-FR"/>
        </w:rPr>
        <w:t>après les dossiers, E. S. ne semble pas avoir laissé de testament. Dans ce cas de figure, les dispositions de la succession légale s</w:t>
      </w:r>
      <w:r w:rsidR="00B34C89">
        <w:rPr>
          <w:lang w:val="fr-FR"/>
        </w:rPr>
        <w:t>’</w:t>
      </w:r>
      <w:r w:rsidRPr="00CB2F44">
        <w:rPr>
          <w:lang w:val="fr-FR"/>
        </w:rPr>
        <w:t>appliquent</w:t>
      </w:r>
      <w:r w:rsidR="00B34C89">
        <w:rPr>
          <w:lang w:val="fr-FR"/>
        </w:rPr>
        <w:t> :</w:t>
      </w:r>
      <w:r w:rsidRPr="00CB2F44">
        <w:rPr>
          <w:lang w:val="fr-FR"/>
        </w:rPr>
        <w:t xml:space="preserve"> les enfants et l</w:t>
      </w:r>
      <w:r w:rsidR="00B34C89">
        <w:rPr>
          <w:lang w:val="fr-FR"/>
        </w:rPr>
        <w:t>’</w:t>
      </w:r>
      <w:r w:rsidRPr="00CB2F44">
        <w:rPr>
          <w:lang w:val="fr-FR"/>
        </w:rPr>
        <w:t>épouse héritent à parts égales des biens du défunt, la part de l</w:t>
      </w:r>
      <w:r w:rsidR="00B34C89">
        <w:rPr>
          <w:lang w:val="fr-FR"/>
        </w:rPr>
        <w:t>’</w:t>
      </w:r>
      <w:r w:rsidRPr="00CB2F44">
        <w:rPr>
          <w:lang w:val="fr-FR"/>
        </w:rPr>
        <w:t>épouse correspondant à au moins un quart de l</w:t>
      </w:r>
      <w:r w:rsidR="00B34C89">
        <w:rPr>
          <w:lang w:val="fr-FR"/>
        </w:rPr>
        <w:t>’</w:t>
      </w:r>
      <w:r w:rsidRPr="00CB2F44">
        <w:rPr>
          <w:lang w:val="fr-FR"/>
        </w:rPr>
        <w:t>ensemble de la succession. Or, le divorce de l</w:t>
      </w:r>
      <w:r w:rsidR="00B34C89">
        <w:rPr>
          <w:lang w:val="fr-FR"/>
        </w:rPr>
        <w:t>’</w:t>
      </w:r>
      <w:r w:rsidRPr="00CB2F44">
        <w:rPr>
          <w:lang w:val="fr-FR"/>
        </w:rPr>
        <w:t>auteure et d</w:t>
      </w:r>
      <w:r w:rsidR="00B34C89">
        <w:rPr>
          <w:lang w:val="fr-FR"/>
        </w:rPr>
        <w:t>’</w:t>
      </w:r>
      <w:r w:rsidRPr="00CB2F44">
        <w:rPr>
          <w:lang w:val="fr-FR"/>
        </w:rPr>
        <w:t>E. S. est devenu définitif le 21 avril 2006 et E. S. est décédé le 4 mai 2006. L</w:t>
      </w:r>
      <w:r w:rsidR="00B34C89">
        <w:rPr>
          <w:lang w:val="fr-FR"/>
        </w:rPr>
        <w:t>’</w:t>
      </w:r>
      <w:r w:rsidRPr="00CB2F44">
        <w:rPr>
          <w:lang w:val="fr-FR"/>
        </w:rPr>
        <w:t>auteure n</w:t>
      </w:r>
      <w:r w:rsidR="00B34C89">
        <w:rPr>
          <w:lang w:val="fr-FR"/>
        </w:rPr>
        <w:t>’</w:t>
      </w:r>
      <w:r w:rsidRPr="00CB2F44">
        <w:rPr>
          <w:lang w:val="fr-FR"/>
        </w:rPr>
        <w:t>était plus son épouse et, conformément à la loi, elle ne pouvait hériter de ses biens. Il est probable que les deux enfants d</w:t>
      </w:r>
      <w:r w:rsidR="00B34C89">
        <w:rPr>
          <w:lang w:val="fr-FR"/>
        </w:rPr>
        <w:t>’</w:t>
      </w:r>
      <w:r w:rsidRPr="00CB2F44">
        <w:rPr>
          <w:lang w:val="fr-FR"/>
        </w:rPr>
        <w:t>E. S. soient ses héritiers. Par conséquent, l</w:t>
      </w:r>
      <w:r w:rsidR="00B34C89">
        <w:rPr>
          <w:lang w:val="fr-FR"/>
        </w:rPr>
        <w:t>’</w:t>
      </w:r>
      <w:r w:rsidRPr="00CB2F44">
        <w:rPr>
          <w:lang w:val="fr-FR"/>
        </w:rPr>
        <w:t>auteure n</w:t>
      </w:r>
      <w:r w:rsidR="00B34C89">
        <w:rPr>
          <w:lang w:val="fr-FR"/>
        </w:rPr>
        <w:t>’</w:t>
      </w:r>
      <w:r w:rsidRPr="00CB2F44">
        <w:rPr>
          <w:lang w:val="fr-FR"/>
        </w:rPr>
        <w:t>est pas en droit de demander une indemnité correspondant à la valeur totale de la maison.</w:t>
      </w:r>
      <w:bookmarkStart w:id="10" w:name="_Hlk36631507"/>
      <w:bookmarkStart w:id="11" w:name="_Hlk36631920"/>
      <w:bookmarkEnd w:id="10"/>
      <w:bookmarkEnd w:id="11"/>
    </w:p>
    <w:p w14:paraId="5239A4EF" w14:textId="433F70B0" w:rsidR="00CB2F44" w:rsidRPr="00CB2F44" w:rsidRDefault="00CB2F44" w:rsidP="00763344">
      <w:pPr>
        <w:pStyle w:val="SingleTxt"/>
        <w:numPr>
          <w:ilvl w:val="0"/>
          <w:numId w:val="19"/>
        </w:numPr>
        <w:spacing w:line="240" w:lineRule="exact"/>
        <w:rPr>
          <w:lang w:val="fr-FR"/>
        </w:rPr>
      </w:pPr>
      <w:r w:rsidRPr="00CB2F44">
        <w:rPr>
          <w:lang w:val="fr-FR"/>
        </w:rPr>
        <w:t>L</w:t>
      </w:r>
      <w:r w:rsidR="00B34C89">
        <w:rPr>
          <w:lang w:val="fr-FR"/>
        </w:rPr>
        <w:t>’</w:t>
      </w:r>
      <w:r w:rsidRPr="00CB2F44">
        <w:rPr>
          <w:lang w:val="fr-FR"/>
        </w:rPr>
        <w:t>État partie fait en outre remarquer que le montant demandé par l</w:t>
      </w:r>
      <w:r w:rsidR="00B34C89">
        <w:rPr>
          <w:lang w:val="fr-FR"/>
        </w:rPr>
        <w:t>’</w:t>
      </w:r>
      <w:r w:rsidRPr="00CB2F44">
        <w:rPr>
          <w:lang w:val="fr-FR"/>
        </w:rPr>
        <w:t>auteure est exorbitant, compte tenu de la valeur estimative des biens brûlés communiquée par la compagnie d</w:t>
      </w:r>
      <w:r w:rsidR="00B34C89">
        <w:rPr>
          <w:lang w:val="fr-FR"/>
        </w:rPr>
        <w:t>’</w:t>
      </w:r>
      <w:r w:rsidRPr="00CB2F44">
        <w:rPr>
          <w:lang w:val="fr-FR"/>
        </w:rPr>
        <w:t>assurance. L</w:t>
      </w:r>
      <w:r w:rsidR="00B34C89">
        <w:rPr>
          <w:lang w:val="fr-FR"/>
        </w:rPr>
        <w:t>’</w:t>
      </w:r>
      <w:r w:rsidRPr="00CB2F44">
        <w:rPr>
          <w:lang w:val="fr-FR"/>
        </w:rPr>
        <w:t>auteure conteste cette valeur estimative et adresse le reste de sa demande à l</w:t>
      </w:r>
      <w:r w:rsidR="00B34C89">
        <w:rPr>
          <w:lang w:val="fr-FR"/>
        </w:rPr>
        <w:t>’</w:t>
      </w:r>
      <w:r w:rsidRPr="00CB2F44">
        <w:rPr>
          <w:lang w:val="fr-FR"/>
        </w:rPr>
        <w:t>État partie. À cet égard, l</w:t>
      </w:r>
      <w:r w:rsidR="00B34C89">
        <w:rPr>
          <w:lang w:val="fr-FR"/>
        </w:rPr>
        <w:t>’</w:t>
      </w:r>
      <w:r w:rsidRPr="00CB2F44">
        <w:rPr>
          <w:lang w:val="fr-FR"/>
        </w:rPr>
        <w:t>État partie soutient qu</w:t>
      </w:r>
      <w:r w:rsidR="00B34C89">
        <w:rPr>
          <w:lang w:val="fr-FR"/>
        </w:rPr>
        <w:t>’</w:t>
      </w:r>
      <w:r w:rsidRPr="00CB2F44">
        <w:rPr>
          <w:lang w:val="fr-FR"/>
        </w:rPr>
        <w:t>elle n</w:t>
      </w:r>
      <w:r w:rsidR="00B34C89">
        <w:rPr>
          <w:lang w:val="fr-FR"/>
        </w:rPr>
        <w:t>’</w:t>
      </w:r>
      <w:r w:rsidRPr="00CB2F44">
        <w:rPr>
          <w:lang w:val="fr-FR"/>
        </w:rPr>
        <w:t>a pas intenté d</w:t>
      </w:r>
      <w:r w:rsidR="00B34C89">
        <w:rPr>
          <w:lang w:val="fr-FR"/>
        </w:rPr>
        <w:t>’</w:t>
      </w:r>
      <w:r w:rsidRPr="00CB2F44">
        <w:rPr>
          <w:lang w:val="fr-FR"/>
        </w:rPr>
        <w:t>action contre la compagnie d</w:t>
      </w:r>
      <w:r w:rsidR="00B34C89">
        <w:rPr>
          <w:lang w:val="fr-FR"/>
        </w:rPr>
        <w:t>’</w:t>
      </w:r>
      <w:r w:rsidRPr="00CB2F44">
        <w:rPr>
          <w:lang w:val="fr-FR"/>
        </w:rPr>
        <w:t>assurance pour les préjudices résultant de la destruction de la maison. La maison était assurée, y compris contre le risque d</w:t>
      </w:r>
      <w:r w:rsidR="00B34C89">
        <w:rPr>
          <w:lang w:val="fr-FR"/>
        </w:rPr>
        <w:t>’</w:t>
      </w:r>
      <w:r w:rsidRPr="00CB2F44">
        <w:rPr>
          <w:lang w:val="fr-FR"/>
        </w:rPr>
        <w:t>incendie, pour un montant de 507 000 zlotys. La compagnie d</w:t>
      </w:r>
      <w:r w:rsidR="00B34C89">
        <w:rPr>
          <w:lang w:val="fr-FR"/>
        </w:rPr>
        <w:t>’</w:t>
      </w:r>
      <w:r w:rsidRPr="00CB2F44">
        <w:rPr>
          <w:lang w:val="fr-FR"/>
        </w:rPr>
        <w:t>assurance a versé à l</w:t>
      </w:r>
      <w:r w:rsidR="00B34C89">
        <w:rPr>
          <w:lang w:val="fr-FR"/>
        </w:rPr>
        <w:t>’</w:t>
      </w:r>
      <w:r w:rsidRPr="00CB2F44">
        <w:rPr>
          <w:lang w:val="fr-FR"/>
        </w:rPr>
        <w:t>auteure une indemnité de 106 634,45 zlotys, soit 50</w:t>
      </w:r>
      <w:r w:rsidR="00B34C89">
        <w:rPr>
          <w:lang w:val="fr-FR"/>
        </w:rPr>
        <w:t> %</w:t>
      </w:r>
      <w:r w:rsidRPr="00CB2F44">
        <w:rPr>
          <w:lang w:val="fr-FR"/>
        </w:rPr>
        <w:t xml:space="preserve"> de la valeur estimée, le reste de l</w:t>
      </w:r>
      <w:r w:rsidR="00B34C89">
        <w:rPr>
          <w:lang w:val="fr-FR"/>
        </w:rPr>
        <w:t>’</w:t>
      </w:r>
      <w:r w:rsidRPr="00CB2F44">
        <w:rPr>
          <w:lang w:val="fr-FR"/>
        </w:rPr>
        <w:t>indemnité devant être versé une fois la procédure de partage des biens achevée. L</w:t>
      </w:r>
      <w:r w:rsidR="00B34C89">
        <w:rPr>
          <w:lang w:val="fr-FR"/>
        </w:rPr>
        <w:t>’</w:t>
      </w:r>
      <w:r w:rsidRPr="00CB2F44">
        <w:rPr>
          <w:lang w:val="fr-FR"/>
        </w:rPr>
        <w:t>auteure n</w:t>
      </w:r>
      <w:r w:rsidR="00B34C89">
        <w:rPr>
          <w:lang w:val="fr-FR"/>
        </w:rPr>
        <w:t>’</w:t>
      </w:r>
      <w:r w:rsidRPr="00CB2F44">
        <w:rPr>
          <w:lang w:val="fr-FR"/>
        </w:rPr>
        <w:t>a pas formulé d</w:t>
      </w:r>
      <w:r w:rsidR="00B34C89">
        <w:rPr>
          <w:lang w:val="fr-FR"/>
        </w:rPr>
        <w:t>’</w:t>
      </w:r>
      <w:r w:rsidRPr="00CB2F44">
        <w:rPr>
          <w:lang w:val="fr-FR"/>
        </w:rPr>
        <w:t>autres requêtes à cet égard, alors qu</w:t>
      </w:r>
      <w:r w:rsidR="00B34C89">
        <w:rPr>
          <w:lang w:val="fr-FR"/>
        </w:rPr>
        <w:t>’</w:t>
      </w:r>
      <w:r w:rsidRPr="00CB2F44">
        <w:rPr>
          <w:lang w:val="fr-FR"/>
        </w:rPr>
        <w:t>elle avait le droit d</w:t>
      </w:r>
      <w:r w:rsidR="00B34C89">
        <w:rPr>
          <w:lang w:val="fr-FR"/>
        </w:rPr>
        <w:t>’</w:t>
      </w:r>
      <w:r w:rsidRPr="00CB2F44">
        <w:rPr>
          <w:lang w:val="fr-FR"/>
        </w:rPr>
        <w:t>intenter une action contre la compagnie d</w:t>
      </w:r>
      <w:r w:rsidR="00B34C89">
        <w:rPr>
          <w:lang w:val="fr-FR"/>
        </w:rPr>
        <w:t>’</w:t>
      </w:r>
      <w:r w:rsidRPr="00CB2F44">
        <w:rPr>
          <w:lang w:val="fr-FR"/>
        </w:rPr>
        <w:t>assurance devant une juridiction civile. L</w:t>
      </w:r>
      <w:r w:rsidR="00B34C89">
        <w:rPr>
          <w:lang w:val="fr-FR"/>
        </w:rPr>
        <w:t>’</w:t>
      </w:r>
      <w:r w:rsidRPr="00CB2F44">
        <w:rPr>
          <w:lang w:val="fr-FR"/>
        </w:rPr>
        <w:t>État partie fait valoir que l</w:t>
      </w:r>
      <w:r w:rsidR="00B34C89">
        <w:rPr>
          <w:lang w:val="fr-FR"/>
        </w:rPr>
        <w:t>’</w:t>
      </w:r>
      <w:r w:rsidRPr="00CB2F44">
        <w:rPr>
          <w:lang w:val="fr-FR"/>
        </w:rPr>
        <w:t>auteure demande au Comité de lui accorder une indemnité qu</w:t>
      </w:r>
      <w:r w:rsidR="00B34C89">
        <w:rPr>
          <w:lang w:val="fr-FR"/>
        </w:rPr>
        <w:t>’</w:t>
      </w:r>
      <w:r w:rsidRPr="00CB2F44">
        <w:rPr>
          <w:lang w:val="fr-FR"/>
        </w:rPr>
        <w:t>elle aurait dû solliciter dans le cadre d</w:t>
      </w:r>
      <w:r w:rsidR="00B34C89">
        <w:rPr>
          <w:lang w:val="fr-FR"/>
        </w:rPr>
        <w:t>’</w:t>
      </w:r>
      <w:r w:rsidRPr="00CB2F44">
        <w:rPr>
          <w:lang w:val="fr-FR"/>
        </w:rPr>
        <w:t xml:space="preserve">une procédure interne. En outre, </w:t>
      </w:r>
      <w:r w:rsidRPr="00CB2F44">
        <w:rPr>
          <w:lang w:val="fr-FR"/>
        </w:rPr>
        <w:lastRenderedPageBreak/>
        <w:t>elle n</w:t>
      </w:r>
      <w:r w:rsidR="00B34C89">
        <w:rPr>
          <w:lang w:val="fr-FR"/>
        </w:rPr>
        <w:t>’</w:t>
      </w:r>
      <w:r w:rsidRPr="00CB2F44">
        <w:rPr>
          <w:lang w:val="fr-FR"/>
        </w:rPr>
        <w:t>a pas fourni d</w:t>
      </w:r>
      <w:r w:rsidR="00B34C89">
        <w:rPr>
          <w:lang w:val="fr-FR"/>
        </w:rPr>
        <w:t>’</w:t>
      </w:r>
      <w:r w:rsidRPr="00CB2F44">
        <w:rPr>
          <w:lang w:val="fr-FR"/>
        </w:rPr>
        <w:t>éléments de preuve pour étayer le montant du préjudice et, pour obtenir le droit de disposer de la totalité des biens communs, elle aurait été tenue de présenter une décision de justice sur le partage des biens communs, le partage de l</w:t>
      </w:r>
      <w:r w:rsidR="00B34C89">
        <w:rPr>
          <w:lang w:val="fr-FR"/>
        </w:rPr>
        <w:t>’</w:t>
      </w:r>
      <w:r w:rsidRPr="00CB2F44">
        <w:rPr>
          <w:lang w:val="fr-FR"/>
        </w:rPr>
        <w:t>héritage et l</w:t>
      </w:r>
      <w:r w:rsidR="00B34C89">
        <w:rPr>
          <w:lang w:val="fr-FR"/>
        </w:rPr>
        <w:t>’</w:t>
      </w:r>
      <w:r w:rsidRPr="00CB2F44">
        <w:rPr>
          <w:lang w:val="fr-FR"/>
        </w:rPr>
        <w:t>annulation de la copropriété, dans le cadre d</w:t>
      </w:r>
      <w:r w:rsidR="00B34C89">
        <w:rPr>
          <w:lang w:val="fr-FR"/>
        </w:rPr>
        <w:t>’</w:t>
      </w:r>
      <w:r w:rsidRPr="00CB2F44">
        <w:rPr>
          <w:lang w:val="fr-FR"/>
        </w:rPr>
        <w:t>une procédure dont les parties auraient été les héritiers d</w:t>
      </w:r>
      <w:r w:rsidR="00B34C89">
        <w:rPr>
          <w:lang w:val="fr-FR"/>
        </w:rPr>
        <w:t>’</w:t>
      </w:r>
      <w:r w:rsidRPr="00CB2F44">
        <w:rPr>
          <w:lang w:val="fr-FR"/>
        </w:rPr>
        <w:t>E. S. L</w:t>
      </w:r>
      <w:r w:rsidR="00B34C89">
        <w:rPr>
          <w:lang w:val="fr-FR"/>
        </w:rPr>
        <w:t>’</w:t>
      </w:r>
      <w:r w:rsidRPr="00CB2F44">
        <w:rPr>
          <w:lang w:val="fr-FR"/>
        </w:rPr>
        <w:t>État partie affirme que l</w:t>
      </w:r>
      <w:r w:rsidR="00B34C89">
        <w:rPr>
          <w:lang w:val="fr-FR"/>
        </w:rPr>
        <w:t>’</w:t>
      </w:r>
      <w:r w:rsidRPr="00CB2F44">
        <w:rPr>
          <w:lang w:val="fr-FR"/>
        </w:rPr>
        <w:t>auteure n</w:t>
      </w:r>
      <w:r w:rsidR="00B34C89">
        <w:rPr>
          <w:lang w:val="fr-FR"/>
        </w:rPr>
        <w:t>’</w:t>
      </w:r>
      <w:r w:rsidRPr="00CB2F44">
        <w:rPr>
          <w:lang w:val="fr-FR"/>
        </w:rPr>
        <w:t>a pas entrepris de telles démarches.</w:t>
      </w:r>
      <w:bookmarkStart w:id="12" w:name="_Hlk36632393"/>
      <w:bookmarkStart w:id="13" w:name="_Hlk36720869"/>
      <w:bookmarkStart w:id="14" w:name="_Hlk36632728"/>
      <w:bookmarkEnd w:id="12"/>
      <w:bookmarkEnd w:id="13"/>
      <w:bookmarkEnd w:id="14"/>
    </w:p>
    <w:p w14:paraId="0879536C" w14:textId="518FEED9" w:rsidR="00CB2F44" w:rsidRDefault="00CB2F44" w:rsidP="00763344">
      <w:pPr>
        <w:pStyle w:val="SingleTxt"/>
        <w:numPr>
          <w:ilvl w:val="0"/>
          <w:numId w:val="19"/>
        </w:numPr>
        <w:spacing w:line="240" w:lineRule="exact"/>
        <w:rPr>
          <w:lang w:val="fr-FR"/>
        </w:rPr>
      </w:pPr>
      <w:r w:rsidRPr="00CB2F44">
        <w:rPr>
          <w:lang w:val="fr-FR"/>
        </w:rPr>
        <w:t>L</w:t>
      </w:r>
      <w:r w:rsidR="00B34C89">
        <w:rPr>
          <w:lang w:val="fr-FR"/>
        </w:rPr>
        <w:t>’</w:t>
      </w:r>
      <w:r w:rsidRPr="00CB2F44">
        <w:rPr>
          <w:lang w:val="fr-FR"/>
        </w:rPr>
        <w:t>État partie réitère sa position selon laquelle la communication devrait être considérée comme irrecevable pour non-épuisement des recours internes au regard du paragraphe 1 de l</w:t>
      </w:r>
      <w:r w:rsidR="00B34C89">
        <w:rPr>
          <w:lang w:val="fr-FR"/>
        </w:rPr>
        <w:t>’</w:t>
      </w:r>
      <w:r w:rsidRPr="00CB2F44">
        <w:rPr>
          <w:lang w:val="fr-FR"/>
        </w:rPr>
        <w:t>article 4 du Protocole facultatif, et comme irrecevable pour défaut manifeste de fondement au regard de l</w:t>
      </w:r>
      <w:r w:rsidR="00B34C89">
        <w:rPr>
          <w:lang w:val="fr-FR"/>
        </w:rPr>
        <w:t>’</w:t>
      </w:r>
      <w:r w:rsidRPr="00CB2F44">
        <w:rPr>
          <w:lang w:val="fr-FR"/>
        </w:rPr>
        <w:t>alinéa c) du paragraphe 2 de l</w:t>
      </w:r>
      <w:r w:rsidR="00B34C89">
        <w:rPr>
          <w:lang w:val="fr-FR"/>
        </w:rPr>
        <w:t>’</w:t>
      </w:r>
      <w:r w:rsidRPr="00CB2F44">
        <w:rPr>
          <w:lang w:val="fr-FR"/>
        </w:rPr>
        <w:t>article 4 du Protocole facultatif.</w:t>
      </w:r>
    </w:p>
    <w:p w14:paraId="19CAD81F" w14:textId="15D1D636" w:rsidR="00763344" w:rsidRPr="00763344" w:rsidRDefault="00763344" w:rsidP="00763344">
      <w:pPr>
        <w:pStyle w:val="SingleTxt"/>
        <w:spacing w:after="0" w:line="120" w:lineRule="exact"/>
        <w:rPr>
          <w:sz w:val="10"/>
          <w:lang w:val="fr-FR"/>
        </w:rPr>
      </w:pPr>
    </w:p>
    <w:p w14:paraId="31820D9C" w14:textId="54EE880B" w:rsidR="00CB2F44" w:rsidRDefault="00CB2F44" w:rsidP="007633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2F44">
        <w:rPr>
          <w:lang w:val="fr-FR"/>
        </w:rPr>
        <w:tab/>
      </w:r>
      <w:r w:rsidRPr="00CB2F44">
        <w:rPr>
          <w:lang w:val="fr-FR"/>
        </w:rPr>
        <w:tab/>
        <w:t>Commentaires de l</w:t>
      </w:r>
      <w:r w:rsidR="00B34C89">
        <w:rPr>
          <w:lang w:val="fr-FR"/>
        </w:rPr>
        <w:t>’</w:t>
      </w:r>
      <w:r w:rsidRPr="00CB2F44">
        <w:rPr>
          <w:lang w:val="fr-FR"/>
        </w:rPr>
        <w:t>auteure sur les observations de l</w:t>
      </w:r>
      <w:r w:rsidR="00B34C89">
        <w:rPr>
          <w:lang w:val="fr-FR"/>
        </w:rPr>
        <w:t>’</w:t>
      </w:r>
      <w:r w:rsidRPr="00CB2F44">
        <w:rPr>
          <w:lang w:val="fr-FR"/>
        </w:rPr>
        <w:t>État partie concernant </w:t>
      </w:r>
      <w:r w:rsidR="00C33DC7" w:rsidRPr="00CB2F44">
        <w:rPr>
          <w:lang w:val="fr-FR"/>
        </w:rPr>
        <w:t>le</w:t>
      </w:r>
      <w:r w:rsidR="00C33DC7">
        <w:rPr>
          <w:lang w:val="fr-FR"/>
        </w:rPr>
        <w:t xml:space="preserve"> </w:t>
      </w:r>
      <w:r w:rsidR="00C33DC7" w:rsidRPr="00CB2F44">
        <w:rPr>
          <w:lang w:val="fr-FR"/>
        </w:rPr>
        <w:t>fond</w:t>
      </w:r>
    </w:p>
    <w:p w14:paraId="06E3D619" w14:textId="6D992DEF" w:rsidR="00763344" w:rsidRPr="00763344" w:rsidRDefault="00763344" w:rsidP="00763344">
      <w:pPr>
        <w:pStyle w:val="SingleTxt"/>
        <w:spacing w:after="0" w:line="120" w:lineRule="exact"/>
        <w:rPr>
          <w:sz w:val="10"/>
          <w:lang w:val="fr-FR"/>
        </w:rPr>
      </w:pPr>
    </w:p>
    <w:p w14:paraId="6550D610" w14:textId="6E05C60D" w:rsidR="00CB2F44" w:rsidRPr="00CB2F44" w:rsidRDefault="00CB2F44" w:rsidP="00763344">
      <w:pPr>
        <w:pStyle w:val="SingleTxt"/>
        <w:numPr>
          <w:ilvl w:val="0"/>
          <w:numId w:val="20"/>
        </w:numPr>
        <w:spacing w:line="240" w:lineRule="exact"/>
        <w:rPr>
          <w:b/>
          <w:lang w:val="fr-FR"/>
        </w:rPr>
      </w:pPr>
      <w:r w:rsidRPr="00CB2F44">
        <w:rPr>
          <w:lang w:val="fr-FR"/>
        </w:rPr>
        <w:t>Le 7 avril 2019, l</w:t>
      </w:r>
      <w:r w:rsidR="00B34C89">
        <w:rPr>
          <w:lang w:val="fr-FR"/>
        </w:rPr>
        <w:t>’</w:t>
      </w:r>
      <w:r w:rsidRPr="00CB2F44">
        <w:rPr>
          <w:lang w:val="fr-FR"/>
        </w:rPr>
        <w:t>auteure a présenté ses commentaires sur les observations de l</w:t>
      </w:r>
      <w:r w:rsidR="00B34C89">
        <w:rPr>
          <w:lang w:val="fr-FR"/>
        </w:rPr>
        <w:t>’</w:t>
      </w:r>
      <w:r w:rsidRPr="00CB2F44">
        <w:rPr>
          <w:lang w:val="fr-FR"/>
        </w:rPr>
        <w:t>État partie concernant le fond.</w:t>
      </w:r>
    </w:p>
    <w:p w14:paraId="69310D16" w14:textId="118DB375" w:rsidR="00CB2F44" w:rsidRPr="00CB2F44" w:rsidRDefault="00CB2F44" w:rsidP="00763344">
      <w:pPr>
        <w:pStyle w:val="SingleTxt"/>
        <w:numPr>
          <w:ilvl w:val="0"/>
          <w:numId w:val="22"/>
        </w:numPr>
        <w:spacing w:line="240" w:lineRule="exact"/>
        <w:rPr>
          <w:b/>
          <w:lang w:val="fr-FR"/>
        </w:rPr>
      </w:pPr>
      <w:r w:rsidRPr="00CB2F44">
        <w:rPr>
          <w:lang w:val="fr-FR"/>
        </w:rPr>
        <w:t>Elle affirme que, si des progrès considérables ont été accomplis, l</w:t>
      </w:r>
      <w:r w:rsidR="00B34C89">
        <w:rPr>
          <w:lang w:val="fr-FR"/>
        </w:rPr>
        <w:t>’</w:t>
      </w:r>
      <w:r w:rsidRPr="00CB2F44">
        <w:rPr>
          <w:lang w:val="fr-FR"/>
        </w:rPr>
        <w:t>État partie n</w:t>
      </w:r>
      <w:r w:rsidR="00B34C89">
        <w:rPr>
          <w:lang w:val="fr-FR"/>
        </w:rPr>
        <w:t>’</w:t>
      </w:r>
      <w:r w:rsidRPr="00CB2F44">
        <w:rPr>
          <w:lang w:val="fr-FR"/>
        </w:rPr>
        <w:t>a pas adopté de mesures efficaces pour éliminer les stéréotypes fondés sur le genre, qui portent atteinte aux droits des femmes victimes de violence domestique.</w:t>
      </w:r>
    </w:p>
    <w:p w14:paraId="19CFE6B4" w14:textId="0D357F9A" w:rsidR="00CB2F44" w:rsidRPr="00CB2F44" w:rsidRDefault="00CB2F44" w:rsidP="00763344">
      <w:pPr>
        <w:pStyle w:val="SingleTxt"/>
        <w:numPr>
          <w:ilvl w:val="0"/>
          <w:numId w:val="23"/>
        </w:numPr>
        <w:rPr>
          <w:b/>
          <w:lang w:val="fr-FR"/>
        </w:rPr>
      </w:pPr>
      <w:r w:rsidRPr="00CB2F44">
        <w:rPr>
          <w:lang w:val="fr-FR"/>
        </w:rPr>
        <w:t>L</w:t>
      </w:r>
      <w:r w:rsidR="00B34C89">
        <w:rPr>
          <w:lang w:val="fr-FR"/>
        </w:rPr>
        <w:t>’</w:t>
      </w:r>
      <w:r w:rsidRPr="00CB2F44">
        <w:rPr>
          <w:lang w:val="fr-FR"/>
        </w:rPr>
        <w:t>État partie a violé les droits que l</w:t>
      </w:r>
      <w:r w:rsidR="00B34C89">
        <w:rPr>
          <w:lang w:val="fr-FR"/>
        </w:rPr>
        <w:t>’</w:t>
      </w:r>
      <w:r w:rsidRPr="00CB2F44">
        <w:rPr>
          <w:lang w:val="fr-FR"/>
        </w:rPr>
        <w:t>auteure tient des alinéas a) à c) et e) de l</w:t>
      </w:r>
      <w:r w:rsidR="00B34C89">
        <w:rPr>
          <w:lang w:val="fr-FR"/>
        </w:rPr>
        <w:t>’</w:t>
      </w:r>
      <w:r w:rsidRPr="00CB2F44">
        <w:rPr>
          <w:lang w:val="fr-FR"/>
        </w:rPr>
        <w:t>article 2, lus conjointement avec l</w:t>
      </w:r>
      <w:r w:rsidR="00B34C89">
        <w:rPr>
          <w:lang w:val="fr-FR"/>
        </w:rPr>
        <w:t>’</w:t>
      </w:r>
      <w:r w:rsidRPr="00CB2F44">
        <w:rPr>
          <w:lang w:val="fr-FR"/>
        </w:rPr>
        <w:t>article 1</w:t>
      </w:r>
      <w:r w:rsidRPr="00CB2F44">
        <w:rPr>
          <w:vertAlign w:val="superscript"/>
          <w:lang w:val="fr-FR"/>
        </w:rPr>
        <w:t>er</w:t>
      </w:r>
      <w:r w:rsidRPr="00CB2F44">
        <w:rPr>
          <w:lang w:val="fr-FR"/>
        </w:rPr>
        <w:t xml:space="preserve"> de la Convention, en ce qu</w:t>
      </w:r>
      <w:r w:rsidR="00B34C89">
        <w:rPr>
          <w:lang w:val="fr-FR"/>
        </w:rPr>
        <w:t>’</w:t>
      </w:r>
      <w:r w:rsidRPr="00CB2F44">
        <w:rPr>
          <w:lang w:val="fr-FR"/>
        </w:rPr>
        <w:t>il ne lui a pas donné accès à des voies de recours efficaces aux fins de sa protection contre la violence domestique. À plusieurs reprises, elle a informé la police qu</w:t>
      </w:r>
      <w:r w:rsidR="00B34C89">
        <w:rPr>
          <w:lang w:val="fr-FR"/>
        </w:rPr>
        <w:t>’</w:t>
      </w:r>
      <w:r w:rsidRPr="00CB2F44">
        <w:rPr>
          <w:lang w:val="fr-FR"/>
        </w:rPr>
        <w:t>elle avait été victime de violence domestique. Le 27 décembre 2003, elle a signalé à la police que son mari l</w:t>
      </w:r>
      <w:r w:rsidR="00B34C89">
        <w:rPr>
          <w:lang w:val="fr-FR"/>
        </w:rPr>
        <w:t>’</w:t>
      </w:r>
      <w:r w:rsidRPr="00CB2F44">
        <w:rPr>
          <w:lang w:val="fr-FR"/>
        </w:rPr>
        <w:t>avait attaquée et menacée. Le 15 mars 2004, elle a déclaré à la police que son mari lui avait volé de l</w:t>
      </w:r>
      <w:r w:rsidR="00B34C89">
        <w:rPr>
          <w:lang w:val="fr-FR"/>
        </w:rPr>
        <w:t>’</w:t>
      </w:r>
      <w:r w:rsidRPr="00CB2F44">
        <w:rPr>
          <w:lang w:val="fr-FR"/>
        </w:rPr>
        <w:t>argent et les avaient menacées, elle et ses filles. Le 18 août 2005, elle a signalé que son mari avait menacé de la tuer et d</w:t>
      </w:r>
      <w:r w:rsidR="00B34C89">
        <w:rPr>
          <w:lang w:val="fr-FR"/>
        </w:rPr>
        <w:t>’</w:t>
      </w:r>
      <w:r w:rsidRPr="00CB2F44">
        <w:rPr>
          <w:lang w:val="fr-FR"/>
        </w:rPr>
        <w:t>incendier leur maison. La police a soit refusé d</w:t>
      </w:r>
      <w:r w:rsidR="00B34C89">
        <w:rPr>
          <w:lang w:val="fr-FR"/>
        </w:rPr>
        <w:t>’</w:t>
      </w:r>
      <w:r w:rsidRPr="00CB2F44">
        <w:rPr>
          <w:lang w:val="fr-FR"/>
        </w:rPr>
        <w:t>ouvrir une enquête, soit abandonné la procédure en raison de formalités juridiques. Cette absence de réaction illustre une perception stéréotypée de l</w:t>
      </w:r>
      <w:r w:rsidR="00B34C89">
        <w:rPr>
          <w:lang w:val="fr-FR"/>
        </w:rPr>
        <w:t>’</w:t>
      </w:r>
      <w:r w:rsidRPr="00CB2F44">
        <w:rPr>
          <w:lang w:val="fr-FR"/>
        </w:rPr>
        <w:t>égalité, qui a permis au mari de l</w:t>
      </w:r>
      <w:r w:rsidR="00B34C89">
        <w:rPr>
          <w:lang w:val="fr-FR"/>
        </w:rPr>
        <w:t>’</w:t>
      </w:r>
      <w:r w:rsidRPr="00CB2F44">
        <w:rPr>
          <w:lang w:val="fr-FR"/>
        </w:rPr>
        <w:t>auteure de garder sa position dominante en dépit de son comportement abusif. Les autorités de police ont minimisé la situation de l</w:t>
      </w:r>
      <w:r w:rsidR="00B34C89">
        <w:rPr>
          <w:lang w:val="fr-FR"/>
        </w:rPr>
        <w:t>’</w:t>
      </w:r>
      <w:r w:rsidRPr="00CB2F44">
        <w:rPr>
          <w:lang w:val="fr-FR"/>
        </w:rPr>
        <w:t>auteure en tant que victime de violence domestique, ce qui l</w:t>
      </w:r>
      <w:r w:rsidR="00B34C89">
        <w:rPr>
          <w:lang w:val="fr-FR"/>
        </w:rPr>
        <w:t>’</w:t>
      </w:r>
      <w:r w:rsidRPr="00CB2F44">
        <w:rPr>
          <w:lang w:val="fr-FR"/>
        </w:rPr>
        <w:t>a rendue vulnérable</w:t>
      </w:r>
      <w:r w:rsidRPr="00CB2F44">
        <w:rPr>
          <w:vertAlign w:val="superscript"/>
          <w:lang w:val="fr-CH"/>
        </w:rPr>
        <w:footnoteReference w:id="14"/>
      </w:r>
      <w:r w:rsidRPr="00CB2F44">
        <w:rPr>
          <w:lang w:val="fr-FR"/>
        </w:rPr>
        <w:t>.</w:t>
      </w:r>
    </w:p>
    <w:p w14:paraId="57D23578" w14:textId="27C63D66" w:rsidR="00CB2F44" w:rsidRPr="00CB2F44" w:rsidRDefault="00CB2F44" w:rsidP="00763344">
      <w:pPr>
        <w:pStyle w:val="SingleTxt"/>
        <w:numPr>
          <w:ilvl w:val="0"/>
          <w:numId w:val="27"/>
        </w:numPr>
        <w:rPr>
          <w:b/>
          <w:lang w:val="fr-FR"/>
        </w:rPr>
      </w:pPr>
      <w:r w:rsidRPr="00CB2F44">
        <w:rPr>
          <w:lang w:val="fr-FR"/>
        </w:rPr>
        <w:t>Le mari de l</w:t>
      </w:r>
      <w:r w:rsidR="00B34C89">
        <w:rPr>
          <w:lang w:val="fr-FR"/>
        </w:rPr>
        <w:t>’</w:t>
      </w:r>
      <w:r w:rsidRPr="00CB2F44">
        <w:rPr>
          <w:lang w:val="fr-FR"/>
        </w:rPr>
        <w:t>auteure a finalement été inculpé après une série de faits survenus en 2004. Cependant, la police a initialement abandonné l</w:t>
      </w:r>
      <w:r w:rsidR="00B34C89">
        <w:rPr>
          <w:lang w:val="fr-FR"/>
        </w:rPr>
        <w:t>’</w:t>
      </w:r>
      <w:r w:rsidRPr="00CB2F44">
        <w:rPr>
          <w:lang w:val="fr-FR"/>
        </w:rPr>
        <w:t>enquête par manque de preuves. L</w:t>
      </w:r>
      <w:r w:rsidR="00B34C89">
        <w:rPr>
          <w:lang w:val="fr-FR"/>
        </w:rPr>
        <w:t>’</w:t>
      </w:r>
      <w:r w:rsidRPr="00CB2F44">
        <w:rPr>
          <w:lang w:val="fr-FR"/>
        </w:rPr>
        <w:t>auteure a contesté cette décision. En décembre 2005, elle a dû presser le tribunal de fixer une date pour l</w:t>
      </w:r>
      <w:r w:rsidR="00B34C89">
        <w:rPr>
          <w:lang w:val="fr-FR"/>
        </w:rPr>
        <w:t>’</w:t>
      </w:r>
      <w:r w:rsidRPr="00CB2F44">
        <w:rPr>
          <w:lang w:val="fr-FR"/>
        </w:rPr>
        <w:t>audience pénale de son mari. Cette audience s</w:t>
      </w:r>
      <w:r w:rsidR="00B34C89">
        <w:rPr>
          <w:lang w:val="fr-FR"/>
        </w:rPr>
        <w:t>’</w:t>
      </w:r>
      <w:r w:rsidRPr="00CB2F44">
        <w:rPr>
          <w:lang w:val="fr-FR"/>
        </w:rPr>
        <w:t>est tenue le 8 mars 2006, après quoi le mari a dû subir un examen psychiatrique.</w:t>
      </w:r>
    </w:p>
    <w:p w14:paraId="365A31A2" w14:textId="7FAC17B7" w:rsidR="00CB2F44" w:rsidRPr="00CB2F44" w:rsidRDefault="00CB2F44" w:rsidP="00763344">
      <w:pPr>
        <w:pStyle w:val="SingleTxt"/>
        <w:numPr>
          <w:ilvl w:val="0"/>
          <w:numId w:val="29"/>
        </w:numPr>
        <w:spacing w:line="240" w:lineRule="exact"/>
        <w:rPr>
          <w:b/>
          <w:lang w:val="fr-FR"/>
        </w:rPr>
      </w:pPr>
      <w:r w:rsidRPr="00CB2F44">
        <w:rPr>
          <w:lang w:val="fr-FR"/>
        </w:rPr>
        <w:t>L</w:t>
      </w:r>
      <w:r w:rsidR="00B34C89">
        <w:rPr>
          <w:lang w:val="fr-FR"/>
        </w:rPr>
        <w:t>’</w:t>
      </w:r>
      <w:r w:rsidRPr="00CB2F44">
        <w:rPr>
          <w:lang w:val="fr-FR"/>
        </w:rPr>
        <w:t>auteure souligne qu</w:t>
      </w:r>
      <w:r w:rsidR="00B34C89">
        <w:rPr>
          <w:lang w:val="fr-FR"/>
        </w:rPr>
        <w:t>’</w:t>
      </w:r>
      <w:r w:rsidRPr="00CB2F44">
        <w:rPr>
          <w:lang w:val="fr-FR"/>
        </w:rPr>
        <w:t>au moment des faits, l</w:t>
      </w:r>
      <w:r w:rsidR="00B34C89">
        <w:rPr>
          <w:lang w:val="fr-FR"/>
        </w:rPr>
        <w:t>’</w:t>
      </w:r>
      <w:r w:rsidRPr="00CB2F44">
        <w:rPr>
          <w:lang w:val="fr-FR"/>
        </w:rPr>
        <w:t>État partie ne disposait pas d</w:t>
      </w:r>
      <w:r w:rsidR="00B34C89">
        <w:rPr>
          <w:lang w:val="fr-FR"/>
        </w:rPr>
        <w:t>’</w:t>
      </w:r>
      <w:r w:rsidRPr="00CB2F44">
        <w:rPr>
          <w:lang w:val="fr-FR"/>
        </w:rPr>
        <w:t>un cadre juridique qui lui aurait permis d</w:t>
      </w:r>
      <w:r w:rsidR="00B34C89">
        <w:rPr>
          <w:lang w:val="fr-FR"/>
        </w:rPr>
        <w:t>’</w:t>
      </w:r>
      <w:r w:rsidRPr="00CB2F44">
        <w:rPr>
          <w:lang w:val="fr-FR"/>
        </w:rPr>
        <w:t>assurer une protection juridique efficace contre la violence domestique. La loi relative à la lutte contre la violence domestique est entrée en vigueur le 21 novembre 2005. Ce texte comprend la première définition juridique de la violence domestique.</w:t>
      </w:r>
      <w:bookmarkStart w:id="15" w:name="_Hlk36633716"/>
      <w:bookmarkEnd w:id="15"/>
    </w:p>
    <w:p w14:paraId="3D2EE30D" w14:textId="272BC2D3" w:rsidR="00CB2F44" w:rsidRPr="00CB2F44" w:rsidRDefault="00CB2F44" w:rsidP="00763344">
      <w:pPr>
        <w:pStyle w:val="SingleTxt"/>
        <w:numPr>
          <w:ilvl w:val="0"/>
          <w:numId w:val="29"/>
        </w:numPr>
        <w:spacing w:line="240" w:lineRule="exact"/>
        <w:rPr>
          <w:b/>
          <w:lang w:val="fr-FR"/>
        </w:rPr>
      </w:pPr>
      <w:r w:rsidRPr="00CB2F44">
        <w:rPr>
          <w:lang w:val="fr-FR"/>
        </w:rPr>
        <w:t>Aucune disposition juridique n</w:t>
      </w:r>
      <w:r w:rsidR="00B34C89">
        <w:rPr>
          <w:lang w:val="fr-FR"/>
        </w:rPr>
        <w:t>’</w:t>
      </w:r>
      <w:r w:rsidRPr="00CB2F44">
        <w:rPr>
          <w:lang w:val="fr-FR"/>
        </w:rPr>
        <w:t>imposait à la police d</w:t>
      </w:r>
      <w:r w:rsidR="00B34C89">
        <w:rPr>
          <w:lang w:val="fr-FR"/>
        </w:rPr>
        <w:t>’</w:t>
      </w:r>
      <w:r w:rsidRPr="00CB2F44">
        <w:rPr>
          <w:lang w:val="fr-FR"/>
        </w:rPr>
        <w:t>enclencher la procédure des « cartes bleues » si elle constatait des actes de violence domestique dans un contexte autre qu</w:t>
      </w:r>
      <w:r w:rsidR="00B34C89">
        <w:rPr>
          <w:lang w:val="fr-FR"/>
        </w:rPr>
        <w:t>’</w:t>
      </w:r>
      <w:r w:rsidRPr="00CB2F44">
        <w:rPr>
          <w:lang w:val="fr-FR"/>
        </w:rPr>
        <w:t>une intervention à domicile. Les plaintes déposées par les victimes de violence domestique après les faits ne donnaient jamais lieu au lancement de cette procédure.</w:t>
      </w:r>
    </w:p>
    <w:p w14:paraId="4AC94356" w14:textId="6D3563F2" w:rsidR="00CB2F44" w:rsidRPr="00CB2F44" w:rsidRDefault="00CB2F44" w:rsidP="00BC659E">
      <w:pPr>
        <w:pStyle w:val="SingleTxt"/>
        <w:numPr>
          <w:ilvl w:val="0"/>
          <w:numId w:val="31"/>
        </w:numPr>
        <w:spacing w:line="240" w:lineRule="exact"/>
        <w:rPr>
          <w:b/>
          <w:lang w:val="fr-FR"/>
        </w:rPr>
      </w:pPr>
      <w:r w:rsidRPr="00CB2F44">
        <w:rPr>
          <w:lang w:val="fr-FR"/>
        </w:rPr>
        <w:lastRenderedPageBreak/>
        <w:t>L</w:t>
      </w:r>
      <w:r w:rsidR="00B34C89">
        <w:rPr>
          <w:lang w:val="fr-FR"/>
        </w:rPr>
        <w:t>’</w:t>
      </w:r>
      <w:r w:rsidRPr="00CB2F44">
        <w:rPr>
          <w:lang w:val="fr-FR"/>
        </w:rPr>
        <w:t>État partie n</w:t>
      </w:r>
      <w:r w:rsidR="00B34C89">
        <w:rPr>
          <w:lang w:val="fr-FR"/>
        </w:rPr>
        <w:t>’</w:t>
      </w:r>
      <w:r w:rsidRPr="00CB2F44">
        <w:rPr>
          <w:lang w:val="fr-FR"/>
        </w:rPr>
        <w:t>a pas pris les mesures préventives nécessaires pour protéger l</w:t>
      </w:r>
      <w:r w:rsidR="00B34C89">
        <w:rPr>
          <w:lang w:val="fr-FR"/>
        </w:rPr>
        <w:t>’</w:t>
      </w:r>
      <w:r w:rsidRPr="00CB2F44">
        <w:rPr>
          <w:lang w:val="fr-FR"/>
        </w:rPr>
        <w:t>auteure contre la violence domestique. Le comportement violent du mari de l</w:t>
      </w:r>
      <w:r w:rsidR="00B34C89">
        <w:rPr>
          <w:lang w:val="fr-FR"/>
        </w:rPr>
        <w:t>’</w:t>
      </w:r>
      <w:r w:rsidRPr="00CB2F44">
        <w:rPr>
          <w:lang w:val="fr-FR"/>
        </w:rPr>
        <w:t>auteure s</w:t>
      </w:r>
      <w:r w:rsidR="00B34C89">
        <w:rPr>
          <w:lang w:val="fr-FR"/>
        </w:rPr>
        <w:t>’</w:t>
      </w:r>
      <w:r w:rsidRPr="00CB2F44">
        <w:rPr>
          <w:lang w:val="fr-FR"/>
        </w:rPr>
        <w:t>est soldé par l</w:t>
      </w:r>
      <w:r w:rsidR="00B34C89">
        <w:rPr>
          <w:lang w:val="fr-FR"/>
        </w:rPr>
        <w:t>’</w:t>
      </w:r>
      <w:r w:rsidRPr="00CB2F44">
        <w:rPr>
          <w:lang w:val="fr-FR"/>
        </w:rPr>
        <w:t>incendie de leur maison commune, le 4 mai 2006. Le Protocole facultatif est entré en vigueur pour la Pologne le 22 mars 2004. Par conséquent, le Comité est compétent pour examiner la présente communication dans sa quasi-totalité. Certains faits se sont produits avant l</w:t>
      </w:r>
      <w:r w:rsidR="00B34C89">
        <w:rPr>
          <w:lang w:val="fr-FR"/>
        </w:rPr>
        <w:t>’</w:t>
      </w:r>
      <w:r w:rsidRPr="00CB2F44">
        <w:rPr>
          <w:lang w:val="fr-FR"/>
        </w:rPr>
        <w:t>entrée en vigueur du Protocole facultatif</w:t>
      </w:r>
      <w:r w:rsidR="00B34C89">
        <w:rPr>
          <w:lang w:val="fr-FR"/>
        </w:rPr>
        <w:t> ;</w:t>
      </w:r>
      <w:r w:rsidRPr="00CB2F44">
        <w:rPr>
          <w:lang w:val="fr-FR"/>
        </w:rPr>
        <w:t xml:space="preserve"> néanmoins, le Comité peut tenir compte de ces faits, dans la mesure où ils permettent de contextualiser ceux qui sont survenus après le 22 mars 2004</w:t>
      </w:r>
      <w:r w:rsidRPr="00CB2F44">
        <w:rPr>
          <w:vertAlign w:val="superscript"/>
          <w:lang w:val="fr-CH"/>
        </w:rPr>
        <w:footnoteReference w:id="15"/>
      </w:r>
      <w:r w:rsidRPr="00CB2F44">
        <w:rPr>
          <w:lang w:val="fr-FR"/>
        </w:rPr>
        <w:t>.</w:t>
      </w:r>
    </w:p>
    <w:p w14:paraId="26291D60" w14:textId="499122BD" w:rsidR="00CB2F44" w:rsidRPr="00CB2F44" w:rsidRDefault="00CB2F44" w:rsidP="00BC659E">
      <w:pPr>
        <w:pStyle w:val="SingleTxt"/>
        <w:numPr>
          <w:ilvl w:val="0"/>
          <w:numId w:val="33"/>
        </w:numPr>
        <w:spacing w:line="240" w:lineRule="exact"/>
        <w:rPr>
          <w:b/>
          <w:lang w:val="fr-FR"/>
        </w:rPr>
      </w:pPr>
      <w:r w:rsidRPr="00CB2F44">
        <w:rPr>
          <w:lang w:val="fr-FR"/>
        </w:rPr>
        <w:t>L</w:t>
      </w:r>
      <w:r w:rsidR="00B34C89">
        <w:rPr>
          <w:lang w:val="fr-FR"/>
        </w:rPr>
        <w:t>’</w:t>
      </w:r>
      <w:r w:rsidRPr="00CB2F44">
        <w:rPr>
          <w:lang w:val="fr-FR"/>
        </w:rPr>
        <w:t>auteure conteste l</w:t>
      </w:r>
      <w:r w:rsidR="00B34C89">
        <w:rPr>
          <w:lang w:val="fr-FR"/>
        </w:rPr>
        <w:t>’</w:t>
      </w:r>
      <w:r w:rsidRPr="00CB2F44">
        <w:rPr>
          <w:lang w:val="fr-FR"/>
        </w:rPr>
        <w:t>argument de l</w:t>
      </w:r>
      <w:r w:rsidR="00B34C89">
        <w:rPr>
          <w:lang w:val="fr-FR"/>
        </w:rPr>
        <w:t>’</w:t>
      </w:r>
      <w:r w:rsidRPr="00CB2F44">
        <w:rPr>
          <w:lang w:val="fr-FR"/>
        </w:rPr>
        <w:t>État partie selon lequel elle aurait dû demander l</w:t>
      </w:r>
      <w:r w:rsidR="00B34C89">
        <w:rPr>
          <w:lang w:val="fr-FR"/>
        </w:rPr>
        <w:t>’</w:t>
      </w:r>
      <w:r w:rsidRPr="00CB2F44">
        <w:rPr>
          <w:lang w:val="fr-FR"/>
        </w:rPr>
        <w:t>expulsion de son mari en invoquant le paragraphe 2 de l</w:t>
      </w:r>
      <w:r w:rsidR="00B34C89">
        <w:rPr>
          <w:lang w:val="fr-FR"/>
        </w:rPr>
        <w:t>’</w:t>
      </w:r>
      <w:r w:rsidRPr="00CB2F44">
        <w:rPr>
          <w:lang w:val="fr-FR"/>
        </w:rPr>
        <w:t>article 58 du Code de la famille et de la tutelle</w:t>
      </w:r>
      <w:r w:rsidRPr="00CB2F44">
        <w:rPr>
          <w:vertAlign w:val="superscript"/>
          <w:lang w:val="fr-CH"/>
        </w:rPr>
        <w:footnoteReference w:id="16"/>
      </w:r>
      <w:r w:rsidRPr="00CB2F44">
        <w:rPr>
          <w:lang w:val="fr-FR"/>
        </w:rPr>
        <w:t>. Elle soutient que ce mécanisme est inefficace. En vertu de cet article, une juridiction peut, dans des circonstances exceptionnelles, ordonner l</w:t>
      </w:r>
      <w:r w:rsidR="00B34C89">
        <w:rPr>
          <w:lang w:val="fr-FR"/>
        </w:rPr>
        <w:t>’</w:t>
      </w:r>
      <w:r w:rsidRPr="00CB2F44">
        <w:rPr>
          <w:lang w:val="fr-FR"/>
        </w:rPr>
        <w:t>expulsion d</w:t>
      </w:r>
      <w:r w:rsidR="00B34C89">
        <w:rPr>
          <w:lang w:val="fr-FR"/>
        </w:rPr>
        <w:t>’</w:t>
      </w:r>
      <w:r w:rsidRPr="00CB2F44">
        <w:rPr>
          <w:lang w:val="fr-FR"/>
        </w:rPr>
        <w:t>un conjoint du domicile commun. L</w:t>
      </w:r>
      <w:r w:rsidR="00B34C89">
        <w:rPr>
          <w:lang w:val="fr-FR"/>
        </w:rPr>
        <w:t>’</w:t>
      </w:r>
      <w:r w:rsidRPr="00CB2F44">
        <w:rPr>
          <w:lang w:val="fr-FR"/>
        </w:rPr>
        <w:t>auteure fait remarquer que cette ordonnance d</w:t>
      </w:r>
      <w:r w:rsidR="00B34C89">
        <w:rPr>
          <w:lang w:val="fr-FR"/>
        </w:rPr>
        <w:t>’</w:t>
      </w:r>
      <w:r w:rsidRPr="00CB2F44">
        <w:rPr>
          <w:lang w:val="fr-FR"/>
        </w:rPr>
        <w:t>expulsion s</w:t>
      </w:r>
      <w:r w:rsidR="00B34C89">
        <w:rPr>
          <w:lang w:val="fr-FR"/>
        </w:rPr>
        <w:t>’</w:t>
      </w:r>
      <w:r w:rsidRPr="00CB2F44">
        <w:rPr>
          <w:lang w:val="fr-FR"/>
        </w:rPr>
        <w:t>inscrit dans une procédure de divorce et ne peut en être dissociée. Elle n</w:t>
      </w:r>
      <w:r w:rsidR="00B34C89">
        <w:rPr>
          <w:lang w:val="fr-FR"/>
        </w:rPr>
        <w:t>’</w:t>
      </w:r>
      <w:r w:rsidRPr="00CB2F44">
        <w:rPr>
          <w:lang w:val="fr-FR"/>
        </w:rPr>
        <w:t>est pas immédiatement exécutoire – elle ne le devient que lorsque le divorce est définitivement prononcé. En outre, l</w:t>
      </w:r>
      <w:r w:rsidR="00B34C89">
        <w:rPr>
          <w:lang w:val="fr-FR"/>
        </w:rPr>
        <w:t>’</w:t>
      </w:r>
      <w:r w:rsidRPr="00CB2F44">
        <w:rPr>
          <w:lang w:val="fr-FR"/>
        </w:rPr>
        <w:t>expulsion prévue au paragraphe 2 de l</w:t>
      </w:r>
      <w:r w:rsidR="00B34C89">
        <w:rPr>
          <w:lang w:val="fr-FR"/>
        </w:rPr>
        <w:t>’</w:t>
      </w:r>
      <w:r w:rsidRPr="00CB2F44">
        <w:rPr>
          <w:lang w:val="fr-FR"/>
        </w:rPr>
        <w:t>article 58 du Code de la famille et de la tutelle n</w:t>
      </w:r>
      <w:r w:rsidR="00B34C89">
        <w:rPr>
          <w:lang w:val="fr-FR"/>
        </w:rPr>
        <w:t>’</w:t>
      </w:r>
      <w:r w:rsidRPr="00CB2F44">
        <w:rPr>
          <w:lang w:val="fr-FR"/>
        </w:rPr>
        <w:t>est que temporaire. La juridiction décide, dans le cadre d</w:t>
      </w:r>
      <w:r w:rsidR="00B34C89">
        <w:rPr>
          <w:lang w:val="fr-FR"/>
        </w:rPr>
        <w:t>’</w:t>
      </w:r>
      <w:r w:rsidRPr="00CB2F44">
        <w:rPr>
          <w:lang w:val="fr-FR"/>
        </w:rPr>
        <w:t>une procédure distincte, de la manière dont les biens doivent être répartis entre les deux parties.</w:t>
      </w:r>
    </w:p>
    <w:p w14:paraId="1258AB44" w14:textId="413AFE29" w:rsidR="00CB2F44" w:rsidRPr="00CB2F44" w:rsidRDefault="00CB2F44" w:rsidP="00BC659E">
      <w:pPr>
        <w:pStyle w:val="SingleTxt"/>
        <w:numPr>
          <w:ilvl w:val="0"/>
          <w:numId w:val="33"/>
        </w:numPr>
        <w:spacing w:line="240" w:lineRule="exact"/>
        <w:rPr>
          <w:b/>
          <w:lang w:val="fr-FR"/>
        </w:rPr>
      </w:pPr>
      <w:r w:rsidRPr="00CB2F44">
        <w:rPr>
          <w:lang w:val="fr-FR"/>
        </w:rPr>
        <w:t>Une modification de la loi relative à la lutte contre la violence domestique, qui prévoit de nouveaux mécanismes d</w:t>
      </w:r>
      <w:r w:rsidR="00B34C89">
        <w:rPr>
          <w:lang w:val="fr-FR"/>
        </w:rPr>
        <w:t>’</w:t>
      </w:r>
      <w:r w:rsidRPr="00CB2F44">
        <w:rPr>
          <w:lang w:val="fr-FR"/>
        </w:rPr>
        <w:t>expulsion en faveur des victimes de violence domestique, est entrée en vigueur le 1</w:t>
      </w:r>
      <w:r w:rsidRPr="00CB2F44">
        <w:rPr>
          <w:vertAlign w:val="superscript"/>
          <w:lang w:val="fr-FR"/>
        </w:rPr>
        <w:t>er</w:t>
      </w:r>
      <w:r w:rsidRPr="00CB2F44">
        <w:rPr>
          <w:lang w:val="fr-FR"/>
        </w:rPr>
        <w:t> août 2010. Elle permet à un procureur ou à une juridiction d</w:t>
      </w:r>
      <w:r w:rsidR="00B34C89">
        <w:rPr>
          <w:lang w:val="fr-FR"/>
        </w:rPr>
        <w:t>’</w:t>
      </w:r>
      <w:r w:rsidRPr="00CB2F44">
        <w:rPr>
          <w:lang w:val="fr-FR"/>
        </w:rPr>
        <w:t>ordonner qu</w:t>
      </w:r>
      <w:r w:rsidR="00B34C89">
        <w:rPr>
          <w:lang w:val="fr-FR"/>
        </w:rPr>
        <w:t>’</w:t>
      </w:r>
      <w:r w:rsidRPr="00CB2F44">
        <w:rPr>
          <w:lang w:val="fr-FR"/>
        </w:rPr>
        <w:t>un individu ayant commis des actes de violence domestique soit expulsé d</w:t>
      </w:r>
      <w:r w:rsidR="00B34C89">
        <w:rPr>
          <w:lang w:val="fr-FR"/>
        </w:rPr>
        <w:t>’</w:t>
      </w:r>
      <w:r w:rsidRPr="00CB2F44">
        <w:rPr>
          <w:lang w:val="fr-FR"/>
        </w:rPr>
        <w:t>une résidence commune. Elle permet également de procéder à une expulsion en dehors du contexte d</w:t>
      </w:r>
      <w:r w:rsidR="00B34C89">
        <w:rPr>
          <w:lang w:val="fr-FR"/>
        </w:rPr>
        <w:t>’</w:t>
      </w:r>
      <w:r w:rsidRPr="00CB2F44">
        <w:rPr>
          <w:lang w:val="fr-FR"/>
        </w:rPr>
        <w:t>une procédure pénale. Au moment des faits susmentionnés, l</w:t>
      </w:r>
      <w:r w:rsidR="00B34C89">
        <w:rPr>
          <w:lang w:val="fr-FR"/>
        </w:rPr>
        <w:t>’</w:t>
      </w:r>
      <w:r w:rsidRPr="00CB2F44">
        <w:rPr>
          <w:lang w:val="fr-FR"/>
        </w:rPr>
        <w:t>auteure ne pouvait avoir recours ni au mécanisme de droit pénal ni à celui de droit civil.</w:t>
      </w:r>
    </w:p>
    <w:p w14:paraId="6EAF1CCD" w14:textId="0F353993" w:rsidR="00CB2F44" w:rsidRPr="00CB2F44" w:rsidRDefault="00CB2F44" w:rsidP="00BC659E">
      <w:pPr>
        <w:pStyle w:val="SingleTxt"/>
        <w:numPr>
          <w:ilvl w:val="0"/>
          <w:numId w:val="33"/>
        </w:numPr>
        <w:spacing w:line="240" w:lineRule="exact"/>
        <w:rPr>
          <w:b/>
          <w:lang w:val="fr-FR"/>
        </w:rPr>
      </w:pPr>
      <w:r w:rsidRPr="00CB2F44">
        <w:rPr>
          <w:lang w:val="fr-FR"/>
        </w:rPr>
        <w:t>L</w:t>
      </w:r>
      <w:r w:rsidR="00B34C89">
        <w:rPr>
          <w:lang w:val="fr-FR"/>
        </w:rPr>
        <w:t>’</w:t>
      </w:r>
      <w:r w:rsidRPr="00CB2F44">
        <w:rPr>
          <w:lang w:val="fr-FR"/>
        </w:rPr>
        <w:t>auteure fait valoir que l</w:t>
      </w:r>
      <w:r w:rsidR="00B34C89">
        <w:rPr>
          <w:lang w:val="fr-FR"/>
        </w:rPr>
        <w:t>’</w:t>
      </w:r>
      <w:r w:rsidRPr="00CB2F44">
        <w:rPr>
          <w:lang w:val="fr-FR"/>
        </w:rPr>
        <w:t>État partie a violé les droits qu</w:t>
      </w:r>
      <w:r w:rsidR="00B34C89">
        <w:rPr>
          <w:lang w:val="fr-FR"/>
        </w:rPr>
        <w:t>’</w:t>
      </w:r>
      <w:r w:rsidRPr="00CB2F44">
        <w:rPr>
          <w:lang w:val="fr-FR"/>
        </w:rPr>
        <w:t>elle tient des alinéas a) et c) à f) de l</w:t>
      </w:r>
      <w:r w:rsidR="00B34C89">
        <w:rPr>
          <w:lang w:val="fr-FR"/>
        </w:rPr>
        <w:t>’</w:t>
      </w:r>
      <w:r w:rsidRPr="00CB2F44">
        <w:rPr>
          <w:lang w:val="fr-FR"/>
        </w:rPr>
        <w:t>article 2 et de l</w:t>
      </w:r>
      <w:r w:rsidR="00B34C89">
        <w:rPr>
          <w:lang w:val="fr-FR"/>
        </w:rPr>
        <w:t>’</w:t>
      </w:r>
      <w:r w:rsidRPr="00CB2F44">
        <w:rPr>
          <w:lang w:val="fr-FR"/>
        </w:rPr>
        <w:t>article 3, lus conjointement avec l</w:t>
      </w:r>
      <w:r w:rsidR="00B34C89">
        <w:rPr>
          <w:lang w:val="fr-FR"/>
        </w:rPr>
        <w:t>’</w:t>
      </w:r>
      <w:r w:rsidRPr="00CB2F44">
        <w:rPr>
          <w:lang w:val="fr-FR"/>
        </w:rPr>
        <w:t>article 1</w:t>
      </w:r>
      <w:r w:rsidRPr="00CB2F44">
        <w:rPr>
          <w:vertAlign w:val="superscript"/>
          <w:lang w:val="fr-FR"/>
        </w:rPr>
        <w:t>er</w:t>
      </w:r>
      <w:r w:rsidRPr="00CB2F44">
        <w:rPr>
          <w:lang w:val="fr-FR"/>
        </w:rPr>
        <w:t xml:space="preserve"> de la Convention, en ne lui accordant pas de protection adéquate contre son mari. À l</w:t>
      </w:r>
      <w:r w:rsidR="00B34C89">
        <w:rPr>
          <w:lang w:val="fr-FR"/>
        </w:rPr>
        <w:t>’</w:t>
      </w:r>
      <w:r w:rsidRPr="00CB2F44">
        <w:rPr>
          <w:lang w:val="fr-FR"/>
        </w:rPr>
        <w:t>époque, aucune disposition législative ne permettait à l</w:t>
      </w:r>
      <w:r w:rsidR="00B34C89">
        <w:rPr>
          <w:lang w:val="fr-FR"/>
        </w:rPr>
        <w:t>’</w:t>
      </w:r>
      <w:r w:rsidRPr="00CB2F44">
        <w:rPr>
          <w:lang w:val="fr-FR"/>
        </w:rPr>
        <w:t>État partie de respecter pleinement les obligations qui lui incombaient au titre de la Convention. Ce n</w:t>
      </w:r>
      <w:r w:rsidR="00B34C89">
        <w:rPr>
          <w:lang w:val="fr-FR"/>
        </w:rPr>
        <w:t>’</w:t>
      </w:r>
      <w:r w:rsidRPr="00CB2F44">
        <w:rPr>
          <w:lang w:val="fr-FR"/>
        </w:rPr>
        <w:t>est que le 1</w:t>
      </w:r>
      <w:r w:rsidRPr="00CB2F44">
        <w:rPr>
          <w:vertAlign w:val="superscript"/>
          <w:lang w:val="fr-FR"/>
        </w:rPr>
        <w:t>er</w:t>
      </w:r>
      <w:r w:rsidRPr="00CB2F44">
        <w:rPr>
          <w:lang w:val="fr-FR"/>
        </w:rPr>
        <w:t> août 2010 que sont entrées en vigueur des dispositions qui prévoyaient l</w:t>
      </w:r>
      <w:r w:rsidR="00B34C89">
        <w:rPr>
          <w:lang w:val="fr-FR"/>
        </w:rPr>
        <w:t>’</w:t>
      </w:r>
      <w:r w:rsidRPr="00CB2F44">
        <w:rPr>
          <w:lang w:val="fr-FR"/>
        </w:rPr>
        <w:t>expulsion de membres d</w:t>
      </w:r>
      <w:r w:rsidR="00B34C89">
        <w:rPr>
          <w:lang w:val="fr-FR"/>
        </w:rPr>
        <w:t>’</w:t>
      </w:r>
      <w:r w:rsidRPr="00CB2F44">
        <w:rPr>
          <w:lang w:val="fr-FR"/>
        </w:rPr>
        <w:t>une famille qui commettaient des actes de violence domestique.</w:t>
      </w:r>
    </w:p>
    <w:p w14:paraId="4EF0E127" w14:textId="4337C06F" w:rsidR="00CB2F44" w:rsidRPr="00CB2F44" w:rsidRDefault="00CB2F44" w:rsidP="00BC659E">
      <w:pPr>
        <w:pStyle w:val="SingleTxt"/>
        <w:numPr>
          <w:ilvl w:val="0"/>
          <w:numId w:val="33"/>
        </w:numPr>
        <w:spacing w:line="240" w:lineRule="exact"/>
        <w:rPr>
          <w:b/>
          <w:lang w:val="fr-FR"/>
        </w:rPr>
      </w:pPr>
      <w:r w:rsidRPr="00CB2F44">
        <w:rPr>
          <w:lang w:val="fr-FR"/>
        </w:rPr>
        <w:t>L</w:t>
      </w:r>
      <w:r w:rsidR="00B34C89">
        <w:rPr>
          <w:lang w:val="fr-FR"/>
        </w:rPr>
        <w:t>’</w:t>
      </w:r>
      <w:r w:rsidRPr="00CB2F44">
        <w:rPr>
          <w:lang w:val="fr-FR"/>
        </w:rPr>
        <w:t>auteure fait valoir que l</w:t>
      </w:r>
      <w:r w:rsidR="00B34C89">
        <w:rPr>
          <w:lang w:val="fr-FR"/>
        </w:rPr>
        <w:t>’</w:t>
      </w:r>
      <w:r w:rsidRPr="00CB2F44">
        <w:rPr>
          <w:lang w:val="fr-FR"/>
        </w:rPr>
        <w:t>État partie a violé les droits qu</w:t>
      </w:r>
      <w:r w:rsidR="00B34C89">
        <w:rPr>
          <w:lang w:val="fr-FR"/>
        </w:rPr>
        <w:t>’</w:t>
      </w:r>
      <w:r w:rsidRPr="00CB2F44">
        <w:rPr>
          <w:lang w:val="fr-FR"/>
        </w:rPr>
        <w:t>elle tient des alinéas d) et e) de l</w:t>
      </w:r>
      <w:r w:rsidR="00B34C89">
        <w:rPr>
          <w:lang w:val="fr-FR"/>
        </w:rPr>
        <w:t>’</w:t>
      </w:r>
      <w:r w:rsidRPr="00CB2F44">
        <w:rPr>
          <w:lang w:val="fr-FR"/>
        </w:rPr>
        <w:t>article 2, lus conjointement avec l</w:t>
      </w:r>
      <w:r w:rsidR="00B34C89">
        <w:rPr>
          <w:lang w:val="fr-FR"/>
        </w:rPr>
        <w:t>’</w:t>
      </w:r>
      <w:r w:rsidRPr="00CB2F44">
        <w:rPr>
          <w:lang w:val="fr-FR"/>
        </w:rPr>
        <w:t>alinéa f) de l</w:t>
      </w:r>
      <w:r w:rsidR="00B34C89">
        <w:rPr>
          <w:lang w:val="fr-FR"/>
        </w:rPr>
        <w:t>’</w:t>
      </w:r>
      <w:r w:rsidRPr="00CB2F44">
        <w:rPr>
          <w:lang w:val="fr-FR"/>
        </w:rPr>
        <w:t>article 2, l</w:t>
      </w:r>
      <w:r w:rsidR="00B34C89">
        <w:rPr>
          <w:lang w:val="fr-FR"/>
        </w:rPr>
        <w:t>’</w:t>
      </w:r>
      <w:r w:rsidRPr="00CB2F44">
        <w:rPr>
          <w:lang w:val="fr-FR"/>
        </w:rPr>
        <w:t>alinéa</w:t>
      </w:r>
      <w:r w:rsidR="00520515">
        <w:rPr>
          <w:lang w:val="fr-FR"/>
        </w:rPr>
        <w:t xml:space="preserve"> </w:t>
      </w:r>
      <w:r w:rsidRPr="00CB2F44">
        <w:rPr>
          <w:lang w:val="fr-FR"/>
        </w:rPr>
        <w:t>a) de l</w:t>
      </w:r>
      <w:r w:rsidR="00B34C89">
        <w:rPr>
          <w:lang w:val="fr-FR"/>
        </w:rPr>
        <w:t>’</w:t>
      </w:r>
      <w:r w:rsidRPr="00CB2F44">
        <w:rPr>
          <w:lang w:val="fr-FR"/>
        </w:rPr>
        <w:t>article 5 et de l</w:t>
      </w:r>
      <w:r w:rsidR="00B34C89">
        <w:rPr>
          <w:lang w:val="fr-FR"/>
        </w:rPr>
        <w:t>’</w:t>
      </w:r>
      <w:r w:rsidRPr="00CB2F44">
        <w:rPr>
          <w:lang w:val="fr-FR"/>
        </w:rPr>
        <w:t>article 16, lus conjointement avec l</w:t>
      </w:r>
      <w:r w:rsidR="00B34C89">
        <w:rPr>
          <w:lang w:val="fr-FR"/>
        </w:rPr>
        <w:t>’</w:t>
      </w:r>
      <w:r w:rsidRPr="00CB2F44">
        <w:rPr>
          <w:lang w:val="fr-FR"/>
        </w:rPr>
        <w:t>article 1</w:t>
      </w:r>
      <w:r w:rsidRPr="00CB2F44">
        <w:rPr>
          <w:vertAlign w:val="superscript"/>
          <w:lang w:val="fr-FR"/>
        </w:rPr>
        <w:t>er</w:t>
      </w:r>
      <w:r w:rsidRPr="00CB2F44">
        <w:rPr>
          <w:lang w:val="fr-FR"/>
        </w:rPr>
        <w:t xml:space="preserve"> de la Convention. L</w:t>
      </w:r>
      <w:r w:rsidR="00B34C89">
        <w:rPr>
          <w:lang w:val="fr-FR"/>
        </w:rPr>
        <w:t>’</w:t>
      </w:r>
      <w:r w:rsidRPr="00CB2F44">
        <w:rPr>
          <w:lang w:val="fr-FR"/>
        </w:rPr>
        <w:t>État partie a violé ses droits en ne prenant aucune mesure efficace pour éliminer les stéréotypes fondés sur le genre qui portent atteinte aux droits des femmes victimes de violence domestique. L</w:t>
      </w:r>
      <w:r w:rsidR="00B34C89">
        <w:rPr>
          <w:lang w:val="fr-FR"/>
        </w:rPr>
        <w:t>’</w:t>
      </w:r>
      <w:r w:rsidRPr="00CB2F44">
        <w:rPr>
          <w:lang w:val="fr-FR"/>
        </w:rPr>
        <w:t>auteure souligne que les femmes victimes de violence domestique rencontrent encore de nombreuses difficultés lorsqu</w:t>
      </w:r>
      <w:r w:rsidR="00B34C89">
        <w:rPr>
          <w:lang w:val="fr-FR"/>
        </w:rPr>
        <w:t>’</w:t>
      </w:r>
      <w:r w:rsidRPr="00CB2F44">
        <w:rPr>
          <w:lang w:val="fr-FR"/>
        </w:rPr>
        <w:t>il s</w:t>
      </w:r>
      <w:r w:rsidR="00B34C89">
        <w:rPr>
          <w:lang w:val="fr-FR"/>
        </w:rPr>
        <w:t>’</w:t>
      </w:r>
      <w:r w:rsidRPr="00CB2F44">
        <w:rPr>
          <w:lang w:val="fr-FR"/>
        </w:rPr>
        <w:t>agit d</w:t>
      </w:r>
      <w:r w:rsidR="00B34C89">
        <w:rPr>
          <w:lang w:val="fr-FR"/>
        </w:rPr>
        <w:t>’</w:t>
      </w:r>
      <w:r w:rsidRPr="00CB2F44">
        <w:rPr>
          <w:lang w:val="fr-FR"/>
        </w:rPr>
        <w:t>obtenir une protection efficace.</w:t>
      </w:r>
    </w:p>
    <w:p w14:paraId="09FA789A" w14:textId="5FAEAEC6" w:rsidR="00CB2F44" w:rsidRPr="00CB2F44" w:rsidRDefault="00CB2F44" w:rsidP="00BC659E">
      <w:pPr>
        <w:pStyle w:val="SingleTxt"/>
        <w:numPr>
          <w:ilvl w:val="0"/>
          <w:numId w:val="33"/>
        </w:numPr>
        <w:spacing w:line="240" w:lineRule="exact"/>
        <w:rPr>
          <w:b/>
          <w:lang w:val="fr-FR"/>
        </w:rPr>
      </w:pPr>
      <w:r w:rsidRPr="00CB2F44">
        <w:rPr>
          <w:lang w:val="fr-FR"/>
        </w:rPr>
        <w:t>La violence domestique est répandue dans l</w:t>
      </w:r>
      <w:r w:rsidR="00B34C89">
        <w:rPr>
          <w:lang w:val="fr-FR"/>
        </w:rPr>
        <w:t>’</w:t>
      </w:r>
      <w:r w:rsidRPr="00CB2F44">
        <w:rPr>
          <w:lang w:val="fr-FR"/>
        </w:rPr>
        <w:t>État partie. Selon une étude, en Pologne, 19</w:t>
      </w:r>
      <w:r w:rsidR="00B34C89">
        <w:rPr>
          <w:lang w:val="fr-FR"/>
        </w:rPr>
        <w:t> %</w:t>
      </w:r>
      <w:r w:rsidRPr="00CB2F44">
        <w:rPr>
          <w:lang w:val="fr-FR"/>
        </w:rPr>
        <w:t xml:space="preserve"> des femmes ont subi des violences physiques ou sexuelles de la part </w:t>
      </w:r>
      <w:r w:rsidRPr="00CB2F44">
        <w:rPr>
          <w:lang w:val="fr-FR"/>
        </w:rPr>
        <w:lastRenderedPageBreak/>
        <w:t>d</w:t>
      </w:r>
      <w:r w:rsidR="00B34C89">
        <w:rPr>
          <w:lang w:val="fr-FR"/>
        </w:rPr>
        <w:t>’</w:t>
      </w:r>
      <w:r w:rsidRPr="00CB2F44">
        <w:rPr>
          <w:lang w:val="fr-FR"/>
        </w:rPr>
        <w:t>un partenaire, actuel ou ancien, ou de la part d</w:t>
      </w:r>
      <w:r w:rsidR="00B34C89">
        <w:rPr>
          <w:lang w:val="fr-FR"/>
        </w:rPr>
        <w:t>’</w:t>
      </w:r>
      <w:r w:rsidRPr="00CB2F44">
        <w:rPr>
          <w:lang w:val="fr-FR"/>
        </w:rPr>
        <w:t>autres personnes</w:t>
      </w:r>
      <w:r w:rsidRPr="00CB2F44">
        <w:rPr>
          <w:vertAlign w:val="superscript"/>
          <w:lang w:val="fr-CH"/>
        </w:rPr>
        <w:footnoteReference w:id="17"/>
      </w:r>
      <w:r w:rsidRPr="00CB2F44">
        <w:rPr>
          <w:lang w:val="fr-FR"/>
        </w:rPr>
        <w:t>. En outre, 37</w:t>
      </w:r>
      <w:r w:rsidR="00B34C89">
        <w:rPr>
          <w:lang w:val="fr-FR"/>
        </w:rPr>
        <w:t> %</w:t>
      </w:r>
      <w:r w:rsidRPr="00CB2F44">
        <w:rPr>
          <w:lang w:val="fr-FR"/>
        </w:rPr>
        <w:t xml:space="preserve"> des femmes ont subi des violences psychologiques de la part d</w:t>
      </w:r>
      <w:r w:rsidR="00B34C89">
        <w:rPr>
          <w:lang w:val="fr-FR"/>
        </w:rPr>
        <w:t>’</w:t>
      </w:r>
      <w:r w:rsidRPr="00CB2F44">
        <w:rPr>
          <w:lang w:val="fr-FR"/>
        </w:rPr>
        <w:t>un partenaire actuel ou ancien</w:t>
      </w:r>
      <w:r w:rsidRPr="00CB2F44">
        <w:rPr>
          <w:vertAlign w:val="superscript"/>
          <w:lang w:val="fr-CH"/>
        </w:rPr>
        <w:footnoteReference w:id="18"/>
      </w:r>
      <w:r w:rsidRPr="00CB2F44">
        <w:rPr>
          <w:lang w:val="fr-FR"/>
        </w:rPr>
        <w:t>.</w:t>
      </w:r>
    </w:p>
    <w:p w14:paraId="68F160D8" w14:textId="4B73C50F" w:rsidR="00CB2F44" w:rsidRPr="00CB2F44" w:rsidRDefault="00CB2F44" w:rsidP="00BC659E">
      <w:pPr>
        <w:pStyle w:val="SingleTxt"/>
        <w:numPr>
          <w:ilvl w:val="0"/>
          <w:numId w:val="33"/>
        </w:numPr>
        <w:spacing w:line="240" w:lineRule="exact"/>
        <w:rPr>
          <w:b/>
          <w:lang w:val="fr-FR"/>
        </w:rPr>
      </w:pPr>
      <w:r w:rsidRPr="00CB2F44">
        <w:rPr>
          <w:lang w:val="fr-FR"/>
        </w:rPr>
        <w:t>L</w:t>
      </w:r>
      <w:r w:rsidR="00B34C89">
        <w:rPr>
          <w:lang w:val="fr-FR"/>
        </w:rPr>
        <w:t>’</w:t>
      </w:r>
      <w:r w:rsidRPr="00CB2F44">
        <w:rPr>
          <w:lang w:val="fr-FR"/>
        </w:rPr>
        <w:t>adoption et la ratification par la Pologne de la Convention du Conseil de l</w:t>
      </w:r>
      <w:r w:rsidR="00B34C89">
        <w:rPr>
          <w:lang w:val="fr-FR"/>
        </w:rPr>
        <w:t>’</w:t>
      </w:r>
      <w:r w:rsidRPr="00CB2F44">
        <w:rPr>
          <w:lang w:val="fr-FR"/>
        </w:rPr>
        <w:t>Europe sur la prévention et la lutte contre la violence à l</w:t>
      </w:r>
      <w:r w:rsidR="00B34C89">
        <w:rPr>
          <w:lang w:val="fr-FR"/>
        </w:rPr>
        <w:t>’</w:t>
      </w:r>
      <w:r w:rsidRPr="00CB2F44">
        <w:rPr>
          <w:lang w:val="fr-FR"/>
        </w:rPr>
        <w:t>égard des femmes et la violence domestique (Convention d</w:t>
      </w:r>
      <w:r w:rsidR="00B34C89">
        <w:rPr>
          <w:lang w:val="fr-FR"/>
        </w:rPr>
        <w:t>’</w:t>
      </w:r>
      <w:r w:rsidRPr="00CB2F44">
        <w:rPr>
          <w:lang w:val="fr-FR"/>
        </w:rPr>
        <w:t>Istanbul) continuent de faire débat. En 2016, le Ministère de la justice a rédigé une demande préliminaire de retrait de la Convention d</w:t>
      </w:r>
      <w:r w:rsidR="00B34C89">
        <w:rPr>
          <w:lang w:val="fr-FR"/>
        </w:rPr>
        <w:t>’</w:t>
      </w:r>
      <w:r w:rsidRPr="00CB2F44">
        <w:rPr>
          <w:lang w:val="fr-FR"/>
        </w:rPr>
        <w:t>Istanbul, laquelle n</w:t>
      </w:r>
      <w:r w:rsidR="00B34C89">
        <w:rPr>
          <w:lang w:val="fr-FR"/>
        </w:rPr>
        <w:t>’</w:t>
      </w:r>
      <w:r w:rsidRPr="00CB2F44">
        <w:rPr>
          <w:lang w:val="fr-FR"/>
        </w:rPr>
        <w:t>avait été ratifiée qu</w:t>
      </w:r>
      <w:r w:rsidR="00B34C89">
        <w:rPr>
          <w:lang w:val="fr-FR"/>
        </w:rPr>
        <w:t>’</w:t>
      </w:r>
      <w:r w:rsidRPr="00CB2F44">
        <w:rPr>
          <w:lang w:val="fr-FR"/>
        </w:rPr>
        <w:t>en 2015. Les organes législatifs de l</w:t>
      </w:r>
      <w:r w:rsidR="00B34C89">
        <w:rPr>
          <w:lang w:val="fr-FR"/>
        </w:rPr>
        <w:t>’</w:t>
      </w:r>
      <w:r w:rsidRPr="00CB2F44">
        <w:rPr>
          <w:lang w:val="fr-FR"/>
        </w:rPr>
        <w:t>État partie ont présenté un projet de loi visant à renforcer la protection des victimes de violence domestique, mais le texte n</w:t>
      </w:r>
      <w:r w:rsidR="00B34C89">
        <w:rPr>
          <w:lang w:val="fr-FR"/>
        </w:rPr>
        <w:t>’</w:t>
      </w:r>
      <w:r w:rsidRPr="00CB2F44">
        <w:rPr>
          <w:lang w:val="fr-FR"/>
        </w:rPr>
        <w:t>a pas été adopté. Par ailleurs, la municipalité de Zakopane refuse depuis des années de mettre en œuvre un programme de prévention de la violence domestique et de nommer un groupe de travail interdisciplinaire, comme le prévoit la loi relative à la lutte contre la violence domestique. Elle a même contesté la constitutionnalité de la loi, mais aucune date n</w:t>
      </w:r>
      <w:r w:rsidR="00B34C89">
        <w:rPr>
          <w:lang w:val="fr-FR"/>
        </w:rPr>
        <w:t>’</w:t>
      </w:r>
      <w:r w:rsidRPr="00CB2F44">
        <w:rPr>
          <w:lang w:val="fr-FR"/>
        </w:rPr>
        <w:t>a été fixée pour l</w:t>
      </w:r>
      <w:r w:rsidR="00B34C89">
        <w:rPr>
          <w:lang w:val="fr-FR"/>
        </w:rPr>
        <w:t>’</w:t>
      </w:r>
      <w:r w:rsidRPr="00CB2F44">
        <w:rPr>
          <w:lang w:val="fr-FR"/>
        </w:rPr>
        <w:t>ouverture de la procédure orale.</w:t>
      </w:r>
    </w:p>
    <w:p w14:paraId="0F1D2174" w14:textId="335BB634" w:rsidR="00CB2F44" w:rsidRPr="00CB2F44" w:rsidRDefault="00CB2F44" w:rsidP="00BC659E">
      <w:pPr>
        <w:pStyle w:val="SingleTxt"/>
        <w:numPr>
          <w:ilvl w:val="0"/>
          <w:numId w:val="33"/>
        </w:numPr>
        <w:spacing w:line="240" w:lineRule="exact"/>
        <w:rPr>
          <w:b/>
          <w:lang w:val="fr-FR"/>
        </w:rPr>
      </w:pPr>
      <w:r w:rsidRPr="00CB2F44">
        <w:rPr>
          <w:lang w:val="fr-FR"/>
        </w:rPr>
        <w:t>Le droit interne n</w:t>
      </w:r>
      <w:r w:rsidR="00B34C89">
        <w:rPr>
          <w:lang w:val="fr-FR"/>
        </w:rPr>
        <w:t>’</w:t>
      </w:r>
      <w:r w:rsidRPr="00CB2F44">
        <w:rPr>
          <w:lang w:val="fr-FR"/>
        </w:rPr>
        <w:t>érige pas expressément la violence domestique en infraction. L</w:t>
      </w:r>
      <w:r w:rsidR="00B34C89">
        <w:rPr>
          <w:lang w:val="fr-FR"/>
        </w:rPr>
        <w:t>’</w:t>
      </w:r>
      <w:r w:rsidRPr="00CB2F44">
        <w:rPr>
          <w:lang w:val="fr-FR"/>
        </w:rPr>
        <w:t>article 207 du Code pénal comporte une définition des actes de violence constituant des infractions pénales qui ne couvre pas tous les éléments caractéristiques de la violence domestique, ni ceux d</w:t>
      </w:r>
      <w:r w:rsidR="00B34C89">
        <w:rPr>
          <w:lang w:val="fr-FR"/>
        </w:rPr>
        <w:t>’</w:t>
      </w:r>
      <w:r w:rsidRPr="00CB2F44">
        <w:rPr>
          <w:lang w:val="fr-FR"/>
        </w:rPr>
        <w:t>autres infractions impliquant des violences domestiques. Selon la doctrine, cette définition est trop étroite et ne constitue donc pas un instrument efficace pour prévenir la violence domestique</w:t>
      </w:r>
      <w:r w:rsidRPr="00CB2F44">
        <w:rPr>
          <w:vertAlign w:val="superscript"/>
          <w:lang w:val="fr-CH"/>
        </w:rPr>
        <w:footnoteReference w:id="19"/>
      </w:r>
      <w:r w:rsidRPr="00CB2F44">
        <w:rPr>
          <w:lang w:val="fr-FR"/>
        </w:rPr>
        <w:t>. Tous les actes de violence domestique ne présentent pas les caractéristiques des actes de violence constituant des infractions pénales, tels que définis dans cet article.</w:t>
      </w:r>
    </w:p>
    <w:p w14:paraId="6B991097" w14:textId="0C78221C" w:rsidR="00CB2F44" w:rsidRPr="00BC659E" w:rsidRDefault="00CB2F44" w:rsidP="00BC659E">
      <w:pPr>
        <w:pStyle w:val="SingleTxt"/>
        <w:numPr>
          <w:ilvl w:val="0"/>
          <w:numId w:val="33"/>
        </w:numPr>
        <w:spacing w:line="240" w:lineRule="exact"/>
        <w:rPr>
          <w:b/>
          <w:lang w:val="fr-FR"/>
        </w:rPr>
      </w:pPr>
      <w:r w:rsidRPr="00CB2F44">
        <w:rPr>
          <w:lang w:val="fr-FR"/>
        </w:rPr>
        <w:t>L</w:t>
      </w:r>
      <w:r w:rsidR="00B34C89">
        <w:rPr>
          <w:lang w:val="fr-FR"/>
        </w:rPr>
        <w:t>’</w:t>
      </w:r>
      <w:r w:rsidRPr="00CB2F44">
        <w:rPr>
          <w:lang w:val="fr-FR"/>
        </w:rPr>
        <w:t>auteure demande</w:t>
      </w:r>
      <w:r w:rsidR="00B34C89">
        <w:rPr>
          <w:lang w:val="fr-FR"/>
        </w:rPr>
        <w:t> :</w:t>
      </w:r>
      <w:r w:rsidRPr="00CB2F44">
        <w:rPr>
          <w:lang w:val="fr-FR"/>
        </w:rPr>
        <w:t xml:space="preserve"> a) que lui soient versées une indemnité pour préjudice pécuniaire, conformément au résultat de la procédure interne concernée, et une indemnité pour préjudice non p</w:t>
      </w:r>
      <w:bookmarkStart w:id="16" w:name="_Hlk43126775"/>
      <w:r w:rsidRPr="00CB2F44">
        <w:rPr>
          <w:lang w:val="fr-FR"/>
        </w:rPr>
        <w:t>é</w:t>
      </w:r>
      <w:bookmarkEnd w:id="16"/>
      <w:r w:rsidRPr="00CB2F44">
        <w:rPr>
          <w:lang w:val="fr-FR"/>
        </w:rPr>
        <w:t>cuniaire proportionnelle aux violations de ses droits</w:t>
      </w:r>
      <w:r w:rsidR="00B34C89">
        <w:rPr>
          <w:lang w:val="fr-FR"/>
        </w:rPr>
        <w:t> ;</w:t>
      </w:r>
      <w:r w:rsidRPr="00CB2F44">
        <w:rPr>
          <w:lang w:val="fr-FR"/>
        </w:rPr>
        <w:t xml:space="preserve"> b) que l</w:t>
      </w:r>
      <w:r w:rsidR="00B34C89">
        <w:rPr>
          <w:lang w:val="fr-FR"/>
        </w:rPr>
        <w:t>’</w:t>
      </w:r>
      <w:r w:rsidRPr="00CB2F44">
        <w:rPr>
          <w:lang w:val="fr-FR"/>
        </w:rPr>
        <w:t>État partie s</w:t>
      </w:r>
      <w:r w:rsidR="00B34C89">
        <w:rPr>
          <w:lang w:val="fr-FR"/>
        </w:rPr>
        <w:t>’</w:t>
      </w:r>
      <w:r w:rsidRPr="00CB2F44">
        <w:rPr>
          <w:lang w:val="fr-FR"/>
        </w:rPr>
        <w:t>abstienne de dénoncer la Convention sur la prévention et la lutte contre la violence à l</w:t>
      </w:r>
      <w:r w:rsidR="00B34C89">
        <w:rPr>
          <w:lang w:val="fr-FR"/>
        </w:rPr>
        <w:t>’</w:t>
      </w:r>
      <w:r w:rsidRPr="00CB2F44">
        <w:rPr>
          <w:lang w:val="fr-FR"/>
        </w:rPr>
        <w:t>égard des femmes et la violence domestique du Conseil de l</w:t>
      </w:r>
      <w:r w:rsidR="00B34C89">
        <w:rPr>
          <w:lang w:val="fr-FR"/>
        </w:rPr>
        <w:t>’</w:t>
      </w:r>
      <w:r w:rsidRPr="00CB2F44">
        <w:rPr>
          <w:lang w:val="fr-FR"/>
        </w:rPr>
        <w:t>Europe (Convention d</w:t>
      </w:r>
      <w:r w:rsidR="00B34C89">
        <w:rPr>
          <w:lang w:val="fr-FR"/>
        </w:rPr>
        <w:t>’</w:t>
      </w:r>
      <w:r w:rsidRPr="00CB2F44">
        <w:rPr>
          <w:lang w:val="fr-FR"/>
        </w:rPr>
        <w:t>Istanbul)</w:t>
      </w:r>
      <w:r w:rsidR="00B34C89">
        <w:rPr>
          <w:lang w:val="fr-FR"/>
        </w:rPr>
        <w:t> ;</w:t>
      </w:r>
      <w:r w:rsidRPr="00CB2F44">
        <w:rPr>
          <w:lang w:val="fr-FR"/>
        </w:rPr>
        <w:t xml:space="preserve"> c) que l</w:t>
      </w:r>
      <w:r w:rsidR="00B34C89">
        <w:rPr>
          <w:lang w:val="fr-FR"/>
        </w:rPr>
        <w:t>’</w:t>
      </w:r>
      <w:r w:rsidRPr="00CB2F44">
        <w:rPr>
          <w:lang w:val="fr-FR"/>
        </w:rPr>
        <w:t>État partie veille à ce que la législation de lutte contre la violence domestique soit pleinement appliquée dans l</w:t>
      </w:r>
      <w:r w:rsidR="00B34C89">
        <w:rPr>
          <w:lang w:val="fr-FR"/>
        </w:rPr>
        <w:t>’</w:t>
      </w:r>
      <w:r w:rsidRPr="00CB2F44">
        <w:rPr>
          <w:lang w:val="fr-FR"/>
        </w:rPr>
        <w:t>ensemble du pays</w:t>
      </w:r>
      <w:r w:rsidR="00B34C89">
        <w:rPr>
          <w:lang w:val="fr-FR"/>
        </w:rPr>
        <w:t> ;</w:t>
      </w:r>
      <w:r w:rsidRPr="00CB2F44">
        <w:rPr>
          <w:lang w:val="fr-FR"/>
        </w:rPr>
        <w:t xml:space="preserve"> d) que l</w:t>
      </w:r>
      <w:r w:rsidR="00B34C89">
        <w:rPr>
          <w:lang w:val="fr-FR"/>
        </w:rPr>
        <w:t>’</w:t>
      </w:r>
      <w:r w:rsidRPr="00CB2F44">
        <w:rPr>
          <w:lang w:val="fr-FR"/>
        </w:rPr>
        <w:t>État partie prenne toutes les mesures nécessaires pour que des violations similaires ne se reproduisent pas</w:t>
      </w:r>
      <w:r w:rsidR="00B34C89">
        <w:rPr>
          <w:lang w:val="fr-FR"/>
        </w:rPr>
        <w:t> ;</w:t>
      </w:r>
      <w:r w:rsidRPr="00CB2F44">
        <w:rPr>
          <w:lang w:val="fr-FR"/>
        </w:rPr>
        <w:t xml:space="preserve"> e) que l</w:t>
      </w:r>
      <w:r w:rsidR="00B34C89">
        <w:rPr>
          <w:lang w:val="fr-FR"/>
        </w:rPr>
        <w:t>’</w:t>
      </w:r>
      <w:r w:rsidRPr="00CB2F44">
        <w:rPr>
          <w:lang w:val="fr-FR"/>
        </w:rPr>
        <w:t>État partie examine et modifie la législation nationale concernée, y compris le Code pénal, en érigeant la violence domestique en infraction, ainsi que le régime relatif aux mesures de précaution (article 275a du Code de procédure pénale et article 11a de la loi relative à la lutte contre la violence domestique)</w:t>
      </w:r>
      <w:r w:rsidR="00B34C89">
        <w:rPr>
          <w:lang w:val="fr-FR"/>
        </w:rPr>
        <w:t> ;</w:t>
      </w:r>
      <w:r w:rsidRPr="00CB2F44">
        <w:rPr>
          <w:lang w:val="fr-FR"/>
        </w:rPr>
        <w:t xml:space="preserve"> f) que l</w:t>
      </w:r>
      <w:r w:rsidR="00B34C89">
        <w:rPr>
          <w:lang w:val="fr-FR"/>
        </w:rPr>
        <w:t>’</w:t>
      </w:r>
      <w:r w:rsidRPr="00CB2F44">
        <w:rPr>
          <w:lang w:val="fr-FR"/>
        </w:rPr>
        <w:t>État partie renforce l</w:t>
      </w:r>
      <w:r w:rsidR="00B34C89">
        <w:rPr>
          <w:lang w:val="fr-FR"/>
        </w:rPr>
        <w:t>’</w:t>
      </w:r>
      <w:r w:rsidRPr="00CB2F44">
        <w:rPr>
          <w:lang w:val="fr-FR"/>
        </w:rPr>
        <w:t>application du cadre juridique en vigueur pour veiller à ce que les autorités compétentes fassent preuve de la diligence voulue pour traiter de manière adéquate et en temps utile les cas de violence domestique</w:t>
      </w:r>
      <w:r w:rsidR="00B34C89">
        <w:rPr>
          <w:lang w:val="fr-FR"/>
        </w:rPr>
        <w:t> ;</w:t>
      </w:r>
      <w:r w:rsidRPr="00CB2F44">
        <w:rPr>
          <w:lang w:val="fr-FR"/>
        </w:rPr>
        <w:t xml:space="preserve"> g) que l</w:t>
      </w:r>
      <w:r w:rsidR="00B34C89">
        <w:rPr>
          <w:lang w:val="fr-FR"/>
        </w:rPr>
        <w:t>’</w:t>
      </w:r>
      <w:r w:rsidRPr="00CB2F44">
        <w:rPr>
          <w:lang w:val="fr-FR"/>
        </w:rPr>
        <w:t>État partie participe à des campagnes de sensibilisation à la question et mène une politique de tolérance zéro tant à l</w:t>
      </w:r>
      <w:r w:rsidR="00B34C89">
        <w:rPr>
          <w:lang w:val="fr-FR"/>
        </w:rPr>
        <w:t>’</w:t>
      </w:r>
      <w:r w:rsidRPr="00CB2F44">
        <w:rPr>
          <w:lang w:val="fr-FR"/>
        </w:rPr>
        <w:t>égard de la violence contre les femmes que de la violence domestique</w:t>
      </w:r>
      <w:r w:rsidR="00B34C89">
        <w:rPr>
          <w:lang w:val="fr-FR"/>
        </w:rPr>
        <w:t> ;</w:t>
      </w:r>
      <w:r w:rsidRPr="00CB2F44">
        <w:rPr>
          <w:lang w:val="fr-FR"/>
        </w:rPr>
        <w:t xml:space="preserve"> h) que l</w:t>
      </w:r>
      <w:r w:rsidR="00B34C89">
        <w:rPr>
          <w:lang w:val="fr-FR"/>
        </w:rPr>
        <w:t>’</w:t>
      </w:r>
      <w:r w:rsidRPr="00CB2F44">
        <w:rPr>
          <w:lang w:val="fr-FR"/>
        </w:rPr>
        <w:t>État partie poursuive les auteurs d</w:t>
      </w:r>
      <w:r w:rsidR="00B34C89">
        <w:rPr>
          <w:lang w:val="fr-FR"/>
        </w:rPr>
        <w:t>’</w:t>
      </w:r>
      <w:r w:rsidRPr="00CB2F44">
        <w:rPr>
          <w:lang w:val="fr-FR"/>
        </w:rPr>
        <w:t xml:space="preserve">actes de violence domestique pour montrer que ces actes sont condamnés par la société dans son ensemble et pour garantir que des recours tant pénaux que civils sont engagés dans les cas où un auteur représente une menace grave pour une </w:t>
      </w:r>
      <w:r w:rsidRPr="00CB2F44">
        <w:rPr>
          <w:lang w:val="fr-FR"/>
        </w:rPr>
        <w:lastRenderedPageBreak/>
        <w:t>victime</w:t>
      </w:r>
      <w:r w:rsidR="00B34C89">
        <w:rPr>
          <w:lang w:val="fr-FR"/>
        </w:rPr>
        <w:t> ;</w:t>
      </w:r>
      <w:r w:rsidRPr="00CB2F44">
        <w:rPr>
          <w:lang w:val="fr-FR"/>
        </w:rPr>
        <w:t xml:space="preserve"> i) que l</w:t>
      </w:r>
      <w:r w:rsidR="00B34C89">
        <w:rPr>
          <w:lang w:val="fr-FR"/>
        </w:rPr>
        <w:t>’</w:t>
      </w:r>
      <w:r w:rsidRPr="00CB2F44">
        <w:rPr>
          <w:lang w:val="fr-FR"/>
        </w:rPr>
        <w:t>État partie veille à ce que la sécurité des femmes soit dûment prise en considération, en s</w:t>
      </w:r>
      <w:r w:rsidR="00B34C89">
        <w:rPr>
          <w:lang w:val="fr-FR"/>
        </w:rPr>
        <w:t>’</w:t>
      </w:r>
      <w:r w:rsidRPr="00CB2F44">
        <w:rPr>
          <w:lang w:val="fr-FR"/>
        </w:rPr>
        <w:t>assurant que les droits des auteurs d</w:t>
      </w:r>
      <w:r w:rsidR="00B34C89">
        <w:rPr>
          <w:lang w:val="fr-FR"/>
        </w:rPr>
        <w:t>’</w:t>
      </w:r>
      <w:r w:rsidRPr="00CB2F44">
        <w:rPr>
          <w:lang w:val="fr-FR"/>
        </w:rPr>
        <w:t>infractions ne l</w:t>
      </w:r>
      <w:r w:rsidR="00B34C89">
        <w:rPr>
          <w:lang w:val="fr-FR"/>
        </w:rPr>
        <w:t>’</w:t>
      </w:r>
      <w:r w:rsidRPr="00CB2F44">
        <w:rPr>
          <w:lang w:val="fr-FR"/>
        </w:rPr>
        <w:t>emportent pas sur les droits à la vie et à l</w:t>
      </w:r>
      <w:r w:rsidR="00B34C89">
        <w:rPr>
          <w:lang w:val="fr-FR"/>
        </w:rPr>
        <w:t>’</w:t>
      </w:r>
      <w:r w:rsidRPr="00CB2F44">
        <w:rPr>
          <w:lang w:val="fr-FR"/>
        </w:rPr>
        <w:t>intégrité physique et mentale des femmes</w:t>
      </w:r>
      <w:r w:rsidR="00B34C89">
        <w:rPr>
          <w:lang w:val="fr-FR"/>
        </w:rPr>
        <w:t> ;</w:t>
      </w:r>
      <w:r w:rsidRPr="00CB2F44">
        <w:rPr>
          <w:lang w:val="fr-FR"/>
        </w:rPr>
        <w:t xml:space="preserve"> j) que l</w:t>
      </w:r>
      <w:r w:rsidR="00B34C89">
        <w:rPr>
          <w:lang w:val="fr-FR"/>
        </w:rPr>
        <w:t>’</w:t>
      </w:r>
      <w:r w:rsidRPr="00CB2F44">
        <w:rPr>
          <w:lang w:val="fr-FR"/>
        </w:rPr>
        <w:t>État partie lutte contre les idées et les stéréotypes péjoratifs fondés sur le genre qui favorisent la discrimination croisée à l</w:t>
      </w:r>
      <w:r w:rsidR="00B34C89">
        <w:rPr>
          <w:lang w:val="fr-FR"/>
        </w:rPr>
        <w:t>’</w:t>
      </w:r>
      <w:r w:rsidRPr="00CB2F44">
        <w:rPr>
          <w:lang w:val="fr-FR"/>
        </w:rPr>
        <w:t>égard des femmes.</w:t>
      </w:r>
    </w:p>
    <w:p w14:paraId="77C1421E" w14:textId="4C1270B5" w:rsidR="00BC659E" w:rsidRPr="00BC659E" w:rsidRDefault="00BC659E" w:rsidP="00BC659E">
      <w:pPr>
        <w:pStyle w:val="SingleTxt"/>
        <w:spacing w:after="0" w:line="120" w:lineRule="exact"/>
        <w:rPr>
          <w:sz w:val="10"/>
          <w:lang w:val="fr-FR"/>
        </w:rPr>
      </w:pPr>
    </w:p>
    <w:p w14:paraId="6A1E6C8F" w14:textId="51586067" w:rsidR="00CB2F44" w:rsidRDefault="00CB2F44" w:rsidP="00BC65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2F44">
        <w:rPr>
          <w:lang w:val="fr-FR"/>
        </w:rPr>
        <w:tab/>
      </w:r>
      <w:r w:rsidRPr="00CB2F44">
        <w:rPr>
          <w:lang w:val="fr-FR"/>
        </w:rPr>
        <w:tab/>
        <w:t>Délibérations du Comité</w:t>
      </w:r>
    </w:p>
    <w:p w14:paraId="46773C70" w14:textId="6756798A" w:rsidR="00BC659E" w:rsidRPr="00BC659E" w:rsidRDefault="00BC659E" w:rsidP="00BC659E">
      <w:pPr>
        <w:pStyle w:val="SingleTxt"/>
        <w:spacing w:after="0" w:line="120" w:lineRule="exact"/>
        <w:rPr>
          <w:sz w:val="10"/>
          <w:lang w:val="fr-FR"/>
        </w:rPr>
      </w:pPr>
    </w:p>
    <w:p w14:paraId="2C37A5F5" w14:textId="3472CDCC" w:rsidR="00CB2F44" w:rsidRPr="00CB2F44" w:rsidRDefault="00CB2F44" w:rsidP="00BC659E">
      <w:pPr>
        <w:pStyle w:val="SingleTxt"/>
        <w:numPr>
          <w:ilvl w:val="0"/>
          <w:numId w:val="34"/>
        </w:numPr>
        <w:rPr>
          <w:lang w:val="fr-FR"/>
        </w:rPr>
      </w:pPr>
      <w:r w:rsidRPr="00CB2F44">
        <w:rPr>
          <w:lang w:val="fr-FR"/>
        </w:rPr>
        <w:t>Le Comité doit, conformément à l</w:t>
      </w:r>
      <w:r w:rsidR="00B34C89">
        <w:rPr>
          <w:lang w:val="fr-FR"/>
        </w:rPr>
        <w:t>’</w:t>
      </w:r>
      <w:r w:rsidRPr="00CB2F44">
        <w:rPr>
          <w:lang w:val="fr-FR"/>
        </w:rPr>
        <w:t>article 64 de son règlement intérieur, déterminer si la communication est recevable au regard du Protocole facultatif à la Convention. Conformément à l</w:t>
      </w:r>
      <w:r w:rsidR="00B34C89">
        <w:rPr>
          <w:lang w:val="fr-FR"/>
        </w:rPr>
        <w:t>’</w:t>
      </w:r>
      <w:r w:rsidRPr="00CB2F44">
        <w:rPr>
          <w:lang w:val="fr-FR"/>
        </w:rPr>
        <w:t>article 66, il peut décider d</w:t>
      </w:r>
      <w:r w:rsidR="00B34C89">
        <w:rPr>
          <w:lang w:val="fr-FR"/>
        </w:rPr>
        <w:t>’</w:t>
      </w:r>
      <w:r w:rsidRPr="00CB2F44">
        <w:rPr>
          <w:lang w:val="fr-FR"/>
        </w:rPr>
        <w:t>examiner séparément la question de la recevabilité d</w:t>
      </w:r>
      <w:r w:rsidR="00B34C89">
        <w:rPr>
          <w:lang w:val="fr-FR"/>
        </w:rPr>
        <w:t>’</w:t>
      </w:r>
      <w:r w:rsidRPr="00CB2F44">
        <w:rPr>
          <w:lang w:val="fr-FR"/>
        </w:rPr>
        <w:t>une communication et la communication elle-même quant au fond. En application au paragraphe 4 de l</w:t>
      </w:r>
      <w:r w:rsidR="00B34C89">
        <w:rPr>
          <w:lang w:val="fr-FR"/>
        </w:rPr>
        <w:t>’</w:t>
      </w:r>
      <w:r w:rsidRPr="00CB2F44">
        <w:rPr>
          <w:lang w:val="fr-FR"/>
        </w:rPr>
        <w:t>article 72, il est tenu de prendre cette décision avant d</w:t>
      </w:r>
      <w:r w:rsidR="00B34C89">
        <w:rPr>
          <w:lang w:val="fr-FR"/>
        </w:rPr>
        <w:t>’</w:t>
      </w:r>
      <w:r w:rsidRPr="00CB2F44">
        <w:rPr>
          <w:lang w:val="fr-FR"/>
        </w:rPr>
        <w:t>examiner la communication quant au fond.</w:t>
      </w:r>
      <w:bookmarkStart w:id="17" w:name="_Hlk36643080"/>
      <w:bookmarkEnd w:id="17"/>
    </w:p>
    <w:p w14:paraId="6DE67314" w14:textId="7D403764" w:rsidR="00CB2F44" w:rsidRPr="00CB2F44" w:rsidRDefault="00CB2F44" w:rsidP="00BC659E">
      <w:pPr>
        <w:pStyle w:val="SingleTxt"/>
        <w:numPr>
          <w:ilvl w:val="0"/>
          <w:numId w:val="34"/>
        </w:numPr>
        <w:spacing w:line="240" w:lineRule="exact"/>
        <w:rPr>
          <w:lang w:val="fr-FR"/>
        </w:rPr>
      </w:pPr>
      <w:r w:rsidRPr="00CB2F44">
        <w:rPr>
          <w:lang w:val="fr-FR"/>
        </w:rPr>
        <w:t>Le Comité constate que l</w:t>
      </w:r>
      <w:r w:rsidR="00B34C89">
        <w:rPr>
          <w:lang w:val="fr-FR"/>
        </w:rPr>
        <w:t>’</w:t>
      </w:r>
      <w:r w:rsidRPr="00CB2F44">
        <w:rPr>
          <w:lang w:val="fr-FR"/>
        </w:rPr>
        <w:t>auteure a saisi la Cour européenne des droits de l</w:t>
      </w:r>
      <w:r w:rsidR="00B34C89">
        <w:rPr>
          <w:lang w:val="fr-FR"/>
        </w:rPr>
        <w:t>’</w:t>
      </w:r>
      <w:r w:rsidRPr="00CB2F44">
        <w:rPr>
          <w:lang w:val="fr-FR"/>
        </w:rPr>
        <w:t>homme. La Cour a toutefois jugé la requête irrecevable, du fait de son introduction hors délai, et ne l</w:t>
      </w:r>
      <w:r w:rsidR="00B34C89">
        <w:rPr>
          <w:lang w:val="fr-FR"/>
        </w:rPr>
        <w:t>’</w:t>
      </w:r>
      <w:r w:rsidRPr="00CB2F44">
        <w:rPr>
          <w:lang w:val="fr-FR"/>
        </w:rPr>
        <w:t>a donc pas examinée quant au fond. Le Comité s</w:t>
      </w:r>
      <w:r w:rsidR="00B34C89">
        <w:rPr>
          <w:lang w:val="fr-FR"/>
        </w:rPr>
        <w:t>’</w:t>
      </w:r>
      <w:r w:rsidRPr="00CB2F44">
        <w:rPr>
          <w:lang w:val="fr-FR"/>
        </w:rPr>
        <w:t>est assuré que la même question n</w:t>
      </w:r>
      <w:r w:rsidR="00B34C89">
        <w:rPr>
          <w:lang w:val="fr-FR"/>
        </w:rPr>
        <w:t>’</w:t>
      </w:r>
      <w:r w:rsidRPr="00CB2F44">
        <w:rPr>
          <w:lang w:val="fr-FR"/>
        </w:rPr>
        <w:t>avait pas déjà été examinée ou n</w:t>
      </w:r>
      <w:r w:rsidR="00B34C89">
        <w:rPr>
          <w:lang w:val="fr-FR"/>
        </w:rPr>
        <w:t>’</w:t>
      </w:r>
      <w:r w:rsidRPr="00CB2F44">
        <w:rPr>
          <w:lang w:val="fr-FR"/>
        </w:rPr>
        <w:t>était pas en cours d</w:t>
      </w:r>
      <w:r w:rsidR="00B34C89">
        <w:rPr>
          <w:lang w:val="fr-FR"/>
        </w:rPr>
        <w:t>’</w:t>
      </w:r>
      <w:r w:rsidRPr="00CB2F44">
        <w:rPr>
          <w:lang w:val="fr-FR"/>
        </w:rPr>
        <w:t>examen devant une autre instance internationale d</w:t>
      </w:r>
      <w:r w:rsidR="00B34C89">
        <w:rPr>
          <w:lang w:val="fr-FR"/>
        </w:rPr>
        <w:t>’</w:t>
      </w:r>
      <w:r w:rsidRPr="00CB2F44">
        <w:rPr>
          <w:lang w:val="fr-FR"/>
        </w:rPr>
        <w:t>enquête ou de règlement et estime que l</w:t>
      </w:r>
      <w:r w:rsidR="00B34C89">
        <w:rPr>
          <w:lang w:val="fr-FR"/>
        </w:rPr>
        <w:t>’</w:t>
      </w:r>
      <w:r w:rsidRPr="00CB2F44">
        <w:rPr>
          <w:lang w:val="fr-FR"/>
        </w:rPr>
        <w:t>alinéa a) du paragraphe 2 de l</w:t>
      </w:r>
      <w:r w:rsidR="00B34C89">
        <w:rPr>
          <w:lang w:val="fr-FR"/>
        </w:rPr>
        <w:t>’</w:t>
      </w:r>
      <w:r w:rsidRPr="00CB2F44">
        <w:rPr>
          <w:lang w:val="fr-FR"/>
        </w:rPr>
        <w:t>article 4 du Protocole facultatif ne l</w:t>
      </w:r>
      <w:r w:rsidR="00B34C89">
        <w:rPr>
          <w:lang w:val="fr-FR"/>
        </w:rPr>
        <w:t>’</w:t>
      </w:r>
      <w:r w:rsidRPr="00CB2F44">
        <w:rPr>
          <w:lang w:val="fr-FR"/>
        </w:rPr>
        <w:t>empêche pas d</w:t>
      </w:r>
      <w:r w:rsidR="00B34C89">
        <w:rPr>
          <w:lang w:val="fr-FR"/>
        </w:rPr>
        <w:t>’</w:t>
      </w:r>
      <w:r w:rsidRPr="00CB2F44">
        <w:rPr>
          <w:lang w:val="fr-FR"/>
        </w:rPr>
        <w:t>examiner cette question.</w:t>
      </w:r>
    </w:p>
    <w:p w14:paraId="3CD9C69E" w14:textId="5AC0BC9F" w:rsidR="00CB2F44" w:rsidRPr="00CB2F44" w:rsidRDefault="00CB2F44" w:rsidP="0060754A">
      <w:pPr>
        <w:pStyle w:val="SingleTxt"/>
        <w:numPr>
          <w:ilvl w:val="0"/>
          <w:numId w:val="34"/>
        </w:numPr>
        <w:spacing w:line="240" w:lineRule="exact"/>
        <w:rPr>
          <w:lang w:val="fr-FR"/>
        </w:rPr>
      </w:pPr>
      <w:r w:rsidRPr="00CB2F44">
        <w:rPr>
          <w:lang w:val="fr-FR"/>
        </w:rPr>
        <w:t>Le Comité rappelle que, conformément au paragraphe 1 de l</w:t>
      </w:r>
      <w:r w:rsidR="00B34C89">
        <w:rPr>
          <w:lang w:val="fr-FR"/>
        </w:rPr>
        <w:t>’</w:t>
      </w:r>
      <w:r w:rsidRPr="00CB2F44">
        <w:rPr>
          <w:lang w:val="fr-FR"/>
        </w:rPr>
        <w:t>article 4 du Protocole facultatif, il n</w:t>
      </w:r>
      <w:r w:rsidR="00B34C89">
        <w:rPr>
          <w:lang w:val="fr-FR"/>
        </w:rPr>
        <w:t>’</w:t>
      </w:r>
      <w:r w:rsidRPr="00CB2F44">
        <w:rPr>
          <w:lang w:val="fr-FR"/>
        </w:rPr>
        <w:t>examine aucune communication sans avoir vérifié que tous les recours internes ont été épuisés, à moins que la procédure de recours n</w:t>
      </w:r>
      <w:r w:rsidR="00B34C89">
        <w:rPr>
          <w:lang w:val="fr-FR"/>
        </w:rPr>
        <w:t>’</w:t>
      </w:r>
      <w:r w:rsidRPr="00CB2F44">
        <w:rPr>
          <w:lang w:val="fr-FR"/>
        </w:rPr>
        <w:t>excède des délais raisonnables ou qu</w:t>
      </w:r>
      <w:r w:rsidR="00B34C89">
        <w:rPr>
          <w:lang w:val="fr-FR"/>
        </w:rPr>
        <w:t>’</w:t>
      </w:r>
      <w:r w:rsidRPr="00CB2F44">
        <w:rPr>
          <w:lang w:val="fr-FR"/>
        </w:rPr>
        <w:t>il soit improbable que le requérant obtienne réparation par ce moyen</w:t>
      </w:r>
      <w:r w:rsidRPr="00CB2F44">
        <w:rPr>
          <w:vertAlign w:val="superscript"/>
          <w:lang w:val="fr-CH"/>
        </w:rPr>
        <w:footnoteReference w:id="20"/>
      </w:r>
      <w:r w:rsidRPr="00CB2F44">
        <w:rPr>
          <w:lang w:val="fr-FR"/>
        </w:rPr>
        <w:t>. Le Comité rappelle que, selon sa jurisprudence, les auteurs d</w:t>
      </w:r>
      <w:r w:rsidR="00B34C89">
        <w:rPr>
          <w:lang w:val="fr-FR"/>
        </w:rPr>
        <w:t>’</w:t>
      </w:r>
      <w:r w:rsidRPr="00CB2F44">
        <w:rPr>
          <w:lang w:val="fr-FR"/>
        </w:rPr>
        <w:t>une communication doivent se prévaloir de tous les recours internes disponibles et avoir saisi les tribunaux nationaux sur le fond du grief qu</w:t>
      </w:r>
      <w:r w:rsidR="00B34C89">
        <w:rPr>
          <w:lang w:val="fr-FR"/>
        </w:rPr>
        <w:t>’</w:t>
      </w:r>
      <w:r w:rsidRPr="00CB2F44">
        <w:rPr>
          <w:lang w:val="fr-FR"/>
        </w:rPr>
        <w:t>ils souhaitent soumettre au Comité afin que les autorités ou les juridictions nationales puissent se prononcer sur ce grief</w:t>
      </w:r>
      <w:r w:rsidRPr="00CB2F44">
        <w:rPr>
          <w:vertAlign w:val="superscript"/>
          <w:lang w:val="fr-CH"/>
        </w:rPr>
        <w:footnoteReference w:id="21"/>
      </w:r>
      <w:r w:rsidRPr="00CB2F44">
        <w:rPr>
          <w:lang w:val="fr-FR"/>
        </w:rPr>
        <w:t>.</w:t>
      </w:r>
    </w:p>
    <w:p w14:paraId="09A57B16" w14:textId="2F110571" w:rsidR="00CB2F44" w:rsidRPr="00CB2F44" w:rsidRDefault="00CB2F44" w:rsidP="0060754A">
      <w:pPr>
        <w:pStyle w:val="SingleTxt"/>
        <w:numPr>
          <w:ilvl w:val="0"/>
          <w:numId w:val="34"/>
        </w:numPr>
        <w:spacing w:line="240" w:lineRule="exact"/>
        <w:rPr>
          <w:lang w:val="fr-FR"/>
        </w:rPr>
      </w:pPr>
      <w:r w:rsidRPr="00CB2F44">
        <w:rPr>
          <w:lang w:val="fr-FR"/>
        </w:rPr>
        <w:t>À cet égard, le Comité prend acte de l</w:t>
      </w:r>
      <w:r w:rsidR="00B34C89">
        <w:rPr>
          <w:lang w:val="fr-FR"/>
        </w:rPr>
        <w:t>’</w:t>
      </w:r>
      <w:r w:rsidRPr="00CB2F44">
        <w:rPr>
          <w:lang w:val="fr-FR"/>
        </w:rPr>
        <w:t>affirmation de l</w:t>
      </w:r>
      <w:r w:rsidR="00B34C89">
        <w:rPr>
          <w:lang w:val="fr-FR"/>
        </w:rPr>
        <w:t>’</w:t>
      </w:r>
      <w:r w:rsidRPr="00CB2F44">
        <w:rPr>
          <w:lang w:val="fr-FR"/>
        </w:rPr>
        <w:t>État partie selon laquelle l</w:t>
      </w:r>
      <w:r w:rsidR="00B34C89">
        <w:rPr>
          <w:lang w:val="fr-FR"/>
        </w:rPr>
        <w:t>’</w:t>
      </w:r>
      <w:r w:rsidRPr="00CB2F44">
        <w:rPr>
          <w:lang w:val="fr-FR"/>
        </w:rPr>
        <w:t>auteure n</w:t>
      </w:r>
      <w:r w:rsidR="00B34C89">
        <w:rPr>
          <w:lang w:val="fr-FR"/>
        </w:rPr>
        <w:t>’</w:t>
      </w:r>
      <w:r w:rsidRPr="00CB2F44">
        <w:rPr>
          <w:lang w:val="fr-FR"/>
        </w:rPr>
        <w:t>a pas épuisé tous les recours internes disponibles, car</w:t>
      </w:r>
      <w:r w:rsidR="00B34C89">
        <w:rPr>
          <w:lang w:val="fr-FR"/>
        </w:rPr>
        <w:t> :</w:t>
      </w:r>
      <w:r w:rsidRPr="00CB2F44">
        <w:rPr>
          <w:lang w:val="fr-FR"/>
        </w:rPr>
        <w:t xml:space="preserve"> a) elle n</w:t>
      </w:r>
      <w:r w:rsidR="00B34C89">
        <w:rPr>
          <w:lang w:val="fr-FR"/>
        </w:rPr>
        <w:t>’</w:t>
      </w:r>
      <w:r w:rsidRPr="00CB2F44">
        <w:rPr>
          <w:lang w:val="fr-FR"/>
        </w:rPr>
        <w:t>a pas formé de pourvoi en cassation devant la Cour suprême contre l</w:t>
      </w:r>
      <w:r w:rsidR="00B34C89">
        <w:rPr>
          <w:lang w:val="fr-FR"/>
        </w:rPr>
        <w:t>’</w:t>
      </w:r>
      <w:r w:rsidRPr="00CB2F44">
        <w:rPr>
          <w:lang w:val="fr-FR"/>
        </w:rPr>
        <w:t>arrêt de la cour d</w:t>
      </w:r>
      <w:r w:rsidR="00B34C89">
        <w:rPr>
          <w:lang w:val="fr-FR"/>
        </w:rPr>
        <w:t>’</w:t>
      </w:r>
      <w:r w:rsidRPr="00CB2F44">
        <w:rPr>
          <w:lang w:val="fr-FR"/>
        </w:rPr>
        <w:t>appel</w:t>
      </w:r>
      <w:r w:rsidR="00B34C89">
        <w:rPr>
          <w:lang w:val="fr-FR"/>
        </w:rPr>
        <w:t> ;</w:t>
      </w:r>
      <w:r w:rsidRPr="00CB2F44">
        <w:rPr>
          <w:lang w:val="fr-FR"/>
        </w:rPr>
        <w:t xml:space="preserve"> b) elle n</w:t>
      </w:r>
      <w:r w:rsidR="00B34C89">
        <w:rPr>
          <w:lang w:val="fr-FR"/>
        </w:rPr>
        <w:t>’</w:t>
      </w:r>
      <w:r w:rsidRPr="00CB2F44">
        <w:rPr>
          <w:lang w:val="fr-FR"/>
        </w:rPr>
        <w:t>a pas intenté d</w:t>
      </w:r>
      <w:r w:rsidR="00B34C89">
        <w:rPr>
          <w:lang w:val="fr-FR"/>
        </w:rPr>
        <w:t>’</w:t>
      </w:r>
      <w:r w:rsidRPr="00CB2F44">
        <w:rPr>
          <w:lang w:val="fr-FR"/>
        </w:rPr>
        <w:t>action contre la compagnie d</w:t>
      </w:r>
      <w:r w:rsidR="00B34C89">
        <w:rPr>
          <w:lang w:val="fr-FR"/>
        </w:rPr>
        <w:t>’</w:t>
      </w:r>
      <w:r w:rsidRPr="00CB2F44">
        <w:rPr>
          <w:lang w:val="fr-FR"/>
        </w:rPr>
        <w:t>assurance</w:t>
      </w:r>
      <w:r w:rsidR="00B34C89">
        <w:rPr>
          <w:lang w:val="fr-FR"/>
        </w:rPr>
        <w:t> ;</w:t>
      </w:r>
      <w:r w:rsidRPr="00CB2F44">
        <w:rPr>
          <w:lang w:val="fr-FR"/>
        </w:rPr>
        <w:t xml:space="preserve"> c) elle n</w:t>
      </w:r>
      <w:r w:rsidR="00B34C89">
        <w:rPr>
          <w:lang w:val="fr-FR"/>
        </w:rPr>
        <w:t>’</w:t>
      </w:r>
      <w:r w:rsidRPr="00CB2F44">
        <w:rPr>
          <w:lang w:val="fr-FR"/>
        </w:rPr>
        <w:t>a formulé aucune allégation de discrimination fondée sur le genre au cours de la procédure interne. Le Comité prend note de l</w:t>
      </w:r>
      <w:r w:rsidR="00B34C89">
        <w:rPr>
          <w:lang w:val="fr-FR"/>
        </w:rPr>
        <w:t>’</w:t>
      </w:r>
      <w:r w:rsidRPr="00CB2F44">
        <w:rPr>
          <w:lang w:val="fr-FR"/>
        </w:rPr>
        <w:t>argument de l</w:t>
      </w:r>
      <w:r w:rsidR="00B34C89">
        <w:rPr>
          <w:lang w:val="fr-FR"/>
        </w:rPr>
        <w:t>’</w:t>
      </w:r>
      <w:r w:rsidRPr="00CB2F44">
        <w:rPr>
          <w:lang w:val="fr-FR"/>
        </w:rPr>
        <w:t>auteure selon lequel elle a engagé, en 2007, une action pour responsabilité délictuelle contre l</w:t>
      </w:r>
      <w:r w:rsidR="00B34C89">
        <w:rPr>
          <w:lang w:val="fr-FR"/>
        </w:rPr>
        <w:t>’</w:t>
      </w:r>
      <w:r w:rsidRPr="00CB2F44">
        <w:rPr>
          <w:lang w:val="fr-FR"/>
        </w:rPr>
        <w:t>État partie, réclamant une indemnité couvrant la valeur de la maison et des dommages-intérêts pour un préjudice non pécuniaire lié au fait que l</w:t>
      </w:r>
      <w:r w:rsidR="00B34C89">
        <w:rPr>
          <w:lang w:val="fr-FR"/>
        </w:rPr>
        <w:t>’</w:t>
      </w:r>
      <w:r w:rsidRPr="00CB2F44">
        <w:rPr>
          <w:lang w:val="fr-FR"/>
        </w:rPr>
        <w:t>État partie ne lui aurait pas accordé de protection adéquate contre le comportement violent de son mari, et selon lequel cette requête a été rejetée par les juridictions nationales. Il prend également note de l</w:t>
      </w:r>
      <w:r w:rsidR="00B34C89">
        <w:rPr>
          <w:lang w:val="fr-FR"/>
        </w:rPr>
        <w:t>’</w:t>
      </w:r>
      <w:r w:rsidRPr="00CB2F44">
        <w:rPr>
          <w:lang w:val="fr-FR"/>
        </w:rPr>
        <w:t>argument de l</w:t>
      </w:r>
      <w:r w:rsidR="00B34C89">
        <w:rPr>
          <w:lang w:val="fr-FR"/>
        </w:rPr>
        <w:t>’</w:t>
      </w:r>
      <w:r w:rsidRPr="00CB2F44">
        <w:rPr>
          <w:lang w:val="fr-FR"/>
        </w:rPr>
        <w:t>auteure selon lequel elle était représentée par un avocat et n</w:t>
      </w:r>
      <w:r w:rsidR="00B34C89">
        <w:rPr>
          <w:lang w:val="fr-FR"/>
        </w:rPr>
        <w:t>’</w:t>
      </w:r>
      <w:r w:rsidRPr="00CB2F44">
        <w:rPr>
          <w:lang w:val="fr-FR"/>
        </w:rPr>
        <w:t>a pas formé de pourvoi en cassation car son avocat avait estimé que ce recours n</w:t>
      </w:r>
      <w:r w:rsidR="00B34C89">
        <w:rPr>
          <w:lang w:val="fr-FR"/>
        </w:rPr>
        <w:t>’</w:t>
      </w:r>
      <w:r w:rsidRPr="00CB2F44">
        <w:rPr>
          <w:lang w:val="fr-FR"/>
        </w:rPr>
        <w:t>aurait aucune chance d</w:t>
      </w:r>
      <w:r w:rsidR="00B34C89">
        <w:rPr>
          <w:lang w:val="fr-FR"/>
        </w:rPr>
        <w:t>’</w:t>
      </w:r>
      <w:r w:rsidRPr="00CB2F44">
        <w:rPr>
          <w:lang w:val="fr-FR"/>
        </w:rPr>
        <w:t>aboutir, sachant que, selon le code de déontologie applicable, un avocat ne peut faire appel en cas de non-respect des exigences réglementaires en la matière. En ce qui concerne le deuxième recours, le Comité prend note de l</w:t>
      </w:r>
      <w:r w:rsidR="00B34C89">
        <w:rPr>
          <w:lang w:val="fr-FR"/>
        </w:rPr>
        <w:t>’</w:t>
      </w:r>
      <w:r w:rsidRPr="00CB2F44">
        <w:rPr>
          <w:lang w:val="fr-FR"/>
        </w:rPr>
        <w:t>argument de l</w:t>
      </w:r>
      <w:r w:rsidR="00B34C89">
        <w:rPr>
          <w:lang w:val="fr-FR"/>
        </w:rPr>
        <w:t>’</w:t>
      </w:r>
      <w:r w:rsidRPr="00CB2F44">
        <w:rPr>
          <w:lang w:val="fr-FR"/>
        </w:rPr>
        <w:t>auteure selon lequel il ne se rapporte pas à la plainte dont elle a saisi le Comité. Toutefois, le Comité prend également note de l</w:t>
      </w:r>
      <w:r w:rsidR="00B34C89">
        <w:rPr>
          <w:lang w:val="fr-FR"/>
        </w:rPr>
        <w:t>’</w:t>
      </w:r>
      <w:r w:rsidRPr="00CB2F44">
        <w:rPr>
          <w:lang w:val="fr-FR"/>
        </w:rPr>
        <w:t>argument de l</w:t>
      </w:r>
      <w:r w:rsidR="00B34C89">
        <w:rPr>
          <w:lang w:val="fr-FR"/>
        </w:rPr>
        <w:t>’</w:t>
      </w:r>
      <w:r w:rsidRPr="00CB2F44">
        <w:rPr>
          <w:lang w:val="fr-FR"/>
        </w:rPr>
        <w:t xml:space="preserve">État partie selon lequel </w:t>
      </w:r>
      <w:r w:rsidRPr="00CB2F44">
        <w:rPr>
          <w:lang w:val="fr-FR"/>
        </w:rPr>
        <w:lastRenderedPageBreak/>
        <w:t>l</w:t>
      </w:r>
      <w:r w:rsidR="00B34C89">
        <w:rPr>
          <w:lang w:val="fr-FR"/>
        </w:rPr>
        <w:t>’</w:t>
      </w:r>
      <w:r w:rsidRPr="00CB2F44">
        <w:rPr>
          <w:lang w:val="fr-FR"/>
        </w:rPr>
        <w:t>auteure, si elle n</w:t>
      </w:r>
      <w:r w:rsidR="00B34C89">
        <w:rPr>
          <w:lang w:val="fr-FR"/>
        </w:rPr>
        <w:t>’</w:t>
      </w:r>
      <w:r w:rsidRPr="00CB2F44">
        <w:rPr>
          <w:lang w:val="fr-FR"/>
        </w:rPr>
        <w:t>était pas satisfaite de l</w:t>
      </w:r>
      <w:r w:rsidR="00B34C89">
        <w:rPr>
          <w:lang w:val="fr-FR"/>
        </w:rPr>
        <w:t>’</w:t>
      </w:r>
      <w:r w:rsidRPr="00CB2F44">
        <w:rPr>
          <w:lang w:val="fr-FR"/>
        </w:rPr>
        <w:t>indemnité qui lui avait été versée, aurait pu intenter une action contre la compagnie d</w:t>
      </w:r>
      <w:r w:rsidR="00B34C89">
        <w:rPr>
          <w:lang w:val="fr-FR"/>
        </w:rPr>
        <w:t>’</w:t>
      </w:r>
      <w:r w:rsidRPr="00CB2F44">
        <w:rPr>
          <w:lang w:val="fr-FR"/>
        </w:rPr>
        <w:t>assurance en vertu du Code civil.</w:t>
      </w:r>
    </w:p>
    <w:p w14:paraId="2C6FACBF" w14:textId="3B0A862F" w:rsidR="00CB2F44" w:rsidRPr="00CB2F44" w:rsidRDefault="00CB2F44" w:rsidP="0060754A">
      <w:pPr>
        <w:pStyle w:val="SingleTxt"/>
        <w:numPr>
          <w:ilvl w:val="0"/>
          <w:numId w:val="34"/>
        </w:numPr>
        <w:spacing w:line="240" w:lineRule="exact"/>
        <w:rPr>
          <w:lang w:val="fr-FR"/>
        </w:rPr>
      </w:pPr>
      <w:r w:rsidRPr="00CB2F44">
        <w:rPr>
          <w:lang w:val="fr-FR"/>
        </w:rPr>
        <w:t>En outre, le Comité prend note de l</w:t>
      </w:r>
      <w:r w:rsidR="00B34C89">
        <w:rPr>
          <w:lang w:val="fr-FR"/>
        </w:rPr>
        <w:t>’</w:t>
      </w:r>
      <w:r w:rsidRPr="00CB2F44">
        <w:rPr>
          <w:lang w:val="fr-FR"/>
        </w:rPr>
        <w:t>argument de l</w:t>
      </w:r>
      <w:r w:rsidR="00B34C89">
        <w:rPr>
          <w:lang w:val="fr-FR"/>
        </w:rPr>
        <w:t>’</w:t>
      </w:r>
      <w:r w:rsidRPr="00CB2F44">
        <w:rPr>
          <w:lang w:val="fr-FR"/>
        </w:rPr>
        <w:t>État partie, qui affirme qu</w:t>
      </w:r>
      <w:r w:rsidR="00B34C89">
        <w:rPr>
          <w:lang w:val="fr-FR"/>
        </w:rPr>
        <w:t>’</w:t>
      </w:r>
      <w:r w:rsidRPr="00CB2F44">
        <w:rPr>
          <w:lang w:val="fr-FR"/>
        </w:rPr>
        <w:t>au cours de la procédure interne, l</w:t>
      </w:r>
      <w:r w:rsidR="00B34C89">
        <w:rPr>
          <w:lang w:val="fr-FR"/>
        </w:rPr>
        <w:t>’</w:t>
      </w:r>
      <w:r w:rsidRPr="00CB2F44">
        <w:rPr>
          <w:lang w:val="fr-FR"/>
        </w:rPr>
        <w:t>auteure n</w:t>
      </w:r>
      <w:r w:rsidR="00B34C89">
        <w:rPr>
          <w:lang w:val="fr-FR"/>
        </w:rPr>
        <w:t>’</w:t>
      </w:r>
      <w:r w:rsidRPr="00CB2F44">
        <w:rPr>
          <w:lang w:val="fr-FR"/>
        </w:rPr>
        <w:t>a pas formulé d</w:t>
      </w:r>
      <w:r w:rsidR="00B34C89">
        <w:rPr>
          <w:lang w:val="fr-FR"/>
        </w:rPr>
        <w:t>’</w:t>
      </w:r>
      <w:r w:rsidRPr="00CB2F44">
        <w:rPr>
          <w:lang w:val="fr-FR"/>
        </w:rPr>
        <w:t>allégation concernant des actes discriminatoires ou des stéréotypes fondés sur le genre qui lui auraient porté préjudice, et qu</w:t>
      </w:r>
      <w:r w:rsidR="00B34C89">
        <w:rPr>
          <w:lang w:val="fr-FR"/>
        </w:rPr>
        <w:t>’</w:t>
      </w:r>
      <w:r w:rsidRPr="00CB2F44">
        <w:rPr>
          <w:lang w:val="fr-FR"/>
        </w:rPr>
        <w:t>elle aurait pu, si elle s</w:t>
      </w:r>
      <w:r w:rsidR="00B34C89">
        <w:rPr>
          <w:lang w:val="fr-FR"/>
        </w:rPr>
        <w:t>’</w:t>
      </w:r>
      <w:r w:rsidRPr="00CB2F44">
        <w:rPr>
          <w:lang w:val="fr-FR"/>
        </w:rPr>
        <w:t>estimait victime de discrimination, engager une action devant les juridictions internes en vertu du Code civil, mais qu</w:t>
      </w:r>
      <w:r w:rsidR="00B34C89">
        <w:rPr>
          <w:lang w:val="fr-FR"/>
        </w:rPr>
        <w:t>’</w:t>
      </w:r>
      <w:r w:rsidRPr="00CB2F44">
        <w:rPr>
          <w:lang w:val="fr-FR"/>
        </w:rPr>
        <w:t>elle ne s</w:t>
      </w:r>
      <w:r w:rsidR="00B34C89">
        <w:rPr>
          <w:lang w:val="fr-FR"/>
        </w:rPr>
        <w:t>’</w:t>
      </w:r>
      <w:r w:rsidRPr="00CB2F44">
        <w:rPr>
          <w:lang w:val="fr-FR"/>
        </w:rPr>
        <w:t>est pas prévalue de ce droit. Le Comité constate que les griefs que l</w:t>
      </w:r>
      <w:r w:rsidR="00B34C89">
        <w:rPr>
          <w:lang w:val="fr-FR"/>
        </w:rPr>
        <w:t>’</w:t>
      </w:r>
      <w:r w:rsidRPr="00CB2F44">
        <w:rPr>
          <w:lang w:val="fr-FR"/>
        </w:rPr>
        <w:t>auteure lui expose au titre de la Convention n</w:t>
      </w:r>
      <w:r w:rsidR="00B34C89">
        <w:rPr>
          <w:lang w:val="fr-FR"/>
        </w:rPr>
        <w:t>’</w:t>
      </w:r>
      <w:r w:rsidRPr="00CB2F44">
        <w:rPr>
          <w:lang w:val="fr-FR"/>
        </w:rPr>
        <w:t>ont pas été présentés au niveau national</w:t>
      </w:r>
      <w:r w:rsidR="00B34C89">
        <w:rPr>
          <w:lang w:val="fr-FR"/>
        </w:rPr>
        <w:t> ;</w:t>
      </w:r>
      <w:r w:rsidRPr="00CB2F44">
        <w:rPr>
          <w:lang w:val="fr-FR"/>
        </w:rPr>
        <w:t xml:space="preserve"> aussi les juridictions internes n</w:t>
      </w:r>
      <w:r w:rsidR="00B34C89">
        <w:rPr>
          <w:lang w:val="fr-FR"/>
        </w:rPr>
        <w:t>’</w:t>
      </w:r>
      <w:r w:rsidRPr="00CB2F44">
        <w:rPr>
          <w:lang w:val="fr-FR"/>
        </w:rPr>
        <w:t>ont-elles pas eu la possibilité d</w:t>
      </w:r>
      <w:r w:rsidR="00B34C89">
        <w:rPr>
          <w:lang w:val="fr-FR"/>
        </w:rPr>
        <w:t>’</w:t>
      </w:r>
      <w:r w:rsidRPr="00CB2F44">
        <w:rPr>
          <w:lang w:val="fr-FR"/>
        </w:rPr>
        <w:t>examiner ces griefs ni y donner suite, le cas échéant. En l</w:t>
      </w:r>
      <w:r w:rsidR="00B34C89">
        <w:rPr>
          <w:lang w:val="fr-FR"/>
        </w:rPr>
        <w:t>’</w:t>
      </w:r>
      <w:r w:rsidRPr="00CB2F44">
        <w:rPr>
          <w:lang w:val="fr-FR"/>
        </w:rPr>
        <w:t>absence de toute autre information ou explication pertinente dans le dossier, le Comité considère que l</w:t>
      </w:r>
      <w:r w:rsidR="00B34C89">
        <w:rPr>
          <w:lang w:val="fr-FR"/>
        </w:rPr>
        <w:t>’</w:t>
      </w:r>
      <w:r w:rsidRPr="00CB2F44">
        <w:rPr>
          <w:lang w:val="fr-FR"/>
        </w:rPr>
        <w:t>auteure n</w:t>
      </w:r>
      <w:r w:rsidR="00B34C89">
        <w:rPr>
          <w:lang w:val="fr-FR"/>
        </w:rPr>
        <w:t>’</w:t>
      </w:r>
      <w:r w:rsidRPr="00CB2F44">
        <w:rPr>
          <w:lang w:val="fr-FR"/>
        </w:rPr>
        <w:t>a pas épuisé tous les recours internes disponibles et que la communication est irrecevable au regard du paragraphe 1 de l</w:t>
      </w:r>
      <w:r w:rsidR="00B34C89">
        <w:rPr>
          <w:lang w:val="fr-FR"/>
        </w:rPr>
        <w:t>’</w:t>
      </w:r>
      <w:r w:rsidRPr="00CB2F44">
        <w:rPr>
          <w:lang w:val="fr-FR"/>
        </w:rPr>
        <w:t>article 4 du Protocole facultatif.</w:t>
      </w:r>
    </w:p>
    <w:p w14:paraId="5342E63D" w14:textId="1DCA9384" w:rsidR="00CB2F44" w:rsidRPr="00CB2F44" w:rsidRDefault="00CB2F44" w:rsidP="0060754A">
      <w:pPr>
        <w:pStyle w:val="SingleTxt"/>
        <w:numPr>
          <w:ilvl w:val="0"/>
          <w:numId w:val="35"/>
        </w:numPr>
        <w:spacing w:line="240" w:lineRule="exact"/>
        <w:rPr>
          <w:lang w:val="fr-FR"/>
        </w:rPr>
      </w:pPr>
      <w:r w:rsidRPr="00CB2F44">
        <w:rPr>
          <w:lang w:val="fr-FR"/>
        </w:rPr>
        <w:t>En conséquence, le Comité décide</w:t>
      </w:r>
      <w:r w:rsidR="00B34C89">
        <w:rPr>
          <w:lang w:val="fr-FR"/>
        </w:rPr>
        <w:t> :</w:t>
      </w:r>
    </w:p>
    <w:p w14:paraId="48879D9B" w14:textId="38107518" w:rsidR="00CB2F44" w:rsidRPr="00CB2F44" w:rsidRDefault="0060754A" w:rsidP="00763344">
      <w:pPr>
        <w:pStyle w:val="SingleTxt"/>
        <w:rPr>
          <w:lang w:val="fr-FR"/>
        </w:rPr>
      </w:pPr>
      <w:r>
        <w:rPr>
          <w:lang w:val="fr-FR"/>
        </w:rPr>
        <w:tab/>
      </w:r>
      <w:r w:rsidR="00CB2F44" w:rsidRPr="00CB2F44">
        <w:rPr>
          <w:lang w:val="fr-FR"/>
        </w:rPr>
        <w:t>a)</w:t>
      </w:r>
      <w:r w:rsidR="00CB2F44" w:rsidRPr="00CB2F44">
        <w:rPr>
          <w:lang w:val="fr-FR"/>
        </w:rPr>
        <w:tab/>
        <w:t>Que la communication est irrecevable au regard du paragraphe 1 de l</w:t>
      </w:r>
      <w:r w:rsidR="00B34C89">
        <w:rPr>
          <w:lang w:val="fr-FR"/>
        </w:rPr>
        <w:t>’</w:t>
      </w:r>
      <w:r w:rsidR="00CB2F44" w:rsidRPr="00CB2F44">
        <w:rPr>
          <w:lang w:val="fr-FR"/>
        </w:rPr>
        <w:t>article 4 du Protocole facultatif</w:t>
      </w:r>
      <w:r w:rsidR="00B34C89">
        <w:rPr>
          <w:lang w:val="fr-FR"/>
        </w:rPr>
        <w:t> ;</w:t>
      </w:r>
    </w:p>
    <w:p w14:paraId="15B62F48" w14:textId="6A68F727" w:rsidR="00CB2F44" w:rsidRPr="00CB2F44" w:rsidRDefault="0060754A" w:rsidP="00763344">
      <w:pPr>
        <w:pStyle w:val="SingleTxt"/>
      </w:pPr>
      <w:r>
        <w:rPr>
          <w:lang w:val="fr-FR"/>
        </w:rPr>
        <w:tab/>
      </w:r>
      <w:r w:rsidR="00CB2F44" w:rsidRPr="00CB2F44">
        <w:rPr>
          <w:lang w:val="fr-FR"/>
        </w:rPr>
        <w:t>b)</w:t>
      </w:r>
      <w:r w:rsidR="00CB2F44" w:rsidRPr="00CB2F44">
        <w:rPr>
          <w:lang w:val="fr-FR"/>
        </w:rPr>
        <w:tab/>
        <w:t>Que la présente décision sera communiquée à l</w:t>
      </w:r>
      <w:r w:rsidR="00B34C89">
        <w:rPr>
          <w:lang w:val="fr-FR"/>
        </w:rPr>
        <w:t>’</w:t>
      </w:r>
      <w:r w:rsidR="00CB2F44" w:rsidRPr="00CB2F44">
        <w:rPr>
          <w:lang w:val="fr-FR"/>
        </w:rPr>
        <w:t>État partie et à l</w:t>
      </w:r>
      <w:r w:rsidR="00B34C89">
        <w:rPr>
          <w:lang w:val="fr-FR"/>
        </w:rPr>
        <w:t>’</w:t>
      </w:r>
      <w:r w:rsidR="00CB2F44" w:rsidRPr="00CB2F44">
        <w:rPr>
          <w:lang w:val="fr-FR"/>
        </w:rPr>
        <w:t>auteure.</w:t>
      </w:r>
      <w:r w:rsidR="00CB2F44" w:rsidRPr="00CB2F44">
        <w:t xml:space="preserve"> </w:t>
      </w:r>
    </w:p>
    <w:p w14:paraId="16CE9B8A" w14:textId="649874C3" w:rsidR="00525527" w:rsidRPr="00B34C89" w:rsidRDefault="00CB2F44" w:rsidP="00763344">
      <w:pPr>
        <w:pStyle w:val="SingleTxt"/>
      </w:pPr>
      <w:r w:rsidRPr="00B34C89">
        <w:rPr>
          <w:noProof/>
          <w:w w:val="100"/>
        </w:rPr>
        <mc:AlternateContent>
          <mc:Choice Requires="wps">
            <w:drawing>
              <wp:anchor distT="0" distB="0" distL="114300" distR="114300" simplePos="0" relativeHeight="251659264" behindDoc="0" locked="0" layoutInCell="1" allowOverlap="1" wp14:anchorId="47C44B22" wp14:editId="2E28C67B">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D619A2"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BCXQNNsAAAAJAQAADwAAAGRycy9kb3ducmV2LnhtbEyPy07DMBBF90j8gzVI3SDqAKGK&#10;QpwKIbHl0fYDpvHkocZ25Eeb8vUMYkFX87q6c261ns0ojuTD4KyC+2UGgmzj9GA7Bbvt210BIkS0&#10;GkdnScGZAqzr66sKS+1O9ouOm9gJNrGhRAV9jFMpZWh6MhiWbiLLt9Z5g5FH30nt8cTmZpQPWbaS&#10;BgfLH3qc6LWn5rBJRsFH2qXivW3zzw4P381Wpkf0t0otbuaXZxCR5vgvhl98RoeamfYuWR3EqOAp&#10;zzhLVJAXXFmwKnJu9n8LWVfyMkH9AwAA//8DAFBLAQItABQABgAIAAAAIQC2gziS/gAAAOEBAAAT&#10;AAAAAAAAAAAAAAAAAAAAAABbQ29udGVudF9UeXBlc10ueG1sUEsBAi0AFAAGAAgAAAAhADj9If/W&#10;AAAAlAEAAAsAAAAAAAAAAAAAAAAALwEAAF9yZWxzLy5yZWxzUEsBAi0AFAAGAAgAAAAhAGVGCbHZ&#10;AQAADAQAAA4AAAAAAAAAAAAAAAAALgIAAGRycy9lMm9Eb2MueG1sUEsBAi0AFAAGAAgAAAAhAAQl&#10;0DTbAAAACQEAAA8AAAAAAAAAAAAAAAAAMwQAAGRycy9kb3ducmV2LnhtbFBLBQYAAAAABAAEAPMA&#10;AAA7BQAAAAA=&#10;" strokecolor="#010000" strokeweight=".25pt">
                <v:stroke joinstyle="miter"/>
                <w10:wrap anchorx="page"/>
              </v:line>
            </w:pict>
          </mc:Fallback>
        </mc:AlternateContent>
      </w:r>
    </w:p>
    <w:sectPr w:rsidR="00525527" w:rsidRPr="00B34C89" w:rsidSect="00CB2F44">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10-13T08:15:00Z" w:initials="Start">
    <w:p w14:paraId="091940AE" w14:textId="77777777" w:rsidR="00B34C89" w:rsidRPr="00CB2F44" w:rsidRDefault="00B34C89">
      <w:pPr>
        <w:pStyle w:val="CommentText"/>
        <w:rPr>
          <w:lang w:val="en-US"/>
        </w:rPr>
      </w:pPr>
      <w:r>
        <w:rPr>
          <w:rStyle w:val="CommentReference"/>
        </w:rPr>
        <w:annotationRef/>
      </w:r>
      <w:r w:rsidRPr="00CB2F44">
        <w:rPr>
          <w:lang w:val="en-US"/>
        </w:rPr>
        <w:t>&lt;&lt;ODS JOB NO&gt;&gt;N2022062F&lt;&lt;ODS JOB NO&gt;&gt;</w:t>
      </w:r>
    </w:p>
    <w:p w14:paraId="28D30FFB" w14:textId="77777777" w:rsidR="00B34C89" w:rsidRDefault="00B34C89">
      <w:pPr>
        <w:pStyle w:val="CommentText"/>
      </w:pPr>
      <w:r>
        <w:t>&lt;&lt;ODS DOC SYMBOL1&gt;&gt;CEDAW/C/76/D/128/2018&lt;&lt;ODS DOC SYMBOL1&gt;&gt;</w:t>
      </w:r>
    </w:p>
    <w:p w14:paraId="4418CF93" w14:textId="77777777" w:rsidR="00B34C89" w:rsidRDefault="00B34C89">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18CF9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18CF93" w16cid:durableId="232FE0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7CC62" w14:textId="77777777" w:rsidR="00B34C89" w:rsidRDefault="00B34C89" w:rsidP="00525527">
      <w:pPr>
        <w:spacing w:line="240" w:lineRule="auto"/>
      </w:pPr>
      <w:r>
        <w:separator/>
      </w:r>
    </w:p>
  </w:endnote>
  <w:endnote w:type="continuationSeparator" w:id="0">
    <w:p w14:paraId="33716D54" w14:textId="77777777" w:rsidR="00B34C89" w:rsidRDefault="00B34C89" w:rsidP="00525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34C89" w14:paraId="7CC293B3" w14:textId="77777777" w:rsidTr="00525527">
      <w:tc>
        <w:tcPr>
          <w:tcW w:w="4920" w:type="dxa"/>
          <w:shd w:val="clear" w:color="auto" w:fill="auto"/>
        </w:tcPr>
        <w:p w14:paraId="7B004D27" w14:textId="7A3FC6FD" w:rsidR="00B34C89" w:rsidRPr="00525527" w:rsidRDefault="00B34C89" w:rsidP="0052552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C287C">
            <w:rPr>
              <w:b w:val="0"/>
              <w:w w:val="103"/>
              <w:sz w:val="14"/>
            </w:rPr>
            <w:t>20-11118</w:t>
          </w:r>
          <w:r>
            <w:rPr>
              <w:b w:val="0"/>
              <w:w w:val="103"/>
              <w:sz w:val="14"/>
            </w:rPr>
            <w:fldChar w:fldCharType="end"/>
          </w:r>
        </w:p>
      </w:tc>
      <w:tc>
        <w:tcPr>
          <w:tcW w:w="4920" w:type="dxa"/>
          <w:shd w:val="clear" w:color="auto" w:fill="auto"/>
        </w:tcPr>
        <w:p w14:paraId="559CD5CA" w14:textId="77777777" w:rsidR="00B34C89" w:rsidRPr="00525527" w:rsidRDefault="00B34C89" w:rsidP="00525527">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4FA93AC1" w14:textId="77777777" w:rsidR="00B34C89" w:rsidRPr="00525527" w:rsidRDefault="00B34C89" w:rsidP="00525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34C89" w14:paraId="61C919ED" w14:textId="77777777" w:rsidTr="00525527">
      <w:tc>
        <w:tcPr>
          <w:tcW w:w="4920" w:type="dxa"/>
          <w:shd w:val="clear" w:color="auto" w:fill="auto"/>
        </w:tcPr>
        <w:p w14:paraId="6EA8792C" w14:textId="77777777" w:rsidR="00B34C89" w:rsidRPr="00525527" w:rsidRDefault="00B34C89" w:rsidP="00525527">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503D7BF4" w14:textId="558CCDDE" w:rsidR="00B34C89" w:rsidRPr="00525527" w:rsidRDefault="00B34C89" w:rsidP="0052552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C287C">
            <w:rPr>
              <w:b w:val="0"/>
              <w:w w:val="103"/>
              <w:sz w:val="14"/>
            </w:rPr>
            <w:t>20-11118</w:t>
          </w:r>
          <w:r>
            <w:rPr>
              <w:b w:val="0"/>
              <w:w w:val="103"/>
              <w:sz w:val="14"/>
            </w:rPr>
            <w:fldChar w:fldCharType="end"/>
          </w:r>
        </w:p>
      </w:tc>
    </w:tr>
  </w:tbl>
  <w:p w14:paraId="7AF49494" w14:textId="77777777" w:rsidR="00B34C89" w:rsidRPr="00525527" w:rsidRDefault="00B34C89" w:rsidP="005255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7EFB4" w14:textId="77777777" w:rsidR="00B34C89" w:rsidRDefault="00B34C89">
    <w:pPr>
      <w:pStyle w:val="Footer"/>
    </w:pPr>
    <w:r>
      <w:rPr>
        <w:noProof/>
      </w:rPr>
      <w:drawing>
        <wp:anchor distT="0" distB="0" distL="114300" distR="114300" simplePos="0" relativeHeight="251658240" behindDoc="0" locked="0" layoutInCell="1" allowOverlap="1" wp14:anchorId="5841D87A" wp14:editId="711A9C2E">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B34C89" w14:paraId="127402F1" w14:textId="77777777" w:rsidTr="00525527">
      <w:tc>
        <w:tcPr>
          <w:tcW w:w="3758" w:type="dxa"/>
        </w:tcPr>
        <w:p w14:paraId="2F63B6A4" w14:textId="64BBEDC5" w:rsidR="00B34C89" w:rsidRDefault="00B34C89" w:rsidP="00525527">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7C287C">
            <w:rPr>
              <w:b w:val="0"/>
              <w:sz w:val="20"/>
            </w:rPr>
            <w:t>20-11118 (F)</w:t>
          </w:r>
          <w:r>
            <w:rPr>
              <w:b w:val="0"/>
              <w:sz w:val="20"/>
            </w:rPr>
            <w:fldChar w:fldCharType="end"/>
          </w:r>
          <w:r>
            <w:rPr>
              <w:b w:val="0"/>
              <w:sz w:val="20"/>
            </w:rPr>
            <w:t xml:space="preserve">    131020    151020</w:t>
          </w:r>
        </w:p>
        <w:p w14:paraId="1F627AEF" w14:textId="703D101E" w:rsidR="00B34C89" w:rsidRPr="00525527" w:rsidRDefault="00B34C89" w:rsidP="00525527">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7C287C">
            <w:rPr>
              <w:rFonts w:ascii="Barcode 3 of 9 by request" w:hAnsi="Barcode 3 of 9 by request"/>
              <w:spacing w:val="0"/>
              <w:w w:val="100"/>
              <w:sz w:val="24"/>
            </w:rPr>
            <w:t>*2011118*</w:t>
          </w:r>
          <w:r>
            <w:rPr>
              <w:rFonts w:ascii="Barcode 3 of 9 by request" w:hAnsi="Barcode 3 of 9 by request"/>
              <w:spacing w:val="0"/>
              <w:w w:val="100"/>
              <w:sz w:val="24"/>
            </w:rPr>
            <w:fldChar w:fldCharType="end"/>
          </w:r>
        </w:p>
      </w:tc>
      <w:tc>
        <w:tcPr>
          <w:tcW w:w="4920" w:type="dxa"/>
        </w:tcPr>
        <w:p w14:paraId="2012F5FF" w14:textId="77777777" w:rsidR="00B34C89" w:rsidRDefault="00B34C89" w:rsidP="00525527">
          <w:pPr>
            <w:pStyle w:val="Footer"/>
            <w:spacing w:line="240" w:lineRule="atLeast"/>
            <w:jc w:val="right"/>
            <w:rPr>
              <w:b w:val="0"/>
              <w:sz w:val="20"/>
            </w:rPr>
          </w:pPr>
          <w:r>
            <w:rPr>
              <w:b w:val="0"/>
              <w:noProof/>
              <w:sz w:val="20"/>
            </w:rPr>
            <w:drawing>
              <wp:inline distT="0" distB="0" distL="0" distR="0" wp14:anchorId="24E68514" wp14:editId="3A8C073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07A1A016" w14:textId="77777777" w:rsidR="00B34C89" w:rsidRPr="00525527" w:rsidRDefault="00B34C89" w:rsidP="00525527">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CB62E" w14:textId="4E29EDF4" w:rsidR="00B34C89" w:rsidRPr="00CB2F44" w:rsidRDefault="00B34C89" w:rsidP="00CB2F44">
      <w:pPr>
        <w:pStyle w:val="Footer"/>
        <w:spacing w:after="80"/>
        <w:ind w:left="792"/>
        <w:rPr>
          <w:sz w:val="16"/>
        </w:rPr>
      </w:pPr>
      <w:r w:rsidRPr="00CB2F44">
        <w:rPr>
          <w:sz w:val="16"/>
        </w:rPr>
        <w:t>__________________</w:t>
      </w:r>
    </w:p>
  </w:footnote>
  <w:footnote w:type="continuationSeparator" w:id="0">
    <w:p w14:paraId="6ECACE57" w14:textId="76C44216" w:rsidR="00B34C89" w:rsidRPr="00CB2F44" w:rsidRDefault="00B34C89" w:rsidP="00CB2F44">
      <w:pPr>
        <w:pStyle w:val="Footer"/>
        <w:spacing w:after="80"/>
        <w:ind w:left="792"/>
        <w:rPr>
          <w:sz w:val="16"/>
        </w:rPr>
      </w:pPr>
      <w:r w:rsidRPr="00CB2F44">
        <w:rPr>
          <w:sz w:val="16"/>
        </w:rPr>
        <w:t>__________________</w:t>
      </w:r>
    </w:p>
  </w:footnote>
  <w:footnote w:id="1">
    <w:p w14:paraId="0940AD2F" w14:textId="065277A0" w:rsidR="00B34C89" w:rsidRPr="00CB2F44" w:rsidRDefault="00B34C89" w:rsidP="00CB2F44">
      <w:pPr>
        <w:pStyle w:val="FootnoteText"/>
        <w:tabs>
          <w:tab w:val="right" w:pos="1195"/>
          <w:tab w:val="left" w:pos="1267"/>
          <w:tab w:val="left" w:pos="1742"/>
          <w:tab w:val="left" w:pos="2218"/>
          <w:tab w:val="left" w:pos="2693"/>
        </w:tabs>
        <w:ind w:left="1267" w:right="1260" w:hanging="576"/>
        <w:rPr>
          <w:lang w:val="fr-FR"/>
        </w:rPr>
      </w:pPr>
      <w:r>
        <w:rPr>
          <w:lang w:val="en-US"/>
        </w:rPr>
        <w:tab/>
      </w:r>
      <w:r w:rsidRPr="00755E5A">
        <w:rPr>
          <w:lang w:val="fr-FR"/>
        </w:rPr>
        <w:t>*</w:t>
      </w:r>
      <w:r w:rsidRPr="00CB2F44">
        <w:tab/>
      </w:r>
      <w:r w:rsidRPr="00CB2F44">
        <w:rPr>
          <w:lang w:val="fr-FR"/>
        </w:rPr>
        <w:t>Adoptée par le Comité à sa soixante-seizième session (29 juin-9 juillet 2020).</w:t>
      </w:r>
    </w:p>
  </w:footnote>
  <w:footnote w:id="2">
    <w:p w14:paraId="11409741" w14:textId="7F95D14E" w:rsidR="00B34C89" w:rsidRPr="00CB2F44" w:rsidRDefault="00B34C89" w:rsidP="00CB2F44">
      <w:pPr>
        <w:pStyle w:val="FootnoteText"/>
        <w:tabs>
          <w:tab w:val="right" w:pos="1195"/>
          <w:tab w:val="left" w:pos="1267"/>
          <w:tab w:val="left" w:pos="1742"/>
          <w:tab w:val="left" w:pos="2218"/>
          <w:tab w:val="left" w:pos="2693"/>
        </w:tabs>
        <w:ind w:left="1267" w:right="1260" w:hanging="576"/>
        <w:rPr>
          <w:lang w:val="fr-FR"/>
        </w:rPr>
      </w:pPr>
      <w:r>
        <w:rPr>
          <w:lang w:val="fr-FR"/>
        </w:rPr>
        <w:tab/>
      </w:r>
      <w:r w:rsidRPr="00755E5A">
        <w:rPr>
          <w:lang w:val="fr-FR"/>
        </w:rPr>
        <w:t>**</w:t>
      </w:r>
      <w:r>
        <w:rPr>
          <w:lang w:val="fr-FR"/>
        </w:rPr>
        <w:tab/>
      </w:r>
      <w:r w:rsidRPr="00CB2F44">
        <w:rPr>
          <w:lang w:val="fr-FR"/>
        </w:rPr>
        <w:t>Les membres du Comité dont le nom suit ont participé à l</w:t>
      </w:r>
      <w:r>
        <w:rPr>
          <w:lang w:val="fr-FR"/>
        </w:rPr>
        <w:t>’</w:t>
      </w:r>
      <w:r w:rsidRPr="00CB2F44">
        <w:rPr>
          <w:lang w:val="fr-FR"/>
        </w:rPr>
        <w:t>examen de la communication</w:t>
      </w:r>
      <w:r>
        <w:rPr>
          <w:lang w:val="fr-FR"/>
        </w:rPr>
        <w:t> :</w:t>
      </w:r>
      <w:r w:rsidRPr="00CB2F44">
        <w:rPr>
          <w:lang w:val="fr-FR"/>
        </w:rPr>
        <w:t xml:space="preserve"> Gladys Acosta Vargas, Hiroko Akizuki, Tamader Al-Rammah, Nicole Ameline, Gunnar Bergby, Marion Bethel, Louiza Chalal, Esther Eghobamien-Mshelia, Naéla Mohamed Gabr, Hilary Gbedemah, Nahla Haidar, Dalia Leinarte, Rosario G. Manalo, Lia Nadaraia, Aruna Devi Narain, Ana Peláez Narváez, Bandana Rana, Rhoda Reddock, Elgun Safarov, Wenyan Song, Genoveva Tisheva et Franceline Toé-Bouda.</w:t>
      </w:r>
    </w:p>
  </w:footnote>
  <w:footnote w:id="3">
    <w:p w14:paraId="75F74E69" w14:textId="33E7D4E6" w:rsidR="00B34C89" w:rsidRPr="00CB2F44" w:rsidRDefault="00B34C89" w:rsidP="00CB2F44">
      <w:pPr>
        <w:pStyle w:val="FootnoteText"/>
        <w:tabs>
          <w:tab w:val="right" w:pos="1195"/>
          <w:tab w:val="left" w:pos="1267"/>
          <w:tab w:val="left" w:pos="1742"/>
          <w:tab w:val="left" w:pos="2218"/>
          <w:tab w:val="left" w:pos="2693"/>
        </w:tabs>
        <w:ind w:left="1267" w:right="1260" w:hanging="576"/>
        <w:rPr>
          <w:lang w:val="fr-FR"/>
        </w:rPr>
      </w:pPr>
      <w:r>
        <w:rPr>
          <w:lang w:val="fr-FR"/>
        </w:rPr>
        <w:tab/>
      </w:r>
      <w:r w:rsidRPr="00CB2F44">
        <w:rPr>
          <w:rStyle w:val="FootnoteReference"/>
          <w:spacing w:val="4"/>
        </w:rPr>
        <w:footnoteRef/>
      </w:r>
      <w:r w:rsidRPr="00CB2F44">
        <w:rPr>
          <w:lang w:val="fr-FR"/>
        </w:rPr>
        <w:tab/>
        <w:t>Par exemple, dans la décision de la cour d</w:t>
      </w:r>
      <w:r>
        <w:rPr>
          <w:lang w:val="fr-FR"/>
        </w:rPr>
        <w:t>’</w:t>
      </w:r>
      <w:r w:rsidRPr="00CB2F44">
        <w:rPr>
          <w:lang w:val="fr-FR"/>
        </w:rPr>
        <w:t>appel de Varsovie du 21 avril 2006 (traduite en anglais), il est dit qu</w:t>
      </w:r>
      <w:r>
        <w:rPr>
          <w:lang w:val="fr-FR"/>
        </w:rPr>
        <w:t>’</w:t>
      </w:r>
      <w:r w:rsidRPr="00CB2F44">
        <w:rPr>
          <w:lang w:val="fr-FR"/>
        </w:rPr>
        <w:t>en 1993, E. S. a étranglé l</w:t>
      </w:r>
      <w:r>
        <w:rPr>
          <w:lang w:val="fr-FR"/>
        </w:rPr>
        <w:t>’</w:t>
      </w:r>
      <w:r w:rsidRPr="00CB2F44">
        <w:rPr>
          <w:lang w:val="fr-FR"/>
        </w:rPr>
        <w:t>auteure lors d</w:t>
      </w:r>
      <w:r>
        <w:rPr>
          <w:lang w:val="fr-FR"/>
        </w:rPr>
        <w:t>’</w:t>
      </w:r>
      <w:r w:rsidRPr="00CB2F44">
        <w:rPr>
          <w:lang w:val="fr-FR"/>
        </w:rPr>
        <w:t>un séjour en camping. La même année, il a crié après la fille de l</w:t>
      </w:r>
      <w:r>
        <w:rPr>
          <w:lang w:val="fr-FR"/>
        </w:rPr>
        <w:t>’</w:t>
      </w:r>
      <w:r w:rsidRPr="00CB2F44">
        <w:rPr>
          <w:lang w:val="fr-FR"/>
        </w:rPr>
        <w:t>auteure en la saisissant par la tête. De plus, l</w:t>
      </w:r>
      <w:r>
        <w:rPr>
          <w:lang w:val="fr-FR"/>
        </w:rPr>
        <w:t>’</w:t>
      </w:r>
      <w:r w:rsidRPr="00CB2F44">
        <w:rPr>
          <w:lang w:val="fr-FR"/>
        </w:rPr>
        <w:t>auteure affirme qu</w:t>
      </w:r>
      <w:r>
        <w:rPr>
          <w:lang w:val="fr-FR"/>
        </w:rPr>
        <w:t>’</w:t>
      </w:r>
      <w:r w:rsidRPr="00CB2F44">
        <w:rPr>
          <w:lang w:val="fr-FR"/>
        </w:rPr>
        <w:t>en mars 1995, son mari les a menacées avec un couteau, elle et ses filles, et qu</w:t>
      </w:r>
      <w:r>
        <w:rPr>
          <w:lang w:val="fr-FR"/>
        </w:rPr>
        <w:t>’</w:t>
      </w:r>
      <w:r w:rsidRPr="00CB2F44">
        <w:rPr>
          <w:lang w:val="fr-FR"/>
        </w:rPr>
        <w:t>il a frappé l</w:t>
      </w:r>
      <w:r>
        <w:rPr>
          <w:lang w:val="fr-FR"/>
        </w:rPr>
        <w:t>’</w:t>
      </w:r>
      <w:r w:rsidRPr="00CB2F44">
        <w:rPr>
          <w:lang w:val="fr-FR"/>
        </w:rPr>
        <w:t>auteure et sa fille aînée. La police a été appelée et E. S. a été emmené dans un centre de dégrisement.</w:t>
      </w:r>
    </w:p>
  </w:footnote>
  <w:footnote w:id="4">
    <w:p w14:paraId="2B87FC05" w14:textId="5C7C7FF4" w:rsidR="00B34C89" w:rsidRPr="00CB2F44" w:rsidRDefault="00B34C89" w:rsidP="00CB2F44">
      <w:pPr>
        <w:pStyle w:val="FootnoteText"/>
        <w:tabs>
          <w:tab w:val="right" w:pos="1195"/>
          <w:tab w:val="left" w:pos="1267"/>
          <w:tab w:val="left" w:pos="1742"/>
          <w:tab w:val="left" w:pos="2218"/>
          <w:tab w:val="left" w:pos="2693"/>
        </w:tabs>
        <w:ind w:left="1267" w:right="1260" w:hanging="576"/>
        <w:rPr>
          <w:lang w:val="fr-FR"/>
        </w:rPr>
      </w:pPr>
      <w:r>
        <w:rPr>
          <w:lang w:val="fr-FR"/>
        </w:rPr>
        <w:tab/>
      </w:r>
      <w:r w:rsidRPr="00CB2F44">
        <w:rPr>
          <w:rStyle w:val="FootnoteReference"/>
          <w:spacing w:val="4"/>
        </w:rPr>
        <w:footnoteRef/>
      </w:r>
      <w:r w:rsidRPr="00CB2F44">
        <w:rPr>
          <w:lang w:val="fr-FR"/>
        </w:rPr>
        <w:tab/>
        <w:t>L</w:t>
      </w:r>
      <w:r>
        <w:rPr>
          <w:lang w:val="fr-FR"/>
        </w:rPr>
        <w:t>’</w:t>
      </w:r>
      <w:r w:rsidRPr="00CB2F44">
        <w:rPr>
          <w:lang w:val="fr-FR"/>
        </w:rPr>
        <w:t>auteure n</w:t>
      </w:r>
      <w:r>
        <w:rPr>
          <w:lang w:val="fr-FR"/>
        </w:rPr>
        <w:t>’</w:t>
      </w:r>
      <w:r w:rsidRPr="00CB2F44">
        <w:rPr>
          <w:lang w:val="fr-FR"/>
        </w:rPr>
        <w:t>explique pas pourquoi elle a déposé cette plainte à deux occasions distinctes.</w:t>
      </w:r>
    </w:p>
  </w:footnote>
  <w:footnote w:id="5">
    <w:p w14:paraId="1ADC189F" w14:textId="3BDD5A4E" w:rsidR="00B34C89" w:rsidRPr="00CB2F44" w:rsidRDefault="00B34C89" w:rsidP="00CB2F44">
      <w:pPr>
        <w:pStyle w:val="FootnoteText"/>
        <w:tabs>
          <w:tab w:val="right" w:pos="1195"/>
          <w:tab w:val="left" w:pos="1267"/>
          <w:tab w:val="left" w:pos="1742"/>
          <w:tab w:val="left" w:pos="2218"/>
          <w:tab w:val="left" w:pos="2693"/>
        </w:tabs>
        <w:ind w:left="1267" w:right="1260" w:hanging="576"/>
        <w:rPr>
          <w:lang w:val="fr-FR"/>
        </w:rPr>
      </w:pPr>
      <w:r>
        <w:rPr>
          <w:lang w:val="fr-FR"/>
        </w:rPr>
        <w:tab/>
      </w:r>
      <w:r w:rsidRPr="00CB2F44">
        <w:rPr>
          <w:rStyle w:val="FootnoteReference"/>
          <w:spacing w:val="4"/>
        </w:rPr>
        <w:footnoteRef/>
      </w:r>
      <w:r w:rsidRPr="00CB2F44">
        <w:rPr>
          <w:lang w:val="fr-FR"/>
        </w:rPr>
        <w:tab/>
        <w:t>L</w:t>
      </w:r>
      <w:r>
        <w:rPr>
          <w:lang w:val="fr-FR"/>
        </w:rPr>
        <w:t>’</w:t>
      </w:r>
      <w:r w:rsidRPr="00CB2F44">
        <w:rPr>
          <w:lang w:val="fr-FR"/>
        </w:rPr>
        <w:t>auteure déclare que l</w:t>
      </w:r>
      <w:r>
        <w:rPr>
          <w:lang w:val="fr-FR"/>
        </w:rPr>
        <w:t>’</w:t>
      </w:r>
      <w:r w:rsidRPr="00CB2F44">
        <w:rPr>
          <w:lang w:val="fr-FR"/>
        </w:rPr>
        <w:t>avocat lui a envoyé une explication écrite détaillée des raisons pour lesquelles il pensait que le pourvoi en cassation serait jugé irrecevable. Toutefois, elle ne joint pas de copie de cette lettre à sa communication.</w:t>
      </w:r>
    </w:p>
  </w:footnote>
  <w:footnote w:id="6">
    <w:p w14:paraId="08A94636" w14:textId="26506335" w:rsidR="00B34C89" w:rsidRPr="00CB2F44" w:rsidRDefault="00B34C89" w:rsidP="00CB2F44">
      <w:pPr>
        <w:pStyle w:val="FootnoteText"/>
        <w:tabs>
          <w:tab w:val="right" w:pos="1195"/>
          <w:tab w:val="left" w:pos="1267"/>
          <w:tab w:val="left" w:pos="1742"/>
          <w:tab w:val="left" w:pos="2218"/>
          <w:tab w:val="left" w:pos="2693"/>
        </w:tabs>
        <w:ind w:left="1267" w:right="1260" w:hanging="576"/>
        <w:rPr>
          <w:lang w:val="fr-FR"/>
        </w:rPr>
      </w:pPr>
      <w:r>
        <w:rPr>
          <w:lang w:val="fr-FR"/>
        </w:rPr>
        <w:tab/>
      </w:r>
      <w:r w:rsidRPr="00CB2F44">
        <w:rPr>
          <w:rStyle w:val="FootnoteReference"/>
          <w:spacing w:val="4"/>
        </w:rPr>
        <w:footnoteRef/>
      </w:r>
      <w:r w:rsidRPr="00CB2F44">
        <w:rPr>
          <w:lang w:val="fr-FR"/>
        </w:rPr>
        <w:tab/>
        <w:t>Conformément au paragraphe 1 de l</w:t>
      </w:r>
      <w:r>
        <w:rPr>
          <w:lang w:val="fr-FR"/>
        </w:rPr>
        <w:t>’</w:t>
      </w:r>
      <w:r w:rsidRPr="00CB2F44">
        <w:rPr>
          <w:lang w:val="fr-FR"/>
        </w:rPr>
        <w:t>article 871 du Code de procédure civile.</w:t>
      </w:r>
    </w:p>
  </w:footnote>
  <w:footnote w:id="7">
    <w:p w14:paraId="60F72CCE" w14:textId="504BA30A" w:rsidR="00B34C89" w:rsidRPr="00CB2F44" w:rsidRDefault="00B34C89" w:rsidP="00CB2F44">
      <w:pPr>
        <w:pStyle w:val="FootnoteText"/>
        <w:tabs>
          <w:tab w:val="right" w:pos="1195"/>
          <w:tab w:val="left" w:pos="1267"/>
          <w:tab w:val="left" w:pos="1742"/>
          <w:tab w:val="left" w:pos="2218"/>
          <w:tab w:val="left" w:pos="2693"/>
        </w:tabs>
        <w:ind w:left="1267" w:right="1260" w:hanging="576"/>
        <w:rPr>
          <w:lang w:val="fr-FR"/>
        </w:rPr>
      </w:pPr>
      <w:r>
        <w:rPr>
          <w:lang w:val="fr-FR"/>
        </w:rPr>
        <w:tab/>
      </w:r>
      <w:r w:rsidRPr="00CB2F44">
        <w:rPr>
          <w:rStyle w:val="FootnoteReference"/>
          <w:spacing w:val="4"/>
        </w:rPr>
        <w:footnoteRef/>
      </w:r>
      <w:r w:rsidRPr="00CB2F44">
        <w:rPr>
          <w:lang w:val="fr-FR"/>
        </w:rPr>
        <w:tab/>
        <w:t>L</w:t>
      </w:r>
      <w:r>
        <w:rPr>
          <w:lang w:val="fr-FR"/>
        </w:rPr>
        <w:t>’</w:t>
      </w:r>
      <w:r w:rsidRPr="00CB2F44">
        <w:rPr>
          <w:lang w:val="fr-FR"/>
        </w:rPr>
        <w:t>auteure en a été informée le 22 septembre 2016.</w:t>
      </w:r>
    </w:p>
  </w:footnote>
  <w:footnote w:id="8">
    <w:p w14:paraId="057EB49B" w14:textId="2C247FEC" w:rsidR="00B34C89" w:rsidRPr="00CB2F44" w:rsidRDefault="00B34C89" w:rsidP="00CB2F44">
      <w:pPr>
        <w:pStyle w:val="FootnoteText"/>
        <w:tabs>
          <w:tab w:val="right" w:pos="1195"/>
          <w:tab w:val="left" w:pos="1267"/>
          <w:tab w:val="left" w:pos="1742"/>
          <w:tab w:val="left" w:pos="2218"/>
          <w:tab w:val="left" w:pos="2693"/>
        </w:tabs>
        <w:ind w:left="1267" w:right="1260" w:hanging="576"/>
        <w:rPr>
          <w:lang w:val="fr-FR"/>
        </w:rPr>
      </w:pPr>
      <w:r>
        <w:rPr>
          <w:lang w:val="fr-FR"/>
        </w:rPr>
        <w:tab/>
      </w:r>
      <w:r w:rsidRPr="00CB2F44">
        <w:rPr>
          <w:rStyle w:val="FootnoteReference"/>
          <w:spacing w:val="4"/>
        </w:rPr>
        <w:footnoteRef/>
      </w:r>
      <w:r w:rsidRPr="00CB2F44">
        <w:rPr>
          <w:lang w:val="fr-FR"/>
        </w:rPr>
        <w:tab/>
        <w:t>L</w:t>
      </w:r>
      <w:r>
        <w:rPr>
          <w:lang w:val="fr-FR"/>
        </w:rPr>
        <w:t>’</w:t>
      </w:r>
      <w:r w:rsidRPr="00CB2F44">
        <w:rPr>
          <w:lang w:val="fr-FR"/>
        </w:rPr>
        <w:t xml:space="preserve">auteure compare sa situation à celles exposées dans les affaires </w:t>
      </w:r>
      <w:r w:rsidRPr="00CB2F44">
        <w:rPr>
          <w:i/>
          <w:iCs/>
          <w:lang w:val="fr-FR"/>
        </w:rPr>
        <w:t>Centre viennois de lutte contre la violence dans la famille et l</w:t>
      </w:r>
      <w:r>
        <w:rPr>
          <w:i/>
          <w:iCs/>
          <w:lang w:val="fr-FR"/>
        </w:rPr>
        <w:t>’</w:t>
      </w:r>
      <w:r w:rsidRPr="00CB2F44">
        <w:rPr>
          <w:i/>
          <w:iCs/>
          <w:lang w:val="fr-FR"/>
        </w:rPr>
        <w:t>Association pour l</w:t>
      </w:r>
      <w:r>
        <w:rPr>
          <w:i/>
          <w:iCs/>
          <w:lang w:val="fr-FR"/>
        </w:rPr>
        <w:t>’</w:t>
      </w:r>
      <w:r w:rsidRPr="00CB2F44">
        <w:rPr>
          <w:i/>
          <w:iCs/>
          <w:lang w:val="fr-FR"/>
        </w:rPr>
        <w:t>accès des femmes à la justice, au nom de</w:t>
      </w:r>
      <w:r w:rsidRPr="00CB2F44">
        <w:rPr>
          <w:lang w:val="fr-FR"/>
        </w:rPr>
        <w:t xml:space="preserve"> </w:t>
      </w:r>
      <w:r w:rsidRPr="00CB2F44">
        <w:rPr>
          <w:i/>
          <w:iCs/>
          <w:lang w:val="fr-FR"/>
        </w:rPr>
        <w:t xml:space="preserve">Goekce et consorts </w:t>
      </w:r>
      <w:r w:rsidRPr="004E5A27">
        <w:rPr>
          <w:lang w:val="fr-FR"/>
        </w:rPr>
        <w:t>c</w:t>
      </w:r>
      <w:r w:rsidRPr="00CB2F44">
        <w:rPr>
          <w:i/>
          <w:iCs/>
          <w:lang w:val="fr-FR"/>
        </w:rPr>
        <w:t>. Autriche</w:t>
      </w:r>
      <w:r w:rsidRPr="00CB2F44">
        <w:rPr>
          <w:lang w:val="fr-FR"/>
        </w:rPr>
        <w:t xml:space="preserve"> (</w:t>
      </w:r>
      <w:hyperlink r:id="rId1" w:history="1">
        <w:r w:rsidRPr="00B34C89">
          <w:rPr>
            <w:rStyle w:val="Hyperlink"/>
            <w:lang w:val="fr-FR"/>
          </w:rPr>
          <w:t>CEDAW/C/39/D/5/2005</w:t>
        </w:r>
      </w:hyperlink>
      <w:r w:rsidRPr="00CB2F44">
        <w:rPr>
          <w:lang w:val="fr-FR"/>
        </w:rPr>
        <w:t xml:space="preserve">) et </w:t>
      </w:r>
      <w:r w:rsidRPr="00CB2F44">
        <w:rPr>
          <w:i/>
          <w:iCs/>
          <w:lang w:val="fr-FR"/>
        </w:rPr>
        <w:t>Centre d</w:t>
      </w:r>
      <w:r>
        <w:rPr>
          <w:i/>
          <w:iCs/>
          <w:lang w:val="fr-FR"/>
        </w:rPr>
        <w:t>’</w:t>
      </w:r>
      <w:r w:rsidRPr="00CB2F44">
        <w:rPr>
          <w:i/>
          <w:iCs/>
          <w:lang w:val="fr-FR"/>
        </w:rPr>
        <w:t>intervention contre la violence familiale de Vienne et l</w:t>
      </w:r>
      <w:r>
        <w:rPr>
          <w:i/>
          <w:iCs/>
          <w:lang w:val="fr-FR"/>
        </w:rPr>
        <w:t>’</w:t>
      </w:r>
      <w:r w:rsidRPr="00CB2F44">
        <w:rPr>
          <w:i/>
          <w:iCs/>
          <w:lang w:val="fr-FR"/>
        </w:rPr>
        <w:t>Association pour l</w:t>
      </w:r>
      <w:r>
        <w:rPr>
          <w:i/>
          <w:iCs/>
          <w:lang w:val="fr-FR"/>
        </w:rPr>
        <w:t>’</w:t>
      </w:r>
      <w:r w:rsidRPr="00CB2F44">
        <w:rPr>
          <w:i/>
          <w:iCs/>
          <w:lang w:val="fr-FR"/>
        </w:rPr>
        <w:t xml:space="preserve">accès des femmes à la justice, au nom de Akbak et consorts </w:t>
      </w:r>
      <w:r w:rsidRPr="004E5A27">
        <w:rPr>
          <w:lang w:val="fr-FR"/>
        </w:rPr>
        <w:t>c</w:t>
      </w:r>
      <w:r w:rsidRPr="00CB2F44">
        <w:rPr>
          <w:i/>
          <w:iCs/>
          <w:lang w:val="fr-FR"/>
        </w:rPr>
        <w:t>. Autriche</w:t>
      </w:r>
      <w:r w:rsidRPr="00CB2F44">
        <w:rPr>
          <w:lang w:val="fr-FR"/>
        </w:rPr>
        <w:t xml:space="preserve"> (</w:t>
      </w:r>
      <w:hyperlink r:id="rId2" w:history="1">
        <w:r w:rsidRPr="00B34C89">
          <w:rPr>
            <w:rStyle w:val="Hyperlink"/>
            <w:lang w:val="fr-FR"/>
          </w:rPr>
          <w:t>CEDAW/C/39/D/6/2005</w:t>
        </w:r>
      </w:hyperlink>
      <w:r w:rsidRPr="00CB2F44">
        <w:rPr>
          <w:lang w:val="fr-FR"/>
        </w:rPr>
        <w:t>). Le Comité a jugé que l</w:t>
      </w:r>
      <w:r>
        <w:rPr>
          <w:lang w:val="fr-FR"/>
        </w:rPr>
        <w:t>’</w:t>
      </w:r>
      <w:r w:rsidRPr="00CB2F44">
        <w:rPr>
          <w:lang w:val="fr-FR"/>
        </w:rPr>
        <w:t>Autriche avait violé la Convention en ne procédant pas à l</w:t>
      </w:r>
      <w:r>
        <w:rPr>
          <w:lang w:val="fr-FR"/>
        </w:rPr>
        <w:t>’</w:t>
      </w:r>
      <w:r w:rsidRPr="00CB2F44">
        <w:rPr>
          <w:lang w:val="fr-FR"/>
        </w:rPr>
        <w:t>arrestation d</w:t>
      </w:r>
      <w:r>
        <w:rPr>
          <w:lang w:val="fr-FR"/>
        </w:rPr>
        <w:t>’</w:t>
      </w:r>
      <w:r w:rsidRPr="00CB2F44">
        <w:rPr>
          <w:lang w:val="fr-FR"/>
        </w:rPr>
        <w:t>auteurs d</w:t>
      </w:r>
      <w:r>
        <w:rPr>
          <w:lang w:val="fr-FR"/>
        </w:rPr>
        <w:t>’</w:t>
      </w:r>
      <w:r w:rsidRPr="00CB2F44">
        <w:rPr>
          <w:lang w:val="fr-FR"/>
        </w:rPr>
        <w:t>actes de violence domestique, malgré l</w:t>
      </w:r>
      <w:r>
        <w:rPr>
          <w:lang w:val="fr-FR"/>
        </w:rPr>
        <w:t>’</w:t>
      </w:r>
      <w:r w:rsidRPr="00CB2F44">
        <w:rPr>
          <w:lang w:val="fr-FR"/>
        </w:rPr>
        <w:t>existence de preuves formelles contre eux. Dans l</w:t>
      </w:r>
      <w:r>
        <w:rPr>
          <w:lang w:val="fr-FR"/>
        </w:rPr>
        <w:t>’</w:t>
      </w:r>
      <w:r w:rsidRPr="00CB2F44">
        <w:rPr>
          <w:lang w:val="fr-FR"/>
        </w:rPr>
        <w:t xml:space="preserve">affaire </w:t>
      </w:r>
      <w:r w:rsidRPr="00CB2F44">
        <w:rPr>
          <w:i/>
          <w:iCs/>
          <w:lang w:val="fr-FR"/>
        </w:rPr>
        <w:t>Centre d</w:t>
      </w:r>
      <w:r>
        <w:rPr>
          <w:i/>
          <w:iCs/>
          <w:lang w:val="fr-FR"/>
        </w:rPr>
        <w:t>’</w:t>
      </w:r>
      <w:r w:rsidRPr="00CB2F44">
        <w:rPr>
          <w:i/>
          <w:iCs/>
          <w:lang w:val="fr-FR"/>
        </w:rPr>
        <w:t>intervention contre la violence familiale de Vienne et l</w:t>
      </w:r>
      <w:r>
        <w:rPr>
          <w:i/>
          <w:iCs/>
          <w:lang w:val="fr-FR"/>
        </w:rPr>
        <w:t>’</w:t>
      </w:r>
      <w:r w:rsidRPr="00CB2F44">
        <w:rPr>
          <w:i/>
          <w:iCs/>
          <w:lang w:val="fr-FR"/>
        </w:rPr>
        <w:t>Association pour l</w:t>
      </w:r>
      <w:r>
        <w:rPr>
          <w:i/>
          <w:iCs/>
          <w:lang w:val="fr-FR"/>
        </w:rPr>
        <w:t>’</w:t>
      </w:r>
      <w:r w:rsidRPr="00CB2F44">
        <w:rPr>
          <w:i/>
          <w:iCs/>
          <w:lang w:val="fr-FR"/>
        </w:rPr>
        <w:t xml:space="preserve">accès des femmes à la justice, au nom de Akbak et consorts </w:t>
      </w:r>
      <w:r w:rsidRPr="00ED3B61">
        <w:rPr>
          <w:lang w:val="fr-FR"/>
        </w:rPr>
        <w:t>c</w:t>
      </w:r>
      <w:r w:rsidRPr="00CB2F44">
        <w:rPr>
          <w:i/>
          <w:iCs/>
          <w:lang w:val="fr-FR"/>
        </w:rPr>
        <w:t>. Autriche</w:t>
      </w:r>
      <w:r w:rsidRPr="00CB2F44">
        <w:rPr>
          <w:lang w:val="fr-FR"/>
        </w:rPr>
        <w:t>, au paragraphe 12.1.5 de ses constatations au sujet de la communication n</w:t>
      </w:r>
      <w:r w:rsidRPr="00CB2F44">
        <w:rPr>
          <w:vertAlign w:val="superscript"/>
          <w:lang w:val="fr-FR"/>
        </w:rPr>
        <w:t>o</w:t>
      </w:r>
      <w:r w:rsidRPr="00CB2F44">
        <w:rPr>
          <w:lang w:val="fr-FR"/>
        </w:rPr>
        <w:t> 6/2005, le Comité a estimé que les droits de l</w:t>
      </w:r>
      <w:r>
        <w:rPr>
          <w:lang w:val="fr-FR"/>
        </w:rPr>
        <w:t>’</w:t>
      </w:r>
      <w:r w:rsidRPr="00CB2F44">
        <w:rPr>
          <w:lang w:val="fr-FR"/>
        </w:rPr>
        <w:t>auteur d</w:t>
      </w:r>
      <w:r>
        <w:rPr>
          <w:lang w:val="fr-FR"/>
        </w:rPr>
        <w:t>’</w:t>
      </w:r>
      <w:r w:rsidRPr="00CB2F44">
        <w:rPr>
          <w:lang w:val="fr-FR"/>
        </w:rPr>
        <w:t>actes de violence ne pouvaient pas l</w:t>
      </w:r>
      <w:r>
        <w:rPr>
          <w:lang w:val="fr-FR"/>
        </w:rPr>
        <w:t>’</w:t>
      </w:r>
      <w:r w:rsidRPr="00CB2F44">
        <w:rPr>
          <w:lang w:val="fr-FR"/>
        </w:rPr>
        <w:t>emporter sur le droit fondamental des femmes à la vie et à l</w:t>
      </w:r>
      <w:r>
        <w:rPr>
          <w:lang w:val="fr-FR"/>
        </w:rPr>
        <w:t>’</w:t>
      </w:r>
      <w:r w:rsidRPr="00CB2F44">
        <w:rPr>
          <w:lang w:val="fr-FR"/>
        </w:rPr>
        <w:t>intégrité physique et mentale.</w:t>
      </w:r>
    </w:p>
  </w:footnote>
  <w:footnote w:id="9">
    <w:p w14:paraId="68E342A6" w14:textId="2EBFD933" w:rsidR="00B34C89" w:rsidRPr="00CB2F44" w:rsidRDefault="00B34C89" w:rsidP="00CB2F44">
      <w:pPr>
        <w:pStyle w:val="FootnoteText"/>
        <w:tabs>
          <w:tab w:val="right" w:pos="1195"/>
          <w:tab w:val="left" w:pos="1267"/>
          <w:tab w:val="left" w:pos="1742"/>
          <w:tab w:val="left" w:pos="2218"/>
          <w:tab w:val="left" w:pos="2693"/>
        </w:tabs>
        <w:ind w:left="1267" w:right="1260" w:hanging="576"/>
        <w:rPr>
          <w:lang w:val="fr-FR"/>
        </w:rPr>
      </w:pPr>
      <w:r>
        <w:rPr>
          <w:lang w:val="fr-FR"/>
        </w:rPr>
        <w:tab/>
      </w:r>
      <w:r w:rsidRPr="00CB2F44">
        <w:rPr>
          <w:rStyle w:val="FootnoteReference"/>
          <w:spacing w:val="4"/>
        </w:rPr>
        <w:footnoteRef/>
      </w:r>
      <w:r w:rsidRPr="00CB2F44">
        <w:rPr>
          <w:lang w:val="fr-FR"/>
        </w:rPr>
        <w:tab/>
        <w:t>L</w:t>
      </w:r>
      <w:r>
        <w:rPr>
          <w:lang w:val="fr-FR"/>
        </w:rPr>
        <w:t>’</w:t>
      </w:r>
      <w:r w:rsidRPr="00CB2F44">
        <w:rPr>
          <w:lang w:val="fr-FR"/>
        </w:rPr>
        <w:t>auteure fait référence à l</w:t>
      </w:r>
      <w:r>
        <w:rPr>
          <w:lang w:val="fr-FR"/>
        </w:rPr>
        <w:t>’</w:t>
      </w:r>
      <w:r w:rsidRPr="00CB2F44">
        <w:rPr>
          <w:lang w:val="fr-FR"/>
        </w:rPr>
        <w:t>abandon des procédures engagées par l</w:t>
      </w:r>
      <w:r>
        <w:rPr>
          <w:lang w:val="fr-FR"/>
        </w:rPr>
        <w:t>’</w:t>
      </w:r>
      <w:r w:rsidRPr="00CB2F44">
        <w:rPr>
          <w:lang w:val="fr-FR"/>
        </w:rPr>
        <w:t>État partie contre son mari et à l</w:t>
      </w:r>
      <w:r>
        <w:rPr>
          <w:lang w:val="fr-FR"/>
        </w:rPr>
        <w:t>’</w:t>
      </w:r>
      <w:r w:rsidRPr="00CB2F44">
        <w:rPr>
          <w:lang w:val="fr-FR"/>
        </w:rPr>
        <w:t>inefficacité dont le tribunal a fait preuve concernant la condamnation pénale de son mari.</w:t>
      </w:r>
    </w:p>
  </w:footnote>
  <w:footnote w:id="10">
    <w:p w14:paraId="7180B7D0" w14:textId="0F4C3C9B" w:rsidR="00B34C89" w:rsidRPr="00CB2F44" w:rsidRDefault="00B34C89" w:rsidP="00CB2F44">
      <w:pPr>
        <w:pStyle w:val="FootnoteText"/>
        <w:tabs>
          <w:tab w:val="right" w:pos="1195"/>
          <w:tab w:val="left" w:pos="1267"/>
          <w:tab w:val="left" w:pos="1742"/>
          <w:tab w:val="left" w:pos="2218"/>
          <w:tab w:val="left" w:pos="2693"/>
        </w:tabs>
        <w:ind w:left="1267" w:right="1260" w:hanging="576"/>
        <w:rPr>
          <w:lang w:val="fr-FR"/>
        </w:rPr>
      </w:pPr>
      <w:r>
        <w:rPr>
          <w:lang w:val="fr-FR"/>
        </w:rPr>
        <w:tab/>
      </w:r>
      <w:r w:rsidRPr="00CB2F44">
        <w:rPr>
          <w:rStyle w:val="FootnoteReference"/>
          <w:spacing w:val="4"/>
        </w:rPr>
        <w:footnoteRef/>
      </w:r>
      <w:r w:rsidRPr="00CB2F44">
        <w:rPr>
          <w:lang w:val="fr-FR"/>
        </w:rPr>
        <w:tab/>
      </w:r>
      <w:r w:rsidRPr="00CB2F44">
        <w:rPr>
          <w:i/>
          <w:iCs/>
          <w:lang w:val="fr-FR"/>
        </w:rPr>
        <w:t xml:space="preserve">V. K. </w:t>
      </w:r>
      <w:r w:rsidRPr="00ED3B61">
        <w:rPr>
          <w:lang w:val="fr-FR"/>
        </w:rPr>
        <w:t>c</w:t>
      </w:r>
      <w:r w:rsidRPr="00CB2F44">
        <w:rPr>
          <w:i/>
          <w:iCs/>
          <w:lang w:val="fr-FR"/>
        </w:rPr>
        <w:t>. Bulgarie</w:t>
      </w:r>
      <w:r w:rsidRPr="00CB2F44">
        <w:rPr>
          <w:lang w:val="fr-FR"/>
        </w:rPr>
        <w:t xml:space="preserve"> (</w:t>
      </w:r>
      <w:hyperlink r:id="rId3" w:history="1">
        <w:r w:rsidRPr="00B34C89">
          <w:rPr>
            <w:rStyle w:val="Hyperlink"/>
            <w:lang w:val="fr-FR"/>
          </w:rPr>
          <w:t>CEDAW/C/49/D/20/2008</w:t>
        </w:r>
      </w:hyperlink>
      <w:r w:rsidRPr="00CB2F44">
        <w:rPr>
          <w:lang w:val="fr-FR"/>
        </w:rPr>
        <w:t>), par. 9.3.</w:t>
      </w:r>
    </w:p>
  </w:footnote>
  <w:footnote w:id="11">
    <w:p w14:paraId="72189AC6" w14:textId="3A0BBAD9" w:rsidR="00B34C89" w:rsidRPr="00CB2F44" w:rsidRDefault="00B34C89" w:rsidP="00CB2F44">
      <w:pPr>
        <w:pStyle w:val="FootnoteText"/>
        <w:tabs>
          <w:tab w:val="right" w:pos="1195"/>
          <w:tab w:val="left" w:pos="1267"/>
          <w:tab w:val="left" w:pos="1742"/>
          <w:tab w:val="left" w:pos="2218"/>
          <w:tab w:val="left" w:pos="2693"/>
        </w:tabs>
        <w:ind w:left="1267" w:right="1260" w:hanging="576"/>
        <w:rPr>
          <w:lang w:val="fr-FR"/>
        </w:rPr>
      </w:pPr>
      <w:r>
        <w:rPr>
          <w:lang w:val="fr-FR"/>
        </w:rPr>
        <w:tab/>
      </w:r>
      <w:r w:rsidRPr="00CB2F44">
        <w:rPr>
          <w:rStyle w:val="FootnoteReference"/>
          <w:spacing w:val="4"/>
        </w:rPr>
        <w:footnoteRef/>
      </w:r>
      <w:r w:rsidRPr="00CB2F44">
        <w:rPr>
          <w:lang w:val="fr-FR"/>
        </w:rPr>
        <w:tab/>
        <w:t>Cour européenne des droits de l</w:t>
      </w:r>
      <w:r>
        <w:rPr>
          <w:lang w:val="fr-FR"/>
        </w:rPr>
        <w:t>’</w:t>
      </w:r>
      <w:r w:rsidRPr="00CB2F44">
        <w:rPr>
          <w:lang w:val="fr-FR"/>
        </w:rPr>
        <w:t xml:space="preserve">homme, </w:t>
      </w:r>
      <w:r w:rsidRPr="00CB2F44">
        <w:rPr>
          <w:i/>
          <w:iCs/>
          <w:lang w:val="fr-FR"/>
        </w:rPr>
        <w:t xml:space="preserve">Skrzek </w:t>
      </w:r>
      <w:r w:rsidRPr="00371CE4">
        <w:rPr>
          <w:lang w:val="fr-FR"/>
        </w:rPr>
        <w:t>c.</w:t>
      </w:r>
      <w:r w:rsidRPr="00CB2F44">
        <w:rPr>
          <w:i/>
          <w:iCs/>
          <w:lang w:val="fr-FR"/>
        </w:rPr>
        <w:t xml:space="preserve"> Pologne</w:t>
      </w:r>
      <w:r w:rsidRPr="00CB2F44">
        <w:rPr>
          <w:lang w:val="fr-FR"/>
        </w:rPr>
        <w:t xml:space="preserve"> (requête n</w:t>
      </w:r>
      <w:r w:rsidRPr="00CB2F44">
        <w:rPr>
          <w:vertAlign w:val="superscript"/>
          <w:lang w:val="fr-FR"/>
        </w:rPr>
        <w:t>o</w:t>
      </w:r>
      <w:r w:rsidRPr="00CB2F44">
        <w:rPr>
          <w:lang w:val="fr-FR"/>
        </w:rPr>
        <w:t> 20026/12), observations sur la recevabilité et sur le fond présentées par le Gouvernement de la Pologne, 17 juin 2015.</w:t>
      </w:r>
    </w:p>
  </w:footnote>
  <w:footnote w:id="12">
    <w:p w14:paraId="34F693A5" w14:textId="77777777" w:rsidR="00B34C89" w:rsidRPr="00CB2F44" w:rsidRDefault="00B34C89" w:rsidP="00CB2F44">
      <w:pPr>
        <w:pStyle w:val="FootnoteText"/>
        <w:tabs>
          <w:tab w:val="right" w:pos="1195"/>
          <w:tab w:val="left" w:pos="1267"/>
          <w:tab w:val="left" w:pos="1742"/>
          <w:tab w:val="left" w:pos="2218"/>
          <w:tab w:val="left" w:pos="2693"/>
        </w:tabs>
        <w:ind w:left="1267" w:right="1260" w:hanging="576"/>
        <w:rPr>
          <w:lang w:val="fr-FR"/>
        </w:rPr>
      </w:pPr>
      <w:r>
        <w:rPr>
          <w:lang w:val="fr-FR"/>
        </w:rPr>
        <w:tab/>
      </w:r>
      <w:r w:rsidRPr="00CB2F44">
        <w:rPr>
          <w:rStyle w:val="FootnoteReference"/>
          <w:spacing w:val="4"/>
        </w:rPr>
        <w:footnoteRef/>
      </w:r>
      <w:r w:rsidRPr="00CB2F44">
        <w:rPr>
          <w:lang w:val="fr-FR"/>
        </w:rPr>
        <w:tab/>
        <w:t>Journal officiel de la Direction générale de la police nationale, n</w:t>
      </w:r>
      <w:r w:rsidRPr="00CB2F44">
        <w:rPr>
          <w:vertAlign w:val="superscript"/>
          <w:lang w:val="fr-FR"/>
        </w:rPr>
        <w:t>o</w:t>
      </w:r>
      <w:r w:rsidRPr="00CB2F44">
        <w:rPr>
          <w:lang w:val="fr-FR"/>
        </w:rPr>
        <w:t> 14, point 111.</w:t>
      </w:r>
    </w:p>
  </w:footnote>
  <w:footnote w:id="13">
    <w:p w14:paraId="728AE234" w14:textId="77777777" w:rsidR="00B34C89" w:rsidRPr="00CB2F44" w:rsidRDefault="00B34C89" w:rsidP="00CB2F44">
      <w:pPr>
        <w:pStyle w:val="FootnoteText"/>
        <w:tabs>
          <w:tab w:val="right" w:pos="1195"/>
          <w:tab w:val="left" w:pos="1267"/>
          <w:tab w:val="left" w:pos="1742"/>
          <w:tab w:val="left" w:pos="2218"/>
          <w:tab w:val="left" w:pos="2693"/>
        </w:tabs>
        <w:ind w:left="1267" w:right="1260" w:hanging="576"/>
        <w:rPr>
          <w:lang w:val="fr-FR"/>
        </w:rPr>
      </w:pPr>
      <w:r>
        <w:rPr>
          <w:lang w:val="fr-FR"/>
        </w:rPr>
        <w:tab/>
      </w:r>
      <w:r w:rsidRPr="00CB2F44">
        <w:rPr>
          <w:rStyle w:val="FootnoteReference"/>
          <w:spacing w:val="4"/>
        </w:rPr>
        <w:footnoteRef/>
      </w:r>
      <w:r w:rsidRPr="00CB2F44">
        <w:rPr>
          <w:lang w:val="fr-FR"/>
        </w:rPr>
        <w:tab/>
        <w:t>Journal officiel de 2011, n</w:t>
      </w:r>
      <w:r w:rsidRPr="00CB2F44">
        <w:rPr>
          <w:vertAlign w:val="superscript"/>
          <w:lang w:val="fr-FR"/>
        </w:rPr>
        <w:t>o</w:t>
      </w:r>
      <w:r w:rsidRPr="00CB2F44">
        <w:rPr>
          <w:lang w:val="fr-FR"/>
        </w:rPr>
        <w:t> 209, point 1245.</w:t>
      </w:r>
    </w:p>
  </w:footnote>
  <w:footnote w:id="14">
    <w:p w14:paraId="5514C6BF" w14:textId="7ABDBECD" w:rsidR="00B34C89" w:rsidRPr="00CB2F44" w:rsidRDefault="00B34C89" w:rsidP="00CB2F44">
      <w:pPr>
        <w:pStyle w:val="FootnoteText"/>
        <w:tabs>
          <w:tab w:val="right" w:pos="1195"/>
          <w:tab w:val="left" w:pos="1267"/>
          <w:tab w:val="left" w:pos="1742"/>
          <w:tab w:val="left" w:pos="2218"/>
          <w:tab w:val="left" w:pos="2693"/>
        </w:tabs>
        <w:ind w:left="1267" w:right="1260" w:hanging="576"/>
        <w:rPr>
          <w:lang w:val="fr-FR"/>
        </w:rPr>
      </w:pPr>
      <w:r>
        <w:rPr>
          <w:lang w:val="fr-FR"/>
        </w:rPr>
        <w:tab/>
      </w:r>
      <w:r w:rsidRPr="00CB2F44">
        <w:rPr>
          <w:rStyle w:val="FootnoteReference"/>
          <w:spacing w:val="4"/>
        </w:rPr>
        <w:footnoteRef/>
      </w:r>
      <w:r w:rsidRPr="00CB2F44">
        <w:rPr>
          <w:lang w:val="fr-FR"/>
        </w:rPr>
        <w:tab/>
        <w:t>L</w:t>
      </w:r>
      <w:r>
        <w:rPr>
          <w:lang w:val="fr-FR"/>
        </w:rPr>
        <w:t>’</w:t>
      </w:r>
      <w:r w:rsidRPr="00CB2F44">
        <w:rPr>
          <w:lang w:val="fr-FR"/>
        </w:rPr>
        <w:t>auteure fait référence à l</w:t>
      </w:r>
      <w:r>
        <w:rPr>
          <w:lang w:val="fr-FR"/>
        </w:rPr>
        <w:t>’</w:t>
      </w:r>
      <w:r w:rsidRPr="00CB2F44">
        <w:rPr>
          <w:lang w:val="fr-FR"/>
        </w:rPr>
        <w:t xml:space="preserve">affaire </w:t>
      </w:r>
      <w:r w:rsidRPr="00CB2F44">
        <w:rPr>
          <w:i/>
          <w:iCs/>
          <w:lang w:val="fr-FR"/>
        </w:rPr>
        <w:t xml:space="preserve">González Carreño </w:t>
      </w:r>
      <w:r w:rsidRPr="00371CE4">
        <w:rPr>
          <w:lang w:val="fr-FR"/>
        </w:rPr>
        <w:t>c.</w:t>
      </w:r>
      <w:r w:rsidRPr="00CB2F44">
        <w:rPr>
          <w:i/>
          <w:iCs/>
          <w:lang w:val="fr-FR"/>
        </w:rPr>
        <w:t xml:space="preserve"> Espagne</w:t>
      </w:r>
      <w:r w:rsidRPr="00CB2F44">
        <w:rPr>
          <w:lang w:val="fr-FR"/>
        </w:rPr>
        <w:t xml:space="preserve"> (</w:t>
      </w:r>
      <w:hyperlink r:id="rId4" w:history="1">
        <w:r w:rsidRPr="00B34C89">
          <w:rPr>
            <w:rStyle w:val="Hyperlink"/>
            <w:lang w:val="fr-FR"/>
          </w:rPr>
          <w:t>CEDAW/C/58/D/47/2012</w:t>
        </w:r>
      </w:hyperlink>
      <w:r w:rsidRPr="00CB2F44">
        <w:rPr>
          <w:lang w:val="fr-FR"/>
        </w:rPr>
        <w:t>), par. 9.4.</w:t>
      </w:r>
    </w:p>
  </w:footnote>
  <w:footnote w:id="15">
    <w:p w14:paraId="19196FEC" w14:textId="77777777" w:rsidR="00B34C89" w:rsidRPr="00CB2F44" w:rsidRDefault="00B34C89" w:rsidP="00CB2F44">
      <w:pPr>
        <w:pStyle w:val="FootnoteText"/>
        <w:tabs>
          <w:tab w:val="right" w:pos="1195"/>
          <w:tab w:val="left" w:pos="1267"/>
          <w:tab w:val="left" w:pos="1742"/>
          <w:tab w:val="left" w:pos="2218"/>
          <w:tab w:val="left" w:pos="2693"/>
        </w:tabs>
        <w:ind w:left="1267" w:right="1260" w:hanging="576"/>
        <w:rPr>
          <w:lang w:val="fr-FR"/>
        </w:rPr>
      </w:pPr>
      <w:r>
        <w:rPr>
          <w:lang w:val="fr-FR"/>
        </w:rPr>
        <w:tab/>
      </w:r>
      <w:r w:rsidRPr="00CB2F44">
        <w:rPr>
          <w:rStyle w:val="FootnoteReference"/>
          <w:spacing w:val="4"/>
        </w:rPr>
        <w:footnoteRef/>
      </w:r>
      <w:r w:rsidRPr="00CB2F44">
        <w:rPr>
          <w:lang w:val="fr-FR"/>
        </w:rPr>
        <w:tab/>
        <w:t>Ibid., par. 8.4.</w:t>
      </w:r>
    </w:p>
  </w:footnote>
  <w:footnote w:id="16">
    <w:p w14:paraId="7FE75EBD" w14:textId="35F52E32" w:rsidR="00B34C89" w:rsidRPr="00CB2F44" w:rsidRDefault="00B34C89" w:rsidP="00CB2F44">
      <w:pPr>
        <w:pStyle w:val="FootnoteText"/>
        <w:tabs>
          <w:tab w:val="right" w:pos="1195"/>
          <w:tab w:val="left" w:pos="1267"/>
          <w:tab w:val="left" w:pos="1742"/>
          <w:tab w:val="left" w:pos="2218"/>
          <w:tab w:val="left" w:pos="2693"/>
        </w:tabs>
        <w:ind w:left="1267" w:right="1260" w:hanging="576"/>
        <w:rPr>
          <w:lang w:val="fr-FR"/>
        </w:rPr>
      </w:pPr>
      <w:r>
        <w:rPr>
          <w:lang w:val="fr-FR"/>
        </w:rPr>
        <w:tab/>
      </w:r>
      <w:r w:rsidRPr="00CB2F44">
        <w:rPr>
          <w:rStyle w:val="FootnoteReference"/>
          <w:spacing w:val="4"/>
        </w:rPr>
        <w:footnoteRef/>
      </w:r>
      <w:r w:rsidRPr="00CB2F44">
        <w:rPr>
          <w:lang w:val="fr-FR"/>
        </w:rPr>
        <w:tab/>
        <w:t>Il convient également de noter qu</w:t>
      </w:r>
      <w:r>
        <w:rPr>
          <w:lang w:val="fr-FR"/>
        </w:rPr>
        <w:t>’</w:t>
      </w:r>
      <w:r w:rsidRPr="00CB2F44">
        <w:rPr>
          <w:lang w:val="fr-FR"/>
        </w:rPr>
        <w:t>avant le 12 juin 2008, l</w:t>
      </w:r>
      <w:r>
        <w:rPr>
          <w:lang w:val="fr-FR"/>
        </w:rPr>
        <w:t>’</w:t>
      </w:r>
      <w:r w:rsidRPr="00CB2F44">
        <w:rPr>
          <w:lang w:val="fr-FR"/>
        </w:rPr>
        <w:t>autre mécanisme d</w:t>
      </w:r>
      <w:r>
        <w:rPr>
          <w:lang w:val="fr-FR"/>
        </w:rPr>
        <w:t>’</w:t>
      </w:r>
      <w:r w:rsidRPr="00CB2F44">
        <w:rPr>
          <w:lang w:val="fr-FR"/>
        </w:rPr>
        <w:t>expulsion prévu par le Code civil ne coïncidait pas avec la procédure de divorce. L</w:t>
      </w:r>
      <w:r>
        <w:rPr>
          <w:lang w:val="fr-FR"/>
        </w:rPr>
        <w:t>’</w:t>
      </w:r>
      <w:r w:rsidRPr="00CB2F44">
        <w:rPr>
          <w:lang w:val="fr-FR"/>
        </w:rPr>
        <w:t>auteure ne pouvait donc pas y recourir.</w:t>
      </w:r>
    </w:p>
  </w:footnote>
  <w:footnote w:id="17">
    <w:p w14:paraId="6A2A66BA" w14:textId="07A8B82B" w:rsidR="00B34C89" w:rsidRPr="00CB2F44" w:rsidRDefault="00B34C89" w:rsidP="00CB2F44">
      <w:pPr>
        <w:pStyle w:val="FootnoteText"/>
        <w:tabs>
          <w:tab w:val="right" w:pos="1195"/>
          <w:tab w:val="left" w:pos="1267"/>
          <w:tab w:val="left" w:pos="1742"/>
          <w:tab w:val="left" w:pos="2218"/>
          <w:tab w:val="left" w:pos="2693"/>
        </w:tabs>
        <w:ind w:left="1267" w:right="1260" w:hanging="576"/>
        <w:rPr>
          <w:lang w:val="fr-FR"/>
        </w:rPr>
      </w:pPr>
      <w:r>
        <w:rPr>
          <w:lang w:val="fr-FR"/>
        </w:rPr>
        <w:tab/>
      </w:r>
      <w:r w:rsidRPr="00CB2F44">
        <w:rPr>
          <w:rStyle w:val="FootnoteReference"/>
          <w:spacing w:val="4"/>
        </w:rPr>
        <w:footnoteRef/>
      </w:r>
      <w:r w:rsidRPr="00CB2F44">
        <w:rPr>
          <w:lang w:val="fr-FR"/>
        </w:rPr>
        <w:tab/>
        <w:t>Agence des droits fondamentaux de l</w:t>
      </w:r>
      <w:r>
        <w:rPr>
          <w:lang w:val="fr-FR"/>
        </w:rPr>
        <w:t>’</w:t>
      </w:r>
      <w:r w:rsidRPr="00CB2F44">
        <w:rPr>
          <w:lang w:val="fr-FR"/>
        </w:rPr>
        <w:t xml:space="preserve">Union européenne, </w:t>
      </w:r>
      <w:r w:rsidRPr="00CB2F44">
        <w:rPr>
          <w:i/>
          <w:iCs/>
          <w:lang w:val="fr-FR"/>
        </w:rPr>
        <w:t>Violence against Women: an EU-wide survey − Main results</w:t>
      </w:r>
      <w:r w:rsidRPr="00CB2F44">
        <w:rPr>
          <w:lang w:val="fr-FR"/>
        </w:rPr>
        <w:t xml:space="preserve"> (Luxembourg, Office des publications de l</w:t>
      </w:r>
      <w:r>
        <w:rPr>
          <w:lang w:val="fr-FR"/>
        </w:rPr>
        <w:t>’</w:t>
      </w:r>
      <w:r w:rsidRPr="00CB2F44">
        <w:rPr>
          <w:lang w:val="fr-FR"/>
        </w:rPr>
        <w:t>Union européenne, 2014), p. 28.</w:t>
      </w:r>
    </w:p>
  </w:footnote>
  <w:footnote w:id="18">
    <w:p w14:paraId="77B3E753" w14:textId="77777777" w:rsidR="00B34C89" w:rsidRPr="00CB2F44" w:rsidRDefault="00B34C89" w:rsidP="00CB2F44">
      <w:pPr>
        <w:pStyle w:val="FootnoteText"/>
        <w:tabs>
          <w:tab w:val="right" w:pos="1195"/>
          <w:tab w:val="left" w:pos="1267"/>
          <w:tab w:val="left" w:pos="1742"/>
          <w:tab w:val="left" w:pos="2218"/>
          <w:tab w:val="left" w:pos="2693"/>
        </w:tabs>
        <w:ind w:left="1267" w:right="1260" w:hanging="576"/>
        <w:rPr>
          <w:lang w:val="fr-FR"/>
        </w:rPr>
      </w:pPr>
      <w:r>
        <w:rPr>
          <w:lang w:val="fr-FR"/>
        </w:rPr>
        <w:tab/>
      </w:r>
      <w:r w:rsidRPr="00CB2F44">
        <w:rPr>
          <w:rStyle w:val="FootnoteReference"/>
          <w:spacing w:val="4"/>
        </w:rPr>
        <w:footnoteRef/>
      </w:r>
      <w:r w:rsidRPr="00CB2F44">
        <w:rPr>
          <w:lang w:val="fr-FR"/>
        </w:rPr>
        <w:tab/>
        <w:t>Ibid., p. 73 et 74.</w:t>
      </w:r>
    </w:p>
  </w:footnote>
  <w:footnote w:id="19">
    <w:p w14:paraId="4BBE61B9" w14:textId="7E46E9FD" w:rsidR="00B34C89" w:rsidRPr="00CB2F44" w:rsidRDefault="00B34C89" w:rsidP="00CB2F44">
      <w:pPr>
        <w:pStyle w:val="FootnoteText"/>
        <w:tabs>
          <w:tab w:val="right" w:pos="1195"/>
          <w:tab w:val="left" w:pos="1267"/>
          <w:tab w:val="left" w:pos="1742"/>
          <w:tab w:val="left" w:pos="2218"/>
          <w:tab w:val="left" w:pos="2693"/>
        </w:tabs>
        <w:ind w:left="1267" w:right="1260" w:hanging="576"/>
        <w:rPr>
          <w:lang w:val="fr-FR"/>
        </w:rPr>
      </w:pPr>
      <w:r>
        <w:rPr>
          <w:lang w:val="fr-FR"/>
        </w:rPr>
        <w:tab/>
      </w:r>
      <w:r w:rsidRPr="00CB2F44">
        <w:rPr>
          <w:rStyle w:val="FootnoteReference"/>
          <w:spacing w:val="4"/>
        </w:rPr>
        <w:footnoteRef/>
      </w:r>
      <w:r w:rsidRPr="00CB2F44">
        <w:rPr>
          <w:lang w:val="fr-FR"/>
        </w:rPr>
        <w:tab/>
        <w:t>M. Płatek, « </w:t>
      </w:r>
      <w:r w:rsidRPr="00CB2F44">
        <w:rPr>
          <w:lang w:val="pl-PL"/>
        </w:rPr>
        <w:t>Ochrona prawna przed przemocą wobec kobiet i przemocą domow</w:t>
      </w:r>
      <w:r w:rsidRPr="00CB2F44">
        <w:rPr>
          <w:lang w:val="fr-FR"/>
        </w:rPr>
        <w:t> » (Protection juridique contre la violence à l</w:t>
      </w:r>
      <w:r>
        <w:rPr>
          <w:lang w:val="fr-FR"/>
        </w:rPr>
        <w:t>’</w:t>
      </w:r>
      <w:r w:rsidRPr="00CB2F44">
        <w:rPr>
          <w:lang w:val="fr-FR"/>
        </w:rPr>
        <w:t xml:space="preserve">égard des femmes et la violence domestique), dans </w:t>
      </w:r>
      <w:r w:rsidRPr="00CB2F44">
        <w:rPr>
          <w:i/>
          <w:iCs/>
          <w:lang w:val="pl-PL"/>
        </w:rPr>
        <w:t>Przeciwdziałanie przemocy wobec kobiet, w tym kobiet starszych i kobiet z niepełnosprawnościami – analiza i zalecenia</w:t>
      </w:r>
      <w:r w:rsidRPr="00CB2F44">
        <w:rPr>
          <w:lang w:val="fr-FR"/>
        </w:rPr>
        <w:t xml:space="preserve"> (Prévention de la violence à l</w:t>
      </w:r>
      <w:r>
        <w:rPr>
          <w:lang w:val="fr-FR"/>
        </w:rPr>
        <w:t>’</w:t>
      </w:r>
      <w:r w:rsidRPr="00CB2F44">
        <w:rPr>
          <w:lang w:val="fr-FR"/>
        </w:rPr>
        <w:t>égard des femmes, notamment des femmes âgées et des femmes en situation de handicap), S. Trociuk (éd.), Varsovie, Bureau du Défenseur des droits civiques, 2013, p. 22 et 24.</w:t>
      </w:r>
    </w:p>
  </w:footnote>
  <w:footnote w:id="20">
    <w:p w14:paraId="61B7D8BC" w14:textId="5EADC1FB" w:rsidR="00B34C89" w:rsidRPr="00CB2F44" w:rsidRDefault="00B34C89" w:rsidP="00CB2F44">
      <w:pPr>
        <w:pStyle w:val="FootnoteText"/>
        <w:tabs>
          <w:tab w:val="right" w:pos="1195"/>
          <w:tab w:val="left" w:pos="1267"/>
          <w:tab w:val="left" w:pos="1742"/>
          <w:tab w:val="left" w:pos="2218"/>
          <w:tab w:val="left" w:pos="2693"/>
        </w:tabs>
        <w:ind w:left="1267" w:right="1260" w:hanging="576"/>
        <w:rPr>
          <w:lang w:val="fr-FR"/>
        </w:rPr>
      </w:pPr>
      <w:r>
        <w:rPr>
          <w:lang w:val="fr-FR"/>
        </w:rPr>
        <w:tab/>
      </w:r>
      <w:r w:rsidRPr="00CB2F44">
        <w:rPr>
          <w:rStyle w:val="FootnoteReference"/>
          <w:spacing w:val="4"/>
        </w:rPr>
        <w:footnoteRef/>
      </w:r>
      <w:r w:rsidRPr="00CB2F44">
        <w:rPr>
          <w:lang w:val="fr-FR"/>
        </w:rPr>
        <w:tab/>
      </w:r>
      <w:r w:rsidRPr="00CB2F44">
        <w:rPr>
          <w:i/>
          <w:iCs/>
          <w:lang w:val="fr-FR"/>
        </w:rPr>
        <w:t xml:space="preserve">E. S. et S. C. </w:t>
      </w:r>
      <w:r w:rsidRPr="00371CE4">
        <w:rPr>
          <w:lang w:val="fr-FR"/>
        </w:rPr>
        <w:t>c</w:t>
      </w:r>
      <w:r w:rsidRPr="00CB2F44">
        <w:rPr>
          <w:i/>
          <w:iCs/>
          <w:lang w:val="fr-FR"/>
        </w:rPr>
        <w:t>. République-Unie de Tanzanie</w:t>
      </w:r>
      <w:r w:rsidRPr="00CB2F44">
        <w:rPr>
          <w:lang w:val="fr-FR"/>
        </w:rPr>
        <w:t xml:space="preserve"> (</w:t>
      </w:r>
      <w:hyperlink r:id="rId5" w:history="1">
        <w:r w:rsidRPr="00B34C89">
          <w:rPr>
            <w:rStyle w:val="Hyperlink"/>
            <w:lang w:val="fr-FR"/>
          </w:rPr>
          <w:t>CEDAW/C/60/D/48/2013</w:t>
        </w:r>
      </w:hyperlink>
      <w:r w:rsidRPr="00CB2F44">
        <w:rPr>
          <w:lang w:val="fr-FR"/>
        </w:rPr>
        <w:t xml:space="preserve">), par. 6.3, </w:t>
      </w:r>
      <w:r w:rsidRPr="00CB2F44">
        <w:rPr>
          <w:i/>
          <w:iCs/>
          <w:lang w:val="fr-FR"/>
        </w:rPr>
        <w:t xml:space="preserve">L. R. </w:t>
      </w:r>
      <w:r w:rsidRPr="00371CE4">
        <w:rPr>
          <w:lang w:val="fr-FR"/>
        </w:rPr>
        <w:t>c.</w:t>
      </w:r>
      <w:r w:rsidRPr="00CB2F44">
        <w:rPr>
          <w:i/>
          <w:iCs/>
          <w:lang w:val="fr-FR"/>
        </w:rPr>
        <w:t> République de Moldova</w:t>
      </w:r>
      <w:r w:rsidRPr="00CB2F44">
        <w:rPr>
          <w:lang w:val="fr-FR"/>
        </w:rPr>
        <w:t xml:space="preserve"> (</w:t>
      </w:r>
      <w:hyperlink r:id="rId6" w:history="1">
        <w:r w:rsidRPr="00B34C89">
          <w:rPr>
            <w:rStyle w:val="Hyperlink"/>
            <w:lang w:val="fr-FR"/>
          </w:rPr>
          <w:t>CEDAW/C/66/D/58/2013</w:t>
        </w:r>
      </w:hyperlink>
      <w:r w:rsidRPr="00CB2F44">
        <w:rPr>
          <w:lang w:val="fr-FR"/>
        </w:rPr>
        <w:t xml:space="preserve">), par. 12.2, et </w:t>
      </w:r>
      <w:r w:rsidRPr="00CB2F44">
        <w:rPr>
          <w:i/>
          <w:iCs/>
          <w:lang w:val="fr-FR"/>
        </w:rPr>
        <w:t xml:space="preserve">Société polonaise de la législation antidiscrimination </w:t>
      </w:r>
      <w:r w:rsidRPr="00371CE4">
        <w:rPr>
          <w:lang w:val="fr-FR"/>
        </w:rPr>
        <w:t>c</w:t>
      </w:r>
      <w:r w:rsidRPr="00CB2F44">
        <w:rPr>
          <w:i/>
          <w:iCs/>
          <w:lang w:val="fr-FR"/>
        </w:rPr>
        <w:t>. Pologne</w:t>
      </w:r>
      <w:r w:rsidRPr="00CB2F44">
        <w:rPr>
          <w:lang w:val="fr-FR"/>
        </w:rPr>
        <w:t xml:space="preserve"> (</w:t>
      </w:r>
      <w:hyperlink r:id="rId7" w:history="1">
        <w:r w:rsidRPr="00B34C89">
          <w:rPr>
            <w:rStyle w:val="Hyperlink"/>
            <w:lang w:val="fr-FR"/>
          </w:rPr>
          <w:t>CEDAW/C/73/D/136/2018</w:t>
        </w:r>
      </w:hyperlink>
      <w:r w:rsidRPr="00CB2F44">
        <w:rPr>
          <w:lang w:val="fr-FR"/>
        </w:rPr>
        <w:t>), par. 6.4.</w:t>
      </w:r>
    </w:p>
  </w:footnote>
  <w:footnote w:id="21">
    <w:p w14:paraId="65029F07" w14:textId="191E6306" w:rsidR="00B34C89" w:rsidRPr="00CB2F44" w:rsidRDefault="00B34C89" w:rsidP="00CB2F44">
      <w:pPr>
        <w:pStyle w:val="FootnoteText"/>
        <w:tabs>
          <w:tab w:val="right" w:pos="1195"/>
          <w:tab w:val="left" w:pos="1267"/>
          <w:tab w:val="left" w:pos="1742"/>
          <w:tab w:val="left" w:pos="2218"/>
          <w:tab w:val="left" w:pos="2693"/>
        </w:tabs>
        <w:ind w:left="1267" w:right="1260" w:hanging="576"/>
        <w:rPr>
          <w:lang w:val="fr-FR"/>
        </w:rPr>
      </w:pPr>
      <w:r>
        <w:rPr>
          <w:lang w:val="fr-FR"/>
        </w:rPr>
        <w:tab/>
      </w:r>
      <w:r w:rsidRPr="00CB2F44">
        <w:rPr>
          <w:rStyle w:val="FootnoteReference"/>
          <w:spacing w:val="4"/>
        </w:rPr>
        <w:footnoteRef/>
      </w:r>
      <w:r w:rsidRPr="00CB2F44">
        <w:rPr>
          <w:lang w:val="fr-FR"/>
        </w:rPr>
        <w:tab/>
      </w:r>
      <w:r w:rsidRPr="00CB2F44">
        <w:rPr>
          <w:i/>
          <w:iCs/>
          <w:lang w:val="fr-FR"/>
        </w:rPr>
        <w:t xml:space="preserve">N. </w:t>
      </w:r>
      <w:r w:rsidRPr="00371CE4">
        <w:rPr>
          <w:lang w:val="fr-FR"/>
        </w:rPr>
        <w:t>c.</w:t>
      </w:r>
      <w:r w:rsidRPr="00CB2F44">
        <w:rPr>
          <w:i/>
          <w:iCs/>
          <w:lang w:val="fr-FR"/>
        </w:rPr>
        <w:t xml:space="preserve"> Pays-Bas</w:t>
      </w:r>
      <w:r w:rsidRPr="00CB2F44">
        <w:rPr>
          <w:lang w:val="fr-FR"/>
        </w:rPr>
        <w:t xml:space="preserve"> (</w:t>
      </w:r>
      <w:hyperlink r:id="rId8" w:history="1">
        <w:r w:rsidRPr="00B34C89">
          <w:rPr>
            <w:rStyle w:val="Hyperlink"/>
            <w:lang w:val="fr-FR"/>
          </w:rPr>
          <w:t>CEDAW/C/57/D/39/2012</w:t>
        </w:r>
      </w:hyperlink>
      <w:r w:rsidRPr="00CB2F44">
        <w:rPr>
          <w:lang w:val="fr-FR"/>
        </w:rPr>
        <w:t xml:space="preserve">), par. 6.3, et </w:t>
      </w:r>
      <w:r w:rsidRPr="00CB2F44">
        <w:rPr>
          <w:i/>
          <w:iCs/>
          <w:lang w:val="fr-FR"/>
        </w:rPr>
        <w:t xml:space="preserve">Société polonaise de la législation antidiscrimination </w:t>
      </w:r>
      <w:r w:rsidRPr="00371CE4">
        <w:rPr>
          <w:lang w:val="fr-FR"/>
        </w:rPr>
        <w:t>c</w:t>
      </w:r>
      <w:r w:rsidRPr="00CB2F44">
        <w:rPr>
          <w:i/>
          <w:iCs/>
          <w:lang w:val="fr-FR"/>
        </w:rPr>
        <w:t>. Pologne</w:t>
      </w:r>
      <w:r w:rsidRPr="00CB2F44">
        <w:rPr>
          <w:lang w:val="fr-FR"/>
        </w:rPr>
        <w:t xml:space="preserve"> (</w:t>
      </w:r>
      <w:hyperlink r:id="rId9" w:history="1">
        <w:r w:rsidRPr="00B34C89">
          <w:rPr>
            <w:rStyle w:val="Hyperlink"/>
            <w:lang w:val="fr-FR"/>
          </w:rPr>
          <w:t>CEDAW/C/73/D/136/2018</w:t>
        </w:r>
      </w:hyperlink>
      <w:r w:rsidRPr="00CB2F44">
        <w:rPr>
          <w:lang w:val="fr-FR"/>
        </w:rPr>
        <w:t>), par. 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B34C89" w14:paraId="7D8EFD6F" w14:textId="77777777" w:rsidTr="00525527">
      <w:trPr>
        <w:trHeight w:hRule="exact" w:val="864"/>
      </w:trPr>
      <w:tc>
        <w:tcPr>
          <w:tcW w:w="4920" w:type="dxa"/>
          <w:shd w:val="clear" w:color="auto" w:fill="auto"/>
          <w:vAlign w:val="bottom"/>
        </w:tcPr>
        <w:p w14:paraId="2AAE65B4" w14:textId="1B336095" w:rsidR="00B34C89" w:rsidRPr="00525527" w:rsidRDefault="00B34C89" w:rsidP="0052552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C287C">
            <w:rPr>
              <w:b/>
              <w:color w:val="000000"/>
            </w:rPr>
            <w:t>CEDAW/C/76/D/128/2018</w:t>
          </w:r>
          <w:r>
            <w:rPr>
              <w:b/>
              <w:color w:val="000000"/>
            </w:rPr>
            <w:fldChar w:fldCharType="end"/>
          </w:r>
        </w:p>
      </w:tc>
      <w:tc>
        <w:tcPr>
          <w:tcW w:w="4920" w:type="dxa"/>
          <w:shd w:val="clear" w:color="auto" w:fill="auto"/>
          <w:vAlign w:val="bottom"/>
        </w:tcPr>
        <w:p w14:paraId="7F80717E" w14:textId="77777777" w:rsidR="00B34C89" w:rsidRDefault="00B34C89" w:rsidP="00525527">
          <w:pPr>
            <w:pStyle w:val="Header"/>
          </w:pPr>
        </w:p>
      </w:tc>
    </w:tr>
  </w:tbl>
  <w:p w14:paraId="719D8588" w14:textId="77777777" w:rsidR="00B34C89" w:rsidRPr="00525527" w:rsidRDefault="00B34C89" w:rsidP="00525527">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B34C89" w14:paraId="00C5F57E" w14:textId="77777777" w:rsidTr="00525527">
      <w:trPr>
        <w:trHeight w:hRule="exact" w:val="864"/>
      </w:trPr>
      <w:tc>
        <w:tcPr>
          <w:tcW w:w="4920" w:type="dxa"/>
          <w:shd w:val="clear" w:color="auto" w:fill="auto"/>
          <w:vAlign w:val="bottom"/>
        </w:tcPr>
        <w:p w14:paraId="21448D91" w14:textId="77777777" w:rsidR="00B34C89" w:rsidRDefault="00B34C89" w:rsidP="00525527">
          <w:pPr>
            <w:pStyle w:val="Header"/>
          </w:pPr>
        </w:p>
      </w:tc>
      <w:tc>
        <w:tcPr>
          <w:tcW w:w="4920" w:type="dxa"/>
          <w:shd w:val="clear" w:color="auto" w:fill="auto"/>
          <w:vAlign w:val="bottom"/>
        </w:tcPr>
        <w:p w14:paraId="5DF7A6C6" w14:textId="12F898AA" w:rsidR="00B34C89" w:rsidRPr="00525527" w:rsidRDefault="00B34C89" w:rsidP="0052552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C287C">
            <w:rPr>
              <w:b/>
              <w:color w:val="000000"/>
            </w:rPr>
            <w:t>CEDAW/C/76/D/128/2018</w:t>
          </w:r>
          <w:r>
            <w:rPr>
              <w:b/>
              <w:color w:val="000000"/>
            </w:rPr>
            <w:fldChar w:fldCharType="end"/>
          </w:r>
        </w:p>
      </w:tc>
    </w:tr>
  </w:tbl>
  <w:p w14:paraId="4567840B" w14:textId="77777777" w:rsidR="00B34C89" w:rsidRPr="00525527" w:rsidRDefault="00B34C89" w:rsidP="00525527">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B34C89" w14:paraId="27CDFE47" w14:textId="77777777" w:rsidTr="00525527">
      <w:trPr>
        <w:trHeight w:hRule="exact" w:val="864"/>
      </w:trPr>
      <w:tc>
        <w:tcPr>
          <w:tcW w:w="1267" w:type="dxa"/>
          <w:tcBorders>
            <w:bottom w:val="single" w:sz="4" w:space="0" w:color="auto"/>
          </w:tcBorders>
          <w:shd w:val="clear" w:color="auto" w:fill="auto"/>
          <w:vAlign w:val="bottom"/>
        </w:tcPr>
        <w:p w14:paraId="332DB44C" w14:textId="77777777" w:rsidR="00B34C89" w:rsidRDefault="00B34C89" w:rsidP="00525527">
          <w:pPr>
            <w:pStyle w:val="Header"/>
            <w:spacing w:after="120"/>
          </w:pPr>
        </w:p>
      </w:tc>
      <w:tc>
        <w:tcPr>
          <w:tcW w:w="2059" w:type="dxa"/>
          <w:tcBorders>
            <w:bottom w:val="single" w:sz="4" w:space="0" w:color="auto"/>
          </w:tcBorders>
          <w:shd w:val="clear" w:color="auto" w:fill="auto"/>
          <w:vAlign w:val="bottom"/>
        </w:tcPr>
        <w:p w14:paraId="7B6A8532" w14:textId="77777777" w:rsidR="00B34C89" w:rsidRPr="00525527" w:rsidRDefault="00B34C89" w:rsidP="00525527">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4084DB35" w14:textId="77777777" w:rsidR="00B34C89" w:rsidRDefault="00B34C89" w:rsidP="00525527">
          <w:pPr>
            <w:pStyle w:val="Header"/>
            <w:spacing w:after="120"/>
          </w:pPr>
        </w:p>
      </w:tc>
      <w:tc>
        <w:tcPr>
          <w:tcW w:w="6466" w:type="dxa"/>
          <w:gridSpan w:val="3"/>
          <w:tcBorders>
            <w:bottom w:val="single" w:sz="4" w:space="0" w:color="auto"/>
          </w:tcBorders>
          <w:shd w:val="clear" w:color="auto" w:fill="auto"/>
          <w:vAlign w:val="bottom"/>
        </w:tcPr>
        <w:p w14:paraId="43DA4676" w14:textId="77777777" w:rsidR="00B34C89" w:rsidRPr="00525527" w:rsidRDefault="00B34C89" w:rsidP="00525527">
          <w:pPr>
            <w:spacing w:after="80" w:line="240" w:lineRule="auto"/>
            <w:jc w:val="right"/>
            <w:rPr>
              <w:position w:val="-4"/>
            </w:rPr>
          </w:pPr>
          <w:r>
            <w:rPr>
              <w:position w:val="-4"/>
              <w:sz w:val="40"/>
            </w:rPr>
            <w:t>CEDAW</w:t>
          </w:r>
          <w:r>
            <w:rPr>
              <w:position w:val="-4"/>
            </w:rPr>
            <w:t>/C/76/D/128/2018</w:t>
          </w:r>
        </w:p>
      </w:tc>
    </w:tr>
    <w:tr w:rsidR="00B34C89" w:rsidRPr="00525527" w14:paraId="0B4F4DD7" w14:textId="77777777" w:rsidTr="00525527">
      <w:trPr>
        <w:trHeight w:hRule="exact" w:val="2880"/>
      </w:trPr>
      <w:tc>
        <w:tcPr>
          <w:tcW w:w="1267" w:type="dxa"/>
          <w:tcBorders>
            <w:top w:val="single" w:sz="4" w:space="0" w:color="auto"/>
            <w:bottom w:val="single" w:sz="12" w:space="0" w:color="auto"/>
          </w:tcBorders>
          <w:shd w:val="clear" w:color="auto" w:fill="auto"/>
        </w:tcPr>
        <w:p w14:paraId="24A0A25E" w14:textId="77777777" w:rsidR="00B34C89" w:rsidRPr="00525527" w:rsidRDefault="00B34C89" w:rsidP="00525527">
          <w:pPr>
            <w:pStyle w:val="Header"/>
            <w:spacing w:before="120" w:line="240" w:lineRule="auto"/>
            <w:ind w:left="-72"/>
            <w:jc w:val="center"/>
          </w:pPr>
          <w:r>
            <w:t xml:space="preserve">  </w:t>
          </w:r>
          <w:r>
            <w:rPr>
              <w:noProof/>
            </w:rPr>
            <w:drawing>
              <wp:inline distT="0" distB="0" distL="0" distR="0" wp14:anchorId="21C545D9" wp14:editId="281567F5">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181A8F2" w14:textId="645888F1" w:rsidR="00B34C89" w:rsidRPr="00525527" w:rsidRDefault="00B34C89" w:rsidP="00525527">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263B199E" w14:textId="77777777" w:rsidR="00B34C89" w:rsidRPr="00CB2F44" w:rsidRDefault="00B34C89" w:rsidP="00525527">
          <w:pPr>
            <w:pStyle w:val="Header"/>
            <w:spacing w:before="109"/>
            <w:rPr>
              <w:lang w:val="fr-CA"/>
            </w:rPr>
          </w:pPr>
        </w:p>
      </w:tc>
      <w:tc>
        <w:tcPr>
          <w:tcW w:w="3110" w:type="dxa"/>
          <w:tcBorders>
            <w:top w:val="single" w:sz="4" w:space="0" w:color="auto"/>
            <w:bottom w:val="single" w:sz="12" w:space="0" w:color="auto"/>
          </w:tcBorders>
          <w:shd w:val="clear" w:color="auto" w:fill="auto"/>
        </w:tcPr>
        <w:p w14:paraId="445283BC" w14:textId="414F884A" w:rsidR="00B34C89" w:rsidRPr="00CB2F44" w:rsidRDefault="00B34C89" w:rsidP="00525527">
          <w:pPr>
            <w:pStyle w:val="Distribution"/>
            <w:rPr>
              <w:color w:val="000000"/>
              <w:lang w:val="fr-CA"/>
            </w:rPr>
          </w:pPr>
          <w:r w:rsidRPr="00CB2F44">
            <w:rPr>
              <w:color w:val="000000"/>
              <w:lang w:val="fr-CA"/>
            </w:rPr>
            <w:t xml:space="preserve">Distr. </w:t>
          </w:r>
          <w:r>
            <w:rPr>
              <w:color w:val="000000"/>
              <w:lang w:val="fr-CA"/>
            </w:rPr>
            <w:t>générale</w:t>
          </w:r>
        </w:p>
        <w:p w14:paraId="2C94AC20" w14:textId="77777777" w:rsidR="00B34C89" w:rsidRPr="00CB2F44" w:rsidRDefault="00B34C89" w:rsidP="00525527">
          <w:pPr>
            <w:pStyle w:val="Publication"/>
            <w:rPr>
              <w:color w:val="000000"/>
              <w:lang w:val="fr-CA"/>
            </w:rPr>
          </w:pPr>
          <w:r w:rsidRPr="00CB2F44">
            <w:rPr>
              <w:color w:val="000000"/>
              <w:lang w:val="fr-CA"/>
            </w:rPr>
            <w:t>26 août 2020</w:t>
          </w:r>
        </w:p>
        <w:p w14:paraId="5E9BFF85" w14:textId="77777777" w:rsidR="00B34C89" w:rsidRPr="00CB2F44" w:rsidRDefault="00B34C89" w:rsidP="00525527">
          <w:r w:rsidRPr="00CB2F44">
            <w:t>Français</w:t>
          </w:r>
        </w:p>
        <w:p w14:paraId="21A67E7D" w14:textId="57F603D0" w:rsidR="00B34C89" w:rsidRPr="00CB2F44" w:rsidRDefault="00B34C89" w:rsidP="00525527">
          <w:pPr>
            <w:pStyle w:val="Original"/>
            <w:rPr>
              <w:color w:val="000000"/>
              <w:lang w:val="fr-CA"/>
            </w:rPr>
          </w:pPr>
          <w:r w:rsidRPr="00CB2F44">
            <w:rPr>
              <w:color w:val="000000"/>
              <w:lang w:val="fr-CA"/>
            </w:rPr>
            <w:t>Original</w:t>
          </w:r>
          <w:r>
            <w:rPr>
              <w:color w:val="000000"/>
              <w:lang w:val="fr-CA"/>
            </w:rPr>
            <w:t> :</w:t>
          </w:r>
          <w:r w:rsidRPr="00CB2F44">
            <w:rPr>
              <w:color w:val="000000"/>
              <w:lang w:val="fr-CA"/>
            </w:rPr>
            <w:t xml:space="preserve"> anglais</w:t>
          </w:r>
        </w:p>
      </w:tc>
    </w:tr>
  </w:tbl>
  <w:p w14:paraId="7C69EF11" w14:textId="77777777" w:rsidR="00B34C89" w:rsidRPr="00CB2F44" w:rsidRDefault="00B34C89" w:rsidP="00525527">
    <w:pPr>
      <w:pStyle w:val="Header"/>
      <w:spacing w:line="240" w:lineRule="auto"/>
      <w:rPr>
        <w:sz w:val="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13D3"/>
    <w:multiLevelType w:val="singleLevel"/>
    <w:tmpl w:val="37EA9BE4"/>
    <w:lvl w:ilvl="0">
      <w:start w:val="1"/>
      <w:numFmt w:val="decimal"/>
      <w:lvlRestart w:val="0"/>
      <w:lvlText w:val="4.%1"/>
      <w:lvlJc w:val="left"/>
      <w:pPr>
        <w:tabs>
          <w:tab w:val="num" w:pos="1742"/>
        </w:tabs>
        <w:ind w:left="1267" w:firstLine="0"/>
      </w:pPr>
      <w:rPr>
        <w:w w:val="100"/>
      </w:rPr>
    </w:lvl>
  </w:abstractNum>
  <w:abstractNum w:abstractNumId="1" w15:restartNumberingAfterBreak="0">
    <w:nsid w:val="04015290"/>
    <w:multiLevelType w:val="hybridMultilevel"/>
    <w:tmpl w:val="EBB41734"/>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15:restartNumberingAfterBreak="0">
    <w:nsid w:val="042A674E"/>
    <w:multiLevelType w:val="singleLevel"/>
    <w:tmpl w:val="82BE29C4"/>
    <w:lvl w:ilvl="0">
      <w:start w:val="1"/>
      <w:numFmt w:val="decimal"/>
      <w:lvlRestart w:val="0"/>
      <w:lvlText w:val="7.%1"/>
      <w:lvlJc w:val="left"/>
      <w:pPr>
        <w:tabs>
          <w:tab w:val="num" w:pos="1742"/>
        </w:tabs>
        <w:ind w:left="1267" w:firstLine="0"/>
      </w:pPr>
      <w:rPr>
        <w:w w:val="100"/>
      </w:rPr>
    </w:lvl>
  </w:abstractNum>
  <w:abstractNum w:abstractNumId="3" w15:restartNumberingAfterBreak="0">
    <w:nsid w:val="069A6307"/>
    <w:multiLevelType w:val="singleLevel"/>
    <w:tmpl w:val="D7A6742C"/>
    <w:lvl w:ilvl="0">
      <w:start w:val="8"/>
      <w:numFmt w:val="decimal"/>
      <w:lvlRestart w:val="0"/>
      <w:lvlText w:val="7.%1"/>
      <w:lvlJc w:val="left"/>
      <w:pPr>
        <w:tabs>
          <w:tab w:val="num" w:pos="1742"/>
        </w:tabs>
        <w:ind w:left="1267" w:firstLine="0"/>
      </w:pPr>
      <w:rPr>
        <w:b w:val="0"/>
        <w:bCs/>
        <w:w w:val="100"/>
      </w:rPr>
    </w:lvl>
  </w:abstractNum>
  <w:abstractNum w:abstractNumId="4" w15:restartNumberingAfterBreak="0">
    <w:nsid w:val="08166B02"/>
    <w:multiLevelType w:val="singleLevel"/>
    <w:tmpl w:val="820EDEE0"/>
    <w:lvl w:ilvl="0">
      <w:start w:val="4"/>
      <w:numFmt w:val="decimal"/>
      <w:lvlRestart w:val="0"/>
      <w:lvlText w:val="7.%1"/>
      <w:lvlJc w:val="left"/>
      <w:pPr>
        <w:tabs>
          <w:tab w:val="num" w:pos="1742"/>
        </w:tabs>
        <w:ind w:left="1267" w:firstLine="0"/>
      </w:pPr>
      <w:rPr>
        <w:w w:val="100"/>
      </w:rPr>
    </w:lvl>
  </w:abstractNum>
  <w:abstractNum w:abstractNumId="5"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 w15:restartNumberingAfterBreak="0">
    <w:nsid w:val="150A5183"/>
    <w:multiLevelType w:val="singleLevel"/>
    <w:tmpl w:val="D832A9A2"/>
    <w:lvl w:ilvl="0">
      <w:start w:val="1"/>
      <w:numFmt w:val="decimal"/>
      <w:lvlRestart w:val="0"/>
      <w:lvlText w:val="5.%1"/>
      <w:lvlJc w:val="left"/>
      <w:pPr>
        <w:tabs>
          <w:tab w:val="num" w:pos="1742"/>
        </w:tabs>
        <w:ind w:left="1267" w:firstLine="0"/>
      </w:pPr>
      <w:rPr>
        <w:w w:val="100"/>
      </w:rPr>
    </w:lvl>
  </w:abstractNum>
  <w:abstractNum w:abstractNumId="7" w15:restartNumberingAfterBreak="0">
    <w:nsid w:val="172F270D"/>
    <w:multiLevelType w:val="hybridMultilevel"/>
    <w:tmpl w:val="FEA46E40"/>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57953"/>
    <w:multiLevelType w:val="singleLevel"/>
    <w:tmpl w:val="589AA6FA"/>
    <w:lvl w:ilvl="0">
      <w:start w:val="9"/>
      <w:numFmt w:val="decimal"/>
      <w:lvlRestart w:val="0"/>
      <w:lvlText w:val="%1."/>
      <w:lvlJc w:val="left"/>
      <w:pPr>
        <w:tabs>
          <w:tab w:val="num" w:pos="1742"/>
        </w:tabs>
        <w:ind w:left="1267" w:firstLine="0"/>
      </w:pPr>
      <w:rPr>
        <w:w w:val="100"/>
      </w:rPr>
    </w:lvl>
  </w:abstractNum>
  <w:abstractNum w:abstractNumId="9" w15:restartNumberingAfterBreak="0">
    <w:nsid w:val="1D2C6358"/>
    <w:multiLevelType w:val="singleLevel"/>
    <w:tmpl w:val="77DA660C"/>
    <w:lvl w:ilvl="0">
      <w:start w:val="1"/>
      <w:numFmt w:val="decimal"/>
      <w:lvlRestart w:val="0"/>
      <w:lvlText w:val="3.%1"/>
      <w:lvlJc w:val="left"/>
      <w:pPr>
        <w:tabs>
          <w:tab w:val="num" w:pos="1742"/>
        </w:tabs>
        <w:ind w:left="1267" w:firstLine="0"/>
      </w:pPr>
      <w:rPr>
        <w:w w:val="100"/>
      </w:rPr>
    </w:lvl>
  </w:abstractNum>
  <w:abstractNum w:abstractNumId="10" w15:restartNumberingAfterBreak="0">
    <w:nsid w:val="26F94DDF"/>
    <w:multiLevelType w:val="singleLevel"/>
    <w:tmpl w:val="3F840B06"/>
    <w:lvl w:ilvl="0">
      <w:start w:val="1"/>
      <w:numFmt w:val="decimal"/>
      <w:lvlRestart w:val="0"/>
      <w:lvlText w:val="%1."/>
      <w:lvlJc w:val="left"/>
      <w:pPr>
        <w:tabs>
          <w:tab w:val="num" w:pos="475"/>
        </w:tabs>
        <w:ind w:left="0" w:firstLine="0"/>
      </w:pPr>
      <w:rPr>
        <w:w w:val="100"/>
      </w:rPr>
    </w:lvl>
  </w:abstractNum>
  <w:abstractNum w:abstractNumId="11" w15:restartNumberingAfterBreak="0">
    <w:nsid w:val="282C54BC"/>
    <w:multiLevelType w:val="singleLevel"/>
    <w:tmpl w:val="9D10E2C4"/>
    <w:lvl w:ilvl="0">
      <w:start w:val="2"/>
      <w:numFmt w:val="decimal"/>
      <w:lvlRestart w:val="0"/>
      <w:lvlText w:val="7.%1"/>
      <w:lvlJc w:val="left"/>
      <w:pPr>
        <w:tabs>
          <w:tab w:val="num" w:pos="1742"/>
        </w:tabs>
        <w:ind w:left="1267" w:firstLine="0"/>
      </w:pPr>
      <w:rPr>
        <w:b w:val="0"/>
        <w:bCs/>
        <w:w w:val="100"/>
      </w:rPr>
    </w:lvl>
  </w:abstractNum>
  <w:abstractNum w:abstractNumId="12" w15:restartNumberingAfterBreak="0">
    <w:nsid w:val="28743288"/>
    <w:multiLevelType w:val="singleLevel"/>
    <w:tmpl w:val="8A14A102"/>
    <w:lvl w:ilvl="0">
      <w:start w:val="1"/>
      <w:numFmt w:val="decimal"/>
      <w:lvlRestart w:val="0"/>
      <w:lvlText w:val="2.%1"/>
      <w:lvlJc w:val="left"/>
      <w:pPr>
        <w:tabs>
          <w:tab w:val="num" w:pos="1742"/>
        </w:tabs>
        <w:ind w:left="1267" w:firstLine="0"/>
      </w:pPr>
      <w:rPr>
        <w:w w:val="100"/>
      </w:rPr>
    </w:lvl>
  </w:abstractNum>
  <w:abstractNum w:abstractNumId="13" w15:restartNumberingAfterBreak="0">
    <w:nsid w:val="2E5072D2"/>
    <w:multiLevelType w:val="singleLevel"/>
    <w:tmpl w:val="6D40A850"/>
    <w:lvl w:ilvl="0">
      <w:start w:val="3"/>
      <w:numFmt w:val="decimal"/>
      <w:lvlRestart w:val="0"/>
      <w:lvlText w:val="7.%1"/>
      <w:lvlJc w:val="left"/>
      <w:pPr>
        <w:tabs>
          <w:tab w:val="num" w:pos="1742"/>
        </w:tabs>
        <w:ind w:left="1267" w:firstLine="0"/>
      </w:pPr>
      <w:rPr>
        <w:b w:val="0"/>
        <w:bCs/>
        <w:w w:val="100"/>
      </w:rPr>
    </w:lvl>
  </w:abstractNum>
  <w:abstractNum w:abstractNumId="14" w15:restartNumberingAfterBreak="0">
    <w:nsid w:val="34474FA8"/>
    <w:multiLevelType w:val="singleLevel"/>
    <w:tmpl w:val="387AEFDE"/>
    <w:lvl w:ilvl="0">
      <w:start w:val="5"/>
      <w:numFmt w:val="decimal"/>
      <w:lvlRestart w:val="0"/>
      <w:lvlText w:val="7.%1"/>
      <w:lvlJc w:val="left"/>
      <w:pPr>
        <w:tabs>
          <w:tab w:val="num" w:pos="1742"/>
        </w:tabs>
        <w:ind w:left="1267" w:firstLine="0"/>
      </w:pPr>
      <w:rPr>
        <w:w w:val="100"/>
      </w:rPr>
    </w:lvl>
  </w:abstractNum>
  <w:abstractNum w:abstractNumId="15" w15:restartNumberingAfterBreak="0">
    <w:nsid w:val="40356DA9"/>
    <w:multiLevelType w:val="singleLevel"/>
    <w:tmpl w:val="F94437DC"/>
    <w:lvl w:ilvl="0">
      <w:start w:val="1"/>
      <w:numFmt w:val="decimal"/>
      <w:lvlRestart w:val="0"/>
      <w:lvlText w:val="8.%1"/>
      <w:lvlJc w:val="left"/>
      <w:pPr>
        <w:tabs>
          <w:tab w:val="num" w:pos="1742"/>
        </w:tabs>
        <w:ind w:left="1267" w:firstLine="0"/>
      </w:pPr>
      <w:rPr>
        <w:w w:val="100"/>
      </w:rPr>
    </w:lvl>
  </w:abstractNum>
  <w:abstractNum w:abstractNumId="16" w15:restartNumberingAfterBreak="0">
    <w:nsid w:val="461D0601"/>
    <w:multiLevelType w:val="singleLevel"/>
    <w:tmpl w:val="9816168A"/>
    <w:lvl w:ilvl="0">
      <w:start w:val="1"/>
      <w:numFmt w:val="decimal"/>
      <w:lvlRestart w:val="0"/>
      <w:lvlText w:val="7.%1"/>
      <w:lvlJc w:val="left"/>
      <w:pPr>
        <w:tabs>
          <w:tab w:val="num" w:pos="1742"/>
        </w:tabs>
        <w:ind w:left="1267" w:firstLine="0"/>
      </w:pPr>
      <w:rPr>
        <w:b w:val="0"/>
        <w:bCs/>
        <w:w w:val="100"/>
      </w:rPr>
    </w:lvl>
  </w:abstractNum>
  <w:abstractNum w:abstractNumId="17"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F47EBB"/>
    <w:multiLevelType w:val="hybridMultilevel"/>
    <w:tmpl w:val="4AA65694"/>
    <w:lvl w:ilvl="0" w:tplc="CC789C64">
      <w:start w:val="1"/>
      <w:numFmt w:val="decimal"/>
      <w:lvlText w:val="%1."/>
      <w:lvlJc w:val="left"/>
      <w:pPr>
        <w:ind w:left="1747" w:hanging="480"/>
      </w:pPr>
      <w:rPr>
        <w:rFonts w:hint="default"/>
      </w:rPr>
    </w:lvl>
    <w:lvl w:ilvl="1" w:tplc="0C0C0019" w:tentative="1">
      <w:start w:val="1"/>
      <w:numFmt w:val="lowerLetter"/>
      <w:lvlText w:val="%2."/>
      <w:lvlJc w:val="left"/>
      <w:pPr>
        <w:ind w:left="2347" w:hanging="360"/>
      </w:pPr>
    </w:lvl>
    <w:lvl w:ilvl="2" w:tplc="0C0C001B" w:tentative="1">
      <w:start w:val="1"/>
      <w:numFmt w:val="lowerRoman"/>
      <w:lvlText w:val="%3."/>
      <w:lvlJc w:val="right"/>
      <w:pPr>
        <w:ind w:left="3067" w:hanging="180"/>
      </w:pPr>
    </w:lvl>
    <w:lvl w:ilvl="3" w:tplc="0C0C000F" w:tentative="1">
      <w:start w:val="1"/>
      <w:numFmt w:val="decimal"/>
      <w:lvlText w:val="%4."/>
      <w:lvlJc w:val="left"/>
      <w:pPr>
        <w:ind w:left="3787" w:hanging="360"/>
      </w:pPr>
    </w:lvl>
    <w:lvl w:ilvl="4" w:tplc="0C0C0019" w:tentative="1">
      <w:start w:val="1"/>
      <w:numFmt w:val="lowerLetter"/>
      <w:lvlText w:val="%5."/>
      <w:lvlJc w:val="left"/>
      <w:pPr>
        <w:ind w:left="4507" w:hanging="360"/>
      </w:pPr>
    </w:lvl>
    <w:lvl w:ilvl="5" w:tplc="0C0C001B" w:tentative="1">
      <w:start w:val="1"/>
      <w:numFmt w:val="lowerRoman"/>
      <w:lvlText w:val="%6."/>
      <w:lvlJc w:val="right"/>
      <w:pPr>
        <w:ind w:left="5227" w:hanging="180"/>
      </w:pPr>
    </w:lvl>
    <w:lvl w:ilvl="6" w:tplc="0C0C000F" w:tentative="1">
      <w:start w:val="1"/>
      <w:numFmt w:val="decimal"/>
      <w:lvlText w:val="%7."/>
      <w:lvlJc w:val="left"/>
      <w:pPr>
        <w:ind w:left="5947" w:hanging="360"/>
      </w:pPr>
    </w:lvl>
    <w:lvl w:ilvl="7" w:tplc="0C0C0019" w:tentative="1">
      <w:start w:val="1"/>
      <w:numFmt w:val="lowerLetter"/>
      <w:lvlText w:val="%8."/>
      <w:lvlJc w:val="left"/>
      <w:pPr>
        <w:ind w:left="6667" w:hanging="360"/>
      </w:pPr>
    </w:lvl>
    <w:lvl w:ilvl="8" w:tplc="0C0C001B" w:tentative="1">
      <w:start w:val="1"/>
      <w:numFmt w:val="lowerRoman"/>
      <w:lvlText w:val="%9."/>
      <w:lvlJc w:val="right"/>
      <w:pPr>
        <w:ind w:left="7387" w:hanging="180"/>
      </w:pPr>
    </w:lvl>
  </w:abstractNum>
  <w:abstractNum w:abstractNumId="19" w15:restartNumberingAfterBreak="0">
    <w:nsid w:val="5D0C53CC"/>
    <w:multiLevelType w:val="singleLevel"/>
    <w:tmpl w:val="5AD659D6"/>
    <w:lvl w:ilvl="0">
      <w:start w:val="4"/>
      <w:numFmt w:val="decimal"/>
      <w:lvlRestart w:val="0"/>
      <w:lvlText w:val="7.%1"/>
      <w:lvlJc w:val="left"/>
      <w:pPr>
        <w:tabs>
          <w:tab w:val="num" w:pos="1742"/>
        </w:tabs>
        <w:ind w:left="1267" w:firstLine="0"/>
      </w:pPr>
      <w:rPr>
        <w:b w:val="0"/>
        <w:bCs/>
        <w:w w:val="100"/>
      </w:rPr>
    </w:lvl>
  </w:abstractNum>
  <w:abstractNum w:abstractNumId="20" w15:restartNumberingAfterBreak="0">
    <w:nsid w:val="5FED5C7B"/>
    <w:multiLevelType w:val="singleLevel"/>
    <w:tmpl w:val="355A3A5A"/>
    <w:lvl w:ilvl="0">
      <w:start w:val="7"/>
      <w:numFmt w:val="decimal"/>
      <w:lvlRestart w:val="0"/>
      <w:lvlText w:val="7.%1"/>
      <w:lvlJc w:val="left"/>
      <w:pPr>
        <w:tabs>
          <w:tab w:val="num" w:pos="1742"/>
        </w:tabs>
        <w:ind w:left="1267" w:firstLine="0"/>
      </w:pPr>
      <w:rPr>
        <w:w w:val="100"/>
      </w:rPr>
    </w:lvl>
  </w:abstractNum>
  <w:abstractNum w:abstractNumId="21" w15:restartNumberingAfterBreak="0">
    <w:nsid w:val="6D720215"/>
    <w:multiLevelType w:val="singleLevel"/>
    <w:tmpl w:val="CB66BCD8"/>
    <w:lvl w:ilvl="0">
      <w:start w:val="3"/>
      <w:numFmt w:val="decimal"/>
      <w:lvlRestart w:val="0"/>
      <w:lvlText w:val="7.%1"/>
      <w:lvlJc w:val="left"/>
      <w:pPr>
        <w:tabs>
          <w:tab w:val="num" w:pos="1742"/>
        </w:tabs>
        <w:ind w:left="1267" w:firstLine="0"/>
      </w:pPr>
      <w:rPr>
        <w:w w:val="100"/>
      </w:rPr>
    </w:lvl>
  </w:abstractNum>
  <w:abstractNum w:abstractNumId="22" w15:restartNumberingAfterBreak="0">
    <w:nsid w:val="70775474"/>
    <w:multiLevelType w:val="singleLevel"/>
    <w:tmpl w:val="A20C54DC"/>
    <w:lvl w:ilvl="0">
      <w:start w:val="5"/>
      <w:numFmt w:val="decimal"/>
      <w:lvlRestart w:val="0"/>
      <w:lvlText w:val="7.%1"/>
      <w:lvlJc w:val="left"/>
      <w:pPr>
        <w:tabs>
          <w:tab w:val="num" w:pos="1742"/>
        </w:tabs>
        <w:ind w:left="1267" w:firstLine="0"/>
      </w:pPr>
      <w:rPr>
        <w:b w:val="0"/>
        <w:bCs/>
        <w:w w:val="100"/>
      </w:rPr>
    </w:lvl>
  </w:abstractNum>
  <w:abstractNum w:abstractNumId="23" w15:restartNumberingAfterBreak="0">
    <w:nsid w:val="7A8B0715"/>
    <w:multiLevelType w:val="singleLevel"/>
    <w:tmpl w:val="6ECCFD7E"/>
    <w:lvl w:ilvl="0">
      <w:start w:val="7"/>
      <w:numFmt w:val="decimal"/>
      <w:lvlRestart w:val="0"/>
      <w:lvlText w:val="7.%1"/>
      <w:lvlJc w:val="left"/>
      <w:pPr>
        <w:tabs>
          <w:tab w:val="num" w:pos="1742"/>
        </w:tabs>
        <w:ind w:left="1267" w:firstLine="0"/>
      </w:pPr>
      <w:rPr>
        <w:b w:val="0"/>
        <w:bCs/>
        <w:w w:val="100"/>
      </w:rPr>
    </w:lvl>
  </w:abstractNum>
  <w:abstractNum w:abstractNumId="24" w15:restartNumberingAfterBreak="0">
    <w:nsid w:val="7B2D368A"/>
    <w:multiLevelType w:val="singleLevel"/>
    <w:tmpl w:val="CB66BCD8"/>
    <w:lvl w:ilvl="0">
      <w:start w:val="3"/>
      <w:numFmt w:val="decimal"/>
      <w:lvlRestart w:val="0"/>
      <w:lvlText w:val="7.%1"/>
      <w:lvlJc w:val="left"/>
      <w:pPr>
        <w:tabs>
          <w:tab w:val="num" w:pos="1742"/>
        </w:tabs>
        <w:ind w:left="1267" w:firstLine="0"/>
      </w:pPr>
      <w:rPr>
        <w:w w:val="100"/>
      </w:rPr>
    </w:lvl>
  </w:abstractNum>
  <w:abstractNum w:abstractNumId="25" w15:restartNumberingAfterBreak="0">
    <w:nsid w:val="7C0B13BF"/>
    <w:multiLevelType w:val="singleLevel"/>
    <w:tmpl w:val="CB66BCD8"/>
    <w:lvl w:ilvl="0">
      <w:start w:val="3"/>
      <w:numFmt w:val="decimal"/>
      <w:lvlRestart w:val="0"/>
      <w:lvlText w:val="7.%1"/>
      <w:lvlJc w:val="left"/>
      <w:pPr>
        <w:tabs>
          <w:tab w:val="num" w:pos="1742"/>
        </w:tabs>
        <w:ind w:left="1267" w:firstLine="0"/>
      </w:pPr>
      <w:rPr>
        <w:w w:val="100"/>
      </w:rPr>
    </w:lvl>
  </w:abstractNum>
  <w:abstractNum w:abstractNumId="26" w15:restartNumberingAfterBreak="0">
    <w:nsid w:val="7C885118"/>
    <w:multiLevelType w:val="singleLevel"/>
    <w:tmpl w:val="0402053A"/>
    <w:lvl w:ilvl="0">
      <w:start w:val="1"/>
      <w:numFmt w:val="decimal"/>
      <w:lvlRestart w:val="0"/>
      <w:lvlText w:val="6.%1"/>
      <w:lvlJc w:val="left"/>
      <w:pPr>
        <w:tabs>
          <w:tab w:val="num" w:pos="1742"/>
        </w:tabs>
        <w:ind w:left="1267" w:firstLine="0"/>
      </w:pPr>
      <w:rPr>
        <w:w w:val="100"/>
      </w:rPr>
    </w:lvl>
  </w:abstractNum>
  <w:num w:numId="1">
    <w:abstractNumId w:val="7"/>
  </w:num>
  <w:num w:numId="2">
    <w:abstractNumId w:val="17"/>
  </w:num>
  <w:num w:numId="3">
    <w:abstractNumId w:val="1"/>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10"/>
  </w:num>
  <w:num w:numId="14">
    <w:abstractNumId w:val="18"/>
  </w:num>
  <w:num w:numId="15">
    <w:abstractNumId w:val="12"/>
  </w:num>
  <w:num w:numId="16">
    <w:abstractNumId w:val="9"/>
  </w:num>
  <w:num w:numId="17">
    <w:abstractNumId w:val="0"/>
  </w:num>
  <w:num w:numId="18">
    <w:abstractNumId w:val="6"/>
  </w:num>
  <w:num w:numId="19">
    <w:abstractNumId w:val="26"/>
  </w:num>
  <w:num w:numId="20">
    <w:abstractNumId w:val="16"/>
  </w:num>
  <w:num w:numId="21">
    <w:abstractNumId w:val="2"/>
  </w:num>
  <w:num w:numId="22">
    <w:abstractNumId w:val="11"/>
  </w:num>
  <w:num w:numId="23">
    <w:abstractNumId w:val="13"/>
  </w:num>
  <w:num w:numId="24">
    <w:abstractNumId w:val="24"/>
  </w:num>
  <w:num w:numId="25">
    <w:abstractNumId w:val="25"/>
  </w:num>
  <w:num w:numId="26">
    <w:abstractNumId w:val="21"/>
  </w:num>
  <w:num w:numId="27">
    <w:abstractNumId w:val="19"/>
  </w:num>
  <w:num w:numId="28">
    <w:abstractNumId w:val="4"/>
  </w:num>
  <w:num w:numId="29">
    <w:abstractNumId w:val="22"/>
  </w:num>
  <w:num w:numId="30">
    <w:abstractNumId w:val="14"/>
  </w:num>
  <w:num w:numId="31">
    <w:abstractNumId w:val="23"/>
  </w:num>
  <w:num w:numId="32">
    <w:abstractNumId w:val="20"/>
  </w:num>
  <w:num w:numId="33">
    <w:abstractNumId w:val="3"/>
  </w:num>
  <w:num w:numId="34">
    <w:abstractNumId w:val="15"/>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revisionView w:markup="0"/>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1118*"/>
    <w:docVar w:name="CreationDt" w:val="13/10/2020 8:15: AM"/>
    <w:docVar w:name="DocCategory" w:val="Doc"/>
    <w:docVar w:name="DocType" w:val="Final"/>
    <w:docVar w:name="DutyStation" w:val="New York"/>
    <w:docVar w:name="FooterJN" w:val="20-11118"/>
    <w:docVar w:name="jobn" w:val="20-11118 (F)"/>
    <w:docVar w:name="jobnDT" w:val="20-11118 (F)   131020"/>
    <w:docVar w:name="jobnDTDT" w:val="20-11118 (F)   131020   131020"/>
    <w:docVar w:name="JobNo" w:val="2011118F"/>
    <w:docVar w:name="JobNo2" w:val="2022062F"/>
    <w:docVar w:name="LocalDrive" w:val="0"/>
    <w:docVar w:name="OandT" w:val="SKN"/>
    <w:docVar w:name="sss1" w:val="CEDAW/C/76/D/128/2018"/>
    <w:docVar w:name="sss2" w:val="-"/>
    <w:docVar w:name="Symbol1" w:val="CEDAW/C/76/D/128/2018"/>
    <w:docVar w:name="Symbol2" w:val="-"/>
  </w:docVars>
  <w:rsids>
    <w:rsidRoot w:val="002209A9"/>
    <w:rsid w:val="000215A0"/>
    <w:rsid w:val="00034E54"/>
    <w:rsid w:val="00075A64"/>
    <w:rsid w:val="00076E8F"/>
    <w:rsid w:val="00080FAC"/>
    <w:rsid w:val="00082DD8"/>
    <w:rsid w:val="0009263E"/>
    <w:rsid w:val="000A282D"/>
    <w:rsid w:val="000C7900"/>
    <w:rsid w:val="001053DC"/>
    <w:rsid w:val="001247A9"/>
    <w:rsid w:val="00150E87"/>
    <w:rsid w:val="001701C1"/>
    <w:rsid w:val="00176761"/>
    <w:rsid w:val="0018057D"/>
    <w:rsid w:val="00180944"/>
    <w:rsid w:val="001868C4"/>
    <w:rsid w:val="001A0E5C"/>
    <w:rsid w:val="001A5C83"/>
    <w:rsid w:val="001C090C"/>
    <w:rsid w:val="001C14D1"/>
    <w:rsid w:val="001C622D"/>
    <w:rsid w:val="001D7F38"/>
    <w:rsid w:val="001F4CFE"/>
    <w:rsid w:val="00214A8D"/>
    <w:rsid w:val="002209A9"/>
    <w:rsid w:val="002223AB"/>
    <w:rsid w:val="00263F12"/>
    <w:rsid w:val="002664E3"/>
    <w:rsid w:val="0030595C"/>
    <w:rsid w:val="00326D67"/>
    <w:rsid w:val="00334465"/>
    <w:rsid w:val="003437F7"/>
    <w:rsid w:val="00355EF4"/>
    <w:rsid w:val="00356602"/>
    <w:rsid w:val="00371CE4"/>
    <w:rsid w:val="003A4361"/>
    <w:rsid w:val="003B3608"/>
    <w:rsid w:val="003B53BD"/>
    <w:rsid w:val="003D1948"/>
    <w:rsid w:val="00406A4A"/>
    <w:rsid w:val="00443C8F"/>
    <w:rsid w:val="004576A4"/>
    <w:rsid w:val="004766F2"/>
    <w:rsid w:val="004852C0"/>
    <w:rsid w:val="00486E9C"/>
    <w:rsid w:val="0049553D"/>
    <w:rsid w:val="004B0015"/>
    <w:rsid w:val="004B365C"/>
    <w:rsid w:val="004B74C2"/>
    <w:rsid w:val="004D4F2A"/>
    <w:rsid w:val="004E5A27"/>
    <w:rsid w:val="004E703B"/>
    <w:rsid w:val="00520515"/>
    <w:rsid w:val="00525527"/>
    <w:rsid w:val="00537CB0"/>
    <w:rsid w:val="005442C9"/>
    <w:rsid w:val="005715DC"/>
    <w:rsid w:val="005752B8"/>
    <w:rsid w:val="005843D5"/>
    <w:rsid w:val="00584B12"/>
    <w:rsid w:val="005B49F6"/>
    <w:rsid w:val="005D7504"/>
    <w:rsid w:val="005E129C"/>
    <w:rsid w:val="005E3757"/>
    <w:rsid w:val="005F497F"/>
    <w:rsid w:val="0060754A"/>
    <w:rsid w:val="006134C2"/>
    <w:rsid w:val="00613B59"/>
    <w:rsid w:val="0062309E"/>
    <w:rsid w:val="00651E8F"/>
    <w:rsid w:val="00687907"/>
    <w:rsid w:val="006A47C6"/>
    <w:rsid w:val="006B2D52"/>
    <w:rsid w:val="006C644E"/>
    <w:rsid w:val="006E0E1C"/>
    <w:rsid w:val="006E67EC"/>
    <w:rsid w:val="006F2BBA"/>
    <w:rsid w:val="007068F9"/>
    <w:rsid w:val="00724EC8"/>
    <w:rsid w:val="007422D9"/>
    <w:rsid w:val="00754783"/>
    <w:rsid w:val="00754D25"/>
    <w:rsid w:val="00755E5A"/>
    <w:rsid w:val="00756A30"/>
    <w:rsid w:val="00763344"/>
    <w:rsid w:val="00777B39"/>
    <w:rsid w:val="00784D65"/>
    <w:rsid w:val="0078710F"/>
    <w:rsid w:val="007914E9"/>
    <w:rsid w:val="00796CCE"/>
    <w:rsid w:val="007B745D"/>
    <w:rsid w:val="007C287C"/>
    <w:rsid w:val="007C6C1A"/>
    <w:rsid w:val="007D12C3"/>
    <w:rsid w:val="008100F5"/>
    <w:rsid w:val="008234C8"/>
    <w:rsid w:val="00893786"/>
    <w:rsid w:val="00897013"/>
    <w:rsid w:val="008A7DAF"/>
    <w:rsid w:val="008B1BEF"/>
    <w:rsid w:val="008B58F7"/>
    <w:rsid w:val="008B7CB2"/>
    <w:rsid w:val="00923B59"/>
    <w:rsid w:val="0093064A"/>
    <w:rsid w:val="00943FFD"/>
    <w:rsid w:val="0096654D"/>
    <w:rsid w:val="00967636"/>
    <w:rsid w:val="009703B5"/>
    <w:rsid w:val="00990827"/>
    <w:rsid w:val="009A500D"/>
    <w:rsid w:val="009C3304"/>
    <w:rsid w:val="009E260A"/>
    <w:rsid w:val="009E299A"/>
    <w:rsid w:val="00A43383"/>
    <w:rsid w:val="00A53BA8"/>
    <w:rsid w:val="00A62125"/>
    <w:rsid w:val="00A64937"/>
    <w:rsid w:val="00A65903"/>
    <w:rsid w:val="00A70373"/>
    <w:rsid w:val="00A71443"/>
    <w:rsid w:val="00A919D7"/>
    <w:rsid w:val="00AA5AE9"/>
    <w:rsid w:val="00AC6A02"/>
    <w:rsid w:val="00AD38FA"/>
    <w:rsid w:val="00B12843"/>
    <w:rsid w:val="00B2597B"/>
    <w:rsid w:val="00B34543"/>
    <w:rsid w:val="00B34627"/>
    <w:rsid w:val="00B34C89"/>
    <w:rsid w:val="00B40F69"/>
    <w:rsid w:val="00B5013D"/>
    <w:rsid w:val="00B54661"/>
    <w:rsid w:val="00B71759"/>
    <w:rsid w:val="00B73318"/>
    <w:rsid w:val="00B976A9"/>
    <w:rsid w:val="00BA4006"/>
    <w:rsid w:val="00BB6A31"/>
    <w:rsid w:val="00BC21FC"/>
    <w:rsid w:val="00BC659E"/>
    <w:rsid w:val="00BD5AC3"/>
    <w:rsid w:val="00BE39EC"/>
    <w:rsid w:val="00C00263"/>
    <w:rsid w:val="00C11654"/>
    <w:rsid w:val="00C22AA4"/>
    <w:rsid w:val="00C272CF"/>
    <w:rsid w:val="00C33DC7"/>
    <w:rsid w:val="00C6397F"/>
    <w:rsid w:val="00CA07F4"/>
    <w:rsid w:val="00CB2F44"/>
    <w:rsid w:val="00CB6E46"/>
    <w:rsid w:val="00CE20D7"/>
    <w:rsid w:val="00CE5893"/>
    <w:rsid w:val="00CF2041"/>
    <w:rsid w:val="00CF4B23"/>
    <w:rsid w:val="00D00684"/>
    <w:rsid w:val="00D15B6A"/>
    <w:rsid w:val="00D2738E"/>
    <w:rsid w:val="00D63262"/>
    <w:rsid w:val="00D646F3"/>
    <w:rsid w:val="00D64C68"/>
    <w:rsid w:val="00D650B3"/>
    <w:rsid w:val="00D73857"/>
    <w:rsid w:val="00D8490E"/>
    <w:rsid w:val="00D85DBB"/>
    <w:rsid w:val="00DE28E2"/>
    <w:rsid w:val="00DF1034"/>
    <w:rsid w:val="00DF5266"/>
    <w:rsid w:val="00E21919"/>
    <w:rsid w:val="00E27212"/>
    <w:rsid w:val="00E619B4"/>
    <w:rsid w:val="00E72505"/>
    <w:rsid w:val="00E82FD7"/>
    <w:rsid w:val="00E8404B"/>
    <w:rsid w:val="00EA02AA"/>
    <w:rsid w:val="00EB751C"/>
    <w:rsid w:val="00ED3B61"/>
    <w:rsid w:val="00EF4DE3"/>
    <w:rsid w:val="00F00CA4"/>
    <w:rsid w:val="00F07600"/>
    <w:rsid w:val="00F16B03"/>
    <w:rsid w:val="00F174FE"/>
    <w:rsid w:val="00F30708"/>
    <w:rsid w:val="00F47FE8"/>
    <w:rsid w:val="00F66EA2"/>
    <w:rsid w:val="00F753AD"/>
    <w:rsid w:val="00F76E59"/>
    <w:rsid w:val="00F80A7A"/>
    <w:rsid w:val="00F836C0"/>
    <w:rsid w:val="00F83F06"/>
    <w:rsid w:val="00F92859"/>
    <w:rsid w:val="00F95B36"/>
    <w:rsid w:val="00FB4652"/>
    <w:rsid w:val="00FC28CC"/>
    <w:rsid w:val="00FD29EC"/>
    <w:rsid w:val="00FD3398"/>
    <w:rsid w:val="00FF7773"/>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FC9BBF"/>
  <w15:chartTrackingRefBased/>
  <w15:docId w15:val="{30D0FBFD-077E-4FCD-913E-ECD3C1B5C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04B"/>
    <w:pPr>
      <w:spacing w:after="0" w:line="240" w:lineRule="exact"/>
    </w:pPr>
    <w:rPr>
      <w:rFonts w:ascii="Times New Roman" w:hAnsi="Times New Roman" w:cs="Times New Roman"/>
      <w:spacing w:val="4"/>
      <w:w w:val="103"/>
      <w:kern w:val="14"/>
      <w:sz w:val="20"/>
    </w:rPr>
  </w:style>
  <w:style w:type="paragraph" w:styleId="Heading1">
    <w:name w:val="heading 1"/>
    <w:basedOn w:val="Normal"/>
    <w:next w:val="Normal"/>
    <w:link w:val="Heading1Char"/>
    <w:uiPriority w:val="9"/>
    <w:qFormat/>
    <w:rsid w:val="00E8404B"/>
    <w:pPr>
      <w:numPr>
        <w:numId w:val="12"/>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E8404B"/>
    <w:pPr>
      <w:numPr>
        <w:ilvl w:val="1"/>
        <w:numId w:val="12"/>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E8404B"/>
    <w:pPr>
      <w:numPr>
        <w:ilvl w:val="2"/>
        <w:numId w:val="12"/>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E8404B"/>
    <w:pPr>
      <w:keepNext/>
      <w:keepLines/>
      <w:numPr>
        <w:ilvl w:val="3"/>
        <w:numId w:val="12"/>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E8404B"/>
    <w:pPr>
      <w:keepNext/>
      <w:keepLines/>
      <w:numPr>
        <w:ilvl w:val="4"/>
        <w:numId w:val="12"/>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E8404B"/>
    <w:pPr>
      <w:keepNext/>
      <w:keepLines/>
      <w:numPr>
        <w:ilvl w:val="5"/>
        <w:numId w:val="12"/>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E8404B"/>
    <w:pPr>
      <w:keepNext/>
      <w:keepLines/>
      <w:numPr>
        <w:ilvl w:val="6"/>
        <w:numId w:val="12"/>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8404B"/>
    <w:pPr>
      <w:keepNext/>
      <w:keepLines/>
      <w:numPr>
        <w:ilvl w:val="7"/>
        <w:numId w:val="12"/>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E8404B"/>
    <w:pPr>
      <w:keepNext/>
      <w:keepLines/>
      <w:numPr>
        <w:ilvl w:val="8"/>
        <w:numId w:val="12"/>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E8404B"/>
    <w:pPr>
      <w:keepNext/>
      <w:keepLines/>
      <w:suppressAutoHyphens/>
      <w:spacing w:line="270" w:lineRule="exact"/>
      <w:outlineLvl w:val="0"/>
    </w:pPr>
    <w:rPr>
      <w:b/>
      <w:sz w:val="24"/>
    </w:rPr>
  </w:style>
  <w:style w:type="paragraph" w:customStyle="1" w:styleId="HCH">
    <w:name w:val="_ H _CH"/>
    <w:basedOn w:val="H1"/>
    <w:next w:val="Normal"/>
    <w:qFormat/>
    <w:rsid w:val="00E8404B"/>
    <w:pPr>
      <w:spacing w:line="300" w:lineRule="exact"/>
    </w:pPr>
    <w:rPr>
      <w:spacing w:val="-2"/>
      <w:sz w:val="28"/>
    </w:rPr>
  </w:style>
  <w:style w:type="paragraph" w:customStyle="1" w:styleId="HM">
    <w:name w:val="_ H __M"/>
    <w:basedOn w:val="HCH"/>
    <w:next w:val="Normal"/>
    <w:qFormat/>
    <w:rsid w:val="00E8404B"/>
    <w:pPr>
      <w:spacing w:line="360" w:lineRule="exact"/>
    </w:pPr>
    <w:rPr>
      <w:spacing w:val="-3"/>
      <w:w w:val="99"/>
      <w:sz w:val="34"/>
    </w:rPr>
  </w:style>
  <w:style w:type="paragraph" w:customStyle="1" w:styleId="H23">
    <w:name w:val="_ H_2/3"/>
    <w:basedOn w:val="H1"/>
    <w:next w:val="SingleTxt"/>
    <w:qFormat/>
    <w:rsid w:val="00E8404B"/>
    <w:pPr>
      <w:spacing w:line="240" w:lineRule="exact"/>
      <w:outlineLvl w:val="1"/>
    </w:pPr>
    <w:rPr>
      <w:spacing w:val="2"/>
      <w:sz w:val="20"/>
    </w:rPr>
  </w:style>
  <w:style w:type="paragraph" w:customStyle="1" w:styleId="H4">
    <w:name w:val="_ H_4"/>
    <w:basedOn w:val="Normal"/>
    <w:next w:val="SingleTxt"/>
    <w:qFormat/>
    <w:rsid w:val="00E8404B"/>
    <w:pPr>
      <w:keepNext/>
      <w:keepLines/>
      <w:tabs>
        <w:tab w:val="right" w:pos="360"/>
      </w:tabs>
      <w:suppressAutoHyphens/>
      <w:outlineLvl w:val="3"/>
    </w:pPr>
    <w:rPr>
      <w:i/>
      <w:spacing w:val="3"/>
    </w:rPr>
  </w:style>
  <w:style w:type="paragraph" w:customStyle="1" w:styleId="H56">
    <w:name w:val="_ H_5/6"/>
    <w:basedOn w:val="Normal"/>
    <w:next w:val="Normal"/>
    <w:qFormat/>
    <w:rsid w:val="00E8404B"/>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E8404B"/>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E8404B"/>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E8404B"/>
    <w:pPr>
      <w:spacing w:line="540" w:lineRule="exact"/>
    </w:pPr>
    <w:rPr>
      <w:spacing w:val="-8"/>
      <w:w w:val="96"/>
      <w:sz w:val="57"/>
    </w:rPr>
  </w:style>
  <w:style w:type="paragraph" w:customStyle="1" w:styleId="SS">
    <w:name w:val="__S_S"/>
    <w:basedOn w:val="HCH"/>
    <w:next w:val="Normal"/>
    <w:qFormat/>
    <w:rsid w:val="00E8404B"/>
    <w:pPr>
      <w:ind w:left="1267" w:right="1267"/>
    </w:pPr>
  </w:style>
  <w:style w:type="paragraph" w:customStyle="1" w:styleId="SingleTxt">
    <w:name w:val="__Single Txt"/>
    <w:basedOn w:val="Normal"/>
    <w:qFormat/>
    <w:rsid w:val="00E8404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E8404B"/>
    <w:pPr>
      <w:spacing w:after="0" w:line="240" w:lineRule="exact"/>
    </w:pPr>
    <w:rPr>
      <w:rFonts w:ascii="Times New Roman" w:hAnsi="Times New Roman" w:cs="Times New Roman"/>
      <w:spacing w:val="4"/>
      <w:w w:val="103"/>
      <w:kern w:val="14"/>
      <w:sz w:val="20"/>
    </w:rPr>
  </w:style>
  <w:style w:type="paragraph" w:customStyle="1" w:styleId="TitleH1">
    <w:name w:val="Title_H1"/>
    <w:basedOn w:val="Normal"/>
    <w:next w:val="Normal"/>
    <w:qFormat/>
    <w:rsid w:val="00E8404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E8404B"/>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E8404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8404B"/>
    <w:rPr>
      <w:rFonts w:ascii="Tahoma" w:hAnsi="Tahoma" w:cs="Tahoma"/>
      <w:spacing w:val="4"/>
      <w:w w:val="103"/>
      <w:kern w:val="14"/>
      <w:sz w:val="16"/>
      <w:szCs w:val="16"/>
    </w:rPr>
  </w:style>
  <w:style w:type="paragraph" w:customStyle="1" w:styleId="Bullet1">
    <w:name w:val="Bullet 1"/>
    <w:basedOn w:val="Normal"/>
    <w:qFormat/>
    <w:rsid w:val="00E8404B"/>
    <w:pPr>
      <w:numPr>
        <w:numId w:val="1"/>
      </w:numPr>
      <w:spacing w:after="120"/>
      <w:ind w:right="1267"/>
      <w:jc w:val="both"/>
    </w:pPr>
  </w:style>
  <w:style w:type="paragraph" w:customStyle="1" w:styleId="Bullet2">
    <w:name w:val="Bullet 2"/>
    <w:basedOn w:val="Normal"/>
    <w:qFormat/>
    <w:rsid w:val="00E8404B"/>
    <w:pPr>
      <w:numPr>
        <w:numId w:val="2"/>
      </w:numPr>
      <w:spacing w:after="120"/>
      <w:ind w:right="1264"/>
      <w:jc w:val="both"/>
    </w:pPr>
  </w:style>
  <w:style w:type="paragraph" w:customStyle="1" w:styleId="Bullet3">
    <w:name w:val="Bullet 3"/>
    <w:basedOn w:val="SingleTxt"/>
    <w:qFormat/>
    <w:rsid w:val="00E8404B"/>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E8404B"/>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uiPriority w:val="99"/>
    <w:semiHidden/>
    <w:rsid w:val="00E8404B"/>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E8404B"/>
    <w:pPr>
      <w:spacing w:line="210" w:lineRule="exact"/>
    </w:pPr>
    <w:rPr>
      <w:sz w:val="17"/>
      <w:szCs w:val="20"/>
    </w:rPr>
  </w:style>
  <w:style w:type="character" w:customStyle="1" w:styleId="EndnoteTextChar">
    <w:name w:val="Endnote Text Char"/>
    <w:link w:val="EndnoteText"/>
    <w:uiPriority w:val="99"/>
    <w:semiHidden/>
    <w:rsid w:val="00E8404B"/>
    <w:rPr>
      <w:rFonts w:ascii="Times New Roman" w:hAnsi="Times New Roman" w:cs="Times New Roman"/>
      <w:spacing w:val="4"/>
      <w:w w:val="103"/>
      <w:kern w:val="14"/>
      <w:sz w:val="17"/>
      <w:szCs w:val="20"/>
    </w:rPr>
  </w:style>
  <w:style w:type="paragraph" w:styleId="Footer">
    <w:name w:val="footer"/>
    <w:link w:val="FooterChar"/>
    <w:uiPriority w:val="99"/>
    <w:qFormat/>
    <w:rsid w:val="00E8404B"/>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uiPriority w:val="99"/>
    <w:rsid w:val="00E8404B"/>
    <w:rPr>
      <w:rFonts w:ascii="Times New Roman" w:hAnsi="Times New Roman" w:cs="Times New Roman"/>
      <w:b/>
      <w:spacing w:val="3"/>
      <w:w w:val="105"/>
      <w:sz w:val="17"/>
      <w:lang w:val="en-US"/>
    </w:rPr>
  </w:style>
  <w:style w:type="character" w:styleId="FootnoteReference">
    <w:name w:val="footnote reference"/>
    <w:uiPriority w:val="99"/>
    <w:rsid w:val="00E8404B"/>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E8404B"/>
    <w:pPr>
      <w:spacing w:line="210" w:lineRule="exact"/>
    </w:pPr>
    <w:rPr>
      <w:sz w:val="17"/>
      <w:szCs w:val="20"/>
    </w:rPr>
  </w:style>
  <w:style w:type="character" w:customStyle="1" w:styleId="FootnoteTextChar">
    <w:name w:val="Footnote Text Char"/>
    <w:link w:val="FootnoteText"/>
    <w:uiPriority w:val="99"/>
    <w:rsid w:val="00E8404B"/>
    <w:rPr>
      <w:rFonts w:ascii="Times New Roman" w:hAnsi="Times New Roman" w:cs="Times New Roman"/>
      <w:spacing w:val="4"/>
      <w:w w:val="103"/>
      <w:kern w:val="14"/>
      <w:sz w:val="17"/>
      <w:szCs w:val="20"/>
    </w:rPr>
  </w:style>
  <w:style w:type="paragraph" w:styleId="Header">
    <w:name w:val="header"/>
    <w:link w:val="HeaderChar"/>
    <w:uiPriority w:val="99"/>
    <w:rsid w:val="00E8404B"/>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uiPriority w:val="99"/>
    <w:rsid w:val="00E8404B"/>
    <w:rPr>
      <w:rFonts w:ascii="Times New Roman" w:hAnsi="Times New Roman" w:cs="Times New Roman"/>
      <w:spacing w:val="3"/>
      <w:w w:val="105"/>
      <w:sz w:val="17"/>
      <w:lang w:val="en-US"/>
    </w:rPr>
  </w:style>
  <w:style w:type="character" w:customStyle="1" w:styleId="Heading1Char">
    <w:name w:val="Heading 1 Char"/>
    <w:link w:val="Heading1"/>
    <w:uiPriority w:val="9"/>
    <w:rsid w:val="00E8404B"/>
    <w:rPr>
      <w:rFonts w:ascii="Arial" w:eastAsia="Times New Roman" w:hAnsi="Arial" w:cs="Times New Roman"/>
      <w:b/>
      <w:bCs/>
      <w:color w:val="365F91"/>
      <w:spacing w:val="4"/>
      <w:w w:val="103"/>
      <w:kern w:val="32"/>
      <w:sz w:val="32"/>
      <w:szCs w:val="28"/>
    </w:rPr>
  </w:style>
  <w:style w:type="character" w:customStyle="1" w:styleId="Heading2Char">
    <w:name w:val="Heading 2 Char"/>
    <w:link w:val="Heading2"/>
    <w:uiPriority w:val="9"/>
    <w:rsid w:val="00E8404B"/>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E8404B"/>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E8404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E8404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E8404B"/>
    <w:rPr>
      <w:rFonts w:ascii="Cambria" w:eastAsia="Times New Roman" w:hAnsi="Cambria" w:cs="Times New Roman"/>
      <w:i/>
      <w:iCs/>
      <w:color w:val="243F60"/>
      <w:spacing w:val="4"/>
      <w:w w:val="103"/>
      <w:kern w:val="14"/>
      <w:sz w:val="20"/>
    </w:rPr>
  </w:style>
  <w:style w:type="character" w:customStyle="1" w:styleId="Heading7Char">
    <w:name w:val="Heading 7 Char"/>
    <w:link w:val="Heading7"/>
    <w:uiPriority w:val="9"/>
    <w:semiHidden/>
    <w:rsid w:val="00E8404B"/>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E8404B"/>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E8404B"/>
    <w:rPr>
      <w:rFonts w:ascii="Cambria" w:eastAsia="Times New Roman" w:hAnsi="Cambria" w:cs="Times New Roman"/>
      <w:i/>
      <w:iCs/>
      <w:color w:val="404040"/>
      <w:spacing w:val="4"/>
      <w:w w:val="103"/>
      <w:kern w:val="14"/>
      <w:sz w:val="20"/>
      <w:szCs w:val="20"/>
    </w:rPr>
  </w:style>
  <w:style w:type="character" w:styleId="LineNumber">
    <w:name w:val="line number"/>
    <w:uiPriority w:val="99"/>
    <w:qFormat/>
    <w:rsid w:val="00E8404B"/>
    <w:rPr>
      <w:sz w:val="14"/>
    </w:rPr>
  </w:style>
  <w:style w:type="paragraph" w:styleId="ListParagraph">
    <w:name w:val="List Paragraph"/>
    <w:basedOn w:val="Normal"/>
    <w:uiPriority w:val="34"/>
    <w:rsid w:val="00E8404B"/>
    <w:pPr>
      <w:ind w:left="720"/>
      <w:contextualSpacing/>
    </w:pPr>
  </w:style>
  <w:style w:type="paragraph" w:styleId="NoSpacing">
    <w:name w:val="No Spacing"/>
    <w:uiPriority w:val="1"/>
    <w:rsid w:val="00E8404B"/>
    <w:pPr>
      <w:spacing w:after="0" w:line="240" w:lineRule="auto"/>
    </w:pPr>
    <w:rPr>
      <w:rFonts w:ascii="Calibri" w:hAnsi="Calibri" w:cs="Times New Roman"/>
      <w:lang w:val="en-US"/>
    </w:rPr>
  </w:style>
  <w:style w:type="paragraph" w:customStyle="1" w:styleId="Original">
    <w:name w:val="Original"/>
    <w:next w:val="Normal"/>
    <w:autoRedefine/>
    <w:qFormat/>
    <w:rsid w:val="00E8404B"/>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E8404B"/>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E8404B"/>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E8404B"/>
    <w:pPr>
      <w:tabs>
        <w:tab w:val="right" w:pos="9965"/>
      </w:tabs>
      <w:spacing w:line="210" w:lineRule="exact"/>
    </w:pPr>
    <w:rPr>
      <w:spacing w:val="5"/>
      <w:w w:val="104"/>
      <w:sz w:val="17"/>
    </w:rPr>
  </w:style>
  <w:style w:type="paragraph" w:customStyle="1" w:styleId="SmallX">
    <w:name w:val="SmallX"/>
    <w:basedOn w:val="Small"/>
    <w:next w:val="Normal"/>
    <w:qFormat/>
    <w:rsid w:val="00E8404B"/>
    <w:pPr>
      <w:spacing w:line="180" w:lineRule="exact"/>
      <w:jc w:val="right"/>
    </w:pPr>
    <w:rPr>
      <w:spacing w:val="6"/>
      <w:w w:val="106"/>
      <w:sz w:val="14"/>
    </w:rPr>
  </w:style>
  <w:style w:type="character" w:styleId="Strong">
    <w:name w:val="Strong"/>
    <w:uiPriority w:val="22"/>
    <w:rsid w:val="00E8404B"/>
    <w:rPr>
      <w:b/>
      <w:bCs/>
    </w:rPr>
  </w:style>
  <w:style w:type="paragraph" w:customStyle="1" w:styleId="Style1">
    <w:name w:val="Style1"/>
    <w:basedOn w:val="Normal"/>
    <w:qFormat/>
    <w:rsid w:val="00E8404B"/>
  </w:style>
  <w:style w:type="paragraph" w:customStyle="1" w:styleId="Style2">
    <w:name w:val="Style2"/>
    <w:basedOn w:val="Normal"/>
    <w:autoRedefine/>
    <w:qFormat/>
    <w:rsid w:val="00E8404B"/>
  </w:style>
  <w:style w:type="paragraph" w:customStyle="1" w:styleId="TitleHCH">
    <w:name w:val="Title_H_CH"/>
    <w:basedOn w:val="H1"/>
    <w:next w:val="SingleTxt"/>
    <w:qFormat/>
    <w:rsid w:val="00E8404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E8404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E8404B"/>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525527"/>
    <w:rPr>
      <w:sz w:val="16"/>
      <w:szCs w:val="16"/>
    </w:rPr>
  </w:style>
  <w:style w:type="paragraph" w:styleId="CommentText">
    <w:name w:val="annotation text"/>
    <w:basedOn w:val="Normal"/>
    <w:link w:val="CommentTextChar"/>
    <w:uiPriority w:val="99"/>
    <w:semiHidden/>
    <w:unhideWhenUsed/>
    <w:rsid w:val="00525527"/>
    <w:pPr>
      <w:spacing w:line="240" w:lineRule="auto"/>
    </w:pPr>
    <w:rPr>
      <w:szCs w:val="20"/>
    </w:rPr>
  </w:style>
  <w:style w:type="character" w:customStyle="1" w:styleId="CommentTextChar">
    <w:name w:val="Comment Text Char"/>
    <w:basedOn w:val="DefaultParagraphFont"/>
    <w:link w:val="CommentText"/>
    <w:uiPriority w:val="99"/>
    <w:semiHidden/>
    <w:rsid w:val="00525527"/>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525527"/>
    <w:rPr>
      <w:b/>
      <w:bCs/>
    </w:rPr>
  </w:style>
  <w:style w:type="character" w:customStyle="1" w:styleId="CommentSubjectChar">
    <w:name w:val="Comment Subject Char"/>
    <w:basedOn w:val="CommentTextChar"/>
    <w:link w:val="CommentSubject"/>
    <w:uiPriority w:val="99"/>
    <w:semiHidden/>
    <w:rsid w:val="00525527"/>
    <w:rPr>
      <w:rFonts w:ascii="Times New Roman" w:hAnsi="Times New Roman" w:cs="Times New Roman"/>
      <w:b/>
      <w:bCs/>
      <w:spacing w:val="4"/>
      <w:w w:val="103"/>
      <w:kern w:val="14"/>
      <w:sz w:val="20"/>
      <w:szCs w:val="20"/>
    </w:rPr>
  </w:style>
  <w:style w:type="character" w:styleId="Hyperlink">
    <w:name w:val="Hyperlink"/>
    <w:basedOn w:val="DefaultParagraphFont"/>
    <w:unhideWhenUsed/>
    <w:rsid w:val="00CB2F44"/>
    <w:rPr>
      <w:strike w:val="0"/>
      <w:dstrike w:val="0"/>
      <w:color w:val="0000FF"/>
      <w:u w:val="none"/>
      <w:effect w:val="none"/>
    </w:rPr>
  </w:style>
  <w:style w:type="character" w:styleId="FollowedHyperlink">
    <w:name w:val="FollowedHyperlink"/>
    <w:basedOn w:val="DefaultParagraphFont"/>
    <w:uiPriority w:val="99"/>
    <w:semiHidden/>
    <w:unhideWhenUsed/>
    <w:rsid w:val="00B34C89"/>
    <w:rPr>
      <w:color w:val="0000FF"/>
      <w:u w:val="none"/>
    </w:rPr>
  </w:style>
  <w:style w:type="character" w:styleId="UnresolvedMention">
    <w:name w:val="Unresolved Mention"/>
    <w:basedOn w:val="DefaultParagraphFont"/>
    <w:uiPriority w:val="99"/>
    <w:semiHidden/>
    <w:unhideWhenUsed/>
    <w:rsid w:val="00B34C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33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fr/CEDAW/C/57/D/39/2012" TargetMode="External"/><Relationship Id="rId3" Type="http://schemas.openxmlformats.org/officeDocument/2006/relationships/hyperlink" Target="https://undocs.org/fr/CEDAW/C/49/D/20/2008" TargetMode="External"/><Relationship Id="rId7" Type="http://schemas.openxmlformats.org/officeDocument/2006/relationships/hyperlink" Target="https://undocs.org/fr/CEDAW/C/73/D/136/2018" TargetMode="External"/><Relationship Id="rId2" Type="http://schemas.openxmlformats.org/officeDocument/2006/relationships/hyperlink" Target="https://undocs.org/fr/CEDAW/C/39/D/6/2005" TargetMode="External"/><Relationship Id="rId1" Type="http://schemas.openxmlformats.org/officeDocument/2006/relationships/hyperlink" Target="https://undocs.org/fr/CEDAW/C/39/D/5/2005" TargetMode="External"/><Relationship Id="rId6" Type="http://schemas.openxmlformats.org/officeDocument/2006/relationships/hyperlink" Target="https://undocs.org/fr/CEDAW/C/66/D/58/2013" TargetMode="External"/><Relationship Id="rId5" Type="http://schemas.openxmlformats.org/officeDocument/2006/relationships/hyperlink" Target="https://undocs.org/fr/CEDAW/C/60/D/48/2013" TargetMode="External"/><Relationship Id="rId4" Type="http://schemas.openxmlformats.org/officeDocument/2006/relationships/hyperlink" Target="https://undocs.org/fr/CEDAW/C/58/D/47/2012" TargetMode="External"/><Relationship Id="rId9" Type="http://schemas.openxmlformats.org/officeDocument/2006/relationships/hyperlink" Target="https://undocs.org/fr/CEDAW/C/73/D/136/201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7507</Words>
  <Characters>42791</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Sokhna Khady NDIAYE</dc:creator>
  <cp:keywords/>
  <dc:description/>
  <cp:lastModifiedBy>Adoum Goulgue</cp:lastModifiedBy>
  <cp:revision>3</cp:revision>
  <cp:lastPrinted>2020-10-14T21:38:00Z</cp:lastPrinted>
  <dcterms:created xsi:type="dcterms:W3CDTF">2020-10-14T21:38:00Z</dcterms:created>
  <dcterms:modified xsi:type="dcterms:W3CDTF">2020-10-14T21:38:00Z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2011118F</vt:lpwstr>
  </property>
  <property fmtid="{D5CDD505-2E9C-101B-9397-08002B2CF9AE}" pid="3" name="ODSRefJobNo">
    <vt:lpwstr>2022062F</vt:lpwstr>
  </property>
  <property fmtid="{D5CDD505-2E9C-101B-9397-08002B2CF9AE}" pid="4" name="Symbol1">
    <vt:lpwstr>CEDAW/C/76/D/128/2018</vt:lpwstr>
  </property>
  <property fmtid="{D5CDD505-2E9C-101B-9397-08002B2CF9AE}" pid="5" name="Symbol2">
    <vt:lpwstr/>
  </property>
  <property fmtid="{D5CDD505-2E9C-101B-9397-08002B2CF9AE}" pid="6" name="Translator">
    <vt:lpwstr/>
  </property>
  <property fmtid="{D5CDD505-2E9C-101B-9397-08002B2CF9AE}" pid="7" name="Operator">
    <vt:lpwstr>SKN</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26 août 2020</vt:lpwstr>
  </property>
  <property fmtid="{D5CDD505-2E9C-101B-9397-08002B2CF9AE}" pid="14" name="Release Date">
    <vt:lpwstr/>
  </property>
  <property fmtid="{D5CDD505-2E9C-101B-9397-08002B2CF9AE}" pid="15" name="Title1">
    <vt:lpwstr>		Décision adoptée par le Comité au titre du paragraphe 1 de l’article 4 du Protocole facultatif, concernant la communication no 128/2018*,**_x000d_</vt:lpwstr>
  </property>
</Properties>
</file>